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E8" w:rsidRDefault="00680CE8" w:rsidP="00680CE8">
      <w:pPr>
        <w:spacing w:line="240" w:lineRule="auto"/>
        <w:jc w:val="left"/>
        <w:rPr>
          <w:szCs w:val="6"/>
          <w:rtl/>
        </w:rPr>
        <w:sectPr w:rsidR="00680CE8" w:rsidSect="00F32B2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rsidR="00F32B28" w:rsidRPr="008C7FF9" w:rsidRDefault="00F32B28" w:rsidP="00357D2D">
      <w:pPr>
        <w:pStyle w:val="TitleH1"/>
        <w:tabs>
          <w:tab w:val="clear" w:pos="1022"/>
          <w:tab w:val="clear" w:pos="1267"/>
          <w:tab w:val="clear" w:pos="1930"/>
          <w:tab w:val="clear" w:pos="2592"/>
          <w:tab w:val="clear" w:pos="3254"/>
          <w:tab w:val="clear" w:pos="3917"/>
          <w:tab w:val="clear" w:pos="4579"/>
          <w:tab w:val="clear" w:pos="5242"/>
          <w:tab w:val="clear" w:pos="5904"/>
          <w:tab w:val="clear" w:pos="6566"/>
          <w:tab w:val="left" w:pos="662"/>
          <w:tab w:val="left" w:pos="1325"/>
          <w:tab w:val="left" w:pos="1987"/>
          <w:tab w:val="left" w:pos="2650"/>
          <w:tab w:val="left" w:pos="3312"/>
          <w:tab w:val="left" w:pos="3974"/>
          <w:tab w:val="left" w:pos="4637"/>
          <w:tab w:val="left" w:pos="5299"/>
          <w:tab w:val="left" w:pos="5962"/>
          <w:tab w:val="left" w:pos="6624"/>
          <w:tab w:val="left" w:pos="7286"/>
        </w:tabs>
        <w:ind w:left="662" w:right="0" w:hanging="662"/>
        <w:rPr>
          <w:rtl/>
        </w:rPr>
      </w:pPr>
      <w:r w:rsidRPr="008C7FF9">
        <w:rPr>
          <w:rtl/>
        </w:rPr>
        <w:lastRenderedPageBreak/>
        <w:t>اللجنة المعنية بالقضاء على التمييز ضد المرأة</w:t>
      </w:r>
    </w:p>
    <w:p w:rsidR="00F32B28" w:rsidRPr="00F32B28" w:rsidRDefault="00F32B28" w:rsidP="00F32B28">
      <w:pPr>
        <w:pStyle w:val="SingleTxt"/>
        <w:spacing w:after="0" w:line="120" w:lineRule="exact"/>
        <w:rPr>
          <w:bCs/>
          <w:sz w:val="10"/>
          <w:rtl/>
        </w:rPr>
      </w:pPr>
    </w:p>
    <w:p w:rsidR="00F32B28" w:rsidRPr="00F32B28" w:rsidRDefault="00F32B28" w:rsidP="00F32B28">
      <w:pPr>
        <w:pStyle w:val="SingleTxt"/>
        <w:spacing w:after="0" w:line="120" w:lineRule="exact"/>
        <w:rPr>
          <w:bCs/>
          <w:sz w:val="10"/>
          <w:rtl/>
        </w:rPr>
      </w:pPr>
    </w:p>
    <w:p w:rsidR="00F32B28" w:rsidRPr="00F32B28" w:rsidRDefault="00F32B28" w:rsidP="00F32B28">
      <w:pPr>
        <w:pStyle w:val="SingleTxt"/>
        <w:spacing w:after="0" w:line="120" w:lineRule="exact"/>
        <w:rPr>
          <w:bCs/>
          <w:sz w:val="10"/>
          <w:rtl/>
        </w:rPr>
      </w:pPr>
    </w:p>
    <w:p w:rsidR="00F32B28" w:rsidRPr="00F32B28" w:rsidRDefault="00F32B28" w:rsidP="00F32B28">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F32B28">
        <w:rPr>
          <w:rFonts w:hint="eastAsia"/>
          <w:rtl/>
        </w:rPr>
        <w:t>النظر</w:t>
      </w:r>
      <w:r>
        <w:rPr>
          <w:rtl/>
        </w:rPr>
        <w:t xml:space="preserve"> </w:t>
      </w:r>
      <w:r w:rsidRPr="00F32B28">
        <w:rPr>
          <w:rFonts w:hint="eastAsia"/>
          <w:rtl/>
        </w:rPr>
        <w:t>في</w:t>
      </w:r>
      <w:r>
        <w:rPr>
          <w:rtl/>
        </w:rPr>
        <w:t xml:space="preserve"> </w:t>
      </w:r>
      <w:r w:rsidRPr="00F32B28">
        <w:rPr>
          <w:rFonts w:hint="eastAsia"/>
          <w:rtl/>
        </w:rPr>
        <w:t>التقارير</w:t>
      </w:r>
      <w:r>
        <w:rPr>
          <w:rtl/>
        </w:rPr>
        <w:t xml:space="preserve"> </w:t>
      </w:r>
      <w:r w:rsidRPr="00F32B28">
        <w:rPr>
          <w:rFonts w:hint="eastAsia"/>
          <w:rtl/>
        </w:rPr>
        <w:t>المقدمة</w:t>
      </w:r>
      <w:r>
        <w:rPr>
          <w:rtl/>
        </w:rPr>
        <w:t xml:space="preserve"> </w:t>
      </w:r>
      <w:r w:rsidRPr="00F32B28">
        <w:rPr>
          <w:rFonts w:hint="eastAsia"/>
          <w:rtl/>
        </w:rPr>
        <w:t>من</w:t>
      </w:r>
      <w:r>
        <w:rPr>
          <w:rtl/>
        </w:rPr>
        <w:t xml:space="preserve"> </w:t>
      </w:r>
      <w:r w:rsidRPr="00F32B28">
        <w:rPr>
          <w:rFonts w:hint="eastAsia"/>
          <w:rtl/>
        </w:rPr>
        <w:t>الدول</w:t>
      </w:r>
      <w:r>
        <w:rPr>
          <w:rtl/>
        </w:rPr>
        <w:t xml:space="preserve"> </w:t>
      </w:r>
      <w:r w:rsidRPr="00F32B28">
        <w:rPr>
          <w:rFonts w:hint="eastAsia"/>
          <w:rtl/>
        </w:rPr>
        <w:t>الأطراف</w:t>
      </w:r>
      <w:r>
        <w:rPr>
          <w:rtl/>
        </w:rPr>
        <w:t xml:space="preserve"> </w:t>
      </w:r>
      <w:r w:rsidRPr="00F32B28">
        <w:rPr>
          <w:rFonts w:hint="eastAsia"/>
          <w:rtl/>
        </w:rPr>
        <w:t>بموجب</w:t>
      </w:r>
      <w:r>
        <w:rPr>
          <w:rtl/>
        </w:rPr>
        <w:t xml:space="preserve"> </w:t>
      </w:r>
      <w:r w:rsidRPr="00F32B28">
        <w:rPr>
          <w:rFonts w:hint="eastAsia"/>
          <w:rtl/>
        </w:rPr>
        <w:t>المادة</w:t>
      </w:r>
      <w:r>
        <w:rPr>
          <w:rtl/>
        </w:rPr>
        <w:t xml:space="preserve"> </w:t>
      </w:r>
      <w:r w:rsidRPr="00F32B28">
        <w:rPr>
          <w:rtl/>
        </w:rPr>
        <w:t>18</w:t>
      </w:r>
      <w:r>
        <w:rPr>
          <w:rtl/>
        </w:rPr>
        <w:t xml:space="preserve"> </w:t>
      </w:r>
      <w:r w:rsidRPr="00F32B28">
        <w:rPr>
          <w:rFonts w:hint="eastAsia"/>
          <w:rtl/>
        </w:rPr>
        <w:t>من</w:t>
      </w:r>
      <w:r>
        <w:rPr>
          <w:rtl/>
        </w:rPr>
        <w:t xml:space="preserve"> </w:t>
      </w:r>
      <w:r w:rsidRPr="00F32B28">
        <w:rPr>
          <w:rFonts w:hint="eastAsia"/>
          <w:rtl/>
        </w:rPr>
        <w:t>الاتفاقية</w:t>
      </w:r>
      <w:r>
        <w:rPr>
          <w:rFonts w:hint="cs"/>
          <w:rtl/>
        </w:rPr>
        <w:t xml:space="preserve"> </w:t>
      </w:r>
      <w:r w:rsidRPr="00F32B28">
        <w:rPr>
          <w:rFonts w:hint="eastAsia"/>
          <w:rtl/>
        </w:rPr>
        <w:t>عملا</w:t>
      </w:r>
      <w:r>
        <w:rPr>
          <w:rtl/>
        </w:rPr>
        <w:t xml:space="preserve"> </w:t>
      </w:r>
      <w:r w:rsidRPr="00F32B28">
        <w:rPr>
          <w:rFonts w:hint="eastAsia"/>
          <w:rtl/>
        </w:rPr>
        <w:t>بالإجراء</w:t>
      </w:r>
      <w:r>
        <w:rPr>
          <w:rtl/>
        </w:rPr>
        <w:t xml:space="preserve"> </w:t>
      </w:r>
      <w:r w:rsidRPr="00F32B28">
        <w:rPr>
          <w:rFonts w:hint="eastAsia"/>
          <w:rtl/>
        </w:rPr>
        <w:t>المبسط</w:t>
      </w:r>
      <w:r>
        <w:rPr>
          <w:rtl/>
        </w:rPr>
        <w:t xml:space="preserve"> </w:t>
      </w:r>
      <w:r w:rsidRPr="00F32B28">
        <w:rPr>
          <w:rFonts w:hint="eastAsia"/>
          <w:rtl/>
        </w:rPr>
        <w:t>لتقديم</w:t>
      </w:r>
      <w:r>
        <w:rPr>
          <w:rtl/>
        </w:rPr>
        <w:t xml:space="preserve"> </w:t>
      </w:r>
      <w:r w:rsidRPr="00F32B28">
        <w:rPr>
          <w:rFonts w:hint="eastAsia"/>
          <w:rtl/>
        </w:rPr>
        <w:t>التقارير</w:t>
      </w:r>
      <w:r>
        <w:rPr>
          <w:rFonts w:hint="cs"/>
          <w:rtl/>
        </w:rPr>
        <w:t xml:space="preserve"> </w:t>
      </w:r>
    </w:p>
    <w:p w:rsidR="00F32B28" w:rsidRPr="00F32B28" w:rsidRDefault="00F32B28" w:rsidP="00F32B28">
      <w:pPr>
        <w:pStyle w:val="SingleTxt"/>
        <w:spacing w:after="0" w:line="120" w:lineRule="exact"/>
        <w:rPr>
          <w:b/>
          <w:sz w:val="10"/>
          <w:rtl/>
          <w:lang w:val="en-GB"/>
        </w:rPr>
      </w:pPr>
    </w:p>
    <w:p w:rsidR="00F32B28" w:rsidRPr="00F32B28" w:rsidRDefault="00F32B28" w:rsidP="00F32B28">
      <w:pPr>
        <w:pStyle w:val="SingleTxt"/>
        <w:spacing w:after="0" w:line="120" w:lineRule="exact"/>
        <w:rPr>
          <w:b/>
          <w:sz w:val="10"/>
          <w:rtl/>
          <w:lang w:val="en-GB"/>
        </w:rPr>
      </w:pPr>
    </w:p>
    <w:p w:rsidR="0073062A" w:rsidRPr="0014736B" w:rsidRDefault="0073062A" w:rsidP="0073062A">
      <w:pPr>
        <w:framePr w:w="9792" w:h="432" w:hSpace="187" w:wrap="around" w:hAnchor="page" w:x="1196" w:yAlign="bottom"/>
        <w:spacing w:line="240" w:lineRule="auto"/>
        <w:rPr>
          <w:szCs w:val="10"/>
          <w:rtl/>
        </w:rPr>
      </w:pPr>
    </w:p>
    <w:p w:rsidR="0073062A" w:rsidRPr="0014736B" w:rsidRDefault="0073062A" w:rsidP="0073062A">
      <w:pPr>
        <w:framePr w:w="9792" w:h="432" w:hSpace="187" w:wrap="around" w:hAnchor="page" w:x="1196" w:yAlign="bottom"/>
        <w:spacing w:line="240" w:lineRule="auto"/>
        <w:rPr>
          <w:szCs w:val="6"/>
          <w:rtl/>
        </w:rPr>
      </w:pPr>
      <w:r w:rsidRPr="0014736B">
        <w:rPr>
          <w:noProof/>
          <w:szCs w:val="6"/>
          <w:rtl/>
        </w:rPr>
        <mc:AlternateContent>
          <mc:Choice Requires="wps">
            <w:drawing>
              <wp:anchor distT="0" distB="0" distL="114300" distR="114300" simplePos="0" relativeHeight="251662336" behindDoc="0" locked="0" layoutInCell="1" allowOverlap="1" wp14:anchorId="689C5B8B" wp14:editId="5170D0F7">
                <wp:simplePos x="0" y="0"/>
                <wp:positionH relativeFrom="column">
                  <wp:posOffset>5029327</wp:posOffset>
                </wp:positionH>
                <wp:positionV relativeFrom="paragraph">
                  <wp:posOffset>-12700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GuR2HDRAQAAAwQA&#10;AA4AAAAAAAAAAAAAAAAALgIAAGRycy9lMm9Eb2MueG1sUEsBAi0AFAAGAAgAAAAhAPIk/q3dAAAA&#10;CQEAAA8AAAAAAAAAAAAAAAAAKwQAAGRycy9kb3ducmV2LnhtbFBLBQYAAAAABAAEAPMAAAA1BQAA&#10;AAA=&#10;" strokecolor="#010000"/>
            </w:pict>
          </mc:Fallback>
        </mc:AlternateContent>
      </w:r>
    </w:p>
    <w:p w:rsidR="0073062A" w:rsidRDefault="0073062A" w:rsidP="0073062A">
      <w:pPr>
        <w:framePr w:w="9792" w:h="432" w:hSpace="187" w:wrap="around" w:hAnchor="page" w:x="1196" w:yAlign="bottom"/>
        <w:tabs>
          <w:tab w:val="right" w:pos="1195"/>
          <w:tab w:val="left" w:pos="1267"/>
        </w:tabs>
        <w:spacing w:after="80" w:line="280" w:lineRule="exact"/>
        <w:ind w:left="1267" w:right="1267" w:hanging="547"/>
        <w:rPr>
          <w:sz w:val="17"/>
          <w:szCs w:val="24"/>
          <w:rtl/>
        </w:rPr>
      </w:pPr>
      <w:r w:rsidRPr="0073062A">
        <w:rPr>
          <w:rFonts w:hint="cs"/>
          <w:i/>
          <w:iCs/>
          <w:sz w:val="17"/>
          <w:szCs w:val="24"/>
          <w:rtl/>
        </w:rPr>
        <w:t>ملاحظة</w:t>
      </w:r>
      <w:r w:rsidRPr="0073062A">
        <w:rPr>
          <w:rFonts w:hint="cs"/>
          <w:sz w:val="17"/>
          <w:szCs w:val="24"/>
          <w:rtl/>
        </w:rPr>
        <w:t>:</w:t>
      </w:r>
      <w:r w:rsidRPr="0073062A">
        <w:rPr>
          <w:sz w:val="17"/>
          <w:szCs w:val="24"/>
          <w:rtl/>
        </w:rPr>
        <w:t xml:space="preserve"> تُعمَّم هذه الوثيقة بالإسبانية والإنكليزية والعربية والفرنسية فقط</w:t>
      </w:r>
      <w:r w:rsidRPr="0073062A">
        <w:rPr>
          <w:rFonts w:hint="cs"/>
          <w:sz w:val="17"/>
          <w:szCs w:val="24"/>
          <w:rtl/>
        </w:rPr>
        <w:t>.</w:t>
      </w:r>
    </w:p>
    <w:p w:rsidR="0073062A" w:rsidRPr="0014736B" w:rsidRDefault="0073062A" w:rsidP="0073062A">
      <w:pPr>
        <w:framePr w:w="9792" w:h="432" w:hSpace="187" w:wrap="around" w:hAnchor="page" w:x="1196" w:yAlign="bottom"/>
        <w:tabs>
          <w:tab w:val="right" w:pos="1195"/>
          <w:tab w:val="left" w:pos="1267"/>
        </w:tabs>
        <w:spacing w:after="80" w:line="280" w:lineRule="exact"/>
        <w:ind w:left="1267" w:right="1267" w:hanging="547"/>
        <w:rPr>
          <w:sz w:val="17"/>
          <w:szCs w:val="24"/>
        </w:rPr>
      </w:pPr>
      <w:r>
        <w:rPr>
          <w:rFonts w:hint="cs"/>
          <w:sz w:val="17"/>
          <w:szCs w:val="24"/>
          <w:rtl/>
        </w:rPr>
        <w:tab/>
        <w:t>*</w:t>
      </w:r>
      <w:r>
        <w:rPr>
          <w:rFonts w:hint="cs"/>
          <w:sz w:val="17"/>
          <w:szCs w:val="24"/>
          <w:rtl/>
        </w:rPr>
        <w:tab/>
      </w:r>
      <w:r w:rsidRPr="0073062A">
        <w:rPr>
          <w:rFonts w:hint="cs"/>
          <w:sz w:val="17"/>
          <w:szCs w:val="24"/>
          <w:rtl/>
        </w:rPr>
        <w:t>تصدر هذه الوثيقة دون تحرير رسمي.</w:t>
      </w:r>
    </w:p>
    <w:p w:rsidR="00F32B28" w:rsidRPr="00F32B28" w:rsidRDefault="00F32B28" w:rsidP="00F32B2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rPr>
      </w:pPr>
      <w:r>
        <w:rPr>
          <w:rFonts w:hint="cs"/>
          <w:rtl/>
        </w:rPr>
        <w:tab/>
      </w:r>
      <w:r>
        <w:rPr>
          <w:rFonts w:hint="cs"/>
          <w:rtl/>
        </w:rPr>
        <w:tab/>
      </w:r>
      <w:r w:rsidRPr="00F32B28">
        <w:rPr>
          <w:rFonts w:hint="eastAsia"/>
          <w:rtl/>
        </w:rPr>
        <w:t>التقارير</w:t>
      </w:r>
      <w:r>
        <w:rPr>
          <w:rtl/>
        </w:rPr>
        <w:t xml:space="preserve"> </w:t>
      </w:r>
      <w:r w:rsidRPr="00F32B28">
        <w:rPr>
          <w:rtl/>
        </w:rPr>
        <w:t>الأولية</w:t>
      </w:r>
      <w:r>
        <w:rPr>
          <w:rtl/>
        </w:rPr>
        <w:t xml:space="preserve"> </w:t>
      </w:r>
      <w:r w:rsidRPr="00F32B28">
        <w:rPr>
          <w:rFonts w:hint="eastAsia"/>
          <w:rtl/>
        </w:rPr>
        <w:t>المقرر</w:t>
      </w:r>
      <w:r>
        <w:rPr>
          <w:rtl/>
        </w:rPr>
        <w:t xml:space="preserve"> </w:t>
      </w:r>
      <w:r w:rsidRPr="00F32B28">
        <w:rPr>
          <w:rFonts w:hint="eastAsia"/>
          <w:rtl/>
        </w:rPr>
        <w:t>تقديمها</w:t>
      </w:r>
      <w:r>
        <w:rPr>
          <w:rtl/>
        </w:rPr>
        <w:t xml:space="preserve"> </w:t>
      </w:r>
      <w:r w:rsidRPr="00F32B28">
        <w:rPr>
          <w:rtl/>
        </w:rPr>
        <w:t>من</w:t>
      </w:r>
      <w:r>
        <w:rPr>
          <w:rtl/>
        </w:rPr>
        <w:t xml:space="preserve"> </w:t>
      </w:r>
      <w:r w:rsidRPr="00F32B28">
        <w:rPr>
          <w:rtl/>
        </w:rPr>
        <w:t>الدول</w:t>
      </w:r>
      <w:r>
        <w:rPr>
          <w:rtl/>
        </w:rPr>
        <w:t xml:space="preserve"> </w:t>
      </w:r>
      <w:r w:rsidRPr="00F32B28">
        <w:rPr>
          <w:rtl/>
        </w:rPr>
        <w:t>الأطراف</w:t>
      </w:r>
      <w:r>
        <w:rPr>
          <w:rtl/>
        </w:rPr>
        <w:t xml:space="preserve"> </w:t>
      </w:r>
      <w:r w:rsidRPr="00F32B28">
        <w:rPr>
          <w:rtl/>
        </w:rPr>
        <w:t>في</w:t>
      </w:r>
      <w:r>
        <w:rPr>
          <w:rtl/>
        </w:rPr>
        <w:t xml:space="preserve"> </w:t>
      </w:r>
      <w:r w:rsidRPr="00F32B28">
        <w:rPr>
          <w:rtl/>
        </w:rPr>
        <w:t>عام</w:t>
      </w:r>
      <w:r>
        <w:rPr>
          <w:rtl/>
        </w:rPr>
        <w:t xml:space="preserve"> </w:t>
      </w:r>
      <w:r w:rsidRPr="00F32B28">
        <w:rPr>
          <w:rtl/>
        </w:rPr>
        <w:t>2015</w:t>
      </w:r>
      <w:r>
        <w:rPr>
          <w:rFonts w:hint="cs"/>
          <w:rtl/>
        </w:rPr>
        <w:t xml:space="preserve"> </w:t>
      </w:r>
    </w:p>
    <w:p w:rsidR="00F32B28" w:rsidRPr="00F32B28" w:rsidRDefault="00F32B28" w:rsidP="00F32B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lang w:val="en-GB"/>
        </w:rPr>
      </w:pPr>
    </w:p>
    <w:p w:rsidR="00F32B28" w:rsidRPr="00F32B28" w:rsidRDefault="00F32B28" w:rsidP="00F32B28">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rPr>
      </w:pPr>
      <w:r w:rsidRPr="00F32B28">
        <w:rPr>
          <w:lang w:val="en-GB"/>
        </w:rPr>
        <w:tab/>
      </w:r>
      <w:r w:rsidRPr="00F32B28">
        <w:rPr>
          <w:lang w:val="en-GB"/>
        </w:rPr>
        <w:tab/>
      </w:r>
      <w:r w:rsidRPr="00F32B28">
        <w:rPr>
          <w:rFonts w:hint="eastAsia"/>
          <w:rtl/>
        </w:rPr>
        <w:t>دولة</w:t>
      </w:r>
      <w:r>
        <w:rPr>
          <w:rtl/>
        </w:rPr>
        <w:t xml:space="preserve"> </w:t>
      </w:r>
      <w:r w:rsidRPr="00F32B28">
        <w:rPr>
          <w:rFonts w:hint="eastAsia"/>
          <w:rtl/>
        </w:rPr>
        <w:t>فلسطين</w:t>
      </w:r>
      <w:r w:rsidRPr="00F32B28">
        <w:rPr>
          <w:rtl/>
        </w:rPr>
        <w:t>*</w:t>
      </w:r>
      <w:bookmarkStart w:id="1" w:name="_GoBack"/>
      <w:bookmarkEnd w:id="1"/>
    </w:p>
    <w:p w:rsidR="00F32B28" w:rsidRPr="00F32B28" w:rsidRDefault="00F32B28" w:rsidP="00F32B28">
      <w:pPr>
        <w:pStyle w:val="SingleTxt"/>
        <w:jc w:val="right"/>
        <w:rPr>
          <w:rtl/>
        </w:rPr>
      </w:pPr>
      <w:r w:rsidRPr="00F32B28">
        <w:rPr>
          <w:rFonts w:hint="cs"/>
          <w:rtl/>
        </w:rPr>
        <w:t>[</w:t>
      </w:r>
      <w:r w:rsidRPr="00F32B28">
        <w:rPr>
          <w:rtl/>
        </w:rPr>
        <w:t>تاريخ</w:t>
      </w:r>
      <w:r>
        <w:rPr>
          <w:rtl/>
        </w:rPr>
        <w:t xml:space="preserve"> </w:t>
      </w:r>
      <w:r w:rsidRPr="00F32B28">
        <w:rPr>
          <w:rtl/>
        </w:rPr>
        <w:t>الاستلام:</w:t>
      </w:r>
      <w:r>
        <w:rPr>
          <w:rtl/>
        </w:rPr>
        <w:t xml:space="preserve"> </w:t>
      </w:r>
      <w:r w:rsidRPr="00F32B28">
        <w:rPr>
          <w:rFonts w:hint="cs"/>
          <w:rtl/>
        </w:rPr>
        <w:t>10</w:t>
      </w:r>
      <w:r>
        <w:rPr>
          <w:rtl/>
        </w:rPr>
        <w:t xml:space="preserve"> </w:t>
      </w:r>
      <w:r w:rsidRPr="00F32B28">
        <w:rPr>
          <w:rFonts w:hint="cs"/>
          <w:rtl/>
        </w:rPr>
        <w:t>آذار</w:t>
      </w:r>
      <w:r w:rsidRPr="00F32B28">
        <w:rPr>
          <w:rtl/>
        </w:rPr>
        <w:t>/</w:t>
      </w:r>
      <w:r w:rsidRPr="00F32B28">
        <w:rPr>
          <w:rFonts w:hint="cs"/>
          <w:rtl/>
        </w:rPr>
        <w:t>مارس</w:t>
      </w:r>
      <w:r>
        <w:rPr>
          <w:rtl/>
        </w:rPr>
        <w:t xml:space="preserve"> </w:t>
      </w:r>
      <w:r w:rsidRPr="00F32B28">
        <w:rPr>
          <w:rtl/>
        </w:rPr>
        <w:t>201</w:t>
      </w:r>
      <w:r w:rsidRPr="00F32B28">
        <w:rPr>
          <w:rFonts w:hint="cs"/>
          <w:rtl/>
        </w:rPr>
        <w:t>7</w:t>
      </w:r>
      <w:r w:rsidRPr="00F32B28">
        <w:rPr>
          <w:rtl/>
        </w:rPr>
        <w:t>]</w:t>
      </w:r>
    </w:p>
    <w:p w:rsidR="0073062A" w:rsidRDefault="00F32B28" w:rsidP="0073062A">
      <w:pPr>
        <w:pStyle w:val="SingleTxt"/>
      </w:pPr>
      <w:r w:rsidRPr="00F32B28">
        <w:rPr>
          <w:lang w:val="en-GB"/>
        </w:rPr>
        <w:br w:type="page"/>
      </w:r>
    </w:p>
    <w:p w:rsidR="00600C43" w:rsidRPr="00600C43" w:rsidRDefault="00600C43" w:rsidP="00600C43">
      <w:pPr>
        <w:pStyle w:val="HCh"/>
        <w:rPr>
          <w:rtl/>
        </w:rPr>
      </w:pPr>
      <w:r>
        <w:rPr>
          <w:rtl/>
        </w:rPr>
        <w:lastRenderedPageBreak/>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600C43" w:rsidRPr="00600C43" w:rsidTr="00600C43">
        <w:tc>
          <w:tcPr>
            <w:tcW w:w="1296" w:type="dxa"/>
            <w:shd w:val="clear" w:color="auto" w:fill="auto"/>
          </w:tcPr>
          <w:p w:rsidR="00600C43" w:rsidRPr="00600C43" w:rsidRDefault="00600C43" w:rsidP="00600C43">
            <w:pPr>
              <w:spacing w:after="120" w:line="240" w:lineRule="auto"/>
              <w:jc w:val="right"/>
              <w:rPr>
                <w:iCs/>
                <w:sz w:val="14"/>
                <w:rtl/>
              </w:rPr>
            </w:pPr>
          </w:p>
        </w:tc>
        <w:tc>
          <w:tcPr>
            <w:tcW w:w="6566" w:type="dxa"/>
            <w:shd w:val="clear" w:color="auto" w:fill="auto"/>
          </w:tcPr>
          <w:p w:rsidR="00600C43" w:rsidRPr="00600C43" w:rsidRDefault="00600C43" w:rsidP="00600C43">
            <w:pPr>
              <w:spacing w:after="120" w:line="240" w:lineRule="auto"/>
              <w:rPr>
                <w:iCs/>
                <w:sz w:val="14"/>
                <w:rtl/>
              </w:rPr>
            </w:pPr>
          </w:p>
        </w:tc>
        <w:tc>
          <w:tcPr>
            <w:tcW w:w="1166" w:type="dxa"/>
            <w:shd w:val="clear" w:color="auto" w:fill="auto"/>
          </w:tcPr>
          <w:p w:rsidR="00600C43" w:rsidRPr="00600C43" w:rsidRDefault="00600C43" w:rsidP="00600C43">
            <w:pPr>
              <w:spacing w:after="120" w:line="240" w:lineRule="auto"/>
              <w:jc w:val="right"/>
              <w:rPr>
                <w:iCs/>
                <w:sz w:val="14"/>
                <w:rtl/>
              </w:rPr>
            </w:pPr>
          </w:p>
        </w:tc>
        <w:tc>
          <w:tcPr>
            <w:tcW w:w="806" w:type="dxa"/>
            <w:shd w:val="clear" w:color="auto" w:fill="auto"/>
          </w:tcPr>
          <w:p w:rsidR="00600C43" w:rsidRPr="00600C43" w:rsidRDefault="00600C43" w:rsidP="00600C43">
            <w:pPr>
              <w:spacing w:after="120" w:line="240" w:lineRule="auto"/>
              <w:jc w:val="right"/>
              <w:rPr>
                <w:iCs/>
                <w:sz w:val="14"/>
                <w:rtl/>
              </w:rPr>
            </w:pPr>
            <w:r>
              <w:rPr>
                <w:iCs/>
                <w:sz w:val="14"/>
                <w:rtl/>
              </w:rPr>
              <w:t>الصفحة</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أولاً -</w:t>
            </w:r>
            <w:r>
              <w:rPr>
                <w:rtl/>
              </w:rPr>
              <w:tab/>
              <w:t>مقدمة</w:t>
            </w:r>
            <w:r>
              <w:rPr>
                <w:spacing w:val="60"/>
                <w:sz w:val="17"/>
                <w:rtl/>
              </w:rPr>
              <w:tab/>
            </w:r>
          </w:p>
        </w:tc>
        <w:tc>
          <w:tcPr>
            <w:tcW w:w="806" w:type="dxa"/>
            <w:shd w:val="clear" w:color="auto" w:fill="auto"/>
            <w:vAlign w:val="bottom"/>
          </w:tcPr>
          <w:p w:rsidR="00600C43" w:rsidRPr="00600C43" w:rsidRDefault="00501EE0" w:rsidP="00501EE0">
            <w:pPr>
              <w:spacing w:after="120"/>
              <w:jc w:val="right"/>
              <w:rPr>
                <w:rtl/>
              </w:rPr>
            </w:pPr>
            <w:r>
              <w:rPr>
                <w:rFonts w:hint="cs"/>
                <w:rtl/>
              </w:rPr>
              <w:t>3</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rPr>
                <w:spacing w:val="60"/>
                <w:sz w:val="17"/>
                <w:rtl/>
              </w:rPr>
            </w:pPr>
            <w:r>
              <w:rPr>
                <w:rFonts w:hint="cs"/>
                <w:rtl/>
              </w:rPr>
              <w:tab/>
            </w:r>
            <w:r>
              <w:rPr>
                <w:rtl/>
              </w:rPr>
              <w:t>ثانياً -</w:t>
            </w:r>
            <w:r>
              <w:rPr>
                <w:rtl/>
              </w:rPr>
              <w:tab/>
              <w:t>المعلومات المتعلقة بالمواد الموضوعية للاتفاقية</w:t>
            </w:r>
            <w:r>
              <w:rPr>
                <w:spacing w:val="60"/>
                <w:sz w:val="17"/>
                <w:rtl/>
              </w:rPr>
              <w:tab/>
            </w:r>
          </w:p>
        </w:tc>
        <w:tc>
          <w:tcPr>
            <w:tcW w:w="806" w:type="dxa"/>
            <w:shd w:val="clear" w:color="auto" w:fill="auto"/>
            <w:vAlign w:val="bottom"/>
          </w:tcPr>
          <w:p w:rsidR="00600C43" w:rsidRPr="00600C43" w:rsidRDefault="00501EE0" w:rsidP="00501EE0">
            <w:pPr>
              <w:spacing w:after="120"/>
              <w:jc w:val="right"/>
              <w:rPr>
                <w:rtl/>
              </w:rPr>
            </w:pPr>
            <w:r>
              <w:rPr>
                <w:rFonts w:hint="cs"/>
                <w:rtl/>
              </w:rPr>
              <w:t>4</w:t>
            </w:r>
          </w:p>
        </w:tc>
      </w:tr>
      <w:tr w:rsidR="00600C43" w:rsidRPr="00600C43" w:rsidTr="00501EE0">
        <w:tc>
          <w:tcPr>
            <w:tcW w:w="9028" w:type="dxa"/>
            <w:gridSpan w:val="3"/>
            <w:shd w:val="clear" w:color="auto" w:fill="auto"/>
          </w:tcPr>
          <w:p w:rsidR="00600C43" w:rsidRPr="00501EE0" w:rsidRDefault="00501EE0" w:rsidP="00501EE0">
            <w:pPr>
              <w:tabs>
                <w:tab w:val="right" w:pos="1080"/>
                <w:tab w:val="right" w:leader="dot" w:pos="9029"/>
              </w:tabs>
              <w:rPr>
                <w:spacing w:val="60"/>
                <w:sz w:val="17"/>
                <w:rtl/>
              </w:rPr>
            </w:pPr>
            <w:r>
              <w:rPr>
                <w:rFonts w:hint="cs"/>
                <w:rtl/>
                <w:lang w:bidi="ar-SY"/>
              </w:rPr>
              <w:tab/>
            </w:r>
            <w:r>
              <w:rPr>
                <w:rtl/>
                <w:lang w:bidi="ar-SY"/>
              </w:rPr>
              <w:t>الجزء الأول</w:t>
            </w:r>
            <w:r>
              <w:rPr>
                <w:spacing w:val="60"/>
                <w:sz w:val="17"/>
                <w:rtl/>
                <w:lang w:bidi="ar-SY"/>
              </w:rPr>
              <w:tab/>
            </w:r>
          </w:p>
        </w:tc>
        <w:tc>
          <w:tcPr>
            <w:tcW w:w="806" w:type="dxa"/>
            <w:shd w:val="clear" w:color="auto" w:fill="auto"/>
            <w:vAlign w:val="bottom"/>
          </w:tcPr>
          <w:p w:rsidR="00600C43" w:rsidRPr="00600C43" w:rsidRDefault="00501EE0" w:rsidP="00501EE0">
            <w:pPr>
              <w:spacing w:after="120"/>
              <w:jc w:val="right"/>
              <w:rPr>
                <w:rtl/>
              </w:rPr>
            </w:pPr>
            <w:r>
              <w:rPr>
                <w:rFonts w:hint="cs"/>
                <w:rtl/>
              </w:rPr>
              <w:t>4</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right" w:leader="dot" w:pos="9029"/>
              </w:tabs>
              <w:spacing w:after="120"/>
              <w:rPr>
                <w:spacing w:val="60"/>
                <w:sz w:val="17"/>
                <w:rtl/>
              </w:rPr>
            </w:pPr>
            <w:r>
              <w:rPr>
                <w:rtl/>
              </w:rPr>
              <w:tab/>
            </w:r>
            <w:r>
              <w:rPr>
                <w:rFonts w:hint="cs"/>
                <w:rtl/>
              </w:rPr>
              <w:tab/>
            </w:r>
            <w:r w:rsidRPr="00501EE0">
              <w:rPr>
                <w:rtl/>
              </w:rPr>
              <w:t>المادة (1)</w:t>
            </w:r>
            <w:r>
              <w:rPr>
                <w:spacing w:val="60"/>
                <w:sz w:val="17"/>
                <w:rtl/>
              </w:rPr>
              <w:tab/>
            </w:r>
          </w:p>
        </w:tc>
        <w:tc>
          <w:tcPr>
            <w:tcW w:w="806" w:type="dxa"/>
            <w:shd w:val="clear" w:color="auto" w:fill="auto"/>
            <w:vAlign w:val="bottom"/>
          </w:tcPr>
          <w:p w:rsidR="00600C43" w:rsidRPr="00600C43" w:rsidRDefault="00501EE0" w:rsidP="00501EE0">
            <w:pPr>
              <w:spacing w:after="120"/>
              <w:jc w:val="right"/>
              <w:rPr>
                <w:rtl/>
              </w:rPr>
            </w:pPr>
            <w:r>
              <w:rPr>
                <w:rFonts w:hint="cs"/>
                <w:rtl/>
              </w:rPr>
              <w:t>4</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ab/>
            </w:r>
            <w:r w:rsidRPr="00501EE0">
              <w:rPr>
                <w:rtl/>
              </w:rPr>
              <w:t>المادة (2)</w:t>
            </w:r>
            <w:r>
              <w:rPr>
                <w:spacing w:val="60"/>
                <w:sz w:val="17"/>
                <w:rtl/>
              </w:rPr>
              <w:tab/>
            </w:r>
          </w:p>
        </w:tc>
        <w:tc>
          <w:tcPr>
            <w:tcW w:w="806" w:type="dxa"/>
            <w:shd w:val="clear" w:color="auto" w:fill="auto"/>
            <w:vAlign w:val="bottom"/>
          </w:tcPr>
          <w:p w:rsidR="00600C43" w:rsidRPr="00600C43" w:rsidRDefault="00501EE0" w:rsidP="00501EE0">
            <w:pPr>
              <w:spacing w:after="120"/>
              <w:jc w:val="right"/>
              <w:rPr>
                <w:rtl/>
              </w:rPr>
            </w:pPr>
            <w:r>
              <w:rPr>
                <w:rFonts w:hint="cs"/>
                <w:rtl/>
              </w:rPr>
              <w:t>5</w:t>
            </w:r>
          </w:p>
        </w:tc>
      </w:tr>
      <w:tr w:rsidR="00501EE0" w:rsidRPr="00600C43" w:rsidTr="00501EE0">
        <w:tc>
          <w:tcPr>
            <w:tcW w:w="9028" w:type="dxa"/>
            <w:gridSpan w:val="3"/>
            <w:shd w:val="clear" w:color="auto" w:fill="auto"/>
          </w:tcPr>
          <w:p w:rsidR="00501EE0" w:rsidRPr="00501EE0" w:rsidRDefault="00501EE0" w:rsidP="00501EE0">
            <w:pPr>
              <w:tabs>
                <w:tab w:val="right" w:pos="1080"/>
                <w:tab w:val="left" w:pos="1296"/>
                <w:tab w:val="left" w:pos="1728"/>
                <w:tab w:val="right" w:leader="dot" w:pos="9029"/>
              </w:tabs>
              <w:spacing w:after="120"/>
              <w:rPr>
                <w:spacing w:val="60"/>
                <w:sz w:val="17"/>
              </w:rPr>
            </w:pPr>
            <w:r>
              <w:rPr>
                <w:rFonts w:hint="cs"/>
                <w:rtl/>
              </w:rPr>
              <w:tab/>
            </w:r>
            <w:r>
              <w:rPr>
                <w:rtl/>
              </w:rPr>
              <w:tab/>
            </w:r>
            <w:r w:rsidRPr="00501EE0">
              <w:rPr>
                <w:rtl/>
              </w:rPr>
              <w:t>المادة (</w:t>
            </w:r>
            <w:r w:rsidRPr="00501EE0">
              <w:rPr>
                <w:rFonts w:hint="cs"/>
                <w:rtl/>
              </w:rPr>
              <w:t>3</w:t>
            </w:r>
            <w:r w:rsidRPr="00501EE0">
              <w:rPr>
                <w:rtl/>
              </w:rPr>
              <w:t>)</w:t>
            </w:r>
            <w:r>
              <w:rPr>
                <w:spacing w:val="60"/>
                <w:sz w:val="17"/>
                <w:rtl/>
              </w:rPr>
              <w:tab/>
            </w:r>
          </w:p>
        </w:tc>
        <w:tc>
          <w:tcPr>
            <w:tcW w:w="806" w:type="dxa"/>
            <w:shd w:val="clear" w:color="auto" w:fill="auto"/>
            <w:vAlign w:val="bottom"/>
          </w:tcPr>
          <w:p w:rsidR="00501EE0" w:rsidRPr="00600C43" w:rsidRDefault="00EC7A7E" w:rsidP="00501EE0">
            <w:pPr>
              <w:spacing w:after="120"/>
              <w:jc w:val="right"/>
              <w:rPr>
                <w:rtl/>
              </w:rPr>
            </w:pPr>
            <w:r>
              <w:rPr>
                <w:rFonts w:hint="cs"/>
                <w:rtl/>
              </w:rPr>
              <w:t>15</w:t>
            </w:r>
          </w:p>
        </w:tc>
      </w:tr>
      <w:tr w:rsidR="00501EE0" w:rsidRPr="00600C43" w:rsidTr="00501EE0">
        <w:tc>
          <w:tcPr>
            <w:tcW w:w="9028" w:type="dxa"/>
            <w:gridSpan w:val="3"/>
            <w:shd w:val="clear" w:color="auto" w:fill="auto"/>
          </w:tcPr>
          <w:p w:rsidR="00501EE0" w:rsidRPr="00501EE0" w:rsidRDefault="00501EE0" w:rsidP="00501EE0">
            <w:pPr>
              <w:tabs>
                <w:tab w:val="right" w:pos="1080"/>
                <w:tab w:val="left" w:pos="1296"/>
                <w:tab w:val="left" w:pos="1728"/>
                <w:tab w:val="right" w:leader="dot" w:pos="9029"/>
              </w:tabs>
              <w:spacing w:after="120"/>
              <w:rPr>
                <w:spacing w:val="60"/>
                <w:sz w:val="17"/>
              </w:rPr>
            </w:pPr>
            <w:r>
              <w:rPr>
                <w:rFonts w:hint="cs"/>
                <w:rtl/>
              </w:rPr>
              <w:tab/>
            </w:r>
            <w:r>
              <w:rPr>
                <w:rtl/>
              </w:rPr>
              <w:tab/>
            </w:r>
            <w:r w:rsidRPr="00501EE0">
              <w:rPr>
                <w:rtl/>
              </w:rPr>
              <w:t>المادة (</w:t>
            </w:r>
            <w:r w:rsidRPr="00501EE0">
              <w:rPr>
                <w:rFonts w:hint="cs"/>
                <w:rtl/>
              </w:rPr>
              <w:t>4</w:t>
            </w:r>
            <w:r w:rsidRPr="00501EE0">
              <w:rPr>
                <w:rtl/>
              </w:rPr>
              <w:t>)</w:t>
            </w:r>
            <w:r>
              <w:rPr>
                <w:spacing w:val="60"/>
                <w:sz w:val="17"/>
                <w:rtl/>
              </w:rPr>
              <w:tab/>
            </w:r>
          </w:p>
        </w:tc>
        <w:tc>
          <w:tcPr>
            <w:tcW w:w="806" w:type="dxa"/>
            <w:shd w:val="clear" w:color="auto" w:fill="auto"/>
            <w:vAlign w:val="bottom"/>
          </w:tcPr>
          <w:p w:rsidR="00501EE0" w:rsidRPr="00600C43" w:rsidRDefault="00EC7A7E" w:rsidP="00501EE0">
            <w:pPr>
              <w:spacing w:after="120"/>
              <w:jc w:val="right"/>
              <w:rPr>
                <w:rtl/>
              </w:rPr>
            </w:pPr>
            <w:r>
              <w:rPr>
                <w:rFonts w:hint="cs"/>
                <w:rtl/>
              </w:rPr>
              <w:t>17</w:t>
            </w:r>
          </w:p>
        </w:tc>
      </w:tr>
      <w:tr w:rsidR="00501EE0" w:rsidRPr="00600C43" w:rsidTr="00501EE0">
        <w:tc>
          <w:tcPr>
            <w:tcW w:w="9028" w:type="dxa"/>
            <w:gridSpan w:val="3"/>
            <w:shd w:val="clear" w:color="auto" w:fill="auto"/>
          </w:tcPr>
          <w:p w:rsidR="00501EE0" w:rsidRPr="00501EE0" w:rsidRDefault="00501EE0" w:rsidP="00501EE0">
            <w:pPr>
              <w:tabs>
                <w:tab w:val="right" w:pos="1080"/>
                <w:tab w:val="left" w:pos="1296"/>
                <w:tab w:val="left" w:pos="1728"/>
                <w:tab w:val="right" w:leader="dot" w:pos="9029"/>
              </w:tabs>
              <w:spacing w:after="120"/>
              <w:rPr>
                <w:spacing w:val="60"/>
                <w:sz w:val="17"/>
              </w:rPr>
            </w:pPr>
            <w:r>
              <w:rPr>
                <w:rFonts w:hint="cs"/>
                <w:rtl/>
              </w:rPr>
              <w:tab/>
            </w:r>
            <w:r>
              <w:rPr>
                <w:rtl/>
              </w:rPr>
              <w:tab/>
            </w:r>
            <w:r w:rsidRPr="00501EE0">
              <w:rPr>
                <w:rtl/>
              </w:rPr>
              <w:t>المادة (</w:t>
            </w:r>
            <w:r w:rsidRPr="00501EE0">
              <w:rPr>
                <w:rFonts w:hint="cs"/>
                <w:rtl/>
              </w:rPr>
              <w:t>5</w:t>
            </w:r>
            <w:r w:rsidRPr="00501EE0">
              <w:rPr>
                <w:rtl/>
              </w:rPr>
              <w:t>)</w:t>
            </w:r>
            <w:r>
              <w:rPr>
                <w:spacing w:val="60"/>
                <w:sz w:val="17"/>
                <w:rtl/>
              </w:rPr>
              <w:tab/>
            </w:r>
          </w:p>
        </w:tc>
        <w:tc>
          <w:tcPr>
            <w:tcW w:w="806" w:type="dxa"/>
            <w:shd w:val="clear" w:color="auto" w:fill="auto"/>
            <w:vAlign w:val="bottom"/>
          </w:tcPr>
          <w:p w:rsidR="00501EE0" w:rsidRPr="00600C43" w:rsidRDefault="00EC7A7E" w:rsidP="00501EE0">
            <w:pPr>
              <w:spacing w:after="120"/>
              <w:jc w:val="right"/>
              <w:rPr>
                <w:rtl/>
              </w:rPr>
            </w:pPr>
            <w:r>
              <w:rPr>
                <w:rFonts w:hint="cs"/>
                <w:rtl/>
              </w:rPr>
              <w:t>19</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ab/>
            </w:r>
            <w:r w:rsidRPr="00501EE0">
              <w:rPr>
                <w:rtl/>
              </w:rPr>
              <w:t>المادة (</w:t>
            </w:r>
            <w:r w:rsidRPr="00501EE0">
              <w:rPr>
                <w:rFonts w:hint="cs"/>
                <w:rtl/>
              </w:rPr>
              <w:t>6</w:t>
            </w:r>
            <w:r w:rsidRPr="00501EE0">
              <w:rPr>
                <w:rtl/>
              </w:rPr>
              <w:t>)</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25</w:t>
            </w:r>
          </w:p>
        </w:tc>
      </w:tr>
      <w:tr w:rsidR="00600C43" w:rsidRPr="00600C43" w:rsidTr="00501EE0">
        <w:tc>
          <w:tcPr>
            <w:tcW w:w="9028" w:type="dxa"/>
            <w:gridSpan w:val="3"/>
            <w:shd w:val="clear" w:color="auto" w:fill="auto"/>
          </w:tcPr>
          <w:p w:rsidR="00600C43" w:rsidRPr="00501EE0" w:rsidRDefault="00501EE0" w:rsidP="00501EE0">
            <w:pPr>
              <w:tabs>
                <w:tab w:val="right" w:pos="1080"/>
                <w:tab w:val="right" w:leader="dot" w:pos="9029"/>
              </w:tabs>
              <w:spacing w:after="120"/>
              <w:rPr>
                <w:spacing w:val="60"/>
                <w:sz w:val="17"/>
                <w:rtl/>
              </w:rPr>
            </w:pPr>
            <w:r>
              <w:rPr>
                <w:rtl/>
              </w:rPr>
              <w:tab/>
            </w:r>
            <w:r>
              <w:rPr>
                <w:rFonts w:hint="cs"/>
                <w:rtl/>
              </w:rPr>
              <w:t>الجزء الثاني</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27</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left" w:pos="2160"/>
                <w:tab w:val="left" w:pos="2592"/>
                <w:tab w:val="right" w:leader="dot" w:pos="9029"/>
              </w:tabs>
              <w:spacing w:after="120"/>
              <w:rPr>
                <w:spacing w:val="60"/>
                <w:sz w:val="17"/>
                <w:rtl/>
              </w:rPr>
            </w:pPr>
            <w:r>
              <w:rPr>
                <w:rFonts w:hint="cs"/>
                <w:rtl/>
              </w:rPr>
              <w:tab/>
            </w:r>
            <w:r>
              <w:rPr>
                <w:rtl/>
              </w:rPr>
              <w:tab/>
            </w:r>
            <w:r w:rsidRPr="00501EE0">
              <w:rPr>
                <w:rtl/>
              </w:rPr>
              <w:t>المادتين (7) و</w:t>
            </w:r>
            <w:r w:rsidRPr="00501EE0">
              <w:rPr>
                <w:rFonts w:hint="cs"/>
                <w:rtl/>
              </w:rPr>
              <w:t xml:space="preserve"> </w:t>
            </w:r>
            <w:r w:rsidRPr="00501EE0">
              <w:rPr>
                <w:rtl/>
              </w:rPr>
              <w:t>(8)</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27</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ab/>
            </w:r>
            <w:r w:rsidRPr="00501EE0">
              <w:rPr>
                <w:rtl/>
              </w:rPr>
              <w:t>المادة (</w:t>
            </w:r>
            <w:r w:rsidRPr="00501EE0">
              <w:rPr>
                <w:rFonts w:hint="cs"/>
                <w:rtl/>
              </w:rPr>
              <w:t>9</w:t>
            </w:r>
            <w:r w:rsidRPr="00501EE0">
              <w:rPr>
                <w:rtl/>
              </w:rPr>
              <w:t>)</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35</w:t>
            </w:r>
          </w:p>
        </w:tc>
      </w:tr>
      <w:tr w:rsidR="00600C43" w:rsidRPr="00600C43" w:rsidTr="00501EE0">
        <w:tc>
          <w:tcPr>
            <w:tcW w:w="9028" w:type="dxa"/>
            <w:gridSpan w:val="3"/>
            <w:shd w:val="clear" w:color="auto" w:fill="auto"/>
          </w:tcPr>
          <w:p w:rsidR="00600C43" w:rsidRPr="00501EE0" w:rsidRDefault="00501EE0" w:rsidP="00501EE0">
            <w:pPr>
              <w:tabs>
                <w:tab w:val="right" w:pos="1080"/>
                <w:tab w:val="right" w:leader="dot" w:pos="9029"/>
              </w:tabs>
              <w:spacing w:after="120"/>
              <w:rPr>
                <w:spacing w:val="60"/>
                <w:sz w:val="17"/>
                <w:rtl/>
              </w:rPr>
            </w:pPr>
            <w:r>
              <w:rPr>
                <w:rtl/>
              </w:rPr>
              <w:tab/>
            </w:r>
            <w:r>
              <w:rPr>
                <w:rFonts w:hint="cs"/>
                <w:rtl/>
              </w:rPr>
              <w:t>الجزء الثالث</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39</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ab/>
            </w:r>
            <w:r w:rsidRPr="00501EE0">
              <w:rPr>
                <w:rtl/>
              </w:rPr>
              <w:t>المادة (</w:t>
            </w:r>
            <w:r w:rsidRPr="00501EE0">
              <w:rPr>
                <w:rFonts w:hint="cs"/>
                <w:rtl/>
              </w:rPr>
              <w:t>10</w:t>
            </w:r>
            <w:r w:rsidRPr="00501EE0">
              <w:rPr>
                <w:rtl/>
              </w:rPr>
              <w:t>)</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39</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ab/>
            </w:r>
            <w:r w:rsidRPr="00501EE0">
              <w:rPr>
                <w:rtl/>
              </w:rPr>
              <w:t>المادة (</w:t>
            </w:r>
            <w:r w:rsidRPr="00501EE0">
              <w:rPr>
                <w:rFonts w:hint="cs"/>
                <w:rtl/>
              </w:rPr>
              <w:t>11</w:t>
            </w:r>
            <w:r w:rsidRPr="00501EE0">
              <w:rPr>
                <w:rtl/>
              </w:rPr>
              <w:t>)</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47</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ab/>
            </w:r>
            <w:r w:rsidRPr="00501EE0">
              <w:rPr>
                <w:rtl/>
              </w:rPr>
              <w:t>المادة (</w:t>
            </w:r>
            <w:r w:rsidRPr="00501EE0">
              <w:rPr>
                <w:rFonts w:hint="cs"/>
                <w:rtl/>
              </w:rPr>
              <w:t>12</w:t>
            </w:r>
            <w:r w:rsidRPr="00501EE0">
              <w:rPr>
                <w:rtl/>
              </w:rPr>
              <w:t>)</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56</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ab/>
            </w:r>
            <w:r w:rsidRPr="00501EE0">
              <w:rPr>
                <w:rtl/>
              </w:rPr>
              <w:t>المادة (</w:t>
            </w:r>
            <w:r w:rsidRPr="00501EE0">
              <w:rPr>
                <w:rFonts w:hint="cs"/>
                <w:rtl/>
              </w:rPr>
              <w:t>13</w:t>
            </w:r>
            <w:r w:rsidRPr="00501EE0">
              <w:rPr>
                <w:rtl/>
              </w:rPr>
              <w:t>)</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62</w:t>
            </w:r>
          </w:p>
        </w:tc>
      </w:tr>
      <w:tr w:rsidR="00600C43" w:rsidRPr="00600C43" w:rsidTr="00501EE0">
        <w:tc>
          <w:tcPr>
            <w:tcW w:w="9028" w:type="dxa"/>
            <w:gridSpan w:val="3"/>
            <w:shd w:val="clear" w:color="auto" w:fill="auto"/>
          </w:tcPr>
          <w:p w:rsidR="00600C43"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ab/>
            </w:r>
            <w:r w:rsidRPr="00501EE0">
              <w:rPr>
                <w:rtl/>
              </w:rPr>
              <w:t>المادة (</w:t>
            </w:r>
            <w:r w:rsidRPr="00501EE0">
              <w:rPr>
                <w:rFonts w:hint="cs"/>
                <w:rtl/>
              </w:rPr>
              <w:t>14</w:t>
            </w:r>
            <w:r w:rsidRPr="00501EE0">
              <w:rPr>
                <w:rtl/>
              </w:rPr>
              <w:t>)</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67</w:t>
            </w:r>
          </w:p>
        </w:tc>
      </w:tr>
      <w:tr w:rsidR="00600C43" w:rsidRPr="00600C43" w:rsidTr="00501EE0">
        <w:tc>
          <w:tcPr>
            <w:tcW w:w="9028" w:type="dxa"/>
            <w:gridSpan w:val="3"/>
            <w:shd w:val="clear" w:color="auto" w:fill="auto"/>
          </w:tcPr>
          <w:p w:rsidR="00600C43" w:rsidRPr="00501EE0" w:rsidRDefault="00501EE0" w:rsidP="00501EE0">
            <w:pPr>
              <w:tabs>
                <w:tab w:val="right" w:pos="1080"/>
                <w:tab w:val="right" w:leader="dot" w:pos="9029"/>
              </w:tabs>
              <w:spacing w:after="120"/>
              <w:rPr>
                <w:spacing w:val="60"/>
                <w:sz w:val="17"/>
                <w:rtl/>
              </w:rPr>
            </w:pPr>
            <w:r>
              <w:rPr>
                <w:rtl/>
              </w:rPr>
              <w:tab/>
            </w:r>
            <w:r>
              <w:rPr>
                <w:rFonts w:hint="cs"/>
                <w:rtl/>
              </w:rPr>
              <w:t>الجزء الرابع</w:t>
            </w:r>
            <w:r>
              <w:rPr>
                <w:spacing w:val="60"/>
                <w:sz w:val="17"/>
                <w:rtl/>
              </w:rPr>
              <w:tab/>
            </w:r>
          </w:p>
        </w:tc>
        <w:tc>
          <w:tcPr>
            <w:tcW w:w="806" w:type="dxa"/>
            <w:shd w:val="clear" w:color="auto" w:fill="auto"/>
            <w:vAlign w:val="bottom"/>
          </w:tcPr>
          <w:p w:rsidR="00600C43" w:rsidRPr="00600C43" w:rsidRDefault="00EC7A7E" w:rsidP="00501EE0">
            <w:pPr>
              <w:spacing w:after="120"/>
              <w:jc w:val="right"/>
              <w:rPr>
                <w:rtl/>
              </w:rPr>
            </w:pPr>
            <w:r>
              <w:rPr>
                <w:rFonts w:hint="cs"/>
                <w:rtl/>
              </w:rPr>
              <w:t>71</w:t>
            </w:r>
          </w:p>
        </w:tc>
      </w:tr>
      <w:tr w:rsidR="00501EE0" w:rsidRPr="00600C43" w:rsidTr="00501EE0">
        <w:tc>
          <w:tcPr>
            <w:tcW w:w="9028" w:type="dxa"/>
            <w:gridSpan w:val="3"/>
            <w:shd w:val="clear" w:color="auto" w:fill="auto"/>
          </w:tcPr>
          <w:p w:rsidR="00501EE0"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ab/>
            </w:r>
            <w:r w:rsidRPr="00501EE0">
              <w:rPr>
                <w:rtl/>
              </w:rPr>
              <w:t>المادة (</w:t>
            </w:r>
            <w:r w:rsidRPr="00501EE0">
              <w:rPr>
                <w:rFonts w:hint="cs"/>
                <w:rtl/>
              </w:rPr>
              <w:t>15</w:t>
            </w:r>
            <w:r w:rsidRPr="00501EE0">
              <w:rPr>
                <w:rtl/>
              </w:rPr>
              <w:t>)</w:t>
            </w:r>
            <w:r>
              <w:rPr>
                <w:spacing w:val="60"/>
                <w:sz w:val="17"/>
                <w:rtl/>
              </w:rPr>
              <w:tab/>
            </w:r>
          </w:p>
        </w:tc>
        <w:tc>
          <w:tcPr>
            <w:tcW w:w="806" w:type="dxa"/>
            <w:shd w:val="clear" w:color="auto" w:fill="auto"/>
            <w:vAlign w:val="bottom"/>
          </w:tcPr>
          <w:p w:rsidR="00501EE0" w:rsidRPr="00600C43" w:rsidRDefault="00EC7A7E" w:rsidP="00501EE0">
            <w:pPr>
              <w:spacing w:after="120"/>
              <w:jc w:val="right"/>
              <w:rPr>
                <w:rtl/>
              </w:rPr>
            </w:pPr>
            <w:r>
              <w:rPr>
                <w:rFonts w:hint="cs"/>
                <w:rtl/>
              </w:rPr>
              <w:t>71</w:t>
            </w:r>
          </w:p>
        </w:tc>
      </w:tr>
      <w:tr w:rsidR="00501EE0" w:rsidRPr="00600C43" w:rsidTr="00501EE0">
        <w:tc>
          <w:tcPr>
            <w:tcW w:w="9028" w:type="dxa"/>
            <w:gridSpan w:val="3"/>
            <w:shd w:val="clear" w:color="auto" w:fill="auto"/>
          </w:tcPr>
          <w:p w:rsidR="00501EE0" w:rsidRPr="00501EE0" w:rsidRDefault="00501EE0" w:rsidP="00501EE0">
            <w:pPr>
              <w:tabs>
                <w:tab w:val="right" w:pos="1080"/>
                <w:tab w:val="left" w:pos="1296"/>
                <w:tab w:val="left" w:pos="1728"/>
                <w:tab w:val="right" w:leader="dot" w:pos="9029"/>
              </w:tabs>
              <w:spacing w:after="120"/>
              <w:rPr>
                <w:spacing w:val="60"/>
                <w:sz w:val="17"/>
                <w:rtl/>
              </w:rPr>
            </w:pPr>
            <w:r>
              <w:rPr>
                <w:rFonts w:hint="cs"/>
                <w:rtl/>
              </w:rPr>
              <w:tab/>
            </w:r>
            <w:r>
              <w:rPr>
                <w:rtl/>
              </w:rPr>
              <w:tab/>
            </w:r>
            <w:r w:rsidRPr="00501EE0">
              <w:rPr>
                <w:rtl/>
              </w:rPr>
              <w:t>المادة (</w:t>
            </w:r>
            <w:r w:rsidRPr="00501EE0">
              <w:rPr>
                <w:rFonts w:hint="cs"/>
                <w:rtl/>
              </w:rPr>
              <w:t>16</w:t>
            </w:r>
            <w:r w:rsidRPr="00501EE0">
              <w:rPr>
                <w:rtl/>
              </w:rPr>
              <w:t>)</w:t>
            </w:r>
            <w:r>
              <w:rPr>
                <w:spacing w:val="60"/>
                <w:sz w:val="17"/>
                <w:rtl/>
              </w:rPr>
              <w:tab/>
            </w:r>
          </w:p>
        </w:tc>
        <w:tc>
          <w:tcPr>
            <w:tcW w:w="806" w:type="dxa"/>
            <w:shd w:val="clear" w:color="auto" w:fill="auto"/>
            <w:vAlign w:val="bottom"/>
          </w:tcPr>
          <w:p w:rsidR="00501EE0" w:rsidRPr="00600C43" w:rsidRDefault="00EC7A7E" w:rsidP="00501EE0">
            <w:pPr>
              <w:spacing w:after="120"/>
              <w:jc w:val="right"/>
              <w:rPr>
                <w:rtl/>
              </w:rPr>
            </w:pPr>
            <w:r>
              <w:rPr>
                <w:rFonts w:hint="cs"/>
                <w:rtl/>
              </w:rPr>
              <w:t>74</w:t>
            </w:r>
          </w:p>
        </w:tc>
      </w:tr>
      <w:tr w:rsidR="00600C43" w:rsidRPr="00600C43" w:rsidTr="00641D93">
        <w:tc>
          <w:tcPr>
            <w:tcW w:w="9028" w:type="dxa"/>
            <w:gridSpan w:val="3"/>
            <w:shd w:val="clear" w:color="auto" w:fill="auto"/>
          </w:tcPr>
          <w:p w:rsidR="00600C43" w:rsidRPr="00600C43" w:rsidRDefault="00600C43" w:rsidP="00600C43">
            <w:pPr>
              <w:spacing w:after="120"/>
              <w:rPr>
                <w:rtl/>
              </w:rPr>
            </w:pPr>
          </w:p>
        </w:tc>
        <w:tc>
          <w:tcPr>
            <w:tcW w:w="806" w:type="dxa"/>
            <w:shd w:val="clear" w:color="auto" w:fill="auto"/>
          </w:tcPr>
          <w:p w:rsidR="00600C43" w:rsidRPr="00600C43" w:rsidRDefault="00600C43" w:rsidP="00600C43">
            <w:pPr>
              <w:spacing w:after="120"/>
              <w:rPr>
                <w:rtl/>
              </w:rPr>
            </w:pPr>
          </w:p>
        </w:tc>
      </w:tr>
    </w:tbl>
    <w:p w:rsidR="00F32B28" w:rsidRPr="00600C43" w:rsidRDefault="00F32B28" w:rsidP="00600C43">
      <w:pPr>
        <w:rPr>
          <w:rtl/>
        </w:rPr>
      </w:pPr>
    </w:p>
    <w:p w:rsidR="00F32B28" w:rsidRPr="00F32B28" w:rsidRDefault="00F32B28" w:rsidP="0073062A">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rsidRPr="00F32B28">
        <w:rPr>
          <w:lang w:val="en-GB"/>
        </w:rPr>
        <w:br w:type="page"/>
      </w:r>
      <w:r w:rsidR="0073062A">
        <w:rPr>
          <w:rFonts w:hint="cs"/>
          <w:rtl/>
          <w:lang w:val="en-GB"/>
        </w:rPr>
        <w:lastRenderedPageBreak/>
        <w:tab/>
      </w:r>
      <w:r w:rsidRPr="00F32B28">
        <w:rPr>
          <w:rtl/>
        </w:rPr>
        <w:t>أولاً</w:t>
      </w:r>
      <w:r w:rsidR="0073062A">
        <w:rPr>
          <w:rFonts w:hint="cs"/>
          <w:rtl/>
        </w:rPr>
        <w:t xml:space="preserve"> </w:t>
      </w:r>
      <w:r w:rsidRPr="00F32B28">
        <w:rPr>
          <w:rtl/>
        </w:rPr>
        <w:t>-</w:t>
      </w:r>
      <w:r w:rsidR="0073062A">
        <w:rPr>
          <w:rFonts w:hint="cs"/>
          <w:rtl/>
        </w:rPr>
        <w:tab/>
      </w:r>
      <w:r w:rsidRPr="00F32B28">
        <w:rPr>
          <w:rtl/>
        </w:rPr>
        <w:t>مقدمة</w:t>
      </w:r>
    </w:p>
    <w:p w:rsidR="00F32B28" w:rsidRPr="00F32B28" w:rsidRDefault="0073062A" w:rsidP="00600C43">
      <w:pPr>
        <w:pStyle w:val="SingleTxt"/>
        <w:rPr>
          <w:rtl/>
          <w:lang w:bidi="ar-SY"/>
        </w:rPr>
      </w:pPr>
      <w:r>
        <w:rPr>
          <w:rFonts w:hint="cs"/>
          <w:rtl/>
        </w:rPr>
        <w:t>1 -</w:t>
      </w:r>
      <w:r>
        <w:rPr>
          <w:rFonts w:hint="cs"/>
          <w:rtl/>
        </w:rPr>
        <w:tab/>
      </w:r>
      <w:r w:rsidR="00F32B28" w:rsidRPr="00F32B28">
        <w:rPr>
          <w:rtl/>
        </w:rPr>
        <w:t>انضمت</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إلى</w:t>
      </w:r>
      <w:r w:rsidR="00F32B28">
        <w:rPr>
          <w:rtl/>
        </w:rPr>
        <w:t xml:space="preserve"> </w:t>
      </w:r>
      <w:r w:rsidR="00F32B28" w:rsidRPr="00F32B28">
        <w:rPr>
          <w:rtl/>
        </w:rPr>
        <w:t>اتفاقية</w:t>
      </w:r>
      <w:r w:rsidR="00F32B28">
        <w:rPr>
          <w:rtl/>
        </w:rPr>
        <w:t xml:space="preserve"> </w:t>
      </w:r>
      <w:r w:rsidR="00F32B28" w:rsidRPr="00F32B28">
        <w:rPr>
          <w:rtl/>
        </w:rPr>
        <w:t>القضاء</w:t>
      </w:r>
      <w:r w:rsidR="00F32B28">
        <w:rPr>
          <w:rtl/>
        </w:rPr>
        <w:t xml:space="preserve"> </w:t>
      </w:r>
      <w:r w:rsidR="00F32B28" w:rsidRPr="00F32B28">
        <w:rPr>
          <w:rtl/>
        </w:rPr>
        <w:t>على</w:t>
      </w:r>
      <w:r w:rsidR="00F32B28">
        <w:rPr>
          <w:rtl/>
        </w:rPr>
        <w:t xml:space="preserve"> </w:t>
      </w:r>
      <w:r w:rsidR="00F32B28" w:rsidRPr="00F32B28">
        <w:rPr>
          <w:rtl/>
        </w:rPr>
        <w:t>جميع</w:t>
      </w:r>
      <w:r w:rsidR="00F32B28">
        <w:rPr>
          <w:rtl/>
        </w:rPr>
        <w:t xml:space="preserve"> </w:t>
      </w:r>
      <w:r w:rsidR="00F32B28" w:rsidRPr="00F32B28">
        <w:rPr>
          <w:rtl/>
        </w:rPr>
        <w:t>أشكال</w:t>
      </w:r>
      <w:r w:rsidR="00F32B28">
        <w:rPr>
          <w:rtl/>
        </w:rPr>
        <w:t xml:space="preserve"> </w:t>
      </w:r>
      <w:r w:rsidR="00F32B28" w:rsidRPr="00F32B28">
        <w:rPr>
          <w:rtl/>
        </w:rPr>
        <w:t>التمييز</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الأول</w:t>
      </w:r>
      <w:r w:rsidR="00F32B28">
        <w:rPr>
          <w:rtl/>
        </w:rPr>
        <w:t xml:space="preserve"> </w:t>
      </w:r>
      <w:r w:rsidR="00F32B28" w:rsidRPr="00F32B28">
        <w:rPr>
          <w:rtl/>
        </w:rPr>
        <w:t>من</w:t>
      </w:r>
      <w:r w:rsidR="00F32B28">
        <w:rPr>
          <w:rtl/>
        </w:rPr>
        <w:t xml:space="preserve"> </w:t>
      </w:r>
      <w:r w:rsidR="00F32B28" w:rsidRPr="00F32B28">
        <w:rPr>
          <w:rtl/>
        </w:rPr>
        <w:t>نيسان/أبريل</w:t>
      </w:r>
      <w:r w:rsidR="00F32B28">
        <w:rPr>
          <w:rtl/>
        </w:rPr>
        <w:t xml:space="preserve"> </w:t>
      </w:r>
      <w:r w:rsidR="00F32B28" w:rsidRPr="00F32B28">
        <w:rPr>
          <w:rtl/>
        </w:rPr>
        <w:t>لعام</w:t>
      </w:r>
      <w:r w:rsidR="00F32B28">
        <w:rPr>
          <w:rtl/>
        </w:rPr>
        <w:t xml:space="preserve"> </w:t>
      </w:r>
      <w:r w:rsidR="00F32B28" w:rsidRPr="00F32B28">
        <w:rPr>
          <w:rtl/>
        </w:rPr>
        <w:t>2014</w:t>
      </w:r>
      <w:r w:rsidR="00F32B28">
        <w:rPr>
          <w:rtl/>
        </w:rPr>
        <w:t xml:space="preserve"> </w:t>
      </w:r>
      <w:r w:rsidR="00F32B28" w:rsidRPr="00F32B28">
        <w:rPr>
          <w:rtl/>
          <w:lang w:bidi="ar-SY"/>
        </w:rPr>
        <w:t>دون</w:t>
      </w:r>
      <w:r w:rsidR="00F32B28">
        <w:rPr>
          <w:rtl/>
          <w:lang w:bidi="ar-SY"/>
        </w:rPr>
        <w:t xml:space="preserve"> </w:t>
      </w:r>
      <w:r w:rsidR="00F32B28" w:rsidRPr="00F32B28">
        <w:rPr>
          <w:rtl/>
          <w:lang w:bidi="ar-SY"/>
        </w:rPr>
        <w:t>إيراد</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التحفظات</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موادها.</w:t>
      </w:r>
      <w:r w:rsidR="00F32B28">
        <w:rPr>
          <w:rtl/>
          <w:lang w:bidi="ar-SY"/>
        </w:rPr>
        <w:t xml:space="preserve"> </w:t>
      </w:r>
      <w:r w:rsidR="00F32B28" w:rsidRPr="00F32B28">
        <w:rPr>
          <w:rtl/>
          <w:lang w:bidi="ar-SY"/>
        </w:rPr>
        <w:t>ويأتي</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التقرير،</w:t>
      </w:r>
      <w:r w:rsidR="00F32B28">
        <w:rPr>
          <w:rtl/>
          <w:lang w:bidi="ar-SY"/>
        </w:rPr>
        <w:t xml:space="preserve"> </w:t>
      </w:r>
      <w:r w:rsidR="00F32B28" w:rsidRPr="00F32B28">
        <w:rPr>
          <w:rtl/>
          <w:lang w:bidi="ar-SY"/>
        </w:rPr>
        <w:t>وهو</w:t>
      </w:r>
      <w:r w:rsidR="00F32B28">
        <w:rPr>
          <w:rtl/>
          <w:lang w:bidi="ar-SY"/>
        </w:rPr>
        <w:t xml:space="preserve"> </w:t>
      </w:r>
      <w:r w:rsidR="00F32B28" w:rsidRPr="00F32B28">
        <w:rPr>
          <w:rtl/>
          <w:lang w:bidi="ar-SY"/>
        </w:rPr>
        <w:t>التقرير</w:t>
      </w:r>
      <w:r w:rsidR="00F32B28">
        <w:rPr>
          <w:rtl/>
          <w:lang w:bidi="ar-SY"/>
        </w:rPr>
        <w:t xml:space="preserve"> </w:t>
      </w:r>
      <w:r w:rsidR="00F32B28" w:rsidRPr="00F32B28">
        <w:rPr>
          <w:rtl/>
          <w:lang w:bidi="ar-SY"/>
        </w:rPr>
        <w:t>الرسمي</w:t>
      </w:r>
      <w:r w:rsidR="00F32B28">
        <w:rPr>
          <w:rtl/>
          <w:lang w:bidi="ar-SY"/>
        </w:rPr>
        <w:t xml:space="preserve"> </w:t>
      </w:r>
      <w:r w:rsidR="00F32B28" w:rsidRPr="00F32B28">
        <w:rPr>
          <w:rtl/>
          <w:lang w:bidi="ar-SY"/>
        </w:rPr>
        <w:t>الأولي</w:t>
      </w:r>
      <w:r w:rsidR="00F32B28">
        <w:rPr>
          <w:rtl/>
          <w:lang w:bidi="ar-SY"/>
        </w:rPr>
        <w:t xml:space="preserve"> </w:t>
      </w:r>
      <w:r w:rsidR="00F32B28" w:rsidRPr="00F32B28">
        <w:rPr>
          <w:rtl/>
          <w:lang w:bidi="ar-SY"/>
        </w:rPr>
        <w:t>لدولة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استجابةً</w:t>
      </w:r>
      <w:r w:rsidR="00F32B28">
        <w:rPr>
          <w:rtl/>
          <w:lang w:bidi="ar-SY"/>
        </w:rPr>
        <w:t xml:space="preserve"> </w:t>
      </w:r>
      <w:r w:rsidR="00F32B28" w:rsidRPr="00F32B28">
        <w:rPr>
          <w:rtl/>
          <w:lang w:bidi="ar-SY"/>
        </w:rPr>
        <w:t>لالتزاماتها</w:t>
      </w:r>
      <w:r w:rsidR="00F32B28">
        <w:rPr>
          <w:rtl/>
          <w:lang w:bidi="ar-SY"/>
        </w:rPr>
        <w:t xml:space="preserve"> </w:t>
      </w:r>
      <w:r w:rsidR="00F32B28" w:rsidRPr="00F32B28">
        <w:rPr>
          <w:rtl/>
          <w:lang w:bidi="ar-SY"/>
        </w:rPr>
        <w:t>المترتبة</w:t>
      </w:r>
      <w:r w:rsidR="00F32B28">
        <w:rPr>
          <w:rtl/>
          <w:lang w:bidi="ar-SY"/>
        </w:rPr>
        <w:t xml:space="preserve"> </w:t>
      </w:r>
      <w:r w:rsidR="00F32B28" w:rsidRPr="00F32B28">
        <w:rPr>
          <w:rtl/>
          <w:lang w:bidi="ar-SY"/>
        </w:rPr>
        <w:t>بموجب</w:t>
      </w:r>
      <w:r w:rsidR="00F32B28">
        <w:rPr>
          <w:rtl/>
          <w:lang w:bidi="ar-SY"/>
        </w:rPr>
        <w:t xml:space="preserve"> </w:t>
      </w:r>
      <w:r w:rsidR="00F32B28" w:rsidRPr="00F32B28">
        <w:rPr>
          <w:rtl/>
          <w:lang w:bidi="ar-SY"/>
        </w:rPr>
        <w:t>المادة</w:t>
      </w:r>
      <w:r w:rsidR="00F32B28">
        <w:rPr>
          <w:rtl/>
          <w:lang w:bidi="ar-SY"/>
        </w:rPr>
        <w:t xml:space="preserve"> </w:t>
      </w:r>
      <w:r w:rsidR="00F32B28" w:rsidRPr="00F32B28">
        <w:rPr>
          <w:rtl/>
          <w:lang w:bidi="ar-SY"/>
        </w:rPr>
        <w:t>18</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الاتفاقية.</w:t>
      </w:r>
      <w:r w:rsidR="00F32B28">
        <w:rPr>
          <w:rtl/>
          <w:lang w:bidi="ar-SY"/>
        </w:rPr>
        <w:t xml:space="preserve"> </w:t>
      </w:r>
      <w:r w:rsidR="00F32B28" w:rsidRPr="00F32B28">
        <w:rPr>
          <w:rtl/>
          <w:lang w:bidi="ar-SY"/>
        </w:rPr>
        <w:t>ويبين</w:t>
      </w:r>
      <w:r w:rsidR="00F32B28">
        <w:rPr>
          <w:rtl/>
          <w:lang w:bidi="ar-SY"/>
        </w:rPr>
        <w:t xml:space="preserve"> </w:t>
      </w:r>
      <w:r w:rsidR="00F32B28" w:rsidRPr="00F32B28">
        <w:rPr>
          <w:rtl/>
          <w:lang w:bidi="ar-SY"/>
        </w:rPr>
        <w:t>التقرير</w:t>
      </w:r>
      <w:r w:rsidR="00F32B28">
        <w:rPr>
          <w:rtl/>
          <w:lang w:bidi="ar-SY"/>
        </w:rPr>
        <w:t xml:space="preserve"> </w:t>
      </w:r>
      <w:r w:rsidR="00F32B28" w:rsidRPr="00F32B28">
        <w:rPr>
          <w:rtl/>
          <w:lang w:bidi="ar-SY"/>
        </w:rPr>
        <w:t>الصورة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والتفصيلية</w:t>
      </w:r>
      <w:r w:rsidR="00F32B28">
        <w:rPr>
          <w:rtl/>
          <w:lang w:bidi="ar-SY"/>
        </w:rPr>
        <w:t xml:space="preserve"> </w:t>
      </w:r>
      <w:r w:rsidR="00F32B28" w:rsidRPr="00F32B28">
        <w:rPr>
          <w:rtl/>
          <w:lang w:bidi="ar-SY"/>
        </w:rPr>
        <w:t>للأحكام</w:t>
      </w:r>
      <w:r w:rsidR="00F32B28">
        <w:rPr>
          <w:rtl/>
          <w:lang w:bidi="ar-SY"/>
        </w:rPr>
        <w:t xml:space="preserve"> </w:t>
      </w:r>
      <w:r w:rsidR="00F32B28" w:rsidRPr="00F32B28">
        <w:rPr>
          <w:rtl/>
          <w:lang w:bidi="ar-SY"/>
        </w:rPr>
        <w:t>التشريعية</w:t>
      </w:r>
      <w:r w:rsidR="00F32B28">
        <w:rPr>
          <w:rtl/>
          <w:lang w:bidi="ar-SY"/>
        </w:rPr>
        <w:t xml:space="preserve"> </w:t>
      </w:r>
      <w:r w:rsidR="00F32B28" w:rsidRPr="00F32B28">
        <w:rPr>
          <w:rtl/>
          <w:lang w:bidi="ar-SY"/>
        </w:rPr>
        <w:t>و</w:t>
      </w:r>
      <w:r w:rsidR="00F32B28" w:rsidRPr="00F32B28">
        <w:rPr>
          <w:rtl/>
        </w:rPr>
        <w:t>التدابير</w:t>
      </w:r>
      <w:r w:rsidR="00F32B28">
        <w:rPr>
          <w:rtl/>
        </w:rPr>
        <w:t xml:space="preserve"> </w:t>
      </w:r>
      <w:r w:rsidR="00F32B28" w:rsidRPr="00F32B28">
        <w:rPr>
          <w:rtl/>
          <w:lang w:bidi="ar-SY"/>
        </w:rPr>
        <w:t>التنظيمية</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المتعلقة</w:t>
      </w:r>
      <w:r w:rsidR="00F32B28">
        <w:rPr>
          <w:rtl/>
          <w:lang w:bidi="ar-SY"/>
        </w:rPr>
        <w:t xml:space="preserve"> </w:t>
      </w:r>
      <w:r w:rsidR="00F32B28" w:rsidRPr="00F32B28">
        <w:rPr>
          <w:rtl/>
          <w:lang w:bidi="ar-SY"/>
        </w:rPr>
        <w:t>بإنفاذ</w:t>
      </w:r>
      <w:r w:rsidR="00F32B28">
        <w:rPr>
          <w:rtl/>
          <w:lang w:bidi="ar-SY"/>
        </w:rPr>
        <w:t xml:space="preserve"> </w:t>
      </w:r>
      <w:r w:rsidR="00F32B28" w:rsidRPr="00F32B28">
        <w:rPr>
          <w:rtl/>
          <w:lang w:bidi="ar-SY"/>
        </w:rPr>
        <w:t>أحكام</w:t>
      </w:r>
      <w:r w:rsidR="00F32B28">
        <w:rPr>
          <w:rtl/>
          <w:lang w:bidi="ar-SY"/>
        </w:rPr>
        <w:t xml:space="preserve"> </w:t>
      </w:r>
      <w:r w:rsidR="00F32B28" w:rsidRPr="00F32B28">
        <w:rPr>
          <w:rtl/>
          <w:lang w:bidi="ar-SY"/>
        </w:rPr>
        <w:t>الاتفاقية</w:t>
      </w:r>
      <w:r w:rsidR="00F32B28">
        <w:rPr>
          <w:rtl/>
          <w:lang w:bidi="ar-SY"/>
        </w:rPr>
        <w:t xml:space="preserve"> </w:t>
      </w:r>
      <w:r w:rsidR="00F32B28" w:rsidRPr="00F32B28">
        <w:rPr>
          <w:rtl/>
          <w:lang w:bidi="ar-SY"/>
        </w:rPr>
        <w:t>وانعكاسها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والفتيات</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ويتضمن</w:t>
      </w:r>
      <w:r w:rsidR="00F32B28">
        <w:rPr>
          <w:rtl/>
          <w:lang w:bidi="ar-SY"/>
        </w:rPr>
        <w:t xml:space="preserve"> </w:t>
      </w:r>
      <w:r w:rsidR="00F32B28" w:rsidRPr="00F32B28">
        <w:rPr>
          <w:rtl/>
          <w:lang w:bidi="ar-SY"/>
        </w:rPr>
        <w:t>التقرير</w:t>
      </w:r>
      <w:r w:rsidR="00F32B28">
        <w:rPr>
          <w:rtl/>
          <w:lang w:bidi="ar-SY"/>
        </w:rPr>
        <w:t xml:space="preserve"> </w:t>
      </w:r>
      <w:r w:rsidR="00F32B28" w:rsidRPr="00F32B28">
        <w:rPr>
          <w:rtl/>
          <w:lang w:bidi="ar-SY"/>
        </w:rPr>
        <w:t>بيانات</w:t>
      </w:r>
      <w:r w:rsidR="00F32B28">
        <w:rPr>
          <w:rtl/>
          <w:lang w:bidi="ar-SY"/>
        </w:rPr>
        <w:t xml:space="preserve"> </w:t>
      </w:r>
      <w:r w:rsidR="00F32B28" w:rsidRPr="00F32B28">
        <w:rPr>
          <w:rtl/>
          <w:lang w:bidi="ar-SY"/>
        </w:rPr>
        <w:t>ومعلومات</w:t>
      </w:r>
      <w:r w:rsidR="00F32B28">
        <w:rPr>
          <w:rtl/>
          <w:lang w:bidi="ar-SY"/>
        </w:rPr>
        <w:t xml:space="preserve"> </w:t>
      </w:r>
      <w:r w:rsidR="00F32B28" w:rsidRPr="00F32B28">
        <w:rPr>
          <w:rtl/>
          <w:lang w:bidi="ar-SY"/>
        </w:rPr>
        <w:t>تتعلق</w:t>
      </w:r>
      <w:r w:rsidR="00F32B28">
        <w:rPr>
          <w:rtl/>
          <w:lang w:bidi="ar-SY"/>
        </w:rPr>
        <w:t xml:space="preserve"> </w:t>
      </w:r>
      <w:r w:rsidR="00F32B28" w:rsidRPr="00F32B28">
        <w:rPr>
          <w:rtl/>
          <w:lang w:bidi="ar-SY"/>
        </w:rPr>
        <w:t>بتطور</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الجاري</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الصعيد</w:t>
      </w:r>
      <w:r w:rsidR="00F32B28">
        <w:rPr>
          <w:rtl/>
          <w:lang w:bidi="ar-SY"/>
        </w:rPr>
        <w:t xml:space="preserve"> </w:t>
      </w:r>
      <w:r w:rsidR="00F32B28" w:rsidRPr="00F32B28">
        <w:rPr>
          <w:rtl/>
          <w:lang w:bidi="ar-SY"/>
        </w:rPr>
        <w:t>الوطني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سبيل</w:t>
      </w:r>
      <w:r w:rsidR="00F32B28">
        <w:rPr>
          <w:rFonts w:hint="cs"/>
          <w:rtl/>
          <w:lang w:bidi="ar-SY"/>
        </w:rPr>
        <w:t xml:space="preserve"> </w:t>
      </w:r>
      <w:r w:rsidR="00F32B28" w:rsidRPr="00F32B28">
        <w:rPr>
          <w:rFonts w:hint="cs"/>
          <w:rtl/>
          <w:lang w:bidi="ar-SY"/>
        </w:rPr>
        <w:t>إعمال</w:t>
      </w:r>
      <w:r w:rsidR="00F32B28">
        <w:rPr>
          <w:rFonts w:hint="cs"/>
          <w:rtl/>
          <w:lang w:bidi="ar-SY"/>
        </w:rPr>
        <w:t xml:space="preserve"> </w:t>
      </w:r>
      <w:r w:rsidR="00F32B28" w:rsidRPr="00F32B28">
        <w:rPr>
          <w:rFonts w:hint="cs"/>
          <w:rtl/>
          <w:lang w:bidi="ar-SY"/>
        </w:rPr>
        <w:t>الحقوق</w:t>
      </w:r>
      <w:r w:rsidR="00F32B28">
        <w:rPr>
          <w:rFonts w:hint="cs"/>
          <w:rtl/>
          <w:lang w:bidi="ar-SY"/>
        </w:rPr>
        <w:t xml:space="preserve"> </w:t>
      </w:r>
      <w:r w:rsidR="00F32B28" w:rsidRPr="00F32B28">
        <w:rPr>
          <w:rFonts w:hint="cs"/>
          <w:rtl/>
          <w:lang w:bidi="ar-SY"/>
        </w:rPr>
        <w:t>المنصوص</w:t>
      </w:r>
      <w:r w:rsidR="00F32B28">
        <w:rPr>
          <w:rFonts w:hint="cs"/>
          <w:rtl/>
          <w:lang w:bidi="ar-SY"/>
        </w:rPr>
        <w:t xml:space="preserve"> </w:t>
      </w:r>
      <w:r w:rsidR="00F32B28" w:rsidRPr="00F32B28">
        <w:rPr>
          <w:rFonts w:hint="cs"/>
          <w:rtl/>
          <w:lang w:bidi="ar-SY"/>
        </w:rPr>
        <w:t>عليها</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الاتفاقية</w:t>
      </w:r>
      <w:r>
        <w:rPr>
          <w:rFonts w:hint="cs"/>
          <w:rtl/>
          <w:lang w:bidi="ar-SY"/>
        </w:rPr>
        <w:t xml:space="preserve"> </w:t>
      </w:r>
      <w:r w:rsidR="00F32B28" w:rsidRPr="00F32B28">
        <w:rPr>
          <w:rFonts w:hint="cs"/>
          <w:rtl/>
          <w:lang w:bidi="ar-SY"/>
        </w:rPr>
        <w:t>و</w:t>
      </w:r>
      <w:r w:rsidR="00F32B28" w:rsidRPr="00F32B28">
        <w:rPr>
          <w:rtl/>
          <w:lang w:bidi="ar-SY"/>
        </w:rPr>
        <w:t>تحقيق</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والفعلية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والرجال.</w:t>
      </w:r>
      <w:r>
        <w:rPr>
          <w:rFonts w:hint="cs"/>
          <w:rtl/>
          <w:lang w:bidi="ar-SY"/>
        </w:rPr>
        <w:t xml:space="preserve"> </w:t>
      </w:r>
      <w:r w:rsidR="00F32B28" w:rsidRPr="00F32B28">
        <w:rPr>
          <w:rtl/>
          <w:lang w:bidi="ar-SY"/>
        </w:rPr>
        <w:t>كما</w:t>
      </w:r>
      <w:r w:rsidR="00F32B28">
        <w:rPr>
          <w:rtl/>
          <w:lang w:bidi="ar-SY"/>
        </w:rPr>
        <w:t xml:space="preserve"> </w:t>
      </w:r>
      <w:r w:rsidR="00F32B28" w:rsidRPr="00F32B28">
        <w:rPr>
          <w:rtl/>
          <w:lang w:bidi="ar-SY"/>
        </w:rPr>
        <w:t>يعرض</w:t>
      </w:r>
      <w:r w:rsidR="00F32B28">
        <w:rPr>
          <w:rtl/>
          <w:lang w:bidi="ar-SY"/>
        </w:rPr>
        <w:t xml:space="preserve"> </w:t>
      </w:r>
      <w:r w:rsidR="00F32B28" w:rsidRPr="00F32B28">
        <w:rPr>
          <w:rtl/>
          <w:lang w:bidi="ar-SY"/>
        </w:rPr>
        <w:t>التحديات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تواجهها</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معرض</w:t>
      </w:r>
      <w:r w:rsidR="00F32B28">
        <w:rPr>
          <w:rtl/>
          <w:lang w:bidi="ar-SY"/>
        </w:rPr>
        <w:t xml:space="preserve"> </w:t>
      </w:r>
      <w:r w:rsidR="00F32B28" w:rsidRPr="00F32B28">
        <w:rPr>
          <w:rtl/>
          <w:lang w:bidi="ar-SY"/>
        </w:rPr>
        <w:t>تنفيذ</w:t>
      </w:r>
      <w:r w:rsidR="00F32B28">
        <w:rPr>
          <w:rtl/>
          <w:lang w:bidi="ar-SY"/>
        </w:rPr>
        <w:t xml:space="preserve"> </w:t>
      </w:r>
      <w:r w:rsidR="00F32B28" w:rsidRPr="00F32B28">
        <w:rPr>
          <w:rtl/>
          <w:lang w:bidi="ar-SY"/>
        </w:rPr>
        <w:t>الاتفاقية،</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يبين</w:t>
      </w:r>
      <w:r w:rsidR="00F32B28">
        <w:rPr>
          <w:rtl/>
          <w:lang w:bidi="ar-SY"/>
        </w:rPr>
        <w:t xml:space="preserve"> </w:t>
      </w:r>
      <w:r w:rsidR="00F32B28" w:rsidRPr="00F32B28">
        <w:rPr>
          <w:rtl/>
          <w:lang w:bidi="ar-SY"/>
        </w:rPr>
        <w:t>وضع</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ظل</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Fonts w:hint="cs"/>
          <w:rtl/>
          <w:lang w:bidi="ar-EG"/>
        </w:rPr>
        <w:t>الاستعماري</w:t>
      </w:r>
      <w:r w:rsidR="00F32B28">
        <w:rPr>
          <w:rFonts w:hint="cs"/>
          <w:rtl/>
          <w:lang w:bidi="ar-EG"/>
        </w:rPr>
        <w:t xml:space="preserve"> </w:t>
      </w:r>
      <w:r w:rsidR="00F32B28" w:rsidRPr="00F32B28">
        <w:rPr>
          <w:rtl/>
          <w:lang w:bidi="ar-SY"/>
        </w:rPr>
        <w:t>والآثار</w:t>
      </w:r>
      <w:r w:rsidR="00F32B28">
        <w:rPr>
          <w:rtl/>
          <w:lang w:bidi="ar-SY"/>
        </w:rPr>
        <w:t xml:space="preserve"> </w:t>
      </w:r>
      <w:r w:rsidR="00F32B28" w:rsidRPr="00F32B28">
        <w:rPr>
          <w:rtl/>
          <w:lang w:bidi="ar-SY"/>
        </w:rPr>
        <w:t>المترتبة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السياسيات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تأتي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سياق</w:t>
      </w:r>
      <w:r w:rsidR="00F32B28">
        <w:rPr>
          <w:rtl/>
          <w:lang w:bidi="ar-SY"/>
        </w:rPr>
        <w:t xml:space="preserve"> </w:t>
      </w:r>
      <w:r w:rsidR="00F32B28" w:rsidRPr="00F32B28">
        <w:rPr>
          <w:rtl/>
          <w:lang w:bidi="ar-SY"/>
        </w:rPr>
        <w:t>نظام</w:t>
      </w:r>
      <w:r w:rsidR="00F32B28">
        <w:rPr>
          <w:rtl/>
          <w:lang w:bidi="ar-SY"/>
        </w:rPr>
        <w:t xml:space="preserve"> </w:t>
      </w:r>
      <w:r w:rsidR="00F32B28" w:rsidRPr="00F32B28">
        <w:rPr>
          <w:rtl/>
          <w:lang w:bidi="ar-SY"/>
        </w:rPr>
        <w:t>مؤسسي</w:t>
      </w:r>
      <w:r w:rsidR="00F32B28">
        <w:rPr>
          <w:rtl/>
          <w:lang w:bidi="ar-SY"/>
        </w:rPr>
        <w:t xml:space="preserve"> </w:t>
      </w:r>
      <w:r w:rsidR="00F32B28" w:rsidRPr="00F32B28">
        <w:rPr>
          <w:rtl/>
          <w:lang w:bidi="ar-SY"/>
        </w:rPr>
        <w:t>رسمي</w:t>
      </w:r>
      <w:r w:rsidR="00F32B28">
        <w:rPr>
          <w:rtl/>
          <w:lang w:bidi="ar-SY"/>
        </w:rPr>
        <w:t xml:space="preserve"> </w:t>
      </w:r>
      <w:r w:rsidR="00F32B28" w:rsidRPr="00F32B28">
        <w:rPr>
          <w:rtl/>
          <w:lang w:bidi="ar-SY"/>
        </w:rPr>
        <w:t>قوامه</w:t>
      </w:r>
      <w:r w:rsidR="00F32B28">
        <w:rPr>
          <w:rtl/>
          <w:lang w:bidi="ar-SY"/>
        </w:rPr>
        <w:t xml:space="preserve"> </w:t>
      </w:r>
      <w:r w:rsidR="00F32B28" w:rsidRPr="00F32B28">
        <w:rPr>
          <w:rtl/>
          <w:lang w:bidi="ar-SY"/>
        </w:rPr>
        <w:t>الاستيطان</w:t>
      </w:r>
      <w:r w:rsidR="00F32B28">
        <w:rPr>
          <w:rtl/>
          <w:lang w:bidi="ar-SY"/>
        </w:rPr>
        <w:t xml:space="preserve"> </w:t>
      </w:r>
      <w:r w:rsidR="00F32B28" w:rsidRPr="00F32B28">
        <w:rPr>
          <w:rtl/>
          <w:lang w:bidi="ar-SY"/>
        </w:rPr>
        <w:t>والاضطهاد</w:t>
      </w:r>
      <w:r w:rsidR="00F32B28">
        <w:rPr>
          <w:rtl/>
          <w:lang w:bidi="ar-SY"/>
        </w:rPr>
        <w:t xml:space="preserve"> </w:t>
      </w:r>
      <w:r w:rsidR="00F32B28" w:rsidRPr="00F32B28">
        <w:rPr>
          <w:rtl/>
          <w:lang w:bidi="ar-SY"/>
        </w:rPr>
        <w:t>المنهجي</w:t>
      </w:r>
      <w:r w:rsidR="00F32B28">
        <w:rPr>
          <w:rtl/>
          <w:lang w:bidi="ar-SY"/>
        </w:rPr>
        <w:t xml:space="preserve"> </w:t>
      </w:r>
      <w:r w:rsidR="00F32B28" w:rsidRPr="00F32B28">
        <w:rPr>
          <w:rFonts w:hint="cs"/>
          <w:rtl/>
          <w:lang w:bidi="ar-SY"/>
        </w:rPr>
        <w:t>والتمييز</w:t>
      </w:r>
      <w:r w:rsidR="00F32B28">
        <w:rPr>
          <w:rFonts w:hint="cs"/>
          <w:rtl/>
          <w:lang w:bidi="ar-SY"/>
        </w:rPr>
        <w:t xml:space="preserve"> </w:t>
      </w:r>
      <w:r w:rsidR="00F32B28" w:rsidRPr="00F32B28">
        <w:rPr>
          <w:rtl/>
          <w:lang w:bidi="ar-SY"/>
        </w:rPr>
        <w:t>وما</w:t>
      </w:r>
      <w:r w:rsidR="00F32B28">
        <w:rPr>
          <w:rtl/>
          <w:lang w:bidi="ar-SY"/>
        </w:rPr>
        <w:t xml:space="preserve"> </w:t>
      </w:r>
      <w:r w:rsidR="00F32B28" w:rsidRPr="00F32B28">
        <w:rPr>
          <w:rtl/>
          <w:lang w:bidi="ar-SY"/>
        </w:rPr>
        <w:t>يرتبط</w:t>
      </w:r>
      <w:r w:rsidR="00F32B28">
        <w:rPr>
          <w:rtl/>
          <w:lang w:bidi="ar-SY"/>
        </w:rPr>
        <w:t xml:space="preserve"> </w:t>
      </w:r>
      <w:r w:rsidR="00F32B28" w:rsidRPr="00F32B28">
        <w:rPr>
          <w:rtl/>
          <w:lang w:bidi="ar-SY"/>
        </w:rPr>
        <w:t>به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جرائم</w:t>
      </w:r>
      <w:r w:rsidR="00F32B28">
        <w:rPr>
          <w:rtl/>
          <w:lang w:bidi="ar-SY"/>
        </w:rPr>
        <w:t xml:space="preserve"> </w:t>
      </w:r>
      <w:r w:rsidR="00F32B28" w:rsidRPr="00F32B28">
        <w:rPr>
          <w:rtl/>
          <w:lang w:bidi="ar-SY"/>
        </w:rPr>
        <w:t>وانتهاكات</w:t>
      </w:r>
      <w:r w:rsidR="00F32B28">
        <w:rPr>
          <w:rtl/>
          <w:lang w:bidi="ar-SY"/>
        </w:rPr>
        <w:t xml:space="preserve"> </w:t>
      </w:r>
      <w:r w:rsidR="00F32B28" w:rsidRPr="00F32B28">
        <w:rPr>
          <w:rtl/>
          <w:lang w:bidi="ar-SY"/>
        </w:rPr>
        <w:t>منهجية</w:t>
      </w:r>
      <w:r w:rsidR="00F32B28">
        <w:rPr>
          <w:rtl/>
          <w:lang w:bidi="ar-SY"/>
        </w:rPr>
        <w:t xml:space="preserve"> </w:t>
      </w:r>
      <w:r w:rsidR="00F32B28" w:rsidRPr="00F32B28">
        <w:rPr>
          <w:rtl/>
          <w:lang w:bidi="ar-SY"/>
        </w:rPr>
        <w:t>وواسعة</w:t>
      </w:r>
      <w:r w:rsidR="00F32B28">
        <w:rPr>
          <w:rtl/>
          <w:lang w:bidi="ar-SY"/>
        </w:rPr>
        <w:t xml:space="preserve"> </w:t>
      </w:r>
      <w:r w:rsidR="00F32B28" w:rsidRPr="00F32B28">
        <w:rPr>
          <w:rtl/>
          <w:lang w:bidi="ar-SY"/>
        </w:rPr>
        <w:t>النطاق</w:t>
      </w:r>
      <w:r w:rsidR="00F32B28">
        <w:rPr>
          <w:rtl/>
          <w:lang w:bidi="ar-SY"/>
        </w:rPr>
        <w:t xml:space="preserve"> </w:t>
      </w:r>
      <w:r w:rsidR="00F32B28" w:rsidRPr="00F32B28">
        <w:rPr>
          <w:rtl/>
          <w:lang w:bidi="ar-SY"/>
        </w:rPr>
        <w:t>تمعن</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المستويات</w:t>
      </w:r>
      <w:r w:rsidR="00F32B28">
        <w:rPr>
          <w:rtl/>
          <w:lang w:bidi="ar-SY"/>
        </w:rPr>
        <w:t xml:space="preserve"> </w:t>
      </w:r>
      <w:r w:rsidR="00F32B28" w:rsidRPr="00F32B28">
        <w:rPr>
          <w:rtl/>
          <w:lang w:bidi="ar-SY"/>
        </w:rPr>
        <w:t>السياسية</w:t>
      </w:r>
      <w:r w:rsidR="00F32B28">
        <w:rPr>
          <w:rtl/>
          <w:lang w:bidi="ar-SY"/>
        </w:rPr>
        <w:t xml:space="preserve"> </w:t>
      </w:r>
      <w:r w:rsidR="00F32B28" w:rsidRPr="00F32B28">
        <w:rPr>
          <w:rtl/>
          <w:lang w:bidi="ar-SY"/>
        </w:rPr>
        <w:t>والعسكرية</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جيش</w:t>
      </w:r>
      <w:r w:rsidR="00F32B28">
        <w:rPr>
          <w:rtl/>
          <w:lang w:bidi="ar-JO"/>
        </w:rPr>
        <w:t xml:space="preserve"> </w:t>
      </w:r>
      <w:r w:rsidR="00F32B28" w:rsidRPr="00F32B28">
        <w:rPr>
          <w:rtl/>
          <w:lang w:bidi="ar-JO"/>
        </w:rPr>
        <w:t>الاحتلال</w:t>
      </w:r>
      <w:r w:rsidR="00F32B28">
        <w:rPr>
          <w:rtl/>
          <w:lang w:bidi="ar-JO"/>
        </w:rPr>
        <w:t xml:space="preserve"> </w:t>
      </w:r>
      <w:r w:rsidR="00F32B28" w:rsidRPr="00F32B28">
        <w:rPr>
          <w:rtl/>
          <w:lang w:bidi="ar-JO"/>
        </w:rPr>
        <w:t>الإسرائيلي،</w:t>
      </w:r>
      <w:r w:rsidR="00F32B28" w:rsidRPr="00F32B28">
        <w:rPr>
          <w:rtl/>
          <w:lang w:bidi="ar-SY"/>
        </w:rPr>
        <w:t>وكذلك</w:t>
      </w:r>
      <w:r w:rsidR="00F32B28">
        <w:rPr>
          <w:rtl/>
          <w:lang w:bidi="ar-SY"/>
        </w:rPr>
        <w:t xml:space="preserve"> </w:t>
      </w:r>
      <w:r w:rsidR="00F32B28" w:rsidRPr="00F32B28">
        <w:rPr>
          <w:rtl/>
          <w:lang w:bidi="ar-SY"/>
        </w:rPr>
        <w:t>مليشيات</w:t>
      </w:r>
      <w:r w:rsidR="00F32B28">
        <w:rPr>
          <w:rtl/>
          <w:lang w:bidi="ar-SY"/>
        </w:rPr>
        <w:t xml:space="preserve"> </w:t>
      </w:r>
      <w:r w:rsidR="00F32B28" w:rsidRPr="00F32B28">
        <w:rPr>
          <w:rtl/>
          <w:lang w:bidi="ar-SY"/>
        </w:rPr>
        <w:t>المستوطنين</w:t>
      </w:r>
      <w:r w:rsidR="00F32B28">
        <w:rPr>
          <w:rtl/>
          <w:lang w:bidi="ar-SY"/>
        </w:rPr>
        <w:t xml:space="preserve"> </w:t>
      </w:r>
      <w:r w:rsidR="00F32B28" w:rsidRPr="00F32B28">
        <w:rPr>
          <w:rtl/>
          <w:lang w:bidi="ar-SY"/>
        </w:rPr>
        <w:t>الإرهابية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ارتكابها</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وعموم</w:t>
      </w:r>
      <w:r w:rsidR="00F32B28">
        <w:rPr>
          <w:rtl/>
          <w:lang w:bidi="ar-SY"/>
        </w:rPr>
        <w:t xml:space="preserve"> </w:t>
      </w:r>
      <w:r w:rsidR="00F32B28" w:rsidRPr="00F32B28">
        <w:rPr>
          <w:rtl/>
          <w:lang w:bidi="ar-SY"/>
        </w:rPr>
        <w:t>الشعب</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أينما</w:t>
      </w:r>
      <w:r w:rsidR="00F32B28">
        <w:rPr>
          <w:rtl/>
          <w:lang w:bidi="ar-SY"/>
        </w:rPr>
        <w:t xml:space="preserve"> </w:t>
      </w:r>
      <w:r w:rsidR="00F32B28" w:rsidRPr="00F32B28">
        <w:rPr>
          <w:rtl/>
          <w:lang w:bidi="ar-SY"/>
        </w:rPr>
        <w:t>صمدوا.</w:t>
      </w:r>
    </w:p>
    <w:p w:rsidR="00F32B28" w:rsidRPr="00F32B28" w:rsidRDefault="0073062A" w:rsidP="0073062A">
      <w:pPr>
        <w:pStyle w:val="SingleTxt"/>
        <w:rPr>
          <w:rtl/>
        </w:rPr>
      </w:pPr>
      <w:r>
        <w:rPr>
          <w:rFonts w:hint="cs"/>
          <w:rtl/>
        </w:rPr>
        <w:t>2 -</w:t>
      </w:r>
      <w:r>
        <w:rPr>
          <w:rFonts w:hint="cs"/>
          <w:rtl/>
        </w:rPr>
        <w:tab/>
      </w:r>
      <w:r w:rsidR="00F32B28" w:rsidRPr="00F32B28">
        <w:rPr>
          <w:rtl/>
        </w:rPr>
        <w:t>تم</w:t>
      </w:r>
      <w:r w:rsidR="00F32B28">
        <w:rPr>
          <w:rtl/>
        </w:rPr>
        <w:t xml:space="preserve"> </w:t>
      </w:r>
      <w:r w:rsidR="00F32B28" w:rsidRPr="00F32B28">
        <w:rPr>
          <w:rtl/>
        </w:rPr>
        <w:t>إعداد</w:t>
      </w:r>
      <w:r w:rsidR="00F32B28">
        <w:rPr>
          <w:rtl/>
        </w:rPr>
        <w:t xml:space="preserve"> </w:t>
      </w:r>
      <w:r w:rsidR="00F32B28" w:rsidRPr="00F32B28">
        <w:rPr>
          <w:rtl/>
        </w:rPr>
        <w:t>هذا</w:t>
      </w:r>
      <w:r w:rsidR="00F32B28">
        <w:rPr>
          <w:rtl/>
        </w:rPr>
        <w:t xml:space="preserve"> </w:t>
      </w:r>
      <w:r w:rsidR="00F32B28" w:rsidRPr="00F32B28">
        <w:rPr>
          <w:rtl/>
        </w:rPr>
        <w:t>التقرير</w:t>
      </w:r>
      <w:r w:rsidR="00F32B28">
        <w:rPr>
          <w:rtl/>
        </w:rPr>
        <w:t xml:space="preserve"> </w:t>
      </w:r>
      <w:r w:rsidR="00F32B28" w:rsidRPr="00F32B28">
        <w:rPr>
          <w:rtl/>
        </w:rPr>
        <w:t>في</w:t>
      </w:r>
      <w:r w:rsidR="00F32B28">
        <w:rPr>
          <w:rtl/>
        </w:rPr>
        <w:t xml:space="preserve"> </w:t>
      </w:r>
      <w:r w:rsidR="00F32B28" w:rsidRPr="00F32B28">
        <w:rPr>
          <w:rtl/>
        </w:rPr>
        <w:t>إطار</w:t>
      </w:r>
      <w:r w:rsidR="00F32B28">
        <w:rPr>
          <w:rtl/>
        </w:rPr>
        <w:t xml:space="preserve"> </w:t>
      </w:r>
      <w:r w:rsidR="00F32B28" w:rsidRPr="00F32B28">
        <w:rPr>
          <w:rtl/>
        </w:rPr>
        <w:t>لجنة</w:t>
      </w:r>
      <w:r w:rsidR="00F32B28">
        <w:rPr>
          <w:rtl/>
        </w:rPr>
        <w:t xml:space="preserve"> </w:t>
      </w:r>
      <w:r w:rsidR="00F32B28" w:rsidRPr="00F32B28">
        <w:rPr>
          <w:rtl/>
        </w:rPr>
        <w:t>مشتركة</w:t>
      </w:r>
      <w:r w:rsidR="00F32B28">
        <w:rPr>
          <w:rtl/>
        </w:rPr>
        <w:t xml:space="preserve"> </w:t>
      </w:r>
      <w:r w:rsidR="00F32B28" w:rsidRPr="00F32B28">
        <w:rPr>
          <w:rtl/>
        </w:rPr>
        <w:t>بين</w:t>
      </w:r>
      <w:r w:rsidR="00F32B28">
        <w:rPr>
          <w:rtl/>
        </w:rPr>
        <w:t xml:space="preserve"> </w:t>
      </w:r>
      <w:r w:rsidR="00F32B28" w:rsidRPr="00F32B28">
        <w:rPr>
          <w:rtl/>
        </w:rPr>
        <w:t>المؤسسات</w:t>
      </w:r>
      <w:r w:rsidR="00F32B28">
        <w:rPr>
          <w:rtl/>
        </w:rPr>
        <w:t xml:space="preserve"> </w:t>
      </w:r>
      <w:r w:rsidR="00F32B28" w:rsidRPr="00F32B28">
        <w:rPr>
          <w:rtl/>
        </w:rPr>
        <w:t>الحكومية</w:t>
      </w:r>
      <w:r w:rsidR="00F32B28">
        <w:rPr>
          <w:rtl/>
        </w:rPr>
        <w:t xml:space="preserve"> </w:t>
      </w:r>
      <w:r w:rsidR="00F32B28" w:rsidRPr="00F32B28">
        <w:rPr>
          <w:rtl/>
        </w:rPr>
        <w:t>وبالتعاون</w:t>
      </w:r>
      <w:r w:rsidR="00F32B28">
        <w:rPr>
          <w:rtl/>
        </w:rPr>
        <w:t xml:space="preserve"> </w:t>
      </w:r>
      <w:r w:rsidR="00F32B28" w:rsidRPr="00F32B28">
        <w:rPr>
          <w:rtl/>
        </w:rPr>
        <w:t>مع</w:t>
      </w:r>
      <w:r w:rsidR="00F32B28">
        <w:rPr>
          <w:rtl/>
        </w:rPr>
        <w:t xml:space="preserve"> </w:t>
      </w:r>
      <w:r w:rsidR="00F32B28" w:rsidRPr="00F32B28">
        <w:rPr>
          <w:rtl/>
        </w:rPr>
        <w:t>مؤسسات</w:t>
      </w:r>
      <w:r w:rsidR="00F32B28">
        <w:rPr>
          <w:rtl/>
        </w:rPr>
        <w:t xml:space="preserve"> </w:t>
      </w:r>
      <w:r w:rsidR="00F32B28" w:rsidRPr="00F32B28">
        <w:rPr>
          <w:rtl/>
        </w:rPr>
        <w:t>المجتمع</w:t>
      </w:r>
      <w:r w:rsidR="00F32B28">
        <w:rPr>
          <w:rtl/>
        </w:rPr>
        <w:t xml:space="preserve"> </w:t>
      </w:r>
      <w:r w:rsidR="00F32B28" w:rsidRPr="00F32B28">
        <w:rPr>
          <w:rtl/>
        </w:rPr>
        <w:t>المدني</w:t>
      </w:r>
      <w:r w:rsidR="00F32B28">
        <w:rPr>
          <w:rtl/>
        </w:rPr>
        <w:t xml:space="preserve"> </w:t>
      </w:r>
      <w:r w:rsidR="00F32B28" w:rsidRPr="00F32B28">
        <w:rPr>
          <w:rtl/>
        </w:rPr>
        <w:t>المعنية</w:t>
      </w:r>
      <w:r w:rsidR="00F32B28">
        <w:rPr>
          <w:rtl/>
        </w:rPr>
        <w:t xml:space="preserve"> </w:t>
      </w:r>
      <w:r w:rsidR="00F32B28" w:rsidRPr="00F32B28">
        <w:rPr>
          <w:rtl/>
        </w:rPr>
        <w:t>لتوفير</w:t>
      </w:r>
      <w:r w:rsidR="00F32B28">
        <w:rPr>
          <w:rtl/>
        </w:rPr>
        <w:t xml:space="preserve"> </w:t>
      </w:r>
      <w:r w:rsidR="00F32B28" w:rsidRPr="00F32B28">
        <w:rPr>
          <w:rtl/>
        </w:rPr>
        <w:t>المعلومات</w:t>
      </w:r>
      <w:r w:rsidR="00F32B28">
        <w:rPr>
          <w:rtl/>
        </w:rPr>
        <w:t xml:space="preserve"> </w:t>
      </w:r>
      <w:r w:rsidR="00F32B28" w:rsidRPr="00F32B28">
        <w:rPr>
          <w:rtl/>
        </w:rPr>
        <w:t>والبيانات</w:t>
      </w:r>
      <w:r w:rsidR="00F32B28">
        <w:rPr>
          <w:rtl/>
        </w:rPr>
        <w:t xml:space="preserve"> </w:t>
      </w:r>
      <w:r w:rsidR="00F32B28" w:rsidRPr="00F32B28">
        <w:rPr>
          <w:rtl/>
        </w:rPr>
        <w:t>اللازمة</w:t>
      </w:r>
      <w:r w:rsidR="00F32B28">
        <w:rPr>
          <w:rtl/>
        </w:rPr>
        <w:t xml:space="preserve"> </w:t>
      </w:r>
      <w:r w:rsidR="00F32B28" w:rsidRPr="00F32B28">
        <w:rPr>
          <w:rtl/>
        </w:rPr>
        <w:t>لإعداده.</w:t>
      </w:r>
      <w:r w:rsidR="00F32B28">
        <w:rPr>
          <w:rtl/>
        </w:rPr>
        <w:t xml:space="preserve"> </w:t>
      </w:r>
      <w:r w:rsidR="00F32B28" w:rsidRPr="00F32B28">
        <w:rPr>
          <w:rtl/>
        </w:rPr>
        <w:t>وقد</w:t>
      </w:r>
      <w:r w:rsidR="00F32B28">
        <w:rPr>
          <w:rtl/>
        </w:rPr>
        <w:t xml:space="preserve"> </w:t>
      </w:r>
      <w:r w:rsidR="00F32B28" w:rsidRPr="00F32B28">
        <w:rPr>
          <w:rtl/>
        </w:rPr>
        <w:t>عرض</w:t>
      </w:r>
      <w:r w:rsidR="00F32B28">
        <w:rPr>
          <w:rtl/>
        </w:rPr>
        <w:t xml:space="preserve"> </w:t>
      </w:r>
      <w:r w:rsidR="00F32B28" w:rsidRPr="00F32B28">
        <w:rPr>
          <w:rtl/>
        </w:rPr>
        <w:t>التقرير</w:t>
      </w:r>
      <w:r w:rsidR="00F32B28">
        <w:rPr>
          <w:rtl/>
        </w:rPr>
        <w:t xml:space="preserve"> </w:t>
      </w:r>
      <w:r w:rsidR="00F32B28" w:rsidRPr="00F32B28">
        <w:rPr>
          <w:rtl/>
        </w:rPr>
        <w:t>على</w:t>
      </w:r>
      <w:r w:rsidR="00F32B28">
        <w:rPr>
          <w:rtl/>
        </w:rPr>
        <w:t xml:space="preserve"> </w:t>
      </w:r>
      <w:r w:rsidR="00F32B28" w:rsidRPr="00F32B28">
        <w:rPr>
          <w:rtl/>
        </w:rPr>
        <w:t>كافة</w:t>
      </w:r>
      <w:r w:rsidR="00F32B28">
        <w:rPr>
          <w:rtl/>
        </w:rPr>
        <w:t xml:space="preserve"> </w:t>
      </w:r>
      <w:r w:rsidR="00F32B28" w:rsidRPr="00F32B28">
        <w:rPr>
          <w:rtl/>
        </w:rPr>
        <w:t>المؤسسات</w:t>
      </w:r>
      <w:r w:rsidR="00F32B28">
        <w:rPr>
          <w:rtl/>
        </w:rPr>
        <w:t xml:space="preserve"> </w:t>
      </w:r>
      <w:r w:rsidR="00F32B28" w:rsidRPr="00F32B28">
        <w:rPr>
          <w:rtl/>
        </w:rPr>
        <w:t>الحكومية</w:t>
      </w:r>
      <w:r w:rsidR="00F32B28">
        <w:rPr>
          <w:rtl/>
        </w:rPr>
        <w:t xml:space="preserve"> </w:t>
      </w:r>
      <w:r w:rsidR="00F32B28" w:rsidRPr="00F32B28">
        <w:rPr>
          <w:rtl/>
        </w:rPr>
        <w:t>والمجتمع</w:t>
      </w:r>
      <w:r w:rsidR="00F32B28">
        <w:rPr>
          <w:rtl/>
        </w:rPr>
        <w:t xml:space="preserve"> </w:t>
      </w:r>
      <w:r w:rsidR="00F32B28" w:rsidRPr="00F32B28">
        <w:rPr>
          <w:rtl/>
        </w:rPr>
        <w:t>المدني</w:t>
      </w:r>
      <w:r w:rsidR="00F32B28">
        <w:rPr>
          <w:rtl/>
        </w:rPr>
        <w:t xml:space="preserve"> </w:t>
      </w:r>
      <w:r w:rsidR="00F32B28" w:rsidRPr="00F32B28">
        <w:rPr>
          <w:rtl/>
        </w:rPr>
        <w:t>المعنية</w:t>
      </w:r>
      <w:r w:rsidR="00F32B28">
        <w:rPr>
          <w:rtl/>
        </w:rPr>
        <w:t xml:space="preserve"> </w:t>
      </w:r>
      <w:r w:rsidR="00F32B28" w:rsidRPr="00F32B28">
        <w:rPr>
          <w:rtl/>
        </w:rPr>
        <w:t>في</w:t>
      </w:r>
      <w:r w:rsidR="00F32B28">
        <w:rPr>
          <w:rtl/>
        </w:rPr>
        <w:t xml:space="preserve"> </w:t>
      </w:r>
      <w:r w:rsidR="00F32B28" w:rsidRPr="00F32B28">
        <w:rPr>
          <w:rtl/>
        </w:rPr>
        <w:t>ورشات</w:t>
      </w:r>
      <w:r w:rsidR="00F32B28">
        <w:rPr>
          <w:rtl/>
        </w:rPr>
        <w:t xml:space="preserve"> </w:t>
      </w:r>
      <w:r w:rsidR="00F32B28" w:rsidRPr="00F32B28">
        <w:rPr>
          <w:rtl/>
        </w:rPr>
        <w:t>عمل</w:t>
      </w:r>
      <w:r w:rsidR="00F32B28">
        <w:rPr>
          <w:rtl/>
        </w:rPr>
        <w:t xml:space="preserve"> </w:t>
      </w:r>
      <w:r w:rsidR="00F32B28" w:rsidRPr="00F32B28">
        <w:rPr>
          <w:rtl/>
        </w:rPr>
        <w:t>وجلسة</w:t>
      </w:r>
      <w:r w:rsidR="00F32B28">
        <w:rPr>
          <w:rtl/>
        </w:rPr>
        <w:t xml:space="preserve"> </w:t>
      </w:r>
      <w:r w:rsidR="00F32B28" w:rsidRPr="00F32B28">
        <w:rPr>
          <w:rtl/>
        </w:rPr>
        <w:t>مشاورات</w:t>
      </w:r>
      <w:r w:rsidR="00F32B28">
        <w:rPr>
          <w:rtl/>
        </w:rPr>
        <w:t xml:space="preserve"> </w:t>
      </w:r>
      <w:r w:rsidR="00F32B28" w:rsidRPr="00F32B28">
        <w:rPr>
          <w:rtl/>
        </w:rPr>
        <w:t>وطنية</w:t>
      </w:r>
      <w:r w:rsidR="00F32B28">
        <w:rPr>
          <w:rtl/>
        </w:rPr>
        <w:t xml:space="preserve"> </w:t>
      </w:r>
      <w:r w:rsidR="00F32B28" w:rsidRPr="00F32B28">
        <w:rPr>
          <w:rtl/>
        </w:rPr>
        <w:t>مكثفة</w:t>
      </w:r>
      <w:r w:rsidR="00F32B28">
        <w:rPr>
          <w:rtl/>
        </w:rPr>
        <w:t xml:space="preserve"> </w:t>
      </w:r>
      <w:r w:rsidR="00F32B28" w:rsidRPr="00F32B28">
        <w:rPr>
          <w:rtl/>
        </w:rPr>
        <w:t>غطت</w:t>
      </w:r>
      <w:r w:rsidR="00F32B28">
        <w:rPr>
          <w:rtl/>
        </w:rPr>
        <w:t xml:space="preserve"> </w:t>
      </w:r>
      <w:r w:rsidR="00F32B28" w:rsidRPr="00F32B28">
        <w:rPr>
          <w:rtl/>
        </w:rPr>
        <w:t>كافة</w:t>
      </w:r>
      <w:r w:rsidR="00F32B28">
        <w:rPr>
          <w:rtl/>
        </w:rPr>
        <w:t xml:space="preserve"> </w:t>
      </w:r>
      <w:r w:rsidR="00F32B28" w:rsidRPr="00F32B28">
        <w:rPr>
          <w:rtl/>
        </w:rPr>
        <w:t>جوانبه</w:t>
      </w:r>
      <w:r w:rsidR="00F32B28">
        <w:rPr>
          <w:rtl/>
        </w:rPr>
        <w:t xml:space="preserve"> </w:t>
      </w:r>
      <w:r w:rsidR="00F32B28" w:rsidRPr="00F32B28">
        <w:rPr>
          <w:rtl/>
        </w:rPr>
        <w:t>وأتاحت</w:t>
      </w:r>
      <w:r w:rsidR="00F32B28">
        <w:rPr>
          <w:rtl/>
        </w:rPr>
        <w:t xml:space="preserve"> </w:t>
      </w:r>
      <w:r w:rsidR="00F32B28" w:rsidRPr="00F32B28">
        <w:rPr>
          <w:rtl/>
        </w:rPr>
        <w:t>المجال</w:t>
      </w:r>
      <w:r w:rsidR="00F32B28">
        <w:rPr>
          <w:rtl/>
        </w:rPr>
        <w:t xml:space="preserve"> </w:t>
      </w:r>
      <w:r w:rsidR="00F32B28" w:rsidRPr="00F32B28">
        <w:rPr>
          <w:rtl/>
          <w:lang w:bidi="ar-JO"/>
        </w:rPr>
        <w:t>لبحثه</w:t>
      </w:r>
      <w:r w:rsidR="00F32B28">
        <w:rPr>
          <w:rtl/>
          <w:lang w:bidi="ar-JO"/>
        </w:rPr>
        <w:t xml:space="preserve"> </w:t>
      </w:r>
      <w:r w:rsidR="00F32B28" w:rsidRPr="00F32B28">
        <w:rPr>
          <w:rtl/>
          <w:lang w:bidi="ar-JO"/>
        </w:rPr>
        <w:t>ومناقشته</w:t>
      </w:r>
      <w:r w:rsidR="00F32B28">
        <w:rPr>
          <w:rtl/>
          <w:lang w:bidi="ar-JO"/>
        </w:rPr>
        <w:t xml:space="preserve"> </w:t>
      </w:r>
      <w:r w:rsidR="00F32B28" w:rsidRPr="00F32B28">
        <w:rPr>
          <w:rtl/>
          <w:lang w:bidi="ar-JO"/>
        </w:rPr>
        <w:t>قبل</w:t>
      </w:r>
      <w:r w:rsidR="00F32B28">
        <w:rPr>
          <w:rtl/>
          <w:lang w:bidi="ar-JO"/>
        </w:rPr>
        <w:t xml:space="preserve"> </w:t>
      </w:r>
      <w:r w:rsidR="00F32B28" w:rsidRPr="00F32B28">
        <w:rPr>
          <w:rtl/>
          <w:lang w:bidi="ar-JO"/>
        </w:rPr>
        <w:t>اعتماده</w:t>
      </w:r>
      <w:r w:rsidR="00F32B28">
        <w:rPr>
          <w:rtl/>
          <w:lang w:bidi="ar-JO"/>
        </w:rPr>
        <w:t xml:space="preserve"> </w:t>
      </w:r>
      <w:r w:rsidR="00F32B28" w:rsidRPr="00F32B28">
        <w:rPr>
          <w:rtl/>
          <w:lang w:bidi="ar-JO"/>
        </w:rPr>
        <w:t>بالصيغة</w:t>
      </w:r>
      <w:r w:rsidR="00F32B28">
        <w:rPr>
          <w:rtl/>
          <w:lang w:bidi="ar-JO"/>
        </w:rPr>
        <w:t xml:space="preserve"> </w:t>
      </w:r>
      <w:r w:rsidR="00F32B28" w:rsidRPr="00F32B28">
        <w:rPr>
          <w:rtl/>
          <w:lang w:bidi="ar-JO"/>
        </w:rPr>
        <w:t>النهائية</w:t>
      </w:r>
      <w:r w:rsidR="00F32B28">
        <w:rPr>
          <w:rtl/>
        </w:rPr>
        <w:t xml:space="preserve"> </w:t>
      </w:r>
      <w:r w:rsidR="00F32B28" w:rsidRPr="00F32B28">
        <w:rPr>
          <w:rtl/>
        </w:rPr>
        <w:t>وتقديمه</w:t>
      </w:r>
      <w:r w:rsidR="00F32B28">
        <w:rPr>
          <w:rtl/>
        </w:rPr>
        <w:t xml:space="preserve"> </w:t>
      </w:r>
      <w:r w:rsidR="00F32B28" w:rsidRPr="00F32B28">
        <w:rPr>
          <w:rtl/>
        </w:rPr>
        <w:t>إلى</w:t>
      </w:r>
      <w:r w:rsidR="00F32B28">
        <w:rPr>
          <w:rtl/>
        </w:rPr>
        <w:t xml:space="preserve"> </w:t>
      </w:r>
      <w:r w:rsidR="00F32B28" w:rsidRPr="00F32B28">
        <w:rPr>
          <w:rtl/>
        </w:rPr>
        <w:t>اللجنة</w:t>
      </w:r>
      <w:r w:rsidR="00F32B28">
        <w:rPr>
          <w:rtl/>
        </w:rPr>
        <w:t xml:space="preserve"> </w:t>
      </w:r>
      <w:r w:rsidR="00F32B28" w:rsidRPr="00F32B28">
        <w:rPr>
          <w:rtl/>
        </w:rPr>
        <w:t>المعنية</w:t>
      </w:r>
      <w:r w:rsidR="00F32B28">
        <w:rPr>
          <w:rtl/>
        </w:rPr>
        <w:t xml:space="preserve"> </w:t>
      </w:r>
      <w:r w:rsidR="00F32B28" w:rsidRPr="00F32B28">
        <w:rPr>
          <w:rtl/>
        </w:rPr>
        <w:t>بالقضاء</w:t>
      </w:r>
      <w:r w:rsidR="00F32B28">
        <w:rPr>
          <w:rtl/>
        </w:rPr>
        <w:t xml:space="preserve"> </w:t>
      </w:r>
      <w:r w:rsidR="00F32B28" w:rsidRPr="00F32B28">
        <w:rPr>
          <w:rtl/>
        </w:rPr>
        <w:t>على</w:t>
      </w:r>
      <w:r w:rsidR="00F32B28">
        <w:rPr>
          <w:rtl/>
        </w:rPr>
        <w:t xml:space="preserve"> </w:t>
      </w:r>
      <w:r w:rsidR="00F32B28" w:rsidRPr="00F32B28">
        <w:rPr>
          <w:rtl/>
        </w:rPr>
        <w:t>التمييز</w:t>
      </w:r>
      <w:r w:rsidR="00F32B28">
        <w:rPr>
          <w:rtl/>
        </w:rPr>
        <w:t xml:space="preserve"> </w:t>
      </w:r>
      <w:r w:rsidR="00F32B28" w:rsidRPr="00F32B28">
        <w:rPr>
          <w:rtl/>
        </w:rPr>
        <w:t>ضد</w:t>
      </w:r>
      <w:r w:rsidR="00F32B28">
        <w:rPr>
          <w:rtl/>
        </w:rPr>
        <w:t xml:space="preserve"> </w:t>
      </w:r>
      <w:r w:rsidR="00F32B28" w:rsidRPr="00F32B28">
        <w:rPr>
          <w:rtl/>
        </w:rPr>
        <w:t>المرأة.</w:t>
      </w:r>
    </w:p>
    <w:p w:rsidR="00F32B28" w:rsidRPr="00F32B28" w:rsidRDefault="0073062A" w:rsidP="00641D93">
      <w:pPr>
        <w:pStyle w:val="SingleTxt"/>
        <w:rPr>
          <w:rtl/>
        </w:rPr>
      </w:pPr>
      <w:r>
        <w:rPr>
          <w:rFonts w:hint="cs"/>
          <w:rtl/>
        </w:rPr>
        <w:t>3 -</w:t>
      </w:r>
      <w:r>
        <w:rPr>
          <w:rFonts w:hint="cs"/>
          <w:rtl/>
        </w:rPr>
        <w:tab/>
      </w:r>
      <w:r w:rsidR="00F32B28" w:rsidRPr="00F32B28">
        <w:rPr>
          <w:rtl/>
        </w:rPr>
        <w:t>ويتناول</w:t>
      </w:r>
      <w:r w:rsidR="00F32B28">
        <w:rPr>
          <w:rtl/>
        </w:rPr>
        <w:t xml:space="preserve"> </w:t>
      </w:r>
      <w:r w:rsidR="00F32B28" w:rsidRPr="00F32B28">
        <w:rPr>
          <w:rtl/>
        </w:rPr>
        <w:t>التقرير</w:t>
      </w:r>
      <w:r w:rsidR="00F32B28">
        <w:rPr>
          <w:rtl/>
        </w:rPr>
        <w:t xml:space="preserve"> </w:t>
      </w:r>
      <w:r w:rsidR="00F32B28" w:rsidRPr="00F32B28">
        <w:rPr>
          <w:rtl/>
        </w:rPr>
        <w:t>بنود</w:t>
      </w:r>
      <w:r w:rsidR="00F32B28">
        <w:rPr>
          <w:rtl/>
        </w:rPr>
        <w:t xml:space="preserve"> </w:t>
      </w:r>
      <w:r w:rsidR="00F32B28" w:rsidRPr="00F32B28">
        <w:rPr>
          <w:rtl/>
        </w:rPr>
        <w:t>الاتفاقية</w:t>
      </w:r>
      <w:r w:rsidR="00F32B28">
        <w:rPr>
          <w:rtl/>
        </w:rPr>
        <w:t xml:space="preserve"> </w:t>
      </w:r>
      <w:r w:rsidR="00F32B28" w:rsidRPr="00F32B28">
        <w:rPr>
          <w:rtl/>
        </w:rPr>
        <w:t>بالتفصيل</w:t>
      </w:r>
      <w:r w:rsidR="00F32B28">
        <w:rPr>
          <w:rtl/>
        </w:rPr>
        <w:t xml:space="preserve"> </w:t>
      </w:r>
      <w:r w:rsidR="00F32B28" w:rsidRPr="00F32B28">
        <w:rPr>
          <w:rtl/>
        </w:rPr>
        <w:t>ويعالج</w:t>
      </w:r>
      <w:r w:rsidR="00F32B28">
        <w:rPr>
          <w:rtl/>
        </w:rPr>
        <w:t xml:space="preserve"> </w:t>
      </w:r>
      <w:r w:rsidR="00F32B28" w:rsidRPr="00F32B28">
        <w:rPr>
          <w:rtl/>
        </w:rPr>
        <w:t>كل</w:t>
      </w:r>
      <w:r w:rsidR="00F32B28">
        <w:rPr>
          <w:rtl/>
        </w:rPr>
        <w:t xml:space="preserve"> </w:t>
      </w:r>
      <w:r w:rsidR="00F32B28" w:rsidRPr="00F32B28">
        <w:rPr>
          <w:rtl/>
        </w:rPr>
        <w:t>مادة</w:t>
      </w:r>
      <w:r w:rsidR="00F32B28">
        <w:rPr>
          <w:rtl/>
        </w:rPr>
        <w:t xml:space="preserve"> </w:t>
      </w:r>
      <w:r w:rsidR="00F32B28" w:rsidRPr="00F32B28">
        <w:rPr>
          <w:rtl/>
        </w:rPr>
        <w:t>على</w:t>
      </w:r>
      <w:r w:rsidR="00F32B28">
        <w:rPr>
          <w:rtl/>
        </w:rPr>
        <w:t xml:space="preserve"> </w:t>
      </w:r>
      <w:r w:rsidR="00F32B28" w:rsidRPr="00F32B28">
        <w:rPr>
          <w:rtl/>
        </w:rPr>
        <w:t>حدة</w:t>
      </w:r>
      <w:r w:rsidR="00F32B28">
        <w:rPr>
          <w:rtl/>
        </w:rPr>
        <w:t xml:space="preserve"> </w:t>
      </w:r>
      <w:r w:rsidR="00F32B28" w:rsidRPr="00F32B28">
        <w:rPr>
          <w:rtl/>
        </w:rPr>
        <w:t>بحسب</w:t>
      </w:r>
      <w:r w:rsidR="00F32B28">
        <w:rPr>
          <w:rtl/>
        </w:rPr>
        <w:t xml:space="preserve"> </w:t>
      </w:r>
      <w:r w:rsidR="00F32B28" w:rsidRPr="00F32B28">
        <w:rPr>
          <w:rtl/>
        </w:rPr>
        <w:t>الترتيب</w:t>
      </w:r>
      <w:r w:rsidR="00F32B28">
        <w:rPr>
          <w:rtl/>
        </w:rPr>
        <w:t xml:space="preserve"> </w:t>
      </w:r>
      <w:r w:rsidR="00F32B28" w:rsidRPr="00F32B28">
        <w:rPr>
          <w:rtl/>
        </w:rPr>
        <w:t>المعتمد</w:t>
      </w:r>
      <w:r w:rsidR="00F32B28">
        <w:rPr>
          <w:rtl/>
        </w:rPr>
        <w:t xml:space="preserve"> </w:t>
      </w:r>
      <w:r w:rsidR="00F32B28" w:rsidRPr="00F32B28">
        <w:rPr>
          <w:rtl/>
        </w:rPr>
        <w:t>في</w:t>
      </w:r>
      <w:r w:rsidR="00F32B28">
        <w:rPr>
          <w:rtl/>
        </w:rPr>
        <w:t xml:space="preserve"> </w:t>
      </w:r>
      <w:r w:rsidR="00F32B28" w:rsidRPr="00F32B28">
        <w:rPr>
          <w:rtl/>
        </w:rPr>
        <w:t>الأجزاء</w:t>
      </w:r>
      <w:r w:rsidR="00F32B28">
        <w:rPr>
          <w:rtl/>
        </w:rPr>
        <w:t xml:space="preserve"> </w:t>
      </w:r>
      <w:r w:rsidR="00F32B28" w:rsidRPr="00F32B28">
        <w:rPr>
          <w:rtl/>
        </w:rPr>
        <w:t>الأول</w:t>
      </w:r>
      <w:r w:rsidR="00F32B28">
        <w:rPr>
          <w:rtl/>
        </w:rPr>
        <w:t xml:space="preserve"> </w:t>
      </w:r>
      <w:r w:rsidR="00F32B28" w:rsidRPr="00F32B28">
        <w:rPr>
          <w:rtl/>
        </w:rPr>
        <w:t>والثاني</w:t>
      </w:r>
      <w:r w:rsidR="00F32B28">
        <w:rPr>
          <w:rtl/>
        </w:rPr>
        <w:t xml:space="preserve"> </w:t>
      </w:r>
      <w:r w:rsidR="00F32B28" w:rsidRPr="00F32B28">
        <w:rPr>
          <w:rtl/>
        </w:rPr>
        <w:t>والثالث</w:t>
      </w:r>
      <w:r w:rsidR="00F32B28">
        <w:rPr>
          <w:rtl/>
        </w:rPr>
        <w:t xml:space="preserve"> </w:t>
      </w:r>
      <w:r w:rsidR="00F32B28" w:rsidRPr="00F32B28">
        <w:rPr>
          <w:rtl/>
        </w:rPr>
        <w:t>والرابع</w:t>
      </w:r>
      <w:r w:rsidR="00F32B28">
        <w:rPr>
          <w:rtl/>
        </w:rPr>
        <w:t xml:space="preserve"> </w:t>
      </w:r>
      <w:r w:rsidR="00F32B28" w:rsidRPr="00F32B28">
        <w:rPr>
          <w:rtl/>
        </w:rPr>
        <w:t>في</w:t>
      </w:r>
      <w:r w:rsidR="00F32B28">
        <w:rPr>
          <w:rtl/>
        </w:rPr>
        <w:t xml:space="preserve"> </w:t>
      </w:r>
      <w:r w:rsidR="00F32B28" w:rsidRPr="00F32B28">
        <w:rPr>
          <w:rtl/>
        </w:rPr>
        <w:t>الاتفاقية،</w:t>
      </w:r>
      <w:r w:rsidR="00F32B28">
        <w:rPr>
          <w:rtl/>
        </w:rPr>
        <w:t xml:space="preserve"> </w:t>
      </w:r>
      <w:r w:rsidR="00F32B28" w:rsidRPr="00F32B28">
        <w:rPr>
          <w:rtl/>
        </w:rPr>
        <w:t>وقد</w:t>
      </w:r>
      <w:r w:rsidR="00F32B28">
        <w:rPr>
          <w:rtl/>
        </w:rPr>
        <w:t xml:space="preserve"> </w:t>
      </w:r>
      <w:r w:rsidR="00F32B28" w:rsidRPr="00F32B28">
        <w:rPr>
          <w:rtl/>
          <w:lang w:bidi="ar-JO"/>
        </w:rPr>
        <w:t>راعت</w:t>
      </w:r>
      <w:r w:rsidR="00F32B28">
        <w:rPr>
          <w:rtl/>
          <w:lang w:bidi="ar-JO"/>
        </w:rPr>
        <w:t xml:space="preserve"> </w:t>
      </w:r>
      <w:r w:rsidR="00F32B28" w:rsidRPr="00F32B28">
        <w:rPr>
          <w:rFonts w:hint="cs"/>
          <w:rtl/>
        </w:rPr>
        <w:t>دولة</w:t>
      </w:r>
      <w:r w:rsidR="00F32B28" w:rsidRPr="00F32B28">
        <w:rPr>
          <w:rtl/>
          <w:lang w:bidi="ar-JO"/>
        </w:rPr>
        <w:t>فلسطين</w:t>
      </w:r>
      <w:r w:rsidR="00F32B28">
        <w:rPr>
          <w:rtl/>
          <w:lang w:bidi="ar-JO"/>
        </w:rPr>
        <w:t xml:space="preserve"> </w:t>
      </w:r>
      <w:r w:rsidR="00F32B28" w:rsidRPr="00F32B28">
        <w:rPr>
          <w:rtl/>
          <w:lang w:bidi="ar-JO"/>
        </w:rPr>
        <w:t>أثناء</w:t>
      </w:r>
      <w:r w:rsidR="00F32B28">
        <w:rPr>
          <w:rtl/>
          <w:lang w:bidi="ar-JO"/>
        </w:rPr>
        <w:t xml:space="preserve"> </w:t>
      </w:r>
      <w:r w:rsidR="00F32B28" w:rsidRPr="00F32B28">
        <w:rPr>
          <w:rtl/>
          <w:lang w:bidi="ar-JO"/>
        </w:rPr>
        <w:t>إعداده</w:t>
      </w:r>
      <w:r w:rsidR="00F32B28">
        <w:rPr>
          <w:rtl/>
          <w:lang w:bidi="ar-JO"/>
        </w:rPr>
        <w:t xml:space="preserve"> </w:t>
      </w:r>
      <w:r w:rsidR="00F32B28" w:rsidRPr="00F32B28">
        <w:rPr>
          <w:rtl/>
          <w:lang w:bidi="ar-JO"/>
        </w:rPr>
        <w:t>وعلى</w:t>
      </w:r>
      <w:r w:rsidR="00F32B28">
        <w:rPr>
          <w:rtl/>
          <w:lang w:bidi="ar-JO"/>
        </w:rPr>
        <w:t xml:space="preserve"> </w:t>
      </w:r>
      <w:r w:rsidR="00F32B28" w:rsidRPr="00F32B28">
        <w:rPr>
          <w:rtl/>
          <w:lang w:bidi="ar-JO"/>
        </w:rPr>
        <w:t>النحو</w:t>
      </w:r>
      <w:r w:rsidR="00F32B28">
        <w:rPr>
          <w:rtl/>
          <w:lang w:bidi="ar-JO"/>
        </w:rPr>
        <w:t xml:space="preserve"> </w:t>
      </w:r>
      <w:r w:rsidR="00F32B28" w:rsidRPr="00F32B28">
        <w:rPr>
          <w:rtl/>
          <w:lang w:bidi="ar-JO"/>
        </w:rPr>
        <w:t>الواجب</w:t>
      </w:r>
      <w:r w:rsidR="00F32B28">
        <w:rPr>
          <w:rtl/>
          <w:lang w:bidi="ar-JO"/>
        </w:rPr>
        <w:t xml:space="preserve"> </w:t>
      </w:r>
      <w:r w:rsidR="00F32B28" w:rsidRPr="00F32B28">
        <w:rPr>
          <w:rtl/>
          <w:lang w:bidi="ar-JO"/>
        </w:rPr>
        <w:t>المبادئ</w:t>
      </w:r>
      <w:r w:rsidR="00F32B28">
        <w:rPr>
          <w:rtl/>
          <w:lang w:bidi="ar-JO"/>
        </w:rPr>
        <w:t xml:space="preserve"> </w:t>
      </w:r>
      <w:r w:rsidR="00F32B28" w:rsidRPr="00F32B28">
        <w:rPr>
          <w:rtl/>
          <w:lang w:bidi="ar-JO"/>
        </w:rPr>
        <w:t>التوجيهية</w:t>
      </w:r>
      <w:r w:rsidR="00F32B28">
        <w:rPr>
          <w:rtl/>
          <w:lang w:bidi="ar-JO"/>
        </w:rPr>
        <w:t xml:space="preserve"> </w:t>
      </w:r>
      <w:r w:rsidR="00F32B28" w:rsidRPr="00F32B28">
        <w:rPr>
          <w:rtl/>
          <w:lang w:bidi="ar-JO"/>
        </w:rPr>
        <w:t>والتوصيات</w:t>
      </w:r>
      <w:r w:rsidR="00F32B28">
        <w:rPr>
          <w:rtl/>
          <w:lang w:bidi="ar-JO"/>
        </w:rPr>
        <w:t xml:space="preserve"> </w:t>
      </w:r>
      <w:r w:rsidR="00F32B28" w:rsidRPr="00F32B28">
        <w:rPr>
          <w:rtl/>
          <w:lang w:bidi="ar-JO"/>
        </w:rPr>
        <w:t>العامة</w:t>
      </w:r>
      <w:r w:rsidR="00F32B28">
        <w:rPr>
          <w:rtl/>
          <w:lang w:bidi="ar-JO"/>
        </w:rPr>
        <w:t xml:space="preserve"> </w:t>
      </w:r>
      <w:r w:rsidR="00F32B28" w:rsidRPr="00F32B28">
        <w:rPr>
          <w:rtl/>
          <w:lang w:bidi="ar-JO"/>
        </w:rPr>
        <w:t>الملحقة</w:t>
      </w:r>
      <w:r w:rsidR="00F32B28">
        <w:rPr>
          <w:rtl/>
          <w:lang w:bidi="ar-JO"/>
        </w:rPr>
        <w:t xml:space="preserve"> </w:t>
      </w:r>
      <w:r w:rsidR="00F32B28" w:rsidRPr="00F32B28">
        <w:rPr>
          <w:rtl/>
          <w:lang w:bidi="ar-JO"/>
        </w:rPr>
        <w:t>بالاتفاقية</w:t>
      </w:r>
      <w:r w:rsidR="00F32B28">
        <w:rPr>
          <w:rtl/>
          <w:lang w:bidi="ar-JO"/>
        </w:rPr>
        <w:t xml:space="preserve"> </w:t>
      </w:r>
      <w:r w:rsidR="00F32B28" w:rsidRPr="00F32B28">
        <w:rPr>
          <w:rtl/>
          <w:lang w:bidi="ar-JO"/>
        </w:rPr>
        <w:t>الصادرة</w:t>
      </w:r>
      <w:r w:rsidR="00F32B28">
        <w:rPr>
          <w:rtl/>
          <w:lang w:bidi="ar-JO"/>
        </w:rPr>
        <w:t xml:space="preserve"> </w:t>
      </w:r>
      <w:r w:rsidR="00F32B28" w:rsidRPr="00F32B28">
        <w:rPr>
          <w:rtl/>
          <w:lang w:bidi="ar-JO"/>
        </w:rPr>
        <w:t>عن</w:t>
      </w:r>
      <w:r w:rsidR="00F32B28">
        <w:rPr>
          <w:rtl/>
          <w:lang w:bidi="ar-JO"/>
        </w:rPr>
        <w:t xml:space="preserve"> </w:t>
      </w:r>
      <w:r w:rsidR="00F32B28" w:rsidRPr="00F32B28">
        <w:rPr>
          <w:rtl/>
          <w:lang w:bidi="ar-JO"/>
        </w:rPr>
        <w:t>اللجنة</w:t>
      </w:r>
      <w:r w:rsidR="00F32B28">
        <w:rPr>
          <w:rtl/>
          <w:lang w:bidi="ar-JO"/>
        </w:rPr>
        <w:t xml:space="preserve"> </w:t>
      </w:r>
      <w:r w:rsidR="00F32B28" w:rsidRPr="00F32B28">
        <w:rPr>
          <w:rtl/>
          <w:lang w:bidi="ar-JO"/>
        </w:rPr>
        <w:t>المعنية</w:t>
      </w:r>
      <w:r w:rsidR="00F32B28">
        <w:rPr>
          <w:rtl/>
          <w:lang w:bidi="ar-JO"/>
        </w:rPr>
        <w:t xml:space="preserve"> </w:t>
      </w:r>
      <w:r w:rsidR="00F32B28" w:rsidRPr="00F32B28">
        <w:rPr>
          <w:rtl/>
          <w:lang w:bidi="ar-JO"/>
        </w:rPr>
        <w:t>بالقضاء</w:t>
      </w:r>
      <w:r w:rsidR="00F32B28">
        <w:rPr>
          <w:rtl/>
          <w:lang w:bidi="ar-JO"/>
        </w:rPr>
        <w:t xml:space="preserve"> </w:t>
      </w:r>
      <w:r w:rsidR="00F32B28" w:rsidRPr="00F32B28">
        <w:rPr>
          <w:rtl/>
          <w:lang w:bidi="ar-JO"/>
        </w:rPr>
        <w:t>على</w:t>
      </w:r>
      <w:r w:rsidR="00F32B28">
        <w:rPr>
          <w:rtl/>
          <w:lang w:bidi="ar-JO"/>
        </w:rPr>
        <w:t xml:space="preserve"> </w:t>
      </w:r>
      <w:r w:rsidR="00F32B28" w:rsidRPr="00F32B28">
        <w:rPr>
          <w:rtl/>
          <w:lang w:bidi="ar-JO"/>
        </w:rPr>
        <w:t>التمييز</w:t>
      </w:r>
      <w:r w:rsidR="00F32B28">
        <w:rPr>
          <w:rtl/>
          <w:lang w:bidi="ar-JO"/>
        </w:rPr>
        <w:t xml:space="preserve"> </w:t>
      </w:r>
      <w:r w:rsidR="00F32B28" w:rsidRPr="00F32B28">
        <w:rPr>
          <w:rtl/>
          <w:lang w:bidi="ar-JO"/>
        </w:rPr>
        <w:t>ضد</w:t>
      </w:r>
      <w:r w:rsidR="00F32B28">
        <w:rPr>
          <w:rtl/>
          <w:lang w:bidi="ar-JO"/>
        </w:rPr>
        <w:t xml:space="preserve"> </w:t>
      </w:r>
      <w:r w:rsidR="00F32B28" w:rsidRPr="00F32B28">
        <w:rPr>
          <w:rtl/>
          <w:lang w:bidi="ar-JO"/>
        </w:rPr>
        <w:t>المرأة،</w:t>
      </w:r>
      <w:r w:rsidR="00F32B28">
        <w:rPr>
          <w:rtl/>
          <w:lang w:bidi="ar-JO"/>
        </w:rPr>
        <w:t xml:space="preserve"> </w:t>
      </w:r>
      <w:r w:rsidR="00F32B28" w:rsidRPr="00F32B28">
        <w:rPr>
          <w:rtl/>
          <w:lang w:bidi="ar-JO"/>
        </w:rPr>
        <w:t>ووثيقة</w:t>
      </w:r>
      <w:r w:rsidR="00F32B28">
        <w:rPr>
          <w:rtl/>
          <w:lang w:bidi="ar-JO"/>
        </w:rPr>
        <w:t xml:space="preserve"> </w:t>
      </w:r>
      <w:r w:rsidR="00F32B28" w:rsidRPr="00F32B28">
        <w:rPr>
          <w:rtl/>
          <w:lang w:bidi="ar-JO"/>
        </w:rPr>
        <w:t>تجميع</w:t>
      </w:r>
      <w:r w:rsidR="00F32B28">
        <w:rPr>
          <w:rtl/>
          <w:lang w:bidi="ar-JO"/>
        </w:rPr>
        <w:t xml:space="preserve"> </w:t>
      </w:r>
      <w:r w:rsidR="00F32B28" w:rsidRPr="00F32B28">
        <w:rPr>
          <w:rtl/>
          <w:lang w:bidi="ar-JO"/>
        </w:rPr>
        <w:t>المبادئ</w:t>
      </w:r>
      <w:r w:rsidR="00F32B28">
        <w:rPr>
          <w:rtl/>
          <w:lang w:bidi="ar-JO"/>
        </w:rPr>
        <w:t xml:space="preserve"> </w:t>
      </w:r>
      <w:r w:rsidR="00F32B28" w:rsidRPr="00F32B28">
        <w:rPr>
          <w:rtl/>
          <w:lang w:bidi="ar-JO"/>
        </w:rPr>
        <w:t>التوجيهية</w:t>
      </w:r>
      <w:r w:rsidR="00F32B28">
        <w:rPr>
          <w:rtl/>
          <w:lang w:bidi="ar-JO"/>
        </w:rPr>
        <w:t xml:space="preserve"> </w:t>
      </w:r>
      <w:r w:rsidR="00F32B28" w:rsidRPr="00F32B28">
        <w:rPr>
          <w:rtl/>
          <w:lang w:bidi="ar-JO"/>
        </w:rPr>
        <w:t>المتعلقة</w:t>
      </w:r>
      <w:r w:rsidR="00F32B28">
        <w:rPr>
          <w:rtl/>
          <w:lang w:bidi="ar-JO"/>
        </w:rPr>
        <w:t xml:space="preserve"> </w:t>
      </w:r>
      <w:r w:rsidR="00F32B28" w:rsidRPr="00F32B28">
        <w:rPr>
          <w:rtl/>
          <w:lang w:bidi="ar-JO"/>
        </w:rPr>
        <w:t>بشكل</w:t>
      </w:r>
      <w:r w:rsidR="00F32B28">
        <w:rPr>
          <w:rtl/>
          <w:lang w:bidi="ar-JO"/>
        </w:rPr>
        <w:t xml:space="preserve"> </w:t>
      </w:r>
      <w:r w:rsidR="00F32B28" w:rsidRPr="00F32B28">
        <w:rPr>
          <w:rtl/>
          <w:lang w:bidi="ar-JO"/>
        </w:rPr>
        <w:t>ومحتوى</w:t>
      </w:r>
      <w:r w:rsidR="00F32B28">
        <w:rPr>
          <w:rtl/>
          <w:lang w:bidi="ar-JO"/>
        </w:rPr>
        <w:t xml:space="preserve"> </w:t>
      </w:r>
      <w:r w:rsidR="00F32B28" w:rsidRPr="00F32B28">
        <w:rPr>
          <w:rtl/>
          <w:lang w:bidi="ar-JO"/>
        </w:rPr>
        <w:t>التقارير</w:t>
      </w:r>
      <w:r w:rsidR="00F32B28">
        <w:rPr>
          <w:rtl/>
          <w:lang w:bidi="ar-JO"/>
        </w:rPr>
        <w:t xml:space="preserve"> </w:t>
      </w:r>
      <w:r w:rsidR="00F32B28" w:rsidRPr="00F32B28">
        <w:rPr>
          <w:rtl/>
          <w:lang w:bidi="ar-JO"/>
        </w:rPr>
        <w:t>المطلوب</w:t>
      </w:r>
      <w:r w:rsidR="00F32B28">
        <w:rPr>
          <w:rtl/>
          <w:lang w:bidi="ar-JO"/>
        </w:rPr>
        <w:t xml:space="preserve"> </w:t>
      </w:r>
      <w:r w:rsidR="00F32B28" w:rsidRPr="00F32B28">
        <w:rPr>
          <w:rtl/>
          <w:lang w:bidi="ar-JO"/>
        </w:rPr>
        <w:t>تقديمها</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الدول</w:t>
      </w:r>
      <w:r w:rsidR="00F32B28">
        <w:rPr>
          <w:rtl/>
          <w:lang w:bidi="ar-JO"/>
        </w:rPr>
        <w:t xml:space="preserve"> </w:t>
      </w:r>
      <w:r w:rsidR="00F32B28" w:rsidRPr="00F32B28">
        <w:rPr>
          <w:rtl/>
          <w:lang w:bidi="ar-JO"/>
        </w:rPr>
        <w:t>الأطراف</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المعاهدات</w:t>
      </w:r>
      <w:r w:rsidR="00F32B28">
        <w:rPr>
          <w:rtl/>
          <w:lang w:bidi="ar-JO"/>
        </w:rPr>
        <w:t xml:space="preserve"> </w:t>
      </w:r>
      <w:r w:rsidR="00F32B28" w:rsidRPr="00F32B28">
        <w:rPr>
          <w:rtl/>
          <w:lang w:bidi="ar-JO"/>
        </w:rPr>
        <w:t>الدولية</w:t>
      </w:r>
      <w:r w:rsidR="00F32B28">
        <w:rPr>
          <w:rtl/>
          <w:lang w:bidi="ar-JO"/>
        </w:rPr>
        <w:t xml:space="preserve"> </w:t>
      </w:r>
      <w:r w:rsidR="00F32B28" w:rsidRPr="00F32B28">
        <w:rPr>
          <w:rtl/>
          <w:lang w:bidi="ar-JO"/>
        </w:rPr>
        <w:t>لحقوق</w:t>
      </w:r>
      <w:r w:rsidR="00F32B28">
        <w:rPr>
          <w:rtl/>
          <w:lang w:bidi="ar-JO"/>
        </w:rPr>
        <w:t xml:space="preserve"> </w:t>
      </w:r>
      <w:r w:rsidR="00F32B28" w:rsidRPr="00F32B28">
        <w:rPr>
          <w:rtl/>
          <w:lang w:bidi="ar-JO"/>
        </w:rPr>
        <w:t>الإنسان</w:t>
      </w:r>
      <w:r w:rsidR="00F32B28">
        <w:rPr>
          <w:rtl/>
          <w:lang w:bidi="ar-JO"/>
        </w:rPr>
        <w:t xml:space="preserve"> </w:t>
      </w:r>
      <w:r w:rsidR="00F32B28" w:rsidRPr="00F32B28">
        <w:rPr>
          <w:rtl/>
          <w:lang w:bidi="ar-JO"/>
        </w:rPr>
        <w:t>الصادرة</w:t>
      </w:r>
      <w:r w:rsidR="00F32B28">
        <w:rPr>
          <w:rtl/>
          <w:lang w:bidi="ar-JO"/>
        </w:rPr>
        <w:t xml:space="preserve"> </w:t>
      </w:r>
      <w:r w:rsidR="00F32B28" w:rsidRPr="00F32B28">
        <w:rPr>
          <w:rtl/>
          <w:lang w:bidi="ar-JO"/>
        </w:rPr>
        <w:t>بتاريخ</w:t>
      </w:r>
      <w:r w:rsidR="00F32B28">
        <w:rPr>
          <w:rtl/>
          <w:lang w:bidi="ar-JO"/>
        </w:rPr>
        <w:t xml:space="preserve"> </w:t>
      </w:r>
      <w:r w:rsidR="00F32B28" w:rsidRPr="00F32B28">
        <w:rPr>
          <w:rtl/>
          <w:lang w:bidi="ar-JO"/>
        </w:rPr>
        <w:t>3</w:t>
      </w:r>
      <w:r w:rsidR="00F32B28">
        <w:rPr>
          <w:rtl/>
          <w:lang w:bidi="ar-JO"/>
        </w:rPr>
        <w:t xml:space="preserve"> </w:t>
      </w:r>
      <w:r w:rsidR="00F32B28" w:rsidRPr="00F32B28">
        <w:rPr>
          <w:rtl/>
          <w:lang w:bidi="ar-JO"/>
        </w:rPr>
        <w:t>حزيران</w:t>
      </w:r>
      <w:r w:rsidR="004B33D7">
        <w:rPr>
          <w:rFonts w:hint="cs"/>
          <w:rtl/>
          <w:lang w:bidi="ar-JO"/>
        </w:rPr>
        <w:t>/يونيه</w:t>
      </w:r>
      <w:r w:rsidR="00F32B28">
        <w:rPr>
          <w:rtl/>
          <w:lang w:bidi="ar-JO"/>
        </w:rPr>
        <w:t xml:space="preserve"> </w:t>
      </w:r>
      <w:r w:rsidR="00F32B28" w:rsidRPr="00F32B28">
        <w:rPr>
          <w:rtl/>
          <w:lang w:bidi="ar-JO"/>
        </w:rPr>
        <w:t>2009،</w:t>
      </w:r>
      <w:r w:rsidR="00F32B28">
        <w:rPr>
          <w:rtl/>
          <w:lang w:bidi="ar-JO"/>
        </w:rPr>
        <w:t xml:space="preserve"> </w:t>
      </w:r>
      <w:r w:rsidR="00F32B28" w:rsidRPr="00F32B28">
        <w:rPr>
          <w:rtl/>
          <w:lang w:bidi="ar-JO"/>
        </w:rPr>
        <w:t>ونصوص</w:t>
      </w:r>
      <w:r w:rsidR="00F32B28">
        <w:rPr>
          <w:rtl/>
          <w:lang w:bidi="ar-JO"/>
        </w:rPr>
        <w:t xml:space="preserve"> </w:t>
      </w:r>
      <w:r w:rsidR="00F32B28" w:rsidRPr="00F32B28">
        <w:rPr>
          <w:rtl/>
          <w:lang w:bidi="ar-JO"/>
        </w:rPr>
        <w:t>مقررات</w:t>
      </w:r>
      <w:r w:rsidR="00F32B28">
        <w:rPr>
          <w:rtl/>
          <w:lang w:bidi="ar-JO"/>
        </w:rPr>
        <w:t xml:space="preserve"> </w:t>
      </w:r>
      <w:r w:rsidR="00F32B28" w:rsidRPr="00F32B28">
        <w:rPr>
          <w:rtl/>
          <w:lang w:bidi="ar-JO"/>
        </w:rPr>
        <w:t>وبرنامج</w:t>
      </w:r>
      <w:r w:rsidR="00F32B28">
        <w:rPr>
          <w:rtl/>
          <w:lang w:bidi="ar-JO"/>
        </w:rPr>
        <w:t xml:space="preserve"> </w:t>
      </w:r>
      <w:r w:rsidR="00F32B28" w:rsidRPr="00F32B28">
        <w:rPr>
          <w:rtl/>
          <w:lang w:bidi="ar-JO"/>
        </w:rPr>
        <w:t>عمل</w:t>
      </w:r>
      <w:r w:rsidR="00F32B28">
        <w:rPr>
          <w:rtl/>
          <w:lang w:bidi="ar-JO"/>
        </w:rPr>
        <w:t xml:space="preserve"> </w:t>
      </w:r>
      <w:r w:rsidR="00F32B28" w:rsidRPr="00F32B28">
        <w:rPr>
          <w:rtl/>
          <w:lang w:bidi="ar-JO"/>
        </w:rPr>
        <w:t>بكين</w:t>
      </w:r>
      <w:r w:rsidR="00F32B28" w:rsidRPr="00F32B28">
        <w:rPr>
          <w:b/>
          <w:bCs/>
          <w:rtl/>
          <w:lang w:bidi="ar-JO"/>
        </w:rPr>
        <w:t>،</w:t>
      </w:r>
      <w:r w:rsidR="00F32B28">
        <w:rPr>
          <w:b/>
          <w:bCs/>
          <w:rtl/>
          <w:lang w:bidi="ar-JO"/>
        </w:rPr>
        <w:t xml:space="preserve"> </w:t>
      </w:r>
      <w:r w:rsidR="00F32B28" w:rsidRPr="00F32B28">
        <w:rPr>
          <w:rtl/>
          <w:lang w:bidi="ar-JO"/>
        </w:rPr>
        <w:t>وأهداف</w:t>
      </w:r>
      <w:r w:rsidR="00F32B28">
        <w:rPr>
          <w:rtl/>
          <w:lang w:bidi="ar-JO"/>
        </w:rPr>
        <w:t xml:space="preserve"> </w:t>
      </w:r>
      <w:r w:rsidR="00F32B28" w:rsidRPr="00F32B28">
        <w:rPr>
          <w:rtl/>
          <w:lang w:bidi="ar-JO"/>
        </w:rPr>
        <w:t>التنمية</w:t>
      </w:r>
      <w:r w:rsidR="00F32B28">
        <w:rPr>
          <w:rtl/>
          <w:lang w:bidi="ar-JO"/>
        </w:rPr>
        <w:t xml:space="preserve"> </w:t>
      </w:r>
      <w:r w:rsidR="00F32B28" w:rsidRPr="00F32B28">
        <w:rPr>
          <w:rtl/>
          <w:lang w:bidi="ar-JO"/>
        </w:rPr>
        <w:t>المستدامة،</w:t>
      </w:r>
      <w:r w:rsidR="00F32B28">
        <w:rPr>
          <w:rtl/>
          <w:lang w:bidi="ar-JO"/>
        </w:rPr>
        <w:t xml:space="preserve"> </w:t>
      </w:r>
      <w:r w:rsidR="00F32B28" w:rsidRPr="00F32B28">
        <w:rPr>
          <w:rtl/>
          <w:lang w:bidi="ar-JO"/>
        </w:rPr>
        <w:t>لا</w:t>
      </w:r>
      <w:r w:rsidR="00F32B28">
        <w:rPr>
          <w:rtl/>
          <w:lang w:bidi="ar-JO"/>
        </w:rPr>
        <w:t xml:space="preserve"> </w:t>
      </w:r>
      <w:r w:rsidR="00F32B28" w:rsidRPr="00F32B28">
        <w:rPr>
          <w:rtl/>
          <w:lang w:bidi="ar-JO"/>
        </w:rPr>
        <w:t>سيما</w:t>
      </w:r>
      <w:r w:rsidR="00F32B28">
        <w:rPr>
          <w:rtl/>
          <w:lang w:bidi="ar-JO"/>
        </w:rPr>
        <w:t xml:space="preserve"> </w:t>
      </w:r>
      <w:r w:rsidR="00F32B28" w:rsidRPr="00F32B28">
        <w:rPr>
          <w:rtl/>
          <w:lang w:bidi="ar-JO"/>
        </w:rPr>
        <w:t>الهدف</w:t>
      </w:r>
      <w:r w:rsidR="00F32B28">
        <w:rPr>
          <w:rtl/>
          <w:lang w:bidi="ar-JO"/>
        </w:rPr>
        <w:t xml:space="preserve"> </w:t>
      </w:r>
      <w:r w:rsidR="00F32B28" w:rsidRPr="00F32B28">
        <w:rPr>
          <w:rtl/>
          <w:lang w:bidi="ar-JO"/>
        </w:rPr>
        <w:t>الخامس</w:t>
      </w:r>
      <w:r w:rsidR="00F32B28">
        <w:rPr>
          <w:rtl/>
          <w:lang w:bidi="ar-JO"/>
        </w:rPr>
        <w:t xml:space="preserve"> </w:t>
      </w:r>
      <w:r w:rsidR="00F32B28" w:rsidRPr="00F32B28">
        <w:rPr>
          <w:rtl/>
          <w:lang w:bidi="ar-JO"/>
        </w:rPr>
        <w:t>الخاص</w:t>
      </w:r>
      <w:r w:rsidR="00F32B28">
        <w:rPr>
          <w:rtl/>
          <w:lang w:bidi="ar-JO"/>
        </w:rPr>
        <w:t xml:space="preserve"> </w:t>
      </w:r>
      <w:r w:rsidR="00F32B28" w:rsidRPr="00F32B28">
        <w:rPr>
          <w:rtl/>
          <w:lang w:bidi="ar-JO"/>
        </w:rPr>
        <w:t>بالمساواة</w:t>
      </w:r>
      <w:r w:rsidR="00F32B28">
        <w:rPr>
          <w:rtl/>
          <w:lang w:bidi="ar-JO"/>
        </w:rPr>
        <w:t xml:space="preserve"> </w:t>
      </w:r>
      <w:r w:rsidR="00F32B28" w:rsidRPr="00F32B28">
        <w:rPr>
          <w:rtl/>
          <w:lang w:bidi="ar-JO"/>
        </w:rPr>
        <w:t>بين</w:t>
      </w:r>
      <w:r w:rsidR="00F32B28">
        <w:rPr>
          <w:rtl/>
          <w:lang w:bidi="ar-JO"/>
        </w:rPr>
        <w:t xml:space="preserve"> </w:t>
      </w:r>
      <w:r w:rsidR="00F32B28" w:rsidRPr="00F32B28">
        <w:rPr>
          <w:rtl/>
          <w:lang w:bidi="ar-JO"/>
        </w:rPr>
        <w:t>الجنسين</w:t>
      </w:r>
      <w:r w:rsidR="00F32B28">
        <w:rPr>
          <w:rtl/>
          <w:lang w:bidi="ar-JO"/>
        </w:rPr>
        <w:t xml:space="preserve"> </w:t>
      </w:r>
      <w:r w:rsidR="00F32B28" w:rsidRPr="00F32B28">
        <w:rPr>
          <w:rtl/>
          <w:lang w:bidi="ar-JO"/>
        </w:rPr>
        <w:t>وتمكين</w:t>
      </w:r>
      <w:r w:rsidR="00F32B28">
        <w:rPr>
          <w:rtl/>
          <w:lang w:bidi="ar-JO"/>
        </w:rPr>
        <w:t xml:space="preserve"> </w:t>
      </w:r>
      <w:r w:rsidR="00F32B28" w:rsidRPr="00F32B28">
        <w:rPr>
          <w:rtl/>
          <w:lang w:bidi="ar-JO"/>
        </w:rPr>
        <w:t>كل</w:t>
      </w:r>
      <w:r w:rsidR="00F32B28">
        <w:rPr>
          <w:rtl/>
          <w:lang w:bidi="ar-JO"/>
        </w:rPr>
        <w:t xml:space="preserve"> </w:t>
      </w:r>
      <w:r w:rsidR="00F32B28" w:rsidRPr="00F32B28">
        <w:rPr>
          <w:rtl/>
          <w:lang w:bidi="ar-JO"/>
        </w:rPr>
        <w:t>النساء</w:t>
      </w:r>
      <w:r w:rsidR="00F32B28">
        <w:rPr>
          <w:rtl/>
          <w:lang w:bidi="ar-JO"/>
        </w:rPr>
        <w:t xml:space="preserve"> </w:t>
      </w:r>
      <w:r w:rsidR="00F32B28" w:rsidRPr="00F32B28">
        <w:rPr>
          <w:rtl/>
          <w:lang w:bidi="ar-JO"/>
        </w:rPr>
        <w:t>والفتيات.</w:t>
      </w:r>
      <w:r w:rsidR="00F32B28" w:rsidRPr="00F32B28">
        <w:rPr>
          <w:rFonts w:hint="cs"/>
          <w:rtl/>
          <w:lang w:bidi="ar-SY"/>
        </w:rPr>
        <w:t>كما</w:t>
      </w:r>
      <w:r w:rsidR="00F32B28">
        <w:rPr>
          <w:rFonts w:hint="cs"/>
          <w:rtl/>
          <w:lang w:bidi="ar-SY"/>
        </w:rPr>
        <w:t xml:space="preserve"> </w:t>
      </w:r>
      <w:r w:rsidR="00F32B28" w:rsidRPr="00F32B28">
        <w:rPr>
          <w:rFonts w:hint="cs"/>
          <w:rtl/>
          <w:lang w:bidi="ar-SY"/>
        </w:rPr>
        <w:t>تؤكد</w:t>
      </w:r>
      <w:r w:rsidR="00F32B28">
        <w:rPr>
          <w:rFonts w:hint="cs"/>
          <w:rtl/>
          <w:lang w:bidi="ar-SY"/>
        </w:rPr>
        <w:t xml:space="preserve"> </w:t>
      </w:r>
      <w:r w:rsidR="00F32B28" w:rsidRPr="00F32B28">
        <w:rPr>
          <w:rFonts w:hint="cs"/>
          <w:rtl/>
          <w:lang w:bidi="ar-SY"/>
        </w:rPr>
        <w:t>دولة</w:t>
      </w:r>
      <w:r w:rsidR="00F32B28">
        <w:rPr>
          <w:rFonts w:hint="cs"/>
          <w:rtl/>
          <w:lang w:bidi="ar-SY"/>
        </w:rPr>
        <w:t xml:space="preserve"> </w:t>
      </w:r>
      <w:r w:rsidR="00F32B28" w:rsidRPr="00F32B28">
        <w:rPr>
          <w:rFonts w:hint="cs"/>
          <w:rtl/>
          <w:lang w:bidi="ar-SY"/>
        </w:rPr>
        <w:t>فلسطين</w:t>
      </w:r>
      <w:r w:rsidR="00F32B28">
        <w:rPr>
          <w:rFonts w:hint="cs"/>
          <w:rtl/>
          <w:lang w:bidi="ar-SY"/>
        </w:rPr>
        <w:t xml:space="preserve"> </w:t>
      </w:r>
      <w:r w:rsidR="00F32B28" w:rsidRPr="00F32B28">
        <w:rPr>
          <w:rFonts w:hint="cs"/>
          <w:rtl/>
          <w:lang w:bidi="ar-SY"/>
        </w:rPr>
        <w:t>أن</w:t>
      </w:r>
      <w:r w:rsidR="00F32B28">
        <w:rPr>
          <w:rFonts w:hint="cs"/>
          <w:rtl/>
          <w:lang w:bidi="ar-SY"/>
        </w:rPr>
        <w:t xml:space="preserve"> </w:t>
      </w:r>
      <w:r w:rsidR="00F32B28" w:rsidRPr="00F32B28">
        <w:rPr>
          <w:rFonts w:hint="cs"/>
          <w:rtl/>
          <w:lang w:bidi="ar-SY"/>
        </w:rPr>
        <w:t>ما</w:t>
      </w:r>
      <w:r w:rsidR="00F32B28">
        <w:rPr>
          <w:rFonts w:hint="cs"/>
          <w:rtl/>
          <w:lang w:bidi="ar-SY"/>
        </w:rPr>
        <w:t xml:space="preserve"> </w:t>
      </w:r>
      <w:r w:rsidR="00F32B28" w:rsidRPr="00F32B28">
        <w:rPr>
          <w:rFonts w:hint="cs"/>
          <w:rtl/>
          <w:lang w:bidi="ar-SY"/>
        </w:rPr>
        <w:t>ورد</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التقرير</w:t>
      </w:r>
      <w:r w:rsidR="00F32B28">
        <w:rPr>
          <w:rFonts w:hint="cs"/>
          <w:rtl/>
          <w:lang w:bidi="ar-SY"/>
        </w:rPr>
        <w:t xml:space="preserve"> </w:t>
      </w:r>
      <w:r w:rsidR="00F32B28" w:rsidRPr="00F32B28">
        <w:rPr>
          <w:rFonts w:hint="cs"/>
          <w:rtl/>
          <w:lang w:bidi="ar-SY"/>
        </w:rPr>
        <w:t>لا</w:t>
      </w:r>
      <w:r w:rsidR="00641D93">
        <w:rPr>
          <w:rFonts w:hint="eastAsia"/>
          <w:rtl/>
          <w:lang w:bidi="ar-SY"/>
        </w:rPr>
        <w:t> </w:t>
      </w:r>
      <w:r w:rsidR="00F32B28" w:rsidRPr="00F32B28">
        <w:rPr>
          <w:rFonts w:hint="cs"/>
          <w:rtl/>
          <w:lang w:bidi="ar-SY"/>
        </w:rPr>
        <w:t>يعفي</w:t>
      </w:r>
      <w:r w:rsidR="00641D93">
        <w:rPr>
          <w:rFonts w:hint="cs"/>
          <w:rtl/>
          <w:lang w:bidi="ar-SY"/>
        </w:rPr>
        <w:t xml:space="preserve"> </w:t>
      </w:r>
      <w:r w:rsidR="00F32B28" w:rsidRPr="00F32B28">
        <w:rPr>
          <w:rFonts w:hint="cs"/>
          <w:rtl/>
          <w:lang w:bidi="ar-SY"/>
        </w:rPr>
        <w:t>بأي</w:t>
      </w:r>
      <w:r w:rsidR="00641D93">
        <w:rPr>
          <w:rFonts w:hint="cs"/>
          <w:rtl/>
          <w:lang w:bidi="ar-SY"/>
        </w:rPr>
        <w:t xml:space="preserve"> </w:t>
      </w:r>
      <w:r w:rsidR="00F32B28" w:rsidRPr="00F32B28">
        <w:rPr>
          <w:rFonts w:hint="cs"/>
          <w:rtl/>
          <w:lang w:bidi="ar-SY"/>
        </w:rPr>
        <w:t>شكل</w:t>
      </w:r>
      <w:r w:rsidR="00641D93">
        <w:rPr>
          <w:rFonts w:hint="cs"/>
          <w:rtl/>
          <w:lang w:bidi="ar-SY"/>
        </w:rPr>
        <w:t xml:space="preserve"> </w:t>
      </w:r>
      <w:r w:rsidR="00F32B28" w:rsidRPr="00F32B28">
        <w:rPr>
          <w:rFonts w:hint="cs"/>
          <w:rtl/>
          <w:lang w:bidi="ar-SY"/>
        </w:rPr>
        <w:t>من</w:t>
      </w:r>
      <w:r w:rsidR="00641D93">
        <w:rPr>
          <w:rFonts w:hint="cs"/>
          <w:rtl/>
          <w:lang w:bidi="ar-SY"/>
        </w:rPr>
        <w:t xml:space="preserve"> </w:t>
      </w:r>
      <w:r w:rsidR="00F32B28" w:rsidRPr="00F32B28">
        <w:rPr>
          <w:rFonts w:hint="cs"/>
          <w:rtl/>
          <w:lang w:bidi="ar-SY"/>
        </w:rPr>
        <w:t>الأشكال</w:t>
      </w:r>
      <w:r w:rsidR="00641D93">
        <w:rPr>
          <w:rFonts w:hint="cs"/>
          <w:rtl/>
          <w:lang w:bidi="ar-SY"/>
        </w:rPr>
        <w:t xml:space="preserve"> </w:t>
      </w:r>
      <w:r w:rsidR="00F32B28" w:rsidRPr="00F32B28">
        <w:rPr>
          <w:rFonts w:hint="cs"/>
          <w:rtl/>
          <w:lang w:bidi="ar-SY"/>
        </w:rPr>
        <w:t>إسرائيل،</w:t>
      </w:r>
      <w:r w:rsidR="00F32B28">
        <w:rPr>
          <w:rFonts w:hint="cs"/>
          <w:rtl/>
          <w:lang w:bidi="ar-SY"/>
        </w:rPr>
        <w:t xml:space="preserve"> </w:t>
      </w:r>
      <w:r w:rsidR="00F32B28" w:rsidRPr="00F32B28">
        <w:rPr>
          <w:rFonts w:hint="cs"/>
          <w:rtl/>
          <w:lang w:bidi="ar-SY"/>
        </w:rPr>
        <w:t>السلطة</w:t>
      </w:r>
      <w:r w:rsidR="00F32B28">
        <w:rPr>
          <w:rFonts w:hint="cs"/>
          <w:rtl/>
          <w:lang w:bidi="ar-SY"/>
        </w:rPr>
        <w:t xml:space="preserve"> </w:t>
      </w:r>
      <w:r w:rsidR="00F32B28" w:rsidRPr="00F32B28">
        <w:rPr>
          <w:rFonts w:hint="cs"/>
          <w:rtl/>
          <w:lang w:bidi="ar-SY"/>
        </w:rPr>
        <w:t>القائمة</w:t>
      </w:r>
      <w:r w:rsidR="00F32B28">
        <w:rPr>
          <w:rFonts w:hint="cs"/>
          <w:rtl/>
          <w:lang w:bidi="ar-SY"/>
        </w:rPr>
        <w:t xml:space="preserve"> </w:t>
      </w:r>
      <w:r w:rsidR="00F32B28" w:rsidRPr="00F32B28">
        <w:rPr>
          <w:rFonts w:hint="cs"/>
          <w:rtl/>
          <w:lang w:bidi="ar-SY"/>
        </w:rPr>
        <w:t>بالاحتلال،</w:t>
      </w:r>
      <w:r w:rsidR="00641D93">
        <w:rPr>
          <w:rFonts w:hint="cs"/>
          <w:rtl/>
          <w:lang w:bidi="ar-SY"/>
        </w:rPr>
        <w:t xml:space="preserve"> </w:t>
      </w:r>
      <w:r w:rsidR="00F32B28" w:rsidRPr="00F32B28">
        <w:rPr>
          <w:rFonts w:hint="cs"/>
          <w:rtl/>
          <w:lang w:bidi="ar-SY"/>
        </w:rPr>
        <w:t>من</w:t>
      </w:r>
      <w:r w:rsidR="00641D93">
        <w:rPr>
          <w:rFonts w:hint="cs"/>
          <w:rtl/>
          <w:lang w:bidi="ar-SY"/>
        </w:rPr>
        <w:t xml:space="preserve"> </w:t>
      </w:r>
      <w:r w:rsidR="00F32B28" w:rsidRPr="00F32B28">
        <w:rPr>
          <w:rFonts w:hint="cs"/>
          <w:rtl/>
          <w:lang w:bidi="ar-SY"/>
        </w:rPr>
        <w:t>مسؤولياتها</w:t>
      </w:r>
      <w:r w:rsidR="00641D93">
        <w:rPr>
          <w:rFonts w:hint="cs"/>
          <w:rtl/>
          <w:lang w:bidi="ar-SY"/>
        </w:rPr>
        <w:t xml:space="preserve"> </w:t>
      </w:r>
      <w:r w:rsidR="00F32B28" w:rsidRPr="00F32B28">
        <w:rPr>
          <w:rFonts w:hint="cs"/>
          <w:rtl/>
          <w:lang w:bidi="ar-SY"/>
        </w:rPr>
        <w:t>القانونية</w:t>
      </w:r>
      <w:r w:rsidR="00641D93">
        <w:rPr>
          <w:rFonts w:hint="cs"/>
          <w:rtl/>
          <w:lang w:bidi="ar-SY"/>
        </w:rPr>
        <w:t xml:space="preserve"> </w:t>
      </w:r>
      <w:r w:rsidR="00F32B28" w:rsidRPr="00F32B28">
        <w:rPr>
          <w:rFonts w:hint="cs"/>
          <w:rtl/>
          <w:lang w:bidi="ar-SY"/>
        </w:rPr>
        <w:t>المترتبة</w:t>
      </w:r>
      <w:r w:rsidR="00641D93">
        <w:rPr>
          <w:rFonts w:hint="cs"/>
          <w:rtl/>
          <w:lang w:bidi="ar-SY"/>
        </w:rPr>
        <w:t xml:space="preserve"> </w:t>
      </w:r>
      <w:r w:rsidR="00F32B28" w:rsidRPr="00F32B28">
        <w:rPr>
          <w:rFonts w:hint="cs"/>
          <w:rtl/>
          <w:lang w:bidi="ar-SY"/>
        </w:rPr>
        <w:t>عليها</w:t>
      </w:r>
      <w:r w:rsidR="00641D93">
        <w:rPr>
          <w:rFonts w:hint="cs"/>
          <w:rtl/>
          <w:lang w:bidi="ar-SY"/>
        </w:rPr>
        <w:t xml:space="preserve"> </w:t>
      </w:r>
      <w:r w:rsidR="00F32B28" w:rsidRPr="00F32B28">
        <w:rPr>
          <w:rFonts w:hint="cs"/>
          <w:rtl/>
          <w:lang w:bidi="ar-SY"/>
        </w:rPr>
        <w:t>بموجب</w:t>
      </w:r>
      <w:r w:rsidR="00641D93">
        <w:rPr>
          <w:rFonts w:hint="cs"/>
          <w:rtl/>
          <w:lang w:bidi="ar-SY"/>
        </w:rPr>
        <w:t xml:space="preserve"> </w:t>
      </w:r>
      <w:r w:rsidR="00F32B28" w:rsidRPr="00F32B28">
        <w:rPr>
          <w:rFonts w:hint="cs"/>
          <w:rtl/>
          <w:lang w:bidi="ar-SY"/>
        </w:rPr>
        <w:t>القانون</w:t>
      </w:r>
      <w:r w:rsidR="00641D93">
        <w:rPr>
          <w:rFonts w:hint="cs"/>
          <w:rtl/>
          <w:lang w:bidi="ar-SY"/>
        </w:rPr>
        <w:t xml:space="preserve"> </w:t>
      </w:r>
      <w:r w:rsidR="00F32B28" w:rsidRPr="00F32B28">
        <w:rPr>
          <w:rFonts w:hint="cs"/>
          <w:rtl/>
          <w:lang w:bidi="ar-SY"/>
        </w:rPr>
        <w:t>الدولي،</w:t>
      </w:r>
      <w:r w:rsidR="00F32B28">
        <w:rPr>
          <w:rFonts w:hint="cs"/>
          <w:rtl/>
          <w:lang w:bidi="ar-SY"/>
        </w:rPr>
        <w:t xml:space="preserve"> </w:t>
      </w:r>
      <w:r w:rsidR="00F32B28" w:rsidRPr="00F32B28">
        <w:rPr>
          <w:rFonts w:hint="cs"/>
          <w:rtl/>
          <w:lang w:bidi="ar-SY"/>
        </w:rPr>
        <w:t>لا</w:t>
      </w:r>
      <w:r w:rsidR="00F32B28">
        <w:rPr>
          <w:rFonts w:hint="cs"/>
          <w:rtl/>
          <w:lang w:bidi="ar-SY"/>
        </w:rPr>
        <w:t xml:space="preserve"> </w:t>
      </w:r>
      <w:r w:rsidR="00F32B28" w:rsidRPr="00F32B28">
        <w:rPr>
          <w:rFonts w:hint="cs"/>
          <w:rtl/>
          <w:lang w:bidi="ar-SY"/>
        </w:rPr>
        <w:t>سيما</w:t>
      </w:r>
      <w:r w:rsidR="00F32B28">
        <w:rPr>
          <w:rFonts w:hint="cs"/>
          <w:rtl/>
          <w:lang w:bidi="ar-SY"/>
        </w:rPr>
        <w:t xml:space="preserve"> </w:t>
      </w:r>
      <w:r w:rsidR="00F32B28" w:rsidRPr="00F32B28">
        <w:rPr>
          <w:rFonts w:hint="cs"/>
          <w:rtl/>
          <w:lang w:bidi="ar-SY"/>
        </w:rPr>
        <w:t>القانون</w:t>
      </w:r>
      <w:r w:rsidR="00F32B28">
        <w:rPr>
          <w:rFonts w:hint="cs"/>
          <w:rtl/>
          <w:lang w:bidi="ar-SY"/>
        </w:rPr>
        <w:t xml:space="preserve"> </w:t>
      </w:r>
      <w:r w:rsidR="00F32B28" w:rsidRPr="00F32B28">
        <w:rPr>
          <w:rFonts w:hint="cs"/>
          <w:rtl/>
          <w:lang w:bidi="ar-SY"/>
        </w:rPr>
        <w:t>الدولي</w:t>
      </w:r>
      <w:r w:rsidR="00F32B28">
        <w:rPr>
          <w:rFonts w:hint="cs"/>
          <w:rtl/>
          <w:lang w:bidi="ar-SY"/>
        </w:rPr>
        <w:t xml:space="preserve"> </w:t>
      </w:r>
      <w:r w:rsidR="00F32B28" w:rsidRPr="00F32B28">
        <w:rPr>
          <w:rFonts w:hint="cs"/>
          <w:rtl/>
          <w:lang w:bidi="ar-SY"/>
        </w:rPr>
        <w:t>الإنساني</w:t>
      </w:r>
      <w:r w:rsidR="00641D93">
        <w:rPr>
          <w:rFonts w:hint="cs"/>
          <w:rtl/>
          <w:lang w:bidi="ar-SY"/>
        </w:rPr>
        <w:t xml:space="preserve"> </w:t>
      </w:r>
      <w:r w:rsidR="00F32B28" w:rsidRPr="00F32B28">
        <w:rPr>
          <w:rFonts w:hint="cs"/>
          <w:rtl/>
          <w:lang w:bidi="ar-SY"/>
        </w:rPr>
        <w:t>والقانون</w:t>
      </w:r>
      <w:r w:rsidR="00F32B28">
        <w:rPr>
          <w:rFonts w:hint="cs"/>
          <w:rtl/>
          <w:lang w:bidi="ar-SY"/>
        </w:rPr>
        <w:t xml:space="preserve"> </w:t>
      </w:r>
      <w:r w:rsidR="00F32B28" w:rsidRPr="00F32B28">
        <w:rPr>
          <w:rFonts w:hint="cs"/>
          <w:rtl/>
          <w:lang w:bidi="ar-SY"/>
        </w:rPr>
        <w:t>الدولي</w:t>
      </w:r>
      <w:r w:rsidR="00F32B28">
        <w:rPr>
          <w:rFonts w:hint="cs"/>
          <w:rtl/>
          <w:lang w:bidi="ar-SY"/>
        </w:rPr>
        <w:t xml:space="preserve"> </w:t>
      </w:r>
      <w:r w:rsidR="00F32B28" w:rsidRPr="00F32B28">
        <w:rPr>
          <w:rFonts w:hint="cs"/>
          <w:rtl/>
          <w:lang w:bidi="ar-SY"/>
        </w:rPr>
        <w:t>لحقوق</w:t>
      </w:r>
      <w:r w:rsidR="00F32B28">
        <w:rPr>
          <w:rFonts w:hint="cs"/>
          <w:rtl/>
          <w:lang w:bidi="ar-SY"/>
        </w:rPr>
        <w:t xml:space="preserve"> </w:t>
      </w:r>
      <w:r w:rsidR="00F32B28" w:rsidRPr="00F32B28">
        <w:rPr>
          <w:rFonts w:hint="cs"/>
          <w:rtl/>
          <w:lang w:bidi="ar-SY"/>
        </w:rPr>
        <w:t>الإنسان</w:t>
      </w:r>
      <w:r w:rsidR="00641D93">
        <w:rPr>
          <w:rFonts w:hint="cs"/>
          <w:rtl/>
          <w:lang w:bidi="ar-SY"/>
        </w:rPr>
        <w:t xml:space="preserve"> </w:t>
      </w:r>
      <w:r w:rsidR="00F32B28" w:rsidRPr="00F32B28">
        <w:rPr>
          <w:rFonts w:hint="cs"/>
          <w:rtl/>
          <w:lang w:bidi="ar-SY"/>
        </w:rPr>
        <w:t>وفتوى</w:t>
      </w:r>
      <w:r w:rsidR="00F32B28">
        <w:rPr>
          <w:rFonts w:hint="cs"/>
          <w:rtl/>
          <w:lang w:bidi="ar-SY"/>
        </w:rPr>
        <w:t xml:space="preserve"> </w:t>
      </w:r>
      <w:r w:rsidR="00F32B28" w:rsidRPr="00F32B28">
        <w:rPr>
          <w:rFonts w:hint="cs"/>
          <w:rtl/>
          <w:lang w:bidi="ar-SY"/>
        </w:rPr>
        <w:t>محكمة</w:t>
      </w:r>
      <w:r w:rsidR="00F32B28">
        <w:rPr>
          <w:rFonts w:hint="cs"/>
          <w:rtl/>
          <w:lang w:bidi="ar-SY"/>
        </w:rPr>
        <w:t xml:space="preserve"> </w:t>
      </w:r>
      <w:r w:rsidR="00F32B28" w:rsidRPr="00F32B28">
        <w:rPr>
          <w:rFonts w:hint="cs"/>
          <w:rtl/>
          <w:lang w:bidi="ar-SY"/>
        </w:rPr>
        <w:t>العدل</w:t>
      </w:r>
      <w:r w:rsidR="00F32B28">
        <w:rPr>
          <w:rFonts w:hint="cs"/>
          <w:rtl/>
          <w:lang w:bidi="ar-SY"/>
        </w:rPr>
        <w:t xml:space="preserve"> </w:t>
      </w:r>
      <w:r w:rsidR="00F32B28" w:rsidRPr="00F32B28">
        <w:rPr>
          <w:rFonts w:hint="cs"/>
          <w:rtl/>
          <w:lang w:bidi="ar-SY"/>
        </w:rPr>
        <w:t>الدولية</w:t>
      </w:r>
      <w:r w:rsidR="00F32B28">
        <w:rPr>
          <w:rFonts w:hint="cs"/>
          <w:rtl/>
          <w:lang w:bidi="ar-SY"/>
        </w:rPr>
        <w:t xml:space="preserve"> </w:t>
      </w:r>
      <w:r w:rsidR="00F32B28" w:rsidRPr="00F32B28">
        <w:rPr>
          <w:rFonts w:hint="cs"/>
          <w:rtl/>
          <w:lang w:bidi="ar-SY"/>
        </w:rPr>
        <w:t>بشأن</w:t>
      </w:r>
      <w:r w:rsidR="00F32B28">
        <w:rPr>
          <w:rFonts w:hint="cs"/>
          <w:rtl/>
          <w:lang w:bidi="ar-SY"/>
        </w:rPr>
        <w:t xml:space="preserve"> </w:t>
      </w:r>
      <w:r w:rsidR="00F32B28" w:rsidRPr="00F32B28">
        <w:rPr>
          <w:rFonts w:hint="cs"/>
          <w:rtl/>
          <w:lang w:bidi="ar-SY"/>
        </w:rPr>
        <w:t>الآثار</w:t>
      </w:r>
      <w:r w:rsidR="00641D93">
        <w:rPr>
          <w:rFonts w:hint="cs"/>
          <w:rtl/>
          <w:lang w:bidi="ar-SY"/>
        </w:rPr>
        <w:t xml:space="preserve"> </w:t>
      </w:r>
      <w:r w:rsidR="00F32B28" w:rsidRPr="00F32B28">
        <w:rPr>
          <w:rFonts w:hint="cs"/>
          <w:rtl/>
          <w:lang w:bidi="ar-SY"/>
        </w:rPr>
        <w:t>القانونية</w:t>
      </w:r>
      <w:r w:rsidR="00641D93">
        <w:rPr>
          <w:rFonts w:hint="cs"/>
          <w:rtl/>
          <w:lang w:bidi="ar-SY"/>
        </w:rPr>
        <w:t xml:space="preserve"> </w:t>
      </w:r>
      <w:r w:rsidR="00F32B28" w:rsidRPr="00F32B28">
        <w:rPr>
          <w:rFonts w:hint="cs"/>
          <w:rtl/>
          <w:lang w:bidi="ar-SY"/>
        </w:rPr>
        <w:t>الناشئة</w:t>
      </w:r>
      <w:r w:rsidR="00641D93">
        <w:rPr>
          <w:rFonts w:hint="cs"/>
          <w:rtl/>
          <w:lang w:bidi="ar-SY"/>
        </w:rPr>
        <w:t xml:space="preserve"> </w:t>
      </w:r>
      <w:r w:rsidR="00F32B28" w:rsidRPr="00F32B28">
        <w:rPr>
          <w:rFonts w:hint="cs"/>
          <w:rtl/>
          <w:lang w:bidi="ar-SY"/>
        </w:rPr>
        <w:t>عـن</w:t>
      </w:r>
      <w:r w:rsidR="00641D93">
        <w:rPr>
          <w:rFonts w:hint="cs"/>
          <w:rtl/>
          <w:lang w:bidi="ar-SY"/>
        </w:rPr>
        <w:t xml:space="preserve"> </w:t>
      </w:r>
      <w:r w:rsidR="00F32B28" w:rsidRPr="00F32B28">
        <w:rPr>
          <w:rFonts w:hint="cs"/>
          <w:rtl/>
          <w:lang w:bidi="ar-SY"/>
        </w:rPr>
        <w:t>تشييد</w:t>
      </w:r>
      <w:r w:rsidR="00641D93">
        <w:rPr>
          <w:rFonts w:hint="cs"/>
          <w:rtl/>
          <w:lang w:bidi="ar-SY"/>
        </w:rPr>
        <w:t xml:space="preserve"> </w:t>
      </w:r>
      <w:r w:rsidR="00F32B28" w:rsidRPr="00F32B28">
        <w:rPr>
          <w:rFonts w:hint="cs"/>
          <w:rtl/>
          <w:lang w:bidi="ar-SY"/>
        </w:rPr>
        <w:t>جدار</w:t>
      </w:r>
      <w:r w:rsidR="00641D93">
        <w:rPr>
          <w:rFonts w:hint="cs"/>
          <w:rtl/>
          <w:lang w:bidi="ar-SY"/>
        </w:rPr>
        <w:t xml:space="preserve"> </w:t>
      </w:r>
      <w:r w:rsidR="00F32B28" w:rsidRPr="00F32B28">
        <w:rPr>
          <w:rFonts w:hint="cs"/>
          <w:rtl/>
          <w:lang w:bidi="ar-SY"/>
        </w:rPr>
        <w:t>في</w:t>
      </w:r>
      <w:r w:rsidR="00641D93">
        <w:rPr>
          <w:rFonts w:hint="cs"/>
          <w:rtl/>
          <w:lang w:bidi="ar-SY"/>
        </w:rPr>
        <w:t xml:space="preserve"> </w:t>
      </w:r>
      <w:r w:rsidR="00F32B28" w:rsidRPr="00F32B28">
        <w:rPr>
          <w:rFonts w:hint="cs"/>
          <w:rtl/>
          <w:lang w:bidi="ar-SY"/>
        </w:rPr>
        <w:t>الأرض</w:t>
      </w:r>
      <w:r w:rsidR="00641D93">
        <w:rPr>
          <w:rFonts w:hint="cs"/>
          <w:rtl/>
          <w:lang w:bidi="ar-SY"/>
        </w:rPr>
        <w:t xml:space="preserve"> </w:t>
      </w:r>
      <w:r w:rsidR="00F32B28" w:rsidRPr="00F32B28">
        <w:rPr>
          <w:rFonts w:hint="cs"/>
          <w:rtl/>
          <w:lang w:bidi="ar-SY"/>
        </w:rPr>
        <w:t>الفلسطينية</w:t>
      </w:r>
      <w:r w:rsidR="00641D93">
        <w:rPr>
          <w:rFonts w:hint="cs"/>
          <w:rtl/>
          <w:lang w:bidi="ar-SY"/>
        </w:rPr>
        <w:t xml:space="preserve"> </w:t>
      </w:r>
      <w:r w:rsidR="00F32B28" w:rsidRPr="00F32B28">
        <w:rPr>
          <w:rFonts w:hint="cs"/>
          <w:rtl/>
          <w:lang w:bidi="ar-SY"/>
        </w:rPr>
        <w:t>المحتلة</w:t>
      </w:r>
      <w:r w:rsidR="00F32B28">
        <w:rPr>
          <w:rFonts w:hint="cs"/>
          <w:rtl/>
          <w:lang w:bidi="ar-SY"/>
        </w:rPr>
        <w:t xml:space="preserve"> </w:t>
      </w:r>
      <w:r w:rsidR="00F32B28" w:rsidRPr="00F32B28">
        <w:rPr>
          <w:rFonts w:hint="cs"/>
          <w:rtl/>
          <w:lang w:bidi="ar-SY"/>
        </w:rPr>
        <w:t>للعام</w:t>
      </w:r>
      <w:r w:rsidR="00F32B28">
        <w:rPr>
          <w:rFonts w:hint="cs"/>
          <w:rtl/>
          <w:lang w:bidi="ar-SY"/>
        </w:rPr>
        <w:t xml:space="preserve"> </w:t>
      </w:r>
      <w:r w:rsidR="00F32B28" w:rsidRPr="00F32B28">
        <w:rPr>
          <w:rFonts w:hint="cs"/>
          <w:rtl/>
          <w:lang w:bidi="ar-SY"/>
        </w:rPr>
        <w:t>2004،</w:t>
      </w:r>
      <w:r w:rsidR="00F32B28">
        <w:rPr>
          <w:rFonts w:hint="cs"/>
          <w:rtl/>
          <w:lang w:bidi="ar-SY"/>
        </w:rPr>
        <w:t xml:space="preserve"> </w:t>
      </w:r>
      <w:r w:rsidR="00F32B28" w:rsidRPr="00F32B28">
        <w:rPr>
          <w:rFonts w:hint="cs"/>
          <w:rtl/>
          <w:lang w:bidi="ar-SY"/>
        </w:rPr>
        <w:t>وبما</w:t>
      </w:r>
      <w:r w:rsidR="00F32B28">
        <w:rPr>
          <w:rFonts w:hint="cs"/>
          <w:rtl/>
          <w:lang w:bidi="ar-SY"/>
        </w:rPr>
        <w:t xml:space="preserve"> </w:t>
      </w:r>
      <w:r w:rsidR="00F32B28" w:rsidRPr="00F32B28">
        <w:rPr>
          <w:rFonts w:hint="cs"/>
          <w:rtl/>
          <w:lang w:bidi="ar-SY"/>
        </w:rPr>
        <w:t>يشمل</w:t>
      </w:r>
      <w:r w:rsidR="00F32B28">
        <w:rPr>
          <w:rFonts w:hint="cs"/>
          <w:rtl/>
          <w:lang w:bidi="ar-SY"/>
        </w:rPr>
        <w:t xml:space="preserve"> </w:t>
      </w:r>
      <w:r w:rsidR="00F32B28" w:rsidRPr="00F32B28">
        <w:rPr>
          <w:rFonts w:hint="cs"/>
          <w:rtl/>
          <w:lang w:bidi="ar-SY"/>
        </w:rPr>
        <w:t>ذلك</w:t>
      </w:r>
      <w:r w:rsidR="00641D93">
        <w:rPr>
          <w:rFonts w:hint="cs"/>
          <w:rtl/>
          <w:lang w:bidi="ar-SY"/>
        </w:rPr>
        <w:t xml:space="preserve"> </w:t>
      </w:r>
      <w:r w:rsidR="00F32B28" w:rsidRPr="00F32B28">
        <w:rPr>
          <w:rFonts w:hint="cs"/>
          <w:rtl/>
          <w:lang w:bidi="ar-SY"/>
        </w:rPr>
        <w:t>إلزام</w:t>
      </w:r>
      <w:r w:rsidR="00F32B28">
        <w:rPr>
          <w:rFonts w:hint="cs"/>
          <w:rtl/>
          <w:lang w:bidi="ar-SY"/>
        </w:rPr>
        <w:t xml:space="preserve"> </w:t>
      </w:r>
      <w:r w:rsidR="00F32B28" w:rsidRPr="00F32B28">
        <w:rPr>
          <w:rFonts w:hint="cs"/>
          <w:rtl/>
          <w:lang w:bidi="ar-SY"/>
        </w:rPr>
        <w:t>إسرائيل،</w:t>
      </w:r>
      <w:r w:rsidR="00F32B28">
        <w:rPr>
          <w:rFonts w:hint="cs"/>
          <w:rtl/>
          <w:lang w:bidi="ar-SY"/>
        </w:rPr>
        <w:t xml:space="preserve"> </w:t>
      </w:r>
      <w:r w:rsidR="00F32B28" w:rsidRPr="00F32B28">
        <w:rPr>
          <w:rFonts w:hint="cs"/>
          <w:rtl/>
          <w:lang w:bidi="ar-SY"/>
        </w:rPr>
        <w:t>السلطة</w:t>
      </w:r>
      <w:r w:rsidR="00F32B28">
        <w:rPr>
          <w:rFonts w:hint="cs"/>
          <w:rtl/>
          <w:lang w:bidi="ar-SY"/>
        </w:rPr>
        <w:t xml:space="preserve"> </w:t>
      </w:r>
      <w:r w:rsidR="00F32B28" w:rsidRPr="00F32B28">
        <w:rPr>
          <w:rFonts w:hint="cs"/>
          <w:rtl/>
          <w:lang w:bidi="ar-SY"/>
        </w:rPr>
        <w:t>القائمة</w:t>
      </w:r>
      <w:r w:rsidR="00F32B28">
        <w:rPr>
          <w:rFonts w:hint="cs"/>
          <w:rtl/>
          <w:lang w:bidi="ar-SY"/>
        </w:rPr>
        <w:t xml:space="preserve"> </w:t>
      </w:r>
      <w:r w:rsidR="00F32B28" w:rsidRPr="00F32B28">
        <w:rPr>
          <w:rFonts w:hint="cs"/>
          <w:rtl/>
          <w:lang w:bidi="ar-SY"/>
        </w:rPr>
        <w:t>بالاحتلال،</w:t>
      </w:r>
      <w:r w:rsidR="00F32B28">
        <w:rPr>
          <w:rFonts w:hint="cs"/>
          <w:rtl/>
          <w:lang w:bidi="ar-SY"/>
        </w:rPr>
        <w:t xml:space="preserve"> </w:t>
      </w:r>
      <w:r w:rsidR="00F32B28" w:rsidRPr="00F32B28">
        <w:rPr>
          <w:rFonts w:hint="cs"/>
          <w:rtl/>
          <w:lang w:bidi="ar-SY"/>
        </w:rPr>
        <w:t>باحترام</w:t>
      </w:r>
      <w:r w:rsidR="00F32B28">
        <w:rPr>
          <w:rFonts w:hint="cs"/>
          <w:rtl/>
          <w:lang w:bidi="ar-SY"/>
        </w:rPr>
        <w:t xml:space="preserve"> </w:t>
      </w:r>
      <w:r w:rsidR="00F32B28" w:rsidRPr="00F32B28">
        <w:rPr>
          <w:rFonts w:hint="cs"/>
          <w:rtl/>
          <w:lang w:bidi="ar-SY"/>
        </w:rPr>
        <w:t>أحكام</w:t>
      </w:r>
      <w:r w:rsidR="00F32B28">
        <w:rPr>
          <w:rFonts w:hint="cs"/>
          <w:rtl/>
          <w:lang w:bidi="ar-SY"/>
        </w:rPr>
        <w:t xml:space="preserve"> </w:t>
      </w:r>
      <w:r w:rsidR="00F32B28" w:rsidRPr="00F32B28">
        <w:rPr>
          <w:rFonts w:hint="cs"/>
          <w:rtl/>
          <w:lang w:bidi="ar-SY"/>
        </w:rPr>
        <w:t>هذه</w:t>
      </w:r>
      <w:r w:rsidR="00F32B28">
        <w:rPr>
          <w:rFonts w:hint="cs"/>
          <w:rtl/>
          <w:lang w:bidi="ar-SY"/>
        </w:rPr>
        <w:t xml:space="preserve"> </w:t>
      </w:r>
      <w:r w:rsidR="00F32B28" w:rsidRPr="00F32B28">
        <w:rPr>
          <w:rFonts w:hint="cs"/>
          <w:rtl/>
          <w:lang w:bidi="ar-SY"/>
        </w:rPr>
        <w:t>الاتفاقية</w:t>
      </w:r>
      <w:r w:rsidR="00F32B28">
        <w:rPr>
          <w:rFonts w:hint="cs"/>
          <w:rtl/>
          <w:lang w:bidi="ar-SY"/>
        </w:rPr>
        <w:t xml:space="preserve"> </w:t>
      </w:r>
      <w:r w:rsidR="00F32B28" w:rsidRPr="00F32B28">
        <w:rPr>
          <w:rFonts w:hint="cs"/>
          <w:rtl/>
          <w:lang w:bidi="ar-SY"/>
        </w:rPr>
        <w:t>وإنفاذها</w:t>
      </w:r>
      <w:r w:rsidR="00F32B28">
        <w:rPr>
          <w:rFonts w:hint="cs"/>
          <w:rtl/>
          <w:lang w:bidi="ar-SY"/>
        </w:rPr>
        <w:t xml:space="preserve"> </w:t>
      </w:r>
      <w:r w:rsidR="00F32B28" w:rsidRPr="00F32B28">
        <w:rPr>
          <w:rFonts w:hint="cs"/>
          <w:rtl/>
          <w:lang w:bidi="ar-SY"/>
        </w:rPr>
        <w:t>تجاه</w:t>
      </w:r>
      <w:r w:rsidR="00F32B28">
        <w:rPr>
          <w:rFonts w:hint="cs"/>
          <w:rtl/>
          <w:lang w:bidi="ar-SY"/>
        </w:rPr>
        <w:t xml:space="preserve"> </w:t>
      </w:r>
      <w:r w:rsidR="00F32B28" w:rsidRPr="00F32B28">
        <w:rPr>
          <w:rFonts w:hint="cs"/>
          <w:rtl/>
          <w:lang w:bidi="ar-SY"/>
        </w:rPr>
        <w:t>النساء</w:t>
      </w:r>
      <w:r w:rsidR="00F32B28">
        <w:rPr>
          <w:rFonts w:hint="cs"/>
          <w:rtl/>
          <w:lang w:bidi="ar-SY"/>
        </w:rPr>
        <w:t xml:space="preserve"> </w:t>
      </w:r>
      <w:r w:rsidR="00F32B28" w:rsidRPr="00F32B28">
        <w:rPr>
          <w:rFonts w:hint="cs"/>
          <w:rtl/>
          <w:lang w:bidi="ar-SY"/>
        </w:rPr>
        <w:t>والفتيات</w:t>
      </w:r>
      <w:r w:rsidR="00F32B28">
        <w:rPr>
          <w:rFonts w:hint="cs"/>
          <w:rtl/>
          <w:lang w:bidi="ar-SY"/>
        </w:rPr>
        <w:t xml:space="preserve"> </w:t>
      </w:r>
      <w:r w:rsidR="00F32B28" w:rsidRPr="00F32B28">
        <w:rPr>
          <w:rFonts w:hint="cs"/>
          <w:rtl/>
          <w:lang w:bidi="ar-SY"/>
        </w:rPr>
        <w:t>الفلسطينيات.</w:t>
      </w:r>
      <w:r w:rsidR="00641D93">
        <w:rPr>
          <w:rFonts w:hint="cs"/>
          <w:rtl/>
          <w:lang w:bidi="ar-SY"/>
        </w:rPr>
        <w:t xml:space="preserve"> </w:t>
      </w:r>
      <w:r w:rsidR="00F32B28" w:rsidRPr="00F32B28">
        <w:rPr>
          <w:rFonts w:hint="cs"/>
          <w:rtl/>
          <w:lang w:bidi="ar-SY"/>
        </w:rPr>
        <w:t>كما</w:t>
      </w:r>
      <w:r w:rsidR="00F32B28">
        <w:rPr>
          <w:rFonts w:hint="cs"/>
          <w:rtl/>
          <w:lang w:bidi="ar-SY"/>
        </w:rPr>
        <w:t xml:space="preserve"> </w:t>
      </w:r>
      <w:r w:rsidR="00F32B28" w:rsidRPr="00F32B28">
        <w:rPr>
          <w:rFonts w:hint="cs"/>
          <w:rtl/>
          <w:lang w:bidi="ar-SY"/>
        </w:rPr>
        <w:t>لا</w:t>
      </w:r>
      <w:r w:rsidR="00F32B28">
        <w:rPr>
          <w:rFonts w:hint="cs"/>
          <w:rtl/>
          <w:lang w:bidi="ar-SY"/>
        </w:rPr>
        <w:t xml:space="preserve"> </w:t>
      </w:r>
      <w:r w:rsidR="00F32B28" w:rsidRPr="00F32B28">
        <w:rPr>
          <w:rFonts w:hint="cs"/>
          <w:rtl/>
          <w:lang w:bidi="ar-SY"/>
        </w:rPr>
        <w:t>يمس</w:t>
      </w:r>
      <w:r w:rsidR="00F32B28">
        <w:rPr>
          <w:rFonts w:hint="cs"/>
          <w:rtl/>
          <w:lang w:bidi="ar-SY"/>
        </w:rPr>
        <w:t xml:space="preserve"> </w:t>
      </w:r>
      <w:r w:rsidR="00F32B28" w:rsidRPr="00F32B28">
        <w:rPr>
          <w:rFonts w:hint="cs"/>
          <w:rtl/>
          <w:lang w:bidi="ar-SY"/>
        </w:rPr>
        <w:t>التقرير</w:t>
      </w:r>
      <w:r w:rsidR="00F32B28">
        <w:rPr>
          <w:rFonts w:hint="cs"/>
          <w:rtl/>
          <w:lang w:bidi="ar-SY"/>
        </w:rPr>
        <w:t xml:space="preserve"> </w:t>
      </w:r>
      <w:r w:rsidR="00F32B28" w:rsidRPr="00F32B28">
        <w:rPr>
          <w:rFonts w:hint="cs"/>
          <w:rtl/>
          <w:lang w:bidi="ar-SY"/>
        </w:rPr>
        <w:t>على</w:t>
      </w:r>
      <w:r w:rsidR="00F32B28">
        <w:rPr>
          <w:rFonts w:hint="cs"/>
          <w:rtl/>
          <w:lang w:bidi="ar-SY"/>
        </w:rPr>
        <w:t xml:space="preserve"> </w:t>
      </w:r>
      <w:r w:rsidR="00F32B28" w:rsidRPr="00F32B28">
        <w:rPr>
          <w:rFonts w:hint="cs"/>
          <w:rtl/>
          <w:lang w:bidi="ar-SY"/>
        </w:rPr>
        <w:t>أي</w:t>
      </w:r>
      <w:r w:rsidR="00F32B28">
        <w:rPr>
          <w:rFonts w:hint="cs"/>
          <w:rtl/>
          <w:lang w:bidi="ar-SY"/>
        </w:rPr>
        <w:t xml:space="preserve"> </w:t>
      </w:r>
      <w:r w:rsidR="00F32B28" w:rsidRPr="00F32B28">
        <w:rPr>
          <w:rFonts w:hint="cs"/>
          <w:rtl/>
          <w:lang w:bidi="ar-SY"/>
        </w:rPr>
        <w:t>نحو</w:t>
      </w:r>
      <w:r w:rsidR="00641D93">
        <w:rPr>
          <w:rFonts w:hint="cs"/>
          <w:rtl/>
          <w:lang w:bidi="ar-SY"/>
        </w:rPr>
        <w:t xml:space="preserve"> </w:t>
      </w:r>
      <w:r w:rsidR="00F32B28" w:rsidRPr="00F32B28">
        <w:rPr>
          <w:rFonts w:hint="cs"/>
          <w:rtl/>
          <w:lang w:bidi="ar-SY"/>
        </w:rPr>
        <w:t>حقاً</w:t>
      </w:r>
      <w:r w:rsidR="00641D93">
        <w:rPr>
          <w:rFonts w:hint="cs"/>
          <w:rtl/>
          <w:lang w:bidi="ar-SY"/>
        </w:rPr>
        <w:t xml:space="preserve"> </w:t>
      </w:r>
      <w:r w:rsidR="00F32B28" w:rsidRPr="00F32B28">
        <w:rPr>
          <w:rFonts w:hint="cs"/>
          <w:rtl/>
          <w:lang w:bidi="ar-SY"/>
        </w:rPr>
        <w:t>لفلسطينية</w:t>
      </w:r>
      <w:r w:rsidR="00F32B28">
        <w:rPr>
          <w:rFonts w:hint="cs"/>
          <w:rtl/>
          <w:lang w:bidi="ar-SY"/>
        </w:rPr>
        <w:t xml:space="preserve"> </w:t>
      </w:r>
      <w:r w:rsidR="00F32B28" w:rsidRPr="00F32B28">
        <w:rPr>
          <w:rFonts w:hint="cs"/>
          <w:rtl/>
          <w:lang w:bidi="ar-SY"/>
        </w:rPr>
        <w:t>وفلسطيني،</w:t>
      </w:r>
      <w:r w:rsidR="00641D93">
        <w:rPr>
          <w:rFonts w:hint="cs"/>
          <w:rtl/>
          <w:lang w:bidi="ar-SY"/>
        </w:rPr>
        <w:t xml:space="preserve"> </w:t>
      </w:r>
      <w:r w:rsidR="00F32B28" w:rsidRPr="00F32B28">
        <w:rPr>
          <w:rFonts w:hint="cs"/>
          <w:rtl/>
          <w:lang w:bidi="ar-SY"/>
        </w:rPr>
        <w:t>حيثما</w:t>
      </w:r>
      <w:r w:rsidR="00641D93">
        <w:rPr>
          <w:rFonts w:hint="cs"/>
          <w:rtl/>
          <w:lang w:bidi="ar-SY"/>
        </w:rPr>
        <w:t xml:space="preserve"> </w:t>
      </w:r>
      <w:r w:rsidR="00F32B28" w:rsidRPr="00F32B28">
        <w:rPr>
          <w:rFonts w:hint="cs"/>
          <w:rtl/>
          <w:lang w:bidi="ar-SY"/>
        </w:rPr>
        <w:t>وجدوا،</w:t>
      </w:r>
      <w:r w:rsidR="00641D93">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ممارسة</w:t>
      </w:r>
      <w:r w:rsidR="00F32B28">
        <w:rPr>
          <w:rFonts w:hint="cs"/>
          <w:rtl/>
          <w:lang w:bidi="ar-SY"/>
        </w:rPr>
        <w:t xml:space="preserve"> </w:t>
      </w:r>
      <w:r w:rsidR="00F32B28" w:rsidRPr="00F32B28">
        <w:rPr>
          <w:rFonts w:hint="cs"/>
          <w:rtl/>
          <w:lang w:bidi="ar-SY"/>
        </w:rPr>
        <w:t>حقوقهم</w:t>
      </w:r>
      <w:r w:rsidR="00641D93">
        <w:rPr>
          <w:rFonts w:hint="cs"/>
          <w:rtl/>
          <w:lang w:bidi="ar-SY"/>
        </w:rPr>
        <w:t xml:space="preserve"> </w:t>
      </w:r>
      <w:r w:rsidR="00F32B28" w:rsidRPr="00F32B28">
        <w:rPr>
          <w:rFonts w:hint="cs"/>
          <w:rtl/>
          <w:lang w:bidi="ar-SY"/>
        </w:rPr>
        <w:t>التاريخية</w:t>
      </w:r>
      <w:r w:rsidR="00641D93">
        <w:rPr>
          <w:rFonts w:hint="cs"/>
          <w:rtl/>
          <w:lang w:bidi="ar-SY"/>
        </w:rPr>
        <w:t xml:space="preserve"> </w:t>
      </w:r>
      <w:r w:rsidR="00F32B28" w:rsidRPr="00F32B28">
        <w:rPr>
          <w:rFonts w:hint="cs"/>
          <w:rtl/>
          <w:lang w:bidi="ar-SY"/>
        </w:rPr>
        <w:t>الثابتة</w:t>
      </w:r>
      <w:r w:rsidR="00F32B28">
        <w:rPr>
          <w:rFonts w:hint="cs"/>
          <w:rtl/>
          <w:lang w:bidi="ar-SY"/>
        </w:rPr>
        <w:t xml:space="preserve"> </w:t>
      </w:r>
      <w:r w:rsidR="00F32B28" w:rsidRPr="00F32B28">
        <w:rPr>
          <w:rFonts w:hint="cs"/>
          <w:rtl/>
          <w:lang w:bidi="ar-SY"/>
        </w:rPr>
        <w:t>وغير</w:t>
      </w:r>
      <w:r w:rsidR="00F32B28">
        <w:rPr>
          <w:rFonts w:hint="cs"/>
          <w:rtl/>
          <w:lang w:bidi="ar-SY"/>
        </w:rPr>
        <w:t xml:space="preserve"> </w:t>
      </w:r>
      <w:r w:rsidR="00F32B28" w:rsidRPr="00F32B28">
        <w:rPr>
          <w:rFonts w:hint="cs"/>
          <w:rtl/>
          <w:lang w:bidi="ar-SY"/>
        </w:rPr>
        <w:t>القابلة</w:t>
      </w:r>
      <w:r w:rsidR="00F32B28">
        <w:rPr>
          <w:rFonts w:hint="cs"/>
          <w:rtl/>
          <w:lang w:bidi="ar-SY"/>
        </w:rPr>
        <w:t xml:space="preserve"> </w:t>
      </w:r>
      <w:r w:rsidR="00F32B28" w:rsidRPr="00F32B28">
        <w:rPr>
          <w:rFonts w:hint="cs"/>
          <w:rtl/>
          <w:lang w:bidi="ar-SY"/>
        </w:rPr>
        <w:t>للتصرف،</w:t>
      </w:r>
      <w:r w:rsidR="00F32B28">
        <w:rPr>
          <w:rFonts w:hint="cs"/>
          <w:rtl/>
          <w:lang w:bidi="ar-SY"/>
        </w:rPr>
        <w:t xml:space="preserve"> </w:t>
      </w:r>
      <w:r w:rsidR="00F32B28" w:rsidRPr="00F32B28">
        <w:rPr>
          <w:rFonts w:hint="cs"/>
          <w:rtl/>
          <w:lang w:bidi="ar-SY"/>
        </w:rPr>
        <w:t>لا</w:t>
      </w:r>
      <w:r w:rsidR="00F32B28">
        <w:rPr>
          <w:rFonts w:hint="cs"/>
          <w:rtl/>
          <w:lang w:bidi="ar-SY"/>
        </w:rPr>
        <w:t xml:space="preserve"> </w:t>
      </w:r>
      <w:r w:rsidR="00F32B28" w:rsidRPr="00F32B28">
        <w:rPr>
          <w:rFonts w:hint="cs"/>
          <w:rtl/>
          <w:lang w:bidi="ar-SY"/>
        </w:rPr>
        <w:t>سيما</w:t>
      </w:r>
      <w:r w:rsidR="00F32B28">
        <w:rPr>
          <w:rFonts w:hint="cs"/>
          <w:rtl/>
          <w:lang w:bidi="ar-SY"/>
        </w:rPr>
        <w:t xml:space="preserve"> </w:t>
      </w:r>
      <w:r w:rsidR="00F32B28" w:rsidRPr="00F32B28">
        <w:rPr>
          <w:rFonts w:hint="cs"/>
          <w:rtl/>
          <w:lang w:bidi="ar-SY"/>
        </w:rPr>
        <w:t>الحق</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تقرير</w:t>
      </w:r>
      <w:r w:rsidR="00F32B28">
        <w:rPr>
          <w:rFonts w:hint="cs"/>
          <w:rtl/>
          <w:lang w:bidi="ar-SY"/>
        </w:rPr>
        <w:t xml:space="preserve"> </w:t>
      </w:r>
      <w:r w:rsidR="00F32B28" w:rsidRPr="00F32B28">
        <w:rPr>
          <w:rFonts w:hint="cs"/>
          <w:rtl/>
          <w:lang w:bidi="ar-SY"/>
        </w:rPr>
        <w:t>المصير</w:t>
      </w:r>
      <w:r w:rsidR="00F32B28">
        <w:rPr>
          <w:rFonts w:hint="cs"/>
          <w:rtl/>
          <w:lang w:bidi="ar-SY"/>
        </w:rPr>
        <w:t xml:space="preserve"> </w:t>
      </w:r>
      <w:r w:rsidR="00F32B28" w:rsidRPr="00F32B28">
        <w:rPr>
          <w:rFonts w:hint="cs"/>
          <w:rtl/>
          <w:lang w:bidi="ar-SY"/>
        </w:rPr>
        <w:t>والعودة.</w:t>
      </w:r>
      <w:r w:rsidR="00F32B28">
        <w:rPr>
          <w:rFonts w:hint="cs"/>
          <w:rtl/>
          <w:lang w:bidi="ar-SY"/>
        </w:rPr>
        <w:t xml:space="preserve"> </w:t>
      </w:r>
      <w:r w:rsidR="00F32B28" w:rsidRPr="00F32B28">
        <w:rPr>
          <w:rFonts w:hint="cs"/>
          <w:rtl/>
          <w:lang w:bidi="ar-JO"/>
        </w:rPr>
        <w:t>وأخيراً،</w:t>
      </w:r>
      <w:r w:rsidR="00F32B28">
        <w:rPr>
          <w:rFonts w:hint="cs"/>
          <w:rtl/>
          <w:lang w:bidi="ar-JO"/>
        </w:rPr>
        <w:t xml:space="preserve"> </w:t>
      </w:r>
      <w:r w:rsidR="00F32B28" w:rsidRPr="00F32B28">
        <w:rPr>
          <w:rFonts w:hint="cs"/>
          <w:rtl/>
          <w:lang w:bidi="ar-JO"/>
        </w:rPr>
        <w:t>لا</w:t>
      </w:r>
      <w:r w:rsidR="008C7FF9">
        <w:rPr>
          <w:rFonts w:hint="eastAsia"/>
          <w:rtl/>
          <w:lang w:bidi="ar-JO"/>
        </w:rPr>
        <w:t> </w:t>
      </w:r>
      <w:r w:rsidR="00F32B28" w:rsidRPr="00F32B28">
        <w:rPr>
          <w:rFonts w:hint="cs"/>
          <w:rtl/>
          <w:lang w:bidi="ar-JO"/>
        </w:rPr>
        <w:t>بد</w:t>
      </w:r>
      <w:r w:rsidR="00F32B28">
        <w:rPr>
          <w:rFonts w:hint="cs"/>
          <w:rtl/>
          <w:lang w:bidi="ar-JO"/>
        </w:rPr>
        <w:t xml:space="preserve"> </w:t>
      </w:r>
      <w:r w:rsidR="00F32B28" w:rsidRPr="00F32B28">
        <w:rPr>
          <w:rFonts w:hint="cs"/>
          <w:rtl/>
          <w:lang w:bidi="ar-JO"/>
        </w:rPr>
        <w:t>من</w:t>
      </w:r>
      <w:r w:rsidR="00F32B28">
        <w:rPr>
          <w:rFonts w:hint="cs"/>
          <w:rtl/>
          <w:lang w:bidi="ar-JO"/>
        </w:rPr>
        <w:t xml:space="preserve"> </w:t>
      </w:r>
      <w:r w:rsidR="00F32B28" w:rsidRPr="00F32B28">
        <w:rPr>
          <w:rFonts w:hint="cs"/>
          <w:rtl/>
          <w:lang w:bidi="ar-JO"/>
        </w:rPr>
        <w:t>التأكيد</w:t>
      </w:r>
      <w:r w:rsidR="00F32B28">
        <w:rPr>
          <w:rFonts w:hint="cs"/>
          <w:rtl/>
          <w:lang w:bidi="ar-JO"/>
        </w:rPr>
        <w:t xml:space="preserve"> </w:t>
      </w:r>
      <w:r w:rsidR="00F32B28" w:rsidRPr="00F32B28">
        <w:rPr>
          <w:rFonts w:hint="cs"/>
          <w:rtl/>
          <w:lang w:bidi="ar-JO"/>
        </w:rPr>
        <w:t>على</w:t>
      </w:r>
      <w:r w:rsidR="00F32B28">
        <w:rPr>
          <w:rFonts w:hint="cs"/>
          <w:rtl/>
          <w:lang w:bidi="ar-JO"/>
        </w:rPr>
        <w:t xml:space="preserve"> </w:t>
      </w:r>
      <w:r w:rsidR="00F32B28" w:rsidRPr="00F32B28">
        <w:rPr>
          <w:rFonts w:hint="cs"/>
          <w:rtl/>
          <w:lang w:bidi="ar-JO"/>
        </w:rPr>
        <w:t>أن</w:t>
      </w:r>
      <w:r w:rsidR="00F32B28">
        <w:rPr>
          <w:rFonts w:hint="cs"/>
          <w:rtl/>
          <w:lang w:bidi="ar-JO"/>
        </w:rPr>
        <w:t xml:space="preserve"> </w:t>
      </w:r>
      <w:r w:rsidR="00F32B28" w:rsidRPr="00F32B28">
        <w:rPr>
          <w:rFonts w:hint="cs"/>
          <w:rtl/>
          <w:lang w:bidi="ar-JO"/>
        </w:rPr>
        <w:t>التقرير</w:t>
      </w:r>
      <w:r w:rsidR="00F32B28">
        <w:rPr>
          <w:rFonts w:hint="cs"/>
          <w:rtl/>
          <w:lang w:bidi="ar-JO"/>
        </w:rPr>
        <w:t xml:space="preserve"> </w:t>
      </w:r>
      <w:r w:rsidR="00F32B28" w:rsidRPr="00F32B28">
        <w:rPr>
          <w:rFonts w:hint="cs"/>
          <w:rtl/>
          <w:lang w:bidi="ar-JO"/>
        </w:rPr>
        <w:t>الحالي</w:t>
      </w:r>
      <w:r w:rsidR="00F32B28">
        <w:rPr>
          <w:rFonts w:hint="cs"/>
          <w:rtl/>
          <w:lang w:bidi="ar-JO"/>
        </w:rPr>
        <w:t xml:space="preserve"> </w:t>
      </w:r>
      <w:r w:rsidR="00F32B28" w:rsidRPr="00F32B28">
        <w:rPr>
          <w:rFonts w:hint="cs"/>
          <w:rtl/>
          <w:lang w:bidi="ar-JO"/>
        </w:rPr>
        <w:t>يقرأ</w:t>
      </w:r>
      <w:r w:rsidR="00F32B28">
        <w:rPr>
          <w:rFonts w:hint="cs"/>
          <w:rtl/>
          <w:lang w:bidi="ar-JO"/>
        </w:rPr>
        <w:t xml:space="preserve"> </w:t>
      </w:r>
      <w:r w:rsidR="00F32B28" w:rsidRPr="00F32B28">
        <w:rPr>
          <w:rFonts w:hint="cs"/>
          <w:rtl/>
          <w:lang w:bidi="ar-JO"/>
        </w:rPr>
        <w:t>ضمن</w:t>
      </w:r>
      <w:r w:rsidR="00F32B28">
        <w:rPr>
          <w:rFonts w:hint="cs"/>
          <w:rtl/>
          <w:lang w:bidi="ar-JO"/>
        </w:rPr>
        <w:t xml:space="preserve"> </w:t>
      </w:r>
      <w:r w:rsidR="00F32B28" w:rsidRPr="00F32B28">
        <w:rPr>
          <w:rFonts w:hint="cs"/>
          <w:rtl/>
          <w:lang w:bidi="ar-JO"/>
        </w:rPr>
        <w:t>السياق</w:t>
      </w:r>
      <w:r w:rsidR="00F32B28">
        <w:rPr>
          <w:rFonts w:hint="cs"/>
          <w:rtl/>
          <w:lang w:bidi="ar-JO"/>
        </w:rPr>
        <w:t xml:space="preserve"> </w:t>
      </w:r>
      <w:r w:rsidR="00F32B28" w:rsidRPr="00F32B28">
        <w:rPr>
          <w:rFonts w:hint="cs"/>
          <w:rtl/>
          <w:lang w:bidi="ar-JO"/>
        </w:rPr>
        <w:t>العام</w:t>
      </w:r>
      <w:r w:rsidR="00F32B28">
        <w:rPr>
          <w:rFonts w:hint="cs"/>
          <w:rtl/>
          <w:lang w:bidi="ar-JO"/>
        </w:rPr>
        <w:t xml:space="preserve"> </w:t>
      </w:r>
      <w:r w:rsidR="00F32B28" w:rsidRPr="00F32B28">
        <w:rPr>
          <w:rFonts w:hint="cs"/>
          <w:rtl/>
          <w:lang w:bidi="ar-JO"/>
        </w:rPr>
        <w:t>المذكور</w:t>
      </w:r>
      <w:r w:rsidR="00F32B28">
        <w:rPr>
          <w:rFonts w:hint="cs"/>
          <w:rtl/>
          <w:lang w:bidi="ar-JO"/>
        </w:rPr>
        <w:t xml:space="preserve"> </w:t>
      </w:r>
      <w:r w:rsidR="00F32B28" w:rsidRPr="00F32B28">
        <w:rPr>
          <w:rFonts w:hint="cs"/>
          <w:rtl/>
          <w:lang w:bidi="ar-JO"/>
        </w:rPr>
        <w:t>في</w:t>
      </w:r>
      <w:r w:rsidR="00F32B28">
        <w:rPr>
          <w:rFonts w:hint="cs"/>
          <w:rtl/>
          <w:lang w:bidi="ar-JO"/>
        </w:rPr>
        <w:t xml:space="preserve"> </w:t>
      </w:r>
      <w:r w:rsidR="00F32B28" w:rsidRPr="00F32B28">
        <w:rPr>
          <w:rFonts w:hint="cs"/>
          <w:rtl/>
          <w:lang w:bidi="ar-JO"/>
        </w:rPr>
        <w:t>الوثيقة</w:t>
      </w:r>
      <w:r w:rsidR="00F32B28">
        <w:rPr>
          <w:rFonts w:hint="cs"/>
          <w:rtl/>
          <w:lang w:bidi="ar-JO"/>
        </w:rPr>
        <w:t xml:space="preserve"> </w:t>
      </w:r>
      <w:r w:rsidR="00F32B28" w:rsidRPr="00F32B28">
        <w:rPr>
          <w:rFonts w:hint="cs"/>
          <w:rtl/>
          <w:lang w:bidi="ar-JO"/>
        </w:rPr>
        <w:t>الأساسية</w:t>
      </w:r>
      <w:r w:rsidR="00F32B28">
        <w:rPr>
          <w:rFonts w:hint="cs"/>
          <w:rtl/>
          <w:lang w:bidi="ar-JO"/>
        </w:rPr>
        <w:t xml:space="preserve"> </w:t>
      </w:r>
      <w:r w:rsidR="00F32B28" w:rsidRPr="00F32B28">
        <w:rPr>
          <w:rFonts w:hint="cs"/>
          <w:rtl/>
          <w:lang w:bidi="ar-JO"/>
        </w:rPr>
        <w:t>الموحدة.</w:t>
      </w:r>
      <w:r w:rsidR="00F32B28">
        <w:rPr>
          <w:rFonts w:hint="cs"/>
          <w:rtl/>
          <w:lang w:bidi="ar-JO"/>
        </w:rPr>
        <w:t xml:space="preserve"> </w:t>
      </w:r>
    </w:p>
    <w:p w:rsidR="00F32B28" w:rsidRPr="00F32B28" w:rsidRDefault="0073062A" w:rsidP="0073062A">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SY"/>
        </w:rPr>
      </w:pPr>
      <w:r>
        <w:rPr>
          <w:rFonts w:hint="cs"/>
          <w:rtl/>
        </w:rPr>
        <w:lastRenderedPageBreak/>
        <w:tab/>
      </w:r>
      <w:r w:rsidR="00F32B28" w:rsidRPr="00F32B28">
        <w:rPr>
          <w:rtl/>
        </w:rPr>
        <w:t>ثانياً</w:t>
      </w:r>
      <w:r>
        <w:rPr>
          <w:rFonts w:hint="cs"/>
          <w:rtl/>
        </w:rPr>
        <w:t xml:space="preserve"> </w:t>
      </w:r>
      <w:r w:rsidR="00F32B28" w:rsidRPr="00F32B28">
        <w:rPr>
          <w:rtl/>
        </w:rPr>
        <w:t>-</w:t>
      </w:r>
      <w:r w:rsidR="00F32B28" w:rsidRPr="00F32B28">
        <w:rPr>
          <w:rtl/>
        </w:rPr>
        <w:tab/>
        <w:t>المعلومات</w:t>
      </w:r>
      <w:r w:rsidR="00F32B28">
        <w:rPr>
          <w:rtl/>
        </w:rPr>
        <w:t xml:space="preserve"> </w:t>
      </w:r>
      <w:r w:rsidR="00F32B28" w:rsidRPr="00F32B28">
        <w:rPr>
          <w:rtl/>
        </w:rPr>
        <w:t>المتعلقة</w:t>
      </w:r>
      <w:r w:rsidR="00F32B28">
        <w:rPr>
          <w:rtl/>
        </w:rPr>
        <w:t xml:space="preserve"> </w:t>
      </w:r>
      <w:r w:rsidR="00F32B28" w:rsidRPr="00F32B28">
        <w:rPr>
          <w:rtl/>
        </w:rPr>
        <w:t>بالمواد</w:t>
      </w:r>
      <w:r w:rsidR="00F32B28">
        <w:rPr>
          <w:rtl/>
        </w:rPr>
        <w:t xml:space="preserve"> </w:t>
      </w:r>
      <w:r w:rsidR="00F32B28" w:rsidRPr="00F32B28">
        <w:rPr>
          <w:rtl/>
        </w:rPr>
        <w:t>الموضوعية</w:t>
      </w:r>
      <w:r w:rsidR="00F32B28">
        <w:rPr>
          <w:rtl/>
        </w:rPr>
        <w:t xml:space="preserve"> </w:t>
      </w:r>
      <w:r w:rsidR="00F32B28" w:rsidRPr="00F32B28">
        <w:rPr>
          <w:rtl/>
        </w:rPr>
        <w:t>للاتفاقية</w:t>
      </w:r>
    </w:p>
    <w:p w:rsidR="0073062A" w:rsidRPr="0073062A" w:rsidRDefault="0073062A" w:rsidP="0073062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lang w:bidi="ar-SY"/>
        </w:rPr>
      </w:pPr>
    </w:p>
    <w:p w:rsidR="00F32B28" w:rsidRPr="00F32B28" w:rsidRDefault="0073062A" w:rsidP="0073062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SY"/>
        </w:rPr>
      </w:pPr>
      <w:r>
        <w:rPr>
          <w:rFonts w:hint="cs"/>
          <w:rtl/>
          <w:lang w:bidi="ar-SY"/>
        </w:rPr>
        <w:tab/>
      </w:r>
      <w:r>
        <w:rPr>
          <w:rFonts w:hint="cs"/>
          <w:rtl/>
          <w:lang w:bidi="ar-SY"/>
        </w:rPr>
        <w:tab/>
      </w:r>
      <w:r w:rsidR="00F32B28" w:rsidRPr="00F32B28">
        <w:rPr>
          <w:rtl/>
          <w:lang w:bidi="ar-SY"/>
        </w:rPr>
        <w:t>الجزء</w:t>
      </w:r>
      <w:r w:rsidR="00F32B28">
        <w:rPr>
          <w:rtl/>
          <w:lang w:bidi="ar-SY"/>
        </w:rPr>
        <w:t xml:space="preserve"> </w:t>
      </w:r>
      <w:r w:rsidR="00F32B28" w:rsidRPr="00F32B28">
        <w:rPr>
          <w:rtl/>
          <w:lang w:bidi="ar-SY"/>
        </w:rPr>
        <w:t>الأول</w:t>
      </w:r>
    </w:p>
    <w:p w:rsidR="0073062A" w:rsidRPr="0073062A" w:rsidRDefault="0073062A" w:rsidP="0073062A">
      <w:pPr>
        <w:pStyle w:val="SingleTxt"/>
        <w:spacing w:after="0" w:line="120" w:lineRule="exact"/>
        <w:rPr>
          <w:b/>
          <w:bCs/>
          <w:sz w:val="10"/>
          <w:rtl/>
          <w:lang w:bidi="ar-SY"/>
        </w:rPr>
      </w:pPr>
    </w:p>
    <w:p w:rsidR="00F32B28" w:rsidRPr="00F32B28" w:rsidRDefault="00F32B28" w:rsidP="0073062A">
      <w:pPr>
        <w:pStyle w:val="SingleTxt"/>
        <w:rPr>
          <w:b/>
          <w:bCs/>
        </w:rPr>
      </w:pPr>
      <w:r w:rsidRPr="00F32B28">
        <w:rPr>
          <w:b/>
          <w:bCs/>
          <w:rtl/>
          <w:lang w:bidi="ar-SY"/>
        </w:rPr>
        <w:t>المادة</w:t>
      </w:r>
      <w:r>
        <w:rPr>
          <w:b/>
          <w:bCs/>
          <w:rtl/>
          <w:lang w:bidi="ar-SY"/>
        </w:rPr>
        <w:t xml:space="preserve"> </w:t>
      </w:r>
      <w:r w:rsidRPr="00F32B28">
        <w:rPr>
          <w:b/>
          <w:bCs/>
          <w:rtl/>
          <w:lang w:bidi="ar-SY"/>
        </w:rPr>
        <w:t>(1)</w:t>
      </w:r>
      <w:r w:rsidR="0073062A">
        <w:rPr>
          <w:rFonts w:hint="cs"/>
          <w:b/>
          <w:bCs/>
          <w:rtl/>
          <w:lang w:bidi="ar-SY"/>
        </w:rPr>
        <w:tab/>
      </w:r>
      <w:r w:rsidR="0073062A">
        <w:rPr>
          <w:rFonts w:hint="cs"/>
          <w:b/>
          <w:bCs/>
          <w:rtl/>
          <w:lang w:bidi="ar-SY"/>
        </w:rPr>
        <w:br/>
      </w:r>
      <w:r w:rsidRPr="00F32B28">
        <w:rPr>
          <w:b/>
          <w:bCs/>
          <w:rtl/>
          <w:lang w:bidi="ar-SY"/>
        </w:rPr>
        <w:t>تعريف</w:t>
      </w:r>
      <w:r>
        <w:rPr>
          <w:b/>
          <w:bCs/>
          <w:rtl/>
          <w:lang w:bidi="ar-SY"/>
        </w:rPr>
        <w:t xml:space="preserve"> </w:t>
      </w:r>
      <w:r w:rsidRPr="00F32B28">
        <w:rPr>
          <w:b/>
          <w:bCs/>
          <w:rtl/>
          <w:lang w:bidi="ar-SY"/>
        </w:rPr>
        <w:t>التمييز</w:t>
      </w:r>
      <w:r>
        <w:rPr>
          <w:b/>
          <w:bCs/>
          <w:rtl/>
          <w:lang w:bidi="ar-SY"/>
        </w:rPr>
        <w:t xml:space="preserve"> </w:t>
      </w:r>
      <w:r w:rsidRPr="00F32B28">
        <w:rPr>
          <w:b/>
          <w:bCs/>
          <w:rtl/>
          <w:lang w:bidi="ar-SY"/>
        </w:rPr>
        <w:t>ضد</w:t>
      </w:r>
      <w:r>
        <w:rPr>
          <w:b/>
          <w:bCs/>
          <w:rtl/>
          <w:lang w:bidi="ar-SY"/>
        </w:rPr>
        <w:t xml:space="preserve"> </w:t>
      </w:r>
      <w:r w:rsidRPr="00F32B28">
        <w:rPr>
          <w:b/>
          <w:bCs/>
          <w:rtl/>
          <w:lang w:bidi="ar-SY"/>
        </w:rPr>
        <w:t>المرأة</w:t>
      </w:r>
    </w:p>
    <w:p w:rsidR="00F32B28" w:rsidRPr="00F32B28" w:rsidRDefault="0073062A" w:rsidP="00EB128F">
      <w:pPr>
        <w:pStyle w:val="SingleTxt"/>
      </w:pPr>
      <w:r>
        <w:rPr>
          <w:rFonts w:hint="cs"/>
          <w:rtl/>
          <w:lang w:bidi="ar-SY"/>
        </w:rPr>
        <w:t>4 -</w:t>
      </w:r>
      <w:r>
        <w:rPr>
          <w:rFonts w:hint="cs"/>
          <w:rtl/>
          <w:lang w:bidi="ar-SY"/>
        </w:rPr>
        <w:tab/>
      </w:r>
      <w:r w:rsidR="00F32B28" w:rsidRPr="00F32B28">
        <w:rPr>
          <w:rtl/>
          <w:lang w:bidi="ar-SY"/>
        </w:rPr>
        <w:t>إن</w:t>
      </w:r>
      <w:r w:rsidR="00F32B28">
        <w:rPr>
          <w:rtl/>
          <w:lang w:bidi="ar-SY"/>
        </w:rPr>
        <w:t xml:space="preserve"> </w:t>
      </w:r>
      <w:r w:rsidR="00F32B28" w:rsidRPr="00F32B28">
        <w:rPr>
          <w:rtl/>
          <w:lang w:bidi="ar-SY"/>
        </w:rPr>
        <w:t>تعريفاً</w:t>
      </w:r>
      <w:r w:rsidR="00F32B28">
        <w:rPr>
          <w:rtl/>
          <w:lang w:bidi="ar-SY"/>
        </w:rPr>
        <w:t xml:space="preserve"> </w:t>
      </w:r>
      <w:r w:rsidR="00F32B28" w:rsidRPr="00F32B28">
        <w:rPr>
          <w:rtl/>
          <w:lang w:bidi="ar-SY"/>
        </w:rPr>
        <w:t>معيناً</w:t>
      </w:r>
      <w:r w:rsidR="00F32B28">
        <w:rPr>
          <w:rtl/>
          <w:lang w:bidi="ar-SY"/>
        </w:rPr>
        <w:t xml:space="preserve"> </w:t>
      </w:r>
      <w:r w:rsidR="00F32B28" w:rsidRPr="00F32B28">
        <w:rPr>
          <w:rtl/>
          <w:lang w:bidi="ar-SY"/>
        </w:rPr>
        <w:t>لمصطلح</w:t>
      </w:r>
      <w:r w:rsidR="00F32B28">
        <w:rPr>
          <w:rtl/>
          <w:lang w:bidi="ar-SY"/>
        </w:rPr>
        <w:t xml:space="preserve"> </w:t>
      </w:r>
      <w:r>
        <w:rPr>
          <w:rFonts w:hint="cs"/>
          <w:rtl/>
          <w:lang w:bidi="ar-SY"/>
        </w:rPr>
        <w:t>”</w:t>
      </w:r>
      <w:r w:rsidR="00F32B28" w:rsidRPr="00F32B28">
        <w:rPr>
          <w:rtl/>
          <w:lang w:bidi="ar-SY"/>
        </w:rPr>
        <w:t>التمييز</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المرأة</w:t>
      </w:r>
      <w:r>
        <w:rPr>
          <w:rFonts w:hint="cs"/>
          <w:rtl/>
          <w:lang w:bidi="ar-SY"/>
        </w:rPr>
        <w:t xml:space="preserve">“ </w:t>
      </w:r>
      <w:r w:rsidR="00F32B28" w:rsidRPr="00F32B28">
        <w:rPr>
          <w:rtl/>
          <w:lang w:bidi="ar-SY"/>
        </w:rPr>
        <w:t>لم</w:t>
      </w:r>
      <w:r w:rsidR="00F32B28">
        <w:rPr>
          <w:rtl/>
          <w:lang w:bidi="ar-SY"/>
        </w:rPr>
        <w:t xml:space="preserve"> </w:t>
      </w:r>
      <w:r w:rsidR="00F32B28" w:rsidRPr="00F32B28">
        <w:rPr>
          <w:rtl/>
          <w:lang w:bidi="ar-SY"/>
        </w:rPr>
        <w:t>يرد</w:t>
      </w:r>
      <w:r w:rsidR="00F32B28">
        <w:rPr>
          <w:rtl/>
          <w:lang w:bidi="ar-SY"/>
        </w:rPr>
        <w:t xml:space="preserve"> </w:t>
      </w:r>
      <w:r w:rsidR="00F32B28" w:rsidRPr="00F32B28">
        <w:rPr>
          <w:rtl/>
          <w:lang w:bidi="ar-SY"/>
        </w:rPr>
        <w:t>صراحةً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المحتلة،</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أن</w:t>
      </w:r>
      <w:r>
        <w:rPr>
          <w:rFonts w:hint="cs"/>
          <w:rtl/>
          <w:lang w:bidi="ar-SY"/>
        </w:rPr>
        <w:t xml:space="preserve"> </w:t>
      </w:r>
      <w:r w:rsidR="00F32B28" w:rsidRPr="00F32B28">
        <w:rPr>
          <w:rtl/>
          <w:lang w:bidi="ar-SY"/>
        </w:rPr>
        <w:t>وثيقة</w:t>
      </w:r>
      <w:r w:rsidR="00F32B28">
        <w:rPr>
          <w:rtl/>
          <w:lang w:bidi="ar-SY"/>
        </w:rPr>
        <w:t xml:space="preserve"> </w:t>
      </w:r>
      <w:r w:rsidR="00F32B28" w:rsidRPr="00F32B28">
        <w:rPr>
          <w:rtl/>
          <w:lang w:bidi="ar-SY"/>
        </w:rPr>
        <w:t>إعلان</w:t>
      </w:r>
      <w:r w:rsidR="00F32B28">
        <w:rPr>
          <w:rtl/>
          <w:lang w:bidi="ar-SY"/>
        </w:rPr>
        <w:t xml:space="preserve"> </w:t>
      </w:r>
      <w:r w:rsidR="00F32B28" w:rsidRPr="00F32B28">
        <w:rPr>
          <w:rtl/>
          <w:lang w:bidi="ar-SY"/>
        </w:rPr>
        <w:t>الاستقلال</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لسنة</w:t>
      </w:r>
      <w:r w:rsidR="00F32B28">
        <w:rPr>
          <w:rtl/>
          <w:lang w:bidi="ar-SY"/>
        </w:rPr>
        <w:t xml:space="preserve"> </w:t>
      </w:r>
      <w:r w:rsidR="00F32B28" w:rsidRPr="00F32B28">
        <w:rPr>
          <w:rtl/>
          <w:lang w:bidi="ar-SY"/>
        </w:rPr>
        <w:t>1988،</w:t>
      </w:r>
      <w:r w:rsidR="0043161B">
        <w:rPr>
          <w:rFonts w:hint="cs"/>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تعتبر</w:t>
      </w:r>
      <w:r w:rsidR="00F32B28">
        <w:rPr>
          <w:rtl/>
          <w:lang w:bidi="ar-SY"/>
        </w:rPr>
        <w:t xml:space="preserve"> </w:t>
      </w:r>
      <w:r w:rsidR="00F32B28" w:rsidRPr="00F32B28">
        <w:rPr>
          <w:rtl/>
          <w:lang w:bidi="ar-SY"/>
        </w:rPr>
        <w:t>الوثيقة</w:t>
      </w:r>
      <w:r w:rsidR="00F32B28">
        <w:rPr>
          <w:rtl/>
          <w:lang w:bidi="ar-SY"/>
        </w:rPr>
        <w:t xml:space="preserve"> </w:t>
      </w:r>
      <w:r w:rsidR="00F32B28" w:rsidRPr="00F32B28">
        <w:rPr>
          <w:rtl/>
          <w:lang w:bidi="ar-SY"/>
        </w:rPr>
        <w:t>الأهم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التاريخ</w:t>
      </w:r>
      <w:r w:rsidR="00F32B28">
        <w:rPr>
          <w:rtl/>
          <w:lang w:bidi="ar-SY"/>
        </w:rPr>
        <w:t xml:space="preserve"> </w:t>
      </w:r>
      <w:r w:rsidR="00F32B28" w:rsidRPr="00F32B28">
        <w:rPr>
          <w:rtl/>
          <w:lang w:bidi="ar-SY"/>
        </w:rPr>
        <w:t>الوطني،</w:t>
      </w:r>
      <w:r>
        <w:rPr>
          <w:rFonts w:hint="cs"/>
          <w:rtl/>
          <w:lang w:bidi="ar-SY"/>
        </w:rPr>
        <w:t xml:space="preserve"> </w:t>
      </w:r>
      <w:r w:rsidR="00F32B28" w:rsidRPr="00F32B28">
        <w:rPr>
          <w:rtl/>
          <w:lang w:bidi="ar-SY"/>
        </w:rPr>
        <w:t>تكفل</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الكاملة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نساءً</w:t>
      </w:r>
      <w:r w:rsidR="00F32B28">
        <w:rPr>
          <w:rtl/>
          <w:lang w:bidi="ar-SY"/>
        </w:rPr>
        <w:t xml:space="preserve"> </w:t>
      </w:r>
      <w:r w:rsidR="00F32B28" w:rsidRPr="00F32B28">
        <w:rPr>
          <w:rtl/>
          <w:lang w:bidi="ar-SY"/>
        </w:rPr>
        <w:t>ورجالاً،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ممارسة</w:t>
      </w:r>
      <w:r w:rsidR="00F32B28">
        <w:rPr>
          <w:rtl/>
          <w:lang w:bidi="ar-SY"/>
        </w:rPr>
        <w:t xml:space="preserve"> </w:t>
      </w:r>
      <w:r w:rsidR="00F32B28" w:rsidRPr="00F32B28">
        <w:rPr>
          <w:rtl/>
          <w:lang w:bidi="ar-SY"/>
        </w:rPr>
        <w:t>الحقوق</w:t>
      </w:r>
      <w:r w:rsidR="00F32B28">
        <w:rPr>
          <w:rtl/>
          <w:lang w:bidi="ar-SY"/>
        </w:rPr>
        <w:t xml:space="preserve"> </w:t>
      </w:r>
      <w:r w:rsidR="00F32B28" w:rsidRPr="00F32B28">
        <w:rPr>
          <w:rtl/>
          <w:lang w:bidi="ar-SY"/>
        </w:rPr>
        <w:t>والحريات</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تمييز،</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تنص</w:t>
      </w:r>
      <w:r w:rsidR="00F32B28">
        <w:rPr>
          <w:rtl/>
          <w:lang w:bidi="ar-SY"/>
        </w:rPr>
        <w:t xml:space="preserve"> </w:t>
      </w:r>
      <w:r w:rsidR="00F32B28" w:rsidRPr="00F32B28">
        <w:rPr>
          <w:rtl/>
          <w:lang w:bidi="ar-SY"/>
        </w:rPr>
        <w:t>صراحةً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أن:</w:t>
      </w:r>
      <w:r>
        <w:rPr>
          <w:rFonts w:hint="cs"/>
          <w:rtl/>
          <w:lang w:bidi="ar-SY"/>
        </w:rPr>
        <w:t xml:space="preserve"> </w:t>
      </w:r>
      <w:r w:rsidR="00407D55">
        <w:rPr>
          <w:rFonts w:hint="eastAsia"/>
          <w:rtl/>
          <w:lang w:bidi="ar-SY"/>
        </w:rPr>
        <w:t>”</w:t>
      </w:r>
      <w:r w:rsidR="00F32B28" w:rsidRPr="00F32B28">
        <w:rPr>
          <w:i/>
          <w:iCs/>
          <w:rtl/>
          <w:lang w:bidi="ar-SY"/>
        </w:rPr>
        <w:t>دولة</w:t>
      </w:r>
      <w:r w:rsidR="00F32B28">
        <w:rPr>
          <w:i/>
          <w:iCs/>
          <w:rtl/>
          <w:lang w:bidi="ar-SY"/>
        </w:rPr>
        <w:t xml:space="preserve"> </w:t>
      </w:r>
      <w:r w:rsidR="00F32B28" w:rsidRPr="00F32B28">
        <w:rPr>
          <w:i/>
          <w:iCs/>
          <w:rtl/>
          <w:lang w:bidi="ar-SY"/>
        </w:rPr>
        <w:t>فلسطين</w:t>
      </w:r>
      <w:r w:rsidR="00F32B28">
        <w:rPr>
          <w:i/>
          <w:iCs/>
          <w:rtl/>
          <w:lang w:bidi="ar-SY"/>
        </w:rPr>
        <w:t xml:space="preserve"> </w:t>
      </w:r>
      <w:r w:rsidR="00F32B28" w:rsidRPr="00F32B28">
        <w:rPr>
          <w:i/>
          <w:iCs/>
          <w:rtl/>
          <w:lang w:bidi="ar-SY"/>
        </w:rPr>
        <w:t>هي</w:t>
      </w:r>
      <w:r w:rsidR="00F32B28">
        <w:rPr>
          <w:i/>
          <w:iCs/>
          <w:rtl/>
          <w:lang w:bidi="ar-SY"/>
        </w:rPr>
        <w:t xml:space="preserve"> </w:t>
      </w:r>
      <w:r w:rsidR="00F32B28" w:rsidRPr="00F32B28">
        <w:rPr>
          <w:i/>
          <w:iCs/>
          <w:rtl/>
          <w:lang w:bidi="ar-SY"/>
        </w:rPr>
        <w:t>للفلسطينيين</w:t>
      </w:r>
      <w:r w:rsidR="00F32B28">
        <w:rPr>
          <w:i/>
          <w:iCs/>
          <w:rtl/>
          <w:lang w:bidi="ar-SY"/>
        </w:rPr>
        <w:t xml:space="preserve"> </w:t>
      </w:r>
      <w:r w:rsidR="00F32B28" w:rsidRPr="00F32B28">
        <w:rPr>
          <w:i/>
          <w:iCs/>
          <w:rtl/>
          <w:lang w:bidi="ar-SY"/>
        </w:rPr>
        <w:t>أينما</w:t>
      </w:r>
      <w:r w:rsidR="00F32B28">
        <w:rPr>
          <w:i/>
          <w:iCs/>
          <w:rtl/>
          <w:lang w:bidi="ar-SY"/>
        </w:rPr>
        <w:t xml:space="preserve"> </w:t>
      </w:r>
      <w:r w:rsidR="00F32B28" w:rsidRPr="00F32B28">
        <w:rPr>
          <w:i/>
          <w:iCs/>
          <w:rtl/>
          <w:lang w:bidi="ar-SY"/>
        </w:rPr>
        <w:t>كانوا،</w:t>
      </w:r>
      <w:r w:rsidR="00F32B28">
        <w:rPr>
          <w:i/>
          <w:iCs/>
          <w:rtl/>
          <w:lang w:bidi="ar-SY"/>
        </w:rPr>
        <w:t xml:space="preserve"> </w:t>
      </w:r>
      <w:r w:rsidR="00F32B28" w:rsidRPr="00F32B28">
        <w:rPr>
          <w:i/>
          <w:iCs/>
          <w:rtl/>
          <w:lang w:bidi="ar-SY"/>
        </w:rPr>
        <w:t>فيها</w:t>
      </w:r>
      <w:r w:rsidR="00F32B28">
        <w:rPr>
          <w:i/>
          <w:iCs/>
          <w:rtl/>
          <w:lang w:bidi="ar-SY"/>
        </w:rPr>
        <w:t xml:space="preserve"> </w:t>
      </w:r>
      <w:r w:rsidR="00F32B28" w:rsidRPr="00F32B28">
        <w:rPr>
          <w:i/>
          <w:iCs/>
          <w:rtl/>
          <w:lang w:bidi="ar-SY"/>
        </w:rPr>
        <w:t>يطورون</w:t>
      </w:r>
      <w:r w:rsidR="00F32B28">
        <w:rPr>
          <w:i/>
          <w:iCs/>
          <w:rtl/>
          <w:lang w:bidi="ar-SY"/>
        </w:rPr>
        <w:t xml:space="preserve"> </w:t>
      </w:r>
      <w:r w:rsidR="00F32B28" w:rsidRPr="00F32B28">
        <w:rPr>
          <w:i/>
          <w:iCs/>
          <w:rtl/>
          <w:lang w:bidi="ar-SY"/>
        </w:rPr>
        <w:t>هويتهم</w:t>
      </w:r>
      <w:r w:rsidR="00F32B28">
        <w:rPr>
          <w:i/>
          <w:iCs/>
          <w:rtl/>
          <w:lang w:bidi="ar-SY"/>
        </w:rPr>
        <w:t xml:space="preserve"> </w:t>
      </w:r>
      <w:r w:rsidR="00F32B28" w:rsidRPr="00F32B28">
        <w:rPr>
          <w:i/>
          <w:iCs/>
          <w:rtl/>
          <w:lang w:bidi="ar-SY"/>
        </w:rPr>
        <w:t>الوطنية</w:t>
      </w:r>
      <w:r w:rsidR="00F32B28">
        <w:rPr>
          <w:i/>
          <w:iCs/>
          <w:rtl/>
          <w:lang w:bidi="ar-SY"/>
        </w:rPr>
        <w:t xml:space="preserve"> </w:t>
      </w:r>
      <w:r w:rsidR="00F32B28" w:rsidRPr="00F32B28">
        <w:rPr>
          <w:i/>
          <w:iCs/>
          <w:rtl/>
          <w:lang w:bidi="ar-SY"/>
        </w:rPr>
        <w:t>والثقافية،</w:t>
      </w:r>
      <w:r w:rsidR="00F32B28">
        <w:rPr>
          <w:i/>
          <w:iCs/>
          <w:rtl/>
          <w:lang w:bidi="ar-SY"/>
        </w:rPr>
        <w:t xml:space="preserve"> </w:t>
      </w:r>
      <w:r w:rsidR="00F32B28" w:rsidRPr="00F32B28">
        <w:rPr>
          <w:i/>
          <w:iCs/>
          <w:rtl/>
          <w:lang w:bidi="ar-SY"/>
        </w:rPr>
        <w:t>ويتمتعون</w:t>
      </w:r>
      <w:r w:rsidR="00F32B28">
        <w:rPr>
          <w:i/>
          <w:iCs/>
          <w:rtl/>
          <w:lang w:bidi="ar-SY"/>
        </w:rPr>
        <w:t xml:space="preserve"> </w:t>
      </w:r>
      <w:r w:rsidR="00F32B28" w:rsidRPr="00F32B28">
        <w:rPr>
          <w:i/>
          <w:iCs/>
          <w:rtl/>
          <w:lang w:bidi="ar-SY"/>
        </w:rPr>
        <w:t>بالمساواة</w:t>
      </w:r>
      <w:r w:rsidR="00F32B28">
        <w:rPr>
          <w:i/>
          <w:iCs/>
          <w:rtl/>
          <w:lang w:bidi="ar-SY"/>
        </w:rPr>
        <w:t xml:space="preserve"> </w:t>
      </w:r>
      <w:r w:rsidR="00F32B28" w:rsidRPr="00F32B28">
        <w:rPr>
          <w:i/>
          <w:iCs/>
          <w:rtl/>
          <w:lang w:bidi="ar-SY"/>
        </w:rPr>
        <w:t>الكاملة</w:t>
      </w:r>
      <w:r w:rsidR="00F32B28">
        <w:rPr>
          <w:i/>
          <w:iCs/>
          <w:rtl/>
          <w:lang w:bidi="ar-SY"/>
        </w:rPr>
        <w:t xml:space="preserve"> </w:t>
      </w:r>
      <w:r w:rsidR="00F32B28" w:rsidRPr="00F32B28">
        <w:rPr>
          <w:i/>
          <w:iCs/>
          <w:rtl/>
          <w:lang w:bidi="ar-SY"/>
        </w:rPr>
        <w:t>في</w:t>
      </w:r>
      <w:r w:rsidR="00F32B28">
        <w:rPr>
          <w:i/>
          <w:iCs/>
          <w:rtl/>
          <w:lang w:bidi="ar-SY"/>
        </w:rPr>
        <w:t xml:space="preserve"> </w:t>
      </w:r>
      <w:r w:rsidR="00F32B28" w:rsidRPr="00F32B28">
        <w:rPr>
          <w:i/>
          <w:iCs/>
          <w:rtl/>
          <w:lang w:bidi="ar-SY"/>
        </w:rPr>
        <w:t>الحقوق،</w:t>
      </w:r>
      <w:r w:rsidR="00F32B28">
        <w:rPr>
          <w:i/>
          <w:iCs/>
          <w:rtl/>
          <w:lang w:bidi="ar-SY"/>
        </w:rPr>
        <w:t xml:space="preserve"> </w:t>
      </w:r>
      <w:r w:rsidR="00F32B28" w:rsidRPr="00F32B28">
        <w:rPr>
          <w:i/>
          <w:iCs/>
          <w:rtl/>
          <w:lang w:bidi="ar-SY"/>
        </w:rPr>
        <w:t>تصان</w:t>
      </w:r>
      <w:r w:rsidR="00F32B28">
        <w:rPr>
          <w:i/>
          <w:iCs/>
          <w:rtl/>
          <w:lang w:bidi="ar-SY"/>
        </w:rPr>
        <w:t xml:space="preserve"> </w:t>
      </w:r>
      <w:r w:rsidR="00F32B28" w:rsidRPr="00F32B28">
        <w:rPr>
          <w:i/>
          <w:iCs/>
          <w:rtl/>
          <w:lang w:bidi="ar-SY"/>
        </w:rPr>
        <w:t>فيها</w:t>
      </w:r>
      <w:r w:rsidR="00F32B28">
        <w:rPr>
          <w:i/>
          <w:iCs/>
          <w:rtl/>
          <w:lang w:bidi="ar-SY"/>
        </w:rPr>
        <w:t xml:space="preserve"> </w:t>
      </w:r>
      <w:r w:rsidR="00F32B28" w:rsidRPr="00F32B28">
        <w:rPr>
          <w:i/>
          <w:iCs/>
          <w:rtl/>
          <w:lang w:bidi="ar-SY"/>
        </w:rPr>
        <w:t>معتقداتهم</w:t>
      </w:r>
      <w:r w:rsidR="00F32B28">
        <w:rPr>
          <w:i/>
          <w:iCs/>
          <w:rtl/>
          <w:lang w:bidi="ar-SY"/>
        </w:rPr>
        <w:t xml:space="preserve"> </w:t>
      </w:r>
      <w:r w:rsidR="00F32B28" w:rsidRPr="00F32B28">
        <w:rPr>
          <w:i/>
          <w:iCs/>
          <w:rtl/>
          <w:lang w:bidi="ar-SY"/>
        </w:rPr>
        <w:t>الدينية</w:t>
      </w:r>
      <w:r w:rsidR="00F32B28">
        <w:rPr>
          <w:i/>
          <w:iCs/>
          <w:rtl/>
          <w:lang w:bidi="ar-SY"/>
        </w:rPr>
        <w:t xml:space="preserve"> </w:t>
      </w:r>
      <w:r w:rsidR="00F32B28" w:rsidRPr="00F32B28">
        <w:rPr>
          <w:i/>
          <w:iCs/>
          <w:rtl/>
          <w:lang w:bidi="ar-SY"/>
        </w:rPr>
        <w:t>والسياسية</w:t>
      </w:r>
      <w:r w:rsidR="00F32B28">
        <w:rPr>
          <w:i/>
          <w:iCs/>
          <w:rtl/>
          <w:lang w:bidi="ar-SY"/>
        </w:rPr>
        <w:t xml:space="preserve"> </w:t>
      </w:r>
      <w:r w:rsidR="00F32B28" w:rsidRPr="00F32B28">
        <w:rPr>
          <w:i/>
          <w:iCs/>
          <w:rtl/>
          <w:lang w:bidi="ar-SY"/>
        </w:rPr>
        <w:t>وكرامتهم</w:t>
      </w:r>
      <w:r w:rsidR="00F32B28">
        <w:rPr>
          <w:i/>
          <w:iCs/>
          <w:rtl/>
          <w:lang w:bidi="ar-SY"/>
        </w:rPr>
        <w:t xml:space="preserve"> </w:t>
      </w:r>
      <w:r w:rsidR="00F32B28" w:rsidRPr="00F32B28">
        <w:rPr>
          <w:i/>
          <w:iCs/>
          <w:rtl/>
          <w:lang w:bidi="ar-SY"/>
        </w:rPr>
        <w:t>الإنسانية،</w:t>
      </w:r>
      <w:r w:rsidR="00F32B28">
        <w:rPr>
          <w:i/>
          <w:iCs/>
          <w:rtl/>
          <w:lang w:bidi="ar-SY"/>
        </w:rPr>
        <w:t xml:space="preserve"> </w:t>
      </w:r>
      <w:r w:rsidR="00F32B28" w:rsidRPr="00F32B28">
        <w:rPr>
          <w:i/>
          <w:iCs/>
          <w:rtl/>
          <w:lang w:bidi="ar-SY"/>
        </w:rPr>
        <w:t>في</w:t>
      </w:r>
      <w:r w:rsidR="00F32B28">
        <w:rPr>
          <w:i/>
          <w:iCs/>
          <w:rtl/>
          <w:lang w:bidi="ar-SY"/>
        </w:rPr>
        <w:t xml:space="preserve"> </w:t>
      </w:r>
      <w:r w:rsidR="00F32B28" w:rsidRPr="00F32B28">
        <w:rPr>
          <w:i/>
          <w:iCs/>
          <w:rtl/>
          <w:lang w:bidi="ar-SY"/>
        </w:rPr>
        <w:t>ظل</w:t>
      </w:r>
      <w:r w:rsidR="00F32B28">
        <w:rPr>
          <w:i/>
          <w:iCs/>
          <w:rtl/>
          <w:lang w:bidi="ar-SY"/>
        </w:rPr>
        <w:t xml:space="preserve"> </w:t>
      </w:r>
      <w:r w:rsidR="00F32B28" w:rsidRPr="00F32B28">
        <w:rPr>
          <w:i/>
          <w:iCs/>
          <w:rtl/>
          <w:lang w:bidi="ar-SY"/>
        </w:rPr>
        <w:t>نظام</w:t>
      </w:r>
      <w:r w:rsidR="00F32B28">
        <w:rPr>
          <w:i/>
          <w:iCs/>
          <w:rtl/>
          <w:lang w:bidi="ar-SY"/>
        </w:rPr>
        <w:t xml:space="preserve"> </w:t>
      </w:r>
      <w:r w:rsidR="00F32B28" w:rsidRPr="00F32B28">
        <w:rPr>
          <w:i/>
          <w:iCs/>
          <w:rtl/>
          <w:lang w:bidi="ar-SY"/>
        </w:rPr>
        <w:t>ديمقراطي</w:t>
      </w:r>
      <w:r w:rsidR="00F32B28">
        <w:rPr>
          <w:i/>
          <w:iCs/>
          <w:rtl/>
          <w:lang w:bidi="ar-SY"/>
        </w:rPr>
        <w:t xml:space="preserve"> </w:t>
      </w:r>
      <w:r w:rsidR="00F32B28" w:rsidRPr="00F32B28">
        <w:rPr>
          <w:i/>
          <w:iCs/>
          <w:rtl/>
          <w:lang w:bidi="ar-SY"/>
        </w:rPr>
        <w:t>برلماني</w:t>
      </w:r>
      <w:r w:rsidR="00F32B28">
        <w:rPr>
          <w:i/>
          <w:iCs/>
          <w:rtl/>
          <w:lang w:bidi="ar-SY"/>
        </w:rPr>
        <w:t xml:space="preserve"> </w:t>
      </w:r>
      <w:r w:rsidR="00F32B28" w:rsidRPr="00F32B28">
        <w:rPr>
          <w:i/>
          <w:iCs/>
          <w:rtl/>
          <w:lang w:bidi="ar-SY"/>
        </w:rPr>
        <w:t>يقوم</w:t>
      </w:r>
      <w:r w:rsidR="00F32B28">
        <w:rPr>
          <w:i/>
          <w:iCs/>
          <w:rtl/>
          <w:lang w:bidi="ar-SY"/>
        </w:rPr>
        <w:t xml:space="preserve"> </w:t>
      </w:r>
      <w:r w:rsidR="00F32B28" w:rsidRPr="00F32B28">
        <w:rPr>
          <w:i/>
          <w:iCs/>
          <w:rtl/>
          <w:lang w:bidi="ar-SY"/>
        </w:rPr>
        <w:t>على</w:t>
      </w:r>
      <w:r w:rsidR="00F32B28">
        <w:rPr>
          <w:i/>
          <w:iCs/>
          <w:rtl/>
          <w:lang w:bidi="ar-SY"/>
        </w:rPr>
        <w:t xml:space="preserve"> </w:t>
      </w:r>
      <w:r w:rsidR="00F32B28" w:rsidRPr="00F32B28">
        <w:rPr>
          <w:i/>
          <w:iCs/>
          <w:rtl/>
          <w:lang w:bidi="ar-SY"/>
        </w:rPr>
        <w:t>أساس</w:t>
      </w:r>
      <w:r w:rsidR="00F32B28">
        <w:rPr>
          <w:i/>
          <w:iCs/>
          <w:rtl/>
          <w:lang w:bidi="ar-SY"/>
        </w:rPr>
        <w:t xml:space="preserve"> </w:t>
      </w:r>
      <w:r w:rsidR="00F32B28" w:rsidRPr="00F32B28">
        <w:rPr>
          <w:i/>
          <w:iCs/>
          <w:rtl/>
          <w:lang w:bidi="ar-SY"/>
        </w:rPr>
        <w:t>حرية</w:t>
      </w:r>
      <w:r w:rsidR="00F32B28">
        <w:rPr>
          <w:i/>
          <w:iCs/>
          <w:rtl/>
          <w:lang w:bidi="ar-SY"/>
        </w:rPr>
        <w:t xml:space="preserve"> </w:t>
      </w:r>
      <w:r w:rsidR="00F32B28" w:rsidRPr="00F32B28">
        <w:rPr>
          <w:i/>
          <w:iCs/>
          <w:rtl/>
          <w:lang w:bidi="ar-SY"/>
        </w:rPr>
        <w:t>الرأي</w:t>
      </w:r>
      <w:r w:rsidR="00F32B28">
        <w:rPr>
          <w:i/>
          <w:iCs/>
          <w:rtl/>
          <w:lang w:bidi="ar-SY"/>
        </w:rPr>
        <w:t xml:space="preserve"> </w:t>
      </w:r>
      <w:r w:rsidR="00F32B28" w:rsidRPr="00F32B28">
        <w:rPr>
          <w:i/>
          <w:iCs/>
          <w:rtl/>
          <w:lang w:bidi="ar-SY"/>
        </w:rPr>
        <w:t>وحرية</w:t>
      </w:r>
      <w:r w:rsidR="00F32B28">
        <w:rPr>
          <w:i/>
          <w:iCs/>
          <w:rtl/>
          <w:lang w:bidi="ar-SY"/>
        </w:rPr>
        <w:t xml:space="preserve"> </w:t>
      </w:r>
      <w:r w:rsidR="00F32B28" w:rsidRPr="00F32B28">
        <w:rPr>
          <w:i/>
          <w:iCs/>
          <w:rtl/>
          <w:lang w:bidi="ar-SY"/>
        </w:rPr>
        <w:t>تكوين</w:t>
      </w:r>
      <w:r w:rsidR="00F32B28">
        <w:rPr>
          <w:i/>
          <w:iCs/>
          <w:rtl/>
          <w:lang w:bidi="ar-SY"/>
        </w:rPr>
        <w:t xml:space="preserve"> </w:t>
      </w:r>
      <w:r w:rsidR="00F32B28" w:rsidRPr="00F32B28">
        <w:rPr>
          <w:i/>
          <w:iCs/>
          <w:rtl/>
          <w:lang w:bidi="ar-SY"/>
        </w:rPr>
        <w:t>الأحزاب</w:t>
      </w:r>
      <w:r w:rsidR="00F32B28">
        <w:rPr>
          <w:i/>
          <w:iCs/>
          <w:rtl/>
          <w:lang w:bidi="ar-SY"/>
        </w:rPr>
        <w:t xml:space="preserve"> </w:t>
      </w:r>
      <w:r w:rsidR="00F32B28" w:rsidRPr="00F32B28">
        <w:rPr>
          <w:i/>
          <w:iCs/>
          <w:rtl/>
          <w:lang w:bidi="ar-SY"/>
        </w:rPr>
        <w:t>ورعاية</w:t>
      </w:r>
      <w:r w:rsidR="00F32B28">
        <w:rPr>
          <w:i/>
          <w:iCs/>
          <w:rtl/>
          <w:lang w:bidi="ar-SY"/>
        </w:rPr>
        <w:t xml:space="preserve"> </w:t>
      </w:r>
      <w:r w:rsidR="00F32B28" w:rsidRPr="00F32B28">
        <w:rPr>
          <w:i/>
          <w:iCs/>
          <w:rtl/>
          <w:lang w:bidi="ar-SY"/>
        </w:rPr>
        <w:t>الأغلبية</w:t>
      </w:r>
      <w:r w:rsidR="00F32B28">
        <w:rPr>
          <w:i/>
          <w:iCs/>
          <w:rtl/>
          <w:lang w:bidi="ar-SY"/>
        </w:rPr>
        <w:t xml:space="preserve"> </w:t>
      </w:r>
      <w:r w:rsidR="00F32B28" w:rsidRPr="00F32B28">
        <w:rPr>
          <w:i/>
          <w:iCs/>
          <w:rtl/>
          <w:lang w:bidi="ar-SY"/>
        </w:rPr>
        <w:t>حقوق</w:t>
      </w:r>
      <w:r w:rsidR="00F32B28">
        <w:rPr>
          <w:i/>
          <w:iCs/>
          <w:rtl/>
          <w:lang w:bidi="ar-SY"/>
        </w:rPr>
        <w:t xml:space="preserve"> </w:t>
      </w:r>
      <w:r w:rsidR="00F32B28" w:rsidRPr="00F32B28">
        <w:rPr>
          <w:i/>
          <w:iCs/>
          <w:rtl/>
          <w:lang w:bidi="ar-SY"/>
        </w:rPr>
        <w:t>الأقلية</w:t>
      </w:r>
      <w:r w:rsidR="00F32B28">
        <w:rPr>
          <w:i/>
          <w:iCs/>
          <w:rtl/>
          <w:lang w:bidi="ar-SY"/>
        </w:rPr>
        <w:t xml:space="preserve"> </w:t>
      </w:r>
      <w:r w:rsidR="00F32B28" w:rsidRPr="00F32B28">
        <w:rPr>
          <w:i/>
          <w:iCs/>
          <w:rtl/>
          <w:lang w:bidi="ar-SY"/>
        </w:rPr>
        <w:t>واحترام</w:t>
      </w:r>
      <w:r w:rsidR="00F32B28">
        <w:rPr>
          <w:i/>
          <w:iCs/>
          <w:rtl/>
          <w:lang w:bidi="ar-SY"/>
        </w:rPr>
        <w:t xml:space="preserve"> </w:t>
      </w:r>
      <w:r w:rsidR="00F32B28" w:rsidRPr="00F32B28">
        <w:rPr>
          <w:i/>
          <w:iCs/>
          <w:rtl/>
          <w:lang w:bidi="ar-SY"/>
        </w:rPr>
        <w:t>الأقلية</w:t>
      </w:r>
      <w:r w:rsidR="00F32B28">
        <w:rPr>
          <w:i/>
          <w:iCs/>
          <w:rtl/>
          <w:lang w:bidi="ar-SY"/>
        </w:rPr>
        <w:t xml:space="preserve"> </w:t>
      </w:r>
      <w:r w:rsidR="00F32B28" w:rsidRPr="00F32B28">
        <w:rPr>
          <w:i/>
          <w:iCs/>
          <w:rtl/>
          <w:lang w:bidi="ar-SY"/>
        </w:rPr>
        <w:t>قرارات</w:t>
      </w:r>
      <w:r w:rsidR="00F32B28">
        <w:rPr>
          <w:i/>
          <w:iCs/>
          <w:rtl/>
          <w:lang w:bidi="ar-SY"/>
        </w:rPr>
        <w:t xml:space="preserve"> </w:t>
      </w:r>
      <w:r w:rsidR="00F32B28" w:rsidRPr="00F32B28">
        <w:rPr>
          <w:i/>
          <w:iCs/>
          <w:rtl/>
          <w:lang w:bidi="ar-SY"/>
        </w:rPr>
        <w:t>الأغلبية،</w:t>
      </w:r>
      <w:r w:rsidR="00F32B28">
        <w:rPr>
          <w:i/>
          <w:iCs/>
          <w:rtl/>
          <w:lang w:bidi="ar-SY"/>
        </w:rPr>
        <w:t xml:space="preserve"> </w:t>
      </w:r>
      <w:r w:rsidR="00F32B28" w:rsidRPr="00F32B28">
        <w:rPr>
          <w:i/>
          <w:iCs/>
          <w:rtl/>
          <w:lang w:bidi="ar-SY"/>
        </w:rPr>
        <w:t>وعلى</w:t>
      </w:r>
      <w:r w:rsidR="00F32B28">
        <w:rPr>
          <w:i/>
          <w:iCs/>
          <w:rtl/>
          <w:lang w:bidi="ar-SY"/>
        </w:rPr>
        <w:t xml:space="preserve"> </w:t>
      </w:r>
      <w:r w:rsidR="00F32B28" w:rsidRPr="00F32B28">
        <w:rPr>
          <w:i/>
          <w:iCs/>
          <w:rtl/>
          <w:lang w:bidi="ar-SY"/>
        </w:rPr>
        <w:t>العدل</w:t>
      </w:r>
      <w:r w:rsidR="00F32B28">
        <w:rPr>
          <w:i/>
          <w:iCs/>
          <w:rtl/>
          <w:lang w:bidi="ar-SY"/>
        </w:rPr>
        <w:t xml:space="preserve"> </w:t>
      </w:r>
      <w:r w:rsidR="00F32B28" w:rsidRPr="00F32B28">
        <w:rPr>
          <w:i/>
          <w:iCs/>
          <w:rtl/>
          <w:lang w:bidi="ar-SY"/>
        </w:rPr>
        <w:t>الاجتماعي</w:t>
      </w:r>
      <w:r w:rsidR="00F32B28">
        <w:rPr>
          <w:i/>
          <w:iCs/>
          <w:rtl/>
          <w:lang w:bidi="ar-SY"/>
        </w:rPr>
        <w:t xml:space="preserve"> </w:t>
      </w:r>
      <w:r w:rsidR="00F32B28" w:rsidRPr="00F32B28">
        <w:rPr>
          <w:i/>
          <w:iCs/>
          <w:rtl/>
          <w:lang w:bidi="ar-SY"/>
        </w:rPr>
        <w:t>والمساواة</w:t>
      </w:r>
      <w:r w:rsidR="00F32B28">
        <w:rPr>
          <w:i/>
          <w:iCs/>
          <w:rtl/>
          <w:lang w:bidi="ar-SY"/>
        </w:rPr>
        <w:t xml:space="preserve"> </w:t>
      </w:r>
      <w:r w:rsidR="00F32B28" w:rsidRPr="00F32B28">
        <w:rPr>
          <w:i/>
          <w:iCs/>
          <w:rtl/>
          <w:lang w:bidi="ar-SY"/>
        </w:rPr>
        <w:t>وعدم</w:t>
      </w:r>
      <w:r w:rsidR="00F32B28">
        <w:rPr>
          <w:i/>
          <w:iCs/>
          <w:rtl/>
          <w:lang w:bidi="ar-SY"/>
        </w:rPr>
        <w:t xml:space="preserve"> </w:t>
      </w:r>
      <w:r w:rsidR="00F32B28" w:rsidRPr="00F32B28">
        <w:rPr>
          <w:i/>
          <w:iCs/>
          <w:rtl/>
          <w:lang w:bidi="ar-SY"/>
        </w:rPr>
        <w:t>التمييز</w:t>
      </w:r>
      <w:r w:rsidR="00F32B28">
        <w:rPr>
          <w:i/>
          <w:iCs/>
          <w:rtl/>
          <w:lang w:bidi="ar-SY"/>
        </w:rPr>
        <w:t xml:space="preserve"> </w:t>
      </w:r>
      <w:r w:rsidR="00F32B28" w:rsidRPr="00F32B28">
        <w:rPr>
          <w:i/>
          <w:iCs/>
          <w:rtl/>
          <w:lang w:bidi="ar-SY"/>
        </w:rPr>
        <w:t>في</w:t>
      </w:r>
      <w:r w:rsidR="00F32B28">
        <w:rPr>
          <w:i/>
          <w:iCs/>
          <w:rtl/>
          <w:lang w:bidi="ar-SY"/>
        </w:rPr>
        <w:t xml:space="preserve"> </w:t>
      </w:r>
      <w:r w:rsidR="00F32B28" w:rsidRPr="00F32B28">
        <w:rPr>
          <w:i/>
          <w:iCs/>
          <w:rtl/>
          <w:lang w:bidi="ar-SY"/>
        </w:rPr>
        <w:t>الحقوق</w:t>
      </w:r>
      <w:r w:rsidR="00F32B28">
        <w:rPr>
          <w:i/>
          <w:iCs/>
          <w:rtl/>
          <w:lang w:bidi="ar-SY"/>
        </w:rPr>
        <w:t xml:space="preserve"> </w:t>
      </w:r>
      <w:r w:rsidR="00F32B28" w:rsidRPr="00F32B28">
        <w:rPr>
          <w:i/>
          <w:iCs/>
          <w:rtl/>
          <w:lang w:bidi="ar-SY"/>
        </w:rPr>
        <w:t>العامة</w:t>
      </w:r>
      <w:r w:rsidR="00F32B28">
        <w:rPr>
          <w:i/>
          <w:iCs/>
          <w:rtl/>
          <w:lang w:bidi="ar-SY"/>
        </w:rPr>
        <w:t xml:space="preserve"> </w:t>
      </w:r>
      <w:r w:rsidR="00F32B28" w:rsidRPr="00F32B28">
        <w:rPr>
          <w:i/>
          <w:iCs/>
          <w:rtl/>
          <w:lang w:bidi="ar-SY"/>
        </w:rPr>
        <w:t>على</w:t>
      </w:r>
      <w:r w:rsidR="00F32B28">
        <w:rPr>
          <w:i/>
          <w:iCs/>
          <w:rtl/>
          <w:lang w:bidi="ar-SY"/>
        </w:rPr>
        <w:t xml:space="preserve"> </w:t>
      </w:r>
      <w:r w:rsidR="00F32B28" w:rsidRPr="00F32B28">
        <w:rPr>
          <w:i/>
          <w:iCs/>
          <w:rtl/>
          <w:lang w:bidi="ar-SY"/>
        </w:rPr>
        <w:t>أساس</w:t>
      </w:r>
      <w:r w:rsidR="00F32B28">
        <w:rPr>
          <w:i/>
          <w:iCs/>
          <w:rtl/>
          <w:lang w:bidi="ar-SY"/>
        </w:rPr>
        <w:t xml:space="preserve"> </w:t>
      </w:r>
      <w:r w:rsidR="00F32B28" w:rsidRPr="00F32B28">
        <w:rPr>
          <w:i/>
          <w:iCs/>
          <w:rtl/>
          <w:lang w:bidi="ar-SY"/>
        </w:rPr>
        <w:t>العرق</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الدين</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اللون</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بين</w:t>
      </w:r>
      <w:r w:rsidR="00F32B28">
        <w:rPr>
          <w:i/>
          <w:iCs/>
          <w:rtl/>
          <w:lang w:bidi="ar-SY"/>
        </w:rPr>
        <w:t xml:space="preserve"> </w:t>
      </w:r>
      <w:r w:rsidR="00F32B28" w:rsidRPr="00F32B28">
        <w:rPr>
          <w:i/>
          <w:iCs/>
          <w:rtl/>
          <w:lang w:bidi="ar-SY"/>
        </w:rPr>
        <w:t>المرأة</w:t>
      </w:r>
      <w:r w:rsidR="00F32B28">
        <w:rPr>
          <w:i/>
          <w:iCs/>
          <w:rtl/>
          <w:lang w:bidi="ar-SY"/>
        </w:rPr>
        <w:t xml:space="preserve"> </w:t>
      </w:r>
      <w:r w:rsidR="00F32B28" w:rsidRPr="00F32B28">
        <w:rPr>
          <w:i/>
          <w:iCs/>
          <w:rtl/>
          <w:lang w:bidi="ar-SY"/>
        </w:rPr>
        <w:t>والرجل،</w:t>
      </w:r>
      <w:r w:rsidR="00F32B28">
        <w:rPr>
          <w:i/>
          <w:iCs/>
          <w:rtl/>
          <w:lang w:bidi="ar-SY"/>
        </w:rPr>
        <w:t xml:space="preserve"> </w:t>
      </w:r>
      <w:r w:rsidR="00F32B28" w:rsidRPr="00F32B28">
        <w:rPr>
          <w:i/>
          <w:iCs/>
          <w:rtl/>
          <w:lang w:bidi="ar-SY"/>
        </w:rPr>
        <w:t>في</w:t>
      </w:r>
      <w:r w:rsidR="00F32B28">
        <w:rPr>
          <w:i/>
          <w:iCs/>
          <w:rtl/>
          <w:lang w:bidi="ar-SY"/>
        </w:rPr>
        <w:t xml:space="preserve"> </w:t>
      </w:r>
      <w:r w:rsidR="00F32B28" w:rsidRPr="00F32B28">
        <w:rPr>
          <w:i/>
          <w:iCs/>
          <w:rtl/>
          <w:lang w:bidi="ar-SY"/>
        </w:rPr>
        <w:t>ظل</w:t>
      </w:r>
      <w:r w:rsidR="00F32B28">
        <w:rPr>
          <w:i/>
          <w:iCs/>
          <w:rtl/>
          <w:lang w:bidi="ar-SY"/>
        </w:rPr>
        <w:t xml:space="preserve"> </w:t>
      </w:r>
      <w:r w:rsidR="00F32B28" w:rsidRPr="00F32B28">
        <w:rPr>
          <w:i/>
          <w:iCs/>
          <w:rtl/>
          <w:lang w:bidi="ar-SY"/>
        </w:rPr>
        <w:t>دستور</w:t>
      </w:r>
      <w:r w:rsidR="00F32B28">
        <w:rPr>
          <w:i/>
          <w:iCs/>
          <w:rtl/>
          <w:lang w:bidi="ar-SY"/>
        </w:rPr>
        <w:t xml:space="preserve"> </w:t>
      </w:r>
      <w:r w:rsidR="00F32B28" w:rsidRPr="00F32B28">
        <w:rPr>
          <w:i/>
          <w:iCs/>
          <w:rtl/>
          <w:lang w:bidi="ar-SY"/>
        </w:rPr>
        <w:t>يؤمن</w:t>
      </w:r>
      <w:r w:rsidR="00F32B28">
        <w:rPr>
          <w:i/>
          <w:iCs/>
          <w:rtl/>
          <w:lang w:bidi="ar-SY"/>
        </w:rPr>
        <w:t xml:space="preserve"> </w:t>
      </w:r>
      <w:r w:rsidR="00F32B28" w:rsidRPr="00F32B28">
        <w:rPr>
          <w:i/>
          <w:iCs/>
          <w:rtl/>
          <w:lang w:bidi="ar-SY"/>
        </w:rPr>
        <w:t>سيادة</w:t>
      </w:r>
      <w:r w:rsidR="00F32B28">
        <w:rPr>
          <w:i/>
          <w:iCs/>
          <w:rtl/>
          <w:lang w:bidi="ar-SY"/>
        </w:rPr>
        <w:t xml:space="preserve"> </w:t>
      </w:r>
      <w:r w:rsidR="00F32B28" w:rsidRPr="00F32B28">
        <w:rPr>
          <w:i/>
          <w:iCs/>
          <w:rtl/>
          <w:lang w:bidi="ar-SY"/>
        </w:rPr>
        <w:t>القانون</w:t>
      </w:r>
      <w:r w:rsidR="00F32B28">
        <w:rPr>
          <w:i/>
          <w:iCs/>
          <w:rtl/>
          <w:lang w:bidi="ar-SY"/>
        </w:rPr>
        <w:t xml:space="preserve"> </w:t>
      </w:r>
      <w:r w:rsidR="00F32B28" w:rsidRPr="00F32B28">
        <w:rPr>
          <w:i/>
          <w:iCs/>
          <w:rtl/>
          <w:lang w:bidi="ar-SY"/>
        </w:rPr>
        <w:t>والقضاء</w:t>
      </w:r>
      <w:r w:rsidR="00F32B28">
        <w:rPr>
          <w:i/>
          <w:iCs/>
          <w:rtl/>
          <w:lang w:bidi="ar-SY"/>
        </w:rPr>
        <w:t xml:space="preserve"> </w:t>
      </w:r>
      <w:r w:rsidR="00F32B28" w:rsidRPr="00F32B28">
        <w:rPr>
          <w:i/>
          <w:iCs/>
          <w:rtl/>
          <w:lang w:bidi="ar-SY"/>
        </w:rPr>
        <w:t>المستقل</w:t>
      </w:r>
      <w:r w:rsidR="00F32B28">
        <w:rPr>
          <w:i/>
          <w:iCs/>
          <w:rtl/>
          <w:lang w:bidi="ar-SY"/>
        </w:rPr>
        <w:t xml:space="preserve"> </w:t>
      </w:r>
      <w:r w:rsidR="00F32B28" w:rsidRPr="00F32B28">
        <w:rPr>
          <w:i/>
          <w:iCs/>
          <w:rtl/>
          <w:lang w:bidi="ar-SY"/>
        </w:rPr>
        <w:t>وعلى</w:t>
      </w:r>
      <w:r w:rsidR="00F32B28">
        <w:rPr>
          <w:i/>
          <w:iCs/>
          <w:rtl/>
          <w:lang w:bidi="ar-SY"/>
        </w:rPr>
        <w:t xml:space="preserve"> </w:t>
      </w:r>
      <w:r w:rsidR="00F32B28" w:rsidRPr="00F32B28">
        <w:rPr>
          <w:i/>
          <w:iCs/>
          <w:rtl/>
          <w:lang w:bidi="ar-SY"/>
        </w:rPr>
        <w:t>أساس</w:t>
      </w:r>
      <w:r w:rsidR="00F32B28">
        <w:rPr>
          <w:i/>
          <w:iCs/>
          <w:rtl/>
          <w:lang w:bidi="ar-SY"/>
        </w:rPr>
        <w:t xml:space="preserve"> </w:t>
      </w:r>
      <w:r w:rsidR="00F32B28" w:rsidRPr="00F32B28">
        <w:rPr>
          <w:i/>
          <w:iCs/>
          <w:rtl/>
          <w:lang w:bidi="ar-SY"/>
        </w:rPr>
        <w:t>الوفاء</w:t>
      </w:r>
      <w:r w:rsidR="00F32B28">
        <w:rPr>
          <w:i/>
          <w:iCs/>
          <w:rtl/>
          <w:lang w:bidi="ar-SY"/>
        </w:rPr>
        <w:t xml:space="preserve"> </w:t>
      </w:r>
      <w:r w:rsidR="00F32B28" w:rsidRPr="00F32B28">
        <w:rPr>
          <w:i/>
          <w:iCs/>
          <w:rtl/>
          <w:lang w:bidi="ar-SY"/>
        </w:rPr>
        <w:t>الكامل</w:t>
      </w:r>
      <w:r w:rsidR="00F32B28">
        <w:rPr>
          <w:i/>
          <w:iCs/>
          <w:rtl/>
          <w:lang w:bidi="ar-SY"/>
        </w:rPr>
        <w:t xml:space="preserve"> </w:t>
      </w:r>
      <w:r w:rsidR="00F32B28" w:rsidRPr="00F32B28">
        <w:rPr>
          <w:i/>
          <w:iCs/>
          <w:rtl/>
          <w:lang w:bidi="ar-SY"/>
        </w:rPr>
        <w:t>لتراث</w:t>
      </w:r>
      <w:r w:rsidR="00F32B28">
        <w:rPr>
          <w:i/>
          <w:iCs/>
          <w:rtl/>
          <w:lang w:bidi="ar-SY"/>
        </w:rPr>
        <w:t xml:space="preserve"> </w:t>
      </w:r>
      <w:r w:rsidR="00F32B28" w:rsidRPr="00F32B28">
        <w:rPr>
          <w:i/>
          <w:iCs/>
          <w:rtl/>
          <w:lang w:bidi="ar-SY"/>
        </w:rPr>
        <w:t>فلسطين</w:t>
      </w:r>
      <w:r w:rsidR="00F32B28">
        <w:rPr>
          <w:i/>
          <w:iCs/>
          <w:rtl/>
          <w:lang w:bidi="ar-SY"/>
        </w:rPr>
        <w:t xml:space="preserve"> </w:t>
      </w:r>
      <w:r w:rsidR="00F32B28" w:rsidRPr="00F32B28">
        <w:rPr>
          <w:i/>
          <w:iCs/>
          <w:rtl/>
          <w:lang w:bidi="ar-SY"/>
        </w:rPr>
        <w:t>الروحي</w:t>
      </w:r>
      <w:r w:rsidR="00F32B28">
        <w:rPr>
          <w:i/>
          <w:iCs/>
          <w:rtl/>
          <w:lang w:bidi="ar-SY"/>
        </w:rPr>
        <w:t xml:space="preserve"> </w:t>
      </w:r>
      <w:r w:rsidR="00F32B28" w:rsidRPr="00F32B28">
        <w:rPr>
          <w:i/>
          <w:iCs/>
          <w:rtl/>
          <w:lang w:bidi="ar-SY"/>
        </w:rPr>
        <w:t>والحضاري</w:t>
      </w:r>
      <w:r w:rsidR="00F32B28">
        <w:rPr>
          <w:i/>
          <w:iCs/>
          <w:rtl/>
          <w:lang w:bidi="ar-SY"/>
        </w:rPr>
        <w:t xml:space="preserve"> </w:t>
      </w:r>
      <w:r w:rsidR="00F32B28" w:rsidRPr="00F32B28">
        <w:rPr>
          <w:i/>
          <w:iCs/>
          <w:rtl/>
          <w:lang w:bidi="ar-SY"/>
        </w:rPr>
        <w:t>في</w:t>
      </w:r>
      <w:r w:rsidR="00F32B28">
        <w:rPr>
          <w:i/>
          <w:iCs/>
          <w:rtl/>
          <w:lang w:bidi="ar-SY"/>
        </w:rPr>
        <w:t xml:space="preserve"> </w:t>
      </w:r>
      <w:r w:rsidR="00F32B28" w:rsidRPr="00F32B28">
        <w:rPr>
          <w:i/>
          <w:iCs/>
          <w:rtl/>
          <w:lang w:bidi="ar-SY"/>
        </w:rPr>
        <w:t>التسامح</w:t>
      </w:r>
      <w:r w:rsidR="00F32B28">
        <w:rPr>
          <w:i/>
          <w:iCs/>
          <w:rtl/>
          <w:lang w:bidi="ar-SY"/>
        </w:rPr>
        <w:t xml:space="preserve"> </w:t>
      </w:r>
      <w:r w:rsidR="00F32B28" w:rsidRPr="00F32B28">
        <w:rPr>
          <w:i/>
          <w:iCs/>
          <w:rtl/>
          <w:lang w:bidi="ar-SY"/>
        </w:rPr>
        <w:t>والتعايش</w:t>
      </w:r>
      <w:r w:rsidR="00F32B28">
        <w:rPr>
          <w:i/>
          <w:iCs/>
          <w:rtl/>
          <w:lang w:bidi="ar-SY"/>
        </w:rPr>
        <w:t xml:space="preserve"> </w:t>
      </w:r>
      <w:r w:rsidR="00F32B28" w:rsidRPr="00F32B28">
        <w:rPr>
          <w:i/>
          <w:iCs/>
          <w:rtl/>
          <w:lang w:bidi="ar-SY"/>
        </w:rPr>
        <w:t>السمح</w:t>
      </w:r>
      <w:r w:rsidR="00F32B28">
        <w:rPr>
          <w:i/>
          <w:iCs/>
          <w:rtl/>
          <w:lang w:bidi="ar-SY"/>
        </w:rPr>
        <w:t xml:space="preserve"> </w:t>
      </w:r>
      <w:r w:rsidR="00F32B28" w:rsidRPr="00F32B28">
        <w:rPr>
          <w:i/>
          <w:iCs/>
          <w:rtl/>
          <w:lang w:bidi="ar-SY"/>
        </w:rPr>
        <w:t>بين</w:t>
      </w:r>
      <w:r w:rsidR="00F32B28">
        <w:rPr>
          <w:i/>
          <w:iCs/>
          <w:rtl/>
          <w:lang w:bidi="ar-SY"/>
        </w:rPr>
        <w:t xml:space="preserve"> </w:t>
      </w:r>
      <w:r w:rsidR="00F32B28" w:rsidRPr="00F32B28">
        <w:rPr>
          <w:i/>
          <w:iCs/>
          <w:rtl/>
          <w:lang w:bidi="ar-SY"/>
        </w:rPr>
        <w:t>الأديان</w:t>
      </w:r>
      <w:r w:rsidR="00F32B28">
        <w:rPr>
          <w:i/>
          <w:iCs/>
          <w:rtl/>
          <w:lang w:bidi="ar-SY"/>
        </w:rPr>
        <w:t xml:space="preserve"> </w:t>
      </w:r>
      <w:r w:rsidR="00F32B28" w:rsidRPr="00F32B28">
        <w:rPr>
          <w:i/>
          <w:iCs/>
          <w:rtl/>
          <w:lang w:bidi="ar-SY"/>
        </w:rPr>
        <w:t>عبر</w:t>
      </w:r>
      <w:r w:rsidR="00F32B28">
        <w:rPr>
          <w:i/>
          <w:iCs/>
          <w:rtl/>
          <w:lang w:bidi="ar-SY"/>
        </w:rPr>
        <w:t xml:space="preserve"> </w:t>
      </w:r>
      <w:r w:rsidR="00F32B28" w:rsidRPr="00F32B28">
        <w:rPr>
          <w:i/>
          <w:iCs/>
          <w:rtl/>
          <w:lang w:bidi="ar-SY"/>
        </w:rPr>
        <w:t>القرون</w:t>
      </w:r>
      <w:r w:rsidR="00407D55" w:rsidRPr="00407D55">
        <w:rPr>
          <w:rFonts w:hint="cs"/>
          <w:i/>
          <w:iCs/>
          <w:rtl/>
          <w:lang w:bidi="ar-SY"/>
        </w:rPr>
        <w:t>“</w:t>
      </w:r>
      <w:r w:rsidR="00F32B28" w:rsidRPr="00F32B28">
        <w:rPr>
          <w:i/>
          <w:iCs/>
          <w:rtl/>
          <w:lang w:bidi="ar-SY"/>
        </w:rPr>
        <w:t>.</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تعلن</w:t>
      </w:r>
      <w:r w:rsidR="00F32B28">
        <w:rPr>
          <w:rtl/>
          <w:lang w:bidi="ar-SY"/>
        </w:rPr>
        <w:t xml:space="preserve"> </w:t>
      </w:r>
      <w:r w:rsidR="00F32B28" w:rsidRPr="00F32B28">
        <w:rPr>
          <w:rtl/>
          <w:lang w:bidi="ar-SY"/>
        </w:rPr>
        <w:t>الوثيقة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التزام</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407D55">
        <w:rPr>
          <w:rFonts w:hint="eastAsia"/>
          <w:rtl/>
          <w:lang w:bidi="ar-SY"/>
        </w:rPr>
        <w:t>”</w:t>
      </w:r>
      <w:r w:rsidR="00F32B28" w:rsidRPr="00F32B28">
        <w:rPr>
          <w:i/>
          <w:iCs/>
          <w:rtl/>
        </w:rPr>
        <w:t>بمبادئ</w:t>
      </w:r>
      <w:r w:rsidR="00F32B28">
        <w:rPr>
          <w:i/>
          <w:iCs/>
          <w:rtl/>
        </w:rPr>
        <w:t xml:space="preserve"> </w:t>
      </w:r>
      <w:r w:rsidR="00F32B28" w:rsidRPr="00F32B28">
        <w:rPr>
          <w:i/>
          <w:iCs/>
          <w:rtl/>
        </w:rPr>
        <w:t>الأمم</w:t>
      </w:r>
      <w:r w:rsidR="00F32B28">
        <w:rPr>
          <w:i/>
          <w:iCs/>
          <w:rtl/>
        </w:rPr>
        <w:t xml:space="preserve"> </w:t>
      </w:r>
      <w:r w:rsidR="00F32B28" w:rsidRPr="00F32B28">
        <w:rPr>
          <w:i/>
          <w:iCs/>
          <w:rtl/>
        </w:rPr>
        <w:t>المتحدة</w:t>
      </w:r>
      <w:r w:rsidR="00F32B28">
        <w:rPr>
          <w:i/>
          <w:iCs/>
          <w:rtl/>
        </w:rPr>
        <w:t xml:space="preserve"> </w:t>
      </w:r>
      <w:r w:rsidR="00F32B28" w:rsidRPr="00F32B28">
        <w:rPr>
          <w:i/>
          <w:iCs/>
          <w:rtl/>
        </w:rPr>
        <w:t>وأهدافها</w:t>
      </w:r>
      <w:r w:rsidR="00F32B28">
        <w:rPr>
          <w:i/>
          <w:iCs/>
          <w:rtl/>
        </w:rPr>
        <w:t xml:space="preserve"> </w:t>
      </w:r>
      <w:r w:rsidR="00F32B28" w:rsidRPr="00F32B28">
        <w:rPr>
          <w:i/>
          <w:iCs/>
          <w:rtl/>
        </w:rPr>
        <w:t>وبالإعلان</w:t>
      </w:r>
      <w:r w:rsidR="00F32B28">
        <w:rPr>
          <w:i/>
          <w:iCs/>
          <w:rtl/>
        </w:rPr>
        <w:t xml:space="preserve"> </w:t>
      </w:r>
      <w:r w:rsidR="00F32B28" w:rsidRPr="00F32B28">
        <w:rPr>
          <w:i/>
          <w:iCs/>
          <w:rtl/>
        </w:rPr>
        <w:t>العالمي</w:t>
      </w:r>
      <w:r w:rsidR="00F32B28">
        <w:rPr>
          <w:i/>
          <w:iCs/>
          <w:rtl/>
        </w:rPr>
        <w:t xml:space="preserve"> </w:t>
      </w:r>
      <w:r w:rsidR="00F32B28" w:rsidRPr="00F32B28">
        <w:rPr>
          <w:i/>
          <w:iCs/>
          <w:rtl/>
        </w:rPr>
        <w:t>لحقوق</w:t>
      </w:r>
      <w:r w:rsidR="00F32B28">
        <w:rPr>
          <w:i/>
          <w:iCs/>
          <w:rtl/>
        </w:rPr>
        <w:t xml:space="preserve"> </w:t>
      </w:r>
      <w:r w:rsidR="00F32B28" w:rsidRPr="00F32B28">
        <w:rPr>
          <w:i/>
          <w:iCs/>
          <w:rtl/>
        </w:rPr>
        <w:t>الإنسان</w:t>
      </w:r>
      <w:r w:rsidR="00407D55" w:rsidRPr="00407D55">
        <w:rPr>
          <w:rFonts w:hint="cs"/>
          <w:i/>
          <w:iCs/>
          <w:rtl/>
          <w:lang w:bidi="ar-SY"/>
        </w:rPr>
        <w:t>“</w:t>
      </w:r>
      <w:r w:rsidR="00F32B28" w:rsidRPr="00F32B28">
        <w:rPr>
          <w:i/>
          <w:iCs/>
          <w:rtl/>
        </w:rPr>
        <w:t>.</w:t>
      </w:r>
    </w:p>
    <w:p w:rsidR="00F32B28" w:rsidRPr="00F32B28" w:rsidRDefault="0073062A" w:rsidP="00407D55">
      <w:pPr>
        <w:pStyle w:val="SingleTxt"/>
        <w:rPr>
          <w:i/>
          <w:iCs/>
        </w:rPr>
      </w:pPr>
      <w:r>
        <w:rPr>
          <w:rFonts w:hint="cs"/>
          <w:rtl/>
          <w:lang w:bidi="ar-SY"/>
        </w:rPr>
        <w:t>5 -</w:t>
      </w:r>
      <w:r>
        <w:rPr>
          <w:rFonts w:hint="cs"/>
          <w:rtl/>
          <w:lang w:bidi="ar-SY"/>
        </w:rPr>
        <w:tab/>
      </w:r>
      <w:r w:rsidR="00F32B28" w:rsidRPr="00F32B28">
        <w:rPr>
          <w:rtl/>
          <w:lang w:bidi="ar-SY"/>
        </w:rPr>
        <w:t>يحظر</w:t>
      </w:r>
      <w:r>
        <w:rPr>
          <w:rFonts w:hint="cs"/>
          <w:rtl/>
          <w:lang w:bidi="ar-SY"/>
        </w:rPr>
        <w:t xml:space="preserve"> </w:t>
      </w:r>
      <w:r w:rsidR="00F32B28" w:rsidRPr="00F32B28">
        <w:rPr>
          <w:rtl/>
          <w:lang w:bidi="ar-SY"/>
        </w:rPr>
        <w:t>الإطار</w:t>
      </w:r>
      <w:r w:rsidR="00F32B28">
        <w:rPr>
          <w:rtl/>
          <w:lang w:bidi="ar-SY"/>
        </w:rPr>
        <w:t xml:space="preserve"> </w:t>
      </w:r>
      <w:r w:rsidR="00F32B28" w:rsidRPr="00F32B28">
        <w:rPr>
          <w:rtl/>
          <w:lang w:bidi="ar-SY"/>
        </w:rPr>
        <w:t>القانوني</w:t>
      </w:r>
      <w:r w:rsidR="00F32B28">
        <w:rPr>
          <w:rtl/>
          <w:lang w:bidi="ar-SY"/>
        </w:rPr>
        <w:t xml:space="preserve"> </w:t>
      </w:r>
      <w:r w:rsidR="00F32B28" w:rsidRPr="00F32B28">
        <w:rPr>
          <w:rtl/>
          <w:lang w:bidi="ar-SY"/>
        </w:rPr>
        <w:t>العامل</w:t>
      </w:r>
      <w:r w:rsidR="00641D93">
        <w:rPr>
          <w:rFonts w:hint="cs"/>
          <w:rtl/>
          <w:lang w:bidi="ar-SY"/>
        </w:rPr>
        <w:t xml:space="preserve"> </w:t>
      </w:r>
      <w:r w:rsidR="00F32B28" w:rsidRPr="00F32B28">
        <w:rPr>
          <w:rtl/>
          <w:lang w:bidi="ar-SY"/>
        </w:rPr>
        <w:t>لقانون</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المعدل</w:t>
      </w:r>
      <w:r w:rsidR="00F32B28">
        <w:rPr>
          <w:rtl/>
          <w:lang w:bidi="ar-SY"/>
        </w:rPr>
        <w:t xml:space="preserve"> </w:t>
      </w:r>
      <w:r w:rsidR="00F32B28" w:rsidRPr="00F32B28">
        <w:rPr>
          <w:rtl/>
          <w:lang w:bidi="ar-SY"/>
        </w:rPr>
        <w:t>لسنة</w:t>
      </w:r>
      <w:r w:rsidR="00F32B28">
        <w:rPr>
          <w:rtl/>
          <w:lang w:bidi="ar-SY"/>
        </w:rPr>
        <w:t xml:space="preserve"> </w:t>
      </w:r>
      <w:r w:rsidR="00F32B28" w:rsidRPr="00F32B28">
        <w:rPr>
          <w:rtl/>
          <w:lang w:bidi="ar-SY"/>
        </w:rPr>
        <w:t>2003</w:t>
      </w:r>
      <w:r w:rsidR="00F32B28">
        <w:rPr>
          <w:rtl/>
          <w:lang w:bidi="ar-SY"/>
        </w:rPr>
        <w:t xml:space="preserve"> </w:t>
      </w:r>
      <w:r w:rsidR="00F32B28" w:rsidRPr="00F32B28">
        <w:rPr>
          <w:rtl/>
          <w:lang w:bidi="ar-SY"/>
        </w:rPr>
        <w:t>وتعديلاته،</w:t>
      </w:r>
      <w:r w:rsidR="00641D93">
        <w:rPr>
          <w:rFonts w:hint="cs"/>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مقدمته،</w:t>
      </w:r>
      <w:r w:rsidR="00641D93">
        <w:rPr>
          <w:rFonts w:hint="cs"/>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بل</w:t>
      </w:r>
      <w:r w:rsidR="00F32B28">
        <w:rPr>
          <w:rtl/>
          <w:lang w:bidi="ar-SY"/>
        </w:rPr>
        <w:t xml:space="preserve"> </w:t>
      </w:r>
      <w:r w:rsidR="00F32B28" w:rsidRPr="00F32B28">
        <w:rPr>
          <w:rtl/>
          <w:lang w:bidi="ar-SY"/>
        </w:rPr>
        <w:t>وتكرس</w:t>
      </w:r>
      <w:r w:rsidR="00F32B28">
        <w:rPr>
          <w:rtl/>
          <w:lang w:bidi="ar-SY"/>
        </w:rPr>
        <w:t xml:space="preserve"> </w:t>
      </w:r>
      <w:r w:rsidR="00F32B28" w:rsidRPr="00F32B28">
        <w:rPr>
          <w:rtl/>
          <w:lang w:bidi="ar-SY"/>
        </w:rPr>
        <w:t>نصوصه</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الفلسطينيين</w:t>
      </w:r>
      <w:r w:rsidR="00641D93">
        <w:rPr>
          <w:rFonts w:hint="cs"/>
          <w:rtl/>
          <w:lang w:bidi="ar-SY"/>
        </w:rPr>
        <w:t xml:space="preserve"> </w:t>
      </w:r>
      <w:r w:rsidR="00F32B28" w:rsidRPr="00F32B28">
        <w:rPr>
          <w:rtl/>
          <w:lang w:bidi="ar-SY"/>
        </w:rPr>
        <w:t>أمام</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والقضاء</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تمييز؛</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تنص</w:t>
      </w:r>
      <w:r w:rsidR="00F32B28">
        <w:rPr>
          <w:rtl/>
          <w:lang w:bidi="ar-SY"/>
        </w:rPr>
        <w:t xml:space="preserve"> </w:t>
      </w:r>
      <w:r w:rsidR="00F32B28" w:rsidRPr="00F32B28">
        <w:rPr>
          <w:rtl/>
          <w:lang w:bidi="ar-SY"/>
        </w:rPr>
        <w:t>المادة</w:t>
      </w:r>
      <w:r w:rsidR="00F32B28">
        <w:rPr>
          <w:rtl/>
          <w:lang w:bidi="ar-SY"/>
        </w:rPr>
        <w:t xml:space="preserve"> </w:t>
      </w:r>
      <w:r w:rsidR="00F32B28" w:rsidRPr="00F32B28">
        <w:rPr>
          <w:rtl/>
          <w:lang w:bidi="ar-SY"/>
        </w:rPr>
        <w:t>التاسعة</w:t>
      </w:r>
      <w:r w:rsidR="00641D93">
        <w:rPr>
          <w:rFonts w:hint="cs"/>
          <w:rtl/>
          <w:lang w:bidi="ar-SY"/>
        </w:rPr>
        <w:t xml:space="preserve"> </w:t>
      </w:r>
      <w:r w:rsidR="00F32B28" w:rsidRPr="00F32B28">
        <w:rPr>
          <w:rtl/>
          <w:lang w:bidi="ar-SY"/>
        </w:rPr>
        <w:t>صراحةً</w:t>
      </w:r>
      <w:r w:rsidR="00F32B28">
        <w:rPr>
          <w:rtl/>
          <w:lang w:bidi="ar-SY"/>
        </w:rPr>
        <w:t xml:space="preserve"> </w:t>
      </w:r>
      <w:r w:rsidR="00F32B28" w:rsidRPr="00F32B28">
        <w:rPr>
          <w:rtl/>
          <w:lang w:bidi="ar-SY"/>
        </w:rPr>
        <w:t>على</w:t>
      </w:r>
      <w:r w:rsidR="00F32B28">
        <w:rPr>
          <w:rtl/>
          <w:lang w:bidi="ar-SY"/>
        </w:rPr>
        <w:t xml:space="preserve"> </w:t>
      </w:r>
      <w:r w:rsidR="00F32B28" w:rsidRPr="00F32B28">
        <w:rPr>
          <w:i/>
          <w:iCs/>
          <w:rtl/>
          <w:lang w:bidi="ar-SY"/>
        </w:rPr>
        <w:t>أن</w:t>
      </w:r>
      <w:r w:rsidR="00407D55">
        <w:rPr>
          <w:rFonts w:hint="cs"/>
          <w:i/>
          <w:iCs/>
          <w:rtl/>
          <w:lang w:bidi="ar-SY"/>
        </w:rPr>
        <w:t xml:space="preserve"> </w:t>
      </w:r>
      <w:r w:rsidR="00407D55" w:rsidRPr="00407D55">
        <w:rPr>
          <w:rFonts w:hint="eastAsia"/>
          <w:i/>
          <w:iCs/>
          <w:rtl/>
          <w:lang w:bidi="ar-SY"/>
        </w:rPr>
        <w:t>”</w:t>
      </w:r>
      <w:r w:rsidR="00F32B28" w:rsidRPr="00F32B28">
        <w:rPr>
          <w:i/>
          <w:iCs/>
          <w:rtl/>
          <w:lang w:bidi="ar-SY"/>
        </w:rPr>
        <w:t>الفلسطينيون</w:t>
      </w:r>
      <w:r w:rsidR="00F32B28">
        <w:rPr>
          <w:i/>
          <w:iCs/>
          <w:rtl/>
          <w:lang w:bidi="ar-SY"/>
        </w:rPr>
        <w:t xml:space="preserve"> </w:t>
      </w:r>
      <w:r w:rsidR="00F32B28" w:rsidRPr="00F32B28">
        <w:rPr>
          <w:i/>
          <w:iCs/>
          <w:rtl/>
          <w:lang w:bidi="ar-SY"/>
        </w:rPr>
        <w:t>أمام</w:t>
      </w:r>
      <w:r w:rsidR="00F32B28">
        <w:rPr>
          <w:i/>
          <w:iCs/>
          <w:rtl/>
          <w:lang w:bidi="ar-SY"/>
        </w:rPr>
        <w:t xml:space="preserve"> </w:t>
      </w:r>
      <w:r w:rsidR="00F32B28" w:rsidRPr="00F32B28">
        <w:rPr>
          <w:i/>
          <w:iCs/>
          <w:rtl/>
          <w:lang w:bidi="ar-SY"/>
        </w:rPr>
        <w:t>القانون</w:t>
      </w:r>
      <w:r w:rsidR="00F32B28">
        <w:rPr>
          <w:i/>
          <w:iCs/>
          <w:rtl/>
          <w:lang w:bidi="ar-SY"/>
        </w:rPr>
        <w:t xml:space="preserve"> </w:t>
      </w:r>
      <w:r w:rsidR="00F32B28" w:rsidRPr="00F32B28">
        <w:rPr>
          <w:i/>
          <w:iCs/>
          <w:rtl/>
          <w:lang w:bidi="ar-SY"/>
        </w:rPr>
        <w:t>والقضاء</w:t>
      </w:r>
      <w:r w:rsidR="00F32B28">
        <w:rPr>
          <w:i/>
          <w:iCs/>
          <w:rtl/>
          <w:lang w:bidi="ar-SY"/>
        </w:rPr>
        <w:t xml:space="preserve"> </w:t>
      </w:r>
      <w:r w:rsidR="00F32B28" w:rsidRPr="00F32B28">
        <w:rPr>
          <w:i/>
          <w:iCs/>
          <w:rtl/>
          <w:lang w:bidi="ar-SY"/>
        </w:rPr>
        <w:t>سواء</w:t>
      </w:r>
      <w:r w:rsidR="00F32B28">
        <w:rPr>
          <w:i/>
          <w:iCs/>
          <w:rtl/>
          <w:lang w:bidi="ar-SY"/>
        </w:rPr>
        <w:t xml:space="preserve"> </w:t>
      </w:r>
      <w:r w:rsidR="00F32B28" w:rsidRPr="00F32B28">
        <w:rPr>
          <w:i/>
          <w:iCs/>
          <w:rtl/>
          <w:lang w:bidi="ar-SY"/>
        </w:rPr>
        <w:t>لا</w:t>
      </w:r>
      <w:r w:rsidR="00641D93">
        <w:rPr>
          <w:rFonts w:hint="cs"/>
          <w:i/>
          <w:iCs/>
          <w:rtl/>
          <w:lang w:bidi="ar-SY"/>
        </w:rPr>
        <w:t> </w:t>
      </w:r>
      <w:r w:rsidR="00F32B28" w:rsidRPr="00F32B28">
        <w:rPr>
          <w:i/>
          <w:iCs/>
          <w:rtl/>
          <w:lang w:bidi="ar-SY"/>
        </w:rPr>
        <w:t>تمييز</w:t>
      </w:r>
      <w:r w:rsidR="00F32B28">
        <w:rPr>
          <w:i/>
          <w:iCs/>
          <w:rtl/>
          <w:lang w:bidi="ar-SY"/>
        </w:rPr>
        <w:t xml:space="preserve"> </w:t>
      </w:r>
      <w:r w:rsidR="00F32B28" w:rsidRPr="00F32B28">
        <w:rPr>
          <w:i/>
          <w:iCs/>
          <w:rtl/>
          <w:lang w:bidi="ar-SY"/>
        </w:rPr>
        <w:t>بينهم</w:t>
      </w:r>
      <w:r w:rsidR="00F32B28">
        <w:rPr>
          <w:i/>
          <w:iCs/>
          <w:rtl/>
          <w:lang w:bidi="ar-SY"/>
        </w:rPr>
        <w:t xml:space="preserve"> </w:t>
      </w:r>
      <w:r w:rsidR="00F32B28" w:rsidRPr="00F32B28">
        <w:rPr>
          <w:i/>
          <w:iCs/>
          <w:rtl/>
          <w:lang w:bidi="ar-SY"/>
        </w:rPr>
        <w:t>بسبب</w:t>
      </w:r>
      <w:r w:rsidR="00F32B28">
        <w:rPr>
          <w:i/>
          <w:iCs/>
          <w:rtl/>
          <w:lang w:bidi="ar-SY"/>
        </w:rPr>
        <w:t xml:space="preserve"> </w:t>
      </w:r>
      <w:r w:rsidR="00F32B28" w:rsidRPr="00F32B28">
        <w:rPr>
          <w:i/>
          <w:iCs/>
          <w:rtl/>
          <w:lang w:bidi="ar-SY"/>
        </w:rPr>
        <w:t>العرق</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الجنس</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اللون</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الدين</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الرأي</w:t>
      </w:r>
      <w:r w:rsidR="00F32B28">
        <w:rPr>
          <w:i/>
          <w:iCs/>
          <w:rtl/>
          <w:lang w:bidi="ar-SY"/>
        </w:rPr>
        <w:t xml:space="preserve"> </w:t>
      </w:r>
      <w:r w:rsidR="00F32B28" w:rsidRPr="00F32B28">
        <w:rPr>
          <w:i/>
          <w:iCs/>
          <w:rtl/>
          <w:lang w:bidi="ar-SY"/>
        </w:rPr>
        <w:t>السياسي</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الإعاقة</w:t>
      </w:r>
      <w:r w:rsidR="00407D55" w:rsidRPr="00407D55">
        <w:rPr>
          <w:rFonts w:hint="cs"/>
          <w:i/>
          <w:iCs/>
          <w:rtl/>
          <w:lang w:bidi="ar-SY"/>
        </w:rPr>
        <w:t>“</w:t>
      </w:r>
      <w:r w:rsidR="00641D93">
        <w:rPr>
          <w:rFonts w:hint="cs"/>
          <w:i/>
          <w:iCs/>
          <w:rtl/>
          <w:lang w:bidi="ar-SY"/>
        </w:rPr>
        <w:t xml:space="preserve">. </w:t>
      </w:r>
      <w:r w:rsidR="00F32B28" w:rsidRPr="00F32B28">
        <w:rPr>
          <w:rtl/>
          <w:lang w:bidi="ar-SY"/>
        </w:rPr>
        <w:t>ما</w:t>
      </w:r>
      <w:r w:rsidR="00F32B28">
        <w:rPr>
          <w:rtl/>
          <w:lang w:bidi="ar-SY"/>
        </w:rPr>
        <w:t xml:space="preserve"> </w:t>
      </w:r>
      <w:r w:rsidR="00F32B28" w:rsidRPr="00F32B28">
        <w:rPr>
          <w:rtl/>
          <w:lang w:bidi="ar-SY"/>
        </w:rPr>
        <w:t>يجعل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حظر</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والمساواة</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بينها</w:t>
      </w:r>
      <w:r w:rsidR="00F32B28">
        <w:rPr>
          <w:rtl/>
          <w:lang w:bidi="ar-SY"/>
        </w:rPr>
        <w:t xml:space="preserve"> </w:t>
      </w:r>
      <w:r w:rsidR="00F32B28" w:rsidRPr="00F32B28">
        <w:rPr>
          <w:rtl/>
          <w:lang w:bidi="ar-SY"/>
        </w:rPr>
        <w:t>وبين</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المبادئ</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القيمة</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العليا</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شأنها</w:t>
      </w:r>
      <w:r w:rsidR="00F32B28">
        <w:rPr>
          <w:rtl/>
          <w:lang w:bidi="ar-SY"/>
        </w:rPr>
        <w:t xml:space="preserve"> </w:t>
      </w:r>
      <w:r w:rsidR="00F32B28" w:rsidRPr="00F32B28">
        <w:rPr>
          <w:rtl/>
          <w:lang w:bidi="ar-SY"/>
        </w:rPr>
        <w:t>جعل</w:t>
      </w:r>
      <w:r w:rsidR="00F32B28">
        <w:rPr>
          <w:rtl/>
          <w:lang w:bidi="ar-SY"/>
        </w:rPr>
        <w:t xml:space="preserve"> </w:t>
      </w:r>
      <w:r w:rsidR="00F32B28" w:rsidRPr="00F32B28">
        <w:rPr>
          <w:rtl/>
        </w:rPr>
        <w:t>أي</w:t>
      </w:r>
      <w:r w:rsidR="00F32B28">
        <w:rPr>
          <w:rtl/>
        </w:rPr>
        <w:t xml:space="preserve"> </w:t>
      </w:r>
      <w:r w:rsidR="00F32B28" w:rsidRPr="00F32B28">
        <w:rPr>
          <w:rtl/>
        </w:rPr>
        <w:t>تشريع</w:t>
      </w:r>
      <w:r w:rsidR="00F32B28">
        <w:rPr>
          <w:rtl/>
        </w:rPr>
        <w:t xml:space="preserve"> </w:t>
      </w:r>
      <w:r w:rsidR="00F32B28" w:rsidRPr="00F32B28">
        <w:rPr>
          <w:rtl/>
        </w:rPr>
        <w:t>لا</w:t>
      </w:r>
      <w:r w:rsidR="00F32B28">
        <w:rPr>
          <w:rtl/>
        </w:rPr>
        <w:t xml:space="preserve"> </w:t>
      </w:r>
      <w:r w:rsidR="00F32B28" w:rsidRPr="00F32B28">
        <w:rPr>
          <w:rtl/>
        </w:rPr>
        <w:t>يراعي</w:t>
      </w:r>
      <w:r w:rsidR="00F32B28">
        <w:rPr>
          <w:rtl/>
        </w:rPr>
        <w:t xml:space="preserve"> </w:t>
      </w:r>
      <w:r w:rsidR="00F32B28" w:rsidRPr="00F32B28">
        <w:rPr>
          <w:rtl/>
        </w:rPr>
        <w:t>هذه</w:t>
      </w:r>
      <w:r w:rsidR="00F32B28">
        <w:rPr>
          <w:rtl/>
        </w:rPr>
        <w:t xml:space="preserve"> </w:t>
      </w:r>
      <w:r w:rsidR="00F32B28" w:rsidRPr="00F32B28">
        <w:rPr>
          <w:rtl/>
        </w:rPr>
        <w:t>المبادئ</w:t>
      </w:r>
      <w:r w:rsidR="00F32B28">
        <w:rPr>
          <w:rtl/>
        </w:rPr>
        <w:t xml:space="preserve"> </w:t>
      </w:r>
      <w:r w:rsidR="00F32B28" w:rsidRPr="00F32B28">
        <w:rPr>
          <w:rtl/>
        </w:rPr>
        <w:t>معرضاً</w:t>
      </w:r>
      <w:r w:rsidR="00F32B28">
        <w:rPr>
          <w:rtl/>
        </w:rPr>
        <w:t xml:space="preserve"> </w:t>
      </w:r>
      <w:r w:rsidR="00F32B28" w:rsidRPr="00F32B28">
        <w:rPr>
          <w:rtl/>
        </w:rPr>
        <w:t>بالأصل</w:t>
      </w:r>
      <w:r w:rsidR="00F32B28">
        <w:rPr>
          <w:rtl/>
        </w:rPr>
        <w:t xml:space="preserve"> </w:t>
      </w:r>
      <w:r w:rsidR="00F32B28" w:rsidRPr="00F32B28">
        <w:rPr>
          <w:rtl/>
        </w:rPr>
        <w:t>للإلغاء</w:t>
      </w:r>
      <w:r w:rsidR="00F32B28">
        <w:rPr>
          <w:rtl/>
        </w:rPr>
        <w:t xml:space="preserve"> </w:t>
      </w:r>
      <w:r w:rsidR="00F32B28" w:rsidRPr="00F32B28">
        <w:rPr>
          <w:rtl/>
        </w:rPr>
        <w:t>والإبطال</w:t>
      </w:r>
      <w:r w:rsidR="00F32B28">
        <w:rPr>
          <w:rtl/>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المحكمة</w:t>
      </w:r>
      <w:r w:rsidR="00F32B28">
        <w:rPr>
          <w:rtl/>
          <w:lang w:bidi="ar-SY"/>
        </w:rPr>
        <w:t xml:space="preserve"> </w:t>
      </w:r>
      <w:r w:rsidR="00F32B28" w:rsidRPr="00F32B28">
        <w:rPr>
          <w:rtl/>
          <w:lang w:bidi="ar-SY"/>
        </w:rPr>
        <w:t>الدستورية</w:t>
      </w:r>
      <w:r w:rsidR="00F32B28">
        <w:rPr>
          <w:rtl/>
          <w:lang w:bidi="ar-SY"/>
        </w:rPr>
        <w:t xml:space="preserve"> </w:t>
      </w:r>
      <w:r w:rsidR="00F32B28" w:rsidRPr="00F32B28">
        <w:rPr>
          <w:rtl/>
          <w:lang w:bidi="ar-SY"/>
        </w:rPr>
        <w:t>استناداً</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مبدأ</w:t>
      </w:r>
      <w:r w:rsidR="00F32B28">
        <w:rPr>
          <w:rtl/>
          <w:lang w:bidi="ar-SY"/>
        </w:rPr>
        <w:t xml:space="preserve"> </w:t>
      </w:r>
      <w:r w:rsidR="00F32B28" w:rsidRPr="00F32B28">
        <w:rPr>
          <w:rtl/>
          <w:lang w:bidi="ar-SY"/>
        </w:rPr>
        <w:t>القواعد</w:t>
      </w:r>
      <w:r w:rsidR="00F32B28">
        <w:rPr>
          <w:rtl/>
          <w:lang w:bidi="ar-SY"/>
        </w:rPr>
        <w:t xml:space="preserve"> </w:t>
      </w:r>
      <w:r w:rsidR="00F32B28" w:rsidRPr="00F32B28">
        <w:rPr>
          <w:rtl/>
          <w:lang w:bidi="ar-SY"/>
        </w:rPr>
        <w:t>العامة</w:t>
      </w:r>
      <w:r w:rsidR="00F32B28" w:rsidRPr="00F32B28">
        <w:rPr>
          <w:rtl/>
        </w:rPr>
        <w:t>.</w:t>
      </w:r>
      <w:r w:rsidR="00F32B28">
        <w:rPr>
          <w:rtl/>
        </w:rPr>
        <w:t xml:space="preserve"> </w:t>
      </w:r>
      <w:r w:rsidR="00F32B28" w:rsidRPr="00F32B28">
        <w:rPr>
          <w:rtl/>
          <w:lang w:bidi="ar-SY"/>
        </w:rPr>
        <w:t>كما</w:t>
      </w:r>
      <w:r w:rsidR="00F32B28">
        <w:rPr>
          <w:rtl/>
          <w:lang w:bidi="ar-SY"/>
        </w:rPr>
        <w:t xml:space="preserve"> </w:t>
      </w:r>
      <w:r w:rsidR="00F32B28" w:rsidRPr="00F32B28">
        <w:rPr>
          <w:rtl/>
          <w:lang w:bidi="ar-SY"/>
        </w:rPr>
        <w:t>تنص</w:t>
      </w:r>
      <w:r w:rsidR="00F32B28">
        <w:rPr>
          <w:rtl/>
          <w:lang w:bidi="ar-SY"/>
        </w:rPr>
        <w:t xml:space="preserve"> </w:t>
      </w:r>
      <w:r w:rsidR="00F32B28" w:rsidRPr="00F32B28">
        <w:rPr>
          <w:rtl/>
          <w:lang w:bidi="ar-SY"/>
        </w:rPr>
        <w:t>ال</w:t>
      </w:r>
      <w:r w:rsidR="00F32B28" w:rsidRPr="00F32B28">
        <w:rPr>
          <w:rtl/>
        </w:rPr>
        <w:t>مادة</w:t>
      </w:r>
      <w:r w:rsidR="00F32B28">
        <w:rPr>
          <w:rtl/>
        </w:rPr>
        <w:t xml:space="preserve"> </w:t>
      </w:r>
      <w:r w:rsidR="00F32B28" w:rsidRPr="00F32B28">
        <w:rPr>
          <w:rtl/>
        </w:rPr>
        <w:t>العاشرة</w:t>
      </w:r>
      <w:r w:rsidR="00F32B28">
        <w:rPr>
          <w:rtl/>
        </w:rPr>
        <w:t xml:space="preserve"> </w:t>
      </w:r>
      <w:r w:rsidR="00F32B28" w:rsidRPr="00F32B28">
        <w:rPr>
          <w:rtl/>
        </w:rPr>
        <w:t>منه</w:t>
      </w:r>
      <w:r w:rsidR="00F32B28">
        <w:rPr>
          <w:rtl/>
        </w:rPr>
        <w:t xml:space="preserve"> </w:t>
      </w:r>
      <w:r w:rsidR="00F32B28" w:rsidRPr="00F32B28">
        <w:rPr>
          <w:rtl/>
        </w:rPr>
        <w:t>على</w:t>
      </w:r>
      <w:r w:rsidR="00F32B28">
        <w:rPr>
          <w:rtl/>
        </w:rPr>
        <w:t xml:space="preserve"> </w:t>
      </w:r>
      <w:r w:rsidR="00F32B28" w:rsidRPr="00F32B28">
        <w:rPr>
          <w:rtl/>
        </w:rPr>
        <w:t>أن</w:t>
      </w:r>
      <w:r w:rsidR="00641D93">
        <w:rPr>
          <w:rFonts w:hint="cs"/>
          <w:rtl/>
        </w:rPr>
        <w:t xml:space="preserve"> ”</w:t>
      </w:r>
      <w:r w:rsidR="00F32B28" w:rsidRPr="00CA17A8">
        <w:rPr>
          <w:i/>
          <w:iCs/>
          <w:rtl/>
        </w:rPr>
        <w:t>حقوق</w:t>
      </w:r>
      <w:r w:rsidR="00F32B28" w:rsidRPr="00CA17A8">
        <w:rPr>
          <w:i/>
          <w:iCs/>
          <w:rtl/>
          <w:lang w:bidi="ar-SY"/>
        </w:rPr>
        <w:t xml:space="preserve"> الإنسان</w:t>
      </w:r>
      <w:r w:rsidR="00F32B28">
        <w:rPr>
          <w:i/>
          <w:iCs/>
          <w:rtl/>
          <w:lang w:bidi="ar-SY"/>
        </w:rPr>
        <w:t xml:space="preserve"> </w:t>
      </w:r>
      <w:r w:rsidR="00F32B28" w:rsidRPr="00F32B28">
        <w:rPr>
          <w:i/>
          <w:iCs/>
          <w:rtl/>
          <w:lang w:bidi="ar-SY"/>
        </w:rPr>
        <w:t>وحرياته</w:t>
      </w:r>
      <w:r w:rsidR="00F32B28">
        <w:rPr>
          <w:i/>
          <w:iCs/>
          <w:rtl/>
          <w:lang w:bidi="ar-SY"/>
        </w:rPr>
        <w:t xml:space="preserve"> </w:t>
      </w:r>
      <w:r w:rsidR="00F32B28" w:rsidRPr="00F32B28">
        <w:rPr>
          <w:i/>
          <w:iCs/>
          <w:rtl/>
          <w:lang w:bidi="ar-SY"/>
        </w:rPr>
        <w:t>الأساسية</w:t>
      </w:r>
      <w:r w:rsidR="00F32B28">
        <w:rPr>
          <w:i/>
          <w:iCs/>
          <w:rtl/>
          <w:lang w:bidi="ar-SY"/>
        </w:rPr>
        <w:t xml:space="preserve"> </w:t>
      </w:r>
      <w:r w:rsidR="00F32B28" w:rsidRPr="00F32B28">
        <w:rPr>
          <w:i/>
          <w:iCs/>
          <w:rtl/>
          <w:lang w:bidi="ar-SY"/>
        </w:rPr>
        <w:t>ملزمة</w:t>
      </w:r>
      <w:r w:rsidR="00F32B28">
        <w:rPr>
          <w:i/>
          <w:iCs/>
          <w:rtl/>
          <w:lang w:bidi="ar-SY"/>
        </w:rPr>
        <w:t xml:space="preserve"> </w:t>
      </w:r>
      <w:r w:rsidR="00F32B28" w:rsidRPr="00F32B28">
        <w:rPr>
          <w:i/>
          <w:iCs/>
          <w:rtl/>
          <w:lang w:bidi="ar-SY"/>
        </w:rPr>
        <w:t>وواجبة</w:t>
      </w:r>
      <w:r w:rsidR="00F32B28">
        <w:rPr>
          <w:i/>
          <w:iCs/>
          <w:rtl/>
          <w:lang w:bidi="ar-SY"/>
        </w:rPr>
        <w:t xml:space="preserve"> </w:t>
      </w:r>
      <w:r w:rsidR="00F32B28" w:rsidRPr="00F32B28">
        <w:rPr>
          <w:i/>
          <w:iCs/>
          <w:rtl/>
          <w:lang w:bidi="ar-SY"/>
        </w:rPr>
        <w:t>الاحترام</w:t>
      </w:r>
      <w:r w:rsidR="00CA17A8" w:rsidRPr="00CA17A8">
        <w:rPr>
          <w:rFonts w:hint="eastAsia"/>
          <w:rtl/>
          <w:lang w:bidi="ar-SY"/>
        </w:rPr>
        <w:t>“</w:t>
      </w:r>
      <w:r w:rsidR="00641D93">
        <w:rPr>
          <w:rFonts w:hint="cs"/>
          <w:i/>
          <w:iCs/>
          <w:rtl/>
          <w:lang w:bidi="ar-SY"/>
        </w:rPr>
        <w:t xml:space="preserve">. </w:t>
      </w:r>
      <w:r w:rsidR="00F32B28" w:rsidRPr="00F32B28">
        <w:rPr>
          <w:i/>
          <w:iCs/>
          <w:rtl/>
          <w:lang w:bidi="ar-SY"/>
        </w:rPr>
        <w:t>و</w:t>
      </w:r>
      <w:r w:rsidR="00F32B28" w:rsidRPr="00F32B28">
        <w:rPr>
          <w:rtl/>
        </w:rPr>
        <w:t>على</w:t>
      </w:r>
      <w:r w:rsidR="00F32B28">
        <w:rPr>
          <w:rtl/>
        </w:rPr>
        <w:t xml:space="preserve"> </w:t>
      </w:r>
      <w:r w:rsidR="00F32B28" w:rsidRPr="00F32B28">
        <w:rPr>
          <w:rtl/>
        </w:rPr>
        <w:t>ضرورة</w:t>
      </w:r>
      <w:r w:rsidR="00F32B28">
        <w:rPr>
          <w:rtl/>
        </w:rPr>
        <w:t xml:space="preserve"> </w:t>
      </w:r>
      <w:r w:rsidR="00F32B28" w:rsidRPr="00F32B28">
        <w:rPr>
          <w:rtl/>
        </w:rPr>
        <w:t>قيام</w:t>
      </w:r>
      <w:r w:rsidR="00F32B28">
        <w:rPr>
          <w:rtl/>
        </w:rPr>
        <w:t xml:space="preserve"> </w:t>
      </w:r>
      <w:r w:rsidR="00F32B28" w:rsidRPr="00F32B28">
        <w:rPr>
          <w:rtl/>
        </w:rPr>
        <w:t>فلسطين</w:t>
      </w:r>
      <w:r w:rsidR="00641D93">
        <w:rPr>
          <w:rFonts w:hint="cs"/>
          <w:rtl/>
        </w:rPr>
        <w:t xml:space="preserve"> ”</w:t>
      </w:r>
      <w:r w:rsidR="00F32B28" w:rsidRPr="00F32B28">
        <w:rPr>
          <w:rtl/>
        </w:rPr>
        <w:t>دون</w:t>
      </w:r>
      <w:r w:rsidR="00F32B28">
        <w:rPr>
          <w:i/>
          <w:iCs/>
          <w:rtl/>
        </w:rPr>
        <w:t xml:space="preserve"> </w:t>
      </w:r>
      <w:r w:rsidR="00F32B28" w:rsidRPr="00F32B28">
        <w:rPr>
          <w:i/>
          <w:iCs/>
          <w:rtl/>
        </w:rPr>
        <w:t>إبطاء</w:t>
      </w:r>
      <w:r w:rsidR="00641D93">
        <w:rPr>
          <w:rFonts w:hint="cs"/>
          <w:i/>
          <w:iCs/>
          <w:rtl/>
        </w:rPr>
        <w:t xml:space="preserve"> [بـ]</w:t>
      </w:r>
      <w:r w:rsidR="00641D93" w:rsidRPr="00F32B28">
        <w:rPr>
          <w:i/>
          <w:iCs/>
          <w:rtl/>
        </w:rPr>
        <w:t xml:space="preserve"> </w:t>
      </w:r>
      <w:r w:rsidR="00F32B28" w:rsidRPr="00F32B28">
        <w:rPr>
          <w:i/>
          <w:iCs/>
          <w:rtl/>
        </w:rPr>
        <w:t>الانضمام</w:t>
      </w:r>
      <w:r w:rsidR="00F32B28">
        <w:rPr>
          <w:i/>
          <w:iCs/>
          <w:rtl/>
        </w:rPr>
        <w:t xml:space="preserve"> </w:t>
      </w:r>
      <w:r w:rsidR="00F32B28" w:rsidRPr="00F32B28">
        <w:rPr>
          <w:i/>
          <w:iCs/>
          <w:rtl/>
        </w:rPr>
        <w:t>إلى</w:t>
      </w:r>
      <w:r w:rsidR="00F32B28">
        <w:rPr>
          <w:i/>
          <w:iCs/>
          <w:rtl/>
        </w:rPr>
        <w:t xml:space="preserve"> </w:t>
      </w:r>
      <w:r w:rsidR="00F32B28" w:rsidRPr="00F32B28">
        <w:rPr>
          <w:i/>
          <w:iCs/>
          <w:rtl/>
        </w:rPr>
        <w:t>الإعلانات</w:t>
      </w:r>
      <w:r w:rsidR="00F32B28">
        <w:rPr>
          <w:i/>
          <w:iCs/>
          <w:rtl/>
        </w:rPr>
        <w:t xml:space="preserve"> </w:t>
      </w:r>
      <w:r w:rsidR="00F32B28" w:rsidRPr="00F32B28">
        <w:rPr>
          <w:i/>
          <w:iCs/>
          <w:rtl/>
        </w:rPr>
        <w:t>والمواثيق</w:t>
      </w:r>
      <w:r w:rsidR="00F32B28">
        <w:rPr>
          <w:i/>
          <w:iCs/>
          <w:rtl/>
        </w:rPr>
        <w:t xml:space="preserve"> </w:t>
      </w:r>
      <w:r w:rsidR="00F32B28" w:rsidRPr="00F32B28">
        <w:rPr>
          <w:i/>
          <w:iCs/>
          <w:rtl/>
        </w:rPr>
        <w:t>الإقليمية</w:t>
      </w:r>
      <w:r w:rsidR="00F32B28">
        <w:rPr>
          <w:i/>
          <w:iCs/>
          <w:rtl/>
        </w:rPr>
        <w:t xml:space="preserve"> </w:t>
      </w:r>
      <w:r w:rsidR="00F32B28" w:rsidRPr="00F32B28">
        <w:rPr>
          <w:i/>
          <w:iCs/>
          <w:rtl/>
        </w:rPr>
        <w:t>والدولية</w:t>
      </w:r>
      <w:r w:rsidR="00F32B28">
        <w:rPr>
          <w:i/>
          <w:iCs/>
          <w:rtl/>
        </w:rPr>
        <w:t xml:space="preserve"> </w:t>
      </w:r>
      <w:r w:rsidR="00F32B28" w:rsidRPr="00F32B28">
        <w:rPr>
          <w:i/>
          <w:iCs/>
          <w:rtl/>
        </w:rPr>
        <w:t>التي</w:t>
      </w:r>
      <w:r w:rsidR="00F32B28">
        <w:rPr>
          <w:i/>
          <w:iCs/>
          <w:rtl/>
        </w:rPr>
        <w:t xml:space="preserve"> </w:t>
      </w:r>
      <w:r w:rsidR="00F32B28" w:rsidRPr="00F32B28">
        <w:rPr>
          <w:i/>
          <w:iCs/>
          <w:rtl/>
        </w:rPr>
        <w:t>تحمي</w:t>
      </w:r>
      <w:r w:rsidR="00F32B28">
        <w:rPr>
          <w:i/>
          <w:iCs/>
          <w:rtl/>
        </w:rPr>
        <w:t xml:space="preserve"> </w:t>
      </w:r>
      <w:r w:rsidR="00F32B28" w:rsidRPr="00F32B28">
        <w:rPr>
          <w:i/>
          <w:iCs/>
          <w:rtl/>
        </w:rPr>
        <w:t>حقوق</w:t>
      </w:r>
      <w:r w:rsidR="00F32B28">
        <w:rPr>
          <w:i/>
          <w:iCs/>
          <w:rtl/>
        </w:rPr>
        <w:t xml:space="preserve"> </w:t>
      </w:r>
      <w:r w:rsidR="00F32B28" w:rsidRPr="00F32B28">
        <w:rPr>
          <w:i/>
          <w:iCs/>
          <w:rtl/>
        </w:rPr>
        <w:t>الإنسان</w:t>
      </w:r>
      <w:r w:rsidR="00407D55" w:rsidRPr="00407D55">
        <w:rPr>
          <w:rFonts w:hint="cs"/>
          <w:i/>
          <w:iCs/>
          <w:rtl/>
          <w:lang w:bidi="ar-SY"/>
        </w:rPr>
        <w:t>“</w:t>
      </w:r>
      <w:r w:rsidR="00F32B28" w:rsidRPr="00F32B28">
        <w:rPr>
          <w:i/>
          <w:iCs/>
          <w:rtl/>
        </w:rPr>
        <w:t>.</w:t>
      </w:r>
    </w:p>
    <w:p w:rsidR="00F32B28" w:rsidRPr="00F32B28" w:rsidRDefault="00DF628D" w:rsidP="008D730A">
      <w:pPr>
        <w:pStyle w:val="SingleTxt"/>
      </w:pPr>
      <w:r>
        <w:rPr>
          <w:rFonts w:hint="cs"/>
          <w:rtl/>
          <w:lang w:bidi="ar-SY"/>
        </w:rPr>
        <w:t>6 -</w:t>
      </w:r>
      <w:r>
        <w:rPr>
          <w:rFonts w:hint="cs"/>
          <w:rtl/>
          <w:lang w:bidi="ar-SY"/>
        </w:rPr>
        <w:tab/>
      </w:r>
      <w:r w:rsidR="00F32B28" w:rsidRPr="00F32B28">
        <w:rPr>
          <w:rtl/>
          <w:lang w:bidi="ar-SY"/>
        </w:rPr>
        <w:t>إن</w:t>
      </w:r>
      <w:r w:rsidR="00F32B28">
        <w:rPr>
          <w:rtl/>
          <w:lang w:bidi="ar-SY"/>
        </w:rPr>
        <w:t xml:space="preserve"> </w:t>
      </w:r>
      <w:r w:rsidR="00F32B28" w:rsidRPr="00F32B28">
        <w:rPr>
          <w:rtl/>
          <w:lang w:bidi="ar-SY"/>
        </w:rPr>
        <w:t>انضمام</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إلى</w:t>
      </w:r>
      <w:r w:rsidR="001D253C">
        <w:rPr>
          <w:rFonts w:hint="cs"/>
          <w:rtl/>
          <w:lang w:bidi="ar-SY"/>
        </w:rPr>
        <w:t xml:space="preserve"> </w:t>
      </w:r>
      <w:r w:rsidR="001D253C">
        <w:rPr>
          <w:rFonts w:hint="eastAsia"/>
          <w:rtl/>
          <w:lang w:bidi="ar-SY"/>
        </w:rPr>
        <w:t>”</w:t>
      </w:r>
      <w:r w:rsidR="00F32B28" w:rsidRPr="00F32B28">
        <w:rPr>
          <w:rtl/>
          <w:lang w:bidi="ar-SY"/>
        </w:rPr>
        <w:t>سيداو</w:t>
      </w:r>
      <w:r w:rsidR="001D253C">
        <w:rPr>
          <w:rFonts w:hint="cs"/>
          <w:rtl/>
          <w:lang w:bidi="ar-SY"/>
        </w:rPr>
        <w:t>“</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إيراد</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التحفظات</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موادها،</w:t>
      </w:r>
      <w:r w:rsidR="00F32B28">
        <w:rPr>
          <w:rtl/>
          <w:lang w:bidi="ar-SY"/>
        </w:rPr>
        <w:t xml:space="preserve"> </w:t>
      </w:r>
      <w:r w:rsidR="00F32B28" w:rsidRPr="00F32B28">
        <w:rPr>
          <w:rtl/>
          <w:lang w:bidi="ar-SY"/>
        </w:rPr>
        <w:t>وإلى</w:t>
      </w:r>
      <w:r w:rsidR="00F32B28">
        <w:rPr>
          <w:rtl/>
          <w:lang w:bidi="ar-SY"/>
        </w:rPr>
        <w:t xml:space="preserve"> </w:t>
      </w:r>
      <w:r w:rsidR="00F32B28" w:rsidRPr="00F32B28">
        <w:rPr>
          <w:rtl/>
          <w:lang w:bidi="ar-SY"/>
        </w:rPr>
        <w:t>غيرها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المواثيق</w:t>
      </w:r>
      <w:r w:rsidR="00F32B28">
        <w:rPr>
          <w:rtl/>
          <w:lang w:bidi="ar-SY"/>
        </w:rPr>
        <w:t xml:space="preserve"> </w:t>
      </w:r>
      <w:r w:rsidR="00F32B28" w:rsidRPr="00F32B28">
        <w:rPr>
          <w:rtl/>
          <w:lang w:bidi="ar-SY"/>
        </w:rPr>
        <w:t>الدولية</w:t>
      </w:r>
      <w:r w:rsidR="008D730A">
        <w:rPr>
          <w:rFonts w:hint="cs"/>
          <w:rtl/>
          <w:lang w:bidi="ar-SY"/>
        </w:rPr>
        <w:t xml:space="preserve"> </w:t>
      </w:r>
      <w:r w:rsidR="00F32B28" w:rsidRPr="00F32B28">
        <w:rPr>
          <w:rtl/>
          <w:lang w:bidi="ar-SY"/>
        </w:rPr>
        <w:t>لحقوق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تنص</w:t>
      </w:r>
      <w:r w:rsidR="00F32B28">
        <w:rPr>
          <w:rtl/>
          <w:lang w:bidi="ar-SY"/>
        </w:rPr>
        <w:t xml:space="preserve"> </w:t>
      </w:r>
      <w:r w:rsidR="00F32B28" w:rsidRPr="00F32B28">
        <w:rPr>
          <w:rtl/>
          <w:lang w:bidi="ar-SY"/>
        </w:rPr>
        <w:t>على</w:t>
      </w:r>
      <w:r w:rsidR="008D730A">
        <w:rPr>
          <w:rFonts w:hint="cs"/>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وعدم</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أساس</w:t>
      </w:r>
      <w:r w:rsidR="00F32B28">
        <w:rPr>
          <w:rtl/>
          <w:lang w:bidi="ar-SY"/>
        </w:rPr>
        <w:t xml:space="preserve"> </w:t>
      </w:r>
      <w:r w:rsidR="00F32B28" w:rsidRPr="00F32B28">
        <w:rPr>
          <w:rtl/>
          <w:lang w:bidi="ar-SY"/>
        </w:rPr>
        <w:t>الجنس؛</w:t>
      </w:r>
      <w:r w:rsidR="00F32B28">
        <w:rPr>
          <w:rtl/>
          <w:lang w:bidi="ar-SY"/>
        </w:rPr>
        <w:t xml:space="preserve"> </w:t>
      </w:r>
      <w:r w:rsidR="00F32B28" w:rsidRPr="00F32B28">
        <w:rPr>
          <w:rtl/>
          <w:lang w:bidi="ar-SY"/>
        </w:rPr>
        <w:t>يعني</w:t>
      </w:r>
      <w:r w:rsidR="00F32B28">
        <w:rPr>
          <w:rtl/>
          <w:lang w:bidi="ar-SY"/>
        </w:rPr>
        <w:t xml:space="preserve"> </w:t>
      </w:r>
      <w:r w:rsidR="00F32B28" w:rsidRPr="00F32B28">
        <w:rPr>
          <w:rtl/>
          <w:lang w:bidi="ar-SY"/>
        </w:rPr>
        <w:t>ابتداءً</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تعلن،</w:t>
      </w:r>
      <w:r w:rsidR="00F32B28">
        <w:rPr>
          <w:rtl/>
          <w:lang w:bidi="ar-SY"/>
        </w:rPr>
        <w:t xml:space="preserve"> </w:t>
      </w:r>
      <w:r w:rsidR="00F32B28" w:rsidRPr="00F32B28">
        <w:rPr>
          <w:rtl/>
          <w:lang w:bidi="ar-SY"/>
        </w:rPr>
        <w:t>وعبر</w:t>
      </w:r>
      <w:r w:rsidR="00F32B28">
        <w:rPr>
          <w:rtl/>
          <w:lang w:bidi="ar-SY"/>
        </w:rPr>
        <w:t xml:space="preserve"> </w:t>
      </w:r>
      <w:r w:rsidR="00F32B28" w:rsidRPr="00F32B28">
        <w:rPr>
          <w:rtl/>
          <w:lang w:bidi="ar-SY"/>
        </w:rPr>
        <w:t>القيادة</w:t>
      </w:r>
      <w:r w:rsidR="00F32B28">
        <w:rPr>
          <w:rtl/>
          <w:lang w:bidi="ar-SY"/>
        </w:rPr>
        <w:t xml:space="preserve"> </w:t>
      </w:r>
      <w:r w:rsidR="00F32B28" w:rsidRPr="00F32B28">
        <w:rPr>
          <w:rtl/>
          <w:lang w:bidi="ar-SY"/>
        </w:rPr>
        <w:t>السياسية</w:t>
      </w:r>
      <w:r w:rsidR="00F32B28">
        <w:rPr>
          <w:rtl/>
          <w:lang w:bidi="ar-SY"/>
        </w:rPr>
        <w:t xml:space="preserve"> </w:t>
      </w:r>
      <w:r w:rsidR="00F32B28" w:rsidRPr="00F32B28">
        <w:rPr>
          <w:rtl/>
          <w:lang w:bidi="ar-SY"/>
        </w:rPr>
        <w:t>العليا،</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التزامها</w:t>
      </w:r>
      <w:r w:rsidR="00F32B28">
        <w:rPr>
          <w:rtl/>
          <w:lang w:bidi="ar-SY"/>
        </w:rPr>
        <w:t xml:space="preserve"> </w:t>
      </w:r>
      <w:r w:rsidR="00F32B28" w:rsidRPr="00F32B28">
        <w:rPr>
          <w:rtl/>
          <w:lang w:bidi="ar-SY"/>
        </w:rPr>
        <w:t>الكامل</w:t>
      </w:r>
      <w:r w:rsidR="008D730A">
        <w:rPr>
          <w:rFonts w:hint="cs"/>
          <w:rtl/>
          <w:lang w:bidi="ar-SY"/>
        </w:rPr>
        <w:t xml:space="preserve"> </w:t>
      </w:r>
      <w:r w:rsidR="00F32B28" w:rsidRPr="00F32B28">
        <w:rPr>
          <w:rtl/>
          <w:lang w:bidi="ar-SY"/>
        </w:rPr>
        <w:t>بتعريف</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المدرج</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المواثيق،</w:t>
      </w:r>
      <w:r w:rsidR="008D730A">
        <w:rPr>
          <w:rFonts w:hint="cs"/>
          <w:rtl/>
          <w:lang w:bidi="ar-SY"/>
        </w:rPr>
        <w:t xml:space="preserve"> </w:t>
      </w:r>
      <w:r w:rsidR="00F32B28" w:rsidRPr="00F32B28">
        <w:rPr>
          <w:rtl/>
          <w:lang w:bidi="ar-SY"/>
        </w:rPr>
        <w:t>وعن</w:t>
      </w:r>
      <w:r w:rsidR="00F32B28">
        <w:rPr>
          <w:rtl/>
          <w:lang w:bidi="ar-SY"/>
        </w:rPr>
        <w:t xml:space="preserve"> </w:t>
      </w:r>
      <w:r w:rsidR="00F32B28" w:rsidRPr="00F32B28">
        <w:rPr>
          <w:rtl/>
          <w:lang w:bidi="ar-SY"/>
        </w:rPr>
        <w:t>التزامها</w:t>
      </w:r>
      <w:r w:rsidR="00F32B28">
        <w:rPr>
          <w:rtl/>
          <w:lang w:bidi="ar-SY"/>
        </w:rPr>
        <w:t xml:space="preserve"> </w:t>
      </w:r>
      <w:r w:rsidR="00F32B28" w:rsidRPr="00F32B28">
        <w:rPr>
          <w:rtl/>
          <w:lang w:bidi="ar-SY"/>
        </w:rPr>
        <w:t>بحظر</w:t>
      </w:r>
      <w:r w:rsidR="008D730A">
        <w:rPr>
          <w:rFonts w:hint="cs"/>
          <w:rtl/>
          <w:lang w:bidi="ar-SY"/>
        </w:rPr>
        <w:t xml:space="preserve"> </w:t>
      </w:r>
      <w:r w:rsidR="00F32B28" w:rsidRPr="00F32B28">
        <w:rPr>
          <w:rtl/>
          <w:lang w:bidi="ar-SY"/>
        </w:rPr>
        <w:t>جميع</w:t>
      </w:r>
      <w:r w:rsidR="00F32B28">
        <w:rPr>
          <w:rtl/>
          <w:lang w:bidi="ar-SY"/>
        </w:rPr>
        <w:t xml:space="preserve"> </w:t>
      </w:r>
      <w:r w:rsidR="00F32B28" w:rsidRPr="00F32B28">
        <w:rPr>
          <w:rtl/>
          <w:lang w:bidi="ar-SY"/>
        </w:rPr>
        <w:t>أشكاله</w:t>
      </w:r>
      <w:r w:rsidR="008D730A">
        <w:rPr>
          <w:rFonts w:hint="cs"/>
          <w:rtl/>
          <w:lang w:bidi="ar-SY"/>
        </w:rPr>
        <w:t xml:space="preserve"> </w:t>
      </w:r>
      <w:r w:rsidR="00F32B28" w:rsidRPr="00F32B28">
        <w:rPr>
          <w:rtl/>
          <w:lang w:bidi="ar-SY"/>
        </w:rPr>
        <w:t>واتخاذ</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التدابير</w:t>
      </w:r>
      <w:r w:rsidR="00F32B28">
        <w:rPr>
          <w:rtl/>
          <w:lang w:bidi="ar-SY"/>
        </w:rPr>
        <w:t xml:space="preserve"> </w:t>
      </w:r>
      <w:r w:rsidR="00F32B28" w:rsidRPr="00F32B28">
        <w:rPr>
          <w:rtl/>
          <w:lang w:bidi="ar-SY"/>
        </w:rPr>
        <w:t>اللازمة</w:t>
      </w:r>
      <w:r w:rsidR="00F32B28">
        <w:rPr>
          <w:rtl/>
          <w:lang w:bidi="ar-SY"/>
        </w:rPr>
        <w:t xml:space="preserve"> </w:t>
      </w:r>
      <w:r w:rsidR="00F32B28" w:rsidRPr="00F32B28">
        <w:rPr>
          <w:rtl/>
          <w:lang w:bidi="ar-SY"/>
        </w:rPr>
        <w:t>لذلك.</w:t>
      </w:r>
    </w:p>
    <w:p w:rsidR="00F32B28" w:rsidRPr="00F32B28" w:rsidRDefault="00DF628D" w:rsidP="00407D55">
      <w:pPr>
        <w:pStyle w:val="SingleTxt"/>
        <w:rPr>
          <w:rtl/>
        </w:rPr>
      </w:pPr>
      <w:r>
        <w:rPr>
          <w:rFonts w:hint="cs"/>
          <w:rtl/>
          <w:lang w:bidi="ar-SY"/>
        </w:rPr>
        <w:t>7 -</w:t>
      </w:r>
      <w:r>
        <w:rPr>
          <w:rFonts w:hint="cs"/>
          <w:rtl/>
          <w:lang w:bidi="ar-SY"/>
        </w:rPr>
        <w:tab/>
      </w:r>
      <w:r w:rsidR="00F32B28" w:rsidRPr="00F32B28">
        <w:rPr>
          <w:rtl/>
          <w:lang w:bidi="ar-SY"/>
        </w:rPr>
        <w:t>وفي</w:t>
      </w:r>
      <w:r w:rsidR="00F32B28">
        <w:rPr>
          <w:rtl/>
          <w:lang w:bidi="ar-SY"/>
        </w:rPr>
        <w:t xml:space="preserve"> </w:t>
      </w:r>
      <w:r w:rsidR="00F32B28" w:rsidRPr="00F32B28">
        <w:rPr>
          <w:rtl/>
          <w:lang w:bidi="ar-SY"/>
        </w:rPr>
        <w:t>إطار</w:t>
      </w:r>
      <w:r w:rsidR="00F32B28">
        <w:rPr>
          <w:rtl/>
          <w:lang w:bidi="ar-SY"/>
        </w:rPr>
        <w:t xml:space="preserve"> </w:t>
      </w:r>
      <w:r w:rsidR="00F32B28" w:rsidRPr="00F32B28">
        <w:rPr>
          <w:rtl/>
          <w:lang w:bidi="ar-SY"/>
        </w:rPr>
        <w:t>النهج</w:t>
      </w:r>
      <w:r w:rsidR="00F32B28">
        <w:rPr>
          <w:rtl/>
          <w:lang w:bidi="ar-SY"/>
        </w:rPr>
        <w:t xml:space="preserve"> </w:t>
      </w:r>
      <w:r w:rsidR="00F32B28" w:rsidRPr="00F32B28">
        <w:rPr>
          <w:rtl/>
          <w:lang w:bidi="ar-SY"/>
        </w:rPr>
        <w:t>الشمولي</w:t>
      </w:r>
      <w:r w:rsidR="00F32B28">
        <w:rPr>
          <w:rtl/>
          <w:lang w:bidi="ar-SY"/>
        </w:rPr>
        <w:t xml:space="preserve"> </w:t>
      </w:r>
      <w:r w:rsidR="00F32B28" w:rsidRPr="00F32B28">
        <w:rPr>
          <w:rtl/>
          <w:lang w:bidi="ar-SY"/>
        </w:rPr>
        <w:t>الوطني</w:t>
      </w:r>
      <w:r w:rsidR="00F32B28">
        <w:rPr>
          <w:rtl/>
          <w:lang w:bidi="ar-SY"/>
        </w:rPr>
        <w:t xml:space="preserve"> </w:t>
      </w:r>
      <w:r w:rsidR="00F32B28" w:rsidRPr="00F32B28">
        <w:rPr>
          <w:rtl/>
          <w:lang w:bidi="ar-SY"/>
        </w:rPr>
        <w:t>تجاه</w:t>
      </w:r>
      <w:r w:rsidR="00F32B28">
        <w:rPr>
          <w:rtl/>
          <w:lang w:bidi="ar-SY"/>
        </w:rPr>
        <w:t xml:space="preserve"> </w:t>
      </w:r>
      <w:r w:rsidR="00F32B28" w:rsidRPr="00F32B28">
        <w:rPr>
          <w:rtl/>
          <w:lang w:bidi="ar-SY"/>
        </w:rPr>
        <w:t>إنفاذ</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وإدماج</w:t>
      </w:r>
      <w:r w:rsidR="00F32B28">
        <w:rPr>
          <w:rtl/>
          <w:lang w:bidi="ar-SY"/>
        </w:rPr>
        <w:t xml:space="preserve"> </w:t>
      </w:r>
      <w:r w:rsidR="00F32B28" w:rsidRPr="00F32B28">
        <w:rPr>
          <w:rtl/>
          <w:lang w:bidi="ar-SY"/>
        </w:rPr>
        <w:t>معاييرها</w:t>
      </w:r>
      <w:r w:rsidR="008D730A">
        <w:rPr>
          <w:rFonts w:hint="cs"/>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أصدر</w:t>
      </w:r>
      <w:r w:rsidR="00F32B28">
        <w:rPr>
          <w:rtl/>
          <w:lang w:bidi="ar-SY"/>
        </w:rPr>
        <w:t xml:space="preserve"> </w:t>
      </w:r>
      <w:r w:rsidR="00F32B28" w:rsidRPr="00F32B28">
        <w:rPr>
          <w:rtl/>
          <w:lang w:bidi="ar-SY"/>
        </w:rPr>
        <w:t>الرئيس</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بتاريخ</w:t>
      </w:r>
      <w:r w:rsidR="00F32B28">
        <w:rPr>
          <w:rtl/>
          <w:lang w:bidi="ar-SY"/>
        </w:rPr>
        <w:t xml:space="preserve"> </w:t>
      </w:r>
      <w:r w:rsidR="00F32B28" w:rsidRPr="00F32B28">
        <w:rPr>
          <w:rtl/>
          <w:lang w:bidi="ar-SY"/>
        </w:rPr>
        <w:t>7</w:t>
      </w:r>
      <w:r w:rsidR="004B33D7">
        <w:rPr>
          <w:rFonts w:hint="cs"/>
          <w:rtl/>
          <w:lang w:bidi="ar-SY"/>
        </w:rPr>
        <w:t xml:space="preserve"> أيار/مايو </w:t>
      </w:r>
      <w:r w:rsidR="00F32B28" w:rsidRPr="00F32B28">
        <w:rPr>
          <w:rtl/>
          <w:lang w:bidi="ar-SY"/>
        </w:rPr>
        <w:t>2014،</w:t>
      </w:r>
      <w:r w:rsidR="00F32B28">
        <w:rPr>
          <w:rtl/>
          <w:lang w:bidi="ar-SY"/>
        </w:rPr>
        <w:t xml:space="preserve"> </w:t>
      </w:r>
      <w:r w:rsidR="00F32B28" w:rsidRPr="00F32B28">
        <w:rPr>
          <w:rtl/>
          <w:lang w:bidi="ar-SY"/>
        </w:rPr>
        <w:t>وفور</w:t>
      </w:r>
      <w:r w:rsidR="00F32B28">
        <w:rPr>
          <w:rtl/>
          <w:lang w:bidi="ar-SY"/>
        </w:rPr>
        <w:t xml:space="preserve"> </w:t>
      </w:r>
      <w:r w:rsidR="00F32B28" w:rsidRPr="00F32B28">
        <w:rPr>
          <w:rtl/>
          <w:lang w:bidi="ar-SY"/>
        </w:rPr>
        <w:t>الانضمام</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الاتفاقيات</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قراراً</w:t>
      </w:r>
      <w:r w:rsidR="00F32B28">
        <w:rPr>
          <w:rtl/>
          <w:lang w:bidi="ar-SY"/>
        </w:rPr>
        <w:t xml:space="preserve"> </w:t>
      </w:r>
      <w:r w:rsidR="00F32B28" w:rsidRPr="00F32B28">
        <w:rPr>
          <w:rtl/>
          <w:lang w:bidi="ar-SY"/>
        </w:rPr>
        <w:t>بتشكيل</w:t>
      </w:r>
      <w:r w:rsidR="00F32B28">
        <w:rPr>
          <w:rtl/>
          <w:lang w:bidi="ar-SY"/>
        </w:rPr>
        <w:t xml:space="preserve"> </w:t>
      </w:r>
      <w:r w:rsidR="00F32B28" w:rsidRPr="00F32B28">
        <w:rPr>
          <w:rtl/>
          <w:lang w:bidi="ar-SY"/>
        </w:rPr>
        <w:t>اللجنة</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(الوزارية)</w:t>
      </w:r>
      <w:r w:rsidR="00F32B28">
        <w:rPr>
          <w:rtl/>
          <w:lang w:bidi="ar-SY"/>
        </w:rPr>
        <w:t xml:space="preserve"> </w:t>
      </w:r>
      <w:r w:rsidR="00F32B28" w:rsidRPr="00F32B28">
        <w:rPr>
          <w:rtl/>
          <w:lang w:bidi="ar-SY"/>
        </w:rPr>
        <w:t>الدائمة</w:t>
      </w:r>
      <w:r w:rsidR="00F32B28">
        <w:rPr>
          <w:rtl/>
          <w:lang w:bidi="ar-SY"/>
        </w:rPr>
        <w:t xml:space="preserve"> </w:t>
      </w:r>
      <w:r w:rsidR="00F32B28" w:rsidRPr="00F32B28">
        <w:rPr>
          <w:rtl/>
          <w:lang w:bidi="ar-SY"/>
        </w:rPr>
        <w:t>لمتابعة</w:t>
      </w:r>
      <w:r w:rsidR="00F32B28">
        <w:rPr>
          <w:rtl/>
          <w:lang w:bidi="ar-SY"/>
        </w:rPr>
        <w:t xml:space="preserve"> </w:t>
      </w:r>
      <w:r w:rsidR="00F32B28" w:rsidRPr="00F32B28">
        <w:rPr>
          <w:rtl/>
          <w:lang w:bidi="ar-SY"/>
        </w:rPr>
        <w:t>انضمام</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المعاهدات</w:t>
      </w:r>
      <w:r w:rsidR="00F32B28">
        <w:rPr>
          <w:rtl/>
          <w:lang w:bidi="ar-SY"/>
        </w:rPr>
        <w:t xml:space="preserve"> </w:t>
      </w:r>
      <w:r w:rsidR="00F32B28" w:rsidRPr="00F32B28">
        <w:rPr>
          <w:rtl/>
          <w:lang w:bidi="ar-SY"/>
        </w:rPr>
        <w:t>والمواثيق</w:t>
      </w:r>
      <w:r w:rsidR="00F32B28">
        <w:rPr>
          <w:rtl/>
          <w:lang w:bidi="ar-SY"/>
        </w:rPr>
        <w:t xml:space="preserve"> </w:t>
      </w:r>
      <w:r w:rsidR="00F32B28" w:rsidRPr="00F32B28">
        <w:rPr>
          <w:rtl/>
          <w:lang w:bidi="ar-SY"/>
        </w:rPr>
        <w:t>الدولية.</w:t>
      </w:r>
      <w:r w:rsidR="008D730A">
        <w:rPr>
          <w:rFonts w:hint="cs"/>
          <w:rtl/>
          <w:lang w:bidi="ar-SY"/>
        </w:rPr>
        <w:t xml:space="preserve"> </w:t>
      </w:r>
      <w:r w:rsidR="00F32B28" w:rsidRPr="00F32B28">
        <w:rPr>
          <w:rtl/>
          <w:lang w:bidi="ar-SY"/>
        </w:rPr>
        <w:t>وتضم</w:t>
      </w:r>
      <w:r w:rsidR="00F32B28">
        <w:rPr>
          <w:rtl/>
          <w:lang w:bidi="ar-SY"/>
        </w:rPr>
        <w:t xml:space="preserve"> </w:t>
      </w:r>
      <w:r w:rsidR="00F32B28" w:rsidRPr="00F32B28">
        <w:rPr>
          <w:rtl/>
          <w:lang w:bidi="ar-SY"/>
        </w:rPr>
        <w:t>اللجنة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عضويتها</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الخارجية</w:t>
      </w:r>
      <w:r w:rsidR="00F32B28">
        <w:rPr>
          <w:rtl/>
          <w:lang w:bidi="ar-SY"/>
        </w:rPr>
        <w:t xml:space="preserve"> </w:t>
      </w:r>
      <w:r w:rsidR="00F32B28" w:rsidRPr="00F32B28">
        <w:rPr>
          <w:rtl/>
          <w:lang w:bidi="ar-SY"/>
        </w:rPr>
        <w:t>(رئيساً)</w:t>
      </w:r>
      <w:r w:rsidR="00F32B28">
        <w:rPr>
          <w:rtl/>
          <w:lang w:bidi="ar-SY"/>
        </w:rPr>
        <w:t xml:space="preserve"> </w:t>
      </w:r>
      <w:r w:rsidR="00F32B28" w:rsidRPr="00F32B28">
        <w:rPr>
          <w:rtl/>
          <w:lang w:bidi="ar-SY"/>
        </w:rPr>
        <w:t>وعدداً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الوزارات</w:t>
      </w:r>
      <w:r w:rsidR="00F32B28">
        <w:rPr>
          <w:rtl/>
          <w:lang w:bidi="ar-SY"/>
        </w:rPr>
        <w:t xml:space="preserve"> </w:t>
      </w:r>
      <w:r w:rsidR="00F32B28" w:rsidRPr="00F32B28">
        <w:rPr>
          <w:rtl/>
          <w:lang w:bidi="ar-SY"/>
        </w:rPr>
        <w:t>والمؤسسات</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والهيئة</w:t>
      </w:r>
      <w:r w:rsidR="00F32B28">
        <w:rPr>
          <w:rtl/>
          <w:lang w:bidi="ar-SY"/>
        </w:rPr>
        <w:t xml:space="preserve"> </w:t>
      </w:r>
      <w:r w:rsidR="00F32B28" w:rsidRPr="00F32B28">
        <w:rPr>
          <w:rtl/>
          <w:lang w:bidi="ar-SY"/>
        </w:rPr>
        <w:t>المستقلة</w:t>
      </w:r>
      <w:r w:rsidR="00F32B28">
        <w:rPr>
          <w:rtl/>
          <w:lang w:bidi="ar-SY"/>
        </w:rPr>
        <w:t xml:space="preserve"> </w:t>
      </w:r>
      <w:r w:rsidR="00F32B28" w:rsidRPr="00F32B28">
        <w:rPr>
          <w:rtl/>
          <w:lang w:bidi="ar-SY"/>
        </w:rPr>
        <w:t>لحقوق</w:t>
      </w:r>
      <w:r w:rsidR="00F32B28">
        <w:rPr>
          <w:rtl/>
          <w:lang w:bidi="ar-SY"/>
        </w:rPr>
        <w:t xml:space="preserve"> </w:t>
      </w:r>
      <w:r w:rsidR="00F32B28" w:rsidRPr="00F32B28">
        <w:rPr>
          <w:rtl/>
          <w:lang w:bidi="ar-SY"/>
        </w:rPr>
        <w:t>الإنسان</w:t>
      </w:r>
      <w:r w:rsidR="008D730A">
        <w:rPr>
          <w:rFonts w:hint="cs"/>
          <w:rtl/>
          <w:lang w:bidi="ar-SY"/>
        </w:rPr>
        <w:t xml:space="preserve"> </w:t>
      </w:r>
      <w:r w:rsidR="00F32B28" w:rsidRPr="00F32B28">
        <w:rPr>
          <w:rtl/>
          <w:lang w:bidi="ar-SY"/>
        </w:rPr>
        <w:t>بصفة</w:t>
      </w:r>
      <w:r w:rsidR="00F32B28">
        <w:rPr>
          <w:rtl/>
          <w:lang w:bidi="ar-SY"/>
        </w:rPr>
        <w:t xml:space="preserve"> </w:t>
      </w:r>
      <w:r w:rsidR="00F32B28" w:rsidRPr="00F32B28">
        <w:rPr>
          <w:rtl/>
          <w:lang w:bidi="ar-SY"/>
        </w:rPr>
        <w:t>عضو</w:t>
      </w:r>
      <w:r w:rsidR="00F32B28">
        <w:rPr>
          <w:rtl/>
          <w:lang w:bidi="ar-SY"/>
        </w:rPr>
        <w:t xml:space="preserve"> </w:t>
      </w:r>
      <w:r w:rsidR="00F32B28" w:rsidRPr="00F32B28">
        <w:rPr>
          <w:rtl/>
          <w:lang w:bidi="ar-SY"/>
        </w:rPr>
        <w:t>مراقب.</w:t>
      </w:r>
      <w:r w:rsidR="008D730A">
        <w:rPr>
          <w:rFonts w:hint="cs"/>
          <w:rtl/>
          <w:lang w:bidi="ar-SY"/>
        </w:rPr>
        <w:t xml:space="preserve"> </w:t>
      </w:r>
      <w:r w:rsidR="00F32B28" w:rsidRPr="00F32B28">
        <w:rPr>
          <w:rtl/>
          <w:lang w:bidi="ar-SY"/>
        </w:rPr>
        <w:t>وقد</w:t>
      </w:r>
      <w:r w:rsidR="00F32B28">
        <w:rPr>
          <w:rtl/>
          <w:lang w:bidi="ar-SY"/>
        </w:rPr>
        <w:t xml:space="preserve"> </w:t>
      </w:r>
      <w:r w:rsidR="00F32B28" w:rsidRPr="00F32B28">
        <w:rPr>
          <w:rtl/>
          <w:lang w:bidi="ar-SY"/>
        </w:rPr>
        <w:t>انبثق</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اللجنة</w:t>
      </w:r>
      <w:r w:rsidR="00F32B28">
        <w:rPr>
          <w:rtl/>
          <w:lang w:bidi="ar-SY"/>
        </w:rPr>
        <w:t xml:space="preserve"> </w:t>
      </w:r>
      <w:r w:rsidR="00F32B28" w:rsidRPr="00F32B28">
        <w:rPr>
          <w:rtl/>
          <w:lang w:bidi="ar-SY"/>
        </w:rPr>
        <w:t>لجنة</w:t>
      </w:r>
      <w:r w:rsidR="00F32B28">
        <w:rPr>
          <w:rtl/>
          <w:lang w:bidi="ar-SY"/>
        </w:rPr>
        <w:t xml:space="preserve"> </w:t>
      </w:r>
      <w:r w:rsidR="00F32B28" w:rsidRPr="00F32B28">
        <w:rPr>
          <w:rtl/>
          <w:lang w:bidi="ar-SY"/>
        </w:rPr>
        <w:t>فرعية</w:t>
      </w:r>
      <w:r w:rsidR="00F32B28">
        <w:rPr>
          <w:rtl/>
          <w:lang w:bidi="ar-SY"/>
        </w:rPr>
        <w:t xml:space="preserve"> </w:t>
      </w:r>
      <w:r w:rsidR="00F32B28" w:rsidRPr="00F32B28">
        <w:rPr>
          <w:rtl/>
          <w:lang w:bidi="ar-SY"/>
        </w:rPr>
        <w:t>هي</w:t>
      </w:r>
      <w:r w:rsidR="00407D55">
        <w:rPr>
          <w:rFonts w:hint="cs"/>
          <w:rtl/>
          <w:lang w:bidi="ar-SY"/>
        </w:rPr>
        <w:t xml:space="preserve"> </w:t>
      </w:r>
      <w:r w:rsidR="00407D55">
        <w:rPr>
          <w:rFonts w:hint="eastAsia"/>
          <w:rtl/>
          <w:lang w:bidi="ar-SY"/>
        </w:rPr>
        <w:t>”</w:t>
      </w:r>
      <w:r w:rsidR="00F32B28" w:rsidRPr="00F32B28">
        <w:rPr>
          <w:rtl/>
          <w:lang w:bidi="ar-SY"/>
        </w:rPr>
        <w:t>لجنة</w:t>
      </w:r>
      <w:r w:rsidR="00F32B28">
        <w:rPr>
          <w:rtl/>
          <w:lang w:bidi="ar-SY"/>
        </w:rPr>
        <w:t xml:space="preserve"> </w:t>
      </w:r>
      <w:r w:rsidR="00F32B28" w:rsidRPr="00F32B28">
        <w:rPr>
          <w:rtl/>
          <w:lang w:bidi="ar-SY"/>
        </w:rPr>
        <w:lastRenderedPageBreak/>
        <w:t>الخبراء</w:t>
      </w:r>
      <w:r w:rsidR="00407D55">
        <w:rPr>
          <w:rFonts w:hint="cs"/>
          <w:rtl/>
          <w:lang w:bidi="ar-SY"/>
        </w:rPr>
        <w:t xml:space="preserve">“ </w:t>
      </w:r>
      <w:r w:rsidR="00F32B28" w:rsidRPr="00F32B28">
        <w:rPr>
          <w:rtl/>
          <w:lang w:bidi="ar-SY"/>
        </w:rPr>
        <w:t>تتولى</w:t>
      </w:r>
      <w:r w:rsidR="00F32B28">
        <w:rPr>
          <w:rtl/>
          <w:lang w:bidi="ar-SY"/>
        </w:rPr>
        <w:t xml:space="preserve"> </w:t>
      </w:r>
      <w:r w:rsidR="00F32B28" w:rsidRPr="00F32B28">
        <w:rPr>
          <w:rtl/>
          <w:lang w:bidi="ar-SY"/>
        </w:rPr>
        <w:t>بدورها</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ضمان</w:t>
      </w:r>
      <w:r w:rsidR="00F32B28">
        <w:rPr>
          <w:rtl/>
          <w:lang w:bidi="ar-SY"/>
        </w:rPr>
        <w:t xml:space="preserve"> </w:t>
      </w:r>
      <w:r w:rsidR="00F32B28" w:rsidRPr="00F32B28">
        <w:rPr>
          <w:rtl/>
          <w:lang w:bidi="ar-SY"/>
        </w:rPr>
        <w:t>التزام</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بالاتفاقيات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انضمت</w:t>
      </w:r>
      <w:r w:rsidR="00F32B28">
        <w:rPr>
          <w:rtl/>
          <w:lang w:bidi="ar-SY"/>
        </w:rPr>
        <w:t xml:space="preserve"> </w:t>
      </w:r>
      <w:r w:rsidR="00F32B28" w:rsidRPr="00F32B28">
        <w:rPr>
          <w:rtl/>
          <w:lang w:bidi="ar-SY"/>
        </w:rPr>
        <w:t>إليها</w:t>
      </w:r>
      <w:r w:rsidR="00F32B28">
        <w:rPr>
          <w:rtl/>
          <w:lang w:bidi="ar-SY"/>
        </w:rPr>
        <w:t xml:space="preserve"> </w:t>
      </w:r>
      <w:r w:rsidR="00F32B28" w:rsidRPr="00F32B28">
        <w:rPr>
          <w:rtl/>
          <w:lang w:bidi="ar-SY"/>
        </w:rPr>
        <w:t>واحترامها،</w:t>
      </w:r>
      <w:r w:rsidR="00F32B28">
        <w:rPr>
          <w:rtl/>
          <w:lang w:bidi="ar-SY"/>
        </w:rPr>
        <w:t xml:space="preserve"> </w:t>
      </w:r>
      <w:r w:rsidR="00F32B28" w:rsidRPr="00F32B28">
        <w:rPr>
          <w:rtl/>
          <w:lang w:bidi="ar-SY"/>
        </w:rPr>
        <w:t>وإعداد</w:t>
      </w:r>
      <w:r w:rsidR="00F32B28">
        <w:rPr>
          <w:rtl/>
          <w:lang w:bidi="ar-SY"/>
        </w:rPr>
        <w:t xml:space="preserve"> </w:t>
      </w:r>
      <w:r w:rsidR="00F32B28" w:rsidRPr="00F32B28">
        <w:rPr>
          <w:rtl/>
          <w:lang w:bidi="ar-SY"/>
        </w:rPr>
        <w:t>التقارير</w:t>
      </w:r>
      <w:r w:rsidR="00F32B28">
        <w:rPr>
          <w:rtl/>
          <w:lang w:bidi="ar-SY"/>
        </w:rPr>
        <w:t xml:space="preserve"> </w:t>
      </w:r>
      <w:r w:rsidR="00F32B28" w:rsidRPr="00F32B28">
        <w:rPr>
          <w:rtl/>
          <w:lang w:bidi="ar-SY"/>
        </w:rPr>
        <w:t>الأولية</w:t>
      </w:r>
      <w:r w:rsidR="00F32B28">
        <w:rPr>
          <w:rtl/>
          <w:lang w:bidi="ar-SY"/>
        </w:rPr>
        <w:t xml:space="preserve"> </w:t>
      </w:r>
      <w:r w:rsidR="00F32B28" w:rsidRPr="00F32B28">
        <w:rPr>
          <w:rtl/>
          <w:lang w:bidi="ar-SY"/>
        </w:rPr>
        <w:t>والدورية</w:t>
      </w:r>
      <w:r w:rsidR="00F32B28">
        <w:rPr>
          <w:rtl/>
          <w:lang w:bidi="ar-SY"/>
        </w:rPr>
        <w:t xml:space="preserve"> </w:t>
      </w:r>
      <w:r w:rsidR="00F32B28" w:rsidRPr="00F32B28">
        <w:rPr>
          <w:rtl/>
          <w:lang w:bidi="ar-SY"/>
        </w:rPr>
        <w:t>لدولة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وتقديمها</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لجان</w:t>
      </w:r>
      <w:r w:rsidR="00F32B28">
        <w:rPr>
          <w:rtl/>
          <w:lang w:bidi="ar-SY"/>
        </w:rPr>
        <w:t xml:space="preserve"> </w:t>
      </w:r>
      <w:r w:rsidR="00F32B28" w:rsidRPr="00F32B28">
        <w:rPr>
          <w:rtl/>
          <w:lang w:bidi="ar-SY"/>
        </w:rPr>
        <w:t>الاتفاقيات</w:t>
      </w:r>
      <w:r w:rsidR="00F32B28">
        <w:rPr>
          <w:rtl/>
          <w:lang w:bidi="ar-SY"/>
        </w:rPr>
        <w:t xml:space="preserve"> </w:t>
      </w:r>
      <w:r w:rsidR="00F32B28" w:rsidRPr="00F32B28">
        <w:rPr>
          <w:rtl/>
          <w:lang w:bidi="ar-SY"/>
        </w:rPr>
        <w:t>المختصة،</w:t>
      </w:r>
      <w:r w:rsidR="008D730A">
        <w:rPr>
          <w:rFonts w:hint="cs"/>
          <w:rtl/>
          <w:lang w:bidi="ar-SY"/>
        </w:rPr>
        <w:t xml:space="preserve"> </w:t>
      </w:r>
      <w:r w:rsidR="00F32B28" w:rsidRPr="00F32B28">
        <w:rPr>
          <w:rtl/>
          <w:lang w:bidi="ar-SY"/>
        </w:rPr>
        <w:t>ومراجعة</w:t>
      </w:r>
      <w:r w:rsidR="008D730A">
        <w:rPr>
          <w:rFonts w:hint="cs"/>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المعمول</w:t>
      </w:r>
      <w:r w:rsidR="00F32B28">
        <w:rPr>
          <w:rtl/>
          <w:lang w:bidi="ar-SY"/>
        </w:rPr>
        <w:t xml:space="preserve"> </w:t>
      </w:r>
      <w:r w:rsidR="00F32B28" w:rsidRPr="00F32B28">
        <w:rPr>
          <w:rtl/>
          <w:lang w:bidi="ar-SY"/>
        </w:rPr>
        <w:t>بها</w:t>
      </w:r>
      <w:r w:rsidR="008D730A">
        <w:rPr>
          <w:rFonts w:hint="cs"/>
          <w:rtl/>
          <w:lang w:bidi="ar-SY"/>
        </w:rPr>
        <w:t xml:space="preserve"> </w:t>
      </w:r>
      <w:r w:rsidR="00F32B28" w:rsidRPr="00F32B28">
        <w:rPr>
          <w:rtl/>
          <w:lang w:bidi="ar-SY"/>
        </w:rPr>
        <w:t>واقتراح</w:t>
      </w:r>
      <w:r w:rsidR="00F32B28">
        <w:rPr>
          <w:rtl/>
          <w:lang w:bidi="ar-SY"/>
        </w:rPr>
        <w:t xml:space="preserve"> </w:t>
      </w:r>
      <w:r w:rsidR="00F32B28" w:rsidRPr="00F32B28">
        <w:rPr>
          <w:rtl/>
          <w:lang w:bidi="ar-SY"/>
        </w:rPr>
        <w:t>التعديلات</w:t>
      </w:r>
      <w:r w:rsidR="00F32B28">
        <w:rPr>
          <w:rtl/>
          <w:lang w:bidi="ar-SY"/>
        </w:rPr>
        <w:t xml:space="preserve"> </w:t>
      </w:r>
      <w:r w:rsidR="00F32B28" w:rsidRPr="00F32B28">
        <w:rPr>
          <w:rtl/>
          <w:lang w:bidi="ar-SY"/>
        </w:rPr>
        <w:t>الضرورية</w:t>
      </w:r>
      <w:r w:rsidR="00F32B28">
        <w:rPr>
          <w:rtl/>
          <w:lang w:bidi="ar-SY"/>
        </w:rPr>
        <w:t xml:space="preserve"> </w:t>
      </w:r>
      <w:r w:rsidR="00F32B28" w:rsidRPr="00F32B28">
        <w:rPr>
          <w:rtl/>
          <w:lang w:bidi="ar-SY"/>
        </w:rPr>
        <w:t>عليها</w:t>
      </w:r>
      <w:r w:rsidR="008D730A">
        <w:rPr>
          <w:rFonts w:hint="cs"/>
          <w:rtl/>
          <w:lang w:bidi="ar-SY"/>
        </w:rPr>
        <w:t xml:space="preserve"> </w:t>
      </w:r>
      <w:r w:rsidR="00F32B28" w:rsidRPr="00F32B28">
        <w:rPr>
          <w:rtl/>
          <w:lang w:bidi="ar-SY"/>
        </w:rPr>
        <w:t>ومواءمتها</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المعايير</w:t>
      </w:r>
      <w:r w:rsidR="008D730A">
        <w:rPr>
          <w:rFonts w:hint="cs"/>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الصلة،</w:t>
      </w:r>
      <w:r w:rsidR="00F32B28">
        <w:rPr>
          <w:rtl/>
          <w:lang w:bidi="ar-SY"/>
        </w:rPr>
        <w:t xml:space="preserve"> </w:t>
      </w:r>
      <w:r w:rsidR="00F32B28" w:rsidRPr="00F32B28">
        <w:rPr>
          <w:rtl/>
          <w:lang w:bidi="ar-SY"/>
        </w:rPr>
        <w:t>الأمر</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يكسب</w:t>
      </w:r>
      <w:r w:rsidR="00F32B28">
        <w:rPr>
          <w:rtl/>
          <w:lang w:bidi="ar-SY"/>
        </w:rPr>
        <w:t xml:space="preserve"> </w:t>
      </w:r>
      <w:r w:rsidR="00F32B28" w:rsidRPr="00F32B28">
        <w:rPr>
          <w:rtl/>
          <w:lang w:bidi="ar-SY"/>
        </w:rPr>
        <w:t>تعريف</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أحكام</w:t>
      </w:r>
      <w:r w:rsidR="00F32B28">
        <w:rPr>
          <w:rtl/>
          <w:lang w:bidi="ar-SY"/>
        </w:rPr>
        <w:t xml:space="preserve"> </w:t>
      </w:r>
      <w:r w:rsidR="00F32B28" w:rsidRPr="00F32B28">
        <w:rPr>
          <w:rtl/>
          <w:lang w:bidi="ar-SY"/>
        </w:rPr>
        <w:t>اتفاقية</w:t>
      </w:r>
      <w:r w:rsidR="00F32B28">
        <w:rPr>
          <w:rtl/>
          <w:lang w:bidi="ar-SY"/>
        </w:rPr>
        <w:t xml:space="preserve"> </w:t>
      </w:r>
      <w:r w:rsidR="001D253C">
        <w:rPr>
          <w:rFonts w:hint="cs"/>
          <w:rtl/>
          <w:lang w:bidi="ar-SY"/>
        </w:rPr>
        <w:t>”</w:t>
      </w:r>
      <w:r w:rsidR="00F32B28" w:rsidRPr="00F32B28">
        <w:rPr>
          <w:rtl/>
          <w:lang w:bidi="ar-SY"/>
        </w:rPr>
        <w:t>سيداو</w:t>
      </w:r>
      <w:r w:rsidR="001D253C">
        <w:rPr>
          <w:rFonts w:hint="cs"/>
          <w:rtl/>
          <w:lang w:bidi="ar-SY"/>
        </w:rPr>
        <w:t>“</w:t>
      </w:r>
      <w:r w:rsidR="00F32B28" w:rsidRPr="00F32B28">
        <w:rPr>
          <w:rtl/>
          <w:lang w:bidi="ar-SY"/>
        </w:rPr>
        <w:t>،</w:t>
      </w:r>
      <w:r w:rsidR="00F32B28">
        <w:rPr>
          <w:rtl/>
          <w:lang w:bidi="ar-SY"/>
        </w:rPr>
        <w:t xml:space="preserve"> </w:t>
      </w:r>
      <w:r w:rsidR="00F32B28" w:rsidRPr="00F32B28">
        <w:rPr>
          <w:rtl/>
          <w:lang w:bidi="ar-SY"/>
        </w:rPr>
        <w:t>ديناميكية</w:t>
      </w:r>
      <w:r w:rsidR="00F32B28">
        <w:rPr>
          <w:rtl/>
          <w:lang w:bidi="ar-SY"/>
        </w:rPr>
        <w:t xml:space="preserve"> </w:t>
      </w:r>
      <w:r w:rsidR="00F32B28" w:rsidRPr="00F32B28">
        <w:rPr>
          <w:rtl/>
          <w:lang w:bidi="ar-SY"/>
        </w:rPr>
        <w:t>جديدة</w:t>
      </w:r>
      <w:r w:rsidR="00F32B28">
        <w:rPr>
          <w:rtl/>
          <w:lang w:bidi="ar-SY"/>
        </w:rPr>
        <w:t xml:space="preserve"> </w:t>
      </w:r>
      <w:r w:rsidR="00F32B28" w:rsidRPr="00F32B28">
        <w:rPr>
          <w:rtl/>
          <w:lang w:bidi="ar-SY"/>
        </w:rPr>
        <w:t>تتبوأ</w:t>
      </w:r>
      <w:r w:rsidR="00F32B28">
        <w:rPr>
          <w:rtl/>
          <w:lang w:bidi="ar-SY"/>
        </w:rPr>
        <w:t xml:space="preserve"> </w:t>
      </w:r>
      <w:r w:rsidR="00F32B28" w:rsidRPr="00F32B28">
        <w:rPr>
          <w:rtl/>
          <w:lang w:bidi="ar-SY"/>
        </w:rPr>
        <w:t>الصدارة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اعتماده</w:t>
      </w:r>
      <w:r w:rsidR="00F32B28">
        <w:rPr>
          <w:rtl/>
          <w:lang w:bidi="ar-SY"/>
        </w:rPr>
        <w:t xml:space="preserve"> </w:t>
      </w:r>
      <w:r w:rsidR="00F32B28" w:rsidRPr="00F32B28">
        <w:rPr>
          <w:rtl/>
          <w:lang w:bidi="ar-SY"/>
        </w:rPr>
        <w:t>وإدماجه</w:t>
      </w:r>
      <w:r w:rsidR="008D730A">
        <w:rPr>
          <w:rFonts w:hint="cs"/>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وتختص</w:t>
      </w:r>
      <w:r w:rsidR="00F32B28">
        <w:rPr>
          <w:rtl/>
          <w:lang w:bidi="ar-SY"/>
        </w:rPr>
        <w:t xml:space="preserve"> </w:t>
      </w:r>
      <w:r w:rsidR="00F32B28" w:rsidRPr="00F32B28">
        <w:rPr>
          <w:rtl/>
          <w:lang w:bidi="ar-SY"/>
        </w:rPr>
        <w:t>لجنة</w:t>
      </w:r>
      <w:r w:rsidR="00F32B28">
        <w:rPr>
          <w:rtl/>
          <w:lang w:bidi="ar-SY"/>
        </w:rPr>
        <w:t xml:space="preserve"> </w:t>
      </w:r>
      <w:r w:rsidR="00F32B28" w:rsidRPr="00F32B28">
        <w:rPr>
          <w:rtl/>
          <w:lang w:bidi="ar-SY"/>
        </w:rPr>
        <w:t>الخبراء</w:t>
      </w:r>
      <w:r w:rsidR="00F32B28">
        <w:rPr>
          <w:rtl/>
          <w:lang w:bidi="ar-SY"/>
        </w:rPr>
        <w:t xml:space="preserve"> </w:t>
      </w:r>
      <w:r w:rsidR="00F32B28" w:rsidRPr="00F32B28">
        <w:rPr>
          <w:rtl/>
          <w:lang w:bidi="ar-SY"/>
        </w:rPr>
        <w:t>بإعداد</w:t>
      </w:r>
      <w:r w:rsidR="00F32B28">
        <w:rPr>
          <w:rtl/>
          <w:lang w:bidi="ar-SY"/>
        </w:rPr>
        <w:t xml:space="preserve"> </w:t>
      </w:r>
      <w:r w:rsidR="00F32B28" w:rsidRPr="00F32B28">
        <w:rPr>
          <w:rtl/>
        </w:rPr>
        <w:t>التقارير</w:t>
      </w:r>
      <w:r w:rsidR="00F32B28">
        <w:rPr>
          <w:rtl/>
        </w:rPr>
        <w:t xml:space="preserve"> </w:t>
      </w:r>
      <w:r w:rsidR="00F32B28" w:rsidRPr="00F32B28">
        <w:rPr>
          <w:rtl/>
        </w:rPr>
        <w:t>الرسمية</w:t>
      </w:r>
      <w:r w:rsidR="00F32B28">
        <w:rPr>
          <w:rtl/>
        </w:rPr>
        <w:t xml:space="preserve"> </w:t>
      </w:r>
      <w:r w:rsidR="00F32B28" w:rsidRPr="00F32B28">
        <w:rPr>
          <w:rtl/>
        </w:rPr>
        <w:t>التي</w:t>
      </w:r>
      <w:r w:rsidR="00F32B28">
        <w:rPr>
          <w:rtl/>
        </w:rPr>
        <w:t xml:space="preserve"> </w:t>
      </w:r>
      <w:r w:rsidR="00F32B28" w:rsidRPr="00F32B28">
        <w:rPr>
          <w:rtl/>
        </w:rPr>
        <w:t>يتم</w:t>
      </w:r>
      <w:r w:rsidR="00F32B28">
        <w:rPr>
          <w:rtl/>
        </w:rPr>
        <w:t xml:space="preserve"> </w:t>
      </w:r>
      <w:r w:rsidR="00F32B28" w:rsidRPr="00F32B28">
        <w:rPr>
          <w:rtl/>
        </w:rPr>
        <w:t>تقديمها</w:t>
      </w:r>
      <w:r w:rsidR="00F32B28">
        <w:rPr>
          <w:rtl/>
        </w:rPr>
        <w:t xml:space="preserve"> </w:t>
      </w:r>
      <w:r w:rsidR="00F32B28" w:rsidRPr="00F32B28">
        <w:rPr>
          <w:rtl/>
        </w:rPr>
        <w:t>إلى</w:t>
      </w:r>
      <w:r w:rsidR="00F32B28">
        <w:rPr>
          <w:rtl/>
        </w:rPr>
        <w:t xml:space="preserve"> </w:t>
      </w:r>
      <w:r w:rsidR="00F32B28" w:rsidRPr="00F32B28">
        <w:rPr>
          <w:rtl/>
        </w:rPr>
        <w:t>الهيئات</w:t>
      </w:r>
      <w:r w:rsidR="00F32B28">
        <w:rPr>
          <w:rtl/>
        </w:rPr>
        <w:t xml:space="preserve"> </w:t>
      </w:r>
      <w:r w:rsidR="00F32B28" w:rsidRPr="00F32B28">
        <w:rPr>
          <w:rtl/>
        </w:rPr>
        <w:t>المعنية</w:t>
      </w:r>
      <w:r w:rsidR="00F32B28">
        <w:rPr>
          <w:rtl/>
        </w:rPr>
        <w:t xml:space="preserve"> </w:t>
      </w:r>
      <w:r w:rsidR="00F32B28" w:rsidRPr="00F32B28">
        <w:rPr>
          <w:rtl/>
        </w:rPr>
        <w:t>بمعاهدات</w:t>
      </w:r>
      <w:r w:rsidR="00F32B28">
        <w:rPr>
          <w:rtl/>
        </w:rPr>
        <w:t xml:space="preserve"> </w:t>
      </w:r>
      <w:r w:rsidR="00F32B28" w:rsidRPr="00F32B28">
        <w:rPr>
          <w:rtl/>
        </w:rPr>
        <w:t>حقوق</w:t>
      </w:r>
      <w:r w:rsidR="00F32B28">
        <w:rPr>
          <w:rtl/>
        </w:rPr>
        <w:t xml:space="preserve"> </w:t>
      </w:r>
      <w:r w:rsidR="00F32B28" w:rsidRPr="00F32B28">
        <w:rPr>
          <w:rtl/>
        </w:rPr>
        <w:t>الإنسان</w:t>
      </w:r>
      <w:r w:rsidR="00F32B28">
        <w:rPr>
          <w:rtl/>
        </w:rPr>
        <w:t xml:space="preserve"> </w:t>
      </w:r>
      <w:r w:rsidR="00F32B28" w:rsidRPr="00F32B28">
        <w:rPr>
          <w:rtl/>
        </w:rPr>
        <w:t>ومتابعة</w:t>
      </w:r>
      <w:r w:rsidR="00F32B28">
        <w:rPr>
          <w:rtl/>
        </w:rPr>
        <w:t xml:space="preserve"> </w:t>
      </w:r>
      <w:r w:rsidR="00F32B28" w:rsidRPr="00F32B28">
        <w:rPr>
          <w:rtl/>
        </w:rPr>
        <w:t>الملاحظات</w:t>
      </w:r>
      <w:r w:rsidR="00F32B28">
        <w:rPr>
          <w:rtl/>
        </w:rPr>
        <w:t xml:space="preserve"> </w:t>
      </w:r>
      <w:r w:rsidR="00F32B28" w:rsidRPr="00F32B28">
        <w:rPr>
          <w:rtl/>
        </w:rPr>
        <w:t>الختامية</w:t>
      </w:r>
      <w:r w:rsidR="00F32B28">
        <w:rPr>
          <w:rtl/>
        </w:rPr>
        <w:t xml:space="preserve"> </w:t>
      </w:r>
      <w:r w:rsidR="00F32B28" w:rsidRPr="00F32B28">
        <w:rPr>
          <w:rtl/>
        </w:rPr>
        <w:t>التي</w:t>
      </w:r>
      <w:r w:rsidR="00F32B28">
        <w:rPr>
          <w:rtl/>
        </w:rPr>
        <w:t xml:space="preserve"> </w:t>
      </w:r>
      <w:r w:rsidR="00F32B28" w:rsidRPr="00F32B28">
        <w:rPr>
          <w:rtl/>
        </w:rPr>
        <w:t>تصدر</w:t>
      </w:r>
      <w:r w:rsidR="00F32B28">
        <w:rPr>
          <w:rtl/>
        </w:rPr>
        <w:t xml:space="preserve"> </w:t>
      </w:r>
      <w:r w:rsidR="00F32B28" w:rsidRPr="00F32B28">
        <w:rPr>
          <w:rtl/>
        </w:rPr>
        <w:t>عن</w:t>
      </w:r>
      <w:r w:rsidR="00F32B28">
        <w:rPr>
          <w:rtl/>
        </w:rPr>
        <w:t xml:space="preserve"> </w:t>
      </w:r>
      <w:r w:rsidR="00F32B28" w:rsidRPr="00F32B28">
        <w:rPr>
          <w:rtl/>
        </w:rPr>
        <w:t>هذه</w:t>
      </w:r>
      <w:r w:rsidR="008C7FF9">
        <w:rPr>
          <w:rFonts w:hint="cs"/>
          <w:rtl/>
        </w:rPr>
        <w:t> </w:t>
      </w:r>
      <w:r w:rsidR="00F32B28" w:rsidRPr="00F32B28">
        <w:rPr>
          <w:rtl/>
        </w:rPr>
        <w:t>الهيئات.</w:t>
      </w:r>
      <w:r w:rsidR="00F32B28">
        <w:rPr>
          <w:rtl/>
        </w:rPr>
        <w:t xml:space="preserve"> </w:t>
      </w:r>
    </w:p>
    <w:p w:rsidR="00F32B28" w:rsidRPr="00F32B28" w:rsidRDefault="00DF628D" w:rsidP="00407D55">
      <w:pPr>
        <w:pStyle w:val="SingleTxt"/>
      </w:pPr>
      <w:r>
        <w:rPr>
          <w:rFonts w:hint="cs"/>
          <w:rtl/>
          <w:lang w:bidi="ar-SY"/>
        </w:rPr>
        <w:t>8 -</w:t>
      </w:r>
      <w:r>
        <w:rPr>
          <w:rFonts w:hint="cs"/>
          <w:rtl/>
          <w:lang w:bidi="ar-SY"/>
        </w:rPr>
        <w:tab/>
      </w:r>
      <w:r w:rsidR="00F32B28" w:rsidRPr="00F32B28">
        <w:rPr>
          <w:rtl/>
          <w:lang w:bidi="ar-SY"/>
        </w:rPr>
        <w:t>ولمكافحة</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الفعلي،</w:t>
      </w:r>
      <w:r w:rsidR="00F32B28">
        <w:rPr>
          <w:rtl/>
          <w:lang w:bidi="ar-SY"/>
        </w:rPr>
        <w:t xml:space="preserve"> </w:t>
      </w:r>
      <w:r w:rsidR="00F32B28" w:rsidRPr="00F32B28">
        <w:rPr>
          <w:rtl/>
          <w:lang w:bidi="ar-SY"/>
        </w:rPr>
        <w:t>تحظر</w:t>
      </w:r>
      <w:r w:rsidR="00F32B28">
        <w:rPr>
          <w:rtl/>
          <w:lang w:bidi="ar-SY"/>
        </w:rPr>
        <w:t xml:space="preserve"> </w:t>
      </w:r>
      <w:r w:rsidR="00F32B28" w:rsidRPr="00F32B28">
        <w:rPr>
          <w:rtl/>
          <w:lang w:bidi="ar-SY"/>
        </w:rPr>
        <w:t>مشروع</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العقوبات</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لعام</w:t>
      </w:r>
      <w:r w:rsidR="00F32B28">
        <w:rPr>
          <w:rtl/>
          <w:lang w:bidi="ar-SY"/>
        </w:rPr>
        <w:t xml:space="preserve"> </w:t>
      </w:r>
      <w:r w:rsidR="00F32B28" w:rsidRPr="00F32B28">
        <w:rPr>
          <w:rtl/>
          <w:lang w:bidi="ar-SY"/>
        </w:rPr>
        <w:t>2011</w:t>
      </w:r>
      <w:r w:rsidR="004B33D7">
        <w:rPr>
          <w:rFonts w:hint="cs"/>
          <w:rtl/>
          <w:lang w:bidi="ar-SY"/>
        </w:rPr>
        <w:t xml:space="preserve"> </w:t>
      </w:r>
      <w:r w:rsidR="00F32B28" w:rsidRPr="00F32B28">
        <w:rPr>
          <w:rtl/>
          <w:lang w:bidi="ar-SY"/>
        </w:rPr>
        <w:t>أفعال</w:t>
      </w:r>
      <w:r w:rsidR="00F32B28">
        <w:rPr>
          <w:rtl/>
          <w:lang w:bidi="ar-SY"/>
        </w:rPr>
        <w:t xml:space="preserve"> </w:t>
      </w:r>
      <w:r w:rsidR="00F32B28" w:rsidRPr="00F32B28">
        <w:rPr>
          <w:rtl/>
          <w:lang w:bidi="ar-SY"/>
        </w:rPr>
        <w:t>التمييز،</w:t>
      </w:r>
      <w:r w:rsidR="00F32B28">
        <w:rPr>
          <w:rtl/>
        </w:rPr>
        <w:t xml:space="preserve"> </w:t>
      </w:r>
      <w:r w:rsidR="00F32B28" w:rsidRPr="00F32B28">
        <w:rPr>
          <w:rtl/>
        </w:rPr>
        <w:t>ب</w:t>
      </w:r>
      <w:r w:rsidR="00F32B28" w:rsidRPr="00F32B28">
        <w:rPr>
          <w:rtl/>
          <w:lang w:bidi="ar-SY"/>
        </w:rPr>
        <w:t>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القائم</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أساس</w:t>
      </w:r>
      <w:r w:rsidR="00F32B28">
        <w:rPr>
          <w:rtl/>
          <w:lang w:bidi="ar-SY"/>
        </w:rPr>
        <w:t xml:space="preserve"> </w:t>
      </w:r>
      <w:r w:rsidR="00F32B28" w:rsidRPr="00F32B28">
        <w:rPr>
          <w:rtl/>
          <w:lang w:bidi="ar-SY"/>
        </w:rPr>
        <w:t>الجنس،</w:t>
      </w:r>
      <w:r w:rsidR="00F32B28">
        <w:rPr>
          <w:rtl/>
          <w:lang w:bidi="ar-SY"/>
        </w:rPr>
        <w:t xml:space="preserve"> </w:t>
      </w:r>
      <w:r w:rsidR="00F32B28" w:rsidRPr="00F32B28">
        <w:rPr>
          <w:rtl/>
          <w:lang w:bidi="ar-SY"/>
        </w:rPr>
        <w:t>فتعرف</w:t>
      </w:r>
      <w:r w:rsidR="008D730A">
        <w:rPr>
          <w:rFonts w:hint="cs"/>
          <w:rtl/>
          <w:lang w:bidi="ar-SY"/>
        </w:rPr>
        <w:t xml:space="preserve"> </w:t>
      </w:r>
      <w:r w:rsidR="00F32B28" w:rsidRPr="00F32B28">
        <w:rPr>
          <w:rtl/>
          <w:lang w:bidi="ar-SY"/>
        </w:rPr>
        <w:t>المادة</w:t>
      </w:r>
      <w:r w:rsidR="00F32B28">
        <w:rPr>
          <w:rtl/>
          <w:lang w:bidi="ar-SY"/>
        </w:rPr>
        <w:t xml:space="preserve"> </w:t>
      </w:r>
      <w:r w:rsidR="00F32B28" w:rsidRPr="00F32B28">
        <w:rPr>
          <w:rtl/>
          <w:lang w:bidi="ar-SY"/>
        </w:rPr>
        <w:t>(546)</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باعتباره:</w:t>
      </w:r>
      <w:r w:rsidR="00407D55">
        <w:rPr>
          <w:rFonts w:hint="cs"/>
          <w:rtl/>
          <w:lang w:bidi="ar-SY"/>
        </w:rPr>
        <w:t xml:space="preserve"> </w:t>
      </w:r>
      <w:r w:rsidR="00407D55">
        <w:rPr>
          <w:rFonts w:hint="eastAsia"/>
          <w:rtl/>
          <w:lang w:bidi="ar-SY"/>
        </w:rPr>
        <w:t>”</w:t>
      </w:r>
      <w:r w:rsidR="00F32B28" w:rsidRPr="00F32B28">
        <w:rPr>
          <w:i/>
          <w:iCs/>
          <w:rtl/>
          <w:lang w:bidi="ar-SY"/>
        </w:rPr>
        <w:t>كل</w:t>
      </w:r>
      <w:r w:rsidR="00F32B28">
        <w:rPr>
          <w:i/>
          <w:iCs/>
          <w:rtl/>
          <w:lang w:bidi="ar-SY"/>
        </w:rPr>
        <w:t xml:space="preserve"> </w:t>
      </w:r>
      <w:r w:rsidR="00F32B28" w:rsidRPr="00F32B28">
        <w:rPr>
          <w:i/>
          <w:iCs/>
          <w:rtl/>
          <w:lang w:bidi="ar-SY"/>
        </w:rPr>
        <w:t>تفرقة</w:t>
      </w:r>
      <w:r w:rsidR="00F32B28">
        <w:rPr>
          <w:i/>
          <w:iCs/>
          <w:rtl/>
          <w:lang w:bidi="ar-SY"/>
        </w:rPr>
        <w:t xml:space="preserve"> </w:t>
      </w:r>
      <w:r w:rsidR="00F32B28" w:rsidRPr="00F32B28">
        <w:rPr>
          <w:i/>
          <w:iCs/>
          <w:rtl/>
          <w:lang w:bidi="ar-SY"/>
        </w:rPr>
        <w:t>بين</w:t>
      </w:r>
      <w:r w:rsidR="00F32B28">
        <w:rPr>
          <w:i/>
          <w:iCs/>
          <w:rtl/>
          <w:lang w:bidi="ar-SY"/>
        </w:rPr>
        <w:t xml:space="preserve"> </w:t>
      </w:r>
      <w:r w:rsidR="00F32B28" w:rsidRPr="00F32B28">
        <w:rPr>
          <w:i/>
          <w:iCs/>
          <w:rtl/>
          <w:lang w:bidi="ar-SY"/>
        </w:rPr>
        <w:t>الأشخاص</w:t>
      </w:r>
      <w:r w:rsidR="00F32B28">
        <w:rPr>
          <w:i/>
          <w:iCs/>
          <w:rtl/>
          <w:lang w:bidi="ar-SY"/>
        </w:rPr>
        <w:t xml:space="preserve"> </w:t>
      </w:r>
      <w:r w:rsidR="00F32B28" w:rsidRPr="00F32B28">
        <w:rPr>
          <w:i/>
          <w:iCs/>
          <w:rtl/>
          <w:lang w:bidi="ar-SY"/>
        </w:rPr>
        <w:t>الطبيعيين</w:t>
      </w:r>
      <w:r w:rsidR="00F32B28">
        <w:rPr>
          <w:i/>
          <w:iCs/>
          <w:rtl/>
          <w:lang w:bidi="ar-SY"/>
        </w:rPr>
        <w:t xml:space="preserve"> </w:t>
      </w:r>
      <w:r w:rsidR="00F32B28" w:rsidRPr="00F32B28">
        <w:rPr>
          <w:i/>
          <w:iCs/>
          <w:rtl/>
          <w:lang w:bidi="ar-SY"/>
        </w:rPr>
        <w:t>بسبب</w:t>
      </w:r>
      <w:r w:rsidR="00F32B28">
        <w:rPr>
          <w:i/>
          <w:iCs/>
          <w:rtl/>
          <w:lang w:bidi="ar-SY"/>
        </w:rPr>
        <w:t xml:space="preserve"> </w:t>
      </w:r>
      <w:r w:rsidR="00F32B28" w:rsidRPr="00F32B28">
        <w:rPr>
          <w:i/>
          <w:iCs/>
          <w:rtl/>
          <w:lang w:bidi="ar-SY"/>
        </w:rPr>
        <w:t>الأصل</w:t>
      </w:r>
      <w:r w:rsidR="00F32B28">
        <w:rPr>
          <w:i/>
          <w:iCs/>
          <w:rtl/>
          <w:lang w:bidi="ar-SY"/>
        </w:rPr>
        <w:t xml:space="preserve"> </w:t>
      </w:r>
      <w:r w:rsidR="00F32B28" w:rsidRPr="00F32B28">
        <w:rPr>
          <w:i/>
          <w:iCs/>
          <w:rtl/>
          <w:lang w:bidi="ar-SY"/>
        </w:rPr>
        <w:t>الوطني،</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الأصل</w:t>
      </w:r>
      <w:r w:rsidR="00F32B28">
        <w:rPr>
          <w:i/>
          <w:iCs/>
          <w:rtl/>
          <w:lang w:bidi="ar-SY"/>
        </w:rPr>
        <w:t xml:space="preserve"> </w:t>
      </w:r>
      <w:r w:rsidR="00F32B28" w:rsidRPr="00F32B28">
        <w:rPr>
          <w:i/>
          <w:iCs/>
          <w:rtl/>
          <w:lang w:bidi="ar-SY"/>
        </w:rPr>
        <w:t>الاجتماعي،</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اللون،</w:t>
      </w:r>
      <w:r w:rsidR="00F32B28">
        <w:rPr>
          <w:i/>
          <w:iCs/>
          <w:rtl/>
          <w:lang w:bidi="ar-SY"/>
        </w:rPr>
        <w:t xml:space="preserve"> </w:t>
      </w:r>
      <w:r w:rsidR="00F32B28" w:rsidRPr="00F32B28">
        <w:rPr>
          <w:i/>
          <w:iCs/>
          <w:rtl/>
          <w:lang w:bidi="ar-SY"/>
        </w:rPr>
        <w:t>أو</w:t>
      </w:r>
      <w:r w:rsidR="008C7FF9">
        <w:rPr>
          <w:rFonts w:hint="cs"/>
          <w:i/>
          <w:iCs/>
          <w:rtl/>
          <w:lang w:bidi="ar-SY"/>
        </w:rPr>
        <w:t> </w:t>
      </w:r>
      <w:r w:rsidR="00F32B28" w:rsidRPr="00F32B28">
        <w:rPr>
          <w:i/>
          <w:iCs/>
          <w:rtl/>
          <w:lang w:bidi="ar-SY"/>
        </w:rPr>
        <w:t>الجنس،</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الوضعية</w:t>
      </w:r>
      <w:r w:rsidR="00F32B28">
        <w:rPr>
          <w:i/>
          <w:iCs/>
          <w:rtl/>
          <w:lang w:bidi="ar-SY"/>
        </w:rPr>
        <w:t xml:space="preserve"> </w:t>
      </w:r>
      <w:r w:rsidR="00F32B28" w:rsidRPr="00F32B28">
        <w:rPr>
          <w:i/>
          <w:iCs/>
          <w:rtl/>
          <w:lang w:bidi="ar-SY"/>
        </w:rPr>
        <w:t>العائلية،</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الحالة</w:t>
      </w:r>
      <w:r w:rsidR="00F32B28">
        <w:rPr>
          <w:i/>
          <w:iCs/>
          <w:rtl/>
          <w:lang w:bidi="ar-SY"/>
        </w:rPr>
        <w:t xml:space="preserve"> </w:t>
      </w:r>
      <w:r w:rsidR="00F32B28" w:rsidRPr="00F32B28">
        <w:rPr>
          <w:i/>
          <w:iCs/>
          <w:rtl/>
          <w:lang w:bidi="ar-SY"/>
        </w:rPr>
        <w:t>الصحية،</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الإعاقة،</w:t>
      </w:r>
      <w:r w:rsidR="00F32B28">
        <w:rPr>
          <w:i/>
          <w:iCs/>
          <w:rtl/>
          <w:lang w:bidi="ar-SY"/>
        </w:rPr>
        <w:t xml:space="preserve"> </w:t>
      </w:r>
      <w:r w:rsidR="00F32B28" w:rsidRPr="00F32B28">
        <w:rPr>
          <w:i/>
          <w:iCs/>
          <w:rtl/>
          <w:lang w:bidi="ar-SY"/>
        </w:rPr>
        <w:t>أو</w:t>
      </w:r>
      <w:r w:rsidR="00F32B28">
        <w:rPr>
          <w:i/>
          <w:iCs/>
          <w:rtl/>
          <w:lang w:bidi="ar-SY"/>
        </w:rPr>
        <w:t xml:space="preserve"> </w:t>
      </w:r>
      <w:r w:rsidR="00F32B28" w:rsidRPr="00F32B28">
        <w:rPr>
          <w:i/>
          <w:iCs/>
          <w:rtl/>
          <w:lang w:bidi="ar-SY"/>
        </w:rPr>
        <w:t>...</w:t>
      </w:r>
      <w:r w:rsidR="00407D55" w:rsidRPr="00407D55">
        <w:rPr>
          <w:rFonts w:hint="cs"/>
          <w:i/>
          <w:iCs/>
          <w:rtl/>
          <w:lang w:bidi="ar-SY"/>
        </w:rPr>
        <w:t>“</w:t>
      </w:r>
      <w:r w:rsidR="00407D55">
        <w:rPr>
          <w:rFonts w:hint="cs"/>
          <w:i/>
          <w:iCs/>
          <w:rtl/>
          <w:lang w:bidi="ar-SY"/>
        </w:rPr>
        <w:t xml:space="preserve"> </w:t>
      </w:r>
      <w:r w:rsidR="00F32B28" w:rsidRPr="00F32B28">
        <w:rPr>
          <w:rtl/>
          <w:lang w:bidi="ar-SY"/>
        </w:rPr>
        <w:t>ويعاقب</w:t>
      </w:r>
      <w:r w:rsidR="00F32B28">
        <w:rPr>
          <w:rtl/>
          <w:lang w:bidi="ar-SY"/>
        </w:rPr>
        <w:t xml:space="preserve"> </w:t>
      </w:r>
      <w:r w:rsidR="00F32B28" w:rsidRPr="00F32B28">
        <w:rPr>
          <w:rtl/>
          <w:lang w:bidi="ar-SY"/>
        </w:rPr>
        <w:t>مرتكب</w:t>
      </w:r>
      <w:r w:rsidR="00F32B28">
        <w:rPr>
          <w:rtl/>
          <w:lang w:bidi="ar-SY"/>
        </w:rPr>
        <w:t xml:space="preserve"> </w:t>
      </w:r>
      <w:r w:rsidR="00F32B28" w:rsidRPr="00F32B28">
        <w:rPr>
          <w:rtl/>
          <w:lang w:bidi="ar-SY"/>
        </w:rPr>
        <w:t>جرم</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بالحبس</w:t>
      </w:r>
      <w:r w:rsidR="00F32B28">
        <w:rPr>
          <w:rtl/>
          <w:lang w:bidi="ar-SY"/>
        </w:rPr>
        <w:t xml:space="preserve"> </w:t>
      </w:r>
      <w:r w:rsidR="00F32B28" w:rsidRPr="00F32B28">
        <w:rPr>
          <w:rtl/>
          <w:lang w:bidi="ar-SY"/>
        </w:rPr>
        <w:t>لمدة</w:t>
      </w:r>
      <w:r w:rsidR="00F32B28">
        <w:rPr>
          <w:rtl/>
          <w:lang w:bidi="ar-SY"/>
        </w:rPr>
        <w:t xml:space="preserve"> </w:t>
      </w:r>
      <w:r w:rsidR="00F32B28" w:rsidRPr="00F32B28">
        <w:rPr>
          <w:rtl/>
          <w:lang w:bidi="ar-SY"/>
        </w:rPr>
        <w:t>لا</w:t>
      </w:r>
      <w:r w:rsidR="008D730A">
        <w:rPr>
          <w:rFonts w:hint="cs"/>
          <w:rtl/>
          <w:lang w:bidi="ar-SY"/>
        </w:rPr>
        <w:t> </w:t>
      </w:r>
      <w:r w:rsidR="00F32B28" w:rsidRPr="00F32B28">
        <w:rPr>
          <w:rtl/>
          <w:lang w:bidi="ar-SY"/>
        </w:rPr>
        <w:t>تزيد</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سنتين</w:t>
      </w:r>
      <w:r w:rsidR="00F32B28">
        <w:rPr>
          <w:rtl/>
          <w:lang w:bidi="ar-SY"/>
        </w:rPr>
        <w:t xml:space="preserve"> </w:t>
      </w:r>
      <w:r w:rsidR="00F32B28" w:rsidRPr="00F32B28">
        <w:rPr>
          <w:rtl/>
          <w:lang w:bidi="ar-SY"/>
        </w:rPr>
        <w:t>و/أو</w:t>
      </w:r>
      <w:r w:rsidR="00F32B28">
        <w:rPr>
          <w:rtl/>
          <w:lang w:bidi="ar-SY"/>
        </w:rPr>
        <w:t xml:space="preserve"> </w:t>
      </w:r>
      <w:r w:rsidR="00F32B28" w:rsidRPr="00F32B28">
        <w:rPr>
          <w:rtl/>
          <w:lang w:bidi="ar-SY"/>
        </w:rPr>
        <w:t>بغرامة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تتجاوز</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ألف</w:t>
      </w:r>
      <w:r w:rsidR="00F32B28">
        <w:rPr>
          <w:rtl/>
          <w:lang w:bidi="ar-SY"/>
        </w:rPr>
        <w:t xml:space="preserve"> </w:t>
      </w:r>
      <w:r w:rsidR="00F32B28" w:rsidRPr="00F32B28">
        <w:rPr>
          <w:rtl/>
          <w:lang w:bidi="ar-SY"/>
        </w:rPr>
        <w:t>وخمسمائة</w:t>
      </w:r>
      <w:r w:rsidR="00F32B28">
        <w:rPr>
          <w:rtl/>
          <w:lang w:bidi="ar-SY"/>
        </w:rPr>
        <w:t xml:space="preserve"> </w:t>
      </w:r>
      <w:r w:rsidR="00F32B28" w:rsidRPr="00F32B28">
        <w:rPr>
          <w:rtl/>
          <w:lang w:bidi="ar-SY"/>
        </w:rPr>
        <w:t>دولار</w:t>
      </w:r>
      <w:r w:rsidR="00F32B28">
        <w:rPr>
          <w:rtl/>
          <w:lang w:bidi="ar-SY"/>
        </w:rPr>
        <w:t xml:space="preserve"> </w:t>
      </w:r>
      <w:r w:rsidR="00F32B28" w:rsidRPr="00F32B28">
        <w:rPr>
          <w:rtl/>
          <w:lang w:bidi="ar-SY"/>
        </w:rPr>
        <w:t>أمريكي.</w:t>
      </w:r>
      <w:r w:rsidR="008D730A">
        <w:rPr>
          <w:rFonts w:hint="cs"/>
          <w:rtl/>
          <w:lang w:bidi="ar-SY"/>
        </w:rPr>
        <w:t xml:space="preserve"> </w:t>
      </w:r>
      <w:r w:rsidR="00F32B28" w:rsidRPr="00F32B28">
        <w:rPr>
          <w:rtl/>
          <w:lang w:bidi="ar-SY"/>
        </w:rPr>
        <w:t>وقد</w:t>
      </w:r>
      <w:r w:rsidR="00F32B28">
        <w:rPr>
          <w:rtl/>
          <w:lang w:bidi="ar-SY"/>
        </w:rPr>
        <w:t xml:space="preserve"> </w:t>
      </w:r>
      <w:r w:rsidR="00F32B28" w:rsidRPr="00F32B28">
        <w:rPr>
          <w:rtl/>
          <w:lang w:bidi="ar-SY"/>
        </w:rPr>
        <w:t>أعطي</w:t>
      </w:r>
      <w:r w:rsidR="00F32B28">
        <w:rPr>
          <w:rtl/>
          <w:lang w:bidi="ar-SY"/>
        </w:rPr>
        <w:t xml:space="preserve"> </w:t>
      </w:r>
      <w:r w:rsidR="00F32B28" w:rsidRPr="00F32B28">
        <w:rPr>
          <w:rtl/>
          <w:lang w:bidi="ar-SY"/>
        </w:rPr>
        <w:t>مشروع</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الأولوية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عملية</w:t>
      </w:r>
      <w:r w:rsidR="00F32B28">
        <w:rPr>
          <w:rtl/>
          <w:lang w:bidi="ar-SY"/>
        </w:rPr>
        <w:t xml:space="preserve"> </w:t>
      </w:r>
      <w:r w:rsidR="00F32B28" w:rsidRPr="00F32B28">
        <w:rPr>
          <w:rtl/>
          <w:lang w:bidi="ar-SY"/>
        </w:rPr>
        <w:t>المراجعة</w:t>
      </w:r>
      <w:r w:rsidR="00F32B28">
        <w:rPr>
          <w:rtl/>
          <w:lang w:bidi="ar-SY"/>
        </w:rPr>
        <w:t xml:space="preserve"> </w:t>
      </w:r>
      <w:r w:rsidR="00F32B28" w:rsidRPr="00F32B28">
        <w:rPr>
          <w:rtl/>
          <w:lang w:bidi="ar-SY"/>
        </w:rPr>
        <w:t>التشريعية</w:t>
      </w:r>
      <w:r w:rsidR="00F32B28">
        <w:rPr>
          <w:rtl/>
          <w:lang w:bidi="ar-SY"/>
        </w:rPr>
        <w:t xml:space="preserve"> </w:t>
      </w:r>
      <w:r w:rsidR="00F32B28" w:rsidRPr="00F32B28">
        <w:rPr>
          <w:rtl/>
          <w:lang w:bidi="ar-SY"/>
        </w:rPr>
        <w:t>الحالية؛</w:t>
      </w:r>
      <w:r w:rsidR="00EB128F">
        <w:rPr>
          <w:rFonts w:hint="cs"/>
          <w:rtl/>
          <w:lang w:bidi="ar-SY"/>
        </w:rPr>
        <w:t xml:space="preserve"> </w:t>
      </w:r>
      <w:r w:rsidR="00F32B28" w:rsidRPr="00F32B28">
        <w:rPr>
          <w:rtl/>
          <w:lang w:bidi="ar-SY"/>
        </w:rPr>
        <w:t>حيث</w:t>
      </w:r>
      <w:r w:rsidR="00F32B28">
        <w:rPr>
          <w:rtl/>
          <w:lang w:bidi="ar-SY"/>
        </w:rPr>
        <w:t xml:space="preserve"> </w:t>
      </w:r>
      <w:r w:rsidR="00F32B28" w:rsidRPr="00F32B28">
        <w:rPr>
          <w:rtl/>
          <w:lang w:bidi="ar-SY"/>
        </w:rPr>
        <w:t>بدأت</w:t>
      </w:r>
      <w:r w:rsidR="00F32B28">
        <w:rPr>
          <w:rtl/>
          <w:lang w:bidi="ar-SY"/>
        </w:rPr>
        <w:t xml:space="preserve"> </w:t>
      </w:r>
      <w:r w:rsidR="00F32B28" w:rsidRPr="00F32B28">
        <w:rPr>
          <w:rtl/>
          <w:lang w:bidi="ar-SY"/>
        </w:rPr>
        <w:t>الجهات</w:t>
      </w:r>
      <w:r w:rsidR="00F32B28">
        <w:rPr>
          <w:rtl/>
          <w:lang w:bidi="ar-SY"/>
        </w:rPr>
        <w:t xml:space="preserve"> </w:t>
      </w:r>
      <w:r w:rsidR="00F32B28" w:rsidRPr="00F32B28">
        <w:rPr>
          <w:rtl/>
          <w:lang w:bidi="ar-SY"/>
        </w:rPr>
        <w:t>الحكومية</w:t>
      </w:r>
      <w:r w:rsidR="008D730A">
        <w:rPr>
          <w:rFonts w:hint="cs"/>
          <w:rtl/>
          <w:lang w:bidi="ar-SY"/>
        </w:rPr>
        <w:t xml:space="preserve"> </w:t>
      </w:r>
      <w:r w:rsidR="00F32B28" w:rsidRPr="00F32B28">
        <w:rPr>
          <w:rtl/>
          <w:lang w:bidi="ar-SY"/>
        </w:rPr>
        <w:t>وبالشراكة</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مؤسسات</w:t>
      </w:r>
      <w:r w:rsidR="00F32B28">
        <w:rPr>
          <w:rtl/>
          <w:lang w:bidi="ar-SY"/>
        </w:rPr>
        <w:t xml:space="preserve"> </w:t>
      </w:r>
      <w:r w:rsidR="00F32B28" w:rsidRPr="00F32B28">
        <w:rPr>
          <w:rtl/>
          <w:lang w:bidi="ar-SY"/>
        </w:rPr>
        <w:t>المجتمع</w:t>
      </w:r>
      <w:r w:rsidR="00F32B28">
        <w:rPr>
          <w:rtl/>
          <w:lang w:bidi="ar-SY"/>
        </w:rPr>
        <w:t xml:space="preserve"> </w:t>
      </w:r>
      <w:r w:rsidR="00F32B28" w:rsidRPr="00F32B28">
        <w:rPr>
          <w:rtl/>
          <w:lang w:bidi="ar-SY"/>
        </w:rPr>
        <w:t>المدني</w:t>
      </w:r>
      <w:r w:rsidR="00F32B28">
        <w:rPr>
          <w:rtl/>
          <w:lang w:bidi="ar-SY"/>
        </w:rPr>
        <w:t xml:space="preserve"> </w:t>
      </w:r>
      <w:r w:rsidR="00F32B28" w:rsidRPr="00F32B28">
        <w:rPr>
          <w:rtl/>
          <w:lang w:bidi="ar-SY"/>
        </w:rPr>
        <w:t>بالعمل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مراجعة</w:t>
      </w:r>
      <w:r w:rsidR="00F32B28">
        <w:rPr>
          <w:rtl/>
          <w:lang w:bidi="ar-SY"/>
        </w:rPr>
        <w:t xml:space="preserve"> </w:t>
      </w:r>
      <w:r w:rsidR="00F32B28" w:rsidRPr="00F32B28">
        <w:rPr>
          <w:rtl/>
          <w:lang w:bidi="ar-SY"/>
        </w:rPr>
        <w:t>أحكامه</w:t>
      </w:r>
      <w:r w:rsidR="00F32B28">
        <w:rPr>
          <w:rtl/>
          <w:lang w:bidi="ar-SY"/>
        </w:rPr>
        <w:t xml:space="preserve"> </w:t>
      </w:r>
      <w:r w:rsidR="00F32B28" w:rsidRPr="00F32B28">
        <w:rPr>
          <w:rtl/>
          <w:lang w:bidi="ar-SY"/>
        </w:rPr>
        <w:t>وموائمتها</w:t>
      </w:r>
      <w:r w:rsidR="008D730A">
        <w:rPr>
          <w:rFonts w:hint="cs"/>
          <w:rtl/>
          <w:lang w:bidi="ar-SY"/>
        </w:rPr>
        <w:t xml:space="preserve"> </w:t>
      </w:r>
      <w:r w:rsidR="00F32B28" w:rsidRPr="00F32B28">
        <w:rPr>
          <w:rtl/>
          <w:lang w:bidi="ar-SY"/>
        </w:rPr>
        <w:t>والمعايير</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وتعديل</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يخالف</w:t>
      </w:r>
      <w:r w:rsidR="00F32B28">
        <w:rPr>
          <w:rtl/>
          <w:lang w:bidi="ar-SY"/>
        </w:rPr>
        <w:t xml:space="preserve"> </w:t>
      </w:r>
      <w:r w:rsidR="00F32B28" w:rsidRPr="00F32B28">
        <w:rPr>
          <w:rtl/>
          <w:lang w:bidi="ar-SY"/>
        </w:rPr>
        <w:t>منها.</w:t>
      </w:r>
    </w:p>
    <w:p w:rsidR="00DF628D" w:rsidRPr="00DF628D" w:rsidRDefault="00DF628D" w:rsidP="00DF628D">
      <w:pPr>
        <w:pStyle w:val="SingleTxt"/>
        <w:spacing w:after="0" w:line="120" w:lineRule="exact"/>
        <w:rPr>
          <w:b/>
          <w:bCs/>
          <w:sz w:val="10"/>
          <w:rtl/>
          <w:lang w:bidi="ar-SY"/>
        </w:rPr>
      </w:pPr>
    </w:p>
    <w:p w:rsidR="00F32B28" w:rsidRPr="00F32B28" w:rsidRDefault="00F32B28" w:rsidP="00DF628D">
      <w:pPr>
        <w:pStyle w:val="SingleTxt"/>
        <w:rPr>
          <w:b/>
          <w:bCs/>
        </w:rPr>
      </w:pPr>
      <w:r w:rsidRPr="00F32B28">
        <w:rPr>
          <w:b/>
          <w:bCs/>
          <w:rtl/>
          <w:lang w:bidi="ar-SY"/>
        </w:rPr>
        <w:t>المادة</w:t>
      </w:r>
      <w:r>
        <w:rPr>
          <w:b/>
          <w:bCs/>
          <w:rtl/>
          <w:lang w:bidi="ar-SY"/>
        </w:rPr>
        <w:t xml:space="preserve"> </w:t>
      </w:r>
      <w:r w:rsidRPr="00F32B28">
        <w:rPr>
          <w:b/>
          <w:bCs/>
          <w:rtl/>
          <w:lang w:bidi="ar-SY"/>
        </w:rPr>
        <w:t>(2)</w:t>
      </w:r>
      <w:r w:rsidR="00DF628D">
        <w:rPr>
          <w:rFonts w:hint="cs"/>
          <w:b/>
          <w:bCs/>
          <w:rtl/>
          <w:lang w:bidi="ar-SY"/>
        </w:rPr>
        <w:tab/>
      </w:r>
      <w:r w:rsidR="00DF628D">
        <w:rPr>
          <w:rFonts w:hint="cs"/>
          <w:b/>
          <w:bCs/>
          <w:rtl/>
          <w:lang w:bidi="ar-SY"/>
        </w:rPr>
        <w:br/>
      </w:r>
      <w:r w:rsidRPr="00F32B28">
        <w:rPr>
          <w:b/>
          <w:bCs/>
          <w:rtl/>
          <w:lang w:bidi="ar-SY"/>
        </w:rPr>
        <w:t>ضمان</w:t>
      </w:r>
      <w:r>
        <w:rPr>
          <w:b/>
          <w:bCs/>
          <w:rtl/>
          <w:lang w:bidi="ar-SY"/>
        </w:rPr>
        <w:t xml:space="preserve"> </w:t>
      </w:r>
      <w:r w:rsidRPr="00F32B28">
        <w:rPr>
          <w:b/>
          <w:bCs/>
          <w:rtl/>
          <w:lang w:bidi="ar-SY"/>
        </w:rPr>
        <w:t>تحقيق</w:t>
      </w:r>
      <w:r>
        <w:rPr>
          <w:b/>
          <w:bCs/>
          <w:rtl/>
          <w:lang w:bidi="ar-SY"/>
        </w:rPr>
        <w:t xml:space="preserve"> </w:t>
      </w:r>
      <w:r w:rsidRPr="00F32B28">
        <w:rPr>
          <w:b/>
          <w:bCs/>
          <w:rtl/>
          <w:lang w:bidi="ar-SY"/>
        </w:rPr>
        <w:t>مبدأ</w:t>
      </w:r>
      <w:r>
        <w:rPr>
          <w:b/>
          <w:bCs/>
          <w:rtl/>
          <w:lang w:bidi="ar-SY"/>
        </w:rPr>
        <w:t xml:space="preserve"> </w:t>
      </w:r>
      <w:r w:rsidRPr="00F32B28">
        <w:rPr>
          <w:b/>
          <w:bCs/>
          <w:rtl/>
          <w:lang w:bidi="ar-SY"/>
        </w:rPr>
        <w:t>المساواة</w:t>
      </w:r>
      <w:r>
        <w:rPr>
          <w:b/>
          <w:bCs/>
          <w:rtl/>
          <w:lang w:bidi="ar-SY"/>
        </w:rPr>
        <w:t xml:space="preserve"> </w:t>
      </w:r>
      <w:r w:rsidRPr="00F32B28">
        <w:rPr>
          <w:b/>
          <w:bCs/>
          <w:rtl/>
          <w:lang w:bidi="ar-SY"/>
        </w:rPr>
        <w:t>وحظر</w:t>
      </w:r>
      <w:r>
        <w:rPr>
          <w:b/>
          <w:bCs/>
          <w:rtl/>
          <w:lang w:bidi="ar-SY"/>
        </w:rPr>
        <w:t xml:space="preserve"> </w:t>
      </w:r>
      <w:r w:rsidRPr="00F32B28">
        <w:rPr>
          <w:b/>
          <w:bCs/>
          <w:rtl/>
          <w:lang w:bidi="ar-SY"/>
        </w:rPr>
        <w:t>التمييز</w:t>
      </w:r>
      <w:r>
        <w:rPr>
          <w:b/>
          <w:bCs/>
          <w:rtl/>
          <w:lang w:bidi="ar-SY"/>
        </w:rPr>
        <w:t xml:space="preserve"> </w:t>
      </w:r>
      <w:r w:rsidRPr="00F32B28">
        <w:rPr>
          <w:b/>
          <w:bCs/>
          <w:rtl/>
          <w:lang w:bidi="ar-SY"/>
        </w:rPr>
        <w:t>ضد</w:t>
      </w:r>
      <w:r>
        <w:rPr>
          <w:b/>
          <w:bCs/>
          <w:rtl/>
          <w:lang w:bidi="ar-SY"/>
        </w:rPr>
        <w:t xml:space="preserve"> </w:t>
      </w:r>
      <w:r w:rsidRPr="00F32B28">
        <w:rPr>
          <w:b/>
          <w:bCs/>
          <w:rtl/>
          <w:lang w:bidi="ar-SY"/>
        </w:rPr>
        <w:t>المرأة</w:t>
      </w:r>
      <w:r>
        <w:rPr>
          <w:b/>
          <w:bCs/>
          <w:rtl/>
          <w:lang w:bidi="ar-SY"/>
        </w:rPr>
        <w:t xml:space="preserve"> </w:t>
      </w:r>
    </w:p>
    <w:p w:rsidR="00F32B28" w:rsidRPr="00F32B28" w:rsidRDefault="00DF628D" w:rsidP="00DF628D">
      <w:pPr>
        <w:pStyle w:val="SingleTxt"/>
        <w:rPr>
          <w:b/>
          <w:bCs/>
        </w:rPr>
      </w:pPr>
      <w:r>
        <w:rPr>
          <w:rFonts w:hint="cs"/>
          <w:rtl/>
          <w:lang w:bidi="ar-SY"/>
        </w:rPr>
        <w:t>9 -</w:t>
      </w:r>
      <w:r>
        <w:rPr>
          <w:rFonts w:hint="cs"/>
          <w:rtl/>
          <w:lang w:bidi="ar-SY"/>
        </w:rPr>
        <w:tab/>
      </w:r>
      <w:r w:rsidR="00F32B28" w:rsidRPr="00F32B28">
        <w:rPr>
          <w:rtl/>
          <w:lang w:bidi="ar-SY"/>
        </w:rPr>
        <w:t>يدمج</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المعد</w:t>
      </w:r>
      <w:r w:rsidR="008D730A">
        <w:rPr>
          <w:rFonts w:hint="cs"/>
          <w:rtl/>
          <w:lang w:bidi="ar-SY"/>
        </w:rPr>
        <w:t xml:space="preserve"> </w:t>
      </w:r>
      <w:r w:rsidR="00F32B28" w:rsidRPr="00F32B28">
        <w:rPr>
          <w:rtl/>
          <w:lang w:bidi="ar-SY"/>
        </w:rPr>
        <w:t>لحق</w:t>
      </w:r>
      <w:r w:rsidR="00F32B28">
        <w:rPr>
          <w:rtl/>
          <w:lang w:bidi="ar-SY"/>
        </w:rPr>
        <w:t xml:space="preserve"> </w:t>
      </w:r>
      <w:r w:rsidR="00F32B28" w:rsidRPr="00F32B28">
        <w:rPr>
          <w:rtl/>
          <w:lang w:bidi="ar-SY"/>
        </w:rPr>
        <w:t>المرأة</w:t>
      </w:r>
      <w:r w:rsidR="008D730A">
        <w:rPr>
          <w:rFonts w:hint="cs"/>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وعدم</w:t>
      </w:r>
      <w:r w:rsidR="00F32B28">
        <w:rPr>
          <w:rtl/>
          <w:lang w:bidi="ar-SY"/>
        </w:rPr>
        <w:t xml:space="preserve"> </w:t>
      </w:r>
      <w:r w:rsidR="00F32B28" w:rsidRPr="00F32B28">
        <w:rPr>
          <w:rtl/>
          <w:lang w:bidi="ar-SY"/>
        </w:rPr>
        <w:t>التـمييز</w:t>
      </w:r>
      <w:r w:rsidR="00F32B28">
        <w:rPr>
          <w:rtl/>
          <w:lang w:bidi="ar-SY"/>
        </w:rPr>
        <w:t xml:space="preserve"> </w:t>
      </w:r>
      <w:r w:rsidR="00F32B28" w:rsidRPr="00F32B28">
        <w:rPr>
          <w:rtl/>
          <w:lang w:bidi="ar-SY"/>
        </w:rPr>
        <w:t>وتكافؤ</w:t>
      </w:r>
      <w:r w:rsidR="00F32B28">
        <w:rPr>
          <w:rtl/>
          <w:lang w:bidi="ar-SY"/>
        </w:rPr>
        <w:t xml:space="preserve"> </w:t>
      </w:r>
      <w:r w:rsidR="00F32B28" w:rsidRPr="00F32B28">
        <w:rPr>
          <w:rtl/>
          <w:lang w:bidi="ar-SY"/>
        </w:rPr>
        <w:t>الفرص</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معرض</w:t>
      </w:r>
      <w:r w:rsidR="00F32B28">
        <w:rPr>
          <w:rtl/>
          <w:lang w:bidi="ar-SY"/>
        </w:rPr>
        <w:t xml:space="preserve"> </w:t>
      </w:r>
      <w:r w:rsidR="00F32B28" w:rsidRPr="00F32B28">
        <w:rPr>
          <w:rtl/>
          <w:lang w:bidi="ar-SY"/>
        </w:rPr>
        <w:t>تمتعها</w:t>
      </w:r>
      <w:r w:rsidR="00F32B28">
        <w:rPr>
          <w:rtl/>
          <w:lang w:bidi="ar-SY"/>
        </w:rPr>
        <w:t xml:space="preserve"> </w:t>
      </w:r>
      <w:r w:rsidR="00F32B28" w:rsidRPr="00F32B28">
        <w:rPr>
          <w:rtl/>
          <w:lang w:bidi="ar-SY"/>
        </w:rPr>
        <w:t>بجميع</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وممارسة</w:t>
      </w:r>
      <w:r w:rsidR="00F32B28">
        <w:rPr>
          <w:rtl/>
          <w:lang w:bidi="ar-SY"/>
        </w:rPr>
        <w:t xml:space="preserve"> </w:t>
      </w:r>
      <w:r w:rsidR="00F32B28" w:rsidRPr="00F32B28">
        <w:rPr>
          <w:rtl/>
          <w:lang w:bidi="ar-SY"/>
        </w:rPr>
        <w:t>الحريات</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الواردة</w:t>
      </w:r>
      <w:r w:rsidR="00F32B28">
        <w:rPr>
          <w:rtl/>
          <w:lang w:bidi="ar-SY"/>
        </w:rPr>
        <w:t xml:space="preserve"> </w:t>
      </w:r>
      <w:r w:rsidR="00F32B28" w:rsidRPr="00F32B28">
        <w:rPr>
          <w:rtl/>
          <w:lang w:bidi="ar-SY"/>
        </w:rPr>
        <w:t>فيه</w:t>
      </w:r>
      <w:r w:rsidR="00F32B28">
        <w:rPr>
          <w:rtl/>
          <w:lang w:bidi="ar-SY"/>
        </w:rPr>
        <w:t xml:space="preserve"> </w:t>
      </w:r>
      <w:r w:rsidR="00F32B28" w:rsidRPr="00F32B28">
        <w:rPr>
          <w:rtl/>
          <w:lang w:bidi="ar-SY"/>
        </w:rPr>
        <w:t>استناداً</w:t>
      </w:r>
      <w:r w:rsidR="00F32B28">
        <w:rPr>
          <w:rtl/>
          <w:lang w:bidi="ar-SY"/>
        </w:rPr>
        <w:t xml:space="preserve"> </w:t>
      </w:r>
      <w:r w:rsidR="00F32B28" w:rsidRPr="00F32B28">
        <w:rPr>
          <w:rtl/>
          <w:lang w:bidi="ar-SY"/>
        </w:rPr>
        <w:t>للمادة</w:t>
      </w:r>
      <w:r w:rsidR="00F32B28">
        <w:rPr>
          <w:rtl/>
          <w:lang w:bidi="ar-SY"/>
        </w:rPr>
        <w:t xml:space="preserve"> </w:t>
      </w:r>
      <w:r w:rsidR="00F32B28" w:rsidRPr="00F32B28">
        <w:rPr>
          <w:rtl/>
          <w:lang w:bidi="ar-SY"/>
        </w:rPr>
        <w:t>التاسعة</w:t>
      </w:r>
      <w:r w:rsidR="00F32B28">
        <w:rPr>
          <w:rtl/>
          <w:lang w:bidi="ar-SY"/>
        </w:rPr>
        <w:t xml:space="preserve"> </w:t>
      </w:r>
      <w:r w:rsidR="00F32B28" w:rsidRPr="00F32B28">
        <w:rPr>
          <w:rtl/>
          <w:lang w:bidi="ar-SY"/>
        </w:rPr>
        <w:t>منه.</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يؤسس</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للعديد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الضمانات</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شأنها</w:t>
      </w:r>
      <w:r w:rsidR="00F32B28">
        <w:rPr>
          <w:rtl/>
          <w:lang w:bidi="ar-SY"/>
        </w:rPr>
        <w:t xml:space="preserve"> </w:t>
      </w:r>
      <w:r w:rsidR="00F32B28" w:rsidRPr="00F32B28">
        <w:rPr>
          <w:rtl/>
          <w:lang w:bidi="ar-SY"/>
        </w:rPr>
        <w:t>كفالة</w:t>
      </w:r>
      <w:r w:rsidR="00F32B28">
        <w:rPr>
          <w:rtl/>
          <w:lang w:bidi="ar-SY"/>
        </w:rPr>
        <w:t xml:space="preserve"> </w:t>
      </w:r>
      <w:r w:rsidR="00F32B28" w:rsidRPr="00F32B28">
        <w:rPr>
          <w:rtl/>
          <w:lang w:bidi="ar-SY"/>
        </w:rPr>
        <w:t>تحقيق</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كمبدأ</w:t>
      </w:r>
      <w:r w:rsidR="00F32B28">
        <w:rPr>
          <w:rtl/>
          <w:lang w:bidi="ar-SY"/>
        </w:rPr>
        <w:t xml:space="preserve"> </w:t>
      </w:r>
      <w:r w:rsidR="00F32B28" w:rsidRPr="00F32B28">
        <w:rPr>
          <w:rtl/>
          <w:lang w:bidi="ar-SY"/>
        </w:rPr>
        <w:t>سيادة</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ومبدأ</w:t>
      </w:r>
      <w:r w:rsidR="00F32B28">
        <w:rPr>
          <w:rtl/>
          <w:lang w:bidi="ar-SY"/>
        </w:rPr>
        <w:t xml:space="preserve"> </w:t>
      </w:r>
      <w:r w:rsidR="00F32B28" w:rsidRPr="00F32B28">
        <w:rPr>
          <w:rtl/>
          <w:lang w:bidi="ar-SY"/>
        </w:rPr>
        <w:t>الفصل</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السلطات</w:t>
      </w:r>
      <w:r w:rsidR="00F32B28">
        <w:rPr>
          <w:rtl/>
          <w:lang w:bidi="ar-SY"/>
        </w:rPr>
        <w:t xml:space="preserve"> </w:t>
      </w:r>
      <w:r w:rsidR="00F32B28" w:rsidRPr="00F32B28">
        <w:rPr>
          <w:rtl/>
          <w:lang w:bidi="ar-SY"/>
        </w:rPr>
        <w:t>اللذان</w:t>
      </w:r>
      <w:r w:rsidR="00F32B28">
        <w:rPr>
          <w:rtl/>
          <w:lang w:bidi="ar-SY"/>
        </w:rPr>
        <w:t xml:space="preserve"> </w:t>
      </w:r>
      <w:r w:rsidR="00F32B28" w:rsidRPr="00F32B28">
        <w:rPr>
          <w:rtl/>
          <w:lang w:bidi="ar-SY"/>
        </w:rPr>
        <w:t>يعتبران</w:t>
      </w:r>
      <w:r w:rsidR="00F32B28">
        <w:rPr>
          <w:rtl/>
          <w:lang w:bidi="ar-SY"/>
        </w:rPr>
        <w:t xml:space="preserve"> </w:t>
      </w:r>
      <w:r w:rsidR="00F32B28" w:rsidRPr="00F32B28">
        <w:rPr>
          <w:rtl/>
          <w:lang w:bidi="ar-SY"/>
        </w:rPr>
        <w:t>أساس</w:t>
      </w:r>
      <w:r w:rsidR="00F32B28">
        <w:rPr>
          <w:rtl/>
          <w:lang w:bidi="ar-SY"/>
        </w:rPr>
        <w:t xml:space="preserve"> </w:t>
      </w:r>
      <w:r w:rsidR="00F32B28" w:rsidRPr="00F32B28">
        <w:rPr>
          <w:rtl/>
          <w:lang w:bidi="ar-SY"/>
        </w:rPr>
        <w:t>الحكم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ومن</w:t>
      </w:r>
      <w:r w:rsidR="00F32B28">
        <w:rPr>
          <w:rtl/>
          <w:lang w:bidi="ar-SY"/>
        </w:rPr>
        <w:t xml:space="preserve"> </w:t>
      </w:r>
      <w:r w:rsidR="00F32B28" w:rsidRPr="00F32B28">
        <w:rPr>
          <w:rtl/>
          <w:lang w:bidi="ar-SY"/>
        </w:rPr>
        <w:t>أهم</w:t>
      </w:r>
      <w:r w:rsidR="00F32B28">
        <w:rPr>
          <w:rtl/>
          <w:lang w:bidi="ar-SY"/>
        </w:rPr>
        <w:t xml:space="preserve"> </w:t>
      </w:r>
      <w:r w:rsidR="00F32B28" w:rsidRPr="00F32B28">
        <w:rPr>
          <w:rtl/>
          <w:lang w:bidi="ar-SY"/>
        </w:rPr>
        <w:t>الضمانات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تكفل</w:t>
      </w:r>
      <w:r w:rsidR="00F32B28">
        <w:rPr>
          <w:rtl/>
          <w:lang w:bidi="ar-SY"/>
        </w:rPr>
        <w:t xml:space="preserve"> </w:t>
      </w:r>
      <w:r w:rsidR="00F32B28" w:rsidRPr="00F32B28">
        <w:rPr>
          <w:rtl/>
          <w:lang w:bidi="ar-SY"/>
        </w:rPr>
        <w:t>احترام</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مواجهة</w:t>
      </w:r>
      <w:r w:rsidR="008D730A">
        <w:rPr>
          <w:rFonts w:hint="cs"/>
          <w:rtl/>
          <w:lang w:bidi="ar-SY"/>
        </w:rPr>
        <w:t xml:space="preserve"> </w:t>
      </w:r>
      <w:r w:rsidR="00F32B28" w:rsidRPr="00F32B28">
        <w:rPr>
          <w:rtl/>
          <w:lang w:bidi="ar-SY"/>
        </w:rPr>
        <w:t>جميع</w:t>
      </w:r>
      <w:r w:rsidR="00F32B28">
        <w:rPr>
          <w:rtl/>
          <w:lang w:bidi="ar-SY"/>
        </w:rPr>
        <w:t xml:space="preserve"> </w:t>
      </w:r>
      <w:r w:rsidR="00F32B28" w:rsidRPr="00F32B28">
        <w:rPr>
          <w:rtl/>
          <w:lang w:bidi="ar-SY"/>
        </w:rPr>
        <w:t>الأشخاص</w:t>
      </w:r>
      <w:r w:rsidR="00F32B28">
        <w:rPr>
          <w:rtl/>
          <w:lang w:bidi="ar-SY"/>
        </w:rPr>
        <w:t xml:space="preserve"> </w:t>
      </w:r>
      <w:r w:rsidR="00F32B28" w:rsidRPr="00F32B28">
        <w:rPr>
          <w:rtl/>
          <w:lang w:bidi="ar-SY"/>
        </w:rPr>
        <w:t>والهيئات،</w:t>
      </w:r>
      <w:r w:rsidR="00F32B28">
        <w:rPr>
          <w:rtl/>
          <w:lang w:bidi="ar-SY"/>
        </w:rPr>
        <w:t xml:space="preserve"> </w:t>
      </w:r>
      <w:r w:rsidR="00F32B28" w:rsidRPr="00F32B28">
        <w:rPr>
          <w:rtl/>
          <w:lang w:bidi="ar-SY"/>
        </w:rPr>
        <w:t>وضمان</w:t>
      </w:r>
      <w:r w:rsidR="00F32B28">
        <w:rPr>
          <w:rtl/>
          <w:lang w:bidi="ar-SY"/>
        </w:rPr>
        <w:t xml:space="preserve"> </w:t>
      </w:r>
      <w:r w:rsidR="00F32B28" w:rsidRPr="00F32B28">
        <w:rPr>
          <w:rtl/>
          <w:lang w:bidi="ar-SY"/>
        </w:rPr>
        <w:t>عدم</w:t>
      </w:r>
      <w:r w:rsidR="00F32B28">
        <w:rPr>
          <w:rtl/>
          <w:lang w:bidi="ar-SY"/>
        </w:rPr>
        <w:t xml:space="preserve"> </w:t>
      </w:r>
      <w:r w:rsidR="00F32B28" w:rsidRPr="00F32B28">
        <w:rPr>
          <w:rtl/>
          <w:lang w:bidi="ar-SY"/>
        </w:rPr>
        <w:t>تعسف</w:t>
      </w:r>
      <w:r w:rsidR="00F32B28">
        <w:rPr>
          <w:rtl/>
          <w:lang w:bidi="ar-SY"/>
        </w:rPr>
        <w:t xml:space="preserve"> </w:t>
      </w:r>
      <w:r w:rsidR="00F32B28" w:rsidRPr="00F32B28">
        <w:rPr>
          <w:rtl/>
          <w:lang w:bidi="ar-SY"/>
        </w:rPr>
        <w:t>السلطات</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استخدام</w:t>
      </w:r>
      <w:r w:rsidR="00F32B28">
        <w:rPr>
          <w:rtl/>
          <w:lang w:bidi="ar-SY"/>
        </w:rPr>
        <w:t xml:space="preserve"> </w:t>
      </w:r>
      <w:r w:rsidR="00F32B28" w:rsidRPr="00F32B28">
        <w:rPr>
          <w:rtl/>
          <w:lang w:bidi="ar-SY"/>
        </w:rPr>
        <w:t>سلطاتها،</w:t>
      </w:r>
      <w:r w:rsidR="008D730A">
        <w:rPr>
          <w:rFonts w:hint="cs"/>
          <w:rtl/>
          <w:lang w:bidi="ar-SY"/>
        </w:rPr>
        <w:t xml:space="preserve"> </w:t>
      </w:r>
      <w:r w:rsidR="00F32B28" w:rsidRPr="00F32B28">
        <w:rPr>
          <w:rtl/>
          <w:lang w:bidi="ar-SY"/>
        </w:rPr>
        <w:t>والاحتكام</w:t>
      </w:r>
      <w:r w:rsidR="00F32B28">
        <w:rPr>
          <w:rtl/>
          <w:lang w:bidi="ar-SY"/>
        </w:rPr>
        <w:t xml:space="preserve"> </w:t>
      </w:r>
      <w:r w:rsidR="00F32B28" w:rsidRPr="00F32B28">
        <w:rPr>
          <w:rtl/>
          <w:lang w:bidi="ar-SY"/>
        </w:rPr>
        <w:t>عند</w:t>
      </w:r>
      <w:r w:rsidR="00F32B28">
        <w:rPr>
          <w:rtl/>
          <w:lang w:bidi="ar-SY"/>
        </w:rPr>
        <w:t xml:space="preserve"> </w:t>
      </w:r>
      <w:r w:rsidR="00F32B28" w:rsidRPr="00F32B28">
        <w:rPr>
          <w:rtl/>
          <w:lang w:bidi="ar-SY"/>
        </w:rPr>
        <w:t>مخالفة</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هيئات</w:t>
      </w:r>
      <w:r w:rsidR="00F32B28">
        <w:rPr>
          <w:rtl/>
          <w:lang w:bidi="ar-SY"/>
        </w:rPr>
        <w:t xml:space="preserve"> </w:t>
      </w:r>
      <w:r w:rsidR="00F32B28" w:rsidRPr="00F32B28">
        <w:rPr>
          <w:rtl/>
          <w:lang w:bidi="ar-SY"/>
        </w:rPr>
        <w:t>القضاء</w:t>
      </w:r>
      <w:r w:rsidR="00F32B28">
        <w:rPr>
          <w:rtl/>
          <w:lang w:bidi="ar-SY"/>
        </w:rPr>
        <w:t xml:space="preserve"> </w:t>
      </w:r>
      <w:r w:rsidR="00F32B28" w:rsidRPr="00F32B28">
        <w:rPr>
          <w:rtl/>
          <w:lang w:bidi="ar-SY"/>
        </w:rPr>
        <w:t>المستقل.</w:t>
      </w:r>
    </w:p>
    <w:p w:rsidR="00F32B28" w:rsidRPr="00F32B28" w:rsidRDefault="00DF628D" w:rsidP="001D253C">
      <w:pPr>
        <w:pStyle w:val="SingleTxt"/>
      </w:pPr>
      <w:r>
        <w:rPr>
          <w:rFonts w:hint="cs"/>
          <w:rtl/>
        </w:rPr>
        <w:t>10 -</w:t>
      </w:r>
      <w:r>
        <w:rPr>
          <w:rFonts w:hint="cs"/>
          <w:rtl/>
        </w:rPr>
        <w:tab/>
      </w:r>
      <w:r w:rsidR="00F32B28" w:rsidRPr="00F32B28">
        <w:rPr>
          <w:rtl/>
        </w:rPr>
        <w:t>تبنت</w:t>
      </w:r>
      <w:r w:rsidR="00F32B28">
        <w:rPr>
          <w:rtl/>
        </w:rPr>
        <w:t xml:space="preserve"> </w:t>
      </w:r>
      <w:r w:rsidR="00F32B28" w:rsidRPr="00F32B28">
        <w:rPr>
          <w:rtl/>
        </w:rPr>
        <w:t>فلسطين</w:t>
      </w:r>
      <w:r w:rsidR="00F32B28">
        <w:rPr>
          <w:rtl/>
        </w:rPr>
        <w:t xml:space="preserve"> </w:t>
      </w:r>
      <w:r w:rsidR="00F32B28" w:rsidRPr="00F32B28">
        <w:rPr>
          <w:rtl/>
        </w:rPr>
        <w:t>اتفاقية</w:t>
      </w:r>
      <w:r w:rsidR="00F32B28">
        <w:rPr>
          <w:rtl/>
        </w:rPr>
        <w:t xml:space="preserve"> </w:t>
      </w:r>
      <w:r w:rsidR="001D253C">
        <w:rPr>
          <w:rFonts w:hint="cs"/>
          <w:rtl/>
        </w:rPr>
        <w:t>”</w:t>
      </w:r>
      <w:r w:rsidR="00F32B28" w:rsidRPr="00F32B28">
        <w:rPr>
          <w:rtl/>
        </w:rPr>
        <w:t>سيداو</w:t>
      </w:r>
      <w:r w:rsidR="001D253C">
        <w:rPr>
          <w:rFonts w:hint="cs"/>
          <w:rtl/>
        </w:rPr>
        <w:t>“</w:t>
      </w:r>
      <w:r w:rsidR="00F32B28">
        <w:rPr>
          <w:rtl/>
        </w:rPr>
        <w:t xml:space="preserve"> </w:t>
      </w:r>
      <w:r w:rsidR="00F32B28" w:rsidRPr="00F32B28">
        <w:rPr>
          <w:rtl/>
        </w:rPr>
        <w:t>بالمصادقة</w:t>
      </w:r>
      <w:r w:rsidR="00F32B28">
        <w:rPr>
          <w:rtl/>
        </w:rPr>
        <w:t xml:space="preserve"> </w:t>
      </w:r>
      <w:r w:rsidR="00F32B28" w:rsidRPr="00F32B28">
        <w:rPr>
          <w:rtl/>
        </w:rPr>
        <w:t>الوطنية</w:t>
      </w:r>
      <w:r w:rsidR="004B33D7">
        <w:rPr>
          <w:rFonts w:hint="cs"/>
          <w:rtl/>
        </w:rPr>
        <w:t xml:space="preserve"> </w:t>
      </w:r>
      <w:r w:rsidR="00F32B28" w:rsidRPr="00F32B28">
        <w:rPr>
          <w:rtl/>
        </w:rPr>
        <w:t>الأولى</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2005</w:t>
      </w:r>
      <w:r w:rsidR="00F32B28">
        <w:rPr>
          <w:rtl/>
        </w:rPr>
        <w:t xml:space="preserve"> </w:t>
      </w:r>
      <w:r w:rsidR="00F32B28" w:rsidRPr="00F32B28">
        <w:rPr>
          <w:rtl/>
        </w:rPr>
        <w:t>بموجب</w:t>
      </w:r>
      <w:r w:rsidR="00F32B28">
        <w:rPr>
          <w:rtl/>
        </w:rPr>
        <w:t xml:space="preserve"> </w:t>
      </w:r>
      <w:r w:rsidR="00F32B28" w:rsidRPr="00F32B28">
        <w:rPr>
          <w:rtl/>
        </w:rPr>
        <w:t>قرار</w:t>
      </w:r>
      <w:r w:rsidR="00F32B28">
        <w:rPr>
          <w:rtl/>
        </w:rPr>
        <w:t xml:space="preserve"> </w:t>
      </w:r>
      <w:r w:rsidR="00F32B28" w:rsidRPr="00F32B28">
        <w:rPr>
          <w:rtl/>
        </w:rPr>
        <w:t>من</w:t>
      </w:r>
      <w:r w:rsidR="00F32B28">
        <w:rPr>
          <w:rtl/>
        </w:rPr>
        <w:t xml:space="preserve"> </w:t>
      </w:r>
      <w:r w:rsidR="00F32B28" w:rsidRPr="00F32B28">
        <w:rPr>
          <w:rtl/>
        </w:rPr>
        <w:t>مجلس</w:t>
      </w:r>
      <w:r w:rsidR="00F32B28">
        <w:rPr>
          <w:rtl/>
        </w:rPr>
        <w:t xml:space="preserve"> </w:t>
      </w:r>
      <w:r w:rsidR="00F32B28" w:rsidRPr="00F32B28">
        <w:rPr>
          <w:rtl/>
        </w:rPr>
        <w:t>الوزراء</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2005.</w:t>
      </w:r>
      <w:r w:rsidR="00F32B28">
        <w:rPr>
          <w:rtl/>
        </w:rPr>
        <w:t xml:space="preserve"> </w:t>
      </w:r>
      <w:r w:rsidR="00F32B28" w:rsidRPr="00F32B28">
        <w:rPr>
          <w:rtl/>
        </w:rPr>
        <w:t>وفي</w:t>
      </w:r>
      <w:r w:rsidR="00F32B28">
        <w:rPr>
          <w:rtl/>
        </w:rPr>
        <w:t xml:space="preserve"> </w:t>
      </w:r>
      <w:r w:rsidR="00F32B28" w:rsidRPr="00F32B28">
        <w:rPr>
          <w:rtl/>
        </w:rPr>
        <w:t>عام</w:t>
      </w:r>
      <w:r w:rsidR="00F32B28">
        <w:rPr>
          <w:rtl/>
        </w:rPr>
        <w:t xml:space="preserve"> </w:t>
      </w:r>
      <w:r w:rsidR="00F32B28" w:rsidRPr="00F32B28">
        <w:rPr>
          <w:rtl/>
        </w:rPr>
        <w:t>2009،</w:t>
      </w:r>
      <w:r w:rsidR="00F32B28">
        <w:rPr>
          <w:rtl/>
        </w:rPr>
        <w:t xml:space="preserve"> </w:t>
      </w:r>
      <w:r w:rsidR="00F32B28" w:rsidRPr="00F32B28">
        <w:rPr>
          <w:rtl/>
        </w:rPr>
        <w:t>صادقت</w:t>
      </w:r>
      <w:r w:rsidR="00F32B28">
        <w:rPr>
          <w:rtl/>
        </w:rPr>
        <w:t xml:space="preserve"> </w:t>
      </w:r>
      <w:r w:rsidR="00F32B28" w:rsidRPr="00F32B28">
        <w:rPr>
          <w:rtl/>
        </w:rPr>
        <w:t>فلسطين</w:t>
      </w:r>
      <w:r w:rsidR="00F32B28">
        <w:rPr>
          <w:rtl/>
        </w:rPr>
        <w:t xml:space="preserve"> </w:t>
      </w:r>
      <w:r w:rsidR="00F32B28" w:rsidRPr="00F32B28">
        <w:rPr>
          <w:rtl/>
        </w:rPr>
        <w:t>على</w:t>
      </w:r>
      <w:r w:rsidR="00F32B28">
        <w:rPr>
          <w:rtl/>
        </w:rPr>
        <w:t xml:space="preserve"> </w:t>
      </w:r>
      <w:r w:rsidR="00F32B28" w:rsidRPr="00F32B28">
        <w:rPr>
          <w:rtl/>
        </w:rPr>
        <w:t>الاتفاقية</w:t>
      </w:r>
      <w:r w:rsidR="00F32B28">
        <w:rPr>
          <w:rtl/>
        </w:rPr>
        <w:t xml:space="preserve"> </w:t>
      </w:r>
      <w:r w:rsidR="00F32B28" w:rsidRPr="00F32B28">
        <w:rPr>
          <w:rtl/>
          <w:lang w:bidi="ar-SY"/>
        </w:rPr>
        <w:t>ب</w:t>
      </w:r>
      <w:r w:rsidR="00F32B28" w:rsidRPr="00F32B28">
        <w:rPr>
          <w:rtl/>
        </w:rPr>
        <w:t>إعلان</w:t>
      </w:r>
      <w:r w:rsidR="00F32B28">
        <w:rPr>
          <w:rtl/>
        </w:rPr>
        <w:t xml:space="preserve"> </w:t>
      </w:r>
      <w:r w:rsidR="00F32B28" w:rsidRPr="00F32B28">
        <w:rPr>
          <w:rtl/>
        </w:rPr>
        <w:t>أحادي</w:t>
      </w:r>
      <w:r w:rsidR="00F32B28">
        <w:rPr>
          <w:rtl/>
        </w:rPr>
        <w:t xml:space="preserve"> </w:t>
      </w:r>
      <w:r w:rsidR="00F32B28" w:rsidRPr="00F32B28">
        <w:rPr>
          <w:rtl/>
        </w:rPr>
        <w:t>الجانب</w:t>
      </w:r>
      <w:r w:rsidR="00F32B28">
        <w:rPr>
          <w:rtl/>
        </w:rPr>
        <w:t xml:space="preserve"> </w:t>
      </w:r>
      <w:r w:rsidR="00F32B28" w:rsidRPr="00F32B28">
        <w:rPr>
          <w:rtl/>
          <w:lang w:bidi="ar-SY"/>
        </w:rPr>
        <w:t>بموجب</w:t>
      </w:r>
      <w:r w:rsidR="00F32B28">
        <w:rPr>
          <w:rtl/>
        </w:rPr>
        <w:t xml:space="preserve"> </w:t>
      </w:r>
      <w:r w:rsidR="00F32B28" w:rsidRPr="00F32B28">
        <w:rPr>
          <w:rtl/>
        </w:rPr>
        <w:t>المرسوم</w:t>
      </w:r>
      <w:r w:rsidR="00F32B28">
        <w:rPr>
          <w:rtl/>
        </w:rPr>
        <w:t xml:space="preserve"> </w:t>
      </w:r>
      <w:r w:rsidR="00F32B28" w:rsidRPr="00F32B28">
        <w:rPr>
          <w:rtl/>
        </w:rPr>
        <w:t>الرئاسي</w:t>
      </w:r>
      <w:r w:rsidR="00F32B28">
        <w:rPr>
          <w:rtl/>
        </w:rPr>
        <w:t xml:space="preserve"> </w:t>
      </w:r>
      <w:r w:rsidR="00F32B28" w:rsidRPr="00F32B28">
        <w:rPr>
          <w:rtl/>
        </w:rPr>
        <w:t>رقم</w:t>
      </w:r>
      <w:r w:rsidR="00F32B28">
        <w:rPr>
          <w:rtl/>
        </w:rPr>
        <w:t xml:space="preserve"> </w:t>
      </w:r>
      <w:r w:rsidR="00F32B28" w:rsidRPr="00F32B28">
        <w:rPr>
          <w:rtl/>
        </w:rPr>
        <w:t>(19)</w:t>
      </w:r>
      <w:r w:rsidR="00F32B28">
        <w:rPr>
          <w:rtl/>
        </w:rPr>
        <w:t xml:space="preserve"> </w:t>
      </w:r>
      <w:r w:rsidR="00F32B28" w:rsidRPr="00F32B28">
        <w:rPr>
          <w:rtl/>
        </w:rPr>
        <w:t>لسنة</w:t>
      </w:r>
      <w:r w:rsidR="00F32B28">
        <w:rPr>
          <w:rtl/>
        </w:rPr>
        <w:t xml:space="preserve"> </w:t>
      </w:r>
      <w:r w:rsidR="00F32B28" w:rsidRPr="00F32B28">
        <w:rPr>
          <w:rtl/>
        </w:rPr>
        <w:t>2009.</w:t>
      </w:r>
      <w:r w:rsidR="00F32B28">
        <w:rPr>
          <w:rtl/>
        </w:rPr>
        <w:t xml:space="preserve"> </w:t>
      </w:r>
      <w:r w:rsidR="00F32B28" w:rsidRPr="00F32B28">
        <w:rPr>
          <w:rtl/>
        </w:rPr>
        <w:t>وفي</w:t>
      </w:r>
      <w:r w:rsidR="00F32B28">
        <w:rPr>
          <w:rtl/>
        </w:rPr>
        <w:t xml:space="preserve"> </w:t>
      </w:r>
      <w:r w:rsidR="00F32B28" w:rsidRPr="00F32B28">
        <w:rPr>
          <w:rtl/>
        </w:rPr>
        <w:t>الأول</w:t>
      </w:r>
      <w:r w:rsidR="00F32B28">
        <w:rPr>
          <w:rtl/>
        </w:rPr>
        <w:t xml:space="preserve"> </w:t>
      </w:r>
      <w:r w:rsidR="00F32B28" w:rsidRPr="00F32B28">
        <w:rPr>
          <w:rtl/>
        </w:rPr>
        <w:t>من</w:t>
      </w:r>
      <w:r w:rsidR="00F32B28">
        <w:rPr>
          <w:rtl/>
        </w:rPr>
        <w:t xml:space="preserve"> </w:t>
      </w:r>
      <w:r w:rsidR="00F32B28" w:rsidRPr="00F32B28">
        <w:rPr>
          <w:rtl/>
        </w:rPr>
        <w:t>نيسان</w:t>
      </w:r>
      <w:r w:rsidR="000B4ABE">
        <w:rPr>
          <w:rFonts w:hint="cs"/>
          <w:rtl/>
        </w:rPr>
        <w:t>/أبريل</w:t>
      </w:r>
      <w:r w:rsidR="00F32B28">
        <w:rPr>
          <w:rtl/>
        </w:rPr>
        <w:t xml:space="preserve"> </w:t>
      </w:r>
      <w:r w:rsidR="00F32B28" w:rsidRPr="00F32B28">
        <w:rPr>
          <w:rtl/>
        </w:rPr>
        <w:t>لعام</w:t>
      </w:r>
      <w:r w:rsidR="00F32B28">
        <w:rPr>
          <w:rtl/>
        </w:rPr>
        <w:t xml:space="preserve"> </w:t>
      </w:r>
      <w:r w:rsidR="00F32B28" w:rsidRPr="00F32B28">
        <w:rPr>
          <w:rtl/>
        </w:rPr>
        <w:t>2014،</w:t>
      </w:r>
      <w:r w:rsidR="00F32B28">
        <w:rPr>
          <w:rtl/>
        </w:rPr>
        <w:t xml:space="preserve"> </w:t>
      </w:r>
      <w:r w:rsidR="00F32B28" w:rsidRPr="00F32B28">
        <w:rPr>
          <w:rtl/>
        </w:rPr>
        <w:t>وبعد</w:t>
      </w:r>
      <w:r w:rsidR="00F32B28">
        <w:rPr>
          <w:rtl/>
        </w:rPr>
        <w:t xml:space="preserve"> </w:t>
      </w:r>
      <w:r w:rsidR="00F32B28" w:rsidRPr="00F32B28">
        <w:rPr>
          <w:rtl/>
        </w:rPr>
        <w:t>مضي</w:t>
      </w:r>
      <w:r w:rsidR="00F32B28">
        <w:rPr>
          <w:rtl/>
        </w:rPr>
        <w:t xml:space="preserve"> </w:t>
      </w:r>
      <w:r w:rsidR="00F32B28" w:rsidRPr="00F32B28">
        <w:rPr>
          <w:rtl/>
        </w:rPr>
        <w:t>أقل</w:t>
      </w:r>
      <w:r w:rsidR="00F32B28">
        <w:rPr>
          <w:rtl/>
        </w:rPr>
        <w:t xml:space="preserve"> </w:t>
      </w:r>
      <w:r w:rsidR="00F32B28" w:rsidRPr="00F32B28">
        <w:rPr>
          <w:rtl/>
        </w:rPr>
        <w:t>من</w:t>
      </w:r>
      <w:r w:rsidR="00F32B28">
        <w:rPr>
          <w:rtl/>
        </w:rPr>
        <w:t xml:space="preserve"> </w:t>
      </w:r>
      <w:r w:rsidR="00F32B28" w:rsidRPr="00F32B28">
        <w:rPr>
          <w:rtl/>
        </w:rPr>
        <w:t>سنة</w:t>
      </w:r>
      <w:r w:rsidR="00F32B28">
        <w:rPr>
          <w:rtl/>
        </w:rPr>
        <w:t xml:space="preserve"> </w:t>
      </w:r>
      <w:r w:rsidR="00F32B28" w:rsidRPr="00F32B28">
        <w:rPr>
          <w:rtl/>
        </w:rPr>
        <w:t>ونصف</w:t>
      </w:r>
      <w:r w:rsidR="00F32B28">
        <w:rPr>
          <w:rtl/>
        </w:rPr>
        <w:t xml:space="preserve"> </w:t>
      </w:r>
      <w:r w:rsidR="00F32B28" w:rsidRPr="00F32B28">
        <w:rPr>
          <w:rtl/>
        </w:rPr>
        <w:t>على</w:t>
      </w:r>
      <w:r w:rsidR="00F32B28">
        <w:rPr>
          <w:rtl/>
        </w:rPr>
        <w:t xml:space="preserve"> </w:t>
      </w:r>
      <w:r w:rsidR="00F32B28" w:rsidRPr="00F32B28">
        <w:rPr>
          <w:rtl/>
        </w:rPr>
        <w:t>نيل</w:t>
      </w:r>
      <w:r w:rsidR="00F32B28">
        <w:rPr>
          <w:rtl/>
        </w:rPr>
        <w:t xml:space="preserve"> </w:t>
      </w:r>
      <w:r w:rsidR="00F32B28" w:rsidRPr="00F32B28">
        <w:rPr>
          <w:rFonts w:hint="cs"/>
          <w:rtl/>
        </w:rPr>
        <w:t>دولة</w:t>
      </w:r>
      <w:r w:rsidR="00F32B28">
        <w:rPr>
          <w:rFonts w:hint="cs"/>
          <w:rtl/>
        </w:rPr>
        <w:t xml:space="preserve"> </w:t>
      </w:r>
      <w:r w:rsidR="00F32B28" w:rsidRPr="00F32B28">
        <w:rPr>
          <w:rtl/>
        </w:rPr>
        <w:t>فلسطين</w:t>
      </w:r>
      <w:r w:rsidR="00F32B28">
        <w:rPr>
          <w:rtl/>
        </w:rPr>
        <w:t xml:space="preserve"> </w:t>
      </w:r>
      <w:r w:rsidR="00F32B28" w:rsidRPr="00F32B28">
        <w:rPr>
          <w:rtl/>
        </w:rPr>
        <w:t>صفة</w:t>
      </w:r>
      <w:r w:rsidR="00F32B28">
        <w:rPr>
          <w:rtl/>
        </w:rPr>
        <w:t xml:space="preserve"> </w:t>
      </w:r>
      <w:r w:rsidR="00F32B28" w:rsidRPr="00F32B28">
        <w:rPr>
          <w:rtl/>
        </w:rPr>
        <w:t>الدولة</w:t>
      </w:r>
      <w:r w:rsidR="00F32B28">
        <w:rPr>
          <w:rtl/>
        </w:rPr>
        <w:t xml:space="preserve"> </w:t>
      </w:r>
      <w:r w:rsidR="00F32B28" w:rsidRPr="00F32B28">
        <w:rPr>
          <w:rtl/>
        </w:rPr>
        <w:t>المراقب</w:t>
      </w:r>
      <w:r w:rsidR="00F32B28">
        <w:rPr>
          <w:rtl/>
        </w:rPr>
        <w:t xml:space="preserve"> </w:t>
      </w:r>
      <w:r w:rsidR="00F32B28" w:rsidRPr="00F32B28">
        <w:rPr>
          <w:rtl/>
        </w:rPr>
        <w:t>في</w:t>
      </w:r>
      <w:r w:rsidR="00F32B28">
        <w:rPr>
          <w:rtl/>
        </w:rPr>
        <w:t xml:space="preserve"> </w:t>
      </w:r>
      <w:r w:rsidR="00F32B28" w:rsidRPr="00F32B28">
        <w:rPr>
          <w:rtl/>
        </w:rPr>
        <w:t>الأمم</w:t>
      </w:r>
      <w:r w:rsidR="00F32B28">
        <w:rPr>
          <w:rtl/>
        </w:rPr>
        <w:t xml:space="preserve"> </w:t>
      </w:r>
      <w:r w:rsidR="00F32B28" w:rsidRPr="00F32B28">
        <w:rPr>
          <w:rtl/>
        </w:rPr>
        <w:t>المتحدة،</w:t>
      </w:r>
      <w:r w:rsidR="00F32B28">
        <w:rPr>
          <w:rtl/>
        </w:rPr>
        <w:t xml:space="preserve"> </w:t>
      </w:r>
      <w:r w:rsidR="00F32B28" w:rsidRPr="00F32B28">
        <w:rPr>
          <w:rtl/>
        </w:rPr>
        <w:t>قامت</w:t>
      </w:r>
      <w:r w:rsidR="00F32B28">
        <w:rPr>
          <w:rtl/>
        </w:rPr>
        <w:t xml:space="preserve"> </w:t>
      </w:r>
      <w:r w:rsidR="00F32B28" w:rsidRPr="00F32B28">
        <w:rPr>
          <w:rtl/>
        </w:rPr>
        <w:t>فلسطين</w:t>
      </w:r>
      <w:r w:rsidR="00F32B28">
        <w:rPr>
          <w:rtl/>
        </w:rPr>
        <w:t xml:space="preserve"> </w:t>
      </w:r>
      <w:r w:rsidR="00F32B28" w:rsidRPr="00F32B28">
        <w:rPr>
          <w:rtl/>
        </w:rPr>
        <w:t>بالانضمام</w:t>
      </w:r>
      <w:r w:rsidR="00F32B28">
        <w:rPr>
          <w:rtl/>
        </w:rPr>
        <w:t xml:space="preserve"> </w:t>
      </w:r>
      <w:r w:rsidR="00F32B28" w:rsidRPr="00F32B28">
        <w:rPr>
          <w:rtl/>
        </w:rPr>
        <w:t>إلى</w:t>
      </w:r>
      <w:r w:rsidR="00F32B28">
        <w:rPr>
          <w:rtl/>
        </w:rPr>
        <w:t xml:space="preserve"> </w:t>
      </w:r>
      <w:r w:rsidR="00F32B28" w:rsidRPr="00F32B28">
        <w:rPr>
          <w:rtl/>
          <w:lang w:bidi="ar-LB"/>
        </w:rPr>
        <w:t>الاتفاقية</w:t>
      </w:r>
      <w:r w:rsidR="00F32B28">
        <w:rPr>
          <w:rtl/>
        </w:rPr>
        <w:t xml:space="preserve"> </w:t>
      </w:r>
      <w:r w:rsidR="00F32B28" w:rsidRPr="00F32B28">
        <w:rPr>
          <w:rtl/>
        </w:rPr>
        <w:t>دون</w:t>
      </w:r>
      <w:r w:rsidR="00F32B28">
        <w:rPr>
          <w:rtl/>
        </w:rPr>
        <w:t xml:space="preserve"> </w:t>
      </w:r>
      <w:r w:rsidR="00F32B28" w:rsidRPr="00F32B28">
        <w:rPr>
          <w:rtl/>
        </w:rPr>
        <w:t>أي</w:t>
      </w:r>
      <w:r w:rsidR="00F32B28">
        <w:rPr>
          <w:rtl/>
        </w:rPr>
        <w:t xml:space="preserve"> </w:t>
      </w:r>
      <w:r w:rsidR="00F32B28" w:rsidRPr="00F32B28">
        <w:rPr>
          <w:rtl/>
        </w:rPr>
        <w:t>تحفظ</w:t>
      </w:r>
      <w:r w:rsidR="00F32B28">
        <w:rPr>
          <w:rtl/>
        </w:rPr>
        <w:t xml:space="preserve"> </w:t>
      </w:r>
      <w:r w:rsidR="00F32B28" w:rsidRPr="00F32B28">
        <w:rPr>
          <w:rtl/>
        </w:rPr>
        <w:t>على</w:t>
      </w:r>
      <w:r w:rsidR="00F32B28">
        <w:rPr>
          <w:rtl/>
        </w:rPr>
        <w:t xml:space="preserve"> </w:t>
      </w:r>
      <w:r w:rsidR="00F32B28" w:rsidRPr="00F32B28">
        <w:rPr>
          <w:rtl/>
        </w:rPr>
        <w:t>موادها؛</w:t>
      </w:r>
      <w:r w:rsidR="00F32B28">
        <w:rPr>
          <w:rtl/>
        </w:rPr>
        <w:t xml:space="preserve"> </w:t>
      </w:r>
      <w:r w:rsidR="00F32B28" w:rsidRPr="00F32B28">
        <w:rPr>
          <w:rtl/>
        </w:rPr>
        <w:t>ما</w:t>
      </w:r>
      <w:r w:rsidR="00F32B28">
        <w:rPr>
          <w:rtl/>
        </w:rPr>
        <w:t xml:space="preserve"> </w:t>
      </w:r>
      <w:r w:rsidR="00F32B28" w:rsidRPr="00F32B28">
        <w:rPr>
          <w:rtl/>
        </w:rPr>
        <w:t>يعد</w:t>
      </w:r>
      <w:r w:rsidR="00F32B28">
        <w:rPr>
          <w:rtl/>
        </w:rPr>
        <w:t xml:space="preserve"> </w:t>
      </w:r>
      <w:r w:rsidR="00F32B28" w:rsidRPr="00F32B28">
        <w:rPr>
          <w:rtl/>
        </w:rPr>
        <w:t>تعبيراً</w:t>
      </w:r>
      <w:r w:rsidR="00F32B28">
        <w:rPr>
          <w:rtl/>
        </w:rPr>
        <w:t xml:space="preserve"> </w:t>
      </w:r>
      <w:r w:rsidR="00F32B28" w:rsidRPr="00F32B28">
        <w:rPr>
          <w:rtl/>
        </w:rPr>
        <w:t>عن</w:t>
      </w:r>
      <w:r w:rsidR="00F32B28">
        <w:rPr>
          <w:rtl/>
        </w:rPr>
        <w:t xml:space="preserve"> </w:t>
      </w:r>
      <w:r w:rsidR="00F32B28" w:rsidRPr="00F32B28">
        <w:rPr>
          <w:rtl/>
        </w:rPr>
        <w:t>إرادة</w:t>
      </w:r>
      <w:r w:rsidR="00F32B28">
        <w:rPr>
          <w:rtl/>
        </w:rPr>
        <w:t xml:space="preserve"> </w:t>
      </w:r>
      <w:r w:rsidR="00F32B28" w:rsidRPr="00F32B28">
        <w:rPr>
          <w:rtl/>
        </w:rPr>
        <w:t>سياسية</w:t>
      </w:r>
      <w:r w:rsidR="00F32B28">
        <w:rPr>
          <w:rtl/>
        </w:rPr>
        <w:t xml:space="preserve"> </w:t>
      </w:r>
      <w:r w:rsidR="00F32B28" w:rsidRPr="00F32B28">
        <w:rPr>
          <w:rtl/>
        </w:rPr>
        <w:t>فعلية</w:t>
      </w:r>
      <w:r w:rsidR="00F32B28">
        <w:rPr>
          <w:rtl/>
        </w:rPr>
        <w:t xml:space="preserve"> </w:t>
      </w:r>
      <w:r w:rsidR="00F32B28" w:rsidRPr="00F32B28">
        <w:rPr>
          <w:rtl/>
        </w:rPr>
        <w:t>وخطوة</w:t>
      </w:r>
      <w:r w:rsidR="00F32B28">
        <w:rPr>
          <w:rtl/>
        </w:rPr>
        <w:t xml:space="preserve"> </w:t>
      </w:r>
      <w:r w:rsidR="00F32B28" w:rsidRPr="00F32B28">
        <w:rPr>
          <w:rtl/>
        </w:rPr>
        <w:t>نوعية</w:t>
      </w:r>
      <w:r w:rsidR="00F32B28">
        <w:rPr>
          <w:rtl/>
        </w:rPr>
        <w:t xml:space="preserve"> </w:t>
      </w:r>
      <w:r w:rsidR="00F32B28" w:rsidRPr="00F32B28">
        <w:rPr>
          <w:rtl/>
        </w:rPr>
        <w:t>تمثل</w:t>
      </w:r>
      <w:r w:rsidR="00F32B28">
        <w:rPr>
          <w:rtl/>
        </w:rPr>
        <w:t xml:space="preserve"> </w:t>
      </w:r>
      <w:r w:rsidR="00F32B28" w:rsidRPr="00F32B28">
        <w:rPr>
          <w:rtl/>
        </w:rPr>
        <w:t>التقدم</w:t>
      </w:r>
      <w:r w:rsidR="00F32B28">
        <w:rPr>
          <w:rtl/>
        </w:rPr>
        <w:t xml:space="preserve"> </w:t>
      </w:r>
      <w:r w:rsidR="00F32B28" w:rsidRPr="00F32B28">
        <w:rPr>
          <w:rtl/>
        </w:rPr>
        <w:t>في</w:t>
      </w:r>
      <w:r w:rsidR="00F32B28">
        <w:rPr>
          <w:rtl/>
        </w:rPr>
        <w:t xml:space="preserve"> </w:t>
      </w:r>
      <w:r w:rsidR="00F32B28" w:rsidRPr="00F32B28">
        <w:rPr>
          <w:rtl/>
        </w:rPr>
        <w:t>الجهود</w:t>
      </w:r>
      <w:r w:rsidR="00F32B28">
        <w:rPr>
          <w:rtl/>
        </w:rPr>
        <w:t xml:space="preserve"> </w:t>
      </w:r>
      <w:r w:rsidR="00F32B28" w:rsidRPr="00F32B28">
        <w:rPr>
          <w:rtl/>
        </w:rPr>
        <w:t>الوطنية</w:t>
      </w:r>
      <w:r w:rsidR="00F32B28">
        <w:rPr>
          <w:rtl/>
        </w:rPr>
        <w:t xml:space="preserve"> </w:t>
      </w:r>
      <w:r w:rsidR="00F32B28" w:rsidRPr="00F32B28">
        <w:rPr>
          <w:rtl/>
        </w:rPr>
        <w:t>الهادفة</w:t>
      </w:r>
      <w:r w:rsidR="00F32B28">
        <w:rPr>
          <w:rtl/>
        </w:rPr>
        <w:t xml:space="preserve"> </w:t>
      </w:r>
      <w:r w:rsidR="00F32B28" w:rsidRPr="00F32B28">
        <w:rPr>
          <w:rtl/>
        </w:rPr>
        <w:t>إلى</w:t>
      </w:r>
      <w:r w:rsidR="00F32B28">
        <w:rPr>
          <w:rtl/>
        </w:rPr>
        <w:t xml:space="preserve"> </w:t>
      </w:r>
      <w:r w:rsidR="00F32B28" w:rsidRPr="00F32B28">
        <w:rPr>
          <w:rtl/>
        </w:rPr>
        <w:t>حماية</w:t>
      </w:r>
      <w:r w:rsidR="00F32B28">
        <w:rPr>
          <w:rtl/>
        </w:rPr>
        <w:t xml:space="preserve"> </w:t>
      </w:r>
      <w:r w:rsidR="00F32B28" w:rsidRPr="00F32B28">
        <w:rPr>
          <w:rtl/>
        </w:rPr>
        <w:t>حقوق</w:t>
      </w:r>
      <w:r w:rsidR="00F32B28">
        <w:rPr>
          <w:rtl/>
        </w:rPr>
        <w:t xml:space="preserve"> </w:t>
      </w:r>
      <w:r w:rsidR="00F32B28" w:rsidRPr="00F32B28">
        <w:rPr>
          <w:rtl/>
        </w:rPr>
        <w:t>المرأة</w:t>
      </w:r>
      <w:r w:rsidR="00F32B28">
        <w:rPr>
          <w:rtl/>
        </w:rPr>
        <w:t xml:space="preserve"> </w:t>
      </w:r>
      <w:r w:rsidR="00F32B28" w:rsidRPr="00F32B28">
        <w:rPr>
          <w:rtl/>
        </w:rPr>
        <w:t>الفلسطينية</w:t>
      </w:r>
      <w:r w:rsidR="00F32B28">
        <w:rPr>
          <w:rtl/>
        </w:rPr>
        <w:t xml:space="preserve"> </w:t>
      </w:r>
      <w:r w:rsidR="00F32B28" w:rsidRPr="00F32B28">
        <w:rPr>
          <w:rtl/>
        </w:rPr>
        <w:t>و</w:t>
      </w:r>
      <w:r w:rsidR="00F32B28" w:rsidRPr="00F32B28">
        <w:rPr>
          <w:rtl/>
          <w:lang w:bidi="ar-LB"/>
        </w:rPr>
        <w:t>تنزيه</w:t>
      </w:r>
      <w:r w:rsidR="00F32B28">
        <w:rPr>
          <w:rtl/>
          <w:lang w:bidi="ar-LB"/>
        </w:rPr>
        <w:t xml:space="preserve"> </w:t>
      </w:r>
      <w:r w:rsidR="00F32B28" w:rsidRPr="00F32B28">
        <w:rPr>
          <w:rtl/>
          <w:lang w:bidi="ar-LB"/>
        </w:rPr>
        <w:t>التشريعات</w:t>
      </w:r>
      <w:r w:rsidR="00F32B28">
        <w:rPr>
          <w:rtl/>
          <w:lang w:bidi="ar-LB"/>
        </w:rPr>
        <w:t xml:space="preserve"> </w:t>
      </w:r>
      <w:r w:rsidR="00F32B28" w:rsidRPr="00F32B28">
        <w:rPr>
          <w:rtl/>
          <w:lang w:bidi="ar-LB"/>
        </w:rPr>
        <w:t>والسياسات</w:t>
      </w:r>
      <w:r w:rsidR="00F32B28">
        <w:rPr>
          <w:rtl/>
          <w:lang w:bidi="ar-LB"/>
        </w:rPr>
        <w:t xml:space="preserve"> </w:t>
      </w:r>
      <w:r w:rsidR="00F32B28" w:rsidRPr="00F32B28">
        <w:rPr>
          <w:rtl/>
          <w:lang w:bidi="ar-LB"/>
        </w:rPr>
        <w:t>السارية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الأحكام</w:t>
      </w:r>
      <w:r w:rsidR="00F32B28">
        <w:rPr>
          <w:rtl/>
          <w:lang w:bidi="ar-LB"/>
        </w:rPr>
        <w:t xml:space="preserve"> </w:t>
      </w:r>
      <w:r w:rsidR="00F32B28" w:rsidRPr="00F32B28">
        <w:rPr>
          <w:rtl/>
          <w:lang w:bidi="ar-LB"/>
        </w:rPr>
        <w:t>التمييزية</w:t>
      </w:r>
      <w:r w:rsidR="00F32B28">
        <w:rPr>
          <w:rtl/>
          <w:lang w:bidi="ar-LB"/>
        </w:rPr>
        <w:t xml:space="preserve"> </w:t>
      </w:r>
      <w:r w:rsidR="00F32B28" w:rsidRPr="00F32B28">
        <w:rPr>
          <w:rtl/>
          <w:lang w:bidi="ar-LB"/>
        </w:rPr>
        <w:t>ضدها</w:t>
      </w:r>
      <w:r w:rsidR="00F32B28">
        <w:rPr>
          <w:rtl/>
          <w:lang w:bidi="ar-LB"/>
        </w:rPr>
        <w:t xml:space="preserve"> </w:t>
      </w:r>
      <w:r w:rsidR="00F32B28" w:rsidRPr="00F32B28">
        <w:rPr>
          <w:rtl/>
        </w:rPr>
        <w:t>ومكافحة</w:t>
      </w:r>
      <w:r w:rsidR="00F32B28">
        <w:rPr>
          <w:rtl/>
        </w:rPr>
        <w:t xml:space="preserve"> </w:t>
      </w:r>
      <w:r w:rsidR="00F32B28" w:rsidRPr="00F32B28">
        <w:rPr>
          <w:rtl/>
        </w:rPr>
        <w:t>التمييز</w:t>
      </w:r>
      <w:r w:rsidR="00F32B28">
        <w:rPr>
          <w:rtl/>
        </w:rPr>
        <w:t xml:space="preserve"> </w:t>
      </w:r>
      <w:r w:rsidR="00F32B28" w:rsidRPr="00F32B28">
        <w:rPr>
          <w:rtl/>
        </w:rPr>
        <w:t>الفعلي</w:t>
      </w:r>
      <w:r w:rsidR="00F32B28">
        <w:rPr>
          <w:rtl/>
        </w:rPr>
        <w:t xml:space="preserve"> </w:t>
      </w:r>
      <w:r w:rsidR="00F32B28" w:rsidRPr="00F32B28">
        <w:rPr>
          <w:rtl/>
        </w:rPr>
        <w:t>في</w:t>
      </w:r>
      <w:r w:rsidR="00F32B28">
        <w:rPr>
          <w:rtl/>
        </w:rPr>
        <w:t xml:space="preserve"> </w:t>
      </w:r>
      <w:r w:rsidR="00F32B28" w:rsidRPr="00F32B28">
        <w:rPr>
          <w:rtl/>
        </w:rPr>
        <w:t>كافة</w:t>
      </w:r>
      <w:r w:rsidR="00F32B28">
        <w:rPr>
          <w:rtl/>
        </w:rPr>
        <w:t xml:space="preserve"> </w:t>
      </w:r>
      <w:r w:rsidR="00F32B28" w:rsidRPr="00F32B28">
        <w:rPr>
          <w:rtl/>
        </w:rPr>
        <w:t>المجالات</w:t>
      </w:r>
      <w:r w:rsidR="00F32B28" w:rsidRPr="00F32B28">
        <w:rPr>
          <w:rtl/>
          <w:lang w:bidi="ar-LB"/>
        </w:rPr>
        <w:t>.</w:t>
      </w:r>
      <w:r w:rsidR="00F32B28">
        <w:rPr>
          <w:rtl/>
          <w:lang w:bidi="ar-LB"/>
        </w:rPr>
        <w:t xml:space="preserve"> </w:t>
      </w:r>
    </w:p>
    <w:p w:rsidR="00F32B28" w:rsidRPr="00F32B28" w:rsidRDefault="00CA17A8" w:rsidP="00CA17A8">
      <w:pPr>
        <w:pStyle w:val="SingleTxt"/>
      </w:pPr>
      <w:r>
        <w:rPr>
          <w:rFonts w:hint="cs"/>
          <w:rtl/>
          <w:lang w:bidi="ar-LB"/>
        </w:rPr>
        <w:t>11 -</w:t>
      </w:r>
      <w:r>
        <w:rPr>
          <w:rFonts w:hint="cs"/>
          <w:rtl/>
          <w:lang w:bidi="ar-LB"/>
        </w:rPr>
        <w:tab/>
      </w:r>
      <w:r w:rsidR="00F32B28" w:rsidRPr="00F32B28">
        <w:rPr>
          <w:rtl/>
          <w:lang w:bidi="ar-LB"/>
        </w:rPr>
        <w:t>أحرزت</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تقدماً</w:t>
      </w:r>
      <w:r w:rsidR="00F32B28">
        <w:rPr>
          <w:rtl/>
          <w:lang w:bidi="ar-LB"/>
        </w:rPr>
        <w:t xml:space="preserve"> </w:t>
      </w:r>
      <w:r w:rsidR="00F32B28" w:rsidRPr="00F32B28">
        <w:rPr>
          <w:rtl/>
          <w:lang w:bidi="ar-LB"/>
        </w:rPr>
        <w:t>محرزاً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توسيع</w:t>
      </w:r>
      <w:r w:rsidR="00F32B28">
        <w:rPr>
          <w:rtl/>
          <w:lang w:bidi="ar-LB"/>
        </w:rPr>
        <w:t xml:space="preserve"> </w:t>
      </w:r>
      <w:r w:rsidR="00F32B28" w:rsidRPr="00F32B28">
        <w:rPr>
          <w:rtl/>
          <w:lang w:bidi="ar-LB"/>
        </w:rPr>
        <w:t>دائرة</w:t>
      </w:r>
      <w:r w:rsidR="00F32B28">
        <w:rPr>
          <w:rtl/>
          <w:lang w:bidi="ar-LB"/>
        </w:rPr>
        <w:t xml:space="preserve"> </w:t>
      </w:r>
      <w:r w:rsidR="00F32B28" w:rsidRPr="00F32B28">
        <w:rPr>
          <w:rtl/>
          <w:lang w:bidi="ar-LB"/>
        </w:rPr>
        <w:t>الاتفاقيات</w:t>
      </w:r>
      <w:r w:rsidR="00F32B28">
        <w:rPr>
          <w:rtl/>
          <w:lang w:bidi="ar-LB"/>
        </w:rPr>
        <w:t xml:space="preserve"> </w:t>
      </w:r>
      <w:r w:rsidR="00F32B28" w:rsidRPr="00F32B28">
        <w:rPr>
          <w:rtl/>
          <w:lang w:bidi="ar-LB"/>
        </w:rPr>
        <w:t>الدولية</w:t>
      </w:r>
      <w:r w:rsidR="00F32B28">
        <w:rPr>
          <w:rtl/>
          <w:lang w:bidi="ar-LB"/>
        </w:rPr>
        <w:t xml:space="preserve"> </w:t>
      </w:r>
      <w:r w:rsidR="00F32B28" w:rsidRPr="00F32B28">
        <w:rPr>
          <w:rtl/>
        </w:rPr>
        <w:t>التي</w:t>
      </w:r>
      <w:r w:rsidR="00F32B28">
        <w:rPr>
          <w:rtl/>
        </w:rPr>
        <w:t xml:space="preserve"> </w:t>
      </w:r>
      <w:r w:rsidR="00F32B28" w:rsidRPr="00F32B28">
        <w:rPr>
          <w:rtl/>
        </w:rPr>
        <w:t>انضمت</w:t>
      </w:r>
      <w:r w:rsidR="00F32B28">
        <w:rPr>
          <w:rtl/>
        </w:rPr>
        <w:t xml:space="preserve"> </w:t>
      </w:r>
      <w:r w:rsidR="00F32B28" w:rsidRPr="00F32B28">
        <w:rPr>
          <w:rtl/>
        </w:rPr>
        <w:t>إليها</w:t>
      </w:r>
      <w:r w:rsidR="00F32B28">
        <w:rPr>
          <w:rtl/>
        </w:rPr>
        <w:t xml:space="preserve"> </w:t>
      </w:r>
      <w:r w:rsidR="00F32B28" w:rsidRPr="00F32B28">
        <w:rPr>
          <w:rtl/>
        </w:rPr>
        <w:t>في</w:t>
      </w:r>
      <w:r w:rsidR="00F32B28">
        <w:rPr>
          <w:rtl/>
        </w:rPr>
        <w:t xml:space="preserve"> </w:t>
      </w:r>
      <w:r w:rsidR="00F32B28" w:rsidRPr="00F32B28">
        <w:rPr>
          <w:rtl/>
        </w:rPr>
        <w:t>الأعوام</w:t>
      </w:r>
      <w:r w:rsidR="00F32B28">
        <w:rPr>
          <w:rtl/>
        </w:rPr>
        <w:t xml:space="preserve"> </w:t>
      </w:r>
      <w:r w:rsidR="00F32B28" w:rsidRPr="00F32B28">
        <w:rPr>
          <w:rtl/>
        </w:rPr>
        <w:t>2014-2016؛</w:t>
      </w:r>
      <w:r w:rsidR="00F32B28">
        <w:rPr>
          <w:rtl/>
        </w:rPr>
        <w:t xml:space="preserve"> </w:t>
      </w:r>
      <w:r w:rsidR="00F32B28" w:rsidRPr="00F32B28">
        <w:rPr>
          <w:rtl/>
        </w:rPr>
        <w:t>حيث</w:t>
      </w:r>
      <w:r w:rsidR="00F32B28">
        <w:rPr>
          <w:rtl/>
        </w:rPr>
        <w:t xml:space="preserve"> </w:t>
      </w:r>
      <w:r w:rsidR="00F32B28" w:rsidRPr="00F32B28">
        <w:rPr>
          <w:rtl/>
        </w:rPr>
        <w:t>انضمت</w:t>
      </w:r>
      <w:r w:rsidR="00F32B28">
        <w:rPr>
          <w:rtl/>
        </w:rPr>
        <w:t xml:space="preserve"> </w:t>
      </w:r>
      <w:r w:rsidR="00F32B28" w:rsidRPr="00F32B28">
        <w:rPr>
          <w:rtl/>
          <w:lang w:bidi="ar-LB"/>
        </w:rPr>
        <w:t>إلى</w:t>
      </w:r>
      <w:r w:rsidR="00F32B28">
        <w:rPr>
          <w:rtl/>
          <w:lang w:bidi="ar-LB"/>
        </w:rPr>
        <w:t xml:space="preserve"> </w:t>
      </w:r>
      <w:r w:rsidR="00F32B28" w:rsidRPr="00F32B28">
        <w:rPr>
          <w:rtl/>
          <w:lang w:bidi="ar-LB"/>
        </w:rPr>
        <w:t>(55)</w:t>
      </w:r>
      <w:r w:rsidR="00F32B28">
        <w:rPr>
          <w:rtl/>
          <w:lang w:bidi="ar-LB"/>
        </w:rPr>
        <w:t xml:space="preserve"> </w:t>
      </w:r>
      <w:r w:rsidR="00F32B28" w:rsidRPr="00F32B28">
        <w:rPr>
          <w:rtl/>
          <w:lang w:bidi="ar-LB"/>
        </w:rPr>
        <w:t>اتفاقية</w:t>
      </w:r>
      <w:r w:rsidR="00F32B28">
        <w:rPr>
          <w:rtl/>
          <w:lang w:bidi="ar-LB"/>
        </w:rPr>
        <w:t xml:space="preserve"> </w:t>
      </w:r>
      <w:r w:rsidR="00F32B28" w:rsidRPr="00F32B28">
        <w:rPr>
          <w:rtl/>
          <w:lang w:bidi="ar-LB"/>
        </w:rPr>
        <w:t>ومعاهدة</w:t>
      </w:r>
      <w:r w:rsidR="00F32B28">
        <w:rPr>
          <w:rtl/>
          <w:lang w:bidi="ar-LB"/>
        </w:rPr>
        <w:t xml:space="preserve"> </w:t>
      </w:r>
      <w:r w:rsidR="00F32B28" w:rsidRPr="00F32B28">
        <w:rPr>
          <w:rtl/>
          <w:lang w:bidi="ar-LB"/>
        </w:rPr>
        <w:t>دولية</w:t>
      </w:r>
      <w:r w:rsidR="00F32B28">
        <w:rPr>
          <w:rtl/>
          <w:lang w:bidi="ar-LB"/>
        </w:rPr>
        <w:t xml:space="preserve"> </w:t>
      </w:r>
      <w:r w:rsidR="00F32B28" w:rsidRPr="00F32B28">
        <w:rPr>
          <w:rtl/>
          <w:lang w:bidi="ar-LB"/>
        </w:rPr>
        <w:t>تجسد</w:t>
      </w:r>
      <w:r w:rsidR="00F32B28">
        <w:rPr>
          <w:rtl/>
          <w:lang w:bidi="ar-LB"/>
        </w:rPr>
        <w:t xml:space="preserve"> </w:t>
      </w:r>
      <w:r w:rsidR="00F32B28" w:rsidRPr="00F32B28">
        <w:rPr>
          <w:rtl/>
          <w:lang w:bidi="ar-LB"/>
        </w:rPr>
        <w:t>فيها</w:t>
      </w:r>
      <w:r w:rsidR="00F32B28">
        <w:rPr>
          <w:rtl/>
          <w:lang w:bidi="ar-LB"/>
        </w:rPr>
        <w:t xml:space="preserve"> </w:t>
      </w:r>
      <w:r w:rsidR="00F32B28" w:rsidRPr="00F32B28">
        <w:rPr>
          <w:rtl/>
          <w:lang w:bidi="ar-LB"/>
        </w:rPr>
        <w:t>مكانة</w:t>
      </w:r>
      <w:r w:rsidR="008D730A">
        <w:rPr>
          <w:rFonts w:hint="cs"/>
          <w:rtl/>
          <w:lang w:bidi="ar-LB"/>
        </w:rPr>
        <w:t xml:space="preserve"> </w:t>
      </w:r>
      <w:r w:rsidR="00F32B28" w:rsidRPr="00F32B28">
        <w:rPr>
          <w:rtl/>
          <w:lang w:bidi="ar-LB"/>
        </w:rPr>
        <w:t>الدولة</w:t>
      </w:r>
      <w:r w:rsidR="00F32B28">
        <w:rPr>
          <w:rtl/>
          <w:lang w:bidi="ar-LB"/>
        </w:rPr>
        <w:t xml:space="preserve"> </w:t>
      </w:r>
      <w:r w:rsidR="00F32B28" w:rsidRPr="00F32B28">
        <w:rPr>
          <w:rtl/>
          <w:lang w:bidi="ar-LB"/>
        </w:rPr>
        <w:t>وتعزز</w:t>
      </w:r>
      <w:r w:rsidR="00F32B28">
        <w:rPr>
          <w:rtl/>
          <w:lang w:bidi="ar-LB"/>
        </w:rPr>
        <w:t xml:space="preserve"> </w:t>
      </w:r>
      <w:r w:rsidR="00F32B28" w:rsidRPr="00F32B28">
        <w:rPr>
          <w:rtl/>
          <w:lang w:bidi="ar-LB"/>
        </w:rPr>
        <w:t>مؤسساتها</w:t>
      </w:r>
      <w:r w:rsidR="00F32B28">
        <w:rPr>
          <w:rtl/>
          <w:lang w:bidi="ar-LB"/>
        </w:rPr>
        <w:t xml:space="preserve"> </w:t>
      </w:r>
      <w:r w:rsidR="00F32B28" w:rsidRPr="00F32B28">
        <w:rPr>
          <w:rtl/>
          <w:lang w:bidi="ar-LB"/>
        </w:rPr>
        <w:t>إقليمياً</w:t>
      </w:r>
      <w:r w:rsidR="00F32B28">
        <w:rPr>
          <w:rtl/>
          <w:lang w:bidi="ar-LB"/>
        </w:rPr>
        <w:t xml:space="preserve"> </w:t>
      </w:r>
      <w:r w:rsidR="00F32B28" w:rsidRPr="00F32B28">
        <w:rPr>
          <w:rtl/>
          <w:lang w:bidi="ar-LB"/>
        </w:rPr>
        <w:t>ودولياً،</w:t>
      </w:r>
      <w:r w:rsidR="00F32B28">
        <w:rPr>
          <w:rtl/>
          <w:lang w:bidi="ar-LB"/>
        </w:rPr>
        <w:t xml:space="preserve"> </w:t>
      </w:r>
      <w:r w:rsidR="00F32B28" w:rsidRPr="00F32B28">
        <w:rPr>
          <w:rtl/>
          <w:lang w:bidi="ar-LB"/>
        </w:rPr>
        <w:t>وتسهم</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توفير</w:t>
      </w:r>
      <w:r w:rsidR="00F32B28">
        <w:rPr>
          <w:rtl/>
          <w:lang w:bidi="ar-LB"/>
        </w:rPr>
        <w:t xml:space="preserve"> </w:t>
      </w:r>
      <w:r w:rsidR="00F32B28" w:rsidRPr="00F32B28">
        <w:rPr>
          <w:rtl/>
          <w:lang w:bidi="ar-LB"/>
        </w:rPr>
        <w:t>الحماية</w:t>
      </w:r>
      <w:r w:rsidR="00F32B28">
        <w:rPr>
          <w:rtl/>
          <w:lang w:bidi="ar-LB"/>
        </w:rPr>
        <w:t xml:space="preserve"> </w:t>
      </w:r>
      <w:r w:rsidR="00F32B28" w:rsidRPr="00F32B28">
        <w:rPr>
          <w:rtl/>
          <w:lang w:bidi="ar-LB"/>
        </w:rPr>
        <w:t>الدولية</w:t>
      </w:r>
      <w:r w:rsidR="00F32B28">
        <w:rPr>
          <w:rtl/>
          <w:lang w:bidi="ar-LB"/>
        </w:rPr>
        <w:t xml:space="preserve"> </w:t>
      </w:r>
      <w:r w:rsidR="00F32B28" w:rsidRPr="00F32B28">
        <w:rPr>
          <w:rtl/>
          <w:lang w:bidi="ar-LB"/>
        </w:rPr>
        <w:t>للشعب</w:t>
      </w:r>
      <w:r w:rsidR="00F32B28">
        <w:rPr>
          <w:rtl/>
          <w:lang w:bidi="ar-LB"/>
        </w:rPr>
        <w:t xml:space="preserve"> </w:t>
      </w:r>
      <w:r w:rsidR="00F32B28" w:rsidRPr="00F32B28">
        <w:rPr>
          <w:rtl/>
          <w:lang w:bidi="ar-LB"/>
        </w:rPr>
        <w:t>الفلسطيني</w:t>
      </w:r>
      <w:r w:rsidR="00F32B28">
        <w:rPr>
          <w:rtl/>
          <w:lang w:bidi="ar-LB"/>
        </w:rPr>
        <w:t xml:space="preserve"> </w:t>
      </w:r>
      <w:r w:rsidR="00F32B28" w:rsidRPr="00F32B28">
        <w:rPr>
          <w:rtl/>
          <w:lang w:bidi="ar-LB"/>
        </w:rPr>
        <w:t>تحت</w:t>
      </w:r>
      <w:r w:rsidR="00F32B28">
        <w:rPr>
          <w:rtl/>
          <w:lang w:bidi="ar-LB"/>
        </w:rPr>
        <w:t xml:space="preserve"> </w:t>
      </w:r>
      <w:r w:rsidR="00F32B28" w:rsidRPr="00F32B28">
        <w:rPr>
          <w:rtl/>
          <w:lang w:bidi="ar-LB"/>
        </w:rPr>
        <w:t>الاحتلال</w:t>
      </w:r>
      <w:r w:rsidR="00F32B28">
        <w:rPr>
          <w:rtl/>
          <w:lang w:bidi="ar-LB"/>
        </w:rPr>
        <w:t xml:space="preserve"> </w:t>
      </w:r>
      <w:r w:rsidR="00F32B28" w:rsidRPr="00F32B28">
        <w:rPr>
          <w:rtl/>
          <w:lang w:bidi="ar-LB"/>
        </w:rPr>
        <w:t>الإسرائيلي،</w:t>
      </w:r>
      <w:r w:rsidR="00F32B28">
        <w:rPr>
          <w:rtl/>
          <w:lang w:bidi="ar-LB"/>
        </w:rPr>
        <w:t xml:space="preserve"> </w:t>
      </w:r>
      <w:r w:rsidR="00F32B28" w:rsidRPr="00F32B28">
        <w:rPr>
          <w:rtl/>
          <w:lang w:bidi="ar-LB"/>
        </w:rPr>
        <w:lastRenderedPageBreak/>
        <w:t>وتؤكد</w:t>
      </w:r>
      <w:r w:rsidR="00F32B28">
        <w:rPr>
          <w:rtl/>
          <w:lang w:bidi="ar-LB"/>
        </w:rPr>
        <w:t xml:space="preserve"> </w:t>
      </w:r>
      <w:r w:rsidR="00F32B28" w:rsidRPr="00F32B28">
        <w:rPr>
          <w:rtl/>
          <w:lang w:bidi="ar-LB"/>
        </w:rPr>
        <w:t>التزام</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بالمعايير</w:t>
      </w:r>
      <w:r w:rsidR="00F32B28">
        <w:rPr>
          <w:rtl/>
          <w:lang w:bidi="ar-LB"/>
        </w:rPr>
        <w:t xml:space="preserve"> </w:t>
      </w:r>
      <w:r w:rsidR="00F32B28" w:rsidRPr="00F32B28">
        <w:rPr>
          <w:rtl/>
          <w:lang w:bidi="ar-LB"/>
        </w:rPr>
        <w:t>الدولية</w:t>
      </w:r>
      <w:r w:rsidR="00F32B28">
        <w:rPr>
          <w:rtl/>
          <w:lang w:bidi="ar-LB"/>
        </w:rPr>
        <w:t xml:space="preserve"> </w:t>
      </w:r>
      <w:r w:rsidR="00F32B28" w:rsidRPr="00F32B28">
        <w:rPr>
          <w:rtl/>
          <w:lang w:bidi="ar-LB"/>
        </w:rPr>
        <w:t>لحقوق</w:t>
      </w:r>
      <w:r w:rsidR="00F32B28">
        <w:rPr>
          <w:rtl/>
          <w:lang w:bidi="ar-LB"/>
        </w:rPr>
        <w:t xml:space="preserve"> </w:t>
      </w:r>
      <w:r w:rsidR="00F32B28" w:rsidRPr="00F32B28">
        <w:rPr>
          <w:rtl/>
          <w:lang w:bidi="ar-LB"/>
        </w:rPr>
        <w:t>الإنسان</w:t>
      </w:r>
      <w:r w:rsidR="00F32B28">
        <w:rPr>
          <w:rtl/>
          <w:lang w:bidi="ar-LB"/>
        </w:rPr>
        <w:t xml:space="preserve"> </w:t>
      </w:r>
      <w:r w:rsidR="00F32B28" w:rsidRPr="00F32B28">
        <w:rPr>
          <w:rtl/>
          <w:lang w:bidi="ar-LB"/>
        </w:rPr>
        <w:t>وبالديموقراطية</w:t>
      </w:r>
      <w:r w:rsidR="00F32B28">
        <w:rPr>
          <w:rtl/>
          <w:lang w:bidi="ar-LB"/>
        </w:rPr>
        <w:t xml:space="preserve"> </w:t>
      </w:r>
      <w:r w:rsidR="00F32B28" w:rsidRPr="00F32B28">
        <w:rPr>
          <w:rtl/>
          <w:lang w:bidi="ar-LB"/>
        </w:rPr>
        <w:t>والحريات</w:t>
      </w:r>
      <w:r w:rsidR="00F32B28">
        <w:rPr>
          <w:rtl/>
          <w:lang w:bidi="ar-LB"/>
        </w:rPr>
        <w:t xml:space="preserve"> </w:t>
      </w:r>
      <w:r w:rsidR="00F32B28" w:rsidRPr="00F32B28">
        <w:rPr>
          <w:rtl/>
          <w:lang w:bidi="ar-LB"/>
        </w:rPr>
        <w:t>الخاصة</w:t>
      </w:r>
      <w:r w:rsidR="00F32B28">
        <w:rPr>
          <w:rtl/>
          <w:lang w:bidi="ar-LB"/>
        </w:rPr>
        <w:t xml:space="preserve"> </w:t>
      </w:r>
      <w:r w:rsidR="00F32B28" w:rsidRPr="00F32B28">
        <w:rPr>
          <w:rtl/>
          <w:lang w:bidi="ar-LB"/>
        </w:rPr>
        <w:t>والعامة</w:t>
      </w:r>
      <w:r w:rsidR="00F32B28">
        <w:rPr>
          <w:rtl/>
          <w:lang w:bidi="ar-LB"/>
        </w:rPr>
        <w:t xml:space="preserve"> </w:t>
      </w:r>
      <w:r w:rsidR="00F32B28" w:rsidRPr="00F32B28">
        <w:rPr>
          <w:rtl/>
          <w:lang w:bidi="ar-LB"/>
        </w:rPr>
        <w:t>والالتزام</w:t>
      </w:r>
      <w:r w:rsidR="00F32B28">
        <w:rPr>
          <w:rtl/>
          <w:lang w:bidi="ar-LB"/>
        </w:rPr>
        <w:t xml:space="preserve"> </w:t>
      </w:r>
      <w:r w:rsidR="00F32B28" w:rsidRPr="00F32B28">
        <w:rPr>
          <w:rtl/>
          <w:lang w:bidi="ar-LB"/>
        </w:rPr>
        <w:t>بالتعددية</w:t>
      </w:r>
      <w:r w:rsidR="00F32B28">
        <w:rPr>
          <w:rtl/>
          <w:lang w:bidi="ar-LB"/>
        </w:rPr>
        <w:t xml:space="preserve"> </w:t>
      </w:r>
      <w:r w:rsidR="00F32B28" w:rsidRPr="00F32B28">
        <w:rPr>
          <w:rtl/>
          <w:lang w:bidi="ar-LB"/>
        </w:rPr>
        <w:t>والشفافية</w:t>
      </w:r>
      <w:r w:rsidR="00F32B28">
        <w:rPr>
          <w:rtl/>
          <w:lang w:bidi="ar-LB"/>
        </w:rPr>
        <w:t xml:space="preserve"> </w:t>
      </w:r>
      <w:r w:rsidR="00F32B28" w:rsidRPr="00F32B28">
        <w:rPr>
          <w:rtl/>
          <w:lang w:bidi="ar-LB"/>
        </w:rPr>
        <w:t>والمحاسبة</w:t>
      </w:r>
      <w:r w:rsidR="00F32B28">
        <w:rPr>
          <w:rtl/>
          <w:lang w:bidi="ar-LB"/>
        </w:rPr>
        <w:t xml:space="preserve"> </w:t>
      </w:r>
      <w:r w:rsidR="00F32B28" w:rsidRPr="00F32B28">
        <w:rPr>
          <w:rtl/>
          <w:lang w:bidi="ar-LB"/>
        </w:rPr>
        <w:t>والمساءلة.</w:t>
      </w:r>
      <w:r w:rsidR="008D730A">
        <w:rPr>
          <w:rFonts w:hint="cs"/>
          <w:rtl/>
          <w:lang w:bidi="ar-LB"/>
        </w:rPr>
        <w:t xml:space="preserve"> </w:t>
      </w:r>
      <w:r w:rsidR="00F32B28" w:rsidRPr="00F32B28">
        <w:rPr>
          <w:rtl/>
          <w:lang w:bidi="ar-LB"/>
        </w:rPr>
        <w:t>وتدرس</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حالياً</w:t>
      </w:r>
      <w:r w:rsidR="00F32B28">
        <w:rPr>
          <w:rtl/>
          <w:lang w:bidi="ar-LB"/>
        </w:rPr>
        <w:t xml:space="preserve"> </w:t>
      </w:r>
      <w:r w:rsidR="00F32B28" w:rsidRPr="00F32B28">
        <w:rPr>
          <w:rtl/>
          <w:lang w:bidi="ar-LB"/>
        </w:rPr>
        <w:t>مسألة</w:t>
      </w:r>
      <w:r w:rsidR="00F32B28">
        <w:rPr>
          <w:rtl/>
          <w:lang w:bidi="ar-LB"/>
        </w:rPr>
        <w:t xml:space="preserve"> </w:t>
      </w:r>
      <w:r w:rsidR="00F32B28" w:rsidRPr="00F32B28">
        <w:rPr>
          <w:rtl/>
          <w:lang w:bidi="ar-LB"/>
        </w:rPr>
        <w:t>الانضمام</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البروتوكول</w:t>
      </w:r>
      <w:r w:rsidR="00F32B28">
        <w:rPr>
          <w:rtl/>
          <w:lang w:bidi="ar-LB"/>
        </w:rPr>
        <w:t xml:space="preserve"> </w:t>
      </w:r>
      <w:r w:rsidR="00F32B28" w:rsidRPr="00F32B28">
        <w:rPr>
          <w:rtl/>
          <w:lang w:bidi="ar-LB"/>
        </w:rPr>
        <w:t>الاختياري</w:t>
      </w:r>
      <w:r w:rsidR="00F32B28">
        <w:rPr>
          <w:rtl/>
          <w:lang w:bidi="ar-LB"/>
        </w:rPr>
        <w:t xml:space="preserve"> </w:t>
      </w:r>
      <w:r w:rsidR="00F32B28" w:rsidRPr="00F32B28">
        <w:rPr>
          <w:rtl/>
          <w:lang w:bidi="ar-LB"/>
        </w:rPr>
        <w:t>الملحق</w:t>
      </w:r>
      <w:r w:rsidR="00F32B28">
        <w:rPr>
          <w:rtl/>
          <w:lang w:bidi="ar-LB"/>
        </w:rPr>
        <w:t xml:space="preserve"> </w:t>
      </w:r>
      <w:r w:rsidR="00F32B28" w:rsidRPr="00F32B28">
        <w:rPr>
          <w:rtl/>
          <w:lang w:bidi="ar-LB"/>
        </w:rPr>
        <w:t>بالاتفاقية،</w:t>
      </w:r>
      <w:r w:rsidR="00F32B28">
        <w:rPr>
          <w:rtl/>
          <w:lang w:bidi="ar-LB"/>
        </w:rPr>
        <w:t xml:space="preserve"> </w:t>
      </w:r>
      <w:r w:rsidR="00F32B28" w:rsidRPr="00F32B28">
        <w:rPr>
          <w:rtl/>
          <w:lang w:bidi="ar-LB"/>
        </w:rPr>
        <w:t>إلا</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أي</w:t>
      </w:r>
      <w:r w:rsidR="00F32B28">
        <w:rPr>
          <w:rtl/>
          <w:lang w:bidi="ar-LB"/>
        </w:rPr>
        <w:t xml:space="preserve"> </w:t>
      </w:r>
      <w:r w:rsidR="00F32B28" w:rsidRPr="00F32B28">
        <w:rPr>
          <w:rtl/>
          <w:lang w:bidi="ar-LB"/>
        </w:rPr>
        <w:t>قرار</w:t>
      </w:r>
      <w:r w:rsidR="00F32B28">
        <w:rPr>
          <w:rtl/>
          <w:lang w:bidi="ar-LB"/>
        </w:rPr>
        <w:t xml:space="preserve"> </w:t>
      </w:r>
      <w:r w:rsidR="00F32B28" w:rsidRPr="00F32B28">
        <w:rPr>
          <w:rtl/>
          <w:lang w:bidi="ar-LB"/>
        </w:rPr>
        <w:t>لم</w:t>
      </w:r>
      <w:r w:rsidR="00F32B28">
        <w:rPr>
          <w:rtl/>
          <w:lang w:bidi="ar-LB"/>
        </w:rPr>
        <w:t xml:space="preserve"> </w:t>
      </w:r>
      <w:r w:rsidR="00F32B28" w:rsidRPr="00F32B28">
        <w:rPr>
          <w:rtl/>
          <w:lang w:bidi="ar-LB"/>
        </w:rPr>
        <w:t>يتخذ</w:t>
      </w:r>
      <w:r w:rsidR="00F32B28">
        <w:rPr>
          <w:rtl/>
          <w:lang w:bidi="ar-LB"/>
        </w:rPr>
        <w:t xml:space="preserve"> </w:t>
      </w:r>
      <w:r w:rsidR="00F32B28" w:rsidRPr="00F32B28">
        <w:rPr>
          <w:rtl/>
          <w:lang w:bidi="ar-LB"/>
        </w:rPr>
        <w:t>بعد</w:t>
      </w:r>
      <w:r w:rsidR="00F32B28">
        <w:rPr>
          <w:rtl/>
          <w:lang w:bidi="ar-LB"/>
        </w:rPr>
        <w:t xml:space="preserve"> </w:t>
      </w:r>
      <w:r w:rsidR="00F32B28" w:rsidRPr="00F32B28">
        <w:rPr>
          <w:rtl/>
          <w:lang w:bidi="ar-LB"/>
        </w:rPr>
        <w:t>بهذا</w:t>
      </w:r>
      <w:r w:rsidR="00F32B28">
        <w:rPr>
          <w:rtl/>
          <w:lang w:bidi="ar-LB"/>
        </w:rPr>
        <w:t xml:space="preserve"> </w:t>
      </w:r>
      <w:r w:rsidR="00F32B28" w:rsidRPr="00F32B28">
        <w:rPr>
          <w:rtl/>
          <w:lang w:bidi="ar-LB"/>
        </w:rPr>
        <w:t>الشأن.</w:t>
      </w:r>
    </w:p>
    <w:p w:rsidR="00F32B28" w:rsidRPr="00F32B28" w:rsidRDefault="00CA17A8" w:rsidP="00CA17A8">
      <w:pPr>
        <w:pStyle w:val="SingleTxt"/>
        <w:rPr>
          <w:rtl/>
          <w:lang w:bidi="ar-LB"/>
        </w:rPr>
      </w:pPr>
      <w:r>
        <w:rPr>
          <w:rFonts w:hint="cs"/>
          <w:rtl/>
        </w:rPr>
        <w:t>12 -</w:t>
      </w:r>
      <w:r>
        <w:rPr>
          <w:rFonts w:hint="cs"/>
          <w:rtl/>
        </w:rPr>
        <w:tab/>
      </w:r>
      <w:r w:rsidR="00F32B28" w:rsidRPr="00F32B28">
        <w:rPr>
          <w:rtl/>
        </w:rPr>
        <w:t>وعلى</w:t>
      </w:r>
      <w:r w:rsidR="00F32B28">
        <w:rPr>
          <w:rtl/>
        </w:rPr>
        <w:t xml:space="preserve"> </w:t>
      </w:r>
      <w:r w:rsidR="00F32B28" w:rsidRPr="00F32B28">
        <w:rPr>
          <w:rtl/>
        </w:rPr>
        <w:t>المستوى</w:t>
      </w:r>
      <w:r w:rsidR="00F32B28">
        <w:rPr>
          <w:rtl/>
        </w:rPr>
        <w:t xml:space="preserve"> </w:t>
      </w:r>
      <w:r w:rsidR="00F32B28" w:rsidRPr="00F32B28">
        <w:rPr>
          <w:rtl/>
        </w:rPr>
        <w:t>الإقليمي،</w:t>
      </w:r>
      <w:r w:rsidR="00F32B28">
        <w:rPr>
          <w:rtl/>
        </w:rPr>
        <w:t xml:space="preserve"> </w:t>
      </w:r>
      <w:r w:rsidR="00F32B28" w:rsidRPr="00F32B28">
        <w:rPr>
          <w:rtl/>
        </w:rPr>
        <w:t>انضمت</w:t>
      </w:r>
      <w:r w:rsidR="00F32B28">
        <w:rPr>
          <w:rtl/>
        </w:rPr>
        <w:t xml:space="preserve"> </w:t>
      </w:r>
      <w:r w:rsidR="00F32B28" w:rsidRPr="00F32B28">
        <w:rPr>
          <w:rtl/>
        </w:rPr>
        <w:t>فلسطين</w:t>
      </w:r>
      <w:r w:rsidR="00F32B28">
        <w:rPr>
          <w:rtl/>
        </w:rPr>
        <w:t xml:space="preserve"> </w:t>
      </w:r>
      <w:r w:rsidR="00F32B28" w:rsidRPr="00F32B28">
        <w:rPr>
          <w:rtl/>
        </w:rPr>
        <w:t>إلى</w:t>
      </w:r>
      <w:r w:rsidR="00F32B28">
        <w:rPr>
          <w:rtl/>
        </w:rPr>
        <w:t xml:space="preserve"> </w:t>
      </w:r>
      <w:r w:rsidR="00F32B28" w:rsidRPr="00F32B28">
        <w:rPr>
          <w:rtl/>
        </w:rPr>
        <w:t>منظمة</w:t>
      </w:r>
      <w:r w:rsidR="00F32B28">
        <w:rPr>
          <w:rtl/>
        </w:rPr>
        <w:t xml:space="preserve"> </w:t>
      </w:r>
      <w:r w:rsidR="00F32B28" w:rsidRPr="00F32B28">
        <w:rPr>
          <w:rtl/>
        </w:rPr>
        <w:t>المرأة</w:t>
      </w:r>
      <w:r w:rsidR="00F32B28">
        <w:rPr>
          <w:rtl/>
        </w:rPr>
        <w:t xml:space="preserve"> </w:t>
      </w:r>
      <w:r w:rsidR="00F32B28" w:rsidRPr="00F32B28">
        <w:rPr>
          <w:rtl/>
        </w:rPr>
        <w:t>العربية</w:t>
      </w:r>
      <w:r w:rsidR="00F32B28">
        <w:rPr>
          <w:rtl/>
        </w:rPr>
        <w:t xml:space="preserve"> </w:t>
      </w:r>
      <w:r w:rsidR="00F32B28" w:rsidRPr="00F32B28">
        <w:rPr>
          <w:rtl/>
        </w:rPr>
        <w:t>التابعة</w:t>
      </w:r>
      <w:r w:rsidR="00F32B28">
        <w:rPr>
          <w:rtl/>
        </w:rPr>
        <w:t xml:space="preserve"> </w:t>
      </w:r>
      <w:r w:rsidR="00F32B28" w:rsidRPr="00F32B28">
        <w:rPr>
          <w:rtl/>
        </w:rPr>
        <w:t>لجامعة</w:t>
      </w:r>
      <w:r w:rsidR="00F32B28">
        <w:rPr>
          <w:rtl/>
        </w:rPr>
        <w:t xml:space="preserve"> </w:t>
      </w:r>
      <w:r w:rsidR="00F32B28" w:rsidRPr="00F32B28">
        <w:rPr>
          <w:rtl/>
        </w:rPr>
        <w:t>الدول</w:t>
      </w:r>
      <w:r w:rsidR="00F32B28">
        <w:rPr>
          <w:rtl/>
        </w:rPr>
        <w:t xml:space="preserve"> </w:t>
      </w:r>
      <w:r w:rsidR="00F32B28" w:rsidRPr="00F32B28">
        <w:rPr>
          <w:rtl/>
        </w:rPr>
        <w:t>العربية</w:t>
      </w:r>
      <w:r w:rsidR="00F32B28">
        <w:rPr>
          <w:rtl/>
        </w:rPr>
        <w:t xml:space="preserve"> </w:t>
      </w:r>
      <w:r w:rsidR="00F32B28" w:rsidRPr="00F32B28">
        <w:rPr>
          <w:rtl/>
        </w:rPr>
        <w:t>في</w:t>
      </w:r>
      <w:r w:rsidR="00F32B28">
        <w:rPr>
          <w:rtl/>
        </w:rPr>
        <w:t xml:space="preserve"> </w:t>
      </w:r>
      <w:r w:rsidR="00F32B28" w:rsidRPr="00F32B28">
        <w:rPr>
          <w:rtl/>
        </w:rPr>
        <w:t>الثامن</w:t>
      </w:r>
      <w:r w:rsidR="00F32B28">
        <w:rPr>
          <w:rtl/>
        </w:rPr>
        <w:t xml:space="preserve"> </w:t>
      </w:r>
      <w:r w:rsidR="00F32B28" w:rsidRPr="00F32B28">
        <w:rPr>
          <w:rtl/>
        </w:rPr>
        <w:t>عشر</w:t>
      </w:r>
      <w:r w:rsidR="00F32B28">
        <w:rPr>
          <w:rtl/>
        </w:rPr>
        <w:t xml:space="preserve"> </w:t>
      </w:r>
      <w:r w:rsidR="00F32B28" w:rsidRPr="00F32B28">
        <w:rPr>
          <w:rtl/>
        </w:rPr>
        <w:t>من</w:t>
      </w:r>
      <w:r w:rsidR="00F32B28">
        <w:rPr>
          <w:rtl/>
        </w:rPr>
        <w:t xml:space="preserve"> </w:t>
      </w:r>
      <w:r w:rsidR="00F32B28" w:rsidRPr="00F32B28">
        <w:rPr>
          <w:rtl/>
        </w:rPr>
        <w:t>آذار</w:t>
      </w:r>
      <w:r w:rsidR="004B33D7">
        <w:rPr>
          <w:rFonts w:hint="cs"/>
          <w:rtl/>
        </w:rPr>
        <w:t>/مارس</w:t>
      </w:r>
      <w:r w:rsidR="00F32B28">
        <w:rPr>
          <w:rtl/>
        </w:rPr>
        <w:t xml:space="preserve"> </w:t>
      </w:r>
      <w:r w:rsidR="00F32B28" w:rsidRPr="00F32B28">
        <w:rPr>
          <w:rtl/>
        </w:rPr>
        <w:t>2003.</w:t>
      </w:r>
      <w:r w:rsidR="00F32B28">
        <w:rPr>
          <w:rtl/>
        </w:rPr>
        <w:t xml:space="preserve"> </w:t>
      </w:r>
      <w:r w:rsidR="00F32B28" w:rsidRPr="00F32B28">
        <w:rPr>
          <w:rtl/>
        </w:rPr>
        <w:t>كما</w:t>
      </w:r>
      <w:r w:rsidR="00F32B28">
        <w:rPr>
          <w:rtl/>
        </w:rPr>
        <w:t xml:space="preserve"> </w:t>
      </w:r>
      <w:r w:rsidR="00F32B28" w:rsidRPr="00F32B28">
        <w:rPr>
          <w:rtl/>
        </w:rPr>
        <w:t>صادقت</w:t>
      </w:r>
      <w:r w:rsidR="00F32B28">
        <w:rPr>
          <w:rtl/>
        </w:rPr>
        <w:t xml:space="preserve"> </w:t>
      </w:r>
      <w:r w:rsidR="00F32B28" w:rsidRPr="00F32B28">
        <w:rPr>
          <w:rtl/>
        </w:rPr>
        <w:t>فلسطين</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2013</w:t>
      </w:r>
      <w:r w:rsidR="00F32B28">
        <w:rPr>
          <w:rtl/>
        </w:rPr>
        <w:t xml:space="preserve"> </w:t>
      </w:r>
      <w:r w:rsidR="00F32B28" w:rsidRPr="00F32B28">
        <w:rPr>
          <w:rtl/>
        </w:rPr>
        <w:t>على</w:t>
      </w:r>
      <w:r w:rsidR="00F32B28">
        <w:rPr>
          <w:rtl/>
        </w:rPr>
        <w:t xml:space="preserve"> </w:t>
      </w:r>
      <w:r w:rsidR="00F32B28" w:rsidRPr="00F32B28">
        <w:rPr>
          <w:rtl/>
        </w:rPr>
        <w:t>النظام</w:t>
      </w:r>
      <w:r w:rsidR="00F32B28">
        <w:rPr>
          <w:rtl/>
        </w:rPr>
        <w:t xml:space="preserve"> </w:t>
      </w:r>
      <w:r w:rsidR="00F32B28" w:rsidRPr="00F32B28">
        <w:rPr>
          <w:rtl/>
        </w:rPr>
        <w:t>الأساسي</w:t>
      </w:r>
      <w:r w:rsidR="00F32B28">
        <w:rPr>
          <w:rtl/>
        </w:rPr>
        <w:t xml:space="preserve"> </w:t>
      </w:r>
      <w:r w:rsidR="00F32B28" w:rsidRPr="00F32B28">
        <w:rPr>
          <w:rtl/>
        </w:rPr>
        <w:t>لمنظمة</w:t>
      </w:r>
      <w:r w:rsidR="00F32B28">
        <w:rPr>
          <w:rtl/>
        </w:rPr>
        <w:t xml:space="preserve"> </w:t>
      </w:r>
      <w:r w:rsidR="00F32B28" w:rsidRPr="00F32B28">
        <w:rPr>
          <w:rtl/>
        </w:rPr>
        <w:t>تنمية</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الدول</w:t>
      </w:r>
      <w:r w:rsidR="00F32B28">
        <w:rPr>
          <w:rtl/>
        </w:rPr>
        <w:t xml:space="preserve"> </w:t>
      </w:r>
      <w:r w:rsidR="00F32B28" w:rsidRPr="00F32B28">
        <w:rPr>
          <w:rtl/>
        </w:rPr>
        <w:t>الأعضاء</w:t>
      </w:r>
      <w:r w:rsidR="00F32B28">
        <w:rPr>
          <w:rtl/>
        </w:rPr>
        <w:t xml:space="preserve"> </w:t>
      </w:r>
      <w:r w:rsidR="00F32B28" w:rsidRPr="00F32B28">
        <w:rPr>
          <w:rtl/>
        </w:rPr>
        <w:t>بمنظمة</w:t>
      </w:r>
      <w:r w:rsidR="00F32B28">
        <w:rPr>
          <w:rtl/>
        </w:rPr>
        <w:t xml:space="preserve"> </w:t>
      </w:r>
      <w:r w:rsidR="00F32B28" w:rsidRPr="00F32B28">
        <w:rPr>
          <w:rtl/>
        </w:rPr>
        <w:t>المؤتمر</w:t>
      </w:r>
      <w:r w:rsidR="00F32B28">
        <w:rPr>
          <w:rtl/>
        </w:rPr>
        <w:t xml:space="preserve"> </w:t>
      </w:r>
      <w:r w:rsidR="00F32B28" w:rsidRPr="00F32B28">
        <w:rPr>
          <w:rtl/>
        </w:rPr>
        <w:t>الإسلامي.</w:t>
      </w:r>
      <w:r w:rsidR="00F32B28">
        <w:rPr>
          <w:rtl/>
        </w:rPr>
        <w:t xml:space="preserve"> </w:t>
      </w:r>
    </w:p>
    <w:p w:rsidR="00F32B28" w:rsidRPr="00F32B28" w:rsidRDefault="00CA17A8" w:rsidP="00CA17A8">
      <w:pPr>
        <w:pStyle w:val="SingleTxt"/>
      </w:pPr>
      <w:r>
        <w:rPr>
          <w:rFonts w:hint="cs"/>
          <w:rtl/>
          <w:lang w:bidi="ar-SY"/>
        </w:rPr>
        <w:t>13 -</w:t>
      </w:r>
      <w:r>
        <w:rPr>
          <w:rFonts w:hint="cs"/>
          <w:rtl/>
          <w:lang w:bidi="ar-SY"/>
        </w:rPr>
        <w:tab/>
      </w:r>
      <w:r w:rsidR="00F32B28" w:rsidRPr="00F32B28">
        <w:rPr>
          <w:rtl/>
          <w:lang w:bidi="ar-SY"/>
        </w:rPr>
        <w:t>تبنت</w:t>
      </w:r>
      <w:r w:rsidR="00F32B28">
        <w:rPr>
          <w:rtl/>
          <w:lang w:bidi="ar-SY"/>
        </w:rPr>
        <w:t xml:space="preserve"> </w:t>
      </w:r>
      <w:r w:rsidR="00F32B28" w:rsidRPr="00F32B28">
        <w:rPr>
          <w:rtl/>
          <w:lang w:bidi="ar-SY"/>
        </w:rPr>
        <w:t>الحكومة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مختلف</w:t>
      </w:r>
      <w:r w:rsidR="00F32B28">
        <w:rPr>
          <w:rtl/>
          <w:lang w:bidi="ar-SY"/>
        </w:rPr>
        <w:t xml:space="preserve"> </w:t>
      </w:r>
      <w:r w:rsidR="00F32B28" w:rsidRPr="00F32B28">
        <w:rPr>
          <w:rtl/>
          <w:lang w:bidi="ar-SY"/>
        </w:rPr>
        <w:t>السياسات</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تلتزم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خلالها</w:t>
      </w:r>
      <w:r w:rsidR="00F32B28">
        <w:rPr>
          <w:rtl/>
          <w:lang w:bidi="ar-SY"/>
        </w:rPr>
        <w:t xml:space="preserve"> </w:t>
      </w:r>
      <w:r w:rsidR="00F32B28" w:rsidRPr="00F32B28">
        <w:rPr>
          <w:rtl/>
          <w:lang w:bidi="ar-SY"/>
        </w:rPr>
        <w:t>بالشفافية</w:t>
      </w:r>
      <w:r w:rsidR="00F32B28">
        <w:rPr>
          <w:rtl/>
          <w:lang w:bidi="ar-SY"/>
        </w:rPr>
        <w:t xml:space="preserve"> </w:t>
      </w:r>
      <w:r w:rsidR="00F32B28" w:rsidRPr="00F32B28">
        <w:rPr>
          <w:rtl/>
          <w:lang w:bidi="ar-SY"/>
        </w:rPr>
        <w:t>والمحاسبة</w:t>
      </w:r>
      <w:r w:rsidR="00F32B28">
        <w:rPr>
          <w:rtl/>
          <w:lang w:bidi="ar-SY"/>
        </w:rPr>
        <w:t xml:space="preserve"> </w:t>
      </w:r>
      <w:r w:rsidR="00F32B28" w:rsidRPr="00F32B28">
        <w:rPr>
          <w:rtl/>
          <w:lang w:bidi="ar-SY"/>
        </w:rPr>
        <w:t>واحترام</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مقدمتها</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أهمها،</w:t>
      </w:r>
      <w:r w:rsidR="00F32B28">
        <w:rPr>
          <w:rtl/>
          <w:lang w:bidi="ar-SY"/>
        </w:rPr>
        <w:t xml:space="preserve"> </w:t>
      </w:r>
      <w:r w:rsidR="00F32B28" w:rsidRPr="00F32B28">
        <w:rPr>
          <w:rtl/>
          <w:lang w:bidi="ar-SY"/>
        </w:rPr>
        <w:t>خطة</w:t>
      </w:r>
      <w:r w:rsidR="00F32B28">
        <w:rPr>
          <w:rtl/>
          <w:lang w:bidi="ar-SY"/>
        </w:rPr>
        <w:t xml:space="preserve"> </w:t>
      </w:r>
      <w:r w:rsidR="00F32B28" w:rsidRPr="00F32B28">
        <w:rPr>
          <w:rtl/>
          <w:lang w:bidi="ar-SY"/>
        </w:rPr>
        <w:t>التنمية</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لدولة</w:t>
      </w:r>
      <w:r w:rsidR="00F32B28">
        <w:rPr>
          <w:rtl/>
          <w:lang w:bidi="ar-SY"/>
        </w:rPr>
        <w:t xml:space="preserve"> </w:t>
      </w:r>
      <w:r w:rsidR="00F32B28" w:rsidRPr="00F32B28">
        <w:rPr>
          <w:rtl/>
          <w:lang w:bidi="ar-SY"/>
        </w:rPr>
        <w:t>فلسطين</w:t>
      </w:r>
      <w:r w:rsidR="001D253C">
        <w:rPr>
          <w:rFonts w:hint="cs"/>
          <w:rtl/>
          <w:lang w:bidi="ar-SY"/>
        </w:rPr>
        <w:t xml:space="preserve"> </w:t>
      </w:r>
      <w:r w:rsidR="001D253C">
        <w:rPr>
          <w:rFonts w:hint="eastAsia"/>
          <w:rtl/>
        </w:rPr>
        <w:t>”</w:t>
      </w:r>
      <w:r w:rsidR="00F32B28" w:rsidRPr="00F32B28">
        <w:rPr>
          <w:rtl/>
          <w:lang w:bidi="ar-SY"/>
        </w:rPr>
        <w:t>بناء</w:t>
      </w:r>
      <w:r w:rsidR="00F32B28">
        <w:rPr>
          <w:rtl/>
          <w:lang w:bidi="ar-SY"/>
        </w:rPr>
        <w:t xml:space="preserve"> </w:t>
      </w:r>
      <w:r w:rsidR="00F32B28" w:rsidRPr="00F32B28">
        <w:rPr>
          <w:rtl/>
          <w:lang w:bidi="ar-SY"/>
        </w:rPr>
        <w:t>الدولة</w:t>
      </w:r>
      <w:r w:rsidR="00F32B28">
        <w:rPr>
          <w:rtl/>
          <w:lang w:bidi="ar-SY"/>
        </w:rPr>
        <w:t xml:space="preserve"> </w:t>
      </w:r>
      <w:r w:rsidR="00F32B28" w:rsidRPr="00F32B28">
        <w:rPr>
          <w:rtl/>
          <w:lang w:bidi="ar-SY"/>
        </w:rPr>
        <w:t>وتجسيد</w:t>
      </w:r>
      <w:r w:rsidR="00F32B28">
        <w:rPr>
          <w:rtl/>
          <w:lang w:bidi="ar-SY"/>
        </w:rPr>
        <w:t xml:space="preserve"> </w:t>
      </w:r>
      <w:r w:rsidR="00F32B28" w:rsidRPr="00F32B28">
        <w:rPr>
          <w:rtl/>
          <w:lang w:bidi="ar-SY"/>
        </w:rPr>
        <w:t>السيادة</w:t>
      </w:r>
      <w:r w:rsidR="001D253C">
        <w:rPr>
          <w:rFonts w:hint="cs"/>
          <w:rtl/>
        </w:rPr>
        <w:t>“</w:t>
      </w:r>
      <w:r w:rsidR="00F32B28">
        <w:rPr>
          <w:rtl/>
          <w:lang w:bidi="ar-SY"/>
        </w:rPr>
        <w:t xml:space="preserve"> </w:t>
      </w:r>
      <w:r w:rsidR="00F32B28" w:rsidRPr="00F32B28">
        <w:rPr>
          <w:rtl/>
          <w:lang w:bidi="ar-SY"/>
        </w:rPr>
        <w:t>(2014-2016)،</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JO"/>
        </w:rPr>
        <w:t>حددت</w:t>
      </w:r>
      <w:r w:rsidR="00F32B28">
        <w:rPr>
          <w:rtl/>
          <w:lang w:bidi="ar-SY"/>
        </w:rPr>
        <w:t xml:space="preserve"> </w:t>
      </w:r>
      <w:r w:rsidR="00F32B28" w:rsidRPr="00F32B28">
        <w:rPr>
          <w:rtl/>
          <w:lang w:bidi="ar-SY"/>
        </w:rPr>
        <w:t>ضمن</w:t>
      </w:r>
      <w:r w:rsidR="00F32B28">
        <w:rPr>
          <w:rtl/>
          <w:lang w:bidi="ar-SY"/>
        </w:rPr>
        <w:t xml:space="preserve"> </w:t>
      </w:r>
      <w:r w:rsidR="00F32B28" w:rsidRPr="00F32B28">
        <w:rPr>
          <w:rtl/>
          <w:lang w:bidi="ar-SY"/>
        </w:rPr>
        <w:t>أولوياتها</w:t>
      </w:r>
      <w:r w:rsidR="00F32B28">
        <w:rPr>
          <w:rtl/>
          <w:lang w:bidi="ar-SY"/>
        </w:rPr>
        <w:t xml:space="preserve"> </w:t>
      </w:r>
      <w:r w:rsidR="00F32B28" w:rsidRPr="00F32B28">
        <w:rPr>
          <w:rtl/>
          <w:lang w:bidi="ar-SY"/>
        </w:rPr>
        <w:t>السياساتية</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توفير</w:t>
      </w:r>
      <w:r w:rsidR="00F32B28">
        <w:rPr>
          <w:rtl/>
          <w:lang w:bidi="ar-SY"/>
        </w:rPr>
        <w:t xml:space="preserve"> </w:t>
      </w:r>
      <w:r w:rsidR="00F32B28" w:rsidRPr="00F32B28">
        <w:rPr>
          <w:rtl/>
          <w:lang w:bidi="ar-SY"/>
        </w:rPr>
        <w:t>حماية</w:t>
      </w:r>
      <w:r w:rsidR="00F32B28">
        <w:rPr>
          <w:rtl/>
          <w:lang w:bidi="ar-SY"/>
        </w:rPr>
        <w:t xml:space="preserve"> </w:t>
      </w:r>
      <w:r w:rsidR="00F32B28" w:rsidRPr="00F32B28">
        <w:rPr>
          <w:rtl/>
          <w:lang w:bidi="ar-SY"/>
        </w:rPr>
        <w:t>أكثر</w:t>
      </w:r>
      <w:r w:rsidR="00F32B28">
        <w:rPr>
          <w:rtl/>
          <w:lang w:bidi="ar-SY"/>
        </w:rPr>
        <w:t xml:space="preserve"> </w:t>
      </w:r>
      <w:r w:rsidR="00F32B28" w:rsidRPr="00F32B28">
        <w:rPr>
          <w:rtl/>
          <w:lang w:bidi="ar-SY"/>
        </w:rPr>
        <w:t>للمرأة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وضمان</w:t>
      </w:r>
      <w:r w:rsidR="00F32B28">
        <w:rPr>
          <w:rtl/>
          <w:lang w:bidi="ar-SY"/>
        </w:rPr>
        <w:t xml:space="preserve"> </w:t>
      </w:r>
      <w:r w:rsidR="00F32B28" w:rsidRPr="00F32B28">
        <w:rPr>
          <w:rtl/>
          <w:lang w:bidi="ar-SY"/>
        </w:rPr>
        <w:t>مشاركة</w:t>
      </w:r>
      <w:r w:rsidR="00F32B28">
        <w:rPr>
          <w:rtl/>
          <w:lang w:bidi="ar-SY"/>
        </w:rPr>
        <w:t xml:space="preserve"> </w:t>
      </w:r>
      <w:r w:rsidR="00F32B28" w:rsidRPr="00F32B28">
        <w:rPr>
          <w:rtl/>
          <w:lang w:bidi="ar-SY"/>
        </w:rPr>
        <w:t>أوسع</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سوق</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وتسهيل</w:t>
      </w:r>
      <w:r w:rsidR="00F32B28">
        <w:rPr>
          <w:rtl/>
          <w:lang w:bidi="ar-SY"/>
        </w:rPr>
        <w:t xml:space="preserve"> </w:t>
      </w:r>
      <w:r w:rsidR="00F32B28" w:rsidRPr="00F32B28">
        <w:rPr>
          <w:rtl/>
          <w:lang w:bidi="ar-SY"/>
        </w:rPr>
        <w:t>وصولها</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الأساسية،</w:t>
      </w:r>
      <w:r w:rsidR="00F32B28">
        <w:rPr>
          <w:rtl/>
          <w:lang w:bidi="ar-SY"/>
        </w:rPr>
        <w:t xml:space="preserve"> </w:t>
      </w:r>
      <w:r w:rsidR="00F32B28" w:rsidRPr="00F32B28">
        <w:rPr>
          <w:rtl/>
          <w:lang w:bidi="ar-SY"/>
        </w:rPr>
        <w:t>وضمان</w:t>
      </w:r>
      <w:r w:rsidR="00F32B28">
        <w:rPr>
          <w:rtl/>
          <w:lang w:bidi="ar-SY"/>
        </w:rPr>
        <w:t xml:space="preserve"> </w:t>
      </w:r>
      <w:r w:rsidR="00F32B28" w:rsidRPr="00F32B28">
        <w:rPr>
          <w:rtl/>
          <w:lang w:bidi="ar-SY"/>
        </w:rPr>
        <w:t>حقها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وتكافؤ</w:t>
      </w:r>
      <w:r w:rsidR="00F32B28">
        <w:rPr>
          <w:rtl/>
          <w:lang w:bidi="ar-SY"/>
        </w:rPr>
        <w:t xml:space="preserve"> </w:t>
      </w:r>
      <w:r w:rsidR="00F32B28" w:rsidRPr="00F32B28">
        <w:rPr>
          <w:rtl/>
          <w:lang w:bidi="ar-SY"/>
        </w:rPr>
        <w:t>الفرص</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تمييز،</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استكمال</w:t>
      </w:r>
      <w:r w:rsidR="00F32B28">
        <w:rPr>
          <w:rtl/>
          <w:lang w:bidi="ar-SY"/>
        </w:rPr>
        <w:t xml:space="preserve"> </w:t>
      </w:r>
      <w:r w:rsidR="00F32B28" w:rsidRPr="00F32B28">
        <w:rPr>
          <w:rtl/>
          <w:lang w:bidi="ar-SY"/>
        </w:rPr>
        <w:t>مراجعة</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النافذة</w:t>
      </w:r>
      <w:r w:rsidR="00F32B28">
        <w:rPr>
          <w:rtl/>
          <w:lang w:bidi="ar-SY"/>
        </w:rPr>
        <w:t xml:space="preserve"> </w:t>
      </w:r>
      <w:r w:rsidR="00F32B28" w:rsidRPr="00F32B28">
        <w:rPr>
          <w:rtl/>
          <w:lang w:bidi="ar-SY"/>
        </w:rPr>
        <w:t>وضمان</w:t>
      </w:r>
      <w:r w:rsidR="00F32B28">
        <w:rPr>
          <w:rtl/>
          <w:lang w:bidi="ar-SY"/>
        </w:rPr>
        <w:t xml:space="preserve"> </w:t>
      </w:r>
      <w:r w:rsidR="00F32B28" w:rsidRPr="00F32B28">
        <w:rPr>
          <w:rtl/>
          <w:lang w:bidi="ar-SY"/>
        </w:rPr>
        <w:t>مراعاتها</w:t>
      </w:r>
      <w:r w:rsidR="00F32B28">
        <w:rPr>
          <w:rtl/>
          <w:lang w:bidi="ar-SY"/>
        </w:rPr>
        <w:t xml:space="preserve"> </w:t>
      </w:r>
      <w:r w:rsidR="00F32B28" w:rsidRPr="00F32B28">
        <w:rPr>
          <w:rtl/>
          <w:lang w:bidi="ar-SY"/>
        </w:rPr>
        <w:t>لحقوق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وتضمين</w:t>
      </w:r>
      <w:r w:rsidR="00F32B28">
        <w:rPr>
          <w:rtl/>
          <w:lang w:bidi="ar-SY"/>
        </w:rPr>
        <w:t xml:space="preserve"> </w:t>
      </w:r>
      <w:r w:rsidR="00F32B28" w:rsidRPr="00F32B28">
        <w:rPr>
          <w:rtl/>
          <w:lang w:bidi="ar-SY"/>
        </w:rPr>
        <w:t>قضايا</w:t>
      </w:r>
      <w:r w:rsidR="00F32B28">
        <w:rPr>
          <w:rtl/>
          <w:lang w:bidi="ar-SY"/>
        </w:rPr>
        <w:t xml:space="preserve"> </w:t>
      </w:r>
      <w:r w:rsidR="00F32B28" w:rsidRPr="00F32B28">
        <w:rPr>
          <w:rtl/>
          <w:lang w:bidi="ar-SY"/>
        </w:rPr>
        <w:t>النوع</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السياسات</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والقطاعية</w:t>
      </w:r>
      <w:r w:rsidR="00F32B28">
        <w:rPr>
          <w:rtl/>
          <w:lang w:bidi="ar-SY"/>
        </w:rPr>
        <w:t xml:space="preserve"> </w:t>
      </w:r>
      <w:r w:rsidR="00F32B28" w:rsidRPr="00F32B28">
        <w:rPr>
          <w:rtl/>
          <w:lang w:bidi="ar-SY"/>
        </w:rPr>
        <w:t>والموازنات</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وآليات</w:t>
      </w:r>
      <w:r w:rsidR="00F32B28">
        <w:rPr>
          <w:rtl/>
          <w:lang w:bidi="ar-SY"/>
        </w:rPr>
        <w:t xml:space="preserve"> </w:t>
      </w:r>
      <w:r w:rsidR="00F32B28" w:rsidRPr="00F32B28">
        <w:rPr>
          <w:rtl/>
          <w:lang w:bidi="ar-SY"/>
        </w:rPr>
        <w:t>المساءلة</w:t>
      </w:r>
      <w:r w:rsidR="00F32B28">
        <w:rPr>
          <w:rtl/>
          <w:lang w:bidi="ar-SY"/>
        </w:rPr>
        <w:t xml:space="preserve"> </w:t>
      </w:r>
      <w:r w:rsidR="00F32B28" w:rsidRPr="00F32B28">
        <w:rPr>
          <w:rtl/>
          <w:lang w:bidi="ar-SY"/>
        </w:rPr>
        <w:t>والرقابة،</w:t>
      </w:r>
      <w:r w:rsidR="00F32B28">
        <w:rPr>
          <w:rtl/>
          <w:lang w:bidi="ar-SY"/>
        </w:rPr>
        <w:t xml:space="preserve"> </w:t>
      </w:r>
      <w:r w:rsidR="00F32B28" w:rsidRPr="00F32B28">
        <w:rPr>
          <w:rtl/>
          <w:lang w:bidi="ar-SY"/>
        </w:rPr>
        <w:t>وإتاحة</w:t>
      </w:r>
      <w:r w:rsidR="00F32B28">
        <w:rPr>
          <w:rtl/>
          <w:lang w:bidi="ar-SY"/>
        </w:rPr>
        <w:t xml:space="preserve"> </w:t>
      </w:r>
      <w:r w:rsidR="00F32B28" w:rsidRPr="00F32B28">
        <w:rPr>
          <w:rtl/>
          <w:lang w:bidi="ar-SY"/>
        </w:rPr>
        <w:t>فرص</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قدم</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وحماية</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أشكال</w:t>
      </w:r>
      <w:r w:rsidR="00F32B28">
        <w:rPr>
          <w:rtl/>
          <w:lang w:bidi="ar-SY"/>
        </w:rPr>
        <w:t xml:space="preserve"> </w:t>
      </w:r>
      <w:r w:rsidR="00F32B28" w:rsidRPr="00F32B28">
        <w:rPr>
          <w:rtl/>
          <w:lang w:bidi="ar-SY"/>
        </w:rPr>
        <w:t>العنف</w:t>
      </w:r>
      <w:r w:rsidR="00F32B28">
        <w:rPr>
          <w:rtl/>
          <w:lang w:bidi="ar-SY"/>
        </w:rPr>
        <w:t xml:space="preserve"> </w:t>
      </w:r>
      <w:r w:rsidR="00F32B28" w:rsidRPr="00F32B28">
        <w:rPr>
          <w:rtl/>
          <w:lang w:bidi="ar-SY"/>
        </w:rPr>
        <w:t>وتسهيل</w:t>
      </w:r>
      <w:r w:rsidR="00F32B28">
        <w:rPr>
          <w:rtl/>
          <w:lang w:bidi="ar-SY"/>
        </w:rPr>
        <w:t xml:space="preserve"> </w:t>
      </w:r>
      <w:r w:rsidR="00F32B28" w:rsidRPr="00F32B28">
        <w:rPr>
          <w:rtl/>
          <w:lang w:bidi="ar-SY"/>
        </w:rPr>
        <w:t>وصولها</w:t>
      </w:r>
      <w:r w:rsidR="00F32B28">
        <w:rPr>
          <w:rtl/>
          <w:lang w:bidi="ar-SY"/>
        </w:rPr>
        <w:t xml:space="preserve"> </w:t>
      </w:r>
      <w:r w:rsidR="00F32B28" w:rsidRPr="00F32B28">
        <w:rPr>
          <w:rtl/>
          <w:lang w:bidi="ar-SY"/>
        </w:rPr>
        <w:t>للعدالة،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الأكثر</w:t>
      </w:r>
      <w:r w:rsidR="00F32B28">
        <w:rPr>
          <w:rtl/>
          <w:lang w:bidi="ar-SY"/>
        </w:rPr>
        <w:t xml:space="preserve"> </w:t>
      </w:r>
      <w:r w:rsidR="00F32B28" w:rsidRPr="00F32B28">
        <w:rPr>
          <w:rtl/>
          <w:lang w:bidi="ar-SY"/>
        </w:rPr>
        <w:t>عرضة</w:t>
      </w:r>
      <w:r w:rsidR="00F32B28">
        <w:rPr>
          <w:rtl/>
          <w:lang w:bidi="ar-SY"/>
        </w:rPr>
        <w:t xml:space="preserve"> </w:t>
      </w:r>
      <w:r w:rsidR="00F32B28" w:rsidRPr="00F32B28">
        <w:rPr>
          <w:rtl/>
          <w:lang w:bidi="ar-SY"/>
        </w:rPr>
        <w:t>للتهميش</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الريفية</w:t>
      </w:r>
      <w:r w:rsidR="00F32B28">
        <w:rPr>
          <w:rtl/>
          <w:lang w:bidi="ar-SY"/>
        </w:rPr>
        <w:t xml:space="preserve"> </w:t>
      </w:r>
      <w:r w:rsidR="00F32B28" w:rsidRPr="00F32B28">
        <w:rPr>
          <w:rtl/>
          <w:lang w:bidi="ar-SY"/>
        </w:rPr>
        <w:t>والمخيمات</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المحاذية</w:t>
      </w:r>
      <w:r w:rsidR="00F32B28">
        <w:rPr>
          <w:rtl/>
          <w:lang w:bidi="ar-SY"/>
        </w:rPr>
        <w:t xml:space="preserve"> </w:t>
      </w:r>
      <w:r w:rsidR="00F32B28" w:rsidRPr="00F32B28">
        <w:rPr>
          <w:rtl/>
          <w:lang w:bidi="ar-SY"/>
        </w:rPr>
        <w:t>لجدار</w:t>
      </w:r>
      <w:r w:rsidR="00F32B28">
        <w:rPr>
          <w:rtl/>
          <w:lang w:bidi="ar-SY"/>
        </w:rPr>
        <w:t xml:space="preserve"> </w:t>
      </w:r>
      <w:r w:rsidR="00F32B28" w:rsidRPr="00F32B28">
        <w:rPr>
          <w:rtl/>
          <w:lang w:bidi="ar-SY"/>
        </w:rPr>
        <w:t>الضم</w:t>
      </w:r>
      <w:r w:rsidR="00F32B28">
        <w:rPr>
          <w:rtl/>
          <w:lang w:bidi="ar-SY"/>
        </w:rPr>
        <w:t xml:space="preserve"> </w:t>
      </w:r>
      <w:r w:rsidR="00F32B28" w:rsidRPr="00F32B28">
        <w:rPr>
          <w:rtl/>
          <w:lang w:bidi="ar-SY"/>
        </w:rPr>
        <w:t>والتوسع</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القانوني</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الشرقية</w:t>
      </w:r>
      <w:r w:rsidR="00F32B28">
        <w:rPr>
          <w:rtl/>
          <w:lang w:bidi="ar-SY"/>
        </w:rPr>
        <w:t xml:space="preserve"> </w:t>
      </w:r>
      <w:r w:rsidR="00F32B28" w:rsidRPr="00F32B28">
        <w:rPr>
          <w:rtl/>
          <w:lang w:bidi="ar-SY"/>
        </w:rPr>
        <w:t>وقطاع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وتوفير</w:t>
      </w:r>
      <w:r w:rsidR="00F32B28">
        <w:rPr>
          <w:rtl/>
          <w:lang w:bidi="ar-SY"/>
        </w:rPr>
        <w:t xml:space="preserve"> </w:t>
      </w:r>
      <w:r w:rsidR="00F32B28" w:rsidRPr="00F32B28">
        <w:rPr>
          <w:rtl/>
          <w:lang w:bidi="ar-SY"/>
        </w:rPr>
        <w:t>بيئة</w:t>
      </w:r>
      <w:r w:rsidR="00F32B28">
        <w:rPr>
          <w:rtl/>
          <w:lang w:bidi="ar-SY"/>
        </w:rPr>
        <w:t xml:space="preserve"> </w:t>
      </w:r>
      <w:r w:rsidR="00F32B28" w:rsidRPr="00F32B28">
        <w:rPr>
          <w:rtl/>
          <w:lang w:bidi="ar-SY"/>
        </w:rPr>
        <w:t>مجتمعية</w:t>
      </w:r>
      <w:r w:rsidR="00F32B28">
        <w:rPr>
          <w:rtl/>
          <w:lang w:bidi="ar-SY"/>
        </w:rPr>
        <w:t xml:space="preserve"> </w:t>
      </w:r>
      <w:r w:rsidR="00F32B28" w:rsidRPr="00F32B28">
        <w:rPr>
          <w:rtl/>
          <w:lang w:bidi="ar-SY"/>
        </w:rPr>
        <w:t>مواتية</w:t>
      </w:r>
      <w:r w:rsidR="00F32B28">
        <w:rPr>
          <w:rtl/>
          <w:lang w:bidi="ar-SY"/>
        </w:rPr>
        <w:t xml:space="preserve"> </w:t>
      </w:r>
      <w:r w:rsidR="00F32B28" w:rsidRPr="00F32B28">
        <w:rPr>
          <w:rtl/>
          <w:lang w:bidi="ar-SY"/>
        </w:rPr>
        <w:t>لزيادة</w:t>
      </w:r>
      <w:r w:rsidR="00F32B28">
        <w:rPr>
          <w:rtl/>
          <w:lang w:bidi="ar-SY"/>
        </w:rPr>
        <w:t xml:space="preserve"> </w:t>
      </w:r>
      <w:r w:rsidR="00F32B28" w:rsidRPr="00F32B28">
        <w:rPr>
          <w:rtl/>
          <w:lang w:bidi="ar-SY"/>
        </w:rPr>
        <w:t>مشاركة</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الحياة</w:t>
      </w:r>
      <w:r w:rsidR="00F32B28">
        <w:rPr>
          <w:rtl/>
          <w:lang w:bidi="ar-SY"/>
        </w:rPr>
        <w:t xml:space="preserve"> </w:t>
      </w:r>
      <w:r w:rsidR="00F32B28" w:rsidRPr="00F32B28">
        <w:rPr>
          <w:rtl/>
          <w:lang w:bidi="ar-SY"/>
        </w:rPr>
        <w:t>السياسية</w:t>
      </w:r>
      <w:r w:rsidR="00F32B28">
        <w:rPr>
          <w:rtl/>
          <w:lang w:bidi="ar-SY"/>
        </w:rPr>
        <w:t xml:space="preserve"> </w:t>
      </w:r>
      <w:r w:rsidR="00F32B28" w:rsidRPr="00F32B28">
        <w:rPr>
          <w:rtl/>
          <w:lang w:bidi="ar-SY"/>
        </w:rPr>
        <w:t>والمجتمعية</w:t>
      </w:r>
      <w:r w:rsidR="00F32B28">
        <w:rPr>
          <w:rtl/>
          <w:lang w:bidi="ar-SY"/>
        </w:rPr>
        <w:t xml:space="preserve"> </w:t>
      </w:r>
      <w:r w:rsidR="00F32B28" w:rsidRPr="00F32B28">
        <w:rPr>
          <w:rtl/>
          <w:lang w:bidi="ar-SY"/>
        </w:rPr>
        <w:t>والثقافية</w:t>
      </w:r>
      <w:r w:rsidR="00F32B28">
        <w:rPr>
          <w:rtl/>
          <w:lang w:bidi="ar-SY"/>
        </w:rPr>
        <w:t xml:space="preserve"> </w:t>
      </w:r>
      <w:r w:rsidR="00F32B28" w:rsidRPr="00F32B28">
        <w:rPr>
          <w:rtl/>
          <w:lang w:bidi="ar-SY"/>
        </w:rPr>
        <w:t>وتعزيز</w:t>
      </w:r>
      <w:r w:rsidR="00F32B28">
        <w:rPr>
          <w:rtl/>
          <w:lang w:bidi="ar-SY"/>
        </w:rPr>
        <w:t xml:space="preserve"> </w:t>
      </w:r>
      <w:r w:rsidR="00F32B28" w:rsidRPr="00F32B28">
        <w:rPr>
          <w:rtl/>
          <w:lang w:bidi="ar-SY"/>
        </w:rPr>
        <w:t>دورها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صنع</w:t>
      </w:r>
      <w:r w:rsidR="00F32B28">
        <w:rPr>
          <w:rtl/>
          <w:lang w:bidi="ar-SY"/>
        </w:rPr>
        <w:t xml:space="preserve"> </w:t>
      </w:r>
      <w:r w:rsidR="00F32B28" w:rsidRPr="00F32B28">
        <w:rPr>
          <w:rtl/>
          <w:lang w:bidi="ar-SY"/>
        </w:rPr>
        <w:t>القرار،</w:t>
      </w:r>
      <w:r w:rsidR="00F32B28">
        <w:rPr>
          <w:rtl/>
          <w:lang w:bidi="ar-SY"/>
        </w:rPr>
        <w:t xml:space="preserve"> </w:t>
      </w:r>
      <w:r w:rsidR="00F32B28" w:rsidRPr="00F32B28">
        <w:rPr>
          <w:rFonts w:hint="cs"/>
          <w:rtl/>
          <w:lang w:bidi="ar-SY"/>
        </w:rPr>
        <w:t>و</w:t>
      </w:r>
      <w:r w:rsidR="00F32B28" w:rsidRPr="00F32B28">
        <w:rPr>
          <w:rtl/>
          <w:lang w:bidi="ar-SY"/>
        </w:rPr>
        <w:t>العمل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حماية</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جرائم</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p>
    <w:p w:rsidR="00CA17A8" w:rsidRPr="00CA17A8" w:rsidRDefault="00CA17A8" w:rsidP="00CA17A8">
      <w:pPr>
        <w:pStyle w:val="SingleTxt"/>
        <w:spacing w:after="0" w:line="120" w:lineRule="exact"/>
        <w:rPr>
          <w:b/>
          <w:bCs/>
          <w:sz w:val="10"/>
          <w:rtl/>
          <w:lang w:bidi="ar-SY"/>
        </w:rPr>
      </w:pPr>
    </w:p>
    <w:p w:rsidR="00F32B28" w:rsidRPr="00F32B28" w:rsidRDefault="00F32B28" w:rsidP="00F32B28">
      <w:pPr>
        <w:pStyle w:val="SingleTxt"/>
        <w:rPr>
          <w:rtl/>
          <w:lang w:bidi="ar-JO"/>
        </w:rPr>
      </w:pPr>
      <w:r w:rsidRPr="00F32B28">
        <w:rPr>
          <w:b/>
          <w:bCs/>
          <w:rtl/>
          <w:lang w:bidi="ar-SY"/>
        </w:rPr>
        <w:t>الآليات</w:t>
      </w:r>
      <w:r>
        <w:rPr>
          <w:b/>
          <w:bCs/>
          <w:rtl/>
          <w:lang w:bidi="ar-SY"/>
        </w:rPr>
        <w:t xml:space="preserve"> </w:t>
      </w:r>
      <w:r w:rsidRPr="00F32B28">
        <w:rPr>
          <w:b/>
          <w:bCs/>
          <w:rtl/>
          <w:lang w:bidi="ar-SY"/>
        </w:rPr>
        <w:t>الوطنية</w:t>
      </w:r>
      <w:r>
        <w:rPr>
          <w:b/>
          <w:bCs/>
          <w:rtl/>
          <w:lang w:bidi="ar-SY"/>
        </w:rPr>
        <w:t xml:space="preserve"> </w:t>
      </w:r>
      <w:r w:rsidRPr="00F32B28">
        <w:rPr>
          <w:b/>
          <w:bCs/>
          <w:rtl/>
          <w:lang w:bidi="ar-SY"/>
        </w:rPr>
        <w:t>العاملة</w:t>
      </w:r>
      <w:r>
        <w:rPr>
          <w:b/>
          <w:bCs/>
          <w:rtl/>
          <w:lang w:bidi="ar-SY"/>
        </w:rPr>
        <w:t xml:space="preserve"> </w:t>
      </w:r>
      <w:r w:rsidRPr="00F32B28">
        <w:rPr>
          <w:b/>
          <w:bCs/>
          <w:rtl/>
          <w:lang w:bidi="ar-SY"/>
        </w:rPr>
        <w:t>في</w:t>
      </w:r>
      <w:r>
        <w:rPr>
          <w:b/>
          <w:bCs/>
          <w:rtl/>
          <w:lang w:bidi="ar-SY"/>
        </w:rPr>
        <w:t xml:space="preserve"> </w:t>
      </w:r>
      <w:r w:rsidRPr="00F32B28">
        <w:rPr>
          <w:b/>
          <w:bCs/>
          <w:rtl/>
          <w:lang w:bidi="ar-SY"/>
        </w:rPr>
        <w:t>حقوق</w:t>
      </w:r>
      <w:r>
        <w:rPr>
          <w:b/>
          <w:bCs/>
          <w:rtl/>
          <w:lang w:bidi="ar-SY"/>
        </w:rPr>
        <w:t xml:space="preserve"> </w:t>
      </w:r>
      <w:r w:rsidRPr="00F32B28">
        <w:rPr>
          <w:b/>
          <w:bCs/>
          <w:rtl/>
          <w:lang w:bidi="ar-SY"/>
        </w:rPr>
        <w:t>المرأة</w:t>
      </w:r>
    </w:p>
    <w:p w:rsidR="00F32B28" w:rsidRPr="00F32B28" w:rsidRDefault="00CA17A8" w:rsidP="00CA17A8">
      <w:pPr>
        <w:pStyle w:val="SingleTxt"/>
      </w:pPr>
      <w:r>
        <w:rPr>
          <w:rFonts w:hint="cs"/>
          <w:rtl/>
        </w:rPr>
        <w:t>14 -</w:t>
      </w:r>
      <w:r>
        <w:rPr>
          <w:rFonts w:hint="cs"/>
          <w:rtl/>
        </w:rPr>
        <w:tab/>
      </w:r>
      <w:r w:rsidR="00F32B28" w:rsidRPr="00F32B28">
        <w:rPr>
          <w:rtl/>
        </w:rPr>
        <w:t>إن</w:t>
      </w:r>
      <w:r w:rsidR="00F32B28">
        <w:rPr>
          <w:rtl/>
        </w:rPr>
        <w:t xml:space="preserve"> </w:t>
      </w:r>
      <w:r w:rsidR="00F32B28" w:rsidRPr="00F32B28">
        <w:rPr>
          <w:rtl/>
        </w:rPr>
        <w:t>العمل</w:t>
      </w:r>
      <w:r w:rsidR="00F32B28">
        <w:rPr>
          <w:rtl/>
        </w:rPr>
        <w:t xml:space="preserve"> </w:t>
      </w:r>
      <w:r w:rsidR="00F32B28" w:rsidRPr="00F32B28">
        <w:rPr>
          <w:rtl/>
        </w:rPr>
        <w:t>بحقوق</w:t>
      </w:r>
      <w:r w:rsidR="00F32B28">
        <w:rPr>
          <w:rtl/>
        </w:rPr>
        <w:t xml:space="preserve"> </w:t>
      </w:r>
      <w:r w:rsidR="00F32B28" w:rsidRPr="00F32B28">
        <w:rPr>
          <w:rtl/>
        </w:rPr>
        <w:t>المرأة</w:t>
      </w:r>
      <w:r w:rsidR="00F32B28">
        <w:rPr>
          <w:rtl/>
        </w:rPr>
        <w:t xml:space="preserve"> </w:t>
      </w:r>
      <w:r w:rsidR="00F32B28" w:rsidRPr="00F32B28">
        <w:rPr>
          <w:rtl/>
        </w:rPr>
        <w:t>وبتحقيق</w:t>
      </w:r>
      <w:r w:rsidR="00F32B28">
        <w:rPr>
          <w:rtl/>
        </w:rPr>
        <w:t xml:space="preserve"> </w:t>
      </w:r>
      <w:r w:rsidR="00F32B28" w:rsidRPr="00F32B28">
        <w:rPr>
          <w:rtl/>
        </w:rPr>
        <w:t>المساواة</w:t>
      </w:r>
      <w:r w:rsidR="00F32B28">
        <w:rPr>
          <w:rtl/>
        </w:rPr>
        <w:t xml:space="preserve"> </w:t>
      </w:r>
      <w:r w:rsidR="00F32B28" w:rsidRPr="00F32B28">
        <w:rPr>
          <w:rtl/>
        </w:rPr>
        <w:t>بينها</w:t>
      </w:r>
      <w:r w:rsidR="00F32B28">
        <w:rPr>
          <w:rtl/>
        </w:rPr>
        <w:t xml:space="preserve"> </w:t>
      </w:r>
      <w:r w:rsidR="00F32B28" w:rsidRPr="00F32B28">
        <w:rPr>
          <w:rtl/>
        </w:rPr>
        <w:t>وبين</w:t>
      </w:r>
      <w:r w:rsidR="00F32B28">
        <w:rPr>
          <w:rtl/>
        </w:rPr>
        <w:t xml:space="preserve"> </w:t>
      </w:r>
      <w:r w:rsidR="00F32B28" w:rsidRPr="00F32B28">
        <w:rPr>
          <w:rtl/>
        </w:rPr>
        <w:t>الرجل</w:t>
      </w:r>
      <w:r w:rsidR="00F32B28">
        <w:rPr>
          <w:rtl/>
        </w:rPr>
        <w:t xml:space="preserve"> </w:t>
      </w:r>
      <w:r w:rsidR="00F32B28" w:rsidRPr="00F32B28">
        <w:rPr>
          <w:rtl/>
        </w:rPr>
        <w:t>ينصب</w:t>
      </w:r>
      <w:r w:rsidR="00F32B28">
        <w:rPr>
          <w:rtl/>
        </w:rPr>
        <w:t xml:space="preserve"> </w:t>
      </w:r>
      <w:r w:rsidR="00F32B28" w:rsidRPr="00F32B28">
        <w:rPr>
          <w:rtl/>
        </w:rPr>
        <w:t>على</w:t>
      </w:r>
      <w:r w:rsidR="00F32B28">
        <w:rPr>
          <w:rtl/>
        </w:rPr>
        <w:t xml:space="preserve"> </w:t>
      </w:r>
      <w:r w:rsidR="00F32B28" w:rsidRPr="00F32B28">
        <w:rPr>
          <w:rtl/>
        </w:rPr>
        <w:t>مختلف</w:t>
      </w:r>
      <w:r w:rsidR="00F32B28">
        <w:rPr>
          <w:rtl/>
        </w:rPr>
        <w:t xml:space="preserve"> </w:t>
      </w:r>
      <w:r w:rsidR="00F32B28" w:rsidRPr="00F32B28">
        <w:rPr>
          <w:rtl/>
        </w:rPr>
        <w:t>القطاعات</w:t>
      </w:r>
      <w:r w:rsidR="00F32B28">
        <w:rPr>
          <w:rtl/>
        </w:rPr>
        <w:t xml:space="preserve"> </w:t>
      </w:r>
      <w:r w:rsidR="00F32B28" w:rsidRPr="00F32B28">
        <w:rPr>
          <w:rtl/>
        </w:rPr>
        <w:t>والآليات</w:t>
      </w:r>
      <w:r w:rsidR="00F32B28">
        <w:rPr>
          <w:rtl/>
        </w:rPr>
        <w:t xml:space="preserve"> </w:t>
      </w:r>
      <w:r w:rsidR="00F32B28" w:rsidRPr="00F32B28">
        <w:rPr>
          <w:rtl/>
        </w:rPr>
        <w:t>الوطنية</w:t>
      </w:r>
      <w:r w:rsidR="00F32B28">
        <w:rPr>
          <w:rtl/>
        </w:rPr>
        <w:t xml:space="preserve"> </w:t>
      </w:r>
      <w:r w:rsidR="00F32B28" w:rsidRPr="00F32B28">
        <w:rPr>
          <w:rtl/>
        </w:rPr>
        <w:t>التي</w:t>
      </w:r>
      <w:r w:rsidR="00F32B28">
        <w:rPr>
          <w:rtl/>
        </w:rPr>
        <w:t xml:space="preserve"> </w:t>
      </w:r>
      <w:r w:rsidR="00F32B28" w:rsidRPr="00F32B28">
        <w:rPr>
          <w:rtl/>
        </w:rPr>
        <w:t>أنشأت</w:t>
      </w:r>
      <w:r w:rsidR="00F32B28">
        <w:rPr>
          <w:rtl/>
        </w:rPr>
        <w:t xml:space="preserve"> </w:t>
      </w:r>
      <w:r w:rsidR="00F32B28" w:rsidRPr="00F32B28">
        <w:rPr>
          <w:rtl/>
        </w:rPr>
        <w:t>لتحقيق</w:t>
      </w:r>
      <w:r w:rsidR="00F32B28">
        <w:rPr>
          <w:rtl/>
        </w:rPr>
        <w:t xml:space="preserve"> </w:t>
      </w:r>
      <w:r w:rsidR="00F32B28" w:rsidRPr="00F32B28">
        <w:rPr>
          <w:rtl/>
        </w:rPr>
        <w:t>هذه</w:t>
      </w:r>
      <w:r w:rsidR="00F32B28">
        <w:rPr>
          <w:rtl/>
        </w:rPr>
        <w:t xml:space="preserve"> </w:t>
      </w:r>
      <w:r w:rsidR="00F32B28" w:rsidRPr="00F32B28">
        <w:rPr>
          <w:rtl/>
        </w:rPr>
        <w:t>الغايات،</w:t>
      </w:r>
      <w:r w:rsidR="008D730A">
        <w:rPr>
          <w:rFonts w:hint="cs"/>
          <w:rtl/>
        </w:rPr>
        <w:t xml:space="preserve"> </w:t>
      </w:r>
      <w:r w:rsidR="00F32B28" w:rsidRPr="00F32B28">
        <w:rPr>
          <w:rtl/>
        </w:rPr>
        <w:t>نذكر</w:t>
      </w:r>
      <w:r w:rsidR="00F32B28">
        <w:rPr>
          <w:rtl/>
        </w:rPr>
        <w:t xml:space="preserve"> </w:t>
      </w:r>
      <w:r w:rsidR="00F32B28" w:rsidRPr="00F32B28">
        <w:rPr>
          <w:rtl/>
        </w:rPr>
        <w:t>بعضاً</w:t>
      </w:r>
      <w:r w:rsidR="00F32B28">
        <w:rPr>
          <w:rtl/>
        </w:rPr>
        <w:t xml:space="preserve"> </w:t>
      </w:r>
      <w:r w:rsidR="00F32B28" w:rsidRPr="00F32B28">
        <w:rPr>
          <w:rtl/>
        </w:rPr>
        <w:t>منها</w:t>
      </w:r>
      <w:r w:rsidR="00F32B28">
        <w:rPr>
          <w:rtl/>
        </w:rPr>
        <w:t xml:space="preserve"> </w:t>
      </w:r>
      <w:r w:rsidR="00F32B28" w:rsidRPr="00F32B28">
        <w:rPr>
          <w:rtl/>
        </w:rPr>
        <w:t>على</w:t>
      </w:r>
      <w:r w:rsidR="00F32B28">
        <w:rPr>
          <w:rtl/>
        </w:rPr>
        <w:t xml:space="preserve"> </w:t>
      </w:r>
      <w:r w:rsidR="00F32B28" w:rsidRPr="00F32B28">
        <w:rPr>
          <w:rtl/>
        </w:rPr>
        <w:t>سبيل</w:t>
      </w:r>
      <w:r w:rsidR="00F32B28">
        <w:rPr>
          <w:rtl/>
        </w:rPr>
        <w:t xml:space="preserve"> </w:t>
      </w:r>
      <w:r w:rsidR="00F32B28" w:rsidRPr="00F32B28">
        <w:rPr>
          <w:rtl/>
        </w:rPr>
        <w:t>المثال</w:t>
      </w:r>
      <w:r w:rsidR="00F32B28">
        <w:rPr>
          <w:rtl/>
        </w:rPr>
        <w:t xml:space="preserve"> </w:t>
      </w:r>
      <w:r w:rsidR="00F32B28" w:rsidRPr="00F32B28">
        <w:rPr>
          <w:rtl/>
        </w:rPr>
        <w:t>لا</w:t>
      </w:r>
      <w:r w:rsidR="00F32B28">
        <w:rPr>
          <w:rtl/>
        </w:rPr>
        <w:t xml:space="preserve"> </w:t>
      </w:r>
      <w:r w:rsidR="00F32B28" w:rsidRPr="00F32B28">
        <w:rPr>
          <w:rtl/>
        </w:rPr>
        <w:t>الحصر</w:t>
      </w:r>
      <w:r w:rsidR="00F32B28">
        <w:rPr>
          <w:rtl/>
        </w:rPr>
        <w:t xml:space="preserve"> </w:t>
      </w:r>
      <w:r w:rsidR="00F32B28" w:rsidRPr="00F32B28">
        <w:rPr>
          <w:rtl/>
        </w:rPr>
        <w:t>ونعتذر</w:t>
      </w:r>
      <w:r w:rsidR="00F32B28">
        <w:rPr>
          <w:rtl/>
        </w:rPr>
        <w:t xml:space="preserve"> </w:t>
      </w:r>
      <w:r w:rsidR="00F32B28" w:rsidRPr="00F32B28">
        <w:rPr>
          <w:rtl/>
        </w:rPr>
        <w:t>عن</w:t>
      </w:r>
      <w:r w:rsidR="00F32B28">
        <w:rPr>
          <w:rtl/>
        </w:rPr>
        <w:t xml:space="preserve"> </w:t>
      </w:r>
      <w:r w:rsidR="00F32B28" w:rsidRPr="00F32B28">
        <w:rPr>
          <w:rtl/>
        </w:rPr>
        <w:t>عدم</w:t>
      </w:r>
      <w:r w:rsidR="00F32B28">
        <w:rPr>
          <w:rtl/>
        </w:rPr>
        <w:t xml:space="preserve"> </w:t>
      </w:r>
      <w:r w:rsidR="00F32B28" w:rsidRPr="00F32B28">
        <w:rPr>
          <w:rtl/>
        </w:rPr>
        <w:t>ذكرها</w:t>
      </w:r>
      <w:r w:rsidR="00F32B28">
        <w:rPr>
          <w:rtl/>
        </w:rPr>
        <w:t xml:space="preserve"> </w:t>
      </w:r>
      <w:r w:rsidR="00F32B28" w:rsidRPr="00F32B28">
        <w:rPr>
          <w:rtl/>
        </w:rPr>
        <w:t>كلها</w:t>
      </w:r>
      <w:r w:rsidR="00F32B28">
        <w:rPr>
          <w:rtl/>
        </w:rPr>
        <w:t xml:space="preserve"> </w:t>
      </w:r>
      <w:r w:rsidR="00F32B28" w:rsidRPr="00F32B28">
        <w:rPr>
          <w:rtl/>
        </w:rPr>
        <w:t>لضيق</w:t>
      </w:r>
      <w:r w:rsidR="00F32B28">
        <w:rPr>
          <w:rtl/>
        </w:rPr>
        <w:t xml:space="preserve"> </w:t>
      </w:r>
      <w:r w:rsidR="00F32B28" w:rsidRPr="00F32B28">
        <w:rPr>
          <w:rtl/>
        </w:rPr>
        <w:t>المجال.</w:t>
      </w:r>
      <w:r w:rsidR="00F32B28">
        <w:rPr>
          <w:rtl/>
        </w:rPr>
        <w:t xml:space="preserve"> </w:t>
      </w:r>
    </w:p>
    <w:p w:rsidR="00CA17A8" w:rsidRPr="00CA17A8" w:rsidRDefault="00CA17A8" w:rsidP="00CA17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SY"/>
        </w:rPr>
      </w:pPr>
    </w:p>
    <w:p w:rsidR="00F32B28" w:rsidRPr="00F32B28" w:rsidRDefault="00CA17A8" w:rsidP="00EB12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SY"/>
        </w:rPr>
      </w:pPr>
      <w:r>
        <w:rPr>
          <w:rFonts w:hint="cs"/>
          <w:rtl/>
          <w:lang w:bidi="ar-SY"/>
        </w:rPr>
        <w:tab/>
      </w:r>
      <w:r w:rsidR="00F32B28" w:rsidRPr="00F32B28">
        <w:rPr>
          <w:rtl/>
          <w:lang w:bidi="ar-SY"/>
        </w:rPr>
        <w:t>أولاً</w:t>
      </w:r>
      <w:r>
        <w:rPr>
          <w:rFonts w:hint="cs"/>
          <w:rtl/>
          <w:lang w:bidi="ar-SY"/>
        </w:rPr>
        <w:t xml:space="preserve"> -</w:t>
      </w:r>
      <w:r>
        <w:rPr>
          <w:rFonts w:hint="cs"/>
          <w:rtl/>
          <w:lang w:bidi="ar-SY"/>
        </w:rPr>
        <w:tab/>
      </w:r>
      <w:r w:rsidR="00F32B28" w:rsidRPr="00F32B28">
        <w:rPr>
          <w:rtl/>
          <w:lang w:bidi="ar-SY"/>
        </w:rPr>
        <w:t>آليات</w:t>
      </w:r>
      <w:r w:rsidR="00F32B28">
        <w:rPr>
          <w:rtl/>
          <w:lang w:bidi="ar-SY"/>
        </w:rPr>
        <w:t xml:space="preserve"> </w:t>
      </w:r>
      <w:r w:rsidR="00F32B28" w:rsidRPr="00F32B28">
        <w:rPr>
          <w:rtl/>
          <w:lang w:bidi="ar-SY"/>
        </w:rPr>
        <w:t>منظمة</w:t>
      </w:r>
      <w:r w:rsidR="00F32B28">
        <w:rPr>
          <w:rtl/>
          <w:lang w:bidi="ar-SY"/>
        </w:rPr>
        <w:t xml:space="preserve"> </w:t>
      </w:r>
      <w:r w:rsidR="00F32B28" w:rsidRPr="00F32B28">
        <w:rPr>
          <w:rtl/>
          <w:lang w:bidi="ar-SY"/>
        </w:rPr>
        <w:t>التحرير</w:t>
      </w:r>
      <w:r w:rsidR="00F32B28">
        <w:rPr>
          <w:rtl/>
          <w:lang w:bidi="ar-SY"/>
        </w:rPr>
        <w:t xml:space="preserve"> </w:t>
      </w:r>
      <w:r w:rsidR="00F32B28" w:rsidRPr="00F32B28">
        <w:rPr>
          <w:rtl/>
          <w:lang w:bidi="ar-SY"/>
        </w:rPr>
        <w:t>الفلسطينية</w:t>
      </w:r>
      <w:r w:rsidR="00F32B28">
        <w:rPr>
          <w:rtl/>
          <w:lang w:bidi="ar-SY"/>
        </w:rPr>
        <w:t xml:space="preserve"> </w:t>
      </w:r>
    </w:p>
    <w:p w:rsidR="00F32B28" w:rsidRPr="00F32B28" w:rsidRDefault="00CA17A8" w:rsidP="00CA17A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lang w:bidi="ar-SY"/>
        </w:rPr>
        <w:tab/>
      </w:r>
      <w:r>
        <w:rPr>
          <w:rFonts w:hint="cs"/>
          <w:rtl/>
          <w:lang w:bidi="ar-SY"/>
        </w:rPr>
        <w:tab/>
      </w:r>
      <w:r w:rsidR="00F32B28" w:rsidRPr="00F32B28">
        <w:rPr>
          <w:rtl/>
          <w:lang w:bidi="ar-SY"/>
        </w:rPr>
        <w:t>الاتحاد</w:t>
      </w:r>
      <w:r w:rsidR="00F32B28">
        <w:rPr>
          <w:rtl/>
          <w:lang w:bidi="ar-SY"/>
        </w:rPr>
        <w:t xml:space="preserve"> </w:t>
      </w:r>
      <w:r w:rsidR="00F32B28" w:rsidRPr="00F32B28">
        <w:rPr>
          <w:rtl/>
          <w:lang w:bidi="ar-SY"/>
        </w:rPr>
        <w:t>العام</w:t>
      </w:r>
      <w:r w:rsidR="00F32B28">
        <w:rPr>
          <w:rtl/>
          <w:lang w:bidi="ar-SY"/>
        </w:rPr>
        <w:t xml:space="preserve"> </w:t>
      </w:r>
      <w:r w:rsidR="00F32B28" w:rsidRPr="00F32B28">
        <w:rPr>
          <w:rtl/>
          <w:lang w:bidi="ar-SY"/>
        </w:rPr>
        <w:t>للمرأة</w:t>
      </w:r>
      <w:r w:rsidR="00F32B28">
        <w:rPr>
          <w:rtl/>
          <w:lang w:bidi="ar-SY"/>
        </w:rPr>
        <w:t xml:space="preserve"> </w:t>
      </w:r>
      <w:r w:rsidR="00F32B28" w:rsidRPr="00F32B28">
        <w:rPr>
          <w:rtl/>
          <w:lang w:bidi="ar-SY"/>
        </w:rPr>
        <w:t>الفلسطينية</w:t>
      </w:r>
    </w:p>
    <w:p w:rsidR="00F32B28" w:rsidRPr="00F32B28" w:rsidRDefault="00CA17A8" w:rsidP="00CA17A8">
      <w:pPr>
        <w:pStyle w:val="SingleTxt"/>
      </w:pPr>
      <w:r>
        <w:rPr>
          <w:rFonts w:hint="cs"/>
          <w:rtl/>
        </w:rPr>
        <w:t>15 -</w:t>
      </w:r>
      <w:r>
        <w:rPr>
          <w:rFonts w:hint="cs"/>
          <w:rtl/>
        </w:rPr>
        <w:tab/>
      </w:r>
      <w:r w:rsidR="00F32B28" w:rsidRPr="00F32B28">
        <w:rPr>
          <w:rtl/>
        </w:rPr>
        <w:t>تم</w:t>
      </w:r>
      <w:r w:rsidR="00F32B28">
        <w:rPr>
          <w:rtl/>
        </w:rPr>
        <w:t xml:space="preserve"> </w:t>
      </w:r>
      <w:r w:rsidR="00F32B28" w:rsidRPr="00F32B28">
        <w:rPr>
          <w:rtl/>
        </w:rPr>
        <w:t>تأسيس</w:t>
      </w:r>
      <w:r w:rsidR="00F32B28">
        <w:rPr>
          <w:rtl/>
        </w:rPr>
        <w:t xml:space="preserve"> </w:t>
      </w:r>
      <w:r w:rsidR="00F32B28" w:rsidRPr="00F32B28">
        <w:rPr>
          <w:rtl/>
        </w:rPr>
        <w:t>الاتحاد</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1965</w:t>
      </w:r>
      <w:r w:rsidR="00F32B28">
        <w:rPr>
          <w:rtl/>
        </w:rPr>
        <w:t xml:space="preserve"> </w:t>
      </w:r>
      <w:r w:rsidR="00F32B28" w:rsidRPr="00F32B28">
        <w:rPr>
          <w:rtl/>
        </w:rPr>
        <w:t>باعتباره</w:t>
      </w:r>
      <w:r w:rsidR="00F32B28">
        <w:rPr>
          <w:rtl/>
        </w:rPr>
        <w:t xml:space="preserve"> </w:t>
      </w:r>
      <w:r w:rsidR="00F32B28" w:rsidRPr="00F32B28">
        <w:rPr>
          <w:rtl/>
        </w:rPr>
        <w:t>تنظيم</w:t>
      </w:r>
      <w:r w:rsidR="00F32B28">
        <w:rPr>
          <w:rtl/>
        </w:rPr>
        <w:t xml:space="preserve"> </w:t>
      </w:r>
      <w:r w:rsidR="00F32B28" w:rsidRPr="00F32B28">
        <w:rPr>
          <w:rtl/>
        </w:rPr>
        <w:t>جماهيري</w:t>
      </w:r>
      <w:r w:rsidR="00F32B28">
        <w:rPr>
          <w:rtl/>
        </w:rPr>
        <w:t xml:space="preserve"> </w:t>
      </w:r>
      <w:r w:rsidR="00F32B28" w:rsidRPr="00F32B28">
        <w:rPr>
          <w:rtl/>
        </w:rPr>
        <w:t>ديموقراطي</w:t>
      </w:r>
      <w:r w:rsidR="00F32B28">
        <w:rPr>
          <w:rtl/>
        </w:rPr>
        <w:t xml:space="preserve"> </w:t>
      </w:r>
      <w:r w:rsidR="00F32B28" w:rsidRPr="00F32B28">
        <w:rPr>
          <w:rtl/>
        </w:rPr>
        <w:t>وقاعدة</w:t>
      </w:r>
      <w:r w:rsidR="00F32B28">
        <w:rPr>
          <w:rtl/>
        </w:rPr>
        <w:t xml:space="preserve"> </w:t>
      </w:r>
      <w:r w:rsidR="00F32B28" w:rsidRPr="00F32B28">
        <w:rPr>
          <w:rtl/>
        </w:rPr>
        <w:t>من</w:t>
      </w:r>
      <w:r w:rsidR="00F32B28">
        <w:rPr>
          <w:rtl/>
        </w:rPr>
        <w:t xml:space="preserve"> </w:t>
      </w:r>
      <w:r w:rsidR="00F32B28" w:rsidRPr="00F32B28">
        <w:rPr>
          <w:rtl/>
        </w:rPr>
        <w:t>قواعد</w:t>
      </w:r>
      <w:r w:rsidR="00F32B28">
        <w:rPr>
          <w:rtl/>
        </w:rPr>
        <w:t xml:space="preserve"> </w:t>
      </w:r>
      <w:r w:rsidR="00F32B28" w:rsidRPr="00F32B28">
        <w:rPr>
          <w:rtl/>
        </w:rPr>
        <w:t>منظمة</w:t>
      </w:r>
      <w:r w:rsidR="00F32B28">
        <w:rPr>
          <w:rtl/>
        </w:rPr>
        <w:t xml:space="preserve"> </w:t>
      </w:r>
      <w:r w:rsidR="00F32B28" w:rsidRPr="00F32B28">
        <w:rPr>
          <w:rtl/>
        </w:rPr>
        <w:t>التحرير</w:t>
      </w:r>
      <w:r w:rsidR="00F32B28">
        <w:rPr>
          <w:rtl/>
        </w:rPr>
        <w:t xml:space="preserve"> </w:t>
      </w:r>
      <w:r w:rsidR="00F32B28" w:rsidRPr="00F32B28">
        <w:rPr>
          <w:rtl/>
        </w:rPr>
        <w:t>الفلسطينية.</w:t>
      </w:r>
      <w:r w:rsidR="00F32B28">
        <w:rPr>
          <w:rtl/>
        </w:rPr>
        <w:t xml:space="preserve"> </w:t>
      </w:r>
      <w:r w:rsidR="00F32B28" w:rsidRPr="00F32B28">
        <w:rPr>
          <w:rtl/>
        </w:rPr>
        <w:t>ويعمل</w:t>
      </w:r>
      <w:r w:rsidR="00F32B28">
        <w:rPr>
          <w:rtl/>
        </w:rPr>
        <w:t xml:space="preserve"> </w:t>
      </w:r>
      <w:r w:rsidR="00F32B28" w:rsidRPr="00F32B28">
        <w:rPr>
          <w:rtl/>
        </w:rPr>
        <w:t>الاتحاد</w:t>
      </w:r>
      <w:r w:rsidR="00F32B28">
        <w:rPr>
          <w:rtl/>
        </w:rPr>
        <w:t xml:space="preserve"> </w:t>
      </w:r>
      <w:r w:rsidR="00F32B28" w:rsidRPr="00F32B28">
        <w:rPr>
          <w:rtl/>
        </w:rPr>
        <w:t>على</w:t>
      </w:r>
      <w:r w:rsidR="00F32B28">
        <w:rPr>
          <w:rtl/>
        </w:rPr>
        <w:t xml:space="preserve"> </w:t>
      </w:r>
      <w:r w:rsidR="00F32B28" w:rsidRPr="00F32B28">
        <w:rPr>
          <w:rtl/>
        </w:rPr>
        <w:t>تنظيم</w:t>
      </w:r>
      <w:r w:rsidR="00F32B28">
        <w:rPr>
          <w:rtl/>
        </w:rPr>
        <w:t xml:space="preserve"> </w:t>
      </w:r>
      <w:r w:rsidR="00F32B28" w:rsidRPr="00F32B28">
        <w:rPr>
          <w:rtl/>
        </w:rPr>
        <w:t>جهود</w:t>
      </w:r>
      <w:r w:rsidR="00F32B28">
        <w:rPr>
          <w:rtl/>
        </w:rPr>
        <w:t xml:space="preserve"> </w:t>
      </w:r>
      <w:r w:rsidR="00F32B28" w:rsidRPr="00F32B28">
        <w:rPr>
          <w:rtl/>
        </w:rPr>
        <w:t>النساء</w:t>
      </w:r>
      <w:r w:rsidR="00F32B28">
        <w:rPr>
          <w:rtl/>
        </w:rPr>
        <w:t xml:space="preserve"> </w:t>
      </w:r>
      <w:r w:rsidR="00F32B28" w:rsidRPr="00F32B28">
        <w:rPr>
          <w:rtl/>
        </w:rPr>
        <w:t>الفلسطينيات</w:t>
      </w:r>
      <w:r w:rsidR="00F32B28">
        <w:rPr>
          <w:rtl/>
        </w:rPr>
        <w:t xml:space="preserve"> </w:t>
      </w:r>
      <w:r w:rsidR="00F32B28" w:rsidRPr="00F32B28">
        <w:rPr>
          <w:rtl/>
        </w:rPr>
        <w:t>وإدماجها</w:t>
      </w:r>
      <w:r w:rsidR="00F32B28">
        <w:rPr>
          <w:rtl/>
        </w:rPr>
        <w:t xml:space="preserve"> </w:t>
      </w:r>
      <w:r w:rsidR="00F32B28" w:rsidRPr="00F32B28">
        <w:rPr>
          <w:rtl/>
        </w:rPr>
        <w:t>في</w:t>
      </w:r>
      <w:r w:rsidR="00F32B28">
        <w:rPr>
          <w:rtl/>
        </w:rPr>
        <w:t xml:space="preserve"> </w:t>
      </w:r>
      <w:r w:rsidR="00F32B28" w:rsidRPr="00F32B28">
        <w:rPr>
          <w:rtl/>
        </w:rPr>
        <w:t>حركة</w:t>
      </w:r>
      <w:r w:rsidR="00F32B28">
        <w:rPr>
          <w:rtl/>
        </w:rPr>
        <w:t xml:space="preserve"> </w:t>
      </w:r>
      <w:r w:rsidR="00F32B28" w:rsidRPr="00F32B28">
        <w:rPr>
          <w:rtl/>
        </w:rPr>
        <w:t>تحرير</w:t>
      </w:r>
      <w:r w:rsidR="00F32B28">
        <w:rPr>
          <w:rtl/>
        </w:rPr>
        <w:t xml:space="preserve"> </w:t>
      </w:r>
      <w:r w:rsidR="00F32B28" w:rsidRPr="00F32B28">
        <w:rPr>
          <w:rtl/>
        </w:rPr>
        <w:t>الوطن</w:t>
      </w:r>
      <w:r w:rsidR="00F32B28">
        <w:rPr>
          <w:rtl/>
        </w:rPr>
        <w:t xml:space="preserve"> </w:t>
      </w:r>
      <w:r w:rsidR="00F32B28" w:rsidRPr="00F32B28">
        <w:rPr>
          <w:rtl/>
        </w:rPr>
        <w:t>من</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وتعزيز</w:t>
      </w:r>
      <w:r w:rsidR="00F32B28">
        <w:rPr>
          <w:rtl/>
        </w:rPr>
        <w:t xml:space="preserve"> </w:t>
      </w:r>
      <w:r w:rsidR="00F32B28" w:rsidRPr="00F32B28">
        <w:rPr>
          <w:rtl/>
        </w:rPr>
        <w:t>الوعي</w:t>
      </w:r>
      <w:r w:rsidR="00F32B28">
        <w:rPr>
          <w:rtl/>
        </w:rPr>
        <w:t xml:space="preserve"> </w:t>
      </w:r>
      <w:r w:rsidR="00F32B28" w:rsidRPr="00F32B28">
        <w:rPr>
          <w:rtl/>
        </w:rPr>
        <w:t>حول</w:t>
      </w:r>
      <w:r w:rsidR="00F32B28">
        <w:rPr>
          <w:rtl/>
        </w:rPr>
        <w:t xml:space="preserve"> </w:t>
      </w:r>
      <w:r w:rsidR="00F32B28" w:rsidRPr="00F32B28">
        <w:rPr>
          <w:rtl/>
        </w:rPr>
        <w:t>أهمية</w:t>
      </w:r>
      <w:r w:rsidR="00F32B28">
        <w:rPr>
          <w:rtl/>
        </w:rPr>
        <w:t xml:space="preserve"> </w:t>
      </w:r>
      <w:r w:rsidR="00F32B28" w:rsidRPr="00F32B28">
        <w:rPr>
          <w:rtl/>
        </w:rPr>
        <w:t>مشاركتهن</w:t>
      </w:r>
      <w:r w:rsidR="00F32B28">
        <w:rPr>
          <w:rtl/>
        </w:rPr>
        <w:t xml:space="preserve"> </w:t>
      </w:r>
      <w:r w:rsidR="00F32B28" w:rsidRPr="00F32B28">
        <w:rPr>
          <w:rtl/>
        </w:rPr>
        <w:t>في</w:t>
      </w:r>
      <w:r w:rsidR="00F32B28">
        <w:rPr>
          <w:rtl/>
        </w:rPr>
        <w:t xml:space="preserve"> </w:t>
      </w:r>
      <w:r w:rsidR="00F32B28" w:rsidRPr="00F32B28">
        <w:rPr>
          <w:rtl/>
        </w:rPr>
        <w:t>مواقع</w:t>
      </w:r>
      <w:r w:rsidR="00F32B28">
        <w:rPr>
          <w:rtl/>
        </w:rPr>
        <w:t xml:space="preserve"> </w:t>
      </w:r>
      <w:r w:rsidR="00F32B28" w:rsidRPr="00F32B28">
        <w:rPr>
          <w:rtl/>
        </w:rPr>
        <w:t>صنع</w:t>
      </w:r>
      <w:r w:rsidR="00F32B28">
        <w:rPr>
          <w:rtl/>
        </w:rPr>
        <w:t xml:space="preserve"> </w:t>
      </w:r>
      <w:r w:rsidR="00F32B28" w:rsidRPr="00F32B28">
        <w:rPr>
          <w:rtl/>
        </w:rPr>
        <w:t>القرار</w:t>
      </w:r>
      <w:r w:rsidR="00F32B28">
        <w:rPr>
          <w:rtl/>
        </w:rPr>
        <w:t xml:space="preserve"> </w:t>
      </w:r>
      <w:r w:rsidR="00F32B28" w:rsidRPr="00F32B28">
        <w:rPr>
          <w:rtl/>
        </w:rPr>
        <w:t>في</w:t>
      </w:r>
      <w:r w:rsidR="00F32B28">
        <w:rPr>
          <w:rtl/>
        </w:rPr>
        <w:t xml:space="preserve"> </w:t>
      </w:r>
      <w:r w:rsidR="00F32B28" w:rsidRPr="00F32B28">
        <w:rPr>
          <w:rtl/>
        </w:rPr>
        <w:t>الأطر</w:t>
      </w:r>
      <w:r w:rsidR="00F32B28">
        <w:rPr>
          <w:rtl/>
        </w:rPr>
        <w:t xml:space="preserve"> </w:t>
      </w:r>
      <w:r w:rsidR="00F32B28" w:rsidRPr="00F32B28">
        <w:rPr>
          <w:rtl/>
        </w:rPr>
        <w:t>السياسية،</w:t>
      </w:r>
      <w:r w:rsidR="00F32B28">
        <w:rPr>
          <w:rtl/>
        </w:rPr>
        <w:t xml:space="preserve"> </w:t>
      </w:r>
      <w:r w:rsidR="00F32B28" w:rsidRPr="00F32B28">
        <w:rPr>
          <w:rtl/>
        </w:rPr>
        <w:t>وإدماجهن</w:t>
      </w:r>
      <w:r w:rsidR="00F32B28">
        <w:rPr>
          <w:rtl/>
        </w:rPr>
        <w:t xml:space="preserve"> </w:t>
      </w:r>
      <w:r w:rsidR="00F32B28" w:rsidRPr="00F32B28">
        <w:rPr>
          <w:rtl/>
        </w:rPr>
        <w:t>في</w:t>
      </w:r>
      <w:r w:rsidR="00F32B28">
        <w:rPr>
          <w:rtl/>
        </w:rPr>
        <w:t xml:space="preserve"> </w:t>
      </w:r>
      <w:r w:rsidR="00F32B28" w:rsidRPr="00F32B28">
        <w:rPr>
          <w:rtl/>
        </w:rPr>
        <w:t>القوى</w:t>
      </w:r>
      <w:r w:rsidR="00F32B28">
        <w:rPr>
          <w:rtl/>
        </w:rPr>
        <w:t xml:space="preserve"> </w:t>
      </w:r>
      <w:r w:rsidR="00F32B28" w:rsidRPr="00F32B28">
        <w:rPr>
          <w:rtl/>
        </w:rPr>
        <w:t>العاملة.</w:t>
      </w:r>
    </w:p>
    <w:p w:rsidR="00CA17A8" w:rsidRPr="00CA17A8" w:rsidRDefault="00CA17A8" w:rsidP="00CA17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SY"/>
        </w:rPr>
      </w:pPr>
    </w:p>
    <w:p w:rsidR="00F32B28" w:rsidRPr="00F32B28" w:rsidRDefault="00CA17A8" w:rsidP="00CA17A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SY"/>
        </w:rPr>
      </w:pPr>
      <w:r>
        <w:rPr>
          <w:rFonts w:hint="cs"/>
          <w:rtl/>
          <w:lang w:bidi="ar-SY"/>
        </w:rPr>
        <w:tab/>
      </w:r>
      <w:r w:rsidR="00F32B28" w:rsidRPr="00F32B28">
        <w:rPr>
          <w:rtl/>
          <w:lang w:bidi="ar-SY"/>
        </w:rPr>
        <w:t>ثانياً</w:t>
      </w:r>
      <w:r>
        <w:rPr>
          <w:rFonts w:hint="cs"/>
          <w:rtl/>
          <w:lang w:bidi="ar-SY"/>
        </w:rPr>
        <w:t xml:space="preserve"> -</w:t>
      </w:r>
      <w:r>
        <w:rPr>
          <w:rFonts w:hint="cs"/>
          <w:rtl/>
          <w:lang w:bidi="ar-SY"/>
        </w:rPr>
        <w:tab/>
      </w:r>
      <w:r w:rsidR="00F32B28" w:rsidRPr="00F32B28">
        <w:rPr>
          <w:rtl/>
          <w:lang w:bidi="ar-SY"/>
        </w:rPr>
        <w:t>الآليات</w:t>
      </w:r>
      <w:r w:rsidR="00F32B28">
        <w:rPr>
          <w:rtl/>
          <w:lang w:bidi="ar-SY"/>
        </w:rPr>
        <w:t xml:space="preserve"> </w:t>
      </w:r>
      <w:r w:rsidR="00F32B28" w:rsidRPr="00F32B28">
        <w:rPr>
          <w:rtl/>
          <w:lang w:bidi="ar-SY"/>
        </w:rPr>
        <w:t>الحكومية</w:t>
      </w:r>
    </w:p>
    <w:p w:rsidR="00F32B28" w:rsidRPr="00F32B28" w:rsidRDefault="008E4514" w:rsidP="00CA17A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lang w:bidi="ar-SY"/>
        </w:rPr>
        <w:tab/>
      </w:r>
      <w:r w:rsidR="00CA17A8">
        <w:rPr>
          <w:rFonts w:hint="cs"/>
          <w:rtl/>
          <w:lang w:bidi="ar-SY"/>
        </w:rPr>
        <w:tab/>
      </w:r>
      <w:r w:rsidR="00F32B28" w:rsidRPr="00F32B28">
        <w:rPr>
          <w:rtl/>
          <w:lang w:bidi="ar-SY"/>
        </w:rPr>
        <w:t>وزارة</w:t>
      </w:r>
      <w:r w:rsidR="00F32B28">
        <w:rPr>
          <w:rtl/>
          <w:lang w:bidi="ar-SY"/>
        </w:rPr>
        <w:t xml:space="preserve"> </w:t>
      </w:r>
      <w:r w:rsidR="00F32B28" w:rsidRPr="00F32B28">
        <w:rPr>
          <w:rtl/>
          <w:lang w:bidi="ar-SY"/>
        </w:rPr>
        <w:t>شؤون</w:t>
      </w:r>
      <w:r w:rsidR="00F32B28">
        <w:rPr>
          <w:rtl/>
          <w:lang w:bidi="ar-SY"/>
        </w:rPr>
        <w:t xml:space="preserve"> </w:t>
      </w:r>
      <w:r w:rsidR="00F32B28" w:rsidRPr="00F32B28">
        <w:rPr>
          <w:rtl/>
          <w:lang w:bidi="ar-SY"/>
        </w:rPr>
        <w:t>المرأة</w:t>
      </w:r>
    </w:p>
    <w:p w:rsidR="00F32B28" w:rsidRPr="00F32B28" w:rsidRDefault="00CA17A8" w:rsidP="00924745">
      <w:pPr>
        <w:pStyle w:val="SingleTxt"/>
      </w:pPr>
      <w:r>
        <w:rPr>
          <w:rFonts w:hint="cs"/>
          <w:rtl/>
        </w:rPr>
        <w:t>16 -</w:t>
      </w:r>
      <w:r>
        <w:rPr>
          <w:rFonts w:hint="cs"/>
          <w:rtl/>
        </w:rPr>
        <w:tab/>
      </w:r>
      <w:r w:rsidR="00F32B28" w:rsidRPr="00F32B28">
        <w:rPr>
          <w:rtl/>
        </w:rPr>
        <w:t>أنشأت</w:t>
      </w:r>
      <w:r w:rsidR="00F32B28">
        <w:rPr>
          <w:rtl/>
        </w:rPr>
        <w:t xml:space="preserve"> </w:t>
      </w:r>
      <w:r w:rsidR="00F32B28" w:rsidRPr="00F32B28">
        <w:rPr>
          <w:rtl/>
          <w:lang w:bidi="ar-SY"/>
        </w:rPr>
        <w:t>وزارة</w:t>
      </w:r>
      <w:r w:rsidR="00F32B28">
        <w:rPr>
          <w:rtl/>
          <w:lang w:bidi="ar-SY"/>
        </w:rPr>
        <w:t xml:space="preserve"> </w:t>
      </w:r>
      <w:r w:rsidR="00F32B28" w:rsidRPr="00F32B28">
        <w:rPr>
          <w:rtl/>
          <w:lang w:bidi="ar-SY"/>
        </w:rPr>
        <w:t>شؤون</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2003</w:t>
      </w:r>
      <w:r w:rsidR="00F32B28">
        <w:rPr>
          <w:rtl/>
          <w:lang w:bidi="ar-SY"/>
        </w:rPr>
        <w:t xml:space="preserve"> </w:t>
      </w:r>
      <w:r w:rsidR="00F32B28" w:rsidRPr="00F32B28">
        <w:rPr>
          <w:rtl/>
        </w:rPr>
        <w:t>بهدف</w:t>
      </w:r>
      <w:r w:rsidR="00F32B28">
        <w:rPr>
          <w:rtl/>
        </w:rPr>
        <w:t xml:space="preserve"> </w:t>
      </w:r>
      <w:r w:rsidR="00F32B28" w:rsidRPr="00F32B28">
        <w:rPr>
          <w:rtl/>
        </w:rPr>
        <w:t>النهوض</w:t>
      </w:r>
      <w:r w:rsidR="00F32B28">
        <w:rPr>
          <w:rtl/>
        </w:rPr>
        <w:t xml:space="preserve"> </w:t>
      </w:r>
      <w:r w:rsidR="00F32B28" w:rsidRPr="00F32B28">
        <w:rPr>
          <w:rtl/>
        </w:rPr>
        <w:t>بوضع</w:t>
      </w:r>
      <w:r w:rsidR="00F32B28">
        <w:rPr>
          <w:rtl/>
        </w:rPr>
        <w:t xml:space="preserve"> </w:t>
      </w:r>
      <w:r w:rsidR="00F32B28" w:rsidRPr="00F32B28">
        <w:rPr>
          <w:rtl/>
        </w:rPr>
        <w:t>المرأة</w:t>
      </w:r>
      <w:r w:rsidR="00F32B28">
        <w:rPr>
          <w:rtl/>
        </w:rPr>
        <w:t xml:space="preserve"> </w:t>
      </w:r>
      <w:r w:rsidR="00F32B28" w:rsidRPr="00F32B28">
        <w:rPr>
          <w:rtl/>
        </w:rPr>
        <w:t>بشكل</w:t>
      </w:r>
      <w:r w:rsidR="00F32B28">
        <w:rPr>
          <w:rtl/>
        </w:rPr>
        <w:t xml:space="preserve"> </w:t>
      </w:r>
      <w:r w:rsidR="00F32B28" w:rsidRPr="00F32B28">
        <w:rPr>
          <w:rtl/>
        </w:rPr>
        <w:t>شامل،</w:t>
      </w:r>
      <w:r w:rsidR="00F32B28">
        <w:rPr>
          <w:rtl/>
        </w:rPr>
        <w:t xml:space="preserve"> </w:t>
      </w:r>
      <w:r w:rsidR="00F32B28" w:rsidRPr="00F32B28">
        <w:rPr>
          <w:rtl/>
        </w:rPr>
        <w:t>وتطوير</w:t>
      </w:r>
      <w:r w:rsidR="00F32B28">
        <w:rPr>
          <w:rtl/>
        </w:rPr>
        <w:t xml:space="preserve"> </w:t>
      </w:r>
      <w:r w:rsidR="00F32B28" w:rsidRPr="00F32B28">
        <w:rPr>
          <w:rtl/>
        </w:rPr>
        <w:t>الالتزام</w:t>
      </w:r>
      <w:r w:rsidR="00F32B28">
        <w:rPr>
          <w:rtl/>
        </w:rPr>
        <w:t xml:space="preserve"> </w:t>
      </w:r>
      <w:r w:rsidR="00F32B28" w:rsidRPr="00F32B28">
        <w:rPr>
          <w:rtl/>
        </w:rPr>
        <w:t>الحكومي</w:t>
      </w:r>
      <w:r w:rsidR="00F32B28">
        <w:rPr>
          <w:rtl/>
        </w:rPr>
        <w:t xml:space="preserve"> </w:t>
      </w:r>
      <w:r w:rsidR="00F32B28" w:rsidRPr="00F32B28">
        <w:rPr>
          <w:rtl/>
        </w:rPr>
        <w:t>في</w:t>
      </w:r>
      <w:r w:rsidR="00F32B28">
        <w:rPr>
          <w:rtl/>
        </w:rPr>
        <w:t xml:space="preserve"> </w:t>
      </w:r>
      <w:r w:rsidR="00F32B28" w:rsidRPr="00F32B28">
        <w:rPr>
          <w:rtl/>
        </w:rPr>
        <w:t>رسم</w:t>
      </w:r>
      <w:r w:rsidR="00F32B28">
        <w:rPr>
          <w:rtl/>
        </w:rPr>
        <w:t xml:space="preserve"> </w:t>
      </w:r>
      <w:r w:rsidR="00F32B28" w:rsidRPr="00F32B28">
        <w:rPr>
          <w:rtl/>
        </w:rPr>
        <w:t>السياسات</w:t>
      </w:r>
      <w:r w:rsidR="00F32B28">
        <w:rPr>
          <w:rtl/>
        </w:rPr>
        <w:t xml:space="preserve"> </w:t>
      </w:r>
      <w:r w:rsidR="00F32B28" w:rsidRPr="00F32B28">
        <w:rPr>
          <w:rtl/>
        </w:rPr>
        <w:t>والاستراتيجيات</w:t>
      </w:r>
      <w:r w:rsidR="00F32B28">
        <w:rPr>
          <w:rtl/>
        </w:rPr>
        <w:t xml:space="preserve"> </w:t>
      </w:r>
      <w:r w:rsidR="00F32B28" w:rsidRPr="00F32B28">
        <w:rPr>
          <w:rtl/>
        </w:rPr>
        <w:t>والتدابير</w:t>
      </w:r>
      <w:r w:rsidR="00F32B28">
        <w:rPr>
          <w:rtl/>
        </w:rPr>
        <w:t xml:space="preserve"> </w:t>
      </w:r>
      <w:r w:rsidR="00F32B28" w:rsidRPr="00F32B28">
        <w:rPr>
          <w:rtl/>
        </w:rPr>
        <w:t>الهادفة</w:t>
      </w:r>
      <w:r w:rsidR="008E4514">
        <w:rPr>
          <w:rFonts w:hint="cs"/>
          <w:rtl/>
        </w:rPr>
        <w:t xml:space="preserve"> </w:t>
      </w:r>
      <w:r w:rsidR="00F32B28" w:rsidRPr="00F32B28">
        <w:rPr>
          <w:rtl/>
        </w:rPr>
        <w:t>إلى</w:t>
      </w:r>
      <w:r w:rsidR="00F32B28">
        <w:rPr>
          <w:rtl/>
        </w:rPr>
        <w:t xml:space="preserve"> </w:t>
      </w:r>
      <w:r w:rsidR="00F32B28" w:rsidRPr="00F32B28">
        <w:rPr>
          <w:rtl/>
        </w:rPr>
        <w:t>القضاء</w:t>
      </w:r>
      <w:r w:rsidR="00F32B28">
        <w:rPr>
          <w:rtl/>
        </w:rPr>
        <w:t xml:space="preserve"> </w:t>
      </w:r>
      <w:r w:rsidR="00F32B28" w:rsidRPr="00F32B28">
        <w:rPr>
          <w:rtl/>
        </w:rPr>
        <w:t>على</w:t>
      </w:r>
      <w:r w:rsidR="00F32B28">
        <w:rPr>
          <w:rtl/>
        </w:rPr>
        <w:t xml:space="preserve"> </w:t>
      </w:r>
      <w:r w:rsidR="00F32B28" w:rsidRPr="00F32B28">
        <w:rPr>
          <w:rtl/>
        </w:rPr>
        <w:t>التمييز</w:t>
      </w:r>
      <w:r w:rsidR="00F32B28">
        <w:rPr>
          <w:rtl/>
        </w:rPr>
        <w:t xml:space="preserve"> </w:t>
      </w:r>
      <w:r w:rsidR="00F32B28" w:rsidRPr="00F32B28">
        <w:rPr>
          <w:rtl/>
        </w:rPr>
        <w:t>وتنفيذها</w:t>
      </w:r>
      <w:r w:rsidR="00F32B28">
        <w:rPr>
          <w:rtl/>
        </w:rPr>
        <w:t xml:space="preserve"> </w:t>
      </w:r>
      <w:r w:rsidR="00F32B28" w:rsidRPr="00F32B28">
        <w:rPr>
          <w:rtl/>
        </w:rPr>
        <w:t>تنفيذاً</w:t>
      </w:r>
      <w:r w:rsidR="00F32B28">
        <w:rPr>
          <w:rtl/>
        </w:rPr>
        <w:t xml:space="preserve"> </w:t>
      </w:r>
      <w:r w:rsidR="00F32B28" w:rsidRPr="00F32B28">
        <w:rPr>
          <w:rtl/>
        </w:rPr>
        <w:t>فعالاً</w:t>
      </w:r>
      <w:r w:rsidR="00F32B28" w:rsidRPr="00F32B28">
        <w:rPr>
          <w:rtl/>
          <w:lang w:bidi="ar-SY"/>
        </w:rPr>
        <w:t>وقد</w:t>
      </w:r>
      <w:r w:rsidR="00F32B28">
        <w:rPr>
          <w:rtl/>
          <w:lang w:bidi="ar-SY"/>
        </w:rPr>
        <w:t xml:space="preserve"> </w:t>
      </w:r>
      <w:r w:rsidR="00F32B28" w:rsidRPr="00F32B28">
        <w:rPr>
          <w:rtl/>
          <w:lang w:bidi="ar-SY"/>
        </w:rPr>
        <w:t>تبنت</w:t>
      </w:r>
      <w:r w:rsidR="00F32B28">
        <w:rPr>
          <w:rtl/>
          <w:lang w:bidi="ar-SY"/>
        </w:rPr>
        <w:t xml:space="preserve"> </w:t>
      </w:r>
      <w:r w:rsidR="00F32B28" w:rsidRPr="00F32B28">
        <w:rPr>
          <w:rtl/>
          <w:lang w:bidi="ar-SY"/>
        </w:rPr>
        <w:t>الوزارة</w:t>
      </w:r>
      <w:r w:rsidR="00F32B28">
        <w:rPr>
          <w:rtl/>
          <w:lang w:bidi="ar-SY"/>
        </w:rPr>
        <w:t xml:space="preserve"> </w:t>
      </w:r>
      <w:r w:rsidR="00F32B28" w:rsidRPr="00F32B28">
        <w:rPr>
          <w:rtl/>
          <w:lang w:bidi="ar-SY"/>
        </w:rPr>
        <w:t>الاتفاقيات</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الصلة</w:t>
      </w:r>
      <w:r w:rsidR="00F32B28">
        <w:rPr>
          <w:rtl/>
          <w:lang w:bidi="ar-SY"/>
        </w:rPr>
        <w:t xml:space="preserve"> </w:t>
      </w:r>
      <w:r w:rsidR="00F32B28" w:rsidRPr="00F32B28">
        <w:rPr>
          <w:rtl/>
          <w:lang w:bidi="ar-SY"/>
        </w:rPr>
        <w:t>ومنهاج</w:t>
      </w:r>
      <w:r w:rsidR="00F32B28">
        <w:rPr>
          <w:rtl/>
          <w:lang w:bidi="ar-SY"/>
        </w:rPr>
        <w:t xml:space="preserve"> </w:t>
      </w:r>
      <w:r w:rsidR="00F32B28" w:rsidRPr="00F32B28">
        <w:rPr>
          <w:rtl/>
          <w:lang w:bidi="ar-SY"/>
        </w:rPr>
        <w:t>عمل</w:t>
      </w:r>
      <w:r w:rsidR="008E4514">
        <w:rPr>
          <w:rFonts w:hint="cs"/>
          <w:rtl/>
          <w:lang w:bidi="ar-SY"/>
        </w:rPr>
        <w:t xml:space="preserve"> </w:t>
      </w:r>
      <w:r w:rsidR="00F32B28" w:rsidRPr="00F32B28">
        <w:rPr>
          <w:rtl/>
          <w:lang w:bidi="ar-SY"/>
        </w:rPr>
        <w:t>بكين</w:t>
      </w:r>
      <w:r w:rsidR="00F32B28">
        <w:rPr>
          <w:rtl/>
          <w:lang w:bidi="ar-SY"/>
        </w:rPr>
        <w:t xml:space="preserve"> </w:t>
      </w:r>
      <w:r w:rsidR="00F32B28" w:rsidRPr="00F32B28">
        <w:rPr>
          <w:rtl/>
          <w:lang w:bidi="ar-SY"/>
        </w:rPr>
        <w:t>منذ</w:t>
      </w:r>
      <w:r w:rsidR="00F32B28">
        <w:rPr>
          <w:rtl/>
          <w:lang w:bidi="ar-SY"/>
        </w:rPr>
        <w:t xml:space="preserve"> </w:t>
      </w:r>
      <w:r w:rsidR="00F32B28" w:rsidRPr="00F32B28">
        <w:rPr>
          <w:rtl/>
          <w:lang w:bidi="ar-SY"/>
        </w:rPr>
        <w:t>نشأتها.</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وتعمل</w:t>
      </w:r>
      <w:r w:rsidR="00F32B28">
        <w:rPr>
          <w:rtl/>
          <w:lang w:bidi="ar-SY"/>
        </w:rPr>
        <w:t xml:space="preserve"> </w:t>
      </w:r>
      <w:r w:rsidR="00F32B28" w:rsidRPr="00F32B28">
        <w:rPr>
          <w:rtl/>
          <w:lang w:bidi="ar-SY"/>
        </w:rPr>
        <w:lastRenderedPageBreak/>
        <w:t>الوزارة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اتخاذ</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التدابير</w:t>
      </w:r>
      <w:r w:rsidR="00F32B28">
        <w:rPr>
          <w:rtl/>
          <w:lang w:bidi="ar-SY"/>
        </w:rPr>
        <w:t xml:space="preserve"> </w:t>
      </w:r>
      <w:r w:rsidR="00F32B28" w:rsidRPr="00F32B28">
        <w:rPr>
          <w:rtl/>
          <w:lang w:bidi="ar-SY"/>
        </w:rPr>
        <w:t>لتعزيز</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والرجل</w:t>
      </w:r>
      <w:r w:rsidR="00F32B28" w:rsidRPr="00F32B28">
        <w:rPr>
          <w:rtl/>
        </w:rPr>
        <w:t>،</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اقتراح</w:t>
      </w:r>
      <w:r w:rsidR="00F32B28">
        <w:rPr>
          <w:rtl/>
        </w:rPr>
        <w:t xml:space="preserve"> </w:t>
      </w:r>
      <w:r w:rsidR="00F32B28" w:rsidRPr="00F32B28">
        <w:rPr>
          <w:rtl/>
        </w:rPr>
        <w:t>مسودات</w:t>
      </w:r>
      <w:r w:rsidR="00F32B28">
        <w:rPr>
          <w:rtl/>
        </w:rPr>
        <w:t xml:space="preserve"> </w:t>
      </w:r>
      <w:r w:rsidR="00F32B28" w:rsidRPr="00F32B28">
        <w:rPr>
          <w:rtl/>
        </w:rPr>
        <w:t>تشريعات</w:t>
      </w:r>
      <w:r w:rsidR="00F32B28">
        <w:rPr>
          <w:rtl/>
        </w:rPr>
        <w:t xml:space="preserve"> </w:t>
      </w:r>
      <w:r w:rsidR="00F32B28" w:rsidRPr="00F32B28">
        <w:rPr>
          <w:rtl/>
          <w:lang w:bidi="ar-SY"/>
        </w:rPr>
        <w:t>وتعديلات</w:t>
      </w:r>
      <w:r w:rsidR="00F32B28">
        <w:rPr>
          <w:rtl/>
          <w:lang w:bidi="ar-SY"/>
        </w:rPr>
        <w:t xml:space="preserve"> </w:t>
      </w:r>
      <w:r w:rsidR="00F32B28" w:rsidRPr="00F32B28">
        <w:rPr>
          <w:rtl/>
          <w:lang w:bidi="ar-SY"/>
        </w:rPr>
        <w:t>تشريعية</w:t>
      </w:r>
      <w:r w:rsidR="00F32B28">
        <w:rPr>
          <w:rtl/>
          <w:lang w:bidi="ar-SY"/>
        </w:rPr>
        <w:t xml:space="preserve"> </w:t>
      </w:r>
      <w:r w:rsidR="00F32B28" w:rsidRPr="00F32B28">
        <w:rPr>
          <w:rtl/>
        </w:rPr>
        <w:t>ووضع</w:t>
      </w:r>
      <w:r w:rsidR="00F32B28">
        <w:rPr>
          <w:rtl/>
        </w:rPr>
        <w:t xml:space="preserve"> </w:t>
      </w:r>
      <w:r w:rsidR="00F32B28" w:rsidRPr="00F32B28">
        <w:rPr>
          <w:rtl/>
        </w:rPr>
        <w:t>مختلف</w:t>
      </w:r>
      <w:r w:rsidR="00F32B28">
        <w:rPr>
          <w:rtl/>
        </w:rPr>
        <w:t xml:space="preserve"> </w:t>
      </w:r>
      <w:r w:rsidR="00F32B28" w:rsidRPr="00F32B28">
        <w:rPr>
          <w:rtl/>
        </w:rPr>
        <w:t>الاستراتيجيات</w:t>
      </w:r>
      <w:r w:rsidR="00F32B28">
        <w:rPr>
          <w:rtl/>
        </w:rPr>
        <w:t xml:space="preserve"> </w:t>
      </w:r>
      <w:r w:rsidR="00F32B28" w:rsidRPr="00F32B28">
        <w:rPr>
          <w:rtl/>
        </w:rPr>
        <w:t>الاقتصادية</w:t>
      </w:r>
      <w:r w:rsidR="00F32B28">
        <w:rPr>
          <w:rtl/>
        </w:rPr>
        <w:t xml:space="preserve"> </w:t>
      </w:r>
      <w:r w:rsidR="00F32B28" w:rsidRPr="00F32B28">
        <w:rPr>
          <w:rtl/>
        </w:rPr>
        <w:t>والثقافية</w:t>
      </w:r>
      <w:r w:rsidR="00F32B28">
        <w:rPr>
          <w:rtl/>
        </w:rPr>
        <w:t xml:space="preserve"> </w:t>
      </w:r>
      <w:r w:rsidR="00F32B28" w:rsidRPr="00F32B28">
        <w:rPr>
          <w:rtl/>
        </w:rPr>
        <w:t>والاجتماعية</w:t>
      </w:r>
      <w:r w:rsidR="00F32B28">
        <w:rPr>
          <w:rtl/>
        </w:rPr>
        <w:t xml:space="preserve"> </w:t>
      </w:r>
      <w:r w:rsidR="00F32B28" w:rsidRPr="00F32B28">
        <w:rPr>
          <w:rtl/>
        </w:rPr>
        <w:t>والإعلامية</w:t>
      </w:r>
      <w:r w:rsidR="00F32B28">
        <w:rPr>
          <w:rtl/>
        </w:rPr>
        <w:t xml:space="preserve"> </w:t>
      </w:r>
      <w:r w:rsidR="00F32B28" w:rsidRPr="00F32B28">
        <w:rPr>
          <w:rtl/>
        </w:rPr>
        <w:t>لتعزيز</w:t>
      </w:r>
      <w:r w:rsidR="00F32B28">
        <w:rPr>
          <w:rtl/>
        </w:rPr>
        <w:t xml:space="preserve"> </w:t>
      </w:r>
      <w:r w:rsidR="00F32B28" w:rsidRPr="00F32B28">
        <w:rPr>
          <w:rtl/>
        </w:rPr>
        <w:t>مساواة</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مختلف</w:t>
      </w:r>
      <w:r w:rsidR="00F32B28">
        <w:rPr>
          <w:rtl/>
        </w:rPr>
        <w:t xml:space="preserve"> </w:t>
      </w:r>
      <w:r w:rsidR="00F32B28" w:rsidRPr="00F32B28">
        <w:rPr>
          <w:rtl/>
        </w:rPr>
        <w:t>القطاعات</w:t>
      </w:r>
      <w:r w:rsidR="00F32B28">
        <w:rPr>
          <w:rtl/>
        </w:rPr>
        <w:t xml:space="preserve"> </w:t>
      </w:r>
      <w:r w:rsidR="00F32B28" w:rsidRPr="00F32B28">
        <w:rPr>
          <w:rtl/>
        </w:rPr>
        <w:t>وتعزيز</w:t>
      </w:r>
      <w:r w:rsidR="00F32B28">
        <w:rPr>
          <w:rtl/>
        </w:rPr>
        <w:t xml:space="preserve"> </w:t>
      </w:r>
      <w:r w:rsidR="00F32B28" w:rsidRPr="00F32B28">
        <w:rPr>
          <w:rtl/>
        </w:rPr>
        <w:t>الوعي</w:t>
      </w:r>
      <w:r w:rsidR="00F32B28">
        <w:rPr>
          <w:rtl/>
        </w:rPr>
        <w:t xml:space="preserve"> </w:t>
      </w:r>
      <w:r w:rsidR="00F32B28" w:rsidRPr="00F32B28">
        <w:rPr>
          <w:rtl/>
        </w:rPr>
        <w:t>بحقوقها،</w:t>
      </w:r>
      <w:r w:rsidR="00F32B28">
        <w:rPr>
          <w:rtl/>
        </w:rPr>
        <w:t xml:space="preserve"> </w:t>
      </w:r>
      <w:r w:rsidR="00F32B28" w:rsidRPr="00F32B28">
        <w:rPr>
          <w:rtl/>
        </w:rPr>
        <w:t>و</w:t>
      </w:r>
      <w:r w:rsidR="00F32B28" w:rsidRPr="00F32B28">
        <w:rPr>
          <w:rtl/>
          <w:lang w:bidi="ar-SY"/>
        </w:rPr>
        <w:t>مأسسة</w:t>
      </w:r>
      <w:r w:rsidR="00F32B28">
        <w:rPr>
          <w:rtl/>
          <w:lang w:bidi="ar-SY"/>
        </w:rPr>
        <w:t xml:space="preserve"> </w:t>
      </w:r>
      <w:r w:rsidR="00F32B28" w:rsidRPr="00F32B28">
        <w:rPr>
          <w:rtl/>
          <w:lang w:bidi="ar-SY"/>
        </w:rPr>
        <w:t>النوع</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عمل</w:t>
      </w:r>
      <w:r w:rsidR="00F32B28">
        <w:rPr>
          <w:rtl/>
          <w:lang w:bidi="ar-SY"/>
        </w:rPr>
        <w:t xml:space="preserve"> </w:t>
      </w:r>
      <w:r w:rsidR="00F32B28" w:rsidRPr="00F32B28">
        <w:rPr>
          <w:rtl/>
          <w:lang w:bidi="ar-SY"/>
        </w:rPr>
        <w:t>الوزارات</w:t>
      </w:r>
      <w:r w:rsidR="00F32B28">
        <w:rPr>
          <w:rtl/>
          <w:lang w:bidi="ar-SY"/>
        </w:rPr>
        <w:t xml:space="preserve"> </w:t>
      </w:r>
      <w:r w:rsidR="00F32B28" w:rsidRPr="00F32B28">
        <w:rPr>
          <w:rtl/>
          <w:lang w:bidi="ar-SY"/>
        </w:rPr>
        <w:t>والمؤسسات</w:t>
      </w:r>
      <w:r w:rsidR="00F32B28">
        <w:rPr>
          <w:rtl/>
          <w:lang w:bidi="ar-SY"/>
        </w:rPr>
        <w:t xml:space="preserve"> </w:t>
      </w:r>
      <w:r w:rsidR="00F32B28" w:rsidRPr="00F32B28">
        <w:rPr>
          <w:rtl/>
          <w:lang w:bidi="ar-SY"/>
        </w:rPr>
        <w:t>المعنية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القطاعات</w:t>
      </w:r>
      <w:r w:rsidR="00F32B28">
        <w:rPr>
          <w:rtl/>
          <w:lang w:bidi="ar-SY"/>
        </w:rPr>
        <w:t xml:space="preserve"> </w:t>
      </w:r>
      <w:r w:rsidR="00F32B28" w:rsidRPr="00F32B28">
        <w:rPr>
          <w:rtl/>
          <w:lang w:bidi="ar-SY"/>
        </w:rPr>
        <w:t>الرئيسية،</w:t>
      </w:r>
      <w:r w:rsidR="00F32B28">
        <w:rPr>
          <w:rtl/>
          <w:lang w:bidi="ar-SY"/>
        </w:rPr>
        <w:t xml:space="preserve"> </w:t>
      </w:r>
      <w:r w:rsidR="00F32B28" w:rsidRPr="00F32B28">
        <w:rPr>
          <w:rtl/>
          <w:lang w:bidi="ar-SY"/>
        </w:rPr>
        <w:t>وتفعيل</w:t>
      </w:r>
      <w:r w:rsidR="00F32B28">
        <w:rPr>
          <w:rtl/>
          <w:lang w:bidi="ar-SY"/>
        </w:rPr>
        <w:t xml:space="preserve"> </w:t>
      </w:r>
      <w:r w:rsidR="00F32B28" w:rsidRPr="00F32B28">
        <w:rPr>
          <w:rtl/>
          <w:lang w:bidi="ar-SY"/>
        </w:rPr>
        <w:t>الوحدة</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وتنسيق</w:t>
      </w:r>
      <w:r w:rsidR="00F32B28">
        <w:rPr>
          <w:rtl/>
          <w:lang w:bidi="ar-SY"/>
        </w:rPr>
        <w:t xml:space="preserve"> </w:t>
      </w:r>
      <w:r w:rsidR="00F32B28" w:rsidRPr="00F32B28">
        <w:rPr>
          <w:rtl/>
          <w:lang w:bidi="ar-SY"/>
        </w:rPr>
        <w:t>الجهود</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المؤسسات،</w:t>
      </w:r>
      <w:r w:rsidR="00F32B28">
        <w:rPr>
          <w:rtl/>
          <w:lang w:bidi="ar-SY"/>
        </w:rPr>
        <w:t xml:space="preserve"> </w:t>
      </w:r>
      <w:r w:rsidR="00F32B28" w:rsidRPr="00F32B28">
        <w:rPr>
          <w:rtl/>
          <w:lang w:bidi="ar-SY"/>
        </w:rPr>
        <w:t>والمشاركة</w:t>
      </w:r>
      <w:r w:rsidR="00F32B28">
        <w:rPr>
          <w:rtl/>
          <w:lang w:bidi="ar-SY"/>
        </w:rPr>
        <w:t xml:space="preserve"> </w:t>
      </w:r>
      <w:r w:rsidR="00F32B28" w:rsidRPr="00F32B28">
        <w:rPr>
          <w:rtl/>
          <w:lang w:bidi="ar-SY"/>
        </w:rPr>
        <w:t>والحوار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أجل</w:t>
      </w:r>
      <w:r w:rsidR="00F32B28">
        <w:rPr>
          <w:rtl/>
          <w:lang w:bidi="ar-SY"/>
        </w:rPr>
        <w:t xml:space="preserve"> </w:t>
      </w:r>
      <w:r w:rsidR="00F32B28" w:rsidRPr="00F32B28">
        <w:rPr>
          <w:rtl/>
          <w:lang w:bidi="ar-SY"/>
        </w:rPr>
        <w:t>التوافق</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أولويات</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قضايا</w:t>
      </w:r>
      <w:r w:rsidR="00F32B28">
        <w:rPr>
          <w:rtl/>
          <w:lang w:bidi="ar-SY"/>
        </w:rPr>
        <w:t xml:space="preserve"> </w:t>
      </w:r>
      <w:r w:rsidR="00F32B28" w:rsidRPr="00F32B28">
        <w:rPr>
          <w:rtl/>
          <w:lang w:bidi="ar-SY"/>
        </w:rPr>
        <w:t>المرأة.</w:t>
      </w:r>
    </w:p>
    <w:p w:rsidR="00DF0562" w:rsidRPr="00DF0562" w:rsidRDefault="00DF0562" w:rsidP="00DF0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924745" w:rsidRDefault="00924745" w:rsidP="00E36D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p>
    <w:p w:rsidR="00924745" w:rsidRDefault="00924745" w:rsidP="009247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SY"/>
        </w:rPr>
      </w:pPr>
      <w:r>
        <w:rPr>
          <w:rFonts w:hint="cs"/>
          <w:rtl/>
        </w:rPr>
        <w:tab/>
      </w:r>
      <w:r>
        <w:rPr>
          <w:rFonts w:hint="cs"/>
          <w:rtl/>
        </w:rPr>
        <w:tab/>
      </w:r>
      <w:r w:rsidRPr="00F32B28">
        <w:rPr>
          <w:rtl/>
        </w:rPr>
        <w:t>وزارة</w:t>
      </w:r>
      <w:r>
        <w:rPr>
          <w:rtl/>
        </w:rPr>
        <w:t xml:space="preserve"> </w:t>
      </w:r>
      <w:r w:rsidRPr="00F32B28">
        <w:rPr>
          <w:rtl/>
        </w:rPr>
        <w:t>التنمية</w:t>
      </w:r>
      <w:r>
        <w:rPr>
          <w:rtl/>
        </w:rPr>
        <w:t xml:space="preserve"> </w:t>
      </w:r>
      <w:r w:rsidRPr="00F32B28">
        <w:rPr>
          <w:rtl/>
        </w:rPr>
        <w:t>الاجتماعية</w:t>
      </w:r>
    </w:p>
    <w:p w:rsidR="00F32B28" w:rsidRPr="00F32B28" w:rsidRDefault="00924745" w:rsidP="00DF0562">
      <w:pPr>
        <w:pStyle w:val="SingleTxt"/>
        <w:rPr>
          <w:rtl/>
        </w:rPr>
      </w:pPr>
      <w:r>
        <w:rPr>
          <w:rFonts w:hint="cs"/>
          <w:rtl/>
        </w:rPr>
        <w:t>17</w:t>
      </w:r>
      <w:r w:rsidR="00CA17A8">
        <w:rPr>
          <w:rFonts w:hint="cs"/>
          <w:rtl/>
        </w:rPr>
        <w:t xml:space="preserve"> -</w:t>
      </w:r>
      <w:r w:rsidR="00CA17A8">
        <w:rPr>
          <w:rFonts w:hint="cs"/>
          <w:rtl/>
        </w:rPr>
        <w:tab/>
      </w:r>
      <w:r w:rsidR="00F32B28" w:rsidRPr="00F32B28">
        <w:rPr>
          <w:rtl/>
        </w:rPr>
        <w:t>تعمل</w:t>
      </w:r>
      <w:r w:rsidR="00F32B28">
        <w:rPr>
          <w:rtl/>
        </w:rPr>
        <w:t xml:space="preserve"> </w:t>
      </w:r>
      <w:r w:rsidR="00F32B28" w:rsidRPr="00F32B28">
        <w:rPr>
          <w:rtl/>
        </w:rPr>
        <w:t>الوزارة،</w:t>
      </w:r>
      <w:r w:rsidR="00F32B28">
        <w:rPr>
          <w:rtl/>
        </w:rPr>
        <w:t xml:space="preserve"> </w:t>
      </w:r>
      <w:r w:rsidR="00F32B28" w:rsidRPr="00F32B28">
        <w:rPr>
          <w:rtl/>
        </w:rPr>
        <w:t>بصفتها</w:t>
      </w:r>
      <w:r w:rsidR="00F32B28">
        <w:rPr>
          <w:rtl/>
        </w:rPr>
        <w:t xml:space="preserve"> </w:t>
      </w:r>
      <w:r w:rsidR="00F32B28" w:rsidRPr="00F32B28">
        <w:rPr>
          <w:rtl/>
        </w:rPr>
        <w:t>الجهة</w:t>
      </w:r>
      <w:r w:rsidR="00F32B28">
        <w:rPr>
          <w:rtl/>
        </w:rPr>
        <w:t xml:space="preserve"> </w:t>
      </w:r>
      <w:r w:rsidR="00F32B28" w:rsidRPr="00F32B28">
        <w:rPr>
          <w:rtl/>
        </w:rPr>
        <w:t>الرسمية</w:t>
      </w:r>
      <w:r w:rsidR="00F32B28">
        <w:rPr>
          <w:rtl/>
        </w:rPr>
        <w:t xml:space="preserve"> </w:t>
      </w:r>
      <w:r w:rsidR="00F32B28" w:rsidRPr="00F32B28">
        <w:rPr>
          <w:rtl/>
        </w:rPr>
        <w:t>التي</w:t>
      </w:r>
      <w:r w:rsidR="00F32B28">
        <w:rPr>
          <w:rtl/>
        </w:rPr>
        <w:t xml:space="preserve"> </w:t>
      </w:r>
      <w:r w:rsidR="00F32B28" w:rsidRPr="00F32B28">
        <w:rPr>
          <w:rtl/>
        </w:rPr>
        <w:t>تقود</w:t>
      </w:r>
      <w:r w:rsidR="00F32B28">
        <w:rPr>
          <w:rtl/>
        </w:rPr>
        <w:t xml:space="preserve"> </w:t>
      </w:r>
      <w:r w:rsidR="00F32B28" w:rsidRPr="00F32B28">
        <w:rPr>
          <w:rtl/>
        </w:rPr>
        <w:t>قطاع</w:t>
      </w:r>
      <w:r w:rsidR="00F32B28">
        <w:rPr>
          <w:rtl/>
        </w:rPr>
        <w:t xml:space="preserve"> </w:t>
      </w:r>
      <w:r w:rsidR="00F32B28" w:rsidRPr="00F32B28">
        <w:rPr>
          <w:rtl/>
        </w:rPr>
        <w:t>الحماية</w:t>
      </w:r>
      <w:r w:rsidR="00F32B28">
        <w:rPr>
          <w:rtl/>
        </w:rPr>
        <w:t xml:space="preserve"> </w:t>
      </w:r>
      <w:r w:rsidR="00F32B28" w:rsidRPr="00F32B28">
        <w:rPr>
          <w:rtl/>
        </w:rPr>
        <w:t>الاجتماعية،</w:t>
      </w:r>
      <w:r w:rsidR="00CA17A8">
        <w:rPr>
          <w:rFonts w:hint="cs"/>
          <w:rtl/>
        </w:rPr>
        <w:t xml:space="preserve"> </w:t>
      </w:r>
      <w:r w:rsidR="00F32B28" w:rsidRPr="00F32B28">
        <w:rPr>
          <w:rtl/>
        </w:rPr>
        <w:t>على</w:t>
      </w:r>
      <w:r w:rsidR="00F32B28">
        <w:rPr>
          <w:rtl/>
        </w:rPr>
        <w:t xml:space="preserve"> </w:t>
      </w:r>
      <w:r w:rsidR="00F32B28" w:rsidRPr="00F32B28">
        <w:rPr>
          <w:rtl/>
        </w:rPr>
        <w:t>توفير</w:t>
      </w:r>
      <w:r w:rsidR="00F32B28">
        <w:rPr>
          <w:rtl/>
        </w:rPr>
        <w:t xml:space="preserve"> </w:t>
      </w:r>
      <w:r w:rsidR="00F32B28" w:rsidRPr="00F32B28">
        <w:rPr>
          <w:rtl/>
        </w:rPr>
        <w:t>الحماية</w:t>
      </w:r>
      <w:r w:rsidR="00F32B28">
        <w:rPr>
          <w:rtl/>
        </w:rPr>
        <w:t xml:space="preserve"> </w:t>
      </w:r>
      <w:r w:rsidR="00F32B28" w:rsidRPr="00F32B28">
        <w:rPr>
          <w:rtl/>
        </w:rPr>
        <w:t>الاجتماعية</w:t>
      </w:r>
      <w:r w:rsidR="00F32B28">
        <w:rPr>
          <w:rtl/>
        </w:rPr>
        <w:t xml:space="preserve"> </w:t>
      </w:r>
      <w:r w:rsidR="00F32B28" w:rsidRPr="00F32B28">
        <w:rPr>
          <w:rtl/>
        </w:rPr>
        <w:t>والقضاء</w:t>
      </w:r>
      <w:r w:rsidR="00F32B28">
        <w:rPr>
          <w:rtl/>
        </w:rPr>
        <w:t xml:space="preserve"> </w:t>
      </w:r>
      <w:r w:rsidR="00F32B28" w:rsidRPr="00F32B28">
        <w:rPr>
          <w:rtl/>
        </w:rPr>
        <w:t>على</w:t>
      </w:r>
      <w:r w:rsidR="00F32B28">
        <w:rPr>
          <w:rtl/>
        </w:rPr>
        <w:t xml:space="preserve"> </w:t>
      </w:r>
      <w:r w:rsidR="00F32B28" w:rsidRPr="00F32B28">
        <w:rPr>
          <w:rtl/>
        </w:rPr>
        <w:t>جميع</w:t>
      </w:r>
      <w:r w:rsidR="00F32B28">
        <w:rPr>
          <w:rtl/>
        </w:rPr>
        <w:t xml:space="preserve"> </w:t>
      </w:r>
      <w:r w:rsidR="00F32B28" w:rsidRPr="00F32B28">
        <w:rPr>
          <w:rtl/>
        </w:rPr>
        <w:t>أشكال</w:t>
      </w:r>
      <w:r w:rsidR="00F32B28">
        <w:rPr>
          <w:rtl/>
        </w:rPr>
        <w:t xml:space="preserve"> </w:t>
      </w:r>
      <w:r w:rsidR="00F32B28" w:rsidRPr="00F32B28">
        <w:rPr>
          <w:rtl/>
        </w:rPr>
        <w:t>التهميش</w:t>
      </w:r>
      <w:r w:rsidR="00F32B28">
        <w:rPr>
          <w:rtl/>
        </w:rPr>
        <w:t xml:space="preserve"> </w:t>
      </w:r>
      <w:r w:rsidR="00F32B28" w:rsidRPr="00F32B28">
        <w:rPr>
          <w:rtl/>
        </w:rPr>
        <w:t>والعنف</w:t>
      </w:r>
      <w:r w:rsidR="00F32B28">
        <w:rPr>
          <w:rtl/>
        </w:rPr>
        <w:t xml:space="preserve"> </w:t>
      </w:r>
      <w:r w:rsidR="00F32B28" w:rsidRPr="00F32B28">
        <w:rPr>
          <w:rtl/>
        </w:rPr>
        <w:t>والإقصاء</w:t>
      </w:r>
      <w:r w:rsidR="00F32B28">
        <w:rPr>
          <w:rtl/>
        </w:rPr>
        <w:t xml:space="preserve"> </w:t>
      </w:r>
      <w:r w:rsidR="00F32B28" w:rsidRPr="00F32B28">
        <w:rPr>
          <w:rtl/>
        </w:rPr>
        <w:t>الاجتماعي،</w:t>
      </w:r>
      <w:r w:rsidR="00F32B28">
        <w:rPr>
          <w:rtl/>
        </w:rPr>
        <w:t xml:space="preserve"> </w:t>
      </w:r>
      <w:r w:rsidR="00F32B28" w:rsidRPr="00F32B28">
        <w:rPr>
          <w:rtl/>
        </w:rPr>
        <w:t>وتعزيز</w:t>
      </w:r>
      <w:r w:rsidR="00F32B28">
        <w:rPr>
          <w:rtl/>
        </w:rPr>
        <w:t xml:space="preserve"> </w:t>
      </w:r>
      <w:r w:rsidR="00F32B28" w:rsidRPr="00F32B28">
        <w:rPr>
          <w:rtl/>
        </w:rPr>
        <w:t>التماسك</w:t>
      </w:r>
      <w:r w:rsidR="00F32B28">
        <w:rPr>
          <w:rtl/>
        </w:rPr>
        <w:t xml:space="preserve"> </w:t>
      </w:r>
      <w:r w:rsidR="00F32B28" w:rsidRPr="00F32B28">
        <w:rPr>
          <w:rtl/>
        </w:rPr>
        <w:t>الاجتماعي</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منظومة</w:t>
      </w:r>
      <w:r w:rsidR="00F32B28">
        <w:rPr>
          <w:rtl/>
        </w:rPr>
        <w:t xml:space="preserve"> </w:t>
      </w:r>
      <w:r w:rsidR="00F32B28" w:rsidRPr="00F32B28">
        <w:rPr>
          <w:rtl/>
        </w:rPr>
        <w:t>من</w:t>
      </w:r>
      <w:r w:rsidR="00F32B28">
        <w:rPr>
          <w:rtl/>
        </w:rPr>
        <w:t xml:space="preserve"> </w:t>
      </w:r>
      <w:r w:rsidR="00F32B28" w:rsidRPr="00F32B28">
        <w:rPr>
          <w:rtl/>
        </w:rPr>
        <w:t>السياسات</w:t>
      </w:r>
      <w:r w:rsidR="00F32B28">
        <w:rPr>
          <w:rtl/>
        </w:rPr>
        <w:t xml:space="preserve"> </w:t>
      </w:r>
      <w:r w:rsidR="00F32B28" w:rsidRPr="00F32B28">
        <w:rPr>
          <w:rtl/>
        </w:rPr>
        <w:t>والتدابير</w:t>
      </w:r>
      <w:r w:rsidR="00F32B28">
        <w:rPr>
          <w:rtl/>
        </w:rPr>
        <w:t xml:space="preserve"> </w:t>
      </w:r>
      <w:r w:rsidR="00F32B28" w:rsidRPr="00F32B28">
        <w:rPr>
          <w:rtl/>
        </w:rPr>
        <w:t>والتدخلات</w:t>
      </w:r>
      <w:r w:rsidR="00F32B28">
        <w:rPr>
          <w:rtl/>
        </w:rPr>
        <w:t xml:space="preserve"> </w:t>
      </w:r>
      <w:r w:rsidR="00F32B28" w:rsidRPr="00F32B28">
        <w:rPr>
          <w:rtl/>
        </w:rPr>
        <w:t>الإغاثية</w:t>
      </w:r>
      <w:r w:rsidR="00F32B28">
        <w:rPr>
          <w:rtl/>
        </w:rPr>
        <w:t xml:space="preserve"> </w:t>
      </w:r>
      <w:r w:rsidR="00F32B28" w:rsidRPr="00F32B28">
        <w:rPr>
          <w:rtl/>
        </w:rPr>
        <w:t>والحمائية</w:t>
      </w:r>
      <w:r w:rsidR="00F32B28">
        <w:rPr>
          <w:rtl/>
        </w:rPr>
        <w:t xml:space="preserve"> </w:t>
      </w:r>
      <w:r w:rsidR="00F32B28" w:rsidRPr="00F32B28">
        <w:rPr>
          <w:rtl/>
        </w:rPr>
        <w:t>والتنموية</w:t>
      </w:r>
      <w:r w:rsidR="00F32B28">
        <w:rPr>
          <w:rtl/>
        </w:rPr>
        <w:t xml:space="preserve"> </w:t>
      </w:r>
      <w:r w:rsidR="00F32B28" w:rsidRPr="00F32B28">
        <w:rPr>
          <w:rtl/>
        </w:rPr>
        <w:t>التي</w:t>
      </w:r>
      <w:r w:rsidR="00F32B28">
        <w:rPr>
          <w:rtl/>
        </w:rPr>
        <w:t xml:space="preserve"> </w:t>
      </w:r>
      <w:r w:rsidR="00F32B28" w:rsidRPr="00F32B28">
        <w:rPr>
          <w:rtl/>
        </w:rPr>
        <w:t>تصب</w:t>
      </w:r>
      <w:r w:rsidR="00F32B28">
        <w:rPr>
          <w:rtl/>
        </w:rPr>
        <w:t xml:space="preserve"> </w:t>
      </w:r>
      <w:r w:rsidR="00F32B28" w:rsidRPr="00F32B28">
        <w:rPr>
          <w:rtl/>
        </w:rPr>
        <w:t>بمجملها</w:t>
      </w:r>
      <w:r w:rsidR="00F32B28">
        <w:rPr>
          <w:rtl/>
        </w:rPr>
        <w:t xml:space="preserve"> </w:t>
      </w:r>
      <w:r w:rsidR="00F32B28" w:rsidRPr="00F32B28">
        <w:rPr>
          <w:rtl/>
        </w:rPr>
        <w:t>في</w:t>
      </w:r>
      <w:r w:rsidR="00F32B28">
        <w:rPr>
          <w:rtl/>
        </w:rPr>
        <w:t xml:space="preserve"> </w:t>
      </w:r>
      <w:r w:rsidR="00F32B28" w:rsidRPr="00F32B28">
        <w:rPr>
          <w:rtl/>
        </w:rPr>
        <w:t>مكافحة</w:t>
      </w:r>
      <w:r w:rsidR="00F32B28">
        <w:rPr>
          <w:rtl/>
        </w:rPr>
        <w:t xml:space="preserve"> </w:t>
      </w:r>
      <w:r w:rsidR="00F32B28" w:rsidRPr="00F32B28">
        <w:rPr>
          <w:rtl/>
        </w:rPr>
        <w:t>الفقر</w:t>
      </w:r>
      <w:r w:rsidR="00F32B28">
        <w:rPr>
          <w:rtl/>
        </w:rPr>
        <w:t xml:space="preserve"> </w:t>
      </w:r>
      <w:r w:rsidR="00F32B28" w:rsidRPr="00F32B28">
        <w:rPr>
          <w:rtl/>
        </w:rPr>
        <w:t>والبطالة</w:t>
      </w:r>
      <w:r w:rsidR="00F32B28">
        <w:rPr>
          <w:rtl/>
        </w:rPr>
        <w:t xml:space="preserve"> </w:t>
      </w:r>
      <w:r w:rsidR="00F32B28" w:rsidRPr="00F32B28">
        <w:rPr>
          <w:rtl/>
        </w:rPr>
        <w:t>وتعزيز</w:t>
      </w:r>
      <w:r w:rsidR="00F32B28">
        <w:rPr>
          <w:rtl/>
        </w:rPr>
        <w:t xml:space="preserve"> </w:t>
      </w:r>
      <w:r w:rsidR="00F32B28" w:rsidRPr="00F32B28">
        <w:rPr>
          <w:rtl/>
        </w:rPr>
        <w:t>العدالة</w:t>
      </w:r>
      <w:r w:rsidR="00F32B28">
        <w:rPr>
          <w:rtl/>
        </w:rPr>
        <w:t xml:space="preserve"> </w:t>
      </w:r>
      <w:r w:rsidR="00F32B28" w:rsidRPr="00F32B28">
        <w:rPr>
          <w:rtl/>
        </w:rPr>
        <w:t>الاجتماعية.</w:t>
      </w:r>
    </w:p>
    <w:p w:rsidR="00CA17A8" w:rsidRPr="00CA17A8" w:rsidRDefault="00CA17A8" w:rsidP="00CA17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924745" w:rsidRPr="00F32B28" w:rsidRDefault="00924745" w:rsidP="009247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t>وحدات القضايا الجنسانية</w:t>
      </w:r>
    </w:p>
    <w:p w:rsidR="00F32B28" w:rsidRPr="00F32B28" w:rsidRDefault="00924745" w:rsidP="00924745">
      <w:pPr>
        <w:pStyle w:val="SingleTxt"/>
      </w:pPr>
      <w:r>
        <w:rPr>
          <w:rFonts w:hint="cs"/>
          <w:rtl/>
        </w:rPr>
        <w:t>18</w:t>
      </w:r>
      <w:r w:rsidR="00CA17A8">
        <w:rPr>
          <w:rFonts w:hint="cs"/>
          <w:rtl/>
        </w:rPr>
        <w:t xml:space="preserve"> -</w:t>
      </w:r>
      <w:r w:rsidR="00CA17A8">
        <w:rPr>
          <w:rFonts w:hint="cs"/>
          <w:rtl/>
        </w:rPr>
        <w:tab/>
      </w:r>
      <w:r w:rsidR="00F32B28" w:rsidRPr="00F32B28">
        <w:rPr>
          <w:rtl/>
        </w:rPr>
        <w:t>تم</w:t>
      </w:r>
      <w:r w:rsidR="00F32B28">
        <w:rPr>
          <w:rtl/>
        </w:rPr>
        <w:t xml:space="preserve"> </w:t>
      </w:r>
      <w:r w:rsidR="00F32B28" w:rsidRPr="00F32B28">
        <w:rPr>
          <w:rtl/>
        </w:rPr>
        <w:t>إعادة</w:t>
      </w:r>
      <w:r w:rsidR="00F32B28">
        <w:rPr>
          <w:rtl/>
        </w:rPr>
        <w:t xml:space="preserve"> </w:t>
      </w:r>
      <w:r w:rsidR="00F32B28" w:rsidRPr="00F32B28">
        <w:rPr>
          <w:rtl/>
        </w:rPr>
        <w:t>تشكيل</w:t>
      </w:r>
      <w:r w:rsidR="00F32B28">
        <w:rPr>
          <w:rtl/>
        </w:rPr>
        <w:t xml:space="preserve"> </w:t>
      </w:r>
      <w:r w:rsidR="00F32B28" w:rsidRPr="00F32B28">
        <w:rPr>
          <w:rtl/>
        </w:rPr>
        <w:t>وحدات</w:t>
      </w:r>
      <w:r w:rsidR="00F32B28">
        <w:rPr>
          <w:rtl/>
        </w:rPr>
        <w:t xml:space="preserve"> </w:t>
      </w:r>
      <w:r w:rsidR="00F32B28" w:rsidRPr="00F32B28">
        <w:rPr>
          <w:rtl/>
        </w:rPr>
        <w:t>النوع</w:t>
      </w:r>
      <w:r w:rsidR="00F32B28">
        <w:rPr>
          <w:rtl/>
        </w:rPr>
        <w:t xml:space="preserve"> </w:t>
      </w:r>
      <w:r w:rsidR="00F32B28" w:rsidRPr="00F32B28">
        <w:rPr>
          <w:rtl/>
        </w:rPr>
        <w:t>الاجتماعي</w:t>
      </w:r>
      <w:r w:rsidR="00F32B28">
        <w:rPr>
          <w:rtl/>
        </w:rPr>
        <w:t xml:space="preserve"> </w:t>
      </w:r>
      <w:r w:rsidR="00F32B28" w:rsidRPr="00F32B28">
        <w:rPr>
          <w:rtl/>
        </w:rPr>
        <w:t>في</w:t>
      </w:r>
      <w:r w:rsidR="00F32B28">
        <w:rPr>
          <w:rtl/>
        </w:rPr>
        <w:t xml:space="preserve"> </w:t>
      </w:r>
      <w:r w:rsidR="00F32B28" w:rsidRPr="00F32B28">
        <w:rPr>
          <w:rtl/>
        </w:rPr>
        <w:t>هيكلية</w:t>
      </w:r>
      <w:r w:rsidR="00F32B28">
        <w:rPr>
          <w:rtl/>
        </w:rPr>
        <w:t xml:space="preserve"> </w:t>
      </w:r>
      <w:r w:rsidR="00F32B28" w:rsidRPr="00F32B28">
        <w:rPr>
          <w:rtl/>
        </w:rPr>
        <w:t>الهيئات</w:t>
      </w:r>
      <w:r w:rsidR="00F32B28">
        <w:rPr>
          <w:rtl/>
        </w:rPr>
        <w:t xml:space="preserve"> </w:t>
      </w:r>
      <w:r w:rsidR="00F32B28" w:rsidRPr="00F32B28">
        <w:rPr>
          <w:rtl/>
        </w:rPr>
        <w:t>الحكومية</w:t>
      </w:r>
      <w:r w:rsidR="00F32B28">
        <w:rPr>
          <w:rtl/>
        </w:rPr>
        <w:t xml:space="preserve"> </w:t>
      </w:r>
      <w:r w:rsidR="00F32B28" w:rsidRPr="00F32B28">
        <w:rPr>
          <w:rtl/>
        </w:rPr>
        <w:t>بهدف</w:t>
      </w:r>
      <w:r w:rsidR="00F32B28">
        <w:rPr>
          <w:rtl/>
        </w:rPr>
        <w:t xml:space="preserve"> </w:t>
      </w:r>
      <w:r w:rsidR="00F32B28" w:rsidRPr="00F32B28">
        <w:rPr>
          <w:rtl/>
        </w:rPr>
        <w:t>ضمان</w:t>
      </w:r>
      <w:r w:rsidR="00F32B28">
        <w:rPr>
          <w:rtl/>
        </w:rPr>
        <w:t xml:space="preserve"> </w:t>
      </w:r>
      <w:r w:rsidR="00F32B28" w:rsidRPr="00F32B28">
        <w:rPr>
          <w:rtl/>
        </w:rPr>
        <w:t>مأسسة</w:t>
      </w:r>
      <w:r w:rsidR="00F32B28">
        <w:rPr>
          <w:rtl/>
        </w:rPr>
        <w:t xml:space="preserve"> </w:t>
      </w:r>
      <w:r w:rsidR="00F32B28" w:rsidRPr="00F32B28">
        <w:rPr>
          <w:rtl/>
        </w:rPr>
        <w:t>ودمج</w:t>
      </w:r>
      <w:r w:rsidR="00F32B28">
        <w:rPr>
          <w:rtl/>
        </w:rPr>
        <w:t xml:space="preserve"> </w:t>
      </w:r>
      <w:r w:rsidR="00F32B28" w:rsidRPr="00F32B28">
        <w:rPr>
          <w:rtl/>
        </w:rPr>
        <w:t>قضايا</w:t>
      </w:r>
      <w:r w:rsidR="00F32B28">
        <w:rPr>
          <w:rtl/>
        </w:rPr>
        <w:t xml:space="preserve"> </w:t>
      </w:r>
      <w:r w:rsidR="00F32B28" w:rsidRPr="00F32B28">
        <w:rPr>
          <w:rtl/>
        </w:rPr>
        <w:t>النوع</w:t>
      </w:r>
      <w:r w:rsidR="00F32B28">
        <w:rPr>
          <w:rtl/>
        </w:rPr>
        <w:t xml:space="preserve"> </w:t>
      </w:r>
      <w:r w:rsidR="00F32B28" w:rsidRPr="00F32B28">
        <w:rPr>
          <w:rtl/>
        </w:rPr>
        <w:t>الاجتماعي</w:t>
      </w:r>
      <w:r w:rsidR="00F32B28">
        <w:rPr>
          <w:rtl/>
        </w:rPr>
        <w:t xml:space="preserve"> </w:t>
      </w:r>
      <w:r w:rsidR="00F32B28" w:rsidRPr="00F32B28">
        <w:rPr>
          <w:rtl/>
        </w:rPr>
        <w:t>في</w:t>
      </w:r>
      <w:r w:rsidR="00F32B28">
        <w:rPr>
          <w:rtl/>
        </w:rPr>
        <w:t xml:space="preserve"> </w:t>
      </w:r>
      <w:r w:rsidR="00F32B28" w:rsidRPr="00F32B28">
        <w:rPr>
          <w:rtl/>
        </w:rPr>
        <w:t>القطاعات</w:t>
      </w:r>
      <w:r w:rsidR="00F32B28">
        <w:rPr>
          <w:rtl/>
        </w:rPr>
        <w:t xml:space="preserve"> </w:t>
      </w:r>
      <w:r w:rsidR="00F32B28" w:rsidRPr="00F32B28">
        <w:rPr>
          <w:rtl/>
        </w:rPr>
        <w:t>المختلفة،</w:t>
      </w:r>
      <w:r w:rsidR="00F32B28">
        <w:rPr>
          <w:rtl/>
        </w:rPr>
        <w:t xml:space="preserve"> </w:t>
      </w:r>
      <w:r w:rsidR="00F32B28" w:rsidRPr="00F32B28">
        <w:rPr>
          <w:rtl/>
        </w:rPr>
        <w:t>وتدقيق</w:t>
      </w:r>
      <w:r w:rsidR="00F32B28">
        <w:rPr>
          <w:rtl/>
        </w:rPr>
        <w:t xml:space="preserve"> </w:t>
      </w:r>
      <w:r w:rsidR="00F32B28" w:rsidRPr="00F32B28">
        <w:rPr>
          <w:rtl/>
        </w:rPr>
        <w:t>ومتابعة</w:t>
      </w:r>
      <w:r w:rsidR="00F32B28">
        <w:rPr>
          <w:rtl/>
        </w:rPr>
        <w:t xml:space="preserve"> </w:t>
      </w:r>
      <w:r w:rsidR="00F32B28" w:rsidRPr="00F32B28">
        <w:rPr>
          <w:rtl/>
        </w:rPr>
        <w:t>برامج</w:t>
      </w:r>
      <w:r w:rsidR="00F32B28">
        <w:rPr>
          <w:rtl/>
        </w:rPr>
        <w:t xml:space="preserve"> </w:t>
      </w:r>
      <w:r w:rsidR="00F32B28" w:rsidRPr="00F32B28">
        <w:rPr>
          <w:rtl/>
        </w:rPr>
        <w:t>وسياسات</w:t>
      </w:r>
      <w:r w:rsidR="00F32B28">
        <w:rPr>
          <w:rtl/>
        </w:rPr>
        <w:t xml:space="preserve"> </w:t>
      </w:r>
      <w:r w:rsidR="00F32B28" w:rsidRPr="00F32B28">
        <w:rPr>
          <w:rtl/>
        </w:rPr>
        <w:t>الحكومة</w:t>
      </w:r>
      <w:r w:rsidR="00F32B28">
        <w:rPr>
          <w:rtl/>
        </w:rPr>
        <w:t xml:space="preserve"> </w:t>
      </w:r>
      <w:r w:rsidR="00F32B28" w:rsidRPr="00F32B28">
        <w:rPr>
          <w:rtl/>
        </w:rPr>
        <w:t>من</w:t>
      </w:r>
      <w:r w:rsidR="00F32B28">
        <w:rPr>
          <w:rtl/>
        </w:rPr>
        <w:t xml:space="preserve"> </w:t>
      </w:r>
      <w:r w:rsidR="00F32B28" w:rsidRPr="00F32B28">
        <w:rPr>
          <w:rtl/>
        </w:rPr>
        <w:t>منظور</w:t>
      </w:r>
      <w:r w:rsidR="00F32B28">
        <w:rPr>
          <w:rtl/>
        </w:rPr>
        <w:t xml:space="preserve"> </w:t>
      </w:r>
      <w:r>
        <w:rPr>
          <w:rFonts w:hint="cs"/>
          <w:rtl/>
        </w:rPr>
        <w:t>جنساني</w:t>
      </w:r>
      <w:r w:rsidR="00F32B28" w:rsidRPr="00F32B28">
        <w:rPr>
          <w:rtl/>
        </w:rPr>
        <w:t>.</w:t>
      </w:r>
      <w:r w:rsidR="00CA17A8">
        <w:rPr>
          <w:rFonts w:hint="cs"/>
          <w:rtl/>
        </w:rPr>
        <w:t xml:space="preserve"> </w:t>
      </w:r>
      <w:r w:rsidR="00F32B28" w:rsidRPr="00F32B28">
        <w:rPr>
          <w:rtl/>
        </w:rPr>
        <w:t>ويبلغ</w:t>
      </w:r>
      <w:r w:rsidR="00F32B28">
        <w:rPr>
          <w:rtl/>
        </w:rPr>
        <w:t xml:space="preserve"> </w:t>
      </w:r>
      <w:r w:rsidR="00F32B28" w:rsidRPr="00F32B28">
        <w:rPr>
          <w:rtl/>
        </w:rPr>
        <w:t>عدد</w:t>
      </w:r>
      <w:r w:rsidR="00F32B28">
        <w:rPr>
          <w:rtl/>
        </w:rPr>
        <w:t xml:space="preserve"> </w:t>
      </w:r>
      <w:r w:rsidR="00F32B28" w:rsidRPr="00F32B28">
        <w:rPr>
          <w:rtl/>
        </w:rPr>
        <w:t>هذه</w:t>
      </w:r>
      <w:r w:rsidR="00F32B28">
        <w:rPr>
          <w:rtl/>
        </w:rPr>
        <w:t xml:space="preserve"> </w:t>
      </w:r>
      <w:r w:rsidR="00F32B28" w:rsidRPr="00F32B28">
        <w:rPr>
          <w:rtl/>
        </w:rPr>
        <w:t>الوحدات</w:t>
      </w:r>
      <w:r w:rsidR="00F32B28">
        <w:rPr>
          <w:rtl/>
        </w:rPr>
        <w:t xml:space="preserve"> </w:t>
      </w:r>
      <w:r w:rsidR="00F32B28" w:rsidRPr="00F32B28">
        <w:rPr>
          <w:rtl/>
        </w:rPr>
        <w:t>حتى</w:t>
      </w:r>
      <w:r w:rsidR="00F32B28">
        <w:rPr>
          <w:rtl/>
        </w:rPr>
        <w:t xml:space="preserve"> </w:t>
      </w:r>
      <w:r w:rsidR="00F32B28" w:rsidRPr="00F32B28">
        <w:rPr>
          <w:rtl/>
        </w:rPr>
        <w:t>تاريخه</w:t>
      </w:r>
      <w:r w:rsidR="00F32B28">
        <w:rPr>
          <w:rtl/>
        </w:rPr>
        <w:t xml:space="preserve"> </w:t>
      </w:r>
      <w:r w:rsidR="00F32B28" w:rsidRPr="00F32B28">
        <w:rPr>
          <w:rtl/>
        </w:rPr>
        <w:t>(22)</w:t>
      </w:r>
      <w:r w:rsidR="00F32B28">
        <w:rPr>
          <w:rtl/>
        </w:rPr>
        <w:t xml:space="preserve"> </w:t>
      </w:r>
      <w:r w:rsidR="00F32B28" w:rsidRPr="00F32B28">
        <w:rPr>
          <w:rtl/>
        </w:rPr>
        <w:t>وحدة.</w:t>
      </w:r>
      <w:r w:rsidR="008D730A">
        <w:rPr>
          <w:rFonts w:hint="cs"/>
          <w:rtl/>
        </w:rPr>
        <w:t xml:space="preserve"> </w:t>
      </w:r>
      <w:r w:rsidR="00F32B28" w:rsidRPr="00F32B28">
        <w:rPr>
          <w:rtl/>
        </w:rPr>
        <w:t>وتواجه</w:t>
      </w:r>
      <w:r w:rsidR="00F32B28">
        <w:rPr>
          <w:rtl/>
        </w:rPr>
        <w:t xml:space="preserve"> </w:t>
      </w:r>
      <w:r w:rsidR="00F32B28" w:rsidRPr="00F32B28">
        <w:rPr>
          <w:rtl/>
        </w:rPr>
        <w:t>هذه</w:t>
      </w:r>
      <w:r w:rsidR="00F32B28">
        <w:rPr>
          <w:rtl/>
        </w:rPr>
        <w:t xml:space="preserve"> </w:t>
      </w:r>
      <w:r w:rsidR="00F32B28" w:rsidRPr="00F32B28">
        <w:rPr>
          <w:rtl/>
        </w:rPr>
        <w:t>الوحدات</w:t>
      </w:r>
      <w:r w:rsidR="00F32B28">
        <w:rPr>
          <w:rtl/>
        </w:rPr>
        <w:t xml:space="preserve"> </w:t>
      </w:r>
      <w:r w:rsidR="00F32B28" w:rsidRPr="00F32B28">
        <w:rPr>
          <w:rtl/>
        </w:rPr>
        <w:t>تحديات</w:t>
      </w:r>
      <w:r w:rsidR="00F32B28">
        <w:rPr>
          <w:rtl/>
        </w:rPr>
        <w:t xml:space="preserve"> </w:t>
      </w:r>
      <w:r w:rsidR="00F32B28" w:rsidRPr="00F32B28">
        <w:rPr>
          <w:rtl/>
        </w:rPr>
        <w:t>تتمثل</w:t>
      </w:r>
      <w:r w:rsidR="00F32B28">
        <w:rPr>
          <w:rtl/>
        </w:rPr>
        <w:t xml:space="preserve"> </w:t>
      </w:r>
      <w:r w:rsidR="00F32B28" w:rsidRPr="00F32B28">
        <w:rPr>
          <w:rtl/>
        </w:rPr>
        <w:t>في</w:t>
      </w:r>
      <w:r w:rsidR="00F32B28">
        <w:rPr>
          <w:rtl/>
        </w:rPr>
        <w:t xml:space="preserve"> </w:t>
      </w:r>
      <w:r w:rsidR="00F32B28" w:rsidRPr="00F32B28">
        <w:rPr>
          <w:rtl/>
        </w:rPr>
        <w:t>التفاوت</w:t>
      </w:r>
      <w:r w:rsidR="00F32B28">
        <w:rPr>
          <w:rtl/>
        </w:rPr>
        <w:t xml:space="preserve"> </w:t>
      </w:r>
      <w:r w:rsidR="00F32B28" w:rsidRPr="00F32B28">
        <w:rPr>
          <w:rtl/>
        </w:rPr>
        <w:t>القائم</w:t>
      </w:r>
      <w:r w:rsidR="00F32B28">
        <w:rPr>
          <w:rtl/>
        </w:rPr>
        <w:t xml:space="preserve"> </w:t>
      </w:r>
      <w:r w:rsidR="00F32B28" w:rsidRPr="00F32B28">
        <w:rPr>
          <w:rtl/>
        </w:rPr>
        <w:t>من</w:t>
      </w:r>
      <w:r w:rsidR="00F32B28">
        <w:rPr>
          <w:rtl/>
        </w:rPr>
        <w:t xml:space="preserve"> </w:t>
      </w:r>
      <w:r w:rsidR="00F32B28" w:rsidRPr="00F32B28">
        <w:rPr>
          <w:rtl/>
        </w:rPr>
        <w:t>حيث</w:t>
      </w:r>
      <w:r w:rsidR="00F32B28">
        <w:rPr>
          <w:rtl/>
        </w:rPr>
        <w:t xml:space="preserve"> </w:t>
      </w:r>
      <w:r w:rsidR="00F32B28" w:rsidRPr="00F32B28">
        <w:rPr>
          <w:rtl/>
        </w:rPr>
        <w:t>أدوارها</w:t>
      </w:r>
      <w:r w:rsidR="00F32B28">
        <w:rPr>
          <w:rtl/>
        </w:rPr>
        <w:t xml:space="preserve"> </w:t>
      </w:r>
      <w:r w:rsidR="00F32B28" w:rsidRPr="00F32B28">
        <w:rPr>
          <w:rtl/>
        </w:rPr>
        <w:t>وهياكلها</w:t>
      </w:r>
      <w:r w:rsidR="00F32B28">
        <w:rPr>
          <w:rtl/>
        </w:rPr>
        <w:t xml:space="preserve"> </w:t>
      </w:r>
      <w:r w:rsidR="00F32B28" w:rsidRPr="00F32B28">
        <w:rPr>
          <w:rtl/>
        </w:rPr>
        <w:t>وقدراتها</w:t>
      </w:r>
      <w:r w:rsidR="00F32B28">
        <w:rPr>
          <w:rtl/>
        </w:rPr>
        <w:t xml:space="preserve"> </w:t>
      </w:r>
      <w:r w:rsidR="00F32B28" w:rsidRPr="00F32B28">
        <w:rPr>
          <w:rtl/>
        </w:rPr>
        <w:t>البشرية،</w:t>
      </w:r>
      <w:r w:rsidR="00F32B28">
        <w:rPr>
          <w:rtl/>
        </w:rPr>
        <w:t xml:space="preserve"> </w:t>
      </w:r>
      <w:r w:rsidR="00F32B28" w:rsidRPr="00F32B28">
        <w:rPr>
          <w:rtl/>
        </w:rPr>
        <w:t>بالرغم</w:t>
      </w:r>
      <w:r w:rsidR="00F32B28">
        <w:rPr>
          <w:rtl/>
        </w:rPr>
        <w:t xml:space="preserve"> </w:t>
      </w:r>
      <w:r w:rsidR="00F32B28" w:rsidRPr="00F32B28">
        <w:rPr>
          <w:rtl/>
        </w:rPr>
        <w:t>من</w:t>
      </w:r>
      <w:r w:rsidR="00F32B28">
        <w:rPr>
          <w:rtl/>
        </w:rPr>
        <w:t xml:space="preserve"> </w:t>
      </w:r>
      <w:r w:rsidR="00F32B28" w:rsidRPr="00F32B28">
        <w:rPr>
          <w:rtl/>
        </w:rPr>
        <w:t>صدور</w:t>
      </w:r>
      <w:r w:rsidR="00F32B28">
        <w:rPr>
          <w:rtl/>
        </w:rPr>
        <w:t xml:space="preserve"> </w:t>
      </w:r>
      <w:r w:rsidR="00F32B28" w:rsidRPr="00F32B28">
        <w:rPr>
          <w:rtl/>
        </w:rPr>
        <w:t>قرار</w:t>
      </w:r>
      <w:r w:rsidR="00F32B28">
        <w:rPr>
          <w:rtl/>
        </w:rPr>
        <w:t xml:space="preserve"> </w:t>
      </w:r>
      <w:r w:rsidR="00F32B28" w:rsidRPr="00F32B28">
        <w:rPr>
          <w:rtl/>
        </w:rPr>
        <w:t>وزاري</w:t>
      </w:r>
      <w:r w:rsidR="00F32B28">
        <w:rPr>
          <w:rtl/>
        </w:rPr>
        <w:t xml:space="preserve"> </w:t>
      </w:r>
      <w:r w:rsidR="00F32B28" w:rsidRPr="00F32B28">
        <w:rPr>
          <w:rtl/>
        </w:rPr>
        <w:t>بتوحيد</w:t>
      </w:r>
      <w:r w:rsidR="00F32B28">
        <w:rPr>
          <w:rtl/>
        </w:rPr>
        <w:t xml:space="preserve"> </w:t>
      </w:r>
      <w:r w:rsidR="00F32B28" w:rsidRPr="00F32B28">
        <w:rPr>
          <w:rtl/>
        </w:rPr>
        <w:t>هياكل</w:t>
      </w:r>
      <w:r w:rsidR="00F32B28">
        <w:rPr>
          <w:rtl/>
        </w:rPr>
        <w:t xml:space="preserve"> </w:t>
      </w:r>
      <w:r w:rsidR="00F32B28" w:rsidRPr="00F32B28">
        <w:rPr>
          <w:rtl/>
        </w:rPr>
        <w:t>وأدوار</w:t>
      </w:r>
      <w:r w:rsidR="00F32B28">
        <w:rPr>
          <w:rtl/>
        </w:rPr>
        <w:t xml:space="preserve"> </w:t>
      </w:r>
      <w:r w:rsidR="00F32B28" w:rsidRPr="00F32B28">
        <w:rPr>
          <w:rtl/>
        </w:rPr>
        <w:t>تلك،</w:t>
      </w:r>
      <w:r w:rsidR="00F32B28">
        <w:rPr>
          <w:rtl/>
        </w:rPr>
        <w:t xml:space="preserve"> </w:t>
      </w:r>
      <w:r w:rsidR="00F32B28" w:rsidRPr="00F32B28">
        <w:rPr>
          <w:rtl/>
        </w:rPr>
        <w:t>وغياب</w:t>
      </w:r>
      <w:r w:rsidR="00F32B28">
        <w:rPr>
          <w:rtl/>
        </w:rPr>
        <w:t xml:space="preserve"> </w:t>
      </w:r>
      <w:r w:rsidR="00F32B28" w:rsidRPr="00F32B28">
        <w:rPr>
          <w:rtl/>
        </w:rPr>
        <w:t>موازنة</w:t>
      </w:r>
      <w:r w:rsidR="00F32B28">
        <w:rPr>
          <w:rtl/>
        </w:rPr>
        <w:t xml:space="preserve"> </w:t>
      </w:r>
      <w:r w:rsidR="00F32B28" w:rsidRPr="00F32B28">
        <w:rPr>
          <w:rtl/>
        </w:rPr>
        <w:t>موحدة</w:t>
      </w:r>
      <w:r w:rsidR="00F32B28">
        <w:rPr>
          <w:rtl/>
        </w:rPr>
        <w:t xml:space="preserve"> </w:t>
      </w:r>
      <w:r w:rsidR="00F32B28" w:rsidRPr="00F32B28">
        <w:rPr>
          <w:rtl/>
        </w:rPr>
        <w:t>لعملها.</w:t>
      </w:r>
    </w:p>
    <w:p w:rsidR="00CA17A8" w:rsidRPr="00CA17A8" w:rsidRDefault="00CA17A8" w:rsidP="00CA17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F32B28" w:rsidRPr="00F32B28" w:rsidRDefault="00CA17A8" w:rsidP="008E451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F32B28" w:rsidRPr="00F32B28">
        <w:rPr>
          <w:rtl/>
        </w:rPr>
        <w:t>دوائر</w:t>
      </w:r>
      <w:r w:rsidR="00F32B28">
        <w:rPr>
          <w:rtl/>
        </w:rPr>
        <w:t xml:space="preserve"> </w:t>
      </w:r>
      <w:r w:rsidR="00F32B28" w:rsidRPr="00F32B28">
        <w:rPr>
          <w:rtl/>
        </w:rPr>
        <w:t>تنمية</w:t>
      </w:r>
      <w:r w:rsidR="00F32B28">
        <w:rPr>
          <w:rtl/>
        </w:rPr>
        <w:t xml:space="preserve"> </w:t>
      </w:r>
      <w:r w:rsidR="00F32B28" w:rsidRPr="00F32B28">
        <w:rPr>
          <w:rtl/>
        </w:rPr>
        <w:t>المرأة</w:t>
      </w:r>
    </w:p>
    <w:p w:rsidR="00F32B28" w:rsidRPr="00F32B28" w:rsidRDefault="00E36D1B" w:rsidP="00F32B28">
      <w:pPr>
        <w:pStyle w:val="SingleTxt"/>
      </w:pPr>
      <w:r>
        <w:rPr>
          <w:rFonts w:hint="cs"/>
          <w:rtl/>
          <w:lang w:bidi="ar-SY"/>
        </w:rPr>
        <w:t>19</w:t>
      </w:r>
      <w:r w:rsidR="00CA17A8">
        <w:rPr>
          <w:rFonts w:hint="cs"/>
          <w:rtl/>
          <w:lang w:bidi="ar-SY"/>
        </w:rPr>
        <w:t xml:space="preserve"> -</w:t>
      </w:r>
      <w:r w:rsidR="00CA17A8">
        <w:rPr>
          <w:rFonts w:hint="cs"/>
          <w:rtl/>
          <w:lang w:bidi="ar-SY"/>
        </w:rPr>
        <w:tab/>
      </w:r>
      <w:r w:rsidR="00F32B28" w:rsidRPr="00F32B28">
        <w:rPr>
          <w:rtl/>
          <w:lang w:bidi="ar-SY"/>
        </w:rPr>
        <w:t>استحدثت</w:t>
      </w:r>
      <w:r w:rsidR="00CA17A8">
        <w:rPr>
          <w:rFonts w:hint="cs"/>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الدوائر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المحافظات</w:t>
      </w:r>
      <w:r w:rsidR="00F32B28">
        <w:rPr>
          <w:rtl/>
          <w:lang w:bidi="ar-SY"/>
        </w:rPr>
        <w:t xml:space="preserve"> </w:t>
      </w:r>
      <w:r w:rsidR="00F32B28" w:rsidRPr="00F32B28">
        <w:rPr>
          <w:rtl/>
          <w:lang w:bidi="ar-SY"/>
        </w:rPr>
        <w:t>منذ</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2007</w:t>
      </w:r>
      <w:r w:rsidR="0043161B">
        <w:rPr>
          <w:rFonts w:hint="cs"/>
          <w:rtl/>
          <w:lang w:bidi="ar-SY"/>
        </w:rPr>
        <w:t xml:space="preserve"> </w:t>
      </w:r>
      <w:r w:rsidR="00F32B28" w:rsidRPr="00F32B28">
        <w:rPr>
          <w:rtl/>
          <w:lang w:bidi="ar-SY"/>
        </w:rPr>
        <w:t>بهدف</w:t>
      </w:r>
      <w:r w:rsidR="00F32B28">
        <w:rPr>
          <w:rtl/>
          <w:lang w:bidi="ar-SY"/>
        </w:rPr>
        <w:t xml:space="preserve"> </w:t>
      </w:r>
      <w:r w:rsidR="00F32B28" w:rsidRPr="00F32B28">
        <w:rPr>
          <w:rtl/>
          <w:lang w:bidi="ar-SY"/>
        </w:rPr>
        <w:t>تعزيز</w:t>
      </w:r>
      <w:r w:rsidR="00F32B28">
        <w:rPr>
          <w:rtl/>
          <w:lang w:bidi="ar-SY"/>
        </w:rPr>
        <w:t xml:space="preserve"> </w:t>
      </w:r>
      <w:r w:rsidR="00F32B28" w:rsidRPr="00F32B28">
        <w:rPr>
          <w:rtl/>
          <w:lang w:bidi="ar-SY"/>
        </w:rPr>
        <w:t>مكانة</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وتمكينها</w:t>
      </w:r>
      <w:r w:rsidR="00F32B28">
        <w:rPr>
          <w:rtl/>
          <w:lang w:bidi="ar-SY"/>
        </w:rPr>
        <w:t xml:space="preserve"> </w:t>
      </w:r>
      <w:r w:rsidR="00F32B28" w:rsidRPr="00F32B28">
        <w:rPr>
          <w:rtl/>
          <w:lang w:bidi="ar-SY"/>
        </w:rPr>
        <w:t>وتقديم</w:t>
      </w:r>
      <w:r w:rsidR="00F32B28">
        <w:rPr>
          <w:rtl/>
          <w:lang w:bidi="ar-SY"/>
        </w:rPr>
        <w:t xml:space="preserve"> </w:t>
      </w:r>
      <w:r w:rsidR="00F32B28" w:rsidRPr="00F32B28">
        <w:rPr>
          <w:rtl/>
          <w:lang w:bidi="ar-SY"/>
        </w:rPr>
        <w:t>خدمات</w:t>
      </w:r>
      <w:r w:rsidR="00F32B28">
        <w:rPr>
          <w:rtl/>
          <w:lang w:bidi="ar-SY"/>
        </w:rPr>
        <w:t xml:space="preserve"> </w:t>
      </w:r>
      <w:r w:rsidR="00F32B28" w:rsidRPr="00F32B28">
        <w:rPr>
          <w:rtl/>
          <w:lang w:bidi="ar-SY"/>
        </w:rPr>
        <w:t>تراعي</w:t>
      </w:r>
      <w:r w:rsidR="00F32B28">
        <w:rPr>
          <w:rtl/>
          <w:lang w:bidi="ar-SY"/>
        </w:rPr>
        <w:t xml:space="preserve"> </w:t>
      </w:r>
      <w:r w:rsidR="00F32B28" w:rsidRPr="00F32B28">
        <w:rPr>
          <w:rtl/>
          <w:lang w:bidi="ar-SY"/>
        </w:rPr>
        <w:t>احتياجات</w:t>
      </w:r>
      <w:r w:rsidR="00F32B28">
        <w:rPr>
          <w:rtl/>
          <w:lang w:bidi="ar-SY"/>
        </w:rPr>
        <w:t xml:space="preserve"> </w:t>
      </w:r>
      <w:r w:rsidR="00F32B28" w:rsidRPr="00F32B28">
        <w:rPr>
          <w:rtl/>
          <w:lang w:bidi="ar-SY"/>
        </w:rPr>
        <w:t>النوع</w:t>
      </w:r>
      <w:r w:rsidR="00F32B28">
        <w:rPr>
          <w:rtl/>
          <w:lang w:bidi="ar-SY"/>
        </w:rPr>
        <w:t xml:space="preserve"> </w:t>
      </w:r>
      <w:r w:rsidR="00F32B28" w:rsidRPr="00F32B28">
        <w:rPr>
          <w:rtl/>
          <w:lang w:bidi="ar-SY"/>
        </w:rPr>
        <w:t>الاجتماعي.</w:t>
      </w:r>
    </w:p>
    <w:p w:rsidR="00CA17A8" w:rsidRPr="00CA17A8" w:rsidRDefault="00CA17A8" w:rsidP="00CA17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SY"/>
        </w:rPr>
      </w:pPr>
    </w:p>
    <w:p w:rsidR="00F32B28" w:rsidRPr="00F32B28" w:rsidRDefault="00CA17A8" w:rsidP="00CA17A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SY"/>
        </w:rPr>
      </w:pPr>
      <w:r>
        <w:rPr>
          <w:rFonts w:hint="cs"/>
          <w:rtl/>
          <w:lang w:bidi="ar-SY"/>
        </w:rPr>
        <w:tab/>
      </w:r>
      <w:r w:rsidR="00F32B28" w:rsidRPr="00F32B28">
        <w:rPr>
          <w:rtl/>
          <w:lang w:bidi="ar-SY"/>
        </w:rPr>
        <w:t>ثالثاً</w:t>
      </w:r>
      <w:r>
        <w:rPr>
          <w:rFonts w:hint="cs"/>
          <w:rtl/>
          <w:lang w:bidi="ar-SY"/>
        </w:rPr>
        <w:t xml:space="preserve"> -</w:t>
      </w:r>
      <w:r>
        <w:rPr>
          <w:rFonts w:hint="cs"/>
          <w:rtl/>
          <w:lang w:bidi="ar-SY"/>
        </w:rPr>
        <w:tab/>
      </w:r>
      <w:r w:rsidR="00F32B28" w:rsidRPr="00F32B28">
        <w:rPr>
          <w:rtl/>
          <w:lang w:bidi="ar-SY"/>
        </w:rPr>
        <w:t>آليات</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الصلة</w:t>
      </w:r>
      <w:r w:rsidR="00F32B28">
        <w:rPr>
          <w:rtl/>
          <w:lang w:bidi="ar-SY"/>
        </w:rPr>
        <w:t xml:space="preserve"> </w:t>
      </w:r>
      <w:r w:rsidR="00F32B28" w:rsidRPr="00F32B28">
        <w:rPr>
          <w:rtl/>
          <w:lang w:bidi="ar-SY"/>
        </w:rPr>
        <w:t>بالمجتمع</w:t>
      </w:r>
      <w:r w:rsidR="00F32B28">
        <w:rPr>
          <w:rtl/>
          <w:lang w:bidi="ar-SY"/>
        </w:rPr>
        <w:t xml:space="preserve"> </w:t>
      </w:r>
      <w:r w:rsidR="00F32B28" w:rsidRPr="00F32B28">
        <w:rPr>
          <w:rtl/>
          <w:lang w:bidi="ar-SY"/>
        </w:rPr>
        <w:t>المدني</w:t>
      </w:r>
    </w:p>
    <w:p w:rsidR="00F32B28" w:rsidRPr="00F32B28" w:rsidRDefault="00CA17A8" w:rsidP="008E451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F32B28" w:rsidRPr="00F32B28">
        <w:rPr>
          <w:rtl/>
        </w:rPr>
        <w:t>المؤسسات</w:t>
      </w:r>
      <w:r w:rsidR="00F32B28">
        <w:rPr>
          <w:rtl/>
        </w:rPr>
        <w:t xml:space="preserve"> </w:t>
      </w:r>
      <w:r w:rsidR="00F32B28" w:rsidRPr="00F32B28">
        <w:rPr>
          <w:rtl/>
        </w:rPr>
        <w:t>غير</w:t>
      </w:r>
      <w:r w:rsidR="00F32B28">
        <w:rPr>
          <w:rtl/>
        </w:rPr>
        <w:t xml:space="preserve"> </w:t>
      </w:r>
      <w:r w:rsidR="00F32B28" w:rsidRPr="00F32B28">
        <w:rPr>
          <w:rtl/>
        </w:rPr>
        <w:t>الحكومية</w:t>
      </w:r>
      <w:r w:rsidR="00F32B28">
        <w:rPr>
          <w:rtl/>
        </w:rPr>
        <w:t xml:space="preserve"> </w:t>
      </w:r>
      <w:r w:rsidR="00F32B28" w:rsidRPr="00F32B28">
        <w:rPr>
          <w:rtl/>
        </w:rPr>
        <w:t>النسوية</w:t>
      </w:r>
    </w:p>
    <w:p w:rsidR="00F32B28" w:rsidRPr="00F32B28" w:rsidRDefault="009C6174" w:rsidP="00DF0562">
      <w:pPr>
        <w:pStyle w:val="SingleTxt"/>
        <w:rPr>
          <w:rtl/>
        </w:rPr>
      </w:pPr>
      <w:r>
        <w:rPr>
          <w:rFonts w:hint="cs"/>
          <w:rtl/>
        </w:rPr>
        <w:t>20</w:t>
      </w:r>
      <w:r w:rsidR="00DF0562">
        <w:rPr>
          <w:rFonts w:hint="cs"/>
          <w:rtl/>
        </w:rPr>
        <w:t xml:space="preserve"> -</w:t>
      </w:r>
      <w:r w:rsidR="00DF0562">
        <w:rPr>
          <w:rFonts w:hint="cs"/>
          <w:rtl/>
        </w:rPr>
        <w:tab/>
      </w:r>
      <w:r w:rsidR="00F32B28" w:rsidRPr="00F32B28">
        <w:rPr>
          <w:rtl/>
        </w:rPr>
        <w:t>تعمل</w:t>
      </w:r>
      <w:r w:rsidR="00F32B28">
        <w:rPr>
          <w:rtl/>
        </w:rPr>
        <w:t xml:space="preserve"> </w:t>
      </w:r>
      <w:r w:rsidR="00F32B28" w:rsidRPr="00F32B28">
        <w:rPr>
          <w:rtl/>
        </w:rPr>
        <w:t>هذه</w:t>
      </w:r>
      <w:r w:rsidR="00F32B28">
        <w:rPr>
          <w:rtl/>
        </w:rPr>
        <w:t xml:space="preserve"> </w:t>
      </w:r>
      <w:r w:rsidR="00F32B28" w:rsidRPr="00F32B28">
        <w:rPr>
          <w:rtl/>
        </w:rPr>
        <w:t>المؤسسات</w:t>
      </w:r>
      <w:r w:rsidR="00DF0562">
        <w:rPr>
          <w:rFonts w:hint="cs"/>
          <w:rtl/>
        </w:rPr>
        <w:t xml:space="preserve"> </w:t>
      </w:r>
      <w:r w:rsidR="00F32B28" w:rsidRPr="00F32B28">
        <w:rPr>
          <w:rtl/>
        </w:rPr>
        <w:t>على</w:t>
      </w:r>
      <w:r w:rsidR="00F32B28">
        <w:rPr>
          <w:rtl/>
        </w:rPr>
        <w:t xml:space="preserve"> </w:t>
      </w:r>
      <w:r w:rsidR="00F32B28" w:rsidRPr="00F32B28">
        <w:rPr>
          <w:rtl/>
        </w:rPr>
        <w:t>دعم</w:t>
      </w:r>
      <w:r w:rsidR="00F32B28">
        <w:rPr>
          <w:rtl/>
        </w:rPr>
        <w:t xml:space="preserve"> </w:t>
      </w:r>
      <w:r w:rsidR="00F32B28" w:rsidRPr="00F32B28">
        <w:rPr>
          <w:rtl/>
        </w:rPr>
        <w:t>وتمكين</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كافة</w:t>
      </w:r>
      <w:r w:rsidR="00F32B28">
        <w:rPr>
          <w:rtl/>
        </w:rPr>
        <w:t xml:space="preserve"> </w:t>
      </w:r>
      <w:r w:rsidR="00F32B28" w:rsidRPr="00F32B28">
        <w:rPr>
          <w:rtl/>
        </w:rPr>
        <w:t>المجالات</w:t>
      </w:r>
      <w:r w:rsidR="00DF0562">
        <w:rPr>
          <w:rFonts w:hint="cs"/>
          <w:rtl/>
        </w:rPr>
        <w:t xml:space="preserve"> </w:t>
      </w:r>
      <w:r w:rsidR="00F32B28" w:rsidRPr="00F32B28">
        <w:rPr>
          <w:rtl/>
        </w:rPr>
        <w:t>وتساهم</w:t>
      </w:r>
      <w:r w:rsidR="00F32B28">
        <w:rPr>
          <w:rtl/>
        </w:rPr>
        <w:t xml:space="preserve"> </w:t>
      </w:r>
      <w:r w:rsidR="00F32B28" w:rsidRPr="00F32B28">
        <w:rPr>
          <w:rtl/>
        </w:rPr>
        <w:t>في</w:t>
      </w:r>
      <w:r w:rsidR="00F32B28">
        <w:rPr>
          <w:rtl/>
        </w:rPr>
        <w:t xml:space="preserve"> </w:t>
      </w:r>
      <w:r w:rsidR="00F32B28" w:rsidRPr="00F32B28">
        <w:rPr>
          <w:rtl/>
        </w:rPr>
        <w:t>تعزيز</w:t>
      </w:r>
      <w:r w:rsidR="00F32B28">
        <w:rPr>
          <w:rtl/>
        </w:rPr>
        <w:t xml:space="preserve"> </w:t>
      </w:r>
      <w:r w:rsidR="00F32B28" w:rsidRPr="00F32B28">
        <w:rPr>
          <w:rtl/>
        </w:rPr>
        <w:t>الوعي</w:t>
      </w:r>
      <w:r w:rsidR="00F32B28">
        <w:rPr>
          <w:rtl/>
        </w:rPr>
        <w:t xml:space="preserve"> </w:t>
      </w:r>
      <w:r w:rsidR="00F32B28" w:rsidRPr="00F32B28">
        <w:rPr>
          <w:rtl/>
        </w:rPr>
        <w:t>المجتمعي</w:t>
      </w:r>
      <w:r w:rsidR="00F32B28">
        <w:rPr>
          <w:rtl/>
        </w:rPr>
        <w:t xml:space="preserve"> </w:t>
      </w:r>
      <w:r w:rsidR="00F32B28" w:rsidRPr="00F32B28">
        <w:rPr>
          <w:rtl/>
        </w:rPr>
        <w:t>حول</w:t>
      </w:r>
      <w:r w:rsidR="00F32B28">
        <w:rPr>
          <w:rtl/>
        </w:rPr>
        <w:t xml:space="preserve"> </w:t>
      </w:r>
      <w:r w:rsidR="00F32B28" w:rsidRPr="00F32B28">
        <w:rPr>
          <w:rtl/>
        </w:rPr>
        <w:t>حقوق</w:t>
      </w:r>
      <w:r w:rsidR="00F32B28">
        <w:rPr>
          <w:rtl/>
        </w:rPr>
        <w:t xml:space="preserve"> </w:t>
      </w:r>
      <w:r w:rsidR="00F32B28" w:rsidRPr="00F32B28">
        <w:rPr>
          <w:rtl/>
        </w:rPr>
        <w:t>النساء</w:t>
      </w:r>
      <w:r w:rsidR="00F32B28">
        <w:rPr>
          <w:rtl/>
        </w:rPr>
        <w:t xml:space="preserve"> </w:t>
      </w:r>
      <w:r w:rsidR="00F32B28" w:rsidRPr="00F32B28">
        <w:rPr>
          <w:rtl/>
        </w:rPr>
        <w:t>ومكانتهن.</w:t>
      </w:r>
      <w:r w:rsidR="00F32B28">
        <w:rPr>
          <w:rtl/>
        </w:rPr>
        <w:t xml:space="preserve"> </w:t>
      </w:r>
      <w:r w:rsidR="00F32B28" w:rsidRPr="00F32B28">
        <w:rPr>
          <w:rtl/>
        </w:rPr>
        <w:t>وتلعب</w:t>
      </w:r>
      <w:r w:rsidR="00F32B28">
        <w:rPr>
          <w:rtl/>
        </w:rPr>
        <w:t xml:space="preserve"> </w:t>
      </w:r>
      <w:r w:rsidR="00F32B28" w:rsidRPr="00F32B28">
        <w:rPr>
          <w:rtl/>
        </w:rPr>
        <w:t>هذه</w:t>
      </w:r>
      <w:r w:rsidR="00F32B28">
        <w:rPr>
          <w:rtl/>
        </w:rPr>
        <w:t xml:space="preserve"> </w:t>
      </w:r>
      <w:r w:rsidR="00F32B28" w:rsidRPr="00F32B28">
        <w:rPr>
          <w:rtl/>
        </w:rPr>
        <w:t>المؤسسات</w:t>
      </w:r>
      <w:r w:rsidR="00F32B28">
        <w:rPr>
          <w:rtl/>
        </w:rPr>
        <w:t xml:space="preserve"> </w:t>
      </w:r>
      <w:r w:rsidR="00F32B28" w:rsidRPr="00F32B28">
        <w:rPr>
          <w:rtl/>
        </w:rPr>
        <w:t>دوراً</w:t>
      </w:r>
      <w:r w:rsidR="00F32B28">
        <w:rPr>
          <w:rtl/>
        </w:rPr>
        <w:t xml:space="preserve"> </w:t>
      </w:r>
      <w:r w:rsidR="00F32B28" w:rsidRPr="00F32B28">
        <w:rPr>
          <w:rtl/>
        </w:rPr>
        <w:t>مهماً</w:t>
      </w:r>
      <w:r w:rsidR="00F32B28">
        <w:rPr>
          <w:rtl/>
        </w:rPr>
        <w:t xml:space="preserve"> </w:t>
      </w:r>
      <w:r w:rsidR="00F32B28" w:rsidRPr="00F32B28">
        <w:rPr>
          <w:rtl/>
        </w:rPr>
        <w:t>في</w:t>
      </w:r>
      <w:r w:rsidR="00F32B28">
        <w:rPr>
          <w:rtl/>
        </w:rPr>
        <w:t xml:space="preserve"> </w:t>
      </w:r>
      <w:r w:rsidR="00F32B28" w:rsidRPr="00F32B28">
        <w:rPr>
          <w:rtl/>
        </w:rPr>
        <w:t>إلغاء</w:t>
      </w:r>
      <w:r w:rsidR="00F32B28">
        <w:rPr>
          <w:rtl/>
        </w:rPr>
        <w:t xml:space="preserve"> </w:t>
      </w:r>
      <w:r w:rsidR="00F32B28" w:rsidRPr="00F32B28">
        <w:rPr>
          <w:rtl/>
        </w:rPr>
        <w:t>الأعراف</w:t>
      </w:r>
      <w:r w:rsidR="00F32B28">
        <w:rPr>
          <w:rtl/>
        </w:rPr>
        <w:t xml:space="preserve"> </w:t>
      </w:r>
      <w:r w:rsidR="00F32B28" w:rsidRPr="00F32B28">
        <w:rPr>
          <w:rtl/>
        </w:rPr>
        <w:t>والممارسات</w:t>
      </w:r>
      <w:r w:rsidR="00F32B28">
        <w:rPr>
          <w:rtl/>
        </w:rPr>
        <w:t xml:space="preserve"> </w:t>
      </w:r>
      <w:r w:rsidR="00F32B28" w:rsidRPr="00F32B28">
        <w:rPr>
          <w:rtl/>
        </w:rPr>
        <w:t>التي</w:t>
      </w:r>
      <w:r w:rsidR="00F32B28">
        <w:rPr>
          <w:rtl/>
        </w:rPr>
        <w:t xml:space="preserve"> </w:t>
      </w:r>
      <w:r w:rsidR="00F32B28" w:rsidRPr="00F32B28">
        <w:rPr>
          <w:rtl/>
        </w:rPr>
        <w:t>تشكل</w:t>
      </w:r>
      <w:r w:rsidR="00F32B28">
        <w:rPr>
          <w:rtl/>
        </w:rPr>
        <w:t xml:space="preserve"> </w:t>
      </w:r>
      <w:r w:rsidR="00F32B28" w:rsidRPr="00F32B28">
        <w:rPr>
          <w:rtl/>
        </w:rPr>
        <w:t>تمييزاً</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وتقديم</w:t>
      </w:r>
      <w:r w:rsidR="00F32B28">
        <w:rPr>
          <w:rtl/>
        </w:rPr>
        <w:t xml:space="preserve"> </w:t>
      </w:r>
      <w:r w:rsidR="00F32B28" w:rsidRPr="00F32B28">
        <w:rPr>
          <w:rtl/>
        </w:rPr>
        <w:t>مختلف</w:t>
      </w:r>
      <w:r w:rsidR="00F32B28">
        <w:rPr>
          <w:rtl/>
        </w:rPr>
        <w:t xml:space="preserve"> </w:t>
      </w:r>
      <w:r w:rsidR="00F32B28" w:rsidRPr="00F32B28">
        <w:rPr>
          <w:rtl/>
        </w:rPr>
        <w:t>الخدمات،</w:t>
      </w:r>
      <w:r w:rsidR="00F32B28">
        <w:rPr>
          <w:rtl/>
        </w:rPr>
        <w:t xml:space="preserve"> </w:t>
      </w:r>
      <w:r w:rsidR="00F32B28" w:rsidRPr="00F32B28">
        <w:rPr>
          <w:rtl/>
        </w:rPr>
        <w:t>لا</w:t>
      </w:r>
      <w:r w:rsidR="00F32B28">
        <w:rPr>
          <w:rtl/>
        </w:rPr>
        <w:t xml:space="preserve"> </w:t>
      </w:r>
      <w:r w:rsidR="00F32B28" w:rsidRPr="00F32B28">
        <w:rPr>
          <w:rtl/>
        </w:rPr>
        <w:t>سيما</w:t>
      </w:r>
      <w:r w:rsidR="00DF0562">
        <w:rPr>
          <w:rFonts w:hint="cs"/>
          <w:rtl/>
        </w:rPr>
        <w:t xml:space="preserve"> </w:t>
      </w:r>
      <w:r w:rsidR="00F32B28" w:rsidRPr="00F32B28">
        <w:rPr>
          <w:rtl/>
        </w:rPr>
        <w:t>دعم</w:t>
      </w:r>
      <w:r w:rsidR="00F32B28">
        <w:rPr>
          <w:rtl/>
        </w:rPr>
        <w:t xml:space="preserve"> </w:t>
      </w:r>
      <w:r w:rsidR="00F32B28" w:rsidRPr="00F32B28">
        <w:rPr>
          <w:rtl/>
          <w:lang w:bidi="ar-SY"/>
        </w:rPr>
        <w:t>النساء</w:t>
      </w:r>
      <w:r w:rsidR="00F32B28">
        <w:rPr>
          <w:rtl/>
          <w:lang w:bidi="ar-SY"/>
        </w:rPr>
        <w:t xml:space="preserve"> </w:t>
      </w:r>
      <w:r w:rsidR="00F32B28" w:rsidRPr="00F32B28">
        <w:rPr>
          <w:rtl/>
          <w:lang w:bidi="ar-SY"/>
        </w:rPr>
        <w:t>ضحايا</w:t>
      </w:r>
      <w:r w:rsidR="00F32B28">
        <w:rPr>
          <w:rtl/>
          <w:lang w:bidi="ar-SY"/>
        </w:rPr>
        <w:t xml:space="preserve"> </w:t>
      </w:r>
      <w:r w:rsidR="00F32B28" w:rsidRPr="00F32B28">
        <w:rPr>
          <w:rtl/>
          <w:lang w:bidi="ar-SY"/>
        </w:rPr>
        <w:t>العنف</w:t>
      </w:r>
      <w:r w:rsidR="00F32B28">
        <w:rPr>
          <w:rtl/>
          <w:lang w:bidi="ar-SY"/>
        </w:rPr>
        <w:t xml:space="preserve"> </w:t>
      </w:r>
      <w:r w:rsidR="00F32B28" w:rsidRPr="00F32B28">
        <w:rPr>
          <w:rtl/>
        </w:rPr>
        <w:t>و</w:t>
      </w:r>
      <w:r w:rsidR="00F32B28" w:rsidRPr="00F32B28">
        <w:rPr>
          <w:rtl/>
          <w:lang w:bidi="ar-JO"/>
        </w:rPr>
        <w:t>توفير</w:t>
      </w:r>
      <w:r w:rsidR="00F32B28">
        <w:rPr>
          <w:rtl/>
          <w:lang w:bidi="ar-JO"/>
        </w:rPr>
        <w:t xml:space="preserve"> </w:t>
      </w:r>
      <w:r w:rsidR="00F32B28" w:rsidRPr="00F32B28">
        <w:rPr>
          <w:rtl/>
        </w:rPr>
        <w:t>الخطوط</w:t>
      </w:r>
      <w:r w:rsidR="00F32B28">
        <w:rPr>
          <w:rtl/>
        </w:rPr>
        <w:t xml:space="preserve"> </w:t>
      </w:r>
      <w:r w:rsidR="00F32B28" w:rsidRPr="00F32B28">
        <w:rPr>
          <w:rtl/>
        </w:rPr>
        <w:t>الساخنة</w:t>
      </w:r>
      <w:r w:rsidR="00F32B28">
        <w:rPr>
          <w:rtl/>
        </w:rPr>
        <w:t xml:space="preserve"> </w:t>
      </w:r>
      <w:r w:rsidR="00F32B28" w:rsidRPr="00F32B28">
        <w:rPr>
          <w:rtl/>
        </w:rPr>
        <w:t>والبيوت</w:t>
      </w:r>
      <w:r w:rsidR="00F32B28">
        <w:rPr>
          <w:rtl/>
        </w:rPr>
        <w:t xml:space="preserve"> </w:t>
      </w:r>
      <w:r w:rsidR="00F32B28" w:rsidRPr="00F32B28">
        <w:rPr>
          <w:rtl/>
        </w:rPr>
        <w:t>الآمنة.</w:t>
      </w:r>
      <w:r w:rsidR="00DF0562">
        <w:rPr>
          <w:rFonts w:hint="cs"/>
          <w:rtl/>
        </w:rPr>
        <w:t xml:space="preserve"> </w:t>
      </w:r>
      <w:r w:rsidR="00F32B28" w:rsidRPr="00F32B28">
        <w:rPr>
          <w:rtl/>
        </w:rPr>
        <w:t>كما</w:t>
      </w:r>
      <w:r w:rsidR="00F32B28">
        <w:rPr>
          <w:rtl/>
        </w:rPr>
        <w:t xml:space="preserve"> </w:t>
      </w:r>
      <w:r w:rsidR="00F32B28" w:rsidRPr="00F32B28">
        <w:rPr>
          <w:rtl/>
        </w:rPr>
        <w:t>تشارك</w:t>
      </w:r>
      <w:r w:rsidR="00F32B28">
        <w:rPr>
          <w:rtl/>
        </w:rPr>
        <w:t xml:space="preserve"> </w:t>
      </w:r>
      <w:r w:rsidR="00F32B28" w:rsidRPr="00F32B28">
        <w:rPr>
          <w:rtl/>
        </w:rPr>
        <w:t>هذه</w:t>
      </w:r>
      <w:r w:rsidR="00F32B28">
        <w:rPr>
          <w:rtl/>
        </w:rPr>
        <w:t xml:space="preserve"> </w:t>
      </w:r>
      <w:r w:rsidR="00F32B28" w:rsidRPr="00F32B28">
        <w:rPr>
          <w:rtl/>
        </w:rPr>
        <w:t>المؤسسات</w:t>
      </w:r>
      <w:r w:rsidR="00F32B28">
        <w:rPr>
          <w:rtl/>
        </w:rPr>
        <w:t xml:space="preserve"> </w:t>
      </w:r>
      <w:r w:rsidR="00F32B28" w:rsidRPr="00F32B28">
        <w:rPr>
          <w:rtl/>
        </w:rPr>
        <w:t>في</w:t>
      </w:r>
      <w:r w:rsidR="00F32B28">
        <w:rPr>
          <w:rtl/>
        </w:rPr>
        <w:t xml:space="preserve"> </w:t>
      </w:r>
      <w:r w:rsidR="00F32B28" w:rsidRPr="00F32B28">
        <w:rPr>
          <w:rtl/>
        </w:rPr>
        <w:t>مناقشة</w:t>
      </w:r>
      <w:r w:rsidR="00F32B28">
        <w:rPr>
          <w:rtl/>
        </w:rPr>
        <w:t xml:space="preserve"> </w:t>
      </w:r>
      <w:r w:rsidR="00F32B28" w:rsidRPr="00F32B28">
        <w:rPr>
          <w:rtl/>
        </w:rPr>
        <w:t>التشريعات</w:t>
      </w:r>
      <w:r w:rsidR="00F32B28">
        <w:rPr>
          <w:rtl/>
        </w:rPr>
        <w:t xml:space="preserve"> </w:t>
      </w:r>
      <w:r w:rsidR="00F32B28" w:rsidRPr="00F32B28">
        <w:rPr>
          <w:rtl/>
        </w:rPr>
        <w:t>وتعديلها</w:t>
      </w:r>
      <w:r w:rsidR="00F32B28">
        <w:rPr>
          <w:rtl/>
        </w:rPr>
        <w:t xml:space="preserve"> </w:t>
      </w:r>
      <w:r w:rsidR="00F32B28" w:rsidRPr="00F32B28">
        <w:rPr>
          <w:rtl/>
        </w:rPr>
        <w:t>بما</w:t>
      </w:r>
      <w:r w:rsidR="008C7FF9">
        <w:rPr>
          <w:rFonts w:hint="cs"/>
          <w:rtl/>
        </w:rPr>
        <w:t> </w:t>
      </w:r>
      <w:r w:rsidR="00F32B28" w:rsidRPr="00F32B28">
        <w:rPr>
          <w:rtl/>
        </w:rPr>
        <w:t>يتوا</w:t>
      </w:r>
      <w:r w:rsidR="00DF0562">
        <w:rPr>
          <w:rFonts w:hint="cs"/>
          <w:rtl/>
        </w:rPr>
        <w:t>ء</w:t>
      </w:r>
      <w:r w:rsidR="00F32B28" w:rsidRPr="00F32B28">
        <w:rPr>
          <w:rtl/>
        </w:rPr>
        <w:t>م</w:t>
      </w:r>
      <w:r w:rsidR="00F32B28">
        <w:rPr>
          <w:rtl/>
        </w:rPr>
        <w:t xml:space="preserve"> </w:t>
      </w:r>
      <w:r w:rsidR="00F32B28" w:rsidRPr="00F32B28">
        <w:rPr>
          <w:rtl/>
        </w:rPr>
        <w:t>مع</w:t>
      </w:r>
      <w:r w:rsidR="00F32B28">
        <w:rPr>
          <w:rtl/>
        </w:rPr>
        <w:t xml:space="preserve"> </w:t>
      </w:r>
      <w:r w:rsidR="00F32B28" w:rsidRPr="00F32B28">
        <w:rPr>
          <w:rtl/>
        </w:rPr>
        <w:t>حقوق</w:t>
      </w:r>
      <w:r w:rsidR="00F32B28">
        <w:rPr>
          <w:rtl/>
        </w:rPr>
        <w:t xml:space="preserve"> </w:t>
      </w:r>
      <w:r w:rsidR="00F32B28" w:rsidRPr="00F32B28">
        <w:rPr>
          <w:rtl/>
        </w:rPr>
        <w:t>المرأة</w:t>
      </w:r>
      <w:r w:rsidR="00F32B28">
        <w:rPr>
          <w:rtl/>
        </w:rPr>
        <w:t xml:space="preserve"> </w:t>
      </w:r>
      <w:r w:rsidR="00F32B28" w:rsidRPr="00F32B28">
        <w:rPr>
          <w:rtl/>
        </w:rPr>
        <w:t>ويعزز</w:t>
      </w:r>
      <w:r w:rsidR="00F32B28">
        <w:rPr>
          <w:rtl/>
        </w:rPr>
        <w:t xml:space="preserve"> </w:t>
      </w:r>
      <w:r w:rsidR="00F32B28" w:rsidRPr="00F32B28">
        <w:rPr>
          <w:rtl/>
        </w:rPr>
        <w:t>تطبيقها</w:t>
      </w:r>
      <w:r w:rsidR="00F32B28">
        <w:rPr>
          <w:rtl/>
        </w:rPr>
        <w:t xml:space="preserve"> </w:t>
      </w:r>
      <w:r w:rsidR="00F32B28" w:rsidRPr="00F32B28">
        <w:rPr>
          <w:rtl/>
        </w:rPr>
        <w:t>الفعلي.</w:t>
      </w:r>
    </w:p>
    <w:p w:rsidR="00DF0562" w:rsidRPr="00DF0562" w:rsidRDefault="00DF0562" w:rsidP="00DF05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F32B28" w:rsidRPr="00F32B28" w:rsidRDefault="00DF0562" w:rsidP="00DF05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F32B28" w:rsidRPr="00F32B28">
        <w:rPr>
          <w:rtl/>
        </w:rPr>
        <w:t>المؤسسات</w:t>
      </w:r>
      <w:r w:rsidR="00F32B28">
        <w:rPr>
          <w:rtl/>
        </w:rPr>
        <w:t xml:space="preserve"> </w:t>
      </w:r>
      <w:r w:rsidR="00F32B28" w:rsidRPr="00F32B28">
        <w:rPr>
          <w:rtl/>
        </w:rPr>
        <w:t>غير</w:t>
      </w:r>
      <w:r w:rsidR="00F32B28">
        <w:rPr>
          <w:rtl/>
        </w:rPr>
        <w:t xml:space="preserve"> </w:t>
      </w:r>
      <w:r w:rsidR="00F32B28" w:rsidRPr="00F32B28">
        <w:rPr>
          <w:rtl/>
        </w:rPr>
        <w:t>الحكومية</w:t>
      </w:r>
      <w:r w:rsidR="00F32B28">
        <w:rPr>
          <w:rtl/>
        </w:rPr>
        <w:t xml:space="preserve"> </w:t>
      </w:r>
      <w:r w:rsidR="00F32B28" w:rsidRPr="00F32B28">
        <w:rPr>
          <w:rtl/>
        </w:rPr>
        <w:t>التنموية</w:t>
      </w:r>
    </w:p>
    <w:p w:rsidR="00F32B28" w:rsidRPr="00F32B28" w:rsidRDefault="00DF0562" w:rsidP="009C6174">
      <w:pPr>
        <w:pStyle w:val="SingleTxt"/>
        <w:rPr>
          <w:rtl/>
          <w:lang w:bidi="ar-SY"/>
        </w:rPr>
      </w:pPr>
      <w:r>
        <w:rPr>
          <w:rFonts w:hint="cs"/>
          <w:rtl/>
          <w:lang w:bidi="ar-SY"/>
        </w:rPr>
        <w:t>2</w:t>
      </w:r>
      <w:r w:rsidR="009C6174">
        <w:rPr>
          <w:rFonts w:hint="cs"/>
          <w:rtl/>
          <w:lang w:bidi="ar-SY"/>
        </w:rPr>
        <w:t>1</w:t>
      </w:r>
      <w:r>
        <w:rPr>
          <w:rFonts w:hint="cs"/>
          <w:rtl/>
          <w:lang w:bidi="ar-SY"/>
        </w:rPr>
        <w:t xml:space="preserve"> -</w:t>
      </w:r>
      <w:r>
        <w:rPr>
          <w:rFonts w:hint="cs"/>
          <w:rtl/>
          <w:lang w:bidi="ar-SY"/>
        </w:rPr>
        <w:tab/>
      </w:r>
      <w:r w:rsidR="00F32B28" w:rsidRPr="00F32B28">
        <w:rPr>
          <w:rtl/>
          <w:lang w:bidi="ar-SY"/>
        </w:rPr>
        <w:t>إن</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المؤسسات</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الحكومية</w:t>
      </w:r>
      <w:r w:rsidR="00F32B28">
        <w:rPr>
          <w:rtl/>
          <w:lang w:bidi="ar-SY"/>
        </w:rPr>
        <w:t xml:space="preserve"> </w:t>
      </w:r>
      <w:r w:rsidR="00F32B28" w:rsidRPr="00F32B28">
        <w:rPr>
          <w:rtl/>
          <w:lang w:bidi="ar-SY"/>
        </w:rPr>
        <w:t>العاملة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مجال</w:t>
      </w:r>
      <w:r w:rsidR="00F32B28">
        <w:rPr>
          <w:rtl/>
          <w:lang w:bidi="ar-SY"/>
        </w:rPr>
        <w:t xml:space="preserve"> </w:t>
      </w:r>
      <w:r w:rsidR="00F32B28" w:rsidRPr="00F32B28">
        <w:rPr>
          <w:rtl/>
          <w:lang w:bidi="ar-SY"/>
        </w:rPr>
        <w:t>مكافحة</w:t>
      </w:r>
      <w:r w:rsidR="00F32B28">
        <w:rPr>
          <w:rtl/>
          <w:lang w:bidi="ar-SY"/>
        </w:rPr>
        <w:t xml:space="preserve"> </w:t>
      </w:r>
      <w:r w:rsidR="00F32B28" w:rsidRPr="00F32B28">
        <w:rPr>
          <w:rtl/>
          <w:lang w:bidi="ar-SY"/>
        </w:rPr>
        <w:t>الفقر</w:t>
      </w:r>
      <w:r w:rsidR="00F32B28">
        <w:rPr>
          <w:rtl/>
          <w:lang w:bidi="ar-SY"/>
        </w:rPr>
        <w:t xml:space="preserve"> </w:t>
      </w:r>
      <w:r w:rsidR="00F32B28" w:rsidRPr="00F32B28">
        <w:rPr>
          <w:rtl/>
          <w:lang w:bidi="ar-SY"/>
        </w:rPr>
        <w:t>والتنمية</w:t>
      </w:r>
      <w:r w:rsidR="00F32B28">
        <w:rPr>
          <w:rtl/>
          <w:lang w:bidi="ar-SY"/>
        </w:rPr>
        <w:t xml:space="preserve"> </w:t>
      </w:r>
      <w:r w:rsidR="00F32B28" w:rsidRPr="00F32B28">
        <w:rPr>
          <w:rtl/>
          <w:lang w:bidi="ar-SY"/>
        </w:rPr>
        <w:t>والتمكين</w:t>
      </w:r>
      <w:r w:rsidR="00F32B28">
        <w:rPr>
          <w:rtl/>
          <w:lang w:bidi="ar-SY"/>
        </w:rPr>
        <w:t xml:space="preserve"> </w:t>
      </w:r>
      <w:r w:rsidR="00F32B28" w:rsidRPr="00F32B28">
        <w:rPr>
          <w:rtl/>
          <w:lang w:bidi="ar-SY"/>
        </w:rPr>
        <w:t>تساهم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تلبية</w:t>
      </w:r>
      <w:r>
        <w:rPr>
          <w:rFonts w:hint="cs"/>
          <w:rtl/>
          <w:lang w:bidi="ar-SY"/>
        </w:rPr>
        <w:t xml:space="preserve"> </w:t>
      </w:r>
      <w:r w:rsidR="00F32B28" w:rsidRPr="00F32B28">
        <w:rPr>
          <w:rtl/>
          <w:lang w:bidi="ar-SY"/>
        </w:rPr>
        <w:t>احتياجات</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الريفية</w:t>
      </w:r>
      <w:r w:rsidR="00F32B28">
        <w:rPr>
          <w:rtl/>
          <w:lang w:bidi="ar-SY"/>
        </w:rPr>
        <w:t xml:space="preserve"> </w:t>
      </w:r>
      <w:r w:rsidR="00F32B28" w:rsidRPr="00F32B28">
        <w:rPr>
          <w:rtl/>
          <w:lang w:bidi="ar-SY"/>
        </w:rPr>
        <w:t>والمهمشة.</w:t>
      </w:r>
      <w:r w:rsidR="00F32B28" w:rsidRPr="00F32B28">
        <w:rPr>
          <w:rtl/>
          <w:lang w:bidi="ar-JO"/>
        </w:rPr>
        <w:t>بالإضافة</w:t>
      </w:r>
      <w:r w:rsidR="00F32B28">
        <w:rPr>
          <w:rtl/>
          <w:lang w:bidi="ar-JO"/>
        </w:rPr>
        <w:t xml:space="preserve"> </w:t>
      </w:r>
      <w:r w:rsidR="00F32B28" w:rsidRPr="00F32B28">
        <w:rPr>
          <w:rtl/>
          <w:lang w:bidi="ar-JO"/>
        </w:rPr>
        <w:t>إلى</w:t>
      </w:r>
      <w:r w:rsidR="00F32B28">
        <w:rPr>
          <w:rtl/>
          <w:lang w:bidi="ar-JO"/>
        </w:rPr>
        <w:t xml:space="preserve"> </w:t>
      </w:r>
      <w:r w:rsidR="00F32B28" w:rsidRPr="00F32B28">
        <w:rPr>
          <w:rtl/>
          <w:lang w:bidi="ar-JO"/>
        </w:rPr>
        <w:t>المنظمات</w:t>
      </w:r>
      <w:r w:rsidR="00F32B28">
        <w:rPr>
          <w:rtl/>
          <w:lang w:bidi="ar-JO"/>
        </w:rPr>
        <w:t xml:space="preserve"> </w:t>
      </w:r>
      <w:r w:rsidR="00F32B28" w:rsidRPr="00F32B28">
        <w:rPr>
          <w:rtl/>
          <w:lang w:bidi="ar-JO"/>
        </w:rPr>
        <w:t>غير</w:t>
      </w:r>
      <w:r w:rsidR="008C7FF9">
        <w:rPr>
          <w:rFonts w:hint="cs"/>
          <w:rtl/>
          <w:lang w:bidi="ar-JO"/>
        </w:rPr>
        <w:t> </w:t>
      </w:r>
      <w:r w:rsidR="00F32B28" w:rsidRPr="00F32B28">
        <w:rPr>
          <w:rtl/>
          <w:lang w:bidi="ar-JO"/>
        </w:rPr>
        <w:t>الحكومية</w:t>
      </w:r>
      <w:r w:rsidR="00F32B28">
        <w:rPr>
          <w:rtl/>
          <w:lang w:bidi="ar-JO"/>
        </w:rPr>
        <w:t xml:space="preserve"> </w:t>
      </w:r>
      <w:r w:rsidR="00F32B28" w:rsidRPr="00F32B28">
        <w:rPr>
          <w:rtl/>
          <w:lang w:bidi="ar-JO"/>
        </w:rPr>
        <w:t>التي</w:t>
      </w:r>
      <w:r w:rsidR="00F32B28">
        <w:rPr>
          <w:rtl/>
          <w:lang w:bidi="ar-JO"/>
        </w:rPr>
        <w:t xml:space="preserve"> </w:t>
      </w:r>
      <w:r w:rsidR="00F32B28" w:rsidRPr="00F32B28">
        <w:rPr>
          <w:rtl/>
          <w:lang w:bidi="ar-JO"/>
        </w:rPr>
        <w:t>تقدم</w:t>
      </w:r>
      <w:r w:rsidR="00F32B28">
        <w:rPr>
          <w:rtl/>
          <w:lang w:bidi="ar-JO"/>
        </w:rPr>
        <w:t xml:space="preserve"> </w:t>
      </w:r>
      <w:r w:rsidR="00F32B28" w:rsidRPr="00F32B28">
        <w:rPr>
          <w:rtl/>
          <w:lang w:bidi="ar-JO"/>
        </w:rPr>
        <w:t>خدمات</w:t>
      </w:r>
      <w:r w:rsidR="00F32B28">
        <w:rPr>
          <w:rtl/>
          <w:lang w:bidi="ar-JO"/>
        </w:rPr>
        <w:t xml:space="preserve"> </w:t>
      </w:r>
      <w:r w:rsidR="00F32B28" w:rsidRPr="00F32B28">
        <w:rPr>
          <w:rtl/>
          <w:lang w:bidi="ar-JO"/>
        </w:rPr>
        <w:t>إقراضية</w:t>
      </w:r>
      <w:r w:rsidR="00F32B28">
        <w:rPr>
          <w:rtl/>
          <w:lang w:bidi="ar-JO"/>
        </w:rPr>
        <w:t xml:space="preserve"> </w:t>
      </w:r>
      <w:r w:rsidR="00F32B28" w:rsidRPr="00F32B28">
        <w:rPr>
          <w:rtl/>
          <w:lang w:bidi="ar-JO"/>
        </w:rPr>
        <w:t>للمشاريع</w:t>
      </w:r>
      <w:r w:rsidR="00F32B28">
        <w:rPr>
          <w:rtl/>
          <w:lang w:bidi="ar-JO"/>
        </w:rPr>
        <w:t xml:space="preserve"> </w:t>
      </w:r>
      <w:r w:rsidR="00F32B28" w:rsidRPr="00F32B28">
        <w:rPr>
          <w:rtl/>
          <w:lang w:bidi="ar-JO"/>
        </w:rPr>
        <w:t>الصغيرة</w:t>
      </w:r>
      <w:r>
        <w:rPr>
          <w:rFonts w:hint="cs"/>
          <w:rtl/>
          <w:lang w:bidi="ar-JO"/>
        </w:rPr>
        <w:t xml:space="preserve"> </w:t>
      </w:r>
      <w:r w:rsidR="00F32B28" w:rsidRPr="00F32B28">
        <w:rPr>
          <w:rtl/>
          <w:lang w:bidi="ar-JO"/>
        </w:rPr>
        <w:t>في</w:t>
      </w:r>
      <w:r w:rsidR="00F32B28">
        <w:rPr>
          <w:rtl/>
          <w:lang w:bidi="ar-JO"/>
        </w:rPr>
        <w:t xml:space="preserve"> </w:t>
      </w:r>
      <w:r w:rsidR="00F32B28" w:rsidRPr="00F32B28">
        <w:rPr>
          <w:rtl/>
          <w:lang w:bidi="ar-JO"/>
        </w:rPr>
        <w:t>إطار</w:t>
      </w:r>
      <w:r w:rsidR="00F32B28">
        <w:rPr>
          <w:rtl/>
          <w:lang w:bidi="ar-JO"/>
        </w:rPr>
        <w:t xml:space="preserve"> </w:t>
      </w:r>
      <w:r w:rsidR="00F32B28" w:rsidRPr="00F32B28">
        <w:rPr>
          <w:rtl/>
          <w:lang w:bidi="ar-JO"/>
        </w:rPr>
        <w:t>تحقيق</w:t>
      </w:r>
      <w:r w:rsidR="00F32B28">
        <w:rPr>
          <w:rtl/>
          <w:lang w:bidi="ar-JO"/>
        </w:rPr>
        <w:t xml:space="preserve"> </w:t>
      </w:r>
      <w:r w:rsidR="00F32B28" w:rsidRPr="00F32B28">
        <w:rPr>
          <w:rtl/>
          <w:lang w:bidi="ar-JO"/>
        </w:rPr>
        <w:t>التنمية</w:t>
      </w:r>
      <w:r w:rsidR="00F32B28">
        <w:rPr>
          <w:rtl/>
          <w:lang w:bidi="ar-JO"/>
        </w:rPr>
        <w:t xml:space="preserve"> </w:t>
      </w:r>
      <w:r w:rsidR="00F32B28" w:rsidRPr="00F32B28">
        <w:rPr>
          <w:rtl/>
          <w:lang w:bidi="ar-JO"/>
        </w:rPr>
        <w:t>المستدامة.</w:t>
      </w:r>
    </w:p>
    <w:p w:rsidR="009C6174" w:rsidRPr="009C6174" w:rsidRDefault="009C6174" w:rsidP="009C61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SY"/>
        </w:rPr>
      </w:pPr>
    </w:p>
    <w:p w:rsidR="00F32B28" w:rsidRPr="00F32B28" w:rsidRDefault="00DF0562" w:rsidP="00DF05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lang w:bidi="ar-SY"/>
        </w:rPr>
        <w:tab/>
      </w:r>
      <w:r>
        <w:rPr>
          <w:rFonts w:hint="cs"/>
          <w:rtl/>
          <w:lang w:bidi="ar-SY"/>
        </w:rPr>
        <w:tab/>
      </w:r>
      <w:r w:rsidR="00F32B28" w:rsidRPr="00F32B28">
        <w:rPr>
          <w:rtl/>
          <w:lang w:bidi="ar-SY"/>
        </w:rPr>
        <w:t>القضاء</w:t>
      </w:r>
      <w:r w:rsidR="00F32B28">
        <w:rPr>
          <w:rtl/>
          <w:lang w:bidi="ar-SY"/>
        </w:rPr>
        <w:t xml:space="preserve"> </w:t>
      </w:r>
      <w:r w:rsidR="00F32B28" w:rsidRPr="00F32B28">
        <w:rPr>
          <w:rtl/>
          <w:lang w:bidi="ar-SY"/>
        </w:rPr>
        <w:t>الوطني</w:t>
      </w:r>
      <w:r w:rsidR="00F32B28">
        <w:rPr>
          <w:rtl/>
          <w:lang w:bidi="ar-SY"/>
        </w:rPr>
        <w:t xml:space="preserve"> </w:t>
      </w:r>
    </w:p>
    <w:p w:rsidR="00F32B28" w:rsidRPr="00F32B28" w:rsidRDefault="00DF0562" w:rsidP="009C6174">
      <w:pPr>
        <w:pStyle w:val="SingleTxt"/>
        <w:rPr>
          <w:rtl/>
          <w:lang w:bidi="ar-SY"/>
        </w:rPr>
      </w:pPr>
      <w:r>
        <w:rPr>
          <w:rFonts w:hint="cs"/>
          <w:rtl/>
          <w:lang w:bidi="ar-SY"/>
        </w:rPr>
        <w:t>2</w:t>
      </w:r>
      <w:r w:rsidR="009C6174">
        <w:rPr>
          <w:rFonts w:hint="cs"/>
          <w:rtl/>
          <w:lang w:bidi="ar-SY"/>
        </w:rPr>
        <w:t>2</w:t>
      </w:r>
      <w:r>
        <w:rPr>
          <w:rFonts w:hint="cs"/>
          <w:rtl/>
          <w:lang w:bidi="ar-SY"/>
        </w:rPr>
        <w:t xml:space="preserve"> -</w:t>
      </w:r>
      <w:r>
        <w:rPr>
          <w:rFonts w:hint="cs"/>
          <w:rtl/>
          <w:lang w:bidi="ar-SY"/>
        </w:rPr>
        <w:tab/>
      </w:r>
      <w:r w:rsidR="00F32B28" w:rsidRPr="00F32B28">
        <w:rPr>
          <w:rtl/>
          <w:lang w:bidi="ar-SY"/>
        </w:rPr>
        <w:t>يشكل</w:t>
      </w:r>
      <w:r w:rsidR="00F32B28">
        <w:rPr>
          <w:rtl/>
          <w:lang w:bidi="ar-SY"/>
        </w:rPr>
        <w:t xml:space="preserve"> </w:t>
      </w:r>
      <w:r w:rsidR="00F32B28" w:rsidRPr="00F32B28">
        <w:rPr>
          <w:rtl/>
          <w:lang w:bidi="ar-SY"/>
        </w:rPr>
        <w:t>وجود</w:t>
      </w:r>
      <w:r w:rsidR="00F32B28">
        <w:rPr>
          <w:rtl/>
          <w:lang w:bidi="ar-SY"/>
        </w:rPr>
        <w:t xml:space="preserve"> </w:t>
      </w:r>
      <w:r w:rsidR="00F32B28" w:rsidRPr="00F32B28">
        <w:rPr>
          <w:rtl/>
          <w:lang w:bidi="ar-SY"/>
        </w:rPr>
        <w:t>قضاء</w:t>
      </w:r>
      <w:r w:rsidR="00F32B28">
        <w:rPr>
          <w:rtl/>
          <w:lang w:bidi="ar-SY"/>
        </w:rPr>
        <w:t xml:space="preserve"> </w:t>
      </w:r>
      <w:r w:rsidR="00F32B28" w:rsidRPr="00F32B28">
        <w:rPr>
          <w:rtl/>
          <w:lang w:bidi="ar-SY"/>
        </w:rPr>
        <w:t>وطني،</w:t>
      </w:r>
      <w:r w:rsidR="00F32B28">
        <w:rPr>
          <w:rtl/>
          <w:lang w:bidi="ar-SY"/>
        </w:rPr>
        <w:t xml:space="preserve"> </w:t>
      </w:r>
      <w:r w:rsidR="00F32B28" w:rsidRPr="00F32B28">
        <w:rPr>
          <w:rtl/>
          <w:lang w:bidi="ar-SY"/>
        </w:rPr>
        <w:t>يقع</w:t>
      </w:r>
      <w:r w:rsidR="00F32B28">
        <w:rPr>
          <w:rtl/>
          <w:lang w:bidi="ar-SY"/>
        </w:rPr>
        <w:t xml:space="preserve"> </w:t>
      </w:r>
      <w:r w:rsidR="00F32B28" w:rsidRPr="00F32B28">
        <w:rPr>
          <w:rtl/>
          <w:lang w:bidi="ar-SY"/>
        </w:rPr>
        <w:t>ضمن</w:t>
      </w:r>
      <w:r w:rsidR="00F32B28">
        <w:rPr>
          <w:rtl/>
          <w:lang w:bidi="ar-SY"/>
        </w:rPr>
        <w:t xml:space="preserve"> </w:t>
      </w:r>
      <w:r w:rsidR="00F32B28" w:rsidRPr="00F32B28">
        <w:rPr>
          <w:rtl/>
          <w:lang w:bidi="ar-SY"/>
        </w:rPr>
        <w:t>نطاق</w:t>
      </w:r>
      <w:r w:rsidR="00F32B28">
        <w:rPr>
          <w:rtl/>
          <w:lang w:bidi="ar-SY"/>
        </w:rPr>
        <w:t xml:space="preserve"> </w:t>
      </w:r>
      <w:r w:rsidR="00F32B28" w:rsidRPr="00F32B28">
        <w:rPr>
          <w:rtl/>
          <w:lang w:bidi="ar-SY"/>
        </w:rPr>
        <w:t>اختصاصه</w:t>
      </w:r>
      <w:r w:rsidR="00F32B28">
        <w:rPr>
          <w:rtl/>
          <w:lang w:bidi="ar-SY"/>
        </w:rPr>
        <w:t xml:space="preserve"> </w:t>
      </w:r>
      <w:r w:rsidR="00F32B28" w:rsidRPr="00F32B28">
        <w:rPr>
          <w:rtl/>
          <w:lang w:bidi="ar-SY"/>
        </w:rPr>
        <w:t>وولايته</w:t>
      </w:r>
      <w:r w:rsidR="00F32B28">
        <w:rPr>
          <w:rtl/>
          <w:lang w:bidi="ar-SY"/>
        </w:rPr>
        <w:t xml:space="preserve"> </w:t>
      </w:r>
      <w:r w:rsidR="00F32B28" w:rsidRPr="00F32B28">
        <w:rPr>
          <w:rtl/>
          <w:lang w:bidi="ar-SY"/>
        </w:rPr>
        <w:t>المسائل</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تناولتها</w:t>
      </w:r>
      <w:r w:rsidR="00F32B28">
        <w:rPr>
          <w:rtl/>
          <w:lang w:bidi="ar-SY"/>
        </w:rPr>
        <w:t xml:space="preserve"> </w:t>
      </w:r>
      <w:r w:rsidR="00F32B28" w:rsidRPr="00F32B28">
        <w:rPr>
          <w:rtl/>
          <w:lang w:bidi="ar-SY"/>
        </w:rPr>
        <w:t>الاتفاقية،</w:t>
      </w:r>
      <w:r w:rsidR="00F32B28">
        <w:rPr>
          <w:rtl/>
          <w:lang w:bidi="ar-SY"/>
        </w:rPr>
        <w:t xml:space="preserve"> </w:t>
      </w:r>
      <w:r w:rsidR="00F32B28" w:rsidRPr="00F32B28">
        <w:rPr>
          <w:rtl/>
          <w:lang w:bidi="ar-SY"/>
        </w:rPr>
        <w:t>ضمانة</w:t>
      </w:r>
      <w:r w:rsidR="00F32B28">
        <w:rPr>
          <w:rtl/>
          <w:lang w:bidi="ar-SY"/>
        </w:rPr>
        <w:t xml:space="preserve"> </w:t>
      </w:r>
      <w:r w:rsidR="00F32B28" w:rsidRPr="00F32B28">
        <w:rPr>
          <w:rtl/>
          <w:lang w:bidi="ar-SY"/>
        </w:rPr>
        <w:t>إضافية</w:t>
      </w:r>
      <w:r w:rsidR="00F32B28">
        <w:rPr>
          <w:rtl/>
          <w:lang w:bidi="ar-SY"/>
        </w:rPr>
        <w:t xml:space="preserve"> </w:t>
      </w:r>
      <w:r w:rsidR="00F32B28" w:rsidRPr="00F32B28">
        <w:rPr>
          <w:rtl/>
          <w:lang w:bidi="ar-SY"/>
        </w:rPr>
        <w:t>تعزز</w:t>
      </w:r>
      <w:r w:rsidR="00F32B28">
        <w:rPr>
          <w:rtl/>
          <w:lang w:bidi="ar-SY"/>
        </w:rPr>
        <w:t xml:space="preserve"> </w:t>
      </w:r>
      <w:r w:rsidR="00F32B28" w:rsidRPr="00F32B28">
        <w:rPr>
          <w:rtl/>
          <w:lang w:bidi="ar-SY"/>
        </w:rPr>
        <w:t>الحماية</w:t>
      </w:r>
      <w:r w:rsidR="00F32B28">
        <w:rPr>
          <w:rtl/>
          <w:lang w:bidi="ar-SY"/>
        </w:rPr>
        <w:t xml:space="preserve"> </w:t>
      </w:r>
      <w:r w:rsidR="00F32B28" w:rsidRPr="00F32B28">
        <w:rPr>
          <w:rtl/>
          <w:lang w:bidi="ar-SY"/>
        </w:rPr>
        <w:t>والمساواة</w:t>
      </w:r>
      <w:r w:rsidR="00F32B28">
        <w:rPr>
          <w:rtl/>
          <w:lang w:bidi="ar-SY"/>
        </w:rPr>
        <w:t xml:space="preserve"> </w:t>
      </w:r>
      <w:r w:rsidR="00F32B28" w:rsidRPr="00F32B28">
        <w:rPr>
          <w:rtl/>
          <w:lang w:bidi="ar-SY"/>
        </w:rPr>
        <w:t>للنساء.</w:t>
      </w:r>
      <w:r w:rsidR="00F32B28">
        <w:rPr>
          <w:rtl/>
          <w:lang w:bidi="ar-SY"/>
        </w:rPr>
        <w:t xml:space="preserve"> </w:t>
      </w:r>
      <w:r w:rsidR="00F32B28" w:rsidRPr="00F32B28">
        <w:rPr>
          <w:rtl/>
          <w:lang w:bidi="ar-SY"/>
        </w:rPr>
        <w:t>وتنص</w:t>
      </w:r>
      <w:r w:rsidR="00F32B28">
        <w:rPr>
          <w:rtl/>
          <w:lang w:bidi="ar-SY"/>
        </w:rPr>
        <w:t xml:space="preserve"> </w:t>
      </w:r>
      <w:r w:rsidR="00F32B28" w:rsidRPr="00F32B28">
        <w:rPr>
          <w:rtl/>
          <w:lang w:bidi="ar-SY"/>
        </w:rPr>
        <w:t>المادة</w:t>
      </w:r>
      <w:r w:rsidR="00F32B28">
        <w:rPr>
          <w:rtl/>
          <w:lang w:bidi="ar-SY"/>
        </w:rPr>
        <w:t xml:space="preserve"> </w:t>
      </w:r>
      <w:r w:rsidR="00F32B28" w:rsidRPr="00F32B28">
        <w:rPr>
          <w:rtl/>
          <w:lang w:bidi="ar-SY"/>
        </w:rPr>
        <w:t>(30/1)</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أن</w:t>
      </w:r>
      <w:r w:rsidR="001D253C">
        <w:rPr>
          <w:rFonts w:hint="cs"/>
          <w:rtl/>
          <w:lang w:bidi="ar-SY"/>
        </w:rPr>
        <w:t xml:space="preserve"> </w:t>
      </w:r>
      <w:r w:rsidR="00F32B28" w:rsidRPr="00F32B28">
        <w:rPr>
          <w:rtl/>
          <w:lang w:bidi="ar-SY"/>
        </w:rPr>
        <w:t>”</w:t>
      </w:r>
      <w:r w:rsidR="00F32B28" w:rsidRPr="00F32B28">
        <w:rPr>
          <w:i/>
          <w:iCs/>
          <w:rtl/>
          <w:lang w:bidi="ar-SY"/>
        </w:rPr>
        <w:t>التقاضي</w:t>
      </w:r>
      <w:r w:rsidR="00F32B28">
        <w:rPr>
          <w:i/>
          <w:iCs/>
          <w:rtl/>
          <w:lang w:bidi="ar-SY"/>
        </w:rPr>
        <w:t xml:space="preserve"> </w:t>
      </w:r>
      <w:r w:rsidR="00F32B28" w:rsidRPr="00F32B28">
        <w:rPr>
          <w:i/>
          <w:iCs/>
          <w:rtl/>
          <w:lang w:bidi="ar-SY"/>
        </w:rPr>
        <w:t>حق</w:t>
      </w:r>
      <w:r w:rsidR="00F32B28">
        <w:rPr>
          <w:i/>
          <w:iCs/>
          <w:rtl/>
          <w:lang w:bidi="ar-SY"/>
        </w:rPr>
        <w:t xml:space="preserve"> </w:t>
      </w:r>
      <w:r w:rsidR="00F32B28" w:rsidRPr="00F32B28">
        <w:rPr>
          <w:i/>
          <w:iCs/>
          <w:rtl/>
          <w:lang w:bidi="ar-SY"/>
        </w:rPr>
        <w:t>مصون</w:t>
      </w:r>
      <w:r w:rsidR="00F32B28">
        <w:rPr>
          <w:i/>
          <w:iCs/>
          <w:rtl/>
          <w:lang w:bidi="ar-SY"/>
        </w:rPr>
        <w:t xml:space="preserve"> </w:t>
      </w:r>
      <w:r w:rsidR="00F32B28" w:rsidRPr="00F32B28">
        <w:rPr>
          <w:i/>
          <w:iCs/>
          <w:rtl/>
          <w:lang w:bidi="ar-SY"/>
        </w:rPr>
        <w:t>ومكفول</w:t>
      </w:r>
      <w:r w:rsidR="00F32B28">
        <w:rPr>
          <w:i/>
          <w:iCs/>
          <w:rtl/>
          <w:lang w:bidi="ar-SY"/>
        </w:rPr>
        <w:t xml:space="preserve"> </w:t>
      </w:r>
      <w:r w:rsidR="00F32B28" w:rsidRPr="00F32B28">
        <w:rPr>
          <w:i/>
          <w:iCs/>
          <w:rtl/>
          <w:lang w:bidi="ar-SY"/>
        </w:rPr>
        <w:t>للناس</w:t>
      </w:r>
      <w:r w:rsidR="00F32B28">
        <w:rPr>
          <w:i/>
          <w:iCs/>
          <w:rtl/>
          <w:lang w:bidi="ar-SY"/>
        </w:rPr>
        <w:t xml:space="preserve"> </w:t>
      </w:r>
      <w:r w:rsidR="00F32B28" w:rsidRPr="00F32B28">
        <w:rPr>
          <w:i/>
          <w:iCs/>
          <w:rtl/>
          <w:lang w:bidi="ar-SY"/>
        </w:rPr>
        <w:t>كافة،</w:t>
      </w:r>
      <w:r w:rsidR="00F32B28">
        <w:rPr>
          <w:i/>
          <w:iCs/>
          <w:rtl/>
          <w:lang w:bidi="ar-SY"/>
        </w:rPr>
        <w:t xml:space="preserve"> </w:t>
      </w:r>
      <w:r w:rsidR="00F32B28" w:rsidRPr="00F32B28">
        <w:rPr>
          <w:i/>
          <w:iCs/>
          <w:rtl/>
          <w:lang w:bidi="ar-SY"/>
        </w:rPr>
        <w:t>ولكل</w:t>
      </w:r>
      <w:r w:rsidR="00F32B28">
        <w:rPr>
          <w:i/>
          <w:iCs/>
          <w:rtl/>
          <w:lang w:bidi="ar-SY"/>
        </w:rPr>
        <w:t xml:space="preserve"> </w:t>
      </w:r>
      <w:r w:rsidR="00F32B28" w:rsidRPr="00F32B28">
        <w:rPr>
          <w:i/>
          <w:iCs/>
          <w:rtl/>
          <w:lang w:bidi="ar-SY"/>
        </w:rPr>
        <w:t>فلسطيني</w:t>
      </w:r>
      <w:r w:rsidR="00F32B28">
        <w:rPr>
          <w:i/>
          <w:iCs/>
          <w:rtl/>
          <w:lang w:bidi="ar-SY"/>
        </w:rPr>
        <w:t xml:space="preserve"> </w:t>
      </w:r>
      <w:r w:rsidR="00F32B28" w:rsidRPr="00F32B28">
        <w:rPr>
          <w:i/>
          <w:iCs/>
          <w:rtl/>
          <w:lang w:bidi="ar-SY"/>
        </w:rPr>
        <w:t>حق</w:t>
      </w:r>
      <w:r w:rsidR="00F32B28">
        <w:rPr>
          <w:i/>
          <w:iCs/>
          <w:rtl/>
          <w:lang w:bidi="ar-SY"/>
        </w:rPr>
        <w:t xml:space="preserve"> </w:t>
      </w:r>
      <w:r w:rsidR="00F32B28" w:rsidRPr="00F32B28">
        <w:rPr>
          <w:i/>
          <w:iCs/>
          <w:rtl/>
          <w:lang w:bidi="ar-SY"/>
        </w:rPr>
        <w:t>الالتجاء</w:t>
      </w:r>
      <w:r w:rsidR="00F32B28">
        <w:rPr>
          <w:i/>
          <w:iCs/>
          <w:rtl/>
          <w:lang w:bidi="ar-SY"/>
        </w:rPr>
        <w:t xml:space="preserve"> </w:t>
      </w:r>
      <w:r w:rsidR="00F32B28" w:rsidRPr="00F32B28">
        <w:rPr>
          <w:i/>
          <w:iCs/>
          <w:rtl/>
          <w:lang w:bidi="ar-SY"/>
        </w:rPr>
        <w:t>إلى</w:t>
      </w:r>
      <w:r w:rsidR="00F32B28">
        <w:rPr>
          <w:i/>
          <w:iCs/>
          <w:rtl/>
          <w:lang w:bidi="ar-SY"/>
        </w:rPr>
        <w:t xml:space="preserve"> </w:t>
      </w:r>
      <w:r w:rsidR="00F32B28" w:rsidRPr="00F32B28">
        <w:rPr>
          <w:i/>
          <w:iCs/>
          <w:rtl/>
          <w:lang w:bidi="ar-SY"/>
        </w:rPr>
        <w:t>قاضيه</w:t>
      </w:r>
      <w:r w:rsidR="00F32B28">
        <w:rPr>
          <w:i/>
          <w:iCs/>
          <w:rtl/>
          <w:lang w:bidi="ar-SY"/>
        </w:rPr>
        <w:t xml:space="preserve"> </w:t>
      </w:r>
      <w:r w:rsidR="00F32B28" w:rsidRPr="00F32B28">
        <w:rPr>
          <w:i/>
          <w:iCs/>
          <w:rtl/>
          <w:lang w:bidi="ar-SY"/>
        </w:rPr>
        <w:t>الطبيعي،</w:t>
      </w:r>
      <w:r w:rsidR="00F32B28">
        <w:rPr>
          <w:i/>
          <w:iCs/>
          <w:rtl/>
          <w:lang w:bidi="ar-SY"/>
        </w:rPr>
        <w:t xml:space="preserve"> </w:t>
      </w:r>
      <w:r w:rsidR="00F32B28" w:rsidRPr="00F32B28">
        <w:rPr>
          <w:i/>
          <w:iCs/>
          <w:rtl/>
          <w:lang w:bidi="ar-SY"/>
        </w:rPr>
        <w:t>وينظم</w:t>
      </w:r>
      <w:r w:rsidR="00F32B28">
        <w:rPr>
          <w:i/>
          <w:iCs/>
          <w:rtl/>
          <w:lang w:bidi="ar-SY"/>
        </w:rPr>
        <w:t xml:space="preserve"> </w:t>
      </w:r>
      <w:r w:rsidR="00F32B28" w:rsidRPr="00F32B28">
        <w:rPr>
          <w:i/>
          <w:iCs/>
          <w:rtl/>
          <w:lang w:bidi="ar-SY"/>
        </w:rPr>
        <w:t>القانون</w:t>
      </w:r>
      <w:r w:rsidR="00F32B28">
        <w:rPr>
          <w:i/>
          <w:iCs/>
          <w:rtl/>
          <w:lang w:bidi="ar-SY"/>
        </w:rPr>
        <w:t xml:space="preserve"> </w:t>
      </w:r>
      <w:r w:rsidR="00F32B28" w:rsidRPr="00F32B28">
        <w:rPr>
          <w:i/>
          <w:iCs/>
          <w:rtl/>
          <w:lang w:bidi="ar-SY"/>
        </w:rPr>
        <w:t>إجراءات</w:t>
      </w:r>
      <w:r w:rsidR="00F32B28">
        <w:rPr>
          <w:i/>
          <w:iCs/>
          <w:rtl/>
          <w:lang w:bidi="ar-SY"/>
        </w:rPr>
        <w:t xml:space="preserve"> </w:t>
      </w:r>
      <w:r w:rsidR="00F32B28" w:rsidRPr="00F32B28">
        <w:rPr>
          <w:i/>
          <w:iCs/>
          <w:rtl/>
          <w:lang w:bidi="ar-SY"/>
        </w:rPr>
        <w:t>التقاضي</w:t>
      </w:r>
      <w:r w:rsidR="00F32B28">
        <w:rPr>
          <w:i/>
          <w:iCs/>
          <w:rtl/>
          <w:lang w:bidi="ar-SY"/>
        </w:rPr>
        <w:t xml:space="preserve"> </w:t>
      </w:r>
      <w:r w:rsidR="00F32B28" w:rsidRPr="00F32B28">
        <w:rPr>
          <w:i/>
          <w:iCs/>
          <w:rtl/>
          <w:lang w:bidi="ar-SY"/>
        </w:rPr>
        <w:t>بما</w:t>
      </w:r>
      <w:r w:rsidR="00F32B28">
        <w:rPr>
          <w:i/>
          <w:iCs/>
          <w:rtl/>
          <w:lang w:bidi="ar-SY"/>
        </w:rPr>
        <w:t xml:space="preserve"> </w:t>
      </w:r>
      <w:r w:rsidR="00F32B28" w:rsidRPr="00F32B28">
        <w:rPr>
          <w:i/>
          <w:iCs/>
          <w:rtl/>
          <w:lang w:bidi="ar-SY"/>
        </w:rPr>
        <w:t>يضمن</w:t>
      </w:r>
      <w:r w:rsidR="00F32B28">
        <w:rPr>
          <w:i/>
          <w:iCs/>
          <w:rtl/>
          <w:lang w:bidi="ar-SY"/>
        </w:rPr>
        <w:t xml:space="preserve"> </w:t>
      </w:r>
      <w:r w:rsidR="00F32B28" w:rsidRPr="00F32B28">
        <w:rPr>
          <w:i/>
          <w:iCs/>
          <w:rtl/>
          <w:lang w:bidi="ar-SY"/>
        </w:rPr>
        <w:t>سرعة</w:t>
      </w:r>
      <w:r w:rsidR="00F32B28">
        <w:rPr>
          <w:i/>
          <w:iCs/>
          <w:rtl/>
          <w:lang w:bidi="ar-SY"/>
        </w:rPr>
        <w:t xml:space="preserve"> </w:t>
      </w:r>
      <w:r w:rsidR="00F32B28" w:rsidRPr="00F32B28">
        <w:rPr>
          <w:i/>
          <w:iCs/>
          <w:rtl/>
          <w:lang w:bidi="ar-SY"/>
        </w:rPr>
        <w:t>الفصل</w:t>
      </w:r>
      <w:r w:rsidR="00F32B28">
        <w:rPr>
          <w:i/>
          <w:iCs/>
          <w:rtl/>
          <w:lang w:bidi="ar-SY"/>
        </w:rPr>
        <w:t xml:space="preserve"> </w:t>
      </w:r>
      <w:r w:rsidR="00F32B28" w:rsidRPr="00F32B28">
        <w:rPr>
          <w:i/>
          <w:iCs/>
          <w:rtl/>
          <w:lang w:bidi="ar-SY"/>
        </w:rPr>
        <w:t>في</w:t>
      </w:r>
      <w:r w:rsidR="00F32B28">
        <w:rPr>
          <w:i/>
          <w:iCs/>
          <w:rtl/>
          <w:lang w:bidi="ar-SY"/>
        </w:rPr>
        <w:t xml:space="preserve"> </w:t>
      </w:r>
      <w:r w:rsidR="00F32B28" w:rsidRPr="00F32B28">
        <w:rPr>
          <w:i/>
          <w:iCs/>
          <w:rtl/>
          <w:lang w:bidi="ar-SY"/>
        </w:rPr>
        <w:t>القضايا</w:t>
      </w:r>
      <w:r w:rsidR="001D253C">
        <w:rPr>
          <w:rFonts w:hint="cs"/>
          <w:i/>
          <w:iCs/>
          <w:rtl/>
          <w:lang w:bidi="ar-SY"/>
        </w:rPr>
        <w:t>“</w:t>
      </w:r>
      <w:r w:rsidR="00F32B28" w:rsidRPr="00F32B28">
        <w:rPr>
          <w:rtl/>
          <w:lang w:bidi="ar-SY"/>
        </w:rPr>
        <w:t>.</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و</w:t>
      </w:r>
      <w:r w:rsidR="00F32B28" w:rsidRPr="00F32B28">
        <w:rPr>
          <w:rtl/>
        </w:rPr>
        <w:t>تنص</w:t>
      </w:r>
      <w:r w:rsidR="00F32B28">
        <w:rPr>
          <w:rtl/>
        </w:rPr>
        <w:t xml:space="preserve"> </w:t>
      </w:r>
      <w:r w:rsidR="00F32B28" w:rsidRPr="00F32B28">
        <w:rPr>
          <w:rtl/>
        </w:rPr>
        <w:t>المادة</w:t>
      </w:r>
      <w:r w:rsidR="00F32B28">
        <w:rPr>
          <w:rtl/>
        </w:rPr>
        <w:t xml:space="preserve"> </w:t>
      </w:r>
      <w:r w:rsidR="00F32B28" w:rsidRPr="00F32B28">
        <w:rPr>
          <w:rtl/>
        </w:rPr>
        <w:t>(32)</w:t>
      </w:r>
      <w:r w:rsidR="00F32B28">
        <w:rPr>
          <w:rtl/>
        </w:rPr>
        <w:t xml:space="preserve"> </w:t>
      </w:r>
      <w:r w:rsidR="00F32B28" w:rsidRPr="00F32B28">
        <w:rPr>
          <w:rtl/>
        </w:rPr>
        <w:t>من</w:t>
      </w:r>
      <w:r w:rsidR="00F32B28">
        <w:rPr>
          <w:rtl/>
        </w:rPr>
        <w:t xml:space="preserve"> </w:t>
      </w:r>
      <w:r w:rsidR="00F32B28" w:rsidRPr="00F32B28">
        <w:rPr>
          <w:rtl/>
        </w:rPr>
        <w:t>القانون</w:t>
      </w:r>
      <w:r w:rsidR="00F32B28">
        <w:rPr>
          <w:rtl/>
        </w:rPr>
        <w:t xml:space="preserve"> </w:t>
      </w:r>
      <w:r w:rsidR="00F32B28" w:rsidRPr="00F32B28">
        <w:rPr>
          <w:rtl/>
        </w:rPr>
        <w:t>الأساسي</w:t>
      </w:r>
      <w:r w:rsidR="00F32B28">
        <w:rPr>
          <w:rtl/>
        </w:rPr>
        <w:t xml:space="preserve"> </w:t>
      </w:r>
      <w:r w:rsidR="00F32B28" w:rsidRPr="00F32B28">
        <w:rPr>
          <w:rtl/>
        </w:rPr>
        <w:t>على</w:t>
      </w:r>
      <w:r w:rsidR="00F32B28">
        <w:rPr>
          <w:rtl/>
        </w:rPr>
        <w:t xml:space="preserve"> </w:t>
      </w:r>
      <w:r w:rsidR="00F32B28" w:rsidRPr="00F32B28">
        <w:rPr>
          <w:rtl/>
        </w:rPr>
        <w:t>أن</w:t>
      </w:r>
      <w:r w:rsidR="001D253C">
        <w:rPr>
          <w:rFonts w:hint="cs"/>
          <w:rtl/>
        </w:rPr>
        <w:t xml:space="preserve"> </w:t>
      </w:r>
      <w:r w:rsidR="00F32B28" w:rsidRPr="00F32B28">
        <w:rPr>
          <w:rtl/>
        </w:rPr>
        <w:t>”كل</w:t>
      </w:r>
      <w:r w:rsidR="00F32B28">
        <w:rPr>
          <w:i/>
          <w:iCs/>
          <w:rtl/>
        </w:rPr>
        <w:t xml:space="preserve"> </w:t>
      </w:r>
      <w:r w:rsidR="00F32B28" w:rsidRPr="00F32B28">
        <w:rPr>
          <w:i/>
          <w:iCs/>
          <w:rtl/>
        </w:rPr>
        <w:t>اعتداء</w:t>
      </w:r>
      <w:r w:rsidR="00F32B28">
        <w:rPr>
          <w:i/>
          <w:iCs/>
          <w:rtl/>
        </w:rPr>
        <w:t xml:space="preserve"> </w:t>
      </w:r>
      <w:r w:rsidR="00F32B28" w:rsidRPr="00F32B28">
        <w:rPr>
          <w:i/>
          <w:iCs/>
          <w:rtl/>
        </w:rPr>
        <w:t>على</w:t>
      </w:r>
      <w:r w:rsidR="00F32B28">
        <w:rPr>
          <w:i/>
          <w:iCs/>
          <w:rtl/>
        </w:rPr>
        <w:t xml:space="preserve"> </w:t>
      </w:r>
      <w:r w:rsidR="00F32B28" w:rsidRPr="00F32B28">
        <w:rPr>
          <w:i/>
          <w:iCs/>
          <w:rtl/>
        </w:rPr>
        <w:t>أي</w:t>
      </w:r>
      <w:r w:rsidR="00F32B28">
        <w:rPr>
          <w:i/>
          <w:iCs/>
          <w:rtl/>
        </w:rPr>
        <w:t xml:space="preserve"> </w:t>
      </w:r>
      <w:r w:rsidR="00F32B28" w:rsidRPr="00F32B28">
        <w:rPr>
          <w:i/>
          <w:iCs/>
          <w:rtl/>
        </w:rPr>
        <w:t>من</w:t>
      </w:r>
      <w:r w:rsidR="00F32B28">
        <w:rPr>
          <w:i/>
          <w:iCs/>
          <w:rtl/>
        </w:rPr>
        <w:t xml:space="preserve"> </w:t>
      </w:r>
      <w:r w:rsidR="00F32B28" w:rsidRPr="00F32B28">
        <w:rPr>
          <w:i/>
          <w:iCs/>
          <w:rtl/>
        </w:rPr>
        <w:t>الحريات</w:t>
      </w:r>
      <w:r w:rsidR="00F32B28">
        <w:rPr>
          <w:i/>
          <w:iCs/>
          <w:rtl/>
        </w:rPr>
        <w:t xml:space="preserve"> </w:t>
      </w:r>
      <w:r w:rsidR="00F32B28" w:rsidRPr="00F32B28">
        <w:rPr>
          <w:i/>
          <w:iCs/>
          <w:rtl/>
        </w:rPr>
        <w:t>الشخصية</w:t>
      </w:r>
      <w:r w:rsidR="00F32B28">
        <w:rPr>
          <w:i/>
          <w:iCs/>
          <w:rtl/>
        </w:rPr>
        <w:t xml:space="preserve"> </w:t>
      </w:r>
      <w:r w:rsidR="00F32B28" w:rsidRPr="00F32B28">
        <w:rPr>
          <w:i/>
          <w:iCs/>
          <w:rtl/>
        </w:rPr>
        <w:t>أو</w:t>
      </w:r>
      <w:r w:rsidR="00F32B28">
        <w:rPr>
          <w:i/>
          <w:iCs/>
          <w:rtl/>
        </w:rPr>
        <w:t xml:space="preserve"> </w:t>
      </w:r>
      <w:r w:rsidR="00F32B28" w:rsidRPr="00F32B28">
        <w:rPr>
          <w:i/>
          <w:iCs/>
          <w:rtl/>
        </w:rPr>
        <w:t>حرمة</w:t>
      </w:r>
      <w:r w:rsidR="00F32B28">
        <w:rPr>
          <w:i/>
          <w:iCs/>
          <w:rtl/>
        </w:rPr>
        <w:t xml:space="preserve"> </w:t>
      </w:r>
      <w:r w:rsidR="00F32B28" w:rsidRPr="00F32B28">
        <w:rPr>
          <w:i/>
          <w:iCs/>
          <w:rtl/>
        </w:rPr>
        <w:t>الحياة</w:t>
      </w:r>
      <w:r w:rsidR="00F32B28">
        <w:rPr>
          <w:i/>
          <w:iCs/>
          <w:rtl/>
        </w:rPr>
        <w:t xml:space="preserve"> </w:t>
      </w:r>
      <w:r w:rsidR="00F32B28" w:rsidRPr="00F32B28">
        <w:rPr>
          <w:i/>
          <w:iCs/>
          <w:rtl/>
        </w:rPr>
        <w:t>الخاصة</w:t>
      </w:r>
      <w:r w:rsidR="00F32B28">
        <w:rPr>
          <w:i/>
          <w:iCs/>
          <w:rtl/>
        </w:rPr>
        <w:t xml:space="preserve"> </w:t>
      </w:r>
      <w:r w:rsidR="00F32B28" w:rsidRPr="00F32B28">
        <w:rPr>
          <w:i/>
          <w:iCs/>
          <w:rtl/>
        </w:rPr>
        <w:t>للإنسان</w:t>
      </w:r>
      <w:r w:rsidR="00F32B28">
        <w:rPr>
          <w:i/>
          <w:iCs/>
          <w:rtl/>
        </w:rPr>
        <w:t xml:space="preserve"> </w:t>
      </w:r>
      <w:r w:rsidR="00F32B28" w:rsidRPr="00F32B28">
        <w:rPr>
          <w:i/>
          <w:iCs/>
          <w:rtl/>
        </w:rPr>
        <w:t>وغيرها</w:t>
      </w:r>
      <w:r w:rsidR="00F32B28">
        <w:rPr>
          <w:i/>
          <w:iCs/>
          <w:rtl/>
        </w:rPr>
        <w:t xml:space="preserve"> </w:t>
      </w:r>
      <w:r w:rsidR="00F32B28" w:rsidRPr="00F32B28">
        <w:rPr>
          <w:i/>
          <w:iCs/>
          <w:rtl/>
        </w:rPr>
        <w:t>من</w:t>
      </w:r>
      <w:r w:rsidR="00F32B28">
        <w:rPr>
          <w:i/>
          <w:iCs/>
          <w:rtl/>
        </w:rPr>
        <w:t xml:space="preserve"> </w:t>
      </w:r>
      <w:r w:rsidR="00F32B28" w:rsidRPr="00F32B28">
        <w:rPr>
          <w:i/>
          <w:iCs/>
          <w:rtl/>
        </w:rPr>
        <w:t>الحقوق</w:t>
      </w:r>
      <w:r w:rsidR="00F32B28">
        <w:rPr>
          <w:i/>
          <w:iCs/>
          <w:rtl/>
        </w:rPr>
        <w:t xml:space="preserve"> </w:t>
      </w:r>
      <w:r w:rsidR="00F32B28" w:rsidRPr="00F32B28">
        <w:rPr>
          <w:i/>
          <w:iCs/>
          <w:rtl/>
        </w:rPr>
        <w:t>والحريات</w:t>
      </w:r>
      <w:r w:rsidR="00F32B28">
        <w:rPr>
          <w:i/>
          <w:iCs/>
          <w:rtl/>
        </w:rPr>
        <w:t xml:space="preserve"> </w:t>
      </w:r>
      <w:r w:rsidR="00F32B28" w:rsidRPr="00F32B28">
        <w:rPr>
          <w:i/>
          <w:iCs/>
          <w:rtl/>
        </w:rPr>
        <w:t>العامة</w:t>
      </w:r>
      <w:r w:rsidR="00F32B28">
        <w:rPr>
          <w:i/>
          <w:iCs/>
          <w:rtl/>
        </w:rPr>
        <w:t xml:space="preserve"> </w:t>
      </w:r>
      <w:r w:rsidR="00F32B28" w:rsidRPr="00F32B28">
        <w:rPr>
          <w:i/>
          <w:iCs/>
          <w:rtl/>
        </w:rPr>
        <w:t>التي</w:t>
      </w:r>
      <w:r w:rsidR="00F32B28">
        <w:rPr>
          <w:i/>
          <w:iCs/>
          <w:rtl/>
        </w:rPr>
        <w:t xml:space="preserve"> </w:t>
      </w:r>
      <w:r w:rsidR="00F32B28" w:rsidRPr="00F32B28">
        <w:rPr>
          <w:i/>
          <w:iCs/>
          <w:rtl/>
        </w:rPr>
        <w:t>يكفلها</w:t>
      </w:r>
      <w:r w:rsidR="00F32B28">
        <w:rPr>
          <w:i/>
          <w:iCs/>
          <w:rtl/>
        </w:rPr>
        <w:t xml:space="preserve"> </w:t>
      </w:r>
      <w:r w:rsidR="00F32B28" w:rsidRPr="00F32B28">
        <w:rPr>
          <w:i/>
          <w:iCs/>
          <w:rtl/>
        </w:rPr>
        <w:t>القانون</w:t>
      </w:r>
      <w:r w:rsidR="00F32B28">
        <w:rPr>
          <w:i/>
          <w:iCs/>
          <w:rtl/>
        </w:rPr>
        <w:t xml:space="preserve"> </w:t>
      </w:r>
      <w:r w:rsidR="00F32B28" w:rsidRPr="00F32B28">
        <w:rPr>
          <w:i/>
          <w:iCs/>
          <w:rtl/>
        </w:rPr>
        <w:t>الأساسي</w:t>
      </w:r>
      <w:r w:rsidR="00F32B28">
        <w:rPr>
          <w:i/>
          <w:iCs/>
          <w:rtl/>
        </w:rPr>
        <w:t xml:space="preserve"> </w:t>
      </w:r>
      <w:r w:rsidR="00F32B28" w:rsidRPr="00F32B28">
        <w:rPr>
          <w:i/>
          <w:iCs/>
          <w:rtl/>
        </w:rPr>
        <w:t>أو</w:t>
      </w:r>
      <w:r w:rsidR="00F32B28">
        <w:rPr>
          <w:i/>
          <w:iCs/>
          <w:rtl/>
        </w:rPr>
        <w:t xml:space="preserve"> </w:t>
      </w:r>
      <w:r w:rsidR="00F32B28" w:rsidRPr="00F32B28">
        <w:rPr>
          <w:i/>
          <w:iCs/>
          <w:rtl/>
        </w:rPr>
        <w:t>القانون،</w:t>
      </w:r>
      <w:r w:rsidR="00F32B28">
        <w:rPr>
          <w:i/>
          <w:iCs/>
          <w:rtl/>
        </w:rPr>
        <w:t xml:space="preserve"> </w:t>
      </w:r>
      <w:r w:rsidR="00F32B28" w:rsidRPr="00F32B28">
        <w:rPr>
          <w:i/>
          <w:iCs/>
          <w:rtl/>
        </w:rPr>
        <w:t>جريمة</w:t>
      </w:r>
      <w:r w:rsidR="00F32B28">
        <w:rPr>
          <w:i/>
          <w:iCs/>
          <w:rtl/>
        </w:rPr>
        <w:t xml:space="preserve"> </w:t>
      </w:r>
      <w:r w:rsidR="00F32B28" w:rsidRPr="00F32B28">
        <w:rPr>
          <w:i/>
          <w:iCs/>
          <w:rtl/>
        </w:rPr>
        <w:t>لا</w:t>
      </w:r>
      <w:r w:rsidR="00F32B28">
        <w:rPr>
          <w:i/>
          <w:iCs/>
          <w:rtl/>
        </w:rPr>
        <w:t xml:space="preserve"> </w:t>
      </w:r>
      <w:r w:rsidR="00F32B28" w:rsidRPr="00F32B28">
        <w:rPr>
          <w:i/>
          <w:iCs/>
          <w:rtl/>
        </w:rPr>
        <w:t>تسقط</w:t>
      </w:r>
      <w:r w:rsidR="00F32B28">
        <w:rPr>
          <w:i/>
          <w:iCs/>
          <w:rtl/>
        </w:rPr>
        <w:t xml:space="preserve"> </w:t>
      </w:r>
      <w:r w:rsidR="00F32B28" w:rsidRPr="00F32B28">
        <w:rPr>
          <w:i/>
          <w:iCs/>
          <w:rtl/>
        </w:rPr>
        <w:t>الدعوى</w:t>
      </w:r>
      <w:r w:rsidR="00F32B28">
        <w:rPr>
          <w:i/>
          <w:iCs/>
          <w:rtl/>
        </w:rPr>
        <w:t xml:space="preserve"> </w:t>
      </w:r>
      <w:r w:rsidR="00F32B28" w:rsidRPr="00F32B28">
        <w:rPr>
          <w:i/>
          <w:iCs/>
          <w:rtl/>
        </w:rPr>
        <w:t>الجنائية</w:t>
      </w:r>
      <w:r w:rsidR="00F32B28">
        <w:rPr>
          <w:i/>
          <w:iCs/>
          <w:rtl/>
        </w:rPr>
        <w:t xml:space="preserve"> </w:t>
      </w:r>
      <w:r w:rsidR="00F32B28" w:rsidRPr="00F32B28">
        <w:rPr>
          <w:i/>
          <w:iCs/>
          <w:rtl/>
        </w:rPr>
        <w:t>ولا</w:t>
      </w:r>
      <w:r w:rsidR="001D253C">
        <w:rPr>
          <w:rFonts w:hint="cs"/>
          <w:i/>
          <w:iCs/>
          <w:rtl/>
        </w:rPr>
        <w:t> </w:t>
      </w:r>
      <w:r w:rsidR="00F32B28" w:rsidRPr="00F32B28">
        <w:rPr>
          <w:i/>
          <w:iCs/>
          <w:rtl/>
        </w:rPr>
        <w:t>المدنية</w:t>
      </w:r>
      <w:r w:rsidR="00F32B28">
        <w:rPr>
          <w:i/>
          <w:iCs/>
          <w:rtl/>
        </w:rPr>
        <w:t xml:space="preserve"> </w:t>
      </w:r>
      <w:r w:rsidR="00F32B28" w:rsidRPr="00F32B28">
        <w:rPr>
          <w:i/>
          <w:iCs/>
          <w:rtl/>
        </w:rPr>
        <w:t>الناشئة</w:t>
      </w:r>
      <w:r w:rsidR="00F32B28">
        <w:rPr>
          <w:i/>
          <w:iCs/>
          <w:rtl/>
        </w:rPr>
        <w:t xml:space="preserve"> </w:t>
      </w:r>
      <w:r w:rsidR="00F32B28" w:rsidRPr="00F32B28">
        <w:rPr>
          <w:i/>
          <w:iCs/>
          <w:rtl/>
        </w:rPr>
        <w:t>عنها</w:t>
      </w:r>
      <w:r w:rsidR="00F32B28">
        <w:rPr>
          <w:i/>
          <w:iCs/>
          <w:rtl/>
        </w:rPr>
        <w:t xml:space="preserve"> </w:t>
      </w:r>
      <w:r w:rsidR="00F32B28" w:rsidRPr="00F32B28">
        <w:rPr>
          <w:i/>
          <w:iCs/>
          <w:rtl/>
        </w:rPr>
        <w:t>بالتقادم،</w:t>
      </w:r>
      <w:r w:rsidR="00F32B28">
        <w:rPr>
          <w:i/>
          <w:iCs/>
          <w:rtl/>
        </w:rPr>
        <w:t xml:space="preserve"> </w:t>
      </w:r>
      <w:r w:rsidR="00F32B28" w:rsidRPr="00F32B28">
        <w:rPr>
          <w:i/>
          <w:iCs/>
          <w:rtl/>
        </w:rPr>
        <w:t>وتضمن</w:t>
      </w:r>
      <w:r w:rsidR="00F32B28">
        <w:rPr>
          <w:i/>
          <w:iCs/>
          <w:rtl/>
        </w:rPr>
        <w:t xml:space="preserve"> </w:t>
      </w:r>
      <w:r w:rsidR="00F32B28" w:rsidRPr="00F32B28">
        <w:rPr>
          <w:i/>
          <w:iCs/>
          <w:rtl/>
        </w:rPr>
        <w:t>السلطة</w:t>
      </w:r>
      <w:r w:rsidR="00F32B28">
        <w:rPr>
          <w:i/>
          <w:iCs/>
          <w:rtl/>
        </w:rPr>
        <w:t xml:space="preserve"> </w:t>
      </w:r>
      <w:r w:rsidR="00F32B28" w:rsidRPr="00F32B28">
        <w:rPr>
          <w:i/>
          <w:iCs/>
          <w:rtl/>
        </w:rPr>
        <w:t>الوطنية</w:t>
      </w:r>
      <w:r w:rsidR="00F32B28">
        <w:rPr>
          <w:i/>
          <w:iCs/>
          <w:rtl/>
        </w:rPr>
        <w:t xml:space="preserve"> </w:t>
      </w:r>
      <w:r w:rsidR="00F32B28" w:rsidRPr="00F32B28">
        <w:rPr>
          <w:i/>
          <w:iCs/>
          <w:rtl/>
        </w:rPr>
        <w:t>تعويضاً</w:t>
      </w:r>
      <w:r w:rsidR="00F32B28">
        <w:rPr>
          <w:i/>
          <w:iCs/>
          <w:rtl/>
        </w:rPr>
        <w:t xml:space="preserve"> </w:t>
      </w:r>
      <w:r w:rsidR="00F32B28" w:rsidRPr="00F32B28">
        <w:rPr>
          <w:i/>
          <w:iCs/>
          <w:rtl/>
        </w:rPr>
        <w:t>عادلاً</w:t>
      </w:r>
      <w:r w:rsidR="00F32B28">
        <w:rPr>
          <w:i/>
          <w:iCs/>
          <w:rtl/>
        </w:rPr>
        <w:t xml:space="preserve"> </w:t>
      </w:r>
      <w:r w:rsidR="00F32B28" w:rsidRPr="00F32B28">
        <w:rPr>
          <w:i/>
          <w:iCs/>
          <w:rtl/>
        </w:rPr>
        <w:t>لمن</w:t>
      </w:r>
      <w:r w:rsidR="00F32B28">
        <w:rPr>
          <w:i/>
          <w:iCs/>
          <w:rtl/>
        </w:rPr>
        <w:t xml:space="preserve"> </w:t>
      </w:r>
      <w:r w:rsidR="00F32B28" w:rsidRPr="00F32B28">
        <w:rPr>
          <w:i/>
          <w:iCs/>
          <w:rtl/>
        </w:rPr>
        <w:t>وقع</w:t>
      </w:r>
      <w:r w:rsidR="00F32B28">
        <w:rPr>
          <w:i/>
          <w:iCs/>
          <w:rtl/>
        </w:rPr>
        <w:t xml:space="preserve"> </w:t>
      </w:r>
      <w:r w:rsidR="00F32B28" w:rsidRPr="00F32B28">
        <w:rPr>
          <w:i/>
          <w:iCs/>
          <w:rtl/>
        </w:rPr>
        <w:t>عليه</w:t>
      </w:r>
      <w:r w:rsidR="00F32B28">
        <w:rPr>
          <w:i/>
          <w:iCs/>
          <w:rtl/>
        </w:rPr>
        <w:t xml:space="preserve"> </w:t>
      </w:r>
      <w:r w:rsidR="00F32B28" w:rsidRPr="00F32B28">
        <w:rPr>
          <w:i/>
          <w:iCs/>
          <w:rtl/>
        </w:rPr>
        <w:t>الضرر</w:t>
      </w:r>
      <w:r w:rsidR="001D253C">
        <w:rPr>
          <w:rFonts w:hint="cs"/>
          <w:rtl/>
        </w:rPr>
        <w:t>“</w:t>
      </w:r>
      <w:r w:rsidR="00F32B28" w:rsidRPr="00F32B28">
        <w:rPr>
          <w:i/>
          <w:iCs/>
          <w:rtl/>
        </w:rPr>
        <w:t>.</w:t>
      </w:r>
    </w:p>
    <w:p w:rsidR="00F32B28" w:rsidRPr="00F32B28" w:rsidRDefault="00DF0562" w:rsidP="009C6174">
      <w:pPr>
        <w:pStyle w:val="SingleTxt"/>
        <w:rPr>
          <w:rtl/>
        </w:rPr>
      </w:pPr>
      <w:r>
        <w:rPr>
          <w:rFonts w:hint="cs"/>
          <w:rtl/>
        </w:rPr>
        <w:t>2</w:t>
      </w:r>
      <w:r w:rsidR="009C6174">
        <w:rPr>
          <w:rFonts w:hint="cs"/>
          <w:rtl/>
        </w:rPr>
        <w:t>3</w:t>
      </w:r>
      <w:r>
        <w:rPr>
          <w:rFonts w:hint="cs"/>
          <w:rtl/>
        </w:rPr>
        <w:t xml:space="preserve"> -</w:t>
      </w:r>
      <w:r>
        <w:rPr>
          <w:rFonts w:hint="cs"/>
          <w:rtl/>
        </w:rPr>
        <w:tab/>
      </w:r>
      <w:r w:rsidR="00F32B28" w:rsidRPr="00F32B28">
        <w:rPr>
          <w:rtl/>
        </w:rPr>
        <w:t>ويُنظم</w:t>
      </w:r>
      <w:r w:rsidR="00F32B28">
        <w:rPr>
          <w:rtl/>
        </w:rPr>
        <w:t xml:space="preserve"> </w:t>
      </w:r>
      <w:r w:rsidR="00F32B28" w:rsidRPr="00F32B28">
        <w:rPr>
          <w:rtl/>
        </w:rPr>
        <w:t>القضاء</w:t>
      </w:r>
      <w:r w:rsidR="001D253C">
        <w:rPr>
          <w:rFonts w:hint="cs"/>
          <w:rtl/>
        </w:rPr>
        <w:t xml:space="preserve"> </w:t>
      </w:r>
      <w:r w:rsidR="00F32B28" w:rsidRPr="00F32B28">
        <w:rPr>
          <w:rtl/>
        </w:rPr>
        <w:t>بموجب</w:t>
      </w:r>
      <w:r w:rsidR="00F32B28">
        <w:rPr>
          <w:rtl/>
        </w:rPr>
        <w:t xml:space="preserve"> </w:t>
      </w:r>
      <w:r w:rsidR="00F32B28" w:rsidRPr="00F32B28">
        <w:rPr>
          <w:rtl/>
        </w:rPr>
        <w:t>مجموعة</w:t>
      </w:r>
      <w:r w:rsidR="00F32B28">
        <w:rPr>
          <w:rtl/>
        </w:rPr>
        <w:t xml:space="preserve"> </w:t>
      </w:r>
      <w:r w:rsidR="00F32B28" w:rsidRPr="00F32B28">
        <w:rPr>
          <w:rtl/>
        </w:rPr>
        <w:t>من</w:t>
      </w:r>
      <w:r w:rsidR="00F32B28">
        <w:rPr>
          <w:rtl/>
        </w:rPr>
        <w:t xml:space="preserve"> </w:t>
      </w:r>
      <w:r w:rsidR="00F32B28" w:rsidRPr="00F32B28">
        <w:rPr>
          <w:rtl/>
        </w:rPr>
        <w:t>قواعد</w:t>
      </w:r>
      <w:r w:rsidR="00F32B28">
        <w:rPr>
          <w:rtl/>
        </w:rPr>
        <w:t xml:space="preserve"> </w:t>
      </w:r>
      <w:r w:rsidR="00F32B28" w:rsidRPr="00F32B28">
        <w:rPr>
          <w:rtl/>
        </w:rPr>
        <w:t>النظام</w:t>
      </w:r>
      <w:r w:rsidR="00F32B28">
        <w:rPr>
          <w:rtl/>
        </w:rPr>
        <w:t xml:space="preserve"> </w:t>
      </w:r>
      <w:r w:rsidR="00F32B28" w:rsidRPr="00F32B28">
        <w:rPr>
          <w:rtl/>
        </w:rPr>
        <w:t>العام</w:t>
      </w:r>
      <w:r w:rsidR="00F32B28">
        <w:rPr>
          <w:rtl/>
        </w:rPr>
        <w:t xml:space="preserve"> </w:t>
      </w:r>
      <w:r w:rsidR="00F32B28" w:rsidRPr="00F32B28">
        <w:rPr>
          <w:rtl/>
        </w:rPr>
        <w:t>الآمرة</w:t>
      </w:r>
      <w:r w:rsidR="00F32B28">
        <w:rPr>
          <w:rtl/>
        </w:rPr>
        <w:t xml:space="preserve"> </w:t>
      </w:r>
      <w:r w:rsidR="00F32B28" w:rsidRPr="00F32B28">
        <w:rPr>
          <w:rtl/>
        </w:rPr>
        <w:t>والمبادئ</w:t>
      </w:r>
      <w:r w:rsidR="00F32B28">
        <w:rPr>
          <w:rtl/>
        </w:rPr>
        <w:t xml:space="preserve"> </w:t>
      </w:r>
      <w:r w:rsidR="00F32B28" w:rsidRPr="00F32B28">
        <w:rPr>
          <w:rtl/>
        </w:rPr>
        <w:t>العامة</w:t>
      </w:r>
      <w:r w:rsidR="00F32B28">
        <w:rPr>
          <w:rtl/>
        </w:rPr>
        <w:t xml:space="preserve"> </w:t>
      </w:r>
      <w:r w:rsidR="00F32B28" w:rsidRPr="00F32B28">
        <w:rPr>
          <w:rtl/>
        </w:rPr>
        <w:t>التي</w:t>
      </w:r>
      <w:r w:rsidR="00F32B28">
        <w:rPr>
          <w:rtl/>
        </w:rPr>
        <w:t xml:space="preserve"> </w:t>
      </w:r>
      <w:r w:rsidR="00F32B28" w:rsidRPr="00F32B28">
        <w:rPr>
          <w:rtl/>
        </w:rPr>
        <w:t>توفر</w:t>
      </w:r>
      <w:r w:rsidR="00F32B28">
        <w:rPr>
          <w:rtl/>
        </w:rPr>
        <w:t xml:space="preserve"> </w:t>
      </w:r>
      <w:r w:rsidR="00F32B28" w:rsidRPr="00F32B28">
        <w:rPr>
          <w:rtl/>
        </w:rPr>
        <w:t>حماية</w:t>
      </w:r>
      <w:r w:rsidR="00F32B28">
        <w:rPr>
          <w:rtl/>
        </w:rPr>
        <w:t xml:space="preserve"> </w:t>
      </w:r>
      <w:r w:rsidR="00F32B28" w:rsidRPr="00F32B28">
        <w:rPr>
          <w:rtl/>
        </w:rPr>
        <w:t>قانونية</w:t>
      </w:r>
      <w:r w:rsidR="00F32B28">
        <w:rPr>
          <w:rtl/>
        </w:rPr>
        <w:t xml:space="preserve"> </w:t>
      </w:r>
      <w:r w:rsidR="00F32B28" w:rsidRPr="00F32B28">
        <w:rPr>
          <w:rtl/>
        </w:rPr>
        <w:t>للنساء</w:t>
      </w:r>
      <w:r w:rsidR="00F32B28">
        <w:rPr>
          <w:rtl/>
        </w:rPr>
        <w:t xml:space="preserve"> </w:t>
      </w:r>
      <w:r w:rsidR="00F32B28" w:rsidRPr="00F32B28">
        <w:rPr>
          <w:rtl/>
        </w:rPr>
        <w:t>من</w:t>
      </w:r>
      <w:r w:rsidR="00F32B28">
        <w:rPr>
          <w:rtl/>
        </w:rPr>
        <w:t xml:space="preserve"> </w:t>
      </w:r>
      <w:r w:rsidR="00F32B28" w:rsidRPr="00F32B28">
        <w:rPr>
          <w:rtl/>
        </w:rPr>
        <w:t>أي</w:t>
      </w:r>
      <w:r w:rsidR="00F32B28">
        <w:rPr>
          <w:rtl/>
        </w:rPr>
        <w:t xml:space="preserve"> </w:t>
      </w:r>
      <w:r w:rsidR="00F32B28" w:rsidRPr="00F32B28">
        <w:rPr>
          <w:rtl/>
        </w:rPr>
        <w:t>عمل</w:t>
      </w:r>
      <w:r w:rsidR="00F32B28">
        <w:rPr>
          <w:rtl/>
        </w:rPr>
        <w:t xml:space="preserve"> </w:t>
      </w:r>
      <w:r w:rsidR="00F32B28" w:rsidRPr="00F32B28">
        <w:rPr>
          <w:rtl/>
        </w:rPr>
        <w:t>تمييزي،</w:t>
      </w:r>
      <w:r w:rsidR="00F32B28">
        <w:rPr>
          <w:rtl/>
        </w:rPr>
        <w:t xml:space="preserve"> </w:t>
      </w:r>
      <w:r w:rsidR="00F32B28" w:rsidRPr="00F32B28">
        <w:rPr>
          <w:rtl/>
        </w:rPr>
        <w:t>والتي</w:t>
      </w:r>
      <w:r w:rsidR="00F32B28">
        <w:rPr>
          <w:rtl/>
        </w:rPr>
        <w:t xml:space="preserve"> </w:t>
      </w:r>
      <w:r w:rsidR="00F32B28" w:rsidRPr="00F32B28">
        <w:rPr>
          <w:rtl/>
        </w:rPr>
        <w:t>يبطل</w:t>
      </w:r>
      <w:r w:rsidR="00F32B28">
        <w:rPr>
          <w:rtl/>
        </w:rPr>
        <w:t xml:space="preserve"> </w:t>
      </w:r>
      <w:r w:rsidR="00F32B28" w:rsidRPr="00F32B28">
        <w:rPr>
          <w:rtl/>
        </w:rPr>
        <w:t>الخروج</w:t>
      </w:r>
      <w:r w:rsidR="00F32B28">
        <w:rPr>
          <w:rtl/>
        </w:rPr>
        <w:t xml:space="preserve"> </w:t>
      </w:r>
      <w:r w:rsidR="00F32B28" w:rsidRPr="00F32B28">
        <w:rPr>
          <w:rtl/>
        </w:rPr>
        <w:t>عنها</w:t>
      </w:r>
      <w:r w:rsidR="00F32B28">
        <w:rPr>
          <w:rtl/>
        </w:rPr>
        <w:t xml:space="preserve"> </w:t>
      </w:r>
      <w:r w:rsidR="00F32B28" w:rsidRPr="00F32B28">
        <w:rPr>
          <w:rtl/>
        </w:rPr>
        <w:t>أو</w:t>
      </w:r>
      <w:r w:rsidR="001D253C">
        <w:rPr>
          <w:rFonts w:hint="cs"/>
          <w:rtl/>
        </w:rPr>
        <w:t xml:space="preserve"> </w:t>
      </w:r>
      <w:r w:rsidR="00F32B28" w:rsidRPr="00F32B28">
        <w:rPr>
          <w:rtl/>
        </w:rPr>
        <w:t>العمل</w:t>
      </w:r>
      <w:r w:rsidR="00F32B28">
        <w:rPr>
          <w:rtl/>
        </w:rPr>
        <w:t xml:space="preserve"> </w:t>
      </w:r>
      <w:r w:rsidR="00F32B28" w:rsidRPr="00F32B28">
        <w:rPr>
          <w:rtl/>
        </w:rPr>
        <w:t>بخلافها</w:t>
      </w:r>
      <w:r w:rsidR="00F32B28">
        <w:rPr>
          <w:rtl/>
        </w:rPr>
        <w:t xml:space="preserve"> </w:t>
      </w:r>
      <w:r w:rsidR="00F32B28" w:rsidRPr="00F32B28">
        <w:rPr>
          <w:rtl/>
        </w:rPr>
        <w:t>أي</w:t>
      </w:r>
      <w:r w:rsidR="00F32B28">
        <w:rPr>
          <w:rtl/>
        </w:rPr>
        <w:t xml:space="preserve"> </w:t>
      </w:r>
      <w:r w:rsidR="00F32B28" w:rsidRPr="00F32B28">
        <w:rPr>
          <w:rtl/>
        </w:rPr>
        <w:t>حكم</w:t>
      </w:r>
      <w:r w:rsidR="00F32B28">
        <w:rPr>
          <w:rtl/>
        </w:rPr>
        <w:t xml:space="preserve"> </w:t>
      </w:r>
      <w:r w:rsidR="00F32B28" w:rsidRPr="00F32B28">
        <w:rPr>
          <w:rtl/>
        </w:rPr>
        <w:t>أو</w:t>
      </w:r>
      <w:r w:rsidR="00F32B28">
        <w:rPr>
          <w:rtl/>
        </w:rPr>
        <w:t xml:space="preserve"> </w:t>
      </w:r>
      <w:r w:rsidR="00F32B28" w:rsidRPr="00F32B28">
        <w:rPr>
          <w:rtl/>
        </w:rPr>
        <w:t>قرار</w:t>
      </w:r>
      <w:r w:rsidR="00F32B28">
        <w:rPr>
          <w:rtl/>
        </w:rPr>
        <w:t xml:space="preserve"> </w:t>
      </w:r>
      <w:r w:rsidR="00F32B28" w:rsidRPr="00F32B28">
        <w:rPr>
          <w:rtl/>
        </w:rPr>
        <w:t>قضائي.</w:t>
      </w:r>
      <w:r w:rsidR="00F32B28">
        <w:rPr>
          <w:rtl/>
        </w:rPr>
        <w:t xml:space="preserve"> </w:t>
      </w:r>
      <w:r w:rsidR="00F32B28" w:rsidRPr="00F32B28">
        <w:rPr>
          <w:rtl/>
        </w:rPr>
        <w:t>ولعل</w:t>
      </w:r>
      <w:r w:rsidR="00F32B28">
        <w:rPr>
          <w:rtl/>
        </w:rPr>
        <w:t xml:space="preserve"> </w:t>
      </w:r>
      <w:r w:rsidR="00F32B28" w:rsidRPr="00F32B28">
        <w:rPr>
          <w:rtl/>
        </w:rPr>
        <w:t>من</w:t>
      </w:r>
      <w:r w:rsidR="00F32B28">
        <w:rPr>
          <w:rtl/>
        </w:rPr>
        <w:t xml:space="preserve"> </w:t>
      </w:r>
      <w:r w:rsidR="00F32B28" w:rsidRPr="00F32B28">
        <w:rPr>
          <w:rtl/>
        </w:rPr>
        <w:t>أهم</w:t>
      </w:r>
      <w:r w:rsidR="00F32B28">
        <w:rPr>
          <w:rtl/>
        </w:rPr>
        <w:t xml:space="preserve"> </w:t>
      </w:r>
      <w:r w:rsidR="00F32B28" w:rsidRPr="00F32B28">
        <w:rPr>
          <w:rtl/>
        </w:rPr>
        <w:t>هذه</w:t>
      </w:r>
      <w:r w:rsidR="00F32B28">
        <w:rPr>
          <w:rtl/>
        </w:rPr>
        <w:t xml:space="preserve"> </w:t>
      </w:r>
      <w:r w:rsidR="00F32B28" w:rsidRPr="00F32B28">
        <w:rPr>
          <w:rtl/>
        </w:rPr>
        <w:t>القواعد</w:t>
      </w:r>
      <w:r w:rsidR="00F32B28">
        <w:rPr>
          <w:rtl/>
        </w:rPr>
        <w:t xml:space="preserve"> </w:t>
      </w:r>
      <w:r w:rsidR="00F32B28" w:rsidRPr="00F32B28">
        <w:rPr>
          <w:rtl/>
        </w:rPr>
        <w:t>ما</w:t>
      </w:r>
      <w:r w:rsidR="00F32B28">
        <w:rPr>
          <w:rtl/>
        </w:rPr>
        <w:t xml:space="preserve"> </w:t>
      </w:r>
      <w:r w:rsidR="00F32B28" w:rsidRPr="00F32B28">
        <w:rPr>
          <w:rtl/>
        </w:rPr>
        <w:t>يلي:</w:t>
      </w:r>
      <w:r w:rsidR="00F32B28">
        <w:rPr>
          <w:rtl/>
        </w:rPr>
        <w:t xml:space="preserve"> </w:t>
      </w:r>
      <w:r w:rsidR="00F32B28" w:rsidRPr="00F32B28">
        <w:rPr>
          <w:rtl/>
        </w:rPr>
        <w:t>استقلال</w:t>
      </w:r>
      <w:r w:rsidR="00F32B28">
        <w:rPr>
          <w:rtl/>
        </w:rPr>
        <w:t xml:space="preserve"> </w:t>
      </w:r>
      <w:r w:rsidR="00F32B28" w:rsidRPr="00F32B28">
        <w:rPr>
          <w:rtl/>
        </w:rPr>
        <w:t>السلطة</w:t>
      </w:r>
      <w:r w:rsidR="00F32B28">
        <w:rPr>
          <w:rtl/>
        </w:rPr>
        <w:t xml:space="preserve"> </w:t>
      </w:r>
      <w:bookmarkStart w:id="2" w:name="4477"/>
      <w:bookmarkEnd w:id="2"/>
      <w:r w:rsidR="00F32B28" w:rsidRPr="00F32B28">
        <w:rPr>
          <w:rtl/>
        </w:rPr>
        <w:t>القضائية؛</w:t>
      </w:r>
      <w:r w:rsidR="00F32B28">
        <w:rPr>
          <w:rtl/>
        </w:rPr>
        <w:t xml:space="preserve"> </w:t>
      </w:r>
      <w:r w:rsidR="00F32B28" w:rsidRPr="00F32B28">
        <w:rPr>
          <w:rtl/>
        </w:rPr>
        <w:t>وحظر</w:t>
      </w:r>
      <w:r w:rsidR="00F32B28">
        <w:rPr>
          <w:rtl/>
        </w:rPr>
        <w:t xml:space="preserve"> </w:t>
      </w:r>
      <w:r w:rsidR="00F32B28" w:rsidRPr="00F32B28">
        <w:rPr>
          <w:rtl/>
        </w:rPr>
        <w:t>التدخل</w:t>
      </w:r>
      <w:r w:rsidR="00F32B28">
        <w:rPr>
          <w:rtl/>
        </w:rPr>
        <w:t xml:space="preserve"> </w:t>
      </w:r>
      <w:r w:rsidR="00F32B28" w:rsidRPr="00F32B28">
        <w:rPr>
          <w:rtl/>
        </w:rPr>
        <w:t>في</w:t>
      </w:r>
      <w:r w:rsidR="00F32B28">
        <w:rPr>
          <w:rtl/>
        </w:rPr>
        <w:t xml:space="preserve"> </w:t>
      </w:r>
      <w:r w:rsidR="00F32B28" w:rsidRPr="00F32B28">
        <w:rPr>
          <w:rtl/>
        </w:rPr>
        <w:t>القضاء</w:t>
      </w:r>
      <w:r w:rsidR="00F32B28">
        <w:rPr>
          <w:rtl/>
        </w:rPr>
        <w:t xml:space="preserve"> </w:t>
      </w:r>
      <w:r w:rsidR="00F32B28" w:rsidRPr="00F32B28">
        <w:rPr>
          <w:rtl/>
        </w:rPr>
        <w:t>أو</w:t>
      </w:r>
      <w:r w:rsidR="00F32B28">
        <w:rPr>
          <w:rtl/>
        </w:rPr>
        <w:t xml:space="preserve"> </w:t>
      </w:r>
      <w:r w:rsidR="00F32B28" w:rsidRPr="00F32B28">
        <w:rPr>
          <w:rtl/>
        </w:rPr>
        <w:t>في</w:t>
      </w:r>
      <w:r w:rsidR="00F32B28">
        <w:rPr>
          <w:rtl/>
        </w:rPr>
        <w:t xml:space="preserve"> </w:t>
      </w:r>
      <w:r w:rsidR="00F32B28" w:rsidRPr="00F32B28">
        <w:rPr>
          <w:rtl/>
        </w:rPr>
        <w:t>شؤون</w:t>
      </w:r>
      <w:r w:rsidR="00F32B28">
        <w:rPr>
          <w:rtl/>
        </w:rPr>
        <w:t xml:space="preserve"> </w:t>
      </w:r>
      <w:r w:rsidR="00F32B28" w:rsidRPr="00F32B28">
        <w:rPr>
          <w:rtl/>
        </w:rPr>
        <w:t>العدالة</w:t>
      </w:r>
      <w:r w:rsidR="00F32B28">
        <w:rPr>
          <w:rtl/>
        </w:rPr>
        <w:t xml:space="preserve"> </w:t>
      </w:r>
      <w:r w:rsidR="00F32B28" w:rsidRPr="00F32B28">
        <w:rPr>
          <w:rtl/>
        </w:rPr>
        <w:t>إذ</w:t>
      </w:r>
      <w:r w:rsidR="00F32B28">
        <w:rPr>
          <w:rtl/>
        </w:rPr>
        <w:t xml:space="preserve"> </w:t>
      </w:r>
      <w:r w:rsidR="00F32B28" w:rsidRPr="00F32B28">
        <w:rPr>
          <w:rtl/>
        </w:rPr>
        <w:t>لا</w:t>
      </w:r>
      <w:r w:rsidR="00F32B28">
        <w:rPr>
          <w:rtl/>
        </w:rPr>
        <w:t xml:space="preserve"> </w:t>
      </w:r>
      <w:r w:rsidR="00F32B28" w:rsidRPr="00F32B28">
        <w:rPr>
          <w:rtl/>
        </w:rPr>
        <w:t>سلطان</w:t>
      </w:r>
      <w:r w:rsidR="00F32B28">
        <w:rPr>
          <w:rtl/>
        </w:rPr>
        <w:t xml:space="preserve"> </w:t>
      </w:r>
      <w:r w:rsidR="00F32B28" w:rsidRPr="00F32B28">
        <w:rPr>
          <w:rtl/>
        </w:rPr>
        <w:t>على</w:t>
      </w:r>
      <w:r w:rsidR="00F32B28">
        <w:rPr>
          <w:rtl/>
        </w:rPr>
        <w:t xml:space="preserve"> </w:t>
      </w:r>
      <w:r w:rsidR="00F32B28" w:rsidRPr="00F32B28">
        <w:rPr>
          <w:rtl/>
        </w:rPr>
        <w:t>القاضي</w:t>
      </w:r>
      <w:r w:rsidR="00F32B28">
        <w:rPr>
          <w:rtl/>
        </w:rPr>
        <w:t xml:space="preserve"> </w:t>
      </w:r>
      <w:r w:rsidR="00F32B28" w:rsidRPr="00F32B28">
        <w:rPr>
          <w:rtl/>
        </w:rPr>
        <w:t>سوى</w:t>
      </w:r>
      <w:r w:rsidR="00F32B28">
        <w:rPr>
          <w:rtl/>
        </w:rPr>
        <w:t xml:space="preserve"> </w:t>
      </w:r>
      <w:r w:rsidR="00F32B28" w:rsidRPr="00F32B28">
        <w:rPr>
          <w:rtl/>
        </w:rPr>
        <w:t>القانون؛</w:t>
      </w:r>
      <w:r w:rsidR="00F32B28">
        <w:rPr>
          <w:rtl/>
        </w:rPr>
        <w:t xml:space="preserve"> </w:t>
      </w:r>
      <w:r w:rsidR="00F32B28" w:rsidRPr="00F32B28">
        <w:rPr>
          <w:rtl/>
        </w:rPr>
        <w:t>ومبادئ</w:t>
      </w:r>
      <w:r w:rsidR="00F32B28">
        <w:rPr>
          <w:rtl/>
        </w:rPr>
        <w:t xml:space="preserve"> </w:t>
      </w:r>
      <w:r w:rsidR="00F32B28" w:rsidRPr="00F32B28">
        <w:rPr>
          <w:rtl/>
        </w:rPr>
        <w:t>سيادة</w:t>
      </w:r>
      <w:r w:rsidR="00F32B28">
        <w:rPr>
          <w:rtl/>
        </w:rPr>
        <w:t xml:space="preserve"> </w:t>
      </w:r>
      <w:r w:rsidR="00F32B28" w:rsidRPr="00F32B28">
        <w:rPr>
          <w:rtl/>
        </w:rPr>
        <w:t>القانون؛</w:t>
      </w:r>
      <w:r w:rsidR="00F32B28">
        <w:rPr>
          <w:rtl/>
        </w:rPr>
        <w:t xml:space="preserve"> </w:t>
      </w:r>
      <w:r w:rsidR="00F32B28" w:rsidRPr="00F32B28">
        <w:rPr>
          <w:rtl/>
        </w:rPr>
        <w:t>والمساواة</w:t>
      </w:r>
      <w:r w:rsidR="00F32B28">
        <w:rPr>
          <w:rtl/>
        </w:rPr>
        <w:t xml:space="preserve"> </w:t>
      </w:r>
      <w:r w:rsidR="00F32B28" w:rsidRPr="00F32B28">
        <w:rPr>
          <w:rtl/>
        </w:rPr>
        <w:t>أمام</w:t>
      </w:r>
      <w:r w:rsidR="00F32B28">
        <w:rPr>
          <w:rtl/>
        </w:rPr>
        <w:t xml:space="preserve"> </w:t>
      </w:r>
      <w:r w:rsidR="00F32B28" w:rsidRPr="00F32B28">
        <w:rPr>
          <w:rtl/>
        </w:rPr>
        <w:t>القانون</w:t>
      </w:r>
      <w:r w:rsidR="00F32B28">
        <w:rPr>
          <w:rtl/>
        </w:rPr>
        <w:t xml:space="preserve"> </w:t>
      </w:r>
      <w:r w:rsidR="00F32B28" w:rsidRPr="00F32B28">
        <w:rPr>
          <w:rtl/>
        </w:rPr>
        <w:t>والقضاء؛</w:t>
      </w:r>
      <w:r w:rsidR="00F32B28">
        <w:rPr>
          <w:rtl/>
        </w:rPr>
        <w:t xml:space="preserve"> </w:t>
      </w:r>
      <w:r w:rsidR="00F32B28" w:rsidRPr="00F32B28">
        <w:rPr>
          <w:rtl/>
        </w:rPr>
        <w:t>والحق</w:t>
      </w:r>
      <w:r w:rsidR="00F32B28">
        <w:rPr>
          <w:rtl/>
        </w:rPr>
        <w:t xml:space="preserve"> </w:t>
      </w:r>
      <w:r w:rsidR="00F32B28" w:rsidRPr="00F32B28">
        <w:rPr>
          <w:rtl/>
        </w:rPr>
        <w:t>في</w:t>
      </w:r>
      <w:r w:rsidR="00F32B28">
        <w:rPr>
          <w:rtl/>
        </w:rPr>
        <w:t xml:space="preserve"> </w:t>
      </w:r>
      <w:r w:rsidR="00F32B28" w:rsidRPr="00F32B28">
        <w:rPr>
          <w:rtl/>
        </w:rPr>
        <w:t>المحاكمة</w:t>
      </w:r>
      <w:r w:rsidR="00F32B28">
        <w:rPr>
          <w:rtl/>
        </w:rPr>
        <w:t xml:space="preserve"> </w:t>
      </w:r>
      <w:r w:rsidR="00F32B28" w:rsidRPr="00F32B28">
        <w:rPr>
          <w:rtl/>
        </w:rPr>
        <w:t>العادلة؛</w:t>
      </w:r>
      <w:r w:rsidR="00F32B28">
        <w:rPr>
          <w:rtl/>
        </w:rPr>
        <w:t xml:space="preserve"> </w:t>
      </w:r>
      <w:r w:rsidR="00F32B28" w:rsidRPr="00F32B28">
        <w:rPr>
          <w:rtl/>
        </w:rPr>
        <w:t>والحق</w:t>
      </w:r>
      <w:r w:rsidR="00F32B28">
        <w:rPr>
          <w:rtl/>
        </w:rPr>
        <w:t xml:space="preserve"> </w:t>
      </w:r>
      <w:r w:rsidR="00F32B28" w:rsidRPr="00F32B28">
        <w:rPr>
          <w:rtl/>
        </w:rPr>
        <w:t>في</w:t>
      </w:r>
      <w:r w:rsidR="00F32B28">
        <w:rPr>
          <w:rtl/>
        </w:rPr>
        <w:t xml:space="preserve"> </w:t>
      </w:r>
      <w:r w:rsidR="00F32B28" w:rsidRPr="00F32B28">
        <w:rPr>
          <w:rtl/>
        </w:rPr>
        <w:t>سرعة</w:t>
      </w:r>
      <w:r w:rsidR="00F32B28">
        <w:rPr>
          <w:rtl/>
        </w:rPr>
        <w:t xml:space="preserve"> </w:t>
      </w:r>
      <w:r w:rsidR="00F32B28" w:rsidRPr="00F32B28">
        <w:rPr>
          <w:rtl/>
        </w:rPr>
        <w:t>الانتصاف؛</w:t>
      </w:r>
      <w:r w:rsidR="00F32B28">
        <w:rPr>
          <w:rtl/>
        </w:rPr>
        <w:t xml:space="preserve"> </w:t>
      </w:r>
      <w:r w:rsidR="00F32B28" w:rsidRPr="00F32B28">
        <w:rPr>
          <w:rtl/>
        </w:rPr>
        <w:t>ومبادئ</w:t>
      </w:r>
      <w:r w:rsidR="00F32B28">
        <w:rPr>
          <w:rtl/>
        </w:rPr>
        <w:t xml:space="preserve"> </w:t>
      </w:r>
      <w:r w:rsidR="00F32B28" w:rsidRPr="00F32B28">
        <w:rPr>
          <w:rtl/>
        </w:rPr>
        <w:t>الحكم</w:t>
      </w:r>
      <w:r w:rsidR="00F32B28">
        <w:rPr>
          <w:rtl/>
        </w:rPr>
        <w:t xml:space="preserve"> </w:t>
      </w:r>
      <w:r w:rsidR="00F32B28" w:rsidRPr="00F32B28">
        <w:rPr>
          <w:rtl/>
        </w:rPr>
        <w:t>الرشيد.</w:t>
      </w:r>
    </w:p>
    <w:p w:rsidR="00F32B28" w:rsidRPr="00F32B28" w:rsidRDefault="00DF0562" w:rsidP="009C6174">
      <w:pPr>
        <w:pStyle w:val="SingleTxt"/>
        <w:rPr>
          <w:rtl/>
        </w:rPr>
      </w:pPr>
      <w:r>
        <w:rPr>
          <w:rFonts w:hint="cs"/>
          <w:rtl/>
        </w:rPr>
        <w:t>2</w:t>
      </w:r>
      <w:r w:rsidR="009C6174">
        <w:rPr>
          <w:rFonts w:hint="cs"/>
          <w:rtl/>
        </w:rPr>
        <w:t>4</w:t>
      </w:r>
      <w:r>
        <w:rPr>
          <w:rFonts w:hint="cs"/>
          <w:rtl/>
        </w:rPr>
        <w:t xml:space="preserve"> -</w:t>
      </w:r>
      <w:r>
        <w:rPr>
          <w:rFonts w:hint="cs"/>
          <w:rtl/>
        </w:rPr>
        <w:tab/>
      </w:r>
      <w:r w:rsidR="00F32B28" w:rsidRPr="00F32B28">
        <w:rPr>
          <w:rtl/>
        </w:rPr>
        <w:t>كما</w:t>
      </w:r>
      <w:r w:rsidR="00F32B28">
        <w:rPr>
          <w:rtl/>
        </w:rPr>
        <w:t xml:space="preserve"> </w:t>
      </w:r>
      <w:r w:rsidR="00F32B28" w:rsidRPr="00F32B28">
        <w:rPr>
          <w:rtl/>
        </w:rPr>
        <w:t>أن</w:t>
      </w:r>
      <w:r w:rsidR="00F32B28">
        <w:rPr>
          <w:rtl/>
        </w:rPr>
        <w:t xml:space="preserve"> </w:t>
      </w:r>
      <w:r w:rsidR="00F32B28" w:rsidRPr="00F32B28">
        <w:rPr>
          <w:rtl/>
        </w:rPr>
        <w:t>الأحكام</w:t>
      </w:r>
      <w:r w:rsidR="00F32B28">
        <w:rPr>
          <w:rtl/>
        </w:rPr>
        <w:t xml:space="preserve"> </w:t>
      </w:r>
      <w:r w:rsidR="00F32B28" w:rsidRPr="00F32B28">
        <w:rPr>
          <w:rtl/>
        </w:rPr>
        <w:t>القضائية،</w:t>
      </w:r>
      <w:r w:rsidR="00F32B28">
        <w:rPr>
          <w:rtl/>
        </w:rPr>
        <w:t xml:space="preserve"> </w:t>
      </w:r>
      <w:r w:rsidR="00F32B28" w:rsidRPr="00F32B28">
        <w:rPr>
          <w:rtl/>
        </w:rPr>
        <w:t>ووفقاً</w:t>
      </w:r>
      <w:r w:rsidR="00F32B28">
        <w:rPr>
          <w:rtl/>
        </w:rPr>
        <w:t xml:space="preserve"> </w:t>
      </w:r>
      <w:r w:rsidR="00F32B28" w:rsidRPr="00F32B28">
        <w:rPr>
          <w:rtl/>
        </w:rPr>
        <w:t>للقانون</w:t>
      </w:r>
      <w:r w:rsidR="00F32B28">
        <w:rPr>
          <w:rtl/>
        </w:rPr>
        <w:t xml:space="preserve"> </w:t>
      </w:r>
      <w:r w:rsidR="00F32B28" w:rsidRPr="00F32B28">
        <w:rPr>
          <w:rtl/>
        </w:rPr>
        <w:t>الأساسي</w:t>
      </w:r>
      <w:r w:rsidR="00F32B28">
        <w:rPr>
          <w:rtl/>
        </w:rPr>
        <w:t xml:space="preserve"> </w:t>
      </w:r>
      <w:r w:rsidR="00F32B28" w:rsidRPr="00F32B28">
        <w:rPr>
          <w:rtl/>
        </w:rPr>
        <w:t>المعدل،</w:t>
      </w:r>
      <w:r w:rsidR="00F32B28">
        <w:rPr>
          <w:rtl/>
        </w:rPr>
        <w:t xml:space="preserve"> </w:t>
      </w:r>
      <w:r w:rsidR="00F32B28" w:rsidRPr="00F32B28">
        <w:rPr>
          <w:rtl/>
        </w:rPr>
        <w:t>هي</w:t>
      </w:r>
      <w:r w:rsidR="00F32B28">
        <w:rPr>
          <w:rtl/>
        </w:rPr>
        <w:t xml:space="preserve"> </w:t>
      </w:r>
      <w:r w:rsidR="00F32B28" w:rsidRPr="00F32B28">
        <w:rPr>
          <w:rtl/>
        </w:rPr>
        <w:t>واجبة</w:t>
      </w:r>
      <w:r w:rsidR="00F32B28">
        <w:rPr>
          <w:rtl/>
        </w:rPr>
        <w:t xml:space="preserve"> </w:t>
      </w:r>
      <w:r w:rsidR="00F32B28" w:rsidRPr="00F32B28">
        <w:rPr>
          <w:rtl/>
        </w:rPr>
        <w:t>التنفيذ</w:t>
      </w:r>
      <w:r w:rsidR="00F32B28">
        <w:rPr>
          <w:rtl/>
        </w:rPr>
        <w:t xml:space="preserve"> </w:t>
      </w:r>
      <w:r w:rsidR="00F32B28" w:rsidRPr="00F32B28">
        <w:rPr>
          <w:rtl/>
        </w:rPr>
        <w:t>والامتناع</w:t>
      </w:r>
      <w:r w:rsidR="00F32B28">
        <w:rPr>
          <w:rtl/>
        </w:rPr>
        <w:t xml:space="preserve"> </w:t>
      </w:r>
      <w:r w:rsidR="00F32B28" w:rsidRPr="00F32B28">
        <w:rPr>
          <w:rtl/>
        </w:rPr>
        <w:t>عن</w:t>
      </w:r>
      <w:r w:rsidR="00F32B28">
        <w:rPr>
          <w:rtl/>
        </w:rPr>
        <w:t xml:space="preserve"> </w:t>
      </w:r>
      <w:r w:rsidR="00F32B28" w:rsidRPr="00F32B28">
        <w:rPr>
          <w:rtl/>
        </w:rPr>
        <w:t>تنفيذها</w:t>
      </w:r>
      <w:r w:rsidR="00F32B28">
        <w:rPr>
          <w:rtl/>
        </w:rPr>
        <w:t xml:space="preserve"> </w:t>
      </w:r>
      <w:r w:rsidR="00F32B28" w:rsidRPr="00F32B28">
        <w:rPr>
          <w:rtl/>
        </w:rPr>
        <w:t>أو</w:t>
      </w:r>
      <w:r w:rsidR="00F32B28">
        <w:rPr>
          <w:rtl/>
        </w:rPr>
        <w:t xml:space="preserve"> </w:t>
      </w:r>
      <w:r w:rsidR="00F32B28" w:rsidRPr="00F32B28">
        <w:rPr>
          <w:rtl/>
        </w:rPr>
        <w:t>تعطيل</w:t>
      </w:r>
      <w:r w:rsidR="00F32B28">
        <w:rPr>
          <w:rtl/>
        </w:rPr>
        <w:t xml:space="preserve"> </w:t>
      </w:r>
      <w:r w:rsidR="00F32B28" w:rsidRPr="00F32B28">
        <w:rPr>
          <w:rtl/>
        </w:rPr>
        <w:t>تنفيذها</w:t>
      </w:r>
      <w:r w:rsidR="00F32B28">
        <w:rPr>
          <w:rtl/>
        </w:rPr>
        <w:t xml:space="preserve"> </w:t>
      </w:r>
      <w:r w:rsidR="00F32B28" w:rsidRPr="00F32B28">
        <w:rPr>
          <w:rtl/>
        </w:rPr>
        <w:t>على</w:t>
      </w:r>
      <w:r w:rsidR="00F32B28">
        <w:rPr>
          <w:rtl/>
        </w:rPr>
        <w:t xml:space="preserve"> </w:t>
      </w:r>
      <w:r w:rsidR="00F32B28" w:rsidRPr="00F32B28">
        <w:rPr>
          <w:rtl/>
        </w:rPr>
        <w:t>أي</w:t>
      </w:r>
      <w:r w:rsidR="00F32B28">
        <w:rPr>
          <w:rtl/>
        </w:rPr>
        <w:t xml:space="preserve"> </w:t>
      </w:r>
      <w:r w:rsidR="00F32B28" w:rsidRPr="00F32B28">
        <w:rPr>
          <w:rtl/>
        </w:rPr>
        <w:t>نحو</w:t>
      </w:r>
      <w:r w:rsidR="00F32B28">
        <w:rPr>
          <w:rtl/>
        </w:rPr>
        <w:t xml:space="preserve"> </w:t>
      </w:r>
      <w:r w:rsidR="00F32B28" w:rsidRPr="00F32B28">
        <w:rPr>
          <w:rtl/>
        </w:rPr>
        <w:t>يشكل</w:t>
      </w:r>
      <w:r w:rsidR="00F32B28">
        <w:rPr>
          <w:rtl/>
        </w:rPr>
        <w:t xml:space="preserve"> </w:t>
      </w:r>
      <w:r w:rsidR="00F32B28" w:rsidRPr="00F32B28">
        <w:rPr>
          <w:rtl/>
        </w:rPr>
        <w:t>جريمة</w:t>
      </w:r>
      <w:r w:rsidR="00F32B28">
        <w:rPr>
          <w:rtl/>
        </w:rPr>
        <w:t xml:space="preserve"> </w:t>
      </w:r>
      <w:r w:rsidR="00F32B28" w:rsidRPr="00F32B28">
        <w:rPr>
          <w:rtl/>
        </w:rPr>
        <w:t>يعاقب</w:t>
      </w:r>
      <w:r w:rsidR="00F32B28">
        <w:rPr>
          <w:rtl/>
        </w:rPr>
        <w:t xml:space="preserve"> </w:t>
      </w:r>
      <w:r w:rsidR="00F32B28" w:rsidRPr="00F32B28">
        <w:rPr>
          <w:rtl/>
        </w:rPr>
        <w:t>عليها</w:t>
      </w:r>
      <w:r w:rsidR="00F32B28">
        <w:rPr>
          <w:rtl/>
        </w:rPr>
        <w:t xml:space="preserve"> </w:t>
      </w:r>
      <w:r w:rsidR="00F32B28" w:rsidRPr="00F32B28">
        <w:rPr>
          <w:rtl/>
        </w:rPr>
        <w:t>بالحبس،</w:t>
      </w:r>
      <w:r w:rsidR="00F32B28">
        <w:rPr>
          <w:rtl/>
        </w:rPr>
        <w:t xml:space="preserve"> </w:t>
      </w:r>
      <w:r w:rsidR="00F32B28" w:rsidRPr="00F32B28">
        <w:rPr>
          <w:rtl/>
        </w:rPr>
        <w:t>والعزل</w:t>
      </w:r>
      <w:r w:rsidR="00F32B28">
        <w:rPr>
          <w:rtl/>
        </w:rPr>
        <w:t xml:space="preserve"> </w:t>
      </w:r>
      <w:r w:rsidR="00F32B28" w:rsidRPr="00F32B28">
        <w:rPr>
          <w:rtl/>
        </w:rPr>
        <w:t>من</w:t>
      </w:r>
      <w:r w:rsidR="00F32B28">
        <w:rPr>
          <w:rtl/>
        </w:rPr>
        <w:t xml:space="preserve"> </w:t>
      </w:r>
      <w:r w:rsidR="00F32B28" w:rsidRPr="00F32B28">
        <w:rPr>
          <w:rtl/>
        </w:rPr>
        <w:t>الوظيفة</w:t>
      </w:r>
      <w:r w:rsidR="00F32B28">
        <w:rPr>
          <w:rtl/>
        </w:rPr>
        <w:t xml:space="preserve"> </w:t>
      </w:r>
      <w:r w:rsidR="00F32B28" w:rsidRPr="00F32B28">
        <w:rPr>
          <w:rtl/>
        </w:rPr>
        <w:t>إذا</w:t>
      </w:r>
      <w:r w:rsidR="00F32B28">
        <w:rPr>
          <w:rtl/>
        </w:rPr>
        <w:t xml:space="preserve"> </w:t>
      </w:r>
      <w:r w:rsidR="00F32B28" w:rsidRPr="00F32B28">
        <w:rPr>
          <w:rtl/>
        </w:rPr>
        <w:t>كان</w:t>
      </w:r>
      <w:r w:rsidR="00F32B28">
        <w:rPr>
          <w:rtl/>
        </w:rPr>
        <w:t xml:space="preserve"> </w:t>
      </w:r>
      <w:r w:rsidR="00F32B28" w:rsidRPr="00F32B28">
        <w:rPr>
          <w:rtl/>
        </w:rPr>
        <w:t>المتهم</w:t>
      </w:r>
      <w:r w:rsidR="00F32B28">
        <w:rPr>
          <w:rtl/>
        </w:rPr>
        <w:t xml:space="preserve"> </w:t>
      </w:r>
      <w:r w:rsidR="00F32B28" w:rsidRPr="00F32B28">
        <w:rPr>
          <w:rtl/>
        </w:rPr>
        <w:t>موظفاً</w:t>
      </w:r>
      <w:r w:rsidR="00F32B28">
        <w:rPr>
          <w:rtl/>
        </w:rPr>
        <w:t xml:space="preserve"> </w:t>
      </w:r>
      <w:r w:rsidR="00F32B28" w:rsidRPr="00F32B28">
        <w:rPr>
          <w:rtl/>
        </w:rPr>
        <w:t>عاماً</w:t>
      </w:r>
      <w:r w:rsidR="00F32B28">
        <w:rPr>
          <w:rtl/>
        </w:rPr>
        <w:t xml:space="preserve"> </w:t>
      </w:r>
      <w:r w:rsidR="00F32B28" w:rsidRPr="00F32B28">
        <w:rPr>
          <w:rtl/>
        </w:rPr>
        <w:t>أو</w:t>
      </w:r>
      <w:r w:rsidR="00F32B28">
        <w:rPr>
          <w:rtl/>
        </w:rPr>
        <w:t xml:space="preserve"> </w:t>
      </w:r>
      <w:r w:rsidR="00F32B28" w:rsidRPr="00F32B28">
        <w:rPr>
          <w:rtl/>
        </w:rPr>
        <w:t>مكلفاً</w:t>
      </w:r>
      <w:r w:rsidR="00F32B28">
        <w:rPr>
          <w:rtl/>
        </w:rPr>
        <w:t xml:space="preserve"> </w:t>
      </w:r>
      <w:r w:rsidR="00F32B28" w:rsidRPr="00F32B28">
        <w:rPr>
          <w:rtl/>
        </w:rPr>
        <w:t>بخدمة</w:t>
      </w:r>
      <w:r w:rsidR="00F32B28">
        <w:rPr>
          <w:rtl/>
        </w:rPr>
        <w:t xml:space="preserve"> </w:t>
      </w:r>
      <w:r w:rsidR="00F32B28" w:rsidRPr="00F32B28">
        <w:rPr>
          <w:rtl/>
        </w:rPr>
        <w:t>عامة،</w:t>
      </w:r>
      <w:r w:rsidR="00F32B28">
        <w:rPr>
          <w:rtl/>
        </w:rPr>
        <w:t xml:space="preserve"> </w:t>
      </w:r>
      <w:r w:rsidR="00F32B28" w:rsidRPr="00F32B28">
        <w:rPr>
          <w:rtl/>
        </w:rPr>
        <w:t>وللمحكوم</w:t>
      </w:r>
      <w:r w:rsidR="00F32B28">
        <w:rPr>
          <w:rtl/>
        </w:rPr>
        <w:t xml:space="preserve"> </w:t>
      </w:r>
      <w:r w:rsidR="00F32B28" w:rsidRPr="00F32B28">
        <w:rPr>
          <w:rtl/>
        </w:rPr>
        <w:t>له</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رفع</w:t>
      </w:r>
      <w:r w:rsidR="00F32B28">
        <w:rPr>
          <w:rtl/>
        </w:rPr>
        <w:t xml:space="preserve"> </w:t>
      </w:r>
      <w:r w:rsidR="00F32B28" w:rsidRPr="00F32B28">
        <w:rPr>
          <w:rtl/>
        </w:rPr>
        <w:t>الدعوى</w:t>
      </w:r>
      <w:r w:rsidR="00F32B28">
        <w:rPr>
          <w:rtl/>
        </w:rPr>
        <w:t xml:space="preserve"> </w:t>
      </w:r>
      <w:r w:rsidR="00F32B28" w:rsidRPr="00F32B28">
        <w:rPr>
          <w:rtl/>
        </w:rPr>
        <w:t>مباشرة</w:t>
      </w:r>
      <w:r w:rsidR="00F32B28">
        <w:rPr>
          <w:rtl/>
        </w:rPr>
        <w:t xml:space="preserve"> </w:t>
      </w:r>
      <w:r w:rsidR="00F32B28" w:rsidRPr="00F32B28">
        <w:rPr>
          <w:rtl/>
        </w:rPr>
        <w:t>إلى</w:t>
      </w:r>
      <w:r w:rsidR="00F32B28">
        <w:rPr>
          <w:rtl/>
        </w:rPr>
        <w:t xml:space="preserve"> </w:t>
      </w:r>
      <w:r w:rsidR="00F32B28" w:rsidRPr="00F32B28">
        <w:rPr>
          <w:rtl/>
        </w:rPr>
        <w:t>المحكمة</w:t>
      </w:r>
      <w:r w:rsidR="00F32B28">
        <w:rPr>
          <w:rtl/>
        </w:rPr>
        <w:t xml:space="preserve"> </w:t>
      </w:r>
      <w:r w:rsidR="00F32B28" w:rsidRPr="00F32B28">
        <w:rPr>
          <w:rtl/>
        </w:rPr>
        <w:t>المختصة،</w:t>
      </w:r>
      <w:r w:rsidR="00F32B28">
        <w:rPr>
          <w:rtl/>
        </w:rPr>
        <w:t xml:space="preserve"> </w:t>
      </w:r>
      <w:r w:rsidR="00F32B28" w:rsidRPr="00F32B28">
        <w:rPr>
          <w:rtl/>
        </w:rPr>
        <w:t>وتضمن</w:t>
      </w:r>
      <w:r w:rsidR="00F32B28">
        <w:rPr>
          <w:rtl/>
        </w:rPr>
        <w:t xml:space="preserve"> </w:t>
      </w:r>
      <w:r w:rsidR="00F32B28" w:rsidRPr="00F32B28">
        <w:rPr>
          <w:rtl/>
        </w:rPr>
        <w:t>الحكومة</w:t>
      </w:r>
      <w:r w:rsidR="00F32B28">
        <w:rPr>
          <w:rtl/>
        </w:rPr>
        <w:t xml:space="preserve"> </w:t>
      </w:r>
      <w:r w:rsidR="00F32B28" w:rsidRPr="00F32B28">
        <w:rPr>
          <w:rtl/>
        </w:rPr>
        <w:t>التعويض.</w:t>
      </w:r>
    </w:p>
    <w:p w:rsidR="00F32B28" w:rsidRPr="00F32B28" w:rsidRDefault="00DF0562" w:rsidP="009C6174">
      <w:pPr>
        <w:pStyle w:val="SingleTxt"/>
        <w:rPr>
          <w:rtl/>
        </w:rPr>
      </w:pPr>
      <w:r>
        <w:rPr>
          <w:rFonts w:hint="cs"/>
          <w:rtl/>
        </w:rPr>
        <w:t>2</w:t>
      </w:r>
      <w:r w:rsidR="009C6174">
        <w:rPr>
          <w:rFonts w:hint="cs"/>
          <w:rtl/>
        </w:rPr>
        <w:t>5</w:t>
      </w:r>
      <w:r>
        <w:rPr>
          <w:rFonts w:hint="cs"/>
          <w:rtl/>
        </w:rPr>
        <w:t xml:space="preserve"> -</w:t>
      </w:r>
      <w:r>
        <w:rPr>
          <w:rFonts w:hint="cs"/>
          <w:rtl/>
        </w:rPr>
        <w:tab/>
      </w:r>
      <w:r w:rsidR="00F32B28" w:rsidRPr="00F32B28">
        <w:rPr>
          <w:rtl/>
        </w:rPr>
        <w:t>تختص</w:t>
      </w:r>
      <w:r w:rsidR="00F32B28">
        <w:rPr>
          <w:rtl/>
        </w:rPr>
        <w:t xml:space="preserve"> </w:t>
      </w:r>
      <w:r w:rsidR="00F32B28" w:rsidRPr="00F32B28">
        <w:rPr>
          <w:rtl/>
        </w:rPr>
        <w:t>المحكمة</w:t>
      </w:r>
      <w:r w:rsidR="00F32B28">
        <w:rPr>
          <w:rtl/>
        </w:rPr>
        <w:t xml:space="preserve"> </w:t>
      </w:r>
      <w:r w:rsidR="00F32B28" w:rsidRPr="00F32B28">
        <w:rPr>
          <w:rtl/>
        </w:rPr>
        <w:t>الدستورية</w:t>
      </w:r>
      <w:r w:rsidR="00F32B28">
        <w:rPr>
          <w:rtl/>
        </w:rPr>
        <w:t xml:space="preserve"> </w:t>
      </w:r>
      <w:r w:rsidR="00F32B28" w:rsidRPr="00F32B28">
        <w:rPr>
          <w:rtl/>
        </w:rPr>
        <w:t>العليا</w:t>
      </w:r>
      <w:r w:rsidR="00F32B28">
        <w:rPr>
          <w:rtl/>
        </w:rPr>
        <w:t xml:space="preserve"> </w:t>
      </w:r>
      <w:r w:rsidR="00F32B28" w:rsidRPr="00F32B28">
        <w:rPr>
          <w:rtl/>
        </w:rPr>
        <w:t>بمراقبة</w:t>
      </w:r>
      <w:r w:rsidR="00F32B28">
        <w:rPr>
          <w:rtl/>
        </w:rPr>
        <w:t xml:space="preserve"> </w:t>
      </w:r>
      <w:r w:rsidR="00F32B28" w:rsidRPr="00F32B28">
        <w:rPr>
          <w:rtl/>
        </w:rPr>
        <w:t>دستورية</w:t>
      </w:r>
      <w:r w:rsidR="00F32B28">
        <w:rPr>
          <w:rtl/>
        </w:rPr>
        <w:t xml:space="preserve"> </w:t>
      </w:r>
      <w:r w:rsidR="00F32B28" w:rsidRPr="00F32B28">
        <w:rPr>
          <w:rtl/>
        </w:rPr>
        <w:t>التشريعات،</w:t>
      </w:r>
      <w:r>
        <w:rPr>
          <w:rFonts w:hint="cs"/>
          <w:rtl/>
        </w:rPr>
        <w:t xml:space="preserve"> </w:t>
      </w:r>
      <w:r w:rsidR="00F32B28" w:rsidRPr="00F32B28">
        <w:rPr>
          <w:rtl/>
        </w:rPr>
        <w:t>وفي</w:t>
      </w:r>
      <w:r w:rsidR="00F32B28">
        <w:rPr>
          <w:rtl/>
        </w:rPr>
        <w:t xml:space="preserve"> </w:t>
      </w:r>
      <w:r w:rsidR="00F32B28" w:rsidRPr="00F32B28">
        <w:rPr>
          <w:rtl/>
        </w:rPr>
        <w:t>هذا</w:t>
      </w:r>
      <w:r w:rsidR="00F32B28">
        <w:rPr>
          <w:rtl/>
        </w:rPr>
        <w:t xml:space="preserve"> </w:t>
      </w:r>
      <w:r w:rsidR="00F32B28" w:rsidRPr="00F32B28">
        <w:rPr>
          <w:rtl/>
        </w:rPr>
        <w:t>السياق</w:t>
      </w:r>
      <w:r w:rsidR="00F32B28">
        <w:rPr>
          <w:rtl/>
        </w:rPr>
        <w:t xml:space="preserve"> </w:t>
      </w:r>
      <w:r w:rsidR="00F32B28" w:rsidRPr="00F32B28">
        <w:rPr>
          <w:rtl/>
        </w:rPr>
        <w:t>يحق</w:t>
      </w:r>
      <w:r w:rsidR="00F32B28">
        <w:rPr>
          <w:rtl/>
        </w:rPr>
        <w:t xml:space="preserve"> </w:t>
      </w:r>
      <w:r w:rsidR="00F32B28" w:rsidRPr="00F32B28">
        <w:rPr>
          <w:rtl/>
        </w:rPr>
        <w:t>لأي</w:t>
      </w:r>
      <w:r w:rsidR="00F32B28">
        <w:rPr>
          <w:rtl/>
        </w:rPr>
        <w:t xml:space="preserve"> </w:t>
      </w:r>
      <w:r w:rsidR="00F32B28" w:rsidRPr="00F32B28">
        <w:rPr>
          <w:rtl/>
        </w:rPr>
        <w:t>امرأة</w:t>
      </w:r>
      <w:r w:rsidR="00F32B28">
        <w:rPr>
          <w:rtl/>
        </w:rPr>
        <w:t xml:space="preserve"> </w:t>
      </w:r>
      <w:r w:rsidR="00F32B28" w:rsidRPr="00F32B28">
        <w:rPr>
          <w:rtl/>
        </w:rPr>
        <w:t>متضررة</w:t>
      </w:r>
      <w:r w:rsidR="00F32B28">
        <w:rPr>
          <w:rtl/>
        </w:rPr>
        <w:t xml:space="preserve"> </w:t>
      </w:r>
      <w:r w:rsidR="00F32B28" w:rsidRPr="00F32B28">
        <w:rPr>
          <w:rtl/>
        </w:rPr>
        <w:t>من</w:t>
      </w:r>
      <w:r w:rsidR="00F32B28">
        <w:rPr>
          <w:rtl/>
        </w:rPr>
        <w:t xml:space="preserve"> </w:t>
      </w:r>
      <w:r w:rsidR="00F32B28" w:rsidRPr="00F32B28">
        <w:rPr>
          <w:rtl/>
        </w:rPr>
        <w:t>أي</w:t>
      </w:r>
      <w:r w:rsidR="00F32B28">
        <w:rPr>
          <w:rtl/>
        </w:rPr>
        <w:t xml:space="preserve"> </w:t>
      </w:r>
      <w:r w:rsidR="00F32B28" w:rsidRPr="00F32B28">
        <w:rPr>
          <w:rtl/>
        </w:rPr>
        <w:t>نص</w:t>
      </w:r>
      <w:r w:rsidR="00F32B28">
        <w:rPr>
          <w:rtl/>
        </w:rPr>
        <w:t xml:space="preserve"> </w:t>
      </w:r>
      <w:r w:rsidR="00F32B28" w:rsidRPr="00F32B28">
        <w:rPr>
          <w:rtl/>
        </w:rPr>
        <w:t>تشريعي</w:t>
      </w:r>
      <w:r w:rsidR="00F32B28">
        <w:rPr>
          <w:rtl/>
        </w:rPr>
        <w:t xml:space="preserve"> </w:t>
      </w:r>
      <w:r w:rsidR="00F32B28" w:rsidRPr="00F32B28">
        <w:rPr>
          <w:rtl/>
        </w:rPr>
        <w:t>يخالف</w:t>
      </w:r>
      <w:r w:rsidR="00F32B28">
        <w:rPr>
          <w:rtl/>
        </w:rPr>
        <w:t xml:space="preserve"> </w:t>
      </w:r>
      <w:r w:rsidR="00F32B28" w:rsidRPr="00F32B28">
        <w:rPr>
          <w:rtl/>
        </w:rPr>
        <w:t>القانون</w:t>
      </w:r>
      <w:r w:rsidR="00F32B28">
        <w:rPr>
          <w:rtl/>
        </w:rPr>
        <w:t xml:space="preserve"> </w:t>
      </w:r>
      <w:r w:rsidR="00F32B28" w:rsidRPr="00F32B28">
        <w:rPr>
          <w:rtl/>
        </w:rPr>
        <w:t>الأساسي</w:t>
      </w:r>
      <w:r w:rsidR="00F32B28">
        <w:rPr>
          <w:rtl/>
        </w:rPr>
        <w:t xml:space="preserve"> </w:t>
      </w:r>
      <w:r w:rsidR="00F32B28" w:rsidRPr="00F32B28">
        <w:rPr>
          <w:rtl/>
        </w:rPr>
        <w:t>رفع</w:t>
      </w:r>
      <w:r w:rsidR="00F32B28">
        <w:rPr>
          <w:rtl/>
        </w:rPr>
        <w:t xml:space="preserve"> </w:t>
      </w:r>
      <w:r w:rsidR="00F32B28" w:rsidRPr="00F32B28">
        <w:rPr>
          <w:rtl/>
        </w:rPr>
        <w:t>دعوى</w:t>
      </w:r>
      <w:r w:rsidR="00F32B28">
        <w:rPr>
          <w:rtl/>
        </w:rPr>
        <w:t xml:space="preserve"> </w:t>
      </w:r>
      <w:r w:rsidR="00F32B28" w:rsidRPr="00F32B28">
        <w:rPr>
          <w:rtl/>
        </w:rPr>
        <w:t>أمام</w:t>
      </w:r>
      <w:r w:rsidR="00F32B28">
        <w:rPr>
          <w:rtl/>
        </w:rPr>
        <w:t xml:space="preserve"> </w:t>
      </w:r>
      <w:r w:rsidR="00F32B28" w:rsidRPr="00F32B28">
        <w:rPr>
          <w:rtl/>
        </w:rPr>
        <w:t>المحكمة،</w:t>
      </w:r>
      <w:r w:rsidR="00F32B28">
        <w:rPr>
          <w:rtl/>
        </w:rPr>
        <w:t xml:space="preserve"> </w:t>
      </w:r>
      <w:r w:rsidR="00F32B28" w:rsidRPr="00F32B28">
        <w:rPr>
          <w:rtl/>
        </w:rPr>
        <w:t>وإذا</w:t>
      </w:r>
      <w:r w:rsidR="00F32B28">
        <w:rPr>
          <w:rtl/>
        </w:rPr>
        <w:t xml:space="preserve"> </w:t>
      </w:r>
      <w:r w:rsidR="00F32B28" w:rsidRPr="00F32B28">
        <w:rPr>
          <w:rtl/>
        </w:rPr>
        <w:t>ما</w:t>
      </w:r>
      <w:r w:rsidR="00F32B28">
        <w:rPr>
          <w:rtl/>
        </w:rPr>
        <w:t xml:space="preserve"> </w:t>
      </w:r>
      <w:r w:rsidR="00F32B28" w:rsidRPr="00F32B28">
        <w:rPr>
          <w:rtl/>
        </w:rPr>
        <w:t>حكمت</w:t>
      </w:r>
      <w:r w:rsidR="00F32B28">
        <w:rPr>
          <w:rtl/>
        </w:rPr>
        <w:t xml:space="preserve"> </w:t>
      </w:r>
      <w:r w:rsidR="00F32B28" w:rsidRPr="00F32B28">
        <w:rPr>
          <w:rtl/>
        </w:rPr>
        <w:t>المحكمة</w:t>
      </w:r>
      <w:r w:rsidR="00F32B28">
        <w:rPr>
          <w:rtl/>
        </w:rPr>
        <w:t xml:space="preserve"> </w:t>
      </w:r>
      <w:r w:rsidR="00F32B28" w:rsidRPr="00F32B28">
        <w:rPr>
          <w:rtl/>
        </w:rPr>
        <w:t>بعدم</w:t>
      </w:r>
      <w:r w:rsidR="00F32B28">
        <w:rPr>
          <w:rtl/>
        </w:rPr>
        <w:t xml:space="preserve"> </w:t>
      </w:r>
      <w:r w:rsidR="00F32B28" w:rsidRPr="00F32B28">
        <w:rPr>
          <w:rtl/>
        </w:rPr>
        <w:t>دستوريته،</w:t>
      </w:r>
      <w:r w:rsidR="00F32B28">
        <w:rPr>
          <w:rtl/>
        </w:rPr>
        <w:t xml:space="preserve"> </w:t>
      </w:r>
      <w:r w:rsidR="00F32B28" w:rsidRPr="00F32B28">
        <w:rPr>
          <w:rtl/>
        </w:rPr>
        <w:t>يحظر</w:t>
      </w:r>
      <w:r w:rsidR="00F32B28">
        <w:rPr>
          <w:rtl/>
        </w:rPr>
        <w:t xml:space="preserve"> </w:t>
      </w:r>
      <w:r w:rsidR="00F32B28" w:rsidRPr="00F32B28">
        <w:rPr>
          <w:rtl/>
        </w:rPr>
        <w:t>على</w:t>
      </w:r>
      <w:r w:rsidR="00F32B28">
        <w:rPr>
          <w:rtl/>
        </w:rPr>
        <w:t xml:space="preserve"> </w:t>
      </w:r>
      <w:r w:rsidR="00F32B28" w:rsidRPr="00F32B28">
        <w:rPr>
          <w:rtl/>
        </w:rPr>
        <w:t>أية</w:t>
      </w:r>
      <w:r w:rsidR="00F32B28">
        <w:rPr>
          <w:rtl/>
        </w:rPr>
        <w:t xml:space="preserve"> </w:t>
      </w:r>
      <w:r w:rsidR="00F32B28" w:rsidRPr="00F32B28">
        <w:rPr>
          <w:rtl/>
        </w:rPr>
        <w:t>جهة</w:t>
      </w:r>
      <w:r w:rsidR="00F32B28">
        <w:rPr>
          <w:rtl/>
        </w:rPr>
        <w:t xml:space="preserve"> </w:t>
      </w:r>
      <w:r w:rsidR="00F32B28" w:rsidRPr="00F32B28">
        <w:rPr>
          <w:rtl/>
        </w:rPr>
        <w:t>كانت</w:t>
      </w:r>
      <w:r w:rsidR="00F32B28">
        <w:rPr>
          <w:rtl/>
        </w:rPr>
        <w:t xml:space="preserve"> </w:t>
      </w:r>
      <w:r w:rsidR="00F32B28" w:rsidRPr="00F32B28">
        <w:rPr>
          <w:rtl/>
        </w:rPr>
        <w:t>تطبيق</w:t>
      </w:r>
      <w:r w:rsidR="00F32B28">
        <w:rPr>
          <w:rtl/>
        </w:rPr>
        <w:t xml:space="preserve"> </w:t>
      </w:r>
      <w:r w:rsidR="00F32B28" w:rsidRPr="00F32B28">
        <w:rPr>
          <w:rtl/>
        </w:rPr>
        <w:t>ما</w:t>
      </w:r>
      <w:r w:rsidR="00F32B28">
        <w:rPr>
          <w:rtl/>
        </w:rPr>
        <w:t xml:space="preserve"> </w:t>
      </w:r>
      <w:r w:rsidR="00F32B28" w:rsidRPr="00F32B28">
        <w:rPr>
          <w:rtl/>
        </w:rPr>
        <w:t>أبطل</w:t>
      </w:r>
      <w:r w:rsidR="00F32B28">
        <w:rPr>
          <w:rtl/>
        </w:rPr>
        <w:t xml:space="preserve"> </w:t>
      </w:r>
      <w:r w:rsidR="00F32B28" w:rsidRPr="00F32B28">
        <w:rPr>
          <w:rtl/>
        </w:rPr>
        <w:t>منه</w:t>
      </w:r>
      <w:r w:rsidR="00F32B28">
        <w:rPr>
          <w:rtl/>
        </w:rPr>
        <w:t xml:space="preserve"> </w:t>
      </w:r>
      <w:r w:rsidR="00F32B28" w:rsidRPr="00F32B28">
        <w:rPr>
          <w:rtl/>
        </w:rPr>
        <w:t>أو</w:t>
      </w:r>
      <w:r w:rsidR="00F32B28">
        <w:rPr>
          <w:rtl/>
        </w:rPr>
        <w:t xml:space="preserve"> </w:t>
      </w:r>
      <w:r w:rsidR="00F32B28" w:rsidRPr="00F32B28">
        <w:rPr>
          <w:rtl/>
        </w:rPr>
        <w:t>العمل</w:t>
      </w:r>
      <w:r w:rsidR="00F32B28">
        <w:rPr>
          <w:rtl/>
        </w:rPr>
        <w:t xml:space="preserve"> </w:t>
      </w:r>
      <w:r w:rsidR="00F32B28" w:rsidRPr="00F32B28">
        <w:rPr>
          <w:rtl/>
        </w:rPr>
        <w:t>به</w:t>
      </w:r>
      <w:r w:rsidR="00F32B28">
        <w:rPr>
          <w:rtl/>
        </w:rPr>
        <w:t xml:space="preserve"> </w:t>
      </w:r>
      <w:r w:rsidR="00F32B28" w:rsidRPr="00F32B28">
        <w:rPr>
          <w:rtl/>
        </w:rPr>
        <w:t>إلى</w:t>
      </w:r>
      <w:r w:rsidR="00F32B28">
        <w:rPr>
          <w:rtl/>
        </w:rPr>
        <w:t xml:space="preserve"> </w:t>
      </w:r>
      <w:r w:rsidR="00F32B28" w:rsidRPr="00F32B28">
        <w:rPr>
          <w:rtl/>
        </w:rPr>
        <w:t>حين</w:t>
      </w:r>
      <w:r w:rsidR="00F32B28">
        <w:rPr>
          <w:rtl/>
        </w:rPr>
        <w:t xml:space="preserve"> </w:t>
      </w:r>
      <w:r w:rsidR="00F32B28" w:rsidRPr="00F32B28">
        <w:rPr>
          <w:rtl/>
        </w:rPr>
        <w:t>تعديله</w:t>
      </w:r>
      <w:r w:rsidR="00F32B28">
        <w:rPr>
          <w:rtl/>
        </w:rPr>
        <w:t xml:space="preserve"> </w:t>
      </w:r>
      <w:r w:rsidR="00F32B28" w:rsidRPr="00F32B28">
        <w:rPr>
          <w:rtl/>
        </w:rPr>
        <w:t>وفقاً</w:t>
      </w:r>
      <w:r w:rsidR="00F32B28">
        <w:rPr>
          <w:rtl/>
        </w:rPr>
        <w:t xml:space="preserve"> </w:t>
      </w:r>
      <w:r w:rsidR="00F32B28" w:rsidRPr="00F32B28">
        <w:rPr>
          <w:rtl/>
        </w:rPr>
        <w:t>لأحكام</w:t>
      </w:r>
      <w:r w:rsidR="00F32B28">
        <w:rPr>
          <w:rtl/>
        </w:rPr>
        <w:t xml:space="preserve"> </w:t>
      </w:r>
      <w:r w:rsidR="00F32B28" w:rsidRPr="00F32B28">
        <w:rPr>
          <w:rtl/>
        </w:rPr>
        <w:t>القانون</w:t>
      </w:r>
      <w:r w:rsidR="00F32B28">
        <w:rPr>
          <w:rtl/>
        </w:rPr>
        <w:t xml:space="preserve"> </w:t>
      </w:r>
      <w:r w:rsidR="00F32B28" w:rsidRPr="00F32B28">
        <w:rPr>
          <w:rtl/>
        </w:rPr>
        <w:t>الأساسي،</w:t>
      </w:r>
      <w:r w:rsidR="00F32B28">
        <w:rPr>
          <w:rtl/>
        </w:rPr>
        <w:t xml:space="preserve"> </w:t>
      </w:r>
      <w:r w:rsidR="00F32B28" w:rsidRPr="00F32B28">
        <w:rPr>
          <w:rtl/>
        </w:rPr>
        <w:t>ويرد</w:t>
      </w:r>
      <w:r w:rsidR="00F32B28">
        <w:rPr>
          <w:rtl/>
        </w:rPr>
        <w:t xml:space="preserve"> </w:t>
      </w:r>
      <w:r w:rsidR="00F32B28" w:rsidRPr="00F32B28">
        <w:rPr>
          <w:rtl/>
        </w:rPr>
        <w:t>الحق</w:t>
      </w:r>
      <w:r w:rsidR="00F32B28">
        <w:rPr>
          <w:rtl/>
        </w:rPr>
        <w:t xml:space="preserve"> </w:t>
      </w:r>
      <w:r w:rsidR="00F32B28" w:rsidRPr="00F32B28">
        <w:rPr>
          <w:rtl/>
        </w:rPr>
        <w:t>للمتظلمة</w:t>
      </w:r>
      <w:r w:rsidR="00F32B28">
        <w:rPr>
          <w:rtl/>
        </w:rPr>
        <w:t xml:space="preserve"> </w:t>
      </w:r>
      <w:r w:rsidR="00F32B28" w:rsidRPr="00F32B28">
        <w:rPr>
          <w:rtl/>
        </w:rPr>
        <w:t>وتعوض</w:t>
      </w:r>
      <w:r w:rsidR="00F32B28">
        <w:rPr>
          <w:rtl/>
        </w:rPr>
        <w:t xml:space="preserve"> </w:t>
      </w:r>
      <w:r w:rsidR="00F32B28" w:rsidRPr="00F32B28">
        <w:rPr>
          <w:rtl/>
        </w:rPr>
        <w:t>عن</w:t>
      </w:r>
      <w:r w:rsidR="00F32B28">
        <w:rPr>
          <w:rtl/>
        </w:rPr>
        <w:t xml:space="preserve"> </w:t>
      </w:r>
      <w:r w:rsidR="00F32B28" w:rsidRPr="00F32B28">
        <w:rPr>
          <w:rtl/>
        </w:rPr>
        <w:t>الضرر.</w:t>
      </w:r>
      <w:r w:rsidR="00F32B28">
        <w:rPr>
          <w:rtl/>
        </w:rPr>
        <w:t xml:space="preserve"> </w:t>
      </w:r>
    </w:p>
    <w:p w:rsidR="00F32B28" w:rsidRPr="00F32B28" w:rsidRDefault="00DF0562" w:rsidP="009C6174">
      <w:pPr>
        <w:pStyle w:val="SingleTxt"/>
        <w:rPr>
          <w:rtl/>
        </w:rPr>
      </w:pPr>
      <w:r>
        <w:rPr>
          <w:rFonts w:hint="cs"/>
          <w:rtl/>
        </w:rPr>
        <w:t>2</w:t>
      </w:r>
      <w:r w:rsidR="009C6174">
        <w:rPr>
          <w:rFonts w:hint="cs"/>
          <w:rtl/>
        </w:rPr>
        <w:t>6</w:t>
      </w:r>
      <w:r>
        <w:rPr>
          <w:rFonts w:hint="cs"/>
          <w:rtl/>
        </w:rPr>
        <w:t xml:space="preserve"> -</w:t>
      </w:r>
      <w:r>
        <w:rPr>
          <w:rFonts w:hint="cs"/>
          <w:rtl/>
        </w:rPr>
        <w:tab/>
      </w:r>
      <w:r w:rsidR="00F32B28" w:rsidRPr="00F32B28">
        <w:rPr>
          <w:rtl/>
        </w:rPr>
        <w:t>وتختص</w:t>
      </w:r>
      <w:r w:rsidR="00F32B28">
        <w:rPr>
          <w:rtl/>
        </w:rPr>
        <w:t xml:space="preserve"> </w:t>
      </w:r>
      <w:r w:rsidR="00F32B28" w:rsidRPr="00F32B28">
        <w:rPr>
          <w:rtl/>
        </w:rPr>
        <w:t>محكمة</w:t>
      </w:r>
      <w:r w:rsidR="00F32B28">
        <w:rPr>
          <w:rtl/>
        </w:rPr>
        <w:t xml:space="preserve"> </w:t>
      </w:r>
      <w:r w:rsidR="00F32B28" w:rsidRPr="00F32B28">
        <w:rPr>
          <w:rtl/>
        </w:rPr>
        <w:t>العدل</w:t>
      </w:r>
      <w:r w:rsidR="00F32B28">
        <w:rPr>
          <w:rtl/>
        </w:rPr>
        <w:t xml:space="preserve"> </w:t>
      </w:r>
      <w:r w:rsidR="00F32B28" w:rsidRPr="00F32B28">
        <w:rPr>
          <w:rtl/>
        </w:rPr>
        <w:t>العليا</w:t>
      </w:r>
      <w:r>
        <w:rPr>
          <w:rFonts w:hint="cs"/>
          <w:rtl/>
        </w:rPr>
        <w:t xml:space="preserve"> </w:t>
      </w:r>
      <w:r w:rsidR="00F32B28" w:rsidRPr="00F32B28">
        <w:rPr>
          <w:rtl/>
        </w:rPr>
        <w:t>في</w:t>
      </w:r>
      <w:r w:rsidR="00F32B28">
        <w:rPr>
          <w:rtl/>
        </w:rPr>
        <w:t xml:space="preserve"> </w:t>
      </w:r>
      <w:r w:rsidR="00F32B28" w:rsidRPr="00F32B28">
        <w:rPr>
          <w:rtl/>
        </w:rPr>
        <w:t>إقرار</w:t>
      </w:r>
      <w:r w:rsidR="00F32B28">
        <w:rPr>
          <w:rtl/>
        </w:rPr>
        <w:t xml:space="preserve"> </w:t>
      </w:r>
      <w:r w:rsidR="00F32B28" w:rsidRPr="00F32B28">
        <w:rPr>
          <w:rtl/>
        </w:rPr>
        <w:t>الحماية</w:t>
      </w:r>
      <w:r w:rsidR="00F32B28">
        <w:rPr>
          <w:rtl/>
        </w:rPr>
        <w:t xml:space="preserve"> </w:t>
      </w:r>
      <w:r w:rsidR="00F32B28" w:rsidRPr="00F32B28">
        <w:rPr>
          <w:rtl/>
        </w:rPr>
        <w:t>القانونية</w:t>
      </w:r>
      <w:r w:rsidR="00F32B28">
        <w:rPr>
          <w:rtl/>
        </w:rPr>
        <w:t xml:space="preserve"> </w:t>
      </w:r>
      <w:r w:rsidR="00F32B28" w:rsidRPr="00F32B28">
        <w:rPr>
          <w:rtl/>
        </w:rPr>
        <w:t>للأفراد،</w:t>
      </w:r>
      <w:r w:rsidR="00F32B28">
        <w:rPr>
          <w:rtl/>
        </w:rPr>
        <w:t xml:space="preserve"> </w:t>
      </w:r>
      <w:r w:rsidR="00F32B28" w:rsidRPr="00F32B28">
        <w:rPr>
          <w:rtl/>
        </w:rPr>
        <w:t>نساءً</w:t>
      </w:r>
      <w:r w:rsidR="00F32B28">
        <w:rPr>
          <w:rtl/>
        </w:rPr>
        <w:t xml:space="preserve"> </w:t>
      </w:r>
      <w:r w:rsidR="00F32B28" w:rsidRPr="00F32B28">
        <w:rPr>
          <w:rtl/>
        </w:rPr>
        <w:t>ورجالاً،</w:t>
      </w:r>
      <w:r w:rsidR="00F32B28">
        <w:rPr>
          <w:rtl/>
        </w:rPr>
        <w:t xml:space="preserve"> </w:t>
      </w:r>
      <w:r w:rsidR="00F32B28" w:rsidRPr="00F32B28">
        <w:rPr>
          <w:rtl/>
        </w:rPr>
        <w:t>في</w:t>
      </w:r>
      <w:r w:rsidR="00F32B28">
        <w:rPr>
          <w:rtl/>
        </w:rPr>
        <w:t xml:space="preserve"> </w:t>
      </w:r>
      <w:r w:rsidR="00F32B28" w:rsidRPr="00F32B28">
        <w:rPr>
          <w:rtl/>
        </w:rPr>
        <w:t>مواجهة</w:t>
      </w:r>
      <w:r w:rsidR="00F32B28">
        <w:rPr>
          <w:rtl/>
        </w:rPr>
        <w:t xml:space="preserve"> </w:t>
      </w:r>
      <w:r w:rsidR="00F32B28" w:rsidRPr="00F32B28">
        <w:rPr>
          <w:rtl/>
        </w:rPr>
        <w:t>أي</w:t>
      </w:r>
      <w:r w:rsidR="00F32B28">
        <w:rPr>
          <w:rtl/>
        </w:rPr>
        <w:t xml:space="preserve"> </w:t>
      </w:r>
      <w:r w:rsidR="00F32B28" w:rsidRPr="00F32B28">
        <w:rPr>
          <w:rtl/>
        </w:rPr>
        <w:t>عمل</w:t>
      </w:r>
      <w:r w:rsidR="00F32B28">
        <w:rPr>
          <w:rtl/>
        </w:rPr>
        <w:t xml:space="preserve"> </w:t>
      </w:r>
      <w:r w:rsidR="00F32B28" w:rsidRPr="00F32B28">
        <w:rPr>
          <w:rtl/>
        </w:rPr>
        <w:t>تمييزي</w:t>
      </w:r>
      <w:r w:rsidR="00F32B28">
        <w:rPr>
          <w:rtl/>
        </w:rPr>
        <w:t xml:space="preserve"> </w:t>
      </w:r>
      <w:r w:rsidR="00F32B28" w:rsidRPr="00F32B28">
        <w:rPr>
          <w:rtl/>
        </w:rPr>
        <w:t>يصدر</w:t>
      </w:r>
      <w:r w:rsidR="00F32B28">
        <w:rPr>
          <w:rtl/>
        </w:rPr>
        <w:t xml:space="preserve"> </w:t>
      </w:r>
      <w:r w:rsidR="00F32B28" w:rsidRPr="00F32B28">
        <w:rPr>
          <w:rtl/>
        </w:rPr>
        <w:t>من</w:t>
      </w:r>
      <w:r w:rsidR="00F32B28">
        <w:rPr>
          <w:rtl/>
        </w:rPr>
        <w:t xml:space="preserve"> </w:t>
      </w:r>
      <w:r w:rsidR="00F32B28" w:rsidRPr="00F32B28">
        <w:rPr>
          <w:rtl/>
        </w:rPr>
        <w:t>جهة</w:t>
      </w:r>
      <w:r w:rsidR="00F32B28">
        <w:rPr>
          <w:rtl/>
        </w:rPr>
        <w:t xml:space="preserve"> </w:t>
      </w:r>
      <w:r w:rsidR="00F32B28" w:rsidRPr="00F32B28">
        <w:rPr>
          <w:rtl/>
        </w:rPr>
        <w:t>إدارية</w:t>
      </w:r>
      <w:r w:rsidR="00F32B28">
        <w:rPr>
          <w:rtl/>
        </w:rPr>
        <w:t xml:space="preserve"> </w:t>
      </w:r>
      <w:r w:rsidR="00F32B28" w:rsidRPr="00F32B28">
        <w:rPr>
          <w:rtl/>
        </w:rPr>
        <w:t>حكومية</w:t>
      </w:r>
      <w:r w:rsidR="00F32B28">
        <w:rPr>
          <w:rtl/>
        </w:rPr>
        <w:t xml:space="preserve"> </w:t>
      </w:r>
      <w:r w:rsidR="00F32B28" w:rsidRPr="00F32B28">
        <w:rPr>
          <w:rtl/>
          <w:lang w:bidi="ar-SY"/>
        </w:rPr>
        <w:t>وإلغائه</w:t>
      </w:r>
      <w:r w:rsidR="00F32B28">
        <w:rPr>
          <w:rtl/>
          <w:lang w:bidi="ar-SY"/>
        </w:rPr>
        <w:t xml:space="preserve"> </w:t>
      </w:r>
      <w:r w:rsidR="00F32B28" w:rsidRPr="00F32B28">
        <w:rPr>
          <w:rtl/>
          <w:lang w:bidi="ar-SY"/>
        </w:rPr>
        <w:t>وإعادة</w:t>
      </w:r>
      <w:r w:rsidR="00F32B28">
        <w:rPr>
          <w:rtl/>
          <w:lang w:bidi="ar-SY"/>
        </w:rPr>
        <w:t xml:space="preserve"> </w:t>
      </w:r>
      <w:r w:rsidR="00F32B28" w:rsidRPr="00F32B28">
        <w:rPr>
          <w:rtl/>
          <w:lang w:bidi="ar-SY"/>
        </w:rPr>
        <w:t>الحال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كان</w:t>
      </w:r>
      <w:r w:rsidR="00F32B28">
        <w:rPr>
          <w:rtl/>
          <w:lang w:bidi="ar-SY"/>
        </w:rPr>
        <w:t xml:space="preserve"> </w:t>
      </w:r>
      <w:r w:rsidR="00F32B28" w:rsidRPr="00F32B28">
        <w:rPr>
          <w:rtl/>
          <w:lang w:bidi="ar-SY"/>
        </w:rPr>
        <w:t>عليه</w:t>
      </w:r>
      <w:r w:rsidR="00F32B28" w:rsidRPr="00F32B28">
        <w:rPr>
          <w:rtl/>
        </w:rPr>
        <w:t>،</w:t>
      </w:r>
      <w:r w:rsidR="00F32B28">
        <w:rPr>
          <w:rtl/>
        </w:rPr>
        <w:t xml:space="preserve"> </w:t>
      </w:r>
      <w:r w:rsidR="00F32B28" w:rsidRPr="00F32B28">
        <w:rPr>
          <w:rtl/>
        </w:rPr>
        <w:t>وذلك</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صلاحيتها</w:t>
      </w:r>
      <w:r w:rsidR="00F32B28">
        <w:rPr>
          <w:rtl/>
        </w:rPr>
        <w:t xml:space="preserve"> </w:t>
      </w:r>
      <w:r w:rsidR="00F32B28" w:rsidRPr="00F32B28">
        <w:rPr>
          <w:rtl/>
        </w:rPr>
        <w:t>في</w:t>
      </w:r>
      <w:r w:rsidR="00F32B28">
        <w:rPr>
          <w:rtl/>
        </w:rPr>
        <w:t xml:space="preserve"> </w:t>
      </w:r>
      <w:r w:rsidR="00F32B28" w:rsidRPr="00F32B28">
        <w:rPr>
          <w:rtl/>
        </w:rPr>
        <w:t>النظر</w:t>
      </w:r>
      <w:r w:rsidR="00F32B28">
        <w:rPr>
          <w:rtl/>
        </w:rPr>
        <w:t xml:space="preserve"> </w:t>
      </w:r>
      <w:r w:rsidR="00F32B28" w:rsidRPr="00F32B28">
        <w:rPr>
          <w:rtl/>
        </w:rPr>
        <w:t>والفصل</w:t>
      </w:r>
      <w:r w:rsidR="00F32B28">
        <w:rPr>
          <w:rtl/>
        </w:rPr>
        <w:t xml:space="preserve"> </w:t>
      </w:r>
      <w:r w:rsidR="00F32B28" w:rsidRPr="00F32B28">
        <w:rPr>
          <w:rtl/>
        </w:rPr>
        <w:t>في</w:t>
      </w:r>
      <w:r w:rsidR="00F32B28">
        <w:rPr>
          <w:rtl/>
        </w:rPr>
        <w:t xml:space="preserve"> </w:t>
      </w:r>
      <w:r w:rsidR="00F32B28" w:rsidRPr="00F32B28">
        <w:rPr>
          <w:rtl/>
        </w:rPr>
        <w:t>المنازعات</w:t>
      </w:r>
      <w:r w:rsidR="00F32B28">
        <w:rPr>
          <w:rtl/>
        </w:rPr>
        <w:t xml:space="preserve"> </w:t>
      </w:r>
      <w:r w:rsidR="00F32B28" w:rsidRPr="00F32B28">
        <w:rPr>
          <w:rtl/>
        </w:rPr>
        <w:t>المتعلقة</w:t>
      </w:r>
      <w:r w:rsidR="00F32B28">
        <w:rPr>
          <w:rtl/>
        </w:rPr>
        <w:t xml:space="preserve"> </w:t>
      </w:r>
      <w:r w:rsidR="00F32B28" w:rsidRPr="00F32B28">
        <w:rPr>
          <w:rtl/>
        </w:rPr>
        <w:t>بالقرارات</w:t>
      </w:r>
      <w:r w:rsidR="00F32B28">
        <w:rPr>
          <w:rtl/>
        </w:rPr>
        <w:t xml:space="preserve"> </w:t>
      </w:r>
      <w:r w:rsidR="00F32B28" w:rsidRPr="00F32B28">
        <w:rPr>
          <w:rtl/>
        </w:rPr>
        <w:t>الإدارية،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المنازعات</w:t>
      </w:r>
      <w:r w:rsidR="00F32B28">
        <w:rPr>
          <w:rtl/>
        </w:rPr>
        <w:t xml:space="preserve"> </w:t>
      </w:r>
      <w:r w:rsidR="00F32B28" w:rsidRPr="00F32B28">
        <w:rPr>
          <w:rtl/>
        </w:rPr>
        <w:t>المتعلقة</w:t>
      </w:r>
      <w:r w:rsidR="00F32B28">
        <w:rPr>
          <w:rtl/>
        </w:rPr>
        <w:t xml:space="preserve"> </w:t>
      </w:r>
      <w:r w:rsidR="00F32B28" w:rsidRPr="00F32B28">
        <w:rPr>
          <w:rtl/>
        </w:rPr>
        <w:t>بالوظائف</w:t>
      </w:r>
      <w:r w:rsidR="00F32B28">
        <w:rPr>
          <w:rtl/>
        </w:rPr>
        <w:t xml:space="preserve"> </w:t>
      </w:r>
      <w:r w:rsidR="00F32B28" w:rsidRPr="00F32B28">
        <w:rPr>
          <w:rtl/>
        </w:rPr>
        <w:t>العمومية،</w:t>
      </w:r>
      <w:r w:rsidR="00F32B28">
        <w:rPr>
          <w:rtl/>
        </w:rPr>
        <w:t xml:space="preserve"> </w:t>
      </w:r>
      <w:r w:rsidR="00F32B28" w:rsidRPr="00F32B28">
        <w:rPr>
          <w:rtl/>
        </w:rPr>
        <w:t>والمسائل</w:t>
      </w:r>
      <w:r w:rsidR="00F32B28">
        <w:rPr>
          <w:rtl/>
        </w:rPr>
        <w:t xml:space="preserve"> </w:t>
      </w:r>
      <w:r w:rsidR="00F32B28" w:rsidRPr="00F32B28">
        <w:rPr>
          <w:rtl/>
        </w:rPr>
        <w:t>التي</w:t>
      </w:r>
      <w:r w:rsidR="00F32B28">
        <w:rPr>
          <w:rtl/>
        </w:rPr>
        <w:t xml:space="preserve"> </w:t>
      </w:r>
      <w:r w:rsidR="00F32B28" w:rsidRPr="00F32B28">
        <w:rPr>
          <w:rtl/>
        </w:rPr>
        <w:t>ليست</w:t>
      </w:r>
      <w:r w:rsidR="00F32B28">
        <w:rPr>
          <w:rtl/>
        </w:rPr>
        <w:t xml:space="preserve"> </w:t>
      </w:r>
      <w:r w:rsidR="00F32B28" w:rsidRPr="00F32B28">
        <w:rPr>
          <w:rtl/>
        </w:rPr>
        <w:t>قضايا</w:t>
      </w:r>
      <w:r w:rsidR="00F32B28">
        <w:rPr>
          <w:rtl/>
        </w:rPr>
        <w:t xml:space="preserve"> </w:t>
      </w:r>
      <w:r w:rsidR="00F32B28" w:rsidRPr="00F32B28">
        <w:rPr>
          <w:rtl/>
        </w:rPr>
        <w:t>أو</w:t>
      </w:r>
      <w:r w:rsidR="00F32B28">
        <w:rPr>
          <w:rtl/>
        </w:rPr>
        <w:t xml:space="preserve"> </w:t>
      </w:r>
      <w:r w:rsidR="00F32B28" w:rsidRPr="00F32B28">
        <w:rPr>
          <w:rtl/>
        </w:rPr>
        <w:t>محاكمات</w:t>
      </w:r>
      <w:r w:rsidR="00F32B28">
        <w:rPr>
          <w:rtl/>
        </w:rPr>
        <w:t xml:space="preserve"> </w:t>
      </w:r>
      <w:r w:rsidR="00F32B28" w:rsidRPr="00F32B28">
        <w:rPr>
          <w:rtl/>
        </w:rPr>
        <w:t>بل</w:t>
      </w:r>
      <w:r w:rsidR="00F32B28">
        <w:rPr>
          <w:rtl/>
        </w:rPr>
        <w:t xml:space="preserve"> </w:t>
      </w:r>
      <w:r w:rsidR="00F32B28" w:rsidRPr="00F32B28">
        <w:rPr>
          <w:rtl/>
        </w:rPr>
        <w:t>مجرد</w:t>
      </w:r>
      <w:r w:rsidR="00F32B28">
        <w:rPr>
          <w:rtl/>
        </w:rPr>
        <w:t xml:space="preserve"> </w:t>
      </w:r>
      <w:r w:rsidR="00F32B28" w:rsidRPr="00F32B28">
        <w:rPr>
          <w:rtl/>
        </w:rPr>
        <w:t>عرائض</w:t>
      </w:r>
      <w:r w:rsidR="00F32B28">
        <w:rPr>
          <w:rtl/>
        </w:rPr>
        <w:t xml:space="preserve"> </w:t>
      </w:r>
      <w:r w:rsidR="00F32B28" w:rsidRPr="00F32B28">
        <w:rPr>
          <w:rtl/>
        </w:rPr>
        <w:t>أو</w:t>
      </w:r>
      <w:r w:rsidR="00F32B28">
        <w:rPr>
          <w:rtl/>
        </w:rPr>
        <w:t xml:space="preserve"> </w:t>
      </w:r>
      <w:r w:rsidR="00F32B28" w:rsidRPr="00F32B28">
        <w:rPr>
          <w:rtl/>
        </w:rPr>
        <w:t>استدعاءات</w:t>
      </w:r>
      <w:r w:rsidR="00F32B28">
        <w:rPr>
          <w:rtl/>
        </w:rPr>
        <w:t xml:space="preserve"> </w:t>
      </w:r>
      <w:r w:rsidR="00F32B28" w:rsidRPr="00F32B28">
        <w:rPr>
          <w:rtl/>
        </w:rPr>
        <w:t>خارجة</w:t>
      </w:r>
      <w:r w:rsidR="00F32B28">
        <w:rPr>
          <w:rtl/>
        </w:rPr>
        <w:t xml:space="preserve"> </w:t>
      </w:r>
      <w:r w:rsidR="00F32B28" w:rsidRPr="00F32B28">
        <w:rPr>
          <w:rtl/>
        </w:rPr>
        <w:t>عن</w:t>
      </w:r>
      <w:r w:rsidR="00F32B28">
        <w:rPr>
          <w:rtl/>
        </w:rPr>
        <w:t xml:space="preserve"> </w:t>
      </w:r>
      <w:r w:rsidR="00F32B28" w:rsidRPr="00F32B28">
        <w:rPr>
          <w:rtl/>
        </w:rPr>
        <w:t>صلاحية</w:t>
      </w:r>
      <w:r w:rsidR="00F32B28">
        <w:rPr>
          <w:rtl/>
        </w:rPr>
        <w:t xml:space="preserve"> </w:t>
      </w:r>
      <w:r w:rsidR="00F32B28" w:rsidRPr="00F32B28">
        <w:rPr>
          <w:rtl/>
        </w:rPr>
        <w:t>أي</w:t>
      </w:r>
      <w:r w:rsidR="00F32B28">
        <w:rPr>
          <w:rtl/>
        </w:rPr>
        <w:t xml:space="preserve"> </w:t>
      </w:r>
      <w:r w:rsidR="00F32B28" w:rsidRPr="00F32B28">
        <w:rPr>
          <w:rtl/>
        </w:rPr>
        <w:t>محكمة</w:t>
      </w:r>
      <w:r w:rsidR="00F32B28">
        <w:rPr>
          <w:rtl/>
        </w:rPr>
        <w:t xml:space="preserve"> </w:t>
      </w:r>
      <w:r w:rsidR="00F32B28" w:rsidRPr="00F32B28">
        <w:rPr>
          <w:rtl/>
        </w:rPr>
        <w:t>تستوجب</w:t>
      </w:r>
      <w:r w:rsidR="00F32B28">
        <w:rPr>
          <w:rtl/>
        </w:rPr>
        <w:t xml:space="preserve"> </w:t>
      </w:r>
      <w:r w:rsidR="00F32B28" w:rsidRPr="00F32B28">
        <w:rPr>
          <w:rtl/>
        </w:rPr>
        <w:t>الضرورة</w:t>
      </w:r>
      <w:r w:rsidR="00F32B28">
        <w:rPr>
          <w:rtl/>
        </w:rPr>
        <w:t xml:space="preserve"> </w:t>
      </w:r>
      <w:r w:rsidR="00F32B28" w:rsidRPr="00F32B28">
        <w:rPr>
          <w:rtl/>
        </w:rPr>
        <w:t>الفصل</w:t>
      </w:r>
      <w:r w:rsidR="00F32B28">
        <w:rPr>
          <w:rtl/>
        </w:rPr>
        <w:t xml:space="preserve"> </w:t>
      </w:r>
      <w:r w:rsidR="00F32B28" w:rsidRPr="00F32B28">
        <w:rPr>
          <w:rtl/>
        </w:rPr>
        <w:t>فيها</w:t>
      </w:r>
      <w:r w:rsidR="00F32B28">
        <w:rPr>
          <w:rtl/>
        </w:rPr>
        <w:t xml:space="preserve"> </w:t>
      </w:r>
      <w:r w:rsidR="00F32B28" w:rsidRPr="00F32B28">
        <w:rPr>
          <w:rtl/>
        </w:rPr>
        <w:t>تحقيقاً</w:t>
      </w:r>
      <w:r w:rsidR="00F32B28">
        <w:rPr>
          <w:rtl/>
        </w:rPr>
        <w:t xml:space="preserve"> </w:t>
      </w:r>
      <w:r w:rsidR="00F32B28" w:rsidRPr="00F32B28">
        <w:rPr>
          <w:rtl/>
        </w:rPr>
        <w:t>للعدالة.</w:t>
      </w:r>
      <w:r w:rsidR="00F32B28">
        <w:rPr>
          <w:rtl/>
        </w:rPr>
        <w:t xml:space="preserve"> </w:t>
      </w:r>
    </w:p>
    <w:p w:rsidR="00F32B28" w:rsidRPr="00F32B28" w:rsidRDefault="00DF0562" w:rsidP="009C6174">
      <w:pPr>
        <w:pStyle w:val="SingleTxt"/>
        <w:rPr>
          <w:rtl/>
          <w:lang w:bidi="ar-SY"/>
        </w:rPr>
      </w:pPr>
      <w:r>
        <w:rPr>
          <w:rFonts w:hint="cs"/>
          <w:rtl/>
        </w:rPr>
        <w:t>2</w:t>
      </w:r>
      <w:r w:rsidR="009C6174">
        <w:rPr>
          <w:rFonts w:hint="cs"/>
          <w:rtl/>
        </w:rPr>
        <w:t>7</w:t>
      </w:r>
      <w:r>
        <w:rPr>
          <w:rFonts w:hint="cs"/>
          <w:rtl/>
        </w:rPr>
        <w:t xml:space="preserve"> -</w:t>
      </w:r>
      <w:r>
        <w:rPr>
          <w:rFonts w:hint="cs"/>
          <w:rtl/>
        </w:rPr>
        <w:tab/>
      </w:r>
      <w:r w:rsidR="00F32B28" w:rsidRPr="00F32B28">
        <w:rPr>
          <w:rtl/>
        </w:rPr>
        <w:t>وتختص</w:t>
      </w:r>
      <w:r w:rsidR="00F32B28">
        <w:rPr>
          <w:rtl/>
        </w:rPr>
        <w:t xml:space="preserve"> </w:t>
      </w:r>
      <w:r w:rsidR="00F32B28" w:rsidRPr="00F32B28">
        <w:rPr>
          <w:rtl/>
        </w:rPr>
        <w:t>المحاكم</w:t>
      </w:r>
      <w:r w:rsidR="00F32B28">
        <w:rPr>
          <w:rtl/>
        </w:rPr>
        <w:t xml:space="preserve"> </w:t>
      </w:r>
      <w:r w:rsidR="00F32B28" w:rsidRPr="00F32B28">
        <w:rPr>
          <w:rtl/>
        </w:rPr>
        <w:t>الشرعية</w:t>
      </w:r>
      <w:r w:rsidR="00F32B28">
        <w:rPr>
          <w:rtl/>
        </w:rPr>
        <w:t xml:space="preserve"> </w:t>
      </w:r>
      <w:r w:rsidR="00F32B28" w:rsidRPr="00F32B28">
        <w:rPr>
          <w:rtl/>
        </w:rPr>
        <w:t>والكنسية</w:t>
      </w:r>
      <w:r w:rsidR="00F32B28">
        <w:rPr>
          <w:rtl/>
        </w:rPr>
        <w:t xml:space="preserve"> </w:t>
      </w:r>
      <w:r w:rsidR="00F32B28" w:rsidRPr="00F32B28">
        <w:rPr>
          <w:rtl/>
        </w:rPr>
        <w:t>بالفصل</w:t>
      </w:r>
      <w:r w:rsidR="00F32B28">
        <w:rPr>
          <w:rtl/>
        </w:rPr>
        <w:t xml:space="preserve"> </w:t>
      </w:r>
      <w:r w:rsidR="00F32B28" w:rsidRPr="00F32B28">
        <w:rPr>
          <w:rtl/>
        </w:rPr>
        <w:t>في</w:t>
      </w:r>
      <w:r w:rsidR="00F32B28">
        <w:rPr>
          <w:rtl/>
        </w:rPr>
        <w:t xml:space="preserve"> </w:t>
      </w:r>
      <w:r w:rsidR="00F32B28" w:rsidRPr="00F32B28">
        <w:rPr>
          <w:rtl/>
        </w:rPr>
        <w:t>مسائل</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والنزاعات</w:t>
      </w:r>
      <w:r w:rsidR="00F32B28">
        <w:rPr>
          <w:rtl/>
        </w:rPr>
        <w:t xml:space="preserve"> </w:t>
      </w:r>
      <w:r w:rsidR="00F32B28" w:rsidRPr="00F32B28">
        <w:rPr>
          <w:rtl/>
        </w:rPr>
        <w:t>التي</w:t>
      </w:r>
      <w:r w:rsidR="00F32B28">
        <w:rPr>
          <w:rtl/>
        </w:rPr>
        <w:t xml:space="preserve"> </w:t>
      </w:r>
      <w:r w:rsidR="00F32B28" w:rsidRPr="00F32B28">
        <w:rPr>
          <w:rtl/>
        </w:rPr>
        <w:t>تنشأ</w:t>
      </w:r>
      <w:r w:rsidR="00F32B28">
        <w:rPr>
          <w:rtl/>
        </w:rPr>
        <w:t xml:space="preserve"> </w:t>
      </w:r>
      <w:r w:rsidR="00F32B28" w:rsidRPr="00F32B28">
        <w:rPr>
          <w:rtl/>
        </w:rPr>
        <w:t>بين</w:t>
      </w:r>
      <w:r w:rsidR="00F32B28">
        <w:rPr>
          <w:rtl/>
        </w:rPr>
        <w:t xml:space="preserve"> </w:t>
      </w:r>
      <w:r w:rsidR="00F32B28" w:rsidRPr="00F32B28">
        <w:rPr>
          <w:rtl/>
        </w:rPr>
        <w:t>الزوجين</w:t>
      </w:r>
      <w:r w:rsidR="00F32B28">
        <w:rPr>
          <w:rtl/>
        </w:rPr>
        <w:t xml:space="preserve"> </w:t>
      </w:r>
      <w:r w:rsidR="00F32B28" w:rsidRPr="00F32B28">
        <w:rPr>
          <w:rtl/>
        </w:rPr>
        <w:t>ويكون</w:t>
      </w:r>
      <w:r w:rsidR="00F32B28">
        <w:rPr>
          <w:rtl/>
        </w:rPr>
        <w:t xml:space="preserve"> </w:t>
      </w:r>
      <w:r w:rsidR="00F32B28" w:rsidRPr="00F32B28">
        <w:rPr>
          <w:rtl/>
        </w:rPr>
        <w:t>مصدرها</w:t>
      </w:r>
      <w:r w:rsidR="00F32B28">
        <w:rPr>
          <w:rtl/>
        </w:rPr>
        <w:t xml:space="preserve"> </w:t>
      </w:r>
      <w:r w:rsidR="00F32B28" w:rsidRPr="00F32B28">
        <w:rPr>
          <w:rtl/>
        </w:rPr>
        <w:t>عقد</w:t>
      </w:r>
      <w:r w:rsidR="00F32B28">
        <w:rPr>
          <w:rtl/>
        </w:rPr>
        <w:t xml:space="preserve"> </w:t>
      </w:r>
      <w:r w:rsidR="00F32B28" w:rsidRPr="00F32B28">
        <w:rPr>
          <w:rtl/>
        </w:rPr>
        <w:t>الزواج</w:t>
      </w:r>
      <w:r w:rsidR="00F32B28">
        <w:rPr>
          <w:rtl/>
        </w:rPr>
        <w:t xml:space="preserve"> </w:t>
      </w:r>
      <w:r w:rsidR="00F32B28" w:rsidRPr="00F32B28">
        <w:rPr>
          <w:rtl/>
          <w:lang w:bidi="ar-SY"/>
        </w:rPr>
        <w:t>كالطلاق</w:t>
      </w:r>
      <w:r w:rsidR="00F32B28">
        <w:rPr>
          <w:rtl/>
          <w:lang w:bidi="ar-SY"/>
        </w:rPr>
        <w:t xml:space="preserve"> </w:t>
      </w:r>
      <w:r w:rsidR="00F32B28" w:rsidRPr="00F32B28">
        <w:rPr>
          <w:rtl/>
          <w:lang w:bidi="ar-SY"/>
        </w:rPr>
        <w:t>والانفصال</w:t>
      </w:r>
      <w:r w:rsidR="00F32B28">
        <w:rPr>
          <w:rtl/>
          <w:lang w:bidi="ar-SY"/>
        </w:rPr>
        <w:t xml:space="preserve"> </w:t>
      </w:r>
      <w:r w:rsidR="00F32B28" w:rsidRPr="00F32B28">
        <w:rPr>
          <w:rtl/>
          <w:lang w:bidi="ar-SY"/>
        </w:rPr>
        <w:t>والنفقة</w:t>
      </w:r>
      <w:r w:rsidR="00F32B28">
        <w:rPr>
          <w:rtl/>
          <w:lang w:bidi="ar-SY"/>
        </w:rPr>
        <w:t xml:space="preserve"> </w:t>
      </w:r>
      <w:r w:rsidR="00F32B28" w:rsidRPr="00F32B28">
        <w:rPr>
          <w:rtl/>
          <w:lang w:bidi="ar-SY"/>
        </w:rPr>
        <w:t>والحضانة</w:t>
      </w:r>
      <w:r w:rsidR="00F32B28">
        <w:rPr>
          <w:rtl/>
          <w:lang w:bidi="ar-SY"/>
        </w:rPr>
        <w:t xml:space="preserve"> </w:t>
      </w:r>
      <w:r w:rsidR="00F32B28" w:rsidRPr="00F32B28">
        <w:rPr>
          <w:rtl/>
          <w:lang w:bidi="ar-SY"/>
        </w:rPr>
        <w:t>والولاية،</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الفصل</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يكون</w:t>
      </w:r>
      <w:r w:rsidR="00F32B28">
        <w:rPr>
          <w:rtl/>
          <w:lang w:bidi="ar-SY"/>
        </w:rPr>
        <w:t xml:space="preserve"> </w:t>
      </w:r>
      <w:r w:rsidR="00F32B28" w:rsidRPr="00F32B28">
        <w:rPr>
          <w:rtl/>
          <w:lang w:bidi="ar-SY"/>
        </w:rPr>
        <w:t>بموجب</w:t>
      </w:r>
      <w:r w:rsidR="00F32B28">
        <w:rPr>
          <w:rtl/>
          <w:lang w:bidi="ar-SY"/>
        </w:rPr>
        <w:t xml:space="preserve"> </w:t>
      </w:r>
      <w:r w:rsidR="00F32B28" w:rsidRPr="00F32B28">
        <w:rPr>
          <w:rtl/>
          <w:lang w:bidi="ar-SY"/>
        </w:rPr>
        <w:t>قوانين</w:t>
      </w:r>
      <w:r w:rsidR="00F32B28">
        <w:rPr>
          <w:rtl/>
          <w:lang w:bidi="ar-SY"/>
        </w:rPr>
        <w:t xml:space="preserve"> </w:t>
      </w:r>
      <w:r w:rsidR="00F32B28" w:rsidRPr="00F32B28">
        <w:rPr>
          <w:rtl/>
          <w:lang w:bidi="ar-SY"/>
        </w:rPr>
        <w:t>الأحوال</w:t>
      </w:r>
      <w:r w:rsidR="00F32B28">
        <w:rPr>
          <w:rtl/>
          <w:lang w:bidi="ar-SY"/>
        </w:rPr>
        <w:t xml:space="preserve"> </w:t>
      </w:r>
      <w:r w:rsidR="00F32B28" w:rsidRPr="00F32B28">
        <w:rPr>
          <w:rtl/>
          <w:lang w:bidi="ar-SY"/>
        </w:rPr>
        <w:t>الشخصية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تزال</w:t>
      </w:r>
      <w:r w:rsidR="00F32B28">
        <w:rPr>
          <w:rtl/>
          <w:lang w:bidi="ar-SY"/>
        </w:rPr>
        <w:t xml:space="preserve"> </w:t>
      </w:r>
      <w:r w:rsidR="00F32B28" w:rsidRPr="00F32B28">
        <w:rPr>
          <w:rtl/>
          <w:lang w:bidi="ar-SY"/>
        </w:rPr>
        <w:t>تميز</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معظم</w:t>
      </w:r>
      <w:r w:rsidR="00F32B28">
        <w:rPr>
          <w:rtl/>
          <w:lang w:bidi="ar-SY"/>
        </w:rPr>
        <w:t xml:space="preserve"> </w:t>
      </w:r>
      <w:r w:rsidR="00F32B28" w:rsidRPr="00F32B28">
        <w:rPr>
          <w:rtl/>
          <w:lang w:bidi="ar-SY"/>
        </w:rPr>
        <w:t>أحكامها.</w:t>
      </w:r>
      <w:r w:rsidR="00F32B28">
        <w:rPr>
          <w:rtl/>
          <w:lang w:bidi="ar-SY"/>
        </w:rPr>
        <w:t xml:space="preserve"> </w:t>
      </w:r>
      <w:r w:rsidR="00F32B28" w:rsidRPr="00F32B28">
        <w:rPr>
          <w:rtl/>
          <w:lang w:bidi="ar-SY"/>
        </w:rPr>
        <w:t>ويوجد</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lastRenderedPageBreak/>
        <w:t>كل</w:t>
      </w:r>
      <w:r w:rsidR="00F32B28">
        <w:rPr>
          <w:rtl/>
          <w:lang w:bidi="ar-SY"/>
        </w:rPr>
        <w:t xml:space="preserve"> </w:t>
      </w:r>
      <w:r w:rsidR="00F32B28" w:rsidRPr="00F32B28">
        <w:rPr>
          <w:rtl/>
          <w:lang w:bidi="ar-SY"/>
        </w:rPr>
        <w:t>محكمة</w:t>
      </w:r>
      <w:r w:rsidR="00F32B28">
        <w:rPr>
          <w:rtl/>
          <w:lang w:bidi="ar-SY"/>
        </w:rPr>
        <w:t xml:space="preserve"> </w:t>
      </w:r>
      <w:r w:rsidR="00F32B28" w:rsidRPr="00F32B28">
        <w:rPr>
          <w:rtl/>
          <w:lang w:bidi="ar-SY"/>
        </w:rPr>
        <w:t>شرعية</w:t>
      </w:r>
      <w:r w:rsidR="00F32B28">
        <w:rPr>
          <w:rtl/>
          <w:lang w:bidi="ar-SY"/>
        </w:rPr>
        <w:t xml:space="preserve"> </w:t>
      </w:r>
      <w:r w:rsidR="00F32B28" w:rsidRPr="00F32B28">
        <w:rPr>
          <w:rtl/>
          <w:lang w:bidi="ar-SY"/>
        </w:rPr>
        <w:t>قسم</w:t>
      </w:r>
      <w:r w:rsidR="00F32B28">
        <w:rPr>
          <w:rtl/>
          <w:lang w:bidi="ar-SY"/>
        </w:rPr>
        <w:t xml:space="preserve"> </w:t>
      </w:r>
      <w:r w:rsidR="00600C43">
        <w:rPr>
          <w:rFonts w:hint="cs"/>
          <w:rtl/>
          <w:lang w:bidi="ar-SY"/>
        </w:rPr>
        <w:t>”</w:t>
      </w:r>
      <w:r w:rsidR="00F32B28" w:rsidRPr="00F32B28">
        <w:rPr>
          <w:rtl/>
          <w:lang w:bidi="ar-SY"/>
        </w:rPr>
        <w:t>للإرشاد</w:t>
      </w:r>
      <w:r w:rsidR="00F32B28">
        <w:rPr>
          <w:rtl/>
          <w:lang w:bidi="ar-SY"/>
        </w:rPr>
        <w:t xml:space="preserve"> </w:t>
      </w:r>
      <w:r w:rsidR="00F32B28" w:rsidRPr="00F32B28">
        <w:rPr>
          <w:rtl/>
          <w:lang w:bidi="ar-SY"/>
        </w:rPr>
        <w:t>والإصلاح</w:t>
      </w:r>
      <w:r w:rsidR="00F32B28">
        <w:rPr>
          <w:rtl/>
          <w:lang w:bidi="ar-SY"/>
        </w:rPr>
        <w:t xml:space="preserve"> </w:t>
      </w:r>
      <w:r w:rsidR="00F32B28" w:rsidRPr="00F32B28">
        <w:rPr>
          <w:rtl/>
          <w:lang w:bidi="ar-SY"/>
        </w:rPr>
        <w:t>الأسري</w:t>
      </w:r>
      <w:r w:rsidR="00600C43">
        <w:rPr>
          <w:rFonts w:hint="cs"/>
          <w:rtl/>
          <w:lang w:bidi="ar-SY"/>
        </w:rPr>
        <w:t>“</w:t>
      </w:r>
      <w:r w:rsidR="00F32B28">
        <w:rPr>
          <w:rtl/>
          <w:lang w:bidi="ar-SY"/>
        </w:rPr>
        <w:t xml:space="preserve"> </w:t>
      </w:r>
      <w:r w:rsidR="00F32B28" w:rsidRPr="00F32B28">
        <w:rPr>
          <w:rtl/>
          <w:lang w:bidi="ar-SY"/>
        </w:rPr>
        <w:t>يعمل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تعزيز</w:t>
      </w:r>
      <w:r w:rsidR="00F32B28">
        <w:rPr>
          <w:rtl/>
          <w:lang w:bidi="ar-SY"/>
        </w:rPr>
        <w:t xml:space="preserve"> </w:t>
      </w:r>
      <w:r w:rsidR="00F32B28" w:rsidRPr="00F32B28">
        <w:rPr>
          <w:rtl/>
          <w:lang w:bidi="ar-SY"/>
        </w:rPr>
        <w:t>الروابط</w:t>
      </w:r>
      <w:r w:rsidR="00F32B28">
        <w:rPr>
          <w:rtl/>
          <w:lang w:bidi="ar-SY"/>
        </w:rPr>
        <w:t xml:space="preserve"> </w:t>
      </w:r>
      <w:r w:rsidR="00F32B28" w:rsidRPr="00F32B28">
        <w:rPr>
          <w:rtl/>
          <w:lang w:bidi="ar-SY"/>
        </w:rPr>
        <w:t>الأسرية</w:t>
      </w:r>
      <w:r w:rsidR="00F32B28">
        <w:rPr>
          <w:rtl/>
          <w:lang w:bidi="ar-SY"/>
        </w:rPr>
        <w:t xml:space="preserve"> </w:t>
      </w:r>
      <w:r w:rsidR="00F32B28" w:rsidRPr="00F32B28">
        <w:rPr>
          <w:rtl/>
          <w:lang w:bidi="ar-SY"/>
        </w:rPr>
        <w:t>والحد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النزاعات</w:t>
      </w:r>
      <w:r w:rsidR="00F32B28">
        <w:rPr>
          <w:rtl/>
          <w:lang w:bidi="ar-SY"/>
        </w:rPr>
        <w:t xml:space="preserve"> </w:t>
      </w:r>
      <w:r w:rsidR="00F32B28" w:rsidRPr="00F32B28">
        <w:rPr>
          <w:rtl/>
          <w:lang w:bidi="ar-SY"/>
        </w:rPr>
        <w:t>القائمة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الزوجين</w:t>
      </w:r>
      <w:r w:rsidR="00F32B28">
        <w:rPr>
          <w:rtl/>
          <w:lang w:bidi="ar-SY"/>
        </w:rPr>
        <w:t xml:space="preserve"> </w:t>
      </w:r>
      <w:r w:rsidR="00F32B28" w:rsidRPr="00F32B28">
        <w:rPr>
          <w:rtl/>
          <w:lang w:bidi="ar-SY"/>
        </w:rPr>
        <w:t>والإصلاح</w:t>
      </w:r>
      <w:r w:rsidR="00F32B28">
        <w:rPr>
          <w:rtl/>
          <w:lang w:bidi="ar-SY"/>
        </w:rPr>
        <w:t xml:space="preserve"> </w:t>
      </w:r>
      <w:r w:rsidR="00F32B28" w:rsidRPr="00F32B28">
        <w:rPr>
          <w:rtl/>
          <w:lang w:bidi="ar-SY"/>
        </w:rPr>
        <w:t>بينهما،</w:t>
      </w:r>
      <w:r w:rsidR="00F32B28">
        <w:rPr>
          <w:rtl/>
          <w:lang w:bidi="ar-SY"/>
        </w:rPr>
        <w:t xml:space="preserve"> </w:t>
      </w:r>
      <w:r w:rsidR="00F32B28" w:rsidRPr="00F32B28">
        <w:rPr>
          <w:rtl/>
          <w:lang w:bidi="ar-SY"/>
        </w:rPr>
        <w:t>وتساهم</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الأقسام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الخلافات</w:t>
      </w:r>
      <w:r w:rsidR="00F32B28">
        <w:rPr>
          <w:rtl/>
          <w:lang w:bidi="ar-SY"/>
        </w:rPr>
        <w:t xml:space="preserve"> </w:t>
      </w:r>
      <w:r w:rsidR="00F32B28" w:rsidRPr="00F32B28">
        <w:rPr>
          <w:rtl/>
          <w:lang w:bidi="ar-SY"/>
        </w:rPr>
        <w:t>الزوجية</w:t>
      </w:r>
      <w:r w:rsidR="00F32B28">
        <w:rPr>
          <w:rtl/>
          <w:lang w:bidi="ar-SY"/>
        </w:rPr>
        <w:t xml:space="preserve"> </w:t>
      </w:r>
      <w:r w:rsidR="00F32B28" w:rsidRPr="00F32B28">
        <w:rPr>
          <w:rtl/>
          <w:lang w:bidi="ar-SY"/>
        </w:rPr>
        <w:t>وحالات</w:t>
      </w:r>
      <w:r w:rsidR="00F32B28">
        <w:rPr>
          <w:rtl/>
          <w:lang w:bidi="ar-SY"/>
        </w:rPr>
        <w:t xml:space="preserve"> </w:t>
      </w:r>
      <w:r w:rsidR="00F32B28" w:rsidRPr="00F32B28">
        <w:rPr>
          <w:rtl/>
          <w:lang w:bidi="ar-SY"/>
        </w:rPr>
        <w:t>الطلاق.</w:t>
      </w:r>
      <w:r w:rsidR="00F32B28">
        <w:rPr>
          <w:rtl/>
          <w:lang w:bidi="ar-SY"/>
        </w:rPr>
        <w:t xml:space="preserve"> </w:t>
      </w:r>
      <w:r w:rsidR="00F32B28" w:rsidRPr="00F32B28">
        <w:rPr>
          <w:rtl/>
          <w:lang w:bidi="ar-SY"/>
        </w:rPr>
        <w:t>ويتم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السياق</w:t>
      </w:r>
      <w:r w:rsidR="00F32B28">
        <w:rPr>
          <w:rtl/>
          <w:lang w:bidi="ar-SY"/>
        </w:rPr>
        <w:t xml:space="preserve"> </w:t>
      </w:r>
      <w:r w:rsidR="00F32B28" w:rsidRPr="00F32B28">
        <w:rPr>
          <w:rtl/>
          <w:lang w:bidi="ar-SY"/>
        </w:rPr>
        <w:t>عقد</w:t>
      </w:r>
      <w:r w:rsidR="00F32B28">
        <w:rPr>
          <w:rtl/>
          <w:lang w:bidi="ar-SY"/>
        </w:rPr>
        <w:t xml:space="preserve"> </w:t>
      </w:r>
      <w:r w:rsidR="00F32B28" w:rsidRPr="00F32B28">
        <w:rPr>
          <w:rtl/>
          <w:lang w:bidi="ar-SY"/>
        </w:rPr>
        <w:t>ورشات</w:t>
      </w:r>
      <w:r w:rsidR="00F32B28">
        <w:rPr>
          <w:rtl/>
          <w:lang w:bidi="ar-SY"/>
        </w:rPr>
        <w:t xml:space="preserve"> </w:t>
      </w:r>
      <w:r w:rsidR="00F32B28" w:rsidRPr="00F32B28">
        <w:rPr>
          <w:rtl/>
          <w:lang w:bidi="ar-SY"/>
        </w:rPr>
        <w:t>عمل</w:t>
      </w:r>
      <w:r w:rsidR="00F32B28">
        <w:rPr>
          <w:rtl/>
          <w:lang w:bidi="ar-SY"/>
        </w:rPr>
        <w:t xml:space="preserve"> </w:t>
      </w:r>
      <w:r w:rsidR="00F32B28" w:rsidRPr="00F32B28">
        <w:rPr>
          <w:rtl/>
          <w:lang w:bidi="ar-SY"/>
        </w:rPr>
        <w:t>دورية</w:t>
      </w:r>
      <w:r w:rsidR="00F32B28">
        <w:rPr>
          <w:rtl/>
          <w:lang w:bidi="ar-SY"/>
        </w:rPr>
        <w:t xml:space="preserve"> </w:t>
      </w:r>
      <w:r w:rsidR="00F32B28" w:rsidRPr="00F32B28">
        <w:rPr>
          <w:rtl/>
          <w:lang w:bidi="ar-SY"/>
        </w:rPr>
        <w:t>بخصوص</w:t>
      </w:r>
      <w:r w:rsidR="00F32B28">
        <w:rPr>
          <w:rtl/>
          <w:lang w:bidi="ar-SY"/>
        </w:rPr>
        <w:t xml:space="preserve"> </w:t>
      </w:r>
      <w:r w:rsidR="00F32B28" w:rsidRPr="00F32B28">
        <w:rPr>
          <w:rtl/>
          <w:lang w:bidi="ar-SY"/>
        </w:rPr>
        <w:t>مناقشة</w:t>
      </w:r>
      <w:r w:rsidR="00F32B28">
        <w:rPr>
          <w:rtl/>
          <w:lang w:bidi="ar-SY"/>
        </w:rPr>
        <w:t xml:space="preserve"> </w:t>
      </w:r>
      <w:r w:rsidR="00F32B28" w:rsidRPr="00F32B28">
        <w:rPr>
          <w:rtl/>
          <w:lang w:bidi="ar-SY"/>
        </w:rPr>
        <w:t>وتطوير</w:t>
      </w:r>
      <w:r w:rsidR="00F32B28">
        <w:rPr>
          <w:rtl/>
          <w:lang w:bidi="ar-SY"/>
        </w:rPr>
        <w:t xml:space="preserve"> </w:t>
      </w:r>
      <w:r w:rsidR="00F32B28" w:rsidRPr="00F32B28">
        <w:rPr>
          <w:rtl/>
          <w:lang w:bidi="ar-SY"/>
        </w:rPr>
        <w:t>إجراءات</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الموحدة</w:t>
      </w:r>
      <w:r w:rsidR="00F32B28">
        <w:rPr>
          <w:rtl/>
          <w:lang w:bidi="ar-SY"/>
        </w:rPr>
        <w:t xml:space="preserve"> </w:t>
      </w:r>
      <w:r w:rsidR="00F32B28" w:rsidRPr="00F32B28">
        <w:rPr>
          <w:rtl/>
          <w:lang w:bidi="ar-SY"/>
        </w:rPr>
        <w:t>لهذه</w:t>
      </w:r>
      <w:r w:rsidR="00F32B28">
        <w:rPr>
          <w:rtl/>
          <w:lang w:bidi="ar-SY"/>
        </w:rPr>
        <w:t xml:space="preserve"> </w:t>
      </w:r>
      <w:r w:rsidR="00F32B28" w:rsidRPr="00F32B28">
        <w:rPr>
          <w:rtl/>
          <w:lang w:bidi="ar-SY"/>
        </w:rPr>
        <w:t>الأقسام</w:t>
      </w:r>
      <w:r w:rsidR="00F32B28">
        <w:rPr>
          <w:rtl/>
          <w:lang w:bidi="ar-SY"/>
        </w:rPr>
        <w:t xml:space="preserve"> </w:t>
      </w:r>
      <w:r w:rsidR="00F32B28" w:rsidRPr="00F32B28">
        <w:rPr>
          <w:rtl/>
          <w:lang w:bidi="ar-SY"/>
        </w:rPr>
        <w:t>وبحضور</w:t>
      </w:r>
      <w:r w:rsidR="00F32B28">
        <w:rPr>
          <w:rtl/>
          <w:lang w:bidi="ar-SY"/>
        </w:rPr>
        <w:t xml:space="preserve"> </w:t>
      </w:r>
      <w:r w:rsidR="00F32B28" w:rsidRPr="00F32B28">
        <w:rPr>
          <w:rtl/>
          <w:lang w:bidi="ar-SY"/>
        </w:rPr>
        <w:t>القضاة</w:t>
      </w:r>
      <w:r w:rsidR="00F32B28">
        <w:rPr>
          <w:rtl/>
          <w:lang w:bidi="ar-SY"/>
        </w:rPr>
        <w:t xml:space="preserve"> </w:t>
      </w:r>
      <w:r w:rsidR="00F32B28" w:rsidRPr="00F32B28">
        <w:rPr>
          <w:rtl/>
          <w:lang w:bidi="ar-SY"/>
        </w:rPr>
        <w:t>الشرعيين.</w:t>
      </w:r>
    </w:p>
    <w:p w:rsidR="00F32B28" w:rsidRPr="00F32B28" w:rsidRDefault="00DF0562" w:rsidP="009C6174">
      <w:pPr>
        <w:pStyle w:val="SingleTxt"/>
        <w:rPr>
          <w:rtl/>
          <w:lang w:bidi="ar-SY"/>
        </w:rPr>
      </w:pPr>
      <w:r>
        <w:rPr>
          <w:rFonts w:hint="cs"/>
          <w:rtl/>
          <w:lang w:bidi="ar-SY"/>
        </w:rPr>
        <w:t>2</w:t>
      </w:r>
      <w:r w:rsidR="009C6174">
        <w:rPr>
          <w:rFonts w:hint="cs"/>
          <w:rtl/>
          <w:lang w:bidi="ar-SY"/>
        </w:rPr>
        <w:t>8</w:t>
      </w:r>
      <w:r>
        <w:rPr>
          <w:rFonts w:hint="cs"/>
          <w:rtl/>
          <w:lang w:bidi="ar-SY"/>
        </w:rPr>
        <w:t xml:space="preserve"> -</w:t>
      </w:r>
      <w:r>
        <w:rPr>
          <w:rFonts w:hint="cs"/>
          <w:rtl/>
          <w:lang w:bidi="ar-SY"/>
        </w:rPr>
        <w:tab/>
      </w:r>
      <w:r w:rsidR="00F32B28" w:rsidRPr="00F32B28">
        <w:rPr>
          <w:rtl/>
          <w:lang w:bidi="ar-SY"/>
        </w:rPr>
        <w:t>وقد</w:t>
      </w:r>
      <w:r w:rsidR="00F32B28">
        <w:rPr>
          <w:rtl/>
          <w:lang w:bidi="ar-SY"/>
        </w:rPr>
        <w:t xml:space="preserve"> </w:t>
      </w:r>
      <w:r w:rsidR="00F32B28" w:rsidRPr="00F32B28">
        <w:rPr>
          <w:rtl/>
          <w:lang w:bidi="ar-SY"/>
        </w:rPr>
        <w:t>عقد</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الأعوام</w:t>
      </w:r>
      <w:r w:rsidR="00F32B28">
        <w:rPr>
          <w:rtl/>
          <w:lang w:bidi="ar-SY"/>
        </w:rPr>
        <w:t xml:space="preserve"> </w:t>
      </w:r>
      <w:r w:rsidR="00F32B28" w:rsidRPr="00F32B28">
        <w:rPr>
          <w:rtl/>
          <w:lang w:bidi="ar-SY"/>
        </w:rPr>
        <w:t>2014-2016</w:t>
      </w:r>
      <w:r w:rsidR="0043161B">
        <w:rPr>
          <w:rFonts w:hint="cs"/>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الدورات</w:t>
      </w:r>
      <w:r w:rsidR="00F32B28">
        <w:rPr>
          <w:rtl/>
          <w:lang w:bidi="ar-SY"/>
        </w:rPr>
        <w:t xml:space="preserve"> </w:t>
      </w:r>
      <w:r w:rsidR="00F32B28" w:rsidRPr="00F32B28">
        <w:rPr>
          <w:rtl/>
          <w:lang w:bidi="ar-SY"/>
        </w:rPr>
        <w:t>التدريبية</w:t>
      </w:r>
      <w:r w:rsidR="008D730A">
        <w:rPr>
          <w:rFonts w:hint="cs"/>
          <w:rtl/>
          <w:lang w:bidi="ar-SY"/>
        </w:rPr>
        <w:t xml:space="preserve"> </w:t>
      </w:r>
      <w:r w:rsidR="00F32B28" w:rsidRPr="00F32B28">
        <w:rPr>
          <w:rtl/>
          <w:lang w:bidi="ar-SY"/>
        </w:rPr>
        <w:t>التي</w:t>
      </w:r>
      <w:r w:rsidR="00F32B28">
        <w:rPr>
          <w:rtl/>
          <w:lang w:bidi="ar-SY"/>
        </w:rPr>
        <w:t xml:space="preserve"> </w:t>
      </w:r>
      <w:r w:rsidR="00F32B28" w:rsidRPr="00F32B28">
        <w:rPr>
          <w:rtl/>
          <w:lang w:bidi="ar-SY"/>
        </w:rPr>
        <w:t>استهدفت</w:t>
      </w:r>
      <w:r w:rsidR="00F32B28">
        <w:rPr>
          <w:rtl/>
          <w:lang w:bidi="ar-SY"/>
        </w:rPr>
        <w:t xml:space="preserve"> </w:t>
      </w:r>
      <w:r w:rsidR="00F32B28" w:rsidRPr="00F32B28">
        <w:rPr>
          <w:rtl/>
          <w:lang w:bidi="ar-SY"/>
        </w:rPr>
        <w:t>القضاة</w:t>
      </w:r>
      <w:r w:rsidR="00F32B28">
        <w:rPr>
          <w:rtl/>
          <w:lang w:bidi="ar-SY"/>
        </w:rPr>
        <w:t xml:space="preserve"> </w:t>
      </w:r>
      <w:r w:rsidR="00F32B28" w:rsidRPr="00F32B28">
        <w:rPr>
          <w:rtl/>
          <w:lang w:bidi="ar-SY"/>
        </w:rPr>
        <w:t>النظاميين</w:t>
      </w:r>
      <w:r w:rsidR="00F32B28">
        <w:rPr>
          <w:rtl/>
          <w:lang w:bidi="ar-SY"/>
        </w:rPr>
        <w:t xml:space="preserve"> </w:t>
      </w:r>
      <w:r w:rsidR="00F32B28" w:rsidRPr="00F32B28">
        <w:rPr>
          <w:rtl/>
          <w:lang w:bidi="ar-SY"/>
        </w:rPr>
        <w:t>والشرعيين</w:t>
      </w:r>
      <w:r w:rsidR="00F32B28">
        <w:rPr>
          <w:rtl/>
          <w:lang w:bidi="ar-SY"/>
        </w:rPr>
        <w:t xml:space="preserve"> </w:t>
      </w:r>
      <w:r w:rsidR="00F32B28" w:rsidRPr="00F32B28">
        <w:rPr>
          <w:rtl/>
          <w:lang w:bidi="ar-SY"/>
        </w:rPr>
        <w:t>وأعضاء</w:t>
      </w:r>
      <w:r w:rsidR="00F32B28">
        <w:rPr>
          <w:rtl/>
          <w:lang w:bidi="ar-SY"/>
        </w:rPr>
        <w:t xml:space="preserve"> </w:t>
      </w:r>
      <w:r w:rsidR="00F32B28" w:rsidRPr="00F32B28">
        <w:rPr>
          <w:rtl/>
          <w:lang w:bidi="ar-SY"/>
        </w:rPr>
        <w:t>النيابة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ووحدات</w:t>
      </w:r>
      <w:r w:rsidR="00F32B28">
        <w:rPr>
          <w:rtl/>
          <w:lang w:bidi="ar-SY"/>
        </w:rPr>
        <w:t xml:space="preserve"> </w:t>
      </w:r>
      <w:r w:rsidR="00F32B28" w:rsidRPr="00F32B28">
        <w:rPr>
          <w:rtl/>
          <w:lang w:bidi="ar-SY"/>
        </w:rPr>
        <w:t>حماية</w:t>
      </w:r>
      <w:r w:rsidR="00F32B28">
        <w:rPr>
          <w:rtl/>
          <w:lang w:bidi="ar-SY"/>
        </w:rPr>
        <w:t xml:space="preserve"> </w:t>
      </w:r>
      <w:r w:rsidR="00F32B28" w:rsidRPr="00F32B28">
        <w:rPr>
          <w:rtl/>
          <w:lang w:bidi="ar-SY"/>
        </w:rPr>
        <w:t>الأسرة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الشرطة</w:t>
      </w:r>
      <w:r w:rsidR="00F32B28">
        <w:rPr>
          <w:rtl/>
          <w:lang w:bidi="ar-SY"/>
        </w:rPr>
        <w:t xml:space="preserve"> </w:t>
      </w:r>
      <w:r w:rsidR="00F32B28" w:rsidRPr="00F32B28">
        <w:rPr>
          <w:rtl/>
          <w:lang w:bidi="ar-SY"/>
        </w:rPr>
        <w:t>المدنية</w:t>
      </w:r>
      <w:r w:rsidR="008D730A">
        <w:rPr>
          <w:rFonts w:hint="cs"/>
          <w:rtl/>
          <w:lang w:bidi="ar-SY"/>
        </w:rPr>
        <w:t xml:space="preserve"> </w:t>
      </w:r>
      <w:r w:rsidR="00F32B28" w:rsidRPr="00F32B28">
        <w:rPr>
          <w:rtl/>
          <w:lang w:bidi="ar-SY"/>
        </w:rPr>
        <w:t>حول</w:t>
      </w:r>
      <w:r w:rsidR="00F32B28">
        <w:rPr>
          <w:rtl/>
          <w:lang w:bidi="ar-SY"/>
        </w:rPr>
        <w:t xml:space="preserve"> </w:t>
      </w:r>
      <w:r w:rsidR="00F32B28" w:rsidRPr="00F32B28">
        <w:rPr>
          <w:rtl/>
          <w:lang w:bidi="ar-SY"/>
        </w:rPr>
        <w:t>مبادئ</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وحقوق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خاص،</w:t>
      </w:r>
      <w:r w:rsidR="00F32B28">
        <w:rPr>
          <w:rtl/>
          <w:lang w:bidi="ar-SY"/>
        </w:rPr>
        <w:t xml:space="preserve"> </w:t>
      </w:r>
      <w:r w:rsidR="00F32B28" w:rsidRPr="00F32B28">
        <w:rPr>
          <w:rtl/>
          <w:lang w:bidi="ar-SY"/>
        </w:rPr>
        <w:t>ولا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اتفاقية</w:t>
      </w:r>
      <w:r w:rsidR="00F32B28">
        <w:rPr>
          <w:rtl/>
          <w:lang w:bidi="ar-SY"/>
        </w:rPr>
        <w:t xml:space="preserve"> </w:t>
      </w:r>
      <w:r w:rsidR="00F32B28" w:rsidRPr="00F32B28">
        <w:rPr>
          <w:rtl/>
          <w:lang w:bidi="ar-SY"/>
        </w:rPr>
        <w:t>(سيداو)،</w:t>
      </w:r>
      <w:r w:rsidR="00F32B28">
        <w:rPr>
          <w:rtl/>
          <w:lang w:bidi="ar-SY"/>
        </w:rPr>
        <w:t xml:space="preserve"> </w:t>
      </w:r>
      <w:r w:rsidR="00F32B28" w:rsidRPr="00F32B28">
        <w:rPr>
          <w:rtl/>
          <w:lang w:bidi="ar-SY"/>
        </w:rPr>
        <w:t>وآليات</w:t>
      </w:r>
      <w:r w:rsidR="00F32B28">
        <w:rPr>
          <w:rtl/>
          <w:lang w:bidi="ar-SY"/>
        </w:rPr>
        <w:t xml:space="preserve"> </w:t>
      </w:r>
      <w:r w:rsidR="00F32B28" w:rsidRPr="00F32B28">
        <w:rPr>
          <w:rtl/>
          <w:lang w:bidi="ar-SY"/>
        </w:rPr>
        <w:t>التعامل</w:t>
      </w:r>
      <w:r w:rsidR="00F32B28">
        <w:rPr>
          <w:rtl/>
          <w:lang w:bidi="ar-SY"/>
        </w:rPr>
        <w:t xml:space="preserve"> </w:t>
      </w:r>
      <w:r w:rsidR="00F32B28" w:rsidRPr="00F32B28">
        <w:rPr>
          <w:rtl/>
          <w:lang w:bidi="ar-SY"/>
        </w:rPr>
        <w:t>والتدخل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قضايا</w:t>
      </w:r>
      <w:r w:rsidR="00F32B28">
        <w:rPr>
          <w:rtl/>
          <w:lang w:bidi="ar-SY"/>
        </w:rPr>
        <w:t xml:space="preserve"> </w:t>
      </w:r>
      <w:r w:rsidR="00F32B28" w:rsidRPr="00F32B28">
        <w:rPr>
          <w:rtl/>
          <w:lang w:bidi="ar-SY"/>
        </w:rPr>
        <w:t>العنف</w:t>
      </w:r>
      <w:r w:rsidR="00F32B28">
        <w:rPr>
          <w:rtl/>
          <w:lang w:bidi="ar-SY"/>
        </w:rPr>
        <w:t xml:space="preserve"> </w:t>
      </w:r>
      <w:r w:rsidR="00F32B28" w:rsidRPr="00F32B28">
        <w:rPr>
          <w:rtl/>
          <w:lang w:bidi="ar-SY"/>
        </w:rPr>
        <w:t>المبني</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النوع</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ودور</w:t>
      </w:r>
      <w:r w:rsidR="00F32B28">
        <w:rPr>
          <w:rtl/>
          <w:lang w:bidi="ar-SY"/>
        </w:rPr>
        <w:t xml:space="preserve"> </w:t>
      </w:r>
      <w:r w:rsidR="00F32B28" w:rsidRPr="00F32B28">
        <w:rPr>
          <w:rtl/>
          <w:lang w:bidi="ar-SY"/>
        </w:rPr>
        <w:t>الطب</w:t>
      </w:r>
      <w:r w:rsidR="00F32B28">
        <w:rPr>
          <w:rtl/>
          <w:lang w:bidi="ar-SY"/>
        </w:rPr>
        <w:t xml:space="preserve"> </w:t>
      </w:r>
      <w:r w:rsidR="00F32B28" w:rsidRPr="00F32B28">
        <w:rPr>
          <w:rtl/>
          <w:lang w:bidi="ar-SY"/>
        </w:rPr>
        <w:t>العدلي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الكشف</w:t>
      </w:r>
      <w:r w:rsidR="00F32B28">
        <w:rPr>
          <w:rtl/>
          <w:lang w:bidi="ar-SY"/>
        </w:rPr>
        <w:t xml:space="preserve"> </w:t>
      </w:r>
      <w:r w:rsidR="00F32B28" w:rsidRPr="00F32B28">
        <w:rPr>
          <w:rtl/>
          <w:lang w:bidi="ar-SY"/>
        </w:rPr>
        <w:t>عنه.</w:t>
      </w:r>
      <w:r w:rsidR="00F32B28">
        <w:rPr>
          <w:rtl/>
          <w:lang w:bidi="ar-SY"/>
        </w:rPr>
        <w:t xml:space="preserve"> </w:t>
      </w:r>
    </w:p>
    <w:p w:rsidR="00DF0562" w:rsidRPr="00DF0562" w:rsidRDefault="00DF0562" w:rsidP="00DF0562">
      <w:pPr>
        <w:pStyle w:val="SingleTxt"/>
        <w:spacing w:after="0" w:line="120" w:lineRule="exact"/>
        <w:rPr>
          <w:b/>
          <w:bCs/>
          <w:sz w:val="10"/>
          <w:rtl/>
          <w:lang w:bidi="ar-SY"/>
        </w:rPr>
      </w:pPr>
    </w:p>
    <w:p w:rsidR="00F32B28" w:rsidRPr="00F32B28" w:rsidRDefault="00DF0562" w:rsidP="00DF05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SY"/>
        </w:rPr>
      </w:pPr>
      <w:r>
        <w:rPr>
          <w:rFonts w:hint="cs"/>
          <w:rtl/>
          <w:lang w:bidi="ar-SY"/>
        </w:rPr>
        <w:tab/>
      </w:r>
      <w:r>
        <w:rPr>
          <w:rFonts w:hint="cs"/>
          <w:rtl/>
          <w:lang w:bidi="ar-SY"/>
        </w:rPr>
        <w:tab/>
      </w:r>
      <w:r w:rsidR="00F32B28" w:rsidRPr="00F32B28">
        <w:rPr>
          <w:rtl/>
          <w:lang w:bidi="ar-SY"/>
        </w:rPr>
        <w:t>المسؤولية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أفعال</w:t>
      </w:r>
      <w:r w:rsidR="00F32B28">
        <w:rPr>
          <w:rtl/>
          <w:lang w:bidi="ar-SY"/>
        </w:rPr>
        <w:t xml:space="preserve"> </w:t>
      </w:r>
      <w:r w:rsidR="00F32B28" w:rsidRPr="00F32B28">
        <w:rPr>
          <w:rtl/>
          <w:lang w:bidi="ar-SY"/>
        </w:rPr>
        <w:t>السلطات</w:t>
      </w:r>
      <w:r w:rsidR="00F32B28">
        <w:rPr>
          <w:rtl/>
          <w:lang w:bidi="ar-SY"/>
        </w:rPr>
        <w:t xml:space="preserve"> </w:t>
      </w:r>
      <w:r w:rsidR="00F32B28" w:rsidRPr="00F32B28">
        <w:rPr>
          <w:rtl/>
          <w:lang w:bidi="ar-SY"/>
        </w:rPr>
        <w:t>العامة</w:t>
      </w:r>
    </w:p>
    <w:p w:rsidR="00F32B28" w:rsidRPr="00F32B28" w:rsidRDefault="009C6174" w:rsidP="00DF0562">
      <w:pPr>
        <w:pStyle w:val="SingleTxt"/>
        <w:rPr>
          <w:rtl/>
          <w:lang w:bidi="ar-SY"/>
        </w:rPr>
      </w:pPr>
      <w:r>
        <w:rPr>
          <w:rFonts w:hint="cs"/>
          <w:rtl/>
          <w:lang w:bidi="ar-SY"/>
        </w:rPr>
        <w:t>29</w:t>
      </w:r>
      <w:r w:rsidR="00DF0562">
        <w:rPr>
          <w:rFonts w:hint="cs"/>
          <w:rtl/>
          <w:lang w:bidi="ar-SY"/>
        </w:rPr>
        <w:t xml:space="preserve"> -</w:t>
      </w:r>
      <w:r w:rsidR="00DF0562">
        <w:rPr>
          <w:rFonts w:hint="cs"/>
          <w:rtl/>
          <w:lang w:bidi="ar-SY"/>
        </w:rPr>
        <w:tab/>
      </w:r>
      <w:r w:rsidR="00F32B28" w:rsidRPr="00F32B28">
        <w:rPr>
          <w:rtl/>
          <w:lang w:bidi="ar-SY"/>
        </w:rPr>
        <w:t>تستفيد</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المعرض</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الضمانات</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أقرتها</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لحماية</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الأفراد،</w:t>
      </w:r>
      <w:r w:rsidR="00F32B28">
        <w:rPr>
          <w:rtl/>
          <w:lang w:bidi="ar-SY"/>
        </w:rPr>
        <w:t xml:space="preserve"> </w:t>
      </w:r>
      <w:r w:rsidR="00F32B28" w:rsidRPr="00F32B28">
        <w:rPr>
          <w:rtl/>
          <w:lang w:bidi="ar-SY"/>
        </w:rPr>
        <w:t>رجالاً</w:t>
      </w:r>
      <w:r w:rsidR="00F32B28">
        <w:rPr>
          <w:rtl/>
          <w:lang w:bidi="ar-SY"/>
        </w:rPr>
        <w:t xml:space="preserve"> </w:t>
      </w:r>
      <w:r w:rsidR="00F32B28" w:rsidRPr="00F32B28">
        <w:rPr>
          <w:rtl/>
          <w:lang w:bidi="ar-SY"/>
        </w:rPr>
        <w:t>ونساءً،</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قدم</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مواجهة</w:t>
      </w:r>
      <w:r w:rsidR="00F32B28">
        <w:rPr>
          <w:rtl/>
          <w:lang w:bidi="ar-SY"/>
        </w:rPr>
        <w:t xml:space="preserve"> </w:t>
      </w:r>
      <w:r w:rsidR="00F32B28" w:rsidRPr="00F32B28">
        <w:rPr>
          <w:rtl/>
          <w:lang w:bidi="ar-SY"/>
        </w:rPr>
        <w:t>الانتهاكات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قد</w:t>
      </w:r>
      <w:r w:rsidR="00F32B28">
        <w:rPr>
          <w:rtl/>
          <w:lang w:bidi="ar-SY"/>
        </w:rPr>
        <w:t xml:space="preserve"> </w:t>
      </w:r>
      <w:r w:rsidR="00F32B28" w:rsidRPr="00F32B28">
        <w:rPr>
          <w:rtl/>
          <w:lang w:bidi="ar-SY"/>
        </w:rPr>
        <w:t>تقع</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الدولة</w:t>
      </w:r>
      <w:r w:rsidR="00F32B28">
        <w:rPr>
          <w:rtl/>
          <w:lang w:bidi="ar-SY"/>
        </w:rPr>
        <w:t xml:space="preserve"> </w:t>
      </w:r>
      <w:r w:rsidR="00F32B28" w:rsidRPr="00F32B28">
        <w:rPr>
          <w:rtl/>
          <w:lang w:bidi="ar-SY"/>
        </w:rPr>
        <w:t>أو</w:t>
      </w:r>
      <w:r w:rsidR="008C7FF9">
        <w:rPr>
          <w:rFonts w:hint="cs"/>
          <w:rtl/>
          <w:lang w:bidi="ar-SY"/>
        </w:rPr>
        <w:t> </w:t>
      </w:r>
      <w:r w:rsidR="00F32B28" w:rsidRPr="00F32B28">
        <w:rPr>
          <w:rtl/>
          <w:lang w:bidi="ar-SY"/>
        </w:rPr>
        <w:t>أجهزتها.</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تتيح</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للأفراد</w:t>
      </w:r>
      <w:r w:rsidR="00F32B28">
        <w:rPr>
          <w:rtl/>
          <w:lang w:bidi="ar-SY"/>
        </w:rPr>
        <w:t xml:space="preserve"> </w:t>
      </w:r>
      <w:r w:rsidR="00F32B28" w:rsidRPr="00F32B28">
        <w:rPr>
          <w:rtl/>
          <w:lang w:bidi="ar-SY"/>
        </w:rPr>
        <w:t>جميعاً</w:t>
      </w:r>
      <w:r w:rsidR="00F32B28">
        <w:rPr>
          <w:rtl/>
          <w:lang w:bidi="ar-SY"/>
        </w:rPr>
        <w:t xml:space="preserve"> </w:t>
      </w:r>
      <w:r w:rsidR="00F32B28" w:rsidRPr="00F32B28">
        <w:rPr>
          <w:rtl/>
          <w:lang w:bidi="ar-SY"/>
        </w:rPr>
        <w:t>إمكانية</w:t>
      </w:r>
      <w:r w:rsidR="00F32B28">
        <w:rPr>
          <w:rtl/>
          <w:lang w:bidi="ar-SY"/>
        </w:rPr>
        <w:t xml:space="preserve"> </w:t>
      </w:r>
      <w:r w:rsidR="00F32B28" w:rsidRPr="00F32B28">
        <w:rPr>
          <w:rtl/>
          <w:lang w:bidi="ar-SY"/>
        </w:rPr>
        <w:t>مخاصمة</w:t>
      </w:r>
      <w:r w:rsidR="00F32B28">
        <w:rPr>
          <w:rtl/>
          <w:lang w:bidi="ar-SY"/>
        </w:rPr>
        <w:t xml:space="preserve"> </w:t>
      </w:r>
      <w:r w:rsidR="00F32B28" w:rsidRPr="00F32B28">
        <w:rPr>
          <w:rtl/>
          <w:lang w:bidi="ar-SY"/>
        </w:rPr>
        <w:t>القضاة</w:t>
      </w:r>
      <w:r w:rsidR="00F32B28">
        <w:rPr>
          <w:rtl/>
          <w:lang w:bidi="ar-SY"/>
        </w:rPr>
        <w:t xml:space="preserve"> </w:t>
      </w:r>
      <w:r w:rsidR="00F32B28" w:rsidRPr="00F32B28">
        <w:rPr>
          <w:rtl/>
          <w:lang w:bidi="ar-SY"/>
        </w:rPr>
        <w:t>وأعضاء</w:t>
      </w:r>
      <w:r w:rsidR="00F32B28">
        <w:rPr>
          <w:rtl/>
          <w:lang w:bidi="ar-SY"/>
        </w:rPr>
        <w:t xml:space="preserve"> </w:t>
      </w:r>
      <w:r w:rsidR="00F32B28" w:rsidRPr="00F32B28">
        <w:rPr>
          <w:rtl/>
          <w:lang w:bidi="ar-SY"/>
        </w:rPr>
        <w:t>النيابة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وقع</w:t>
      </w:r>
      <w:r w:rsidR="00F32B28">
        <w:rPr>
          <w:rtl/>
          <w:lang w:bidi="ar-SY"/>
        </w:rPr>
        <w:t xml:space="preserve"> </w:t>
      </w:r>
      <w:r w:rsidR="00F32B28" w:rsidRPr="00F32B28">
        <w:rPr>
          <w:rtl/>
          <w:lang w:bidi="ar-SY"/>
        </w:rPr>
        <w:t>منهم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عملهم</w:t>
      </w:r>
      <w:r w:rsidR="00F32B28">
        <w:rPr>
          <w:rtl/>
          <w:lang w:bidi="ar-SY"/>
        </w:rPr>
        <w:t xml:space="preserve"> </w:t>
      </w:r>
      <w:r w:rsidR="00F32B28" w:rsidRPr="00F32B28">
        <w:rPr>
          <w:rtl/>
          <w:lang w:bidi="ar-SY"/>
        </w:rPr>
        <w:t>غش</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تدليس</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خطأ</w:t>
      </w:r>
      <w:r w:rsidR="00F32B28">
        <w:rPr>
          <w:rtl/>
          <w:lang w:bidi="ar-SY"/>
        </w:rPr>
        <w:t xml:space="preserve"> </w:t>
      </w:r>
      <w:r w:rsidR="00F32B28" w:rsidRPr="00F32B28">
        <w:rPr>
          <w:rtl/>
          <w:lang w:bidi="ar-SY"/>
        </w:rPr>
        <w:t>مهني</w:t>
      </w:r>
      <w:r w:rsidR="00F32B28">
        <w:rPr>
          <w:rtl/>
          <w:lang w:bidi="ar-SY"/>
        </w:rPr>
        <w:t xml:space="preserve"> </w:t>
      </w:r>
      <w:r w:rsidR="00F32B28" w:rsidRPr="00F32B28">
        <w:rPr>
          <w:rtl/>
          <w:lang w:bidi="ar-SY"/>
        </w:rPr>
        <w:t>جسيم</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يمكن</w:t>
      </w:r>
      <w:r w:rsidR="00F32B28">
        <w:rPr>
          <w:rtl/>
          <w:lang w:bidi="ar-SY"/>
        </w:rPr>
        <w:t xml:space="preserve"> </w:t>
      </w:r>
      <w:r w:rsidR="00F32B28" w:rsidRPr="00F32B28">
        <w:rPr>
          <w:rtl/>
          <w:lang w:bidi="ar-SY"/>
        </w:rPr>
        <w:t>تداركه،</w:t>
      </w:r>
      <w:r w:rsidR="00F32B28">
        <w:rPr>
          <w:rtl/>
          <w:lang w:bidi="ar-SY"/>
        </w:rPr>
        <w:t xml:space="preserve"> </w:t>
      </w:r>
      <w:r w:rsidR="00F32B28" w:rsidRPr="00F32B28">
        <w:rPr>
          <w:rtl/>
          <w:lang w:bidi="ar-SY"/>
        </w:rPr>
        <w:t>وغيرها</w:t>
      </w:r>
      <w:r w:rsidR="00F32B28">
        <w:rPr>
          <w:rtl/>
          <w:lang w:bidi="ar-SY"/>
        </w:rPr>
        <w:t xml:space="preserve"> </w:t>
      </w:r>
      <w:r w:rsidR="00F32B28" w:rsidRPr="00F32B28">
        <w:rPr>
          <w:rtl/>
          <w:lang w:bidi="ar-SY"/>
        </w:rPr>
        <w:t>من</w:t>
      </w:r>
      <w:r w:rsidR="008D730A">
        <w:rPr>
          <w:rFonts w:hint="cs"/>
          <w:rtl/>
          <w:lang w:bidi="ar-SY"/>
        </w:rPr>
        <w:t xml:space="preserve"> </w:t>
      </w:r>
      <w:r w:rsidR="00F32B28" w:rsidRPr="00F32B28">
        <w:rPr>
          <w:rtl/>
          <w:lang w:bidi="ar-SY"/>
        </w:rPr>
        <w:t>الحالات</w:t>
      </w:r>
      <w:r w:rsidR="00F32B28">
        <w:rPr>
          <w:rtl/>
          <w:lang w:bidi="ar-SY"/>
        </w:rPr>
        <w:t xml:space="preserve"> </w:t>
      </w:r>
      <w:r w:rsidR="00F32B28" w:rsidRPr="00F32B28">
        <w:rPr>
          <w:rtl/>
          <w:lang w:bidi="ar-SY"/>
        </w:rPr>
        <w:t>والحكم</w:t>
      </w:r>
      <w:r w:rsidR="00F32B28">
        <w:rPr>
          <w:rtl/>
          <w:lang w:bidi="ar-SY"/>
        </w:rPr>
        <w:t xml:space="preserve"> </w:t>
      </w:r>
      <w:r w:rsidR="00F32B28" w:rsidRPr="00F32B28">
        <w:rPr>
          <w:rtl/>
          <w:lang w:bidi="ar-SY"/>
        </w:rPr>
        <w:t>عليهم</w:t>
      </w:r>
      <w:r w:rsidR="00F32B28">
        <w:rPr>
          <w:rtl/>
          <w:lang w:bidi="ar-SY"/>
        </w:rPr>
        <w:t xml:space="preserve"> </w:t>
      </w:r>
      <w:r w:rsidR="00F32B28" w:rsidRPr="00F32B28">
        <w:rPr>
          <w:rtl/>
          <w:lang w:bidi="ar-SY"/>
        </w:rPr>
        <w:t>بالتعويضات.</w:t>
      </w:r>
    </w:p>
    <w:p w:rsidR="00F32B28" w:rsidRPr="00F32B28" w:rsidRDefault="00DF0562" w:rsidP="009C6174">
      <w:pPr>
        <w:pStyle w:val="SingleTxt"/>
        <w:rPr>
          <w:rtl/>
          <w:lang w:bidi="ar-SY"/>
        </w:rPr>
      </w:pPr>
      <w:r>
        <w:rPr>
          <w:rFonts w:hint="cs"/>
          <w:rtl/>
          <w:lang w:bidi="ar-SY"/>
        </w:rPr>
        <w:t>3</w:t>
      </w:r>
      <w:r w:rsidR="009C6174">
        <w:rPr>
          <w:rFonts w:hint="cs"/>
          <w:rtl/>
          <w:lang w:bidi="ar-SY"/>
        </w:rPr>
        <w:t>0</w:t>
      </w:r>
      <w:r>
        <w:rPr>
          <w:rFonts w:hint="cs"/>
          <w:rtl/>
          <w:lang w:bidi="ar-SY"/>
        </w:rPr>
        <w:t xml:space="preserve"> -</w:t>
      </w:r>
      <w:r>
        <w:rPr>
          <w:rFonts w:hint="cs"/>
          <w:rtl/>
          <w:lang w:bidi="ar-SY"/>
        </w:rPr>
        <w:tab/>
      </w:r>
      <w:r w:rsidR="00F32B28" w:rsidRPr="00F32B28">
        <w:rPr>
          <w:rtl/>
          <w:lang w:bidi="ar-SY"/>
        </w:rPr>
        <w:t>يضاف</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الحماية</w:t>
      </w:r>
      <w:r w:rsidR="00F32B28">
        <w:rPr>
          <w:rtl/>
          <w:lang w:bidi="ar-SY"/>
        </w:rPr>
        <w:t xml:space="preserve"> </w:t>
      </w:r>
      <w:r w:rsidR="00F32B28" w:rsidRPr="00F32B28">
        <w:rPr>
          <w:rtl/>
          <w:lang w:bidi="ar-SY"/>
        </w:rPr>
        <w:t>المقررة</w:t>
      </w:r>
      <w:r w:rsidR="00F32B28">
        <w:rPr>
          <w:rtl/>
          <w:lang w:bidi="ar-SY"/>
        </w:rPr>
        <w:t xml:space="preserve"> </w:t>
      </w:r>
      <w:r w:rsidR="00F32B28" w:rsidRPr="00F32B28">
        <w:rPr>
          <w:rtl/>
          <w:lang w:bidi="ar-SY"/>
        </w:rPr>
        <w:t>للأفراد،</w:t>
      </w:r>
      <w:r w:rsidR="00F32B28">
        <w:rPr>
          <w:rtl/>
          <w:lang w:bidi="ar-SY"/>
        </w:rPr>
        <w:t xml:space="preserve"> </w:t>
      </w:r>
      <w:r w:rsidR="00F32B28" w:rsidRPr="00F32B28">
        <w:rPr>
          <w:rtl/>
          <w:lang w:bidi="ar-SY"/>
        </w:rPr>
        <w:t>نساءً</w:t>
      </w:r>
      <w:r w:rsidR="00F32B28">
        <w:rPr>
          <w:rtl/>
          <w:lang w:bidi="ar-SY"/>
        </w:rPr>
        <w:t xml:space="preserve"> </w:t>
      </w:r>
      <w:r w:rsidR="00F32B28" w:rsidRPr="00F32B28">
        <w:rPr>
          <w:rtl/>
          <w:lang w:bidi="ar-SY"/>
        </w:rPr>
        <w:t>ورجالاً،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أية</w:t>
      </w:r>
      <w:r w:rsidR="00F32B28">
        <w:rPr>
          <w:rtl/>
          <w:lang w:bidi="ar-SY"/>
        </w:rPr>
        <w:t xml:space="preserve"> </w:t>
      </w:r>
      <w:r w:rsidR="00F32B28" w:rsidRPr="00F32B28">
        <w:rPr>
          <w:rtl/>
          <w:lang w:bidi="ar-SY"/>
        </w:rPr>
        <w:t>انتهاكات</w:t>
      </w:r>
      <w:r w:rsidR="00F32B28">
        <w:rPr>
          <w:rtl/>
          <w:lang w:bidi="ar-SY"/>
        </w:rPr>
        <w:t xml:space="preserve"> </w:t>
      </w:r>
      <w:r w:rsidR="00F32B28" w:rsidRPr="00F32B28">
        <w:rPr>
          <w:rtl/>
          <w:lang w:bidi="ar-SY"/>
        </w:rPr>
        <w:t>تترتب</w:t>
      </w:r>
      <w:r w:rsidR="00F32B28">
        <w:rPr>
          <w:rtl/>
          <w:lang w:bidi="ar-SY"/>
        </w:rPr>
        <w:t xml:space="preserve"> </w:t>
      </w:r>
      <w:r w:rsidR="00F32B28" w:rsidRPr="00F32B28">
        <w:rPr>
          <w:rtl/>
          <w:lang w:bidi="ar-SY"/>
        </w:rPr>
        <w:t>نتيجة</w:t>
      </w:r>
      <w:r w:rsidR="00F32B28">
        <w:rPr>
          <w:rtl/>
          <w:lang w:bidi="ar-SY"/>
        </w:rPr>
        <w:t xml:space="preserve"> </w:t>
      </w:r>
      <w:r w:rsidR="00F32B28" w:rsidRPr="00F32B28">
        <w:rPr>
          <w:rtl/>
          <w:lang w:bidi="ar-SY"/>
        </w:rPr>
        <w:t>سوء</w:t>
      </w:r>
      <w:r w:rsidR="00F32B28">
        <w:rPr>
          <w:rtl/>
          <w:lang w:bidi="ar-SY"/>
        </w:rPr>
        <w:t xml:space="preserve"> </w:t>
      </w:r>
      <w:r w:rsidR="00F32B28" w:rsidRPr="00F32B28">
        <w:rPr>
          <w:rtl/>
          <w:lang w:bidi="ar-SY"/>
        </w:rPr>
        <w:t>استعمال</w:t>
      </w:r>
      <w:r w:rsidR="00F32B28">
        <w:rPr>
          <w:rtl/>
          <w:lang w:bidi="ar-SY"/>
        </w:rPr>
        <w:t xml:space="preserve"> </w:t>
      </w:r>
      <w:r w:rsidR="00F32B28" w:rsidRPr="00F32B28">
        <w:rPr>
          <w:rtl/>
          <w:lang w:bidi="ar-SY"/>
        </w:rPr>
        <w:t>الموظفين</w:t>
      </w:r>
      <w:r w:rsidR="00F32B28">
        <w:rPr>
          <w:rtl/>
          <w:lang w:bidi="ar-SY"/>
        </w:rPr>
        <w:t xml:space="preserve"> </w:t>
      </w:r>
      <w:r w:rsidR="00F32B28" w:rsidRPr="00F32B28">
        <w:rPr>
          <w:rtl/>
          <w:lang w:bidi="ar-SY"/>
        </w:rPr>
        <w:t>العامين</w:t>
      </w:r>
      <w:r w:rsidR="00F32B28">
        <w:rPr>
          <w:rtl/>
          <w:lang w:bidi="ar-SY"/>
        </w:rPr>
        <w:t xml:space="preserve"> </w:t>
      </w:r>
      <w:r w:rsidR="00F32B28" w:rsidRPr="00F32B28">
        <w:rPr>
          <w:rtl/>
          <w:lang w:bidi="ar-SY"/>
        </w:rPr>
        <w:t>لسلطاتهم،</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العاملين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المهن</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وتكتمهم</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الجرائم</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تقع</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الأفراد.</w:t>
      </w:r>
      <w:r w:rsidR="00F32B28">
        <w:rPr>
          <w:rtl/>
          <w:lang w:bidi="ar-SY"/>
        </w:rPr>
        <w:t xml:space="preserve"> </w:t>
      </w:r>
      <w:r w:rsidR="00F32B28" w:rsidRPr="00F32B28">
        <w:rPr>
          <w:rtl/>
          <w:lang w:bidi="ar-SY"/>
        </w:rPr>
        <w:t>ويعتبر</w:t>
      </w:r>
      <w:r w:rsidR="00F32B28">
        <w:rPr>
          <w:rtl/>
          <w:lang w:bidi="ar-SY"/>
        </w:rPr>
        <w:t xml:space="preserve"> </w:t>
      </w:r>
      <w:r w:rsidR="00F32B28" w:rsidRPr="00F32B28">
        <w:rPr>
          <w:rtl/>
          <w:lang w:bidi="ar-SY"/>
        </w:rPr>
        <w:t>الموظف</w:t>
      </w:r>
      <w:r w:rsidR="00F32B28">
        <w:rPr>
          <w:rtl/>
          <w:lang w:bidi="ar-SY"/>
        </w:rPr>
        <w:t xml:space="preserve"> </w:t>
      </w:r>
      <w:r w:rsidR="00F32B28" w:rsidRPr="00F32B28">
        <w:rPr>
          <w:rtl/>
          <w:lang w:bidi="ar-SY"/>
        </w:rPr>
        <w:t>العام</w:t>
      </w:r>
      <w:r w:rsidR="00F32B28">
        <w:rPr>
          <w:rtl/>
          <w:lang w:bidi="ar-SY"/>
        </w:rPr>
        <w:t xml:space="preserve"> </w:t>
      </w:r>
      <w:r w:rsidR="00F32B28" w:rsidRPr="00F32B28">
        <w:rPr>
          <w:rtl/>
          <w:lang w:bidi="ar-SY"/>
        </w:rPr>
        <w:t>كل</w:t>
      </w:r>
      <w:r w:rsidR="00F32B28">
        <w:rPr>
          <w:rtl/>
          <w:lang w:bidi="ar-SY"/>
        </w:rPr>
        <w:t xml:space="preserve"> </w:t>
      </w:r>
      <w:r w:rsidR="00F32B28" w:rsidRPr="00F32B28">
        <w:rPr>
          <w:rtl/>
          <w:lang w:bidi="ar-SY"/>
        </w:rPr>
        <w:t>موظف</w:t>
      </w:r>
      <w:r w:rsidR="00F32B28">
        <w:rPr>
          <w:rtl/>
          <w:lang w:bidi="ar-SY"/>
        </w:rPr>
        <w:t xml:space="preserve"> </w:t>
      </w:r>
      <w:r w:rsidR="00F32B28" w:rsidRPr="00F32B28">
        <w:rPr>
          <w:rtl/>
          <w:lang w:bidi="ar-SY"/>
        </w:rPr>
        <w:t>عمومي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السلك</w:t>
      </w:r>
      <w:r w:rsidR="00F32B28">
        <w:rPr>
          <w:rtl/>
          <w:lang w:bidi="ar-SY"/>
        </w:rPr>
        <w:t xml:space="preserve"> </w:t>
      </w:r>
      <w:r w:rsidR="00F32B28" w:rsidRPr="00F32B28">
        <w:rPr>
          <w:rtl/>
          <w:lang w:bidi="ar-SY"/>
        </w:rPr>
        <w:t>الإداري</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القضائي،</w:t>
      </w:r>
      <w:r w:rsidR="00F32B28">
        <w:rPr>
          <w:rtl/>
          <w:lang w:bidi="ar-SY"/>
        </w:rPr>
        <w:t xml:space="preserve"> </w:t>
      </w:r>
      <w:r w:rsidR="00F32B28" w:rsidRPr="00F32B28">
        <w:rPr>
          <w:rtl/>
          <w:lang w:bidi="ar-SY"/>
        </w:rPr>
        <w:t>وكل</w:t>
      </w:r>
      <w:r w:rsidR="00F32B28">
        <w:rPr>
          <w:rtl/>
          <w:lang w:bidi="ar-SY"/>
        </w:rPr>
        <w:t xml:space="preserve"> </w:t>
      </w:r>
      <w:r w:rsidR="00F32B28" w:rsidRPr="00F32B28">
        <w:rPr>
          <w:rtl/>
          <w:lang w:bidi="ar-SY"/>
        </w:rPr>
        <w:t>فرد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أفراد</w:t>
      </w:r>
      <w:r w:rsidR="00F32B28">
        <w:rPr>
          <w:rtl/>
          <w:lang w:bidi="ar-SY"/>
        </w:rPr>
        <w:t xml:space="preserve"> </w:t>
      </w:r>
      <w:r w:rsidR="00F32B28" w:rsidRPr="00F32B28">
        <w:rPr>
          <w:rtl/>
          <w:lang w:bidi="ar-SY"/>
        </w:rPr>
        <w:t>السلطة</w:t>
      </w:r>
      <w:r w:rsidR="00F32B28">
        <w:rPr>
          <w:rtl/>
          <w:lang w:bidi="ar-SY"/>
        </w:rPr>
        <w:t xml:space="preserve"> </w:t>
      </w:r>
      <w:r w:rsidR="00F32B28" w:rsidRPr="00F32B28">
        <w:rPr>
          <w:rtl/>
          <w:lang w:bidi="ar-SY"/>
        </w:rPr>
        <w:t>المدنية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العسكرية،</w:t>
      </w:r>
      <w:r w:rsidR="00F32B28">
        <w:rPr>
          <w:rtl/>
          <w:lang w:bidi="ar-SY"/>
        </w:rPr>
        <w:t xml:space="preserve"> </w:t>
      </w:r>
      <w:r w:rsidR="00F32B28" w:rsidRPr="00F32B28">
        <w:rPr>
          <w:rtl/>
          <w:lang w:bidi="ar-SY"/>
        </w:rPr>
        <w:t>وكل</w:t>
      </w:r>
      <w:r w:rsidR="00F32B28">
        <w:rPr>
          <w:rtl/>
          <w:lang w:bidi="ar-SY"/>
        </w:rPr>
        <w:t xml:space="preserve"> </w:t>
      </w:r>
      <w:r w:rsidR="00F32B28" w:rsidRPr="00F32B28">
        <w:rPr>
          <w:rtl/>
          <w:lang w:bidi="ar-SY"/>
        </w:rPr>
        <w:t>عامل</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مستخدم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الدولة.</w:t>
      </w:r>
    </w:p>
    <w:p w:rsidR="00F32B28" w:rsidRPr="00F32B28" w:rsidRDefault="00DF0562" w:rsidP="009C6174">
      <w:pPr>
        <w:pStyle w:val="SingleTxt"/>
        <w:spacing w:line="340" w:lineRule="exact"/>
        <w:ind w:left="1267" w:right="1267"/>
        <w:rPr>
          <w:rtl/>
          <w:lang w:bidi="ar-SY"/>
        </w:rPr>
      </w:pPr>
      <w:r>
        <w:rPr>
          <w:rFonts w:hint="cs"/>
          <w:rtl/>
          <w:lang w:bidi="ar-SY"/>
        </w:rPr>
        <w:t>3</w:t>
      </w:r>
      <w:r w:rsidR="009C6174">
        <w:rPr>
          <w:rFonts w:hint="cs"/>
          <w:rtl/>
          <w:lang w:bidi="ar-SY"/>
        </w:rPr>
        <w:t>1</w:t>
      </w:r>
      <w:r>
        <w:rPr>
          <w:rFonts w:hint="cs"/>
          <w:rtl/>
          <w:lang w:bidi="ar-SY"/>
        </w:rPr>
        <w:t xml:space="preserve"> -</w:t>
      </w:r>
      <w:r>
        <w:rPr>
          <w:rFonts w:hint="cs"/>
          <w:rtl/>
          <w:lang w:bidi="ar-SY"/>
        </w:rPr>
        <w:tab/>
      </w:r>
      <w:r w:rsidR="00F32B28" w:rsidRPr="00F32B28">
        <w:rPr>
          <w:rtl/>
          <w:lang w:bidi="ar-SY"/>
        </w:rPr>
        <w:t>وللمساكن</w:t>
      </w:r>
      <w:r w:rsidR="00F32B28">
        <w:rPr>
          <w:rtl/>
          <w:lang w:bidi="ar-SY"/>
        </w:rPr>
        <w:t xml:space="preserve"> </w:t>
      </w:r>
      <w:r w:rsidR="00F32B28" w:rsidRPr="00F32B28">
        <w:rPr>
          <w:rtl/>
          <w:lang w:bidi="ar-SY"/>
        </w:rPr>
        <w:t>حرمتها،</w:t>
      </w:r>
      <w:r w:rsidR="00F32B28">
        <w:rPr>
          <w:rtl/>
          <w:lang w:bidi="ar-SY"/>
        </w:rPr>
        <w:t xml:space="preserve"> </w:t>
      </w:r>
      <w:r w:rsidR="00F32B28" w:rsidRPr="00F32B28">
        <w:rPr>
          <w:rtl/>
          <w:lang w:bidi="ar-SY"/>
        </w:rPr>
        <w:t>بحسب</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المعدل،</w:t>
      </w:r>
      <w:r w:rsidR="00F32B28">
        <w:rPr>
          <w:rtl/>
          <w:lang w:bidi="ar-SY"/>
        </w:rPr>
        <w:t xml:space="preserve"> </w:t>
      </w:r>
      <w:r w:rsidR="00F32B28" w:rsidRPr="00F32B28">
        <w:rPr>
          <w:rtl/>
          <w:lang w:bidi="ar-SY"/>
        </w:rPr>
        <w:t>ويحظر</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شخص،</w:t>
      </w:r>
      <w:r w:rsidR="00F32B28">
        <w:rPr>
          <w:rtl/>
          <w:lang w:bidi="ar-SY"/>
        </w:rPr>
        <w:t xml:space="preserve"> </w:t>
      </w:r>
      <w:r w:rsidR="00F32B28" w:rsidRPr="00F32B28">
        <w:rPr>
          <w:rtl/>
          <w:lang w:bidi="ar-SY"/>
        </w:rPr>
        <w:t>ولو</w:t>
      </w:r>
      <w:r w:rsidR="00F32B28">
        <w:rPr>
          <w:rtl/>
          <w:lang w:bidi="ar-SY"/>
        </w:rPr>
        <w:t xml:space="preserve"> </w:t>
      </w:r>
      <w:r w:rsidR="00F32B28" w:rsidRPr="00F32B28">
        <w:rPr>
          <w:rtl/>
          <w:lang w:bidi="ar-SY"/>
        </w:rPr>
        <w:t>كان</w:t>
      </w:r>
      <w:r w:rsidR="00F32B28">
        <w:rPr>
          <w:rtl/>
          <w:lang w:bidi="ar-SY"/>
        </w:rPr>
        <w:t xml:space="preserve"> </w:t>
      </w:r>
      <w:r w:rsidR="00F32B28" w:rsidRPr="00F32B28">
        <w:rPr>
          <w:rtl/>
          <w:lang w:bidi="ar-SY"/>
        </w:rPr>
        <w:t>موظفاً</w:t>
      </w:r>
      <w:r w:rsidR="00F32B28">
        <w:rPr>
          <w:rtl/>
          <w:lang w:bidi="ar-SY"/>
        </w:rPr>
        <w:t xml:space="preserve"> </w:t>
      </w:r>
      <w:r w:rsidR="00F32B28" w:rsidRPr="00F32B28">
        <w:rPr>
          <w:rtl/>
          <w:lang w:bidi="ar-SY"/>
        </w:rPr>
        <w:t>عاماً،</w:t>
      </w:r>
      <w:r w:rsidR="00F32B28">
        <w:rPr>
          <w:rtl/>
          <w:lang w:bidi="ar-SY"/>
        </w:rPr>
        <w:t xml:space="preserve"> </w:t>
      </w:r>
      <w:r w:rsidR="00F32B28" w:rsidRPr="00F32B28">
        <w:rPr>
          <w:rtl/>
          <w:lang w:bidi="ar-SY"/>
        </w:rPr>
        <w:t>مراقبتها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دخولها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تفتيشها</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بأمر</w:t>
      </w:r>
      <w:r w:rsidR="00F32B28">
        <w:rPr>
          <w:rtl/>
          <w:lang w:bidi="ar-SY"/>
        </w:rPr>
        <w:t xml:space="preserve"> </w:t>
      </w:r>
      <w:r w:rsidR="00F32B28" w:rsidRPr="00F32B28">
        <w:rPr>
          <w:rtl/>
          <w:lang w:bidi="ar-SY"/>
        </w:rPr>
        <w:t>قضائي</w:t>
      </w:r>
      <w:r w:rsidR="00F32B28">
        <w:rPr>
          <w:rtl/>
          <w:lang w:bidi="ar-SY"/>
        </w:rPr>
        <w:t xml:space="preserve"> </w:t>
      </w:r>
      <w:r w:rsidR="00F32B28" w:rsidRPr="00F32B28">
        <w:rPr>
          <w:rtl/>
          <w:lang w:bidi="ar-SY"/>
        </w:rPr>
        <w:t>مسبباً</w:t>
      </w:r>
      <w:r w:rsidR="00F32B28">
        <w:rPr>
          <w:rtl/>
          <w:lang w:bidi="ar-SY"/>
        </w:rPr>
        <w:t xml:space="preserve"> </w:t>
      </w:r>
      <w:r w:rsidR="00F32B28" w:rsidRPr="00F32B28">
        <w:rPr>
          <w:rtl/>
          <w:lang w:bidi="ar-SY"/>
        </w:rPr>
        <w:t>ووفقاً</w:t>
      </w:r>
      <w:r w:rsidR="00F32B28">
        <w:rPr>
          <w:rtl/>
          <w:lang w:bidi="ar-SY"/>
        </w:rPr>
        <w:t xml:space="preserve"> </w:t>
      </w:r>
      <w:r w:rsidR="00F32B28" w:rsidRPr="00F32B28">
        <w:rPr>
          <w:rtl/>
          <w:lang w:bidi="ar-SY"/>
        </w:rPr>
        <w:t>لأحكام</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ويقع</w:t>
      </w:r>
      <w:r w:rsidR="00F32B28">
        <w:rPr>
          <w:rtl/>
          <w:lang w:bidi="ar-SY"/>
        </w:rPr>
        <w:t xml:space="preserve"> </w:t>
      </w:r>
      <w:r w:rsidR="00F32B28" w:rsidRPr="00F32B28">
        <w:rPr>
          <w:rtl/>
          <w:lang w:bidi="ar-SY"/>
        </w:rPr>
        <w:t>باطلاً</w:t>
      </w:r>
      <w:r w:rsidR="00F32B28">
        <w:rPr>
          <w:rtl/>
          <w:lang w:bidi="ar-SY"/>
        </w:rPr>
        <w:t xml:space="preserve"> </w:t>
      </w:r>
      <w:r w:rsidR="00F32B28" w:rsidRPr="00F32B28">
        <w:rPr>
          <w:rtl/>
          <w:lang w:bidi="ar-SY"/>
        </w:rPr>
        <w:t>كل</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يترتب</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مخالفة</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ولمن</w:t>
      </w:r>
      <w:r w:rsidR="00F32B28">
        <w:rPr>
          <w:rtl/>
          <w:lang w:bidi="ar-SY"/>
        </w:rPr>
        <w:t xml:space="preserve"> </w:t>
      </w:r>
      <w:r w:rsidR="00F32B28" w:rsidRPr="00F32B28">
        <w:rPr>
          <w:rtl/>
          <w:lang w:bidi="ar-SY"/>
        </w:rPr>
        <w:t>تضرر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جراء</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الحق</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تعويض</w:t>
      </w:r>
      <w:r w:rsidR="00F32B28">
        <w:rPr>
          <w:rtl/>
          <w:lang w:bidi="ar-SY"/>
        </w:rPr>
        <w:t xml:space="preserve"> </w:t>
      </w:r>
      <w:r w:rsidR="00F32B28" w:rsidRPr="00F32B28">
        <w:rPr>
          <w:rtl/>
          <w:lang w:bidi="ar-SY"/>
        </w:rPr>
        <w:t>عادل</w:t>
      </w:r>
      <w:r w:rsidR="00F32B28">
        <w:rPr>
          <w:rtl/>
          <w:lang w:bidi="ar-SY"/>
        </w:rPr>
        <w:t xml:space="preserve"> </w:t>
      </w:r>
      <w:r w:rsidR="00F32B28" w:rsidRPr="00F32B28">
        <w:rPr>
          <w:rtl/>
          <w:lang w:bidi="ar-SY"/>
        </w:rPr>
        <w:t>تضمنه</w:t>
      </w:r>
      <w:r w:rsidR="00F32B28">
        <w:rPr>
          <w:rtl/>
          <w:lang w:bidi="ar-SY"/>
        </w:rPr>
        <w:t xml:space="preserve"> </w:t>
      </w:r>
      <w:r w:rsidR="00F32B28" w:rsidRPr="00F32B28">
        <w:rPr>
          <w:rtl/>
          <w:lang w:bidi="ar-SY"/>
        </w:rPr>
        <w:t>السلطات</w:t>
      </w:r>
      <w:r w:rsidR="00F32B28">
        <w:rPr>
          <w:rtl/>
          <w:lang w:bidi="ar-SY"/>
        </w:rPr>
        <w:t xml:space="preserve"> </w:t>
      </w:r>
      <w:r w:rsidR="00F32B28" w:rsidRPr="00F32B28">
        <w:rPr>
          <w:rtl/>
          <w:lang w:bidi="ar-SY"/>
        </w:rPr>
        <w:t>العامة،</w:t>
      </w:r>
      <w:r>
        <w:rPr>
          <w:rFonts w:hint="cs"/>
          <w:rtl/>
          <w:lang w:bidi="ar-SY"/>
        </w:rPr>
        <w:t xml:space="preserve"> </w:t>
      </w:r>
      <w:r w:rsidR="00F32B28" w:rsidRPr="00F32B28">
        <w:rPr>
          <w:rtl/>
          <w:lang w:bidi="ar-SY"/>
        </w:rPr>
        <w:t>ما</w:t>
      </w:r>
      <w:r w:rsidR="00F32B28">
        <w:rPr>
          <w:rtl/>
          <w:lang w:bidi="ar-SY"/>
        </w:rPr>
        <w:t xml:space="preserve"> </w:t>
      </w:r>
      <w:r w:rsidR="00F32B28" w:rsidRPr="00F32B28">
        <w:rPr>
          <w:rtl/>
          <w:lang w:bidi="ar-SY"/>
        </w:rPr>
        <w:t>يشكل</w:t>
      </w:r>
      <w:r w:rsidR="00F32B28">
        <w:rPr>
          <w:rtl/>
          <w:lang w:bidi="ar-SY"/>
        </w:rPr>
        <w:t xml:space="preserve"> </w:t>
      </w:r>
      <w:r w:rsidR="00F32B28" w:rsidRPr="00F32B28">
        <w:rPr>
          <w:rtl/>
          <w:lang w:bidi="ar-SY"/>
        </w:rPr>
        <w:t>ضمانة</w:t>
      </w:r>
      <w:r w:rsidR="00F32B28">
        <w:rPr>
          <w:rtl/>
          <w:lang w:bidi="ar-SY"/>
        </w:rPr>
        <w:t xml:space="preserve"> </w:t>
      </w:r>
      <w:r w:rsidR="00F32B28" w:rsidRPr="00F32B28">
        <w:rPr>
          <w:rtl/>
          <w:lang w:bidi="ar-SY"/>
        </w:rPr>
        <w:t>للنساء</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التعرض</w:t>
      </w:r>
      <w:r w:rsidR="00F32B28">
        <w:rPr>
          <w:rtl/>
          <w:lang w:bidi="ar-SY"/>
        </w:rPr>
        <w:t xml:space="preserve"> </w:t>
      </w:r>
      <w:r w:rsidR="00F32B28" w:rsidRPr="00F32B28">
        <w:rPr>
          <w:rtl/>
          <w:lang w:bidi="ar-SY"/>
        </w:rPr>
        <w:t>للانكشاف</w:t>
      </w:r>
      <w:r w:rsidR="00F32B28">
        <w:rPr>
          <w:rtl/>
          <w:lang w:bidi="ar-SY"/>
        </w:rPr>
        <w:t xml:space="preserve"> </w:t>
      </w:r>
      <w:r w:rsidR="00F32B28" w:rsidRPr="00F32B28">
        <w:rPr>
          <w:rtl/>
          <w:lang w:bidi="ar-SY"/>
        </w:rPr>
        <w:t>وانتهاك</w:t>
      </w:r>
      <w:r w:rsidR="00F32B28">
        <w:rPr>
          <w:rtl/>
          <w:lang w:bidi="ar-SY"/>
        </w:rPr>
        <w:t xml:space="preserve"> </w:t>
      </w:r>
      <w:r w:rsidR="00F32B28" w:rsidRPr="00F32B28">
        <w:rPr>
          <w:rtl/>
          <w:lang w:bidi="ar-SY"/>
        </w:rPr>
        <w:t>الخصوصية.</w:t>
      </w:r>
      <w:r w:rsidR="00F32B28">
        <w:rPr>
          <w:rtl/>
          <w:lang w:bidi="ar-SY"/>
        </w:rPr>
        <w:t xml:space="preserve"> </w:t>
      </w:r>
    </w:p>
    <w:p w:rsidR="00F32B28" w:rsidRPr="00F32B28" w:rsidRDefault="00DF0562" w:rsidP="008C7FF9">
      <w:pPr>
        <w:pStyle w:val="SingleTxt"/>
        <w:spacing w:line="340" w:lineRule="exact"/>
        <w:ind w:left="1267" w:right="1267"/>
        <w:rPr>
          <w:i/>
          <w:iCs/>
          <w:rtl/>
        </w:rPr>
      </w:pPr>
      <w:r>
        <w:rPr>
          <w:rFonts w:hint="cs"/>
          <w:rtl/>
          <w:lang w:bidi="ar-SY"/>
        </w:rPr>
        <w:t>32 -</w:t>
      </w:r>
      <w:r>
        <w:rPr>
          <w:rFonts w:hint="cs"/>
          <w:rtl/>
          <w:lang w:bidi="ar-SY"/>
        </w:rPr>
        <w:tab/>
      </w:r>
      <w:r w:rsidR="00F32B28" w:rsidRPr="00F32B28">
        <w:rPr>
          <w:rtl/>
          <w:lang w:bidi="ar-SY"/>
        </w:rPr>
        <w:t>كما</w:t>
      </w:r>
      <w:r w:rsidR="00F32B28">
        <w:rPr>
          <w:rtl/>
          <w:lang w:bidi="ar-SY"/>
        </w:rPr>
        <w:t xml:space="preserve"> </w:t>
      </w:r>
      <w:r w:rsidR="00F32B28" w:rsidRPr="00F32B28">
        <w:rPr>
          <w:rtl/>
          <w:lang w:bidi="ar-SY"/>
        </w:rPr>
        <w:t>تنص</w:t>
      </w:r>
      <w:r w:rsidR="00F32B28">
        <w:rPr>
          <w:rtl/>
          <w:lang w:bidi="ar-SY"/>
        </w:rPr>
        <w:t xml:space="preserve"> </w:t>
      </w:r>
      <w:r w:rsidR="00F32B28" w:rsidRPr="00F32B28">
        <w:rPr>
          <w:rtl/>
          <w:lang w:bidi="ar-SY"/>
        </w:rPr>
        <w:t>فوانين</w:t>
      </w:r>
      <w:r w:rsidR="00F32B28">
        <w:rPr>
          <w:rtl/>
          <w:lang w:bidi="ar-SY"/>
        </w:rPr>
        <w:t xml:space="preserve"> </w:t>
      </w:r>
      <w:r w:rsidR="00F32B28" w:rsidRPr="00F32B28">
        <w:rPr>
          <w:rtl/>
          <w:lang w:bidi="ar-SY"/>
        </w:rPr>
        <w:t>إجراءات</w:t>
      </w:r>
      <w:r w:rsidR="00F32B28">
        <w:rPr>
          <w:rtl/>
          <w:lang w:bidi="ar-SY"/>
        </w:rPr>
        <w:t xml:space="preserve"> </w:t>
      </w:r>
      <w:r w:rsidR="00F32B28" w:rsidRPr="00F32B28">
        <w:rPr>
          <w:rtl/>
          <w:lang w:bidi="ar-SY"/>
        </w:rPr>
        <w:t>المحاكمات</w:t>
      </w:r>
      <w:r w:rsidR="00F32B28">
        <w:rPr>
          <w:rtl/>
          <w:lang w:bidi="ar-SY"/>
        </w:rPr>
        <w:t xml:space="preserve"> </w:t>
      </w:r>
      <w:r w:rsidR="00F32B28" w:rsidRPr="00F32B28">
        <w:rPr>
          <w:rtl/>
          <w:lang w:bidi="ar-SY"/>
        </w:rPr>
        <w:t>الجزائية</w:t>
      </w:r>
      <w:r w:rsidR="00F32B28">
        <w:rPr>
          <w:rtl/>
          <w:lang w:bidi="ar-SY"/>
        </w:rPr>
        <w:t xml:space="preserve"> </w:t>
      </w:r>
      <w:r w:rsidR="00F32B28" w:rsidRPr="00F32B28">
        <w:rPr>
          <w:rtl/>
          <w:lang w:bidi="ar-SY"/>
        </w:rPr>
        <w:t>والمدنية</w:t>
      </w:r>
      <w:r w:rsidR="00F32B28">
        <w:rPr>
          <w:rtl/>
          <w:lang w:bidi="ar-SY"/>
        </w:rPr>
        <w:t xml:space="preserve"> </w:t>
      </w:r>
      <w:r w:rsidR="00F32B28" w:rsidRPr="00F32B28">
        <w:rPr>
          <w:rtl/>
          <w:lang w:bidi="ar-SY"/>
        </w:rPr>
        <w:t>والتجارية</w:t>
      </w:r>
      <w:r w:rsidR="00F32B28">
        <w:rPr>
          <w:rtl/>
          <w:lang w:bidi="ar-SY"/>
        </w:rPr>
        <w:t xml:space="preserve"> </w:t>
      </w:r>
      <w:r w:rsidR="00F32B28" w:rsidRPr="00F32B28">
        <w:rPr>
          <w:rtl/>
        </w:rPr>
        <w:t>على</w:t>
      </w:r>
      <w:r w:rsidR="00F32B28">
        <w:rPr>
          <w:rtl/>
        </w:rPr>
        <w:t xml:space="preserve"> </w:t>
      </w:r>
      <w:r w:rsidR="00F32B28" w:rsidRPr="00F32B28">
        <w:rPr>
          <w:rtl/>
        </w:rPr>
        <w:t>سرية</w:t>
      </w:r>
      <w:r w:rsidR="00F32B28">
        <w:rPr>
          <w:rtl/>
        </w:rPr>
        <w:t xml:space="preserve"> </w:t>
      </w:r>
      <w:r w:rsidR="00F32B28" w:rsidRPr="00F32B28">
        <w:rPr>
          <w:rtl/>
        </w:rPr>
        <w:t>جلسات</w:t>
      </w:r>
      <w:r w:rsidR="00F32B28">
        <w:rPr>
          <w:rtl/>
        </w:rPr>
        <w:t xml:space="preserve"> </w:t>
      </w:r>
      <w:r w:rsidR="00F32B28" w:rsidRPr="00F32B28">
        <w:rPr>
          <w:rtl/>
        </w:rPr>
        <w:t>المحاكمة</w:t>
      </w:r>
      <w:r w:rsidR="00F32B28">
        <w:rPr>
          <w:rtl/>
        </w:rPr>
        <w:t xml:space="preserve"> </w:t>
      </w:r>
      <w:r w:rsidR="00F32B28" w:rsidRPr="00F32B28">
        <w:rPr>
          <w:rtl/>
        </w:rPr>
        <w:t>في</w:t>
      </w:r>
      <w:r w:rsidR="00F32B28">
        <w:rPr>
          <w:rtl/>
        </w:rPr>
        <w:t xml:space="preserve"> </w:t>
      </w:r>
      <w:r w:rsidR="00F32B28" w:rsidRPr="00F32B28">
        <w:rPr>
          <w:rtl/>
        </w:rPr>
        <w:t>الأمور</w:t>
      </w:r>
      <w:r w:rsidR="00F32B28">
        <w:rPr>
          <w:rtl/>
        </w:rPr>
        <w:t xml:space="preserve"> </w:t>
      </w:r>
      <w:r w:rsidR="00F32B28" w:rsidRPr="00F32B28">
        <w:rPr>
          <w:rtl/>
        </w:rPr>
        <w:t>التي</w:t>
      </w:r>
      <w:r w:rsidR="00F32B28">
        <w:rPr>
          <w:rtl/>
        </w:rPr>
        <w:t xml:space="preserve"> </w:t>
      </w:r>
      <w:r w:rsidR="00F32B28" w:rsidRPr="00F32B28">
        <w:rPr>
          <w:rtl/>
        </w:rPr>
        <w:t>تمس</w:t>
      </w:r>
      <w:r w:rsidR="00F32B28">
        <w:rPr>
          <w:rtl/>
        </w:rPr>
        <w:t xml:space="preserve"> </w:t>
      </w:r>
      <w:r w:rsidR="00F32B28" w:rsidRPr="00F32B28">
        <w:rPr>
          <w:rtl/>
        </w:rPr>
        <w:t>الأسرة،</w:t>
      </w:r>
      <w:r w:rsidR="00F32B28">
        <w:rPr>
          <w:rtl/>
        </w:rPr>
        <w:t xml:space="preserve"> </w:t>
      </w:r>
      <w:r w:rsidR="00F32B28" w:rsidRPr="00F32B28">
        <w:rPr>
          <w:rtl/>
        </w:rPr>
        <w:t>ما</w:t>
      </w:r>
      <w:r w:rsidR="00F32B28">
        <w:rPr>
          <w:rtl/>
        </w:rPr>
        <w:t xml:space="preserve"> </w:t>
      </w:r>
      <w:r w:rsidR="00F32B28" w:rsidRPr="00F32B28">
        <w:rPr>
          <w:rtl/>
        </w:rPr>
        <w:t>يشكل</w:t>
      </w:r>
      <w:r w:rsidR="00F32B28">
        <w:rPr>
          <w:rtl/>
        </w:rPr>
        <w:t xml:space="preserve"> </w:t>
      </w:r>
      <w:r w:rsidR="00F32B28" w:rsidRPr="00F32B28">
        <w:rPr>
          <w:rtl/>
        </w:rPr>
        <w:t>حماية</w:t>
      </w:r>
      <w:r w:rsidR="00F32B28">
        <w:rPr>
          <w:rtl/>
        </w:rPr>
        <w:t xml:space="preserve"> </w:t>
      </w:r>
      <w:r w:rsidR="00F32B28" w:rsidRPr="00F32B28">
        <w:rPr>
          <w:rtl/>
        </w:rPr>
        <w:t>للنساء</w:t>
      </w:r>
      <w:r w:rsidR="00F32B28">
        <w:rPr>
          <w:rtl/>
        </w:rPr>
        <w:t xml:space="preserve"> </w:t>
      </w:r>
      <w:r w:rsidR="00F32B28" w:rsidRPr="00F32B28">
        <w:rPr>
          <w:rtl/>
        </w:rPr>
        <w:t>ولمسائل</w:t>
      </w:r>
      <w:r w:rsidR="00F32B28">
        <w:rPr>
          <w:rtl/>
        </w:rPr>
        <w:t xml:space="preserve"> </w:t>
      </w:r>
      <w:r w:rsidR="00F32B28" w:rsidRPr="00F32B28">
        <w:rPr>
          <w:rtl/>
        </w:rPr>
        <w:t>حياتهن</w:t>
      </w:r>
      <w:r w:rsidR="00F32B28">
        <w:rPr>
          <w:rtl/>
        </w:rPr>
        <w:t xml:space="preserve"> </w:t>
      </w:r>
      <w:r w:rsidR="00F32B28" w:rsidRPr="00F32B28">
        <w:rPr>
          <w:rtl/>
        </w:rPr>
        <w:t>الخاصة</w:t>
      </w:r>
      <w:r w:rsidR="00F32B28">
        <w:rPr>
          <w:rtl/>
        </w:rPr>
        <w:t xml:space="preserve"> </w:t>
      </w:r>
      <w:r w:rsidR="00F32B28" w:rsidRPr="00F32B28">
        <w:rPr>
          <w:rtl/>
        </w:rPr>
        <w:t>وقضاياهن</w:t>
      </w:r>
      <w:r w:rsidR="00F32B28">
        <w:rPr>
          <w:rtl/>
        </w:rPr>
        <w:t xml:space="preserve"> </w:t>
      </w:r>
      <w:r w:rsidR="00F32B28" w:rsidRPr="00F32B28">
        <w:rPr>
          <w:rtl/>
        </w:rPr>
        <w:t>من</w:t>
      </w:r>
      <w:r w:rsidR="00F32B28">
        <w:rPr>
          <w:rtl/>
        </w:rPr>
        <w:t xml:space="preserve"> </w:t>
      </w:r>
      <w:r w:rsidR="00F32B28" w:rsidRPr="00F32B28">
        <w:rPr>
          <w:rtl/>
        </w:rPr>
        <w:t>أية</w:t>
      </w:r>
      <w:r w:rsidR="00F32B28">
        <w:rPr>
          <w:rtl/>
        </w:rPr>
        <w:t xml:space="preserve"> </w:t>
      </w:r>
      <w:r w:rsidR="00F32B28" w:rsidRPr="00F32B28">
        <w:rPr>
          <w:rtl/>
        </w:rPr>
        <w:t>استغلال</w:t>
      </w:r>
      <w:r w:rsidR="00F32B28">
        <w:rPr>
          <w:rtl/>
        </w:rPr>
        <w:t xml:space="preserve"> </w:t>
      </w:r>
      <w:r w:rsidR="00F32B28" w:rsidRPr="00F32B28">
        <w:rPr>
          <w:rtl/>
        </w:rPr>
        <w:t>أو</w:t>
      </w:r>
      <w:r w:rsidR="00F32B28">
        <w:rPr>
          <w:rtl/>
        </w:rPr>
        <w:t xml:space="preserve"> </w:t>
      </w:r>
      <w:r w:rsidR="00F32B28" w:rsidRPr="00F32B28">
        <w:rPr>
          <w:rtl/>
        </w:rPr>
        <w:t>تشويه</w:t>
      </w:r>
      <w:r w:rsidR="00F32B28">
        <w:rPr>
          <w:rtl/>
        </w:rPr>
        <w:t xml:space="preserve"> </w:t>
      </w:r>
      <w:r w:rsidR="00F32B28" w:rsidRPr="00F32B28">
        <w:rPr>
          <w:rtl/>
        </w:rPr>
        <w:t>أو</w:t>
      </w:r>
      <w:r w:rsidR="00F32B28">
        <w:rPr>
          <w:rtl/>
        </w:rPr>
        <w:t xml:space="preserve"> </w:t>
      </w:r>
      <w:r w:rsidR="00F32B28" w:rsidRPr="00F32B28">
        <w:rPr>
          <w:rtl/>
        </w:rPr>
        <w:t>تشهير.</w:t>
      </w:r>
      <w:r w:rsidR="00F32B28">
        <w:rPr>
          <w:rtl/>
        </w:rPr>
        <w:t xml:space="preserve"> </w:t>
      </w:r>
      <w:r w:rsidR="00F32B28" w:rsidRPr="00F32B28">
        <w:rPr>
          <w:rtl/>
        </w:rPr>
        <w:t>كما</w:t>
      </w:r>
      <w:r w:rsidR="00F32B28">
        <w:rPr>
          <w:rtl/>
        </w:rPr>
        <w:t xml:space="preserve"> </w:t>
      </w:r>
      <w:r w:rsidR="00F32B28" w:rsidRPr="00F32B28">
        <w:rPr>
          <w:rtl/>
        </w:rPr>
        <w:t>تحرص</w:t>
      </w:r>
      <w:r w:rsidR="00F32B28">
        <w:rPr>
          <w:rtl/>
        </w:rPr>
        <w:t xml:space="preserve"> </w:t>
      </w:r>
      <w:r w:rsidR="00F32B28" w:rsidRPr="00F32B28">
        <w:rPr>
          <w:rtl/>
        </w:rPr>
        <w:t>هذه</w:t>
      </w:r>
      <w:r w:rsidR="00F32B28">
        <w:rPr>
          <w:rtl/>
        </w:rPr>
        <w:t xml:space="preserve"> </w:t>
      </w:r>
      <w:r w:rsidR="00F32B28" w:rsidRPr="00F32B28">
        <w:rPr>
          <w:rtl/>
        </w:rPr>
        <w:t>التشريعات</w:t>
      </w:r>
      <w:r w:rsidR="00F32B28">
        <w:rPr>
          <w:rtl/>
        </w:rPr>
        <w:t xml:space="preserve"> </w:t>
      </w:r>
      <w:r w:rsidR="00F32B28" w:rsidRPr="00F32B28">
        <w:rPr>
          <w:rtl/>
          <w:lang w:bidi="ar-SY"/>
        </w:rPr>
        <w:t>على</w:t>
      </w:r>
      <w:r w:rsidR="00F32B28">
        <w:rPr>
          <w:rtl/>
          <w:lang w:bidi="ar-SY"/>
        </w:rPr>
        <w:t xml:space="preserve"> </w:t>
      </w:r>
      <w:r w:rsidR="00F32B28" w:rsidRPr="00F32B28">
        <w:rPr>
          <w:rtl/>
        </w:rPr>
        <w:t>حماية</w:t>
      </w:r>
      <w:r w:rsidR="00F32B28">
        <w:rPr>
          <w:rtl/>
        </w:rPr>
        <w:t xml:space="preserve"> </w:t>
      </w:r>
      <w:r w:rsidR="00F32B28" w:rsidRPr="00F32B28">
        <w:rPr>
          <w:rtl/>
        </w:rPr>
        <w:t>النساء</w:t>
      </w:r>
      <w:r w:rsidR="00F32B28">
        <w:rPr>
          <w:rtl/>
        </w:rPr>
        <w:t xml:space="preserve"> </w:t>
      </w:r>
      <w:r w:rsidR="00F32B28" w:rsidRPr="00F32B28">
        <w:rPr>
          <w:rtl/>
        </w:rPr>
        <w:t>من</w:t>
      </w:r>
      <w:r w:rsidR="00F32B28">
        <w:rPr>
          <w:rtl/>
        </w:rPr>
        <w:t xml:space="preserve"> </w:t>
      </w:r>
      <w:r w:rsidR="00F32B28" w:rsidRPr="00F32B28">
        <w:rPr>
          <w:rtl/>
        </w:rPr>
        <w:t>أي</w:t>
      </w:r>
      <w:r w:rsidR="00F32B28">
        <w:rPr>
          <w:rtl/>
        </w:rPr>
        <w:t xml:space="preserve"> </w:t>
      </w:r>
      <w:r w:rsidR="00F32B28" w:rsidRPr="00F32B28">
        <w:rPr>
          <w:rtl/>
        </w:rPr>
        <w:t>عمل</w:t>
      </w:r>
      <w:r w:rsidR="00F32B28">
        <w:rPr>
          <w:rtl/>
        </w:rPr>
        <w:t xml:space="preserve"> </w:t>
      </w:r>
      <w:r w:rsidR="00F32B28" w:rsidRPr="00F32B28">
        <w:rPr>
          <w:rtl/>
        </w:rPr>
        <w:t>أو</w:t>
      </w:r>
      <w:r w:rsidR="00F32B28">
        <w:rPr>
          <w:rtl/>
        </w:rPr>
        <w:t xml:space="preserve"> </w:t>
      </w:r>
      <w:r w:rsidR="00F32B28" w:rsidRPr="00F32B28">
        <w:rPr>
          <w:rtl/>
        </w:rPr>
        <w:t>استغلال</w:t>
      </w:r>
      <w:r w:rsidR="00F32B28">
        <w:rPr>
          <w:rtl/>
        </w:rPr>
        <w:t xml:space="preserve"> </w:t>
      </w:r>
      <w:r w:rsidR="00F32B28" w:rsidRPr="00F32B28">
        <w:rPr>
          <w:rtl/>
        </w:rPr>
        <w:t>جنسي</w:t>
      </w:r>
      <w:r w:rsidR="00F32B28">
        <w:rPr>
          <w:rtl/>
        </w:rPr>
        <w:t xml:space="preserve"> </w:t>
      </w:r>
      <w:r w:rsidR="00F32B28" w:rsidRPr="00F32B28">
        <w:rPr>
          <w:rtl/>
        </w:rPr>
        <w:t>قد</w:t>
      </w:r>
      <w:r w:rsidR="00F32B28">
        <w:rPr>
          <w:rtl/>
        </w:rPr>
        <w:t xml:space="preserve"> </w:t>
      </w:r>
      <w:r w:rsidR="00F32B28" w:rsidRPr="00F32B28">
        <w:rPr>
          <w:rtl/>
        </w:rPr>
        <w:t>تتعرض</w:t>
      </w:r>
      <w:r w:rsidR="00F32B28">
        <w:rPr>
          <w:rtl/>
        </w:rPr>
        <w:t xml:space="preserve"> </w:t>
      </w:r>
      <w:r w:rsidR="00F32B28" w:rsidRPr="00F32B28">
        <w:rPr>
          <w:rtl/>
        </w:rPr>
        <w:t>له</w:t>
      </w:r>
      <w:r w:rsidR="00F32B28">
        <w:rPr>
          <w:rtl/>
        </w:rPr>
        <w:t xml:space="preserve"> </w:t>
      </w:r>
      <w:r w:rsidR="00F32B28" w:rsidRPr="00F32B28">
        <w:rPr>
          <w:rtl/>
        </w:rPr>
        <w:t>أثناء</w:t>
      </w:r>
      <w:r w:rsidR="00F32B28">
        <w:rPr>
          <w:rtl/>
        </w:rPr>
        <w:t xml:space="preserve"> </w:t>
      </w:r>
      <w:r w:rsidR="00F32B28" w:rsidRPr="00F32B28">
        <w:rPr>
          <w:rtl/>
        </w:rPr>
        <w:t>الإجراءات</w:t>
      </w:r>
      <w:r w:rsidR="00F32B28">
        <w:rPr>
          <w:rtl/>
        </w:rPr>
        <w:t xml:space="preserve"> </w:t>
      </w:r>
      <w:r w:rsidR="00F32B28" w:rsidRPr="00F32B28">
        <w:rPr>
          <w:rtl/>
        </w:rPr>
        <w:t>الدعوى</w:t>
      </w:r>
      <w:r w:rsidR="00F32B28">
        <w:rPr>
          <w:rtl/>
        </w:rPr>
        <w:t xml:space="preserve"> </w:t>
      </w:r>
      <w:r w:rsidR="00F32B28" w:rsidRPr="00F32B28">
        <w:rPr>
          <w:rtl/>
        </w:rPr>
        <w:t>الجزائية،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حظر</w:t>
      </w:r>
      <w:r w:rsidR="00F32B28">
        <w:rPr>
          <w:rtl/>
        </w:rPr>
        <w:t xml:space="preserve"> </w:t>
      </w:r>
      <w:r w:rsidR="00F32B28" w:rsidRPr="00F32B28">
        <w:rPr>
          <w:rtl/>
        </w:rPr>
        <w:t>تفتيش</w:t>
      </w:r>
      <w:r w:rsidR="00F32B28">
        <w:rPr>
          <w:rtl/>
        </w:rPr>
        <w:t xml:space="preserve"> </w:t>
      </w:r>
      <w:r w:rsidR="00F32B28" w:rsidRPr="00F32B28">
        <w:rPr>
          <w:rtl/>
        </w:rPr>
        <w:t>النساء</w:t>
      </w:r>
      <w:r w:rsidR="00F32B28">
        <w:rPr>
          <w:rtl/>
        </w:rPr>
        <w:t xml:space="preserve"> </w:t>
      </w:r>
      <w:r w:rsidR="00F32B28" w:rsidRPr="00F32B28">
        <w:rPr>
          <w:rtl/>
        </w:rPr>
        <w:t>إلا</w:t>
      </w:r>
      <w:r w:rsidR="00F32B28">
        <w:rPr>
          <w:rtl/>
        </w:rPr>
        <w:t xml:space="preserve"> </w:t>
      </w:r>
      <w:r w:rsidR="00F32B28" w:rsidRPr="00F32B28">
        <w:rPr>
          <w:rtl/>
        </w:rPr>
        <w:t>بواسطة</w:t>
      </w:r>
      <w:r w:rsidR="00F32B28">
        <w:rPr>
          <w:rtl/>
        </w:rPr>
        <w:t xml:space="preserve"> </w:t>
      </w:r>
      <w:r w:rsidR="00F32B28" w:rsidRPr="00F32B28">
        <w:rPr>
          <w:rtl/>
        </w:rPr>
        <w:t>إناث</w:t>
      </w:r>
      <w:r w:rsidR="00F32B28">
        <w:rPr>
          <w:rtl/>
        </w:rPr>
        <w:t xml:space="preserve"> </w:t>
      </w:r>
      <w:r w:rsidR="00F32B28" w:rsidRPr="00F32B28">
        <w:rPr>
          <w:rtl/>
        </w:rPr>
        <w:t>منتدبات.</w:t>
      </w:r>
    </w:p>
    <w:p w:rsidR="00F32B28" w:rsidRPr="00F32B28" w:rsidRDefault="00DF0562" w:rsidP="008C7FF9">
      <w:pPr>
        <w:pStyle w:val="SingleTxt"/>
        <w:spacing w:line="340" w:lineRule="exact"/>
        <w:ind w:left="1267" w:right="1267"/>
        <w:rPr>
          <w:rtl/>
        </w:rPr>
      </w:pPr>
      <w:r>
        <w:rPr>
          <w:rFonts w:hint="cs"/>
          <w:rtl/>
        </w:rPr>
        <w:t>33 -</w:t>
      </w:r>
      <w:r>
        <w:rPr>
          <w:rFonts w:hint="cs"/>
          <w:rtl/>
        </w:rPr>
        <w:tab/>
      </w:r>
      <w:r w:rsidR="00F32B28" w:rsidRPr="00F32B28">
        <w:rPr>
          <w:rtl/>
        </w:rPr>
        <w:t>كما</w:t>
      </w:r>
      <w:r w:rsidR="00F32B28">
        <w:rPr>
          <w:rtl/>
        </w:rPr>
        <w:t xml:space="preserve"> </w:t>
      </w:r>
      <w:r w:rsidR="00F32B28" w:rsidRPr="00F32B28">
        <w:rPr>
          <w:rtl/>
        </w:rPr>
        <w:t>أوجب</w:t>
      </w:r>
      <w:r w:rsidR="00F32B28">
        <w:rPr>
          <w:rtl/>
        </w:rPr>
        <w:t xml:space="preserve"> </w:t>
      </w:r>
      <w:r w:rsidR="00F32B28" w:rsidRPr="00F32B28">
        <w:rPr>
          <w:rtl/>
        </w:rPr>
        <w:t>كل</w:t>
      </w:r>
      <w:r w:rsidR="00F32B28">
        <w:rPr>
          <w:rtl/>
        </w:rPr>
        <w:t xml:space="preserve"> </w:t>
      </w:r>
      <w:r w:rsidR="00F32B28" w:rsidRPr="00F32B28">
        <w:rPr>
          <w:rtl/>
        </w:rPr>
        <w:t>من</w:t>
      </w:r>
      <w:r w:rsidR="00F32B28">
        <w:rPr>
          <w:rtl/>
        </w:rPr>
        <w:t xml:space="preserve"> </w:t>
      </w:r>
      <w:r w:rsidR="00F32B28" w:rsidRPr="00F32B28">
        <w:rPr>
          <w:rtl/>
        </w:rPr>
        <w:t>قانون</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وقانون</w:t>
      </w:r>
      <w:r w:rsidR="00F32B28">
        <w:rPr>
          <w:rtl/>
        </w:rPr>
        <w:t xml:space="preserve"> </w:t>
      </w:r>
      <w:r w:rsidR="00F32B28" w:rsidRPr="00F32B28">
        <w:rPr>
          <w:rtl/>
        </w:rPr>
        <w:t>العقوبات</w:t>
      </w:r>
      <w:r w:rsidR="00F32B28">
        <w:rPr>
          <w:rtl/>
        </w:rPr>
        <w:t xml:space="preserve"> </w:t>
      </w:r>
      <w:r w:rsidR="00F32B28" w:rsidRPr="00F32B28">
        <w:rPr>
          <w:rtl/>
        </w:rPr>
        <w:t>تسجيل</w:t>
      </w:r>
      <w:r w:rsidR="00F32B28">
        <w:rPr>
          <w:rtl/>
        </w:rPr>
        <w:t xml:space="preserve"> </w:t>
      </w:r>
      <w:r w:rsidR="00F32B28" w:rsidRPr="00F32B28">
        <w:rPr>
          <w:rtl/>
        </w:rPr>
        <w:t>عقد</w:t>
      </w:r>
      <w:r w:rsidR="00F32B28">
        <w:rPr>
          <w:rtl/>
        </w:rPr>
        <w:t xml:space="preserve"> </w:t>
      </w:r>
      <w:r w:rsidR="00F32B28" w:rsidRPr="00F32B28">
        <w:rPr>
          <w:rtl/>
        </w:rPr>
        <w:t>الزواج</w:t>
      </w:r>
      <w:r w:rsidR="00F32B28">
        <w:rPr>
          <w:rtl/>
        </w:rPr>
        <w:t xml:space="preserve"> </w:t>
      </w:r>
      <w:r w:rsidR="00F32B28" w:rsidRPr="00F32B28">
        <w:rPr>
          <w:rtl/>
        </w:rPr>
        <w:t>حسب</w:t>
      </w:r>
      <w:r w:rsidR="00F32B28">
        <w:rPr>
          <w:rtl/>
        </w:rPr>
        <w:t xml:space="preserve"> </w:t>
      </w:r>
      <w:r w:rsidR="00F32B28" w:rsidRPr="00F32B28">
        <w:rPr>
          <w:rtl/>
        </w:rPr>
        <w:t>الأصول</w:t>
      </w:r>
      <w:r w:rsidR="00F32B28">
        <w:rPr>
          <w:rtl/>
        </w:rPr>
        <w:t xml:space="preserve"> </w:t>
      </w:r>
      <w:r w:rsidR="00F32B28" w:rsidRPr="00F32B28">
        <w:rPr>
          <w:rtl/>
        </w:rPr>
        <w:t>والإجراءات</w:t>
      </w:r>
      <w:r w:rsidR="00F32B28">
        <w:rPr>
          <w:rtl/>
        </w:rPr>
        <w:t xml:space="preserve"> </w:t>
      </w:r>
      <w:r w:rsidR="00F32B28" w:rsidRPr="00F32B28">
        <w:rPr>
          <w:rtl/>
        </w:rPr>
        <w:t>القانونية،</w:t>
      </w:r>
      <w:r w:rsidR="00F32B28">
        <w:rPr>
          <w:rtl/>
        </w:rPr>
        <w:t xml:space="preserve"> </w:t>
      </w:r>
      <w:r w:rsidR="00F32B28" w:rsidRPr="00F32B28">
        <w:rPr>
          <w:rtl/>
        </w:rPr>
        <w:t>وكل</w:t>
      </w:r>
      <w:r w:rsidR="00F32B28">
        <w:rPr>
          <w:rtl/>
        </w:rPr>
        <w:t xml:space="preserve"> </w:t>
      </w:r>
      <w:r w:rsidR="00F32B28" w:rsidRPr="00F32B28">
        <w:rPr>
          <w:rtl/>
        </w:rPr>
        <w:t>مأذون</w:t>
      </w:r>
      <w:r w:rsidR="00F32B28">
        <w:rPr>
          <w:rtl/>
        </w:rPr>
        <w:t xml:space="preserve"> </w:t>
      </w:r>
      <w:r w:rsidR="00F32B28" w:rsidRPr="00F32B28">
        <w:rPr>
          <w:rtl/>
        </w:rPr>
        <w:t>لا</w:t>
      </w:r>
      <w:r w:rsidR="00F32B28">
        <w:rPr>
          <w:rtl/>
        </w:rPr>
        <w:t xml:space="preserve"> </w:t>
      </w:r>
      <w:r w:rsidR="00F32B28" w:rsidRPr="00F32B28">
        <w:rPr>
          <w:rtl/>
        </w:rPr>
        <w:t>يقوم</w:t>
      </w:r>
      <w:r w:rsidR="00F32B28">
        <w:rPr>
          <w:rtl/>
        </w:rPr>
        <w:t xml:space="preserve"> </w:t>
      </w:r>
      <w:r w:rsidR="00F32B28" w:rsidRPr="00F32B28">
        <w:rPr>
          <w:rtl/>
        </w:rPr>
        <w:t>بتسجيل</w:t>
      </w:r>
      <w:r w:rsidR="00F32B28">
        <w:rPr>
          <w:rtl/>
        </w:rPr>
        <w:t xml:space="preserve"> </w:t>
      </w:r>
      <w:r w:rsidR="00F32B28" w:rsidRPr="00F32B28">
        <w:rPr>
          <w:rtl/>
        </w:rPr>
        <w:t>عقد</w:t>
      </w:r>
      <w:r w:rsidR="00F32B28">
        <w:rPr>
          <w:rtl/>
        </w:rPr>
        <w:t xml:space="preserve"> </w:t>
      </w:r>
      <w:r w:rsidR="00F32B28" w:rsidRPr="00F32B28">
        <w:rPr>
          <w:rtl/>
        </w:rPr>
        <w:t>الزواج</w:t>
      </w:r>
      <w:r w:rsidR="00F32B28">
        <w:rPr>
          <w:rtl/>
        </w:rPr>
        <w:t xml:space="preserve"> </w:t>
      </w:r>
      <w:r w:rsidR="00F32B28" w:rsidRPr="00F32B28">
        <w:rPr>
          <w:rtl/>
        </w:rPr>
        <w:t>أو</w:t>
      </w:r>
      <w:r w:rsidR="00F32B28">
        <w:rPr>
          <w:rtl/>
        </w:rPr>
        <w:t xml:space="preserve"> </w:t>
      </w:r>
      <w:r w:rsidR="00F32B28" w:rsidRPr="00F32B28">
        <w:rPr>
          <w:rtl/>
        </w:rPr>
        <w:t>يخل</w:t>
      </w:r>
      <w:r w:rsidR="00F32B28">
        <w:rPr>
          <w:rtl/>
        </w:rPr>
        <w:t xml:space="preserve"> </w:t>
      </w:r>
      <w:r w:rsidR="00F32B28" w:rsidRPr="00F32B28">
        <w:rPr>
          <w:rtl/>
        </w:rPr>
        <w:t>بهذه</w:t>
      </w:r>
      <w:r w:rsidR="00F32B28">
        <w:rPr>
          <w:rtl/>
        </w:rPr>
        <w:t xml:space="preserve"> </w:t>
      </w:r>
      <w:r w:rsidR="00F32B28" w:rsidRPr="00F32B28">
        <w:rPr>
          <w:rtl/>
        </w:rPr>
        <w:t>الأصول</w:t>
      </w:r>
      <w:r w:rsidR="00F32B28">
        <w:rPr>
          <w:rtl/>
        </w:rPr>
        <w:t xml:space="preserve"> </w:t>
      </w:r>
      <w:r w:rsidR="00F32B28" w:rsidRPr="00F32B28">
        <w:rPr>
          <w:rtl/>
        </w:rPr>
        <w:t>عوقب</w:t>
      </w:r>
      <w:r w:rsidR="00F32B28">
        <w:rPr>
          <w:rtl/>
        </w:rPr>
        <w:t xml:space="preserve"> </w:t>
      </w:r>
      <w:r w:rsidR="00F32B28" w:rsidRPr="00F32B28">
        <w:rPr>
          <w:rtl/>
        </w:rPr>
        <w:t>بالحبس</w:t>
      </w:r>
      <w:r w:rsidR="00F32B28">
        <w:rPr>
          <w:rtl/>
        </w:rPr>
        <w:t xml:space="preserve"> </w:t>
      </w:r>
      <w:r w:rsidR="00F32B28" w:rsidRPr="00F32B28">
        <w:rPr>
          <w:rtl/>
        </w:rPr>
        <w:t>وبالغرامة</w:t>
      </w:r>
      <w:r w:rsidR="00F32B28">
        <w:rPr>
          <w:rtl/>
        </w:rPr>
        <w:t xml:space="preserve"> </w:t>
      </w:r>
      <w:r w:rsidR="00F32B28" w:rsidRPr="00F32B28">
        <w:rPr>
          <w:rtl/>
        </w:rPr>
        <w:t>وبالعزل</w:t>
      </w:r>
      <w:r w:rsidR="00F32B28">
        <w:rPr>
          <w:rtl/>
        </w:rPr>
        <w:t xml:space="preserve"> </w:t>
      </w:r>
      <w:r w:rsidR="00F32B28" w:rsidRPr="00F32B28">
        <w:rPr>
          <w:rtl/>
        </w:rPr>
        <w:t>من</w:t>
      </w:r>
      <w:r w:rsidR="00F32B28">
        <w:rPr>
          <w:rtl/>
        </w:rPr>
        <w:t xml:space="preserve"> </w:t>
      </w:r>
      <w:r w:rsidR="00F32B28" w:rsidRPr="00F32B28">
        <w:rPr>
          <w:rtl/>
        </w:rPr>
        <w:t>الوظيفة،</w:t>
      </w:r>
      <w:r w:rsidR="00F32B28">
        <w:rPr>
          <w:rtl/>
        </w:rPr>
        <w:t xml:space="preserve"> </w:t>
      </w:r>
      <w:r w:rsidR="00F32B28" w:rsidRPr="00F32B28">
        <w:rPr>
          <w:rtl/>
        </w:rPr>
        <w:t>وذلك</w:t>
      </w:r>
      <w:r w:rsidR="00F32B28">
        <w:rPr>
          <w:rtl/>
        </w:rPr>
        <w:t xml:space="preserve"> </w:t>
      </w:r>
      <w:r w:rsidR="00F32B28" w:rsidRPr="00F32B28">
        <w:rPr>
          <w:rtl/>
        </w:rPr>
        <w:t>لحماية</w:t>
      </w:r>
      <w:r w:rsidR="00F32B28">
        <w:rPr>
          <w:rtl/>
        </w:rPr>
        <w:t xml:space="preserve"> </w:t>
      </w:r>
      <w:r w:rsidR="00F32B28" w:rsidRPr="00F32B28">
        <w:rPr>
          <w:rtl/>
        </w:rPr>
        <w:t>جميع</w:t>
      </w:r>
      <w:r w:rsidR="00F32B28">
        <w:rPr>
          <w:rtl/>
        </w:rPr>
        <w:t xml:space="preserve"> </w:t>
      </w:r>
      <w:r w:rsidR="00F32B28" w:rsidRPr="00F32B28">
        <w:rPr>
          <w:rtl/>
        </w:rPr>
        <w:t>حقوق</w:t>
      </w:r>
      <w:r w:rsidR="00F32B28">
        <w:rPr>
          <w:rtl/>
        </w:rPr>
        <w:t xml:space="preserve"> </w:t>
      </w:r>
      <w:r w:rsidR="00F32B28" w:rsidRPr="00F32B28">
        <w:rPr>
          <w:rtl/>
        </w:rPr>
        <w:t>المرأة</w:t>
      </w:r>
      <w:r w:rsidR="00F32B28">
        <w:rPr>
          <w:rtl/>
        </w:rPr>
        <w:t xml:space="preserve"> </w:t>
      </w:r>
      <w:r w:rsidR="00F32B28" w:rsidRPr="00F32B28">
        <w:rPr>
          <w:rtl/>
        </w:rPr>
        <w:t>الناشئة</w:t>
      </w:r>
      <w:r w:rsidR="00F32B28">
        <w:rPr>
          <w:rtl/>
        </w:rPr>
        <w:t xml:space="preserve"> </w:t>
      </w:r>
      <w:r w:rsidR="00F32B28" w:rsidRPr="00F32B28">
        <w:rPr>
          <w:rtl/>
        </w:rPr>
        <w:t>عن</w:t>
      </w:r>
      <w:r w:rsidR="00F32B28">
        <w:rPr>
          <w:rtl/>
        </w:rPr>
        <w:t xml:space="preserve"> </w:t>
      </w:r>
      <w:r w:rsidR="00F32B28" w:rsidRPr="00F32B28">
        <w:rPr>
          <w:rtl/>
        </w:rPr>
        <w:t>عقد</w:t>
      </w:r>
      <w:r w:rsidR="00F32B28">
        <w:rPr>
          <w:rtl/>
        </w:rPr>
        <w:t xml:space="preserve"> </w:t>
      </w:r>
      <w:r w:rsidR="00F32B28" w:rsidRPr="00F32B28">
        <w:rPr>
          <w:rtl/>
        </w:rPr>
        <w:t>الزواج</w:t>
      </w:r>
      <w:r w:rsidR="00F32B28">
        <w:rPr>
          <w:rtl/>
        </w:rPr>
        <w:t xml:space="preserve"> </w:t>
      </w:r>
      <w:r w:rsidR="00F32B28" w:rsidRPr="00F32B28">
        <w:rPr>
          <w:rtl/>
        </w:rPr>
        <w:t>وتثبيت</w:t>
      </w:r>
      <w:r w:rsidR="00F32B28">
        <w:rPr>
          <w:rtl/>
        </w:rPr>
        <w:t xml:space="preserve"> </w:t>
      </w:r>
      <w:r w:rsidR="00F32B28" w:rsidRPr="00F32B28">
        <w:rPr>
          <w:rtl/>
        </w:rPr>
        <w:t>نسب</w:t>
      </w:r>
      <w:r w:rsidR="00F32B28">
        <w:rPr>
          <w:rtl/>
        </w:rPr>
        <w:t xml:space="preserve"> </w:t>
      </w:r>
      <w:r w:rsidR="00F32B28" w:rsidRPr="00F32B28">
        <w:rPr>
          <w:rtl/>
        </w:rPr>
        <w:t>الأطفال.</w:t>
      </w:r>
      <w:r w:rsidR="00F32B28">
        <w:rPr>
          <w:rtl/>
        </w:rPr>
        <w:t xml:space="preserve"> </w:t>
      </w:r>
    </w:p>
    <w:p w:rsidR="00F32B28" w:rsidRPr="00F32B28" w:rsidRDefault="00DF0562" w:rsidP="008C7FF9">
      <w:pPr>
        <w:pStyle w:val="SingleTxt"/>
        <w:spacing w:line="340" w:lineRule="exact"/>
        <w:ind w:left="1267" w:right="1267"/>
        <w:rPr>
          <w:b/>
          <w:bCs/>
        </w:rPr>
      </w:pPr>
      <w:r>
        <w:rPr>
          <w:rFonts w:hint="cs"/>
          <w:rtl/>
        </w:rPr>
        <w:t>34 -</w:t>
      </w:r>
      <w:r>
        <w:rPr>
          <w:rFonts w:hint="cs"/>
          <w:rtl/>
        </w:rPr>
        <w:tab/>
      </w:r>
      <w:r w:rsidR="00F32B28" w:rsidRPr="00F32B28">
        <w:rPr>
          <w:rtl/>
        </w:rPr>
        <w:t>وأخيراً،</w:t>
      </w:r>
      <w:r w:rsidR="00F32B28">
        <w:rPr>
          <w:rtl/>
        </w:rPr>
        <w:t xml:space="preserve"> </w:t>
      </w:r>
      <w:r w:rsidR="00F32B28" w:rsidRPr="00F32B28">
        <w:rPr>
          <w:rtl/>
        </w:rPr>
        <w:t>صادق</w:t>
      </w:r>
      <w:r w:rsidR="00F32B28">
        <w:rPr>
          <w:rtl/>
        </w:rPr>
        <w:t xml:space="preserve"> </w:t>
      </w:r>
      <w:r w:rsidR="00F32B28" w:rsidRPr="00F32B28">
        <w:rPr>
          <w:rtl/>
        </w:rPr>
        <w:t>مجلس</w:t>
      </w:r>
      <w:r w:rsidR="00F32B28">
        <w:rPr>
          <w:rtl/>
        </w:rPr>
        <w:t xml:space="preserve"> </w:t>
      </w:r>
      <w:r w:rsidR="00F32B28" w:rsidRPr="00F32B28">
        <w:rPr>
          <w:rtl/>
        </w:rPr>
        <w:t>الوزراء</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2013</w:t>
      </w:r>
      <w:r w:rsidR="00F32B28">
        <w:rPr>
          <w:rtl/>
        </w:rPr>
        <w:t xml:space="preserve"> </w:t>
      </w:r>
      <w:r w:rsidR="00F32B28" w:rsidRPr="00F32B28">
        <w:rPr>
          <w:rtl/>
        </w:rPr>
        <w:t>على</w:t>
      </w:r>
      <w:r w:rsidR="00F32B28">
        <w:rPr>
          <w:rtl/>
        </w:rPr>
        <w:t xml:space="preserve"> </w:t>
      </w:r>
      <w:r w:rsidR="00F32B28" w:rsidRPr="00F32B28">
        <w:rPr>
          <w:rtl/>
        </w:rPr>
        <w:t>نظام</w:t>
      </w:r>
      <w:r w:rsidR="00F32B28">
        <w:rPr>
          <w:rtl/>
        </w:rPr>
        <w:t xml:space="preserve"> </w:t>
      </w:r>
      <w:r w:rsidR="00F32B28" w:rsidRPr="00F32B28">
        <w:rPr>
          <w:rtl/>
        </w:rPr>
        <w:t>التحويل</w:t>
      </w:r>
      <w:r w:rsidR="00F32B28">
        <w:rPr>
          <w:rtl/>
        </w:rPr>
        <w:t xml:space="preserve"> </w:t>
      </w:r>
      <w:r w:rsidR="00F32B28" w:rsidRPr="00F32B28">
        <w:rPr>
          <w:rtl/>
        </w:rPr>
        <w:t>الوطني</w:t>
      </w:r>
      <w:r w:rsidR="00F32B28">
        <w:rPr>
          <w:rtl/>
        </w:rPr>
        <w:t xml:space="preserve"> </w:t>
      </w:r>
      <w:r w:rsidR="00F32B28" w:rsidRPr="00F32B28">
        <w:rPr>
          <w:rtl/>
        </w:rPr>
        <w:t>للنساء</w:t>
      </w:r>
      <w:r w:rsidR="00F32B28">
        <w:rPr>
          <w:rtl/>
        </w:rPr>
        <w:t xml:space="preserve"> </w:t>
      </w:r>
      <w:r w:rsidR="00F32B28" w:rsidRPr="00F32B28">
        <w:rPr>
          <w:rtl/>
        </w:rPr>
        <w:t>المعنفات</w:t>
      </w:r>
      <w:r w:rsidR="00F32B28">
        <w:rPr>
          <w:rtl/>
        </w:rPr>
        <w:t xml:space="preserve"> </w:t>
      </w:r>
      <w:r w:rsidR="00F32B28" w:rsidRPr="00F32B28">
        <w:rPr>
          <w:rtl/>
        </w:rPr>
        <w:t>(تكامل)،</w:t>
      </w:r>
      <w:r w:rsidR="00F32B28">
        <w:rPr>
          <w:rtl/>
        </w:rPr>
        <w:t xml:space="preserve"> </w:t>
      </w:r>
      <w:r w:rsidR="00F32B28" w:rsidRPr="00F32B28">
        <w:rPr>
          <w:rtl/>
        </w:rPr>
        <w:t>الذي</w:t>
      </w:r>
      <w:r w:rsidR="00F32B28">
        <w:rPr>
          <w:rtl/>
        </w:rPr>
        <w:t xml:space="preserve"> </w:t>
      </w:r>
      <w:r w:rsidR="00F32B28" w:rsidRPr="00F32B28">
        <w:rPr>
          <w:rtl/>
        </w:rPr>
        <w:t>يحدد،</w:t>
      </w:r>
      <w:r w:rsidR="00F32B28">
        <w:rPr>
          <w:rtl/>
        </w:rPr>
        <w:t xml:space="preserve"> </w:t>
      </w:r>
      <w:r w:rsidR="00F32B28" w:rsidRPr="00F32B28">
        <w:rPr>
          <w:rtl/>
        </w:rPr>
        <w:t>من</w:t>
      </w:r>
      <w:r w:rsidR="00F32B28">
        <w:rPr>
          <w:rtl/>
        </w:rPr>
        <w:t xml:space="preserve"> </w:t>
      </w:r>
      <w:r w:rsidR="00F32B28" w:rsidRPr="00F32B28">
        <w:rPr>
          <w:rtl/>
        </w:rPr>
        <w:t>ضمن</w:t>
      </w:r>
      <w:r w:rsidR="00F32B28">
        <w:rPr>
          <w:rtl/>
        </w:rPr>
        <w:t xml:space="preserve"> </w:t>
      </w:r>
      <w:r w:rsidR="00F32B28" w:rsidRPr="00F32B28">
        <w:rPr>
          <w:rtl/>
        </w:rPr>
        <w:t>جملة</w:t>
      </w:r>
      <w:r w:rsidR="00F32B28">
        <w:rPr>
          <w:rtl/>
        </w:rPr>
        <w:t xml:space="preserve"> </w:t>
      </w:r>
      <w:r w:rsidR="00F32B28" w:rsidRPr="00F32B28">
        <w:rPr>
          <w:rtl/>
        </w:rPr>
        <w:t>أمور،</w:t>
      </w:r>
      <w:r w:rsidR="00F32B28">
        <w:rPr>
          <w:rtl/>
        </w:rPr>
        <w:t xml:space="preserve"> </w:t>
      </w:r>
      <w:r w:rsidR="00F32B28" w:rsidRPr="00F32B28">
        <w:rPr>
          <w:rtl/>
        </w:rPr>
        <w:t>القواعد</w:t>
      </w:r>
      <w:r w:rsidR="00F32B28">
        <w:rPr>
          <w:rtl/>
        </w:rPr>
        <w:t xml:space="preserve"> </w:t>
      </w:r>
      <w:r w:rsidR="00F32B28" w:rsidRPr="00F32B28">
        <w:rPr>
          <w:rtl/>
        </w:rPr>
        <w:t>التي</w:t>
      </w:r>
      <w:r w:rsidR="00F32B28">
        <w:rPr>
          <w:rtl/>
        </w:rPr>
        <w:t xml:space="preserve"> </w:t>
      </w:r>
      <w:r w:rsidR="00F32B28" w:rsidRPr="00F32B28">
        <w:rPr>
          <w:rtl/>
        </w:rPr>
        <w:t>تشكل</w:t>
      </w:r>
      <w:r w:rsidR="00F32B28">
        <w:rPr>
          <w:rtl/>
        </w:rPr>
        <w:t xml:space="preserve"> </w:t>
      </w:r>
      <w:r w:rsidR="00F32B28" w:rsidRPr="00F32B28">
        <w:rPr>
          <w:rtl/>
        </w:rPr>
        <w:t>بمجموعها</w:t>
      </w:r>
      <w:r w:rsidR="00F32B28">
        <w:rPr>
          <w:rtl/>
        </w:rPr>
        <w:t xml:space="preserve"> </w:t>
      </w:r>
      <w:r w:rsidR="00F32B28" w:rsidRPr="00F32B28">
        <w:rPr>
          <w:rtl/>
        </w:rPr>
        <w:t>ميثاقاً</w:t>
      </w:r>
      <w:r w:rsidR="00F32B28">
        <w:rPr>
          <w:rtl/>
        </w:rPr>
        <w:t xml:space="preserve"> </w:t>
      </w:r>
      <w:r w:rsidR="00F32B28" w:rsidRPr="00F32B28">
        <w:rPr>
          <w:rtl/>
        </w:rPr>
        <w:t>وطنياً</w:t>
      </w:r>
      <w:r w:rsidR="00F32B28">
        <w:rPr>
          <w:rtl/>
        </w:rPr>
        <w:t xml:space="preserve"> </w:t>
      </w:r>
      <w:r w:rsidR="00F32B28" w:rsidRPr="00F32B28">
        <w:rPr>
          <w:rtl/>
        </w:rPr>
        <w:t>للتعامل</w:t>
      </w:r>
      <w:r w:rsidR="00F32B28">
        <w:rPr>
          <w:rtl/>
        </w:rPr>
        <w:t xml:space="preserve"> </w:t>
      </w:r>
      <w:r w:rsidR="00F32B28" w:rsidRPr="00F32B28">
        <w:rPr>
          <w:rtl/>
        </w:rPr>
        <w:t>مع</w:t>
      </w:r>
      <w:r w:rsidR="00F32B28">
        <w:rPr>
          <w:rtl/>
        </w:rPr>
        <w:t xml:space="preserve"> </w:t>
      </w:r>
      <w:r w:rsidR="00F32B28" w:rsidRPr="00F32B28">
        <w:rPr>
          <w:rtl/>
        </w:rPr>
        <w:t>النساء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ويبين</w:t>
      </w:r>
      <w:r w:rsidR="00F32B28">
        <w:rPr>
          <w:rtl/>
        </w:rPr>
        <w:t xml:space="preserve"> </w:t>
      </w:r>
      <w:r w:rsidR="00F32B28" w:rsidRPr="00F32B28">
        <w:rPr>
          <w:rtl/>
        </w:rPr>
        <w:t>الحقوق</w:t>
      </w:r>
      <w:r w:rsidR="00F32B28">
        <w:rPr>
          <w:rtl/>
        </w:rPr>
        <w:t xml:space="preserve"> </w:t>
      </w:r>
      <w:r w:rsidR="00F32B28" w:rsidRPr="00F32B28">
        <w:rPr>
          <w:rtl/>
        </w:rPr>
        <w:t>والالتزامات</w:t>
      </w:r>
      <w:r w:rsidR="00F32B28">
        <w:rPr>
          <w:rtl/>
        </w:rPr>
        <w:t xml:space="preserve"> </w:t>
      </w:r>
      <w:r w:rsidR="00F32B28" w:rsidRPr="00F32B28">
        <w:rPr>
          <w:rtl/>
        </w:rPr>
        <w:t>التي</w:t>
      </w:r>
      <w:r w:rsidR="00F32B28">
        <w:rPr>
          <w:rtl/>
        </w:rPr>
        <w:t xml:space="preserve"> </w:t>
      </w:r>
      <w:r w:rsidR="00F32B28" w:rsidRPr="00F32B28">
        <w:rPr>
          <w:rtl/>
        </w:rPr>
        <w:t>تحكم</w:t>
      </w:r>
      <w:r w:rsidR="00F32B28">
        <w:rPr>
          <w:rtl/>
        </w:rPr>
        <w:t xml:space="preserve"> </w:t>
      </w:r>
      <w:r w:rsidR="00F32B28" w:rsidRPr="00F32B28">
        <w:rPr>
          <w:rtl/>
        </w:rPr>
        <w:t>العلاقة</w:t>
      </w:r>
      <w:r w:rsidR="00F32B28">
        <w:rPr>
          <w:rtl/>
        </w:rPr>
        <w:t xml:space="preserve"> </w:t>
      </w:r>
      <w:r w:rsidR="00F32B28" w:rsidRPr="00F32B28">
        <w:rPr>
          <w:rtl/>
        </w:rPr>
        <w:t>المهنية</w:t>
      </w:r>
      <w:r w:rsidR="00F32B28">
        <w:rPr>
          <w:rtl/>
        </w:rPr>
        <w:t xml:space="preserve"> </w:t>
      </w:r>
      <w:r w:rsidR="00F32B28" w:rsidRPr="00F32B28">
        <w:rPr>
          <w:rtl/>
        </w:rPr>
        <w:t>ما</w:t>
      </w:r>
      <w:r w:rsidR="00F32B28">
        <w:rPr>
          <w:rtl/>
        </w:rPr>
        <w:t xml:space="preserve"> </w:t>
      </w:r>
      <w:r w:rsidR="00F32B28" w:rsidRPr="00F32B28">
        <w:rPr>
          <w:rtl/>
        </w:rPr>
        <w:t>بين</w:t>
      </w:r>
      <w:r w:rsidR="00F32B28">
        <w:rPr>
          <w:rtl/>
        </w:rPr>
        <w:t xml:space="preserve"> </w:t>
      </w:r>
      <w:r w:rsidR="00F32B28" w:rsidRPr="00F32B28">
        <w:rPr>
          <w:rtl/>
        </w:rPr>
        <w:t>مقدمي</w:t>
      </w:r>
      <w:r w:rsidR="00F32B28">
        <w:rPr>
          <w:rtl/>
        </w:rPr>
        <w:t xml:space="preserve"> </w:t>
      </w:r>
      <w:r w:rsidR="00F32B28" w:rsidRPr="00F32B28">
        <w:rPr>
          <w:rtl/>
        </w:rPr>
        <w:t>الخدمات</w:t>
      </w:r>
      <w:r w:rsidR="00F32B28">
        <w:rPr>
          <w:rtl/>
        </w:rPr>
        <w:t xml:space="preserve"> </w:t>
      </w:r>
      <w:r w:rsidR="00F32B28" w:rsidRPr="00F32B28">
        <w:rPr>
          <w:rtl/>
        </w:rPr>
        <w:t>الطبية</w:t>
      </w:r>
      <w:r w:rsidR="00F32B28">
        <w:rPr>
          <w:rtl/>
        </w:rPr>
        <w:t xml:space="preserve"> </w:t>
      </w:r>
      <w:r w:rsidR="00F32B28" w:rsidRPr="00F32B28">
        <w:rPr>
          <w:rtl/>
        </w:rPr>
        <w:t>والاجتماعية</w:t>
      </w:r>
      <w:r w:rsidR="00F32B28">
        <w:rPr>
          <w:rtl/>
        </w:rPr>
        <w:t xml:space="preserve"> </w:t>
      </w:r>
      <w:r w:rsidR="00F32B28" w:rsidRPr="00F32B28">
        <w:rPr>
          <w:rtl/>
        </w:rPr>
        <w:t>والشرطية</w:t>
      </w:r>
      <w:r w:rsidR="00F32B28">
        <w:rPr>
          <w:rtl/>
        </w:rPr>
        <w:t xml:space="preserve"> </w:t>
      </w:r>
      <w:r w:rsidR="00F32B28" w:rsidRPr="00F32B28">
        <w:rPr>
          <w:rtl/>
        </w:rPr>
        <w:t>وبين</w:t>
      </w:r>
      <w:r w:rsidR="00F32B28">
        <w:rPr>
          <w:rtl/>
        </w:rPr>
        <w:t xml:space="preserve"> </w:t>
      </w:r>
      <w:r w:rsidR="00F32B28" w:rsidRPr="00F32B28">
        <w:rPr>
          <w:rtl/>
        </w:rPr>
        <w:t>هؤلاء</w:t>
      </w:r>
      <w:r w:rsidR="00F32B28">
        <w:rPr>
          <w:rtl/>
        </w:rPr>
        <w:t xml:space="preserve"> </w:t>
      </w:r>
      <w:r w:rsidR="00F32B28" w:rsidRPr="00F32B28">
        <w:rPr>
          <w:rtl/>
        </w:rPr>
        <w:t>النساء.</w:t>
      </w:r>
      <w:r w:rsidR="00F32B28">
        <w:rPr>
          <w:rtl/>
        </w:rPr>
        <w:t xml:space="preserve"> </w:t>
      </w:r>
      <w:r w:rsidR="00F32B28" w:rsidRPr="00F32B28">
        <w:rPr>
          <w:rtl/>
        </w:rPr>
        <w:t>فيحظر</w:t>
      </w:r>
      <w:r w:rsidR="00F32B28">
        <w:rPr>
          <w:rtl/>
        </w:rPr>
        <w:t xml:space="preserve"> </w:t>
      </w:r>
      <w:r w:rsidR="00F32B28" w:rsidRPr="00F32B28">
        <w:rPr>
          <w:rtl/>
          <w:lang w:bidi="ar-SY"/>
        </w:rPr>
        <w:t>على</w:t>
      </w:r>
      <w:r w:rsidR="00F32B28">
        <w:rPr>
          <w:rtl/>
          <w:lang w:bidi="ar-SY"/>
        </w:rPr>
        <w:t xml:space="preserve"> </w:t>
      </w:r>
      <w:r w:rsidR="00F32B28" w:rsidRPr="00F32B28">
        <w:rPr>
          <w:rtl/>
        </w:rPr>
        <w:t>مقدمي</w:t>
      </w:r>
      <w:r w:rsidR="00F32B28">
        <w:rPr>
          <w:rtl/>
        </w:rPr>
        <w:t xml:space="preserve"> </w:t>
      </w:r>
      <w:r w:rsidR="00F32B28" w:rsidRPr="00F32B28">
        <w:rPr>
          <w:rtl/>
        </w:rPr>
        <w:t>الخدمات</w:t>
      </w:r>
      <w:r w:rsidR="00F32B28">
        <w:rPr>
          <w:rtl/>
        </w:rPr>
        <w:t xml:space="preserve"> </w:t>
      </w:r>
      <w:r w:rsidR="00F32B28" w:rsidRPr="00F32B28">
        <w:rPr>
          <w:rtl/>
        </w:rPr>
        <w:t>استغلال</w:t>
      </w:r>
      <w:r w:rsidR="00F32B28">
        <w:rPr>
          <w:rtl/>
        </w:rPr>
        <w:t xml:space="preserve"> </w:t>
      </w:r>
      <w:r w:rsidR="00F32B28" w:rsidRPr="00F32B28">
        <w:rPr>
          <w:rtl/>
        </w:rPr>
        <w:t>المرأة</w:t>
      </w:r>
      <w:r w:rsidR="00F32B28">
        <w:rPr>
          <w:rtl/>
        </w:rPr>
        <w:t xml:space="preserve"> </w:t>
      </w:r>
      <w:r w:rsidR="00F32B28" w:rsidRPr="00F32B28">
        <w:rPr>
          <w:rtl/>
        </w:rPr>
        <w:t>الضحية</w:t>
      </w:r>
      <w:r w:rsidR="00F32B28">
        <w:rPr>
          <w:rtl/>
        </w:rPr>
        <w:t xml:space="preserve"> </w:t>
      </w:r>
      <w:r w:rsidR="00F32B28" w:rsidRPr="00F32B28">
        <w:rPr>
          <w:rtl/>
        </w:rPr>
        <w:lastRenderedPageBreak/>
        <w:t>بأي</w:t>
      </w:r>
      <w:r w:rsidR="00F32B28">
        <w:rPr>
          <w:rtl/>
        </w:rPr>
        <w:t xml:space="preserve"> </w:t>
      </w:r>
      <w:r w:rsidR="00F32B28" w:rsidRPr="00F32B28">
        <w:rPr>
          <w:rtl/>
        </w:rPr>
        <w:t>شكل</w:t>
      </w:r>
      <w:r w:rsidR="00F32B28">
        <w:rPr>
          <w:rtl/>
        </w:rPr>
        <w:t xml:space="preserve"> </w:t>
      </w:r>
      <w:r w:rsidR="00F32B28" w:rsidRPr="00F32B28">
        <w:rPr>
          <w:rtl/>
        </w:rPr>
        <w:t>كان،</w:t>
      </w:r>
      <w:r w:rsidR="00F32B28">
        <w:rPr>
          <w:rtl/>
        </w:rPr>
        <w:t xml:space="preserve"> </w:t>
      </w:r>
      <w:r w:rsidR="00F32B28" w:rsidRPr="00F32B28">
        <w:rPr>
          <w:rtl/>
        </w:rPr>
        <w:t>أو</w:t>
      </w:r>
      <w:r w:rsidR="00F32B28">
        <w:rPr>
          <w:rtl/>
        </w:rPr>
        <w:t xml:space="preserve"> </w:t>
      </w:r>
      <w:r w:rsidR="00F32B28" w:rsidRPr="00F32B28">
        <w:rPr>
          <w:rtl/>
        </w:rPr>
        <w:t>تشجيعها</w:t>
      </w:r>
      <w:r w:rsidR="00F32B28">
        <w:rPr>
          <w:rtl/>
        </w:rPr>
        <w:t xml:space="preserve"> </w:t>
      </w:r>
      <w:r w:rsidR="00F32B28" w:rsidRPr="00F32B28">
        <w:rPr>
          <w:rtl/>
        </w:rPr>
        <w:t>على</w:t>
      </w:r>
      <w:r w:rsidR="00F32B28">
        <w:rPr>
          <w:rtl/>
        </w:rPr>
        <w:t xml:space="preserve"> </w:t>
      </w:r>
      <w:r w:rsidR="00F32B28" w:rsidRPr="00F32B28">
        <w:rPr>
          <w:rtl/>
        </w:rPr>
        <w:t>الارتباط</w:t>
      </w:r>
      <w:r w:rsidR="00F32B28">
        <w:rPr>
          <w:rtl/>
        </w:rPr>
        <w:t xml:space="preserve"> </w:t>
      </w:r>
      <w:r w:rsidR="00F32B28" w:rsidRPr="00F32B28">
        <w:rPr>
          <w:rtl/>
        </w:rPr>
        <w:t>نفسياً</w:t>
      </w:r>
      <w:r w:rsidR="00F32B28">
        <w:rPr>
          <w:rtl/>
        </w:rPr>
        <w:t xml:space="preserve"> </w:t>
      </w:r>
      <w:r w:rsidR="00F32B28" w:rsidRPr="00F32B28">
        <w:rPr>
          <w:rtl/>
        </w:rPr>
        <w:t>وعاطفياً</w:t>
      </w:r>
      <w:r w:rsidR="00F32B28">
        <w:rPr>
          <w:rtl/>
        </w:rPr>
        <w:t xml:space="preserve"> </w:t>
      </w:r>
      <w:r w:rsidR="00F32B28" w:rsidRPr="00F32B28">
        <w:rPr>
          <w:rtl/>
        </w:rPr>
        <w:t>بهؤلاء،</w:t>
      </w:r>
      <w:r w:rsidR="00F32B28">
        <w:rPr>
          <w:rtl/>
        </w:rPr>
        <w:t xml:space="preserve"> </w:t>
      </w:r>
      <w:r w:rsidR="00F32B28" w:rsidRPr="00F32B28">
        <w:rPr>
          <w:rtl/>
        </w:rPr>
        <w:t>أو</w:t>
      </w:r>
      <w:r w:rsidR="00F32B28">
        <w:rPr>
          <w:rtl/>
        </w:rPr>
        <w:t xml:space="preserve"> </w:t>
      </w:r>
      <w:r w:rsidR="00F32B28" w:rsidRPr="00F32B28">
        <w:rPr>
          <w:rtl/>
        </w:rPr>
        <w:t>الدخول</w:t>
      </w:r>
      <w:r w:rsidR="00F32B28">
        <w:rPr>
          <w:rtl/>
        </w:rPr>
        <w:t xml:space="preserve"> </w:t>
      </w:r>
      <w:r w:rsidR="00F32B28" w:rsidRPr="00F32B28">
        <w:rPr>
          <w:rtl/>
        </w:rPr>
        <w:t>بعلاقة</w:t>
      </w:r>
      <w:r w:rsidR="00F32B28">
        <w:rPr>
          <w:rtl/>
        </w:rPr>
        <w:t xml:space="preserve"> </w:t>
      </w:r>
      <w:r w:rsidR="00F32B28" w:rsidRPr="00F32B28">
        <w:rPr>
          <w:rtl/>
        </w:rPr>
        <w:t>معها</w:t>
      </w:r>
      <w:r w:rsidR="00F32B28">
        <w:rPr>
          <w:rtl/>
        </w:rPr>
        <w:t xml:space="preserve"> </w:t>
      </w:r>
      <w:r w:rsidR="00F32B28" w:rsidRPr="00F32B28">
        <w:rPr>
          <w:rtl/>
        </w:rPr>
        <w:t>خارج</w:t>
      </w:r>
      <w:r w:rsidR="00F32B28">
        <w:rPr>
          <w:rtl/>
        </w:rPr>
        <w:t xml:space="preserve"> </w:t>
      </w:r>
      <w:r w:rsidR="00F32B28" w:rsidRPr="00F32B28">
        <w:rPr>
          <w:rtl/>
        </w:rPr>
        <w:t>إطار</w:t>
      </w:r>
      <w:r w:rsidR="00F32B28">
        <w:rPr>
          <w:rtl/>
        </w:rPr>
        <w:t xml:space="preserve"> </w:t>
      </w:r>
      <w:r w:rsidR="00F32B28" w:rsidRPr="00F32B28">
        <w:rPr>
          <w:rtl/>
        </w:rPr>
        <w:t>العلاقة</w:t>
      </w:r>
      <w:r w:rsidR="00F32B28">
        <w:rPr>
          <w:rtl/>
        </w:rPr>
        <w:t xml:space="preserve"> </w:t>
      </w:r>
      <w:r w:rsidR="00F32B28" w:rsidRPr="00F32B28">
        <w:rPr>
          <w:rtl/>
        </w:rPr>
        <w:t>المهنية،</w:t>
      </w:r>
      <w:r w:rsidR="00F32B28">
        <w:rPr>
          <w:rtl/>
        </w:rPr>
        <w:t xml:space="preserve"> </w:t>
      </w:r>
      <w:r w:rsidR="00F32B28" w:rsidRPr="00F32B28">
        <w:rPr>
          <w:rtl/>
        </w:rPr>
        <w:t>أو</w:t>
      </w:r>
      <w:r w:rsidR="00F32B28">
        <w:rPr>
          <w:rtl/>
        </w:rPr>
        <w:t xml:space="preserve"> </w:t>
      </w:r>
      <w:r w:rsidR="00F32B28" w:rsidRPr="00F32B28">
        <w:rPr>
          <w:rtl/>
        </w:rPr>
        <w:t>التوقف</w:t>
      </w:r>
      <w:r w:rsidR="00F32B28">
        <w:rPr>
          <w:rtl/>
        </w:rPr>
        <w:t xml:space="preserve"> </w:t>
      </w:r>
      <w:r w:rsidR="00F32B28" w:rsidRPr="00F32B28">
        <w:rPr>
          <w:rtl/>
        </w:rPr>
        <w:t>عن</w:t>
      </w:r>
      <w:r w:rsidR="00F32B28">
        <w:rPr>
          <w:rtl/>
        </w:rPr>
        <w:t xml:space="preserve"> </w:t>
      </w:r>
      <w:r w:rsidR="00F32B28" w:rsidRPr="00F32B28">
        <w:rPr>
          <w:rtl/>
        </w:rPr>
        <w:t>تقديم</w:t>
      </w:r>
      <w:r w:rsidR="00F32B28">
        <w:rPr>
          <w:rtl/>
        </w:rPr>
        <w:t xml:space="preserve"> </w:t>
      </w:r>
      <w:r w:rsidR="00F32B28" w:rsidRPr="00F32B28">
        <w:rPr>
          <w:rtl/>
        </w:rPr>
        <w:t>الخدمة</w:t>
      </w:r>
      <w:r w:rsidR="00F32B28">
        <w:rPr>
          <w:rtl/>
        </w:rPr>
        <w:t xml:space="preserve"> </w:t>
      </w:r>
      <w:r w:rsidR="00F32B28" w:rsidRPr="00F32B28">
        <w:rPr>
          <w:rtl/>
        </w:rPr>
        <w:t>لها</w:t>
      </w:r>
      <w:r w:rsidR="00F32B28">
        <w:rPr>
          <w:rtl/>
        </w:rPr>
        <w:t xml:space="preserve"> </w:t>
      </w:r>
      <w:r w:rsidR="00F32B28" w:rsidRPr="00F32B28">
        <w:rPr>
          <w:rtl/>
        </w:rPr>
        <w:t>بهدف</w:t>
      </w:r>
      <w:r w:rsidR="00F32B28">
        <w:rPr>
          <w:rtl/>
        </w:rPr>
        <w:t xml:space="preserve"> </w:t>
      </w:r>
      <w:r w:rsidR="00F32B28" w:rsidRPr="00F32B28">
        <w:rPr>
          <w:rtl/>
        </w:rPr>
        <w:t>الضغط</w:t>
      </w:r>
      <w:r w:rsidR="00F32B28">
        <w:rPr>
          <w:rtl/>
        </w:rPr>
        <w:t xml:space="preserve"> </w:t>
      </w:r>
      <w:r w:rsidR="00F32B28" w:rsidRPr="00F32B28">
        <w:rPr>
          <w:rtl/>
        </w:rPr>
        <w:t>عليها</w:t>
      </w:r>
      <w:r w:rsidR="00F32B28">
        <w:rPr>
          <w:rtl/>
        </w:rPr>
        <w:t xml:space="preserve"> </w:t>
      </w:r>
      <w:r w:rsidR="00F32B28" w:rsidRPr="00F32B28">
        <w:rPr>
          <w:rtl/>
        </w:rPr>
        <w:t>لتحقيق</w:t>
      </w:r>
      <w:r w:rsidR="00F32B28">
        <w:rPr>
          <w:rtl/>
        </w:rPr>
        <w:t xml:space="preserve"> </w:t>
      </w:r>
      <w:r w:rsidR="00F32B28" w:rsidRPr="00F32B28">
        <w:rPr>
          <w:rtl/>
        </w:rPr>
        <w:t>أغراض</w:t>
      </w:r>
      <w:r w:rsidR="00F32B28">
        <w:rPr>
          <w:rtl/>
        </w:rPr>
        <w:t xml:space="preserve"> </w:t>
      </w:r>
      <w:r w:rsidR="00F32B28" w:rsidRPr="00F32B28">
        <w:rPr>
          <w:rtl/>
        </w:rPr>
        <w:t>غير</w:t>
      </w:r>
      <w:r w:rsidR="00F32B28">
        <w:rPr>
          <w:rtl/>
        </w:rPr>
        <w:t xml:space="preserve"> </w:t>
      </w:r>
      <w:r w:rsidR="00F32B28" w:rsidRPr="00F32B28">
        <w:rPr>
          <w:rtl/>
        </w:rPr>
        <w:t>مشروعة.</w:t>
      </w:r>
      <w:r w:rsidR="00F32B28">
        <w:rPr>
          <w:rtl/>
        </w:rPr>
        <w:t xml:space="preserve"> </w:t>
      </w:r>
      <w:r w:rsidR="00F32B28" w:rsidRPr="00F32B28">
        <w:rPr>
          <w:rtl/>
        </w:rPr>
        <w:t>كما</w:t>
      </w:r>
      <w:r w:rsidR="00F32B28">
        <w:rPr>
          <w:rtl/>
        </w:rPr>
        <w:t xml:space="preserve"> </w:t>
      </w:r>
      <w:r w:rsidR="00F32B28" w:rsidRPr="00F32B28">
        <w:rPr>
          <w:rtl/>
        </w:rPr>
        <w:t>يلتزم</w:t>
      </w:r>
      <w:r w:rsidR="00F32B28">
        <w:rPr>
          <w:rtl/>
        </w:rPr>
        <w:t xml:space="preserve"> </w:t>
      </w:r>
      <w:r w:rsidR="00F32B28" w:rsidRPr="00F32B28">
        <w:rPr>
          <w:rtl/>
        </w:rPr>
        <w:t>هؤلاء</w:t>
      </w:r>
      <w:r w:rsidR="00F32B28">
        <w:rPr>
          <w:rtl/>
        </w:rPr>
        <w:t xml:space="preserve"> </w:t>
      </w:r>
      <w:r w:rsidR="00F32B28" w:rsidRPr="00F32B28">
        <w:rPr>
          <w:rtl/>
        </w:rPr>
        <w:t>باحترام</w:t>
      </w:r>
      <w:r w:rsidR="00F32B28">
        <w:rPr>
          <w:rtl/>
        </w:rPr>
        <w:t xml:space="preserve"> </w:t>
      </w:r>
      <w:r w:rsidR="00F32B28" w:rsidRPr="00F32B28">
        <w:rPr>
          <w:rtl/>
        </w:rPr>
        <w:t>المرأة</w:t>
      </w:r>
      <w:r w:rsidR="00F32B28">
        <w:rPr>
          <w:rtl/>
        </w:rPr>
        <w:t xml:space="preserve"> </w:t>
      </w:r>
      <w:r w:rsidR="00F32B28" w:rsidRPr="00F32B28">
        <w:rPr>
          <w:rtl/>
        </w:rPr>
        <w:t>ضحية</w:t>
      </w:r>
      <w:r w:rsidR="00F32B28">
        <w:rPr>
          <w:rtl/>
        </w:rPr>
        <w:t xml:space="preserve"> </w:t>
      </w:r>
      <w:r w:rsidR="00F32B28" w:rsidRPr="00F32B28">
        <w:rPr>
          <w:rtl/>
        </w:rPr>
        <w:t>العنف</w:t>
      </w:r>
      <w:r w:rsidR="00F32B28">
        <w:rPr>
          <w:rtl/>
        </w:rPr>
        <w:t xml:space="preserve"> </w:t>
      </w:r>
      <w:r w:rsidR="00F32B28" w:rsidRPr="00F32B28">
        <w:rPr>
          <w:rtl/>
        </w:rPr>
        <w:t>وتقديرها،</w:t>
      </w:r>
      <w:r w:rsidR="008D730A">
        <w:rPr>
          <w:rFonts w:hint="cs"/>
          <w:rtl/>
        </w:rPr>
        <w:t xml:space="preserve"> </w:t>
      </w:r>
      <w:r w:rsidR="00F32B28" w:rsidRPr="00F32B28">
        <w:rPr>
          <w:rtl/>
        </w:rPr>
        <w:t>وتعزيز</w:t>
      </w:r>
      <w:r w:rsidR="00F32B28">
        <w:rPr>
          <w:rtl/>
        </w:rPr>
        <w:t xml:space="preserve"> </w:t>
      </w:r>
      <w:r w:rsidR="00F32B28" w:rsidRPr="00F32B28">
        <w:rPr>
          <w:rtl/>
        </w:rPr>
        <w:t>واحترام</w:t>
      </w:r>
      <w:r w:rsidR="00F32B28">
        <w:rPr>
          <w:rtl/>
        </w:rPr>
        <w:t xml:space="preserve"> </w:t>
      </w:r>
      <w:r w:rsidR="00F32B28" w:rsidRPr="00F32B28">
        <w:rPr>
          <w:rtl/>
        </w:rPr>
        <w:t>حقها</w:t>
      </w:r>
      <w:r w:rsidR="00F32B28">
        <w:rPr>
          <w:rtl/>
        </w:rPr>
        <w:t xml:space="preserve"> </w:t>
      </w:r>
      <w:r w:rsidR="00F32B28" w:rsidRPr="00F32B28">
        <w:rPr>
          <w:rtl/>
        </w:rPr>
        <w:t>في</w:t>
      </w:r>
      <w:r w:rsidR="00F32B28">
        <w:rPr>
          <w:rtl/>
        </w:rPr>
        <w:t xml:space="preserve"> </w:t>
      </w:r>
      <w:r w:rsidR="00F32B28" w:rsidRPr="00F32B28">
        <w:rPr>
          <w:rtl/>
        </w:rPr>
        <w:t>اتخاذ</w:t>
      </w:r>
      <w:r w:rsidR="00F32B28">
        <w:rPr>
          <w:rtl/>
        </w:rPr>
        <w:t xml:space="preserve"> </w:t>
      </w:r>
      <w:r w:rsidR="00F32B28" w:rsidRPr="00F32B28">
        <w:rPr>
          <w:rtl/>
        </w:rPr>
        <w:t>القرار</w:t>
      </w:r>
      <w:r w:rsidR="00F32B28">
        <w:rPr>
          <w:rtl/>
        </w:rPr>
        <w:t xml:space="preserve"> </w:t>
      </w:r>
      <w:r w:rsidR="00F32B28" w:rsidRPr="00F32B28">
        <w:rPr>
          <w:rtl/>
        </w:rPr>
        <w:t>الذي</w:t>
      </w:r>
      <w:r w:rsidR="00F32B28">
        <w:rPr>
          <w:rtl/>
        </w:rPr>
        <w:t xml:space="preserve"> </w:t>
      </w:r>
      <w:r w:rsidR="00F32B28" w:rsidRPr="00F32B28">
        <w:rPr>
          <w:rtl/>
        </w:rPr>
        <w:t>تراه</w:t>
      </w:r>
      <w:r w:rsidR="00F32B28">
        <w:rPr>
          <w:rtl/>
        </w:rPr>
        <w:t xml:space="preserve"> </w:t>
      </w:r>
      <w:r w:rsidR="00F32B28" w:rsidRPr="00F32B28">
        <w:rPr>
          <w:rtl/>
        </w:rPr>
        <w:t>مناسباً</w:t>
      </w:r>
      <w:r w:rsidR="00F32B28">
        <w:rPr>
          <w:rtl/>
        </w:rPr>
        <w:t xml:space="preserve"> </w:t>
      </w:r>
      <w:r w:rsidR="00F32B28" w:rsidRPr="00F32B28">
        <w:rPr>
          <w:rtl/>
        </w:rPr>
        <w:t>لحياتها،</w:t>
      </w:r>
      <w:r w:rsidR="00F32B28">
        <w:rPr>
          <w:rtl/>
        </w:rPr>
        <w:t xml:space="preserve"> </w:t>
      </w:r>
      <w:r w:rsidR="00F32B28" w:rsidRPr="00F32B28">
        <w:rPr>
          <w:rtl/>
        </w:rPr>
        <w:t>وتقديم</w:t>
      </w:r>
      <w:r w:rsidR="00F32B28">
        <w:rPr>
          <w:rtl/>
        </w:rPr>
        <w:t xml:space="preserve"> </w:t>
      </w:r>
      <w:r w:rsidR="00F32B28" w:rsidRPr="00F32B28">
        <w:rPr>
          <w:rtl/>
        </w:rPr>
        <w:t>الخدمات</w:t>
      </w:r>
      <w:r w:rsidR="00F32B28">
        <w:rPr>
          <w:rtl/>
        </w:rPr>
        <w:t xml:space="preserve"> </w:t>
      </w:r>
      <w:r w:rsidR="00F32B28" w:rsidRPr="00F32B28">
        <w:rPr>
          <w:rtl/>
        </w:rPr>
        <w:t>لها</w:t>
      </w:r>
      <w:r w:rsidR="00F32B28">
        <w:rPr>
          <w:rtl/>
        </w:rPr>
        <w:t xml:space="preserve"> </w:t>
      </w:r>
      <w:r w:rsidR="00F32B28" w:rsidRPr="00F32B28">
        <w:rPr>
          <w:rtl/>
        </w:rPr>
        <w:t>دون</w:t>
      </w:r>
      <w:r w:rsidR="00F32B28">
        <w:rPr>
          <w:rtl/>
        </w:rPr>
        <w:t xml:space="preserve"> </w:t>
      </w:r>
      <w:r w:rsidR="00F32B28" w:rsidRPr="00F32B28">
        <w:rPr>
          <w:rtl/>
        </w:rPr>
        <w:t>تمييز،</w:t>
      </w:r>
      <w:r w:rsidR="00F32B28">
        <w:rPr>
          <w:rtl/>
        </w:rPr>
        <w:t xml:space="preserve"> </w:t>
      </w:r>
      <w:r w:rsidR="00F32B28" w:rsidRPr="00F32B28">
        <w:rPr>
          <w:rtl/>
        </w:rPr>
        <w:t>والمحافظة</w:t>
      </w:r>
      <w:r w:rsidR="00F32B28">
        <w:rPr>
          <w:rtl/>
        </w:rPr>
        <w:t xml:space="preserve"> </w:t>
      </w:r>
      <w:r w:rsidR="00F32B28" w:rsidRPr="00F32B28">
        <w:rPr>
          <w:rtl/>
        </w:rPr>
        <w:t>على</w:t>
      </w:r>
      <w:r w:rsidR="00F32B28">
        <w:rPr>
          <w:rtl/>
        </w:rPr>
        <w:t xml:space="preserve"> </w:t>
      </w:r>
      <w:r w:rsidR="00F32B28" w:rsidRPr="00F32B28">
        <w:rPr>
          <w:rtl/>
        </w:rPr>
        <w:t>جميع</w:t>
      </w:r>
      <w:r w:rsidR="00F32B28">
        <w:rPr>
          <w:rtl/>
        </w:rPr>
        <w:t xml:space="preserve"> </w:t>
      </w:r>
      <w:r w:rsidR="00F32B28" w:rsidRPr="00F32B28">
        <w:rPr>
          <w:rtl/>
        </w:rPr>
        <w:t>المعلومات</w:t>
      </w:r>
      <w:r w:rsidR="00F32B28">
        <w:rPr>
          <w:rtl/>
        </w:rPr>
        <w:t xml:space="preserve"> </w:t>
      </w:r>
      <w:r w:rsidR="00F32B28" w:rsidRPr="00F32B28">
        <w:rPr>
          <w:rtl/>
        </w:rPr>
        <w:t>المتعلقة</w:t>
      </w:r>
      <w:r w:rsidR="00F32B28">
        <w:rPr>
          <w:rtl/>
        </w:rPr>
        <w:t xml:space="preserve"> </w:t>
      </w:r>
      <w:r w:rsidR="00F32B28" w:rsidRPr="00F32B28">
        <w:rPr>
          <w:rtl/>
        </w:rPr>
        <w:t>بها</w:t>
      </w:r>
      <w:r w:rsidR="00F32B28">
        <w:rPr>
          <w:rtl/>
        </w:rPr>
        <w:t xml:space="preserve"> </w:t>
      </w:r>
      <w:r w:rsidR="00F32B28" w:rsidRPr="00F32B28">
        <w:rPr>
          <w:rtl/>
        </w:rPr>
        <w:t>والتعامل</w:t>
      </w:r>
      <w:r w:rsidR="00F32B28">
        <w:rPr>
          <w:rtl/>
        </w:rPr>
        <w:t xml:space="preserve"> </w:t>
      </w:r>
      <w:r w:rsidR="00F32B28" w:rsidRPr="00F32B28">
        <w:rPr>
          <w:rtl/>
        </w:rPr>
        <w:t>معها</w:t>
      </w:r>
      <w:r w:rsidR="00F32B28">
        <w:rPr>
          <w:rtl/>
        </w:rPr>
        <w:t xml:space="preserve"> </w:t>
      </w:r>
      <w:r w:rsidR="00F32B28" w:rsidRPr="00F32B28">
        <w:rPr>
          <w:rtl/>
        </w:rPr>
        <w:t>بشكل</w:t>
      </w:r>
      <w:r w:rsidR="008D730A">
        <w:rPr>
          <w:rFonts w:hint="cs"/>
          <w:rtl/>
        </w:rPr>
        <w:t> </w:t>
      </w:r>
      <w:r w:rsidR="00F32B28" w:rsidRPr="00F32B28">
        <w:rPr>
          <w:rtl/>
        </w:rPr>
        <w:t>سري.</w:t>
      </w:r>
    </w:p>
    <w:p w:rsidR="009C6174" w:rsidRPr="009C6174" w:rsidRDefault="009C6174" w:rsidP="009C61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F32B28" w:rsidRPr="00F32B28" w:rsidRDefault="00DF0562" w:rsidP="00DF05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F32B28" w:rsidRPr="00F32B28">
        <w:rPr>
          <w:rtl/>
        </w:rPr>
        <w:t>المسؤولية</w:t>
      </w:r>
      <w:r w:rsidR="00F32B28">
        <w:rPr>
          <w:rtl/>
        </w:rPr>
        <w:t xml:space="preserve"> </w:t>
      </w:r>
      <w:r w:rsidR="00F32B28" w:rsidRPr="00F32B28">
        <w:rPr>
          <w:rtl/>
        </w:rPr>
        <w:t>عن</w:t>
      </w:r>
      <w:r w:rsidR="00F32B28">
        <w:rPr>
          <w:rtl/>
        </w:rPr>
        <w:t xml:space="preserve"> </w:t>
      </w:r>
      <w:r w:rsidR="00F32B28" w:rsidRPr="00F32B28">
        <w:rPr>
          <w:rtl/>
        </w:rPr>
        <w:t>أفعال</w:t>
      </w:r>
      <w:r w:rsidR="00F32B28">
        <w:rPr>
          <w:rtl/>
        </w:rPr>
        <w:t xml:space="preserve"> </w:t>
      </w:r>
      <w:r w:rsidR="00F32B28" w:rsidRPr="00F32B28">
        <w:rPr>
          <w:rtl/>
        </w:rPr>
        <w:t>الأطراف</w:t>
      </w:r>
      <w:r w:rsidR="00F32B28">
        <w:rPr>
          <w:rtl/>
        </w:rPr>
        <w:t xml:space="preserve"> </w:t>
      </w:r>
      <w:r w:rsidR="00F32B28" w:rsidRPr="00F32B28">
        <w:rPr>
          <w:rtl/>
        </w:rPr>
        <w:t>الثالثة</w:t>
      </w:r>
      <w:r w:rsidR="00F32B28">
        <w:rPr>
          <w:rtl/>
        </w:rPr>
        <w:t xml:space="preserve"> </w:t>
      </w:r>
    </w:p>
    <w:p w:rsidR="00F32B28" w:rsidRPr="00F32B28" w:rsidRDefault="00DF0562" w:rsidP="00DF0562">
      <w:pPr>
        <w:pStyle w:val="SingleTxt"/>
        <w:rPr>
          <w:rtl/>
          <w:lang w:bidi="ar-SY"/>
        </w:rPr>
      </w:pPr>
      <w:r>
        <w:rPr>
          <w:rFonts w:hint="cs"/>
          <w:rtl/>
          <w:lang w:bidi="ar-SY"/>
        </w:rPr>
        <w:t>35 -</w:t>
      </w:r>
      <w:r>
        <w:rPr>
          <w:rFonts w:hint="cs"/>
          <w:rtl/>
          <w:lang w:bidi="ar-SY"/>
        </w:rPr>
        <w:tab/>
      </w:r>
      <w:r w:rsidR="00F32B28" w:rsidRPr="00F32B28">
        <w:rPr>
          <w:rtl/>
          <w:lang w:bidi="ar-SY"/>
        </w:rPr>
        <w:t>تعمد</w:t>
      </w:r>
      <w:r w:rsidR="00F32B28">
        <w:rPr>
          <w:rtl/>
          <w:lang w:bidi="ar-SY"/>
        </w:rPr>
        <w:t xml:space="preserve"> </w:t>
      </w:r>
      <w:r w:rsidR="00F32B28" w:rsidRPr="00F32B28">
        <w:rPr>
          <w:rtl/>
          <w:lang w:bidi="ar-SY"/>
        </w:rPr>
        <w:t>الحكومة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تبني</w:t>
      </w:r>
      <w:r w:rsidR="00F32B28">
        <w:rPr>
          <w:rtl/>
          <w:lang w:bidi="ar-SY"/>
        </w:rPr>
        <w:t xml:space="preserve"> </w:t>
      </w:r>
      <w:r w:rsidR="00F32B28" w:rsidRPr="00F32B28">
        <w:rPr>
          <w:rtl/>
          <w:lang w:bidi="ar-SY"/>
        </w:rPr>
        <w:t>مختلف</w:t>
      </w:r>
      <w:r w:rsidR="00F32B28">
        <w:rPr>
          <w:rtl/>
          <w:lang w:bidi="ar-SY"/>
        </w:rPr>
        <w:t xml:space="preserve"> </w:t>
      </w:r>
      <w:r w:rsidR="00F32B28" w:rsidRPr="00F32B28">
        <w:rPr>
          <w:rtl/>
        </w:rPr>
        <w:t>التدابير</w:t>
      </w:r>
      <w:r w:rsidR="00F32B28">
        <w:rPr>
          <w:rtl/>
        </w:rPr>
        <w:t xml:space="preserve"> </w:t>
      </w:r>
      <w:r w:rsidR="00F32B28" w:rsidRPr="00F32B28">
        <w:rPr>
          <w:rtl/>
        </w:rPr>
        <w:t>اللازمة</w:t>
      </w:r>
      <w:r w:rsidR="00F32B28">
        <w:rPr>
          <w:rtl/>
        </w:rPr>
        <w:t xml:space="preserve"> </w:t>
      </w:r>
      <w:r w:rsidR="00F32B28" w:rsidRPr="00F32B28">
        <w:rPr>
          <w:rtl/>
        </w:rPr>
        <w:t>لحماية</w:t>
      </w:r>
      <w:r w:rsidR="00F32B28">
        <w:rPr>
          <w:rtl/>
        </w:rPr>
        <w:t xml:space="preserve"> </w:t>
      </w:r>
      <w:r w:rsidR="00F32B28" w:rsidRPr="00F32B28">
        <w:rPr>
          <w:rtl/>
        </w:rPr>
        <w:t>النساء</w:t>
      </w:r>
      <w:r w:rsidR="00F32B28">
        <w:rPr>
          <w:rtl/>
        </w:rPr>
        <w:t xml:space="preserve"> </w:t>
      </w:r>
      <w:r w:rsidR="00F32B28" w:rsidRPr="00F32B28">
        <w:rPr>
          <w:rtl/>
        </w:rPr>
        <w:t>من</w:t>
      </w:r>
      <w:r w:rsidR="00F32B28">
        <w:rPr>
          <w:rtl/>
        </w:rPr>
        <w:t xml:space="preserve"> </w:t>
      </w:r>
      <w:r w:rsidR="00F32B28" w:rsidRPr="00F32B28">
        <w:rPr>
          <w:rtl/>
        </w:rPr>
        <w:t>الاعتداءات</w:t>
      </w:r>
      <w:r w:rsidR="00F32B28">
        <w:rPr>
          <w:rtl/>
        </w:rPr>
        <w:t xml:space="preserve"> </w:t>
      </w:r>
      <w:r w:rsidR="00F32B28" w:rsidRPr="00F32B28">
        <w:rPr>
          <w:rtl/>
        </w:rPr>
        <w:t>والأفعال</w:t>
      </w:r>
      <w:r w:rsidR="00F32B28">
        <w:rPr>
          <w:rtl/>
        </w:rPr>
        <w:t xml:space="preserve"> </w:t>
      </w:r>
      <w:r w:rsidR="00F32B28" w:rsidRPr="00F32B28">
        <w:rPr>
          <w:rtl/>
        </w:rPr>
        <w:t>التمييزية</w:t>
      </w:r>
      <w:r w:rsidR="00F32B28">
        <w:rPr>
          <w:rtl/>
        </w:rPr>
        <w:t xml:space="preserve"> </w:t>
      </w:r>
      <w:r w:rsidR="00F32B28" w:rsidRPr="00F32B28">
        <w:rPr>
          <w:rtl/>
        </w:rPr>
        <w:t>الممارسة</w:t>
      </w:r>
      <w:r w:rsidR="00F32B28">
        <w:rPr>
          <w:rtl/>
        </w:rPr>
        <w:t xml:space="preserve"> </w:t>
      </w:r>
      <w:r w:rsidR="00F32B28" w:rsidRPr="00F32B28">
        <w:rPr>
          <w:rtl/>
        </w:rPr>
        <w:t>ضدهن</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أفراد</w:t>
      </w:r>
      <w:r w:rsidR="00F32B28">
        <w:rPr>
          <w:rtl/>
        </w:rPr>
        <w:t xml:space="preserve"> </w:t>
      </w:r>
      <w:r w:rsidR="00F32B28" w:rsidRPr="00F32B28">
        <w:rPr>
          <w:rtl/>
        </w:rPr>
        <w:t>وجهات</w:t>
      </w:r>
      <w:r w:rsidR="00F32B28">
        <w:rPr>
          <w:rtl/>
        </w:rPr>
        <w:t xml:space="preserve"> </w:t>
      </w:r>
      <w:r w:rsidR="00F32B28" w:rsidRPr="00F32B28">
        <w:rPr>
          <w:rtl/>
        </w:rPr>
        <w:t>خاصة</w:t>
      </w:r>
      <w:r w:rsidR="00F32B28">
        <w:rPr>
          <w:rtl/>
        </w:rPr>
        <w:t xml:space="preserve"> </w:t>
      </w:r>
      <w:r w:rsidR="00F32B28" w:rsidRPr="00F32B28">
        <w:rPr>
          <w:rtl/>
        </w:rPr>
        <w:t>وتعويضهن</w:t>
      </w:r>
      <w:r w:rsidR="00F32B28">
        <w:rPr>
          <w:rtl/>
        </w:rPr>
        <w:t xml:space="preserve"> </w:t>
      </w:r>
      <w:r w:rsidR="00F32B28" w:rsidRPr="00F32B28">
        <w:rPr>
          <w:rtl/>
        </w:rPr>
        <w:t>عن</w:t>
      </w:r>
      <w:r w:rsidR="00F32B28">
        <w:rPr>
          <w:rtl/>
        </w:rPr>
        <w:t xml:space="preserve"> </w:t>
      </w:r>
      <w:r w:rsidR="00F32B28" w:rsidRPr="00F32B28">
        <w:rPr>
          <w:rtl/>
        </w:rPr>
        <w:t>ذلك.</w:t>
      </w:r>
      <w:r w:rsidR="00F32B28">
        <w:rPr>
          <w:rtl/>
        </w:rPr>
        <w:t xml:space="preserve"> </w:t>
      </w:r>
      <w:r w:rsidR="00F32B28" w:rsidRPr="00F32B28">
        <w:rPr>
          <w:rtl/>
          <w:lang w:bidi="ar-SY"/>
        </w:rPr>
        <w:t>فعلى</w:t>
      </w:r>
      <w:r w:rsidR="00F32B28">
        <w:rPr>
          <w:rtl/>
          <w:lang w:bidi="ar-SY"/>
        </w:rPr>
        <w:t xml:space="preserve"> </w:t>
      </w:r>
      <w:r w:rsidR="00F32B28" w:rsidRPr="00F32B28">
        <w:rPr>
          <w:rtl/>
          <w:lang w:bidi="ar-SY"/>
        </w:rPr>
        <w:t>سبيل</w:t>
      </w:r>
      <w:r w:rsidR="00F32B28">
        <w:rPr>
          <w:rtl/>
          <w:lang w:bidi="ar-SY"/>
        </w:rPr>
        <w:t xml:space="preserve"> </w:t>
      </w:r>
      <w:r w:rsidR="00F32B28" w:rsidRPr="00F32B28">
        <w:rPr>
          <w:rtl/>
          <w:lang w:bidi="ar-SY"/>
        </w:rPr>
        <w:t>المثال،</w:t>
      </w:r>
      <w:r w:rsidR="00F32B28">
        <w:rPr>
          <w:rtl/>
          <w:lang w:bidi="ar-SY"/>
        </w:rPr>
        <w:t xml:space="preserve"> </w:t>
      </w:r>
      <w:r w:rsidR="00F32B28" w:rsidRPr="00F32B28">
        <w:rPr>
          <w:rtl/>
          <w:lang w:bidi="ar-SY"/>
        </w:rPr>
        <w:t>تصرف</w:t>
      </w:r>
      <w:r w:rsidR="00F32B28">
        <w:rPr>
          <w:rtl/>
          <w:lang w:bidi="ar-SY"/>
        </w:rPr>
        <w:t xml:space="preserve"> </w:t>
      </w:r>
      <w:r w:rsidR="00F32B28" w:rsidRPr="00F32B28">
        <w:rPr>
          <w:rtl/>
          <w:lang w:bidi="ar-SY"/>
        </w:rPr>
        <w:t>الحكومة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الموازنة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وعن</w:t>
      </w:r>
      <w:r w:rsidR="00F32B28">
        <w:rPr>
          <w:rtl/>
          <w:lang w:bidi="ar-SY"/>
        </w:rPr>
        <w:t xml:space="preserve"> </w:t>
      </w:r>
      <w:r w:rsidR="00F32B28" w:rsidRPr="00F32B28">
        <w:rPr>
          <w:rtl/>
          <w:lang w:bidi="ar-SY"/>
        </w:rPr>
        <w:t>طريق</w:t>
      </w:r>
      <w:r w:rsidR="00F32B28">
        <w:rPr>
          <w:rtl/>
          <w:lang w:bidi="ar-SY"/>
        </w:rPr>
        <w:t xml:space="preserve"> </w:t>
      </w:r>
      <w:r w:rsidR="00F32B28" w:rsidRPr="00F32B28">
        <w:rPr>
          <w:rtl/>
          <w:lang w:bidi="ar-SY"/>
        </w:rPr>
        <w:t>المؤسسات</w:t>
      </w:r>
      <w:r w:rsidR="00F32B28">
        <w:rPr>
          <w:rtl/>
          <w:lang w:bidi="ar-SY"/>
        </w:rPr>
        <w:t xml:space="preserve"> </w:t>
      </w:r>
      <w:r w:rsidR="00F32B28" w:rsidRPr="00F32B28">
        <w:rPr>
          <w:rtl/>
          <w:lang w:bidi="ar-SY"/>
        </w:rPr>
        <w:t>المعنية،</w:t>
      </w:r>
      <w:r w:rsidR="00F32B28">
        <w:rPr>
          <w:rtl/>
          <w:lang w:bidi="ar-SY"/>
        </w:rPr>
        <w:t xml:space="preserve"> </w:t>
      </w:r>
      <w:r w:rsidR="00F32B28" w:rsidRPr="00F32B28">
        <w:rPr>
          <w:rtl/>
          <w:lang w:bidi="ar-SY"/>
        </w:rPr>
        <w:t>مخصصات</w:t>
      </w:r>
      <w:r w:rsidR="00F32B28">
        <w:rPr>
          <w:rtl/>
          <w:lang w:bidi="ar-SY"/>
        </w:rPr>
        <w:t xml:space="preserve"> </w:t>
      </w:r>
      <w:r w:rsidR="00F32B28" w:rsidRPr="00F32B28">
        <w:rPr>
          <w:rtl/>
          <w:lang w:bidi="ar-SY"/>
        </w:rPr>
        <w:t>مالية</w:t>
      </w:r>
      <w:r w:rsidR="00F32B28">
        <w:rPr>
          <w:rtl/>
          <w:lang w:bidi="ar-SY"/>
        </w:rPr>
        <w:t xml:space="preserve"> </w:t>
      </w:r>
      <w:r w:rsidR="00F32B28" w:rsidRPr="00F32B28">
        <w:rPr>
          <w:rtl/>
          <w:lang w:bidi="ar-SY"/>
        </w:rPr>
        <w:t>شهرية</w:t>
      </w:r>
      <w:r w:rsidR="00F32B28">
        <w:rPr>
          <w:rtl/>
          <w:lang w:bidi="ar-SY"/>
        </w:rPr>
        <w:t xml:space="preserve"> </w:t>
      </w:r>
      <w:r w:rsidR="00F32B28" w:rsidRPr="00F32B28">
        <w:rPr>
          <w:rtl/>
          <w:lang w:bidi="ar-SY"/>
        </w:rPr>
        <w:t>لأسر</w:t>
      </w:r>
      <w:r w:rsidR="00F32B28">
        <w:rPr>
          <w:rtl/>
          <w:lang w:bidi="ar-SY"/>
        </w:rPr>
        <w:t xml:space="preserve"> </w:t>
      </w:r>
      <w:r w:rsidR="00F32B28" w:rsidRPr="00F32B28">
        <w:rPr>
          <w:rtl/>
          <w:lang w:bidi="ar-SY"/>
        </w:rPr>
        <w:t>الشهداء</w:t>
      </w:r>
      <w:r w:rsidR="00F32B28">
        <w:rPr>
          <w:rtl/>
          <w:lang w:bidi="ar-SY"/>
        </w:rPr>
        <w:t xml:space="preserve"> </w:t>
      </w:r>
      <w:r w:rsidR="00F32B28" w:rsidRPr="00F32B28">
        <w:rPr>
          <w:rtl/>
          <w:lang w:bidi="ar-SY"/>
        </w:rPr>
        <w:t>والجرحى</w:t>
      </w:r>
      <w:r w:rsidR="00F32B28">
        <w:rPr>
          <w:rtl/>
          <w:lang w:bidi="ar-SY"/>
        </w:rPr>
        <w:t xml:space="preserve"> </w:t>
      </w:r>
      <w:r w:rsidR="00F32B28" w:rsidRPr="00F32B28">
        <w:rPr>
          <w:rtl/>
          <w:lang w:bidi="ar-SY"/>
        </w:rPr>
        <w:t>والأسرى،</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محاولةً</w:t>
      </w:r>
      <w:r w:rsidR="00F32B28">
        <w:rPr>
          <w:rtl/>
          <w:lang w:bidi="ar-SY"/>
        </w:rPr>
        <w:t xml:space="preserve"> </w:t>
      </w:r>
      <w:r w:rsidR="00F32B28" w:rsidRPr="00F32B28">
        <w:rPr>
          <w:rtl/>
          <w:lang w:bidi="ar-SY"/>
        </w:rPr>
        <w:t>منها</w:t>
      </w:r>
      <w:r w:rsidR="00F32B28">
        <w:rPr>
          <w:rtl/>
          <w:lang w:bidi="ar-SY"/>
        </w:rPr>
        <w:t xml:space="preserve"> </w:t>
      </w:r>
      <w:r w:rsidR="00F32B28" w:rsidRPr="00F32B28">
        <w:rPr>
          <w:rtl/>
          <w:lang w:bidi="ar-SY"/>
        </w:rPr>
        <w:t>التخفيف</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وطأة</w:t>
      </w:r>
      <w:r w:rsidR="00F32B28">
        <w:rPr>
          <w:rtl/>
          <w:lang w:bidi="ar-SY"/>
        </w:rPr>
        <w:t xml:space="preserve"> </w:t>
      </w:r>
      <w:r w:rsidR="00F32B28" w:rsidRPr="00F32B28">
        <w:rPr>
          <w:rtl/>
          <w:lang w:bidi="ar-SY"/>
        </w:rPr>
        <w:t>جرائم</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عادة</w:t>
      </w:r>
      <w:r w:rsidR="00F32B28">
        <w:rPr>
          <w:rtl/>
          <w:lang w:bidi="ar-SY"/>
        </w:rPr>
        <w:t xml:space="preserve"> </w:t>
      </w:r>
      <w:r w:rsidR="00F32B28" w:rsidRPr="00F32B28">
        <w:rPr>
          <w:rtl/>
          <w:lang w:bidi="ar-SY"/>
        </w:rPr>
        <w:t>ما</w:t>
      </w:r>
      <w:r w:rsidR="008C7FF9">
        <w:rPr>
          <w:rFonts w:hint="cs"/>
          <w:rtl/>
          <w:lang w:bidi="ar-SY"/>
        </w:rPr>
        <w:t> </w:t>
      </w:r>
      <w:r w:rsidR="00F32B28" w:rsidRPr="00F32B28">
        <w:rPr>
          <w:rtl/>
          <w:lang w:bidi="ar-SY"/>
        </w:rPr>
        <w:t>تكون</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الأكثر</w:t>
      </w:r>
      <w:r w:rsidR="00F32B28">
        <w:rPr>
          <w:rtl/>
          <w:lang w:bidi="ar-SY"/>
        </w:rPr>
        <w:t xml:space="preserve"> </w:t>
      </w:r>
      <w:r w:rsidR="00F32B28" w:rsidRPr="00F32B28">
        <w:rPr>
          <w:rtl/>
          <w:lang w:bidi="ar-SY"/>
        </w:rPr>
        <w:t>تضرراً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الجرائم،</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نتج</w:t>
      </w:r>
      <w:r w:rsidR="00F32B28">
        <w:rPr>
          <w:rtl/>
          <w:lang w:bidi="ar-SY"/>
        </w:rPr>
        <w:t xml:space="preserve"> </w:t>
      </w:r>
      <w:r w:rsidR="00F32B28" w:rsidRPr="00F32B28">
        <w:rPr>
          <w:rtl/>
          <w:lang w:bidi="ar-SY"/>
        </w:rPr>
        <w:t>عنها</w:t>
      </w:r>
      <w:r w:rsidR="00F32B28">
        <w:rPr>
          <w:rtl/>
          <w:lang w:bidi="ar-SY"/>
        </w:rPr>
        <w:t xml:space="preserve"> </w:t>
      </w:r>
      <w:r w:rsidR="00F32B28" w:rsidRPr="00F32B28">
        <w:rPr>
          <w:rtl/>
          <w:lang w:bidi="ar-SY"/>
        </w:rPr>
        <w:t>قتل</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أسر</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جرح</w:t>
      </w:r>
      <w:r w:rsidR="00F32B28">
        <w:rPr>
          <w:rtl/>
          <w:lang w:bidi="ar-SY"/>
        </w:rPr>
        <w:t xml:space="preserve"> </w:t>
      </w:r>
      <w:r w:rsidR="00F32B28" w:rsidRPr="00F32B28">
        <w:rPr>
          <w:rtl/>
          <w:lang w:bidi="ar-SY"/>
        </w:rPr>
        <w:t>أحد</w:t>
      </w:r>
      <w:r w:rsidR="00F32B28">
        <w:rPr>
          <w:rtl/>
          <w:lang w:bidi="ar-SY"/>
        </w:rPr>
        <w:t xml:space="preserve"> </w:t>
      </w:r>
      <w:r w:rsidR="00F32B28" w:rsidRPr="00F32B28">
        <w:rPr>
          <w:rtl/>
          <w:lang w:bidi="ar-SY"/>
        </w:rPr>
        <w:t>أفراد</w:t>
      </w:r>
      <w:r w:rsidR="00F32B28">
        <w:rPr>
          <w:rtl/>
          <w:lang w:bidi="ar-SY"/>
        </w:rPr>
        <w:t xml:space="preserve"> </w:t>
      </w:r>
      <w:r w:rsidR="00F32B28" w:rsidRPr="00F32B28">
        <w:rPr>
          <w:rtl/>
          <w:lang w:bidi="ar-SY"/>
        </w:rPr>
        <w:t>الأسرة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المعيل</w:t>
      </w:r>
      <w:r w:rsidR="00F32B28">
        <w:rPr>
          <w:rtl/>
          <w:lang w:bidi="ar-SY"/>
        </w:rPr>
        <w:t xml:space="preserve"> </w:t>
      </w:r>
      <w:r w:rsidR="00F32B28" w:rsidRPr="00F32B28">
        <w:rPr>
          <w:rtl/>
          <w:lang w:bidi="ar-SY"/>
        </w:rPr>
        <w:t>وغياب</w:t>
      </w:r>
      <w:r w:rsidR="00F32B28">
        <w:rPr>
          <w:rtl/>
          <w:lang w:bidi="ar-SY"/>
        </w:rPr>
        <w:t xml:space="preserve"> </w:t>
      </w:r>
      <w:r w:rsidR="00F32B28" w:rsidRPr="00F32B28">
        <w:rPr>
          <w:rtl/>
          <w:lang w:bidi="ar-SY"/>
        </w:rPr>
        <w:t>مصادر</w:t>
      </w:r>
      <w:r w:rsidR="00F32B28">
        <w:rPr>
          <w:rtl/>
          <w:lang w:bidi="ar-SY"/>
        </w:rPr>
        <w:t xml:space="preserve"> </w:t>
      </w:r>
      <w:r w:rsidR="00F32B28" w:rsidRPr="00F32B28">
        <w:rPr>
          <w:rtl/>
          <w:lang w:bidi="ar-SY"/>
        </w:rPr>
        <w:t>الدخل.</w:t>
      </w:r>
    </w:p>
    <w:p w:rsidR="00F32B28" w:rsidRPr="00F32B28" w:rsidRDefault="00DF6B4E" w:rsidP="00DF6B4E">
      <w:pPr>
        <w:pStyle w:val="SingleTxt"/>
      </w:pPr>
      <w:r>
        <w:rPr>
          <w:rFonts w:hint="cs"/>
          <w:rtl/>
          <w:lang w:bidi="ar-SY"/>
        </w:rPr>
        <w:t>36 -</w:t>
      </w:r>
      <w:r>
        <w:rPr>
          <w:rFonts w:hint="cs"/>
          <w:rtl/>
          <w:lang w:bidi="ar-SY"/>
        </w:rPr>
        <w:tab/>
      </w:r>
      <w:r w:rsidR="00F32B28" w:rsidRPr="00F32B28">
        <w:rPr>
          <w:rtl/>
          <w:lang w:bidi="ar-SY"/>
        </w:rPr>
        <w:t>إنشاء</w:t>
      </w:r>
      <w:r w:rsidR="00F32B28">
        <w:rPr>
          <w:rtl/>
          <w:lang w:bidi="ar-SY"/>
        </w:rPr>
        <w:t xml:space="preserve"> </w:t>
      </w:r>
      <w:r w:rsidR="00F32B28" w:rsidRPr="00F32B28">
        <w:rPr>
          <w:rtl/>
          <w:lang w:bidi="ar-SY"/>
        </w:rPr>
        <w:t>صندوق</w:t>
      </w:r>
      <w:r w:rsidR="00F32B28">
        <w:rPr>
          <w:rtl/>
          <w:lang w:bidi="ar-SY"/>
        </w:rPr>
        <w:t xml:space="preserve"> </w:t>
      </w:r>
      <w:r w:rsidR="00F32B28" w:rsidRPr="00F32B28">
        <w:rPr>
          <w:rtl/>
          <w:lang w:bidi="ar-SY"/>
        </w:rPr>
        <w:t>النفقة</w:t>
      </w:r>
      <w:r w:rsidR="00F32B28">
        <w:rPr>
          <w:rtl/>
          <w:lang w:bidi="ar-SY"/>
        </w:rPr>
        <w:t xml:space="preserve"> </w:t>
      </w:r>
      <w:r w:rsidR="00F32B28" w:rsidRPr="00F32B28">
        <w:rPr>
          <w:rtl/>
          <w:lang w:bidi="ar-SY"/>
        </w:rPr>
        <w:t>بموجب</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رقم</w:t>
      </w:r>
      <w:r w:rsidR="00F32B28">
        <w:rPr>
          <w:rtl/>
          <w:lang w:bidi="ar-SY"/>
        </w:rPr>
        <w:t xml:space="preserve"> </w:t>
      </w:r>
      <w:r w:rsidR="00F32B28" w:rsidRPr="00F32B28">
        <w:rPr>
          <w:rtl/>
          <w:lang w:bidi="ar-SY"/>
        </w:rPr>
        <w:t>(6)</w:t>
      </w:r>
      <w:r w:rsidR="00F32B28">
        <w:rPr>
          <w:rtl/>
          <w:lang w:bidi="ar-SY"/>
        </w:rPr>
        <w:t xml:space="preserve"> </w:t>
      </w:r>
      <w:r w:rsidR="00F32B28" w:rsidRPr="00F32B28">
        <w:rPr>
          <w:rtl/>
          <w:lang w:bidi="ar-SY"/>
        </w:rPr>
        <w:t>لسنة</w:t>
      </w:r>
      <w:r w:rsidR="00F32B28">
        <w:rPr>
          <w:rtl/>
          <w:lang w:bidi="ar-SY"/>
        </w:rPr>
        <w:t xml:space="preserve"> </w:t>
      </w:r>
      <w:r w:rsidR="00F32B28" w:rsidRPr="00F32B28">
        <w:rPr>
          <w:rtl/>
          <w:lang w:bidi="ar-SY"/>
        </w:rPr>
        <w:t>2005</w:t>
      </w:r>
      <w:r w:rsidR="00F32B28">
        <w:rPr>
          <w:rtl/>
          <w:lang w:bidi="ar-SY"/>
        </w:rPr>
        <w:t xml:space="preserve"> </w:t>
      </w:r>
      <w:r w:rsidR="00F32B28" w:rsidRPr="00F32B28">
        <w:rPr>
          <w:rtl/>
          <w:lang w:bidi="ar-SY"/>
        </w:rPr>
        <w:t>بهدف</w:t>
      </w:r>
      <w:r w:rsidR="00F32B28">
        <w:rPr>
          <w:rtl/>
          <w:lang w:bidi="ar-SY"/>
        </w:rPr>
        <w:t xml:space="preserve"> </w:t>
      </w:r>
      <w:r w:rsidR="00F32B28" w:rsidRPr="00F32B28">
        <w:rPr>
          <w:rtl/>
          <w:lang w:bidi="ar-SY"/>
        </w:rPr>
        <w:t>حماية</w:t>
      </w:r>
      <w:r w:rsidR="00F32B28">
        <w:rPr>
          <w:rtl/>
          <w:lang w:bidi="ar-SY"/>
        </w:rPr>
        <w:t xml:space="preserve"> </w:t>
      </w:r>
      <w:r w:rsidR="00F32B28" w:rsidRPr="00F32B28">
        <w:rPr>
          <w:rtl/>
          <w:lang w:bidi="ar-SY"/>
        </w:rPr>
        <w:t>الأسر</w:t>
      </w:r>
      <w:r w:rsidR="00F32B28">
        <w:rPr>
          <w:rtl/>
          <w:lang w:bidi="ar-SY"/>
        </w:rPr>
        <w:t xml:space="preserve"> </w:t>
      </w:r>
      <w:r w:rsidR="00F32B28" w:rsidRPr="00F32B28">
        <w:rPr>
          <w:rtl/>
          <w:lang w:bidi="ar-SY"/>
        </w:rPr>
        <w:t>المهمشة</w:t>
      </w:r>
      <w:r w:rsidR="00F32B28">
        <w:rPr>
          <w:rtl/>
          <w:lang w:bidi="ar-SY"/>
        </w:rPr>
        <w:t xml:space="preserve"> </w:t>
      </w:r>
      <w:r w:rsidR="00F32B28" w:rsidRPr="00F32B28">
        <w:rPr>
          <w:rtl/>
          <w:lang w:bidi="ar-SY"/>
        </w:rPr>
        <w:t>المستفيدة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خدماته</w:t>
      </w:r>
      <w:r w:rsidR="00F32B28">
        <w:rPr>
          <w:rtl/>
          <w:lang w:bidi="ar-SY"/>
        </w:rPr>
        <w:t xml:space="preserve"> </w:t>
      </w:r>
      <w:r w:rsidR="00F32B28" w:rsidRPr="00F32B28">
        <w:rPr>
          <w:rtl/>
          <w:lang w:bidi="ar-SY"/>
        </w:rPr>
        <w:t>والحفاظ</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كرامتهم</w:t>
      </w:r>
      <w:r w:rsidR="00F32B28">
        <w:rPr>
          <w:rtl/>
          <w:lang w:bidi="ar-SY"/>
        </w:rPr>
        <w:t xml:space="preserve"> </w:t>
      </w:r>
      <w:r w:rsidR="00F32B28" w:rsidRPr="00F32B28">
        <w:rPr>
          <w:rtl/>
          <w:lang w:bidi="ar-SY"/>
        </w:rPr>
        <w:t>الإنسانية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تعسف</w:t>
      </w:r>
      <w:r w:rsidR="00F32B28">
        <w:rPr>
          <w:rtl/>
          <w:lang w:bidi="ar-SY"/>
        </w:rPr>
        <w:t xml:space="preserve"> </w:t>
      </w:r>
      <w:r w:rsidR="00F32B28" w:rsidRPr="00F32B28">
        <w:rPr>
          <w:rtl/>
          <w:lang w:bidi="ar-SY"/>
        </w:rPr>
        <w:t>الأزواج</w:t>
      </w:r>
      <w:r w:rsidR="00F32B28">
        <w:rPr>
          <w:rtl/>
          <w:lang w:bidi="ar-SY"/>
        </w:rPr>
        <w:t xml:space="preserve"> </w:t>
      </w:r>
      <w:r w:rsidR="00F32B28" w:rsidRPr="00F32B28">
        <w:rPr>
          <w:rtl/>
          <w:lang w:bidi="ar-SY"/>
        </w:rPr>
        <w:t>والأقارب</w:t>
      </w:r>
      <w:r w:rsidR="00F32B28">
        <w:rPr>
          <w:rtl/>
          <w:lang w:bidi="ar-SY"/>
        </w:rPr>
        <w:t xml:space="preserve"> </w:t>
      </w:r>
      <w:r w:rsidR="00F32B28" w:rsidRPr="00F32B28">
        <w:rPr>
          <w:rtl/>
          <w:lang w:bidi="ar-SY"/>
        </w:rPr>
        <w:t>الممتنعين</w:t>
      </w:r>
      <w:r w:rsidR="00F32B28">
        <w:rPr>
          <w:rtl/>
        </w:rPr>
        <w:t xml:space="preserve"> </w:t>
      </w:r>
      <w:r w:rsidR="00F32B28" w:rsidRPr="00F32B28">
        <w:rPr>
          <w:rtl/>
        </w:rPr>
        <w:t>عن</w:t>
      </w:r>
      <w:r w:rsidR="00F32B28">
        <w:rPr>
          <w:rtl/>
        </w:rPr>
        <w:t xml:space="preserve"> </w:t>
      </w:r>
      <w:r w:rsidR="00F32B28" w:rsidRPr="00F32B28">
        <w:rPr>
          <w:rtl/>
        </w:rPr>
        <w:t>أداء</w:t>
      </w:r>
      <w:r w:rsidR="00F32B28">
        <w:rPr>
          <w:rtl/>
        </w:rPr>
        <w:t xml:space="preserve"> </w:t>
      </w:r>
      <w:r w:rsidR="00F32B28" w:rsidRPr="00F32B28">
        <w:rPr>
          <w:rtl/>
        </w:rPr>
        <w:t>التزاماتهم</w:t>
      </w:r>
      <w:r>
        <w:rPr>
          <w:rFonts w:hint="cs"/>
          <w:rtl/>
        </w:rPr>
        <w:t xml:space="preserve"> </w:t>
      </w:r>
      <w:r w:rsidR="00F32B28" w:rsidRPr="00F32B28">
        <w:rPr>
          <w:rtl/>
        </w:rPr>
        <w:t>ب</w:t>
      </w:r>
      <w:r w:rsidR="00F32B28" w:rsidRPr="00F32B28">
        <w:rPr>
          <w:rtl/>
          <w:lang w:bidi="ar-SY"/>
        </w:rPr>
        <w:t>الإنفاق؛</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يقوم</w:t>
      </w:r>
      <w:r w:rsidR="00F32B28">
        <w:rPr>
          <w:rtl/>
          <w:lang w:bidi="ar-SY"/>
        </w:rPr>
        <w:t xml:space="preserve"> </w:t>
      </w:r>
      <w:r w:rsidR="00F32B28" w:rsidRPr="00F32B28">
        <w:rPr>
          <w:rtl/>
          <w:lang w:bidi="ar-SY"/>
        </w:rPr>
        <w:t>الصندوق</w:t>
      </w:r>
      <w:r w:rsidR="00F32B28">
        <w:rPr>
          <w:rtl/>
          <w:lang w:bidi="ar-SY"/>
        </w:rPr>
        <w:t xml:space="preserve"> </w:t>
      </w:r>
      <w:r w:rsidR="00F32B28" w:rsidRPr="00F32B28">
        <w:rPr>
          <w:rtl/>
          <w:lang w:bidi="ar-SY"/>
        </w:rPr>
        <w:t>بصرف</w:t>
      </w:r>
      <w:r w:rsidR="00F32B28">
        <w:rPr>
          <w:rtl/>
          <w:lang w:bidi="ar-SY"/>
        </w:rPr>
        <w:t xml:space="preserve"> </w:t>
      </w:r>
      <w:r w:rsidR="00F32B28" w:rsidRPr="00F32B28">
        <w:rPr>
          <w:rtl/>
          <w:lang w:bidi="ar-SY"/>
        </w:rPr>
        <w:t>النفقة</w:t>
      </w:r>
      <w:r w:rsidR="00F32B28">
        <w:rPr>
          <w:rtl/>
          <w:lang w:bidi="ar-SY"/>
        </w:rPr>
        <w:t xml:space="preserve"> </w:t>
      </w:r>
      <w:r w:rsidR="00F32B28" w:rsidRPr="00F32B28">
        <w:rPr>
          <w:rtl/>
          <w:lang w:bidi="ar-SY"/>
        </w:rPr>
        <w:t>المحكوم</w:t>
      </w:r>
      <w:r w:rsidR="00F32B28">
        <w:rPr>
          <w:rtl/>
          <w:lang w:bidi="ar-SY"/>
        </w:rPr>
        <w:t xml:space="preserve"> </w:t>
      </w:r>
      <w:r w:rsidR="00F32B28" w:rsidRPr="00F32B28">
        <w:rPr>
          <w:rtl/>
          <w:lang w:bidi="ar-SY"/>
        </w:rPr>
        <w:t>بها،</w:t>
      </w:r>
      <w:r w:rsidR="00F32B28">
        <w:rPr>
          <w:rtl/>
          <w:lang w:bidi="ar-SY"/>
        </w:rPr>
        <w:t xml:space="preserve"> </w:t>
      </w:r>
      <w:r w:rsidR="00F32B28" w:rsidRPr="00F32B28">
        <w:rPr>
          <w:rtl/>
          <w:lang w:bidi="ar-SY"/>
        </w:rPr>
        <w:t>الشهرية</w:t>
      </w:r>
      <w:r w:rsidR="00F32B28">
        <w:rPr>
          <w:rtl/>
          <w:lang w:bidi="ar-SY"/>
        </w:rPr>
        <w:t xml:space="preserve"> </w:t>
      </w:r>
      <w:r w:rsidR="00F32B28" w:rsidRPr="00F32B28">
        <w:rPr>
          <w:rtl/>
          <w:lang w:bidi="ar-SY"/>
        </w:rPr>
        <w:t>والمتراكمة،</w:t>
      </w:r>
      <w:r w:rsidR="00F32B28">
        <w:rPr>
          <w:rtl/>
          <w:lang w:bidi="ar-SY"/>
        </w:rPr>
        <w:t xml:space="preserve"> </w:t>
      </w:r>
      <w:r w:rsidR="00F32B28" w:rsidRPr="00F32B28">
        <w:rPr>
          <w:rtl/>
          <w:lang w:bidi="ar-SY"/>
        </w:rPr>
        <w:t>للزوجة</w:t>
      </w:r>
      <w:r w:rsidR="00F32B28">
        <w:rPr>
          <w:rtl/>
          <w:lang w:bidi="ar-SY"/>
        </w:rPr>
        <w:t xml:space="preserve"> </w:t>
      </w:r>
      <w:r w:rsidR="00F32B28" w:rsidRPr="00F32B28">
        <w:rPr>
          <w:rtl/>
          <w:lang w:bidi="ar-SY"/>
        </w:rPr>
        <w:t>والمعتدة</w:t>
      </w:r>
      <w:r w:rsidR="00F32B28">
        <w:rPr>
          <w:rtl/>
          <w:lang w:bidi="ar-SY"/>
        </w:rPr>
        <w:t xml:space="preserve"> </w:t>
      </w:r>
      <w:r w:rsidR="00F32B28" w:rsidRPr="00F32B28">
        <w:rPr>
          <w:rtl/>
          <w:lang w:bidi="ar-SY"/>
        </w:rPr>
        <w:t>والأطفال</w:t>
      </w:r>
      <w:r w:rsidR="00F32B28">
        <w:rPr>
          <w:rtl/>
          <w:lang w:bidi="ar-SY"/>
        </w:rPr>
        <w:t xml:space="preserve"> </w:t>
      </w:r>
      <w:r w:rsidR="00F32B28" w:rsidRPr="00F32B28">
        <w:rPr>
          <w:rtl/>
          <w:lang w:bidi="ar-SY"/>
        </w:rPr>
        <w:t>والوالدين</w:t>
      </w:r>
      <w:r w:rsidR="00F32B28">
        <w:rPr>
          <w:rtl/>
          <w:lang w:bidi="ar-SY"/>
        </w:rPr>
        <w:t xml:space="preserve"> </w:t>
      </w:r>
      <w:r w:rsidR="00F32B28" w:rsidRPr="00F32B28">
        <w:rPr>
          <w:rtl/>
          <w:lang w:bidi="ar-SY"/>
        </w:rPr>
        <w:t>والأقارب</w:t>
      </w:r>
      <w:r w:rsidR="00F32B28">
        <w:rPr>
          <w:rtl/>
          <w:lang w:bidi="ar-SY"/>
        </w:rPr>
        <w:t xml:space="preserve"> </w:t>
      </w:r>
      <w:r w:rsidR="00F32B28" w:rsidRPr="00F32B28">
        <w:rPr>
          <w:rtl/>
          <w:lang w:bidi="ar-SY"/>
        </w:rPr>
        <w:t>المعالين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الحالات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يتعذر</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تنفيذ</w:t>
      </w:r>
      <w:r w:rsidR="00F32B28">
        <w:rPr>
          <w:rtl/>
          <w:lang w:bidi="ar-SY"/>
        </w:rPr>
        <w:t xml:space="preserve"> </w:t>
      </w:r>
      <w:r w:rsidR="00F32B28" w:rsidRPr="00F32B28">
        <w:rPr>
          <w:rtl/>
          <w:lang w:bidi="ar-SY"/>
        </w:rPr>
        <w:t>النفقة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المحكوم</w:t>
      </w:r>
      <w:r w:rsidR="00F32B28">
        <w:rPr>
          <w:rtl/>
          <w:lang w:bidi="ar-SY"/>
        </w:rPr>
        <w:t xml:space="preserve"> </w:t>
      </w:r>
      <w:r w:rsidR="00F32B28" w:rsidRPr="00F32B28">
        <w:rPr>
          <w:rtl/>
          <w:lang w:bidi="ar-SY"/>
        </w:rPr>
        <w:t>عليه،</w:t>
      </w:r>
      <w:r w:rsidR="00F32B28">
        <w:rPr>
          <w:rtl/>
          <w:lang w:bidi="ar-SY"/>
        </w:rPr>
        <w:t xml:space="preserve"> </w:t>
      </w:r>
      <w:r w:rsidR="00F32B28" w:rsidRPr="00F32B28">
        <w:rPr>
          <w:rtl/>
          <w:lang w:bidi="ar-SY"/>
        </w:rPr>
        <w:t>لتغيبه</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جهل</w:t>
      </w:r>
      <w:r w:rsidR="00F32B28">
        <w:rPr>
          <w:rtl/>
          <w:lang w:bidi="ar-SY"/>
        </w:rPr>
        <w:t xml:space="preserve"> </w:t>
      </w:r>
      <w:r w:rsidR="00F32B28" w:rsidRPr="00F32B28">
        <w:rPr>
          <w:rtl/>
          <w:lang w:bidi="ar-SY"/>
        </w:rPr>
        <w:t>محل</w:t>
      </w:r>
      <w:r w:rsidR="00F32B28">
        <w:rPr>
          <w:rtl/>
          <w:lang w:bidi="ar-SY"/>
        </w:rPr>
        <w:t xml:space="preserve"> </w:t>
      </w:r>
      <w:r w:rsidR="00F32B28" w:rsidRPr="00F32B28">
        <w:rPr>
          <w:rtl/>
          <w:lang w:bidi="ar-SY"/>
        </w:rPr>
        <w:t>إقامته،</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عدم</w:t>
      </w:r>
      <w:r w:rsidR="00F32B28">
        <w:rPr>
          <w:rtl/>
          <w:lang w:bidi="ar-SY"/>
        </w:rPr>
        <w:t xml:space="preserve"> </w:t>
      </w:r>
      <w:r w:rsidR="00F32B28" w:rsidRPr="00F32B28">
        <w:rPr>
          <w:rtl/>
          <w:lang w:bidi="ar-SY"/>
        </w:rPr>
        <w:t>وجود</w:t>
      </w:r>
      <w:r w:rsidR="00F32B28">
        <w:rPr>
          <w:rtl/>
          <w:lang w:bidi="ar-SY"/>
        </w:rPr>
        <w:t xml:space="preserve"> </w:t>
      </w:r>
      <w:r w:rsidR="00F32B28" w:rsidRPr="00F32B28">
        <w:rPr>
          <w:rtl/>
          <w:lang w:bidi="ar-SY"/>
        </w:rPr>
        <w:t>مال</w:t>
      </w:r>
      <w:r w:rsidR="00F32B28">
        <w:rPr>
          <w:rtl/>
          <w:lang w:bidi="ar-SY"/>
        </w:rPr>
        <w:t xml:space="preserve"> </w:t>
      </w:r>
      <w:r w:rsidR="00F32B28" w:rsidRPr="00F32B28">
        <w:rPr>
          <w:rtl/>
          <w:lang w:bidi="ar-SY"/>
        </w:rPr>
        <w:t>له</w:t>
      </w:r>
      <w:r w:rsidR="00F32B28">
        <w:rPr>
          <w:rtl/>
          <w:lang w:bidi="ar-SY"/>
        </w:rPr>
        <w:t xml:space="preserve"> </w:t>
      </w:r>
      <w:r w:rsidR="00F32B28" w:rsidRPr="00F32B28">
        <w:rPr>
          <w:rtl/>
          <w:lang w:bidi="ar-SY"/>
        </w:rPr>
        <w:t>ينفذ</w:t>
      </w:r>
      <w:r w:rsidR="00F32B28">
        <w:rPr>
          <w:rtl/>
          <w:lang w:bidi="ar-SY"/>
        </w:rPr>
        <w:t xml:space="preserve"> </w:t>
      </w:r>
      <w:r w:rsidR="00F32B28" w:rsidRPr="00F32B28">
        <w:rPr>
          <w:rtl/>
          <w:lang w:bidi="ar-SY"/>
        </w:rPr>
        <w:t>منه</w:t>
      </w:r>
      <w:r w:rsidR="00F32B28">
        <w:rPr>
          <w:rtl/>
          <w:lang w:bidi="ar-SY"/>
        </w:rPr>
        <w:t xml:space="preserve"> </w:t>
      </w:r>
      <w:r w:rsidR="00F32B28" w:rsidRPr="00F32B28">
        <w:rPr>
          <w:rtl/>
          <w:lang w:bidi="ar-SY"/>
        </w:rPr>
        <w:t>الحكم،</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لأي</w:t>
      </w:r>
      <w:r w:rsidR="00F32B28">
        <w:rPr>
          <w:rtl/>
          <w:lang w:bidi="ar-SY"/>
        </w:rPr>
        <w:t xml:space="preserve"> </w:t>
      </w:r>
      <w:r w:rsidR="00F32B28" w:rsidRPr="00F32B28">
        <w:rPr>
          <w:rtl/>
          <w:lang w:bidi="ar-SY"/>
        </w:rPr>
        <w:t>سبب</w:t>
      </w:r>
      <w:r w:rsidR="00F32B28">
        <w:rPr>
          <w:rtl/>
          <w:lang w:bidi="ar-SY"/>
        </w:rPr>
        <w:t xml:space="preserve"> </w:t>
      </w:r>
      <w:r w:rsidR="00F32B28" w:rsidRPr="00F32B28">
        <w:rPr>
          <w:rtl/>
          <w:lang w:bidi="ar-SY"/>
        </w:rPr>
        <w:t>آخر.</w:t>
      </w:r>
      <w:r w:rsidR="00F32B28">
        <w:rPr>
          <w:rtl/>
          <w:lang w:bidi="ar-SY"/>
        </w:rPr>
        <w:t xml:space="preserve"> </w:t>
      </w:r>
      <w:r w:rsidR="00F32B28" w:rsidRPr="00F32B28">
        <w:rPr>
          <w:rtl/>
        </w:rPr>
        <w:t>ويستفيد</w:t>
      </w:r>
      <w:r w:rsidR="00F32B28">
        <w:rPr>
          <w:rtl/>
        </w:rPr>
        <w:t xml:space="preserve"> </w:t>
      </w:r>
      <w:r w:rsidR="00F32B28" w:rsidRPr="00F32B28">
        <w:rPr>
          <w:rtl/>
        </w:rPr>
        <w:t>من</w:t>
      </w:r>
      <w:r w:rsidR="00F32B28">
        <w:rPr>
          <w:rtl/>
        </w:rPr>
        <w:t xml:space="preserve"> </w:t>
      </w:r>
      <w:r w:rsidR="00F32B28" w:rsidRPr="00F32B28">
        <w:rPr>
          <w:rtl/>
        </w:rPr>
        <w:t>خدمات</w:t>
      </w:r>
      <w:r w:rsidR="00F32B28">
        <w:rPr>
          <w:rtl/>
        </w:rPr>
        <w:t xml:space="preserve"> </w:t>
      </w:r>
      <w:r w:rsidR="00F32B28" w:rsidRPr="00F32B28">
        <w:rPr>
          <w:rtl/>
        </w:rPr>
        <w:t>هذا</w:t>
      </w:r>
      <w:r w:rsidR="00F32B28">
        <w:rPr>
          <w:rtl/>
        </w:rPr>
        <w:t xml:space="preserve"> </w:t>
      </w:r>
      <w:r w:rsidR="00F32B28" w:rsidRPr="00F32B28">
        <w:rPr>
          <w:rtl/>
        </w:rPr>
        <w:t>الصندوق</w:t>
      </w:r>
      <w:r w:rsidR="00F32B28">
        <w:rPr>
          <w:rtl/>
        </w:rPr>
        <w:t xml:space="preserve"> </w:t>
      </w:r>
      <w:r w:rsidR="00F32B28" w:rsidRPr="00F32B28">
        <w:rPr>
          <w:rtl/>
        </w:rPr>
        <w:t>الفلسطينيين</w:t>
      </w:r>
      <w:r w:rsidR="00F32B28">
        <w:rPr>
          <w:rtl/>
        </w:rPr>
        <w:t xml:space="preserve"> </w:t>
      </w:r>
      <w:r w:rsidR="00F32B28" w:rsidRPr="00F32B28">
        <w:rPr>
          <w:rtl/>
        </w:rPr>
        <w:t>المقيمين</w:t>
      </w:r>
      <w:r w:rsidR="00F32B28">
        <w:rPr>
          <w:rtl/>
        </w:rPr>
        <w:t xml:space="preserve"> </w:t>
      </w:r>
      <w:r w:rsidR="00F32B28" w:rsidRPr="00F32B28">
        <w:rPr>
          <w:rtl/>
        </w:rPr>
        <w:t>وغير</w:t>
      </w:r>
      <w:r w:rsidR="00F32B28">
        <w:rPr>
          <w:rtl/>
        </w:rPr>
        <w:t xml:space="preserve"> </w:t>
      </w:r>
      <w:r w:rsidR="00F32B28" w:rsidRPr="00F32B28">
        <w:rPr>
          <w:rtl/>
        </w:rPr>
        <w:t>المقيمين</w:t>
      </w:r>
      <w:r w:rsidR="00F32B28">
        <w:rPr>
          <w:rtl/>
        </w:rPr>
        <w:t xml:space="preserve"> </w:t>
      </w:r>
      <w:r w:rsidR="00F32B28" w:rsidRPr="00F32B28">
        <w:rPr>
          <w:rtl/>
        </w:rPr>
        <w:t>في</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وفي</w:t>
      </w:r>
      <w:r w:rsidR="00F32B28">
        <w:rPr>
          <w:rtl/>
        </w:rPr>
        <w:t xml:space="preserve"> </w:t>
      </w:r>
      <w:r w:rsidR="00F32B28" w:rsidRPr="00F32B28">
        <w:rPr>
          <w:rtl/>
        </w:rPr>
        <w:t>هذا</w:t>
      </w:r>
      <w:r w:rsidR="00F32B28">
        <w:rPr>
          <w:rtl/>
        </w:rPr>
        <w:t xml:space="preserve"> </w:t>
      </w:r>
      <w:r w:rsidR="00F32B28" w:rsidRPr="00F32B28">
        <w:rPr>
          <w:rtl/>
        </w:rPr>
        <w:t>السياق،</w:t>
      </w:r>
      <w:r w:rsidR="00F32B28">
        <w:rPr>
          <w:rtl/>
        </w:rPr>
        <w:t xml:space="preserve"> </w:t>
      </w:r>
      <w:r w:rsidR="00F32B28" w:rsidRPr="00F32B28">
        <w:rPr>
          <w:rtl/>
        </w:rPr>
        <w:t>يحق</w:t>
      </w:r>
      <w:r w:rsidR="00F32B28">
        <w:rPr>
          <w:rtl/>
        </w:rPr>
        <w:t xml:space="preserve"> </w:t>
      </w:r>
      <w:r w:rsidR="00F32B28" w:rsidRPr="00F32B28">
        <w:rPr>
          <w:rtl/>
        </w:rPr>
        <w:t>لجميع</w:t>
      </w:r>
      <w:r w:rsidR="00F32B28">
        <w:rPr>
          <w:rtl/>
        </w:rPr>
        <w:t xml:space="preserve"> </w:t>
      </w:r>
      <w:r w:rsidR="00F32B28" w:rsidRPr="00F32B28">
        <w:rPr>
          <w:rtl/>
        </w:rPr>
        <w:t>النساء</w:t>
      </w:r>
      <w:r w:rsidR="00F32B28">
        <w:rPr>
          <w:rtl/>
        </w:rPr>
        <w:t xml:space="preserve"> </w:t>
      </w:r>
      <w:r w:rsidR="00F32B28" w:rsidRPr="00F32B28">
        <w:rPr>
          <w:rtl/>
        </w:rPr>
        <w:t>الفلسطينيات</w:t>
      </w:r>
      <w:r w:rsidR="00F32B28">
        <w:rPr>
          <w:rtl/>
        </w:rPr>
        <w:t xml:space="preserve"> </w:t>
      </w:r>
      <w:r w:rsidR="00F32B28" w:rsidRPr="00F32B28">
        <w:rPr>
          <w:rtl/>
        </w:rPr>
        <w:t>الاستفادة</w:t>
      </w:r>
      <w:r w:rsidR="00F32B28">
        <w:rPr>
          <w:rtl/>
        </w:rPr>
        <w:t xml:space="preserve"> </w:t>
      </w:r>
      <w:r w:rsidR="00F32B28" w:rsidRPr="00F32B28">
        <w:rPr>
          <w:rtl/>
        </w:rPr>
        <w:t>من</w:t>
      </w:r>
      <w:r w:rsidR="00F32B28">
        <w:rPr>
          <w:rtl/>
        </w:rPr>
        <w:t xml:space="preserve"> </w:t>
      </w:r>
      <w:r w:rsidR="00F32B28" w:rsidRPr="00F32B28">
        <w:rPr>
          <w:rtl/>
        </w:rPr>
        <w:t>خدمات</w:t>
      </w:r>
      <w:r w:rsidR="00F32B28">
        <w:rPr>
          <w:rtl/>
        </w:rPr>
        <w:t xml:space="preserve"> </w:t>
      </w:r>
      <w:r w:rsidR="00F32B28" w:rsidRPr="00F32B28">
        <w:rPr>
          <w:rtl/>
        </w:rPr>
        <w:t>الصندوق</w:t>
      </w:r>
      <w:r w:rsidR="00F32B28">
        <w:rPr>
          <w:rtl/>
        </w:rPr>
        <w:t xml:space="preserve"> </w:t>
      </w:r>
      <w:r w:rsidR="00F32B28" w:rsidRPr="00F32B28">
        <w:rPr>
          <w:rtl/>
        </w:rPr>
        <w:t>وبغض</w:t>
      </w:r>
      <w:r w:rsidR="00F32B28">
        <w:rPr>
          <w:rtl/>
        </w:rPr>
        <w:t xml:space="preserve"> </w:t>
      </w:r>
      <w:r w:rsidR="00F32B28" w:rsidRPr="00F32B28">
        <w:rPr>
          <w:rtl/>
        </w:rPr>
        <w:t>النظر</w:t>
      </w:r>
      <w:r w:rsidR="00F32B28">
        <w:rPr>
          <w:rtl/>
        </w:rPr>
        <w:t xml:space="preserve"> </w:t>
      </w:r>
      <w:r w:rsidR="00F32B28" w:rsidRPr="00F32B28">
        <w:rPr>
          <w:rtl/>
          <w:lang w:bidi="ar-SY"/>
        </w:rPr>
        <w:t>عن</w:t>
      </w:r>
      <w:r w:rsidR="00F32B28">
        <w:rPr>
          <w:rtl/>
          <w:lang w:bidi="ar-SY"/>
        </w:rPr>
        <w:t xml:space="preserve"> </w:t>
      </w:r>
      <w:r w:rsidR="00F32B28" w:rsidRPr="00F32B28">
        <w:rPr>
          <w:rtl/>
          <w:lang w:bidi="ar-SY"/>
        </w:rPr>
        <w:t>جنسية</w:t>
      </w:r>
      <w:r w:rsidR="00F32B28">
        <w:rPr>
          <w:rtl/>
          <w:lang w:bidi="ar-SY"/>
        </w:rPr>
        <w:t xml:space="preserve"> </w:t>
      </w:r>
      <w:r w:rsidR="00F32B28" w:rsidRPr="00F32B28">
        <w:rPr>
          <w:rtl/>
          <w:lang w:bidi="ar-SY"/>
        </w:rPr>
        <w:t>أزواجهن</w:t>
      </w:r>
      <w:r w:rsidR="00F32B28">
        <w:rPr>
          <w:rtl/>
          <w:lang w:bidi="ar-SY"/>
        </w:rPr>
        <w:t xml:space="preserve"> </w:t>
      </w:r>
      <w:r w:rsidR="00F32B28" w:rsidRPr="00F32B28">
        <w:rPr>
          <w:rtl/>
          <w:lang w:bidi="ar-SY"/>
        </w:rPr>
        <w:t>أو</w:t>
      </w:r>
      <w:r w:rsidR="008C7FF9">
        <w:rPr>
          <w:rFonts w:hint="cs"/>
          <w:rtl/>
        </w:rPr>
        <w:t> </w:t>
      </w:r>
      <w:r w:rsidR="00F32B28" w:rsidRPr="00F32B28">
        <w:rPr>
          <w:rtl/>
        </w:rPr>
        <w:t>دياناتهنّ</w:t>
      </w:r>
      <w:r w:rsidR="00F32B28">
        <w:rPr>
          <w:rtl/>
        </w:rPr>
        <w:t xml:space="preserve"> </w:t>
      </w:r>
      <w:r w:rsidR="00F32B28" w:rsidRPr="00F32B28">
        <w:rPr>
          <w:rtl/>
        </w:rPr>
        <w:t>أو</w:t>
      </w:r>
      <w:r w:rsidR="00F32B28">
        <w:rPr>
          <w:rtl/>
        </w:rPr>
        <w:t xml:space="preserve"> </w:t>
      </w:r>
      <w:r w:rsidR="00F32B28" w:rsidRPr="00F32B28">
        <w:rPr>
          <w:rtl/>
        </w:rPr>
        <w:t>مكان</w:t>
      </w:r>
      <w:r w:rsidR="00F32B28">
        <w:rPr>
          <w:rtl/>
        </w:rPr>
        <w:t xml:space="preserve"> </w:t>
      </w:r>
      <w:r w:rsidR="00F32B28" w:rsidRPr="00F32B28">
        <w:rPr>
          <w:rtl/>
        </w:rPr>
        <w:t>إقاماتهن؛</w:t>
      </w:r>
      <w:r w:rsidR="00F32B28">
        <w:rPr>
          <w:rtl/>
        </w:rPr>
        <w:t xml:space="preserve"> </w:t>
      </w:r>
      <w:r w:rsidR="00F32B28" w:rsidRPr="00F32B28">
        <w:rPr>
          <w:rtl/>
        </w:rPr>
        <w:t>حيث</w:t>
      </w:r>
      <w:r w:rsidR="00F32B28">
        <w:rPr>
          <w:rtl/>
        </w:rPr>
        <w:t xml:space="preserve"> </w:t>
      </w:r>
      <w:r w:rsidR="00F32B28" w:rsidRPr="00F32B28">
        <w:rPr>
          <w:rtl/>
        </w:rPr>
        <w:t>تستفيد</w:t>
      </w:r>
      <w:r w:rsidR="00F32B28">
        <w:rPr>
          <w:rtl/>
        </w:rPr>
        <w:t xml:space="preserve"> </w:t>
      </w:r>
      <w:r w:rsidR="00F32B28" w:rsidRPr="00F32B28">
        <w:rPr>
          <w:rtl/>
        </w:rPr>
        <w:t>منه</w:t>
      </w:r>
      <w:r w:rsidR="00F32B28">
        <w:rPr>
          <w:rtl/>
        </w:rPr>
        <w:t xml:space="preserve"> </w:t>
      </w:r>
      <w:r w:rsidR="00F32B28" w:rsidRPr="00F32B28">
        <w:rPr>
          <w:rtl/>
        </w:rPr>
        <w:t>الفلسطينيات</w:t>
      </w:r>
      <w:r w:rsidR="00F32B28">
        <w:rPr>
          <w:rtl/>
        </w:rPr>
        <w:t xml:space="preserve"> </w:t>
      </w:r>
      <w:r w:rsidR="00F32B28" w:rsidRPr="00F32B28">
        <w:rPr>
          <w:rtl/>
        </w:rPr>
        <w:t>المقيمات</w:t>
      </w:r>
      <w:r w:rsidR="00F32B28">
        <w:rPr>
          <w:rtl/>
        </w:rPr>
        <w:t xml:space="preserve"> </w:t>
      </w:r>
      <w:r w:rsidR="00F32B28" w:rsidRPr="00F32B28">
        <w:rPr>
          <w:rtl/>
        </w:rPr>
        <w:t>في</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والنساء</w:t>
      </w:r>
      <w:r w:rsidR="00F32B28">
        <w:rPr>
          <w:rtl/>
        </w:rPr>
        <w:t xml:space="preserve"> </w:t>
      </w:r>
      <w:r w:rsidR="00F32B28" w:rsidRPr="00F32B28">
        <w:rPr>
          <w:rtl/>
        </w:rPr>
        <w:t>الفلسطينيات</w:t>
      </w:r>
      <w:r w:rsidR="00F32B28">
        <w:rPr>
          <w:rtl/>
        </w:rPr>
        <w:t xml:space="preserve"> </w:t>
      </w:r>
      <w:r w:rsidR="00F32B28" w:rsidRPr="00F32B28">
        <w:rPr>
          <w:rtl/>
        </w:rPr>
        <w:t>اللواتي</w:t>
      </w:r>
      <w:r w:rsidR="00F32B28">
        <w:rPr>
          <w:rtl/>
        </w:rPr>
        <w:t xml:space="preserve"> </w:t>
      </w:r>
      <w:r w:rsidR="00F32B28" w:rsidRPr="00F32B28">
        <w:rPr>
          <w:rtl/>
        </w:rPr>
        <w:t>بقيّن</w:t>
      </w:r>
      <w:r w:rsidR="00F32B28">
        <w:rPr>
          <w:rtl/>
        </w:rPr>
        <w:t xml:space="preserve"> </w:t>
      </w:r>
      <w:r w:rsidR="00F32B28" w:rsidRPr="00F32B28">
        <w:rPr>
          <w:rtl/>
        </w:rPr>
        <w:t>داخل</w:t>
      </w:r>
      <w:r w:rsidR="00F32B28">
        <w:rPr>
          <w:rtl/>
        </w:rPr>
        <w:t xml:space="preserve"> </w:t>
      </w:r>
      <w:r w:rsidR="00F32B28" w:rsidRPr="00F32B28">
        <w:rPr>
          <w:rtl/>
        </w:rPr>
        <w:t>الخط</w:t>
      </w:r>
      <w:r w:rsidR="00F32B28">
        <w:rPr>
          <w:rtl/>
        </w:rPr>
        <w:t xml:space="preserve"> </w:t>
      </w:r>
      <w:r w:rsidR="00F32B28" w:rsidRPr="00F32B28">
        <w:rPr>
          <w:rtl/>
        </w:rPr>
        <w:t>الأخضر</w:t>
      </w:r>
      <w:r w:rsidR="00F32B28">
        <w:rPr>
          <w:rtl/>
        </w:rPr>
        <w:t xml:space="preserve"> </w:t>
      </w:r>
      <w:r w:rsidR="00F32B28" w:rsidRPr="00F32B28">
        <w:rPr>
          <w:rtl/>
        </w:rPr>
        <w:t>بعد</w:t>
      </w:r>
      <w:r w:rsidR="00F32B28">
        <w:rPr>
          <w:rtl/>
        </w:rPr>
        <w:t xml:space="preserve"> </w:t>
      </w:r>
      <w:r w:rsidR="00F32B28" w:rsidRPr="00F32B28">
        <w:rPr>
          <w:rtl/>
        </w:rPr>
        <w:t>النكبة</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1948</w:t>
      </w:r>
      <w:r w:rsidR="00F32B28" w:rsidRPr="00F32B28">
        <w:rPr>
          <w:rtl/>
          <w:lang w:bidi="ar-SY"/>
        </w:rPr>
        <w:t>،</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المقيمات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الخارج.</w:t>
      </w:r>
      <w:r w:rsidR="00F32B28">
        <w:rPr>
          <w:rtl/>
          <w:lang w:bidi="ar-SY"/>
        </w:rPr>
        <w:t xml:space="preserve"> </w:t>
      </w:r>
      <w:r w:rsidR="00F32B28" w:rsidRPr="00F32B28">
        <w:rPr>
          <w:rtl/>
        </w:rPr>
        <w:t>كما</w:t>
      </w:r>
      <w:r w:rsidR="00F32B28">
        <w:rPr>
          <w:rtl/>
        </w:rPr>
        <w:t xml:space="preserve"> </w:t>
      </w:r>
      <w:r w:rsidR="00F32B28" w:rsidRPr="00F32B28">
        <w:rPr>
          <w:rtl/>
        </w:rPr>
        <w:t>تستفيد</w:t>
      </w:r>
      <w:r w:rsidR="00F32B28">
        <w:rPr>
          <w:rtl/>
        </w:rPr>
        <w:t xml:space="preserve"> </w:t>
      </w:r>
      <w:r w:rsidR="00F32B28" w:rsidRPr="00F32B28">
        <w:rPr>
          <w:rtl/>
        </w:rPr>
        <w:t>منه</w:t>
      </w:r>
      <w:r w:rsidR="00F32B28">
        <w:rPr>
          <w:rtl/>
        </w:rPr>
        <w:t xml:space="preserve"> </w:t>
      </w:r>
      <w:r w:rsidR="00F32B28" w:rsidRPr="00F32B28">
        <w:rPr>
          <w:rtl/>
        </w:rPr>
        <w:t>النساء</w:t>
      </w:r>
      <w:r w:rsidR="00F32B28">
        <w:rPr>
          <w:rtl/>
        </w:rPr>
        <w:t xml:space="preserve"> </w:t>
      </w:r>
      <w:r w:rsidR="00F32B28" w:rsidRPr="00F32B28">
        <w:rPr>
          <w:rtl/>
        </w:rPr>
        <w:t>الأجنبيات</w:t>
      </w:r>
      <w:r w:rsidR="00F32B28">
        <w:rPr>
          <w:rtl/>
        </w:rPr>
        <w:t xml:space="preserve"> </w:t>
      </w:r>
      <w:r w:rsidR="00F32B28" w:rsidRPr="00F32B28">
        <w:rPr>
          <w:rtl/>
        </w:rPr>
        <w:t>المقيمات</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واللواتي</w:t>
      </w:r>
      <w:r w:rsidR="00F32B28">
        <w:rPr>
          <w:rtl/>
        </w:rPr>
        <w:t xml:space="preserve"> </w:t>
      </w:r>
      <w:r w:rsidR="00F32B28" w:rsidRPr="00F32B28">
        <w:rPr>
          <w:rtl/>
        </w:rPr>
        <w:t>تزوجن</w:t>
      </w:r>
      <w:r w:rsidR="00F32B28">
        <w:rPr>
          <w:rtl/>
        </w:rPr>
        <w:t xml:space="preserve"> </w:t>
      </w:r>
      <w:r w:rsidR="00F32B28" w:rsidRPr="00F32B28">
        <w:rPr>
          <w:rtl/>
        </w:rPr>
        <w:t>من</w:t>
      </w:r>
      <w:r w:rsidR="00F32B28">
        <w:rPr>
          <w:rtl/>
        </w:rPr>
        <w:t xml:space="preserve"> </w:t>
      </w:r>
      <w:r w:rsidR="00F32B28" w:rsidRPr="00F32B28">
        <w:rPr>
          <w:rtl/>
        </w:rPr>
        <w:t>فلسطينيين.</w:t>
      </w:r>
      <w:r w:rsidR="00F32B28">
        <w:rPr>
          <w:rtl/>
        </w:rPr>
        <w:t xml:space="preserve"> </w:t>
      </w:r>
      <w:r w:rsidR="00F32B28" w:rsidRPr="00F32B28">
        <w:rPr>
          <w:rtl/>
        </w:rPr>
        <w:t>ويتم</w:t>
      </w:r>
      <w:r w:rsidR="00F32B28">
        <w:rPr>
          <w:rtl/>
        </w:rPr>
        <w:t xml:space="preserve"> </w:t>
      </w:r>
      <w:r w:rsidR="00F32B28" w:rsidRPr="00F32B28">
        <w:rPr>
          <w:rtl/>
        </w:rPr>
        <w:t>صرف</w:t>
      </w:r>
      <w:r w:rsidR="00F32B28">
        <w:rPr>
          <w:rtl/>
        </w:rPr>
        <w:t xml:space="preserve"> </w:t>
      </w:r>
      <w:r w:rsidR="00F32B28" w:rsidRPr="00F32B28">
        <w:rPr>
          <w:rtl/>
        </w:rPr>
        <w:t>النفقة</w:t>
      </w:r>
      <w:r w:rsidR="00F32B28">
        <w:rPr>
          <w:rtl/>
        </w:rPr>
        <w:t xml:space="preserve"> </w:t>
      </w:r>
      <w:r w:rsidR="00F32B28" w:rsidRPr="00F32B28">
        <w:rPr>
          <w:rtl/>
        </w:rPr>
        <w:t>خلال</w:t>
      </w:r>
      <w:r w:rsidR="00F32B28">
        <w:rPr>
          <w:rtl/>
        </w:rPr>
        <w:t xml:space="preserve"> </w:t>
      </w:r>
      <w:r w:rsidR="00F32B28" w:rsidRPr="00F32B28">
        <w:rPr>
          <w:rtl/>
        </w:rPr>
        <w:t>مدة</w:t>
      </w:r>
      <w:r w:rsidR="00F32B28">
        <w:rPr>
          <w:rtl/>
        </w:rPr>
        <w:t xml:space="preserve"> </w:t>
      </w:r>
      <w:r w:rsidR="00F32B28" w:rsidRPr="00F32B28">
        <w:rPr>
          <w:rtl/>
        </w:rPr>
        <w:t>أقصاها</w:t>
      </w:r>
      <w:r w:rsidR="00F32B28">
        <w:rPr>
          <w:rtl/>
        </w:rPr>
        <w:t xml:space="preserve"> </w:t>
      </w:r>
      <w:r w:rsidR="00F32B28" w:rsidRPr="00F32B28">
        <w:rPr>
          <w:rtl/>
        </w:rPr>
        <w:t>خمسة</w:t>
      </w:r>
      <w:r w:rsidR="00F32B28">
        <w:rPr>
          <w:rtl/>
        </w:rPr>
        <w:t xml:space="preserve"> </w:t>
      </w:r>
      <w:r w:rsidR="00F32B28" w:rsidRPr="00F32B28">
        <w:rPr>
          <w:rtl/>
        </w:rPr>
        <w:t>عشر</w:t>
      </w:r>
      <w:r w:rsidR="00F32B28">
        <w:rPr>
          <w:rtl/>
        </w:rPr>
        <w:t xml:space="preserve"> </w:t>
      </w:r>
      <w:r w:rsidR="00F32B28" w:rsidRPr="00F32B28">
        <w:rPr>
          <w:rtl/>
        </w:rPr>
        <w:t>يوماً</w:t>
      </w:r>
      <w:r w:rsidR="00F32B28">
        <w:rPr>
          <w:rtl/>
        </w:rPr>
        <w:t xml:space="preserve"> </w:t>
      </w:r>
      <w:r w:rsidR="00F32B28" w:rsidRPr="00F32B28">
        <w:rPr>
          <w:rtl/>
        </w:rPr>
        <w:t>من</w:t>
      </w:r>
      <w:r w:rsidR="00F32B28">
        <w:rPr>
          <w:rtl/>
        </w:rPr>
        <w:t xml:space="preserve"> </w:t>
      </w:r>
      <w:r w:rsidR="00F32B28" w:rsidRPr="00F32B28">
        <w:rPr>
          <w:rtl/>
        </w:rPr>
        <w:t>تاريخ</w:t>
      </w:r>
      <w:r w:rsidR="00F32B28">
        <w:rPr>
          <w:rtl/>
        </w:rPr>
        <w:t xml:space="preserve"> </w:t>
      </w:r>
      <w:r w:rsidR="00F32B28" w:rsidRPr="00F32B28">
        <w:rPr>
          <w:rtl/>
        </w:rPr>
        <w:t>استكمال</w:t>
      </w:r>
      <w:r w:rsidR="00F32B28">
        <w:rPr>
          <w:rtl/>
        </w:rPr>
        <w:t xml:space="preserve"> </w:t>
      </w:r>
      <w:r w:rsidR="00F32B28" w:rsidRPr="00F32B28">
        <w:rPr>
          <w:rtl/>
        </w:rPr>
        <w:t>عملية</w:t>
      </w:r>
      <w:r w:rsidR="00F32B28">
        <w:rPr>
          <w:rtl/>
        </w:rPr>
        <w:t xml:space="preserve"> </w:t>
      </w:r>
      <w:r w:rsidR="00F32B28" w:rsidRPr="00F32B28">
        <w:rPr>
          <w:rtl/>
        </w:rPr>
        <w:t>الطلب</w:t>
      </w:r>
      <w:r w:rsidR="00F32B28">
        <w:rPr>
          <w:rtl/>
        </w:rPr>
        <w:t xml:space="preserve"> </w:t>
      </w:r>
      <w:r w:rsidR="00F32B28" w:rsidRPr="00F32B28">
        <w:rPr>
          <w:rtl/>
        </w:rPr>
        <w:t>والإجراءات</w:t>
      </w:r>
      <w:r w:rsidR="00F32B28">
        <w:rPr>
          <w:rtl/>
        </w:rPr>
        <w:t xml:space="preserve"> </w:t>
      </w:r>
      <w:r w:rsidR="00F32B28" w:rsidRPr="00F32B28">
        <w:rPr>
          <w:rtl/>
        </w:rPr>
        <w:t>القانونية</w:t>
      </w:r>
      <w:r w:rsidR="00F32B28">
        <w:rPr>
          <w:rtl/>
        </w:rPr>
        <w:t xml:space="preserve"> </w:t>
      </w:r>
      <w:r w:rsidR="00F32B28" w:rsidRPr="00F32B28">
        <w:rPr>
          <w:rtl/>
        </w:rPr>
        <w:t>المرعية.</w:t>
      </w:r>
      <w:r w:rsidR="00F32B28">
        <w:rPr>
          <w:rtl/>
        </w:rPr>
        <w:t xml:space="preserve"> </w:t>
      </w:r>
      <w:r w:rsidR="00F32B28" w:rsidRPr="00F32B28">
        <w:rPr>
          <w:rtl/>
        </w:rPr>
        <w:t>وتحدد</w:t>
      </w:r>
      <w:r w:rsidR="00F32B28">
        <w:rPr>
          <w:rtl/>
        </w:rPr>
        <w:t xml:space="preserve"> </w:t>
      </w:r>
      <w:r w:rsidR="00F32B28" w:rsidRPr="00F32B28">
        <w:rPr>
          <w:rtl/>
        </w:rPr>
        <w:t>الدولة</w:t>
      </w:r>
      <w:r w:rsidR="00F32B28">
        <w:rPr>
          <w:rtl/>
        </w:rPr>
        <w:t xml:space="preserve"> </w:t>
      </w:r>
      <w:r w:rsidR="00F32B28" w:rsidRPr="00F32B28">
        <w:rPr>
          <w:rtl/>
        </w:rPr>
        <w:t>للصندوق</w:t>
      </w:r>
      <w:r w:rsidR="00F32B28">
        <w:rPr>
          <w:rtl/>
        </w:rPr>
        <w:t xml:space="preserve"> </w:t>
      </w:r>
      <w:r w:rsidR="00F32B28" w:rsidRPr="00F32B28">
        <w:rPr>
          <w:rtl/>
        </w:rPr>
        <w:t>مخصصاً</w:t>
      </w:r>
      <w:r w:rsidR="00F32B28">
        <w:rPr>
          <w:rtl/>
        </w:rPr>
        <w:t xml:space="preserve"> </w:t>
      </w:r>
      <w:r w:rsidR="00F32B28" w:rsidRPr="00F32B28">
        <w:rPr>
          <w:rtl/>
        </w:rPr>
        <w:t>مالياً</w:t>
      </w:r>
      <w:r w:rsidR="00F32B28">
        <w:rPr>
          <w:rtl/>
        </w:rPr>
        <w:t xml:space="preserve"> </w:t>
      </w:r>
      <w:r w:rsidR="00F32B28" w:rsidRPr="00F32B28">
        <w:rPr>
          <w:rtl/>
        </w:rPr>
        <w:t>ضمن</w:t>
      </w:r>
      <w:r w:rsidR="00F32B28">
        <w:rPr>
          <w:rtl/>
        </w:rPr>
        <w:t xml:space="preserve"> </w:t>
      </w:r>
      <w:r w:rsidR="00F32B28" w:rsidRPr="00F32B28">
        <w:rPr>
          <w:rtl/>
        </w:rPr>
        <w:t>الموازنة</w:t>
      </w:r>
      <w:r w:rsidR="00F32B28">
        <w:rPr>
          <w:rtl/>
        </w:rPr>
        <w:t xml:space="preserve"> </w:t>
      </w:r>
      <w:r w:rsidR="00F32B28" w:rsidRPr="00F32B28">
        <w:rPr>
          <w:rtl/>
        </w:rPr>
        <w:t>السنوية.</w:t>
      </w:r>
    </w:p>
    <w:p w:rsidR="00F32B28" w:rsidRPr="00F32B28" w:rsidRDefault="00DF6B4E" w:rsidP="00DF6B4E">
      <w:pPr>
        <w:pStyle w:val="SingleTxt"/>
        <w:rPr>
          <w:rtl/>
        </w:rPr>
      </w:pPr>
      <w:r>
        <w:rPr>
          <w:rFonts w:hint="cs"/>
          <w:rtl/>
        </w:rPr>
        <w:t>37 -</w:t>
      </w:r>
      <w:r>
        <w:rPr>
          <w:rFonts w:hint="cs"/>
          <w:rtl/>
        </w:rPr>
        <w:tab/>
      </w:r>
      <w:r w:rsidR="00F32B28" w:rsidRPr="00F32B28">
        <w:rPr>
          <w:rtl/>
        </w:rPr>
        <w:t>كما</w:t>
      </w:r>
      <w:r w:rsidR="00F32B28">
        <w:rPr>
          <w:rtl/>
        </w:rPr>
        <w:t xml:space="preserve"> </w:t>
      </w:r>
      <w:r w:rsidR="00F32B28" w:rsidRPr="00F32B28">
        <w:rPr>
          <w:rtl/>
        </w:rPr>
        <w:t>تم</w:t>
      </w:r>
      <w:r w:rsidR="00F32B28">
        <w:rPr>
          <w:rtl/>
        </w:rPr>
        <w:t xml:space="preserve"> </w:t>
      </w:r>
      <w:r w:rsidR="00F32B28" w:rsidRPr="00F32B28">
        <w:rPr>
          <w:rtl/>
        </w:rPr>
        <w:t>إنشاء</w:t>
      </w:r>
      <w:r w:rsidR="00F32B28">
        <w:rPr>
          <w:rtl/>
        </w:rPr>
        <w:t xml:space="preserve"> </w:t>
      </w:r>
      <w:r w:rsidR="00F32B28" w:rsidRPr="00F32B28">
        <w:rPr>
          <w:rtl/>
        </w:rPr>
        <w:t>هيئة</w:t>
      </w:r>
      <w:r w:rsidR="00F32B28">
        <w:rPr>
          <w:rtl/>
        </w:rPr>
        <w:t xml:space="preserve"> </w:t>
      </w:r>
      <w:r w:rsidR="00F32B28" w:rsidRPr="00F32B28">
        <w:rPr>
          <w:rtl/>
        </w:rPr>
        <w:t>تفتيش</w:t>
      </w:r>
      <w:r w:rsidR="00F32B28">
        <w:rPr>
          <w:rtl/>
        </w:rPr>
        <w:t xml:space="preserve"> </w:t>
      </w:r>
      <w:r w:rsidR="00F32B28" w:rsidRPr="00F32B28">
        <w:rPr>
          <w:rtl/>
        </w:rPr>
        <w:t>العمل،</w:t>
      </w:r>
      <w:r w:rsidR="00F32B28">
        <w:rPr>
          <w:rtl/>
        </w:rPr>
        <w:t xml:space="preserve"> </w:t>
      </w:r>
      <w:r w:rsidR="00F32B28" w:rsidRPr="00F32B28">
        <w:rPr>
          <w:rtl/>
        </w:rPr>
        <w:t>بموجب</w:t>
      </w:r>
      <w:r w:rsidR="00F32B28">
        <w:rPr>
          <w:rtl/>
        </w:rPr>
        <w:t xml:space="preserve"> </w:t>
      </w:r>
      <w:r w:rsidR="00F32B28" w:rsidRPr="00F32B28">
        <w:rPr>
          <w:rtl/>
        </w:rPr>
        <w:t>قانون</w:t>
      </w:r>
      <w:r w:rsidR="00F32B28">
        <w:rPr>
          <w:rtl/>
        </w:rPr>
        <w:t xml:space="preserve"> </w:t>
      </w:r>
      <w:r w:rsidR="00F32B28" w:rsidRPr="00F32B28">
        <w:rPr>
          <w:rtl/>
        </w:rPr>
        <w:t>العمل،</w:t>
      </w:r>
      <w:r w:rsidR="00F32B28">
        <w:rPr>
          <w:rtl/>
        </w:rPr>
        <w:t xml:space="preserve"> </w:t>
      </w:r>
      <w:r w:rsidR="00F32B28" w:rsidRPr="00F32B28">
        <w:rPr>
          <w:rtl/>
        </w:rPr>
        <w:t>وإتباعها</w:t>
      </w:r>
      <w:r w:rsidR="00F32B28">
        <w:rPr>
          <w:rtl/>
        </w:rPr>
        <w:t xml:space="preserve"> </w:t>
      </w:r>
      <w:r w:rsidR="00F32B28" w:rsidRPr="00F32B28">
        <w:rPr>
          <w:rtl/>
        </w:rPr>
        <w:t>لوزارة</w:t>
      </w:r>
      <w:r w:rsidR="00F32B28">
        <w:rPr>
          <w:rtl/>
        </w:rPr>
        <w:t xml:space="preserve"> </w:t>
      </w:r>
      <w:r w:rsidR="00F32B28" w:rsidRPr="00F32B28">
        <w:rPr>
          <w:rtl/>
        </w:rPr>
        <w:t>العمل</w:t>
      </w:r>
      <w:r w:rsidR="00F32B28">
        <w:rPr>
          <w:rtl/>
        </w:rPr>
        <w:t xml:space="preserve"> </w:t>
      </w:r>
      <w:r w:rsidR="00F32B28" w:rsidRPr="00F32B28">
        <w:rPr>
          <w:rtl/>
        </w:rPr>
        <w:t>حماية</w:t>
      </w:r>
      <w:r w:rsidR="00F32B28">
        <w:rPr>
          <w:rtl/>
        </w:rPr>
        <w:t xml:space="preserve"> </w:t>
      </w:r>
      <w:r w:rsidR="00F32B28" w:rsidRPr="00F32B28">
        <w:rPr>
          <w:rtl/>
          <w:lang w:bidi="ar-SY"/>
        </w:rPr>
        <w:t>للعاملين</w:t>
      </w:r>
      <w:r w:rsidR="00F32B28">
        <w:rPr>
          <w:rtl/>
          <w:lang w:bidi="ar-SY"/>
        </w:rPr>
        <w:t xml:space="preserve"> </w:t>
      </w:r>
      <w:r w:rsidR="00F32B28" w:rsidRPr="00F32B28">
        <w:rPr>
          <w:rtl/>
          <w:lang w:bidi="ar-SY"/>
        </w:rPr>
        <w:t>والعاملات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rPr>
        <w:t>قطاع</w:t>
      </w:r>
      <w:r w:rsidR="00F32B28">
        <w:rPr>
          <w:rtl/>
        </w:rPr>
        <w:t xml:space="preserve"> </w:t>
      </w:r>
      <w:r w:rsidR="00F32B28" w:rsidRPr="00F32B28">
        <w:rPr>
          <w:rtl/>
        </w:rPr>
        <w:t>العمل</w:t>
      </w:r>
      <w:r w:rsidR="00F32B28">
        <w:rPr>
          <w:rtl/>
        </w:rPr>
        <w:t xml:space="preserve"> </w:t>
      </w:r>
      <w:r w:rsidR="00F32B28" w:rsidRPr="00F32B28">
        <w:rPr>
          <w:rtl/>
        </w:rPr>
        <w:t>الخاص</w:t>
      </w:r>
      <w:r w:rsidR="00F32B28">
        <w:rPr>
          <w:rtl/>
        </w:rPr>
        <w:t xml:space="preserve"> </w:t>
      </w:r>
      <w:r w:rsidR="00F32B28" w:rsidRPr="00F32B28">
        <w:rPr>
          <w:rtl/>
        </w:rPr>
        <w:t>والأهلي.</w:t>
      </w:r>
      <w:r w:rsidR="00F32B28">
        <w:rPr>
          <w:rtl/>
        </w:rPr>
        <w:t xml:space="preserve"> </w:t>
      </w:r>
      <w:r w:rsidR="00F32B28" w:rsidRPr="00F32B28">
        <w:rPr>
          <w:rtl/>
        </w:rPr>
        <w:t>وأنيطت</w:t>
      </w:r>
      <w:r w:rsidR="00F32B28">
        <w:rPr>
          <w:rtl/>
        </w:rPr>
        <w:t xml:space="preserve"> </w:t>
      </w:r>
      <w:r w:rsidR="00F32B28" w:rsidRPr="00F32B28">
        <w:rPr>
          <w:rtl/>
        </w:rPr>
        <w:t>بهذه</w:t>
      </w:r>
      <w:r w:rsidR="00F32B28">
        <w:rPr>
          <w:rtl/>
        </w:rPr>
        <w:t xml:space="preserve"> </w:t>
      </w:r>
      <w:r w:rsidR="00F32B28" w:rsidRPr="00F32B28">
        <w:rPr>
          <w:rtl/>
        </w:rPr>
        <w:t>الهيئة</w:t>
      </w:r>
      <w:r w:rsidR="00F32B28">
        <w:rPr>
          <w:rtl/>
        </w:rPr>
        <w:t xml:space="preserve"> </w:t>
      </w:r>
      <w:r w:rsidR="00F32B28" w:rsidRPr="00F32B28">
        <w:rPr>
          <w:rtl/>
        </w:rPr>
        <w:t>مسؤولية</w:t>
      </w:r>
      <w:r w:rsidR="00F32B28">
        <w:rPr>
          <w:rtl/>
        </w:rPr>
        <w:t xml:space="preserve"> </w:t>
      </w:r>
      <w:r w:rsidR="00F32B28" w:rsidRPr="00F32B28">
        <w:rPr>
          <w:rtl/>
        </w:rPr>
        <w:t>مراقبة</w:t>
      </w:r>
      <w:r w:rsidR="00F32B28">
        <w:rPr>
          <w:rtl/>
        </w:rPr>
        <w:t xml:space="preserve"> </w:t>
      </w:r>
      <w:r w:rsidR="00F32B28" w:rsidRPr="00F32B28">
        <w:rPr>
          <w:rtl/>
        </w:rPr>
        <w:t>أماكن</w:t>
      </w:r>
      <w:r w:rsidR="00F32B28">
        <w:rPr>
          <w:rtl/>
        </w:rPr>
        <w:t xml:space="preserve"> </w:t>
      </w:r>
      <w:r w:rsidR="00F32B28" w:rsidRPr="00F32B28">
        <w:rPr>
          <w:rtl/>
        </w:rPr>
        <w:t>العمل،</w:t>
      </w:r>
      <w:r w:rsidR="00F32B28">
        <w:rPr>
          <w:rtl/>
        </w:rPr>
        <w:t xml:space="preserve"> </w:t>
      </w:r>
      <w:r w:rsidR="00F32B28" w:rsidRPr="00F32B28">
        <w:rPr>
          <w:rtl/>
        </w:rPr>
        <w:t>وما</w:t>
      </w:r>
      <w:r w:rsidR="00F32B28">
        <w:rPr>
          <w:rtl/>
        </w:rPr>
        <w:t xml:space="preserve"> </w:t>
      </w:r>
      <w:r w:rsidR="00F32B28" w:rsidRPr="00F32B28">
        <w:rPr>
          <w:rtl/>
        </w:rPr>
        <w:t>يتعلق</w:t>
      </w:r>
      <w:r w:rsidR="00F32B28">
        <w:rPr>
          <w:rtl/>
        </w:rPr>
        <w:t xml:space="preserve"> </w:t>
      </w:r>
      <w:r w:rsidR="00F32B28" w:rsidRPr="00F32B28">
        <w:rPr>
          <w:rtl/>
        </w:rPr>
        <w:t>بشروط</w:t>
      </w:r>
      <w:r w:rsidR="00F32B28">
        <w:rPr>
          <w:rtl/>
        </w:rPr>
        <w:t xml:space="preserve"> </w:t>
      </w:r>
      <w:r w:rsidR="00F32B28" w:rsidRPr="00F32B28">
        <w:rPr>
          <w:rtl/>
        </w:rPr>
        <w:t>وظروف</w:t>
      </w:r>
      <w:r w:rsidR="00F32B28">
        <w:rPr>
          <w:rtl/>
        </w:rPr>
        <w:t xml:space="preserve"> </w:t>
      </w:r>
      <w:r w:rsidR="00F32B28" w:rsidRPr="00F32B28">
        <w:rPr>
          <w:rtl/>
        </w:rPr>
        <w:t>العمل،</w:t>
      </w:r>
      <w:r w:rsidR="00F32B28">
        <w:rPr>
          <w:rtl/>
        </w:rPr>
        <w:t xml:space="preserve"> </w:t>
      </w:r>
      <w:r w:rsidR="00F32B28" w:rsidRPr="00F32B28">
        <w:rPr>
          <w:rtl/>
        </w:rPr>
        <w:t>واستقبال</w:t>
      </w:r>
      <w:r w:rsidR="00F32B28">
        <w:rPr>
          <w:rtl/>
        </w:rPr>
        <w:t xml:space="preserve"> </w:t>
      </w:r>
      <w:r w:rsidR="00F32B28" w:rsidRPr="00F32B28">
        <w:rPr>
          <w:rtl/>
        </w:rPr>
        <w:t>شكاوى</w:t>
      </w:r>
      <w:r w:rsidR="00F32B28">
        <w:rPr>
          <w:rtl/>
        </w:rPr>
        <w:t xml:space="preserve"> </w:t>
      </w:r>
      <w:r w:rsidR="00F32B28" w:rsidRPr="00F32B28">
        <w:rPr>
          <w:rtl/>
        </w:rPr>
        <w:t>العاملين</w:t>
      </w:r>
      <w:r w:rsidR="00F32B28">
        <w:rPr>
          <w:rtl/>
        </w:rPr>
        <w:t xml:space="preserve"> </w:t>
      </w:r>
      <w:r w:rsidR="00F32B28" w:rsidRPr="00F32B28">
        <w:rPr>
          <w:rtl/>
        </w:rPr>
        <w:t>والعاملات،</w:t>
      </w:r>
      <w:r w:rsidR="00F32B28">
        <w:rPr>
          <w:rtl/>
        </w:rPr>
        <w:t xml:space="preserve"> </w:t>
      </w:r>
      <w:r w:rsidR="00F32B28" w:rsidRPr="00F32B28">
        <w:rPr>
          <w:rtl/>
        </w:rPr>
        <w:t>ومتابعتها</w:t>
      </w:r>
      <w:r w:rsidR="00F32B28">
        <w:rPr>
          <w:rtl/>
        </w:rPr>
        <w:t xml:space="preserve"> </w:t>
      </w:r>
      <w:r w:rsidR="00F32B28" w:rsidRPr="00F32B28">
        <w:rPr>
          <w:rtl/>
        </w:rPr>
        <w:t>والتحقيق</w:t>
      </w:r>
      <w:r w:rsidR="00F32B28">
        <w:rPr>
          <w:rtl/>
        </w:rPr>
        <w:t xml:space="preserve"> </w:t>
      </w:r>
      <w:r w:rsidR="00F32B28" w:rsidRPr="00F32B28">
        <w:rPr>
          <w:rtl/>
        </w:rPr>
        <w:t>فيها.</w:t>
      </w:r>
      <w:r w:rsidR="00F32B28">
        <w:rPr>
          <w:rtl/>
        </w:rPr>
        <w:t xml:space="preserve"> </w:t>
      </w:r>
      <w:r w:rsidR="00F32B28" w:rsidRPr="00F32B28">
        <w:rPr>
          <w:rtl/>
        </w:rPr>
        <w:t>أي</w:t>
      </w:r>
      <w:r w:rsidR="00F32B28">
        <w:rPr>
          <w:rtl/>
        </w:rPr>
        <w:t xml:space="preserve"> </w:t>
      </w:r>
      <w:r w:rsidR="00F32B28" w:rsidRPr="00F32B28">
        <w:rPr>
          <w:rtl/>
        </w:rPr>
        <w:t>أن</w:t>
      </w:r>
      <w:r w:rsidR="00F32B28">
        <w:rPr>
          <w:rtl/>
        </w:rPr>
        <w:t xml:space="preserve"> </w:t>
      </w:r>
      <w:r w:rsidR="00F32B28" w:rsidRPr="00F32B28">
        <w:rPr>
          <w:rtl/>
        </w:rPr>
        <w:t>هذه</w:t>
      </w:r>
      <w:r w:rsidR="00F32B28">
        <w:rPr>
          <w:rtl/>
        </w:rPr>
        <w:t xml:space="preserve"> </w:t>
      </w:r>
      <w:r w:rsidR="00F32B28" w:rsidRPr="00F32B28">
        <w:rPr>
          <w:rtl/>
        </w:rPr>
        <w:t>الآلية</w:t>
      </w:r>
      <w:r w:rsidR="00F32B28">
        <w:rPr>
          <w:rtl/>
        </w:rPr>
        <w:t xml:space="preserve"> </w:t>
      </w:r>
      <w:r w:rsidR="00F32B28" w:rsidRPr="00F32B28">
        <w:rPr>
          <w:rtl/>
        </w:rPr>
        <w:t>تمكّن</w:t>
      </w:r>
      <w:r w:rsidR="00F32B28">
        <w:rPr>
          <w:rtl/>
        </w:rPr>
        <w:t xml:space="preserve"> </w:t>
      </w:r>
      <w:r w:rsidR="00F32B28" w:rsidRPr="00F32B28">
        <w:rPr>
          <w:rtl/>
        </w:rPr>
        <w:t>أية</w:t>
      </w:r>
      <w:r w:rsidR="00F32B28">
        <w:rPr>
          <w:rtl/>
        </w:rPr>
        <w:t xml:space="preserve"> </w:t>
      </w:r>
      <w:r w:rsidR="00F32B28" w:rsidRPr="00F32B28">
        <w:rPr>
          <w:rtl/>
        </w:rPr>
        <w:t>امرأة</w:t>
      </w:r>
      <w:r w:rsidR="00F32B28">
        <w:rPr>
          <w:rtl/>
        </w:rPr>
        <w:t xml:space="preserve"> </w:t>
      </w:r>
      <w:r w:rsidR="00F32B28" w:rsidRPr="00F32B28">
        <w:rPr>
          <w:rtl/>
        </w:rPr>
        <w:t>عاملة</w:t>
      </w:r>
      <w:r w:rsidR="00F32B28">
        <w:rPr>
          <w:rtl/>
        </w:rPr>
        <w:t xml:space="preserve"> </w:t>
      </w:r>
      <w:r w:rsidR="00F32B28" w:rsidRPr="00F32B28">
        <w:rPr>
          <w:rtl/>
        </w:rPr>
        <w:t>من</w:t>
      </w:r>
      <w:r w:rsidR="00F32B28">
        <w:rPr>
          <w:rtl/>
        </w:rPr>
        <w:t xml:space="preserve"> </w:t>
      </w:r>
      <w:r w:rsidR="00F32B28" w:rsidRPr="00F32B28">
        <w:rPr>
          <w:rtl/>
        </w:rPr>
        <w:t>تبليغ</w:t>
      </w:r>
      <w:r w:rsidR="00F32B28">
        <w:rPr>
          <w:rtl/>
        </w:rPr>
        <w:t xml:space="preserve"> </w:t>
      </w:r>
      <w:r w:rsidR="00F32B28" w:rsidRPr="00F32B28">
        <w:rPr>
          <w:rtl/>
        </w:rPr>
        <w:t>الهيئة</w:t>
      </w:r>
      <w:r w:rsidR="00F32B28">
        <w:rPr>
          <w:rtl/>
        </w:rPr>
        <w:t xml:space="preserve"> </w:t>
      </w:r>
      <w:r w:rsidR="00F32B28" w:rsidRPr="00F32B28">
        <w:rPr>
          <w:rtl/>
        </w:rPr>
        <w:t>عن</w:t>
      </w:r>
      <w:r w:rsidR="00F32B28">
        <w:rPr>
          <w:rtl/>
        </w:rPr>
        <w:t xml:space="preserve"> </w:t>
      </w:r>
      <w:r w:rsidR="00F32B28" w:rsidRPr="00F32B28">
        <w:rPr>
          <w:rtl/>
        </w:rPr>
        <w:t>أية</w:t>
      </w:r>
      <w:r w:rsidR="00F32B28">
        <w:rPr>
          <w:rtl/>
        </w:rPr>
        <w:t xml:space="preserve"> </w:t>
      </w:r>
      <w:r w:rsidR="00F32B28" w:rsidRPr="00F32B28">
        <w:rPr>
          <w:rtl/>
        </w:rPr>
        <w:t>مخالفة</w:t>
      </w:r>
      <w:r w:rsidR="00F32B28">
        <w:rPr>
          <w:rtl/>
        </w:rPr>
        <w:t xml:space="preserve"> </w:t>
      </w:r>
      <w:r w:rsidR="00F32B28" w:rsidRPr="00F32B28">
        <w:rPr>
          <w:rtl/>
        </w:rPr>
        <w:t>يرتكبها</w:t>
      </w:r>
      <w:r w:rsidR="00F32B28">
        <w:rPr>
          <w:rtl/>
        </w:rPr>
        <w:t xml:space="preserve"> </w:t>
      </w:r>
      <w:r w:rsidR="00F32B28" w:rsidRPr="00F32B28">
        <w:rPr>
          <w:rtl/>
        </w:rPr>
        <w:t>رب</w:t>
      </w:r>
      <w:r w:rsidR="00F32B28">
        <w:rPr>
          <w:rtl/>
        </w:rPr>
        <w:t xml:space="preserve"> </w:t>
      </w:r>
      <w:r w:rsidR="00F32B28" w:rsidRPr="00F32B28">
        <w:rPr>
          <w:rtl/>
        </w:rPr>
        <w:t>العمل</w:t>
      </w:r>
      <w:r w:rsidR="00F32B28">
        <w:rPr>
          <w:rtl/>
        </w:rPr>
        <w:t xml:space="preserve"> </w:t>
      </w:r>
      <w:r w:rsidR="00F32B28" w:rsidRPr="00F32B28">
        <w:rPr>
          <w:rtl/>
        </w:rPr>
        <w:t>بحقها</w:t>
      </w:r>
      <w:r w:rsidR="00F32B28">
        <w:rPr>
          <w:rtl/>
        </w:rPr>
        <w:t xml:space="preserve"> </w:t>
      </w:r>
      <w:r w:rsidR="00F32B28" w:rsidRPr="00F32B28">
        <w:rPr>
          <w:rtl/>
        </w:rPr>
        <w:t>أو</w:t>
      </w:r>
      <w:r w:rsidR="00F32B28">
        <w:rPr>
          <w:rtl/>
        </w:rPr>
        <w:t xml:space="preserve"> </w:t>
      </w:r>
      <w:r w:rsidR="00F32B28" w:rsidRPr="00F32B28">
        <w:rPr>
          <w:rtl/>
        </w:rPr>
        <w:t>عمل</w:t>
      </w:r>
      <w:r w:rsidR="00F32B28">
        <w:rPr>
          <w:rtl/>
        </w:rPr>
        <w:t xml:space="preserve"> </w:t>
      </w:r>
      <w:r w:rsidR="00F32B28" w:rsidRPr="00F32B28">
        <w:rPr>
          <w:rtl/>
        </w:rPr>
        <w:t>تمييزي</w:t>
      </w:r>
      <w:r w:rsidR="00F32B28">
        <w:rPr>
          <w:rtl/>
        </w:rPr>
        <w:t xml:space="preserve"> </w:t>
      </w:r>
      <w:r w:rsidR="00F32B28" w:rsidRPr="00F32B28">
        <w:rPr>
          <w:rtl/>
        </w:rPr>
        <w:t>يمارسه</w:t>
      </w:r>
      <w:r w:rsidR="00F32B28">
        <w:rPr>
          <w:rtl/>
        </w:rPr>
        <w:t xml:space="preserve"> </w:t>
      </w:r>
      <w:r w:rsidR="00F32B28" w:rsidRPr="00F32B28">
        <w:rPr>
          <w:rtl/>
        </w:rPr>
        <w:t>ضدها</w:t>
      </w:r>
      <w:r w:rsidR="00F32B28">
        <w:rPr>
          <w:rtl/>
        </w:rPr>
        <w:t xml:space="preserve"> </w:t>
      </w:r>
      <w:r w:rsidR="00F32B28" w:rsidRPr="00F32B28">
        <w:rPr>
          <w:rtl/>
        </w:rPr>
        <w:t>أو</w:t>
      </w:r>
      <w:r w:rsidR="00F32B28">
        <w:rPr>
          <w:rtl/>
        </w:rPr>
        <w:t xml:space="preserve"> </w:t>
      </w:r>
      <w:r w:rsidR="00F32B28" w:rsidRPr="00F32B28">
        <w:rPr>
          <w:rtl/>
        </w:rPr>
        <w:t>أي</w:t>
      </w:r>
      <w:r w:rsidR="00F32B28">
        <w:rPr>
          <w:rtl/>
        </w:rPr>
        <w:t xml:space="preserve"> </w:t>
      </w:r>
      <w:r w:rsidR="00F32B28" w:rsidRPr="00F32B28">
        <w:rPr>
          <w:rtl/>
        </w:rPr>
        <w:t>إجراء</w:t>
      </w:r>
      <w:r w:rsidR="00F32B28">
        <w:rPr>
          <w:rtl/>
        </w:rPr>
        <w:t xml:space="preserve"> </w:t>
      </w:r>
      <w:r w:rsidR="00F32B28" w:rsidRPr="00F32B28">
        <w:rPr>
          <w:rtl/>
        </w:rPr>
        <w:t>تأديبي</w:t>
      </w:r>
      <w:r w:rsidR="00F32B28">
        <w:rPr>
          <w:rtl/>
        </w:rPr>
        <w:t xml:space="preserve"> </w:t>
      </w:r>
      <w:r w:rsidR="00F32B28" w:rsidRPr="00F32B28">
        <w:rPr>
          <w:rtl/>
        </w:rPr>
        <w:t>يفرضه</w:t>
      </w:r>
      <w:r w:rsidR="00F32B28">
        <w:rPr>
          <w:rtl/>
        </w:rPr>
        <w:t xml:space="preserve"> </w:t>
      </w:r>
      <w:r w:rsidR="00F32B28" w:rsidRPr="00F32B28">
        <w:rPr>
          <w:rtl/>
        </w:rPr>
        <w:t>عليها</w:t>
      </w:r>
      <w:r w:rsidR="00F32B28">
        <w:rPr>
          <w:rtl/>
        </w:rPr>
        <w:t xml:space="preserve"> </w:t>
      </w:r>
      <w:r w:rsidR="00F32B28" w:rsidRPr="00F32B28">
        <w:rPr>
          <w:rtl/>
        </w:rPr>
        <w:t>والاعتراض</w:t>
      </w:r>
      <w:r w:rsidR="00F32B28">
        <w:rPr>
          <w:rtl/>
        </w:rPr>
        <w:t xml:space="preserve"> </w:t>
      </w:r>
      <w:r w:rsidR="00F32B28" w:rsidRPr="00F32B28">
        <w:rPr>
          <w:rtl/>
        </w:rPr>
        <w:t>لدى</w:t>
      </w:r>
      <w:r w:rsidR="00F32B28">
        <w:rPr>
          <w:rtl/>
        </w:rPr>
        <w:t xml:space="preserve"> </w:t>
      </w:r>
      <w:r w:rsidR="00F32B28" w:rsidRPr="00F32B28">
        <w:rPr>
          <w:rtl/>
        </w:rPr>
        <w:t>الهيئة،</w:t>
      </w:r>
      <w:r w:rsidR="00F32B28">
        <w:rPr>
          <w:rtl/>
        </w:rPr>
        <w:t xml:space="preserve"> </w:t>
      </w:r>
      <w:r w:rsidR="00F32B28" w:rsidRPr="00F32B28">
        <w:rPr>
          <w:rtl/>
        </w:rPr>
        <w:t>ويحظر</w:t>
      </w:r>
      <w:r w:rsidR="00F32B28">
        <w:rPr>
          <w:rtl/>
        </w:rPr>
        <w:t xml:space="preserve"> </w:t>
      </w:r>
      <w:r w:rsidR="00F32B28" w:rsidRPr="00F32B28">
        <w:rPr>
          <w:rtl/>
        </w:rPr>
        <w:t>فصل</w:t>
      </w:r>
      <w:r w:rsidR="00F32B28">
        <w:rPr>
          <w:rtl/>
        </w:rPr>
        <w:t xml:space="preserve"> </w:t>
      </w:r>
      <w:r w:rsidR="00F32B28" w:rsidRPr="00F32B28">
        <w:rPr>
          <w:rtl/>
        </w:rPr>
        <w:t>أو</w:t>
      </w:r>
      <w:r w:rsidR="00F32B28">
        <w:rPr>
          <w:rtl/>
        </w:rPr>
        <w:t xml:space="preserve"> </w:t>
      </w:r>
      <w:r w:rsidR="00F32B28" w:rsidRPr="00F32B28">
        <w:rPr>
          <w:rtl/>
        </w:rPr>
        <w:t>إنهاء</w:t>
      </w:r>
      <w:r w:rsidR="00F32B28">
        <w:rPr>
          <w:rtl/>
        </w:rPr>
        <w:t xml:space="preserve"> </w:t>
      </w:r>
      <w:r w:rsidR="00F32B28" w:rsidRPr="00F32B28">
        <w:rPr>
          <w:rtl/>
        </w:rPr>
        <w:t>خدمة</w:t>
      </w:r>
      <w:r w:rsidR="00F32B28">
        <w:rPr>
          <w:rtl/>
        </w:rPr>
        <w:t xml:space="preserve"> </w:t>
      </w:r>
      <w:r w:rsidR="00F32B28" w:rsidRPr="00F32B28">
        <w:rPr>
          <w:rtl/>
        </w:rPr>
        <w:t>المرأة</w:t>
      </w:r>
      <w:r w:rsidR="00F32B28">
        <w:rPr>
          <w:rtl/>
        </w:rPr>
        <w:t xml:space="preserve"> </w:t>
      </w:r>
      <w:r w:rsidR="00F32B28" w:rsidRPr="00F32B28">
        <w:rPr>
          <w:rtl/>
        </w:rPr>
        <w:t>العاملة،</w:t>
      </w:r>
      <w:r w:rsidR="00F32B28">
        <w:rPr>
          <w:rtl/>
        </w:rPr>
        <w:t xml:space="preserve"> </w:t>
      </w:r>
      <w:r w:rsidR="00F32B28" w:rsidRPr="00F32B28">
        <w:rPr>
          <w:rtl/>
        </w:rPr>
        <w:t>وكذلك</w:t>
      </w:r>
      <w:r w:rsidR="00F32B28">
        <w:rPr>
          <w:rtl/>
        </w:rPr>
        <w:t xml:space="preserve"> </w:t>
      </w:r>
      <w:r w:rsidR="00F32B28" w:rsidRPr="00F32B28">
        <w:rPr>
          <w:rtl/>
        </w:rPr>
        <w:t>الرجل</w:t>
      </w:r>
      <w:r w:rsidR="00F32B28">
        <w:rPr>
          <w:rtl/>
        </w:rPr>
        <w:t xml:space="preserve"> </w:t>
      </w:r>
      <w:r w:rsidR="00F32B28" w:rsidRPr="00F32B28">
        <w:rPr>
          <w:rtl/>
        </w:rPr>
        <w:t>العامل،</w:t>
      </w:r>
      <w:r w:rsidR="00F32B28">
        <w:rPr>
          <w:rtl/>
        </w:rPr>
        <w:t xml:space="preserve"> </w:t>
      </w:r>
      <w:r w:rsidR="00F32B28" w:rsidRPr="00F32B28">
        <w:rPr>
          <w:rtl/>
        </w:rPr>
        <w:t>على</w:t>
      </w:r>
      <w:r w:rsidR="00F32B28">
        <w:rPr>
          <w:rtl/>
        </w:rPr>
        <w:t xml:space="preserve"> </w:t>
      </w:r>
      <w:r w:rsidR="00F32B28" w:rsidRPr="00F32B28">
        <w:rPr>
          <w:rtl/>
        </w:rPr>
        <w:t>خلفية</w:t>
      </w:r>
      <w:r w:rsidR="00F32B28">
        <w:rPr>
          <w:rtl/>
        </w:rPr>
        <w:t xml:space="preserve"> </w:t>
      </w:r>
      <w:r w:rsidR="00F32B28" w:rsidRPr="00F32B28">
        <w:rPr>
          <w:rtl/>
        </w:rPr>
        <w:t>تقديم</w:t>
      </w:r>
      <w:r w:rsidR="00F32B28">
        <w:rPr>
          <w:rtl/>
        </w:rPr>
        <w:t xml:space="preserve"> </w:t>
      </w:r>
      <w:r w:rsidR="00F32B28" w:rsidRPr="00F32B28">
        <w:rPr>
          <w:rtl/>
        </w:rPr>
        <w:t>هذه</w:t>
      </w:r>
      <w:r w:rsidR="00F32B28">
        <w:rPr>
          <w:rtl/>
        </w:rPr>
        <w:t xml:space="preserve"> </w:t>
      </w:r>
      <w:r w:rsidR="00F32B28" w:rsidRPr="00F32B28">
        <w:rPr>
          <w:rtl/>
        </w:rPr>
        <w:t>الشكوى.</w:t>
      </w:r>
      <w:r>
        <w:rPr>
          <w:rFonts w:hint="cs"/>
          <w:rtl/>
        </w:rPr>
        <w:t xml:space="preserve"> </w:t>
      </w:r>
      <w:r w:rsidR="00F32B28" w:rsidRPr="00F32B28">
        <w:rPr>
          <w:rtl/>
        </w:rPr>
        <w:t>وتتمتع</w:t>
      </w:r>
      <w:r w:rsidR="00F32B28">
        <w:rPr>
          <w:rtl/>
        </w:rPr>
        <w:t xml:space="preserve"> </w:t>
      </w:r>
      <w:r w:rsidR="00F32B28" w:rsidRPr="00F32B28">
        <w:rPr>
          <w:rtl/>
        </w:rPr>
        <w:t>هذه</w:t>
      </w:r>
      <w:r w:rsidR="00F32B28">
        <w:rPr>
          <w:rtl/>
        </w:rPr>
        <w:t xml:space="preserve"> </w:t>
      </w:r>
      <w:r w:rsidR="00F32B28" w:rsidRPr="00F32B28">
        <w:rPr>
          <w:rtl/>
        </w:rPr>
        <w:t>الهيئة</w:t>
      </w:r>
      <w:r w:rsidR="00F32B28">
        <w:rPr>
          <w:rtl/>
        </w:rPr>
        <w:t xml:space="preserve"> </w:t>
      </w:r>
      <w:r w:rsidR="00F32B28" w:rsidRPr="00F32B28">
        <w:rPr>
          <w:rtl/>
        </w:rPr>
        <w:t>بصلاحيات</w:t>
      </w:r>
      <w:r w:rsidR="00F32B28">
        <w:rPr>
          <w:rtl/>
        </w:rPr>
        <w:t xml:space="preserve"> </w:t>
      </w:r>
      <w:r w:rsidR="00F32B28" w:rsidRPr="00F32B28">
        <w:rPr>
          <w:rtl/>
        </w:rPr>
        <w:t>الضبطية</w:t>
      </w:r>
      <w:r w:rsidR="00F32B28">
        <w:rPr>
          <w:rtl/>
        </w:rPr>
        <w:t xml:space="preserve"> </w:t>
      </w:r>
      <w:r w:rsidR="00F32B28" w:rsidRPr="00F32B28">
        <w:rPr>
          <w:rtl/>
        </w:rPr>
        <w:t>القضائية،</w:t>
      </w:r>
      <w:r w:rsidR="00F32B28">
        <w:rPr>
          <w:rtl/>
        </w:rPr>
        <w:t xml:space="preserve"> </w:t>
      </w:r>
      <w:r w:rsidR="00F32B28" w:rsidRPr="00F32B28">
        <w:rPr>
          <w:rtl/>
        </w:rPr>
        <w:t>فيحق</w:t>
      </w:r>
      <w:r w:rsidR="00F32B28">
        <w:rPr>
          <w:rtl/>
        </w:rPr>
        <w:t xml:space="preserve"> </w:t>
      </w:r>
      <w:r w:rsidR="00F32B28" w:rsidRPr="00F32B28">
        <w:rPr>
          <w:rtl/>
        </w:rPr>
        <w:t>لها</w:t>
      </w:r>
      <w:r w:rsidR="00F32B28">
        <w:rPr>
          <w:rtl/>
        </w:rPr>
        <w:t xml:space="preserve"> </w:t>
      </w:r>
      <w:r w:rsidR="00F32B28" w:rsidRPr="00F32B28">
        <w:rPr>
          <w:rtl/>
        </w:rPr>
        <w:t>القيام</w:t>
      </w:r>
      <w:r w:rsidR="00F32B28">
        <w:rPr>
          <w:rtl/>
        </w:rPr>
        <w:t xml:space="preserve"> </w:t>
      </w:r>
      <w:r w:rsidR="00F32B28" w:rsidRPr="00F32B28">
        <w:rPr>
          <w:rtl/>
        </w:rPr>
        <w:t>بتفتيش</w:t>
      </w:r>
      <w:r w:rsidR="00F32B28">
        <w:rPr>
          <w:rtl/>
        </w:rPr>
        <w:t xml:space="preserve"> </w:t>
      </w:r>
      <w:r w:rsidR="00F32B28" w:rsidRPr="00F32B28">
        <w:rPr>
          <w:rtl/>
        </w:rPr>
        <w:t>أماكن</w:t>
      </w:r>
      <w:r w:rsidR="00F32B28">
        <w:rPr>
          <w:rtl/>
        </w:rPr>
        <w:t xml:space="preserve"> </w:t>
      </w:r>
      <w:r w:rsidR="00F32B28" w:rsidRPr="00F32B28">
        <w:rPr>
          <w:rtl/>
        </w:rPr>
        <w:t>العمل</w:t>
      </w:r>
      <w:r w:rsidR="00F32B28">
        <w:rPr>
          <w:rtl/>
        </w:rPr>
        <w:t xml:space="preserve"> </w:t>
      </w:r>
      <w:r w:rsidR="00F32B28" w:rsidRPr="00F32B28">
        <w:rPr>
          <w:rtl/>
        </w:rPr>
        <w:t>ولو</w:t>
      </w:r>
      <w:r w:rsidR="00F32B28">
        <w:rPr>
          <w:rtl/>
        </w:rPr>
        <w:t xml:space="preserve"> </w:t>
      </w:r>
      <w:r w:rsidR="00F32B28" w:rsidRPr="00F32B28">
        <w:rPr>
          <w:rtl/>
        </w:rPr>
        <w:t>دون</w:t>
      </w:r>
      <w:r w:rsidR="00F32B28">
        <w:rPr>
          <w:rtl/>
        </w:rPr>
        <w:t xml:space="preserve"> </w:t>
      </w:r>
      <w:r w:rsidR="00F32B28" w:rsidRPr="00F32B28">
        <w:rPr>
          <w:rtl/>
        </w:rPr>
        <w:t>إنذار</w:t>
      </w:r>
      <w:r w:rsidR="00F32B28">
        <w:rPr>
          <w:rtl/>
        </w:rPr>
        <w:t xml:space="preserve"> </w:t>
      </w:r>
      <w:r w:rsidR="00F32B28" w:rsidRPr="00F32B28">
        <w:rPr>
          <w:rtl/>
        </w:rPr>
        <w:t>سابق،</w:t>
      </w:r>
      <w:r w:rsidR="00F32B28">
        <w:rPr>
          <w:rtl/>
        </w:rPr>
        <w:t xml:space="preserve"> </w:t>
      </w:r>
      <w:r w:rsidR="00F32B28" w:rsidRPr="00F32B28">
        <w:rPr>
          <w:rtl/>
        </w:rPr>
        <w:t>والاستفسار</w:t>
      </w:r>
      <w:r w:rsidR="00F32B28">
        <w:rPr>
          <w:rtl/>
        </w:rPr>
        <w:t xml:space="preserve"> </w:t>
      </w:r>
      <w:r w:rsidR="00F32B28" w:rsidRPr="00F32B28">
        <w:rPr>
          <w:rtl/>
        </w:rPr>
        <w:t>من</w:t>
      </w:r>
      <w:r w:rsidR="00F32B28">
        <w:rPr>
          <w:rtl/>
        </w:rPr>
        <w:t xml:space="preserve"> </w:t>
      </w:r>
      <w:r w:rsidR="00F32B28" w:rsidRPr="00F32B28">
        <w:rPr>
          <w:rtl/>
        </w:rPr>
        <w:t>صاحب</w:t>
      </w:r>
      <w:r w:rsidR="00F32B28">
        <w:rPr>
          <w:rtl/>
        </w:rPr>
        <w:t xml:space="preserve"> </w:t>
      </w:r>
      <w:r w:rsidR="00F32B28" w:rsidRPr="00F32B28">
        <w:rPr>
          <w:rtl/>
        </w:rPr>
        <w:t>العمل</w:t>
      </w:r>
      <w:r w:rsidR="00F32B28">
        <w:rPr>
          <w:rtl/>
        </w:rPr>
        <w:t xml:space="preserve"> </w:t>
      </w:r>
      <w:r w:rsidR="00F32B28" w:rsidRPr="00F32B28">
        <w:rPr>
          <w:rtl/>
        </w:rPr>
        <w:t>أو</w:t>
      </w:r>
      <w:r w:rsidR="00F32B28">
        <w:rPr>
          <w:rtl/>
        </w:rPr>
        <w:t xml:space="preserve"> </w:t>
      </w:r>
      <w:r w:rsidR="00F32B28" w:rsidRPr="00F32B28">
        <w:rPr>
          <w:rtl/>
        </w:rPr>
        <w:t>من</w:t>
      </w:r>
      <w:r w:rsidR="00F32B28">
        <w:rPr>
          <w:rtl/>
        </w:rPr>
        <w:t xml:space="preserve"> </w:t>
      </w:r>
      <w:r w:rsidR="00F32B28" w:rsidRPr="00F32B28">
        <w:rPr>
          <w:rtl/>
        </w:rPr>
        <w:t>العمال</w:t>
      </w:r>
      <w:r w:rsidR="00F32B28">
        <w:rPr>
          <w:rtl/>
        </w:rPr>
        <w:t xml:space="preserve"> </w:t>
      </w:r>
      <w:r w:rsidR="00F32B28" w:rsidRPr="00F32B28">
        <w:rPr>
          <w:rtl/>
        </w:rPr>
        <w:t>والاطلاع</w:t>
      </w:r>
      <w:r w:rsidR="00F32B28">
        <w:rPr>
          <w:rtl/>
        </w:rPr>
        <w:t xml:space="preserve"> </w:t>
      </w:r>
      <w:r w:rsidR="00F32B28" w:rsidRPr="00F32B28">
        <w:rPr>
          <w:rtl/>
        </w:rPr>
        <w:t>على</w:t>
      </w:r>
      <w:r w:rsidR="00F32B28">
        <w:rPr>
          <w:rtl/>
        </w:rPr>
        <w:t xml:space="preserve"> </w:t>
      </w:r>
      <w:r w:rsidR="00F32B28" w:rsidRPr="00F32B28">
        <w:rPr>
          <w:rtl/>
        </w:rPr>
        <w:t>أية</w:t>
      </w:r>
      <w:r w:rsidR="00F32B28">
        <w:rPr>
          <w:rtl/>
        </w:rPr>
        <w:t xml:space="preserve"> </w:t>
      </w:r>
      <w:r w:rsidR="00F32B28" w:rsidRPr="00F32B28">
        <w:rPr>
          <w:rtl/>
        </w:rPr>
        <w:t>وثائق</w:t>
      </w:r>
      <w:r w:rsidR="00F32B28">
        <w:rPr>
          <w:rtl/>
        </w:rPr>
        <w:t xml:space="preserve"> </w:t>
      </w:r>
      <w:r w:rsidR="00F32B28" w:rsidRPr="00F32B28">
        <w:rPr>
          <w:rtl/>
        </w:rPr>
        <w:t>بشأن</w:t>
      </w:r>
      <w:r w:rsidR="00F32B28">
        <w:rPr>
          <w:rtl/>
        </w:rPr>
        <w:t xml:space="preserve"> </w:t>
      </w:r>
      <w:r w:rsidR="00F32B28" w:rsidRPr="00F32B28">
        <w:rPr>
          <w:rtl/>
        </w:rPr>
        <w:t>شروط</w:t>
      </w:r>
      <w:r w:rsidR="00F32B28">
        <w:rPr>
          <w:rtl/>
        </w:rPr>
        <w:t xml:space="preserve"> </w:t>
      </w:r>
      <w:r w:rsidR="00F32B28" w:rsidRPr="00F32B28">
        <w:rPr>
          <w:rtl/>
        </w:rPr>
        <w:t>العمل.</w:t>
      </w:r>
      <w:r w:rsidR="00F32B28">
        <w:rPr>
          <w:rtl/>
        </w:rPr>
        <w:t xml:space="preserve"> </w:t>
      </w:r>
      <w:r w:rsidR="00F32B28" w:rsidRPr="00F32B28">
        <w:rPr>
          <w:rtl/>
        </w:rPr>
        <w:t>ويتم</w:t>
      </w:r>
      <w:r w:rsidR="00F32B28">
        <w:rPr>
          <w:rtl/>
        </w:rPr>
        <w:t xml:space="preserve"> </w:t>
      </w:r>
      <w:r w:rsidR="00F32B28" w:rsidRPr="00F32B28">
        <w:rPr>
          <w:rtl/>
        </w:rPr>
        <w:t>إيقاع</w:t>
      </w:r>
      <w:r w:rsidR="00F32B28">
        <w:rPr>
          <w:rtl/>
        </w:rPr>
        <w:t xml:space="preserve"> </w:t>
      </w:r>
      <w:r w:rsidR="00F32B28" w:rsidRPr="00F32B28">
        <w:rPr>
          <w:rtl/>
        </w:rPr>
        <w:t>العقوبات</w:t>
      </w:r>
      <w:r w:rsidR="00F32B28">
        <w:rPr>
          <w:rtl/>
        </w:rPr>
        <w:t xml:space="preserve"> </w:t>
      </w:r>
      <w:r w:rsidR="00F32B28" w:rsidRPr="00F32B28">
        <w:rPr>
          <w:rtl/>
        </w:rPr>
        <w:t>المقررة</w:t>
      </w:r>
      <w:r w:rsidR="00F32B28">
        <w:rPr>
          <w:rtl/>
        </w:rPr>
        <w:t xml:space="preserve"> </w:t>
      </w:r>
      <w:r w:rsidR="00F32B28" w:rsidRPr="00F32B28">
        <w:rPr>
          <w:rtl/>
        </w:rPr>
        <w:t>وفقاً</w:t>
      </w:r>
      <w:r w:rsidR="00F32B28">
        <w:rPr>
          <w:rtl/>
        </w:rPr>
        <w:t xml:space="preserve"> </w:t>
      </w:r>
      <w:r w:rsidR="00F32B28" w:rsidRPr="00F32B28">
        <w:rPr>
          <w:rtl/>
        </w:rPr>
        <w:t>للقانون</w:t>
      </w:r>
      <w:r w:rsidR="00F32B28">
        <w:rPr>
          <w:rtl/>
        </w:rPr>
        <w:t xml:space="preserve"> </w:t>
      </w:r>
      <w:r w:rsidR="00F32B28" w:rsidRPr="00F32B28">
        <w:rPr>
          <w:rtl/>
        </w:rPr>
        <w:t>بحق</w:t>
      </w:r>
      <w:r w:rsidR="00F32B28">
        <w:rPr>
          <w:rtl/>
        </w:rPr>
        <w:t xml:space="preserve"> </w:t>
      </w:r>
      <w:r w:rsidR="00F32B28" w:rsidRPr="00F32B28">
        <w:rPr>
          <w:rtl/>
        </w:rPr>
        <w:t>رب</w:t>
      </w:r>
      <w:r w:rsidR="00F32B28">
        <w:rPr>
          <w:rtl/>
        </w:rPr>
        <w:t xml:space="preserve"> </w:t>
      </w:r>
      <w:r w:rsidR="00F32B28" w:rsidRPr="00F32B28">
        <w:rPr>
          <w:rtl/>
        </w:rPr>
        <w:t>العمل</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التثبت</w:t>
      </w:r>
      <w:r w:rsidR="00F32B28">
        <w:rPr>
          <w:rtl/>
        </w:rPr>
        <w:t xml:space="preserve"> </w:t>
      </w:r>
      <w:r w:rsidR="00F32B28" w:rsidRPr="00F32B28">
        <w:rPr>
          <w:rtl/>
        </w:rPr>
        <w:t>من</w:t>
      </w:r>
      <w:r w:rsidR="00F32B28">
        <w:rPr>
          <w:rtl/>
        </w:rPr>
        <w:t xml:space="preserve"> </w:t>
      </w:r>
      <w:r w:rsidR="00F32B28" w:rsidRPr="00F32B28">
        <w:rPr>
          <w:rtl/>
        </w:rPr>
        <w:t>ارتكابه</w:t>
      </w:r>
      <w:r w:rsidR="00F32B28">
        <w:rPr>
          <w:rtl/>
        </w:rPr>
        <w:t xml:space="preserve"> </w:t>
      </w:r>
      <w:r w:rsidR="00F32B28" w:rsidRPr="00F32B28">
        <w:rPr>
          <w:rtl/>
        </w:rPr>
        <w:t>لإحدى</w:t>
      </w:r>
      <w:r w:rsidR="00F32B28">
        <w:rPr>
          <w:rtl/>
        </w:rPr>
        <w:t xml:space="preserve"> </w:t>
      </w:r>
      <w:r w:rsidR="00F32B28" w:rsidRPr="00F32B28">
        <w:rPr>
          <w:rtl/>
        </w:rPr>
        <w:t>المخالفات،</w:t>
      </w:r>
      <w:r w:rsidR="00F32B28">
        <w:rPr>
          <w:rtl/>
        </w:rPr>
        <w:t xml:space="preserve"> </w:t>
      </w:r>
      <w:r w:rsidR="00F32B28" w:rsidRPr="00F32B28">
        <w:rPr>
          <w:rtl/>
        </w:rPr>
        <w:t>بما</w:t>
      </w:r>
      <w:r w:rsidR="00F32B28">
        <w:rPr>
          <w:rtl/>
        </w:rPr>
        <w:t xml:space="preserve"> </w:t>
      </w:r>
      <w:r w:rsidR="00F32B28" w:rsidRPr="00F32B28">
        <w:rPr>
          <w:rtl/>
        </w:rPr>
        <w:t>فيها</w:t>
      </w:r>
      <w:r w:rsidR="00F32B28">
        <w:rPr>
          <w:rtl/>
        </w:rPr>
        <w:t xml:space="preserve"> </w:t>
      </w:r>
      <w:r w:rsidR="00F32B28" w:rsidRPr="00F32B28">
        <w:rPr>
          <w:rtl/>
        </w:rPr>
        <w:t>من</w:t>
      </w:r>
      <w:r w:rsidR="00F32B28">
        <w:rPr>
          <w:rtl/>
        </w:rPr>
        <w:t xml:space="preserve"> </w:t>
      </w:r>
      <w:r w:rsidR="00F32B28" w:rsidRPr="00F32B28">
        <w:rPr>
          <w:rtl/>
        </w:rPr>
        <w:t>أعمال</w:t>
      </w:r>
      <w:r w:rsidR="00F32B28">
        <w:rPr>
          <w:rtl/>
        </w:rPr>
        <w:t xml:space="preserve"> </w:t>
      </w:r>
      <w:r w:rsidR="00F32B28" w:rsidRPr="00F32B28">
        <w:rPr>
          <w:rtl/>
        </w:rPr>
        <w:t>تمييزية</w:t>
      </w:r>
      <w:r w:rsidR="00F32B28">
        <w:rPr>
          <w:rtl/>
        </w:rPr>
        <w:t xml:space="preserve"> </w:t>
      </w:r>
      <w:r w:rsidR="00F32B28" w:rsidRPr="00F32B28">
        <w:rPr>
          <w:rtl/>
        </w:rPr>
        <w:t>ضد</w:t>
      </w:r>
      <w:r w:rsidR="00F32B28">
        <w:rPr>
          <w:rtl/>
        </w:rPr>
        <w:t xml:space="preserve"> </w:t>
      </w:r>
      <w:r w:rsidR="00F32B28" w:rsidRPr="00F32B28">
        <w:rPr>
          <w:rtl/>
        </w:rPr>
        <w:t>النساء.</w:t>
      </w:r>
    </w:p>
    <w:p w:rsidR="00F32B28" w:rsidRPr="00F32B28" w:rsidRDefault="00DF6B4E" w:rsidP="00DF6B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lastRenderedPageBreak/>
        <w:tab/>
      </w:r>
      <w:r>
        <w:rPr>
          <w:rFonts w:hint="cs"/>
          <w:rtl/>
        </w:rPr>
        <w:tab/>
      </w:r>
      <w:r w:rsidR="00F32B28" w:rsidRPr="00F32B28">
        <w:rPr>
          <w:rtl/>
        </w:rPr>
        <w:t>التشريعات</w:t>
      </w:r>
      <w:r w:rsidR="00F32B28">
        <w:rPr>
          <w:rtl/>
        </w:rPr>
        <w:t xml:space="preserve"> </w:t>
      </w:r>
      <w:r w:rsidR="00F32B28" w:rsidRPr="00F32B28">
        <w:rPr>
          <w:rtl/>
        </w:rPr>
        <w:t>العقابية</w:t>
      </w:r>
    </w:p>
    <w:p w:rsidR="00F32B28" w:rsidRPr="00F32B28" w:rsidRDefault="00DF6B4E" w:rsidP="00DF6B4E">
      <w:pPr>
        <w:pStyle w:val="SingleTxt"/>
        <w:rPr>
          <w:rtl/>
        </w:rPr>
      </w:pPr>
      <w:r>
        <w:rPr>
          <w:rFonts w:hint="cs"/>
          <w:rtl/>
          <w:lang w:bidi="ar-JO"/>
        </w:rPr>
        <w:t>38 -</w:t>
      </w:r>
      <w:r>
        <w:rPr>
          <w:rFonts w:hint="cs"/>
          <w:rtl/>
          <w:lang w:bidi="ar-JO"/>
        </w:rPr>
        <w:tab/>
      </w:r>
      <w:r w:rsidR="00F32B28" w:rsidRPr="00F32B28">
        <w:rPr>
          <w:rtl/>
          <w:lang w:bidi="ar-JO"/>
        </w:rPr>
        <w:t>منحت</w:t>
      </w:r>
      <w:r w:rsidR="00F32B28">
        <w:rPr>
          <w:rtl/>
          <w:lang w:bidi="ar-JO"/>
        </w:rPr>
        <w:t xml:space="preserve"> </w:t>
      </w:r>
      <w:r w:rsidR="00F32B28" w:rsidRPr="00F32B28">
        <w:rPr>
          <w:rtl/>
          <w:lang w:bidi="ar-JO"/>
        </w:rPr>
        <w:t>التشريعات</w:t>
      </w:r>
      <w:r w:rsidR="00F32B28">
        <w:rPr>
          <w:rtl/>
          <w:lang w:bidi="ar-JO"/>
        </w:rPr>
        <w:t xml:space="preserve"> </w:t>
      </w:r>
      <w:r w:rsidR="00F32B28" w:rsidRPr="00F32B28">
        <w:rPr>
          <w:rtl/>
          <w:lang w:bidi="ar-JO"/>
        </w:rPr>
        <w:t>السارية</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السابق</w:t>
      </w:r>
      <w:r w:rsidR="00F32B28">
        <w:rPr>
          <w:rtl/>
          <w:lang w:bidi="ar-JO"/>
        </w:rPr>
        <w:t xml:space="preserve"> </w:t>
      </w:r>
      <w:r w:rsidR="00F32B28" w:rsidRPr="00F32B28">
        <w:rPr>
          <w:rtl/>
          <w:lang w:bidi="ar-JO"/>
        </w:rPr>
        <w:t>أعذاراً</w:t>
      </w:r>
      <w:r w:rsidR="00F32B28">
        <w:rPr>
          <w:rtl/>
          <w:lang w:bidi="ar-JO"/>
        </w:rPr>
        <w:t xml:space="preserve"> </w:t>
      </w:r>
      <w:r w:rsidR="00F32B28" w:rsidRPr="00F32B28">
        <w:rPr>
          <w:rtl/>
          <w:lang w:bidi="ar-JO"/>
        </w:rPr>
        <w:t>محلة</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العقوبة</w:t>
      </w:r>
      <w:r w:rsidR="00F32B28">
        <w:rPr>
          <w:rtl/>
          <w:lang w:bidi="ar-JO"/>
        </w:rPr>
        <w:t xml:space="preserve"> </w:t>
      </w:r>
      <w:r w:rsidR="00F32B28" w:rsidRPr="00F32B28">
        <w:rPr>
          <w:rtl/>
          <w:lang w:bidi="ar-JO"/>
        </w:rPr>
        <w:t>وأخرى</w:t>
      </w:r>
      <w:r w:rsidR="00F32B28">
        <w:rPr>
          <w:rtl/>
          <w:lang w:bidi="ar-JO"/>
        </w:rPr>
        <w:t xml:space="preserve"> </w:t>
      </w:r>
      <w:r w:rsidR="00F32B28" w:rsidRPr="00F32B28">
        <w:rPr>
          <w:rtl/>
          <w:lang w:bidi="ar-JO"/>
        </w:rPr>
        <w:t>مخففة</w:t>
      </w:r>
      <w:r w:rsidR="00F32B28">
        <w:rPr>
          <w:rtl/>
          <w:lang w:bidi="ar-JO"/>
        </w:rPr>
        <w:t xml:space="preserve"> </w:t>
      </w:r>
      <w:r w:rsidR="00F32B28" w:rsidRPr="00F32B28">
        <w:rPr>
          <w:rtl/>
          <w:lang w:bidi="ar-JO"/>
        </w:rPr>
        <w:t>للعقوبة</w:t>
      </w:r>
      <w:r w:rsidR="00F32B28">
        <w:rPr>
          <w:rtl/>
          <w:lang w:bidi="ar-JO"/>
        </w:rPr>
        <w:t xml:space="preserve"> </w:t>
      </w:r>
      <w:r w:rsidR="00F32B28" w:rsidRPr="00F32B28">
        <w:rPr>
          <w:rtl/>
        </w:rPr>
        <w:t>يستفيد</w:t>
      </w:r>
      <w:r w:rsidR="00F32B28">
        <w:rPr>
          <w:rtl/>
        </w:rPr>
        <w:t xml:space="preserve"> </w:t>
      </w:r>
      <w:r w:rsidR="00F32B28" w:rsidRPr="00F32B28">
        <w:rPr>
          <w:rtl/>
        </w:rPr>
        <w:t>بموجبها</w:t>
      </w:r>
      <w:r w:rsidR="00F32B28">
        <w:rPr>
          <w:rtl/>
        </w:rPr>
        <w:t xml:space="preserve"> </w:t>
      </w:r>
      <w:r w:rsidR="00F32B28" w:rsidRPr="00F32B28">
        <w:rPr>
          <w:rtl/>
        </w:rPr>
        <w:t>أي</w:t>
      </w:r>
      <w:r w:rsidR="00F32B28">
        <w:rPr>
          <w:rtl/>
        </w:rPr>
        <w:t xml:space="preserve"> </w:t>
      </w:r>
      <w:r w:rsidR="00F32B28" w:rsidRPr="00F32B28">
        <w:rPr>
          <w:rtl/>
        </w:rPr>
        <w:t>رجل</w:t>
      </w:r>
      <w:r w:rsidR="00F32B28">
        <w:rPr>
          <w:rtl/>
        </w:rPr>
        <w:t xml:space="preserve"> </w:t>
      </w:r>
      <w:r w:rsidR="00F32B28" w:rsidRPr="00F32B28">
        <w:rPr>
          <w:rtl/>
        </w:rPr>
        <w:t>يرتكب</w:t>
      </w:r>
      <w:r w:rsidR="00F32B28">
        <w:rPr>
          <w:rtl/>
        </w:rPr>
        <w:t xml:space="preserve"> </w:t>
      </w:r>
      <w:r w:rsidR="00F32B28" w:rsidRPr="00F32B28">
        <w:rPr>
          <w:rtl/>
        </w:rPr>
        <w:t>إحدى</w:t>
      </w:r>
      <w:r w:rsidR="00F32B28">
        <w:rPr>
          <w:rtl/>
        </w:rPr>
        <w:t xml:space="preserve"> </w:t>
      </w:r>
      <w:r w:rsidR="00F32B28" w:rsidRPr="00F32B28">
        <w:rPr>
          <w:rtl/>
        </w:rPr>
        <w:t>جرائم</w:t>
      </w:r>
      <w:r w:rsidR="00F32B28">
        <w:rPr>
          <w:rtl/>
        </w:rPr>
        <w:t xml:space="preserve"> </w:t>
      </w:r>
      <w:r w:rsidR="00F32B28" w:rsidRPr="00F32B28">
        <w:rPr>
          <w:rtl/>
        </w:rPr>
        <w:t>ما</w:t>
      </w:r>
      <w:r w:rsidR="00F32B28">
        <w:rPr>
          <w:rtl/>
        </w:rPr>
        <w:t xml:space="preserve"> </w:t>
      </w:r>
      <w:r w:rsidR="00F32B28" w:rsidRPr="00F32B28">
        <w:rPr>
          <w:rtl/>
        </w:rPr>
        <w:t>يسمى</w:t>
      </w:r>
      <w:r w:rsidR="00F32B28">
        <w:rPr>
          <w:rtl/>
        </w:rPr>
        <w:t xml:space="preserve"> </w:t>
      </w:r>
      <w:r w:rsidR="001D253C">
        <w:rPr>
          <w:rFonts w:hint="cs"/>
          <w:rtl/>
        </w:rPr>
        <w:t>”</w:t>
      </w:r>
      <w:r w:rsidR="00F32B28" w:rsidRPr="00F32B28">
        <w:rPr>
          <w:rtl/>
        </w:rPr>
        <w:t>قتل</w:t>
      </w:r>
      <w:r w:rsidR="00F32B28">
        <w:rPr>
          <w:rtl/>
        </w:rPr>
        <w:t xml:space="preserve"> </w:t>
      </w:r>
      <w:r w:rsidR="00F32B28" w:rsidRPr="00F32B28">
        <w:rPr>
          <w:rtl/>
        </w:rPr>
        <w:t>النساء</w:t>
      </w:r>
      <w:r w:rsidR="00F32B28">
        <w:rPr>
          <w:rtl/>
        </w:rPr>
        <w:t xml:space="preserve"> </w:t>
      </w:r>
      <w:r w:rsidR="00F32B28" w:rsidRPr="00F32B28">
        <w:rPr>
          <w:rtl/>
        </w:rPr>
        <w:t>على</w:t>
      </w:r>
      <w:r w:rsidR="00F32B28">
        <w:rPr>
          <w:rtl/>
        </w:rPr>
        <w:t xml:space="preserve"> </w:t>
      </w:r>
      <w:r w:rsidR="00F32B28" w:rsidRPr="00F32B28">
        <w:rPr>
          <w:rtl/>
        </w:rPr>
        <w:t>خلفية</w:t>
      </w:r>
      <w:r w:rsidR="00F32B28">
        <w:rPr>
          <w:rtl/>
        </w:rPr>
        <w:t xml:space="preserve"> </w:t>
      </w:r>
      <w:r w:rsidR="00F32B28" w:rsidRPr="00F32B28">
        <w:rPr>
          <w:rtl/>
        </w:rPr>
        <w:t>الشرف</w:t>
      </w:r>
      <w:r w:rsidR="001D253C">
        <w:rPr>
          <w:rFonts w:hint="cs"/>
          <w:rtl/>
        </w:rPr>
        <w:t>“</w:t>
      </w:r>
      <w:r w:rsidR="00F32B28" w:rsidRPr="00F32B28">
        <w:rPr>
          <w:rtl/>
        </w:rPr>
        <w:t>؛</w:t>
      </w:r>
      <w:r w:rsidR="00F32B28">
        <w:rPr>
          <w:rtl/>
        </w:rPr>
        <w:t xml:space="preserve"> </w:t>
      </w:r>
      <w:r w:rsidR="00F32B28" w:rsidRPr="00F32B28">
        <w:rPr>
          <w:rtl/>
        </w:rPr>
        <w:t>وهي</w:t>
      </w:r>
      <w:r w:rsidR="008D730A">
        <w:rPr>
          <w:rFonts w:hint="cs"/>
          <w:rtl/>
        </w:rPr>
        <w:t xml:space="preserve"> </w:t>
      </w:r>
      <w:r w:rsidR="00F32B28" w:rsidRPr="00F32B28">
        <w:rPr>
          <w:rtl/>
        </w:rPr>
        <w:t>الجرائم</w:t>
      </w:r>
      <w:r w:rsidR="00F32B28">
        <w:rPr>
          <w:rtl/>
        </w:rPr>
        <w:t xml:space="preserve"> </w:t>
      </w:r>
      <w:r w:rsidR="00F32B28" w:rsidRPr="00F32B28">
        <w:rPr>
          <w:rtl/>
        </w:rPr>
        <w:t>التي</w:t>
      </w:r>
      <w:r w:rsidR="00F32B28">
        <w:rPr>
          <w:rtl/>
        </w:rPr>
        <w:t xml:space="preserve"> </w:t>
      </w:r>
      <w:r w:rsidR="00F32B28" w:rsidRPr="00F32B28">
        <w:rPr>
          <w:rtl/>
        </w:rPr>
        <w:t>يقدم</w:t>
      </w:r>
      <w:r w:rsidR="00F32B28">
        <w:rPr>
          <w:rtl/>
        </w:rPr>
        <w:t xml:space="preserve"> </w:t>
      </w:r>
      <w:r w:rsidR="00F32B28" w:rsidRPr="00F32B28">
        <w:rPr>
          <w:rtl/>
        </w:rPr>
        <w:t>عليها</w:t>
      </w:r>
      <w:r w:rsidR="00F32B28">
        <w:rPr>
          <w:rtl/>
        </w:rPr>
        <w:t xml:space="preserve"> </w:t>
      </w:r>
      <w:r w:rsidR="00F32B28" w:rsidRPr="00F32B28">
        <w:rPr>
          <w:rtl/>
        </w:rPr>
        <w:t>الرجل</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فاجئ</w:t>
      </w:r>
      <w:r w:rsidR="00F32B28">
        <w:rPr>
          <w:rtl/>
        </w:rPr>
        <w:t xml:space="preserve"> </w:t>
      </w:r>
      <w:r w:rsidR="00F32B28" w:rsidRPr="00F32B28">
        <w:rPr>
          <w:rtl/>
        </w:rPr>
        <w:t>زوجته</w:t>
      </w:r>
      <w:r w:rsidR="00F32B28">
        <w:rPr>
          <w:rtl/>
        </w:rPr>
        <w:t xml:space="preserve"> </w:t>
      </w:r>
      <w:r w:rsidR="00F32B28" w:rsidRPr="00F32B28">
        <w:rPr>
          <w:rtl/>
        </w:rPr>
        <w:t>أو</w:t>
      </w:r>
      <w:r w:rsidR="00F32B28">
        <w:rPr>
          <w:rtl/>
        </w:rPr>
        <w:t xml:space="preserve"> </w:t>
      </w:r>
      <w:r w:rsidR="00F32B28" w:rsidRPr="00F32B28">
        <w:rPr>
          <w:rtl/>
        </w:rPr>
        <w:t>إحدى</w:t>
      </w:r>
      <w:r w:rsidR="00F32B28">
        <w:rPr>
          <w:rtl/>
        </w:rPr>
        <w:t xml:space="preserve"> </w:t>
      </w:r>
      <w:r w:rsidR="00F32B28" w:rsidRPr="00F32B28">
        <w:rPr>
          <w:rtl/>
        </w:rPr>
        <w:t>محارمه</w:t>
      </w:r>
      <w:r w:rsidR="00F32B28">
        <w:rPr>
          <w:rtl/>
        </w:rPr>
        <w:t xml:space="preserve"> </w:t>
      </w:r>
      <w:r w:rsidR="00F32B28" w:rsidRPr="00F32B28">
        <w:rPr>
          <w:rtl/>
        </w:rPr>
        <w:t>حال</w:t>
      </w:r>
      <w:r w:rsidR="00F32B28">
        <w:rPr>
          <w:rtl/>
        </w:rPr>
        <w:t xml:space="preserve"> </w:t>
      </w:r>
      <w:r w:rsidR="00F32B28" w:rsidRPr="00F32B28">
        <w:rPr>
          <w:rtl/>
        </w:rPr>
        <w:t>التلبس</w:t>
      </w:r>
      <w:r w:rsidR="00F32B28">
        <w:rPr>
          <w:rtl/>
        </w:rPr>
        <w:t xml:space="preserve"> </w:t>
      </w:r>
      <w:r w:rsidR="00F32B28" w:rsidRPr="00F32B28">
        <w:rPr>
          <w:rtl/>
        </w:rPr>
        <w:t>بالزنا</w:t>
      </w:r>
      <w:r w:rsidR="00F32B28">
        <w:rPr>
          <w:rtl/>
        </w:rPr>
        <w:t xml:space="preserve"> </w:t>
      </w:r>
      <w:r w:rsidR="00F32B28" w:rsidRPr="00F32B28">
        <w:rPr>
          <w:rtl/>
        </w:rPr>
        <w:t>مع</w:t>
      </w:r>
      <w:r w:rsidR="00F32B28">
        <w:rPr>
          <w:rtl/>
        </w:rPr>
        <w:t xml:space="preserve"> </w:t>
      </w:r>
      <w:r w:rsidR="00F32B28" w:rsidRPr="00F32B28">
        <w:rPr>
          <w:rtl/>
        </w:rPr>
        <w:t>شخص</w:t>
      </w:r>
      <w:r w:rsidR="00F32B28">
        <w:rPr>
          <w:rtl/>
        </w:rPr>
        <w:t xml:space="preserve"> </w:t>
      </w:r>
      <w:r w:rsidR="00F32B28" w:rsidRPr="00F32B28">
        <w:rPr>
          <w:rtl/>
        </w:rPr>
        <w:t>آخر</w:t>
      </w:r>
      <w:r w:rsidR="00F32B28">
        <w:rPr>
          <w:rtl/>
        </w:rPr>
        <w:t xml:space="preserve"> </w:t>
      </w:r>
      <w:r w:rsidR="00F32B28" w:rsidRPr="00F32B28">
        <w:rPr>
          <w:rtl/>
        </w:rPr>
        <w:t>ويقدم</w:t>
      </w:r>
      <w:r w:rsidR="00F32B28">
        <w:rPr>
          <w:rtl/>
        </w:rPr>
        <w:t xml:space="preserve"> </w:t>
      </w:r>
      <w:r w:rsidR="00F32B28" w:rsidRPr="00F32B28">
        <w:rPr>
          <w:rtl/>
        </w:rPr>
        <w:t>على</w:t>
      </w:r>
      <w:r w:rsidR="00F32B28">
        <w:rPr>
          <w:rtl/>
        </w:rPr>
        <w:t xml:space="preserve"> </w:t>
      </w:r>
      <w:r w:rsidR="00F32B28" w:rsidRPr="00F32B28">
        <w:rPr>
          <w:rtl/>
        </w:rPr>
        <w:t>قتلهما</w:t>
      </w:r>
      <w:r w:rsidR="00F32B28">
        <w:rPr>
          <w:rtl/>
        </w:rPr>
        <w:t xml:space="preserve"> </w:t>
      </w:r>
      <w:r w:rsidR="00F32B28" w:rsidRPr="00F32B28">
        <w:rPr>
          <w:rtl/>
        </w:rPr>
        <w:t>أو</w:t>
      </w:r>
      <w:r w:rsidR="00F32B28">
        <w:rPr>
          <w:rtl/>
        </w:rPr>
        <w:t xml:space="preserve"> </w:t>
      </w:r>
      <w:r w:rsidR="00F32B28" w:rsidRPr="00F32B28">
        <w:rPr>
          <w:rtl/>
        </w:rPr>
        <w:t>جرحهما</w:t>
      </w:r>
      <w:r w:rsidR="00F32B28">
        <w:rPr>
          <w:rtl/>
        </w:rPr>
        <w:t xml:space="preserve"> </w:t>
      </w:r>
      <w:r w:rsidR="00F32B28" w:rsidRPr="00F32B28">
        <w:rPr>
          <w:rtl/>
        </w:rPr>
        <w:t>أو</w:t>
      </w:r>
      <w:r w:rsidR="00F32B28">
        <w:rPr>
          <w:rtl/>
        </w:rPr>
        <w:t xml:space="preserve"> </w:t>
      </w:r>
      <w:r w:rsidR="00F32B28" w:rsidRPr="00F32B28">
        <w:rPr>
          <w:rtl/>
        </w:rPr>
        <w:t>إيذائهما</w:t>
      </w:r>
      <w:r w:rsidR="00F32B28">
        <w:rPr>
          <w:rtl/>
        </w:rPr>
        <w:t xml:space="preserve"> </w:t>
      </w:r>
      <w:r w:rsidR="00F32B28" w:rsidRPr="00F32B28">
        <w:rPr>
          <w:rtl/>
        </w:rPr>
        <w:t>كليهما</w:t>
      </w:r>
      <w:r w:rsidR="00F32B28">
        <w:rPr>
          <w:rtl/>
        </w:rPr>
        <w:t xml:space="preserve"> </w:t>
      </w:r>
      <w:r w:rsidR="00F32B28" w:rsidRPr="00F32B28">
        <w:rPr>
          <w:rtl/>
        </w:rPr>
        <w:t>أو</w:t>
      </w:r>
      <w:r w:rsidR="00F32B28">
        <w:rPr>
          <w:rtl/>
        </w:rPr>
        <w:t xml:space="preserve"> </w:t>
      </w:r>
      <w:r w:rsidR="00F32B28" w:rsidRPr="00F32B28">
        <w:rPr>
          <w:rtl/>
        </w:rPr>
        <w:t>إحداهما،</w:t>
      </w:r>
      <w:r w:rsidR="00F32B28">
        <w:rPr>
          <w:rtl/>
        </w:rPr>
        <w:t xml:space="preserve"> </w:t>
      </w:r>
      <w:r w:rsidR="00F32B28" w:rsidRPr="00F32B28">
        <w:rPr>
          <w:rtl/>
        </w:rPr>
        <w:t>أو</w:t>
      </w:r>
      <w:r w:rsidR="00F32B28">
        <w:rPr>
          <w:rtl/>
        </w:rPr>
        <w:t xml:space="preserve"> </w:t>
      </w:r>
      <w:r w:rsidR="00F32B28" w:rsidRPr="00F32B28">
        <w:rPr>
          <w:rtl/>
        </w:rPr>
        <w:t>إذا</w:t>
      </w:r>
      <w:r w:rsidR="00F32B28">
        <w:rPr>
          <w:rtl/>
        </w:rPr>
        <w:t xml:space="preserve"> </w:t>
      </w:r>
      <w:r w:rsidR="00F32B28" w:rsidRPr="00F32B28">
        <w:rPr>
          <w:rtl/>
        </w:rPr>
        <w:t>فاجئ</w:t>
      </w:r>
      <w:r w:rsidR="00F32B28">
        <w:rPr>
          <w:rtl/>
        </w:rPr>
        <w:t xml:space="preserve"> </w:t>
      </w:r>
      <w:r w:rsidR="00F32B28" w:rsidRPr="00F32B28">
        <w:rPr>
          <w:rtl/>
        </w:rPr>
        <w:t>زوجته</w:t>
      </w:r>
      <w:r w:rsidR="00F32B28">
        <w:rPr>
          <w:rtl/>
        </w:rPr>
        <w:t xml:space="preserve"> </w:t>
      </w:r>
      <w:r w:rsidR="00F32B28" w:rsidRPr="00F32B28">
        <w:rPr>
          <w:rtl/>
        </w:rPr>
        <w:t>أو</w:t>
      </w:r>
      <w:r w:rsidR="00F32B28">
        <w:rPr>
          <w:rtl/>
        </w:rPr>
        <w:t xml:space="preserve"> </w:t>
      </w:r>
      <w:r w:rsidR="00F32B28" w:rsidRPr="00F32B28">
        <w:rPr>
          <w:rtl/>
        </w:rPr>
        <w:t>إحدى</w:t>
      </w:r>
      <w:r w:rsidR="00F32B28">
        <w:rPr>
          <w:rtl/>
        </w:rPr>
        <w:t xml:space="preserve"> </w:t>
      </w:r>
      <w:r w:rsidR="00F32B28" w:rsidRPr="00F32B28">
        <w:rPr>
          <w:rtl/>
        </w:rPr>
        <w:t>أصوله</w:t>
      </w:r>
      <w:r w:rsidR="00F32B28">
        <w:rPr>
          <w:rtl/>
        </w:rPr>
        <w:t xml:space="preserve"> </w:t>
      </w:r>
      <w:r w:rsidR="00F32B28" w:rsidRPr="00F32B28">
        <w:rPr>
          <w:rtl/>
        </w:rPr>
        <w:t>أو</w:t>
      </w:r>
      <w:r w:rsidR="00F32B28">
        <w:rPr>
          <w:rtl/>
        </w:rPr>
        <w:t xml:space="preserve"> </w:t>
      </w:r>
      <w:r w:rsidR="00F32B28" w:rsidRPr="00F32B28">
        <w:rPr>
          <w:rtl/>
        </w:rPr>
        <w:t>فروعه</w:t>
      </w:r>
      <w:r w:rsidR="00F32B28">
        <w:rPr>
          <w:rtl/>
        </w:rPr>
        <w:t xml:space="preserve"> </w:t>
      </w:r>
      <w:r w:rsidR="00F32B28" w:rsidRPr="00F32B28">
        <w:rPr>
          <w:rtl/>
        </w:rPr>
        <w:t>أو</w:t>
      </w:r>
      <w:r w:rsidR="00F32B28">
        <w:rPr>
          <w:rtl/>
        </w:rPr>
        <w:t xml:space="preserve"> </w:t>
      </w:r>
      <w:r w:rsidR="00F32B28" w:rsidRPr="00F32B28">
        <w:rPr>
          <w:rtl/>
        </w:rPr>
        <w:t>أخواته</w:t>
      </w:r>
      <w:r w:rsidR="00F32B28">
        <w:rPr>
          <w:rtl/>
        </w:rPr>
        <w:t xml:space="preserve"> </w:t>
      </w:r>
      <w:r w:rsidR="00F32B28" w:rsidRPr="00F32B28">
        <w:rPr>
          <w:rtl/>
        </w:rPr>
        <w:t>مع</w:t>
      </w:r>
      <w:r w:rsidR="00F32B28">
        <w:rPr>
          <w:rtl/>
        </w:rPr>
        <w:t xml:space="preserve"> </w:t>
      </w:r>
      <w:r w:rsidR="00F32B28" w:rsidRPr="00F32B28">
        <w:rPr>
          <w:rtl/>
        </w:rPr>
        <w:t>آخر</w:t>
      </w:r>
      <w:r w:rsidR="00F32B28">
        <w:rPr>
          <w:rtl/>
        </w:rPr>
        <w:t xml:space="preserve"> </w:t>
      </w:r>
      <w:r w:rsidR="00F32B28" w:rsidRPr="00F32B28">
        <w:rPr>
          <w:rtl/>
        </w:rPr>
        <w:t>على</w:t>
      </w:r>
      <w:r w:rsidR="00F32B28">
        <w:rPr>
          <w:rtl/>
        </w:rPr>
        <w:t xml:space="preserve"> </w:t>
      </w:r>
      <w:r w:rsidR="00F32B28" w:rsidRPr="00F32B28">
        <w:rPr>
          <w:rtl/>
        </w:rPr>
        <w:t>فراش</w:t>
      </w:r>
      <w:r w:rsidR="00F32B28">
        <w:rPr>
          <w:rtl/>
        </w:rPr>
        <w:t xml:space="preserve"> </w:t>
      </w:r>
      <w:r w:rsidR="00F32B28" w:rsidRPr="00F32B28">
        <w:rPr>
          <w:rtl/>
        </w:rPr>
        <w:t>غير</w:t>
      </w:r>
      <w:r w:rsidR="00F32B28">
        <w:rPr>
          <w:rtl/>
        </w:rPr>
        <w:t xml:space="preserve"> </w:t>
      </w:r>
      <w:r w:rsidR="00F32B28" w:rsidRPr="00F32B28">
        <w:rPr>
          <w:rtl/>
        </w:rPr>
        <w:t>مشروع.</w:t>
      </w:r>
      <w:r w:rsidR="00F32B28">
        <w:rPr>
          <w:rtl/>
        </w:rPr>
        <w:t xml:space="preserve"> </w:t>
      </w:r>
      <w:r w:rsidR="00F32B28" w:rsidRPr="00F32B28">
        <w:rPr>
          <w:rtl/>
        </w:rPr>
        <w:t>(المادة</w:t>
      </w:r>
      <w:r w:rsidR="00F32B28">
        <w:rPr>
          <w:rtl/>
        </w:rPr>
        <w:t xml:space="preserve"> </w:t>
      </w:r>
      <w:r w:rsidR="00F32B28" w:rsidRPr="00F32B28">
        <w:rPr>
          <w:rtl/>
        </w:rPr>
        <w:t>(340)</w:t>
      </w:r>
      <w:r w:rsidR="00F32B28">
        <w:rPr>
          <w:rtl/>
        </w:rPr>
        <w:t xml:space="preserve"> </w:t>
      </w:r>
      <w:r w:rsidR="00F32B28" w:rsidRPr="00F32B28">
        <w:rPr>
          <w:rtl/>
        </w:rPr>
        <w:t>من</w:t>
      </w:r>
      <w:r w:rsidR="00F32B28">
        <w:rPr>
          <w:rtl/>
        </w:rPr>
        <w:t xml:space="preserve"> </w:t>
      </w:r>
      <w:r w:rsidR="00F32B28" w:rsidRPr="00F32B28">
        <w:rPr>
          <w:rtl/>
        </w:rPr>
        <w:t>قانون</w:t>
      </w:r>
      <w:r w:rsidR="00F32B28">
        <w:rPr>
          <w:rtl/>
        </w:rPr>
        <w:t xml:space="preserve"> </w:t>
      </w:r>
      <w:r w:rsidR="00F32B28" w:rsidRPr="00F32B28">
        <w:rPr>
          <w:rtl/>
        </w:rPr>
        <w:t>العقوبات</w:t>
      </w:r>
      <w:r w:rsidR="00F32B28">
        <w:rPr>
          <w:rtl/>
        </w:rPr>
        <w:t xml:space="preserve"> </w:t>
      </w:r>
      <w:r w:rsidR="00F32B28" w:rsidRPr="00F32B28">
        <w:rPr>
          <w:rtl/>
        </w:rPr>
        <w:t>الأردني</w:t>
      </w:r>
      <w:r w:rsidR="00F32B28">
        <w:rPr>
          <w:rtl/>
        </w:rPr>
        <w:t xml:space="preserve"> </w:t>
      </w:r>
      <w:r w:rsidR="00F32B28" w:rsidRPr="00F32B28">
        <w:rPr>
          <w:rtl/>
        </w:rPr>
        <w:t>رقم</w:t>
      </w:r>
      <w:r w:rsidR="00F32B28">
        <w:rPr>
          <w:rtl/>
        </w:rPr>
        <w:t xml:space="preserve"> </w:t>
      </w:r>
      <w:r w:rsidR="00F32B28" w:rsidRPr="00F32B28">
        <w:rPr>
          <w:rtl/>
        </w:rPr>
        <w:t>(16)</w:t>
      </w:r>
      <w:r w:rsidR="00F32B28">
        <w:rPr>
          <w:rtl/>
        </w:rPr>
        <w:t xml:space="preserve"> </w:t>
      </w:r>
      <w:r w:rsidR="00F32B28" w:rsidRPr="00F32B28">
        <w:rPr>
          <w:rtl/>
        </w:rPr>
        <w:t>لسنة</w:t>
      </w:r>
      <w:r w:rsidR="00F32B28">
        <w:rPr>
          <w:rtl/>
        </w:rPr>
        <w:t xml:space="preserve"> </w:t>
      </w:r>
      <w:r w:rsidR="00F32B28" w:rsidRPr="00F32B28">
        <w:rPr>
          <w:rtl/>
        </w:rPr>
        <w:t>1960</w:t>
      </w:r>
      <w:r w:rsidR="00F32B28">
        <w:rPr>
          <w:rtl/>
        </w:rPr>
        <w:t xml:space="preserve"> </w:t>
      </w:r>
      <w:r w:rsidR="00F32B28" w:rsidRPr="00F32B28">
        <w:rPr>
          <w:rtl/>
        </w:rPr>
        <w:t>الساري</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والمادة</w:t>
      </w:r>
      <w:r w:rsidR="00F32B28">
        <w:rPr>
          <w:rtl/>
        </w:rPr>
        <w:t xml:space="preserve"> </w:t>
      </w:r>
      <w:r w:rsidR="00F32B28" w:rsidRPr="00F32B28">
        <w:rPr>
          <w:rtl/>
        </w:rPr>
        <w:t>(18)</w:t>
      </w:r>
      <w:r w:rsidR="00F32B28">
        <w:rPr>
          <w:rtl/>
        </w:rPr>
        <w:t xml:space="preserve"> </w:t>
      </w:r>
      <w:r w:rsidR="00F32B28" w:rsidRPr="00F32B28">
        <w:rPr>
          <w:rtl/>
        </w:rPr>
        <w:t>من</w:t>
      </w:r>
      <w:r w:rsidR="00F32B28">
        <w:rPr>
          <w:rtl/>
        </w:rPr>
        <w:t xml:space="preserve"> </w:t>
      </w:r>
      <w:r w:rsidR="00F32B28" w:rsidRPr="00F32B28">
        <w:rPr>
          <w:rtl/>
        </w:rPr>
        <w:t>قانون</w:t>
      </w:r>
      <w:r w:rsidR="00F32B28">
        <w:rPr>
          <w:rtl/>
        </w:rPr>
        <w:t xml:space="preserve"> </w:t>
      </w:r>
      <w:r w:rsidR="00F32B28" w:rsidRPr="00F32B28">
        <w:rPr>
          <w:rtl/>
        </w:rPr>
        <w:t>العقوبات</w:t>
      </w:r>
      <w:r w:rsidR="00F32B28">
        <w:rPr>
          <w:rtl/>
        </w:rPr>
        <w:t xml:space="preserve"> </w:t>
      </w:r>
      <w:r w:rsidR="00F32B28" w:rsidRPr="00F32B28">
        <w:rPr>
          <w:rtl/>
        </w:rPr>
        <w:t>الانتدابي</w:t>
      </w:r>
      <w:r w:rsidR="00F32B28">
        <w:rPr>
          <w:rtl/>
        </w:rPr>
        <w:t xml:space="preserve"> </w:t>
      </w:r>
      <w:r w:rsidR="00F32B28" w:rsidRPr="00F32B28">
        <w:rPr>
          <w:rtl/>
        </w:rPr>
        <w:t>رقم</w:t>
      </w:r>
      <w:r w:rsidR="00F32B28">
        <w:rPr>
          <w:rtl/>
        </w:rPr>
        <w:t xml:space="preserve"> </w:t>
      </w:r>
      <w:r w:rsidR="00F32B28" w:rsidRPr="00F32B28">
        <w:rPr>
          <w:rtl/>
        </w:rPr>
        <w:t>(74)</w:t>
      </w:r>
      <w:r w:rsidR="00F32B28">
        <w:rPr>
          <w:rtl/>
        </w:rPr>
        <w:t xml:space="preserve"> </w:t>
      </w:r>
      <w:r w:rsidR="00F32B28" w:rsidRPr="00F32B28">
        <w:rPr>
          <w:rtl/>
        </w:rPr>
        <w:t>لعام</w:t>
      </w:r>
      <w:r w:rsidR="00F32B28">
        <w:rPr>
          <w:rtl/>
        </w:rPr>
        <w:t xml:space="preserve"> </w:t>
      </w:r>
      <w:r w:rsidR="00F32B28" w:rsidRPr="00F32B28">
        <w:rPr>
          <w:rtl/>
        </w:rPr>
        <w:t>1936</w:t>
      </w:r>
      <w:r w:rsidR="00F32B28">
        <w:rPr>
          <w:rtl/>
        </w:rPr>
        <w:t xml:space="preserve"> </w:t>
      </w:r>
      <w:r w:rsidR="00F32B28" w:rsidRPr="00F32B28">
        <w:rPr>
          <w:rtl/>
        </w:rPr>
        <w:t>الساري</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p>
    <w:p w:rsidR="00F32B28" w:rsidRPr="00F32B28" w:rsidRDefault="00DF6B4E" w:rsidP="00DF6B4E">
      <w:pPr>
        <w:pStyle w:val="SingleTxt"/>
      </w:pPr>
      <w:r>
        <w:rPr>
          <w:rFonts w:hint="cs"/>
          <w:rtl/>
          <w:lang w:bidi="ar-JO"/>
        </w:rPr>
        <w:t>39 -</w:t>
      </w:r>
      <w:r>
        <w:rPr>
          <w:rFonts w:hint="cs"/>
          <w:rtl/>
          <w:lang w:bidi="ar-JO"/>
        </w:rPr>
        <w:tab/>
      </w:r>
      <w:r w:rsidR="00F32B28" w:rsidRPr="00F32B28">
        <w:rPr>
          <w:rtl/>
          <w:lang w:bidi="ar-JO"/>
        </w:rPr>
        <w:t>وفي</w:t>
      </w:r>
      <w:r w:rsidR="00F32B28">
        <w:rPr>
          <w:rtl/>
          <w:lang w:bidi="ar-JO"/>
        </w:rPr>
        <w:t xml:space="preserve"> </w:t>
      </w:r>
      <w:r w:rsidR="00F32B28" w:rsidRPr="00F32B28">
        <w:rPr>
          <w:rtl/>
          <w:lang w:bidi="ar-JO"/>
        </w:rPr>
        <w:t>ظل</w:t>
      </w:r>
      <w:r w:rsidR="00F32B28">
        <w:rPr>
          <w:rtl/>
          <w:lang w:bidi="ar-JO"/>
        </w:rPr>
        <w:t xml:space="preserve"> </w:t>
      </w:r>
      <w:r w:rsidR="00F32B28" w:rsidRPr="00F32B28">
        <w:rPr>
          <w:rtl/>
          <w:lang w:bidi="ar-JO"/>
        </w:rPr>
        <w:t>تزايد</w:t>
      </w:r>
      <w:r w:rsidR="00F32B28">
        <w:rPr>
          <w:rtl/>
          <w:lang w:bidi="ar-JO"/>
        </w:rPr>
        <w:t xml:space="preserve"> </w:t>
      </w:r>
      <w:r w:rsidR="00F32B28" w:rsidRPr="00F32B28">
        <w:rPr>
          <w:rtl/>
          <w:lang w:bidi="ar-JO"/>
        </w:rPr>
        <w:t>حالات</w:t>
      </w:r>
      <w:r w:rsidR="00F32B28">
        <w:rPr>
          <w:rtl/>
          <w:lang w:bidi="ar-JO"/>
        </w:rPr>
        <w:t xml:space="preserve"> </w:t>
      </w:r>
      <w:r w:rsidR="00F32B28" w:rsidRPr="00F32B28">
        <w:rPr>
          <w:rtl/>
          <w:lang w:bidi="ar-JO"/>
        </w:rPr>
        <w:t>قتل</w:t>
      </w:r>
      <w:r w:rsidR="00F32B28">
        <w:rPr>
          <w:rtl/>
          <w:lang w:bidi="ar-JO"/>
        </w:rPr>
        <w:t xml:space="preserve"> </w:t>
      </w:r>
      <w:r w:rsidR="00F32B28" w:rsidRPr="00F32B28">
        <w:rPr>
          <w:rtl/>
          <w:lang w:bidi="ar-JO"/>
        </w:rPr>
        <w:t>النساء</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السنوات</w:t>
      </w:r>
      <w:r w:rsidR="00F32B28">
        <w:rPr>
          <w:rtl/>
          <w:lang w:bidi="ar-JO"/>
        </w:rPr>
        <w:t xml:space="preserve"> </w:t>
      </w:r>
      <w:r w:rsidR="00F32B28" w:rsidRPr="00F32B28">
        <w:rPr>
          <w:rtl/>
          <w:lang w:bidi="ar-JO"/>
        </w:rPr>
        <w:t>الأخيرة،</w:t>
      </w:r>
      <w:r w:rsidR="00F32B28">
        <w:rPr>
          <w:rtl/>
          <w:lang w:bidi="ar-JO"/>
        </w:rPr>
        <w:t xml:space="preserve"> </w:t>
      </w:r>
      <w:r w:rsidR="00F32B28" w:rsidRPr="00F32B28">
        <w:rPr>
          <w:rtl/>
          <w:lang w:bidi="ar-JO"/>
        </w:rPr>
        <w:t>وتذرع</w:t>
      </w:r>
      <w:r w:rsidR="00F32B28">
        <w:rPr>
          <w:rtl/>
          <w:lang w:bidi="ar-JO"/>
        </w:rPr>
        <w:t xml:space="preserve"> </w:t>
      </w:r>
      <w:r w:rsidR="00F32B28" w:rsidRPr="00F32B28">
        <w:rPr>
          <w:rtl/>
          <w:lang w:bidi="ar-JO"/>
        </w:rPr>
        <w:t>المجرمين</w:t>
      </w:r>
      <w:r w:rsidR="00F32B28">
        <w:rPr>
          <w:rtl/>
          <w:lang w:bidi="ar-JO"/>
        </w:rPr>
        <w:t xml:space="preserve"> </w:t>
      </w:r>
      <w:r w:rsidR="00F32B28" w:rsidRPr="00F32B28">
        <w:rPr>
          <w:rtl/>
          <w:lang w:bidi="ar-JO"/>
        </w:rPr>
        <w:t>كل</w:t>
      </w:r>
      <w:r w:rsidR="00F32B28">
        <w:rPr>
          <w:rtl/>
          <w:lang w:bidi="ar-JO"/>
        </w:rPr>
        <w:t xml:space="preserve"> </w:t>
      </w:r>
      <w:r w:rsidR="00F32B28" w:rsidRPr="00F32B28">
        <w:rPr>
          <w:rtl/>
          <w:lang w:bidi="ar-JO"/>
        </w:rPr>
        <w:t>مرة</w:t>
      </w:r>
      <w:r w:rsidR="00F32B28">
        <w:rPr>
          <w:rtl/>
          <w:lang w:bidi="ar-JO"/>
        </w:rPr>
        <w:t xml:space="preserve"> </w:t>
      </w:r>
      <w:r w:rsidR="00F32B28" w:rsidRPr="00F32B28">
        <w:rPr>
          <w:rtl/>
          <w:lang w:bidi="ar-JO"/>
        </w:rPr>
        <w:t>بارتكاب</w:t>
      </w:r>
      <w:r w:rsidR="00F32B28">
        <w:rPr>
          <w:rtl/>
          <w:lang w:bidi="ar-JO"/>
        </w:rPr>
        <w:t xml:space="preserve"> </w:t>
      </w:r>
      <w:r w:rsidR="00F32B28" w:rsidRPr="00F32B28">
        <w:rPr>
          <w:rtl/>
          <w:lang w:bidi="ar-JO"/>
        </w:rPr>
        <w:t>المرأة</w:t>
      </w:r>
      <w:r w:rsidR="00F32B28">
        <w:rPr>
          <w:rtl/>
          <w:lang w:bidi="ar-JO"/>
        </w:rPr>
        <w:t xml:space="preserve"> </w:t>
      </w:r>
      <w:r w:rsidR="00F32B28" w:rsidRPr="00F32B28">
        <w:rPr>
          <w:rtl/>
          <w:lang w:bidi="ar-JO"/>
        </w:rPr>
        <w:t>لفعل</w:t>
      </w:r>
      <w:r w:rsidR="00F32B28">
        <w:rPr>
          <w:rtl/>
          <w:lang w:bidi="ar-JO"/>
        </w:rPr>
        <w:t xml:space="preserve"> </w:t>
      </w:r>
      <w:r w:rsidR="001D253C">
        <w:rPr>
          <w:rFonts w:hint="cs"/>
          <w:rtl/>
          <w:lang w:bidi="ar-JO"/>
        </w:rPr>
        <w:t>”</w:t>
      </w:r>
      <w:r w:rsidR="00F32B28" w:rsidRPr="00F32B28">
        <w:rPr>
          <w:rtl/>
          <w:lang w:bidi="ar-JO"/>
        </w:rPr>
        <w:t>مخل</w:t>
      </w:r>
      <w:r w:rsidR="00F32B28">
        <w:rPr>
          <w:rtl/>
          <w:lang w:bidi="ar-JO"/>
        </w:rPr>
        <w:t xml:space="preserve"> </w:t>
      </w:r>
      <w:r w:rsidR="00F32B28" w:rsidRPr="00F32B28">
        <w:rPr>
          <w:rtl/>
          <w:lang w:bidi="ar-JO"/>
        </w:rPr>
        <w:t>للشرف</w:t>
      </w:r>
      <w:r w:rsidR="001D253C">
        <w:rPr>
          <w:rFonts w:hint="cs"/>
          <w:rtl/>
        </w:rPr>
        <w:t>“</w:t>
      </w:r>
      <w:r w:rsidR="00F32B28">
        <w:rPr>
          <w:rtl/>
          <w:lang w:bidi="ar-JO"/>
        </w:rPr>
        <w:t xml:space="preserve"> </w:t>
      </w:r>
      <w:r w:rsidR="00F32B28" w:rsidRPr="00F32B28">
        <w:rPr>
          <w:rtl/>
          <w:lang w:bidi="ar-JO"/>
        </w:rPr>
        <w:t>دفعهم</w:t>
      </w:r>
      <w:r w:rsidR="00F32B28">
        <w:rPr>
          <w:rtl/>
          <w:lang w:bidi="ar-JO"/>
        </w:rPr>
        <w:t xml:space="preserve"> </w:t>
      </w:r>
      <w:r w:rsidR="00F32B28" w:rsidRPr="00F32B28">
        <w:rPr>
          <w:rtl/>
          <w:lang w:bidi="ar-JO"/>
        </w:rPr>
        <w:t>إلى</w:t>
      </w:r>
      <w:r w:rsidR="00F32B28">
        <w:rPr>
          <w:rtl/>
          <w:lang w:bidi="ar-JO"/>
        </w:rPr>
        <w:t xml:space="preserve"> </w:t>
      </w:r>
      <w:r w:rsidR="00F32B28" w:rsidRPr="00F32B28">
        <w:rPr>
          <w:rtl/>
          <w:lang w:bidi="ar-JO"/>
        </w:rPr>
        <w:t>قتلها،</w:t>
      </w:r>
      <w:r w:rsidR="00F32B28">
        <w:rPr>
          <w:rtl/>
          <w:lang w:bidi="ar-JO"/>
        </w:rPr>
        <w:t xml:space="preserve"> </w:t>
      </w:r>
      <w:r w:rsidR="00F32B28" w:rsidRPr="00F32B28">
        <w:rPr>
          <w:rtl/>
          <w:lang w:bidi="ar-JO"/>
        </w:rPr>
        <w:t>وتهاون</w:t>
      </w:r>
      <w:r w:rsidR="00F32B28">
        <w:rPr>
          <w:rtl/>
          <w:lang w:bidi="ar-JO"/>
        </w:rPr>
        <w:t xml:space="preserve"> </w:t>
      </w:r>
      <w:r w:rsidR="00F32B28" w:rsidRPr="00F32B28">
        <w:rPr>
          <w:rtl/>
          <w:lang w:bidi="ar-JO"/>
        </w:rPr>
        <w:t>القضاء</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فرض</w:t>
      </w:r>
      <w:r w:rsidR="00F32B28">
        <w:rPr>
          <w:rtl/>
          <w:lang w:bidi="ar-JO"/>
        </w:rPr>
        <w:t xml:space="preserve"> </w:t>
      </w:r>
      <w:r w:rsidR="00F32B28" w:rsidRPr="00F32B28">
        <w:rPr>
          <w:rtl/>
          <w:lang w:bidi="ar-JO"/>
        </w:rPr>
        <w:t>العقوبات</w:t>
      </w:r>
      <w:r w:rsidR="00F32B28">
        <w:rPr>
          <w:rtl/>
          <w:lang w:bidi="ar-JO"/>
        </w:rPr>
        <w:t xml:space="preserve"> </w:t>
      </w:r>
      <w:r w:rsidR="00F32B28" w:rsidRPr="00F32B28">
        <w:rPr>
          <w:rtl/>
          <w:lang w:bidi="ar-JO"/>
        </w:rPr>
        <w:t>وعدم</w:t>
      </w:r>
      <w:r w:rsidR="00F32B28">
        <w:rPr>
          <w:rtl/>
          <w:lang w:bidi="ar-JO"/>
        </w:rPr>
        <w:t xml:space="preserve"> </w:t>
      </w:r>
      <w:r w:rsidR="00F32B28" w:rsidRPr="00F32B28">
        <w:rPr>
          <w:rtl/>
          <w:lang w:bidi="ar-JO"/>
        </w:rPr>
        <w:t>التحقق</w:t>
      </w:r>
      <w:r w:rsidR="00F32B28">
        <w:rPr>
          <w:rtl/>
          <w:lang w:bidi="ar-JO"/>
        </w:rPr>
        <w:t xml:space="preserve"> </w:t>
      </w:r>
      <w:r w:rsidR="00F32B28" w:rsidRPr="00F32B28">
        <w:rPr>
          <w:rtl/>
          <w:lang w:bidi="ar-JO"/>
        </w:rPr>
        <w:t>الدقيق،</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معظم</w:t>
      </w:r>
      <w:r w:rsidR="00F32B28">
        <w:rPr>
          <w:rtl/>
          <w:lang w:bidi="ar-JO"/>
        </w:rPr>
        <w:t xml:space="preserve"> </w:t>
      </w:r>
      <w:r w:rsidR="00F32B28" w:rsidRPr="00F32B28">
        <w:rPr>
          <w:rtl/>
          <w:lang w:bidi="ar-JO"/>
        </w:rPr>
        <w:t>الحالات،</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توافر</w:t>
      </w:r>
      <w:r w:rsidR="00F32B28">
        <w:rPr>
          <w:rtl/>
          <w:lang w:bidi="ar-JO"/>
        </w:rPr>
        <w:t xml:space="preserve"> </w:t>
      </w:r>
      <w:r w:rsidR="00F32B28" w:rsidRPr="00F32B28">
        <w:rPr>
          <w:rtl/>
          <w:lang w:bidi="ar-JO"/>
        </w:rPr>
        <w:t>كافة</w:t>
      </w:r>
      <w:r w:rsidR="00F32B28">
        <w:rPr>
          <w:rtl/>
          <w:lang w:bidi="ar-JO"/>
        </w:rPr>
        <w:t xml:space="preserve"> </w:t>
      </w:r>
      <w:r w:rsidR="00F32B28" w:rsidRPr="00F32B28">
        <w:rPr>
          <w:rtl/>
          <w:lang w:bidi="ar-JO"/>
        </w:rPr>
        <w:t>أركان</w:t>
      </w:r>
      <w:r w:rsidR="00F32B28">
        <w:rPr>
          <w:rtl/>
          <w:lang w:bidi="ar-JO"/>
        </w:rPr>
        <w:t xml:space="preserve"> </w:t>
      </w:r>
      <w:r w:rsidR="00F32B28" w:rsidRPr="00F32B28">
        <w:rPr>
          <w:rtl/>
          <w:lang w:bidi="ar-JO"/>
        </w:rPr>
        <w:t>وشروط</w:t>
      </w:r>
      <w:r w:rsidR="00F32B28">
        <w:rPr>
          <w:rtl/>
          <w:lang w:bidi="ar-JO"/>
        </w:rPr>
        <w:t xml:space="preserve"> </w:t>
      </w:r>
      <w:r w:rsidR="00F32B28" w:rsidRPr="00F32B28">
        <w:rPr>
          <w:rtl/>
          <w:lang w:bidi="ar-JO"/>
        </w:rPr>
        <w:t>الاستفادة</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هذه</w:t>
      </w:r>
      <w:r w:rsidR="00F32B28">
        <w:rPr>
          <w:rtl/>
          <w:lang w:bidi="ar-JO"/>
        </w:rPr>
        <w:t xml:space="preserve"> </w:t>
      </w:r>
      <w:r w:rsidR="00F32B28" w:rsidRPr="00F32B28">
        <w:rPr>
          <w:rtl/>
          <w:lang w:bidi="ar-JO"/>
        </w:rPr>
        <w:t>الأعذار،</w:t>
      </w:r>
      <w:r w:rsidR="00F32B28">
        <w:rPr>
          <w:rtl/>
          <w:lang w:bidi="ar-JO"/>
        </w:rPr>
        <w:t xml:space="preserve"> </w:t>
      </w:r>
      <w:r w:rsidR="00F32B28" w:rsidRPr="00F32B28">
        <w:rPr>
          <w:rtl/>
          <w:lang w:bidi="ar-JO"/>
        </w:rPr>
        <w:t>فقد</w:t>
      </w:r>
      <w:r w:rsidR="00F32B28">
        <w:rPr>
          <w:rtl/>
          <w:lang w:bidi="ar-JO"/>
        </w:rPr>
        <w:t xml:space="preserve"> </w:t>
      </w:r>
      <w:r w:rsidR="00F32B28" w:rsidRPr="00F32B28">
        <w:rPr>
          <w:rtl/>
          <w:lang w:bidi="ar-JO"/>
        </w:rPr>
        <w:t>صدر</w:t>
      </w:r>
      <w:r w:rsidR="00F32B28">
        <w:rPr>
          <w:rtl/>
        </w:rPr>
        <w:t xml:space="preserve"> </w:t>
      </w:r>
      <w:r w:rsidR="00F32B28" w:rsidRPr="00F32B28">
        <w:rPr>
          <w:rtl/>
        </w:rPr>
        <w:t>في</w:t>
      </w:r>
      <w:r w:rsidR="00F32B28">
        <w:rPr>
          <w:rtl/>
        </w:rPr>
        <w:t xml:space="preserve"> </w:t>
      </w:r>
      <w:r w:rsidR="00F32B28" w:rsidRPr="00F32B28">
        <w:rPr>
          <w:rtl/>
        </w:rPr>
        <w:t>أيار</w:t>
      </w:r>
      <w:r w:rsidR="000B4ABE">
        <w:rPr>
          <w:rFonts w:hint="cs"/>
          <w:rtl/>
        </w:rPr>
        <w:t>/مايو</w:t>
      </w:r>
      <w:r w:rsidR="00F32B28">
        <w:rPr>
          <w:rtl/>
        </w:rPr>
        <w:t xml:space="preserve"> </w:t>
      </w:r>
      <w:r w:rsidR="00F32B28" w:rsidRPr="00F32B28">
        <w:rPr>
          <w:rtl/>
        </w:rPr>
        <w:t>لسنة</w:t>
      </w:r>
      <w:r w:rsidR="00F32B28">
        <w:rPr>
          <w:rtl/>
        </w:rPr>
        <w:t xml:space="preserve"> </w:t>
      </w:r>
      <w:r w:rsidR="00F32B28" w:rsidRPr="00F32B28">
        <w:rPr>
          <w:rtl/>
        </w:rPr>
        <w:t>2011</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رقم</w:t>
      </w:r>
      <w:r w:rsidR="00F32B28">
        <w:rPr>
          <w:rtl/>
        </w:rPr>
        <w:t xml:space="preserve"> </w:t>
      </w:r>
      <w:r w:rsidR="00F32B28" w:rsidRPr="00F32B28">
        <w:rPr>
          <w:rtl/>
        </w:rPr>
        <w:t>(7)</w:t>
      </w:r>
      <w:r w:rsidR="00F32B28">
        <w:rPr>
          <w:rtl/>
        </w:rPr>
        <w:t xml:space="preserve"> </w:t>
      </w:r>
      <w:r w:rsidR="00F32B28" w:rsidRPr="00F32B28">
        <w:rPr>
          <w:rtl/>
        </w:rPr>
        <w:t>الذي</w:t>
      </w:r>
      <w:r w:rsidR="00F32B28">
        <w:rPr>
          <w:rtl/>
        </w:rPr>
        <w:t xml:space="preserve"> </w:t>
      </w:r>
      <w:r w:rsidR="00F32B28" w:rsidRPr="00F32B28">
        <w:rPr>
          <w:rtl/>
        </w:rPr>
        <w:t>ألغى</w:t>
      </w:r>
      <w:r w:rsidR="00F32B28">
        <w:rPr>
          <w:rtl/>
        </w:rPr>
        <w:t xml:space="preserve"> </w:t>
      </w:r>
      <w:r w:rsidR="00F32B28" w:rsidRPr="00F32B28">
        <w:rPr>
          <w:rtl/>
        </w:rPr>
        <w:t>الأعذار</w:t>
      </w:r>
      <w:r w:rsidR="00F32B28">
        <w:rPr>
          <w:rtl/>
        </w:rPr>
        <w:t xml:space="preserve"> </w:t>
      </w:r>
      <w:r w:rsidR="00F32B28" w:rsidRPr="00F32B28">
        <w:rPr>
          <w:rtl/>
        </w:rPr>
        <w:t>المحلة</w:t>
      </w:r>
      <w:r w:rsidR="00F32B28">
        <w:rPr>
          <w:rtl/>
        </w:rPr>
        <w:t xml:space="preserve"> </w:t>
      </w:r>
      <w:r w:rsidR="00F32B28" w:rsidRPr="00F32B28">
        <w:rPr>
          <w:rtl/>
        </w:rPr>
        <w:t>والمخففة</w:t>
      </w:r>
      <w:r w:rsidR="00F32B28">
        <w:rPr>
          <w:rtl/>
        </w:rPr>
        <w:t xml:space="preserve"> </w:t>
      </w:r>
      <w:r w:rsidR="00F32B28" w:rsidRPr="00F32B28">
        <w:rPr>
          <w:rtl/>
        </w:rPr>
        <w:t>الواردة</w:t>
      </w:r>
      <w:r w:rsidR="00F32B28">
        <w:rPr>
          <w:rtl/>
        </w:rPr>
        <w:t xml:space="preserve"> </w:t>
      </w:r>
      <w:r w:rsidR="00F32B28" w:rsidRPr="00F32B28">
        <w:rPr>
          <w:rtl/>
        </w:rPr>
        <w:t>بخصوص</w:t>
      </w:r>
      <w:r w:rsidR="00F32B28">
        <w:rPr>
          <w:rtl/>
        </w:rPr>
        <w:t xml:space="preserve"> </w:t>
      </w:r>
      <w:r w:rsidR="00F32B28" w:rsidRPr="00F32B28">
        <w:rPr>
          <w:rtl/>
        </w:rPr>
        <w:t>المواد</w:t>
      </w:r>
      <w:r w:rsidR="00F32B28">
        <w:rPr>
          <w:rtl/>
        </w:rPr>
        <w:t xml:space="preserve"> </w:t>
      </w:r>
      <w:r w:rsidR="00F32B28" w:rsidRPr="00F32B28">
        <w:rPr>
          <w:rtl/>
        </w:rPr>
        <w:t>المتعلقة</w:t>
      </w:r>
      <w:r w:rsidR="00F32B28">
        <w:rPr>
          <w:rtl/>
        </w:rPr>
        <w:t xml:space="preserve"> </w:t>
      </w:r>
      <w:r w:rsidR="00F32B28" w:rsidRPr="00F32B28">
        <w:rPr>
          <w:rtl/>
        </w:rPr>
        <w:t>بجرائم</w:t>
      </w:r>
      <w:r w:rsidR="00F32B28">
        <w:rPr>
          <w:rtl/>
        </w:rPr>
        <w:t xml:space="preserve"> </w:t>
      </w:r>
      <w:r w:rsidR="00F32B28" w:rsidRPr="00F32B28">
        <w:rPr>
          <w:rtl/>
        </w:rPr>
        <w:t>ما</w:t>
      </w:r>
      <w:r w:rsidR="0043161B">
        <w:rPr>
          <w:rFonts w:hint="cs"/>
          <w:rtl/>
        </w:rPr>
        <w:t> </w:t>
      </w:r>
      <w:r w:rsidR="00F32B28" w:rsidRPr="00F32B28">
        <w:rPr>
          <w:rtl/>
        </w:rPr>
        <w:t>يسمى</w:t>
      </w:r>
      <w:r w:rsidR="00F32B28">
        <w:rPr>
          <w:rtl/>
        </w:rPr>
        <w:t xml:space="preserve"> </w:t>
      </w:r>
      <w:r w:rsidR="001D253C">
        <w:rPr>
          <w:rFonts w:hint="cs"/>
          <w:rtl/>
        </w:rPr>
        <w:t>”</w:t>
      </w:r>
      <w:r w:rsidR="00F32B28" w:rsidRPr="00F32B28">
        <w:rPr>
          <w:rtl/>
        </w:rPr>
        <w:t>قتل</w:t>
      </w:r>
      <w:r w:rsidR="00F32B28">
        <w:rPr>
          <w:rtl/>
        </w:rPr>
        <w:t xml:space="preserve"> </w:t>
      </w:r>
      <w:r w:rsidR="00F32B28" w:rsidRPr="00F32B28">
        <w:rPr>
          <w:rtl/>
        </w:rPr>
        <w:t>النساء</w:t>
      </w:r>
      <w:r w:rsidR="00F32B28">
        <w:rPr>
          <w:rtl/>
        </w:rPr>
        <w:t xml:space="preserve"> </w:t>
      </w:r>
      <w:r w:rsidR="00F32B28" w:rsidRPr="00F32B28">
        <w:rPr>
          <w:rtl/>
        </w:rPr>
        <w:t>على</w:t>
      </w:r>
      <w:r w:rsidR="00F32B28">
        <w:rPr>
          <w:rtl/>
        </w:rPr>
        <w:t xml:space="preserve"> </w:t>
      </w:r>
      <w:r w:rsidR="00F32B28" w:rsidRPr="00F32B28">
        <w:rPr>
          <w:rtl/>
        </w:rPr>
        <w:t>خلفية</w:t>
      </w:r>
      <w:r w:rsidR="00F32B28">
        <w:rPr>
          <w:rtl/>
        </w:rPr>
        <w:t xml:space="preserve"> </w:t>
      </w:r>
      <w:r w:rsidR="00F32B28" w:rsidRPr="00F32B28">
        <w:rPr>
          <w:rtl/>
        </w:rPr>
        <w:t>الشرف</w:t>
      </w:r>
      <w:r w:rsidR="001D253C">
        <w:rPr>
          <w:rFonts w:hint="cs"/>
          <w:rtl/>
        </w:rPr>
        <w:t>“</w:t>
      </w:r>
      <w:r w:rsidR="00F32B28" w:rsidRPr="00F32B28">
        <w:rPr>
          <w:rtl/>
        </w:rPr>
        <w:t>.</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هذا</w:t>
      </w:r>
      <w:r w:rsidR="00F32B28">
        <w:rPr>
          <w:rtl/>
        </w:rPr>
        <w:t xml:space="preserve"> </w:t>
      </w:r>
      <w:r w:rsidR="00F32B28" w:rsidRPr="00F32B28">
        <w:rPr>
          <w:rtl/>
        </w:rPr>
        <w:t>الإلغاء</w:t>
      </w:r>
      <w:r w:rsidR="00F32B28">
        <w:rPr>
          <w:rtl/>
        </w:rPr>
        <w:t xml:space="preserve"> </w:t>
      </w:r>
      <w:r w:rsidR="00F32B28" w:rsidRPr="00F32B28">
        <w:rPr>
          <w:rtl/>
        </w:rPr>
        <w:t>لم</w:t>
      </w:r>
      <w:r w:rsidR="00F32B28">
        <w:rPr>
          <w:rtl/>
        </w:rPr>
        <w:t xml:space="preserve"> </w:t>
      </w:r>
      <w:r w:rsidR="00F32B28" w:rsidRPr="00F32B28">
        <w:rPr>
          <w:rtl/>
        </w:rPr>
        <w:t>يمنع</w:t>
      </w:r>
      <w:r w:rsidR="00F32B28">
        <w:rPr>
          <w:rtl/>
        </w:rPr>
        <w:t xml:space="preserve"> </w:t>
      </w:r>
      <w:r w:rsidR="00F32B28" w:rsidRPr="00F32B28">
        <w:rPr>
          <w:rtl/>
        </w:rPr>
        <w:t>مرتكبي</w:t>
      </w:r>
      <w:r w:rsidR="00F32B28">
        <w:rPr>
          <w:rtl/>
        </w:rPr>
        <w:t xml:space="preserve"> </w:t>
      </w:r>
      <w:r w:rsidR="00F32B28" w:rsidRPr="00F32B28">
        <w:rPr>
          <w:rtl/>
        </w:rPr>
        <w:t>جرائم</w:t>
      </w:r>
      <w:r w:rsidR="00F32B28">
        <w:rPr>
          <w:rtl/>
        </w:rPr>
        <w:t xml:space="preserve"> </w:t>
      </w:r>
      <w:r w:rsidR="00F32B28" w:rsidRPr="00F32B28">
        <w:rPr>
          <w:rtl/>
        </w:rPr>
        <w:t>قتل</w:t>
      </w:r>
      <w:r w:rsidR="00F32B28">
        <w:rPr>
          <w:rtl/>
        </w:rPr>
        <w:t xml:space="preserve"> </w:t>
      </w:r>
      <w:r w:rsidR="00F32B28" w:rsidRPr="00F32B28">
        <w:rPr>
          <w:rtl/>
        </w:rPr>
        <w:t>النساء</w:t>
      </w:r>
      <w:r w:rsidR="00F32B28">
        <w:rPr>
          <w:rtl/>
        </w:rPr>
        <w:t xml:space="preserve"> </w:t>
      </w:r>
      <w:r w:rsidR="00F32B28" w:rsidRPr="00F32B28">
        <w:rPr>
          <w:rtl/>
        </w:rPr>
        <w:t>من</w:t>
      </w:r>
      <w:r w:rsidR="00F32B28">
        <w:rPr>
          <w:rtl/>
        </w:rPr>
        <w:t xml:space="preserve"> </w:t>
      </w:r>
      <w:r w:rsidR="00F32B28" w:rsidRPr="00F32B28">
        <w:rPr>
          <w:rtl/>
        </w:rPr>
        <w:t>الاستفادة</w:t>
      </w:r>
      <w:r w:rsidR="00F32B28">
        <w:rPr>
          <w:rtl/>
        </w:rPr>
        <w:t xml:space="preserve"> </w:t>
      </w:r>
      <w:r w:rsidR="00F32B28" w:rsidRPr="00F32B28">
        <w:rPr>
          <w:rtl/>
        </w:rPr>
        <w:t>من</w:t>
      </w:r>
      <w:r w:rsidR="00F32B28">
        <w:rPr>
          <w:rtl/>
        </w:rPr>
        <w:t xml:space="preserve"> </w:t>
      </w:r>
      <w:r w:rsidR="00F32B28" w:rsidRPr="00F32B28">
        <w:rPr>
          <w:rtl/>
        </w:rPr>
        <w:t>الأعذار</w:t>
      </w:r>
      <w:r w:rsidR="00F32B28">
        <w:rPr>
          <w:rtl/>
        </w:rPr>
        <w:t xml:space="preserve"> </w:t>
      </w:r>
      <w:r w:rsidR="00F32B28" w:rsidRPr="00F32B28">
        <w:rPr>
          <w:rtl/>
        </w:rPr>
        <w:t>والأسباب</w:t>
      </w:r>
      <w:r w:rsidR="00F32B28">
        <w:rPr>
          <w:rtl/>
        </w:rPr>
        <w:t xml:space="preserve"> </w:t>
      </w:r>
      <w:r w:rsidR="00F32B28" w:rsidRPr="00F32B28">
        <w:rPr>
          <w:rtl/>
        </w:rPr>
        <w:t>المخففة</w:t>
      </w:r>
      <w:r w:rsidR="00F32B28">
        <w:rPr>
          <w:rtl/>
        </w:rPr>
        <w:t xml:space="preserve"> </w:t>
      </w:r>
      <w:r w:rsidR="00F32B28" w:rsidRPr="00F32B28">
        <w:rPr>
          <w:rtl/>
        </w:rPr>
        <w:t>للعقوبة</w:t>
      </w:r>
      <w:r w:rsidR="00F32B28">
        <w:rPr>
          <w:rtl/>
        </w:rPr>
        <w:t xml:space="preserve"> </w:t>
      </w:r>
      <w:r w:rsidR="00F32B28" w:rsidRPr="00F32B28">
        <w:rPr>
          <w:rtl/>
        </w:rPr>
        <w:t>والواردة</w:t>
      </w:r>
      <w:r w:rsidR="00F32B28">
        <w:rPr>
          <w:rtl/>
        </w:rPr>
        <w:t xml:space="preserve"> </w:t>
      </w:r>
      <w:r w:rsidR="00F32B28" w:rsidRPr="00F32B28">
        <w:rPr>
          <w:rtl/>
        </w:rPr>
        <w:t>في</w:t>
      </w:r>
      <w:r w:rsidR="00F32B28">
        <w:rPr>
          <w:rtl/>
        </w:rPr>
        <w:t xml:space="preserve"> </w:t>
      </w:r>
      <w:r w:rsidR="00F32B28" w:rsidRPr="00F32B28">
        <w:rPr>
          <w:rtl/>
        </w:rPr>
        <w:t>الأحكام</w:t>
      </w:r>
      <w:r w:rsidR="00F32B28">
        <w:rPr>
          <w:rtl/>
        </w:rPr>
        <w:t xml:space="preserve"> </w:t>
      </w:r>
      <w:r w:rsidR="00F32B28" w:rsidRPr="00F32B28">
        <w:rPr>
          <w:rtl/>
        </w:rPr>
        <w:t>العامة</w:t>
      </w:r>
      <w:r w:rsidR="00F32B28">
        <w:rPr>
          <w:rtl/>
        </w:rPr>
        <w:t xml:space="preserve"> </w:t>
      </w:r>
      <w:r w:rsidR="00F32B28" w:rsidRPr="00F32B28">
        <w:rPr>
          <w:rtl/>
        </w:rPr>
        <w:t>لهذه</w:t>
      </w:r>
      <w:r w:rsidR="00F32B28">
        <w:rPr>
          <w:rtl/>
        </w:rPr>
        <w:t xml:space="preserve"> </w:t>
      </w:r>
      <w:r w:rsidR="00F32B28" w:rsidRPr="00F32B28">
        <w:rPr>
          <w:rtl/>
        </w:rPr>
        <w:t>القوانين</w:t>
      </w:r>
      <w:r w:rsidR="00F32B28">
        <w:rPr>
          <w:rtl/>
        </w:rPr>
        <w:t xml:space="preserve"> </w:t>
      </w:r>
      <w:r w:rsidR="00F32B28" w:rsidRPr="00F32B28">
        <w:rPr>
          <w:rtl/>
        </w:rPr>
        <w:t>العقابية؛</w:t>
      </w:r>
      <w:r w:rsidR="00F32B28">
        <w:rPr>
          <w:rtl/>
        </w:rPr>
        <w:t xml:space="preserve"> </w:t>
      </w:r>
      <w:r w:rsidR="00F32B28" w:rsidRPr="00F32B28">
        <w:rPr>
          <w:rtl/>
        </w:rPr>
        <w:t>فإقدام</w:t>
      </w:r>
      <w:r w:rsidR="00F32B28">
        <w:rPr>
          <w:rtl/>
        </w:rPr>
        <w:t xml:space="preserve"> </w:t>
      </w:r>
      <w:r w:rsidR="00F32B28" w:rsidRPr="00F32B28">
        <w:rPr>
          <w:rtl/>
        </w:rPr>
        <w:t>الجاني</w:t>
      </w:r>
      <w:r w:rsidR="00F32B28">
        <w:rPr>
          <w:rtl/>
        </w:rPr>
        <w:t xml:space="preserve"> </w:t>
      </w:r>
      <w:r w:rsidR="00F32B28" w:rsidRPr="00F32B28">
        <w:rPr>
          <w:rtl/>
        </w:rPr>
        <w:t>على</w:t>
      </w:r>
      <w:r w:rsidR="00F32B28">
        <w:rPr>
          <w:rtl/>
        </w:rPr>
        <w:t xml:space="preserve"> </w:t>
      </w:r>
      <w:r w:rsidR="00F32B28" w:rsidRPr="00F32B28">
        <w:rPr>
          <w:rtl/>
        </w:rPr>
        <w:t>ارتكاب</w:t>
      </w:r>
      <w:r w:rsidR="00F32B28">
        <w:rPr>
          <w:rtl/>
        </w:rPr>
        <w:t xml:space="preserve"> </w:t>
      </w:r>
      <w:r w:rsidR="00F32B28" w:rsidRPr="00F32B28">
        <w:rPr>
          <w:rtl/>
        </w:rPr>
        <w:t>الجريمة</w:t>
      </w:r>
      <w:r w:rsidR="00F32B28">
        <w:rPr>
          <w:rtl/>
        </w:rPr>
        <w:t xml:space="preserve"> </w:t>
      </w:r>
      <w:r w:rsidR="00F32B28" w:rsidRPr="00F32B28">
        <w:rPr>
          <w:rtl/>
        </w:rPr>
        <w:t>تحت</w:t>
      </w:r>
      <w:r w:rsidR="00F32B28">
        <w:rPr>
          <w:rtl/>
        </w:rPr>
        <w:t xml:space="preserve"> </w:t>
      </w:r>
      <w:r w:rsidR="00F32B28" w:rsidRPr="00F32B28">
        <w:rPr>
          <w:rtl/>
        </w:rPr>
        <w:t>سورة</w:t>
      </w:r>
      <w:r w:rsidR="00F32B28">
        <w:rPr>
          <w:rtl/>
        </w:rPr>
        <w:t xml:space="preserve"> </w:t>
      </w:r>
      <w:r w:rsidR="00F32B28" w:rsidRPr="00F32B28">
        <w:rPr>
          <w:rtl/>
        </w:rPr>
        <w:t>الغضب</w:t>
      </w:r>
      <w:r w:rsidR="00F32B28">
        <w:rPr>
          <w:rtl/>
        </w:rPr>
        <w:t xml:space="preserve"> </w:t>
      </w:r>
      <w:r w:rsidR="00F32B28" w:rsidRPr="00F32B28">
        <w:rPr>
          <w:rtl/>
        </w:rPr>
        <w:t>الشديد</w:t>
      </w:r>
      <w:r w:rsidR="00F32B28">
        <w:rPr>
          <w:rtl/>
        </w:rPr>
        <w:t xml:space="preserve"> </w:t>
      </w:r>
      <w:r w:rsidR="00F32B28" w:rsidRPr="00F32B28">
        <w:rPr>
          <w:rtl/>
        </w:rPr>
        <w:t>(المادة</w:t>
      </w:r>
      <w:r w:rsidR="00F32B28">
        <w:rPr>
          <w:rtl/>
        </w:rPr>
        <w:t xml:space="preserve"> </w:t>
      </w:r>
      <w:r w:rsidR="00F32B28" w:rsidRPr="00F32B28">
        <w:rPr>
          <w:rtl/>
        </w:rPr>
        <w:t>(98)</w:t>
      </w:r>
      <w:r w:rsidR="00F32B28">
        <w:rPr>
          <w:rtl/>
        </w:rPr>
        <w:t xml:space="preserve"> </w:t>
      </w:r>
      <w:r w:rsidR="00F32B28" w:rsidRPr="00F32B28">
        <w:rPr>
          <w:rtl/>
        </w:rPr>
        <w:t>من</w:t>
      </w:r>
      <w:r w:rsidR="00F32B28">
        <w:rPr>
          <w:rtl/>
        </w:rPr>
        <w:t xml:space="preserve"> </w:t>
      </w:r>
      <w:r w:rsidR="00F32B28" w:rsidRPr="00F32B28">
        <w:rPr>
          <w:rtl/>
        </w:rPr>
        <w:t>قانون</w:t>
      </w:r>
      <w:r w:rsidR="00F32B28">
        <w:rPr>
          <w:rtl/>
        </w:rPr>
        <w:t xml:space="preserve"> </w:t>
      </w:r>
      <w:r w:rsidR="00F32B28" w:rsidRPr="00F32B28">
        <w:rPr>
          <w:rtl/>
        </w:rPr>
        <w:t>العقوبات</w:t>
      </w:r>
      <w:r w:rsidR="00F32B28">
        <w:rPr>
          <w:rtl/>
        </w:rPr>
        <w:t xml:space="preserve"> </w:t>
      </w:r>
      <w:r w:rsidR="00F32B28" w:rsidRPr="00F32B28">
        <w:rPr>
          <w:rtl/>
        </w:rPr>
        <w:t>رقم</w:t>
      </w:r>
      <w:r w:rsidR="00F32B28">
        <w:rPr>
          <w:rtl/>
        </w:rPr>
        <w:t xml:space="preserve"> </w:t>
      </w:r>
      <w:r w:rsidR="00F32B28" w:rsidRPr="00F32B28">
        <w:rPr>
          <w:rtl/>
        </w:rPr>
        <w:t>16</w:t>
      </w:r>
      <w:r w:rsidR="008C7FF9">
        <w:rPr>
          <w:rFonts w:hint="cs"/>
          <w:rtl/>
        </w:rPr>
        <w:t> </w:t>
      </w:r>
      <w:r w:rsidR="00F32B28" w:rsidRPr="00F32B28">
        <w:rPr>
          <w:rtl/>
        </w:rPr>
        <w:t>لسنة</w:t>
      </w:r>
      <w:r w:rsidR="00F32B28">
        <w:rPr>
          <w:rtl/>
        </w:rPr>
        <w:t xml:space="preserve"> </w:t>
      </w:r>
      <w:r w:rsidR="00F32B28" w:rsidRPr="00F32B28">
        <w:rPr>
          <w:rtl/>
        </w:rPr>
        <w:t>1960)،</w:t>
      </w:r>
      <w:r w:rsidR="00F32B28">
        <w:rPr>
          <w:rtl/>
        </w:rPr>
        <w:t xml:space="preserve"> </w:t>
      </w:r>
      <w:r w:rsidR="00F32B28" w:rsidRPr="00F32B28">
        <w:rPr>
          <w:rtl/>
        </w:rPr>
        <w:t>أو</w:t>
      </w:r>
      <w:r w:rsidR="00F32B28">
        <w:rPr>
          <w:rtl/>
        </w:rPr>
        <w:t xml:space="preserve"> </w:t>
      </w:r>
      <w:r w:rsidR="00F32B28" w:rsidRPr="00F32B28">
        <w:rPr>
          <w:rtl/>
        </w:rPr>
        <w:t>عفو</w:t>
      </w:r>
      <w:r w:rsidR="00F32B28">
        <w:rPr>
          <w:rtl/>
        </w:rPr>
        <w:t xml:space="preserve"> </w:t>
      </w:r>
      <w:r w:rsidR="00F32B28" w:rsidRPr="00F32B28">
        <w:rPr>
          <w:rtl/>
        </w:rPr>
        <w:t>أولياء</w:t>
      </w:r>
      <w:r w:rsidR="00F32B28">
        <w:rPr>
          <w:rtl/>
        </w:rPr>
        <w:t xml:space="preserve"> </w:t>
      </w:r>
      <w:r w:rsidR="00F32B28" w:rsidRPr="00F32B28">
        <w:rPr>
          <w:rtl/>
        </w:rPr>
        <w:t>الدم</w:t>
      </w:r>
      <w:r w:rsidR="00F32B28">
        <w:rPr>
          <w:rtl/>
        </w:rPr>
        <w:t xml:space="preserve"> </w:t>
      </w:r>
      <w:r w:rsidR="00F32B28" w:rsidRPr="00F32B28">
        <w:rPr>
          <w:rtl/>
        </w:rPr>
        <w:t>(أسرة</w:t>
      </w:r>
      <w:r w:rsidR="00F32B28">
        <w:rPr>
          <w:rtl/>
        </w:rPr>
        <w:t xml:space="preserve"> </w:t>
      </w:r>
      <w:r w:rsidR="00F32B28" w:rsidRPr="00F32B28">
        <w:rPr>
          <w:rtl/>
        </w:rPr>
        <w:t>المرأة</w:t>
      </w:r>
      <w:r w:rsidR="00F32B28">
        <w:rPr>
          <w:rtl/>
        </w:rPr>
        <w:t xml:space="preserve"> </w:t>
      </w:r>
      <w:r w:rsidR="00F32B28" w:rsidRPr="00F32B28">
        <w:rPr>
          <w:rtl/>
        </w:rPr>
        <w:t>الضحية)</w:t>
      </w:r>
      <w:r w:rsidR="00F32B28">
        <w:rPr>
          <w:rtl/>
        </w:rPr>
        <w:t xml:space="preserve"> </w:t>
      </w:r>
      <w:r w:rsidR="00F32B28" w:rsidRPr="00F32B28">
        <w:rPr>
          <w:rtl/>
        </w:rPr>
        <w:t>وإسقاط</w:t>
      </w:r>
      <w:r w:rsidR="00F32B28">
        <w:rPr>
          <w:rtl/>
        </w:rPr>
        <w:t xml:space="preserve"> </w:t>
      </w:r>
      <w:r w:rsidR="00F32B28" w:rsidRPr="00F32B28">
        <w:rPr>
          <w:rtl/>
        </w:rPr>
        <w:t>حقهم</w:t>
      </w:r>
      <w:r w:rsidR="00F32B28">
        <w:rPr>
          <w:rtl/>
        </w:rPr>
        <w:t xml:space="preserve"> </w:t>
      </w:r>
      <w:r w:rsidR="00F32B28" w:rsidRPr="00F32B28">
        <w:rPr>
          <w:rtl/>
        </w:rPr>
        <w:t>الشخصي</w:t>
      </w:r>
      <w:r w:rsidR="00F32B28">
        <w:rPr>
          <w:rtl/>
        </w:rPr>
        <w:t xml:space="preserve"> </w:t>
      </w:r>
      <w:r w:rsidR="00F32B28" w:rsidRPr="00F32B28">
        <w:rPr>
          <w:rtl/>
        </w:rPr>
        <w:t>عن</w:t>
      </w:r>
      <w:r w:rsidR="00F32B28">
        <w:rPr>
          <w:rtl/>
        </w:rPr>
        <w:t xml:space="preserve"> </w:t>
      </w:r>
      <w:r w:rsidR="00F32B28" w:rsidRPr="00F32B28">
        <w:rPr>
          <w:rtl/>
        </w:rPr>
        <w:t>الجاني،</w:t>
      </w:r>
      <w:r w:rsidR="00F32B28">
        <w:rPr>
          <w:rtl/>
        </w:rPr>
        <w:t xml:space="preserve"> </w:t>
      </w:r>
      <w:r w:rsidR="00F32B28" w:rsidRPr="00F32B28">
        <w:rPr>
          <w:rtl/>
        </w:rPr>
        <w:t>أو</w:t>
      </w:r>
      <w:r w:rsidR="008C7FF9">
        <w:rPr>
          <w:rFonts w:hint="cs"/>
          <w:rtl/>
        </w:rPr>
        <w:t> </w:t>
      </w:r>
      <w:r w:rsidR="00F32B28" w:rsidRPr="00F32B28">
        <w:rPr>
          <w:rtl/>
        </w:rPr>
        <w:t>قيام</w:t>
      </w:r>
      <w:r w:rsidR="00F32B28">
        <w:rPr>
          <w:rtl/>
        </w:rPr>
        <w:t xml:space="preserve"> </w:t>
      </w:r>
      <w:r w:rsidR="00F32B28" w:rsidRPr="00F32B28">
        <w:rPr>
          <w:rtl/>
        </w:rPr>
        <w:t>الجاني</w:t>
      </w:r>
      <w:r w:rsidR="00F32B28">
        <w:rPr>
          <w:rtl/>
        </w:rPr>
        <w:t xml:space="preserve"> </w:t>
      </w:r>
      <w:r w:rsidR="00F32B28" w:rsidRPr="00F32B28">
        <w:rPr>
          <w:rtl/>
        </w:rPr>
        <w:t>بطلب</w:t>
      </w:r>
      <w:r w:rsidR="00F32B28">
        <w:rPr>
          <w:rtl/>
        </w:rPr>
        <w:t xml:space="preserve"> </w:t>
      </w:r>
      <w:r w:rsidR="00F32B28" w:rsidRPr="00F32B28">
        <w:rPr>
          <w:rtl/>
        </w:rPr>
        <w:t>الرأفة</w:t>
      </w:r>
      <w:r w:rsidR="00F32B28">
        <w:rPr>
          <w:rtl/>
        </w:rPr>
        <w:t xml:space="preserve"> </w:t>
      </w:r>
      <w:r w:rsidR="00F32B28" w:rsidRPr="00F32B28">
        <w:rPr>
          <w:rtl/>
        </w:rPr>
        <w:t>والرحمة</w:t>
      </w:r>
      <w:r w:rsidR="00F32B28">
        <w:rPr>
          <w:rtl/>
        </w:rPr>
        <w:t xml:space="preserve"> </w:t>
      </w:r>
      <w:r w:rsidR="00F32B28" w:rsidRPr="00F32B28">
        <w:rPr>
          <w:rtl/>
        </w:rPr>
        <w:t>من</w:t>
      </w:r>
      <w:r w:rsidR="00F32B28">
        <w:rPr>
          <w:rtl/>
        </w:rPr>
        <w:t xml:space="preserve"> </w:t>
      </w:r>
      <w:r w:rsidR="00F32B28" w:rsidRPr="00F32B28">
        <w:rPr>
          <w:rtl/>
        </w:rPr>
        <w:t>القاضي،</w:t>
      </w:r>
      <w:r w:rsidR="00F32B28">
        <w:rPr>
          <w:rtl/>
        </w:rPr>
        <w:t xml:space="preserve"> </w:t>
      </w:r>
      <w:r w:rsidR="00F32B28" w:rsidRPr="00F32B28">
        <w:rPr>
          <w:rtl/>
        </w:rPr>
        <w:t>أو</w:t>
      </w:r>
      <w:r w:rsidR="00F32B28">
        <w:rPr>
          <w:rtl/>
        </w:rPr>
        <w:t xml:space="preserve"> </w:t>
      </w:r>
      <w:r w:rsidR="00F32B28" w:rsidRPr="00F32B28">
        <w:rPr>
          <w:rtl/>
        </w:rPr>
        <w:t>لأية</w:t>
      </w:r>
      <w:r w:rsidR="00F32B28">
        <w:rPr>
          <w:rtl/>
        </w:rPr>
        <w:t xml:space="preserve"> </w:t>
      </w:r>
      <w:r w:rsidR="00F32B28" w:rsidRPr="00F32B28">
        <w:rPr>
          <w:rtl/>
        </w:rPr>
        <w:t>أسباب</w:t>
      </w:r>
      <w:r w:rsidR="00F32B28">
        <w:rPr>
          <w:rtl/>
        </w:rPr>
        <w:t xml:space="preserve"> </w:t>
      </w:r>
      <w:r w:rsidR="00F32B28" w:rsidRPr="00F32B28">
        <w:rPr>
          <w:rtl/>
        </w:rPr>
        <w:t>قضائية</w:t>
      </w:r>
      <w:r w:rsidR="00F32B28">
        <w:rPr>
          <w:rtl/>
        </w:rPr>
        <w:t xml:space="preserve"> </w:t>
      </w:r>
      <w:r w:rsidR="00F32B28" w:rsidRPr="00F32B28">
        <w:rPr>
          <w:rtl/>
        </w:rPr>
        <w:t>مخففة</w:t>
      </w:r>
      <w:r w:rsidR="00F32B28">
        <w:rPr>
          <w:rtl/>
        </w:rPr>
        <w:t xml:space="preserve"> </w:t>
      </w:r>
      <w:r w:rsidR="00F32B28" w:rsidRPr="00F32B28">
        <w:rPr>
          <w:rtl/>
        </w:rPr>
        <w:t>أخرى</w:t>
      </w:r>
      <w:r w:rsidR="00F32B28">
        <w:rPr>
          <w:rtl/>
        </w:rPr>
        <w:t xml:space="preserve"> </w:t>
      </w:r>
      <w:r w:rsidR="00F32B28" w:rsidRPr="00F32B28">
        <w:rPr>
          <w:rtl/>
        </w:rPr>
        <w:t>(المواد</w:t>
      </w:r>
      <w:r w:rsidR="00F32B28">
        <w:rPr>
          <w:rtl/>
        </w:rPr>
        <w:t xml:space="preserve"> </w:t>
      </w:r>
      <w:r w:rsidR="00F32B28" w:rsidRPr="00F32B28">
        <w:rPr>
          <w:rtl/>
        </w:rPr>
        <w:t>(99)</w:t>
      </w:r>
      <w:r w:rsidR="00F32B28">
        <w:rPr>
          <w:rtl/>
        </w:rPr>
        <w:t xml:space="preserve"> </w:t>
      </w:r>
      <w:r w:rsidR="00F32B28" w:rsidRPr="00F32B28">
        <w:rPr>
          <w:rtl/>
        </w:rPr>
        <w:t>و</w:t>
      </w:r>
      <w:r w:rsidR="008C7FF9">
        <w:rPr>
          <w:rFonts w:hint="eastAsia"/>
          <w:rtl/>
        </w:rPr>
        <w:t> </w:t>
      </w:r>
      <w:r w:rsidR="00F32B28" w:rsidRPr="00F32B28">
        <w:rPr>
          <w:rtl/>
        </w:rPr>
        <w:t>(100))،</w:t>
      </w:r>
      <w:r w:rsidR="00F32B28">
        <w:rPr>
          <w:rtl/>
        </w:rPr>
        <w:t xml:space="preserve"> </w:t>
      </w:r>
      <w:r w:rsidR="00F32B28" w:rsidRPr="00F32B28">
        <w:rPr>
          <w:rtl/>
        </w:rPr>
        <w:t>كلها</w:t>
      </w:r>
      <w:r w:rsidR="00F32B28">
        <w:rPr>
          <w:rtl/>
        </w:rPr>
        <w:t xml:space="preserve"> </w:t>
      </w:r>
      <w:r w:rsidR="00F32B28" w:rsidRPr="00F32B28">
        <w:rPr>
          <w:rtl/>
        </w:rPr>
        <w:t>أسباب</w:t>
      </w:r>
      <w:r w:rsidR="00F32B28">
        <w:rPr>
          <w:rtl/>
        </w:rPr>
        <w:t xml:space="preserve"> </w:t>
      </w:r>
      <w:r w:rsidR="00F32B28" w:rsidRPr="00F32B28">
        <w:rPr>
          <w:rtl/>
        </w:rPr>
        <w:t>تؤدي</w:t>
      </w:r>
      <w:r w:rsidR="00F32B28">
        <w:rPr>
          <w:rtl/>
        </w:rPr>
        <w:t xml:space="preserve"> </w:t>
      </w:r>
      <w:r w:rsidR="00F32B28" w:rsidRPr="00F32B28">
        <w:rPr>
          <w:rtl/>
        </w:rPr>
        <w:t>في</w:t>
      </w:r>
      <w:r w:rsidR="00F32B28">
        <w:rPr>
          <w:rtl/>
        </w:rPr>
        <w:t xml:space="preserve"> </w:t>
      </w:r>
      <w:r w:rsidR="00F32B28" w:rsidRPr="00F32B28">
        <w:rPr>
          <w:rtl/>
        </w:rPr>
        <w:t>نهاية</w:t>
      </w:r>
      <w:r w:rsidR="00F32B28">
        <w:rPr>
          <w:rtl/>
        </w:rPr>
        <w:t xml:space="preserve"> </w:t>
      </w:r>
      <w:r w:rsidR="00F32B28" w:rsidRPr="00F32B28">
        <w:rPr>
          <w:rtl/>
        </w:rPr>
        <w:t>المطاف</w:t>
      </w:r>
      <w:r w:rsidR="00F32B28">
        <w:rPr>
          <w:rtl/>
        </w:rPr>
        <w:t xml:space="preserve"> </w:t>
      </w:r>
      <w:r w:rsidR="00F32B28" w:rsidRPr="00F32B28">
        <w:rPr>
          <w:rtl/>
        </w:rPr>
        <w:t>إلى</w:t>
      </w:r>
      <w:r w:rsidR="00F32B28">
        <w:rPr>
          <w:rtl/>
        </w:rPr>
        <w:t xml:space="preserve"> </w:t>
      </w:r>
      <w:r w:rsidR="00F32B28" w:rsidRPr="00F32B28">
        <w:rPr>
          <w:rtl/>
        </w:rPr>
        <w:t>تخفيف</w:t>
      </w:r>
      <w:r w:rsidR="00F32B28">
        <w:rPr>
          <w:rtl/>
        </w:rPr>
        <w:t xml:space="preserve"> </w:t>
      </w:r>
      <w:r w:rsidR="00F32B28" w:rsidRPr="00F32B28">
        <w:rPr>
          <w:rtl/>
        </w:rPr>
        <w:t>العقوبة</w:t>
      </w:r>
      <w:r w:rsidR="00F32B28">
        <w:rPr>
          <w:rtl/>
        </w:rPr>
        <w:t xml:space="preserve"> </w:t>
      </w:r>
      <w:r w:rsidR="00F32B28" w:rsidRPr="00F32B28">
        <w:rPr>
          <w:rtl/>
        </w:rPr>
        <w:t>المحكوم</w:t>
      </w:r>
      <w:r w:rsidR="00F32B28">
        <w:rPr>
          <w:rtl/>
        </w:rPr>
        <w:t xml:space="preserve"> </w:t>
      </w:r>
      <w:r w:rsidR="00F32B28" w:rsidRPr="00F32B28">
        <w:rPr>
          <w:rtl/>
        </w:rPr>
        <w:t>بها</w:t>
      </w:r>
      <w:r w:rsidR="00F32B28">
        <w:rPr>
          <w:rtl/>
        </w:rPr>
        <w:t xml:space="preserve"> </w:t>
      </w:r>
      <w:r w:rsidR="00F32B28" w:rsidRPr="00F32B28">
        <w:rPr>
          <w:rtl/>
        </w:rPr>
        <w:t>على</w:t>
      </w:r>
      <w:r w:rsidR="00F32B28">
        <w:rPr>
          <w:rtl/>
        </w:rPr>
        <w:t xml:space="preserve"> </w:t>
      </w:r>
      <w:r w:rsidR="00F32B28" w:rsidRPr="00F32B28">
        <w:rPr>
          <w:rtl/>
        </w:rPr>
        <w:t>الجاني،</w:t>
      </w:r>
      <w:r w:rsidR="00F32B28">
        <w:rPr>
          <w:rtl/>
        </w:rPr>
        <w:t xml:space="preserve"> </w:t>
      </w:r>
      <w:r w:rsidR="00F32B28" w:rsidRPr="00F32B28">
        <w:rPr>
          <w:rtl/>
        </w:rPr>
        <w:t>إما</w:t>
      </w:r>
      <w:r w:rsidR="00F32B28">
        <w:rPr>
          <w:rtl/>
        </w:rPr>
        <w:t xml:space="preserve"> </w:t>
      </w:r>
      <w:r w:rsidR="00F32B28" w:rsidRPr="00F32B28">
        <w:rPr>
          <w:rtl/>
        </w:rPr>
        <w:t>بقوة</w:t>
      </w:r>
      <w:r w:rsidR="00F32B28">
        <w:rPr>
          <w:rtl/>
        </w:rPr>
        <w:t xml:space="preserve"> </w:t>
      </w:r>
      <w:r w:rsidR="00F32B28" w:rsidRPr="00F32B28">
        <w:rPr>
          <w:rtl/>
        </w:rPr>
        <w:t>القانون</w:t>
      </w:r>
      <w:r w:rsidR="00F32B28">
        <w:rPr>
          <w:rtl/>
        </w:rPr>
        <w:t xml:space="preserve"> </w:t>
      </w:r>
      <w:r w:rsidR="00F32B28" w:rsidRPr="00F32B28">
        <w:rPr>
          <w:rtl/>
        </w:rPr>
        <w:t>أو</w:t>
      </w:r>
      <w:r w:rsidR="00EB128F">
        <w:rPr>
          <w:rFonts w:hint="cs"/>
          <w:rtl/>
        </w:rPr>
        <w:t> </w:t>
      </w:r>
      <w:r w:rsidR="00F32B28" w:rsidRPr="00F32B28">
        <w:rPr>
          <w:rtl/>
        </w:rPr>
        <w:t>بسلطة</w:t>
      </w:r>
      <w:r w:rsidR="00F32B28">
        <w:rPr>
          <w:rtl/>
        </w:rPr>
        <w:t xml:space="preserve"> </w:t>
      </w:r>
      <w:r w:rsidR="00F32B28" w:rsidRPr="00F32B28">
        <w:rPr>
          <w:rtl/>
        </w:rPr>
        <w:t>القاضي</w:t>
      </w:r>
      <w:r w:rsidR="00F32B28">
        <w:rPr>
          <w:rtl/>
        </w:rPr>
        <w:t xml:space="preserve"> </w:t>
      </w:r>
      <w:r w:rsidR="00F32B28" w:rsidRPr="00F32B28">
        <w:rPr>
          <w:rtl/>
        </w:rPr>
        <w:t>التقديرية</w:t>
      </w:r>
      <w:r w:rsidR="00F32B28">
        <w:rPr>
          <w:rtl/>
        </w:rPr>
        <w:t xml:space="preserve"> </w:t>
      </w:r>
      <w:r w:rsidR="00F32B28" w:rsidRPr="00F32B28">
        <w:rPr>
          <w:rtl/>
        </w:rPr>
        <w:t>الذي</w:t>
      </w:r>
      <w:r w:rsidR="00F32B28">
        <w:rPr>
          <w:rtl/>
        </w:rPr>
        <w:t xml:space="preserve"> </w:t>
      </w:r>
      <w:r w:rsidR="00F32B28" w:rsidRPr="00F32B28">
        <w:rPr>
          <w:rtl/>
        </w:rPr>
        <w:t>غالباً</w:t>
      </w:r>
      <w:r w:rsidR="00F32B28">
        <w:rPr>
          <w:rtl/>
        </w:rPr>
        <w:t xml:space="preserve"> </w:t>
      </w:r>
      <w:r w:rsidR="00F32B28" w:rsidRPr="00F32B28">
        <w:rPr>
          <w:rtl/>
        </w:rPr>
        <w:t>ما</w:t>
      </w:r>
      <w:r w:rsidR="00F32B28">
        <w:rPr>
          <w:rtl/>
        </w:rPr>
        <w:t xml:space="preserve"> </w:t>
      </w:r>
      <w:r w:rsidR="00F32B28" w:rsidRPr="00F32B28">
        <w:rPr>
          <w:rtl/>
        </w:rPr>
        <w:t>يتعاطف</w:t>
      </w:r>
      <w:r w:rsidR="00F32B28">
        <w:rPr>
          <w:rtl/>
        </w:rPr>
        <w:t xml:space="preserve"> </w:t>
      </w:r>
      <w:r w:rsidR="00F32B28" w:rsidRPr="00F32B28">
        <w:rPr>
          <w:rtl/>
        </w:rPr>
        <w:t>مع</w:t>
      </w:r>
      <w:r w:rsidR="00F32B28">
        <w:rPr>
          <w:rtl/>
        </w:rPr>
        <w:t xml:space="preserve"> </w:t>
      </w:r>
      <w:r w:rsidR="00F32B28" w:rsidRPr="00F32B28">
        <w:rPr>
          <w:rtl/>
        </w:rPr>
        <w:t>الجاني.</w:t>
      </w:r>
      <w:r w:rsidR="00F32B28">
        <w:rPr>
          <w:rtl/>
        </w:rPr>
        <w:t xml:space="preserve"> </w:t>
      </w:r>
    </w:p>
    <w:p w:rsidR="00F32B28" w:rsidRPr="00F32B28" w:rsidRDefault="00DF6B4E" w:rsidP="00DF6B4E">
      <w:pPr>
        <w:pStyle w:val="SingleTxt"/>
        <w:rPr>
          <w:rtl/>
        </w:rPr>
      </w:pPr>
      <w:r>
        <w:rPr>
          <w:rFonts w:hint="cs"/>
          <w:rtl/>
          <w:lang w:bidi="ar-SY"/>
        </w:rPr>
        <w:t>40 -</w:t>
      </w:r>
      <w:r>
        <w:rPr>
          <w:rFonts w:hint="cs"/>
          <w:rtl/>
          <w:lang w:bidi="ar-SY"/>
        </w:rPr>
        <w:tab/>
      </w:r>
      <w:r w:rsidR="00F32B28" w:rsidRPr="00F32B28">
        <w:rPr>
          <w:rtl/>
          <w:lang w:bidi="ar-SY"/>
        </w:rPr>
        <w:t>أدت</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العوامل،</w:t>
      </w:r>
      <w:r w:rsidR="00F32B28">
        <w:rPr>
          <w:rtl/>
          <w:lang w:bidi="ar-SY"/>
        </w:rPr>
        <w:t xml:space="preserve"> </w:t>
      </w:r>
      <w:r w:rsidR="00F32B28" w:rsidRPr="00F32B28">
        <w:rPr>
          <w:rtl/>
          <w:lang w:bidi="ar-SY"/>
        </w:rPr>
        <w:t>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الانضمام</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اتفاقية</w:t>
      </w:r>
      <w:r w:rsidR="00F32B28">
        <w:rPr>
          <w:rtl/>
          <w:lang w:bidi="ar-SY"/>
        </w:rPr>
        <w:t xml:space="preserve"> </w:t>
      </w:r>
      <w:r w:rsidR="001D253C">
        <w:rPr>
          <w:rFonts w:hint="eastAsia"/>
          <w:rtl/>
        </w:rPr>
        <w:t>”</w:t>
      </w:r>
      <w:r w:rsidR="00F32B28" w:rsidRPr="00F32B28">
        <w:rPr>
          <w:rtl/>
          <w:lang w:bidi="ar-SY"/>
        </w:rPr>
        <w:t>سيداو</w:t>
      </w:r>
      <w:r w:rsidR="001D253C">
        <w:rPr>
          <w:rFonts w:hint="cs"/>
          <w:rtl/>
        </w:rPr>
        <w:t>“</w:t>
      </w:r>
      <w:r w:rsidR="00F32B28" w:rsidRPr="00F32B28">
        <w:rPr>
          <w:rtl/>
          <w:lang w:bidi="ar-SY"/>
        </w:rPr>
        <w:t>،</w:t>
      </w:r>
      <w:r w:rsidR="00F32B28">
        <w:rPr>
          <w:rtl/>
          <w:lang w:bidi="ar-SY"/>
        </w:rPr>
        <w:t xml:space="preserve"> </w:t>
      </w:r>
      <w:r w:rsidR="00F32B28" w:rsidRPr="00F32B28">
        <w:rPr>
          <w:rtl/>
        </w:rPr>
        <w:t>إلى</w:t>
      </w:r>
      <w:r w:rsidR="00F32B28">
        <w:rPr>
          <w:rtl/>
        </w:rPr>
        <w:t xml:space="preserve"> </w:t>
      </w:r>
      <w:r w:rsidR="00F32B28" w:rsidRPr="00F32B28">
        <w:rPr>
          <w:rtl/>
        </w:rPr>
        <w:t>إصدار</w:t>
      </w:r>
      <w:r w:rsidR="00F32B28">
        <w:rPr>
          <w:rtl/>
        </w:rPr>
        <w:t xml:space="preserve"> </w:t>
      </w:r>
      <w:r w:rsidR="00F32B28" w:rsidRPr="00F32B28">
        <w:rPr>
          <w:rtl/>
        </w:rPr>
        <w:t>الرئيس</w:t>
      </w:r>
      <w:r w:rsidR="00F32B28">
        <w:rPr>
          <w:rtl/>
        </w:rPr>
        <w:t xml:space="preserve"> </w:t>
      </w:r>
      <w:r w:rsidR="00F32B28" w:rsidRPr="00F32B28">
        <w:rPr>
          <w:rtl/>
        </w:rPr>
        <w:t>قراراً</w:t>
      </w:r>
      <w:r w:rsidR="00F32B28">
        <w:rPr>
          <w:rtl/>
        </w:rPr>
        <w:t xml:space="preserve"> </w:t>
      </w:r>
      <w:r w:rsidR="00F32B28" w:rsidRPr="00F32B28">
        <w:rPr>
          <w:rtl/>
        </w:rPr>
        <w:t>بقانون</w:t>
      </w:r>
      <w:r w:rsidR="00F32B28">
        <w:rPr>
          <w:rtl/>
        </w:rPr>
        <w:t xml:space="preserve"> </w:t>
      </w:r>
      <w:r w:rsidR="00F32B28" w:rsidRPr="00F32B28">
        <w:rPr>
          <w:rtl/>
        </w:rPr>
        <w:t>بتاريخ</w:t>
      </w:r>
      <w:r w:rsidR="00F32B28">
        <w:rPr>
          <w:rtl/>
        </w:rPr>
        <w:t xml:space="preserve"> </w:t>
      </w:r>
      <w:r w:rsidR="00F32B28" w:rsidRPr="00F32B28">
        <w:rPr>
          <w:rtl/>
        </w:rPr>
        <w:t>11</w:t>
      </w:r>
      <w:r>
        <w:rPr>
          <w:rFonts w:hint="cs"/>
          <w:rtl/>
        </w:rPr>
        <w:t xml:space="preserve"> أيار/مايو </w:t>
      </w:r>
      <w:r w:rsidR="00F32B28" w:rsidRPr="00F32B28">
        <w:rPr>
          <w:rtl/>
        </w:rPr>
        <w:t>2014</w:t>
      </w:r>
      <w:r w:rsidR="00F32B28">
        <w:rPr>
          <w:rtl/>
        </w:rPr>
        <w:t xml:space="preserve"> </w:t>
      </w:r>
      <w:r w:rsidR="00F32B28" w:rsidRPr="00F32B28">
        <w:rPr>
          <w:rtl/>
        </w:rPr>
        <w:t>يستثني</w:t>
      </w:r>
      <w:r w:rsidR="00F32B28">
        <w:rPr>
          <w:rtl/>
        </w:rPr>
        <w:t xml:space="preserve"> </w:t>
      </w:r>
      <w:r w:rsidR="00F32B28" w:rsidRPr="00F32B28">
        <w:rPr>
          <w:rtl/>
        </w:rPr>
        <w:t>صراحةً</w:t>
      </w:r>
      <w:r w:rsidR="00F32B28">
        <w:rPr>
          <w:rtl/>
        </w:rPr>
        <w:t xml:space="preserve"> </w:t>
      </w:r>
      <w:r w:rsidR="00F32B28" w:rsidRPr="00F32B28">
        <w:rPr>
          <w:rtl/>
        </w:rPr>
        <w:t>مرتكبي</w:t>
      </w:r>
      <w:r w:rsidR="00F32B28">
        <w:rPr>
          <w:rtl/>
        </w:rPr>
        <w:t xml:space="preserve"> </w:t>
      </w:r>
      <w:r w:rsidR="00F32B28" w:rsidRPr="00F32B28">
        <w:rPr>
          <w:rtl/>
        </w:rPr>
        <w:t>جرائم</w:t>
      </w:r>
      <w:r w:rsidR="00F32B28">
        <w:rPr>
          <w:rtl/>
        </w:rPr>
        <w:t xml:space="preserve"> </w:t>
      </w:r>
      <w:r w:rsidR="00F32B28" w:rsidRPr="00F32B28">
        <w:rPr>
          <w:rtl/>
        </w:rPr>
        <w:t>قتل</w:t>
      </w:r>
      <w:r w:rsidR="00F32B28">
        <w:rPr>
          <w:rtl/>
        </w:rPr>
        <w:t xml:space="preserve"> </w:t>
      </w:r>
      <w:r w:rsidR="00F32B28" w:rsidRPr="00F32B28">
        <w:rPr>
          <w:rtl/>
        </w:rPr>
        <w:t>النساء</w:t>
      </w:r>
      <w:r w:rsidR="00F32B28">
        <w:rPr>
          <w:rtl/>
        </w:rPr>
        <w:t xml:space="preserve"> </w:t>
      </w:r>
      <w:r w:rsidR="00F32B28" w:rsidRPr="00F32B28">
        <w:rPr>
          <w:rtl/>
        </w:rPr>
        <w:t>على</w:t>
      </w:r>
      <w:r w:rsidR="00F32B28">
        <w:rPr>
          <w:rtl/>
        </w:rPr>
        <w:t xml:space="preserve"> </w:t>
      </w:r>
      <w:r w:rsidR="00F32B28" w:rsidRPr="00F32B28">
        <w:rPr>
          <w:rtl/>
        </w:rPr>
        <w:t>خلفية</w:t>
      </w:r>
      <w:r w:rsidR="00F32B28">
        <w:rPr>
          <w:rtl/>
        </w:rPr>
        <w:t xml:space="preserve"> </w:t>
      </w:r>
      <w:r w:rsidR="00F32B28" w:rsidRPr="00F32B28">
        <w:rPr>
          <w:rtl/>
        </w:rPr>
        <w:t>الشرف</w:t>
      </w:r>
      <w:r w:rsidR="00F32B28">
        <w:rPr>
          <w:rtl/>
        </w:rPr>
        <w:t xml:space="preserve"> </w:t>
      </w:r>
      <w:r w:rsidR="00F32B28" w:rsidRPr="00F32B28">
        <w:rPr>
          <w:rtl/>
        </w:rPr>
        <w:t>من</w:t>
      </w:r>
      <w:r w:rsidR="00F32B28">
        <w:rPr>
          <w:rtl/>
        </w:rPr>
        <w:t xml:space="preserve"> </w:t>
      </w:r>
      <w:r w:rsidR="00F32B28" w:rsidRPr="00F32B28">
        <w:rPr>
          <w:rtl/>
        </w:rPr>
        <w:t>الاستفادة</w:t>
      </w:r>
      <w:r w:rsidR="00F32B28">
        <w:rPr>
          <w:rtl/>
        </w:rPr>
        <w:t xml:space="preserve"> </w:t>
      </w:r>
      <w:r w:rsidR="00F32B28" w:rsidRPr="00F32B28">
        <w:rPr>
          <w:rtl/>
        </w:rPr>
        <w:t>من</w:t>
      </w:r>
      <w:r w:rsidR="00F32B28">
        <w:rPr>
          <w:rtl/>
        </w:rPr>
        <w:t xml:space="preserve"> </w:t>
      </w:r>
      <w:r w:rsidR="00F32B28" w:rsidRPr="00F32B28">
        <w:rPr>
          <w:rtl/>
        </w:rPr>
        <w:t>العذر</w:t>
      </w:r>
      <w:r w:rsidR="00F32B28">
        <w:rPr>
          <w:rtl/>
        </w:rPr>
        <w:t xml:space="preserve"> </w:t>
      </w:r>
      <w:r w:rsidR="00F32B28" w:rsidRPr="00F32B28">
        <w:rPr>
          <w:rtl/>
        </w:rPr>
        <w:t>المخفف</w:t>
      </w:r>
      <w:r w:rsidR="00F32B28">
        <w:rPr>
          <w:rtl/>
        </w:rPr>
        <w:t xml:space="preserve"> </w:t>
      </w:r>
      <w:r w:rsidR="00F32B28" w:rsidRPr="00F32B28">
        <w:rPr>
          <w:rtl/>
        </w:rPr>
        <w:t>الوارد</w:t>
      </w:r>
      <w:r w:rsidR="00F32B28">
        <w:rPr>
          <w:rtl/>
        </w:rPr>
        <w:t xml:space="preserve"> </w:t>
      </w:r>
      <w:r w:rsidR="00F32B28" w:rsidRPr="00F32B28">
        <w:rPr>
          <w:rtl/>
        </w:rPr>
        <w:t>في</w:t>
      </w:r>
      <w:r w:rsidR="00F32B28">
        <w:rPr>
          <w:rtl/>
        </w:rPr>
        <w:t xml:space="preserve"> </w:t>
      </w:r>
      <w:r w:rsidR="00F32B28" w:rsidRPr="00F32B28">
        <w:rPr>
          <w:rtl/>
        </w:rPr>
        <w:t>المادة</w:t>
      </w:r>
      <w:r w:rsidR="00F32B28">
        <w:rPr>
          <w:rtl/>
        </w:rPr>
        <w:t xml:space="preserve"> </w:t>
      </w:r>
      <w:r w:rsidR="00F32B28" w:rsidRPr="00F32B28">
        <w:rPr>
          <w:rtl/>
        </w:rPr>
        <w:t>(98)</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الإقدام</w:t>
      </w:r>
      <w:r w:rsidR="00F32B28">
        <w:rPr>
          <w:rtl/>
        </w:rPr>
        <w:t xml:space="preserve"> </w:t>
      </w:r>
      <w:r w:rsidR="00F32B28" w:rsidRPr="00F32B28">
        <w:rPr>
          <w:rtl/>
        </w:rPr>
        <w:t>على</w:t>
      </w:r>
      <w:r w:rsidR="00F32B28">
        <w:rPr>
          <w:rtl/>
        </w:rPr>
        <w:t xml:space="preserve"> </w:t>
      </w:r>
      <w:r w:rsidR="00F32B28" w:rsidRPr="00F32B28">
        <w:rPr>
          <w:rtl/>
        </w:rPr>
        <w:t>الجريمة</w:t>
      </w:r>
      <w:r w:rsidR="00F32B28">
        <w:rPr>
          <w:rtl/>
        </w:rPr>
        <w:t xml:space="preserve"> </w:t>
      </w:r>
      <w:r w:rsidR="00F32B28" w:rsidRPr="00F32B28">
        <w:rPr>
          <w:rtl/>
        </w:rPr>
        <w:t>تحت</w:t>
      </w:r>
      <w:r w:rsidR="00F32B28">
        <w:rPr>
          <w:rtl/>
        </w:rPr>
        <w:t xml:space="preserve"> </w:t>
      </w:r>
      <w:r w:rsidR="00F32B28" w:rsidRPr="00F32B28">
        <w:rPr>
          <w:rtl/>
        </w:rPr>
        <w:t>تأثير</w:t>
      </w:r>
      <w:r w:rsidR="00F32B28">
        <w:rPr>
          <w:rtl/>
        </w:rPr>
        <w:t xml:space="preserve"> </w:t>
      </w:r>
      <w:r w:rsidR="00F32B28" w:rsidRPr="00F32B28">
        <w:rPr>
          <w:rtl/>
        </w:rPr>
        <w:t>سورة</w:t>
      </w:r>
      <w:r w:rsidR="00F32B28">
        <w:rPr>
          <w:rtl/>
        </w:rPr>
        <w:t xml:space="preserve"> </w:t>
      </w:r>
      <w:r w:rsidR="00F32B28" w:rsidRPr="00F32B28">
        <w:rPr>
          <w:rtl/>
        </w:rPr>
        <w:t>الغضب</w:t>
      </w:r>
      <w:r w:rsidR="00F32B28">
        <w:rPr>
          <w:rtl/>
        </w:rPr>
        <w:t xml:space="preserve"> </w:t>
      </w:r>
      <w:r w:rsidR="00F32B28" w:rsidRPr="00F32B28">
        <w:rPr>
          <w:rtl/>
        </w:rPr>
        <w:t>الشديد.</w:t>
      </w:r>
      <w:r w:rsidR="00F32B28">
        <w:rPr>
          <w:rtl/>
        </w:rPr>
        <w:t xml:space="preserve"> </w:t>
      </w:r>
      <w:r w:rsidR="00F32B28" w:rsidRPr="00F32B28">
        <w:rPr>
          <w:rtl/>
        </w:rPr>
        <w:t>ورغم</w:t>
      </w:r>
      <w:r w:rsidR="00F32B28">
        <w:rPr>
          <w:rtl/>
        </w:rPr>
        <w:t xml:space="preserve"> </w:t>
      </w:r>
      <w:r w:rsidR="00F32B28" w:rsidRPr="00F32B28">
        <w:rPr>
          <w:rtl/>
        </w:rPr>
        <w:t>أن</w:t>
      </w:r>
      <w:r w:rsidR="00F32B28">
        <w:rPr>
          <w:rtl/>
        </w:rPr>
        <w:t xml:space="preserve"> </w:t>
      </w:r>
      <w:r w:rsidR="00F32B28" w:rsidRPr="00F32B28">
        <w:rPr>
          <w:rtl/>
        </w:rPr>
        <w:t>هذا</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يعد</w:t>
      </w:r>
      <w:r w:rsidR="00F32B28">
        <w:rPr>
          <w:rtl/>
        </w:rPr>
        <w:t xml:space="preserve"> </w:t>
      </w:r>
      <w:r w:rsidR="00F32B28" w:rsidRPr="00F32B28">
        <w:rPr>
          <w:rtl/>
        </w:rPr>
        <w:t>خطوة</w:t>
      </w:r>
      <w:r w:rsidR="00F32B28">
        <w:rPr>
          <w:rtl/>
        </w:rPr>
        <w:t xml:space="preserve"> </w:t>
      </w:r>
      <w:r w:rsidR="00F32B28" w:rsidRPr="00F32B28">
        <w:rPr>
          <w:rtl/>
        </w:rPr>
        <w:t>إيجابية</w:t>
      </w:r>
      <w:r w:rsidR="00F32B28">
        <w:rPr>
          <w:rtl/>
        </w:rPr>
        <w:t xml:space="preserve"> </w:t>
      </w:r>
      <w:r w:rsidR="00F32B28" w:rsidRPr="00F32B28">
        <w:rPr>
          <w:rtl/>
        </w:rPr>
        <w:t>تساهم</w:t>
      </w:r>
      <w:r w:rsidR="00F32B28">
        <w:rPr>
          <w:rtl/>
        </w:rPr>
        <w:t xml:space="preserve"> </w:t>
      </w:r>
      <w:r w:rsidR="00F32B28" w:rsidRPr="00F32B28">
        <w:rPr>
          <w:rtl/>
        </w:rPr>
        <w:t>في</w:t>
      </w:r>
      <w:r w:rsidR="00F32B28">
        <w:rPr>
          <w:rtl/>
        </w:rPr>
        <w:t xml:space="preserve"> </w:t>
      </w:r>
      <w:r w:rsidR="00F32B28" w:rsidRPr="00F32B28">
        <w:rPr>
          <w:rtl/>
        </w:rPr>
        <w:t>رفع</w:t>
      </w:r>
      <w:r w:rsidR="00F32B28">
        <w:rPr>
          <w:rtl/>
        </w:rPr>
        <w:t xml:space="preserve"> </w:t>
      </w:r>
      <w:r w:rsidR="00F32B28" w:rsidRPr="00F32B28">
        <w:rPr>
          <w:rtl/>
        </w:rPr>
        <w:t>جانب</w:t>
      </w:r>
      <w:r w:rsidR="00F32B28">
        <w:rPr>
          <w:rtl/>
        </w:rPr>
        <w:t xml:space="preserve"> </w:t>
      </w:r>
      <w:r w:rsidR="00F32B28" w:rsidRPr="00F32B28">
        <w:rPr>
          <w:rtl/>
        </w:rPr>
        <w:t>من</w:t>
      </w:r>
      <w:r w:rsidR="00F32B28">
        <w:rPr>
          <w:rtl/>
        </w:rPr>
        <w:t xml:space="preserve"> </w:t>
      </w:r>
      <w:r w:rsidR="00F32B28" w:rsidRPr="00F32B28">
        <w:rPr>
          <w:rtl/>
        </w:rPr>
        <w:t>التمييز</w:t>
      </w:r>
      <w:r w:rsidR="00F32B28">
        <w:rPr>
          <w:rtl/>
        </w:rPr>
        <w:t xml:space="preserve"> </w:t>
      </w:r>
      <w:r w:rsidR="00F32B28" w:rsidRPr="00F32B28">
        <w:rPr>
          <w:rtl/>
        </w:rPr>
        <w:t>الذي</w:t>
      </w:r>
      <w:r w:rsidR="00F32B28">
        <w:rPr>
          <w:rtl/>
        </w:rPr>
        <w:t xml:space="preserve"> </w:t>
      </w:r>
      <w:r w:rsidR="00F32B28" w:rsidRPr="00F32B28">
        <w:rPr>
          <w:rtl/>
        </w:rPr>
        <w:t>تعاني</w:t>
      </w:r>
      <w:r w:rsidR="00F32B28">
        <w:rPr>
          <w:rtl/>
        </w:rPr>
        <w:t xml:space="preserve"> </w:t>
      </w:r>
      <w:r w:rsidR="00F32B28" w:rsidRPr="00F32B28">
        <w:rPr>
          <w:rtl/>
        </w:rPr>
        <w:t>منه</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التشريعات</w:t>
      </w:r>
      <w:r w:rsidR="00F32B28">
        <w:rPr>
          <w:rtl/>
        </w:rPr>
        <w:t xml:space="preserve"> </w:t>
      </w:r>
      <w:r w:rsidR="00F32B28" w:rsidRPr="00F32B28">
        <w:rPr>
          <w:rtl/>
        </w:rPr>
        <w:t>العقابية،</w:t>
      </w:r>
      <w:r w:rsidR="00F32B28">
        <w:rPr>
          <w:rtl/>
        </w:rPr>
        <w:t xml:space="preserve"> </w:t>
      </w:r>
      <w:r w:rsidR="00F32B28" w:rsidRPr="00F32B28">
        <w:rPr>
          <w:rtl/>
        </w:rPr>
        <w:t>إلا</w:t>
      </w:r>
      <w:r w:rsidR="00F32B28">
        <w:rPr>
          <w:rtl/>
        </w:rPr>
        <w:t xml:space="preserve"> </w:t>
      </w:r>
      <w:r w:rsidR="00F32B28" w:rsidRPr="00F32B28">
        <w:rPr>
          <w:rtl/>
        </w:rPr>
        <w:t>أنه</w:t>
      </w:r>
      <w:r w:rsidR="00F32B28">
        <w:rPr>
          <w:rtl/>
        </w:rPr>
        <w:t xml:space="preserve"> </w:t>
      </w:r>
      <w:r w:rsidR="00F32B28" w:rsidRPr="00F32B28">
        <w:rPr>
          <w:rtl/>
        </w:rPr>
        <w:t>لم</w:t>
      </w:r>
      <w:r w:rsidR="00F32B28">
        <w:rPr>
          <w:rtl/>
        </w:rPr>
        <w:t xml:space="preserve"> </w:t>
      </w:r>
      <w:r w:rsidR="00F32B28" w:rsidRPr="00F32B28">
        <w:rPr>
          <w:rtl/>
        </w:rPr>
        <w:t>يلغِ</w:t>
      </w:r>
      <w:r w:rsidR="00F32B28">
        <w:rPr>
          <w:rtl/>
        </w:rPr>
        <w:t xml:space="preserve"> </w:t>
      </w:r>
      <w:r w:rsidR="00F32B28" w:rsidRPr="00F32B28">
        <w:rPr>
          <w:rtl/>
        </w:rPr>
        <w:t>المواد</w:t>
      </w:r>
      <w:r w:rsidR="00F32B28">
        <w:rPr>
          <w:rtl/>
        </w:rPr>
        <w:t xml:space="preserve"> </w:t>
      </w:r>
      <w:r w:rsidR="00F32B28" w:rsidRPr="00F32B28">
        <w:rPr>
          <w:rtl/>
        </w:rPr>
        <w:t>الأخرى</w:t>
      </w:r>
      <w:r w:rsidR="00F32B28">
        <w:rPr>
          <w:rtl/>
        </w:rPr>
        <w:t xml:space="preserve"> </w:t>
      </w:r>
      <w:r w:rsidR="00F32B28" w:rsidRPr="00F32B28">
        <w:rPr>
          <w:rtl/>
        </w:rPr>
        <w:t>التي</w:t>
      </w:r>
      <w:r w:rsidR="00F32B28">
        <w:rPr>
          <w:rtl/>
        </w:rPr>
        <w:t xml:space="preserve"> </w:t>
      </w:r>
      <w:r w:rsidR="00F32B28" w:rsidRPr="00F32B28">
        <w:rPr>
          <w:rtl/>
        </w:rPr>
        <w:t>تشكل</w:t>
      </w:r>
      <w:r w:rsidR="00F32B28">
        <w:rPr>
          <w:rtl/>
        </w:rPr>
        <w:t xml:space="preserve"> </w:t>
      </w:r>
      <w:r w:rsidR="00F32B28" w:rsidRPr="00F32B28">
        <w:rPr>
          <w:rtl/>
        </w:rPr>
        <w:t>الأرضية</w:t>
      </w:r>
      <w:r w:rsidR="00F32B28">
        <w:rPr>
          <w:rtl/>
        </w:rPr>
        <w:t xml:space="preserve"> </w:t>
      </w:r>
      <w:r w:rsidR="00F32B28" w:rsidRPr="00F32B28">
        <w:rPr>
          <w:rtl/>
        </w:rPr>
        <w:t>القانونية</w:t>
      </w:r>
      <w:r w:rsidR="00F32B28">
        <w:rPr>
          <w:rtl/>
        </w:rPr>
        <w:t xml:space="preserve"> </w:t>
      </w:r>
      <w:r w:rsidR="00F32B28" w:rsidRPr="00F32B28">
        <w:rPr>
          <w:rtl/>
        </w:rPr>
        <w:t>التي</w:t>
      </w:r>
      <w:r w:rsidR="00F32B28">
        <w:rPr>
          <w:rtl/>
        </w:rPr>
        <w:t xml:space="preserve"> </w:t>
      </w:r>
      <w:r w:rsidR="00F32B28" w:rsidRPr="00F32B28">
        <w:rPr>
          <w:rtl/>
        </w:rPr>
        <w:t>يتم</w:t>
      </w:r>
      <w:r w:rsidR="00F32B28">
        <w:rPr>
          <w:rtl/>
        </w:rPr>
        <w:t xml:space="preserve"> </w:t>
      </w:r>
      <w:r w:rsidR="00F32B28" w:rsidRPr="00F32B28">
        <w:rPr>
          <w:rtl/>
        </w:rPr>
        <w:t>اللجوء</w:t>
      </w:r>
      <w:r w:rsidR="00F32B28">
        <w:rPr>
          <w:rtl/>
        </w:rPr>
        <w:t xml:space="preserve"> </w:t>
      </w:r>
      <w:r w:rsidR="00F32B28" w:rsidRPr="00F32B28">
        <w:rPr>
          <w:rtl/>
        </w:rPr>
        <w:t>إليها</w:t>
      </w:r>
      <w:r w:rsidR="00F32B28">
        <w:rPr>
          <w:rtl/>
        </w:rPr>
        <w:t xml:space="preserve"> </w:t>
      </w:r>
      <w:r w:rsidR="00F32B28" w:rsidRPr="00F32B28">
        <w:rPr>
          <w:rtl/>
        </w:rPr>
        <w:t>عادةً</w:t>
      </w:r>
      <w:r w:rsidR="00F32B28">
        <w:rPr>
          <w:rtl/>
        </w:rPr>
        <w:t xml:space="preserve"> </w:t>
      </w:r>
      <w:r w:rsidR="00F32B28" w:rsidRPr="00F32B28">
        <w:rPr>
          <w:rtl/>
        </w:rPr>
        <w:t>أمام</w:t>
      </w:r>
      <w:r w:rsidR="00F32B28">
        <w:rPr>
          <w:rtl/>
        </w:rPr>
        <w:t xml:space="preserve"> </w:t>
      </w:r>
      <w:r w:rsidR="00F32B28" w:rsidRPr="00F32B28">
        <w:rPr>
          <w:rtl/>
        </w:rPr>
        <w:t>القضاء</w:t>
      </w:r>
      <w:r w:rsidR="00F32B28">
        <w:rPr>
          <w:rtl/>
        </w:rPr>
        <w:t xml:space="preserve"> </w:t>
      </w:r>
      <w:r w:rsidR="00F32B28" w:rsidRPr="00F32B28">
        <w:rPr>
          <w:rtl/>
        </w:rPr>
        <w:t>لتخفيف</w:t>
      </w:r>
      <w:r w:rsidR="00F32B28">
        <w:rPr>
          <w:rtl/>
        </w:rPr>
        <w:t xml:space="preserve"> </w:t>
      </w:r>
      <w:r w:rsidR="00F32B28" w:rsidRPr="00F32B28">
        <w:rPr>
          <w:rtl/>
        </w:rPr>
        <w:t>العقوبة،</w:t>
      </w:r>
      <w:r w:rsidR="00F32B28">
        <w:rPr>
          <w:rtl/>
        </w:rPr>
        <w:t xml:space="preserve"> </w:t>
      </w:r>
      <w:r w:rsidR="00F32B28" w:rsidRPr="00F32B28">
        <w:rPr>
          <w:rtl/>
        </w:rPr>
        <w:t>كإسقاط</w:t>
      </w:r>
      <w:r w:rsidR="00F32B28">
        <w:rPr>
          <w:rtl/>
        </w:rPr>
        <w:t xml:space="preserve"> </w:t>
      </w:r>
      <w:r w:rsidR="00F32B28" w:rsidRPr="00F32B28">
        <w:rPr>
          <w:rtl/>
        </w:rPr>
        <w:t>الحق</w:t>
      </w:r>
      <w:r w:rsidR="00F32B28">
        <w:rPr>
          <w:rtl/>
        </w:rPr>
        <w:t xml:space="preserve"> </w:t>
      </w:r>
      <w:r w:rsidR="00F32B28" w:rsidRPr="00F32B28">
        <w:rPr>
          <w:rtl/>
        </w:rPr>
        <w:t>الشخصي</w:t>
      </w:r>
      <w:r w:rsidR="00F32B28">
        <w:rPr>
          <w:rtl/>
        </w:rPr>
        <w:t xml:space="preserve"> </w:t>
      </w:r>
      <w:r w:rsidR="00F32B28" w:rsidRPr="00F32B28">
        <w:rPr>
          <w:rtl/>
        </w:rPr>
        <w:t>عن</w:t>
      </w:r>
      <w:r w:rsidR="00F32B28">
        <w:rPr>
          <w:rtl/>
        </w:rPr>
        <w:t xml:space="preserve"> </w:t>
      </w:r>
      <w:r w:rsidR="00F32B28" w:rsidRPr="00F32B28">
        <w:rPr>
          <w:rtl/>
        </w:rPr>
        <w:t>الجاني،</w:t>
      </w:r>
      <w:r w:rsidR="00F32B28">
        <w:rPr>
          <w:rtl/>
        </w:rPr>
        <w:t xml:space="preserve"> </w:t>
      </w:r>
      <w:r w:rsidR="00F32B28" w:rsidRPr="00F32B28">
        <w:rPr>
          <w:rtl/>
        </w:rPr>
        <w:t>وغيرها</w:t>
      </w:r>
      <w:r w:rsidR="00F32B28">
        <w:rPr>
          <w:rtl/>
        </w:rPr>
        <w:t xml:space="preserve"> </w:t>
      </w:r>
      <w:r w:rsidR="00F32B28" w:rsidRPr="00F32B28">
        <w:rPr>
          <w:rtl/>
        </w:rPr>
        <w:t>من</w:t>
      </w:r>
      <w:r w:rsidR="00F32B28">
        <w:rPr>
          <w:rtl/>
        </w:rPr>
        <w:t xml:space="preserve"> </w:t>
      </w:r>
      <w:r w:rsidR="00F32B28" w:rsidRPr="00F32B28">
        <w:rPr>
          <w:rtl/>
        </w:rPr>
        <w:t>الأسباب</w:t>
      </w:r>
      <w:r w:rsidR="00F32B28">
        <w:rPr>
          <w:rtl/>
        </w:rPr>
        <w:t xml:space="preserve"> </w:t>
      </w:r>
      <w:r w:rsidR="00F32B28" w:rsidRPr="00F32B28">
        <w:rPr>
          <w:rtl/>
        </w:rPr>
        <w:t>القضائية</w:t>
      </w:r>
      <w:r w:rsidR="00F32B28">
        <w:rPr>
          <w:rtl/>
        </w:rPr>
        <w:t xml:space="preserve"> </w:t>
      </w:r>
      <w:r w:rsidR="00F32B28" w:rsidRPr="00F32B28">
        <w:rPr>
          <w:rtl/>
        </w:rPr>
        <w:t>المخففة</w:t>
      </w:r>
      <w:r w:rsidR="00F32B28">
        <w:rPr>
          <w:rtl/>
        </w:rPr>
        <w:t xml:space="preserve"> </w:t>
      </w:r>
      <w:r w:rsidR="00F32B28" w:rsidRPr="00F32B28">
        <w:rPr>
          <w:rtl/>
        </w:rPr>
        <w:t>للعقوبة</w:t>
      </w:r>
      <w:r w:rsidR="00F32B28">
        <w:rPr>
          <w:rtl/>
        </w:rPr>
        <w:t xml:space="preserve"> </w:t>
      </w:r>
      <w:r w:rsidR="00F32B28" w:rsidRPr="00F32B28">
        <w:rPr>
          <w:rtl/>
        </w:rPr>
        <w:t>التي</w:t>
      </w:r>
      <w:r w:rsidR="00F32B28">
        <w:rPr>
          <w:rtl/>
        </w:rPr>
        <w:t xml:space="preserve"> </w:t>
      </w:r>
      <w:r w:rsidR="00F32B28" w:rsidRPr="00F32B28">
        <w:rPr>
          <w:rtl/>
        </w:rPr>
        <w:t>تُمنح</w:t>
      </w:r>
      <w:r w:rsidR="00F32B28">
        <w:rPr>
          <w:rtl/>
        </w:rPr>
        <w:t xml:space="preserve"> </w:t>
      </w:r>
      <w:r w:rsidR="00F32B28" w:rsidRPr="00F32B28">
        <w:rPr>
          <w:rtl/>
        </w:rPr>
        <w:t>بالاستناد</w:t>
      </w:r>
      <w:r w:rsidR="00F32B28">
        <w:rPr>
          <w:rtl/>
        </w:rPr>
        <w:t xml:space="preserve"> </w:t>
      </w:r>
      <w:r w:rsidR="00F32B28" w:rsidRPr="00F32B28">
        <w:rPr>
          <w:rtl/>
        </w:rPr>
        <w:t>إلى</w:t>
      </w:r>
      <w:r w:rsidR="00F32B28">
        <w:rPr>
          <w:rtl/>
        </w:rPr>
        <w:t xml:space="preserve"> </w:t>
      </w:r>
      <w:r w:rsidR="00F32B28" w:rsidRPr="00F32B28">
        <w:rPr>
          <w:rtl/>
        </w:rPr>
        <w:t>السلطة</w:t>
      </w:r>
      <w:r w:rsidR="00F32B28">
        <w:rPr>
          <w:rtl/>
        </w:rPr>
        <w:t xml:space="preserve"> </w:t>
      </w:r>
      <w:r w:rsidR="00F32B28" w:rsidRPr="00F32B28">
        <w:rPr>
          <w:rtl/>
        </w:rPr>
        <w:t>التقديرية</w:t>
      </w:r>
      <w:r w:rsidR="00F32B28">
        <w:rPr>
          <w:rtl/>
        </w:rPr>
        <w:t xml:space="preserve"> </w:t>
      </w:r>
      <w:r w:rsidR="00F32B28" w:rsidRPr="00F32B28">
        <w:rPr>
          <w:rtl/>
        </w:rPr>
        <w:t>للقاضي.</w:t>
      </w:r>
    </w:p>
    <w:p w:rsidR="00F32B28" w:rsidRPr="00F32B28" w:rsidRDefault="00DF6B4E" w:rsidP="00DF6B4E">
      <w:pPr>
        <w:pStyle w:val="SingleTxt"/>
        <w:rPr>
          <w:rtl/>
        </w:rPr>
      </w:pPr>
      <w:r>
        <w:rPr>
          <w:rFonts w:hint="cs"/>
          <w:rtl/>
        </w:rPr>
        <w:t>41 -</w:t>
      </w:r>
      <w:r>
        <w:rPr>
          <w:rFonts w:hint="cs"/>
          <w:rtl/>
        </w:rPr>
        <w:tab/>
      </w:r>
      <w:r w:rsidR="00F32B28" w:rsidRPr="00F32B28">
        <w:rPr>
          <w:rtl/>
        </w:rPr>
        <w:t>أما</w:t>
      </w:r>
      <w:r w:rsidR="00F32B28">
        <w:rPr>
          <w:rtl/>
        </w:rPr>
        <w:t xml:space="preserve"> </w:t>
      </w:r>
      <w:r w:rsidR="00F32B28" w:rsidRPr="00F32B28">
        <w:rPr>
          <w:rtl/>
        </w:rPr>
        <w:t>مشروع</w:t>
      </w:r>
      <w:r w:rsidR="00F32B28">
        <w:rPr>
          <w:rtl/>
        </w:rPr>
        <w:t xml:space="preserve"> </w:t>
      </w:r>
      <w:r w:rsidR="00F32B28" w:rsidRPr="00F32B28">
        <w:rPr>
          <w:rtl/>
        </w:rPr>
        <w:t>قانون</w:t>
      </w:r>
      <w:r w:rsidR="00F32B28">
        <w:rPr>
          <w:rtl/>
        </w:rPr>
        <w:t xml:space="preserve"> </w:t>
      </w:r>
      <w:r w:rsidR="00F32B28" w:rsidRPr="00F32B28">
        <w:rPr>
          <w:rtl/>
        </w:rPr>
        <w:t>العقوبات،</w:t>
      </w:r>
      <w:r w:rsidR="00F32B28">
        <w:rPr>
          <w:rtl/>
        </w:rPr>
        <w:t xml:space="preserve"> </w:t>
      </w:r>
      <w:r w:rsidR="00F32B28" w:rsidRPr="00F32B28">
        <w:rPr>
          <w:rtl/>
        </w:rPr>
        <w:t>فيلغي</w:t>
      </w:r>
      <w:r w:rsidR="00F32B28">
        <w:rPr>
          <w:rtl/>
        </w:rPr>
        <w:t xml:space="preserve"> </w:t>
      </w:r>
      <w:r w:rsidR="00F32B28" w:rsidRPr="00F32B28">
        <w:rPr>
          <w:rtl/>
        </w:rPr>
        <w:t>العمل</w:t>
      </w:r>
      <w:r w:rsidR="00F32B28">
        <w:rPr>
          <w:rtl/>
        </w:rPr>
        <w:t xml:space="preserve"> </w:t>
      </w:r>
      <w:r w:rsidR="00F32B28" w:rsidRPr="00F32B28">
        <w:rPr>
          <w:rtl/>
        </w:rPr>
        <w:t>تماماً</w:t>
      </w:r>
      <w:r w:rsidR="00F32B28">
        <w:rPr>
          <w:rtl/>
        </w:rPr>
        <w:t xml:space="preserve"> </w:t>
      </w:r>
      <w:r w:rsidR="00F32B28" w:rsidRPr="00F32B28">
        <w:rPr>
          <w:rtl/>
        </w:rPr>
        <w:t>بالأعذار</w:t>
      </w:r>
      <w:r w:rsidR="00F32B28">
        <w:rPr>
          <w:rtl/>
        </w:rPr>
        <w:t xml:space="preserve"> </w:t>
      </w:r>
      <w:r w:rsidR="00F32B28" w:rsidRPr="00F32B28">
        <w:rPr>
          <w:rtl/>
        </w:rPr>
        <w:t>المحلة</w:t>
      </w:r>
      <w:r w:rsidR="00F32B28">
        <w:rPr>
          <w:rtl/>
        </w:rPr>
        <w:t xml:space="preserve"> </w:t>
      </w:r>
      <w:r w:rsidR="00F32B28" w:rsidRPr="00F32B28">
        <w:rPr>
          <w:rtl/>
        </w:rPr>
        <w:t>فيما</w:t>
      </w:r>
      <w:r w:rsidR="00F32B28">
        <w:rPr>
          <w:rtl/>
        </w:rPr>
        <w:t xml:space="preserve"> </w:t>
      </w:r>
      <w:r w:rsidR="00F32B28" w:rsidRPr="00F32B28">
        <w:rPr>
          <w:rtl/>
        </w:rPr>
        <w:t>يتعلق</w:t>
      </w:r>
      <w:r w:rsidR="00F32B28">
        <w:rPr>
          <w:rtl/>
        </w:rPr>
        <w:t xml:space="preserve"> </w:t>
      </w:r>
      <w:r w:rsidR="00F32B28" w:rsidRPr="00F32B28">
        <w:rPr>
          <w:rtl/>
        </w:rPr>
        <w:t>بجرائم</w:t>
      </w:r>
      <w:r w:rsidR="00F32B28">
        <w:rPr>
          <w:rtl/>
        </w:rPr>
        <w:t xml:space="preserve"> </w:t>
      </w:r>
      <w:r w:rsidR="00F32B28" w:rsidRPr="00F32B28">
        <w:rPr>
          <w:rtl/>
        </w:rPr>
        <w:t>قتل</w:t>
      </w:r>
      <w:r w:rsidR="00F32B28">
        <w:rPr>
          <w:rtl/>
        </w:rPr>
        <w:t xml:space="preserve"> </w:t>
      </w:r>
      <w:r w:rsidR="00F32B28" w:rsidRPr="00F32B28">
        <w:rPr>
          <w:rtl/>
        </w:rPr>
        <w:t>النساء،</w:t>
      </w:r>
      <w:r w:rsidR="00F32B28">
        <w:rPr>
          <w:rtl/>
        </w:rPr>
        <w:t xml:space="preserve"> </w:t>
      </w:r>
      <w:r w:rsidR="00F32B28" w:rsidRPr="00F32B28">
        <w:rPr>
          <w:rtl/>
        </w:rPr>
        <w:t>ويمنح</w:t>
      </w:r>
      <w:r w:rsidR="00F32B28">
        <w:rPr>
          <w:rtl/>
        </w:rPr>
        <w:t xml:space="preserve"> </w:t>
      </w:r>
      <w:r w:rsidR="00F32B28" w:rsidRPr="00F32B28">
        <w:rPr>
          <w:rtl/>
        </w:rPr>
        <w:t>الزوجة،</w:t>
      </w:r>
      <w:r w:rsidR="00F32B28">
        <w:rPr>
          <w:rtl/>
        </w:rPr>
        <w:t xml:space="preserve"> </w:t>
      </w:r>
      <w:r w:rsidR="00F32B28" w:rsidRPr="00F32B28">
        <w:rPr>
          <w:rtl/>
        </w:rPr>
        <w:t>كما</w:t>
      </w:r>
      <w:r w:rsidR="00F32B28">
        <w:rPr>
          <w:rtl/>
        </w:rPr>
        <w:t xml:space="preserve"> </w:t>
      </w:r>
      <w:r w:rsidR="00F32B28" w:rsidRPr="00F32B28">
        <w:rPr>
          <w:rtl/>
        </w:rPr>
        <w:t>منح</w:t>
      </w:r>
      <w:r w:rsidR="00F32B28">
        <w:rPr>
          <w:rtl/>
        </w:rPr>
        <w:t xml:space="preserve"> </w:t>
      </w:r>
      <w:r w:rsidR="00F32B28" w:rsidRPr="00F32B28">
        <w:rPr>
          <w:rtl/>
        </w:rPr>
        <w:t>الزوج،</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الاستفادة</w:t>
      </w:r>
      <w:r w:rsidR="00F32B28">
        <w:rPr>
          <w:rtl/>
        </w:rPr>
        <w:t xml:space="preserve"> </w:t>
      </w:r>
      <w:r w:rsidR="00F32B28" w:rsidRPr="00F32B28">
        <w:rPr>
          <w:rtl/>
        </w:rPr>
        <w:t>من</w:t>
      </w:r>
      <w:r w:rsidR="00F32B28">
        <w:rPr>
          <w:rtl/>
        </w:rPr>
        <w:t xml:space="preserve"> </w:t>
      </w:r>
      <w:r w:rsidR="00F32B28" w:rsidRPr="00F32B28">
        <w:rPr>
          <w:rtl/>
        </w:rPr>
        <w:t>العذر</w:t>
      </w:r>
      <w:r w:rsidR="00F32B28">
        <w:rPr>
          <w:rtl/>
        </w:rPr>
        <w:t xml:space="preserve"> </w:t>
      </w:r>
      <w:r w:rsidR="00F32B28" w:rsidRPr="00F32B28">
        <w:rPr>
          <w:rtl/>
        </w:rPr>
        <w:t>المخفف</w:t>
      </w:r>
      <w:r w:rsidR="00F32B28">
        <w:rPr>
          <w:rtl/>
        </w:rPr>
        <w:t xml:space="preserve"> </w:t>
      </w:r>
      <w:r w:rsidR="00F32B28" w:rsidRPr="00F32B28">
        <w:rPr>
          <w:rtl/>
        </w:rPr>
        <w:t>إذا</w:t>
      </w:r>
      <w:r w:rsidR="00F32B28">
        <w:rPr>
          <w:rtl/>
        </w:rPr>
        <w:t xml:space="preserve"> </w:t>
      </w:r>
      <w:r w:rsidR="00F32B28" w:rsidRPr="00F32B28">
        <w:rPr>
          <w:rtl/>
        </w:rPr>
        <w:t>ما</w:t>
      </w:r>
      <w:r w:rsidR="00F32B28">
        <w:rPr>
          <w:rtl/>
        </w:rPr>
        <w:t xml:space="preserve"> </w:t>
      </w:r>
      <w:r w:rsidR="00F32B28" w:rsidRPr="00F32B28">
        <w:rPr>
          <w:rtl/>
        </w:rPr>
        <w:t>فاجأت</w:t>
      </w:r>
      <w:r w:rsidR="00F32B28">
        <w:rPr>
          <w:rtl/>
        </w:rPr>
        <w:t xml:space="preserve"> </w:t>
      </w:r>
      <w:r w:rsidR="00F32B28" w:rsidRPr="00F32B28">
        <w:rPr>
          <w:rtl/>
        </w:rPr>
        <w:t>زوجها</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التلبس</w:t>
      </w:r>
      <w:r w:rsidR="00F32B28">
        <w:rPr>
          <w:rtl/>
        </w:rPr>
        <w:t xml:space="preserve"> </w:t>
      </w:r>
      <w:r w:rsidR="00F32B28" w:rsidRPr="00F32B28">
        <w:rPr>
          <w:rtl/>
        </w:rPr>
        <w:t>بجريمة</w:t>
      </w:r>
      <w:r w:rsidR="00F32B28">
        <w:rPr>
          <w:rtl/>
        </w:rPr>
        <w:t xml:space="preserve"> </w:t>
      </w:r>
      <w:r w:rsidR="00F32B28" w:rsidRPr="00F32B28">
        <w:rPr>
          <w:rtl/>
        </w:rPr>
        <w:t>الزنا</w:t>
      </w:r>
      <w:r w:rsidR="00F32B28">
        <w:rPr>
          <w:rtl/>
        </w:rPr>
        <w:t xml:space="preserve"> </w:t>
      </w:r>
      <w:r w:rsidR="00F32B28" w:rsidRPr="00F32B28">
        <w:rPr>
          <w:rtl/>
        </w:rPr>
        <w:t>أو</w:t>
      </w:r>
      <w:r w:rsidR="00F32B28">
        <w:rPr>
          <w:rtl/>
        </w:rPr>
        <w:t xml:space="preserve"> </w:t>
      </w:r>
      <w:r w:rsidR="00F32B28" w:rsidRPr="00F32B28">
        <w:rPr>
          <w:rtl/>
        </w:rPr>
        <w:t>وجوده</w:t>
      </w:r>
      <w:r w:rsidR="00F32B28">
        <w:rPr>
          <w:rtl/>
        </w:rPr>
        <w:t xml:space="preserve"> </w:t>
      </w:r>
      <w:r w:rsidR="00F32B28" w:rsidRPr="00F32B28">
        <w:rPr>
          <w:rtl/>
        </w:rPr>
        <w:t>في</w:t>
      </w:r>
      <w:r w:rsidR="00F32B28">
        <w:rPr>
          <w:rtl/>
        </w:rPr>
        <w:t xml:space="preserve"> </w:t>
      </w:r>
      <w:r w:rsidR="00F32B28" w:rsidRPr="00F32B28">
        <w:rPr>
          <w:rtl/>
        </w:rPr>
        <w:t>فراش</w:t>
      </w:r>
      <w:r w:rsidR="00F32B28">
        <w:rPr>
          <w:rtl/>
        </w:rPr>
        <w:t xml:space="preserve"> </w:t>
      </w:r>
      <w:r w:rsidR="00F32B28" w:rsidRPr="00F32B28">
        <w:rPr>
          <w:rtl/>
        </w:rPr>
        <w:t>غير</w:t>
      </w:r>
      <w:r w:rsidR="00F32B28">
        <w:rPr>
          <w:rtl/>
        </w:rPr>
        <w:t xml:space="preserve"> </w:t>
      </w:r>
      <w:r w:rsidR="00F32B28" w:rsidRPr="00F32B28">
        <w:rPr>
          <w:rtl/>
        </w:rPr>
        <w:t>مشروع</w:t>
      </w:r>
      <w:r w:rsidR="00F32B28">
        <w:rPr>
          <w:rtl/>
        </w:rPr>
        <w:t xml:space="preserve"> </w:t>
      </w:r>
      <w:r w:rsidR="00F32B28" w:rsidRPr="00F32B28">
        <w:rPr>
          <w:rtl/>
        </w:rPr>
        <w:t>وأقدمت</w:t>
      </w:r>
      <w:r w:rsidR="00F32B28">
        <w:rPr>
          <w:rtl/>
        </w:rPr>
        <w:t xml:space="preserve"> </w:t>
      </w:r>
      <w:r w:rsidR="00F32B28" w:rsidRPr="00F32B28">
        <w:rPr>
          <w:rtl/>
        </w:rPr>
        <w:t>على</w:t>
      </w:r>
      <w:r w:rsidR="00F32B28">
        <w:rPr>
          <w:rtl/>
        </w:rPr>
        <w:t xml:space="preserve"> </w:t>
      </w:r>
      <w:r w:rsidR="00F32B28" w:rsidRPr="00F32B28">
        <w:rPr>
          <w:rtl/>
        </w:rPr>
        <w:t>قتله</w:t>
      </w:r>
      <w:r w:rsidR="00F32B28">
        <w:rPr>
          <w:rtl/>
        </w:rPr>
        <w:t xml:space="preserve"> </w:t>
      </w:r>
      <w:r w:rsidR="00F32B28" w:rsidRPr="00F32B28">
        <w:rPr>
          <w:rtl/>
        </w:rPr>
        <w:t>هو</w:t>
      </w:r>
      <w:r w:rsidR="00F32B28">
        <w:rPr>
          <w:rtl/>
        </w:rPr>
        <w:t xml:space="preserve"> </w:t>
      </w:r>
      <w:r w:rsidR="00F32B28" w:rsidRPr="00F32B28">
        <w:rPr>
          <w:rtl/>
        </w:rPr>
        <w:t>وشريكته</w:t>
      </w:r>
      <w:r w:rsidR="00F32B28">
        <w:rPr>
          <w:rtl/>
        </w:rPr>
        <w:t xml:space="preserve"> </w:t>
      </w:r>
      <w:r w:rsidR="00F32B28" w:rsidRPr="00F32B28">
        <w:rPr>
          <w:rtl/>
        </w:rPr>
        <w:t>أو</w:t>
      </w:r>
      <w:r w:rsidR="00F32B28">
        <w:rPr>
          <w:rtl/>
        </w:rPr>
        <w:t xml:space="preserve"> </w:t>
      </w:r>
      <w:r w:rsidR="00F32B28" w:rsidRPr="00F32B28">
        <w:rPr>
          <w:rtl/>
        </w:rPr>
        <w:t>جرحهما.</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التوسع</w:t>
      </w:r>
      <w:r w:rsidR="00F32B28">
        <w:rPr>
          <w:rtl/>
        </w:rPr>
        <w:t xml:space="preserve"> </w:t>
      </w:r>
      <w:r w:rsidR="00F32B28" w:rsidRPr="00F32B28">
        <w:rPr>
          <w:rtl/>
        </w:rPr>
        <w:t>في</w:t>
      </w:r>
      <w:r w:rsidR="00F32B28">
        <w:rPr>
          <w:rtl/>
        </w:rPr>
        <w:t xml:space="preserve"> </w:t>
      </w:r>
      <w:r w:rsidR="00F32B28" w:rsidRPr="00F32B28">
        <w:rPr>
          <w:rtl/>
        </w:rPr>
        <w:t>نطاق</w:t>
      </w:r>
      <w:r w:rsidR="00F32B28">
        <w:rPr>
          <w:rtl/>
        </w:rPr>
        <w:t xml:space="preserve"> </w:t>
      </w:r>
      <w:r w:rsidR="00F32B28" w:rsidRPr="00F32B28">
        <w:rPr>
          <w:rtl/>
        </w:rPr>
        <w:t>تطبيق</w:t>
      </w:r>
      <w:r w:rsidR="00F32B28">
        <w:rPr>
          <w:rtl/>
        </w:rPr>
        <w:t xml:space="preserve"> </w:t>
      </w:r>
      <w:r w:rsidR="00F32B28" w:rsidRPr="00F32B28">
        <w:rPr>
          <w:rtl/>
        </w:rPr>
        <w:t>العذر</w:t>
      </w:r>
      <w:r w:rsidR="00F32B28">
        <w:rPr>
          <w:rtl/>
        </w:rPr>
        <w:t xml:space="preserve"> </w:t>
      </w:r>
      <w:r w:rsidR="00F32B28" w:rsidRPr="00F32B28">
        <w:rPr>
          <w:rtl/>
        </w:rPr>
        <w:t>المخفف</w:t>
      </w:r>
      <w:r w:rsidR="00F32B28">
        <w:rPr>
          <w:rtl/>
        </w:rPr>
        <w:t xml:space="preserve"> </w:t>
      </w:r>
      <w:r w:rsidR="00F32B28" w:rsidRPr="00F32B28">
        <w:rPr>
          <w:rtl/>
        </w:rPr>
        <w:t>ومنح</w:t>
      </w:r>
      <w:r w:rsidR="00F32B28">
        <w:rPr>
          <w:rtl/>
        </w:rPr>
        <w:t xml:space="preserve"> </w:t>
      </w:r>
      <w:r w:rsidR="00F32B28" w:rsidRPr="00F32B28">
        <w:rPr>
          <w:rtl/>
        </w:rPr>
        <w:t>المرأة</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الاستفادة</w:t>
      </w:r>
      <w:r w:rsidR="00F32B28">
        <w:rPr>
          <w:rtl/>
        </w:rPr>
        <w:t xml:space="preserve"> </w:t>
      </w:r>
      <w:r w:rsidR="00F32B28" w:rsidRPr="00F32B28">
        <w:rPr>
          <w:rtl/>
        </w:rPr>
        <w:t>منه</w:t>
      </w:r>
      <w:r w:rsidR="00F32B28">
        <w:rPr>
          <w:rtl/>
        </w:rPr>
        <w:t xml:space="preserve"> </w:t>
      </w:r>
      <w:r w:rsidR="00F32B28" w:rsidRPr="00F32B28">
        <w:rPr>
          <w:rtl/>
        </w:rPr>
        <w:t>أيضاً،</w:t>
      </w:r>
      <w:r w:rsidR="00F32B28">
        <w:rPr>
          <w:rtl/>
        </w:rPr>
        <w:t xml:space="preserve"> </w:t>
      </w:r>
      <w:r w:rsidR="00F32B28" w:rsidRPr="00F32B28">
        <w:rPr>
          <w:rtl/>
        </w:rPr>
        <w:t>بدلاً</w:t>
      </w:r>
      <w:r w:rsidR="00F32B28">
        <w:rPr>
          <w:rtl/>
        </w:rPr>
        <w:t xml:space="preserve"> </w:t>
      </w:r>
      <w:r w:rsidR="00F32B28" w:rsidRPr="00F32B28">
        <w:rPr>
          <w:rtl/>
        </w:rPr>
        <w:t>من</w:t>
      </w:r>
      <w:r w:rsidR="00F32B28">
        <w:rPr>
          <w:rtl/>
        </w:rPr>
        <w:t xml:space="preserve"> </w:t>
      </w:r>
      <w:r w:rsidR="00F32B28" w:rsidRPr="00F32B28">
        <w:rPr>
          <w:rtl/>
        </w:rPr>
        <w:t>العمل</w:t>
      </w:r>
      <w:r w:rsidR="00F32B28">
        <w:rPr>
          <w:rtl/>
        </w:rPr>
        <w:t xml:space="preserve"> </w:t>
      </w:r>
      <w:r w:rsidR="00F32B28" w:rsidRPr="00F32B28">
        <w:rPr>
          <w:rtl/>
        </w:rPr>
        <w:t>على</w:t>
      </w:r>
      <w:r w:rsidR="00F32B28">
        <w:rPr>
          <w:rtl/>
        </w:rPr>
        <w:t xml:space="preserve"> </w:t>
      </w:r>
      <w:r w:rsidR="00F32B28" w:rsidRPr="00F32B28">
        <w:rPr>
          <w:rtl/>
        </w:rPr>
        <w:t>إلغائه،</w:t>
      </w:r>
      <w:r w:rsidR="00F32B28">
        <w:rPr>
          <w:rtl/>
        </w:rPr>
        <w:t xml:space="preserve"> </w:t>
      </w:r>
      <w:r w:rsidR="00F32B28" w:rsidRPr="00F32B28">
        <w:rPr>
          <w:rtl/>
        </w:rPr>
        <w:t>ينتهك</w:t>
      </w:r>
      <w:r w:rsidR="00F32B28">
        <w:rPr>
          <w:rtl/>
        </w:rPr>
        <w:t xml:space="preserve"> </w:t>
      </w:r>
      <w:r w:rsidR="00F32B28" w:rsidRPr="00F32B28">
        <w:rPr>
          <w:rtl/>
        </w:rPr>
        <w:t>حقوق</w:t>
      </w:r>
      <w:r w:rsidR="00F32B28">
        <w:rPr>
          <w:rtl/>
        </w:rPr>
        <w:t xml:space="preserve"> </w:t>
      </w:r>
      <w:r w:rsidR="00F32B28" w:rsidRPr="00F32B28">
        <w:rPr>
          <w:rtl/>
        </w:rPr>
        <w:t>الأفراد،</w:t>
      </w:r>
      <w:r w:rsidR="00F32B28">
        <w:rPr>
          <w:rtl/>
        </w:rPr>
        <w:t xml:space="preserve"> </w:t>
      </w:r>
      <w:r w:rsidR="00F32B28" w:rsidRPr="00F32B28">
        <w:rPr>
          <w:rtl/>
        </w:rPr>
        <w:t>نساءً</w:t>
      </w:r>
      <w:r w:rsidR="00F32B28">
        <w:rPr>
          <w:rtl/>
        </w:rPr>
        <w:t xml:space="preserve"> </w:t>
      </w:r>
      <w:r w:rsidR="00F32B28" w:rsidRPr="00F32B28">
        <w:rPr>
          <w:rtl/>
        </w:rPr>
        <w:t>ورجالاً،</w:t>
      </w:r>
      <w:r w:rsidR="00F32B28">
        <w:rPr>
          <w:rtl/>
        </w:rPr>
        <w:t xml:space="preserve"> </w:t>
      </w:r>
      <w:r w:rsidR="00F32B28" w:rsidRPr="00F32B28">
        <w:rPr>
          <w:rtl/>
        </w:rPr>
        <w:t>في</w:t>
      </w:r>
      <w:r w:rsidR="00F32B28">
        <w:rPr>
          <w:rtl/>
        </w:rPr>
        <w:t xml:space="preserve"> </w:t>
      </w:r>
      <w:r w:rsidR="00F32B28" w:rsidRPr="00F32B28">
        <w:rPr>
          <w:rtl/>
        </w:rPr>
        <w:t>الحياة</w:t>
      </w:r>
      <w:r w:rsidR="00F32B28">
        <w:rPr>
          <w:rtl/>
        </w:rPr>
        <w:t xml:space="preserve"> </w:t>
      </w:r>
      <w:r w:rsidR="00F32B28" w:rsidRPr="00F32B28">
        <w:rPr>
          <w:rtl/>
        </w:rPr>
        <w:t>والسلامة</w:t>
      </w:r>
      <w:r w:rsidR="00F32B28">
        <w:rPr>
          <w:rtl/>
        </w:rPr>
        <w:t xml:space="preserve"> </w:t>
      </w:r>
      <w:r w:rsidR="00F32B28" w:rsidRPr="00F32B28">
        <w:rPr>
          <w:rtl/>
        </w:rPr>
        <w:t>الشخصية</w:t>
      </w:r>
      <w:r w:rsidR="00F32B28">
        <w:rPr>
          <w:rtl/>
        </w:rPr>
        <w:t xml:space="preserve"> </w:t>
      </w:r>
      <w:r w:rsidR="00F32B28" w:rsidRPr="00F32B28">
        <w:rPr>
          <w:rtl/>
        </w:rPr>
        <w:t>والبدنية</w:t>
      </w:r>
      <w:r w:rsidR="00F32B28">
        <w:rPr>
          <w:rtl/>
        </w:rPr>
        <w:t xml:space="preserve"> </w:t>
      </w:r>
      <w:r w:rsidR="00F32B28" w:rsidRPr="00F32B28">
        <w:rPr>
          <w:rtl/>
        </w:rPr>
        <w:t>والحق</w:t>
      </w:r>
      <w:r w:rsidR="00F32B28">
        <w:rPr>
          <w:rtl/>
        </w:rPr>
        <w:t xml:space="preserve"> </w:t>
      </w:r>
      <w:r w:rsidR="00F32B28" w:rsidRPr="00F32B28">
        <w:rPr>
          <w:rtl/>
        </w:rPr>
        <w:t>في</w:t>
      </w:r>
      <w:r w:rsidR="00F32B28">
        <w:rPr>
          <w:rtl/>
        </w:rPr>
        <w:t xml:space="preserve"> </w:t>
      </w:r>
      <w:r w:rsidR="00F32B28" w:rsidRPr="00F32B28">
        <w:rPr>
          <w:rtl/>
        </w:rPr>
        <w:t>المحاكمة</w:t>
      </w:r>
      <w:r w:rsidR="00F32B28">
        <w:rPr>
          <w:rtl/>
        </w:rPr>
        <w:t xml:space="preserve"> </w:t>
      </w:r>
      <w:r w:rsidR="00F32B28" w:rsidRPr="00F32B28">
        <w:rPr>
          <w:rtl/>
        </w:rPr>
        <w:t>العادلة</w:t>
      </w:r>
      <w:r w:rsidR="00F32B28">
        <w:rPr>
          <w:rtl/>
        </w:rPr>
        <w:t xml:space="preserve"> </w:t>
      </w:r>
      <w:r w:rsidR="00F32B28" w:rsidRPr="00F32B28">
        <w:rPr>
          <w:rtl/>
        </w:rPr>
        <w:t>ومبدأ</w:t>
      </w:r>
      <w:r w:rsidR="00F32B28">
        <w:rPr>
          <w:rtl/>
        </w:rPr>
        <w:t xml:space="preserve"> </w:t>
      </w:r>
      <w:r w:rsidR="00F32B28" w:rsidRPr="00F32B28">
        <w:rPr>
          <w:rtl/>
        </w:rPr>
        <w:t>التناسب</w:t>
      </w:r>
      <w:r w:rsidR="00F32B28">
        <w:rPr>
          <w:rtl/>
        </w:rPr>
        <w:t xml:space="preserve"> </w:t>
      </w:r>
      <w:r w:rsidR="00F32B28" w:rsidRPr="00F32B28">
        <w:rPr>
          <w:rtl/>
        </w:rPr>
        <w:t>بين</w:t>
      </w:r>
      <w:r w:rsidR="00F32B28">
        <w:rPr>
          <w:rtl/>
        </w:rPr>
        <w:t xml:space="preserve"> </w:t>
      </w:r>
      <w:r w:rsidR="00F32B28" w:rsidRPr="00F32B28">
        <w:rPr>
          <w:rtl/>
        </w:rPr>
        <w:t>العقوبة</w:t>
      </w:r>
      <w:r w:rsidR="00F32B28">
        <w:rPr>
          <w:rtl/>
        </w:rPr>
        <w:t xml:space="preserve"> </w:t>
      </w:r>
      <w:r w:rsidR="00F32B28" w:rsidRPr="00F32B28">
        <w:rPr>
          <w:rtl/>
        </w:rPr>
        <w:t>والجريمة.</w:t>
      </w:r>
    </w:p>
    <w:p w:rsidR="00F32B28" w:rsidRPr="00F32B28" w:rsidRDefault="00DF6B4E" w:rsidP="00DF6B4E">
      <w:pPr>
        <w:pStyle w:val="SingleTxt"/>
        <w:rPr>
          <w:rtl/>
          <w:lang w:bidi="ar-SY"/>
        </w:rPr>
      </w:pPr>
      <w:r>
        <w:rPr>
          <w:rFonts w:hint="cs"/>
          <w:rtl/>
        </w:rPr>
        <w:t>42 -</w:t>
      </w:r>
      <w:r>
        <w:rPr>
          <w:rFonts w:hint="cs"/>
          <w:rtl/>
        </w:rPr>
        <w:tab/>
      </w:r>
      <w:r w:rsidR="00F32B28" w:rsidRPr="00F32B28">
        <w:rPr>
          <w:rtl/>
        </w:rPr>
        <w:t>تميز</w:t>
      </w:r>
      <w:r w:rsidR="00F32B28">
        <w:rPr>
          <w:rtl/>
        </w:rPr>
        <w:t xml:space="preserve"> </w:t>
      </w:r>
      <w:r w:rsidR="00F32B28" w:rsidRPr="00F32B28">
        <w:rPr>
          <w:rtl/>
          <w:lang w:bidi="ar-SY"/>
        </w:rPr>
        <w:t>التشريعات</w:t>
      </w:r>
      <w:r w:rsidR="00F32B28">
        <w:rPr>
          <w:rtl/>
        </w:rPr>
        <w:t xml:space="preserve"> </w:t>
      </w:r>
      <w:r w:rsidR="00F32B28" w:rsidRPr="00F32B28">
        <w:rPr>
          <w:rtl/>
        </w:rPr>
        <w:t>السارية</w:t>
      </w:r>
      <w:r w:rsidR="00F32B28">
        <w:rPr>
          <w:rtl/>
        </w:rPr>
        <w:t xml:space="preserve"> </w:t>
      </w:r>
      <w:r w:rsidR="00F32B28" w:rsidRPr="00F32B28">
        <w:rPr>
          <w:rtl/>
        </w:rPr>
        <w:t>فيما</w:t>
      </w:r>
      <w:r w:rsidR="00F32B28">
        <w:rPr>
          <w:rtl/>
        </w:rPr>
        <w:t xml:space="preserve"> </w:t>
      </w:r>
      <w:r w:rsidR="00F32B28" w:rsidRPr="00F32B28">
        <w:rPr>
          <w:rtl/>
        </w:rPr>
        <w:t>بين</w:t>
      </w:r>
      <w:r w:rsidR="00F32B28">
        <w:rPr>
          <w:rtl/>
        </w:rPr>
        <w:t xml:space="preserve"> </w:t>
      </w:r>
      <w:r w:rsidR="00F32B28" w:rsidRPr="00F32B28">
        <w:rPr>
          <w:rtl/>
        </w:rPr>
        <w:t>الرجل</w:t>
      </w:r>
      <w:r w:rsidR="00F32B28">
        <w:rPr>
          <w:rtl/>
        </w:rPr>
        <w:t xml:space="preserve"> </w:t>
      </w:r>
      <w:r w:rsidR="00F32B28" w:rsidRPr="00F32B28">
        <w:rPr>
          <w:rtl/>
        </w:rPr>
        <w:t>والمرأة</w:t>
      </w:r>
      <w:r w:rsidR="00F32B28">
        <w:rPr>
          <w:rtl/>
        </w:rPr>
        <w:t xml:space="preserve"> </w:t>
      </w:r>
      <w:r w:rsidR="00F32B28" w:rsidRPr="00F32B28">
        <w:rPr>
          <w:rtl/>
        </w:rPr>
        <w:t>في</w:t>
      </w:r>
      <w:r w:rsidR="00F32B28">
        <w:rPr>
          <w:rtl/>
        </w:rPr>
        <w:t xml:space="preserve"> </w:t>
      </w:r>
      <w:r w:rsidR="00F32B28" w:rsidRPr="00F32B28">
        <w:rPr>
          <w:rtl/>
        </w:rPr>
        <w:t>عدم</w:t>
      </w:r>
      <w:r w:rsidR="00F32B28">
        <w:rPr>
          <w:rtl/>
        </w:rPr>
        <w:t xml:space="preserve"> </w:t>
      </w:r>
      <w:r w:rsidR="00F32B28" w:rsidRPr="00F32B28">
        <w:rPr>
          <w:rtl/>
        </w:rPr>
        <w:t>المساواة</w:t>
      </w:r>
      <w:r w:rsidR="00F32B28">
        <w:rPr>
          <w:rtl/>
        </w:rPr>
        <w:t xml:space="preserve"> </w:t>
      </w:r>
      <w:r w:rsidR="00F32B28" w:rsidRPr="00F32B28">
        <w:rPr>
          <w:rtl/>
        </w:rPr>
        <w:t>في</w:t>
      </w:r>
      <w:r w:rsidR="00F32B28">
        <w:rPr>
          <w:rtl/>
        </w:rPr>
        <w:t xml:space="preserve"> </w:t>
      </w:r>
      <w:r w:rsidR="00F32B28" w:rsidRPr="00F32B28">
        <w:rPr>
          <w:rtl/>
        </w:rPr>
        <w:t>العقوبة</w:t>
      </w:r>
      <w:r w:rsidR="00F32B28">
        <w:rPr>
          <w:rtl/>
        </w:rPr>
        <w:t xml:space="preserve"> </w:t>
      </w:r>
      <w:r w:rsidR="00F32B28" w:rsidRPr="00F32B28">
        <w:rPr>
          <w:rtl/>
        </w:rPr>
        <w:t>المقررة</w:t>
      </w:r>
      <w:r w:rsidR="00F32B28">
        <w:rPr>
          <w:rtl/>
        </w:rPr>
        <w:t xml:space="preserve"> </w:t>
      </w:r>
      <w:r w:rsidR="00F32B28" w:rsidRPr="00F32B28">
        <w:rPr>
          <w:rtl/>
        </w:rPr>
        <w:t>لذات</w:t>
      </w:r>
      <w:r w:rsidR="00F32B28">
        <w:rPr>
          <w:rtl/>
        </w:rPr>
        <w:t xml:space="preserve"> </w:t>
      </w:r>
      <w:r w:rsidR="00F32B28" w:rsidRPr="00F32B28">
        <w:rPr>
          <w:rtl/>
        </w:rPr>
        <w:t>الفعل</w:t>
      </w:r>
      <w:r w:rsidR="00F32B28">
        <w:rPr>
          <w:rtl/>
        </w:rPr>
        <w:t xml:space="preserve"> </w:t>
      </w:r>
      <w:r w:rsidR="00F32B28" w:rsidRPr="00F32B28">
        <w:rPr>
          <w:rtl/>
        </w:rPr>
        <w:t>ما</w:t>
      </w:r>
      <w:r w:rsidR="008C7FF9">
        <w:rPr>
          <w:rFonts w:hint="cs"/>
          <w:rtl/>
        </w:rPr>
        <w:t> </w:t>
      </w:r>
      <w:r w:rsidR="00F32B28" w:rsidRPr="00F32B28">
        <w:rPr>
          <w:rtl/>
        </w:rPr>
        <w:t>يشكل</w:t>
      </w:r>
      <w:r w:rsidR="00F32B28">
        <w:rPr>
          <w:rtl/>
        </w:rPr>
        <w:t xml:space="preserve"> </w:t>
      </w:r>
      <w:r w:rsidR="00F32B28" w:rsidRPr="00F32B28">
        <w:rPr>
          <w:rtl/>
        </w:rPr>
        <w:t>إخلالاً</w:t>
      </w:r>
      <w:r w:rsidR="00F32B28">
        <w:rPr>
          <w:rtl/>
        </w:rPr>
        <w:t xml:space="preserve"> </w:t>
      </w:r>
      <w:r w:rsidR="00F32B28" w:rsidRPr="00F32B28">
        <w:rPr>
          <w:rtl/>
        </w:rPr>
        <w:t>بالمراكز</w:t>
      </w:r>
      <w:r w:rsidR="00F32B28">
        <w:rPr>
          <w:rtl/>
        </w:rPr>
        <w:t xml:space="preserve"> </w:t>
      </w:r>
      <w:r w:rsidR="00F32B28" w:rsidRPr="00F32B28">
        <w:rPr>
          <w:rtl/>
        </w:rPr>
        <w:t>القانونية،</w:t>
      </w:r>
      <w:r w:rsidR="00F32B28">
        <w:rPr>
          <w:rtl/>
        </w:rPr>
        <w:t xml:space="preserve"> </w:t>
      </w:r>
      <w:r w:rsidR="00F32B28" w:rsidRPr="00F32B28">
        <w:rPr>
          <w:rtl/>
        </w:rPr>
        <w:t>فمثلاً،</w:t>
      </w:r>
      <w:r w:rsidR="00F32B28">
        <w:rPr>
          <w:rtl/>
        </w:rPr>
        <w:t xml:space="preserve"> </w:t>
      </w:r>
      <w:r w:rsidR="00F32B28" w:rsidRPr="00F32B28">
        <w:rPr>
          <w:rtl/>
        </w:rPr>
        <w:t>تعاقب</w:t>
      </w:r>
      <w:r w:rsidR="00F32B28">
        <w:rPr>
          <w:rtl/>
        </w:rPr>
        <w:t xml:space="preserve"> </w:t>
      </w:r>
      <w:r w:rsidR="00F32B28" w:rsidRPr="00F32B28">
        <w:rPr>
          <w:rtl/>
        </w:rPr>
        <w:t>المرأة</w:t>
      </w:r>
      <w:r w:rsidR="00F32B28">
        <w:rPr>
          <w:rtl/>
        </w:rPr>
        <w:t xml:space="preserve"> </w:t>
      </w:r>
      <w:r w:rsidR="00F32B28" w:rsidRPr="00F32B28">
        <w:rPr>
          <w:rtl/>
        </w:rPr>
        <w:t>على</w:t>
      </w:r>
      <w:r w:rsidR="00F32B28">
        <w:rPr>
          <w:rtl/>
        </w:rPr>
        <w:t xml:space="preserve"> </w:t>
      </w:r>
      <w:r w:rsidR="00F32B28" w:rsidRPr="00F32B28">
        <w:rPr>
          <w:rtl/>
        </w:rPr>
        <w:t>فعل</w:t>
      </w:r>
      <w:r w:rsidR="00F32B28">
        <w:rPr>
          <w:rtl/>
        </w:rPr>
        <w:t xml:space="preserve"> </w:t>
      </w:r>
      <w:r w:rsidR="00F32B28" w:rsidRPr="00F32B28">
        <w:rPr>
          <w:rtl/>
        </w:rPr>
        <w:t>الزنا</w:t>
      </w:r>
      <w:r w:rsidR="00F32B28">
        <w:rPr>
          <w:rtl/>
        </w:rPr>
        <w:t xml:space="preserve"> </w:t>
      </w:r>
      <w:r w:rsidR="00F32B28" w:rsidRPr="00F32B28">
        <w:rPr>
          <w:rtl/>
        </w:rPr>
        <w:t>بالحبس</w:t>
      </w:r>
      <w:r w:rsidR="00F32B28">
        <w:rPr>
          <w:rtl/>
        </w:rPr>
        <w:t xml:space="preserve"> </w:t>
      </w:r>
      <w:r w:rsidR="00F32B28" w:rsidRPr="00F32B28">
        <w:rPr>
          <w:rtl/>
        </w:rPr>
        <w:t>من</w:t>
      </w:r>
      <w:r w:rsidR="00F32B28">
        <w:rPr>
          <w:rtl/>
        </w:rPr>
        <w:t xml:space="preserve"> </w:t>
      </w:r>
      <w:r w:rsidR="00F32B28" w:rsidRPr="00F32B28">
        <w:rPr>
          <w:rtl/>
        </w:rPr>
        <w:t>ستة</w:t>
      </w:r>
      <w:r w:rsidR="00F32B28">
        <w:rPr>
          <w:rtl/>
        </w:rPr>
        <w:t xml:space="preserve"> </w:t>
      </w:r>
      <w:r w:rsidR="00F32B28" w:rsidRPr="00F32B28">
        <w:rPr>
          <w:rtl/>
        </w:rPr>
        <w:t>أشهر</w:t>
      </w:r>
      <w:r w:rsidR="00F32B28">
        <w:rPr>
          <w:rtl/>
        </w:rPr>
        <w:t xml:space="preserve"> </w:t>
      </w:r>
      <w:r w:rsidR="00F32B28" w:rsidRPr="00F32B28">
        <w:rPr>
          <w:rtl/>
        </w:rPr>
        <w:t>إلى</w:t>
      </w:r>
      <w:r w:rsidR="00F32B28">
        <w:rPr>
          <w:rtl/>
        </w:rPr>
        <w:t xml:space="preserve"> </w:t>
      </w:r>
      <w:r w:rsidR="00F32B28" w:rsidRPr="00F32B28">
        <w:rPr>
          <w:rtl/>
        </w:rPr>
        <w:lastRenderedPageBreak/>
        <w:t>سنتين،</w:t>
      </w:r>
      <w:r w:rsidR="00F32B28">
        <w:rPr>
          <w:rtl/>
        </w:rPr>
        <w:t xml:space="preserve"> </w:t>
      </w:r>
      <w:r w:rsidR="00F32B28" w:rsidRPr="00F32B28">
        <w:rPr>
          <w:rtl/>
        </w:rPr>
        <w:t>وبغض</w:t>
      </w:r>
      <w:r w:rsidR="00F32B28">
        <w:rPr>
          <w:rtl/>
        </w:rPr>
        <w:t xml:space="preserve"> </w:t>
      </w:r>
      <w:r w:rsidR="00F32B28" w:rsidRPr="00F32B28">
        <w:rPr>
          <w:rtl/>
        </w:rPr>
        <w:t>النظر</w:t>
      </w:r>
      <w:r w:rsidR="00F32B28">
        <w:rPr>
          <w:rtl/>
        </w:rPr>
        <w:t xml:space="preserve"> </w:t>
      </w:r>
      <w:r w:rsidR="00F32B28" w:rsidRPr="00F32B28">
        <w:rPr>
          <w:rtl/>
        </w:rPr>
        <w:t>عن</w:t>
      </w:r>
      <w:r w:rsidR="00F32B28">
        <w:rPr>
          <w:rtl/>
        </w:rPr>
        <w:t xml:space="preserve"> </w:t>
      </w:r>
      <w:r w:rsidR="00F32B28" w:rsidRPr="00F32B28">
        <w:rPr>
          <w:rtl/>
        </w:rPr>
        <w:t>حالتها</w:t>
      </w:r>
      <w:r w:rsidR="00F32B28">
        <w:rPr>
          <w:rtl/>
        </w:rPr>
        <w:t xml:space="preserve"> </w:t>
      </w:r>
      <w:r w:rsidR="00F32B28" w:rsidRPr="00F32B28">
        <w:rPr>
          <w:rtl/>
        </w:rPr>
        <w:t>الزوجية،</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يعاقب</w:t>
      </w:r>
      <w:r w:rsidR="00F32B28">
        <w:rPr>
          <w:rtl/>
        </w:rPr>
        <w:t xml:space="preserve"> </w:t>
      </w:r>
      <w:r w:rsidR="00F32B28" w:rsidRPr="00F32B28">
        <w:rPr>
          <w:rtl/>
        </w:rPr>
        <w:t>شريكها</w:t>
      </w:r>
      <w:r w:rsidR="00F32B28">
        <w:rPr>
          <w:rtl/>
        </w:rPr>
        <w:t xml:space="preserve"> </w:t>
      </w:r>
      <w:r w:rsidR="00F32B28" w:rsidRPr="00F32B28">
        <w:rPr>
          <w:rtl/>
        </w:rPr>
        <w:t>الرجل</w:t>
      </w:r>
      <w:r w:rsidR="00F32B28">
        <w:rPr>
          <w:rtl/>
        </w:rPr>
        <w:t xml:space="preserve"> </w:t>
      </w:r>
      <w:r w:rsidR="00F32B28" w:rsidRPr="00F32B28">
        <w:rPr>
          <w:rtl/>
        </w:rPr>
        <w:t>الزاني</w:t>
      </w:r>
      <w:r w:rsidR="00F32B28">
        <w:rPr>
          <w:rtl/>
        </w:rPr>
        <w:t xml:space="preserve"> </w:t>
      </w:r>
      <w:r w:rsidR="00F32B28" w:rsidRPr="00F32B28">
        <w:rPr>
          <w:rtl/>
        </w:rPr>
        <w:t>بذات</w:t>
      </w:r>
      <w:r w:rsidR="00F32B28">
        <w:rPr>
          <w:rtl/>
        </w:rPr>
        <w:t xml:space="preserve"> </w:t>
      </w:r>
      <w:r w:rsidR="00F32B28" w:rsidRPr="00F32B28">
        <w:rPr>
          <w:rtl/>
        </w:rPr>
        <w:t>العقوبة</w:t>
      </w:r>
      <w:r w:rsidR="00F32B28">
        <w:rPr>
          <w:rtl/>
        </w:rPr>
        <w:t xml:space="preserve"> </w:t>
      </w:r>
      <w:r w:rsidR="00F32B28" w:rsidRPr="00F32B28">
        <w:rPr>
          <w:rtl/>
        </w:rPr>
        <w:t>إذا</w:t>
      </w:r>
      <w:r w:rsidR="00F32B28">
        <w:rPr>
          <w:rtl/>
        </w:rPr>
        <w:t xml:space="preserve"> </w:t>
      </w:r>
      <w:r w:rsidR="00F32B28" w:rsidRPr="00F32B28">
        <w:rPr>
          <w:rtl/>
        </w:rPr>
        <w:t>كان</w:t>
      </w:r>
      <w:r w:rsidR="00F32B28">
        <w:rPr>
          <w:rtl/>
        </w:rPr>
        <w:t xml:space="preserve"> </w:t>
      </w:r>
      <w:r w:rsidR="00F32B28" w:rsidRPr="00F32B28">
        <w:rPr>
          <w:rtl/>
        </w:rPr>
        <w:t>متزوجاً،</w:t>
      </w:r>
      <w:r w:rsidR="00F32B28">
        <w:rPr>
          <w:rtl/>
        </w:rPr>
        <w:t xml:space="preserve"> </w:t>
      </w:r>
      <w:r w:rsidR="00F32B28" w:rsidRPr="00F32B28">
        <w:rPr>
          <w:rtl/>
        </w:rPr>
        <w:t>وبنصف</w:t>
      </w:r>
      <w:r w:rsidR="00F32B28">
        <w:rPr>
          <w:rtl/>
        </w:rPr>
        <w:t xml:space="preserve"> </w:t>
      </w:r>
      <w:r w:rsidR="00F32B28" w:rsidRPr="00F32B28">
        <w:rPr>
          <w:rtl/>
        </w:rPr>
        <w:t>العقوبة</w:t>
      </w:r>
      <w:r>
        <w:rPr>
          <w:rFonts w:hint="cs"/>
          <w:rtl/>
        </w:rPr>
        <w:t xml:space="preserve"> </w:t>
      </w:r>
      <w:r w:rsidR="00F32B28" w:rsidRPr="00F32B28">
        <w:rPr>
          <w:rtl/>
        </w:rPr>
        <w:t>إذا</w:t>
      </w:r>
      <w:r w:rsidR="00F32B28">
        <w:rPr>
          <w:rtl/>
        </w:rPr>
        <w:t xml:space="preserve"> </w:t>
      </w:r>
      <w:r w:rsidR="00F32B28" w:rsidRPr="00F32B28">
        <w:rPr>
          <w:rtl/>
        </w:rPr>
        <w:t>لم</w:t>
      </w:r>
      <w:r w:rsidR="00F32B28">
        <w:rPr>
          <w:rtl/>
        </w:rPr>
        <w:t xml:space="preserve"> </w:t>
      </w:r>
      <w:r w:rsidR="00F32B28" w:rsidRPr="00F32B28">
        <w:rPr>
          <w:rtl/>
        </w:rPr>
        <w:t>يكن</w:t>
      </w:r>
      <w:r w:rsidR="00F32B28">
        <w:rPr>
          <w:rtl/>
        </w:rPr>
        <w:t xml:space="preserve"> </w:t>
      </w:r>
      <w:r w:rsidR="00F32B28" w:rsidRPr="00F32B28">
        <w:rPr>
          <w:rtl/>
        </w:rPr>
        <w:t>متزوجاً.</w:t>
      </w:r>
      <w:r w:rsidR="00F32B28">
        <w:rPr>
          <w:rtl/>
        </w:rPr>
        <w:t xml:space="preserve"> </w:t>
      </w:r>
      <w:r w:rsidR="00F32B28" w:rsidRPr="00F32B28">
        <w:rPr>
          <w:rtl/>
        </w:rPr>
        <w:t>أما</w:t>
      </w:r>
      <w:r w:rsidR="00F32B28">
        <w:rPr>
          <w:rtl/>
        </w:rPr>
        <w:t xml:space="preserve"> </w:t>
      </w:r>
      <w:r w:rsidR="00F32B28" w:rsidRPr="00F32B28">
        <w:rPr>
          <w:rtl/>
        </w:rPr>
        <w:t>مشروع</w:t>
      </w:r>
      <w:r w:rsidR="00F32B28">
        <w:rPr>
          <w:rtl/>
        </w:rPr>
        <w:t xml:space="preserve"> </w:t>
      </w:r>
      <w:r w:rsidR="00F32B28" w:rsidRPr="00F32B28">
        <w:rPr>
          <w:rtl/>
        </w:rPr>
        <w:t>قانون</w:t>
      </w:r>
      <w:r w:rsidR="00F32B28">
        <w:rPr>
          <w:rtl/>
        </w:rPr>
        <w:t xml:space="preserve"> </w:t>
      </w:r>
      <w:r w:rsidR="00F32B28" w:rsidRPr="00F32B28">
        <w:rPr>
          <w:rtl/>
        </w:rPr>
        <w:t>العقوبات</w:t>
      </w:r>
      <w:r w:rsidR="00F32B28">
        <w:rPr>
          <w:rtl/>
        </w:rPr>
        <w:t xml:space="preserve"> </w:t>
      </w:r>
      <w:r w:rsidR="00F32B28" w:rsidRPr="00F32B28">
        <w:rPr>
          <w:rtl/>
        </w:rPr>
        <w:t>الفلسطيني</w:t>
      </w:r>
      <w:r w:rsidR="00F32B28" w:rsidRPr="00F32B28">
        <w:rPr>
          <w:rtl/>
          <w:lang w:bidi="ar-SY"/>
        </w:rPr>
        <w:t>،</w:t>
      </w:r>
      <w:r w:rsidR="00F32B28">
        <w:rPr>
          <w:rtl/>
          <w:lang w:bidi="ar-SY"/>
        </w:rPr>
        <w:t xml:space="preserve"> </w:t>
      </w:r>
      <w:r w:rsidR="00F32B28" w:rsidRPr="00F32B28">
        <w:rPr>
          <w:rtl/>
          <w:lang w:bidi="ar-SY"/>
        </w:rPr>
        <w:t>فلم</w:t>
      </w:r>
      <w:r w:rsidR="00F32B28">
        <w:rPr>
          <w:rtl/>
          <w:lang w:bidi="ar-SY"/>
        </w:rPr>
        <w:t xml:space="preserve"> </w:t>
      </w:r>
      <w:r w:rsidR="00F32B28" w:rsidRPr="00F32B28">
        <w:rPr>
          <w:rtl/>
          <w:lang w:bidi="ar-SY"/>
        </w:rPr>
        <w:t>يميز</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والمرأة</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يتعلق</w:t>
      </w:r>
      <w:r w:rsidR="00F32B28">
        <w:rPr>
          <w:rtl/>
          <w:lang w:bidi="ar-SY"/>
        </w:rPr>
        <w:t xml:space="preserve"> </w:t>
      </w:r>
      <w:r w:rsidR="00F32B28" w:rsidRPr="00F32B28">
        <w:rPr>
          <w:rtl/>
          <w:lang w:bidi="ar-SY"/>
        </w:rPr>
        <w:t>ب</w:t>
      </w:r>
      <w:r w:rsidR="00F32B28" w:rsidRPr="00F32B28">
        <w:rPr>
          <w:rtl/>
        </w:rPr>
        <w:t>جريمة</w:t>
      </w:r>
      <w:r w:rsidR="00F32B28">
        <w:rPr>
          <w:rtl/>
        </w:rPr>
        <w:t xml:space="preserve"> </w:t>
      </w:r>
      <w:r w:rsidR="00F32B28" w:rsidRPr="00F32B28">
        <w:rPr>
          <w:rtl/>
        </w:rPr>
        <w:t>الزنا</w:t>
      </w:r>
      <w:r w:rsidR="00F32B28">
        <w:rPr>
          <w:rtl/>
        </w:rPr>
        <w:t xml:space="preserve"> </w:t>
      </w:r>
      <w:r w:rsidR="00F32B28" w:rsidRPr="00F32B28">
        <w:rPr>
          <w:rtl/>
          <w:lang w:bidi="ar-SY"/>
        </w:rPr>
        <w:t>بل</w:t>
      </w:r>
      <w:r w:rsidR="00F32B28">
        <w:rPr>
          <w:rtl/>
          <w:lang w:bidi="ar-SY"/>
        </w:rPr>
        <w:t xml:space="preserve"> </w:t>
      </w:r>
      <w:r w:rsidR="00F32B28" w:rsidRPr="00F32B28">
        <w:rPr>
          <w:rtl/>
          <w:lang w:bidi="ar-SY"/>
        </w:rPr>
        <w:t>يفرض</w:t>
      </w:r>
      <w:r w:rsidR="00F32B28">
        <w:rPr>
          <w:rtl/>
          <w:lang w:bidi="ar-SY"/>
        </w:rPr>
        <w:t xml:space="preserve"> </w:t>
      </w:r>
      <w:r w:rsidR="00F32B28" w:rsidRPr="00F32B28">
        <w:rPr>
          <w:rtl/>
          <w:lang w:bidi="ar-SY"/>
        </w:rPr>
        <w:t>أحكاماً</w:t>
      </w:r>
      <w:r w:rsidR="00F32B28">
        <w:rPr>
          <w:rtl/>
          <w:lang w:bidi="ar-SY"/>
        </w:rPr>
        <w:t xml:space="preserve"> </w:t>
      </w:r>
      <w:r w:rsidR="00F32B28" w:rsidRPr="00F32B28">
        <w:rPr>
          <w:rtl/>
          <w:lang w:bidi="ar-SY"/>
        </w:rPr>
        <w:t>متساوية</w:t>
      </w:r>
      <w:r w:rsidR="00F32B28">
        <w:rPr>
          <w:rtl/>
          <w:lang w:bidi="ar-SY"/>
        </w:rPr>
        <w:t xml:space="preserve"> </w:t>
      </w:r>
      <w:r w:rsidR="00F32B28" w:rsidRPr="00F32B28">
        <w:rPr>
          <w:rtl/>
          <w:lang w:bidi="ar-SY"/>
        </w:rPr>
        <w:t>بينهما</w:t>
      </w:r>
      <w:r w:rsidR="00F32B28">
        <w:rPr>
          <w:rtl/>
          <w:lang w:bidi="ar-SY"/>
        </w:rPr>
        <w:t xml:space="preserve"> </w:t>
      </w:r>
      <w:r w:rsidR="00F32B28" w:rsidRPr="00F32B28">
        <w:rPr>
          <w:rtl/>
          <w:lang w:bidi="ar-SY"/>
        </w:rPr>
        <w:t>بخصوص</w:t>
      </w:r>
      <w:r w:rsidR="00F32B28">
        <w:rPr>
          <w:rtl/>
          <w:lang w:bidi="ar-SY"/>
        </w:rPr>
        <w:t xml:space="preserve"> </w:t>
      </w:r>
      <w:r w:rsidR="00F32B28" w:rsidRPr="00F32B28">
        <w:rPr>
          <w:rtl/>
          <w:lang w:bidi="ar-SY"/>
        </w:rPr>
        <w:t>أركان</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الجريمة</w:t>
      </w:r>
      <w:r w:rsidR="00F32B28">
        <w:rPr>
          <w:rtl/>
          <w:lang w:bidi="ar-SY"/>
        </w:rPr>
        <w:t xml:space="preserve"> </w:t>
      </w:r>
      <w:r w:rsidR="00F32B28" w:rsidRPr="00F32B28">
        <w:rPr>
          <w:rtl/>
          <w:lang w:bidi="ar-SY"/>
        </w:rPr>
        <w:t>ومقدار</w:t>
      </w:r>
      <w:r w:rsidR="00F32B28">
        <w:rPr>
          <w:rtl/>
          <w:lang w:bidi="ar-SY"/>
        </w:rPr>
        <w:t xml:space="preserve"> </w:t>
      </w:r>
      <w:r w:rsidR="00F32B28" w:rsidRPr="00F32B28">
        <w:rPr>
          <w:rtl/>
          <w:lang w:bidi="ar-SY"/>
        </w:rPr>
        <w:t>العقوبة</w:t>
      </w:r>
      <w:r w:rsidR="00F32B28">
        <w:rPr>
          <w:rtl/>
          <w:lang w:bidi="ar-SY"/>
        </w:rPr>
        <w:t xml:space="preserve"> </w:t>
      </w:r>
      <w:r w:rsidR="00F32B28" w:rsidRPr="00F32B28">
        <w:rPr>
          <w:rtl/>
          <w:lang w:bidi="ar-SY"/>
        </w:rPr>
        <w:t>المفروضة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كل</w:t>
      </w:r>
      <w:r w:rsidR="00F32B28">
        <w:rPr>
          <w:rtl/>
          <w:lang w:bidi="ar-SY"/>
        </w:rPr>
        <w:t xml:space="preserve"> </w:t>
      </w:r>
      <w:r w:rsidR="00F32B28" w:rsidRPr="00F32B28">
        <w:rPr>
          <w:rtl/>
          <w:lang w:bidi="ar-SY"/>
        </w:rPr>
        <w:t>منهما.</w:t>
      </w:r>
    </w:p>
    <w:p w:rsidR="00F32B28" w:rsidRPr="00F32B28" w:rsidRDefault="00DF6B4E" w:rsidP="00DF6B4E">
      <w:pPr>
        <w:pStyle w:val="SingleTxt"/>
        <w:rPr>
          <w:rtl/>
          <w:lang w:bidi="ar-SY"/>
        </w:rPr>
      </w:pPr>
      <w:r>
        <w:rPr>
          <w:rFonts w:hint="cs"/>
          <w:rtl/>
          <w:lang w:bidi="ar-SY"/>
        </w:rPr>
        <w:t>43 -</w:t>
      </w:r>
      <w:r>
        <w:rPr>
          <w:rFonts w:hint="cs"/>
          <w:rtl/>
          <w:lang w:bidi="ar-SY"/>
        </w:rPr>
        <w:tab/>
      </w:r>
      <w:r w:rsidR="00F32B28" w:rsidRPr="00F32B28">
        <w:rPr>
          <w:rtl/>
          <w:lang w:bidi="ar-SY"/>
        </w:rPr>
        <w:t>أما</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يتعلق</w:t>
      </w:r>
      <w:r w:rsidR="00F32B28">
        <w:rPr>
          <w:rtl/>
          <w:lang w:bidi="ar-SY"/>
        </w:rPr>
        <w:t xml:space="preserve"> </w:t>
      </w:r>
      <w:r w:rsidR="00F32B28" w:rsidRPr="00F32B28">
        <w:rPr>
          <w:rtl/>
          <w:lang w:bidi="ar-SY"/>
        </w:rPr>
        <w:t>بالجرائم</w:t>
      </w:r>
      <w:r w:rsidR="00F32B28">
        <w:rPr>
          <w:rtl/>
          <w:lang w:bidi="ar-SY"/>
        </w:rPr>
        <w:t xml:space="preserve"> </w:t>
      </w:r>
      <w:r w:rsidR="00F32B28" w:rsidRPr="00F32B28">
        <w:rPr>
          <w:rtl/>
          <w:lang w:bidi="ar-SY"/>
        </w:rPr>
        <w:t>الجنسية</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فقد</w:t>
      </w:r>
      <w:r w:rsidR="00F32B28">
        <w:rPr>
          <w:rtl/>
          <w:lang w:bidi="ar-SY"/>
        </w:rPr>
        <w:t xml:space="preserve"> </w:t>
      </w:r>
      <w:r w:rsidR="00F32B28" w:rsidRPr="00F32B28">
        <w:rPr>
          <w:rtl/>
          <w:lang w:bidi="ar-SY"/>
        </w:rPr>
        <w:t>جرمت</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العقابية</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الاغتصاب</w:t>
      </w:r>
      <w:r w:rsidR="00F32B28">
        <w:rPr>
          <w:rtl/>
          <w:lang w:bidi="ar-SY"/>
        </w:rPr>
        <w:t xml:space="preserve"> </w:t>
      </w:r>
      <w:r w:rsidR="00F32B28" w:rsidRPr="00F32B28">
        <w:rPr>
          <w:rtl/>
          <w:lang w:bidi="ar-SY"/>
        </w:rPr>
        <w:t>وكافة</w:t>
      </w:r>
      <w:r w:rsidR="00F32B28">
        <w:rPr>
          <w:rtl/>
          <w:lang w:bidi="ar-SY"/>
        </w:rPr>
        <w:t xml:space="preserve"> </w:t>
      </w:r>
      <w:r w:rsidR="00F32B28" w:rsidRPr="00F32B28">
        <w:rPr>
          <w:rtl/>
          <w:lang w:bidi="ar-SY"/>
        </w:rPr>
        <w:t>الأفعال</w:t>
      </w:r>
      <w:r w:rsidR="00F32B28">
        <w:rPr>
          <w:rtl/>
          <w:lang w:bidi="ar-SY"/>
        </w:rPr>
        <w:t xml:space="preserve"> </w:t>
      </w:r>
      <w:r w:rsidR="00F32B28" w:rsidRPr="00F32B28">
        <w:rPr>
          <w:rtl/>
          <w:lang w:bidi="ar-SY"/>
        </w:rPr>
        <w:t>الجنسية</w:t>
      </w:r>
      <w:r w:rsidR="00F32B28">
        <w:rPr>
          <w:rtl/>
          <w:lang w:bidi="ar-SY"/>
        </w:rPr>
        <w:t xml:space="preserve"> </w:t>
      </w:r>
      <w:r w:rsidR="00F32B28" w:rsidRPr="00F32B28">
        <w:rPr>
          <w:rtl/>
          <w:lang w:bidi="ar-SY"/>
        </w:rPr>
        <w:t>الواقعة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الأنثى</w:t>
      </w:r>
      <w:r w:rsidR="00F32B28">
        <w:rPr>
          <w:rtl/>
          <w:lang w:bidi="ar-SY"/>
        </w:rPr>
        <w:t xml:space="preserve"> </w:t>
      </w:r>
      <w:r w:rsidR="00F32B28" w:rsidRPr="00F32B28">
        <w:rPr>
          <w:rtl/>
          <w:lang w:bidi="ar-SY"/>
        </w:rPr>
        <w:t>بالإكراه،</w:t>
      </w:r>
      <w:r w:rsidR="00F32B28">
        <w:rPr>
          <w:rtl/>
          <w:lang w:bidi="ar-SY"/>
        </w:rPr>
        <w:t xml:space="preserve"> </w:t>
      </w:r>
      <w:r w:rsidR="00F32B28" w:rsidRPr="00F32B28">
        <w:rPr>
          <w:rtl/>
          <w:lang w:bidi="ar-SY"/>
        </w:rPr>
        <w:t>كهتك</w:t>
      </w:r>
      <w:r w:rsidR="00F32B28">
        <w:rPr>
          <w:rtl/>
          <w:lang w:bidi="ar-SY"/>
        </w:rPr>
        <w:t xml:space="preserve"> </w:t>
      </w:r>
      <w:r w:rsidR="00F32B28" w:rsidRPr="00F32B28">
        <w:rPr>
          <w:rtl/>
          <w:lang w:bidi="ar-SY"/>
        </w:rPr>
        <w:t>العرض</w:t>
      </w:r>
      <w:r w:rsidR="00F32B28">
        <w:rPr>
          <w:rtl/>
          <w:lang w:bidi="ar-SY"/>
        </w:rPr>
        <w:t xml:space="preserve"> </w:t>
      </w:r>
      <w:r w:rsidR="00F32B28" w:rsidRPr="00F32B28">
        <w:rPr>
          <w:rtl/>
          <w:lang w:bidi="ar-SY"/>
        </w:rPr>
        <w:t>والإغواء</w:t>
      </w:r>
      <w:r w:rsidR="00F32B28">
        <w:rPr>
          <w:rtl/>
          <w:lang w:bidi="ar-SY"/>
        </w:rPr>
        <w:t xml:space="preserve"> </w:t>
      </w:r>
      <w:r w:rsidR="00F32B28" w:rsidRPr="00F32B28">
        <w:rPr>
          <w:rtl/>
          <w:lang w:bidi="ar-SY"/>
        </w:rPr>
        <w:t>والمداعبة</w:t>
      </w:r>
      <w:r w:rsidR="00F32B28">
        <w:rPr>
          <w:rtl/>
          <w:lang w:bidi="ar-SY"/>
        </w:rPr>
        <w:t xml:space="preserve"> </w:t>
      </w:r>
      <w:r w:rsidR="00F32B28" w:rsidRPr="00F32B28">
        <w:rPr>
          <w:rtl/>
          <w:lang w:bidi="ar-SY"/>
        </w:rPr>
        <w:t>المنافية</w:t>
      </w:r>
      <w:r w:rsidR="00F32B28">
        <w:rPr>
          <w:rtl/>
          <w:lang w:bidi="ar-SY"/>
        </w:rPr>
        <w:t xml:space="preserve"> </w:t>
      </w:r>
      <w:r w:rsidR="00F32B28" w:rsidRPr="00F32B28">
        <w:rPr>
          <w:rtl/>
          <w:lang w:bidi="ar-SY"/>
        </w:rPr>
        <w:t>للحياء</w:t>
      </w:r>
      <w:r w:rsidR="00F32B28">
        <w:rPr>
          <w:rtl/>
          <w:lang w:bidi="ar-SY"/>
        </w:rPr>
        <w:t xml:space="preserve"> </w:t>
      </w:r>
      <w:r w:rsidR="00F32B28" w:rsidRPr="00F32B28">
        <w:rPr>
          <w:rtl/>
          <w:lang w:bidi="ar-SY"/>
        </w:rPr>
        <w:t>والخطف</w:t>
      </w:r>
      <w:r w:rsidR="00F32B28">
        <w:rPr>
          <w:rtl/>
          <w:lang w:bidi="ar-SY"/>
        </w:rPr>
        <w:t xml:space="preserve"> </w:t>
      </w:r>
      <w:r w:rsidR="00F32B28" w:rsidRPr="00F32B28">
        <w:rPr>
          <w:rtl/>
          <w:lang w:bidi="ar-SY"/>
        </w:rPr>
        <w:t>وعرض</w:t>
      </w:r>
      <w:r w:rsidR="00F32B28">
        <w:rPr>
          <w:rtl/>
          <w:lang w:bidi="ar-SY"/>
        </w:rPr>
        <w:t xml:space="preserve"> </w:t>
      </w:r>
      <w:r w:rsidR="00F32B28" w:rsidRPr="00F32B28">
        <w:rPr>
          <w:rtl/>
          <w:lang w:bidi="ar-SY"/>
        </w:rPr>
        <w:t>الأعمال</w:t>
      </w:r>
      <w:r w:rsidR="00F32B28">
        <w:rPr>
          <w:rtl/>
          <w:lang w:bidi="ar-SY"/>
        </w:rPr>
        <w:t xml:space="preserve"> </w:t>
      </w:r>
      <w:r w:rsidR="00F32B28" w:rsidRPr="00F32B28">
        <w:rPr>
          <w:rtl/>
          <w:lang w:bidi="ar-SY"/>
        </w:rPr>
        <w:t>والأفعال</w:t>
      </w:r>
      <w:r w:rsidR="00F32B28">
        <w:rPr>
          <w:rtl/>
          <w:lang w:bidi="ar-SY"/>
        </w:rPr>
        <w:t xml:space="preserve"> </w:t>
      </w:r>
      <w:r w:rsidR="00F32B28" w:rsidRPr="00F32B28">
        <w:rPr>
          <w:rtl/>
          <w:lang w:bidi="ar-SY"/>
        </w:rPr>
        <w:t>وتوجيه</w:t>
      </w:r>
      <w:r w:rsidR="00F32B28">
        <w:rPr>
          <w:rtl/>
          <w:lang w:bidi="ar-SY"/>
        </w:rPr>
        <w:t xml:space="preserve"> </w:t>
      </w:r>
      <w:r w:rsidR="00F32B28" w:rsidRPr="00F32B28">
        <w:rPr>
          <w:rtl/>
          <w:lang w:bidi="ar-SY"/>
        </w:rPr>
        <w:t>الكلام</w:t>
      </w:r>
      <w:r w:rsidR="00F32B28">
        <w:rPr>
          <w:rtl/>
          <w:lang w:bidi="ar-SY"/>
        </w:rPr>
        <w:t xml:space="preserve"> </w:t>
      </w:r>
      <w:r w:rsidR="00F32B28" w:rsidRPr="00F32B28">
        <w:rPr>
          <w:rtl/>
          <w:lang w:bidi="ar-SY"/>
        </w:rPr>
        <w:t>المنافي</w:t>
      </w:r>
      <w:r w:rsidR="00F32B28">
        <w:rPr>
          <w:rtl/>
          <w:lang w:bidi="ar-SY"/>
        </w:rPr>
        <w:t xml:space="preserve"> </w:t>
      </w:r>
      <w:r w:rsidR="00F32B28" w:rsidRPr="00F32B28">
        <w:rPr>
          <w:rtl/>
          <w:lang w:bidi="ar-SY"/>
        </w:rPr>
        <w:t>للحياء.</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أنها</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تفرض</w:t>
      </w:r>
      <w:r w:rsidR="00F32B28">
        <w:rPr>
          <w:rtl/>
          <w:lang w:bidi="ar-SY"/>
        </w:rPr>
        <w:t xml:space="preserve"> </w:t>
      </w:r>
      <w:r w:rsidR="00F32B28" w:rsidRPr="00F32B28">
        <w:rPr>
          <w:rtl/>
          <w:lang w:bidi="ar-SY"/>
        </w:rPr>
        <w:t>عقوبات</w:t>
      </w:r>
      <w:r w:rsidR="00F32B28">
        <w:rPr>
          <w:rtl/>
          <w:lang w:bidi="ar-SY"/>
        </w:rPr>
        <w:t xml:space="preserve"> </w:t>
      </w:r>
      <w:r w:rsidR="00F32B28" w:rsidRPr="00F32B28">
        <w:rPr>
          <w:rtl/>
          <w:lang w:bidi="ar-SY"/>
        </w:rPr>
        <w:t>رادعة</w:t>
      </w:r>
      <w:r w:rsidR="00F32B28">
        <w:rPr>
          <w:rtl/>
          <w:lang w:bidi="ar-SY"/>
        </w:rPr>
        <w:t xml:space="preserve"> </w:t>
      </w:r>
      <w:r w:rsidR="00F32B28" w:rsidRPr="00F32B28">
        <w:rPr>
          <w:rtl/>
          <w:lang w:bidi="ar-SY"/>
        </w:rPr>
        <w:t>تتناسب</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شدة</w:t>
      </w:r>
      <w:r w:rsidR="00F32B28">
        <w:rPr>
          <w:rtl/>
          <w:lang w:bidi="ar-SY"/>
        </w:rPr>
        <w:t xml:space="preserve"> </w:t>
      </w:r>
      <w:r w:rsidR="00F32B28" w:rsidRPr="00F32B28">
        <w:rPr>
          <w:rtl/>
          <w:lang w:bidi="ar-SY"/>
        </w:rPr>
        <w:t>الجرائم؛</w:t>
      </w:r>
      <w:r w:rsidR="00F32B28">
        <w:rPr>
          <w:rtl/>
          <w:lang w:bidi="ar-SY"/>
        </w:rPr>
        <w:t xml:space="preserve"> </w:t>
      </w:r>
      <w:r w:rsidR="00F32B28" w:rsidRPr="00F32B28">
        <w:rPr>
          <w:rtl/>
          <w:lang w:bidi="ar-SY"/>
        </w:rPr>
        <w:t>فالعقوبة</w:t>
      </w:r>
      <w:r w:rsidR="00F32B28">
        <w:rPr>
          <w:rtl/>
          <w:lang w:bidi="ar-SY"/>
        </w:rPr>
        <w:t xml:space="preserve"> </w:t>
      </w:r>
      <w:r w:rsidR="00F32B28" w:rsidRPr="00F32B28">
        <w:rPr>
          <w:rtl/>
          <w:lang w:bidi="ar-SY"/>
        </w:rPr>
        <w:t>المفروضة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مرتكب</w:t>
      </w:r>
      <w:r w:rsidR="00F32B28">
        <w:rPr>
          <w:rtl/>
          <w:lang w:bidi="ar-SY"/>
        </w:rPr>
        <w:t xml:space="preserve"> </w:t>
      </w:r>
      <w:r w:rsidR="00F32B28" w:rsidRPr="00F32B28">
        <w:rPr>
          <w:rtl/>
          <w:lang w:bidi="ar-SY"/>
        </w:rPr>
        <w:t>جريمة</w:t>
      </w:r>
      <w:r w:rsidR="00F32B28">
        <w:rPr>
          <w:rtl/>
          <w:lang w:bidi="ar-SY"/>
        </w:rPr>
        <w:t xml:space="preserve"> </w:t>
      </w:r>
      <w:r w:rsidR="00F32B28" w:rsidRPr="00F32B28">
        <w:rPr>
          <w:rtl/>
          <w:lang w:bidi="ar-SY"/>
        </w:rPr>
        <w:t>الاغتصاب</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الحبس</w:t>
      </w:r>
      <w:r w:rsidR="00F32B28">
        <w:rPr>
          <w:rtl/>
          <w:lang w:bidi="ar-SY"/>
        </w:rPr>
        <w:t xml:space="preserve"> </w:t>
      </w:r>
      <w:r w:rsidR="00F32B28" w:rsidRPr="00F32B28">
        <w:rPr>
          <w:rtl/>
          <w:lang w:bidi="ar-SY"/>
        </w:rPr>
        <w:t>لمدة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تقل</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خمس</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ولا</w:t>
      </w:r>
      <w:r w:rsidR="00F32B28">
        <w:rPr>
          <w:rtl/>
          <w:lang w:bidi="ar-SY"/>
        </w:rPr>
        <w:t xml:space="preserve"> </w:t>
      </w:r>
      <w:r w:rsidR="00F32B28" w:rsidRPr="00F32B28">
        <w:rPr>
          <w:rtl/>
          <w:lang w:bidi="ar-SY"/>
        </w:rPr>
        <w:t>تقل</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العقوبة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سبع</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كانت</w:t>
      </w:r>
      <w:r w:rsidR="00F32B28">
        <w:rPr>
          <w:rtl/>
          <w:lang w:bidi="ar-SY"/>
        </w:rPr>
        <w:t xml:space="preserve"> </w:t>
      </w:r>
      <w:r w:rsidR="00F32B28" w:rsidRPr="00F32B28">
        <w:rPr>
          <w:rtl/>
          <w:lang w:bidi="ar-SY"/>
        </w:rPr>
        <w:t>المجني</w:t>
      </w:r>
      <w:r w:rsidR="00F32B28">
        <w:rPr>
          <w:rtl/>
          <w:lang w:bidi="ar-SY"/>
        </w:rPr>
        <w:t xml:space="preserve"> </w:t>
      </w:r>
      <w:r w:rsidR="00F32B28" w:rsidRPr="00F32B28">
        <w:rPr>
          <w:rtl/>
          <w:lang w:bidi="ar-SY"/>
        </w:rPr>
        <w:t>عليها</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تتجاوز</w:t>
      </w:r>
      <w:r w:rsidR="00F32B28">
        <w:rPr>
          <w:rtl/>
          <w:lang w:bidi="ar-SY"/>
        </w:rPr>
        <w:t xml:space="preserve"> </w:t>
      </w:r>
      <w:r w:rsidR="00F32B28" w:rsidRPr="00F32B28">
        <w:rPr>
          <w:rtl/>
          <w:lang w:bidi="ar-SY"/>
        </w:rPr>
        <w:t>الخامسة</w:t>
      </w:r>
      <w:r w:rsidR="00F32B28">
        <w:rPr>
          <w:rtl/>
          <w:lang w:bidi="ar-SY"/>
        </w:rPr>
        <w:t xml:space="preserve"> </w:t>
      </w:r>
      <w:r w:rsidR="00F32B28" w:rsidRPr="00F32B28">
        <w:rPr>
          <w:rtl/>
          <w:lang w:bidi="ar-SY"/>
        </w:rPr>
        <w:t>عشر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عمرها.</w:t>
      </w:r>
      <w:r w:rsidR="00F32B28">
        <w:rPr>
          <w:rtl/>
          <w:lang w:bidi="ar-SY"/>
        </w:rPr>
        <w:t xml:space="preserve"> </w:t>
      </w:r>
      <w:r w:rsidR="00F32B28" w:rsidRPr="00F32B28">
        <w:rPr>
          <w:rtl/>
          <w:lang w:bidi="ar-SY"/>
        </w:rPr>
        <w:t>أما</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أتمت</w:t>
      </w:r>
      <w:r w:rsidR="00F32B28">
        <w:rPr>
          <w:rtl/>
          <w:lang w:bidi="ar-SY"/>
        </w:rPr>
        <w:t xml:space="preserve"> </w:t>
      </w:r>
      <w:r w:rsidR="00F32B28" w:rsidRPr="00F32B28">
        <w:rPr>
          <w:rtl/>
          <w:lang w:bidi="ar-SY"/>
        </w:rPr>
        <w:t>الخامسة</w:t>
      </w:r>
      <w:r w:rsidR="00F32B28">
        <w:rPr>
          <w:rtl/>
          <w:lang w:bidi="ar-SY"/>
        </w:rPr>
        <w:t xml:space="preserve"> </w:t>
      </w:r>
      <w:r w:rsidR="00F32B28" w:rsidRPr="00F32B28">
        <w:rPr>
          <w:rtl/>
          <w:lang w:bidi="ar-SY"/>
        </w:rPr>
        <w:t>عشر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العمر</w:t>
      </w:r>
      <w:r w:rsidR="00F32B28">
        <w:rPr>
          <w:rtl/>
          <w:lang w:bidi="ar-SY"/>
        </w:rPr>
        <w:t xml:space="preserve"> </w:t>
      </w:r>
      <w:r w:rsidR="00F32B28" w:rsidRPr="00F32B28">
        <w:rPr>
          <w:rtl/>
          <w:lang w:bidi="ar-SY"/>
        </w:rPr>
        <w:t>لكنها</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تتجاوز</w:t>
      </w:r>
      <w:r w:rsidR="00F32B28">
        <w:rPr>
          <w:rtl/>
          <w:lang w:bidi="ar-SY"/>
        </w:rPr>
        <w:t xml:space="preserve"> </w:t>
      </w:r>
      <w:r w:rsidR="00F32B28" w:rsidRPr="00F32B28">
        <w:rPr>
          <w:rtl/>
          <w:lang w:bidi="ar-SY"/>
        </w:rPr>
        <w:t>الثامنة</w:t>
      </w:r>
      <w:r w:rsidR="00F32B28">
        <w:rPr>
          <w:rtl/>
          <w:lang w:bidi="ar-SY"/>
        </w:rPr>
        <w:t xml:space="preserve"> </w:t>
      </w:r>
      <w:r w:rsidR="00F32B28" w:rsidRPr="00F32B28">
        <w:rPr>
          <w:rtl/>
          <w:lang w:bidi="ar-SY"/>
        </w:rPr>
        <w:t>عشر،</w:t>
      </w:r>
      <w:r w:rsidR="00F32B28">
        <w:rPr>
          <w:rtl/>
          <w:lang w:bidi="ar-SY"/>
        </w:rPr>
        <w:t xml:space="preserve"> </w:t>
      </w:r>
      <w:r w:rsidR="00F32B28" w:rsidRPr="00F32B28">
        <w:rPr>
          <w:rtl/>
          <w:lang w:bidi="ar-SY"/>
        </w:rPr>
        <w:t>وكان</w:t>
      </w:r>
      <w:r w:rsidR="00F32B28">
        <w:rPr>
          <w:rtl/>
          <w:lang w:bidi="ar-SY"/>
        </w:rPr>
        <w:t xml:space="preserve"> </w:t>
      </w:r>
      <w:r w:rsidR="00F32B28" w:rsidRPr="00F32B28">
        <w:rPr>
          <w:rtl/>
          <w:lang w:bidi="ar-SY"/>
        </w:rPr>
        <w:t>المغتصب</w:t>
      </w:r>
      <w:r w:rsidR="00F32B28">
        <w:rPr>
          <w:rtl/>
          <w:lang w:bidi="ar-SY"/>
        </w:rPr>
        <w:t xml:space="preserve"> </w:t>
      </w:r>
      <w:r w:rsidR="00F32B28" w:rsidRPr="00F32B28">
        <w:rPr>
          <w:rtl/>
          <w:lang w:bidi="ar-SY"/>
        </w:rPr>
        <w:t>أحد</w:t>
      </w:r>
      <w:r w:rsidR="00F32B28">
        <w:rPr>
          <w:rtl/>
          <w:lang w:bidi="ar-SY"/>
        </w:rPr>
        <w:t xml:space="preserve"> </w:t>
      </w:r>
      <w:r w:rsidR="00F32B28" w:rsidRPr="00F32B28">
        <w:rPr>
          <w:rtl/>
          <w:lang w:bidi="ar-SY"/>
        </w:rPr>
        <w:t>أصولها</w:t>
      </w:r>
      <w:r w:rsidR="00F32B28">
        <w:rPr>
          <w:rtl/>
          <w:lang w:bidi="ar-SY"/>
        </w:rPr>
        <w:t xml:space="preserve"> </w:t>
      </w:r>
      <w:r w:rsidR="00F32B28" w:rsidRPr="00F32B28">
        <w:rPr>
          <w:rtl/>
          <w:lang w:bidi="ar-SY"/>
        </w:rPr>
        <w:t>الشرعيين</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الشرعيين،</w:t>
      </w:r>
      <w:r w:rsidR="00F32B28">
        <w:rPr>
          <w:rtl/>
          <w:lang w:bidi="ar-SY"/>
        </w:rPr>
        <w:t xml:space="preserve"> </w:t>
      </w:r>
      <w:r w:rsidR="00F32B28" w:rsidRPr="00F32B28">
        <w:rPr>
          <w:rtl/>
          <w:lang w:bidi="ar-SY"/>
        </w:rPr>
        <w:t>فيعاقب</w:t>
      </w:r>
      <w:r w:rsidR="00F32B28">
        <w:rPr>
          <w:rtl/>
          <w:lang w:bidi="ar-SY"/>
        </w:rPr>
        <w:t xml:space="preserve"> </w:t>
      </w:r>
      <w:r w:rsidR="00F32B28" w:rsidRPr="00F32B28">
        <w:rPr>
          <w:rtl/>
          <w:lang w:bidi="ar-SY"/>
        </w:rPr>
        <w:t>بالحبس</w:t>
      </w:r>
      <w:r w:rsidR="00F32B28">
        <w:rPr>
          <w:rtl/>
          <w:lang w:bidi="ar-SY"/>
        </w:rPr>
        <w:t xml:space="preserve"> </w:t>
      </w:r>
      <w:r w:rsidR="00F32B28" w:rsidRPr="00F32B28">
        <w:rPr>
          <w:rtl/>
          <w:lang w:bidi="ar-SY"/>
        </w:rPr>
        <w:t>لمدة</w:t>
      </w:r>
      <w:r w:rsidR="00F32B28">
        <w:rPr>
          <w:rtl/>
          <w:lang w:bidi="ar-SY"/>
        </w:rPr>
        <w:t xml:space="preserve"> </w:t>
      </w:r>
      <w:r w:rsidR="00F32B28" w:rsidRPr="00F32B28">
        <w:rPr>
          <w:rtl/>
          <w:lang w:bidi="ar-SY"/>
        </w:rPr>
        <w:t>تتراوح</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3إلى</w:t>
      </w:r>
      <w:r w:rsidR="00F32B28">
        <w:rPr>
          <w:rtl/>
          <w:lang w:bidi="ar-SY"/>
        </w:rPr>
        <w:t xml:space="preserve"> </w:t>
      </w:r>
      <w:r w:rsidR="00F32B28" w:rsidRPr="00F32B28">
        <w:rPr>
          <w:rtl/>
          <w:lang w:bidi="ar-SY"/>
        </w:rPr>
        <w:t>15</w:t>
      </w:r>
      <w:r w:rsidR="00F32B28">
        <w:rPr>
          <w:rtl/>
          <w:lang w:bidi="ar-SY"/>
        </w:rPr>
        <w:t xml:space="preserve"> </w:t>
      </w:r>
      <w:r w:rsidR="00F32B28" w:rsidRPr="00F32B28">
        <w:rPr>
          <w:rtl/>
          <w:lang w:bidi="ar-SY"/>
        </w:rPr>
        <w:t>سنة.</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تم</w:t>
      </w:r>
      <w:r w:rsidR="00F32B28">
        <w:rPr>
          <w:rtl/>
          <w:lang w:bidi="ar-SY"/>
        </w:rPr>
        <w:t xml:space="preserve"> </w:t>
      </w:r>
      <w:r w:rsidR="00F32B28" w:rsidRPr="00F32B28">
        <w:rPr>
          <w:rtl/>
          <w:lang w:bidi="ar-SY"/>
        </w:rPr>
        <w:t>انعقاد</w:t>
      </w:r>
      <w:r w:rsidR="00F32B28">
        <w:rPr>
          <w:rtl/>
          <w:lang w:bidi="ar-SY"/>
        </w:rPr>
        <w:t xml:space="preserve"> </w:t>
      </w:r>
      <w:r w:rsidR="00F32B28" w:rsidRPr="00F32B28">
        <w:rPr>
          <w:rtl/>
          <w:lang w:bidi="ar-SY"/>
        </w:rPr>
        <w:t>عقد</w:t>
      </w:r>
      <w:r w:rsidR="00F32B28">
        <w:rPr>
          <w:rtl/>
          <w:lang w:bidi="ar-SY"/>
        </w:rPr>
        <w:t xml:space="preserve"> </w:t>
      </w:r>
      <w:r w:rsidR="00F32B28" w:rsidRPr="00F32B28">
        <w:rPr>
          <w:rtl/>
          <w:lang w:bidi="ar-SY"/>
        </w:rPr>
        <w:t>زواج</w:t>
      </w:r>
      <w:r w:rsidR="00F32B28">
        <w:rPr>
          <w:rtl/>
          <w:lang w:bidi="ar-SY"/>
        </w:rPr>
        <w:t xml:space="preserve"> </w:t>
      </w:r>
      <w:r w:rsidR="00F32B28" w:rsidRPr="00F32B28">
        <w:rPr>
          <w:rtl/>
          <w:lang w:bidi="ar-SY"/>
        </w:rPr>
        <w:t>صحيح</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الجاني</w:t>
      </w:r>
      <w:r w:rsidR="00F32B28">
        <w:rPr>
          <w:rtl/>
          <w:lang w:bidi="ar-SY"/>
        </w:rPr>
        <w:t xml:space="preserve"> </w:t>
      </w:r>
      <w:r w:rsidR="00F32B28" w:rsidRPr="00F32B28">
        <w:rPr>
          <w:rtl/>
          <w:lang w:bidi="ar-SY"/>
        </w:rPr>
        <w:t>مرتكب</w:t>
      </w:r>
      <w:r w:rsidR="00F32B28">
        <w:rPr>
          <w:rtl/>
          <w:lang w:bidi="ar-SY"/>
        </w:rPr>
        <w:t xml:space="preserve"> </w:t>
      </w:r>
      <w:r w:rsidR="00F32B28" w:rsidRPr="00F32B28">
        <w:rPr>
          <w:rtl/>
          <w:lang w:bidi="ar-SY"/>
        </w:rPr>
        <w:t>جريمة</w:t>
      </w:r>
      <w:r w:rsidR="00F32B28">
        <w:rPr>
          <w:rtl/>
          <w:lang w:bidi="ar-SY"/>
        </w:rPr>
        <w:t xml:space="preserve"> </w:t>
      </w:r>
      <w:r w:rsidR="00F32B28" w:rsidRPr="00F32B28">
        <w:rPr>
          <w:rtl/>
          <w:lang w:bidi="ar-SY"/>
        </w:rPr>
        <w:t>الاغتصاب</w:t>
      </w:r>
      <w:r w:rsidR="00F32B28">
        <w:rPr>
          <w:rtl/>
          <w:lang w:bidi="ar-SY"/>
        </w:rPr>
        <w:t xml:space="preserve"> </w:t>
      </w:r>
      <w:r w:rsidR="00F32B28" w:rsidRPr="00F32B28">
        <w:rPr>
          <w:rtl/>
          <w:lang w:bidi="ar-SY"/>
        </w:rPr>
        <w:t>وبين</w:t>
      </w:r>
      <w:r w:rsidR="00F32B28">
        <w:rPr>
          <w:rtl/>
          <w:lang w:bidi="ar-SY"/>
        </w:rPr>
        <w:t xml:space="preserve"> </w:t>
      </w:r>
      <w:r w:rsidR="00F32B28" w:rsidRPr="00F32B28">
        <w:rPr>
          <w:rtl/>
          <w:lang w:bidi="ar-SY"/>
        </w:rPr>
        <w:t>الضحية،</w:t>
      </w:r>
      <w:r w:rsidR="00F32B28">
        <w:rPr>
          <w:rtl/>
          <w:lang w:bidi="ar-SY"/>
        </w:rPr>
        <w:t xml:space="preserve"> </w:t>
      </w:r>
      <w:r w:rsidR="00F32B28" w:rsidRPr="00F32B28">
        <w:rPr>
          <w:rtl/>
          <w:lang w:bidi="ar-SY"/>
        </w:rPr>
        <w:t>توقف</w:t>
      </w:r>
      <w:r w:rsidR="00F32B28">
        <w:rPr>
          <w:rtl/>
          <w:lang w:bidi="ar-SY"/>
        </w:rPr>
        <w:t xml:space="preserve"> </w:t>
      </w:r>
      <w:r w:rsidR="00F32B28" w:rsidRPr="00F32B28">
        <w:rPr>
          <w:rtl/>
          <w:lang w:bidi="ar-SY"/>
        </w:rPr>
        <w:t>ملاحقة</w:t>
      </w:r>
      <w:r w:rsidR="00F32B28">
        <w:rPr>
          <w:rtl/>
          <w:lang w:bidi="ar-SY"/>
        </w:rPr>
        <w:t xml:space="preserve"> </w:t>
      </w:r>
      <w:r w:rsidR="00F32B28" w:rsidRPr="00F32B28">
        <w:rPr>
          <w:rtl/>
          <w:lang w:bidi="ar-SY"/>
        </w:rPr>
        <w:t>الجاني</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يوقف</w:t>
      </w:r>
      <w:r w:rsidR="00F32B28">
        <w:rPr>
          <w:rtl/>
          <w:lang w:bidi="ar-SY"/>
        </w:rPr>
        <w:t xml:space="preserve"> </w:t>
      </w:r>
      <w:r w:rsidR="00F32B28" w:rsidRPr="00F32B28">
        <w:rPr>
          <w:rtl/>
          <w:lang w:bidi="ar-SY"/>
        </w:rPr>
        <w:t>تنفيذه</w:t>
      </w:r>
      <w:r w:rsidR="00F32B28">
        <w:rPr>
          <w:rtl/>
          <w:lang w:bidi="ar-SY"/>
        </w:rPr>
        <w:t xml:space="preserve"> </w:t>
      </w:r>
      <w:r w:rsidR="00F32B28" w:rsidRPr="00F32B28">
        <w:rPr>
          <w:rtl/>
          <w:lang w:bidi="ar-SY"/>
        </w:rPr>
        <w:t>لعقوبته</w:t>
      </w:r>
      <w:r w:rsidR="00F32B28">
        <w:rPr>
          <w:rtl/>
          <w:lang w:bidi="ar-SY"/>
        </w:rPr>
        <w:t xml:space="preserve"> </w:t>
      </w:r>
      <w:r w:rsidR="00F32B28" w:rsidRPr="00F32B28">
        <w:rPr>
          <w:rtl/>
          <w:lang w:bidi="ar-SY"/>
        </w:rPr>
        <w:t>بحسب</w:t>
      </w:r>
      <w:r w:rsidR="00F32B28">
        <w:rPr>
          <w:rtl/>
          <w:lang w:bidi="ar-SY"/>
        </w:rPr>
        <w:t xml:space="preserve"> </w:t>
      </w:r>
      <w:r w:rsidR="00F32B28" w:rsidRPr="00F32B28">
        <w:rPr>
          <w:rtl/>
          <w:lang w:bidi="ar-SY"/>
        </w:rPr>
        <w:t>الحال،</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يشكل</w:t>
      </w:r>
      <w:r w:rsidR="00F32B28">
        <w:rPr>
          <w:rtl/>
          <w:lang w:bidi="ar-SY"/>
        </w:rPr>
        <w:t xml:space="preserve"> </w:t>
      </w:r>
      <w:r w:rsidR="00F32B28" w:rsidRPr="00F32B28">
        <w:rPr>
          <w:rtl/>
          <w:lang w:bidi="ar-SY"/>
        </w:rPr>
        <w:t>عقوبة</w:t>
      </w:r>
      <w:r w:rsidR="00F32B28">
        <w:rPr>
          <w:rtl/>
          <w:lang w:bidi="ar-SY"/>
        </w:rPr>
        <w:t xml:space="preserve"> </w:t>
      </w:r>
      <w:r w:rsidR="00F32B28" w:rsidRPr="00F32B28">
        <w:rPr>
          <w:rtl/>
          <w:lang w:bidi="ar-SY"/>
        </w:rPr>
        <w:t>مزدوجة</w:t>
      </w:r>
      <w:r w:rsidR="00F32B28">
        <w:rPr>
          <w:rtl/>
          <w:lang w:bidi="ar-SY"/>
        </w:rPr>
        <w:t xml:space="preserve"> </w:t>
      </w:r>
      <w:r w:rsidR="00F32B28" w:rsidRPr="00F32B28">
        <w:rPr>
          <w:rtl/>
          <w:lang w:bidi="ar-SY"/>
        </w:rPr>
        <w:t>للضحية</w:t>
      </w:r>
      <w:r w:rsidR="008D730A">
        <w:rPr>
          <w:rFonts w:hint="cs"/>
          <w:rtl/>
          <w:lang w:bidi="ar-SY"/>
        </w:rPr>
        <w:t xml:space="preserve"> </w:t>
      </w:r>
      <w:r w:rsidR="00F32B28" w:rsidRPr="00F32B28">
        <w:rPr>
          <w:rtl/>
          <w:lang w:bidi="ar-SY"/>
        </w:rPr>
        <w:t>وإغفالا</w:t>
      </w:r>
      <w:r w:rsidR="00F32B28">
        <w:rPr>
          <w:rtl/>
          <w:lang w:bidi="ar-SY"/>
        </w:rPr>
        <w:t xml:space="preserve"> </w:t>
      </w:r>
      <w:r w:rsidR="00F32B28" w:rsidRPr="00F32B28">
        <w:rPr>
          <w:rtl/>
          <w:lang w:bidi="ar-SY"/>
        </w:rPr>
        <w:t>للبعد</w:t>
      </w:r>
      <w:r w:rsidR="00F32B28">
        <w:rPr>
          <w:rtl/>
          <w:lang w:bidi="ar-SY"/>
        </w:rPr>
        <w:t xml:space="preserve"> </w:t>
      </w:r>
      <w:r w:rsidR="00F32B28" w:rsidRPr="00F32B28">
        <w:rPr>
          <w:rtl/>
          <w:lang w:bidi="ar-SY"/>
        </w:rPr>
        <w:t>والتأثير</w:t>
      </w:r>
      <w:r w:rsidR="00F32B28">
        <w:rPr>
          <w:rtl/>
          <w:lang w:bidi="ar-SY"/>
        </w:rPr>
        <w:t xml:space="preserve"> </w:t>
      </w:r>
      <w:r w:rsidR="00F32B28" w:rsidRPr="00F32B28">
        <w:rPr>
          <w:rtl/>
          <w:lang w:bidi="ar-SY"/>
        </w:rPr>
        <w:t>النفسي</w:t>
      </w:r>
      <w:r w:rsidR="00F32B28">
        <w:rPr>
          <w:rtl/>
          <w:lang w:bidi="ar-SY"/>
        </w:rPr>
        <w:t xml:space="preserve"> </w:t>
      </w:r>
      <w:r w:rsidR="00F32B28" w:rsidRPr="00F32B28">
        <w:rPr>
          <w:rtl/>
          <w:lang w:bidi="ar-SY"/>
        </w:rPr>
        <w:t>لديها</w:t>
      </w:r>
      <w:r w:rsidR="00F32B28">
        <w:rPr>
          <w:rtl/>
          <w:lang w:bidi="ar-SY"/>
        </w:rPr>
        <w:t xml:space="preserve"> </w:t>
      </w:r>
      <w:r w:rsidR="00F32B28" w:rsidRPr="00F32B28">
        <w:rPr>
          <w:rtl/>
          <w:lang w:bidi="ar-SY"/>
        </w:rPr>
        <w:t>ووسيلة</w:t>
      </w:r>
      <w:r w:rsidR="00F32B28">
        <w:rPr>
          <w:rtl/>
          <w:lang w:bidi="ar-SY"/>
        </w:rPr>
        <w:t xml:space="preserve"> </w:t>
      </w:r>
      <w:r w:rsidR="00F32B28" w:rsidRPr="00F32B28">
        <w:rPr>
          <w:rtl/>
          <w:lang w:bidi="ar-SY"/>
        </w:rPr>
        <w:t>تفتح</w:t>
      </w:r>
      <w:r w:rsidR="00F32B28">
        <w:rPr>
          <w:rtl/>
          <w:lang w:bidi="ar-SY"/>
        </w:rPr>
        <w:t xml:space="preserve"> </w:t>
      </w:r>
      <w:r w:rsidR="00F32B28" w:rsidRPr="00F32B28">
        <w:rPr>
          <w:rtl/>
          <w:lang w:bidi="ar-SY"/>
        </w:rPr>
        <w:t>للجاني</w:t>
      </w:r>
      <w:r w:rsidR="00F32B28">
        <w:rPr>
          <w:rtl/>
          <w:lang w:bidi="ar-SY"/>
        </w:rPr>
        <w:t xml:space="preserve"> </w:t>
      </w:r>
      <w:r w:rsidR="00F32B28" w:rsidRPr="00F32B28">
        <w:rPr>
          <w:rtl/>
          <w:lang w:bidi="ar-SY"/>
        </w:rPr>
        <w:t>الباب</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مصراعيه</w:t>
      </w:r>
      <w:r w:rsidR="00F32B28">
        <w:rPr>
          <w:rtl/>
          <w:lang w:bidi="ar-SY"/>
        </w:rPr>
        <w:t xml:space="preserve"> </w:t>
      </w:r>
      <w:r w:rsidR="00F32B28" w:rsidRPr="00F32B28">
        <w:rPr>
          <w:rtl/>
          <w:lang w:bidi="ar-SY"/>
        </w:rPr>
        <w:t>للإفلات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العقاب.</w:t>
      </w:r>
      <w:r w:rsidR="00F32B28">
        <w:rPr>
          <w:rtl/>
          <w:lang w:bidi="ar-SY"/>
        </w:rPr>
        <w:t xml:space="preserve"> </w:t>
      </w:r>
      <w:r w:rsidR="00F32B28" w:rsidRPr="00F32B28">
        <w:rPr>
          <w:rtl/>
          <w:lang w:bidi="ar-SY"/>
        </w:rPr>
        <w:t>وتستعيد</w:t>
      </w:r>
      <w:r w:rsidR="00F32B28">
        <w:rPr>
          <w:rtl/>
          <w:lang w:bidi="ar-SY"/>
        </w:rPr>
        <w:t xml:space="preserve"> </w:t>
      </w:r>
      <w:r w:rsidR="00F32B28" w:rsidRPr="00F32B28">
        <w:rPr>
          <w:rtl/>
          <w:lang w:bidi="ar-SY"/>
        </w:rPr>
        <w:t>النيابة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حقها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الملاحقة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تنفيذ</w:t>
      </w:r>
      <w:r w:rsidR="00F32B28">
        <w:rPr>
          <w:rtl/>
          <w:lang w:bidi="ar-SY"/>
        </w:rPr>
        <w:t xml:space="preserve"> </w:t>
      </w:r>
      <w:r w:rsidR="00F32B28" w:rsidRPr="00F32B28">
        <w:rPr>
          <w:rtl/>
          <w:lang w:bidi="ar-SY"/>
        </w:rPr>
        <w:t>العقوبة</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انتهى</w:t>
      </w:r>
      <w:r w:rsidR="00F32B28">
        <w:rPr>
          <w:rtl/>
          <w:lang w:bidi="ar-SY"/>
        </w:rPr>
        <w:t xml:space="preserve"> </w:t>
      </w:r>
      <w:r w:rsidR="00F32B28" w:rsidRPr="00F32B28">
        <w:rPr>
          <w:rtl/>
          <w:lang w:bidi="ar-SY"/>
        </w:rPr>
        <w:t>الزواج</w:t>
      </w:r>
      <w:r w:rsidR="00F32B28">
        <w:rPr>
          <w:rtl/>
          <w:lang w:bidi="ar-SY"/>
        </w:rPr>
        <w:t xml:space="preserve"> </w:t>
      </w:r>
      <w:r w:rsidR="00F32B28" w:rsidRPr="00F32B28">
        <w:rPr>
          <w:rtl/>
          <w:lang w:bidi="ar-SY"/>
        </w:rPr>
        <w:t>بطلاق</w:t>
      </w:r>
      <w:r w:rsidR="00F32B28">
        <w:rPr>
          <w:rtl/>
          <w:lang w:bidi="ar-SY"/>
        </w:rPr>
        <w:t xml:space="preserve"> </w:t>
      </w:r>
      <w:r w:rsidR="00F32B28" w:rsidRPr="00F32B28">
        <w:rPr>
          <w:rtl/>
          <w:lang w:bidi="ar-SY"/>
        </w:rPr>
        <w:t>الضحية</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سبب</w:t>
      </w:r>
      <w:r w:rsidR="00F32B28">
        <w:rPr>
          <w:rtl/>
          <w:lang w:bidi="ar-SY"/>
        </w:rPr>
        <w:t xml:space="preserve"> </w:t>
      </w:r>
      <w:r w:rsidR="00F32B28" w:rsidRPr="00F32B28">
        <w:rPr>
          <w:rtl/>
          <w:lang w:bidi="ar-SY"/>
        </w:rPr>
        <w:t>مشروع</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انقضاء</w:t>
      </w:r>
      <w:r w:rsidR="00F32B28">
        <w:rPr>
          <w:rtl/>
          <w:lang w:bidi="ar-SY"/>
        </w:rPr>
        <w:t xml:space="preserve"> </w:t>
      </w:r>
      <w:r w:rsidR="00F32B28" w:rsidRPr="00F32B28">
        <w:rPr>
          <w:rtl/>
          <w:lang w:bidi="ar-SY"/>
        </w:rPr>
        <w:t>ثلاث</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الجنحة</w:t>
      </w:r>
      <w:r w:rsidR="00F32B28">
        <w:rPr>
          <w:rtl/>
          <w:lang w:bidi="ar-SY"/>
        </w:rPr>
        <w:t xml:space="preserve"> </w:t>
      </w:r>
      <w:r w:rsidR="00F32B28" w:rsidRPr="00F32B28">
        <w:rPr>
          <w:rtl/>
          <w:lang w:bidi="ar-SY"/>
        </w:rPr>
        <w:t>وانقضاء</w:t>
      </w:r>
      <w:r w:rsidR="00F32B28">
        <w:rPr>
          <w:rtl/>
          <w:lang w:bidi="ar-SY"/>
        </w:rPr>
        <w:t xml:space="preserve"> </w:t>
      </w:r>
      <w:r w:rsidR="00F32B28" w:rsidRPr="00F32B28">
        <w:rPr>
          <w:rtl/>
          <w:lang w:bidi="ar-SY"/>
        </w:rPr>
        <w:t>خمس</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الجناية.</w:t>
      </w:r>
      <w:r w:rsidR="008D730A">
        <w:rPr>
          <w:rFonts w:hint="cs"/>
          <w:rtl/>
          <w:lang w:bidi="ar-SY"/>
        </w:rPr>
        <w:t xml:space="preserve"> </w:t>
      </w:r>
      <w:r w:rsidR="00F32B28" w:rsidRPr="00F32B28">
        <w:rPr>
          <w:rtl/>
          <w:lang w:bidi="ar-SY"/>
        </w:rPr>
        <w:t>كما</w:t>
      </w:r>
      <w:r w:rsidR="00F32B28">
        <w:rPr>
          <w:rtl/>
          <w:lang w:bidi="ar-SY"/>
        </w:rPr>
        <w:t xml:space="preserve"> </w:t>
      </w:r>
      <w:r w:rsidR="00F32B28" w:rsidRPr="00F32B28">
        <w:rPr>
          <w:rtl/>
          <w:lang w:bidi="ar-SY"/>
        </w:rPr>
        <w:t>أخرجت</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نطاق</w:t>
      </w:r>
      <w:r w:rsidR="00F32B28">
        <w:rPr>
          <w:rtl/>
          <w:lang w:bidi="ar-SY"/>
        </w:rPr>
        <w:t xml:space="preserve"> </w:t>
      </w:r>
      <w:r w:rsidR="00F32B28" w:rsidRPr="00F32B28">
        <w:rPr>
          <w:rtl/>
          <w:lang w:bidi="ar-SY"/>
        </w:rPr>
        <w:t>تجريمها</w:t>
      </w:r>
      <w:r w:rsidR="00F32B28">
        <w:rPr>
          <w:rtl/>
          <w:lang w:bidi="ar-SY"/>
        </w:rPr>
        <w:t xml:space="preserve"> </w:t>
      </w:r>
      <w:r w:rsidR="00F32B28" w:rsidRPr="00F32B28">
        <w:rPr>
          <w:rtl/>
          <w:lang w:bidi="ar-SY"/>
        </w:rPr>
        <w:t>مواقعة</w:t>
      </w:r>
      <w:r w:rsidR="00F32B28">
        <w:rPr>
          <w:rtl/>
          <w:lang w:bidi="ar-SY"/>
        </w:rPr>
        <w:t xml:space="preserve"> </w:t>
      </w:r>
      <w:r w:rsidR="00F32B28" w:rsidRPr="00F32B28">
        <w:rPr>
          <w:rtl/>
          <w:lang w:bidi="ar-SY"/>
        </w:rPr>
        <w:t>الزوجة</w:t>
      </w:r>
      <w:r w:rsidR="00F32B28">
        <w:rPr>
          <w:rtl/>
          <w:lang w:bidi="ar-SY"/>
        </w:rPr>
        <w:t xml:space="preserve"> </w:t>
      </w:r>
      <w:r w:rsidR="00F32B28" w:rsidRPr="00F32B28">
        <w:rPr>
          <w:rtl/>
          <w:lang w:bidi="ar-SY"/>
        </w:rPr>
        <w:t>بالإكراه،</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أنها</w:t>
      </w:r>
      <w:r w:rsidR="00F32B28">
        <w:rPr>
          <w:rtl/>
          <w:lang w:bidi="ar-SY"/>
        </w:rPr>
        <w:t xml:space="preserve"> </w:t>
      </w:r>
      <w:r w:rsidR="00F32B28" w:rsidRPr="00F32B28">
        <w:rPr>
          <w:rtl/>
          <w:lang w:bidi="ar-SY"/>
        </w:rPr>
        <w:t>أباحت</w:t>
      </w:r>
      <w:r w:rsidR="00F32B28">
        <w:rPr>
          <w:rtl/>
          <w:lang w:bidi="ar-SY"/>
        </w:rPr>
        <w:t xml:space="preserve"> </w:t>
      </w:r>
      <w:r w:rsidR="00F32B28" w:rsidRPr="00F32B28">
        <w:rPr>
          <w:rtl/>
          <w:lang w:bidi="ar-SY"/>
        </w:rPr>
        <w:t>الاغتصاب</w:t>
      </w:r>
      <w:r w:rsidR="00F32B28">
        <w:rPr>
          <w:rtl/>
          <w:lang w:bidi="ar-SY"/>
        </w:rPr>
        <w:t xml:space="preserve"> </w:t>
      </w:r>
      <w:r w:rsidR="00F32B28" w:rsidRPr="00F32B28">
        <w:rPr>
          <w:rtl/>
          <w:lang w:bidi="ar-SY"/>
        </w:rPr>
        <w:t>الزوجي،</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يعتبر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أسوأ</w:t>
      </w:r>
      <w:r w:rsidR="00F32B28">
        <w:rPr>
          <w:rtl/>
          <w:lang w:bidi="ar-SY"/>
        </w:rPr>
        <w:t xml:space="preserve"> </w:t>
      </w:r>
      <w:r w:rsidR="00F32B28" w:rsidRPr="00F32B28">
        <w:rPr>
          <w:rtl/>
          <w:lang w:bidi="ar-SY"/>
        </w:rPr>
        <w:t>أشكال</w:t>
      </w:r>
      <w:r w:rsidR="00F32B28">
        <w:rPr>
          <w:rtl/>
          <w:lang w:bidi="ar-SY"/>
        </w:rPr>
        <w:t xml:space="preserve"> </w:t>
      </w:r>
      <w:r w:rsidR="00F32B28" w:rsidRPr="00F32B28">
        <w:rPr>
          <w:rtl/>
          <w:lang w:bidi="ar-SY"/>
        </w:rPr>
        <w:t>العنف</w:t>
      </w:r>
      <w:r w:rsidR="00F32B28">
        <w:rPr>
          <w:rtl/>
          <w:lang w:bidi="ar-SY"/>
        </w:rPr>
        <w:t xml:space="preserve"> </w:t>
      </w:r>
      <w:r w:rsidR="00F32B28" w:rsidRPr="00F32B28">
        <w:rPr>
          <w:rtl/>
          <w:lang w:bidi="ar-SY"/>
        </w:rPr>
        <w:t>الأسري</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تتعرض</w:t>
      </w:r>
      <w:r w:rsidR="00F32B28">
        <w:rPr>
          <w:rtl/>
          <w:lang w:bidi="ar-SY"/>
        </w:rPr>
        <w:t xml:space="preserve"> </w:t>
      </w:r>
      <w:r w:rsidR="00F32B28" w:rsidRPr="00F32B28">
        <w:rPr>
          <w:rtl/>
          <w:lang w:bidi="ar-SY"/>
        </w:rPr>
        <w:t>له</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ووجه</w:t>
      </w:r>
      <w:r w:rsidR="00F32B28">
        <w:rPr>
          <w:rtl/>
          <w:lang w:bidi="ar-SY"/>
        </w:rPr>
        <w:t xml:space="preserve"> </w:t>
      </w:r>
      <w:r w:rsidR="00F32B28" w:rsidRPr="00F32B28">
        <w:rPr>
          <w:rtl/>
          <w:lang w:bidi="ar-SY"/>
        </w:rPr>
        <w:t>آخر</w:t>
      </w:r>
      <w:r w:rsidR="00F32B28">
        <w:rPr>
          <w:rtl/>
          <w:lang w:bidi="ar-SY"/>
        </w:rPr>
        <w:t xml:space="preserve"> </w:t>
      </w:r>
      <w:r w:rsidR="00F32B28" w:rsidRPr="00F32B28">
        <w:rPr>
          <w:rtl/>
          <w:lang w:bidi="ar-SY"/>
        </w:rPr>
        <w:t>لانتهاك</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وحرمة</w:t>
      </w:r>
      <w:r w:rsidR="00F32B28">
        <w:rPr>
          <w:rtl/>
          <w:lang w:bidi="ar-SY"/>
        </w:rPr>
        <w:t xml:space="preserve"> </w:t>
      </w:r>
      <w:r w:rsidR="00F32B28" w:rsidRPr="00F32B28">
        <w:rPr>
          <w:rtl/>
          <w:lang w:bidi="ar-SY"/>
        </w:rPr>
        <w:t>جسدها</w:t>
      </w:r>
      <w:r w:rsidR="00F32B28">
        <w:rPr>
          <w:rtl/>
          <w:lang w:bidi="ar-SY"/>
        </w:rPr>
        <w:t xml:space="preserve"> </w:t>
      </w:r>
      <w:r w:rsidR="00F32B28" w:rsidRPr="00F32B28">
        <w:rPr>
          <w:rtl/>
          <w:lang w:bidi="ar-SY"/>
        </w:rPr>
        <w:t>وامتهاناً</w:t>
      </w:r>
      <w:r w:rsidR="00F32B28">
        <w:rPr>
          <w:rtl/>
          <w:lang w:bidi="ar-SY"/>
        </w:rPr>
        <w:t xml:space="preserve"> </w:t>
      </w:r>
      <w:r w:rsidR="00F32B28" w:rsidRPr="00F32B28">
        <w:rPr>
          <w:rtl/>
          <w:lang w:bidi="ar-SY"/>
        </w:rPr>
        <w:t>لكرامتها.</w:t>
      </w:r>
    </w:p>
    <w:p w:rsidR="00F32B28" w:rsidRPr="00F32B28" w:rsidRDefault="00DF6B4E" w:rsidP="00DF6B4E">
      <w:pPr>
        <w:pStyle w:val="SingleTxt"/>
        <w:rPr>
          <w:rtl/>
          <w:lang w:bidi="ar-SY"/>
        </w:rPr>
      </w:pPr>
      <w:r>
        <w:rPr>
          <w:rFonts w:hint="cs"/>
          <w:rtl/>
          <w:lang w:bidi="ar-SY"/>
        </w:rPr>
        <w:t>44 -</w:t>
      </w:r>
      <w:r>
        <w:rPr>
          <w:rFonts w:hint="cs"/>
          <w:rtl/>
          <w:lang w:bidi="ar-SY"/>
        </w:rPr>
        <w:tab/>
      </w:r>
      <w:r w:rsidR="00F32B28" w:rsidRPr="00F32B28">
        <w:rPr>
          <w:rtl/>
          <w:lang w:bidi="ar-SY"/>
        </w:rPr>
        <w:t>في</w:t>
      </w:r>
      <w:r w:rsidR="00F32B28">
        <w:rPr>
          <w:rtl/>
          <w:lang w:bidi="ar-SY"/>
        </w:rPr>
        <w:t xml:space="preserve"> </w:t>
      </w:r>
      <w:r w:rsidR="00F32B28" w:rsidRPr="00F32B28">
        <w:rPr>
          <w:rtl/>
          <w:lang w:bidi="ar-SY"/>
        </w:rPr>
        <w:t>حين</w:t>
      </w:r>
      <w:r w:rsidR="00F32B28">
        <w:rPr>
          <w:rtl/>
          <w:lang w:bidi="ar-SY"/>
        </w:rPr>
        <w:t xml:space="preserve"> </w:t>
      </w:r>
      <w:r w:rsidR="00F32B28" w:rsidRPr="00F32B28">
        <w:rPr>
          <w:rtl/>
          <w:lang w:bidi="ar-SY"/>
        </w:rPr>
        <w:t>يشدد</w:t>
      </w:r>
      <w:r w:rsidR="00F32B28">
        <w:rPr>
          <w:rtl/>
          <w:lang w:bidi="ar-SY"/>
        </w:rPr>
        <w:t xml:space="preserve"> </w:t>
      </w:r>
      <w:r w:rsidR="00F32B28" w:rsidRPr="00F32B28">
        <w:rPr>
          <w:rtl/>
          <w:lang w:bidi="ar-SY"/>
        </w:rPr>
        <w:t>مشروع</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العقوبات</w:t>
      </w:r>
      <w:r w:rsidR="00F32B28">
        <w:rPr>
          <w:rtl/>
          <w:lang w:bidi="ar-SY"/>
        </w:rPr>
        <w:t xml:space="preserve"> </w:t>
      </w:r>
      <w:r w:rsidR="00F32B28" w:rsidRPr="00F32B28">
        <w:rPr>
          <w:rtl/>
          <w:lang w:bidi="ar-SY"/>
        </w:rPr>
        <w:t>العقوبة</w:t>
      </w:r>
      <w:r w:rsidR="00F32B28">
        <w:rPr>
          <w:rtl/>
          <w:lang w:bidi="ar-SY"/>
        </w:rPr>
        <w:t xml:space="preserve"> </w:t>
      </w:r>
      <w:r w:rsidR="00F32B28" w:rsidRPr="00F32B28">
        <w:rPr>
          <w:rtl/>
          <w:lang w:bidi="ar-SY"/>
        </w:rPr>
        <w:t>المفروضة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مرتكبي</w:t>
      </w:r>
      <w:r w:rsidR="00F32B28">
        <w:rPr>
          <w:rtl/>
          <w:lang w:bidi="ar-SY"/>
        </w:rPr>
        <w:t xml:space="preserve"> </w:t>
      </w:r>
      <w:r w:rsidR="00F32B28" w:rsidRPr="00F32B28">
        <w:rPr>
          <w:rtl/>
          <w:lang w:bidi="ar-SY"/>
        </w:rPr>
        <w:t>جريمة</w:t>
      </w:r>
      <w:r w:rsidR="00F32B28">
        <w:rPr>
          <w:rtl/>
          <w:lang w:bidi="ar-SY"/>
        </w:rPr>
        <w:t xml:space="preserve"> </w:t>
      </w:r>
      <w:r w:rsidR="00F32B28" w:rsidRPr="00F32B28">
        <w:rPr>
          <w:rtl/>
          <w:lang w:bidi="ar-SY"/>
        </w:rPr>
        <w:t>الاغتصاب</w:t>
      </w:r>
      <w:r w:rsidR="00F32B28">
        <w:rPr>
          <w:rtl/>
          <w:lang w:bidi="ar-SY"/>
        </w:rPr>
        <w:t xml:space="preserve"> </w:t>
      </w:r>
      <w:r w:rsidR="00F32B28" w:rsidRPr="00F32B28">
        <w:rPr>
          <w:rtl/>
          <w:lang w:bidi="ar-SY"/>
        </w:rPr>
        <w:t>لتصل</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عشرين</w:t>
      </w:r>
      <w:r w:rsidR="00F32B28">
        <w:rPr>
          <w:rtl/>
          <w:lang w:bidi="ar-SY"/>
        </w:rPr>
        <w:t xml:space="preserve"> </w:t>
      </w:r>
      <w:r w:rsidR="00F32B28" w:rsidRPr="00F32B28">
        <w:rPr>
          <w:rtl/>
          <w:lang w:bidi="ar-SY"/>
        </w:rPr>
        <w:t>عاماً،</w:t>
      </w:r>
      <w:r w:rsidR="00F32B28">
        <w:rPr>
          <w:rtl/>
          <w:lang w:bidi="ar-SY"/>
        </w:rPr>
        <w:t xml:space="preserve"> </w:t>
      </w:r>
      <w:r w:rsidR="00F32B28" w:rsidRPr="00F32B28">
        <w:rPr>
          <w:rtl/>
          <w:lang w:bidi="ar-SY"/>
        </w:rPr>
        <w:t>أو</w:t>
      </w:r>
      <w:r w:rsidR="008D730A">
        <w:rPr>
          <w:rFonts w:hint="cs"/>
          <w:rtl/>
          <w:lang w:bidi="ar-SY"/>
        </w:rPr>
        <w:t xml:space="preserve"> </w:t>
      </w:r>
      <w:r w:rsidR="00F32B28" w:rsidRPr="00F32B28">
        <w:rPr>
          <w:rtl/>
          <w:lang w:bidi="ar-SY"/>
        </w:rPr>
        <w:t>السجن</w:t>
      </w:r>
      <w:r w:rsidR="00F32B28">
        <w:rPr>
          <w:rtl/>
          <w:lang w:bidi="ar-SY"/>
        </w:rPr>
        <w:t xml:space="preserve"> </w:t>
      </w:r>
      <w:r w:rsidR="00F32B28" w:rsidRPr="00F32B28">
        <w:rPr>
          <w:rtl/>
          <w:lang w:bidi="ar-SY"/>
        </w:rPr>
        <w:t>لمدى</w:t>
      </w:r>
      <w:r w:rsidR="00F32B28">
        <w:rPr>
          <w:rtl/>
          <w:lang w:bidi="ar-SY"/>
        </w:rPr>
        <w:t xml:space="preserve"> </w:t>
      </w:r>
      <w:r w:rsidR="00F32B28" w:rsidRPr="00F32B28">
        <w:rPr>
          <w:rtl/>
          <w:lang w:bidi="ar-SY"/>
        </w:rPr>
        <w:t>الحياة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مواقعة</w:t>
      </w:r>
      <w:r w:rsidR="00F32B28">
        <w:rPr>
          <w:rtl/>
          <w:lang w:bidi="ar-SY"/>
        </w:rPr>
        <w:t xml:space="preserve"> </w:t>
      </w:r>
      <w:r w:rsidR="00F32B28" w:rsidRPr="00F32B28">
        <w:rPr>
          <w:rtl/>
          <w:lang w:bidi="ar-SY"/>
        </w:rPr>
        <w:t>أنثى</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تتم</w:t>
      </w:r>
      <w:r w:rsidR="00F32B28">
        <w:rPr>
          <w:rtl/>
          <w:lang w:bidi="ar-SY"/>
        </w:rPr>
        <w:t xml:space="preserve"> </w:t>
      </w:r>
      <w:r w:rsidR="00F32B28" w:rsidRPr="00F32B28">
        <w:rPr>
          <w:rtl/>
          <w:lang w:bidi="ar-SY"/>
        </w:rPr>
        <w:t>الثامنة</w:t>
      </w:r>
      <w:r w:rsidR="00F32B28">
        <w:rPr>
          <w:rtl/>
          <w:lang w:bidi="ar-SY"/>
        </w:rPr>
        <w:t xml:space="preserve"> </w:t>
      </w:r>
      <w:r w:rsidR="00F32B28" w:rsidRPr="00F32B28">
        <w:rPr>
          <w:rtl/>
          <w:lang w:bidi="ar-SY"/>
        </w:rPr>
        <w:t>عشرة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عمرها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أنثى</w:t>
      </w:r>
      <w:r w:rsidR="00F32B28">
        <w:rPr>
          <w:rtl/>
          <w:lang w:bidi="ar-SY"/>
        </w:rPr>
        <w:t xml:space="preserve"> </w:t>
      </w:r>
      <w:r w:rsidR="00F32B28" w:rsidRPr="00F32B28">
        <w:rPr>
          <w:rtl/>
          <w:lang w:bidi="ar-SY"/>
        </w:rPr>
        <w:t>لا</w:t>
      </w:r>
      <w:r w:rsidR="008C7FF9">
        <w:rPr>
          <w:rFonts w:hint="cs"/>
          <w:rtl/>
          <w:lang w:bidi="ar-SY"/>
        </w:rPr>
        <w:t> </w:t>
      </w:r>
      <w:r w:rsidR="00F32B28" w:rsidRPr="00F32B28">
        <w:rPr>
          <w:rtl/>
          <w:lang w:bidi="ar-SY"/>
        </w:rPr>
        <w:t>تستطيع</w:t>
      </w:r>
      <w:r w:rsidR="00F32B28">
        <w:rPr>
          <w:rtl/>
          <w:lang w:bidi="ar-SY"/>
        </w:rPr>
        <w:t xml:space="preserve"> </w:t>
      </w:r>
      <w:r w:rsidR="00F32B28" w:rsidRPr="00F32B28">
        <w:rPr>
          <w:rtl/>
          <w:lang w:bidi="ar-SY"/>
        </w:rPr>
        <w:t>المقاومة</w:t>
      </w:r>
      <w:r w:rsidR="00F32B28">
        <w:rPr>
          <w:rtl/>
          <w:lang w:bidi="ar-SY"/>
        </w:rPr>
        <w:t xml:space="preserve"> </w:t>
      </w:r>
      <w:r w:rsidR="00F32B28" w:rsidRPr="00F32B28">
        <w:rPr>
          <w:rtl/>
          <w:lang w:bidi="ar-SY"/>
        </w:rPr>
        <w:t>بسبب</w:t>
      </w:r>
      <w:r w:rsidR="00F32B28">
        <w:rPr>
          <w:rtl/>
          <w:lang w:bidi="ar-SY"/>
        </w:rPr>
        <w:t xml:space="preserve"> </w:t>
      </w:r>
      <w:r w:rsidR="00F32B28" w:rsidRPr="00F32B28">
        <w:rPr>
          <w:rtl/>
          <w:lang w:bidi="ar-SY"/>
        </w:rPr>
        <w:t>ضعف</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عجز.</w:t>
      </w:r>
      <w:r w:rsidR="00F32B28">
        <w:rPr>
          <w:rtl/>
          <w:lang w:bidi="ar-SY"/>
        </w:rPr>
        <w:t xml:space="preserve"> </w:t>
      </w:r>
      <w:r w:rsidR="00F32B28" w:rsidRPr="00F32B28">
        <w:rPr>
          <w:rtl/>
          <w:lang w:bidi="ar-SY"/>
        </w:rPr>
        <w:t>ولم</w:t>
      </w:r>
      <w:r w:rsidR="00F32B28">
        <w:rPr>
          <w:rtl/>
          <w:lang w:bidi="ar-SY"/>
        </w:rPr>
        <w:t xml:space="preserve"> </w:t>
      </w:r>
      <w:r w:rsidR="00F32B28" w:rsidRPr="00F32B28">
        <w:rPr>
          <w:rtl/>
          <w:lang w:bidi="ar-SY"/>
        </w:rPr>
        <w:t>يعفِ</w:t>
      </w:r>
      <w:r w:rsidR="00F32B28">
        <w:rPr>
          <w:rtl/>
          <w:lang w:bidi="ar-SY"/>
        </w:rPr>
        <w:t xml:space="preserve"> </w:t>
      </w:r>
      <w:r w:rsidR="00F32B28" w:rsidRPr="00F32B28">
        <w:rPr>
          <w:rtl/>
          <w:lang w:bidi="ar-SY"/>
        </w:rPr>
        <w:t>المشروع</w:t>
      </w:r>
      <w:r w:rsidR="00F32B28">
        <w:rPr>
          <w:rtl/>
          <w:lang w:bidi="ar-SY"/>
        </w:rPr>
        <w:t xml:space="preserve"> </w:t>
      </w:r>
      <w:r w:rsidR="00F32B28" w:rsidRPr="00F32B28">
        <w:rPr>
          <w:rtl/>
          <w:lang w:bidi="ar-SY"/>
        </w:rPr>
        <w:t>الجاني</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الملاحقة</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جريمته</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زواجه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الضحية.</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المشروع</w:t>
      </w:r>
      <w:r w:rsidR="00F32B28">
        <w:rPr>
          <w:rtl/>
          <w:lang w:bidi="ar-SY"/>
        </w:rPr>
        <w:t xml:space="preserve"> </w:t>
      </w:r>
      <w:r w:rsidR="00F32B28" w:rsidRPr="00F32B28">
        <w:rPr>
          <w:rtl/>
          <w:lang w:bidi="ar-SY"/>
        </w:rPr>
        <w:t>استثنى</w:t>
      </w:r>
      <w:r w:rsidR="00F32B28">
        <w:rPr>
          <w:rtl/>
          <w:lang w:bidi="ar-SY"/>
        </w:rPr>
        <w:t xml:space="preserve"> </w:t>
      </w:r>
      <w:r w:rsidR="00F32B28" w:rsidRPr="00F32B28">
        <w:rPr>
          <w:rtl/>
          <w:lang w:bidi="ar-SY"/>
        </w:rPr>
        <w:t>بنصوصه</w:t>
      </w:r>
      <w:r w:rsidR="00F32B28">
        <w:rPr>
          <w:rtl/>
          <w:lang w:bidi="ar-SY"/>
        </w:rPr>
        <w:t xml:space="preserve"> </w:t>
      </w:r>
      <w:r w:rsidR="00F32B28" w:rsidRPr="00F32B28">
        <w:rPr>
          <w:rtl/>
          <w:lang w:bidi="ar-SY"/>
        </w:rPr>
        <w:t>الاغتصاب</w:t>
      </w:r>
      <w:r w:rsidR="00F32B28">
        <w:rPr>
          <w:rtl/>
          <w:lang w:bidi="ar-SY"/>
        </w:rPr>
        <w:t xml:space="preserve"> </w:t>
      </w:r>
      <w:r w:rsidR="00F32B28" w:rsidRPr="00F32B28">
        <w:rPr>
          <w:rtl/>
          <w:lang w:bidi="ar-SY"/>
        </w:rPr>
        <w:t>الزوجي</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نطاق</w:t>
      </w:r>
      <w:r w:rsidR="00F32B28">
        <w:rPr>
          <w:rtl/>
          <w:lang w:bidi="ar-SY"/>
        </w:rPr>
        <w:t xml:space="preserve"> </w:t>
      </w:r>
      <w:r w:rsidR="00F32B28" w:rsidRPr="00F32B28">
        <w:rPr>
          <w:rtl/>
          <w:lang w:bidi="ar-SY"/>
        </w:rPr>
        <w:t>التجريم؛</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يتعلق</w:t>
      </w:r>
      <w:r w:rsidR="00F32B28">
        <w:rPr>
          <w:rtl/>
          <w:lang w:bidi="ar-SY"/>
        </w:rPr>
        <w:t xml:space="preserve"> </w:t>
      </w:r>
      <w:r w:rsidR="00F32B28" w:rsidRPr="00F32B28">
        <w:rPr>
          <w:rtl/>
          <w:lang w:bidi="ar-SY"/>
        </w:rPr>
        <w:t>بالمواقعة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خلاف</w:t>
      </w:r>
      <w:r w:rsidR="00F32B28">
        <w:rPr>
          <w:rtl/>
          <w:lang w:bidi="ar-SY"/>
        </w:rPr>
        <w:t xml:space="preserve"> </w:t>
      </w:r>
      <w:r w:rsidR="00F32B28" w:rsidRPr="00F32B28">
        <w:rPr>
          <w:rtl/>
          <w:lang w:bidi="ar-SY"/>
        </w:rPr>
        <w:t>الطبيعة</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تمت</w:t>
      </w:r>
      <w:r w:rsidR="00F32B28">
        <w:rPr>
          <w:rtl/>
          <w:lang w:bidi="ar-SY"/>
        </w:rPr>
        <w:t xml:space="preserve"> </w:t>
      </w:r>
      <w:r w:rsidR="00F32B28" w:rsidRPr="00F32B28">
        <w:rPr>
          <w:rtl/>
          <w:lang w:bidi="ar-SY"/>
        </w:rPr>
        <w:t>بدون</w:t>
      </w:r>
      <w:r w:rsidR="00F32B28">
        <w:rPr>
          <w:rtl/>
          <w:lang w:bidi="ar-SY"/>
        </w:rPr>
        <w:t xml:space="preserve"> </w:t>
      </w:r>
      <w:r w:rsidR="00F32B28" w:rsidRPr="00F32B28">
        <w:rPr>
          <w:rtl/>
          <w:lang w:bidi="ar-SY"/>
        </w:rPr>
        <w:t>رضا</w:t>
      </w:r>
      <w:r w:rsidR="00F32B28">
        <w:rPr>
          <w:rtl/>
          <w:lang w:bidi="ar-SY"/>
        </w:rPr>
        <w:t xml:space="preserve"> </w:t>
      </w:r>
      <w:r w:rsidR="00F32B28" w:rsidRPr="00F32B28">
        <w:rPr>
          <w:rtl/>
          <w:lang w:bidi="ar-SY"/>
        </w:rPr>
        <w:t>الزوجة،</w:t>
      </w:r>
      <w:r w:rsidR="00F32B28">
        <w:rPr>
          <w:rtl/>
          <w:lang w:bidi="ar-SY"/>
        </w:rPr>
        <w:t xml:space="preserve"> </w:t>
      </w:r>
      <w:r w:rsidR="00F32B28" w:rsidRPr="00F32B28">
        <w:rPr>
          <w:rtl/>
          <w:lang w:bidi="ar-SY"/>
        </w:rPr>
        <w:t>فيعاقب</w:t>
      </w:r>
      <w:r w:rsidR="00F32B28">
        <w:rPr>
          <w:rtl/>
          <w:lang w:bidi="ar-SY"/>
        </w:rPr>
        <w:t xml:space="preserve"> </w:t>
      </w:r>
      <w:r w:rsidR="00F32B28" w:rsidRPr="00F32B28">
        <w:rPr>
          <w:rtl/>
          <w:lang w:bidi="ar-SY"/>
        </w:rPr>
        <w:t>الزوج</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الحالة</w:t>
      </w:r>
      <w:r w:rsidR="00F32B28">
        <w:rPr>
          <w:rtl/>
          <w:lang w:bidi="ar-SY"/>
        </w:rPr>
        <w:t xml:space="preserve"> </w:t>
      </w:r>
      <w:r w:rsidR="00F32B28" w:rsidRPr="00F32B28">
        <w:rPr>
          <w:rtl/>
          <w:lang w:bidi="ar-SY"/>
        </w:rPr>
        <w:t>بالحبس</w:t>
      </w:r>
      <w:r w:rsidR="00F32B28">
        <w:rPr>
          <w:rtl/>
          <w:lang w:bidi="ar-SY"/>
        </w:rPr>
        <w:t xml:space="preserve"> </w:t>
      </w:r>
      <w:r w:rsidR="00F32B28" w:rsidRPr="00F32B28">
        <w:rPr>
          <w:rtl/>
          <w:lang w:bidi="ar-SY"/>
        </w:rPr>
        <w:t>أو</w:t>
      </w:r>
      <w:r w:rsidR="008C7FF9">
        <w:rPr>
          <w:rFonts w:hint="cs"/>
          <w:rtl/>
          <w:lang w:bidi="ar-SY"/>
        </w:rPr>
        <w:t> </w:t>
      </w:r>
      <w:r w:rsidR="00F32B28" w:rsidRPr="00F32B28">
        <w:rPr>
          <w:rtl/>
          <w:lang w:bidi="ar-SY"/>
        </w:rPr>
        <w:t>بالغرامة.</w:t>
      </w:r>
      <w:r w:rsidR="00F32B28">
        <w:rPr>
          <w:rtl/>
          <w:lang w:bidi="ar-SY"/>
        </w:rPr>
        <w:t xml:space="preserve"> </w:t>
      </w:r>
    </w:p>
    <w:p w:rsidR="00F32B28" w:rsidRPr="00F32B28" w:rsidRDefault="00DF6B4E" w:rsidP="00DF6B4E">
      <w:pPr>
        <w:pStyle w:val="SingleTxt"/>
        <w:rPr>
          <w:rtl/>
          <w:lang w:bidi="ar-SY"/>
        </w:rPr>
      </w:pPr>
      <w:r>
        <w:rPr>
          <w:rFonts w:hint="cs"/>
          <w:rtl/>
          <w:lang w:bidi="ar-SY"/>
        </w:rPr>
        <w:t>45 -</w:t>
      </w:r>
      <w:r>
        <w:rPr>
          <w:rFonts w:hint="cs"/>
          <w:rtl/>
          <w:lang w:bidi="ar-SY"/>
        </w:rPr>
        <w:tab/>
      </w:r>
      <w:r w:rsidR="00F32B28" w:rsidRPr="00F32B28">
        <w:rPr>
          <w:rtl/>
          <w:lang w:bidi="ar-SY"/>
        </w:rPr>
        <w:t>وبشكل</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يوسع</w:t>
      </w:r>
      <w:r w:rsidR="00F32B28">
        <w:rPr>
          <w:rtl/>
          <w:lang w:bidi="ar-SY"/>
        </w:rPr>
        <w:t xml:space="preserve"> </w:t>
      </w:r>
      <w:r w:rsidR="00F32B28" w:rsidRPr="00F32B28">
        <w:rPr>
          <w:rtl/>
          <w:lang w:bidi="ar-SY"/>
        </w:rPr>
        <w:t>مشروع</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نطاق</w:t>
      </w:r>
      <w:r w:rsidR="00F32B28">
        <w:rPr>
          <w:rtl/>
          <w:lang w:bidi="ar-SY"/>
        </w:rPr>
        <w:t xml:space="preserve"> </w:t>
      </w:r>
      <w:r w:rsidR="00F32B28" w:rsidRPr="00F32B28">
        <w:rPr>
          <w:rtl/>
          <w:lang w:bidi="ar-SY"/>
        </w:rPr>
        <w:t>تجريمه</w:t>
      </w:r>
      <w:r w:rsidR="00F32B28">
        <w:rPr>
          <w:rtl/>
          <w:lang w:bidi="ar-SY"/>
        </w:rPr>
        <w:t xml:space="preserve"> </w:t>
      </w:r>
      <w:r w:rsidR="00F32B28" w:rsidRPr="00F32B28">
        <w:rPr>
          <w:rFonts w:hint="cs"/>
          <w:rtl/>
          <w:lang w:bidi="ar-SY"/>
        </w:rPr>
        <w:t>للعنف</w:t>
      </w:r>
      <w:r w:rsidR="00F32B28">
        <w:rPr>
          <w:rFonts w:hint="cs"/>
          <w:rtl/>
          <w:lang w:bidi="ar-SY"/>
        </w:rPr>
        <w:t xml:space="preserve"> </w:t>
      </w:r>
      <w:r w:rsidR="00F32B28" w:rsidRPr="00F32B28">
        <w:rPr>
          <w:rFonts w:hint="cs"/>
          <w:rtl/>
          <w:lang w:bidi="ar-SY"/>
        </w:rPr>
        <w:t>المبني</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النوع</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ويشدد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أوصاف</w:t>
      </w:r>
      <w:r w:rsidR="00F32B28">
        <w:rPr>
          <w:rtl/>
          <w:lang w:bidi="ar-SY"/>
        </w:rPr>
        <w:t xml:space="preserve"> </w:t>
      </w:r>
      <w:r w:rsidR="00F32B28" w:rsidRPr="00F32B28">
        <w:rPr>
          <w:rtl/>
          <w:lang w:bidi="ar-SY"/>
        </w:rPr>
        <w:t>الجرائم</w:t>
      </w:r>
      <w:r w:rsidR="00F32B28">
        <w:rPr>
          <w:rtl/>
          <w:lang w:bidi="ar-SY"/>
        </w:rPr>
        <w:t xml:space="preserve"> </w:t>
      </w:r>
      <w:r w:rsidR="00F32B28" w:rsidRPr="00F32B28">
        <w:rPr>
          <w:rtl/>
          <w:lang w:bidi="ar-SY"/>
        </w:rPr>
        <w:t>المرتكبة</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ومن</w:t>
      </w:r>
      <w:r w:rsidR="00F32B28">
        <w:rPr>
          <w:rtl/>
          <w:lang w:bidi="ar-SY"/>
        </w:rPr>
        <w:t xml:space="preserve"> </w:t>
      </w:r>
      <w:r w:rsidR="00F32B28" w:rsidRPr="00F32B28">
        <w:rPr>
          <w:rtl/>
          <w:lang w:bidi="ar-SY"/>
        </w:rPr>
        <w:t>العقوبات</w:t>
      </w:r>
      <w:r w:rsidR="00F32B28">
        <w:rPr>
          <w:rtl/>
          <w:lang w:bidi="ar-SY"/>
        </w:rPr>
        <w:t xml:space="preserve"> </w:t>
      </w:r>
      <w:r w:rsidR="00F32B28" w:rsidRPr="00F32B28">
        <w:rPr>
          <w:rtl/>
          <w:lang w:bidi="ar-SY"/>
        </w:rPr>
        <w:t>المفروضة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مرتكبيها،</w:t>
      </w:r>
      <w:r w:rsidR="00F32B28">
        <w:rPr>
          <w:rtl/>
          <w:lang w:bidi="ar-SY"/>
        </w:rPr>
        <w:t xml:space="preserve"> </w:t>
      </w:r>
      <w:r w:rsidR="00F32B28" w:rsidRPr="00F32B28">
        <w:rPr>
          <w:rtl/>
          <w:lang w:bidi="ar-SY"/>
        </w:rPr>
        <w:t>كجرائم</w:t>
      </w:r>
      <w:r w:rsidR="00F32B28">
        <w:rPr>
          <w:rtl/>
          <w:lang w:bidi="ar-SY"/>
        </w:rPr>
        <w:t xml:space="preserve"> </w:t>
      </w:r>
      <w:r w:rsidR="00F32B28" w:rsidRPr="00F32B28">
        <w:rPr>
          <w:rtl/>
          <w:lang w:bidi="ar-SY"/>
        </w:rPr>
        <w:t>سفاح</w:t>
      </w:r>
      <w:r w:rsidR="00F32B28">
        <w:rPr>
          <w:rtl/>
          <w:lang w:bidi="ar-SY"/>
        </w:rPr>
        <w:t xml:space="preserve"> </w:t>
      </w:r>
      <w:r w:rsidR="00F32B28" w:rsidRPr="00F32B28">
        <w:rPr>
          <w:rtl/>
          <w:lang w:bidi="ar-SY"/>
        </w:rPr>
        <w:t>القربى،</w:t>
      </w:r>
      <w:r w:rsidR="00F32B28">
        <w:rPr>
          <w:rtl/>
          <w:lang w:bidi="ar-SY"/>
        </w:rPr>
        <w:t xml:space="preserve"> </w:t>
      </w:r>
      <w:r w:rsidR="00F32B28" w:rsidRPr="00F32B28">
        <w:rPr>
          <w:rtl/>
          <w:lang w:bidi="ar-SY"/>
        </w:rPr>
        <w:t>وهتك</w:t>
      </w:r>
      <w:r w:rsidR="00F32B28">
        <w:rPr>
          <w:rtl/>
          <w:lang w:bidi="ar-SY"/>
        </w:rPr>
        <w:t xml:space="preserve"> </w:t>
      </w:r>
      <w:r w:rsidR="00F32B28" w:rsidRPr="00F32B28">
        <w:rPr>
          <w:rtl/>
          <w:lang w:bidi="ar-SY"/>
        </w:rPr>
        <w:t>العرض،</w:t>
      </w:r>
      <w:r w:rsidR="00F32B28">
        <w:rPr>
          <w:rtl/>
          <w:lang w:bidi="ar-SY"/>
        </w:rPr>
        <w:t xml:space="preserve"> </w:t>
      </w:r>
      <w:r w:rsidR="00F32B28" w:rsidRPr="00F32B28">
        <w:rPr>
          <w:rtl/>
          <w:lang w:bidi="ar-SY"/>
        </w:rPr>
        <w:t>والمداعبة</w:t>
      </w:r>
      <w:r w:rsidR="00F32B28">
        <w:rPr>
          <w:rtl/>
          <w:lang w:bidi="ar-SY"/>
        </w:rPr>
        <w:t xml:space="preserve"> </w:t>
      </w:r>
      <w:r w:rsidR="00F32B28" w:rsidRPr="00F32B28">
        <w:rPr>
          <w:rtl/>
          <w:lang w:bidi="ar-SY"/>
        </w:rPr>
        <w:t>المنافية</w:t>
      </w:r>
      <w:r w:rsidR="00F32B28">
        <w:rPr>
          <w:rtl/>
          <w:lang w:bidi="ar-SY"/>
        </w:rPr>
        <w:t xml:space="preserve"> </w:t>
      </w:r>
      <w:r w:rsidR="00F32B28" w:rsidRPr="00F32B28">
        <w:rPr>
          <w:rtl/>
          <w:lang w:bidi="ar-SY"/>
        </w:rPr>
        <w:t>للحياء،</w:t>
      </w:r>
      <w:r w:rsidR="00F32B28">
        <w:rPr>
          <w:rtl/>
          <w:lang w:bidi="ar-SY"/>
        </w:rPr>
        <w:t xml:space="preserve"> </w:t>
      </w:r>
      <w:r w:rsidR="00F32B28" w:rsidRPr="00F32B28">
        <w:rPr>
          <w:rtl/>
          <w:lang w:bidi="ar-SY"/>
        </w:rPr>
        <w:t>وعرض</w:t>
      </w:r>
      <w:r w:rsidR="00F32B28">
        <w:rPr>
          <w:rtl/>
          <w:lang w:bidi="ar-SY"/>
        </w:rPr>
        <w:t xml:space="preserve"> </w:t>
      </w:r>
      <w:r w:rsidR="00F32B28" w:rsidRPr="00F32B28">
        <w:rPr>
          <w:rtl/>
          <w:lang w:bidi="ar-SY"/>
        </w:rPr>
        <w:t>الأعمال</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الأفعال</w:t>
      </w:r>
      <w:r w:rsidR="00F32B28">
        <w:rPr>
          <w:rtl/>
          <w:lang w:bidi="ar-SY"/>
        </w:rPr>
        <w:t xml:space="preserve"> </w:t>
      </w:r>
      <w:r w:rsidR="00F32B28" w:rsidRPr="00F32B28">
        <w:rPr>
          <w:rtl/>
          <w:lang w:bidi="ar-SY"/>
        </w:rPr>
        <w:t>المنافية</w:t>
      </w:r>
      <w:r w:rsidR="00F32B28">
        <w:rPr>
          <w:rtl/>
          <w:lang w:bidi="ar-SY"/>
        </w:rPr>
        <w:t xml:space="preserve"> </w:t>
      </w:r>
      <w:r w:rsidR="00F32B28" w:rsidRPr="00F32B28">
        <w:rPr>
          <w:rtl/>
          <w:lang w:bidi="ar-SY"/>
        </w:rPr>
        <w:t>للحياء</w:t>
      </w:r>
      <w:r w:rsidR="00F32B28">
        <w:rPr>
          <w:rtl/>
          <w:lang w:bidi="ar-SY"/>
        </w:rPr>
        <w:t xml:space="preserve"> </w:t>
      </w:r>
      <w:r w:rsidR="00F32B28" w:rsidRPr="00F32B28">
        <w:rPr>
          <w:rtl/>
          <w:lang w:bidi="ar-SY"/>
        </w:rPr>
        <w:t>العام،</w:t>
      </w:r>
      <w:r w:rsidR="00F32B28">
        <w:rPr>
          <w:rtl/>
          <w:lang w:bidi="ar-SY"/>
        </w:rPr>
        <w:t xml:space="preserve"> </w:t>
      </w:r>
      <w:r w:rsidR="00F32B28" w:rsidRPr="00F32B28">
        <w:rPr>
          <w:rtl/>
          <w:lang w:bidi="ar-SY"/>
        </w:rPr>
        <w:t>والإغواء</w:t>
      </w:r>
      <w:r w:rsidR="00F32B28">
        <w:rPr>
          <w:rtl/>
          <w:lang w:bidi="ar-SY"/>
        </w:rPr>
        <w:t xml:space="preserve"> </w:t>
      </w:r>
      <w:r w:rsidR="00F32B28" w:rsidRPr="00F32B28">
        <w:rPr>
          <w:rtl/>
          <w:lang w:bidi="ar-SY"/>
        </w:rPr>
        <w:t>والوعد</w:t>
      </w:r>
      <w:r w:rsidR="00F32B28">
        <w:rPr>
          <w:rtl/>
          <w:lang w:bidi="ar-SY"/>
        </w:rPr>
        <w:t xml:space="preserve"> </w:t>
      </w:r>
      <w:r w:rsidR="00F32B28" w:rsidRPr="00F32B28">
        <w:rPr>
          <w:rtl/>
          <w:lang w:bidi="ar-SY"/>
        </w:rPr>
        <w:t>بالزواج،</w:t>
      </w:r>
      <w:r w:rsidR="00F32B28">
        <w:rPr>
          <w:rtl/>
          <w:lang w:bidi="ar-SY"/>
        </w:rPr>
        <w:t xml:space="preserve"> </w:t>
      </w:r>
      <w:r w:rsidR="00F32B28" w:rsidRPr="00F32B28">
        <w:rPr>
          <w:rtl/>
          <w:lang w:bidi="ar-SY"/>
        </w:rPr>
        <w:t>وإفساد</w:t>
      </w:r>
      <w:r w:rsidR="00F32B28">
        <w:rPr>
          <w:rtl/>
          <w:lang w:bidi="ar-SY"/>
        </w:rPr>
        <w:t xml:space="preserve"> </w:t>
      </w:r>
      <w:r w:rsidR="00F32B28" w:rsidRPr="00F32B28">
        <w:rPr>
          <w:rtl/>
          <w:lang w:bidi="ar-SY"/>
        </w:rPr>
        <w:t>الروابط</w:t>
      </w:r>
      <w:r w:rsidR="00F32B28">
        <w:rPr>
          <w:rtl/>
          <w:lang w:bidi="ar-SY"/>
        </w:rPr>
        <w:t xml:space="preserve"> </w:t>
      </w:r>
      <w:r w:rsidR="00F32B28" w:rsidRPr="00F32B28">
        <w:rPr>
          <w:rtl/>
          <w:lang w:bidi="ar-SY"/>
        </w:rPr>
        <w:t>الزوجية.</w:t>
      </w:r>
      <w:r w:rsidR="00F32B28">
        <w:rPr>
          <w:rtl/>
          <w:lang w:bidi="ar-SY"/>
        </w:rPr>
        <w:t xml:space="preserve"> </w:t>
      </w:r>
      <w:r w:rsidR="00F32B28" w:rsidRPr="00F32B28">
        <w:rPr>
          <w:rtl/>
          <w:lang w:bidi="ar-SY"/>
        </w:rPr>
        <w:t>فعلى</w:t>
      </w:r>
      <w:r w:rsidR="00F32B28">
        <w:rPr>
          <w:rtl/>
          <w:lang w:bidi="ar-SY"/>
        </w:rPr>
        <w:t xml:space="preserve"> </w:t>
      </w:r>
      <w:r w:rsidR="00F32B28" w:rsidRPr="00F32B28">
        <w:rPr>
          <w:rtl/>
          <w:lang w:bidi="ar-SY"/>
        </w:rPr>
        <w:t>سبيل</w:t>
      </w:r>
      <w:r w:rsidR="00F32B28">
        <w:rPr>
          <w:rtl/>
          <w:lang w:bidi="ar-SY"/>
        </w:rPr>
        <w:t xml:space="preserve"> </w:t>
      </w:r>
      <w:r w:rsidR="00F32B28" w:rsidRPr="00F32B28">
        <w:rPr>
          <w:rtl/>
          <w:lang w:bidi="ar-SY"/>
        </w:rPr>
        <w:t>المثال،</w:t>
      </w:r>
      <w:r w:rsidR="00F32B28">
        <w:rPr>
          <w:rtl/>
          <w:lang w:bidi="ar-SY"/>
        </w:rPr>
        <w:t xml:space="preserve"> </w:t>
      </w:r>
      <w:r w:rsidR="00F32B28" w:rsidRPr="00F32B28">
        <w:rPr>
          <w:rtl/>
          <w:lang w:bidi="ar-SY"/>
        </w:rPr>
        <w:t>تعاقب</w:t>
      </w:r>
      <w:r w:rsidR="00F32B28">
        <w:rPr>
          <w:rtl/>
          <w:lang w:bidi="ar-SY"/>
        </w:rPr>
        <w:t xml:space="preserve"> </w:t>
      </w:r>
      <w:r w:rsidR="00F32B28" w:rsidRPr="00F32B28">
        <w:rPr>
          <w:rtl/>
          <w:lang w:bidi="ar-SY"/>
        </w:rPr>
        <w:t>القوانين</w:t>
      </w:r>
      <w:r w:rsidR="00F32B28">
        <w:rPr>
          <w:rtl/>
          <w:lang w:bidi="ar-SY"/>
        </w:rPr>
        <w:t xml:space="preserve"> </w:t>
      </w:r>
      <w:r w:rsidR="00F32B28" w:rsidRPr="00F32B28">
        <w:rPr>
          <w:rtl/>
          <w:lang w:bidi="ar-SY"/>
        </w:rPr>
        <w:t>العقابية</w:t>
      </w:r>
      <w:r w:rsidR="008D730A">
        <w:rPr>
          <w:rFonts w:hint="cs"/>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مرتكبي</w:t>
      </w:r>
      <w:r w:rsidR="00F32B28">
        <w:rPr>
          <w:rtl/>
          <w:lang w:bidi="ar-SY"/>
        </w:rPr>
        <w:t xml:space="preserve"> </w:t>
      </w:r>
      <w:r w:rsidR="00F32B28" w:rsidRPr="00F32B28">
        <w:rPr>
          <w:rtl/>
          <w:lang w:bidi="ar-SY"/>
        </w:rPr>
        <w:t>جريمة</w:t>
      </w:r>
      <w:r w:rsidR="00F32B28">
        <w:rPr>
          <w:rtl/>
          <w:lang w:bidi="ar-SY"/>
        </w:rPr>
        <w:t xml:space="preserve"> </w:t>
      </w:r>
      <w:r w:rsidR="00F32B28" w:rsidRPr="00F32B28">
        <w:rPr>
          <w:rtl/>
          <w:lang w:bidi="ar-SY"/>
        </w:rPr>
        <w:t>سفاح</w:t>
      </w:r>
      <w:r w:rsidR="00F32B28">
        <w:rPr>
          <w:rtl/>
          <w:lang w:bidi="ar-SY"/>
        </w:rPr>
        <w:t xml:space="preserve"> </w:t>
      </w:r>
      <w:r w:rsidR="00F32B28" w:rsidRPr="00F32B28">
        <w:rPr>
          <w:rtl/>
          <w:lang w:bidi="ar-SY"/>
        </w:rPr>
        <w:t>القربى،</w:t>
      </w:r>
      <w:r w:rsidR="00F32B28">
        <w:rPr>
          <w:rtl/>
          <w:lang w:bidi="ar-SY"/>
        </w:rPr>
        <w:t xml:space="preserve"> </w:t>
      </w:r>
      <w:r w:rsidR="00F32B28" w:rsidRPr="00F32B28">
        <w:rPr>
          <w:rtl/>
          <w:lang w:bidi="ar-SY"/>
        </w:rPr>
        <w:t>سواء</w:t>
      </w:r>
      <w:r w:rsidR="00F32B28">
        <w:rPr>
          <w:rtl/>
          <w:lang w:bidi="ar-SY"/>
        </w:rPr>
        <w:t xml:space="preserve"> </w:t>
      </w:r>
      <w:r w:rsidR="00F32B28" w:rsidRPr="00F32B28">
        <w:rPr>
          <w:rtl/>
          <w:lang w:bidi="ar-SY"/>
        </w:rPr>
        <w:t>أكان</w:t>
      </w:r>
      <w:r w:rsidR="00F32B28">
        <w:rPr>
          <w:rtl/>
          <w:lang w:bidi="ar-SY"/>
        </w:rPr>
        <w:t xml:space="preserve"> </w:t>
      </w:r>
      <w:r w:rsidR="00F32B28" w:rsidRPr="00F32B28">
        <w:rPr>
          <w:rtl/>
          <w:lang w:bidi="ar-SY"/>
        </w:rPr>
        <w:t>لأحد</w:t>
      </w:r>
      <w:r w:rsidR="00F32B28">
        <w:rPr>
          <w:rtl/>
          <w:lang w:bidi="ar-SY"/>
        </w:rPr>
        <w:t xml:space="preserve"> </w:t>
      </w:r>
      <w:r w:rsidR="00F32B28" w:rsidRPr="00F32B28">
        <w:rPr>
          <w:rtl/>
          <w:lang w:bidi="ar-SY"/>
        </w:rPr>
        <w:t>المجرمين</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الآخر</w:t>
      </w:r>
      <w:r w:rsidR="00F32B28">
        <w:rPr>
          <w:rtl/>
          <w:lang w:bidi="ar-SY"/>
        </w:rPr>
        <w:t xml:space="preserve"> </w:t>
      </w:r>
      <w:r w:rsidR="00F32B28" w:rsidRPr="00F32B28">
        <w:rPr>
          <w:rtl/>
          <w:lang w:bidi="ar-SY"/>
        </w:rPr>
        <w:t>سلطة</w:t>
      </w:r>
      <w:r w:rsidR="00F32B28">
        <w:rPr>
          <w:rtl/>
          <w:lang w:bidi="ar-SY"/>
        </w:rPr>
        <w:t xml:space="preserve"> </w:t>
      </w:r>
      <w:r w:rsidR="00F32B28" w:rsidRPr="00F32B28">
        <w:rPr>
          <w:rtl/>
          <w:lang w:bidi="ar-SY"/>
        </w:rPr>
        <w:t>قانونية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فعلية</w:t>
      </w:r>
      <w:r w:rsidR="00F32B28">
        <w:rPr>
          <w:rtl/>
          <w:lang w:bidi="ar-SY"/>
        </w:rPr>
        <w:t xml:space="preserve"> </w:t>
      </w:r>
      <w:r w:rsidR="00F32B28" w:rsidRPr="00F32B28">
        <w:rPr>
          <w:rtl/>
          <w:lang w:bidi="ar-SY"/>
        </w:rPr>
        <w:t>أم</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بالحبس</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سنتين</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ثلاث</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واعتبارها</w:t>
      </w:r>
      <w:r w:rsidR="00F32B28">
        <w:rPr>
          <w:rtl/>
          <w:lang w:bidi="ar-SY"/>
        </w:rPr>
        <w:t xml:space="preserve"> </w:t>
      </w:r>
      <w:r w:rsidR="00F32B28" w:rsidRPr="00F32B28">
        <w:rPr>
          <w:rtl/>
          <w:lang w:bidi="ar-SY"/>
        </w:rPr>
        <w:t>جنحة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الأحوال،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حين</w:t>
      </w:r>
      <w:r w:rsidR="00F32B28">
        <w:rPr>
          <w:rtl/>
          <w:lang w:bidi="ar-SY"/>
        </w:rPr>
        <w:t xml:space="preserve"> </w:t>
      </w:r>
      <w:r w:rsidR="00F32B28" w:rsidRPr="00F32B28">
        <w:rPr>
          <w:rtl/>
          <w:lang w:bidi="ar-SY"/>
        </w:rPr>
        <w:t>يميز</w:t>
      </w:r>
      <w:r w:rsidR="00F32B28">
        <w:rPr>
          <w:rtl/>
          <w:lang w:bidi="ar-SY"/>
        </w:rPr>
        <w:t xml:space="preserve"> </w:t>
      </w:r>
      <w:r w:rsidR="00F32B28" w:rsidRPr="00F32B28">
        <w:rPr>
          <w:rtl/>
          <w:lang w:bidi="ar-SY"/>
        </w:rPr>
        <w:t>المشروع</w:t>
      </w:r>
      <w:r w:rsidR="00F32B28">
        <w:rPr>
          <w:rtl/>
          <w:lang w:bidi="ar-SY"/>
        </w:rPr>
        <w:t xml:space="preserve"> </w:t>
      </w:r>
      <w:r w:rsidR="00F32B28" w:rsidRPr="00F32B28">
        <w:rPr>
          <w:rtl/>
          <w:lang w:bidi="ar-SY"/>
        </w:rPr>
        <w:t>بشأن</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الجريمة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حالتين؛</w:t>
      </w:r>
      <w:r w:rsidR="00F32B28">
        <w:rPr>
          <w:rtl/>
          <w:lang w:bidi="ar-SY"/>
        </w:rPr>
        <w:t xml:space="preserve"> </w:t>
      </w:r>
      <w:r w:rsidR="00F32B28" w:rsidRPr="00F32B28">
        <w:rPr>
          <w:rtl/>
          <w:lang w:bidi="ar-SY"/>
        </w:rPr>
        <w:t>الأولى</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وقع</w:t>
      </w:r>
      <w:r w:rsidR="00F32B28">
        <w:rPr>
          <w:rtl/>
          <w:lang w:bidi="ar-SY"/>
        </w:rPr>
        <w:t xml:space="preserve"> </w:t>
      </w:r>
      <w:r w:rsidR="00F32B28" w:rsidRPr="00F32B28">
        <w:rPr>
          <w:rtl/>
          <w:lang w:bidi="ar-SY"/>
        </w:rPr>
        <w:t>السفاح</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شخص</w:t>
      </w:r>
      <w:r w:rsidR="00F32B28">
        <w:rPr>
          <w:rtl/>
          <w:lang w:bidi="ar-SY"/>
        </w:rPr>
        <w:t xml:space="preserve"> </w:t>
      </w:r>
      <w:r w:rsidR="00F32B28" w:rsidRPr="00F32B28">
        <w:rPr>
          <w:rtl/>
          <w:lang w:bidi="ar-SY"/>
        </w:rPr>
        <w:t>وشخص</w:t>
      </w:r>
      <w:r w:rsidR="00F32B28">
        <w:rPr>
          <w:rtl/>
          <w:lang w:bidi="ar-SY"/>
        </w:rPr>
        <w:t xml:space="preserve"> </w:t>
      </w:r>
      <w:r w:rsidR="00F32B28" w:rsidRPr="00F32B28">
        <w:rPr>
          <w:rtl/>
          <w:lang w:bidi="ar-SY"/>
        </w:rPr>
        <w:t>آخر</w:t>
      </w:r>
      <w:r w:rsidR="00F32B28">
        <w:rPr>
          <w:rtl/>
          <w:lang w:bidi="ar-SY"/>
        </w:rPr>
        <w:t xml:space="preserve"> </w:t>
      </w:r>
      <w:r w:rsidR="00F32B28" w:rsidRPr="00F32B28">
        <w:rPr>
          <w:rtl/>
          <w:lang w:bidi="ar-SY"/>
        </w:rPr>
        <w:t>خاضع</w:t>
      </w:r>
      <w:r w:rsidR="00F32B28">
        <w:rPr>
          <w:rtl/>
          <w:lang w:bidi="ar-SY"/>
        </w:rPr>
        <w:t xml:space="preserve"> </w:t>
      </w:r>
      <w:r w:rsidR="00F32B28" w:rsidRPr="00F32B28">
        <w:rPr>
          <w:rtl/>
          <w:lang w:bidi="ar-SY"/>
        </w:rPr>
        <w:t>لسلطته</w:t>
      </w:r>
      <w:r w:rsidR="00F32B28">
        <w:rPr>
          <w:rtl/>
          <w:lang w:bidi="ar-SY"/>
        </w:rPr>
        <w:t xml:space="preserve"> </w:t>
      </w:r>
      <w:r w:rsidR="00F32B28" w:rsidRPr="00F32B28">
        <w:rPr>
          <w:rtl/>
          <w:lang w:bidi="ar-SY"/>
        </w:rPr>
        <w:t>الشرعية،</w:t>
      </w:r>
      <w:r w:rsidR="00F32B28">
        <w:rPr>
          <w:rtl/>
          <w:lang w:bidi="ar-SY"/>
        </w:rPr>
        <w:t xml:space="preserve"> </w:t>
      </w:r>
      <w:r w:rsidR="00F32B28" w:rsidRPr="00F32B28">
        <w:rPr>
          <w:rtl/>
          <w:lang w:bidi="ar-SY"/>
        </w:rPr>
        <w:t>أو</w:t>
      </w:r>
      <w:r w:rsidR="008C7FF9">
        <w:rPr>
          <w:rFonts w:hint="cs"/>
          <w:rtl/>
          <w:lang w:bidi="ar-SY"/>
        </w:rPr>
        <w:t> </w:t>
      </w:r>
      <w:r w:rsidR="00F32B28" w:rsidRPr="00F32B28">
        <w:rPr>
          <w:rtl/>
          <w:lang w:bidi="ar-SY"/>
        </w:rPr>
        <w:t>القانونية،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الفعلية،</w:t>
      </w:r>
      <w:r w:rsidR="00F32B28">
        <w:rPr>
          <w:rtl/>
          <w:lang w:bidi="ar-SY"/>
        </w:rPr>
        <w:t xml:space="preserve"> </w:t>
      </w:r>
      <w:r w:rsidR="00F32B28" w:rsidRPr="00F32B28">
        <w:rPr>
          <w:rtl/>
          <w:lang w:bidi="ar-SY"/>
        </w:rPr>
        <w:t>يعاقب</w:t>
      </w:r>
      <w:r w:rsidR="00F32B28">
        <w:rPr>
          <w:rtl/>
          <w:lang w:bidi="ar-SY"/>
        </w:rPr>
        <w:t xml:space="preserve"> </w:t>
      </w:r>
      <w:r w:rsidR="00F32B28" w:rsidRPr="00F32B28">
        <w:rPr>
          <w:rtl/>
          <w:lang w:bidi="ar-SY"/>
        </w:rPr>
        <w:t>مرتكبه</w:t>
      </w:r>
      <w:r w:rsidR="00F32B28">
        <w:rPr>
          <w:rtl/>
          <w:lang w:bidi="ar-SY"/>
        </w:rPr>
        <w:t xml:space="preserve"> </w:t>
      </w:r>
      <w:r w:rsidR="00F32B28" w:rsidRPr="00F32B28">
        <w:rPr>
          <w:rtl/>
          <w:lang w:bidi="ar-SY"/>
        </w:rPr>
        <w:t>صاحب</w:t>
      </w:r>
      <w:r w:rsidR="00F32B28">
        <w:rPr>
          <w:rtl/>
          <w:lang w:bidi="ar-SY"/>
        </w:rPr>
        <w:t xml:space="preserve"> </w:t>
      </w:r>
      <w:r w:rsidR="00F32B28" w:rsidRPr="00F32B28">
        <w:rPr>
          <w:rtl/>
          <w:lang w:bidi="ar-SY"/>
        </w:rPr>
        <w:t>السلطة</w:t>
      </w:r>
      <w:r w:rsidR="00F32B28">
        <w:rPr>
          <w:rtl/>
          <w:lang w:bidi="ar-SY"/>
        </w:rPr>
        <w:t xml:space="preserve"> </w:t>
      </w:r>
      <w:r w:rsidR="00F32B28" w:rsidRPr="00F32B28">
        <w:rPr>
          <w:rtl/>
          <w:lang w:bidi="ar-SY"/>
        </w:rPr>
        <w:t>بالسجن</w:t>
      </w:r>
      <w:r w:rsidR="00F32B28">
        <w:rPr>
          <w:rtl/>
          <w:lang w:bidi="ar-SY"/>
        </w:rPr>
        <w:t xml:space="preserve"> </w:t>
      </w:r>
      <w:r w:rsidR="00F32B28" w:rsidRPr="00F32B28">
        <w:rPr>
          <w:rtl/>
          <w:lang w:bidi="ar-SY"/>
        </w:rPr>
        <w:t>لمدة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تقل</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سبع</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(باعتبار</w:t>
      </w:r>
      <w:r w:rsidR="00F32B28">
        <w:rPr>
          <w:rtl/>
          <w:lang w:bidi="ar-SY"/>
        </w:rPr>
        <w:t xml:space="preserve"> </w:t>
      </w:r>
      <w:r w:rsidR="00F32B28" w:rsidRPr="00F32B28">
        <w:rPr>
          <w:rtl/>
          <w:lang w:bidi="ar-SY"/>
        </w:rPr>
        <w:t>فعله</w:t>
      </w:r>
      <w:r w:rsidR="00F32B28">
        <w:rPr>
          <w:rtl/>
          <w:lang w:bidi="ar-SY"/>
        </w:rPr>
        <w:t xml:space="preserve"> </w:t>
      </w:r>
      <w:r w:rsidR="00F32B28" w:rsidRPr="00F32B28">
        <w:rPr>
          <w:rtl/>
          <w:lang w:bidi="ar-SY"/>
        </w:rPr>
        <w:t>يشكل</w:t>
      </w:r>
      <w:r w:rsidR="00F32B28">
        <w:rPr>
          <w:rtl/>
          <w:lang w:bidi="ar-SY"/>
        </w:rPr>
        <w:t xml:space="preserve"> </w:t>
      </w:r>
      <w:r w:rsidR="00F32B28" w:rsidRPr="00F32B28">
        <w:rPr>
          <w:rtl/>
          <w:lang w:bidi="ar-SY"/>
        </w:rPr>
        <w:t>جناية)،</w:t>
      </w:r>
      <w:r w:rsidR="00F32B28">
        <w:rPr>
          <w:rtl/>
          <w:lang w:bidi="ar-SY"/>
        </w:rPr>
        <w:t xml:space="preserve"> </w:t>
      </w:r>
      <w:r w:rsidR="00F32B28" w:rsidRPr="00F32B28">
        <w:rPr>
          <w:rtl/>
          <w:lang w:bidi="ar-SY"/>
        </w:rPr>
        <w:t>ويعاقب</w:t>
      </w:r>
      <w:r w:rsidR="00F32B28">
        <w:rPr>
          <w:rtl/>
          <w:lang w:bidi="ar-SY"/>
        </w:rPr>
        <w:t xml:space="preserve"> </w:t>
      </w:r>
      <w:r w:rsidR="00F32B28" w:rsidRPr="00F32B28">
        <w:rPr>
          <w:rtl/>
          <w:lang w:bidi="ar-SY"/>
        </w:rPr>
        <w:t>الآخر</w:t>
      </w:r>
      <w:r w:rsidR="00F32B28">
        <w:rPr>
          <w:rtl/>
          <w:lang w:bidi="ar-SY"/>
        </w:rPr>
        <w:t xml:space="preserve"> </w:t>
      </w:r>
      <w:r w:rsidR="00F32B28" w:rsidRPr="00F32B28">
        <w:rPr>
          <w:rtl/>
          <w:lang w:bidi="ar-SY"/>
        </w:rPr>
        <w:t>بالحبس</w:t>
      </w:r>
      <w:r w:rsidR="00F32B28">
        <w:rPr>
          <w:rtl/>
          <w:lang w:bidi="ar-SY"/>
        </w:rPr>
        <w:t xml:space="preserve"> </w:t>
      </w:r>
      <w:r w:rsidR="00F32B28" w:rsidRPr="00F32B28">
        <w:rPr>
          <w:rtl/>
          <w:lang w:bidi="ar-SY"/>
        </w:rPr>
        <w:t>لمدة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تزيد</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ثلاث</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(باعتبار</w:t>
      </w:r>
      <w:r w:rsidR="00F32B28">
        <w:rPr>
          <w:rtl/>
          <w:lang w:bidi="ar-SY"/>
        </w:rPr>
        <w:t xml:space="preserve"> </w:t>
      </w:r>
      <w:r w:rsidR="00F32B28" w:rsidRPr="00F32B28">
        <w:rPr>
          <w:rtl/>
          <w:lang w:bidi="ar-SY"/>
        </w:rPr>
        <w:t>فعله</w:t>
      </w:r>
      <w:r w:rsidR="00F32B28">
        <w:rPr>
          <w:rtl/>
          <w:lang w:bidi="ar-SY"/>
        </w:rPr>
        <w:t xml:space="preserve"> </w:t>
      </w:r>
      <w:r w:rsidR="00F32B28" w:rsidRPr="00F32B28">
        <w:rPr>
          <w:rtl/>
          <w:lang w:bidi="ar-SY"/>
        </w:rPr>
        <w:t>يشكل</w:t>
      </w:r>
      <w:r w:rsidR="00F32B28">
        <w:rPr>
          <w:rtl/>
          <w:lang w:bidi="ar-SY"/>
        </w:rPr>
        <w:t xml:space="preserve"> </w:t>
      </w:r>
      <w:r w:rsidR="00F32B28" w:rsidRPr="00F32B28">
        <w:rPr>
          <w:rtl/>
          <w:lang w:bidi="ar-SY"/>
        </w:rPr>
        <w:t>جنحة)،</w:t>
      </w:r>
      <w:r w:rsidR="00F32B28">
        <w:rPr>
          <w:rtl/>
          <w:lang w:bidi="ar-SY"/>
        </w:rPr>
        <w:t xml:space="preserve"> </w:t>
      </w:r>
      <w:r w:rsidR="00F32B28" w:rsidRPr="00F32B28">
        <w:rPr>
          <w:rtl/>
          <w:lang w:bidi="ar-SY"/>
        </w:rPr>
        <w:t>وأما</w:t>
      </w:r>
      <w:r w:rsidR="00F32B28">
        <w:rPr>
          <w:rtl/>
          <w:lang w:bidi="ar-SY"/>
        </w:rPr>
        <w:t xml:space="preserve"> </w:t>
      </w:r>
      <w:r w:rsidR="00F32B28" w:rsidRPr="00F32B28">
        <w:rPr>
          <w:rtl/>
          <w:lang w:bidi="ar-SY"/>
        </w:rPr>
        <w:t>الحالة</w:t>
      </w:r>
      <w:r w:rsidR="00F32B28">
        <w:rPr>
          <w:rtl/>
          <w:lang w:bidi="ar-SY"/>
        </w:rPr>
        <w:t xml:space="preserve"> </w:t>
      </w:r>
      <w:r w:rsidR="00F32B28" w:rsidRPr="00F32B28">
        <w:rPr>
          <w:rtl/>
          <w:lang w:bidi="ar-SY"/>
        </w:rPr>
        <w:t>الثانية</w:t>
      </w:r>
      <w:r w:rsidR="00F32B28">
        <w:rPr>
          <w:rtl/>
          <w:lang w:bidi="ar-SY"/>
        </w:rPr>
        <w:t xml:space="preserve"> </w:t>
      </w:r>
      <w:r w:rsidR="00F32B28" w:rsidRPr="00F32B28">
        <w:rPr>
          <w:rtl/>
          <w:lang w:bidi="ar-SY"/>
        </w:rPr>
        <w:t>فتكون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ارتكاب</w:t>
      </w:r>
      <w:r w:rsidR="00F32B28">
        <w:rPr>
          <w:rtl/>
          <w:lang w:bidi="ar-SY"/>
        </w:rPr>
        <w:t xml:space="preserve"> </w:t>
      </w:r>
      <w:r w:rsidR="00F32B28" w:rsidRPr="00F32B28">
        <w:rPr>
          <w:rtl/>
          <w:lang w:bidi="ar-SY"/>
        </w:rPr>
        <w:t>السفاح</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وجود</w:t>
      </w:r>
      <w:r w:rsidR="00F32B28">
        <w:rPr>
          <w:rtl/>
          <w:lang w:bidi="ar-SY"/>
        </w:rPr>
        <w:t xml:space="preserve"> </w:t>
      </w:r>
      <w:r w:rsidR="00F32B28" w:rsidRPr="00F32B28">
        <w:rPr>
          <w:rtl/>
          <w:lang w:bidi="ar-SY"/>
        </w:rPr>
        <w:t>لسلطة</w:t>
      </w:r>
      <w:r w:rsidR="00F32B28">
        <w:rPr>
          <w:rtl/>
          <w:lang w:bidi="ar-SY"/>
        </w:rPr>
        <w:t xml:space="preserve"> </w:t>
      </w:r>
      <w:r w:rsidR="00F32B28" w:rsidRPr="00F32B28">
        <w:rPr>
          <w:rtl/>
          <w:lang w:bidi="ar-SY"/>
        </w:rPr>
        <w:t>أحد</w:t>
      </w:r>
      <w:r w:rsidR="00F32B28">
        <w:rPr>
          <w:rtl/>
          <w:lang w:bidi="ar-SY"/>
        </w:rPr>
        <w:t xml:space="preserve"> </w:t>
      </w:r>
      <w:r w:rsidR="00F32B28" w:rsidRPr="00F32B28">
        <w:rPr>
          <w:rtl/>
          <w:lang w:bidi="ar-SY"/>
        </w:rPr>
        <w:t>مرتكبيها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الآخر،</w:t>
      </w:r>
      <w:r w:rsidR="00F32B28">
        <w:rPr>
          <w:rtl/>
          <w:lang w:bidi="ar-SY"/>
        </w:rPr>
        <w:t xml:space="preserve"> </w:t>
      </w:r>
      <w:r w:rsidR="00F32B28" w:rsidRPr="00F32B28">
        <w:rPr>
          <w:rtl/>
          <w:lang w:bidi="ar-SY"/>
        </w:rPr>
        <w:t>فيعاقب</w:t>
      </w:r>
      <w:r w:rsidR="00F32B28">
        <w:rPr>
          <w:rtl/>
          <w:lang w:bidi="ar-SY"/>
        </w:rPr>
        <w:t xml:space="preserve"> </w:t>
      </w:r>
      <w:r w:rsidR="00F32B28" w:rsidRPr="00F32B28">
        <w:rPr>
          <w:rtl/>
          <w:lang w:bidi="ar-SY"/>
        </w:rPr>
        <w:t>كلاهما</w:t>
      </w:r>
      <w:r w:rsidR="00F32B28">
        <w:rPr>
          <w:rtl/>
          <w:lang w:bidi="ar-SY"/>
        </w:rPr>
        <w:t xml:space="preserve"> </w:t>
      </w:r>
      <w:r w:rsidR="00F32B28" w:rsidRPr="00F32B28">
        <w:rPr>
          <w:rtl/>
          <w:lang w:bidi="ar-SY"/>
        </w:rPr>
        <w:t>بالحبس</w:t>
      </w:r>
      <w:r w:rsidR="00F32B28">
        <w:rPr>
          <w:rtl/>
          <w:lang w:bidi="ar-SY"/>
        </w:rPr>
        <w:t xml:space="preserve"> </w:t>
      </w:r>
      <w:r w:rsidR="00F32B28" w:rsidRPr="00F32B28">
        <w:rPr>
          <w:rtl/>
          <w:lang w:bidi="ar-SY"/>
        </w:rPr>
        <w:t>لمدة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تقل</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خمس</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(باعتبار</w:t>
      </w:r>
      <w:r w:rsidR="00F32B28">
        <w:rPr>
          <w:rtl/>
          <w:lang w:bidi="ar-SY"/>
        </w:rPr>
        <w:t xml:space="preserve"> </w:t>
      </w:r>
      <w:r w:rsidR="00F32B28" w:rsidRPr="00F32B28">
        <w:rPr>
          <w:rtl/>
          <w:lang w:bidi="ar-SY"/>
        </w:rPr>
        <w:t>فعلهما</w:t>
      </w:r>
      <w:r w:rsidR="00F32B28">
        <w:rPr>
          <w:rtl/>
          <w:lang w:bidi="ar-SY"/>
        </w:rPr>
        <w:t xml:space="preserve"> </w:t>
      </w:r>
      <w:r w:rsidR="00F32B28" w:rsidRPr="00F32B28">
        <w:rPr>
          <w:rtl/>
          <w:lang w:bidi="ar-SY"/>
        </w:rPr>
        <w:t>يشكل</w:t>
      </w:r>
      <w:r w:rsidR="00F32B28">
        <w:rPr>
          <w:rtl/>
          <w:lang w:bidi="ar-SY"/>
        </w:rPr>
        <w:t xml:space="preserve"> </w:t>
      </w:r>
      <w:r w:rsidR="00F32B28" w:rsidRPr="00F32B28">
        <w:rPr>
          <w:rtl/>
          <w:lang w:bidi="ar-SY"/>
        </w:rPr>
        <w:t>جناية).</w:t>
      </w:r>
      <w:r w:rsidR="00F32B28">
        <w:rPr>
          <w:rtl/>
          <w:lang w:bidi="ar-SY"/>
        </w:rPr>
        <w:t xml:space="preserve"> </w:t>
      </w:r>
    </w:p>
    <w:p w:rsidR="00F32B28" w:rsidRPr="00F32B28" w:rsidRDefault="00DF6B4E" w:rsidP="00DF6B4E">
      <w:pPr>
        <w:pStyle w:val="SingleTxt"/>
        <w:rPr>
          <w:rtl/>
          <w:lang w:bidi="ar-SY"/>
        </w:rPr>
      </w:pPr>
      <w:r>
        <w:rPr>
          <w:rFonts w:hint="cs"/>
          <w:rtl/>
          <w:lang w:bidi="ar-SY"/>
        </w:rPr>
        <w:lastRenderedPageBreak/>
        <w:t>46 -</w:t>
      </w:r>
      <w:r>
        <w:rPr>
          <w:rFonts w:hint="cs"/>
          <w:rtl/>
          <w:lang w:bidi="ar-SY"/>
        </w:rPr>
        <w:tab/>
      </w:r>
      <w:r w:rsidR="00F32B28" w:rsidRPr="00F32B28">
        <w:rPr>
          <w:rtl/>
          <w:lang w:bidi="ar-SY"/>
        </w:rPr>
        <w:t>كما</w:t>
      </w:r>
      <w:r w:rsidR="00F32B28">
        <w:rPr>
          <w:rtl/>
          <w:lang w:bidi="ar-SY"/>
        </w:rPr>
        <w:t xml:space="preserve"> </w:t>
      </w:r>
      <w:r w:rsidR="00F32B28" w:rsidRPr="00F32B28">
        <w:rPr>
          <w:rtl/>
          <w:lang w:bidi="ar-SY"/>
        </w:rPr>
        <w:t>ويذهب</w:t>
      </w:r>
      <w:r w:rsidR="00F32B28">
        <w:rPr>
          <w:rtl/>
          <w:lang w:bidi="ar-SY"/>
        </w:rPr>
        <w:t xml:space="preserve"> </w:t>
      </w:r>
      <w:r w:rsidR="00F32B28" w:rsidRPr="00F32B28">
        <w:rPr>
          <w:rtl/>
          <w:lang w:bidi="ar-SY"/>
        </w:rPr>
        <w:t>مشروع</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العقوبات</w:t>
      </w:r>
      <w:r w:rsidR="00F32B28">
        <w:rPr>
          <w:rtl/>
          <w:lang w:bidi="ar-SY"/>
        </w:rPr>
        <w:t xml:space="preserve"> </w:t>
      </w:r>
      <w:r w:rsidR="00F32B28" w:rsidRPr="00F32B28">
        <w:rPr>
          <w:rtl/>
          <w:lang w:bidi="ar-SY"/>
        </w:rPr>
        <w:t>لما</w:t>
      </w:r>
      <w:r w:rsidR="00F32B28">
        <w:rPr>
          <w:rtl/>
          <w:lang w:bidi="ar-SY"/>
        </w:rPr>
        <w:t xml:space="preserve"> </w:t>
      </w:r>
      <w:r w:rsidR="00F32B28" w:rsidRPr="00F32B28">
        <w:rPr>
          <w:rtl/>
          <w:lang w:bidi="ar-SY"/>
        </w:rPr>
        <w:t>هو</w:t>
      </w:r>
      <w:r w:rsidR="00F32B28">
        <w:rPr>
          <w:rtl/>
          <w:lang w:bidi="ar-SY"/>
        </w:rPr>
        <w:t xml:space="preserve"> </w:t>
      </w:r>
      <w:r w:rsidR="00F32B28" w:rsidRPr="00F32B28">
        <w:rPr>
          <w:rtl/>
          <w:lang w:bidi="ar-SY"/>
        </w:rPr>
        <w:t>أبعد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فيعتبر</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ارتكاب</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جريمة</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أية</w:t>
      </w:r>
      <w:r w:rsidR="00F32B28">
        <w:rPr>
          <w:rtl/>
          <w:lang w:bidi="ar-SY"/>
        </w:rPr>
        <w:t xml:space="preserve"> </w:t>
      </w:r>
      <w:r w:rsidR="00F32B28" w:rsidRPr="00F32B28">
        <w:rPr>
          <w:rtl/>
          <w:lang w:bidi="ar-SY"/>
        </w:rPr>
        <w:t>امرأة</w:t>
      </w:r>
      <w:r w:rsidR="00F32B28">
        <w:rPr>
          <w:rtl/>
          <w:lang w:bidi="ar-SY"/>
        </w:rPr>
        <w:t xml:space="preserve"> </w:t>
      </w:r>
      <w:r w:rsidR="00F32B28" w:rsidRPr="00F32B28">
        <w:rPr>
          <w:rtl/>
          <w:lang w:bidi="ar-SY"/>
        </w:rPr>
        <w:t>أمراً</w:t>
      </w:r>
      <w:r w:rsidR="00F32B28">
        <w:rPr>
          <w:rtl/>
          <w:lang w:bidi="ar-SY"/>
        </w:rPr>
        <w:t xml:space="preserve"> </w:t>
      </w:r>
      <w:r w:rsidR="00F32B28" w:rsidRPr="00F32B28">
        <w:rPr>
          <w:rtl/>
          <w:lang w:bidi="ar-SY"/>
        </w:rPr>
        <w:t>يشكل</w:t>
      </w:r>
      <w:r w:rsidR="00F32B28">
        <w:rPr>
          <w:rtl/>
          <w:lang w:bidi="ar-SY"/>
        </w:rPr>
        <w:t xml:space="preserve"> </w:t>
      </w:r>
      <w:r w:rsidR="00F32B28" w:rsidRPr="00F32B28">
        <w:rPr>
          <w:rtl/>
          <w:lang w:bidi="ar-SY"/>
        </w:rPr>
        <w:t>بحد</w:t>
      </w:r>
      <w:r w:rsidR="00F32B28">
        <w:rPr>
          <w:rtl/>
          <w:lang w:bidi="ar-SY"/>
        </w:rPr>
        <w:t xml:space="preserve"> </w:t>
      </w:r>
      <w:r w:rsidR="00F32B28" w:rsidRPr="00F32B28">
        <w:rPr>
          <w:rtl/>
          <w:lang w:bidi="ar-SY"/>
        </w:rPr>
        <w:t>ذاته</w:t>
      </w:r>
      <w:r w:rsidR="00F32B28">
        <w:rPr>
          <w:rtl/>
          <w:lang w:bidi="ar-SY"/>
        </w:rPr>
        <w:t xml:space="preserve"> </w:t>
      </w:r>
      <w:r w:rsidR="00F32B28" w:rsidRPr="00F32B28">
        <w:rPr>
          <w:rtl/>
          <w:lang w:bidi="ar-SY"/>
        </w:rPr>
        <w:t>ظرفاً</w:t>
      </w:r>
      <w:r w:rsidR="00F32B28">
        <w:rPr>
          <w:rtl/>
          <w:lang w:bidi="ar-SY"/>
        </w:rPr>
        <w:t xml:space="preserve"> </w:t>
      </w:r>
      <w:r w:rsidR="00F32B28" w:rsidRPr="00F32B28">
        <w:rPr>
          <w:rtl/>
          <w:lang w:bidi="ar-SY"/>
        </w:rPr>
        <w:t>قضائياً</w:t>
      </w:r>
      <w:r w:rsidR="00F32B28">
        <w:rPr>
          <w:rtl/>
          <w:lang w:bidi="ar-SY"/>
        </w:rPr>
        <w:t xml:space="preserve"> </w:t>
      </w:r>
      <w:r w:rsidR="00F32B28" w:rsidRPr="00F32B28">
        <w:rPr>
          <w:rtl/>
          <w:lang w:bidi="ar-SY"/>
        </w:rPr>
        <w:t>مشدداً</w:t>
      </w:r>
      <w:r w:rsidR="00F32B28">
        <w:rPr>
          <w:rtl/>
          <w:lang w:bidi="ar-SY"/>
        </w:rPr>
        <w:t xml:space="preserve"> </w:t>
      </w:r>
      <w:r w:rsidR="00F32B28" w:rsidRPr="00F32B28">
        <w:rPr>
          <w:rtl/>
          <w:lang w:bidi="ar-SY"/>
        </w:rPr>
        <w:t>للعقوبة</w:t>
      </w:r>
      <w:r w:rsidR="00F32B28">
        <w:rPr>
          <w:rtl/>
          <w:lang w:bidi="ar-SY"/>
        </w:rPr>
        <w:t xml:space="preserve"> </w:t>
      </w:r>
      <w:r w:rsidR="00F32B28" w:rsidRPr="00F32B28">
        <w:rPr>
          <w:rtl/>
          <w:lang w:bidi="ar-SY"/>
        </w:rPr>
        <w:t>المقررة</w:t>
      </w:r>
      <w:r w:rsidR="00F32B28">
        <w:rPr>
          <w:rtl/>
          <w:lang w:bidi="ar-SY"/>
        </w:rPr>
        <w:t xml:space="preserve"> </w:t>
      </w:r>
      <w:r w:rsidR="00F32B28" w:rsidRPr="00F32B28">
        <w:rPr>
          <w:rtl/>
          <w:lang w:bidi="ar-SY"/>
        </w:rPr>
        <w:t>لهذه</w:t>
      </w:r>
      <w:r w:rsidR="00F32B28">
        <w:rPr>
          <w:rtl/>
          <w:lang w:bidi="ar-SY"/>
        </w:rPr>
        <w:t xml:space="preserve"> </w:t>
      </w:r>
      <w:r w:rsidR="00F32B28" w:rsidRPr="00F32B28">
        <w:rPr>
          <w:rtl/>
          <w:lang w:bidi="ar-SY"/>
        </w:rPr>
        <w:t>الجريمة</w:t>
      </w:r>
      <w:r w:rsidR="00F32B28">
        <w:rPr>
          <w:rtl/>
          <w:lang w:bidi="ar-SY"/>
        </w:rPr>
        <w:t xml:space="preserve"> </w:t>
      </w:r>
      <w:r w:rsidR="00F32B28" w:rsidRPr="00F32B28">
        <w:rPr>
          <w:rtl/>
          <w:lang w:bidi="ar-SY"/>
        </w:rPr>
        <w:t>أياً</w:t>
      </w:r>
      <w:r w:rsidR="00F32B28">
        <w:rPr>
          <w:rtl/>
          <w:lang w:bidi="ar-SY"/>
        </w:rPr>
        <w:t xml:space="preserve"> </w:t>
      </w:r>
      <w:r w:rsidR="00F32B28" w:rsidRPr="00F32B28">
        <w:rPr>
          <w:rtl/>
          <w:lang w:bidi="ar-SY"/>
        </w:rPr>
        <w:t>كانت.</w:t>
      </w:r>
      <w:r w:rsidR="00F32B28">
        <w:rPr>
          <w:rtl/>
          <w:lang w:bidi="ar-SY"/>
        </w:rPr>
        <w:t xml:space="preserve"> </w:t>
      </w:r>
    </w:p>
    <w:p w:rsidR="00DF6B4E" w:rsidRPr="00DF6B4E" w:rsidRDefault="00DF6B4E" w:rsidP="00DF6B4E">
      <w:pPr>
        <w:pStyle w:val="SingleTxt"/>
        <w:spacing w:after="0" w:line="120" w:lineRule="exact"/>
        <w:rPr>
          <w:b/>
          <w:bCs/>
          <w:sz w:val="10"/>
          <w:rtl/>
        </w:rPr>
      </w:pPr>
    </w:p>
    <w:p w:rsidR="00F32B28" w:rsidRPr="00F32B28" w:rsidRDefault="00DF6B4E" w:rsidP="00DF6B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F32B28" w:rsidRPr="00F32B28">
        <w:rPr>
          <w:rtl/>
        </w:rPr>
        <w:t>التحديات</w:t>
      </w:r>
    </w:p>
    <w:p w:rsidR="00F32B28" w:rsidRPr="00F32B28" w:rsidRDefault="00DF6B4E" w:rsidP="00DF6B4E">
      <w:pPr>
        <w:pStyle w:val="SingleTxt"/>
        <w:rPr>
          <w:rtl/>
          <w:lang w:bidi="ar-SY"/>
        </w:rPr>
      </w:pPr>
      <w:r>
        <w:rPr>
          <w:rFonts w:hint="cs"/>
          <w:rtl/>
          <w:lang w:bidi="ar-SY"/>
        </w:rPr>
        <w:t>47 -</w:t>
      </w:r>
      <w:r>
        <w:rPr>
          <w:rFonts w:hint="cs"/>
          <w:rtl/>
          <w:lang w:bidi="ar-SY"/>
        </w:rPr>
        <w:tab/>
      </w:r>
      <w:r w:rsidR="00F32B28" w:rsidRPr="00F32B28">
        <w:rPr>
          <w:rtl/>
          <w:lang w:bidi="ar-SY"/>
        </w:rPr>
        <w:t>تعاني</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نظام</w:t>
      </w:r>
      <w:r w:rsidR="00F32B28">
        <w:rPr>
          <w:rtl/>
          <w:lang w:bidi="ar-SY"/>
        </w:rPr>
        <w:t xml:space="preserve"> </w:t>
      </w:r>
      <w:r w:rsidR="00F32B28" w:rsidRPr="00F32B28">
        <w:rPr>
          <w:rtl/>
          <w:lang w:bidi="ar-SY"/>
        </w:rPr>
        <w:t>تمييزي</w:t>
      </w:r>
      <w:r w:rsidR="00F32B28">
        <w:rPr>
          <w:rtl/>
          <w:lang w:bidi="ar-SY"/>
        </w:rPr>
        <w:t xml:space="preserve"> </w:t>
      </w:r>
      <w:r w:rsidR="00F32B28" w:rsidRPr="00F32B28">
        <w:rPr>
          <w:rtl/>
          <w:lang w:bidi="ar-SY"/>
        </w:rPr>
        <w:t>متعدد</w:t>
      </w:r>
      <w:r w:rsidR="00F32B28">
        <w:rPr>
          <w:rtl/>
          <w:lang w:bidi="ar-SY"/>
        </w:rPr>
        <w:t xml:space="preserve"> </w:t>
      </w:r>
      <w:r w:rsidR="00F32B28" w:rsidRPr="00F32B28">
        <w:rPr>
          <w:rtl/>
          <w:lang w:bidi="ar-SY"/>
        </w:rPr>
        <w:t>الاتجاهات؛</w:t>
      </w:r>
      <w:r w:rsidR="00F32B28">
        <w:rPr>
          <w:rtl/>
          <w:lang w:bidi="ar-SY"/>
        </w:rPr>
        <w:t xml:space="preserve"> </w:t>
      </w:r>
      <w:r w:rsidR="00F32B28" w:rsidRPr="00F32B28">
        <w:rPr>
          <w:rtl/>
          <w:lang w:bidi="ar-SY"/>
        </w:rPr>
        <w:t>يتمثل</w:t>
      </w:r>
      <w:r w:rsidR="00F32B28">
        <w:rPr>
          <w:rtl/>
          <w:lang w:bidi="ar-SY"/>
        </w:rPr>
        <w:t xml:space="preserve"> </w:t>
      </w:r>
      <w:r w:rsidR="00F32B28" w:rsidRPr="00F32B28">
        <w:rPr>
          <w:rtl/>
          <w:lang w:bidi="ar-SY"/>
        </w:rPr>
        <w:t>أشدها</w:t>
      </w:r>
      <w:r w:rsidR="00F32B28">
        <w:rPr>
          <w:rtl/>
          <w:lang w:bidi="ar-SY"/>
        </w:rPr>
        <w:t xml:space="preserve"> </w:t>
      </w:r>
      <w:r w:rsidR="00F32B28" w:rsidRPr="00F32B28">
        <w:rPr>
          <w:rtl/>
          <w:lang w:bidi="ar-SY"/>
        </w:rPr>
        <w:t>بجرائم</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Fonts w:hint="cs"/>
          <w:rtl/>
          <w:lang w:bidi="ar-SY"/>
        </w:rPr>
        <w:t>الاستعماري</w:t>
      </w:r>
      <w:r w:rsidR="00F32B28">
        <w:rPr>
          <w:rtl/>
          <w:lang w:bidi="ar-SY"/>
        </w:rPr>
        <w:t xml:space="preserve"> </w:t>
      </w:r>
      <w:r w:rsidR="00F32B28" w:rsidRPr="00F32B28">
        <w:rPr>
          <w:rtl/>
          <w:lang w:bidi="ar-SY"/>
        </w:rPr>
        <w:t>وانتهاكاته</w:t>
      </w:r>
      <w:r w:rsidR="00F32B28">
        <w:rPr>
          <w:rtl/>
          <w:lang w:bidi="ar-SY"/>
        </w:rPr>
        <w:t xml:space="preserve"> </w:t>
      </w:r>
      <w:r w:rsidR="00F32B28" w:rsidRPr="00F32B28">
        <w:rPr>
          <w:rtl/>
          <w:lang w:bidi="ar-SY"/>
        </w:rPr>
        <w:t>الجسيمة</w:t>
      </w:r>
      <w:r w:rsidR="00F32B28">
        <w:rPr>
          <w:rtl/>
          <w:lang w:bidi="ar-SY"/>
        </w:rPr>
        <w:t xml:space="preserve"> </w:t>
      </w:r>
      <w:r w:rsidR="00F32B28" w:rsidRPr="00F32B28">
        <w:rPr>
          <w:rtl/>
          <w:lang w:bidi="ar-SY"/>
        </w:rPr>
        <w:t>للقانون</w:t>
      </w:r>
      <w:r w:rsidR="00F32B28">
        <w:rPr>
          <w:rtl/>
          <w:lang w:bidi="ar-SY"/>
        </w:rPr>
        <w:t xml:space="preserve"> </w:t>
      </w:r>
      <w:r w:rsidR="00F32B28" w:rsidRPr="00F32B28">
        <w:rPr>
          <w:rtl/>
          <w:lang w:bidi="ar-SY"/>
        </w:rPr>
        <w:t>الدولي</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وللقانون</w:t>
      </w:r>
      <w:r w:rsidR="00F32B28">
        <w:rPr>
          <w:rtl/>
          <w:lang w:bidi="ar-SY"/>
        </w:rPr>
        <w:t xml:space="preserve"> </w:t>
      </w:r>
      <w:r w:rsidR="00F32B28" w:rsidRPr="00F32B28">
        <w:rPr>
          <w:rtl/>
          <w:lang w:bidi="ar-SY"/>
        </w:rPr>
        <w:t>الدولي</w:t>
      </w:r>
      <w:r w:rsidR="00F32B28">
        <w:rPr>
          <w:rtl/>
          <w:lang w:bidi="ar-SY"/>
        </w:rPr>
        <w:t xml:space="preserve"> </w:t>
      </w:r>
      <w:r w:rsidR="00F32B28" w:rsidRPr="00F32B28">
        <w:rPr>
          <w:rtl/>
          <w:lang w:bidi="ar-SY"/>
        </w:rPr>
        <w:t>لحقوق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والقانون</w:t>
      </w:r>
      <w:r w:rsidR="00F32B28">
        <w:rPr>
          <w:rtl/>
          <w:lang w:bidi="ar-SY"/>
        </w:rPr>
        <w:t xml:space="preserve"> </w:t>
      </w:r>
      <w:r w:rsidR="00F32B28" w:rsidRPr="00F32B28">
        <w:rPr>
          <w:rtl/>
          <w:lang w:bidi="ar-SY"/>
        </w:rPr>
        <w:t>الدولي</w:t>
      </w:r>
      <w:r w:rsidR="00F32B28">
        <w:rPr>
          <w:rtl/>
          <w:lang w:bidi="ar-SY"/>
        </w:rPr>
        <w:t xml:space="preserve"> </w:t>
      </w:r>
      <w:r w:rsidR="00F32B28" w:rsidRPr="00F32B28">
        <w:rPr>
          <w:rtl/>
          <w:lang w:bidi="ar-SY"/>
        </w:rPr>
        <w:t>الإنساني</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خاص،</w:t>
      </w:r>
      <w:r w:rsidR="00F32B28">
        <w:rPr>
          <w:rtl/>
          <w:lang w:bidi="ar-SY"/>
        </w:rPr>
        <w:t xml:space="preserve"> </w:t>
      </w:r>
      <w:r w:rsidR="00F32B28" w:rsidRPr="00F32B28">
        <w:rPr>
          <w:rtl/>
          <w:lang w:bidi="ar-SY"/>
        </w:rPr>
        <w:t>سواء</w:t>
      </w:r>
      <w:r w:rsidR="00F32B28">
        <w:rPr>
          <w:rtl/>
          <w:lang w:bidi="ar-SY"/>
        </w:rPr>
        <w:t xml:space="preserve"> </w:t>
      </w:r>
      <w:r w:rsidR="00F32B28" w:rsidRPr="00F32B28">
        <w:rPr>
          <w:rtl/>
          <w:lang w:bidi="ar-SY"/>
        </w:rPr>
        <w:t>تلك</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يتم</w:t>
      </w:r>
      <w:r w:rsidR="00F32B28">
        <w:rPr>
          <w:rtl/>
          <w:lang w:bidi="ar-SY"/>
        </w:rPr>
        <w:t xml:space="preserve"> </w:t>
      </w:r>
      <w:r w:rsidR="00F32B28" w:rsidRPr="00F32B28">
        <w:rPr>
          <w:rtl/>
          <w:lang w:bidi="ar-SY"/>
        </w:rPr>
        <w:t>ارتكابها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يد</w:t>
      </w:r>
      <w:r w:rsidR="00F32B28">
        <w:rPr>
          <w:rtl/>
          <w:lang w:bidi="ar-SY"/>
        </w:rPr>
        <w:t xml:space="preserve"> </w:t>
      </w:r>
      <w:r w:rsidR="00F32B28" w:rsidRPr="00F32B28">
        <w:rPr>
          <w:rtl/>
          <w:lang w:bidi="ar-SY"/>
        </w:rPr>
        <w:t>قواته</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مستوطنيه</w:t>
      </w:r>
      <w:r w:rsidR="00F32B28">
        <w:rPr>
          <w:rtl/>
          <w:lang w:bidi="ar-SY"/>
        </w:rPr>
        <w:t xml:space="preserve"> </w:t>
      </w:r>
      <w:r w:rsidR="00F32B28" w:rsidRPr="00F32B28">
        <w:rPr>
          <w:rtl/>
          <w:lang w:bidi="ar-SY"/>
        </w:rPr>
        <w:t>المتوغلون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المطوقون</w:t>
      </w:r>
      <w:r w:rsidR="00F32B28">
        <w:rPr>
          <w:rtl/>
          <w:lang w:bidi="ar-SY"/>
        </w:rPr>
        <w:t xml:space="preserve"> </w:t>
      </w:r>
      <w:r w:rsidR="00F32B28" w:rsidRPr="00F32B28">
        <w:rPr>
          <w:rtl/>
          <w:lang w:bidi="ar-SY"/>
        </w:rPr>
        <w:t>لقطاع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تلقي</w:t>
      </w:r>
      <w:r w:rsidR="00F32B28">
        <w:rPr>
          <w:rtl/>
          <w:lang w:bidi="ar-SY"/>
        </w:rPr>
        <w:t xml:space="preserve"> </w:t>
      </w:r>
      <w:r w:rsidR="00F32B28" w:rsidRPr="00F32B28">
        <w:rPr>
          <w:rtl/>
          <w:lang w:bidi="ar-SY"/>
        </w:rPr>
        <w:t>بعواقبها</w:t>
      </w:r>
      <w:r w:rsidR="00F32B28">
        <w:rPr>
          <w:rtl/>
          <w:lang w:bidi="ar-SY"/>
        </w:rPr>
        <w:t xml:space="preserve"> </w:t>
      </w:r>
      <w:r w:rsidR="00F32B28" w:rsidRPr="00F32B28">
        <w:rPr>
          <w:rtl/>
          <w:lang w:bidi="ar-SY"/>
        </w:rPr>
        <w:t>وبشكل</w:t>
      </w:r>
      <w:r w:rsidR="00F32B28">
        <w:rPr>
          <w:rtl/>
          <w:lang w:bidi="ar-SY"/>
        </w:rPr>
        <w:t xml:space="preserve"> </w:t>
      </w:r>
      <w:r w:rsidR="00F32B28" w:rsidRPr="00F32B28">
        <w:rPr>
          <w:rtl/>
          <w:lang w:bidi="ar-SY"/>
        </w:rPr>
        <w:t>مباشر</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قلما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تجد</w:t>
      </w:r>
      <w:r w:rsidR="00F32B28">
        <w:rPr>
          <w:rtl/>
          <w:lang w:bidi="ar-SY"/>
        </w:rPr>
        <w:t xml:space="preserve"> </w:t>
      </w:r>
      <w:r w:rsidR="00F32B28" w:rsidRPr="00F32B28">
        <w:rPr>
          <w:rtl/>
          <w:lang w:bidi="ar-SY"/>
        </w:rPr>
        <w:t>امرأة</w:t>
      </w:r>
      <w:r w:rsidR="00F32B28">
        <w:rPr>
          <w:rtl/>
          <w:lang w:bidi="ar-SY"/>
        </w:rPr>
        <w:t xml:space="preserve"> </w:t>
      </w:r>
      <w:r w:rsidR="00F32B28" w:rsidRPr="00F32B28">
        <w:rPr>
          <w:rtl/>
          <w:lang w:bidi="ar-SY"/>
        </w:rPr>
        <w:t>فلسطينية</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تطالها</w:t>
      </w:r>
      <w:r w:rsidR="00F32B28">
        <w:rPr>
          <w:rtl/>
          <w:lang w:bidi="ar-SY"/>
        </w:rPr>
        <w:t xml:space="preserve"> </w:t>
      </w:r>
      <w:r w:rsidR="00F32B28" w:rsidRPr="00F32B28">
        <w:rPr>
          <w:rtl/>
          <w:lang w:bidi="ar-SY"/>
        </w:rPr>
        <w:t>إحدى</w:t>
      </w:r>
      <w:r w:rsidR="00F32B28">
        <w:rPr>
          <w:rtl/>
          <w:lang w:bidi="ar-SY"/>
        </w:rPr>
        <w:t xml:space="preserve"> </w:t>
      </w:r>
      <w:r w:rsidR="00F32B28" w:rsidRPr="00F32B28">
        <w:rPr>
          <w:rtl/>
          <w:lang w:bidi="ar-SY"/>
        </w:rPr>
        <w:t>جرائم</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مباشر</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يترتب</w:t>
      </w:r>
      <w:r w:rsidR="00F32B28">
        <w:rPr>
          <w:rtl/>
          <w:lang w:bidi="ar-SY"/>
        </w:rPr>
        <w:t xml:space="preserve"> </w:t>
      </w:r>
      <w:r w:rsidR="00F32B28" w:rsidRPr="00F32B28">
        <w:rPr>
          <w:rtl/>
          <w:lang w:bidi="ar-SY"/>
        </w:rPr>
        <w:t>عليها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آثار،</w:t>
      </w:r>
      <w:r w:rsidR="00F32B28">
        <w:rPr>
          <w:rtl/>
          <w:lang w:bidi="ar-SY"/>
        </w:rPr>
        <w:t xml:space="preserve"> </w:t>
      </w:r>
      <w:r w:rsidR="00F32B28" w:rsidRPr="00F32B28">
        <w:rPr>
          <w:rtl/>
          <w:lang w:bidi="ar-SY"/>
        </w:rPr>
        <w:t>وهي</w:t>
      </w:r>
      <w:r w:rsidR="00F32B28">
        <w:rPr>
          <w:rtl/>
          <w:lang w:bidi="ar-SY"/>
        </w:rPr>
        <w:t xml:space="preserve"> </w:t>
      </w:r>
      <w:r w:rsidR="00F32B28" w:rsidRPr="00F32B28">
        <w:rPr>
          <w:rtl/>
          <w:lang w:bidi="ar-SY"/>
        </w:rPr>
        <w:t>تشمل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سبيل</w:t>
      </w:r>
      <w:r w:rsidR="00F32B28">
        <w:rPr>
          <w:rtl/>
          <w:lang w:bidi="ar-SY"/>
        </w:rPr>
        <w:t xml:space="preserve"> </w:t>
      </w:r>
      <w:r w:rsidR="00F32B28" w:rsidRPr="00F32B28">
        <w:rPr>
          <w:rtl/>
          <w:lang w:bidi="ar-SY"/>
        </w:rPr>
        <w:t>المثال</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الحصر،</w:t>
      </w:r>
      <w:r w:rsidR="00F32B28">
        <w:rPr>
          <w:rtl/>
          <w:lang w:bidi="ar-SY"/>
        </w:rPr>
        <w:t xml:space="preserve"> </w:t>
      </w:r>
      <w:r w:rsidR="00F32B28" w:rsidRPr="00F32B28">
        <w:rPr>
          <w:rtl/>
          <w:lang w:bidi="ar-SY"/>
        </w:rPr>
        <w:t>القتل</w:t>
      </w:r>
      <w:r w:rsidR="00F32B28">
        <w:rPr>
          <w:rtl/>
          <w:lang w:bidi="ar-SY"/>
        </w:rPr>
        <w:t xml:space="preserve"> </w:t>
      </w:r>
      <w:r w:rsidR="00F32B28" w:rsidRPr="00F32B28">
        <w:rPr>
          <w:rtl/>
          <w:lang w:bidi="ar-SY"/>
        </w:rPr>
        <w:t>والإعدام</w:t>
      </w:r>
      <w:r w:rsidR="00F32B28">
        <w:rPr>
          <w:rtl/>
          <w:lang w:bidi="ar-SY"/>
        </w:rPr>
        <w:t xml:space="preserve"> </w:t>
      </w:r>
      <w:r w:rsidR="00F32B28" w:rsidRPr="00F32B28">
        <w:rPr>
          <w:rtl/>
          <w:lang w:bidi="ar-SY"/>
        </w:rPr>
        <w:t>خارج</w:t>
      </w:r>
      <w:r w:rsidR="00F32B28">
        <w:rPr>
          <w:rtl/>
          <w:lang w:bidi="ar-SY"/>
        </w:rPr>
        <w:t xml:space="preserve"> </w:t>
      </w:r>
      <w:r w:rsidR="00F32B28" w:rsidRPr="00F32B28">
        <w:rPr>
          <w:rtl/>
          <w:lang w:bidi="ar-SY"/>
        </w:rPr>
        <w:t>نطاق</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واستهداف</w:t>
      </w:r>
      <w:r w:rsidR="00F32B28">
        <w:rPr>
          <w:rtl/>
          <w:lang w:bidi="ar-SY"/>
        </w:rPr>
        <w:t xml:space="preserve"> </w:t>
      </w:r>
      <w:r w:rsidR="00F32B28" w:rsidRPr="00F32B28">
        <w:rPr>
          <w:rtl/>
          <w:lang w:bidi="ar-SY"/>
        </w:rPr>
        <w:t>المدنيين</w:t>
      </w:r>
      <w:r w:rsidR="00F32B28">
        <w:rPr>
          <w:rtl/>
          <w:lang w:bidi="ar-SY"/>
        </w:rPr>
        <w:t xml:space="preserve"> </w:t>
      </w:r>
      <w:r w:rsidR="00F32B28" w:rsidRPr="00F32B28">
        <w:rPr>
          <w:rtl/>
          <w:lang w:bidi="ar-SY"/>
        </w:rPr>
        <w:t>والأعين</w:t>
      </w:r>
      <w:r w:rsidR="00F32B28">
        <w:rPr>
          <w:rtl/>
          <w:lang w:bidi="ar-SY"/>
        </w:rPr>
        <w:t xml:space="preserve"> </w:t>
      </w:r>
      <w:r w:rsidR="00F32B28" w:rsidRPr="00F32B28">
        <w:rPr>
          <w:rtl/>
          <w:lang w:bidi="ar-SY"/>
        </w:rPr>
        <w:t>المدنية،</w:t>
      </w:r>
      <w:r w:rsidR="00F32B28">
        <w:rPr>
          <w:rtl/>
          <w:lang w:bidi="ar-SY"/>
        </w:rPr>
        <w:t xml:space="preserve"> </w:t>
      </w:r>
      <w:r w:rsidR="00F32B28" w:rsidRPr="00F32B28">
        <w:rPr>
          <w:rtl/>
          <w:lang w:bidi="ar-SY"/>
        </w:rPr>
        <w:t>والاعتقال</w:t>
      </w:r>
      <w:r w:rsidR="00F32B28">
        <w:rPr>
          <w:rtl/>
          <w:lang w:bidi="ar-SY"/>
        </w:rPr>
        <w:t xml:space="preserve"> </w:t>
      </w:r>
      <w:r w:rsidR="00F32B28" w:rsidRPr="00F32B28">
        <w:rPr>
          <w:rtl/>
          <w:lang w:bidi="ar-SY"/>
        </w:rPr>
        <w:t>التعسفي،</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الاعتقال</w:t>
      </w:r>
      <w:r w:rsidR="00F32B28">
        <w:rPr>
          <w:rtl/>
          <w:lang w:bidi="ar-SY"/>
        </w:rPr>
        <w:t xml:space="preserve"> </w:t>
      </w:r>
      <w:r w:rsidR="00F32B28" w:rsidRPr="00F32B28">
        <w:rPr>
          <w:rtl/>
          <w:lang w:bidi="ar-SY"/>
        </w:rPr>
        <w:t>الإداري،</w:t>
      </w:r>
      <w:r w:rsidR="00F32B28">
        <w:rPr>
          <w:rtl/>
          <w:lang w:bidi="ar-SY"/>
        </w:rPr>
        <w:t xml:space="preserve"> </w:t>
      </w:r>
      <w:r w:rsidR="00F32B28" w:rsidRPr="00F32B28">
        <w:rPr>
          <w:rtl/>
          <w:lang w:bidi="ar-SY"/>
        </w:rPr>
        <w:t>والتعذيب</w:t>
      </w:r>
      <w:r w:rsidR="00F32B28">
        <w:rPr>
          <w:rtl/>
          <w:lang w:bidi="ar-SY"/>
        </w:rPr>
        <w:t xml:space="preserve"> </w:t>
      </w:r>
      <w:r w:rsidR="00F32B28" w:rsidRPr="00F32B28">
        <w:rPr>
          <w:rtl/>
          <w:lang w:bidi="ar-SY"/>
        </w:rPr>
        <w:t>والمعاملة</w:t>
      </w:r>
      <w:r w:rsidR="00F32B28">
        <w:rPr>
          <w:rtl/>
          <w:lang w:bidi="ar-SY"/>
        </w:rPr>
        <w:t xml:space="preserve"> </w:t>
      </w:r>
      <w:r w:rsidR="00F32B28" w:rsidRPr="00F32B28">
        <w:rPr>
          <w:rtl/>
          <w:lang w:bidi="ar-SY"/>
        </w:rPr>
        <w:t>اللاإنسانية،</w:t>
      </w:r>
      <w:r w:rsidR="00F32B28">
        <w:rPr>
          <w:rtl/>
          <w:lang w:bidi="ar-SY"/>
        </w:rPr>
        <w:t xml:space="preserve"> </w:t>
      </w:r>
      <w:r w:rsidR="00F32B28" w:rsidRPr="00F32B28">
        <w:rPr>
          <w:rtl/>
          <w:lang w:bidi="ar-SY"/>
        </w:rPr>
        <w:t>وتوسيع</w:t>
      </w:r>
      <w:r w:rsidR="00F32B28">
        <w:rPr>
          <w:rtl/>
          <w:lang w:bidi="ar-SY"/>
        </w:rPr>
        <w:t xml:space="preserve"> </w:t>
      </w:r>
      <w:r w:rsidR="00F32B28" w:rsidRPr="00F32B28">
        <w:rPr>
          <w:rtl/>
          <w:lang w:bidi="ar-SY"/>
        </w:rPr>
        <w:t>المستوطنات</w:t>
      </w:r>
      <w:r w:rsidR="00F32B28">
        <w:rPr>
          <w:rtl/>
          <w:lang w:bidi="ar-SY"/>
        </w:rPr>
        <w:t xml:space="preserve"> </w:t>
      </w:r>
      <w:r w:rsidR="00F32B28" w:rsidRPr="00F32B28">
        <w:rPr>
          <w:rtl/>
          <w:lang w:bidi="ar-SY"/>
        </w:rPr>
        <w:t>والاستمرار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بناء</w:t>
      </w:r>
      <w:r w:rsidR="00F32B28">
        <w:rPr>
          <w:rtl/>
          <w:lang w:bidi="ar-SY"/>
        </w:rPr>
        <w:t xml:space="preserve"> </w:t>
      </w:r>
      <w:r w:rsidR="00F32B28" w:rsidRPr="00F32B28">
        <w:rPr>
          <w:rtl/>
          <w:lang w:bidi="ar-SY"/>
        </w:rPr>
        <w:t>جدار</w:t>
      </w:r>
      <w:r w:rsidR="00F32B28">
        <w:rPr>
          <w:rtl/>
          <w:lang w:bidi="ar-SY"/>
        </w:rPr>
        <w:t xml:space="preserve"> </w:t>
      </w:r>
      <w:r w:rsidR="00F32B28" w:rsidRPr="00F32B28">
        <w:rPr>
          <w:rtl/>
          <w:lang w:bidi="ar-SY"/>
        </w:rPr>
        <w:t>الضم</w:t>
      </w:r>
      <w:r w:rsidR="00F32B28">
        <w:rPr>
          <w:rtl/>
          <w:lang w:bidi="ar-SY"/>
        </w:rPr>
        <w:t xml:space="preserve"> </w:t>
      </w:r>
      <w:r w:rsidR="00F32B28" w:rsidRPr="00F32B28">
        <w:rPr>
          <w:rtl/>
          <w:lang w:bidi="ar-SY"/>
        </w:rPr>
        <w:t>والتوسع</w:t>
      </w:r>
      <w:r w:rsidR="00F32B28">
        <w:rPr>
          <w:rtl/>
          <w:lang w:bidi="ar-SY"/>
        </w:rPr>
        <w:t xml:space="preserve"> </w:t>
      </w:r>
      <w:r w:rsidR="00F32B28" w:rsidRPr="00F32B28">
        <w:rPr>
          <w:rtl/>
          <w:lang w:bidi="ar-SY"/>
        </w:rPr>
        <w:t>والإبقاء</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النظام</w:t>
      </w:r>
      <w:r w:rsidR="00F32B28">
        <w:rPr>
          <w:rFonts w:hint="cs"/>
          <w:rtl/>
          <w:lang w:bidi="ar-SY"/>
        </w:rPr>
        <w:t xml:space="preserve"> </w:t>
      </w:r>
      <w:r w:rsidR="00F32B28" w:rsidRPr="00F32B28">
        <w:rPr>
          <w:rFonts w:hint="cs"/>
          <w:rtl/>
          <w:lang w:bidi="ar-SY"/>
        </w:rPr>
        <w:t>العنصري</w:t>
      </w:r>
      <w:r w:rsidR="00F32B28">
        <w:rPr>
          <w:rtl/>
          <w:lang w:bidi="ar-SY"/>
        </w:rPr>
        <w:t xml:space="preserve"> </w:t>
      </w:r>
      <w:r w:rsidR="00F32B28" w:rsidRPr="00F32B28">
        <w:rPr>
          <w:rtl/>
          <w:lang w:bidi="ar-SY"/>
        </w:rPr>
        <w:t>المرتبط</w:t>
      </w:r>
      <w:r w:rsidR="00F32B28">
        <w:rPr>
          <w:rtl/>
          <w:lang w:bidi="ar-SY"/>
        </w:rPr>
        <w:t xml:space="preserve"> </w:t>
      </w:r>
      <w:r w:rsidR="00F32B28" w:rsidRPr="00F32B28">
        <w:rPr>
          <w:rtl/>
          <w:lang w:bidi="ar-SY"/>
        </w:rPr>
        <w:t>به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الحواجز</w:t>
      </w:r>
      <w:r w:rsidR="00F32B28">
        <w:rPr>
          <w:rtl/>
          <w:lang w:bidi="ar-SY"/>
        </w:rPr>
        <w:t xml:space="preserve"> </w:t>
      </w:r>
      <w:r w:rsidR="00F32B28" w:rsidRPr="00F32B28">
        <w:rPr>
          <w:rtl/>
          <w:lang w:bidi="ar-SY"/>
        </w:rPr>
        <w:t>العسكرية</w:t>
      </w:r>
      <w:r w:rsidR="00F32B28">
        <w:rPr>
          <w:rtl/>
          <w:lang w:bidi="ar-SY"/>
        </w:rPr>
        <w:t xml:space="preserve"> </w:t>
      </w:r>
      <w:r w:rsidR="00F32B28" w:rsidRPr="00F32B28">
        <w:rPr>
          <w:rtl/>
          <w:lang w:bidi="ar-SY"/>
        </w:rPr>
        <w:t>والبوابات</w:t>
      </w:r>
      <w:r w:rsidR="00F32B28">
        <w:rPr>
          <w:rtl/>
          <w:lang w:bidi="ar-SY"/>
        </w:rPr>
        <w:t xml:space="preserve"> </w:t>
      </w:r>
      <w:r w:rsidR="00F32B28" w:rsidRPr="00F32B28">
        <w:rPr>
          <w:rtl/>
          <w:lang w:bidi="ar-SY"/>
        </w:rPr>
        <w:t>والتصاريح</w:t>
      </w:r>
      <w:r w:rsidR="00F32B28">
        <w:rPr>
          <w:rtl/>
          <w:lang w:bidi="ar-SY"/>
        </w:rPr>
        <w:t xml:space="preserve"> </w:t>
      </w:r>
      <w:r w:rsidR="00F32B28" w:rsidRPr="00F32B28">
        <w:rPr>
          <w:rtl/>
          <w:lang w:bidi="ar-SY"/>
        </w:rPr>
        <w:t>والهويات</w:t>
      </w:r>
      <w:r w:rsidR="00F32B28">
        <w:rPr>
          <w:rtl/>
          <w:lang w:bidi="ar-SY"/>
        </w:rPr>
        <w:t xml:space="preserve"> </w:t>
      </w:r>
      <w:r w:rsidR="00F32B28" w:rsidRPr="00F32B28">
        <w:rPr>
          <w:rtl/>
          <w:lang w:bidi="ar-SY"/>
        </w:rPr>
        <w:t>ومصادرة</w:t>
      </w:r>
      <w:r w:rsidR="00F32B28">
        <w:rPr>
          <w:rtl/>
          <w:lang w:bidi="ar-SY"/>
        </w:rPr>
        <w:t xml:space="preserve"> </w:t>
      </w:r>
      <w:r w:rsidR="00F32B28" w:rsidRPr="00F32B28">
        <w:rPr>
          <w:rtl/>
          <w:lang w:bidi="ar-SY"/>
        </w:rPr>
        <w:t>الأراضي</w:t>
      </w:r>
      <w:r w:rsidR="00F32B28">
        <w:rPr>
          <w:rtl/>
          <w:lang w:bidi="ar-SY"/>
        </w:rPr>
        <w:t xml:space="preserve"> </w:t>
      </w:r>
      <w:r w:rsidR="00F32B28" w:rsidRPr="00F32B28">
        <w:rPr>
          <w:rtl/>
          <w:lang w:bidi="ar-SY"/>
        </w:rPr>
        <w:t>وتدمير</w:t>
      </w:r>
      <w:r w:rsidR="00F32B28">
        <w:rPr>
          <w:rtl/>
          <w:lang w:bidi="ar-SY"/>
        </w:rPr>
        <w:t xml:space="preserve"> </w:t>
      </w:r>
      <w:r w:rsidR="00F32B28" w:rsidRPr="00F32B28">
        <w:rPr>
          <w:rtl/>
          <w:lang w:bidi="ar-SY"/>
        </w:rPr>
        <w:t>الممتلكات،</w:t>
      </w:r>
      <w:r w:rsidR="00F32B28">
        <w:rPr>
          <w:rtl/>
          <w:lang w:bidi="ar-SY"/>
        </w:rPr>
        <w:t xml:space="preserve"> </w:t>
      </w:r>
      <w:r w:rsidR="00F32B28" w:rsidRPr="00F32B28">
        <w:rPr>
          <w:rtl/>
          <w:lang w:bidi="ar-SY"/>
        </w:rPr>
        <w:t>وإتلاف</w:t>
      </w:r>
      <w:r w:rsidR="00F32B28">
        <w:rPr>
          <w:rtl/>
          <w:lang w:bidi="ar-SY"/>
        </w:rPr>
        <w:t xml:space="preserve"> </w:t>
      </w:r>
      <w:r w:rsidR="00F32B28" w:rsidRPr="00F32B28">
        <w:rPr>
          <w:rtl/>
          <w:lang w:bidi="ar-SY"/>
        </w:rPr>
        <w:t>المحاصيل</w:t>
      </w:r>
      <w:r w:rsidR="00F32B28">
        <w:rPr>
          <w:rtl/>
          <w:lang w:bidi="ar-SY"/>
        </w:rPr>
        <w:t xml:space="preserve"> </w:t>
      </w:r>
      <w:r w:rsidR="00F32B28" w:rsidRPr="00F32B28">
        <w:rPr>
          <w:rtl/>
          <w:lang w:bidi="ar-SY"/>
        </w:rPr>
        <w:t>وسرقتها،</w:t>
      </w:r>
      <w:r w:rsidR="00F32B28">
        <w:rPr>
          <w:rtl/>
          <w:lang w:bidi="ar-SY"/>
        </w:rPr>
        <w:t xml:space="preserve"> </w:t>
      </w:r>
      <w:r w:rsidR="00F32B28" w:rsidRPr="00F32B28">
        <w:rPr>
          <w:rtl/>
          <w:lang w:bidi="ar-SY"/>
        </w:rPr>
        <w:t>والإغلاقات،</w:t>
      </w:r>
      <w:r w:rsidR="00F32B28">
        <w:rPr>
          <w:rtl/>
          <w:lang w:bidi="ar-SY"/>
        </w:rPr>
        <w:t xml:space="preserve"> </w:t>
      </w:r>
      <w:r w:rsidR="00F32B28" w:rsidRPr="00F32B28">
        <w:rPr>
          <w:rtl/>
          <w:lang w:bidi="ar-SY"/>
        </w:rPr>
        <w:t>واستمرار</w:t>
      </w:r>
      <w:r w:rsidR="00F32B28">
        <w:rPr>
          <w:rtl/>
          <w:lang w:bidi="ar-SY"/>
        </w:rPr>
        <w:t xml:space="preserve"> </w:t>
      </w:r>
      <w:r w:rsidR="00F32B28" w:rsidRPr="00F32B28">
        <w:rPr>
          <w:rtl/>
          <w:lang w:bidi="ar-SY"/>
        </w:rPr>
        <w:t>جرائم</w:t>
      </w:r>
      <w:r w:rsidR="00F32B28">
        <w:rPr>
          <w:rtl/>
          <w:lang w:bidi="ar-SY"/>
        </w:rPr>
        <w:t xml:space="preserve"> </w:t>
      </w:r>
      <w:r w:rsidR="00F32B28" w:rsidRPr="00F32B28">
        <w:rPr>
          <w:rtl/>
          <w:lang w:bidi="ar-LB"/>
        </w:rPr>
        <w:t>مليشيات</w:t>
      </w:r>
      <w:r w:rsidR="00F32B28">
        <w:rPr>
          <w:rtl/>
          <w:lang w:bidi="ar-LB"/>
        </w:rPr>
        <w:t xml:space="preserve"> </w:t>
      </w:r>
      <w:r w:rsidR="00F32B28" w:rsidRPr="00F32B28">
        <w:rPr>
          <w:rtl/>
          <w:lang w:bidi="ar-LB"/>
        </w:rPr>
        <w:t>المستوطنين</w:t>
      </w:r>
      <w:r w:rsidR="00F32B28">
        <w:rPr>
          <w:rtl/>
          <w:lang w:bidi="ar-LB"/>
        </w:rPr>
        <w:t xml:space="preserve"> </w:t>
      </w:r>
      <w:r w:rsidR="00F32B28" w:rsidRPr="00F32B28">
        <w:rPr>
          <w:rtl/>
          <w:lang w:bidi="ar-LB"/>
        </w:rPr>
        <w:t>الإرهابية</w:t>
      </w:r>
      <w:r w:rsidR="00F32B28">
        <w:rPr>
          <w:rtl/>
          <w:lang w:bidi="ar-LB"/>
        </w:rPr>
        <w:t xml:space="preserve"> </w:t>
      </w:r>
      <w:r w:rsidR="00F32B28" w:rsidRPr="00F32B28">
        <w:rPr>
          <w:rtl/>
          <w:lang w:bidi="ar-LB"/>
        </w:rPr>
        <w:t>وافلاتهم</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العقاب</w:t>
      </w:r>
      <w:r w:rsidR="00F32B28" w:rsidRPr="00F32B28">
        <w:rPr>
          <w:rtl/>
          <w:lang w:bidi="ar-SY"/>
        </w:rPr>
        <w:t>،</w:t>
      </w:r>
      <w:r w:rsidR="00F32B28">
        <w:rPr>
          <w:rtl/>
          <w:lang w:bidi="ar-SY"/>
        </w:rPr>
        <w:t xml:space="preserve"> </w:t>
      </w:r>
      <w:r w:rsidR="00F32B28" w:rsidRPr="00F32B28">
        <w:rPr>
          <w:rtl/>
          <w:lang w:bidi="ar-SY"/>
        </w:rPr>
        <w:t>والحصار</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القانوني</w:t>
      </w:r>
      <w:r w:rsidR="00F32B28">
        <w:rPr>
          <w:rtl/>
          <w:lang w:bidi="ar-SY"/>
        </w:rPr>
        <w:t xml:space="preserve"> </w:t>
      </w:r>
      <w:r w:rsidR="00F32B28" w:rsidRPr="00F32B28">
        <w:rPr>
          <w:rtl/>
          <w:lang w:bidi="ar-SY"/>
        </w:rPr>
        <w:t>المفروض</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والاعتداءات</w:t>
      </w:r>
      <w:r w:rsidR="00F32B28">
        <w:rPr>
          <w:rtl/>
          <w:lang w:bidi="ar-SY"/>
        </w:rPr>
        <w:t xml:space="preserve"> </w:t>
      </w:r>
      <w:r w:rsidR="00F32B28" w:rsidRPr="00F32B28">
        <w:rPr>
          <w:rtl/>
          <w:lang w:bidi="ar-SY"/>
        </w:rPr>
        <w:t>الحربية</w:t>
      </w:r>
      <w:r w:rsidR="00F32B28">
        <w:rPr>
          <w:rtl/>
          <w:lang w:bidi="ar-SY"/>
        </w:rPr>
        <w:t xml:space="preserve"> </w:t>
      </w:r>
      <w:r w:rsidR="00F32B28" w:rsidRPr="00F32B28">
        <w:rPr>
          <w:rtl/>
          <w:lang w:bidi="ar-SY"/>
        </w:rPr>
        <w:t>المستمرة</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lang w:bidi="ar-SY"/>
        </w:rPr>
        <w:t>وما</w:t>
      </w:r>
      <w:r w:rsidR="00F32B28">
        <w:rPr>
          <w:rtl/>
          <w:lang w:bidi="ar-SY"/>
        </w:rPr>
        <w:t xml:space="preserve"> </w:t>
      </w:r>
      <w:r w:rsidR="00F32B28" w:rsidRPr="00F32B28">
        <w:rPr>
          <w:rtl/>
          <w:lang w:bidi="ar-SY"/>
        </w:rPr>
        <w:t>يتسبب</w:t>
      </w:r>
      <w:r w:rsidR="00F32B28">
        <w:rPr>
          <w:rtl/>
          <w:lang w:bidi="ar-SY"/>
        </w:rPr>
        <w:t xml:space="preserve"> </w:t>
      </w:r>
      <w:r w:rsidR="00F32B28" w:rsidRPr="00F32B28">
        <w:rPr>
          <w:rtl/>
          <w:lang w:bidi="ar-SY"/>
        </w:rPr>
        <w:t>عنها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تدمير</w:t>
      </w:r>
      <w:r w:rsidR="00F32B28">
        <w:rPr>
          <w:rtl/>
          <w:lang w:bidi="ar-SY"/>
        </w:rPr>
        <w:t xml:space="preserve"> </w:t>
      </w:r>
      <w:r w:rsidR="00F32B28" w:rsidRPr="00F32B28">
        <w:rPr>
          <w:rtl/>
          <w:lang w:bidi="ar-SY"/>
        </w:rPr>
        <w:t>البنية</w:t>
      </w:r>
      <w:r w:rsidR="00F32B28">
        <w:rPr>
          <w:rtl/>
          <w:lang w:bidi="ar-SY"/>
        </w:rPr>
        <w:t xml:space="preserve"> </w:t>
      </w:r>
      <w:r w:rsidR="00F32B28" w:rsidRPr="00F32B28">
        <w:rPr>
          <w:rtl/>
          <w:lang w:bidi="ar-SY"/>
        </w:rPr>
        <w:t>التحتية</w:t>
      </w:r>
      <w:r w:rsidR="00F32B28">
        <w:rPr>
          <w:rtl/>
          <w:lang w:bidi="ar-SY"/>
        </w:rPr>
        <w:t xml:space="preserve"> </w:t>
      </w:r>
      <w:r w:rsidR="00F32B28" w:rsidRPr="00F32B28">
        <w:rPr>
          <w:rtl/>
          <w:lang w:bidi="ar-SY"/>
        </w:rPr>
        <w:t>ومنازل</w:t>
      </w:r>
      <w:r w:rsidR="00F32B28">
        <w:rPr>
          <w:rtl/>
          <w:lang w:bidi="ar-SY"/>
        </w:rPr>
        <w:t xml:space="preserve"> </w:t>
      </w:r>
      <w:r w:rsidR="00F32B28" w:rsidRPr="00F32B28">
        <w:rPr>
          <w:rtl/>
          <w:lang w:bidi="ar-SY"/>
        </w:rPr>
        <w:t>المدنيين</w:t>
      </w:r>
      <w:r w:rsidR="00F32B28">
        <w:rPr>
          <w:rtl/>
          <w:lang w:bidi="ar-SY"/>
        </w:rPr>
        <w:t xml:space="preserve"> </w:t>
      </w:r>
      <w:r w:rsidR="00F32B28" w:rsidRPr="00F32B28">
        <w:rPr>
          <w:rtl/>
          <w:lang w:bidi="ar-SY"/>
        </w:rPr>
        <w:t>والتشرد</w:t>
      </w:r>
      <w:r w:rsidR="00F32B28">
        <w:rPr>
          <w:rtl/>
          <w:lang w:bidi="ar-SY"/>
        </w:rPr>
        <w:t xml:space="preserve"> </w:t>
      </w:r>
      <w:r w:rsidR="00F32B28" w:rsidRPr="00F32B28">
        <w:rPr>
          <w:rtl/>
          <w:lang w:bidi="ar-SY"/>
        </w:rPr>
        <w:t>الجماعي،</w:t>
      </w:r>
      <w:r w:rsidR="00F32B28">
        <w:rPr>
          <w:rtl/>
          <w:lang w:bidi="ar-SY"/>
        </w:rPr>
        <w:t xml:space="preserve"> </w:t>
      </w:r>
      <w:r w:rsidR="00F32B28" w:rsidRPr="00F32B28">
        <w:rPr>
          <w:rtl/>
          <w:lang w:bidi="ar-SY"/>
        </w:rPr>
        <w:t>والخسائر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صفوف</w:t>
      </w:r>
      <w:r w:rsidR="00F32B28">
        <w:rPr>
          <w:rtl/>
          <w:lang w:bidi="ar-SY"/>
        </w:rPr>
        <w:t xml:space="preserve"> </w:t>
      </w:r>
      <w:r w:rsidR="00F32B28" w:rsidRPr="00F32B28">
        <w:rPr>
          <w:rtl/>
          <w:lang w:bidi="ar-SY"/>
        </w:rPr>
        <w:t>المدنيين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نساء</w:t>
      </w:r>
      <w:r w:rsidR="00F32B28">
        <w:rPr>
          <w:rtl/>
          <w:lang w:bidi="ar-SY"/>
        </w:rPr>
        <w:t xml:space="preserve"> </w:t>
      </w:r>
      <w:r w:rsidR="00F32B28" w:rsidRPr="00F32B28">
        <w:rPr>
          <w:rtl/>
          <w:lang w:bidi="ar-SY"/>
        </w:rPr>
        <w:t>وأسر</w:t>
      </w:r>
      <w:r w:rsidR="00F32B28">
        <w:rPr>
          <w:rtl/>
          <w:lang w:bidi="ar-SY"/>
        </w:rPr>
        <w:t xml:space="preserve"> </w:t>
      </w:r>
      <w:r w:rsidR="00F32B28" w:rsidRPr="00F32B28">
        <w:rPr>
          <w:rtl/>
          <w:lang w:bidi="ar-SY"/>
        </w:rPr>
        <w:t>وأطفال،</w:t>
      </w:r>
      <w:r w:rsidR="00F32B28">
        <w:rPr>
          <w:rtl/>
          <w:lang w:bidi="ar-SY"/>
        </w:rPr>
        <w:t xml:space="preserve"> </w:t>
      </w:r>
      <w:r w:rsidR="00F32B28" w:rsidRPr="00F32B28">
        <w:rPr>
          <w:rtl/>
          <w:lang w:bidi="ar-SY"/>
        </w:rPr>
        <w:t>وما</w:t>
      </w:r>
      <w:r w:rsidR="00F32B28">
        <w:rPr>
          <w:rtl/>
          <w:lang w:bidi="ar-SY"/>
        </w:rPr>
        <w:t xml:space="preserve"> </w:t>
      </w:r>
      <w:r w:rsidR="00F32B28" w:rsidRPr="00F32B28">
        <w:rPr>
          <w:rtl/>
          <w:lang w:bidi="ar-SY"/>
        </w:rPr>
        <w:t>يرافقها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تعطيل</w:t>
      </w:r>
      <w:r w:rsidR="00F32B28">
        <w:rPr>
          <w:rtl/>
          <w:lang w:bidi="ar-SY"/>
        </w:rPr>
        <w:t xml:space="preserve"> </w:t>
      </w:r>
      <w:r w:rsidR="00F32B28" w:rsidRPr="00F32B28">
        <w:rPr>
          <w:rtl/>
          <w:lang w:bidi="ar-SY"/>
        </w:rPr>
        <w:t>مناحي</w:t>
      </w:r>
      <w:r w:rsidR="00F32B28">
        <w:rPr>
          <w:rtl/>
          <w:lang w:bidi="ar-SY"/>
        </w:rPr>
        <w:t xml:space="preserve"> </w:t>
      </w:r>
      <w:r w:rsidR="00F32B28" w:rsidRPr="00F32B28">
        <w:rPr>
          <w:rtl/>
          <w:lang w:bidi="ar-SY"/>
        </w:rPr>
        <w:t>الحياة</w:t>
      </w:r>
      <w:r w:rsidR="00F32B28">
        <w:rPr>
          <w:rtl/>
          <w:lang w:bidi="ar-SY"/>
        </w:rPr>
        <w:t xml:space="preserve"> </w:t>
      </w:r>
      <w:r w:rsidR="00F32B28" w:rsidRPr="00F32B28">
        <w:rPr>
          <w:rtl/>
          <w:lang w:bidi="ar-SY"/>
        </w:rPr>
        <w:t>والحق</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الصحة</w:t>
      </w:r>
      <w:r w:rsidR="00F32B28">
        <w:rPr>
          <w:rtl/>
          <w:lang w:bidi="ar-SY"/>
        </w:rPr>
        <w:t xml:space="preserve"> </w:t>
      </w:r>
      <w:r w:rsidR="00F32B28" w:rsidRPr="00F32B28">
        <w:rPr>
          <w:rtl/>
          <w:lang w:bidi="ar-SY"/>
        </w:rPr>
        <w:t>والتعليم</w:t>
      </w:r>
      <w:r w:rsidR="00F32B28">
        <w:rPr>
          <w:rtl/>
          <w:lang w:bidi="ar-SY"/>
        </w:rPr>
        <w:t xml:space="preserve"> </w:t>
      </w:r>
      <w:r w:rsidR="00F32B28" w:rsidRPr="00F32B28">
        <w:rPr>
          <w:rtl/>
          <w:lang w:bidi="ar-SY"/>
        </w:rPr>
        <w:t>والعمل</w:t>
      </w:r>
      <w:r w:rsidR="00F32B28">
        <w:rPr>
          <w:rtl/>
          <w:lang w:bidi="ar-SY"/>
        </w:rPr>
        <w:t xml:space="preserve"> </w:t>
      </w:r>
      <w:r w:rsidR="00F32B28" w:rsidRPr="00F32B28">
        <w:rPr>
          <w:rtl/>
          <w:lang w:bidi="ar-SY"/>
        </w:rPr>
        <w:t>وغيرها.</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استخدام</w:t>
      </w:r>
      <w:r w:rsidR="00F32B28">
        <w:rPr>
          <w:rtl/>
          <w:lang w:bidi="ar-SY"/>
        </w:rPr>
        <w:t xml:space="preserve"> </w:t>
      </w:r>
      <w:r w:rsidR="00F32B28" w:rsidRPr="00F32B28">
        <w:rPr>
          <w:rtl/>
          <w:lang w:bidi="ar-SY"/>
        </w:rPr>
        <w:t>قوات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القوة</w:t>
      </w:r>
      <w:r w:rsidR="00F32B28">
        <w:rPr>
          <w:rtl/>
          <w:lang w:bidi="ar-SY"/>
        </w:rPr>
        <w:t xml:space="preserve"> </w:t>
      </w:r>
      <w:r w:rsidR="00F32B28" w:rsidRPr="00F32B28">
        <w:rPr>
          <w:rtl/>
          <w:lang w:bidi="ar-SY"/>
        </w:rPr>
        <w:t>والإفراط</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وشن</w:t>
      </w:r>
      <w:r w:rsidR="00F32B28">
        <w:rPr>
          <w:rtl/>
          <w:lang w:bidi="ar-SY"/>
        </w:rPr>
        <w:t xml:space="preserve"> </w:t>
      </w:r>
      <w:r w:rsidR="00F32B28" w:rsidRPr="00F32B28">
        <w:rPr>
          <w:rtl/>
          <w:lang w:bidi="ar-SY"/>
        </w:rPr>
        <w:t>عمليات</w:t>
      </w:r>
      <w:r w:rsidR="00F32B28">
        <w:rPr>
          <w:rtl/>
          <w:lang w:bidi="ar-SY"/>
        </w:rPr>
        <w:t xml:space="preserve"> </w:t>
      </w:r>
      <w:r w:rsidR="00F32B28" w:rsidRPr="00F32B28">
        <w:rPr>
          <w:rtl/>
          <w:lang w:bidi="ar-SY"/>
        </w:rPr>
        <w:t>التفتيش</w:t>
      </w:r>
      <w:r w:rsidR="00F32B28">
        <w:rPr>
          <w:rtl/>
          <w:lang w:bidi="ar-SY"/>
        </w:rPr>
        <w:t xml:space="preserve"> </w:t>
      </w:r>
      <w:r w:rsidR="00F32B28" w:rsidRPr="00F32B28">
        <w:rPr>
          <w:rtl/>
          <w:lang w:bidi="ar-SY"/>
        </w:rPr>
        <w:t>والمداهمة</w:t>
      </w:r>
      <w:r w:rsidR="00F32B28">
        <w:rPr>
          <w:rtl/>
          <w:lang w:bidi="ar-SY"/>
        </w:rPr>
        <w:t xml:space="preserve"> </w:t>
      </w:r>
      <w:r w:rsidR="00F32B28" w:rsidRPr="00F32B28">
        <w:rPr>
          <w:rtl/>
          <w:lang w:bidi="ar-SY"/>
        </w:rPr>
        <w:t>للمساكن</w:t>
      </w:r>
      <w:r w:rsidR="00F32B28">
        <w:rPr>
          <w:rtl/>
          <w:lang w:bidi="ar-SY"/>
        </w:rPr>
        <w:t xml:space="preserve"> </w:t>
      </w:r>
      <w:r w:rsidR="00F32B28" w:rsidRPr="00F32B28">
        <w:rPr>
          <w:rtl/>
          <w:lang w:bidi="ar-SY"/>
        </w:rPr>
        <w:t>وأماكن</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وهدم</w:t>
      </w:r>
      <w:r w:rsidR="00F32B28">
        <w:rPr>
          <w:rtl/>
          <w:lang w:bidi="ar-SY"/>
        </w:rPr>
        <w:t xml:space="preserve"> </w:t>
      </w:r>
      <w:r w:rsidR="00F32B28" w:rsidRPr="00F32B28">
        <w:rPr>
          <w:rtl/>
          <w:lang w:bidi="ar-SY"/>
        </w:rPr>
        <w:t>المنازل</w:t>
      </w:r>
      <w:r w:rsidR="00F32B28">
        <w:rPr>
          <w:rtl/>
          <w:lang w:bidi="ar-SY"/>
        </w:rPr>
        <w:t xml:space="preserve"> </w:t>
      </w:r>
      <w:r w:rsidR="00F32B28" w:rsidRPr="00F32B28">
        <w:rPr>
          <w:rtl/>
          <w:lang w:bidi="ar-SY"/>
        </w:rPr>
        <w:t>كإجراء</w:t>
      </w:r>
      <w:r w:rsidR="00F32B28">
        <w:rPr>
          <w:rtl/>
          <w:lang w:bidi="ar-SY"/>
        </w:rPr>
        <w:t xml:space="preserve"> </w:t>
      </w:r>
      <w:r w:rsidR="00F32B28" w:rsidRPr="00F32B28">
        <w:rPr>
          <w:rtl/>
          <w:lang w:bidi="ar-SY"/>
        </w:rPr>
        <w:t>عقابي</w:t>
      </w:r>
      <w:r w:rsidR="00F32B28">
        <w:rPr>
          <w:rtl/>
          <w:lang w:bidi="ar-SY"/>
        </w:rPr>
        <w:t xml:space="preserve"> </w:t>
      </w:r>
      <w:r w:rsidR="00F32B28" w:rsidRPr="00F32B28">
        <w:rPr>
          <w:rtl/>
          <w:lang w:bidi="ar-SY"/>
        </w:rPr>
        <w:t>جماعي،</w:t>
      </w:r>
      <w:r w:rsidR="00F32B28">
        <w:rPr>
          <w:rtl/>
          <w:lang w:bidi="ar-SY"/>
        </w:rPr>
        <w:t xml:space="preserve"> </w:t>
      </w:r>
      <w:r w:rsidR="00F32B28" w:rsidRPr="00F32B28">
        <w:rPr>
          <w:rtl/>
          <w:lang w:bidi="ar-SY"/>
        </w:rPr>
        <w:t>وممارسة</w:t>
      </w:r>
      <w:r w:rsidR="00F32B28">
        <w:rPr>
          <w:rtl/>
          <w:lang w:bidi="ar-SY"/>
        </w:rPr>
        <w:t xml:space="preserve"> </w:t>
      </w:r>
      <w:r w:rsidR="00F32B28" w:rsidRPr="00F32B28">
        <w:rPr>
          <w:rtl/>
          <w:lang w:bidi="ar-SY"/>
        </w:rPr>
        <w:t>مختلف</w:t>
      </w:r>
      <w:r w:rsidR="00F32B28">
        <w:rPr>
          <w:rtl/>
          <w:lang w:bidi="ar-SY"/>
        </w:rPr>
        <w:t xml:space="preserve"> </w:t>
      </w:r>
      <w:r w:rsidR="00F32B28" w:rsidRPr="00F32B28">
        <w:rPr>
          <w:rtl/>
          <w:lang w:bidi="ar-SY"/>
        </w:rPr>
        <w:t>أساليب</w:t>
      </w:r>
      <w:r w:rsidR="00F32B28">
        <w:rPr>
          <w:rtl/>
          <w:lang w:bidi="ar-SY"/>
        </w:rPr>
        <w:t xml:space="preserve"> </w:t>
      </w:r>
      <w:r w:rsidR="00F32B28" w:rsidRPr="00F32B28">
        <w:rPr>
          <w:rtl/>
          <w:lang w:bidi="ar-SY"/>
        </w:rPr>
        <w:t>تضييق</w:t>
      </w:r>
      <w:r w:rsidR="00F32B28">
        <w:rPr>
          <w:rtl/>
          <w:lang w:bidi="ar-SY"/>
        </w:rPr>
        <w:t xml:space="preserve"> </w:t>
      </w:r>
      <w:r w:rsidR="00F32B28" w:rsidRPr="00F32B28">
        <w:rPr>
          <w:rtl/>
          <w:lang w:bidi="ar-SY"/>
        </w:rPr>
        <w:t>سبل</w:t>
      </w:r>
      <w:r w:rsidR="00F32B28">
        <w:rPr>
          <w:rtl/>
          <w:lang w:bidi="ar-SY"/>
        </w:rPr>
        <w:t xml:space="preserve"> </w:t>
      </w:r>
      <w:r w:rsidR="00F32B28" w:rsidRPr="00F32B28">
        <w:rPr>
          <w:rtl/>
          <w:lang w:bidi="ar-SY"/>
        </w:rPr>
        <w:t>العيش</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العيش</w:t>
      </w:r>
      <w:r w:rsidR="00F32B28">
        <w:rPr>
          <w:rtl/>
          <w:lang w:bidi="ar-SY"/>
        </w:rPr>
        <w:t xml:space="preserve"> </w:t>
      </w:r>
      <w:r w:rsidR="00F32B28" w:rsidRPr="00F32B28">
        <w:rPr>
          <w:rtl/>
          <w:lang w:bidi="ar-SY"/>
        </w:rPr>
        <w:t>بمستوى</w:t>
      </w:r>
      <w:r w:rsidR="00F32B28">
        <w:rPr>
          <w:rtl/>
          <w:lang w:bidi="ar-SY"/>
        </w:rPr>
        <w:t xml:space="preserve"> </w:t>
      </w:r>
      <w:r w:rsidR="00F32B28" w:rsidRPr="00F32B28">
        <w:rPr>
          <w:rtl/>
          <w:lang w:bidi="ar-SY"/>
        </w:rPr>
        <w:t>لائق،</w:t>
      </w:r>
      <w:r w:rsidR="00F32B28">
        <w:rPr>
          <w:rtl/>
          <w:lang w:bidi="ar-SY"/>
        </w:rPr>
        <w:t xml:space="preserve"> </w:t>
      </w:r>
      <w:r w:rsidR="00F32B28" w:rsidRPr="00F32B28">
        <w:rPr>
          <w:rtl/>
          <w:lang w:bidi="ar-SY"/>
        </w:rPr>
        <w:t>ومنع</w:t>
      </w:r>
      <w:r w:rsidR="00F32B28">
        <w:rPr>
          <w:rtl/>
          <w:lang w:bidi="ar-SY"/>
        </w:rPr>
        <w:t xml:space="preserve"> </w:t>
      </w:r>
      <w:r w:rsidR="00F32B28" w:rsidRPr="00F32B28">
        <w:rPr>
          <w:rtl/>
          <w:lang w:bidi="ar-SY"/>
        </w:rPr>
        <w:t>الوصول</w:t>
      </w:r>
      <w:r w:rsidR="00F32B28">
        <w:rPr>
          <w:rtl/>
          <w:lang w:bidi="ar-SY"/>
        </w:rPr>
        <w:t xml:space="preserve"> </w:t>
      </w:r>
      <w:r w:rsidR="00F32B28" w:rsidRPr="00F32B28">
        <w:rPr>
          <w:rtl/>
          <w:lang w:bidi="ar-SY"/>
        </w:rPr>
        <w:t>للخدمات</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كالتعليم</w:t>
      </w:r>
      <w:r w:rsidR="00F32B28">
        <w:rPr>
          <w:rtl/>
          <w:lang w:bidi="ar-SY"/>
        </w:rPr>
        <w:t xml:space="preserve"> </w:t>
      </w:r>
      <w:r w:rsidR="00F32B28" w:rsidRPr="00F32B28">
        <w:rPr>
          <w:rtl/>
          <w:lang w:bidi="ar-SY"/>
        </w:rPr>
        <w:t>والصحة،</w:t>
      </w:r>
      <w:r w:rsidR="00F32B28">
        <w:rPr>
          <w:rtl/>
          <w:lang w:bidi="ar-SY"/>
        </w:rPr>
        <w:t xml:space="preserve"> </w:t>
      </w:r>
      <w:r w:rsidR="00F32B28" w:rsidRPr="00F32B28">
        <w:rPr>
          <w:rFonts w:hint="cs"/>
          <w:rtl/>
          <w:lang w:bidi="ar-SY"/>
        </w:rPr>
        <w:t>مما</w:t>
      </w:r>
      <w:r w:rsidR="00F32B28">
        <w:rPr>
          <w:rFonts w:hint="cs"/>
          <w:rtl/>
          <w:lang w:bidi="ar-SY"/>
        </w:rPr>
        <w:t xml:space="preserve"> </w:t>
      </w:r>
      <w:r w:rsidR="00F32B28" w:rsidRPr="00F32B28">
        <w:rPr>
          <w:rFonts w:hint="cs"/>
          <w:rtl/>
          <w:lang w:bidi="ar-SY"/>
        </w:rPr>
        <w:t>أدى</w:t>
      </w:r>
      <w:r w:rsidR="00F32B28">
        <w:rPr>
          <w:rFonts w:hint="cs"/>
          <w:rtl/>
          <w:lang w:bidi="ar-SY"/>
        </w:rPr>
        <w:t xml:space="preserve"> </w:t>
      </w:r>
      <w:r w:rsidR="00F32B28" w:rsidRPr="00F32B28">
        <w:rPr>
          <w:rFonts w:hint="cs"/>
          <w:rtl/>
          <w:lang w:bidi="ar-SY"/>
        </w:rPr>
        <w:t>إلى</w:t>
      </w:r>
      <w:r w:rsidR="00F32B28">
        <w:rPr>
          <w:rFonts w:hint="cs"/>
          <w:rtl/>
          <w:lang w:bidi="ar-SY"/>
        </w:rPr>
        <w:t xml:space="preserve"> </w:t>
      </w:r>
      <w:r w:rsidR="00F32B28" w:rsidRPr="00F32B28">
        <w:rPr>
          <w:rFonts w:hint="cs"/>
          <w:rtl/>
          <w:lang w:bidi="ar-SY"/>
        </w:rPr>
        <w:t>ولادة</w:t>
      </w:r>
      <w:r w:rsidR="00F32B28">
        <w:rPr>
          <w:rFonts w:hint="cs"/>
          <w:rtl/>
          <w:lang w:bidi="ar-SY"/>
        </w:rPr>
        <w:t xml:space="preserve"> </w:t>
      </w:r>
      <w:r w:rsidR="00F32B28" w:rsidRPr="00F32B28">
        <w:rPr>
          <w:rFonts w:hint="cs"/>
          <w:rtl/>
          <w:lang w:bidi="ar-SY"/>
        </w:rPr>
        <w:t>عدد</w:t>
      </w:r>
      <w:r w:rsidR="00F32B28">
        <w:rPr>
          <w:rFonts w:hint="cs"/>
          <w:rtl/>
          <w:lang w:bidi="ar-SY"/>
        </w:rPr>
        <w:t xml:space="preserve"> </w:t>
      </w:r>
      <w:r w:rsidR="00F32B28" w:rsidRPr="00F32B28">
        <w:rPr>
          <w:rFonts w:hint="cs"/>
          <w:rtl/>
          <w:lang w:bidi="ar-SY"/>
        </w:rPr>
        <w:t>من</w:t>
      </w:r>
      <w:r w:rsidR="00F32B28">
        <w:rPr>
          <w:rFonts w:hint="cs"/>
          <w:rtl/>
          <w:lang w:bidi="ar-SY"/>
        </w:rPr>
        <w:t xml:space="preserve"> </w:t>
      </w:r>
      <w:r w:rsidR="00F32B28" w:rsidRPr="00F32B28">
        <w:rPr>
          <w:rFonts w:hint="cs"/>
          <w:rtl/>
          <w:lang w:bidi="ar-SY"/>
        </w:rPr>
        <w:t>النساء</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الولادة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الحواجز،</w:t>
      </w:r>
      <w:r w:rsidR="00F32B28">
        <w:rPr>
          <w:rtl/>
          <w:lang w:bidi="ar-SY"/>
        </w:rPr>
        <w:t xml:space="preserve"> </w:t>
      </w:r>
      <w:r w:rsidR="00F32B28" w:rsidRPr="00F32B28">
        <w:rPr>
          <w:rtl/>
          <w:lang w:bidi="ar-SY"/>
        </w:rPr>
        <w:t>والترحيل</w:t>
      </w:r>
      <w:r w:rsidR="00F32B28">
        <w:rPr>
          <w:rtl/>
          <w:lang w:bidi="ar-SY"/>
        </w:rPr>
        <w:t xml:space="preserve"> </w:t>
      </w:r>
      <w:r w:rsidR="00F32B28" w:rsidRPr="00F32B28">
        <w:rPr>
          <w:rtl/>
          <w:lang w:bidi="ar-SY"/>
        </w:rPr>
        <w:t>القسري</w:t>
      </w:r>
      <w:r w:rsidR="00F32B28">
        <w:rPr>
          <w:rtl/>
          <w:lang w:bidi="ar-SY"/>
        </w:rPr>
        <w:t xml:space="preserve"> </w:t>
      </w:r>
      <w:r w:rsidR="00F32B28" w:rsidRPr="00F32B28">
        <w:rPr>
          <w:rtl/>
          <w:lang w:bidi="ar-SY"/>
        </w:rPr>
        <w:t>للبدو</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وتطبيق</w:t>
      </w:r>
      <w:r w:rsidR="00F32B28">
        <w:rPr>
          <w:rtl/>
          <w:lang w:bidi="ar-SY"/>
        </w:rPr>
        <w:t xml:space="preserve"> </w:t>
      </w:r>
      <w:r w:rsidR="00F32B28" w:rsidRPr="00F32B28">
        <w:rPr>
          <w:rtl/>
          <w:lang w:bidi="ar-SY"/>
        </w:rPr>
        <w:t>سياسات</w:t>
      </w:r>
      <w:r w:rsidR="00F32B28">
        <w:rPr>
          <w:rtl/>
          <w:lang w:bidi="ar-SY"/>
        </w:rPr>
        <w:t xml:space="preserve"> </w:t>
      </w:r>
      <w:r w:rsidR="00F32B28" w:rsidRPr="00F32B28">
        <w:rPr>
          <w:rtl/>
          <w:lang w:bidi="ar-SY"/>
        </w:rPr>
        <w:t>وتشريعات</w:t>
      </w:r>
      <w:r w:rsidR="00F32B28">
        <w:rPr>
          <w:rtl/>
          <w:lang w:bidi="ar-SY"/>
        </w:rPr>
        <w:t xml:space="preserve"> </w:t>
      </w:r>
      <w:r w:rsidR="00F32B28" w:rsidRPr="00F32B28">
        <w:rPr>
          <w:rtl/>
          <w:lang w:bidi="ar-SY"/>
        </w:rPr>
        <w:t>تمييزية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الشرقية،</w:t>
      </w:r>
      <w:r w:rsidR="00F32B28">
        <w:rPr>
          <w:rtl/>
          <w:lang w:bidi="ar-SY"/>
        </w:rPr>
        <w:t xml:space="preserve"> </w:t>
      </w:r>
      <w:r w:rsidR="00F32B28" w:rsidRPr="00F32B28">
        <w:rPr>
          <w:rtl/>
          <w:lang w:bidi="ar-SY"/>
        </w:rPr>
        <w:t>وسياسات</w:t>
      </w:r>
      <w:r w:rsidR="00F32B28">
        <w:rPr>
          <w:rtl/>
          <w:lang w:bidi="ar-SY"/>
        </w:rPr>
        <w:t xml:space="preserve"> </w:t>
      </w:r>
      <w:r w:rsidR="00F32B28" w:rsidRPr="00F32B28">
        <w:rPr>
          <w:rtl/>
          <w:lang w:bidi="ar-SY"/>
        </w:rPr>
        <w:t>الإبعاد</w:t>
      </w:r>
      <w:r w:rsidR="00F32B28">
        <w:rPr>
          <w:rtl/>
          <w:lang w:bidi="ar-SY"/>
        </w:rPr>
        <w:t xml:space="preserve"> </w:t>
      </w:r>
      <w:r w:rsidR="00F32B28" w:rsidRPr="00F32B28">
        <w:rPr>
          <w:rtl/>
          <w:lang w:bidi="ar-SY"/>
        </w:rPr>
        <w:t>وإبعاد</w:t>
      </w:r>
      <w:r w:rsidR="00F32B28">
        <w:rPr>
          <w:rtl/>
          <w:lang w:bidi="ar-SY"/>
        </w:rPr>
        <w:t xml:space="preserve"> </w:t>
      </w:r>
      <w:r w:rsidR="00F32B28" w:rsidRPr="00F32B28">
        <w:rPr>
          <w:rtl/>
          <w:lang w:bidi="ar-SY"/>
        </w:rPr>
        <w:t>الأزواج</w:t>
      </w:r>
      <w:r w:rsidR="00F32B28">
        <w:rPr>
          <w:rtl/>
          <w:lang w:bidi="ar-SY"/>
        </w:rPr>
        <w:t xml:space="preserve"> </w:t>
      </w:r>
      <w:r w:rsidR="00F32B28" w:rsidRPr="00F32B28">
        <w:rPr>
          <w:rtl/>
          <w:lang w:bidi="ar-SY"/>
        </w:rPr>
        <w:t>والأبناء،</w:t>
      </w:r>
      <w:r w:rsidR="00F32B28">
        <w:rPr>
          <w:rtl/>
          <w:lang w:bidi="ar-SY"/>
        </w:rPr>
        <w:t xml:space="preserve"> </w:t>
      </w:r>
      <w:r w:rsidR="00F32B28" w:rsidRPr="00F32B28">
        <w:rPr>
          <w:rtl/>
          <w:lang w:bidi="ar-SY"/>
        </w:rPr>
        <w:t>ومنع</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الشمل،</w:t>
      </w:r>
      <w:r w:rsidR="00F32B28">
        <w:rPr>
          <w:rtl/>
          <w:lang w:bidi="ar-SY"/>
        </w:rPr>
        <w:t xml:space="preserve"> </w:t>
      </w:r>
      <w:r w:rsidR="00F32B28" w:rsidRPr="00F32B28">
        <w:rPr>
          <w:rtl/>
          <w:lang w:bidi="ar-SY"/>
        </w:rPr>
        <w:t>وتشتيت</w:t>
      </w:r>
      <w:r w:rsidR="00F32B28">
        <w:rPr>
          <w:rtl/>
          <w:lang w:bidi="ar-SY"/>
        </w:rPr>
        <w:t xml:space="preserve"> </w:t>
      </w:r>
      <w:r w:rsidR="00F32B28" w:rsidRPr="00F32B28">
        <w:rPr>
          <w:rtl/>
          <w:lang w:bidi="ar-SY"/>
        </w:rPr>
        <w:t>العائلات</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بشتى</w:t>
      </w:r>
      <w:r w:rsidR="00F32B28">
        <w:rPr>
          <w:rtl/>
          <w:lang w:bidi="ar-SY"/>
        </w:rPr>
        <w:t xml:space="preserve"> </w:t>
      </w:r>
      <w:r w:rsidR="00F32B28" w:rsidRPr="00F32B28">
        <w:rPr>
          <w:rtl/>
          <w:lang w:bidi="ar-SY"/>
        </w:rPr>
        <w:t>الطرق.</w:t>
      </w:r>
      <w:r w:rsidR="00F32B28">
        <w:rPr>
          <w:rtl/>
          <w:lang w:bidi="ar-SY"/>
        </w:rPr>
        <w:t xml:space="preserve"> </w:t>
      </w:r>
      <w:r w:rsidR="00F32B28" w:rsidRPr="00F32B28">
        <w:rPr>
          <w:rtl/>
          <w:lang w:bidi="ar-SY"/>
        </w:rPr>
        <w:t>ومن</w:t>
      </w:r>
      <w:r w:rsidR="00F32B28">
        <w:rPr>
          <w:rtl/>
          <w:lang w:bidi="ar-SY"/>
        </w:rPr>
        <w:t xml:space="preserve"> </w:t>
      </w:r>
      <w:r w:rsidR="00F32B28" w:rsidRPr="00F32B28">
        <w:rPr>
          <w:rtl/>
          <w:lang w:bidi="ar-SY"/>
        </w:rPr>
        <w:t>الجدير</w:t>
      </w:r>
      <w:r w:rsidR="00F32B28">
        <w:rPr>
          <w:rtl/>
          <w:lang w:bidi="ar-SY"/>
        </w:rPr>
        <w:t xml:space="preserve"> </w:t>
      </w:r>
      <w:r w:rsidR="00F32B28" w:rsidRPr="00F32B28">
        <w:rPr>
          <w:rtl/>
          <w:lang w:bidi="ar-SY"/>
        </w:rPr>
        <w:t>بالذكر،</w:t>
      </w:r>
      <w:r w:rsidR="00F32B28">
        <w:rPr>
          <w:rtl/>
          <w:lang w:bidi="ar-SY"/>
        </w:rPr>
        <w:t xml:space="preserve"> </w:t>
      </w:r>
      <w:r w:rsidR="00F32B28" w:rsidRPr="00F32B28">
        <w:rPr>
          <w:rtl/>
          <w:lang w:bidi="ar-SY"/>
        </w:rPr>
        <w:t>بأن</w:t>
      </w:r>
      <w:r w:rsidR="00F32B28">
        <w:rPr>
          <w:rtl/>
          <w:lang w:bidi="ar-SY"/>
        </w:rPr>
        <w:t xml:space="preserve"> </w:t>
      </w:r>
      <w:r w:rsidR="00F32B28" w:rsidRPr="00F32B28">
        <w:rPr>
          <w:rtl/>
          <w:lang w:bidi="ar-SY"/>
        </w:rPr>
        <w:t>المعلومات</w:t>
      </w:r>
      <w:r w:rsidR="00F32B28">
        <w:rPr>
          <w:rtl/>
          <w:lang w:bidi="ar-SY"/>
        </w:rPr>
        <w:t xml:space="preserve"> </w:t>
      </w:r>
      <w:r w:rsidR="00F32B28" w:rsidRPr="00F32B28">
        <w:rPr>
          <w:rtl/>
          <w:lang w:bidi="ar-SY"/>
        </w:rPr>
        <w:t>والإحصاءات</w:t>
      </w:r>
      <w:r w:rsidR="00F32B28">
        <w:rPr>
          <w:rtl/>
          <w:lang w:bidi="ar-SY"/>
        </w:rPr>
        <w:t xml:space="preserve"> </w:t>
      </w:r>
      <w:r w:rsidR="00F32B28" w:rsidRPr="00F32B28">
        <w:rPr>
          <w:rtl/>
          <w:lang w:bidi="ar-SY"/>
        </w:rPr>
        <w:t>الواردة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التقرير</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يمكن</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تفي</w:t>
      </w:r>
      <w:r w:rsidR="00F32B28">
        <w:rPr>
          <w:rtl/>
          <w:lang w:bidi="ar-SY"/>
        </w:rPr>
        <w:t xml:space="preserve"> </w:t>
      </w:r>
      <w:r w:rsidR="00F32B28" w:rsidRPr="00F32B28">
        <w:rPr>
          <w:rtl/>
          <w:lang w:bidi="ar-SY"/>
        </w:rPr>
        <w:t>شدة</w:t>
      </w:r>
      <w:r w:rsidR="00F32B28">
        <w:rPr>
          <w:rtl/>
          <w:lang w:bidi="ar-SY"/>
        </w:rPr>
        <w:t xml:space="preserve"> </w:t>
      </w:r>
      <w:r w:rsidR="00F32B28" w:rsidRPr="00F32B28">
        <w:rPr>
          <w:rtl/>
          <w:lang w:bidi="ar-SY"/>
        </w:rPr>
        <w:t>المعاناة</w:t>
      </w:r>
      <w:r w:rsidR="00F32B28">
        <w:rPr>
          <w:rtl/>
          <w:lang w:bidi="ar-SY"/>
        </w:rPr>
        <w:t xml:space="preserve"> </w:t>
      </w:r>
      <w:r w:rsidR="00F32B28" w:rsidRPr="00F32B28">
        <w:rPr>
          <w:rtl/>
          <w:lang w:bidi="ar-SY"/>
        </w:rPr>
        <w:t>البشرية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يعيشها</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والفلسطينيون</w:t>
      </w:r>
      <w:r w:rsidR="00F32B28">
        <w:rPr>
          <w:rtl/>
          <w:lang w:bidi="ar-SY"/>
        </w:rPr>
        <w:t xml:space="preserve"> </w:t>
      </w:r>
      <w:r w:rsidR="00F32B28" w:rsidRPr="00F32B28">
        <w:rPr>
          <w:rtl/>
          <w:lang w:bidi="ar-SY"/>
        </w:rPr>
        <w:t>بسبب</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حقها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الوصف،</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يعطي</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التقرير</w:t>
      </w:r>
      <w:r w:rsidR="00F32B28">
        <w:rPr>
          <w:rtl/>
          <w:lang w:bidi="ar-SY"/>
        </w:rPr>
        <w:t xml:space="preserve"> </w:t>
      </w:r>
      <w:r w:rsidR="00F32B28" w:rsidRPr="00F32B28">
        <w:rPr>
          <w:rtl/>
          <w:lang w:bidi="ar-SY"/>
        </w:rPr>
        <w:t>وصفاً</w:t>
      </w:r>
      <w:r w:rsidR="00F32B28">
        <w:rPr>
          <w:rtl/>
          <w:lang w:bidi="ar-SY"/>
        </w:rPr>
        <w:t xml:space="preserve"> </w:t>
      </w:r>
      <w:r w:rsidR="00F32B28" w:rsidRPr="00F32B28">
        <w:rPr>
          <w:rtl/>
          <w:lang w:bidi="ar-SY"/>
        </w:rPr>
        <w:t>شاملاً</w:t>
      </w:r>
      <w:r w:rsidR="00F32B28">
        <w:rPr>
          <w:rtl/>
          <w:lang w:bidi="ar-SY"/>
        </w:rPr>
        <w:t xml:space="preserve"> </w:t>
      </w:r>
      <w:r w:rsidR="00F32B28" w:rsidRPr="00F32B28">
        <w:rPr>
          <w:rtl/>
          <w:lang w:bidi="ar-SY"/>
        </w:rPr>
        <w:t>للآثار</w:t>
      </w:r>
      <w:r w:rsidR="00F32B28">
        <w:rPr>
          <w:rtl/>
          <w:lang w:bidi="ar-SY"/>
        </w:rPr>
        <w:t xml:space="preserve"> </w:t>
      </w:r>
      <w:r w:rsidR="00F32B28" w:rsidRPr="00F32B28">
        <w:rPr>
          <w:rtl/>
          <w:lang w:bidi="ar-SY"/>
        </w:rPr>
        <w:t>المترتبة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جرائم</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لضيق</w:t>
      </w:r>
      <w:r w:rsidR="00F32B28">
        <w:rPr>
          <w:rtl/>
          <w:lang w:bidi="ar-SY"/>
        </w:rPr>
        <w:t xml:space="preserve"> </w:t>
      </w:r>
      <w:r w:rsidR="00F32B28" w:rsidRPr="00F32B28">
        <w:rPr>
          <w:rtl/>
          <w:lang w:bidi="ar-SY"/>
        </w:rPr>
        <w:t>المجال</w:t>
      </w:r>
      <w:r w:rsidR="00F32B28" w:rsidRPr="00F32B28">
        <w:rPr>
          <w:rFonts w:hint="cs"/>
          <w:rtl/>
          <w:lang w:bidi="ar-SY"/>
        </w:rPr>
        <w:t>.</w:t>
      </w:r>
      <w:r w:rsidR="00F32B28">
        <w:rPr>
          <w:rFonts w:hint="cs"/>
          <w:rtl/>
          <w:lang w:bidi="ar-SY"/>
        </w:rPr>
        <w:t xml:space="preserve"> </w:t>
      </w:r>
      <w:r w:rsidR="00F32B28" w:rsidRPr="00F32B28">
        <w:rPr>
          <w:rFonts w:hint="cs"/>
          <w:rtl/>
          <w:lang w:bidi="ar-SY"/>
        </w:rPr>
        <w:t>وفي</w:t>
      </w:r>
      <w:r w:rsidR="00F32B28">
        <w:rPr>
          <w:rFonts w:hint="cs"/>
          <w:rtl/>
          <w:lang w:bidi="ar-SY"/>
        </w:rPr>
        <w:t xml:space="preserve"> </w:t>
      </w:r>
      <w:r w:rsidR="00F32B28" w:rsidRPr="00F32B28">
        <w:rPr>
          <w:rFonts w:hint="cs"/>
          <w:rtl/>
          <w:lang w:bidi="ar-SY"/>
        </w:rPr>
        <w:t>هذا</w:t>
      </w:r>
      <w:r w:rsidR="00F32B28">
        <w:rPr>
          <w:rFonts w:hint="cs"/>
          <w:rtl/>
          <w:lang w:bidi="ar-SY"/>
        </w:rPr>
        <w:t xml:space="preserve"> </w:t>
      </w:r>
      <w:r w:rsidR="00F32B28" w:rsidRPr="00F32B28">
        <w:rPr>
          <w:rFonts w:hint="cs"/>
          <w:rtl/>
          <w:lang w:bidi="ar-SY"/>
        </w:rPr>
        <w:t>الصدد،</w:t>
      </w:r>
      <w:r w:rsidR="00F32B28">
        <w:rPr>
          <w:rFonts w:hint="cs"/>
          <w:rtl/>
          <w:lang w:bidi="ar-SY"/>
        </w:rPr>
        <w:t xml:space="preserve"> </w:t>
      </w:r>
      <w:r w:rsidR="00F32B28" w:rsidRPr="00F32B28">
        <w:rPr>
          <w:rFonts w:hint="cs"/>
          <w:rtl/>
          <w:lang w:bidi="ar-SY"/>
        </w:rPr>
        <w:t>ستواصل</w:t>
      </w:r>
      <w:r w:rsidR="00F32B28">
        <w:rPr>
          <w:rFonts w:hint="cs"/>
          <w:rtl/>
          <w:lang w:bidi="ar-SY"/>
        </w:rPr>
        <w:t xml:space="preserve"> </w:t>
      </w:r>
      <w:r w:rsidR="00F32B28" w:rsidRPr="00F32B28">
        <w:rPr>
          <w:rFonts w:hint="cs"/>
          <w:rtl/>
          <w:lang w:bidi="ar-SY"/>
        </w:rPr>
        <w:t>الجهات</w:t>
      </w:r>
      <w:r w:rsidR="00F32B28">
        <w:rPr>
          <w:rFonts w:hint="cs"/>
          <w:rtl/>
          <w:lang w:bidi="ar-SY"/>
        </w:rPr>
        <w:t xml:space="preserve"> </w:t>
      </w:r>
      <w:r w:rsidR="00F32B28" w:rsidRPr="00F32B28">
        <w:rPr>
          <w:rFonts w:hint="cs"/>
          <w:rtl/>
          <w:lang w:bidi="ar-SY"/>
        </w:rPr>
        <w:t>المعنية</w:t>
      </w:r>
      <w:r w:rsidR="00F32B28">
        <w:rPr>
          <w:rFonts w:hint="cs"/>
          <w:rtl/>
          <w:lang w:bidi="ar-SY"/>
        </w:rPr>
        <w:t xml:space="preserve"> </w:t>
      </w:r>
      <w:r w:rsidR="00F32B28" w:rsidRPr="00F32B28">
        <w:rPr>
          <w:rFonts w:hint="cs"/>
          <w:rtl/>
          <w:lang w:bidi="ar-SY"/>
        </w:rPr>
        <w:t>على</w:t>
      </w:r>
      <w:r w:rsidR="00F32B28">
        <w:rPr>
          <w:rFonts w:hint="cs"/>
          <w:rtl/>
          <w:lang w:bidi="ar-SY"/>
        </w:rPr>
        <w:t xml:space="preserve"> </w:t>
      </w:r>
      <w:r w:rsidR="00F32B28" w:rsidRPr="00F32B28">
        <w:rPr>
          <w:rFonts w:hint="cs"/>
          <w:rtl/>
          <w:lang w:bidi="ar-SY"/>
        </w:rPr>
        <w:t>اطلاع</w:t>
      </w:r>
      <w:r w:rsidR="00F32B28">
        <w:rPr>
          <w:rFonts w:hint="cs"/>
          <w:rtl/>
          <w:lang w:bidi="ar-SY"/>
        </w:rPr>
        <w:t xml:space="preserve"> </w:t>
      </w:r>
      <w:r w:rsidR="00F32B28" w:rsidRPr="00F32B28">
        <w:rPr>
          <w:rFonts w:hint="cs"/>
          <w:rtl/>
          <w:lang w:bidi="ar-SY"/>
        </w:rPr>
        <w:t>اللجنة</w:t>
      </w:r>
      <w:r w:rsidR="00F32B28">
        <w:rPr>
          <w:rFonts w:hint="cs"/>
          <w:rtl/>
          <w:lang w:bidi="ar-SY"/>
        </w:rPr>
        <w:t xml:space="preserve"> </w:t>
      </w:r>
      <w:r w:rsidR="00F32B28" w:rsidRPr="00F32B28">
        <w:rPr>
          <w:rFonts w:hint="cs"/>
          <w:rtl/>
          <w:lang w:bidi="ar-SY"/>
        </w:rPr>
        <w:t>المعنية</w:t>
      </w:r>
      <w:r w:rsidR="00F32B28">
        <w:rPr>
          <w:rFonts w:hint="cs"/>
          <w:rtl/>
          <w:lang w:bidi="ar-SY"/>
        </w:rPr>
        <w:t xml:space="preserve"> </w:t>
      </w:r>
      <w:r w:rsidR="00F32B28" w:rsidRPr="00F32B28">
        <w:rPr>
          <w:rFonts w:hint="cs"/>
          <w:rtl/>
          <w:lang w:bidi="ar-SY"/>
        </w:rPr>
        <w:t>بالقضاء</w:t>
      </w:r>
      <w:r w:rsidR="00F32B28">
        <w:rPr>
          <w:rFonts w:hint="cs"/>
          <w:rtl/>
          <w:lang w:bidi="ar-SY"/>
        </w:rPr>
        <w:t xml:space="preserve"> </w:t>
      </w:r>
      <w:r w:rsidR="00F32B28" w:rsidRPr="00F32B28">
        <w:rPr>
          <w:rFonts w:hint="cs"/>
          <w:rtl/>
          <w:lang w:bidi="ar-SY"/>
        </w:rPr>
        <w:t>التمييز</w:t>
      </w:r>
      <w:r w:rsidR="00F32B28">
        <w:rPr>
          <w:rFonts w:hint="cs"/>
          <w:rtl/>
          <w:lang w:bidi="ar-SY"/>
        </w:rPr>
        <w:t xml:space="preserve"> </w:t>
      </w:r>
      <w:r w:rsidR="00F32B28" w:rsidRPr="00F32B28">
        <w:rPr>
          <w:rFonts w:hint="cs"/>
          <w:rtl/>
          <w:lang w:bidi="ar-SY"/>
        </w:rPr>
        <w:t>ضد</w:t>
      </w:r>
      <w:r w:rsidR="00F32B28">
        <w:rPr>
          <w:rFonts w:hint="cs"/>
          <w:rtl/>
          <w:lang w:bidi="ar-SY"/>
        </w:rPr>
        <w:t xml:space="preserve"> </w:t>
      </w:r>
      <w:r w:rsidR="00F32B28" w:rsidRPr="00F32B28">
        <w:rPr>
          <w:rFonts w:hint="cs"/>
          <w:rtl/>
          <w:lang w:bidi="ar-SY"/>
        </w:rPr>
        <w:t>المرأة</w:t>
      </w:r>
      <w:r w:rsidR="00F32B28">
        <w:rPr>
          <w:rFonts w:hint="cs"/>
          <w:rtl/>
          <w:lang w:bidi="ar-SY"/>
        </w:rPr>
        <w:t xml:space="preserve"> </w:t>
      </w:r>
      <w:r w:rsidR="00F32B28" w:rsidRPr="00F32B28">
        <w:rPr>
          <w:rFonts w:hint="cs"/>
          <w:rtl/>
          <w:lang w:bidi="ar-SY"/>
        </w:rPr>
        <w:t>على</w:t>
      </w:r>
      <w:r w:rsidR="00F32B28">
        <w:rPr>
          <w:rFonts w:hint="cs"/>
          <w:rtl/>
          <w:lang w:bidi="ar-SY"/>
        </w:rPr>
        <w:t xml:space="preserve"> </w:t>
      </w:r>
      <w:r w:rsidR="00F32B28" w:rsidRPr="00F32B28">
        <w:rPr>
          <w:rFonts w:hint="cs"/>
          <w:rtl/>
          <w:lang w:bidi="ar-SY"/>
        </w:rPr>
        <w:t>كافة</w:t>
      </w:r>
      <w:r w:rsidR="00F32B28">
        <w:rPr>
          <w:rFonts w:hint="cs"/>
          <w:rtl/>
          <w:lang w:bidi="ar-SY"/>
        </w:rPr>
        <w:t xml:space="preserve"> </w:t>
      </w:r>
      <w:r w:rsidR="00F32B28" w:rsidRPr="00F32B28">
        <w:rPr>
          <w:rFonts w:hint="cs"/>
          <w:rtl/>
          <w:lang w:bidi="ar-SY"/>
        </w:rPr>
        <w:t>جرائم</w:t>
      </w:r>
      <w:r w:rsidR="00F32B28">
        <w:rPr>
          <w:rFonts w:hint="cs"/>
          <w:rtl/>
          <w:lang w:bidi="ar-SY"/>
        </w:rPr>
        <w:t xml:space="preserve"> </w:t>
      </w:r>
      <w:r w:rsidR="00F32B28" w:rsidRPr="00F32B28">
        <w:rPr>
          <w:rFonts w:hint="cs"/>
          <w:rtl/>
          <w:lang w:bidi="ar-SY"/>
        </w:rPr>
        <w:t>الاحتلال</w:t>
      </w:r>
      <w:r w:rsidR="00F32B28">
        <w:rPr>
          <w:rFonts w:hint="cs"/>
          <w:rtl/>
          <w:lang w:bidi="ar-SY"/>
        </w:rPr>
        <w:t xml:space="preserve"> </w:t>
      </w:r>
      <w:r w:rsidR="00F32B28" w:rsidRPr="00F32B28">
        <w:rPr>
          <w:rFonts w:hint="cs"/>
          <w:rtl/>
          <w:lang w:bidi="ar-SY"/>
        </w:rPr>
        <w:t>وفقاً</w:t>
      </w:r>
      <w:r w:rsidR="00F32B28">
        <w:rPr>
          <w:rFonts w:hint="cs"/>
          <w:rtl/>
          <w:lang w:bidi="ar-SY"/>
        </w:rPr>
        <w:t xml:space="preserve"> </w:t>
      </w:r>
      <w:r w:rsidR="00F32B28" w:rsidRPr="00F32B28">
        <w:rPr>
          <w:rFonts w:hint="cs"/>
          <w:rtl/>
          <w:lang w:bidi="ar-SY"/>
        </w:rPr>
        <w:t>لاختصاصها.</w:t>
      </w:r>
      <w:r w:rsidR="00F32B28">
        <w:rPr>
          <w:rFonts w:hint="cs"/>
          <w:rtl/>
          <w:lang w:bidi="ar-SY"/>
        </w:rPr>
        <w:t xml:space="preserve"> </w:t>
      </w:r>
    </w:p>
    <w:p w:rsidR="00F32B28" w:rsidRPr="00F32B28" w:rsidRDefault="00DF6B4E" w:rsidP="00DF6B4E">
      <w:pPr>
        <w:pStyle w:val="SingleTxt"/>
        <w:rPr>
          <w:rtl/>
        </w:rPr>
      </w:pPr>
      <w:r>
        <w:rPr>
          <w:rFonts w:hint="cs"/>
          <w:rtl/>
        </w:rPr>
        <w:t>48 -</w:t>
      </w:r>
      <w:r>
        <w:rPr>
          <w:rFonts w:hint="cs"/>
          <w:rtl/>
        </w:rPr>
        <w:tab/>
      </w:r>
      <w:r w:rsidR="00F32B28" w:rsidRPr="00F32B28">
        <w:rPr>
          <w:rtl/>
        </w:rPr>
        <w:t>قامت</w:t>
      </w:r>
      <w:r w:rsidR="00F32B28">
        <w:rPr>
          <w:rtl/>
        </w:rPr>
        <w:t xml:space="preserve"> </w:t>
      </w:r>
      <w:r w:rsidR="00F32B28" w:rsidRPr="00F32B28">
        <w:rPr>
          <w:rtl/>
        </w:rPr>
        <w:t>إسرائيل،</w:t>
      </w:r>
      <w:r w:rsidR="00F32B28">
        <w:rPr>
          <w:rtl/>
        </w:rPr>
        <w:t xml:space="preserve"> </w:t>
      </w:r>
      <w:r w:rsidR="00F32B28" w:rsidRPr="00F32B28">
        <w:rPr>
          <w:rtl/>
        </w:rPr>
        <w:t>السلطة</w:t>
      </w:r>
      <w:r w:rsidR="00F32B28">
        <w:rPr>
          <w:rtl/>
        </w:rPr>
        <w:t xml:space="preserve"> </w:t>
      </w:r>
      <w:r w:rsidR="00F32B28" w:rsidRPr="00F32B28">
        <w:rPr>
          <w:rtl/>
        </w:rPr>
        <w:t>القائمة</w:t>
      </w:r>
      <w:r w:rsidR="00F32B28">
        <w:rPr>
          <w:rtl/>
        </w:rPr>
        <w:t xml:space="preserve"> </w:t>
      </w:r>
      <w:r w:rsidR="00F32B28" w:rsidRPr="00F32B28">
        <w:rPr>
          <w:rtl/>
        </w:rPr>
        <w:t>بالاحتلال،</w:t>
      </w:r>
      <w:r w:rsidR="00F32B28">
        <w:rPr>
          <w:rtl/>
        </w:rPr>
        <w:t xml:space="preserve"> </w:t>
      </w:r>
      <w:r w:rsidR="00F32B28" w:rsidRPr="00F32B28">
        <w:rPr>
          <w:rtl/>
        </w:rPr>
        <w:t>في</w:t>
      </w:r>
      <w:r w:rsidR="00F32B28">
        <w:rPr>
          <w:rtl/>
        </w:rPr>
        <w:t xml:space="preserve"> </w:t>
      </w:r>
      <w:r w:rsidR="00F32B28" w:rsidRPr="00F32B28">
        <w:rPr>
          <w:rtl/>
        </w:rPr>
        <w:t>15</w:t>
      </w:r>
      <w:r w:rsidR="00F32B28">
        <w:rPr>
          <w:rtl/>
        </w:rPr>
        <w:t xml:space="preserve"> </w:t>
      </w:r>
      <w:r w:rsidR="00F32B28" w:rsidRPr="00F32B28">
        <w:rPr>
          <w:rtl/>
        </w:rPr>
        <w:t>كانون</w:t>
      </w:r>
      <w:r w:rsidR="00F32B28">
        <w:rPr>
          <w:rtl/>
        </w:rPr>
        <w:t xml:space="preserve"> </w:t>
      </w:r>
      <w:r w:rsidR="00F32B28" w:rsidRPr="00F32B28">
        <w:rPr>
          <w:rtl/>
        </w:rPr>
        <w:t>الثاني</w:t>
      </w:r>
      <w:r w:rsidR="004B33D7">
        <w:rPr>
          <w:rFonts w:hint="cs"/>
          <w:rtl/>
        </w:rPr>
        <w:t>/يناير</w:t>
      </w:r>
      <w:r w:rsidR="00F32B28">
        <w:rPr>
          <w:rtl/>
        </w:rPr>
        <w:t xml:space="preserve"> </w:t>
      </w:r>
      <w:r w:rsidR="00F32B28" w:rsidRPr="00F32B28">
        <w:rPr>
          <w:rtl/>
        </w:rPr>
        <w:t>2015،</w:t>
      </w:r>
      <w:r w:rsidR="00F32B28">
        <w:rPr>
          <w:rtl/>
        </w:rPr>
        <w:t xml:space="preserve"> </w:t>
      </w:r>
      <w:r w:rsidR="00F32B28" w:rsidRPr="00F32B28">
        <w:rPr>
          <w:rtl/>
        </w:rPr>
        <w:t>بمنع</w:t>
      </w:r>
      <w:r w:rsidR="00F32B28">
        <w:rPr>
          <w:rtl/>
        </w:rPr>
        <w:t xml:space="preserve"> </w:t>
      </w:r>
      <w:r w:rsidR="00F32B28" w:rsidRPr="00F32B28">
        <w:rPr>
          <w:rtl/>
        </w:rPr>
        <w:t>المقررة</w:t>
      </w:r>
      <w:r w:rsidR="00F32B28">
        <w:rPr>
          <w:rtl/>
        </w:rPr>
        <w:t xml:space="preserve"> </w:t>
      </w:r>
      <w:r w:rsidR="00F32B28" w:rsidRPr="00F32B28">
        <w:rPr>
          <w:rtl/>
        </w:rPr>
        <w:t>الخاصة</w:t>
      </w:r>
      <w:r w:rsidR="00F32B28">
        <w:rPr>
          <w:rtl/>
        </w:rPr>
        <w:t xml:space="preserve"> </w:t>
      </w:r>
      <w:r w:rsidR="00F32B28" w:rsidRPr="00F32B28">
        <w:rPr>
          <w:rtl/>
        </w:rPr>
        <w:t>للأمم</w:t>
      </w:r>
      <w:r w:rsidR="00F32B28">
        <w:rPr>
          <w:rtl/>
        </w:rPr>
        <w:t xml:space="preserve"> </w:t>
      </w:r>
      <w:r w:rsidR="00F32B28" w:rsidRPr="00F32B28">
        <w:rPr>
          <w:rtl/>
        </w:rPr>
        <w:t>المتحدة</w:t>
      </w:r>
      <w:r w:rsidR="00F32B28">
        <w:rPr>
          <w:rtl/>
        </w:rPr>
        <w:t xml:space="preserve"> </w:t>
      </w:r>
      <w:r w:rsidR="00F32B28" w:rsidRPr="00F32B28">
        <w:rPr>
          <w:rtl/>
        </w:rPr>
        <w:t>لمناهضة</w:t>
      </w:r>
      <w:r w:rsidR="00F32B28">
        <w:rPr>
          <w:rtl/>
        </w:rPr>
        <w:t xml:space="preserve"> </w:t>
      </w:r>
      <w:r w:rsidR="00F32B28" w:rsidRPr="00F32B28">
        <w:rPr>
          <w:rtl/>
        </w:rPr>
        <w:t>العنف</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السيدة</w:t>
      </w:r>
      <w:r w:rsidR="00F32B28">
        <w:rPr>
          <w:rtl/>
        </w:rPr>
        <w:t xml:space="preserve"> </w:t>
      </w:r>
      <w:r w:rsidR="00F32B28" w:rsidRPr="00F32B28">
        <w:rPr>
          <w:rtl/>
        </w:rPr>
        <w:t>الخبيرة</w:t>
      </w:r>
      <w:r w:rsidR="00F32B28">
        <w:rPr>
          <w:rtl/>
        </w:rPr>
        <w:t xml:space="preserve"> </w:t>
      </w:r>
      <w:r w:rsidR="00F32B28" w:rsidRPr="00F32B28">
        <w:rPr>
          <w:rtl/>
        </w:rPr>
        <w:t>رشيدة</w:t>
      </w:r>
      <w:r w:rsidR="00F32B28">
        <w:rPr>
          <w:rtl/>
        </w:rPr>
        <w:t xml:space="preserve"> </w:t>
      </w:r>
      <w:r w:rsidR="00F32B28" w:rsidRPr="00F32B28">
        <w:rPr>
          <w:rtl/>
        </w:rPr>
        <w:t>مانجو،</w:t>
      </w:r>
      <w:r w:rsidR="00F32B28">
        <w:rPr>
          <w:rtl/>
        </w:rPr>
        <w:t xml:space="preserve"> </w:t>
      </w:r>
      <w:r w:rsidR="00F32B28" w:rsidRPr="00F32B28">
        <w:rPr>
          <w:rtl/>
        </w:rPr>
        <w:t>من</w:t>
      </w:r>
      <w:r w:rsidR="00F32B28">
        <w:rPr>
          <w:rtl/>
        </w:rPr>
        <w:t xml:space="preserve"> </w:t>
      </w:r>
      <w:r w:rsidR="00F32B28" w:rsidRPr="00F32B28">
        <w:rPr>
          <w:rtl/>
        </w:rPr>
        <w:t>زيارة</w:t>
      </w:r>
      <w:r w:rsidR="00F32B28">
        <w:rPr>
          <w:rtl/>
        </w:rPr>
        <w:t xml:space="preserve"> </w:t>
      </w:r>
      <w:r w:rsidR="00F32B28" w:rsidRPr="00F32B28">
        <w:rPr>
          <w:rtl/>
        </w:rPr>
        <w:t>فلسطين</w:t>
      </w:r>
      <w:r w:rsidR="00F32B28">
        <w:rPr>
          <w:rtl/>
        </w:rPr>
        <w:t xml:space="preserve"> </w:t>
      </w:r>
      <w:r w:rsidR="00F32B28" w:rsidRPr="00F32B28">
        <w:rPr>
          <w:rtl/>
        </w:rPr>
        <w:t>والتي</w:t>
      </w:r>
      <w:r w:rsidR="00F32B28">
        <w:rPr>
          <w:rtl/>
        </w:rPr>
        <w:t xml:space="preserve"> </w:t>
      </w:r>
      <w:r w:rsidR="00F32B28" w:rsidRPr="00F32B28">
        <w:rPr>
          <w:rtl/>
        </w:rPr>
        <w:t>كانت</w:t>
      </w:r>
      <w:r w:rsidR="00F32B28">
        <w:rPr>
          <w:rtl/>
        </w:rPr>
        <w:t xml:space="preserve"> </w:t>
      </w:r>
      <w:r w:rsidR="00F32B28" w:rsidRPr="00F32B28">
        <w:rPr>
          <w:rtl/>
        </w:rPr>
        <w:t>من</w:t>
      </w:r>
      <w:r w:rsidR="00F32B28">
        <w:rPr>
          <w:rtl/>
        </w:rPr>
        <w:t xml:space="preserve"> </w:t>
      </w:r>
      <w:r w:rsidR="00F32B28" w:rsidRPr="00F32B28">
        <w:rPr>
          <w:rtl/>
        </w:rPr>
        <w:t>المقرر</w:t>
      </w:r>
      <w:r w:rsidR="00F32B28">
        <w:rPr>
          <w:rtl/>
        </w:rPr>
        <w:t xml:space="preserve"> </w:t>
      </w:r>
      <w:r w:rsidR="00F32B28" w:rsidRPr="00F32B28">
        <w:rPr>
          <w:rtl/>
        </w:rPr>
        <w:t>أن</w:t>
      </w:r>
      <w:r w:rsidR="00F32B28">
        <w:rPr>
          <w:rtl/>
        </w:rPr>
        <w:t xml:space="preserve"> </w:t>
      </w:r>
      <w:r w:rsidR="00F32B28" w:rsidRPr="00F32B28">
        <w:rPr>
          <w:rtl/>
        </w:rPr>
        <w:t>تقوم</w:t>
      </w:r>
      <w:r w:rsidR="00F32B28">
        <w:rPr>
          <w:rtl/>
        </w:rPr>
        <w:t xml:space="preserve"> </w:t>
      </w:r>
      <w:r w:rsidR="00F32B28" w:rsidRPr="00F32B28">
        <w:rPr>
          <w:rtl/>
        </w:rPr>
        <w:t>بها</w:t>
      </w:r>
      <w:r w:rsidR="00F32B28">
        <w:rPr>
          <w:rtl/>
        </w:rPr>
        <w:t xml:space="preserve"> </w:t>
      </w:r>
      <w:r w:rsidR="00F32B28" w:rsidRPr="00F32B28">
        <w:rPr>
          <w:rtl/>
        </w:rPr>
        <w:t>تلبية</w:t>
      </w:r>
      <w:r w:rsidR="00F32B28">
        <w:rPr>
          <w:rtl/>
        </w:rPr>
        <w:t xml:space="preserve"> </w:t>
      </w:r>
      <w:r w:rsidR="00F32B28" w:rsidRPr="00F32B28">
        <w:rPr>
          <w:rtl/>
        </w:rPr>
        <w:t>لدعوة</w:t>
      </w:r>
      <w:r w:rsidR="00F32B28">
        <w:rPr>
          <w:rtl/>
        </w:rPr>
        <w:t xml:space="preserve"> </w:t>
      </w:r>
      <w:r w:rsidR="00F32B28" w:rsidRPr="00F32B28">
        <w:rPr>
          <w:rtl/>
        </w:rPr>
        <w:t>من</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Fonts w:hint="cs"/>
          <w:rtl/>
        </w:rPr>
        <w:t xml:space="preserve"> </w:t>
      </w:r>
      <w:r w:rsidR="00F32B28" w:rsidRPr="00F32B28">
        <w:rPr>
          <w:rtl/>
        </w:rPr>
        <w:t>ويأتي</w:t>
      </w:r>
      <w:r w:rsidR="00F32B28">
        <w:rPr>
          <w:rtl/>
        </w:rPr>
        <w:t xml:space="preserve"> </w:t>
      </w:r>
      <w:r w:rsidR="00F32B28" w:rsidRPr="00F32B28">
        <w:rPr>
          <w:rtl/>
        </w:rPr>
        <w:t>قرار</w:t>
      </w:r>
      <w:r w:rsidR="00F32B28">
        <w:rPr>
          <w:rtl/>
        </w:rPr>
        <w:t xml:space="preserve"> </w:t>
      </w:r>
      <w:r w:rsidR="00F32B28" w:rsidRPr="00F32B28">
        <w:rPr>
          <w:rtl/>
        </w:rPr>
        <w:t>قوات</w:t>
      </w:r>
      <w:r w:rsidR="00F32B28">
        <w:rPr>
          <w:rtl/>
        </w:rPr>
        <w:t xml:space="preserve"> </w:t>
      </w:r>
      <w:r w:rsidR="00F32B28" w:rsidRPr="00F32B28">
        <w:rPr>
          <w:rtl/>
        </w:rPr>
        <w:t>الاحتلال</w:t>
      </w:r>
      <w:r w:rsidR="00F32B28">
        <w:rPr>
          <w:rtl/>
        </w:rPr>
        <w:t xml:space="preserve"> </w:t>
      </w:r>
      <w:r w:rsidR="00F32B28" w:rsidRPr="00F32B28">
        <w:rPr>
          <w:rtl/>
        </w:rPr>
        <w:t>بمنعها</w:t>
      </w:r>
      <w:r w:rsidR="00F32B28">
        <w:rPr>
          <w:rtl/>
        </w:rPr>
        <w:t xml:space="preserve"> </w:t>
      </w:r>
      <w:r w:rsidR="00F32B28" w:rsidRPr="00F32B28">
        <w:rPr>
          <w:rtl/>
        </w:rPr>
        <w:t>من</w:t>
      </w:r>
      <w:r w:rsidR="00F32B28">
        <w:rPr>
          <w:rtl/>
        </w:rPr>
        <w:t xml:space="preserve"> </w:t>
      </w:r>
      <w:r w:rsidR="00F32B28" w:rsidRPr="00F32B28">
        <w:rPr>
          <w:rtl/>
        </w:rPr>
        <w:t>دخول</w:t>
      </w:r>
      <w:r w:rsidR="00F32B28">
        <w:rPr>
          <w:rtl/>
        </w:rPr>
        <w:t xml:space="preserve"> </w:t>
      </w:r>
      <w:r w:rsidR="00F32B28" w:rsidRPr="00F32B28">
        <w:rPr>
          <w:rtl/>
        </w:rPr>
        <w:t>فلسطين</w:t>
      </w:r>
      <w:r w:rsidR="00F32B28">
        <w:rPr>
          <w:rtl/>
        </w:rPr>
        <w:t xml:space="preserve"> </w:t>
      </w:r>
      <w:r w:rsidR="00F32B28" w:rsidRPr="00F32B28">
        <w:rPr>
          <w:rtl/>
        </w:rPr>
        <w:t>استمراراً</w:t>
      </w:r>
      <w:r w:rsidR="00F32B28">
        <w:rPr>
          <w:rtl/>
        </w:rPr>
        <w:t xml:space="preserve"> </w:t>
      </w:r>
      <w:r w:rsidR="00F32B28" w:rsidRPr="00F32B28">
        <w:rPr>
          <w:rtl/>
        </w:rPr>
        <w:t>في</w:t>
      </w:r>
      <w:r w:rsidR="00F32B28">
        <w:rPr>
          <w:rtl/>
        </w:rPr>
        <w:t xml:space="preserve"> </w:t>
      </w:r>
      <w:r w:rsidR="00F32B28" w:rsidRPr="00F32B28">
        <w:rPr>
          <w:rtl/>
        </w:rPr>
        <w:t>تطبيق</w:t>
      </w:r>
      <w:r w:rsidR="00F32B28">
        <w:rPr>
          <w:rtl/>
        </w:rPr>
        <w:t xml:space="preserve"> </w:t>
      </w:r>
      <w:r w:rsidR="00F32B28" w:rsidRPr="00F32B28">
        <w:rPr>
          <w:rtl/>
        </w:rPr>
        <w:t>السياسة</w:t>
      </w:r>
      <w:r w:rsidR="00F32B28">
        <w:rPr>
          <w:rtl/>
        </w:rPr>
        <w:t xml:space="preserve"> </w:t>
      </w:r>
      <w:r w:rsidR="00F32B28" w:rsidRPr="00F32B28">
        <w:rPr>
          <w:rtl/>
        </w:rPr>
        <w:t>المنهجية</w:t>
      </w:r>
      <w:r w:rsidR="00F32B28">
        <w:rPr>
          <w:rtl/>
        </w:rPr>
        <w:t xml:space="preserve"> </w:t>
      </w:r>
      <w:r w:rsidR="00F32B28" w:rsidRPr="00F32B28">
        <w:rPr>
          <w:rtl/>
        </w:rPr>
        <w:t>الإسرائيلية</w:t>
      </w:r>
      <w:r w:rsidR="00F32B28">
        <w:rPr>
          <w:rtl/>
        </w:rPr>
        <w:t xml:space="preserve"> </w:t>
      </w:r>
      <w:r w:rsidR="00F32B28" w:rsidRPr="00F32B28">
        <w:rPr>
          <w:rtl/>
        </w:rPr>
        <w:t>للحيلولة</w:t>
      </w:r>
      <w:r w:rsidR="00F32B28">
        <w:rPr>
          <w:rtl/>
        </w:rPr>
        <w:t xml:space="preserve"> </w:t>
      </w:r>
      <w:r w:rsidR="00F32B28" w:rsidRPr="00F32B28">
        <w:rPr>
          <w:rtl/>
        </w:rPr>
        <w:t>دون</w:t>
      </w:r>
      <w:r w:rsidR="00F32B28">
        <w:rPr>
          <w:rtl/>
        </w:rPr>
        <w:t xml:space="preserve"> </w:t>
      </w:r>
      <w:r w:rsidR="00F32B28" w:rsidRPr="00F32B28">
        <w:rPr>
          <w:rtl/>
        </w:rPr>
        <w:t>السماح</w:t>
      </w:r>
      <w:r w:rsidR="00F32B28">
        <w:rPr>
          <w:rtl/>
        </w:rPr>
        <w:t xml:space="preserve"> </w:t>
      </w:r>
      <w:r w:rsidR="00F32B28" w:rsidRPr="00F32B28">
        <w:rPr>
          <w:rtl/>
        </w:rPr>
        <w:t>لدولة</w:t>
      </w:r>
      <w:r w:rsidR="00F32B28">
        <w:rPr>
          <w:rtl/>
        </w:rPr>
        <w:t xml:space="preserve"> </w:t>
      </w:r>
      <w:r w:rsidR="00F32B28" w:rsidRPr="00F32B28">
        <w:rPr>
          <w:rtl/>
        </w:rPr>
        <w:t>فلسطين</w:t>
      </w:r>
      <w:r w:rsidR="00F32B28">
        <w:rPr>
          <w:rtl/>
        </w:rPr>
        <w:t xml:space="preserve"> </w:t>
      </w:r>
      <w:r w:rsidR="00F32B28" w:rsidRPr="00F32B28">
        <w:rPr>
          <w:rtl/>
        </w:rPr>
        <w:t>بالتمتع</w:t>
      </w:r>
      <w:r w:rsidR="00F32B28">
        <w:rPr>
          <w:rtl/>
        </w:rPr>
        <w:t xml:space="preserve"> </w:t>
      </w:r>
      <w:r w:rsidR="00F32B28" w:rsidRPr="00F32B28">
        <w:rPr>
          <w:rtl/>
        </w:rPr>
        <w:t>بالحقوق</w:t>
      </w:r>
      <w:r w:rsidR="00F32B28">
        <w:rPr>
          <w:rtl/>
        </w:rPr>
        <w:t xml:space="preserve"> </w:t>
      </w:r>
      <w:r w:rsidR="00F32B28" w:rsidRPr="00F32B28">
        <w:rPr>
          <w:rtl/>
        </w:rPr>
        <w:t>المكتسبة</w:t>
      </w:r>
      <w:r w:rsidR="00F32B28">
        <w:rPr>
          <w:rtl/>
        </w:rPr>
        <w:t xml:space="preserve"> </w:t>
      </w:r>
      <w:r w:rsidR="00F32B28" w:rsidRPr="00F32B28">
        <w:rPr>
          <w:rtl/>
        </w:rPr>
        <w:t>وأداء</w:t>
      </w:r>
      <w:r w:rsidR="00F32B28">
        <w:rPr>
          <w:rtl/>
        </w:rPr>
        <w:t xml:space="preserve"> </w:t>
      </w:r>
      <w:r w:rsidR="00F32B28" w:rsidRPr="00F32B28">
        <w:rPr>
          <w:rtl/>
        </w:rPr>
        <w:t>واجباتها</w:t>
      </w:r>
      <w:r w:rsidR="00F32B28">
        <w:rPr>
          <w:rtl/>
        </w:rPr>
        <w:t xml:space="preserve"> </w:t>
      </w:r>
      <w:r w:rsidR="00F32B28" w:rsidRPr="00F32B28">
        <w:rPr>
          <w:rtl/>
        </w:rPr>
        <w:t>بموجب</w:t>
      </w:r>
      <w:r w:rsidR="00F32B28">
        <w:rPr>
          <w:rtl/>
        </w:rPr>
        <w:t xml:space="preserve"> </w:t>
      </w:r>
      <w:r w:rsidR="00F32B28" w:rsidRPr="00F32B28">
        <w:rPr>
          <w:rtl/>
        </w:rPr>
        <w:t>انضمامها</w:t>
      </w:r>
      <w:r w:rsidR="00F32B28">
        <w:rPr>
          <w:rtl/>
        </w:rPr>
        <w:t xml:space="preserve"> </w:t>
      </w:r>
      <w:r w:rsidR="00F32B28" w:rsidRPr="00F32B28">
        <w:rPr>
          <w:rtl/>
        </w:rPr>
        <w:t>للمعاهدات</w:t>
      </w:r>
      <w:r w:rsidR="00F32B28">
        <w:rPr>
          <w:rtl/>
        </w:rPr>
        <w:t xml:space="preserve"> </w:t>
      </w:r>
      <w:r w:rsidR="00F32B28" w:rsidRPr="00F32B28">
        <w:rPr>
          <w:rtl/>
        </w:rPr>
        <w:t>الدولية،</w:t>
      </w:r>
      <w:r w:rsidR="00F32B28">
        <w:rPr>
          <w:rtl/>
        </w:rPr>
        <w:t xml:space="preserve"> </w:t>
      </w:r>
      <w:r w:rsidR="00F32B28" w:rsidRPr="00F32B28">
        <w:rPr>
          <w:rtl/>
        </w:rPr>
        <w:t>وحرمان</w:t>
      </w:r>
      <w:r w:rsidR="00F32B28">
        <w:rPr>
          <w:rtl/>
        </w:rPr>
        <w:t xml:space="preserve"> </w:t>
      </w:r>
      <w:r w:rsidR="00F32B28" w:rsidRPr="00F32B28">
        <w:rPr>
          <w:rtl/>
        </w:rPr>
        <w:t>الشعب</w:t>
      </w:r>
      <w:r w:rsidR="00F32B28">
        <w:rPr>
          <w:rtl/>
        </w:rPr>
        <w:t xml:space="preserve"> </w:t>
      </w:r>
      <w:r w:rsidR="00F32B28" w:rsidRPr="00F32B28">
        <w:rPr>
          <w:rtl/>
        </w:rPr>
        <w:t>الفلسطيني</w:t>
      </w:r>
      <w:r w:rsidR="00F32B28">
        <w:rPr>
          <w:rtl/>
        </w:rPr>
        <w:t xml:space="preserve"> </w:t>
      </w:r>
      <w:r w:rsidR="00F32B28" w:rsidRPr="00F32B28">
        <w:rPr>
          <w:rtl/>
        </w:rPr>
        <w:t>من</w:t>
      </w:r>
      <w:r w:rsidR="00F32B28">
        <w:rPr>
          <w:rtl/>
        </w:rPr>
        <w:t xml:space="preserve"> </w:t>
      </w:r>
      <w:r w:rsidR="00F32B28" w:rsidRPr="00F32B28">
        <w:rPr>
          <w:rtl/>
        </w:rPr>
        <w:t>ممارسة</w:t>
      </w:r>
      <w:r w:rsidR="00F32B28">
        <w:rPr>
          <w:rtl/>
        </w:rPr>
        <w:t xml:space="preserve"> </w:t>
      </w:r>
      <w:r w:rsidR="00F32B28" w:rsidRPr="00F32B28">
        <w:rPr>
          <w:rtl/>
        </w:rPr>
        <w:t>حقوقه،</w:t>
      </w:r>
      <w:r w:rsidR="00F32B28">
        <w:rPr>
          <w:rtl/>
        </w:rPr>
        <w:t xml:space="preserve"> </w:t>
      </w:r>
      <w:r w:rsidR="00F32B28" w:rsidRPr="00F32B28">
        <w:rPr>
          <w:rtl/>
        </w:rPr>
        <w:t>لا</w:t>
      </w:r>
      <w:r w:rsidR="00F32B28">
        <w:rPr>
          <w:rtl/>
        </w:rPr>
        <w:t xml:space="preserve"> </w:t>
      </w:r>
      <w:r w:rsidR="00F32B28" w:rsidRPr="00F32B28">
        <w:rPr>
          <w:rtl/>
        </w:rPr>
        <w:t>سيما</w:t>
      </w:r>
      <w:r w:rsidR="00F32B28">
        <w:rPr>
          <w:rtl/>
        </w:rPr>
        <w:t xml:space="preserve"> </w:t>
      </w:r>
      <w:r w:rsidR="00F32B28" w:rsidRPr="00F32B28">
        <w:rPr>
          <w:rtl/>
        </w:rPr>
        <w:t>حقه</w:t>
      </w:r>
      <w:r w:rsidR="00F32B28">
        <w:rPr>
          <w:rtl/>
        </w:rPr>
        <w:t xml:space="preserve"> </w:t>
      </w:r>
      <w:r w:rsidR="00F32B28" w:rsidRPr="00F32B28">
        <w:rPr>
          <w:rtl/>
        </w:rPr>
        <w:t>في</w:t>
      </w:r>
      <w:r w:rsidR="00F32B28">
        <w:rPr>
          <w:rtl/>
        </w:rPr>
        <w:t xml:space="preserve"> </w:t>
      </w:r>
      <w:r w:rsidR="00F32B28" w:rsidRPr="00F32B28">
        <w:rPr>
          <w:rtl/>
        </w:rPr>
        <w:t>تقرير</w:t>
      </w:r>
      <w:r w:rsidR="00F32B28">
        <w:rPr>
          <w:rtl/>
        </w:rPr>
        <w:t xml:space="preserve"> </w:t>
      </w:r>
      <w:r w:rsidR="00F32B28" w:rsidRPr="00F32B28">
        <w:rPr>
          <w:rtl/>
        </w:rPr>
        <w:t>المصير.</w:t>
      </w:r>
      <w:r w:rsidR="00F32B28">
        <w:rPr>
          <w:rtl/>
        </w:rPr>
        <w:t xml:space="preserve"> </w:t>
      </w:r>
      <w:r w:rsidR="00F32B28" w:rsidRPr="00F32B28">
        <w:rPr>
          <w:rtl/>
        </w:rPr>
        <w:t>إذ</w:t>
      </w:r>
      <w:r w:rsidR="00F32B28">
        <w:rPr>
          <w:rtl/>
        </w:rPr>
        <w:t xml:space="preserve"> </w:t>
      </w:r>
      <w:r w:rsidR="00F32B28" w:rsidRPr="00F32B28">
        <w:rPr>
          <w:rtl/>
        </w:rPr>
        <w:t>سبق</w:t>
      </w:r>
      <w:r w:rsidR="00F32B28">
        <w:rPr>
          <w:rtl/>
        </w:rPr>
        <w:t xml:space="preserve"> </w:t>
      </w:r>
      <w:r w:rsidR="00F32B28" w:rsidRPr="00F32B28">
        <w:rPr>
          <w:rtl/>
        </w:rPr>
        <w:t>هذا</w:t>
      </w:r>
      <w:r w:rsidR="00F32B28">
        <w:rPr>
          <w:rtl/>
        </w:rPr>
        <w:t xml:space="preserve"> </w:t>
      </w:r>
      <w:r w:rsidR="00F32B28" w:rsidRPr="00F32B28">
        <w:rPr>
          <w:rtl/>
        </w:rPr>
        <w:t>المنع</w:t>
      </w:r>
      <w:r w:rsidR="00F32B28">
        <w:rPr>
          <w:rtl/>
        </w:rPr>
        <w:t xml:space="preserve"> </w:t>
      </w:r>
      <w:r w:rsidR="00F32B28" w:rsidRPr="00F32B28">
        <w:rPr>
          <w:rtl/>
        </w:rPr>
        <w:t>منع</w:t>
      </w:r>
      <w:r w:rsidR="00F32B28">
        <w:rPr>
          <w:rtl/>
        </w:rPr>
        <w:t xml:space="preserve"> </w:t>
      </w:r>
      <w:r w:rsidR="00F32B28" w:rsidRPr="00F32B28">
        <w:rPr>
          <w:rtl/>
        </w:rPr>
        <w:t>لجان</w:t>
      </w:r>
      <w:r w:rsidR="00F32B28">
        <w:rPr>
          <w:rtl/>
        </w:rPr>
        <w:t xml:space="preserve"> </w:t>
      </w:r>
      <w:r w:rsidR="00F32B28" w:rsidRPr="00F32B28">
        <w:rPr>
          <w:rtl/>
        </w:rPr>
        <w:t>التحقيق</w:t>
      </w:r>
      <w:r w:rsidR="00F32B28">
        <w:rPr>
          <w:rtl/>
        </w:rPr>
        <w:t xml:space="preserve"> </w:t>
      </w:r>
      <w:r w:rsidR="00F32B28" w:rsidRPr="00F32B28">
        <w:rPr>
          <w:rtl/>
        </w:rPr>
        <w:t>كان</w:t>
      </w:r>
      <w:r w:rsidR="00F32B28">
        <w:rPr>
          <w:rtl/>
        </w:rPr>
        <w:t xml:space="preserve"> </w:t>
      </w:r>
      <w:r w:rsidR="00F32B28" w:rsidRPr="00F32B28">
        <w:rPr>
          <w:rtl/>
        </w:rPr>
        <w:t>من</w:t>
      </w:r>
      <w:r w:rsidR="00F32B28">
        <w:rPr>
          <w:rtl/>
        </w:rPr>
        <w:t xml:space="preserve"> </w:t>
      </w:r>
      <w:r w:rsidR="00F32B28" w:rsidRPr="00F32B28">
        <w:rPr>
          <w:rtl/>
        </w:rPr>
        <w:t>المقرر</w:t>
      </w:r>
      <w:r w:rsidR="00F32B28">
        <w:rPr>
          <w:rtl/>
        </w:rPr>
        <w:t xml:space="preserve"> </w:t>
      </w:r>
      <w:r w:rsidR="00F32B28" w:rsidRPr="00F32B28">
        <w:rPr>
          <w:rtl/>
        </w:rPr>
        <w:t>قدومها</w:t>
      </w:r>
      <w:r w:rsidR="00F32B28">
        <w:rPr>
          <w:rtl/>
        </w:rPr>
        <w:t xml:space="preserve"> </w:t>
      </w:r>
      <w:r w:rsidR="00F32B28" w:rsidRPr="00F32B28">
        <w:rPr>
          <w:rtl/>
        </w:rPr>
        <w:t>لفلسطين</w:t>
      </w:r>
      <w:r w:rsidR="00F32B28">
        <w:rPr>
          <w:rtl/>
        </w:rPr>
        <w:t xml:space="preserve"> </w:t>
      </w:r>
      <w:r w:rsidR="00F32B28" w:rsidRPr="00F32B28">
        <w:rPr>
          <w:rtl/>
        </w:rPr>
        <w:t>بهدف</w:t>
      </w:r>
      <w:r w:rsidR="00F32B28">
        <w:rPr>
          <w:rtl/>
        </w:rPr>
        <w:t xml:space="preserve"> </w:t>
      </w:r>
      <w:r w:rsidR="00F32B28" w:rsidRPr="00F32B28">
        <w:rPr>
          <w:rtl/>
        </w:rPr>
        <w:t>التحقيق</w:t>
      </w:r>
      <w:r w:rsidR="00F32B28">
        <w:rPr>
          <w:rtl/>
        </w:rPr>
        <w:t xml:space="preserve"> </w:t>
      </w:r>
      <w:r w:rsidR="00F32B28" w:rsidRPr="00F32B28">
        <w:rPr>
          <w:rtl/>
        </w:rPr>
        <w:t>في</w:t>
      </w:r>
      <w:r w:rsidR="00F32B28">
        <w:rPr>
          <w:rtl/>
        </w:rPr>
        <w:t xml:space="preserve"> </w:t>
      </w:r>
      <w:r w:rsidR="00F32B28" w:rsidRPr="00F32B28">
        <w:rPr>
          <w:rtl/>
        </w:rPr>
        <w:t>انتهاكات</w:t>
      </w:r>
      <w:r w:rsidR="00F32B28">
        <w:rPr>
          <w:rtl/>
        </w:rPr>
        <w:t xml:space="preserve"> </w:t>
      </w:r>
      <w:r w:rsidR="00F32B28" w:rsidRPr="00F32B28">
        <w:rPr>
          <w:rtl/>
        </w:rPr>
        <w:t>القانون</w:t>
      </w:r>
      <w:r w:rsidR="00F32B28">
        <w:rPr>
          <w:rtl/>
        </w:rPr>
        <w:t xml:space="preserve"> </w:t>
      </w:r>
      <w:r w:rsidR="00F32B28" w:rsidRPr="00F32B28">
        <w:rPr>
          <w:rtl/>
        </w:rPr>
        <w:t>الدولي</w:t>
      </w:r>
      <w:r w:rsidR="00F32B28">
        <w:rPr>
          <w:rtl/>
        </w:rPr>
        <w:t xml:space="preserve"> </w:t>
      </w:r>
      <w:r w:rsidR="00F32B28" w:rsidRPr="00F32B28">
        <w:rPr>
          <w:rtl/>
        </w:rPr>
        <w:t>منذ</w:t>
      </w:r>
      <w:r w:rsidR="00F32B28">
        <w:rPr>
          <w:rtl/>
        </w:rPr>
        <w:t xml:space="preserve"> </w:t>
      </w:r>
      <w:r w:rsidR="00F32B28" w:rsidRPr="00F32B28">
        <w:rPr>
          <w:rtl/>
        </w:rPr>
        <w:t>حزيران</w:t>
      </w:r>
      <w:r w:rsidR="004B33D7">
        <w:rPr>
          <w:rFonts w:hint="cs"/>
          <w:rtl/>
        </w:rPr>
        <w:t>/يونيه</w:t>
      </w:r>
      <w:r w:rsidR="00F32B28">
        <w:rPr>
          <w:rtl/>
        </w:rPr>
        <w:t xml:space="preserve"> </w:t>
      </w:r>
      <w:r w:rsidR="00F32B28" w:rsidRPr="00F32B28">
        <w:rPr>
          <w:rtl/>
        </w:rPr>
        <w:t>2014.</w:t>
      </w:r>
      <w:r w:rsidR="00F32B28">
        <w:rPr>
          <w:rtl/>
        </w:rPr>
        <w:t xml:space="preserve"> </w:t>
      </w:r>
      <w:r w:rsidR="00F32B28" w:rsidRPr="00F32B28">
        <w:rPr>
          <w:rtl/>
        </w:rPr>
        <w:t>و</w:t>
      </w:r>
      <w:r w:rsidR="00F32B28" w:rsidRPr="00F32B28">
        <w:rPr>
          <w:rFonts w:hint="cs"/>
          <w:rtl/>
        </w:rPr>
        <w:t>ينتهك</w:t>
      </w:r>
      <w:r w:rsidR="00F32B28">
        <w:rPr>
          <w:rtl/>
        </w:rPr>
        <w:t xml:space="preserve"> </w:t>
      </w:r>
      <w:r w:rsidR="00F32B28" w:rsidRPr="00F32B28">
        <w:rPr>
          <w:rtl/>
        </w:rPr>
        <w:t>هذا</w:t>
      </w:r>
      <w:r w:rsidR="00F32B28">
        <w:rPr>
          <w:rtl/>
        </w:rPr>
        <w:t xml:space="preserve"> </w:t>
      </w:r>
      <w:r w:rsidR="00F32B28" w:rsidRPr="00F32B28">
        <w:rPr>
          <w:rtl/>
        </w:rPr>
        <w:t>المنع</w:t>
      </w:r>
      <w:r w:rsidR="00F32B28">
        <w:rPr>
          <w:rtl/>
        </w:rPr>
        <w:t xml:space="preserve"> </w:t>
      </w:r>
      <w:r w:rsidR="00F32B28" w:rsidRPr="00F32B28">
        <w:rPr>
          <w:rFonts w:hint="cs"/>
          <w:rtl/>
        </w:rPr>
        <w:t>التزامات</w:t>
      </w:r>
      <w:r w:rsidR="00F32B28">
        <w:rPr>
          <w:rFonts w:hint="cs"/>
          <w:rtl/>
        </w:rPr>
        <w:t xml:space="preserve"> </w:t>
      </w:r>
      <w:r w:rsidR="00F32B28" w:rsidRPr="00F32B28">
        <w:rPr>
          <w:rFonts w:hint="cs"/>
          <w:rtl/>
        </w:rPr>
        <w:t>إسرائيل،</w:t>
      </w:r>
      <w:r w:rsidR="00F32B28">
        <w:rPr>
          <w:rFonts w:hint="cs"/>
          <w:rtl/>
        </w:rPr>
        <w:t xml:space="preserve"> </w:t>
      </w:r>
      <w:r w:rsidR="00F32B28" w:rsidRPr="00F32B28">
        <w:rPr>
          <w:rFonts w:hint="cs"/>
          <w:rtl/>
        </w:rPr>
        <w:t>السلطة</w:t>
      </w:r>
      <w:r w:rsidR="00F32B28">
        <w:rPr>
          <w:rFonts w:hint="cs"/>
          <w:rtl/>
        </w:rPr>
        <w:t xml:space="preserve"> </w:t>
      </w:r>
      <w:r w:rsidR="00F32B28" w:rsidRPr="00F32B28">
        <w:rPr>
          <w:rFonts w:hint="cs"/>
          <w:rtl/>
        </w:rPr>
        <w:t>القائمة</w:t>
      </w:r>
      <w:r w:rsidR="00F32B28">
        <w:rPr>
          <w:rFonts w:hint="cs"/>
          <w:rtl/>
        </w:rPr>
        <w:t xml:space="preserve"> </w:t>
      </w:r>
      <w:r w:rsidR="00F32B28" w:rsidRPr="00F32B28">
        <w:rPr>
          <w:rFonts w:hint="cs"/>
          <w:rtl/>
        </w:rPr>
        <w:t>بالاحتلال،</w:t>
      </w:r>
      <w:r w:rsidR="00F32B28">
        <w:rPr>
          <w:rFonts w:hint="cs"/>
          <w:rtl/>
        </w:rPr>
        <w:t xml:space="preserve"> </w:t>
      </w:r>
      <w:r w:rsidR="00F32B28" w:rsidRPr="00F32B28">
        <w:rPr>
          <w:rFonts w:hint="cs"/>
          <w:rtl/>
        </w:rPr>
        <w:t>كما</w:t>
      </w:r>
      <w:r w:rsidR="00F32B28">
        <w:rPr>
          <w:rFonts w:hint="cs"/>
          <w:rtl/>
        </w:rPr>
        <w:t xml:space="preserve"> </w:t>
      </w:r>
      <w:r w:rsidR="00F32B28" w:rsidRPr="00F32B28">
        <w:rPr>
          <w:rFonts w:hint="cs"/>
          <w:rtl/>
        </w:rPr>
        <w:t>ويخالف</w:t>
      </w:r>
      <w:r>
        <w:rPr>
          <w:rFonts w:hint="cs"/>
          <w:rtl/>
        </w:rPr>
        <w:t xml:space="preserve"> </w:t>
      </w:r>
      <w:r w:rsidR="00F32B28" w:rsidRPr="00F32B28">
        <w:rPr>
          <w:rFonts w:hint="cs"/>
          <w:rtl/>
        </w:rPr>
        <w:t>ا</w:t>
      </w:r>
      <w:r w:rsidR="00F32B28" w:rsidRPr="00F32B28">
        <w:rPr>
          <w:rtl/>
        </w:rPr>
        <w:t>لتوصيات</w:t>
      </w:r>
      <w:r w:rsidR="00F32B28">
        <w:rPr>
          <w:rtl/>
        </w:rPr>
        <w:t xml:space="preserve"> </w:t>
      </w:r>
      <w:r w:rsidR="00F32B28" w:rsidRPr="00F32B28">
        <w:rPr>
          <w:rtl/>
        </w:rPr>
        <w:t>التي</w:t>
      </w:r>
      <w:r w:rsidR="00F32B28">
        <w:rPr>
          <w:rtl/>
        </w:rPr>
        <w:t xml:space="preserve"> </w:t>
      </w:r>
      <w:r w:rsidR="00F32B28" w:rsidRPr="00F32B28">
        <w:rPr>
          <w:rtl/>
        </w:rPr>
        <w:t>قدمها</w:t>
      </w:r>
      <w:r w:rsidR="00F32B28">
        <w:rPr>
          <w:rtl/>
        </w:rPr>
        <w:t xml:space="preserve"> </w:t>
      </w:r>
      <w:r w:rsidR="00F32B28" w:rsidRPr="00F32B28">
        <w:rPr>
          <w:rtl/>
        </w:rPr>
        <w:t>مجلس</w:t>
      </w:r>
      <w:r w:rsidR="00F32B28">
        <w:rPr>
          <w:rtl/>
        </w:rPr>
        <w:t xml:space="preserve"> </w:t>
      </w:r>
      <w:r w:rsidR="00F32B28" w:rsidRPr="00F32B28">
        <w:rPr>
          <w:rtl/>
        </w:rPr>
        <w:t>حقوق</w:t>
      </w:r>
      <w:r w:rsidR="00F32B28">
        <w:rPr>
          <w:rtl/>
        </w:rPr>
        <w:t xml:space="preserve"> </w:t>
      </w:r>
      <w:r w:rsidR="00F32B28" w:rsidRPr="00F32B28">
        <w:rPr>
          <w:rtl/>
        </w:rPr>
        <w:lastRenderedPageBreak/>
        <w:t>الإنسان</w:t>
      </w:r>
      <w:r w:rsidR="00F32B28">
        <w:rPr>
          <w:rtl/>
        </w:rPr>
        <w:t xml:space="preserve"> </w:t>
      </w:r>
      <w:r w:rsidR="00F32B28" w:rsidRPr="00F32B28">
        <w:rPr>
          <w:rtl/>
        </w:rPr>
        <w:t>بضرورة</w:t>
      </w:r>
      <w:r w:rsidR="00F32B28">
        <w:rPr>
          <w:rtl/>
        </w:rPr>
        <w:t xml:space="preserve"> </w:t>
      </w:r>
      <w:r w:rsidR="00F32B28" w:rsidRPr="00F32B28">
        <w:rPr>
          <w:rtl/>
        </w:rPr>
        <w:t>تعاون</w:t>
      </w:r>
      <w:r w:rsidR="00F32B28">
        <w:rPr>
          <w:rtl/>
        </w:rPr>
        <w:t xml:space="preserve"> </w:t>
      </w:r>
      <w:r w:rsidR="00F32B28" w:rsidRPr="00F32B28">
        <w:rPr>
          <w:rtl/>
        </w:rPr>
        <w:t>سلطات</w:t>
      </w:r>
      <w:r w:rsidR="00F32B28">
        <w:rPr>
          <w:rtl/>
        </w:rPr>
        <w:t xml:space="preserve"> </w:t>
      </w:r>
      <w:r w:rsidR="00F32B28" w:rsidRPr="00F32B28">
        <w:rPr>
          <w:rtl/>
        </w:rPr>
        <w:t>الاحتلال</w:t>
      </w:r>
      <w:r w:rsidR="00F32B28">
        <w:rPr>
          <w:rtl/>
        </w:rPr>
        <w:t xml:space="preserve"> </w:t>
      </w:r>
      <w:r w:rsidR="00F32B28" w:rsidRPr="00F32B28">
        <w:rPr>
          <w:rtl/>
        </w:rPr>
        <w:t>مع</w:t>
      </w:r>
      <w:r w:rsidR="00F32B28">
        <w:rPr>
          <w:rtl/>
        </w:rPr>
        <w:t xml:space="preserve"> </w:t>
      </w:r>
      <w:r w:rsidR="00F32B28" w:rsidRPr="00F32B28">
        <w:rPr>
          <w:rtl/>
        </w:rPr>
        <w:t>المقررين</w:t>
      </w:r>
      <w:r w:rsidR="00F32B28">
        <w:rPr>
          <w:rtl/>
        </w:rPr>
        <w:t xml:space="preserve"> </w:t>
      </w:r>
      <w:r w:rsidR="00F32B28" w:rsidRPr="00F32B28">
        <w:rPr>
          <w:rtl/>
        </w:rPr>
        <w:t>الخاصين،</w:t>
      </w:r>
      <w:r w:rsidR="00F32B28">
        <w:rPr>
          <w:rtl/>
        </w:rPr>
        <w:t xml:space="preserve"> </w:t>
      </w:r>
      <w:r w:rsidR="00F32B28" w:rsidRPr="00F32B28">
        <w:rPr>
          <w:rtl/>
        </w:rPr>
        <w:t>وذلك</w:t>
      </w:r>
      <w:r w:rsidR="00F32B28">
        <w:rPr>
          <w:rtl/>
        </w:rPr>
        <w:t xml:space="preserve"> </w:t>
      </w:r>
      <w:r w:rsidR="00F32B28" w:rsidRPr="00F32B28">
        <w:rPr>
          <w:rtl/>
        </w:rPr>
        <w:t>بهدف</w:t>
      </w:r>
      <w:r w:rsidR="00F32B28">
        <w:rPr>
          <w:rtl/>
        </w:rPr>
        <w:t xml:space="preserve"> </w:t>
      </w:r>
      <w:r w:rsidR="00F32B28" w:rsidRPr="00F32B28">
        <w:rPr>
          <w:rtl/>
        </w:rPr>
        <w:t>تحسين</w:t>
      </w:r>
      <w:r w:rsidR="00F32B28">
        <w:rPr>
          <w:rtl/>
        </w:rPr>
        <w:t xml:space="preserve"> </w:t>
      </w:r>
      <w:r w:rsidR="00F32B28" w:rsidRPr="00F32B28">
        <w:rPr>
          <w:rtl/>
        </w:rPr>
        <w:t>وضع</w:t>
      </w:r>
      <w:r w:rsidR="00F32B28">
        <w:rPr>
          <w:rtl/>
        </w:rPr>
        <w:t xml:space="preserve"> </w:t>
      </w:r>
      <w:r w:rsidR="00F32B28" w:rsidRPr="00F32B28">
        <w:rPr>
          <w:rtl/>
        </w:rPr>
        <w:t>حقوق</w:t>
      </w:r>
      <w:r w:rsidR="00F32B28">
        <w:rPr>
          <w:rtl/>
        </w:rPr>
        <w:t xml:space="preserve"> </w:t>
      </w:r>
      <w:r w:rsidR="00F32B28" w:rsidRPr="00F32B28">
        <w:rPr>
          <w:rtl/>
        </w:rPr>
        <w:t>الإنسان</w:t>
      </w:r>
      <w:r w:rsidR="00F32B28">
        <w:rPr>
          <w:rtl/>
        </w:rPr>
        <w:t xml:space="preserve"> </w:t>
      </w:r>
      <w:r w:rsidR="00F32B28" w:rsidRPr="00F32B28">
        <w:rPr>
          <w:rtl/>
        </w:rPr>
        <w:t>على</w:t>
      </w:r>
      <w:r w:rsidR="00F32B28">
        <w:rPr>
          <w:rtl/>
        </w:rPr>
        <w:t xml:space="preserve"> </w:t>
      </w:r>
      <w:r w:rsidR="00F32B28" w:rsidRPr="00F32B28">
        <w:rPr>
          <w:rtl/>
        </w:rPr>
        <w:t>أرض</w:t>
      </w:r>
      <w:r w:rsidR="00F32B28">
        <w:rPr>
          <w:rtl/>
        </w:rPr>
        <w:t xml:space="preserve"> </w:t>
      </w:r>
      <w:r w:rsidR="00F32B28" w:rsidRPr="00F32B28">
        <w:rPr>
          <w:rtl/>
        </w:rPr>
        <w:t>الواقع.</w:t>
      </w:r>
    </w:p>
    <w:p w:rsidR="00F32B28" w:rsidRPr="00F32B28" w:rsidRDefault="00DF6B4E" w:rsidP="00DF6B4E">
      <w:pPr>
        <w:pStyle w:val="SingleTxt"/>
        <w:rPr>
          <w:rtl/>
          <w:lang w:bidi="ar-SY"/>
        </w:rPr>
      </w:pPr>
      <w:r>
        <w:rPr>
          <w:rFonts w:hint="cs"/>
          <w:rtl/>
          <w:lang w:bidi="ar-SY"/>
        </w:rPr>
        <w:t>49 -</w:t>
      </w:r>
      <w:r>
        <w:rPr>
          <w:rFonts w:hint="cs"/>
          <w:rtl/>
          <w:lang w:bidi="ar-SY"/>
        </w:rPr>
        <w:tab/>
      </w:r>
      <w:r w:rsidR="00F32B28" w:rsidRPr="00F32B28">
        <w:rPr>
          <w:rtl/>
          <w:lang w:bidi="ar-SY"/>
        </w:rPr>
        <w:t>كما</w:t>
      </w:r>
      <w:r w:rsidR="00F32B28">
        <w:rPr>
          <w:rtl/>
          <w:lang w:bidi="ar-SY"/>
        </w:rPr>
        <w:t xml:space="preserve"> </w:t>
      </w:r>
      <w:r w:rsidR="00F32B28" w:rsidRPr="00F32B28">
        <w:rPr>
          <w:rtl/>
          <w:lang w:bidi="ar-SY"/>
        </w:rPr>
        <w:t>تعاني</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منظومة</w:t>
      </w:r>
      <w:r w:rsidR="00F32B28">
        <w:rPr>
          <w:rtl/>
          <w:lang w:bidi="ar-SY"/>
        </w:rPr>
        <w:t xml:space="preserve"> </w:t>
      </w:r>
      <w:r w:rsidR="00F32B28" w:rsidRPr="00F32B28">
        <w:rPr>
          <w:rtl/>
          <w:lang w:bidi="ar-SY"/>
        </w:rPr>
        <w:t>العادات</w:t>
      </w:r>
      <w:r w:rsidR="00F32B28">
        <w:rPr>
          <w:rtl/>
          <w:lang w:bidi="ar-SY"/>
        </w:rPr>
        <w:t xml:space="preserve"> </w:t>
      </w:r>
      <w:r w:rsidR="00F32B28" w:rsidRPr="00F32B28">
        <w:rPr>
          <w:rtl/>
          <w:lang w:bidi="ar-SY"/>
        </w:rPr>
        <w:t>والتقاليد</w:t>
      </w:r>
      <w:r w:rsidR="00F32B28">
        <w:rPr>
          <w:rtl/>
          <w:lang w:bidi="ar-SY"/>
        </w:rPr>
        <w:t xml:space="preserve"> </w:t>
      </w:r>
      <w:r w:rsidR="00F32B28" w:rsidRPr="00F32B28">
        <w:rPr>
          <w:rtl/>
          <w:lang w:bidi="ar-SY"/>
        </w:rPr>
        <w:t>الموروثة</w:t>
      </w:r>
      <w:r w:rsidR="00F32B28">
        <w:rPr>
          <w:rtl/>
          <w:lang w:bidi="ar-SY"/>
        </w:rPr>
        <w:t xml:space="preserve"> </w:t>
      </w:r>
      <w:r w:rsidR="00F32B28" w:rsidRPr="00F32B28">
        <w:rPr>
          <w:rtl/>
          <w:lang w:bidi="ar-SY"/>
        </w:rPr>
        <w:t>السائدة</w:t>
      </w:r>
      <w:r w:rsidR="00F32B28">
        <w:rPr>
          <w:rtl/>
          <w:lang w:bidi="ar-SY"/>
        </w:rPr>
        <w:t xml:space="preserve"> </w:t>
      </w:r>
      <w:r w:rsidR="00F32B28" w:rsidRPr="00F32B28">
        <w:rPr>
          <w:rtl/>
          <w:lang w:bidi="ar-SY"/>
        </w:rPr>
        <w:t>القائمة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تكريس</w:t>
      </w:r>
      <w:r w:rsidR="00F32B28">
        <w:rPr>
          <w:rtl/>
          <w:lang w:bidi="ar-SY"/>
        </w:rPr>
        <w:t xml:space="preserve"> </w:t>
      </w:r>
      <w:r w:rsidR="00F32B28" w:rsidRPr="00F32B28">
        <w:rPr>
          <w:rtl/>
          <w:lang w:bidi="ar-SY"/>
        </w:rPr>
        <w:t>تبعية</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وتوهينها</w:t>
      </w:r>
      <w:r w:rsidR="00F32B28">
        <w:rPr>
          <w:rtl/>
          <w:lang w:bidi="ar-SY"/>
        </w:rPr>
        <w:t xml:space="preserve"> </w:t>
      </w:r>
      <w:r w:rsidR="00F32B28" w:rsidRPr="00F32B28">
        <w:rPr>
          <w:rtl/>
          <w:lang w:bidi="ar-SY"/>
        </w:rPr>
        <w:t>والتركيز</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دورها</w:t>
      </w:r>
      <w:r w:rsidR="00F32B28">
        <w:rPr>
          <w:rtl/>
          <w:lang w:bidi="ar-SY"/>
        </w:rPr>
        <w:t xml:space="preserve"> </w:t>
      </w:r>
      <w:r w:rsidR="00F32B28" w:rsidRPr="00F32B28">
        <w:rPr>
          <w:rtl/>
          <w:lang w:bidi="ar-SY"/>
        </w:rPr>
        <w:t>الإنجابي.</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جانب</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الموروثة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تزال</w:t>
      </w:r>
      <w:r w:rsidR="00F32B28">
        <w:rPr>
          <w:rtl/>
          <w:lang w:bidi="ar-SY"/>
        </w:rPr>
        <w:t xml:space="preserve"> </w:t>
      </w:r>
      <w:r w:rsidR="00F32B28" w:rsidRPr="00F32B28">
        <w:rPr>
          <w:rtl/>
          <w:lang w:bidi="ar-SY"/>
        </w:rPr>
        <w:t>سارية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وتجحف</w:t>
      </w:r>
      <w:r w:rsidR="00F32B28">
        <w:rPr>
          <w:rtl/>
          <w:lang w:bidi="ar-SY"/>
        </w:rPr>
        <w:t xml:space="preserve"> </w:t>
      </w:r>
      <w:r w:rsidR="00F32B28" w:rsidRPr="00F32B28">
        <w:rPr>
          <w:rtl/>
          <w:lang w:bidi="ar-SY"/>
        </w:rPr>
        <w:t>ببعض</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تلك</w:t>
      </w:r>
      <w:r w:rsidR="00F32B28">
        <w:rPr>
          <w:rtl/>
          <w:lang w:bidi="ar-SY"/>
        </w:rPr>
        <w:t xml:space="preserve"> </w:t>
      </w:r>
      <w:r w:rsidR="00F32B28" w:rsidRPr="00F32B28">
        <w:rPr>
          <w:rtl/>
          <w:lang w:bidi="ar-SY"/>
        </w:rPr>
        <w:t>المتصلة</w:t>
      </w:r>
      <w:r w:rsidR="00F32B28">
        <w:rPr>
          <w:rtl/>
          <w:lang w:bidi="ar-SY"/>
        </w:rPr>
        <w:t xml:space="preserve"> </w:t>
      </w:r>
      <w:r w:rsidR="00F32B28" w:rsidRPr="00F32B28">
        <w:rPr>
          <w:rtl/>
          <w:lang w:bidi="ar-SY"/>
        </w:rPr>
        <w:t>بالأحكام</w:t>
      </w:r>
      <w:r w:rsidR="00F32B28">
        <w:rPr>
          <w:rtl/>
          <w:lang w:bidi="ar-SY"/>
        </w:rPr>
        <w:t xml:space="preserve"> </w:t>
      </w:r>
      <w:r w:rsidR="00F32B28" w:rsidRPr="00F32B28">
        <w:rPr>
          <w:rtl/>
          <w:lang w:bidi="ar-SY"/>
        </w:rPr>
        <w:t>الجزائية</w:t>
      </w:r>
      <w:r w:rsidR="00F32B28">
        <w:rPr>
          <w:rtl/>
          <w:lang w:bidi="ar-SY"/>
        </w:rPr>
        <w:t xml:space="preserve"> </w:t>
      </w:r>
      <w:r w:rsidR="00F32B28" w:rsidRPr="00F32B28">
        <w:rPr>
          <w:rtl/>
          <w:lang w:bidi="ar-SY"/>
        </w:rPr>
        <w:t>والأحوال</w:t>
      </w:r>
      <w:r w:rsidR="00F32B28">
        <w:rPr>
          <w:rtl/>
          <w:lang w:bidi="ar-SY"/>
        </w:rPr>
        <w:t xml:space="preserve"> </w:t>
      </w:r>
      <w:r w:rsidR="00F32B28" w:rsidRPr="00F32B28">
        <w:rPr>
          <w:rtl/>
          <w:lang w:bidi="ar-SY"/>
        </w:rPr>
        <w:t>الشخصية.</w:t>
      </w:r>
      <w:r w:rsidR="00F32B28">
        <w:rPr>
          <w:rtl/>
          <w:lang w:bidi="ar-SY"/>
        </w:rPr>
        <w:t xml:space="preserve"> </w:t>
      </w:r>
    </w:p>
    <w:p w:rsidR="00F32B28" w:rsidRPr="00F32B28" w:rsidRDefault="00DF6B4E" w:rsidP="00DF6B4E">
      <w:pPr>
        <w:pStyle w:val="SingleTxt"/>
        <w:rPr>
          <w:rtl/>
          <w:lang w:bidi="ar-SY"/>
        </w:rPr>
      </w:pPr>
      <w:r>
        <w:rPr>
          <w:rFonts w:hint="cs"/>
          <w:rtl/>
          <w:lang w:bidi="ar-SY"/>
        </w:rPr>
        <w:t>50 -</w:t>
      </w:r>
      <w:r>
        <w:rPr>
          <w:rFonts w:hint="cs"/>
          <w:rtl/>
          <w:lang w:bidi="ar-SY"/>
        </w:rPr>
        <w:tab/>
      </w:r>
      <w:r w:rsidR="00F32B28" w:rsidRPr="00F32B28">
        <w:rPr>
          <w:rtl/>
          <w:lang w:bidi="ar-SY"/>
        </w:rPr>
        <w:t>كما</w:t>
      </w:r>
      <w:r w:rsidR="00F32B28">
        <w:rPr>
          <w:rtl/>
          <w:lang w:bidi="ar-SY"/>
        </w:rPr>
        <w:t xml:space="preserve"> </w:t>
      </w:r>
      <w:r w:rsidR="00F32B28" w:rsidRPr="00F32B28">
        <w:rPr>
          <w:rtl/>
          <w:lang w:bidi="ar-SY"/>
        </w:rPr>
        <w:t>وتدفع</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ثمن</w:t>
      </w:r>
      <w:r w:rsidR="00F32B28">
        <w:rPr>
          <w:rtl/>
          <w:lang w:bidi="ar-SY"/>
        </w:rPr>
        <w:t xml:space="preserve"> </w:t>
      </w:r>
      <w:r w:rsidR="00F32B28" w:rsidRPr="00F32B28">
        <w:rPr>
          <w:rtl/>
          <w:lang w:bidi="ar-SY"/>
        </w:rPr>
        <w:t>الانقسام</w:t>
      </w:r>
      <w:r w:rsidR="00F32B28">
        <w:rPr>
          <w:rtl/>
          <w:lang w:bidi="ar-SY"/>
        </w:rPr>
        <w:t xml:space="preserve"> </w:t>
      </w:r>
      <w:r w:rsidR="00F32B28" w:rsidRPr="00F32B28">
        <w:rPr>
          <w:rtl/>
          <w:lang w:bidi="ar-SY"/>
        </w:rPr>
        <w:t>السياسي</w:t>
      </w:r>
      <w:r w:rsidR="00F32B28" w:rsidRPr="00F32B28">
        <w:rPr>
          <w:rFonts w:hint="cs"/>
          <w:rtl/>
          <w:lang w:bidi="ar-SY"/>
        </w:rPr>
        <w:t>،</w:t>
      </w:r>
      <w:r w:rsidR="00F32B28">
        <w:rPr>
          <w:rFonts w:hint="cs"/>
          <w:rtl/>
          <w:lang w:bidi="ar-SY"/>
        </w:rPr>
        <w:t xml:space="preserve"> </w:t>
      </w:r>
      <w:r w:rsidR="00F32B28" w:rsidRPr="00F32B28">
        <w:rPr>
          <w:rFonts w:hint="cs"/>
          <w:rtl/>
          <w:lang w:bidi="ar-SY"/>
        </w:rPr>
        <w:t>و</w:t>
      </w:r>
      <w:r w:rsidR="00F32B28" w:rsidRPr="00F32B28">
        <w:rPr>
          <w:rtl/>
          <w:lang w:bidi="ar-SY"/>
        </w:rPr>
        <w:t>استمرار</w:t>
      </w:r>
      <w:r w:rsidR="00F32B28">
        <w:rPr>
          <w:rtl/>
          <w:lang w:bidi="ar-SY"/>
        </w:rPr>
        <w:t xml:space="preserve"> </w:t>
      </w:r>
      <w:r w:rsidR="00F32B28" w:rsidRPr="00F32B28">
        <w:rPr>
          <w:rFonts w:hint="cs"/>
          <w:rtl/>
          <w:lang w:bidi="ar-SY"/>
        </w:rPr>
        <w:t>حركة</w:t>
      </w:r>
      <w:r w:rsidR="00F32B28">
        <w:rPr>
          <w:rFonts w:hint="cs"/>
          <w:rtl/>
          <w:lang w:bidi="ar-SY"/>
        </w:rPr>
        <w:t xml:space="preserve"> </w:t>
      </w:r>
      <w:r w:rsidR="001D253C">
        <w:rPr>
          <w:rFonts w:hint="eastAsia"/>
          <w:rtl/>
          <w:lang w:bidi="ar-SY"/>
        </w:rPr>
        <w:t>”</w:t>
      </w:r>
      <w:r w:rsidR="00F32B28" w:rsidRPr="00F32B28">
        <w:rPr>
          <w:rtl/>
          <w:lang w:bidi="ar-SY"/>
        </w:rPr>
        <w:t>حماس</w:t>
      </w:r>
      <w:r w:rsidR="001D253C">
        <w:rPr>
          <w:rFonts w:hint="cs"/>
          <w:rtl/>
        </w:rPr>
        <w:t>“</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إصدار</w:t>
      </w:r>
      <w:r w:rsidR="00F32B28">
        <w:rPr>
          <w:rtl/>
          <w:lang w:bidi="ar-SY"/>
        </w:rPr>
        <w:t xml:space="preserve"> </w:t>
      </w:r>
      <w:r w:rsidR="00F32B28" w:rsidRPr="00F32B28">
        <w:rPr>
          <w:rtl/>
          <w:lang w:bidi="ar-SY"/>
        </w:rPr>
        <w:t>سلسلة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شرعية</w:t>
      </w:r>
      <w:r w:rsidR="00F32B28">
        <w:rPr>
          <w:rtl/>
          <w:lang w:bidi="ar-SY"/>
        </w:rPr>
        <w:t xml:space="preserve"> </w:t>
      </w:r>
      <w:r w:rsidR="00F32B28" w:rsidRPr="00F32B28">
        <w:rPr>
          <w:rtl/>
          <w:lang w:bidi="ar-SY"/>
        </w:rPr>
        <w:t>و</w:t>
      </w:r>
      <w:r w:rsidR="00F32B28" w:rsidRPr="00F32B28">
        <w:rPr>
          <w:rFonts w:hint="cs"/>
          <w:rtl/>
          <w:lang w:bidi="ar-SY"/>
        </w:rPr>
        <w:t>التي</w:t>
      </w:r>
      <w:r w:rsidR="00F32B28">
        <w:rPr>
          <w:rFonts w:hint="cs"/>
          <w:rtl/>
          <w:lang w:bidi="ar-SY"/>
        </w:rPr>
        <w:t xml:space="preserve"> </w:t>
      </w:r>
      <w:r w:rsidR="00F32B28" w:rsidRPr="00F32B28">
        <w:rPr>
          <w:rFonts w:hint="cs"/>
          <w:rtl/>
          <w:lang w:bidi="ar-SY"/>
        </w:rPr>
        <w:t>لا</w:t>
      </w:r>
      <w:r w:rsidR="00F32B28">
        <w:rPr>
          <w:rFonts w:hint="cs"/>
          <w:rtl/>
          <w:lang w:bidi="ar-SY"/>
        </w:rPr>
        <w:t xml:space="preserve"> </w:t>
      </w:r>
      <w:r w:rsidR="00F32B28" w:rsidRPr="00F32B28">
        <w:rPr>
          <w:rFonts w:hint="cs"/>
          <w:rtl/>
          <w:lang w:bidi="ar-SY"/>
        </w:rPr>
        <w:t>تتسق</w:t>
      </w:r>
      <w:r w:rsidR="00F32B28">
        <w:rPr>
          <w:rFonts w:hint="cs"/>
          <w:rtl/>
          <w:lang w:bidi="ar-SY"/>
        </w:rPr>
        <w:t xml:space="preserve"> </w:t>
      </w:r>
      <w:r w:rsidR="00F32B28" w:rsidRPr="00F32B28">
        <w:rPr>
          <w:rFonts w:hint="cs"/>
          <w:rtl/>
          <w:lang w:bidi="ar-SY"/>
        </w:rPr>
        <w:t>مع</w:t>
      </w:r>
      <w:r w:rsidR="00F32B28">
        <w:rPr>
          <w:rFonts w:hint="cs"/>
          <w:rtl/>
          <w:lang w:bidi="ar-SY"/>
        </w:rPr>
        <w:t xml:space="preserve"> </w:t>
      </w:r>
      <w:r w:rsidR="00F32B28" w:rsidRPr="00F32B28">
        <w:rPr>
          <w:rFonts w:hint="cs"/>
          <w:rtl/>
          <w:lang w:bidi="ar-SY"/>
        </w:rPr>
        <w:t>الالتزامات</w:t>
      </w:r>
      <w:r w:rsidR="00F32B28">
        <w:rPr>
          <w:rFonts w:hint="cs"/>
          <w:rtl/>
          <w:lang w:bidi="ar-SY"/>
        </w:rPr>
        <w:t xml:space="preserve"> </w:t>
      </w:r>
      <w:r w:rsidR="00F32B28" w:rsidRPr="00F32B28">
        <w:rPr>
          <w:rFonts w:hint="cs"/>
          <w:rtl/>
          <w:lang w:bidi="ar-SY"/>
        </w:rPr>
        <w:t>الواردة</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الاتفاقية</w:t>
      </w:r>
      <w:r w:rsidR="00F32B28">
        <w:rPr>
          <w:rFonts w:hint="cs"/>
          <w:rtl/>
          <w:lang w:bidi="ar-SY"/>
        </w:rPr>
        <w:t xml:space="preserve"> </w:t>
      </w:r>
      <w:r w:rsidR="00F32B28" w:rsidRPr="00F32B28">
        <w:rPr>
          <w:rFonts w:hint="cs"/>
          <w:rtl/>
          <w:lang w:bidi="ar-SY"/>
        </w:rPr>
        <w:t>و</w:t>
      </w:r>
      <w:r w:rsidR="00F32B28" w:rsidRPr="00F32B28">
        <w:rPr>
          <w:rtl/>
          <w:lang w:bidi="ar-SY"/>
        </w:rPr>
        <w:t>تطبيقها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قطاع</w:t>
      </w:r>
      <w:r w:rsidR="00D06D08">
        <w:rPr>
          <w:rFonts w:hint="cs"/>
          <w:rtl/>
          <w:lang w:bidi="ar-SY"/>
        </w:rPr>
        <w:t> </w:t>
      </w:r>
      <w:r w:rsidR="00F32B28" w:rsidRPr="00F32B28">
        <w:rPr>
          <w:rtl/>
          <w:lang w:bidi="ar-SY"/>
        </w:rPr>
        <w:t>غزة.</w:t>
      </w:r>
    </w:p>
    <w:p w:rsidR="00F32B28" w:rsidRPr="00F32B28" w:rsidRDefault="00DF6B4E" w:rsidP="00DF6B4E">
      <w:pPr>
        <w:pStyle w:val="SingleTxt"/>
        <w:rPr>
          <w:rtl/>
          <w:lang w:bidi="ar-SY"/>
        </w:rPr>
      </w:pPr>
      <w:r>
        <w:rPr>
          <w:rFonts w:hint="cs"/>
          <w:rtl/>
          <w:lang w:bidi="ar-SY"/>
        </w:rPr>
        <w:t>51 -</w:t>
      </w:r>
      <w:r>
        <w:rPr>
          <w:rFonts w:hint="cs"/>
          <w:rtl/>
          <w:lang w:bidi="ar-SY"/>
        </w:rPr>
        <w:tab/>
      </w:r>
      <w:r w:rsidR="00F32B28" w:rsidRPr="00F32B28">
        <w:rPr>
          <w:rtl/>
          <w:lang w:bidi="ar-SY"/>
        </w:rPr>
        <w:t>كما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ازدواجية</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الموروثة</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وقطاع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وعدم</w:t>
      </w:r>
      <w:r w:rsidR="00F32B28">
        <w:rPr>
          <w:rtl/>
          <w:lang w:bidi="ar-SY"/>
        </w:rPr>
        <w:t xml:space="preserve"> </w:t>
      </w:r>
      <w:r w:rsidR="00F32B28" w:rsidRPr="00F32B28">
        <w:rPr>
          <w:rtl/>
          <w:lang w:bidi="ar-SY"/>
        </w:rPr>
        <w:t>وحدتها</w:t>
      </w:r>
      <w:r w:rsidR="00F32B28">
        <w:rPr>
          <w:rtl/>
          <w:lang w:bidi="ar-SY"/>
        </w:rPr>
        <w:t xml:space="preserve"> </w:t>
      </w:r>
      <w:r w:rsidR="00F32B28" w:rsidRPr="00F32B28">
        <w:rPr>
          <w:rtl/>
          <w:lang w:bidi="ar-SY"/>
        </w:rPr>
        <w:t>وتضاربها</w:t>
      </w:r>
      <w:r w:rsidR="00F32B28">
        <w:rPr>
          <w:rtl/>
          <w:lang w:bidi="ar-SY"/>
        </w:rPr>
        <w:t xml:space="preserve"> </w:t>
      </w:r>
      <w:r w:rsidR="00F32B28" w:rsidRPr="00F32B28">
        <w:rPr>
          <w:rtl/>
          <w:lang w:bidi="ar-SY"/>
        </w:rPr>
        <w:t>تؤثر</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المكانة</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للنساء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واختلافها.</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خضوع</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المقدسيات</w:t>
      </w:r>
      <w:r w:rsidR="00F32B28">
        <w:rPr>
          <w:rtl/>
          <w:lang w:bidi="ar-SY"/>
        </w:rPr>
        <w:t xml:space="preserve"> </w:t>
      </w:r>
      <w:r w:rsidR="00F32B28" w:rsidRPr="00F32B28">
        <w:rPr>
          <w:rtl/>
          <w:lang w:bidi="ar-SY"/>
        </w:rPr>
        <w:t>لمنظومة</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العنصرية،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تحرمها،</w:t>
      </w:r>
      <w:r w:rsidR="00F32B28">
        <w:rPr>
          <w:rtl/>
          <w:lang w:bidi="ar-SY"/>
        </w:rPr>
        <w:t xml:space="preserve"> </w:t>
      </w:r>
      <w:r w:rsidR="00F32B28" w:rsidRPr="00F32B28">
        <w:rPr>
          <w:rtl/>
          <w:lang w:bidi="ar-SY"/>
        </w:rPr>
        <w:t>لكونها</w:t>
      </w:r>
      <w:r w:rsidR="00F32B28">
        <w:rPr>
          <w:rtl/>
          <w:lang w:bidi="ar-SY"/>
        </w:rPr>
        <w:t xml:space="preserve"> </w:t>
      </w:r>
      <w:r w:rsidR="00F32B28" w:rsidRPr="00F32B28">
        <w:rPr>
          <w:rtl/>
          <w:lang w:bidi="ar-SY"/>
        </w:rPr>
        <w:t>فقط</w:t>
      </w:r>
      <w:r w:rsidR="00F32B28">
        <w:rPr>
          <w:rtl/>
          <w:lang w:bidi="ar-SY"/>
        </w:rPr>
        <w:t xml:space="preserve"> </w:t>
      </w:r>
      <w:r w:rsidR="00F32B28" w:rsidRPr="00F32B28">
        <w:rPr>
          <w:rtl/>
          <w:lang w:bidi="ar-SY"/>
        </w:rPr>
        <w:t>فلسطينية،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الحقوق</w:t>
      </w:r>
      <w:r w:rsidR="00F32B28">
        <w:rPr>
          <w:rtl/>
          <w:lang w:bidi="ar-SY"/>
        </w:rPr>
        <w:t xml:space="preserve"> </w:t>
      </w:r>
      <w:r w:rsidR="00F32B28" w:rsidRPr="00F32B28">
        <w:rPr>
          <w:rtl/>
          <w:lang w:bidi="ar-SY"/>
        </w:rPr>
        <w:t>السياسية</w:t>
      </w:r>
      <w:r w:rsidR="00F32B28">
        <w:rPr>
          <w:rtl/>
          <w:lang w:bidi="ar-SY"/>
        </w:rPr>
        <w:t xml:space="preserve"> </w:t>
      </w:r>
      <w:r w:rsidR="00F32B28" w:rsidRPr="00F32B28">
        <w:rPr>
          <w:rtl/>
          <w:lang w:bidi="ar-SY"/>
        </w:rPr>
        <w:t>والمدنية</w:t>
      </w:r>
      <w:r w:rsidR="00F32B28">
        <w:rPr>
          <w:rtl/>
          <w:lang w:bidi="ar-SY"/>
        </w:rPr>
        <w:t xml:space="preserve"> </w:t>
      </w:r>
      <w:r w:rsidR="00F32B28" w:rsidRPr="00F32B28">
        <w:rPr>
          <w:rtl/>
          <w:lang w:bidi="ar-SY"/>
        </w:rPr>
        <w:t>والاقتصادية</w:t>
      </w:r>
      <w:r w:rsidR="00F32B28">
        <w:rPr>
          <w:rtl/>
          <w:lang w:bidi="ar-SY"/>
        </w:rPr>
        <w:t xml:space="preserve"> </w:t>
      </w:r>
      <w:r w:rsidR="00F32B28" w:rsidRPr="00F32B28">
        <w:rPr>
          <w:rtl/>
          <w:lang w:bidi="ar-SY"/>
        </w:rPr>
        <w:t>والاجتماعية</w:t>
      </w:r>
      <w:r w:rsidR="00F32B28">
        <w:rPr>
          <w:rtl/>
          <w:lang w:bidi="ar-SY"/>
        </w:rPr>
        <w:t xml:space="preserve"> </w:t>
      </w:r>
      <w:r w:rsidR="00F32B28" w:rsidRPr="00F32B28">
        <w:rPr>
          <w:rtl/>
          <w:lang w:bidi="ar-SY"/>
        </w:rPr>
        <w:t>والثقافية.</w:t>
      </w:r>
      <w:r w:rsidR="00F32B28">
        <w:rPr>
          <w:rtl/>
          <w:lang w:bidi="ar-SY"/>
        </w:rPr>
        <w:t xml:space="preserve"> </w:t>
      </w:r>
    </w:p>
    <w:p w:rsidR="00F32B28" w:rsidRPr="00F32B28" w:rsidRDefault="00DF6B4E" w:rsidP="00DF6B4E">
      <w:pPr>
        <w:pStyle w:val="SingleTxt"/>
        <w:rPr>
          <w:rtl/>
          <w:lang w:bidi="ar-SY"/>
        </w:rPr>
      </w:pPr>
      <w:r>
        <w:rPr>
          <w:rFonts w:hint="cs"/>
          <w:rtl/>
          <w:lang w:bidi="ar-SY"/>
        </w:rPr>
        <w:t>52 -</w:t>
      </w:r>
      <w:r>
        <w:rPr>
          <w:rFonts w:hint="cs"/>
          <w:rtl/>
          <w:lang w:bidi="ar-SY"/>
        </w:rPr>
        <w:tab/>
      </w:r>
      <w:r w:rsidR="00F32B28" w:rsidRPr="00F32B28">
        <w:rPr>
          <w:rtl/>
          <w:lang w:bidi="ar-SY"/>
        </w:rPr>
        <w:t>كل</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يترافق</w:t>
      </w:r>
      <w:r w:rsidR="00F32B28">
        <w:rPr>
          <w:rtl/>
          <w:lang w:bidi="ar-SY"/>
        </w:rPr>
        <w:t xml:space="preserve"> </w:t>
      </w:r>
      <w:r w:rsidR="00F32B28" w:rsidRPr="00F32B28">
        <w:rPr>
          <w:rtl/>
          <w:lang w:bidi="ar-SY"/>
        </w:rPr>
        <w:t>وعدم</w:t>
      </w:r>
      <w:r w:rsidR="00F32B28">
        <w:rPr>
          <w:rtl/>
          <w:lang w:bidi="ar-SY"/>
        </w:rPr>
        <w:t xml:space="preserve"> </w:t>
      </w:r>
      <w:r w:rsidR="00F32B28" w:rsidRPr="00F32B28">
        <w:rPr>
          <w:rtl/>
          <w:lang w:bidi="ar-SY"/>
        </w:rPr>
        <w:t>تحديد</w:t>
      </w:r>
      <w:r w:rsidR="00F32B28">
        <w:rPr>
          <w:rtl/>
          <w:lang w:bidi="ar-SY"/>
        </w:rPr>
        <w:t xml:space="preserve"> </w:t>
      </w:r>
      <w:r w:rsidR="00F32B28" w:rsidRPr="00F32B28">
        <w:rPr>
          <w:rtl/>
          <w:lang w:bidi="ar-SY"/>
        </w:rPr>
        <w:t>المكانة</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للاتفاقيات</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انضمت</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إليها</w:t>
      </w:r>
      <w:r w:rsidR="00F32B28">
        <w:rPr>
          <w:rtl/>
          <w:lang w:bidi="ar-SY"/>
        </w:rPr>
        <w:t xml:space="preserve"> </w:t>
      </w:r>
      <w:r w:rsidR="00F32B28" w:rsidRPr="00F32B28">
        <w:rPr>
          <w:rtl/>
          <w:lang w:bidi="ar-SY"/>
        </w:rPr>
        <w:t>مؤخراً،</w:t>
      </w:r>
      <w:r w:rsidR="00F32B28">
        <w:rPr>
          <w:rtl/>
          <w:lang w:bidi="ar-SY"/>
        </w:rPr>
        <w:t xml:space="preserve"> </w:t>
      </w:r>
      <w:r w:rsidR="00F32B28" w:rsidRPr="00F32B28">
        <w:rPr>
          <w:rtl/>
          <w:lang w:bidi="ar-SY"/>
        </w:rPr>
        <w:t>منها</w:t>
      </w:r>
      <w:r w:rsidR="00F32B28">
        <w:rPr>
          <w:rtl/>
          <w:lang w:bidi="ar-SY"/>
        </w:rPr>
        <w:t xml:space="preserve"> </w:t>
      </w:r>
      <w:r w:rsidR="00F32B28" w:rsidRPr="00F32B28">
        <w:rPr>
          <w:rtl/>
          <w:lang w:bidi="ar-SY"/>
        </w:rPr>
        <w:t>اتفاقية</w:t>
      </w:r>
      <w:r w:rsidR="00F32B28">
        <w:rPr>
          <w:rtl/>
          <w:lang w:bidi="ar-SY"/>
        </w:rPr>
        <w:t xml:space="preserve"> </w:t>
      </w:r>
      <w:r w:rsidR="00F32B28" w:rsidRPr="00F32B28">
        <w:rPr>
          <w:rtl/>
          <w:lang w:bidi="ar-SY"/>
        </w:rPr>
        <w:t>(سيداو)،</w:t>
      </w:r>
      <w:r w:rsidR="00F32B28">
        <w:rPr>
          <w:rtl/>
          <w:lang w:bidi="ar-SY"/>
        </w:rPr>
        <w:t xml:space="preserve"> </w:t>
      </w:r>
      <w:r w:rsidR="00F32B28" w:rsidRPr="00F32B28">
        <w:rPr>
          <w:rtl/>
          <w:lang w:bidi="ar-SY"/>
        </w:rPr>
        <w:t>وغياب</w:t>
      </w:r>
      <w:r w:rsidR="00F32B28">
        <w:rPr>
          <w:rtl/>
          <w:lang w:bidi="ar-SY"/>
        </w:rPr>
        <w:t xml:space="preserve"> </w:t>
      </w:r>
      <w:r w:rsidR="00F32B28" w:rsidRPr="00F32B28">
        <w:rPr>
          <w:rtl/>
          <w:lang w:bidi="ar-SY"/>
        </w:rPr>
        <w:t>المبادئ</w:t>
      </w:r>
      <w:r w:rsidR="00F32B28">
        <w:rPr>
          <w:rtl/>
          <w:lang w:bidi="ar-SY"/>
        </w:rPr>
        <w:t xml:space="preserve"> </w:t>
      </w:r>
      <w:r w:rsidR="00F32B28" w:rsidRPr="00F32B28">
        <w:rPr>
          <w:rtl/>
          <w:lang w:bidi="ar-SY"/>
        </w:rPr>
        <w:t>الدستورية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تبين</w:t>
      </w:r>
      <w:r w:rsidR="00F32B28">
        <w:rPr>
          <w:rtl/>
          <w:lang w:bidi="ar-SY"/>
        </w:rPr>
        <w:t xml:space="preserve"> </w:t>
      </w:r>
      <w:r w:rsidR="00F32B28" w:rsidRPr="00F32B28">
        <w:rPr>
          <w:rtl/>
          <w:lang w:bidi="ar-SY"/>
        </w:rPr>
        <w:t>هرمية</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وتنظم</w:t>
      </w:r>
      <w:r w:rsidR="00F32B28">
        <w:rPr>
          <w:rtl/>
          <w:lang w:bidi="ar-SY"/>
        </w:rPr>
        <w:t xml:space="preserve"> </w:t>
      </w:r>
      <w:r w:rsidR="00F32B28" w:rsidRPr="00F32B28">
        <w:rPr>
          <w:rtl/>
          <w:lang w:bidi="ar-SY"/>
        </w:rPr>
        <w:t>عملية</w:t>
      </w:r>
      <w:r w:rsidR="00F32B28">
        <w:rPr>
          <w:rtl/>
          <w:lang w:bidi="ar-SY"/>
        </w:rPr>
        <w:t xml:space="preserve"> </w:t>
      </w:r>
      <w:r w:rsidR="00F32B28" w:rsidRPr="00F32B28">
        <w:rPr>
          <w:rtl/>
          <w:lang w:bidi="ar-SY"/>
        </w:rPr>
        <w:t>إدماج</w:t>
      </w:r>
      <w:r w:rsidR="00F32B28">
        <w:rPr>
          <w:rtl/>
          <w:lang w:bidi="ar-SY"/>
        </w:rPr>
        <w:t xml:space="preserve"> </w:t>
      </w:r>
      <w:r w:rsidR="00F32B28" w:rsidRPr="00F32B28">
        <w:rPr>
          <w:rtl/>
          <w:lang w:bidi="ar-SY"/>
        </w:rPr>
        <w:t>الاتفاقيات</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النظام</w:t>
      </w:r>
      <w:r w:rsidR="00F32B28">
        <w:rPr>
          <w:rtl/>
          <w:lang w:bidi="ar-SY"/>
        </w:rPr>
        <w:t xml:space="preserve"> </w:t>
      </w:r>
      <w:r w:rsidR="00F32B28" w:rsidRPr="00F32B28">
        <w:rPr>
          <w:rtl/>
          <w:lang w:bidi="ar-SY"/>
        </w:rPr>
        <w:t>التشريعي</w:t>
      </w:r>
      <w:r w:rsidR="00F32B28">
        <w:rPr>
          <w:rtl/>
          <w:lang w:bidi="ar-SY"/>
        </w:rPr>
        <w:t xml:space="preserve"> </w:t>
      </w:r>
      <w:r w:rsidR="00F32B28" w:rsidRPr="00F32B28">
        <w:rPr>
          <w:rtl/>
          <w:lang w:bidi="ar-SY"/>
        </w:rPr>
        <w:t>الوطني.</w:t>
      </w:r>
      <w:r w:rsidR="00F32B28">
        <w:rPr>
          <w:rtl/>
          <w:lang w:bidi="ar-SY"/>
        </w:rPr>
        <w:t xml:space="preserve"> </w:t>
      </w:r>
    </w:p>
    <w:p w:rsidR="00DF6B4E" w:rsidRPr="00DF6B4E" w:rsidRDefault="00DF6B4E" w:rsidP="00DF6B4E">
      <w:pPr>
        <w:pStyle w:val="SingleTxt"/>
        <w:spacing w:after="0" w:line="120" w:lineRule="exact"/>
        <w:rPr>
          <w:b/>
          <w:bCs/>
          <w:sz w:val="10"/>
          <w:rtl/>
          <w:lang w:bidi="ar-SY"/>
        </w:rPr>
      </w:pPr>
    </w:p>
    <w:p w:rsidR="00F32B28" w:rsidRPr="00F32B28" w:rsidRDefault="00DF6B4E" w:rsidP="00DF6B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SY"/>
        </w:rPr>
      </w:pPr>
      <w:r>
        <w:rPr>
          <w:rFonts w:hint="cs"/>
          <w:rtl/>
          <w:lang w:bidi="ar-SY"/>
        </w:rPr>
        <w:tab/>
      </w:r>
      <w:r>
        <w:rPr>
          <w:rFonts w:hint="cs"/>
          <w:rtl/>
          <w:lang w:bidi="ar-SY"/>
        </w:rPr>
        <w:tab/>
      </w:r>
      <w:r w:rsidR="00F32B28" w:rsidRPr="00F32B28">
        <w:rPr>
          <w:rtl/>
          <w:lang w:bidi="ar-SY"/>
        </w:rPr>
        <w:t>تقدم</w:t>
      </w:r>
      <w:r w:rsidR="00F32B28">
        <w:rPr>
          <w:rtl/>
          <w:lang w:bidi="ar-SY"/>
        </w:rPr>
        <w:t xml:space="preserve"> </w:t>
      </w:r>
      <w:r w:rsidR="00F32B28" w:rsidRPr="00F32B28">
        <w:rPr>
          <w:rtl/>
          <w:lang w:bidi="ar-SY"/>
        </w:rPr>
        <w:t>محرز</w:t>
      </w:r>
    </w:p>
    <w:p w:rsidR="00F32B28" w:rsidRPr="00F32B28" w:rsidRDefault="00DF6B4E" w:rsidP="00DF6B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F32B28" w:rsidRPr="00F32B28">
        <w:rPr>
          <w:rtl/>
        </w:rPr>
        <w:t>التعديلات</w:t>
      </w:r>
      <w:r w:rsidR="00F32B28">
        <w:rPr>
          <w:rtl/>
        </w:rPr>
        <w:t xml:space="preserve"> </w:t>
      </w:r>
      <w:r w:rsidR="00F32B28" w:rsidRPr="00F32B28">
        <w:rPr>
          <w:rtl/>
        </w:rPr>
        <w:t>التشريعية</w:t>
      </w:r>
    </w:p>
    <w:p w:rsidR="00F32B28" w:rsidRPr="00F32B28" w:rsidRDefault="00DF6B4E" w:rsidP="00DF6B4E">
      <w:pPr>
        <w:pStyle w:val="SingleTxt"/>
      </w:pPr>
      <w:r>
        <w:rPr>
          <w:rFonts w:hint="cs"/>
          <w:rtl/>
        </w:rPr>
        <w:t>53 -</w:t>
      </w:r>
      <w:r>
        <w:rPr>
          <w:rFonts w:hint="cs"/>
          <w:rtl/>
        </w:rPr>
        <w:tab/>
      </w:r>
      <w:r w:rsidR="00F32B28" w:rsidRPr="00F32B28">
        <w:rPr>
          <w:rtl/>
        </w:rPr>
        <w:t>و</w:t>
      </w:r>
      <w:r w:rsidR="00F32B28" w:rsidRPr="00F32B28">
        <w:rPr>
          <w:rtl/>
          <w:lang w:bidi="ar-SY"/>
        </w:rPr>
        <w:t>لما</w:t>
      </w:r>
      <w:r w:rsidR="00F32B28">
        <w:rPr>
          <w:rtl/>
          <w:lang w:bidi="ar-SY"/>
        </w:rPr>
        <w:t xml:space="preserve"> </w:t>
      </w:r>
      <w:r w:rsidR="00F32B28" w:rsidRPr="00F32B28">
        <w:rPr>
          <w:rtl/>
          <w:lang w:bidi="ar-SY"/>
        </w:rPr>
        <w:t>كانت</w:t>
      </w:r>
      <w:r w:rsidR="00F32B28">
        <w:rPr>
          <w:rtl/>
          <w:lang w:bidi="ar-SY"/>
        </w:rPr>
        <w:t xml:space="preserve"> </w:t>
      </w:r>
      <w:r w:rsidR="00F32B28" w:rsidRPr="00F32B28">
        <w:rPr>
          <w:rtl/>
          <w:lang w:bidi="ar-SY"/>
        </w:rPr>
        <w:t>الفترة</w:t>
      </w:r>
      <w:r w:rsidR="00F32B28">
        <w:rPr>
          <w:rtl/>
          <w:lang w:bidi="ar-SY"/>
        </w:rPr>
        <w:t xml:space="preserve"> </w:t>
      </w:r>
      <w:r w:rsidR="00F32B28" w:rsidRPr="00F32B28">
        <w:rPr>
          <w:rtl/>
          <w:lang w:bidi="ar-SY"/>
        </w:rPr>
        <w:t>الفاصلة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انضمام</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للاتفاقية</w:t>
      </w:r>
      <w:r w:rsidR="00F32B28">
        <w:rPr>
          <w:rtl/>
          <w:lang w:bidi="ar-SY"/>
        </w:rPr>
        <w:t xml:space="preserve"> </w:t>
      </w:r>
      <w:r w:rsidR="00F32B28" w:rsidRPr="00F32B28">
        <w:rPr>
          <w:rtl/>
          <w:lang w:bidi="ar-SY"/>
        </w:rPr>
        <w:t>والتقرير</w:t>
      </w:r>
      <w:r w:rsidR="00F32B28">
        <w:rPr>
          <w:rtl/>
          <w:lang w:bidi="ar-SY"/>
        </w:rPr>
        <w:t xml:space="preserve"> </w:t>
      </w:r>
      <w:r w:rsidR="00F32B28" w:rsidRPr="00F32B28">
        <w:rPr>
          <w:rtl/>
          <w:lang w:bidi="ar-SY"/>
        </w:rPr>
        <w:t>الأولي</w:t>
      </w:r>
      <w:r w:rsidR="00F32B28">
        <w:rPr>
          <w:rtl/>
          <w:lang w:bidi="ar-SY"/>
        </w:rPr>
        <w:t xml:space="preserve"> </w:t>
      </w:r>
      <w:r w:rsidR="00F32B28" w:rsidRPr="00F32B28">
        <w:rPr>
          <w:rtl/>
          <w:lang w:bidi="ar-SY"/>
        </w:rPr>
        <w:t>قصيرة</w:t>
      </w:r>
      <w:r w:rsidR="00F32B28">
        <w:rPr>
          <w:rtl/>
          <w:lang w:bidi="ar-SY"/>
        </w:rPr>
        <w:t xml:space="preserve"> </w:t>
      </w:r>
      <w:r w:rsidR="00F32B28" w:rsidRPr="00F32B28">
        <w:rPr>
          <w:rtl/>
          <w:lang w:bidi="ar-SY"/>
        </w:rPr>
        <w:t>نسبياً،</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تطرأ</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التعديلات</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أهمها،</w:t>
      </w:r>
      <w:r w:rsidR="00596246">
        <w:rPr>
          <w:rFonts w:hint="cs"/>
          <w:rtl/>
          <w:lang w:bidi="ar-SY"/>
        </w:rPr>
        <w:t xml:space="preserve"> </w:t>
      </w:r>
      <w:r w:rsidR="00F32B28" w:rsidRPr="00F32B28">
        <w:rPr>
          <w:rtl/>
          <w:lang w:bidi="ar-SY"/>
        </w:rPr>
        <w:t>القرار</w:t>
      </w:r>
      <w:r w:rsidR="00F32B28">
        <w:rPr>
          <w:rtl/>
          <w:lang w:bidi="ar-SY"/>
        </w:rPr>
        <w:t xml:space="preserve"> </w:t>
      </w:r>
      <w:r w:rsidR="00F32B28" w:rsidRPr="00F32B28">
        <w:rPr>
          <w:rtl/>
          <w:lang w:bidi="ar-SY"/>
        </w:rPr>
        <w:t>بقانون</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صدر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أيار</w:t>
      </w:r>
      <w:r w:rsidR="000B4ABE">
        <w:rPr>
          <w:rFonts w:hint="cs"/>
          <w:rtl/>
          <w:lang w:bidi="ar-SY"/>
        </w:rPr>
        <w:t>/مايو</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2014</w:t>
      </w:r>
      <w:r w:rsidR="00F32B28">
        <w:rPr>
          <w:rtl/>
          <w:lang w:bidi="ar-SY"/>
        </w:rPr>
        <w:t xml:space="preserve"> </w:t>
      </w:r>
      <w:r w:rsidR="00F32B28" w:rsidRPr="00F32B28">
        <w:rPr>
          <w:rtl/>
          <w:lang w:bidi="ar-SY"/>
        </w:rPr>
        <w:t>وألغى</w:t>
      </w:r>
      <w:r w:rsidR="00F32B28">
        <w:rPr>
          <w:rtl/>
          <w:lang w:bidi="ar-SY"/>
        </w:rPr>
        <w:t xml:space="preserve"> </w:t>
      </w:r>
      <w:r w:rsidR="00F32B28" w:rsidRPr="00F32B28">
        <w:rPr>
          <w:rtl/>
          <w:lang w:bidi="ar-SY"/>
        </w:rPr>
        <w:t>الأعذار</w:t>
      </w:r>
      <w:r w:rsidR="00F32B28">
        <w:rPr>
          <w:rtl/>
          <w:lang w:bidi="ar-SY"/>
        </w:rPr>
        <w:t xml:space="preserve"> </w:t>
      </w:r>
      <w:r w:rsidR="00F32B28" w:rsidRPr="00F32B28">
        <w:rPr>
          <w:rtl/>
          <w:lang w:bidi="ar-SY"/>
        </w:rPr>
        <w:t>المخففة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الجرائم</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ترتكب</w:t>
      </w:r>
      <w:r w:rsidR="00F32B28">
        <w:rPr>
          <w:rtl/>
          <w:lang w:bidi="ar-SY"/>
        </w:rPr>
        <w:t xml:space="preserve"> </w:t>
      </w:r>
      <w:r w:rsidR="00F32B28" w:rsidRPr="00F32B28">
        <w:rPr>
          <w:rtl/>
          <w:lang w:bidi="ar-SY"/>
        </w:rPr>
        <w:t>بسورة</w:t>
      </w:r>
      <w:r w:rsidR="00F32B28">
        <w:rPr>
          <w:rtl/>
          <w:lang w:bidi="ar-SY"/>
        </w:rPr>
        <w:t xml:space="preserve"> </w:t>
      </w:r>
      <w:r w:rsidR="00F32B28" w:rsidRPr="00F32B28">
        <w:rPr>
          <w:rtl/>
          <w:lang w:bidi="ar-SY"/>
        </w:rPr>
        <w:t>الغضب</w:t>
      </w:r>
      <w:r w:rsidR="00F32B28">
        <w:rPr>
          <w:rtl/>
          <w:lang w:bidi="ar-SY"/>
        </w:rPr>
        <w:t xml:space="preserve"> </w:t>
      </w:r>
      <w:r w:rsidR="00F32B28" w:rsidRPr="00F32B28">
        <w:rPr>
          <w:rtl/>
          <w:lang w:bidi="ar-SY"/>
        </w:rPr>
        <w:t>الشديد</w:t>
      </w:r>
      <w:r w:rsidR="00F32B28">
        <w:rPr>
          <w:rtl/>
          <w:lang w:bidi="ar-SY"/>
        </w:rPr>
        <w:t xml:space="preserve"> </w:t>
      </w:r>
      <w:r w:rsidR="00F32B28" w:rsidRPr="00F32B28">
        <w:rPr>
          <w:rtl/>
          <w:lang w:bidi="ar-SY"/>
        </w:rPr>
        <w:t>بحق</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بداعي</w:t>
      </w:r>
      <w:r w:rsidR="00F32B28">
        <w:rPr>
          <w:rtl/>
          <w:lang w:bidi="ar-SY"/>
        </w:rPr>
        <w:t xml:space="preserve"> </w:t>
      </w:r>
      <w:r w:rsidR="001D253C">
        <w:rPr>
          <w:rFonts w:hint="cs"/>
          <w:rtl/>
          <w:lang w:bidi="ar-SY"/>
        </w:rPr>
        <w:t>”</w:t>
      </w:r>
      <w:r w:rsidR="00F32B28" w:rsidRPr="00F32B28">
        <w:rPr>
          <w:rtl/>
          <w:lang w:bidi="ar-SY"/>
        </w:rPr>
        <w:t>الشرف</w:t>
      </w:r>
      <w:r w:rsidR="001D253C">
        <w:rPr>
          <w:rFonts w:hint="cs"/>
          <w:rtl/>
        </w:rPr>
        <w:t>“</w:t>
      </w:r>
      <w:r w:rsidR="00F32B28" w:rsidRPr="00F32B28">
        <w:rPr>
          <w:rtl/>
          <w:lang w:bidi="ar-SY"/>
        </w:rPr>
        <w:t>.</w:t>
      </w:r>
      <w:r w:rsidR="00F32B28">
        <w:rPr>
          <w:rtl/>
          <w:lang w:bidi="ar-SY"/>
        </w:rPr>
        <w:t xml:space="preserve"> </w:t>
      </w:r>
      <w:r w:rsidR="00F32B28" w:rsidRPr="00F32B28">
        <w:rPr>
          <w:rFonts w:hint="cs"/>
          <w:rtl/>
          <w:lang w:bidi="ar-SY"/>
        </w:rPr>
        <w:t>ويبين</w:t>
      </w:r>
      <w:r w:rsidR="00F32B28">
        <w:rPr>
          <w:rFonts w:hint="cs"/>
          <w:rtl/>
          <w:lang w:bidi="ar-SY"/>
        </w:rPr>
        <w:t xml:space="preserve"> </w:t>
      </w:r>
      <w:r w:rsidR="00F32B28" w:rsidRPr="00F32B28">
        <w:rPr>
          <w:rtl/>
          <w:lang w:bidi="ar-SY"/>
        </w:rPr>
        <w:t>التطور</w:t>
      </w:r>
      <w:r w:rsidR="00F32B28">
        <w:rPr>
          <w:rtl/>
          <w:lang w:bidi="ar-SY"/>
        </w:rPr>
        <w:t xml:space="preserve"> </w:t>
      </w:r>
      <w:r w:rsidR="00F32B28" w:rsidRPr="00F32B28">
        <w:rPr>
          <w:rtl/>
          <w:lang w:bidi="ar-SY"/>
        </w:rPr>
        <w:t>التشريعي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وعمليات</w:t>
      </w:r>
      <w:r w:rsidR="00F32B28">
        <w:rPr>
          <w:rtl/>
          <w:lang w:bidi="ar-SY"/>
        </w:rPr>
        <w:t xml:space="preserve"> </w:t>
      </w:r>
      <w:r w:rsidR="00F32B28" w:rsidRPr="00F32B28">
        <w:rPr>
          <w:rtl/>
          <w:lang w:bidi="ar-SY"/>
        </w:rPr>
        <w:t>إعداد</w:t>
      </w:r>
      <w:r w:rsidR="00F32B28">
        <w:rPr>
          <w:rtl/>
          <w:lang w:bidi="ar-SY"/>
        </w:rPr>
        <w:t xml:space="preserve"> </w:t>
      </w:r>
      <w:r w:rsidR="00F32B28" w:rsidRPr="00F32B28">
        <w:rPr>
          <w:rtl/>
          <w:lang w:bidi="ar-SY"/>
        </w:rPr>
        <w:t>مسودات</w:t>
      </w:r>
      <w:r w:rsidR="00F32B28">
        <w:rPr>
          <w:rtl/>
          <w:lang w:bidi="ar-SY"/>
        </w:rPr>
        <w:t xml:space="preserve"> </w:t>
      </w:r>
      <w:r w:rsidR="00F32B28" w:rsidRPr="00F32B28">
        <w:rPr>
          <w:rtl/>
          <w:lang w:bidi="ar-SY"/>
        </w:rPr>
        <w:t>ومشاريع</w:t>
      </w:r>
      <w:r w:rsidR="00F32B28">
        <w:rPr>
          <w:rtl/>
          <w:lang w:bidi="ar-SY"/>
        </w:rPr>
        <w:t xml:space="preserve"> </w:t>
      </w:r>
      <w:r w:rsidR="00F32B28" w:rsidRPr="00F32B28">
        <w:rPr>
          <w:rtl/>
          <w:lang w:bidi="ar-SY"/>
        </w:rPr>
        <w:t>قوانين</w:t>
      </w:r>
      <w:r w:rsidR="00F32B28">
        <w:rPr>
          <w:rtl/>
          <w:lang w:bidi="ar-SY"/>
        </w:rPr>
        <w:t xml:space="preserve"> </w:t>
      </w:r>
      <w:r w:rsidR="00F32B28" w:rsidRPr="00F32B28">
        <w:rPr>
          <w:rtl/>
          <w:lang w:bidi="ar-SY"/>
        </w:rPr>
        <w:t>توائم</w:t>
      </w:r>
      <w:r w:rsidR="00F32B28">
        <w:rPr>
          <w:rtl/>
          <w:lang w:bidi="ar-SY"/>
        </w:rPr>
        <w:t xml:space="preserve"> </w:t>
      </w:r>
      <w:r w:rsidR="00F32B28" w:rsidRPr="00F32B28">
        <w:rPr>
          <w:rtl/>
          <w:lang w:bidi="ar-SY"/>
        </w:rPr>
        <w:t>المعايير</w:t>
      </w:r>
      <w:r w:rsidR="00F32B28">
        <w:rPr>
          <w:rtl/>
          <w:lang w:bidi="ar-SY"/>
        </w:rPr>
        <w:t xml:space="preserve"> </w:t>
      </w:r>
      <w:r w:rsidR="00F32B28" w:rsidRPr="00F32B28">
        <w:rPr>
          <w:rtl/>
          <w:lang w:bidi="ar-SY"/>
        </w:rPr>
        <w:t>الشرعة</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لحقوق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المرأة</w:t>
      </w:r>
      <w:r w:rsidR="00596246">
        <w:rPr>
          <w:rFonts w:hint="cs"/>
          <w:rtl/>
          <w:lang w:bidi="ar-SY"/>
        </w:rPr>
        <w:t xml:space="preserve"> </w:t>
      </w:r>
      <w:r w:rsidR="00F32B28" w:rsidRPr="00F32B28">
        <w:rPr>
          <w:rtl/>
          <w:lang w:bidi="ar-SY"/>
        </w:rPr>
        <w:t>وجود</w:t>
      </w:r>
      <w:r w:rsidR="00F32B28">
        <w:rPr>
          <w:rtl/>
          <w:lang w:bidi="ar-SY"/>
        </w:rPr>
        <w:t xml:space="preserve"> </w:t>
      </w:r>
      <w:r w:rsidR="00F32B28" w:rsidRPr="00F32B28">
        <w:rPr>
          <w:rtl/>
          <w:lang w:bidi="ar-SY"/>
        </w:rPr>
        <w:t>إرادة</w:t>
      </w:r>
      <w:r w:rsidR="00F32B28">
        <w:rPr>
          <w:rtl/>
          <w:lang w:bidi="ar-SY"/>
        </w:rPr>
        <w:t xml:space="preserve"> </w:t>
      </w:r>
      <w:r w:rsidR="00F32B28" w:rsidRPr="00F32B28">
        <w:rPr>
          <w:rtl/>
          <w:lang w:bidi="ar-SY"/>
        </w:rPr>
        <w:t>وطنية</w:t>
      </w:r>
      <w:r w:rsidR="00F32B28">
        <w:rPr>
          <w:rtl/>
          <w:lang w:bidi="ar-SY"/>
        </w:rPr>
        <w:t xml:space="preserve"> </w:t>
      </w:r>
      <w:r w:rsidR="00F32B28" w:rsidRPr="00F32B28">
        <w:rPr>
          <w:rtl/>
          <w:lang w:bidi="ar-SY"/>
        </w:rPr>
        <w:t>واضحة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القضاء</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Fonts w:hint="cs"/>
          <w:rtl/>
          <w:lang w:bidi="ar-SY"/>
        </w:rPr>
        <w:t>و</w:t>
      </w:r>
      <w:r w:rsidR="00F32B28" w:rsidRPr="00F32B28">
        <w:rPr>
          <w:rtl/>
          <w:lang w:bidi="ar-SY"/>
        </w:rPr>
        <w:t>تحقيق</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والفعلية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Fonts w:hint="cs"/>
          <w:rtl/>
          <w:lang w:bidi="ar-SY"/>
        </w:rPr>
        <w:t>الجنسين.</w:t>
      </w:r>
    </w:p>
    <w:p w:rsidR="00F32B28" w:rsidRPr="00F32B28" w:rsidRDefault="00596246" w:rsidP="00596246">
      <w:pPr>
        <w:pStyle w:val="SingleTxt"/>
      </w:pPr>
      <w:r>
        <w:rPr>
          <w:rFonts w:hint="cs"/>
          <w:rtl/>
          <w:lang w:bidi="ar-JO"/>
        </w:rPr>
        <w:t>54 -</w:t>
      </w:r>
      <w:r>
        <w:rPr>
          <w:rFonts w:hint="cs"/>
          <w:rtl/>
          <w:lang w:bidi="ar-JO"/>
        </w:rPr>
        <w:tab/>
      </w:r>
      <w:r w:rsidR="00F32B28" w:rsidRPr="00F32B28">
        <w:rPr>
          <w:rtl/>
          <w:lang w:bidi="ar-JO"/>
        </w:rPr>
        <w:t>صدر</w:t>
      </w:r>
      <w:r w:rsidR="00F32B28">
        <w:rPr>
          <w:rtl/>
          <w:lang w:bidi="ar-JO"/>
        </w:rPr>
        <w:t xml:space="preserve"> </w:t>
      </w:r>
      <w:r w:rsidR="00F32B28" w:rsidRPr="00F32B28">
        <w:rPr>
          <w:rtl/>
          <w:lang w:bidi="ar-JO"/>
        </w:rPr>
        <w:t>القرار</w:t>
      </w:r>
      <w:r w:rsidR="00F32B28">
        <w:rPr>
          <w:rtl/>
          <w:lang w:bidi="ar-JO"/>
        </w:rPr>
        <w:t xml:space="preserve"> </w:t>
      </w:r>
      <w:r w:rsidR="00F32B28" w:rsidRPr="00F32B28">
        <w:rPr>
          <w:rtl/>
          <w:lang w:bidi="ar-JO"/>
        </w:rPr>
        <w:t>بقانون</w:t>
      </w:r>
      <w:r w:rsidR="00F32B28">
        <w:rPr>
          <w:rtl/>
          <w:lang w:bidi="ar-JO"/>
        </w:rPr>
        <w:t xml:space="preserve"> </w:t>
      </w:r>
      <w:r w:rsidR="00F32B28" w:rsidRPr="00F32B28">
        <w:rPr>
          <w:rtl/>
          <w:lang w:bidi="ar-JO"/>
        </w:rPr>
        <w:t>بشأن</w:t>
      </w:r>
      <w:r w:rsidR="00F32B28">
        <w:rPr>
          <w:rtl/>
          <w:lang w:bidi="ar-JO"/>
        </w:rPr>
        <w:t xml:space="preserve"> </w:t>
      </w:r>
      <w:r w:rsidR="00F32B28" w:rsidRPr="00F32B28">
        <w:rPr>
          <w:rtl/>
          <w:lang w:bidi="ar-JO"/>
        </w:rPr>
        <w:t>حماية</w:t>
      </w:r>
      <w:r w:rsidR="00F32B28">
        <w:rPr>
          <w:rtl/>
          <w:lang w:bidi="ar-JO"/>
        </w:rPr>
        <w:t xml:space="preserve"> </w:t>
      </w:r>
      <w:r w:rsidR="00F32B28" w:rsidRPr="00F32B28">
        <w:rPr>
          <w:rtl/>
          <w:lang w:bidi="ar-JO"/>
        </w:rPr>
        <w:t>الأحداث</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شباط</w:t>
      </w:r>
      <w:r w:rsidR="004B33D7">
        <w:rPr>
          <w:rFonts w:hint="cs"/>
          <w:rtl/>
          <w:lang w:bidi="ar-JO"/>
        </w:rPr>
        <w:t>/فبراير</w:t>
      </w:r>
      <w:r w:rsidR="00F32B28">
        <w:rPr>
          <w:rtl/>
          <w:lang w:bidi="ar-JO"/>
        </w:rPr>
        <w:t xml:space="preserve"> </w:t>
      </w:r>
      <w:r w:rsidR="00F32B28" w:rsidRPr="00F32B28">
        <w:rPr>
          <w:rtl/>
          <w:lang w:bidi="ar-JO"/>
        </w:rPr>
        <w:t>عام</w:t>
      </w:r>
      <w:r w:rsidR="00F32B28">
        <w:rPr>
          <w:rtl/>
          <w:lang w:bidi="ar-JO"/>
        </w:rPr>
        <w:t xml:space="preserve"> </w:t>
      </w:r>
      <w:r w:rsidR="00F32B28" w:rsidRPr="00F32B28">
        <w:rPr>
          <w:rtl/>
          <w:lang w:bidi="ar-JO"/>
        </w:rPr>
        <w:t>2016</w:t>
      </w:r>
      <w:r w:rsidR="00F32B28">
        <w:rPr>
          <w:rtl/>
          <w:lang w:bidi="ar-JO"/>
        </w:rPr>
        <w:t xml:space="preserve"> </w:t>
      </w:r>
      <w:r w:rsidR="00F32B28" w:rsidRPr="00F32B28">
        <w:rPr>
          <w:rtl/>
          <w:lang w:bidi="ar-JO"/>
        </w:rPr>
        <w:t>متضمناً</w:t>
      </w:r>
      <w:r w:rsidR="00F32B28">
        <w:rPr>
          <w:rtl/>
          <w:lang w:bidi="ar-JO"/>
        </w:rPr>
        <w:t xml:space="preserve"> </w:t>
      </w:r>
      <w:r w:rsidR="00F32B28" w:rsidRPr="00F32B28">
        <w:rPr>
          <w:rtl/>
          <w:lang w:bidi="ar-JO"/>
        </w:rPr>
        <w:t>مفهوماً</w:t>
      </w:r>
      <w:r w:rsidR="00F32B28">
        <w:rPr>
          <w:rtl/>
          <w:lang w:bidi="ar-JO"/>
        </w:rPr>
        <w:t xml:space="preserve"> </w:t>
      </w:r>
      <w:r w:rsidR="00F32B28" w:rsidRPr="00F32B28">
        <w:rPr>
          <w:rtl/>
          <w:lang w:bidi="ar-JO"/>
        </w:rPr>
        <w:t>جديداً</w:t>
      </w:r>
      <w:r w:rsidR="00F32B28">
        <w:rPr>
          <w:rtl/>
          <w:lang w:bidi="ar-JO"/>
        </w:rPr>
        <w:t xml:space="preserve"> </w:t>
      </w:r>
      <w:r w:rsidR="00F32B28" w:rsidRPr="00F32B28">
        <w:rPr>
          <w:rtl/>
          <w:lang w:bidi="ar-JO"/>
        </w:rPr>
        <w:t>حول</w:t>
      </w:r>
      <w:r w:rsidR="00F32B28">
        <w:rPr>
          <w:rtl/>
          <w:lang w:bidi="ar-JO"/>
        </w:rPr>
        <w:t xml:space="preserve"> </w:t>
      </w:r>
      <w:r w:rsidR="00F32B28" w:rsidRPr="00F32B28">
        <w:rPr>
          <w:rtl/>
          <w:lang w:bidi="ar-JO"/>
        </w:rPr>
        <w:t>العدالة</w:t>
      </w:r>
      <w:r w:rsidR="00F32B28">
        <w:rPr>
          <w:rtl/>
          <w:lang w:bidi="ar-JO"/>
        </w:rPr>
        <w:t xml:space="preserve"> </w:t>
      </w:r>
      <w:r w:rsidR="00F32B28" w:rsidRPr="00F32B28">
        <w:rPr>
          <w:rtl/>
          <w:lang w:bidi="ar-JO"/>
        </w:rPr>
        <w:t>الجنائية</w:t>
      </w:r>
      <w:r w:rsidR="00F32B28">
        <w:rPr>
          <w:rtl/>
          <w:lang w:bidi="ar-JO"/>
        </w:rPr>
        <w:t xml:space="preserve"> </w:t>
      </w:r>
      <w:r w:rsidR="00F32B28" w:rsidRPr="00F32B28">
        <w:rPr>
          <w:rtl/>
          <w:lang w:bidi="ar-JO"/>
        </w:rPr>
        <w:t>للأحداث</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فلسطين</w:t>
      </w:r>
      <w:r w:rsidR="00F32B28">
        <w:rPr>
          <w:rtl/>
          <w:lang w:bidi="ar-JO"/>
        </w:rPr>
        <w:t xml:space="preserve"> </w:t>
      </w:r>
      <w:r w:rsidR="00F32B28" w:rsidRPr="00F32B28">
        <w:rPr>
          <w:rtl/>
          <w:lang w:bidi="ar-JO"/>
        </w:rPr>
        <w:t>ويراعي</w:t>
      </w:r>
      <w:r w:rsidR="00F32B28">
        <w:rPr>
          <w:rtl/>
          <w:lang w:bidi="ar-JO"/>
        </w:rPr>
        <w:t xml:space="preserve"> </w:t>
      </w:r>
      <w:r w:rsidR="00F32B28" w:rsidRPr="00F32B28">
        <w:rPr>
          <w:rtl/>
          <w:lang w:bidi="ar-JO"/>
        </w:rPr>
        <w:t>فئاتهم</w:t>
      </w:r>
      <w:r w:rsidR="00F32B28">
        <w:rPr>
          <w:rtl/>
          <w:lang w:bidi="ar-JO"/>
        </w:rPr>
        <w:t xml:space="preserve"> </w:t>
      </w:r>
      <w:r w:rsidR="00F32B28" w:rsidRPr="00F32B28">
        <w:rPr>
          <w:rtl/>
          <w:lang w:bidi="ar-JO"/>
        </w:rPr>
        <w:t>العمرية</w:t>
      </w:r>
      <w:r w:rsidR="00F32B28">
        <w:rPr>
          <w:rtl/>
          <w:lang w:bidi="ar-JO"/>
        </w:rPr>
        <w:t xml:space="preserve"> </w:t>
      </w:r>
      <w:r w:rsidR="00F32B28" w:rsidRPr="00F32B28">
        <w:rPr>
          <w:rtl/>
          <w:lang w:bidi="ar-JO"/>
        </w:rPr>
        <w:t>وأسباب</w:t>
      </w:r>
      <w:r w:rsidR="00F32B28">
        <w:rPr>
          <w:rtl/>
          <w:lang w:bidi="ar-JO"/>
        </w:rPr>
        <w:t xml:space="preserve"> </w:t>
      </w:r>
      <w:r w:rsidR="00F32B28" w:rsidRPr="00F32B28">
        <w:rPr>
          <w:rtl/>
          <w:lang w:bidi="ar-JO"/>
        </w:rPr>
        <w:t>جنوحهم</w:t>
      </w:r>
      <w:r w:rsidR="00F32B28">
        <w:rPr>
          <w:rtl/>
          <w:lang w:bidi="ar-JO"/>
        </w:rPr>
        <w:t xml:space="preserve"> </w:t>
      </w:r>
      <w:r w:rsidR="00F32B28" w:rsidRPr="00F32B28">
        <w:rPr>
          <w:rtl/>
          <w:lang w:bidi="ar-JO"/>
        </w:rPr>
        <w:t>وخصوصيتهم</w:t>
      </w:r>
      <w:r w:rsidR="00F32B28">
        <w:rPr>
          <w:rtl/>
          <w:lang w:bidi="ar-JO"/>
        </w:rPr>
        <w:t xml:space="preserve"> </w:t>
      </w:r>
      <w:r w:rsidR="00F32B28" w:rsidRPr="00F32B28">
        <w:rPr>
          <w:rtl/>
          <w:lang w:bidi="ar-JO"/>
        </w:rPr>
        <w:t>والإجراءات</w:t>
      </w:r>
      <w:r w:rsidR="00F32B28">
        <w:rPr>
          <w:rtl/>
          <w:lang w:bidi="ar-JO"/>
        </w:rPr>
        <w:t xml:space="preserve"> </w:t>
      </w:r>
      <w:r w:rsidR="00F32B28" w:rsidRPr="00F32B28">
        <w:rPr>
          <w:rtl/>
          <w:lang w:bidi="ar-JO"/>
        </w:rPr>
        <w:t>التي</w:t>
      </w:r>
      <w:r w:rsidR="00F32B28">
        <w:rPr>
          <w:rtl/>
          <w:lang w:bidi="ar-JO"/>
        </w:rPr>
        <w:t xml:space="preserve"> </w:t>
      </w:r>
      <w:r w:rsidR="00F32B28" w:rsidRPr="00F32B28">
        <w:rPr>
          <w:rtl/>
          <w:lang w:bidi="ar-JO"/>
        </w:rPr>
        <w:t>يجب</w:t>
      </w:r>
      <w:r w:rsidR="00F32B28">
        <w:rPr>
          <w:rtl/>
          <w:lang w:bidi="ar-JO"/>
        </w:rPr>
        <w:t xml:space="preserve"> </w:t>
      </w:r>
      <w:r w:rsidR="00F32B28" w:rsidRPr="00F32B28">
        <w:rPr>
          <w:rtl/>
          <w:lang w:bidi="ar-JO"/>
        </w:rPr>
        <w:t>اتباعها</w:t>
      </w:r>
      <w:r w:rsidR="00F32B28">
        <w:rPr>
          <w:rtl/>
          <w:lang w:bidi="ar-JO"/>
        </w:rPr>
        <w:t xml:space="preserve"> </w:t>
      </w:r>
      <w:r w:rsidR="00F32B28" w:rsidRPr="00F32B28">
        <w:rPr>
          <w:rtl/>
          <w:lang w:bidi="ar-JO"/>
        </w:rPr>
        <w:t>تحقيقاً</w:t>
      </w:r>
      <w:r w:rsidR="00F32B28">
        <w:rPr>
          <w:rtl/>
          <w:lang w:bidi="ar-JO"/>
        </w:rPr>
        <w:t xml:space="preserve"> </w:t>
      </w:r>
      <w:r w:rsidR="00F32B28" w:rsidRPr="00F32B28">
        <w:rPr>
          <w:rtl/>
          <w:lang w:bidi="ar-JO"/>
        </w:rPr>
        <w:t>لمصالحهم</w:t>
      </w:r>
      <w:r w:rsidR="00F32B28">
        <w:rPr>
          <w:rtl/>
          <w:lang w:bidi="ar-JO"/>
        </w:rPr>
        <w:t xml:space="preserve"> </w:t>
      </w:r>
      <w:r w:rsidR="00F32B28" w:rsidRPr="00F32B28">
        <w:rPr>
          <w:rtl/>
          <w:lang w:bidi="ar-JO"/>
        </w:rPr>
        <w:t>الفضلى</w:t>
      </w:r>
      <w:r w:rsidR="00F32B28">
        <w:rPr>
          <w:rtl/>
          <w:lang w:bidi="ar-JO"/>
        </w:rPr>
        <w:t xml:space="preserve"> </w:t>
      </w:r>
      <w:r w:rsidR="00F32B28" w:rsidRPr="00F32B28">
        <w:rPr>
          <w:rtl/>
          <w:lang w:bidi="ar-JO"/>
        </w:rPr>
        <w:t>وإعادة</w:t>
      </w:r>
      <w:r w:rsidR="00F32B28">
        <w:rPr>
          <w:rtl/>
          <w:lang w:bidi="ar-JO"/>
        </w:rPr>
        <w:t xml:space="preserve"> </w:t>
      </w:r>
      <w:r w:rsidR="00F32B28" w:rsidRPr="00F32B28">
        <w:rPr>
          <w:rtl/>
          <w:lang w:bidi="ar-JO"/>
        </w:rPr>
        <w:t>تأهيلهم</w:t>
      </w:r>
      <w:r w:rsidR="00F32B28">
        <w:rPr>
          <w:rtl/>
          <w:lang w:bidi="ar-JO"/>
        </w:rPr>
        <w:t xml:space="preserve"> </w:t>
      </w:r>
      <w:r w:rsidR="00F32B28" w:rsidRPr="00F32B28">
        <w:rPr>
          <w:rtl/>
          <w:lang w:bidi="ar-JO"/>
        </w:rPr>
        <w:t>وتسريع</w:t>
      </w:r>
      <w:r w:rsidR="00F32B28">
        <w:rPr>
          <w:rtl/>
          <w:lang w:bidi="ar-JO"/>
        </w:rPr>
        <w:t xml:space="preserve"> </w:t>
      </w:r>
      <w:r w:rsidR="00F32B28" w:rsidRPr="00F32B28">
        <w:rPr>
          <w:rtl/>
          <w:lang w:bidi="ar-JO"/>
        </w:rPr>
        <w:t>اندماجهم</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المجتمع.</w:t>
      </w:r>
      <w:r w:rsidR="008D730A">
        <w:rPr>
          <w:rFonts w:hint="cs"/>
          <w:rtl/>
          <w:lang w:bidi="ar-JO"/>
        </w:rPr>
        <w:t xml:space="preserve"> </w:t>
      </w:r>
      <w:r w:rsidR="00F32B28" w:rsidRPr="00F32B28">
        <w:rPr>
          <w:rtl/>
          <w:lang w:bidi="ar-JO"/>
        </w:rPr>
        <w:t>ويأتي</w:t>
      </w:r>
      <w:r w:rsidR="00F32B28">
        <w:rPr>
          <w:rtl/>
          <w:lang w:bidi="ar-JO"/>
        </w:rPr>
        <w:t xml:space="preserve"> </w:t>
      </w:r>
      <w:r w:rsidR="00F32B28" w:rsidRPr="00F32B28">
        <w:rPr>
          <w:rtl/>
          <w:lang w:bidi="ar-JO"/>
        </w:rPr>
        <w:t>هذا</w:t>
      </w:r>
      <w:r w:rsidR="00F32B28">
        <w:rPr>
          <w:rtl/>
          <w:lang w:bidi="ar-JO"/>
        </w:rPr>
        <w:t xml:space="preserve"> </w:t>
      </w:r>
      <w:r w:rsidR="00F32B28" w:rsidRPr="00F32B28">
        <w:rPr>
          <w:rtl/>
          <w:lang w:bidi="ar-JO"/>
        </w:rPr>
        <w:t>القرار</w:t>
      </w:r>
      <w:r w:rsidR="00F32B28">
        <w:rPr>
          <w:rtl/>
          <w:lang w:bidi="ar-JO"/>
        </w:rPr>
        <w:t xml:space="preserve"> </w:t>
      </w:r>
      <w:r w:rsidR="00F32B28" w:rsidRPr="00F32B28">
        <w:rPr>
          <w:rtl/>
          <w:lang w:bidi="ar-JO"/>
        </w:rPr>
        <w:t>بقانون</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إطار</w:t>
      </w:r>
      <w:r w:rsidR="00F32B28">
        <w:rPr>
          <w:rtl/>
          <w:lang w:bidi="ar-JO"/>
        </w:rPr>
        <w:t xml:space="preserve"> </w:t>
      </w:r>
      <w:r w:rsidR="00F32B28" w:rsidRPr="00F32B28">
        <w:rPr>
          <w:rtl/>
          <w:lang w:bidi="ar-JO"/>
        </w:rPr>
        <w:t>سعي</w:t>
      </w:r>
      <w:r w:rsidR="00F32B28">
        <w:rPr>
          <w:rtl/>
          <w:lang w:bidi="ar-JO"/>
        </w:rPr>
        <w:t xml:space="preserve"> </w:t>
      </w:r>
      <w:r w:rsidR="00F32B28" w:rsidRPr="00F32B28">
        <w:rPr>
          <w:rtl/>
          <w:lang w:bidi="ar-JO"/>
        </w:rPr>
        <w:t>دولة</w:t>
      </w:r>
      <w:r w:rsidR="00F32B28">
        <w:rPr>
          <w:rtl/>
          <w:lang w:bidi="ar-JO"/>
        </w:rPr>
        <w:t xml:space="preserve"> </w:t>
      </w:r>
      <w:r w:rsidR="00F32B28" w:rsidRPr="00F32B28">
        <w:rPr>
          <w:rtl/>
          <w:lang w:bidi="ar-JO"/>
        </w:rPr>
        <w:t>فلسطين</w:t>
      </w:r>
      <w:r w:rsidR="00F32B28">
        <w:rPr>
          <w:rtl/>
          <w:lang w:bidi="ar-JO"/>
        </w:rPr>
        <w:t xml:space="preserve"> </w:t>
      </w:r>
      <w:r w:rsidR="00F32B28" w:rsidRPr="00F32B28">
        <w:rPr>
          <w:rtl/>
          <w:lang w:bidi="ar-JO"/>
        </w:rPr>
        <w:t>إلى</w:t>
      </w:r>
      <w:r w:rsidR="00F32B28">
        <w:rPr>
          <w:rtl/>
          <w:lang w:bidi="ar-JO"/>
        </w:rPr>
        <w:t xml:space="preserve"> </w:t>
      </w:r>
      <w:r w:rsidR="00F32B28" w:rsidRPr="00F32B28">
        <w:rPr>
          <w:rtl/>
          <w:lang w:bidi="ar-JO"/>
        </w:rPr>
        <w:t>تنفيذ</w:t>
      </w:r>
      <w:r w:rsidR="00F32B28">
        <w:rPr>
          <w:rtl/>
          <w:lang w:bidi="ar-JO"/>
        </w:rPr>
        <w:t xml:space="preserve"> </w:t>
      </w:r>
      <w:r w:rsidR="00F32B28" w:rsidRPr="00F32B28">
        <w:rPr>
          <w:rtl/>
          <w:lang w:bidi="ar-JO"/>
        </w:rPr>
        <w:t>التزاماتها</w:t>
      </w:r>
      <w:r w:rsidR="00F32B28">
        <w:rPr>
          <w:rtl/>
          <w:lang w:bidi="ar-JO"/>
        </w:rPr>
        <w:t xml:space="preserve"> </w:t>
      </w:r>
      <w:r w:rsidR="00F32B28" w:rsidRPr="00F32B28">
        <w:rPr>
          <w:rtl/>
          <w:lang w:bidi="ar-JO"/>
        </w:rPr>
        <w:t>الدولية،</w:t>
      </w:r>
      <w:r w:rsidR="00F32B28">
        <w:rPr>
          <w:rtl/>
          <w:lang w:bidi="ar-JO"/>
        </w:rPr>
        <w:t xml:space="preserve"> </w:t>
      </w:r>
      <w:r w:rsidR="00F32B28" w:rsidRPr="00F32B28">
        <w:rPr>
          <w:rtl/>
          <w:lang w:bidi="ar-JO"/>
        </w:rPr>
        <w:t>بما</w:t>
      </w:r>
      <w:r w:rsidR="00F32B28">
        <w:rPr>
          <w:rtl/>
          <w:lang w:bidi="ar-JO"/>
        </w:rPr>
        <w:t xml:space="preserve"> </w:t>
      </w:r>
      <w:r w:rsidR="00F32B28" w:rsidRPr="00F32B28">
        <w:rPr>
          <w:rtl/>
          <w:lang w:bidi="ar-JO"/>
        </w:rPr>
        <w:t>فيها</w:t>
      </w:r>
      <w:r w:rsidR="00F32B28">
        <w:rPr>
          <w:rtl/>
          <w:lang w:bidi="ar-JO"/>
        </w:rPr>
        <w:t xml:space="preserve"> </w:t>
      </w:r>
      <w:r w:rsidR="00F32B28" w:rsidRPr="00F32B28">
        <w:rPr>
          <w:rtl/>
          <w:lang w:bidi="ar-JO"/>
        </w:rPr>
        <w:t>تلك</w:t>
      </w:r>
      <w:r w:rsidR="00F32B28">
        <w:rPr>
          <w:rtl/>
          <w:lang w:bidi="ar-JO"/>
        </w:rPr>
        <w:t xml:space="preserve"> </w:t>
      </w:r>
      <w:r w:rsidR="00F32B28" w:rsidRPr="00F32B28">
        <w:rPr>
          <w:rtl/>
          <w:lang w:bidi="ar-JO"/>
        </w:rPr>
        <w:t>المترتبة</w:t>
      </w:r>
      <w:r w:rsidR="00F32B28">
        <w:rPr>
          <w:rtl/>
          <w:lang w:bidi="ar-JO"/>
        </w:rPr>
        <w:t xml:space="preserve"> </w:t>
      </w:r>
      <w:r w:rsidR="00F32B28" w:rsidRPr="00F32B28">
        <w:rPr>
          <w:rtl/>
          <w:lang w:bidi="ar-JO"/>
        </w:rPr>
        <w:t>على</w:t>
      </w:r>
      <w:r w:rsidR="00F32B28">
        <w:rPr>
          <w:rtl/>
          <w:lang w:bidi="ar-JO"/>
        </w:rPr>
        <w:t xml:space="preserve"> </w:t>
      </w:r>
      <w:r w:rsidR="00F32B28" w:rsidRPr="00F32B28">
        <w:rPr>
          <w:rtl/>
          <w:lang w:bidi="ar-JO"/>
        </w:rPr>
        <w:t>الانضمام</w:t>
      </w:r>
      <w:r w:rsidR="00F32B28">
        <w:rPr>
          <w:rtl/>
          <w:lang w:bidi="ar-JO"/>
        </w:rPr>
        <w:t xml:space="preserve"> </w:t>
      </w:r>
      <w:r w:rsidR="00F32B28" w:rsidRPr="00F32B28">
        <w:rPr>
          <w:rtl/>
          <w:lang w:bidi="ar-JO"/>
        </w:rPr>
        <w:t>إلى</w:t>
      </w:r>
      <w:r w:rsidR="00F32B28">
        <w:rPr>
          <w:rtl/>
          <w:lang w:bidi="ar-JO"/>
        </w:rPr>
        <w:t xml:space="preserve"> </w:t>
      </w:r>
      <w:r w:rsidR="00F32B28" w:rsidRPr="00F32B28">
        <w:rPr>
          <w:rtl/>
          <w:lang w:bidi="ar-JO"/>
        </w:rPr>
        <w:t>اتفاقية</w:t>
      </w:r>
      <w:r w:rsidR="00F32B28">
        <w:rPr>
          <w:rtl/>
          <w:lang w:bidi="ar-JO"/>
        </w:rPr>
        <w:t xml:space="preserve"> </w:t>
      </w:r>
      <w:r w:rsidR="00F32B28" w:rsidRPr="00F32B28">
        <w:rPr>
          <w:rtl/>
          <w:lang w:bidi="ar-JO"/>
        </w:rPr>
        <w:t>حقوق</w:t>
      </w:r>
      <w:r w:rsidR="00F32B28">
        <w:rPr>
          <w:rtl/>
          <w:lang w:bidi="ar-JO"/>
        </w:rPr>
        <w:t xml:space="preserve"> </w:t>
      </w:r>
      <w:r w:rsidR="00F32B28" w:rsidRPr="00F32B28">
        <w:rPr>
          <w:rtl/>
          <w:lang w:bidi="ar-JO"/>
        </w:rPr>
        <w:t>الطفل</w:t>
      </w:r>
      <w:r w:rsidR="00F32B28">
        <w:rPr>
          <w:rtl/>
          <w:lang w:bidi="ar-JO"/>
        </w:rPr>
        <w:t xml:space="preserve"> </w:t>
      </w:r>
      <w:r w:rsidR="00F32B28" w:rsidRPr="00F32B28">
        <w:rPr>
          <w:rtl/>
          <w:lang w:bidi="ar-JO"/>
        </w:rPr>
        <w:t>لسنة</w:t>
      </w:r>
      <w:r w:rsidR="00F32B28">
        <w:rPr>
          <w:rtl/>
          <w:lang w:bidi="ar-JO"/>
        </w:rPr>
        <w:t xml:space="preserve"> </w:t>
      </w:r>
      <w:r w:rsidR="00F32B28" w:rsidRPr="00F32B28">
        <w:rPr>
          <w:rtl/>
          <w:lang w:bidi="ar-JO"/>
        </w:rPr>
        <w:t>1989.</w:t>
      </w:r>
      <w:r w:rsidR="00F32B28">
        <w:rPr>
          <w:rtl/>
          <w:lang w:bidi="ar-JO"/>
        </w:rPr>
        <w:t xml:space="preserve"> </w:t>
      </w:r>
      <w:r w:rsidR="00F32B28" w:rsidRPr="00F32B28">
        <w:rPr>
          <w:rtl/>
          <w:lang w:bidi="ar-SY"/>
        </w:rPr>
        <w:t>وتنسجم</w:t>
      </w:r>
      <w:r w:rsidR="00F32B28">
        <w:rPr>
          <w:rtl/>
          <w:lang w:bidi="ar-SY"/>
        </w:rPr>
        <w:t xml:space="preserve"> </w:t>
      </w:r>
      <w:r w:rsidR="00F32B28" w:rsidRPr="00F32B28">
        <w:rPr>
          <w:rtl/>
          <w:lang w:bidi="ar-SY"/>
        </w:rPr>
        <w:t>أحكام</w:t>
      </w:r>
      <w:r w:rsidR="00F32B28">
        <w:rPr>
          <w:rtl/>
          <w:lang w:bidi="ar-SY"/>
        </w:rPr>
        <w:t xml:space="preserve"> </w:t>
      </w:r>
      <w:r w:rsidR="00F32B28" w:rsidRPr="00F32B28">
        <w:rPr>
          <w:rtl/>
          <w:lang w:bidi="ar-SY"/>
        </w:rPr>
        <w:t>القرار</w:t>
      </w:r>
      <w:r w:rsidR="00F32B28">
        <w:rPr>
          <w:rtl/>
          <w:lang w:bidi="ar-SY"/>
        </w:rPr>
        <w:t xml:space="preserve"> </w:t>
      </w:r>
      <w:r w:rsidR="00F32B28" w:rsidRPr="00F32B28">
        <w:rPr>
          <w:rtl/>
          <w:lang w:bidi="ar-SY"/>
        </w:rPr>
        <w:t>بقانون</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المعايير</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الخاصة</w:t>
      </w:r>
      <w:r w:rsidR="00F32B28">
        <w:rPr>
          <w:rtl/>
          <w:lang w:bidi="ar-SY"/>
        </w:rPr>
        <w:t xml:space="preserve"> </w:t>
      </w:r>
      <w:r w:rsidR="00F32B28" w:rsidRPr="00F32B28">
        <w:rPr>
          <w:rtl/>
          <w:lang w:bidi="ar-SY"/>
        </w:rPr>
        <w:t>بعدالة</w:t>
      </w:r>
      <w:r w:rsidR="00F32B28">
        <w:rPr>
          <w:rtl/>
          <w:lang w:bidi="ar-SY"/>
        </w:rPr>
        <w:t xml:space="preserve"> </w:t>
      </w:r>
      <w:r w:rsidR="00F32B28" w:rsidRPr="00F32B28">
        <w:rPr>
          <w:rtl/>
          <w:lang w:bidi="ar-SY"/>
        </w:rPr>
        <w:t>الأحداث،</w:t>
      </w:r>
      <w:r w:rsidR="00F32B28">
        <w:rPr>
          <w:rtl/>
          <w:lang w:bidi="ar-SY"/>
        </w:rPr>
        <w:t xml:space="preserve"> </w:t>
      </w:r>
      <w:r w:rsidR="00F32B28" w:rsidRPr="00F32B28">
        <w:rPr>
          <w:rtl/>
          <w:lang w:bidi="ar-JO"/>
        </w:rPr>
        <w:t>لا</w:t>
      </w:r>
      <w:r w:rsidR="00F32B28">
        <w:rPr>
          <w:rtl/>
          <w:lang w:bidi="ar-JO"/>
        </w:rPr>
        <w:t xml:space="preserve"> </w:t>
      </w:r>
      <w:r w:rsidR="00F32B28" w:rsidRPr="00F32B28">
        <w:rPr>
          <w:rtl/>
          <w:lang w:bidi="ar-JO"/>
        </w:rPr>
        <w:t>سيما</w:t>
      </w:r>
      <w:r w:rsidR="00F32B28">
        <w:rPr>
          <w:rtl/>
          <w:lang w:bidi="ar-JO"/>
        </w:rPr>
        <w:t xml:space="preserve"> </w:t>
      </w:r>
      <w:r w:rsidR="00F32B28" w:rsidRPr="00F32B28">
        <w:rPr>
          <w:rtl/>
          <w:lang w:bidi="ar-JO"/>
        </w:rPr>
        <w:t>فيما</w:t>
      </w:r>
      <w:r w:rsidR="00F32B28">
        <w:rPr>
          <w:rtl/>
          <w:lang w:bidi="ar-JO"/>
        </w:rPr>
        <w:t xml:space="preserve"> </w:t>
      </w:r>
      <w:r w:rsidR="00F32B28" w:rsidRPr="00F32B28">
        <w:rPr>
          <w:rtl/>
          <w:lang w:bidi="ar-JO"/>
        </w:rPr>
        <w:t>يتعلق</w:t>
      </w:r>
      <w:r w:rsidR="00F32B28">
        <w:rPr>
          <w:rtl/>
          <w:lang w:bidi="ar-JO"/>
        </w:rPr>
        <w:t xml:space="preserve"> </w:t>
      </w:r>
      <w:r w:rsidR="00F32B28" w:rsidRPr="00F32B28">
        <w:rPr>
          <w:rtl/>
          <w:lang w:bidi="ar-JO"/>
        </w:rPr>
        <w:t>ب</w:t>
      </w:r>
      <w:r w:rsidR="00F32B28" w:rsidRPr="00F32B28">
        <w:rPr>
          <w:rtl/>
          <w:lang w:bidi="ar-SY"/>
        </w:rPr>
        <w:t>مراعاة</w:t>
      </w:r>
      <w:r w:rsidR="00F32B28">
        <w:rPr>
          <w:rtl/>
          <w:lang w:bidi="ar-SY"/>
        </w:rPr>
        <w:t xml:space="preserve"> </w:t>
      </w:r>
      <w:r w:rsidR="00F32B28" w:rsidRPr="00F32B28">
        <w:rPr>
          <w:rtl/>
          <w:lang w:bidi="ar-SY"/>
        </w:rPr>
        <w:t>المصلحة</w:t>
      </w:r>
      <w:r w:rsidR="00F32B28">
        <w:rPr>
          <w:rtl/>
          <w:lang w:bidi="ar-SY"/>
        </w:rPr>
        <w:t xml:space="preserve"> </w:t>
      </w:r>
      <w:r w:rsidR="00F32B28" w:rsidRPr="00F32B28">
        <w:rPr>
          <w:rtl/>
          <w:lang w:bidi="ar-SY"/>
        </w:rPr>
        <w:t>الفضلى</w:t>
      </w:r>
      <w:r w:rsidR="00F32B28">
        <w:rPr>
          <w:rtl/>
          <w:lang w:bidi="ar-SY"/>
        </w:rPr>
        <w:t xml:space="preserve"> </w:t>
      </w:r>
      <w:r w:rsidR="00F32B28" w:rsidRPr="00F32B28">
        <w:rPr>
          <w:rtl/>
          <w:lang w:bidi="ar-SY"/>
        </w:rPr>
        <w:t>للحدث</w:t>
      </w:r>
      <w:r w:rsidR="00F32B28">
        <w:rPr>
          <w:rtl/>
          <w:lang w:bidi="ar-SY"/>
        </w:rPr>
        <w:t xml:space="preserve"> </w:t>
      </w:r>
      <w:r w:rsidR="00F32B28" w:rsidRPr="00F32B28">
        <w:rPr>
          <w:rtl/>
          <w:lang w:bidi="ar-SY"/>
        </w:rPr>
        <w:t>بدءاً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مرحلة</w:t>
      </w:r>
      <w:r w:rsidR="00F32B28">
        <w:rPr>
          <w:rtl/>
          <w:lang w:bidi="ar-SY"/>
        </w:rPr>
        <w:t xml:space="preserve"> </w:t>
      </w:r>
      <w:r w:rsidR="00F32B28" w:rsidRPr="00F32B28">
        <w:rPr>
          <w:rtl/>
          <w:lang w:bidi="ar-SY"/>
        </w:rPr>
        <w:t>التحقيق</w:t>
      </w:r>
      <w:r w:rsidR="00F32B28">
        <w:rPr>
          <w:rtl/>
          <w:lang w:bidi="ar-SY"/>
        </w:rPr>
        <w:t xml:space="preserve"> </w:t>
      </w:r>
      <w:r w:rsidR="00F32B28" w:rsidRPr="00F32B28">
        <w:rPr>
          <w:rtl/>
          <w:lang w:bidi="ar-SY"/>
        </w:rPr>
        <w:t>الأولي</w:t>
      </w:r>
      <w:r w:rsidR="00F32B28">
        <w:rPr>
          <w:rtl/>
          <w:lang w:bidi="ar-SY"/>
        </w:rPr>
        <w:t xml:space="preserve"> </w:t>
      </w:r>
      <w:r w:rsidR="00F32B28" w:rsidRPr="00F32B28">
        <w:rPr>
          <w:rtl/>
          <w:lang w:bidi="ar-SY"/>
        </w:rPr>
        <w:t>ومرحلتي</w:t>
      </w:r>
      <w:r w:rsidR="00F32B28">
        <w:rPr>
          <w:rtl/>
          <w:lang w:bidi="ar-SY"/>
        </w:rPr>
        <w:t xml:space="preserve"> </w:t>
      </w:r>
      <w:r w:rsidR="00F32B28" w:rsidRPr="00F32B28">
        <w:rPr>
          <w:rtl/>
          <w:lang w:bidi="ar-SY"/>
        </w:rPr>
        <w:t>التحقيق</w:t>
      </w:r>
      <w:r w:rsidR="00F32B28">
        <w:rPr>
          <w:rtl/>
          <w:lang w:bidi="ar-SY"/>
        </w:rPr>
        <w:t xml:space="preserve"> </w:t>
      </w:r>
      <w:r w:rsidR="00F32B28" w:rsidRPr="00F32B28">
        <w:rPr>
          <w:rtl/>
          <w:lang w:bidi="ar-SY"/>
        </w:rPr>
        <w:t>والمحاكمة</w:t>
      </w:r>
      <w:r w:rsidR="00F32B28">
        <w:rPr>
          <w:rtl/>
          <w:lang w:bidi="ar-SY"/>
        </w:rPr>
        <w:t xml:space="preserve"> </w:t>
      </w:r>
      <w:r w:rsidR="00F32B28" w:rsidRPr="00F32B28">
        <w:rPr>
          <w:rtl/>
          <w:lang w:bidi="ar-SY"/>
        </w:rPr>
        <w:t>وانتهاءً</w:t>
      </w:r>
      <w:r w:rsidR="00F32B28">
        <w:rPr>
          <w:rtl/>
          <w:lang w:bidi="ar-SY"/>
        </w:rPr>
        <w:t xml:space="preserve"> </w:t>
      </w:r>
      <w:r w:rsidR="00F32B28" w:rsidRPr="00F32B28">
        <w:rPr>
          <w:rtl/>
          <w:lang w:bidi="ar-SY"/>
        </w:rPr>
        <w:t>بمرحلة</w:t>
      </w:r>
      <w:r w:rsidR="00F32B28">
        <w:rPr>
          <w:rtl/>
          <w:lang w:bidi="ar-SY"/>
        </w:rPr>
        <w:t xml:space="preserve"> </w:t>
      </w:r>
      <w:r w:rsidR="00F32B28" w:rsidRPr="00F32B28">
        <w:rPr>
          <w:rtl/>
          <w:lang w:bidi="ar-SY"/>
        </w:rPr>
        <w:t>تنفيذ</w:t>
      </w:r>
      <w:r w:rsidR="00F32B28">
        <w:rPr>
          <w:rtl/>
          <w:lang w:bidi="ar-SY"/>
        </w:rPr>
        <w:t xml:space="preserve"> </w:t>
      </w:r>
      <w:r w:rsidR="00F32B28" w:rsidRPr="00F32B28">
        <w:rPr>
          <w:rtl/>
          <w:lang w:bidi="ar-SY"/>
        </w:rPr>
        <w:t>الحكم،</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و</w:t>
      </w:r>
      <w:r w:rsidR="00F32B28" w:rsidRPr="00F32B28">
        <w:rPr>
          <w:rtl/>
        </w:rPr>
        <w:t>استحداث</w:t>
      </w:r>
      <w:r w:rsidR="00F32B28">
        <w:rPr>
          <w:rtl/>
        </w:rPr>
        <w:t xml:space="preserve"> </w:t>
      </w:r>
      <w:r w:rsidR="00F32B28" w:rsidRPr="00F32B28">
        <w:rPr>
          <w:rtl/>
        </w:rPr>
        <w:t>نظام</w:t>
      </w:r>
      <w:r w:rsidR="00F32B28">
        <w:rPr>
          <w:rtl/>
        </w:rPr>
        <w:t xml:space="preserve"> </w:t>
      </w:r>
      <w:r w:rsidR="00F32B28" w:rsidRPr="00F32B28">
        <w:rPr>
          <w:rtl/>
        </w:rPr>
        <w:t>عدالة</w:t>
      </w:r>
      <w:r w:rsidR="00F32B28">
        <w:rPr>
          <w:rtl/>
        </w:rPr>
        <w:t xml:space="preserve"> </w:t>
      </w:r>
      <w:r w:rsidR="00F32B28" w:rsidRPr="00F32B28">
        <w:rPr>
          <w:rtl/>
        </w:rPr>
        <w:t>جنائية</w:t>
      </w:r>
      <w:r w:rsidR="00F32B28">
        <w:rPr>
          <w:rtl/>
        </w:rPr>
        <w:t xml:space="preserve"> </w:t>
      </w:r>
      <w:r w:rsidR="00F32B28" w:rsidRPr="00F32B28">
        <w:rPr>
          <w:rtl/>
        </w:rPr>
        <w:t>منفصل</w:t>
      </w:r>
      <w:r w:rsidR="00F32B28">
        <w:rPr>
          <w:rtl/>
        </w:rPr>
        <w:t xml:space="preserve"> </w:t>
      </w:r>
      <w:r w:rsidR="00F32B28" w:rsidRPr="00F32B28">
        <w:rPr>
          <w:rtl/>
        </w:rPr>
        <w:t>متكامل</w:t>
      </w:r>
      <w:r w:rsidR="00F32B28">
        <w:rPr>
          <w:rtl/>
        </w:rPr>
        <w:t xml:space="preserve"> </w:t>
      </w:r>
      <w:r w:rsidR="00F32B28" w:rsidRPr="00F32B28">
        <w:rPr>
          <w:rtl/>
        </w:rPr>
        <w:t>يختص</w:t>
      </w:r>
      <w:r w:rsidR="00F32B28">
        <w:rPr>
          <w:rtl/>
        </w:rPr>
        <w:t xml:space="preserve"> </w:t>
      </w:r>
      <w:r w:rsidR="00F32B28" w:rsidRPr="00F32B28">
        <w:rPr>
          <w:rtl/>
        </w:rPr>
        <w:t>بقضايا</w:t>
      </w:r>
      <w:r w:rsidR="00F32B28">
        <w:rPr>
          <w:rtl/>
        </w:rPr>
        <w:t xml:space="preserve"> </w:t>
      </w:r>
      <w:r w:rsidR="00F32B28" w:rsidRPr="00F32B28">
        <w:rPr>
          <w:rtl/>
        </w:rPr>
        <w:t>الأحداث</w:t>
      </w:r>
      <w:r w:rsidR="00F32B28">
        <w:rPr>
          <w:rtl/>
        </w:rPr>
        <w:t xml:space="preserve"> </w:t>
      </w:r>
      <w:r w:rsidR="00F32B28" w:rsidRPr="00F32B28">
        <w:rPr>
          <w:rtl/>
        </w:rPr>
        <w:t>والأطفال</w:t>
      </w:r>
      <w:r w:rsidR="00F32B28">
        <w:rPr>
          <w:rtl/>
        </w:rPr>
        <w:t xml:space="preserve"> </w:t>
      </w:r>
      <w:r w:rsidR="00F32B28" w:rsidRPr="00F32B28">
        <w:rPr>
          <w:rtl/>
        </w:rPr>
        <w:t>المعرضين</w:t>
      </w:r>
      <w:r w:rsidR="00F32B28">
        <w:rPr>
          <w:rtl/>
        </w:rPr>
        <w:t xml:space="preserve"> </w:t>
      </w:r>
      <w:r w:rsidR="00F32B28" w:rsidRPr="00F32B28">
        <w:rPr>
          <w:rtl/>
        </w:rPr>
        <w:t>لخطر</w:t>
      </w:r>
      <w:r w:rsidR="00F32B28">
        <w:rPr>
          <w:rtl/>
        </w:rPr>
        <w:t xml:space="preserve"> </w:t>
      </w:r>
      <w:r w:rsidR="00F32B28" w:rsidRPr="00F32B28">
        <w:rPr>
          <w:rtl/>
        </w:rPr>
        <w:t>الانحراف،</w:t>
      </w:r>
      <w:r w:rsidR="00F32B28">
        <w:rPr>
          <w:rtl/>
        </w:rPr>
        <w:t xml:space="preserve"> </w:t>
      </w:r>
      <w:r w:rsidR="00F32B28" w:rsidRPr="00F32B28">
        <w:rPr>
          <w:rtl/>
        </w:rPr>
        <w:t>يتكون</w:t>
      </w:r>
      <w:r w:rsidR="00F32B28">
        <w:rPr>
          <w:rtl/>
        </w:rPr>
        <w:t xml:space="preserve"> </w:t>
      </w:r>
      <w:r w:rsidR="00F32B28" w:rsidRPr="00F32B28">
        <w:rPr>
          <w:rtl/>
        </w:rPr>
        <w:t>من</w:t>
      </w:r>
      <w:r w:rsidR="00F32B28">
        <w:rPr>
          <w:rtl/>
        </w:rPr>
        <w:t xml:space="preserve"> </w:t>
      </w:r>
      <w:r w:rsidR="00F32B28" w:rsidRPr="00F32B28">
        <w:rPr>
          <w:rtl/>
        </w:rPr>
        <w:t>دوائر</w:t>
      </w:r>
      <w:r w:rsidR="00F32B28">
        <w:rPr>
          <w:rtl/>
        </w:rPr>
        <w:t xml:space="preserve"> </w:t>
      </w:r>
      <w:r w:rsidR="00F32B28" w:rsidRPr="00F32B28">
        <w:rPr>
          <w:rtl/>
        </w:rPr>
        <w:t>شرطية</w:t>
      </w:r>
      <w:r w:rsidR="00F32B28">
        <w:rPr>
          <w:rtl/>
        </w:rPr>
        <w:t xml:space="preserve"> </w:t>
      </w:r>
      <w:r w:rsidR="00F32B28" w:rsidRPr="00F32B28">
        <w:rPr>
          <w:rtl/>
        </w:rPr>
        <w:t>مختصة</w:t>
      </w:r>
      <w:r w:rsidR="00F32B28">
        <w:rPr>
          <w:rtl/>
        </w:rPr>
        <w:t xml:space="preserve"> </w:t>
      </w:r>
      <w:r w:rsidR="00F32B28" w:rsidRPr="00F32B28">
        <w:rPr>
          <w:rtl/>
        </w:rPr>
        <w:t>(شرطة</w:t>
      </w:r>
      <w:r w:rsidR="00F32B28">
        <w:rPr>
          <w:rtl/>
        </w:rPr>
        <w:t xml:space="preserve"> </w:t>
      </w:r>
      <w:r w:rsidR="00F32B28" w:rsidRPr="00F32B28">
        <w:rPr>
          <w:rtl/>
        </w:rPr>
        <w:t>الأحداث)،ودائرة</w:t>
      </w:r>
      <w:r w:rsidR="00F32B28">
        <w:rPr>
          <w:rtl/>
        </w:rPr>
        <w:t xml:space="preserve"> </w:t>
      </w:r>
      <w:r w:rsidR="00F32B28" w:rsidRPr="00F32B28">
        <w:rPr>
          <w:rtl/>
        </w:rPr>
        <w:t>مختصة</w:t>
      </w:r>
      <w:r w:rsidR="00F32B28">
        <w:rPr>
          <w:rtl/>
        </w:rPr>
        <w:t xml:space="preserve"> </w:t>
      </w:r>
      <w:r w:rsidR="00F32B28" w:rsidRPr="00F32B28">
        <w:rPr>
          <w:rtl/>
        </w:rPr>
        <w:t>في</w:t>
      </w:r>
      <w:r w:rsidR="00F32B28">
        <w:rPr>
          <w:rtl/>
        </w:rPr>
        <w:t xml:space="preserve"> </w:t>
      </w:r>
      <w:r w:rsidR="00F32B28" w:rsidRPr="00F32B28">
        <w:rPr>
          <w:rtl/>
        </w:rPr>
        <w:t>النيابة</w:t>
      </w:r>
      <w:r w:rsidR="00F32B28">
        <w:rPr>
          <w:rtl/>
        </w:rPr>
        <w:t xml:space="preserve"> </w:t>
      </w:r>
      <w:r w:rsidR="00F32B28" w:rsidRPr="00F32B28">
        <w:rPr>
          <w:rtl/>
        </w:rPr>
        <w:t>العامة</w:t>
      </w:r>
      <w:r w:rsidR="00F32B28">
        <w:rPr>
          <w:rtl/>
        </w:rPr>
        <w:t xml:space="preserve"> </w:t>
      </w:r>
      <w:r w:rsidR="00F32B28" w:rsidRPr="00F32B28">
        <w:rPr>
          <w:rtl/>
        </w:rPr>
        <w:t>(نيابة</w:t>
      </w:r>
      <w:r w:rsidR="00F32B28">
        <w:rPr>
          <w:rtl/>
        </w:rPr>
        <w:t xml:space="preserve"> </w:t>
      </w:r>
      <w:r w:rsidR="00F32B28" w:rsidRPr="00F32B28">
        <w:rPr>
          <w:rtl/>
        </w:rPr>
        <w:t>الأحداث)؛ومحكمة</w:t>
      </w:r>
      <w:r w:rsidR="00F32B28">
        <w:rPr>
          <w:rtl/>
        </w:rPr>
        <w:t xml:space="preserve"> </w:t>
      </w:r>
      <w:r w:rsidR="00F32B28" w:rsidRPr="00F32B28">
        <w:rPr>
          <w:rtl/>
        </w:rPr>
        <w:t>الأحداث</w:t>
      </w:r>
      <w:r w:rsidR="00F32B28">
        <w:rPr>
          <w:rtl/>
        </w:rPr>
        <w:t xml:space="preserve"> </w:t>
      </w:r>
      <w:r w:rsidR="00F32B28" w:rsidRPr="00F32B28">
        <w:rPr>
          <w:rtl/>
        </w:rPr>
        <w:t>(من</w:t>
      </w:r>
      <w:r w:rsidR="00F32B28">
        <w:rPr>
          <w:rtl/>
        </w:rPr>
        <w:t xml:space="preserve"> </w:t>
      </w:r>
      <w:r w:rsidR="00F32B28" w:rsidRPr="00F32B28">
        <w:rPr>
          <w:rtl/>
        </w:rPr>
        <w:t>درجة</w:t>
      </w:r>
      <w:r w:rsidR="00F32B28">
        <w:rPr>
          <w:rtl/>
        </w:rPr>
        <w:t xml:space="preserve"> </w:t>
      </w:r>
      <w:r w:rsidR="00F32B28" w:rsidRPr="00F32B28">
        <w:rPr>
          <w:rtl/>
        </w:rPr>
        <w:lastRenderedPageBreak/>
        <w:t>قاضي</w:t>
      </w:r>
      <w:r w:rsidR="00F32B28">
        <w:rPr>
          <w:rtl/>
        </w:rPr>
        <w:t xml:space="preserve"> </w:t>
      </w:r>
      <w:r w:rsidR="00F32B28" w:rsidRPr="00F32B28">
        <w:rPr>
          <w:rtl/>
        </w:rPr>
        <w:t>محكمة</w:t>
      </w:r>
      <w:r w:rsidR="00F32B28">
        <w:rPr>
          <w:rtl/>
        </w:rPr>
        <w:t xml:space="preserve"> </w:t>
      </w:r>
      <w:r w:rsidR="00F32B28" w:rsidRPr="00F32B28">
        <w:rPr>
          <w:rtl/>
        </w:rPr>
        <w:t>بداية)؛</w:t>
      </w:r>
      <w:r w:rsidR="00F32B28">
        <w:rPr>
          <w:rtl/>
        </w:rPr>
        <w:t xml:space="preserve"> </w:t>
      </w:r>
      <w:r w:rsidR="00F32B28" w:rsidRPr="00F32B28">
        <w:rPr>
          <w:rtl/>
        </w:rPr>
        <w:t>ودوائر</w:t>
      </w:r>
      <w:r w:rsidR="00F32B28">
        <w:rPr>
          <w:rtl/>
        </w:rPr>
        <w:t xml:space="preserve"> </w:t>
      </w:r>
      <w:r w:rsidR="00F32B28" w:rsidRPr="00F32B28">
        <w:rPr>
          <w:rtl/>
        </w:rPr>
        <w:t>استئنافية</w:t>
      </w:r>
      <w:r w:rsidR="00F32B28">
        <w:rPr>
          <w:rtl/>
        </w:rPr>
        <w:t xml:space="preserve"> </w:t>
      </w:r>
      <w:r w:rsidR="00F32B28" w:rsidRPr="00F32B28">
        <w:rPr>
          <w:rtl/>
        </w:rPr>
        <w:t>خاصة</w:t>
      </w:r>
      <w:r w:rsidR="00F32B28">
        <w:rPr>
          <w:rtl/>
        </w:rPr>
        <w:t xml:space="preserve"> </w:t>
      </w:r>
      <w:r w:rsidR="00F32B28" w:rsidRPr="00F32B28">
        <w:rPr>
          <w:rtl/>
        </w:rPr>
        <w:t>بقضايا</w:t>
      </w:r>
      <w:r w:rsidR="00F32B28">
        <w:rPr>
          <w:rtl/>
        </w:rPr>
        <w:t xml:space="preserve"> </w:t>
      </w:r>
      <w:r w:rsidR="00F32B28" w:rsidRPr="00F32B28">
        <w:rPr>
          <w:rtl/>
        </w:rPr>
        <w:t>الأحداث</w:t>
      </w:r>
      <w:r w:rsidR="00F32B28">
        <w:rPr>
          <w:rtl/>
        </w:rPr>
        <w:t xml:space="preserve"> </w:t>
      </w:r>
      <w:r w:rsidR="00F32B28" w:rsidRPr="00F32B28">
        <w:rPr>
          <w:rtl/>
        </w:rPr>
        <w:t>لدى</w:t>
      </w:r>
      <w:r w:rsidR="00F32B28">
        <w:rPr>
          <w:rtl/>
        </w:rPr>
        <w:t xml:space="preserve"> </w:t>
      </w:r>
      <w:r w:rsidR="00F32B28" w:rsidRPr="00F32B28">
        <w:rPr>
          <w:rtl/>
        </w:rPr>
        <w:t>محاكم</w:t>
      </w:r>
      <w:r w:rsidR="00F32B28">
        <w:rPr>
          <w:rtl/>
        </w:rPr>
        <w:t xml:space="preserve"> </w:t>
      </w:r>
      <w:r w:rsidR="00F32B28" w:rsidRPr="00F32B28">
        <w:rPr>
          <w:rtl/>
        </w:rPr>
        <w:t>الاستئناف؛</w:t>
      </w:r>
      <w:r w:rsidR="00F32B28">
        <w:rPr>
          <w:rtl/>
        </w:rPr>
        <w:t xml:space="preserve"> </w:t>
      </w:r>
      <w:r w:rsidR="00F32B28" w:rsidRPr="00F32B28">
        <w:rPr>
          <w:rtl/>
        </w:rPr>
        <w:t>ودائرة</w:t>
      </w:r>
      <w:r w:rsidR="00F32B28">
        <w:rPr>
          <w:rtl/>
        </w:rPr>
        <w:t xml:space="preserve"> </w:t>
      </w:r>
      <w:r w:rsidR="00F32B28" w:rsidRPr="00F32B28">
        <w:rPr>
          <w:rtl/>
        </w:rPr>
        <w:t>حماية</w:t>
      </w:r>
      <w:r w:rsidR="00F32B28">
        <w:rPr>
          <w:rtl/>
        </w:rPr>
        <w:t xml:space="preserve"> </w:t>
      </w:r>
      <w:r w:rsidR="00F32B28" w:rsidRPr="00F32B28">
        <w:rPr>
          <w:rtl/>
        </w:rPr>
        <w:t>الطفولة</w:t>
      </w:r>
      <w:r w:rsidR="00F32B28">
        <w:rPr>
          <w:rtl/>
        </w:rPr>
        <w:t xml:space="preserve"> </w:t>
      </w:r>
      <w:r w:rsidR="00F32B28" w:rsidRPr="00F32B28">
        <w:rPr>
          <w:rtl/>
        </w:rPr>
        <w:t>ومرشدو</w:t>
      </w:r>
      <w:r w:rsidR="00F32B28">
        <w:rPr>
          <w:rtl/>
        </w:rPr>
        <w:t xml:space="preserve"> </w:t>
      </w:r>
      <w:r w:rsidR="00F32B28" w:rsidRPr="00F32B28">
        <w:rPr>
          <w:rtl/>
        </w:rPr>
        <w:t>حماية</w:t>
      </w:r>
      <w:r w:rsidR="00F32B28">
        <w:rPr>
          <w:rtl/>
        </w:rPr>
        <w:t xml:space="preserve"> </w:t>
      </w:r>
      <w:r w:rsidR="00F32B28" w:rsidRPr="00F32B28">
        <w:rPr>
          <w:rtl/>
        </w:rPr>
        <w:t>الطفولة</w:t>
      </w:r>
      <w:r w:rsidR="00F32B28">
        <w:rPr>
          <w:rtl/>
        </w:rPr>
        <w:t xml:space="preserve"> </w:t>
      </w:r>
      <w:r w:rsidR="00F32B28" w:rsidRPr="00F32B28">
        <w:rPr>
          <w:rtl/>
        </w:rPr>
        <w:t>في</w:t>
      </w:r>
      <w:r w:rsidR="00F32B28">
        <w:rPr>
          <w:rtl/>
        </w:rPr>
        <w:t xml:space="preserve"> </w:t>
      </w:r>
      <w:r w:rsidR="00F32B28" w:rsidRPr="00F32B28">
        <w:rPr>
          <w:rtl/>
        </w:rPr>
        <w:t>وزارة</w:t>
      </w:r>
      <w:r w:rsidR="00F32B28">
        <w:rPr>
          <w:rtl/>
        </w:rPr>
        <w:t xml:space="preserve"> </w:t>
      </w:r>
      <w:r w:rsidR="00F32B28" w:rsidRPr="00F32B28">
        <w:rPr>
          <w:rtl/>
        </w:rPr>
        <w:t>التنمية</w:t>
      </w:r>
      <w:r w:rsidR="00F32B28">
        <w:rPr>
          <w:rtl/>
        </w:rPr>
        <w:t xml:space="preserve"> </w:t>
      </w:r>
      <w:r w:rsidR="00F32B28" w:rsidRPr="00F32B28">
        <w:rPr>
          <w:rtl/>
        </w:rPr>
        <w:t>الاجتماعية؛</w:t>
      </w:r>
      <w:r w:rsidR="00F32B28">
        <w:rPr>
          <w:rtl/>
        </w:rPr>
        <w:t xml:space="preserve"> </w:t>
      </w:r>
      <w:r w:rsidR="00F32B28" w:rsidRPr="00F32B28">
        <w:rPr>
          <w:rtl/>
        </w:rPr>
        <w:t>ودور</w:t>
      </w:r>
      <w:r w:rsidR="00F32B28">
        <w:rPr>
          <w:rtl/>
        </w:rPr>
        <w:t xml:space="preserve"> </w:t>
      </w:r>
      <w:r w:rsidR="00F32B28" w:rsidRPr="00F32B28">
        <w:rPr>
          <w:rtl/>
        </w:rPr>
        <w:t>الرعاية</w:t>
      </w:r>
      <w:r w:rsidR="00F32B28">
        <w:rPr>
          <w:rtl/>
        </w:rPr>
        <w:t xml:space="preserve"> </w:t>
      </w:r>
      <w:r w:rsidR="00F32B28" w:rsidRPr="00F32B28">
        <w:rPr>
          <w:rtl/>
        </w:rPr>
        <w:t>الاجتماعية،</w:t>
      </w:r>
      <w:r w:rsidR="00F32B28">
        <w:rPr>
          <w:rtl/>
        </w:rPr>
        <w:t xml:space="preserve"> </w:t>
      </w:r>
      <w:r w:rsidR="00F32B28" w:rsidRPr="00F32B28">
        <w:rPr>
          <w:rtl/>
        </w:rPr>
        <w:t>وإعطاء</w:t>
      </w:r>
      <w:r w:rsidR="00F32B28">
        <w:rPr>
          <w:rtl/>
        </w:rPr>
        <w:t xml:space="preserve"> </w:t>
      </w:r>
      <w:r w:rsidR="00F32B28" w:rsidRPr="00F32B28">
        <w:rPr>
          <w:rtl/>
        </w:rPr>
        <w:t>الأولوية</w:t>
      </w:r>
      <w:r w:rsidR="00F32B28">
        <w:rPr>
          <w:rtl/>
        </w:rPr>
        <w:t xml:space="preserve"> </w:t>
      </w:r>
      <w:r w:rsidR="00F32B28" w:rsidRPr="00F32B28">
        <w:rPr>
          <w:rtl/>
        </w:rPr>
        <w:t>للوسائل</w:t>
      </w:r>
      <w:r w:rsidR="00F32B28">
        <w:rPr>
          <w:rtl/>
        </w:rPr>
        <w:t xml:space="preserve"> </w:t>
      </w:r>
      <w:r w:rsidR="00F32B28" w:rsidRPr="00F32B28">
        <w:rPr>
          <w:rtl/>
        </w:rPr>
        <w:t>الوقائية</w:t>
      </w:r>
      <w:r w:rsidR="00F32B28">
        <w:rPr>
          <w:rtl/>
        </w:rPr>
        <w:t xml:space="preserve"> </w:t>
      </w:r>
      <w:r w:rsidR="00F32B28" w:rsidRPr="00F32B28">
        <w:rPr>
          <w:rtl/>
        </w:rPr>
        <w:t>والتربوية</w:t>
      </w:r>
      <w:r w:rsidR="00F32B28">
        <w:rPr>
          <w:rtl/>
        </w:rPr>
        <w:t xml:space="preserve"> </w:t>
      </w:r>
      <w:r w:rsidR="00F32B28" w:rsidRPr="00F32B28">
        <w:rPr>
          <w:rtl/>
        </w:rPr>
        <w:t>والتأهيلية</w:t>
      </w:r>
      <w:r w:rsidR="00F32B28">
        <w:rPr>
          <w:rtl/>
        </w:rPr>
        <w:t xml:space="preserve"> </w:t>
      </w:r>
      <w:r w:rsidR="00F32B28" w:rsidRPr="00F32B28">
        <w:rPr>
          <w:rtl/>
        </w:rPr>
        <w:t>وتجنب</w:t>
      </w:r>
      <w:r w:rsidR="00F32B28">
        <w:rPr>
          <w:rtl/>
        </w:rPr>
        <w:t xml:space="preserve"> </w:t>
      </w:r>
      <w:r w:rsidR="00F32B28" w:rsidRPr="00F32B28">
        <w:rPr>
          <w:rtl/>
        </w:rPr>
        <w:t>العقوبات</w:t>
      </w:r>
      <w:r w:rsidR="00F32B28">
        <w:rPr>
          <w:rtl/>
        </w:rPr>
        <w:t xml:space="preserve"> </w:t>
      </w:r>
      <w:r w:rsidR="00F32B28" w:rsidRPr="00F32B28">
        <w:rPr>
          <w:rtl/>
        </w:rPr>
        <w:t>السالبة</w:t>
      </w:r>
      <w:r w:rsidR="00F32B28">
        <w:rPr>
          <w:rtl/>
        </w:rPr>
        <w:t xml:space="preserve"> </w:t>
      </w:r>
      <w:r w:rsidR="00F32B28" w:rsidRPr="00F32B28">
        <w:rPr>
          <w:rtl/>
        </w:rPr>
        <w:t>للحرية</w:t>
      </w:r>
      <w:r w:rsidR="00F32B28">
        <w:rPr>
          <w:rtl/>
        </w:rPr>
        <w:t xml:space="preserve"> </w:t>
      </w:r>
      <w:r w:rsidR="00F32B28" w:rsidRPr="00F32B28">
        <w:rPr>
          <w:rtl/>
        </w:rPr>
        <w:t>إلا</w:t>
      </w:r>
      <w:r w:rsidR="00F32B28">
        <w:rPr>
          <w:rtl/>
        </w:rPr>
        <w:t xml:space="preserve"> </w:t>
      </w:r>
      <w:r w:rsidR="00F32B28" w:rsidRPr="00F32B28">
        <w:rPr>
          <w:rtl/>
        </w:rPr>
        <w:t>كملاذ</w:t>
      </w:r>
      <w:r w:rsidR="00F32B28">
        <w:rPr>
          <w:rtl/>
        </w:rPr>
        <w:t xml:space="preserve"> </w:t>
      </w:r>
      <w:r w:rsidR="00F32B28" w:rsidRPr="00F32B28">
        <w:rPr>
          <w:rtl/>
        </w:rPr>
        <w:t>أخير</w:t>
      </w:r>
      <w:r w:rsidR="00F32B28">
        <w:rPr>
          <w:rtl/>
        </w:rPr>
        <w:t xml:space="preserve"> </w:t>
      </w:r>
      <w:r w:rsidR="00F32B28" w:rsidRPr="00F32B28">
        <w:rPr>
          <w:rtl/>
        </w:rPr>
        <w:t>ولأقصر</w:t>
      </w:r>
      <w:r w:rsidR="00F32B28">
        <w:rPr>
          <w:rtl/>
        </w:rPr>
        <w:t xml:space="preserve"> </w:t>
      </w:r>
      <w:r w:rsidR="00F32B28" w:rsidRPr="00F32B28">
        <w:rPr>
          <w:rtl/>
        </w:rPr>
        <w:t>فترة</w:t>
      </w:r>
      <w:r w:rsidR="00F32B28">
        <w:rPr>
          <w:rtl/>
        </w:rPr>
        <w:t xml:space="preserve"> </w:t>
      </w:r>
      <w:r w:rsidR="00F32B28" w:rsidRPr="00F32B28">
        <w:rPr>
          <w:rtl/>
        </w:rPr>
        <w:t>زمنية</w:t>
      </w:r>
      <w:r w:rsidR="00F32B28">
        <w:rPr>
          <w:rtl/>
        </w:rPr>
        <w:t xml:space="preserve"> </w:t>
      </w:r>
      <w:r w:rsidR="00F32B28" w:rsidRPr="00F32B28">
        <w:rPr>
          <w:rtl/>
        </w:rPr>
        <w:t>ممكنة،</w:t>
      </w:r>
      <w:r w:rsidR="00F32B28">
        <w:rPr>
          <w:rtl/>
        </w:rPr>
        <w:t xml:space="preserve"> </w:t>
      </w:r>
      <w:r w:rsidR="00F32B28" w:rsidRPr="00F32B28">
        <w:rPr>
          <w:rtl/>
        </w:rPr>
        <w:t>وضمان</w:t>
      </w:r>
      <w:r w:rsidR="00F32B28">
        <w:rPr>
          <w:rtl/>
        </w:rPr>
        <w:t xml:space="preserve"> </w:t>
      </w:r>
      <w:r w:rsidR="00F32B28" w:rsidRPr="00F32B28">
        <w:rPr>
          <w:rtl/>
        </w:rPr>
        <w:t>المساواة</w:t>
      </w:r>
      <w:r w:rsidR="00F32B28">
        <w:rPr>
          <w:rtl/>
        </w:rPr>
        <w:t xml:space="preserve"> </w:t>
      </w:r>
      <w:r w:rsidR="00F32B28" w:rsidRPr="00F32B28">
        <w:rPr>
          <w:rtl/>
        </w:rPr>
        <w:t>بين</w:t>
      </w:r>
      <w:r w:rsidR="00F32B28">
        <w:rPr>
          <w:rtl/>
        </w:rPr>
        <w:t xml:space="preserve"> </w:t>
      </w:r>
      <w:r w:rsidR="00F32B28" w:rsidRPr="00F32B28">
        <w:rPr>
          <w:rtl/>
        </w:rPr>
        <w:t>الجنسين</w:t>
      </w:r>
      <w:r w:rsidR="00F32B28">
        <w:rPr>
          <w:rtl/>
        </w:rPr>
        <w:t xml:space="preserve"> </w:t>
      </w:r>
      <w:r w:rsidR="00F32B28" w:rsidRPr="00F32B28">
        <w:rPr>
          <w:rtl/>
        </w:rPr>
        <w:t>في</w:t>
      </w:r>
      <w:r w:rsidR="00F32B28">
        <w:rPr>
          <w:rtl/>
        </w:rPr>
        <w:t xml:space="preserve"> </w:t>
      </w:r>
      <w:r w:rsidR="00F32B28" w:rsidRPr="00F32B28">
        <w:rPr>
          <w:rtl/>
        </w:rPr>
        <w:t>الحقوق</w:t>
      </w:r>
      <w:r w:rsidR="00F32B28">
        <w:rPr>
          <w:rtl/>
        </w:rPr>
        <w:t xml:space="preserve"> </w:t>
      </w:r>
      <w:r w:rsidR="00F32B28" w:rsidRPr="00F32B28">
        <w:rPr>
          <w:rtl/>
        </w:rPr>
        <w:t>وضمانات</w:t>
      </w:r>
      <w:r w:rsidR="00F32B28">
        <w:rPr>
          <w:rtl/>
        </w:rPr>
        <w:t xml:space="preserve"> </w:t>
      </w:r>
      <w:r w:rsidR="00F32B28" w:rsidRPr="00F32B28">
        <w:rPr>
          <w:rtl/>
        </w:rPr>
        <w:t>المحاكمة</w:t>
      </w:r>
      <w:r w:rsidR="00F32B28">
        <w:rPr>
          <w:rtl/>
        </w:rPr>
        <w:t xml:space="preserve"> </w:t>
      </w:r>
      <w:r w:rsidR="00F32B28" w:rsidRPr="00F32B28">
        <w:rPr>
          <w:rtl/>
        </w:rPr>
        <w:t>العادلة.</w:t>
      </w:r>
    </w:p>
    <w:p w:rsidR="00F32B28" w:rsidRPr="00F32B28" w:rsidRDefault="00596246" w:rsidP="00596246">
      <w:pPr>
        <w:pStyle w:val="SingleTxt"/>
      </w:pPr>
      <w:r>
        <w:rPr>
          <w:rFonts w:hint="cs"/>
          <w:rtl/>
          <w:lang w:bidi="ar-SY"/>
        </w:rPr>
        <w:t>55 -</w:t>
      </w:r>
      <w:r>
        <w:rPr>
          <w:rFonts w:hint="cs"/>
          <w:rtl/>
          <w:lang w:bidi="ar-SY"/>
        </w:rPr>
        <w:tab/>
      </w:r>
      <w:r w:rsidR="00F32B28" w:rsidRPr="00F32B28">
        <w:rPr>
          <w:rtl/>
          <w:lang w:bidi="ar-SY"/>
        </w:rPr>
        <w:t>كما</w:t>
      </w:r>
      <w:r w:rsidR="00F32B28">
        <w:rPr>
          <w:rtl/>
          <w:lang w:bidi="ar-SY"/>
        </w:rPr>
        <w:t xml:space="preserve"> </w:t>
      </w:r>
      <w:r w:rsidR="00F32B28" w:rsidRPr="00F32B28">
        <w:rPr>
          <w:rtl/>
          <w:lang w:bidi="ar-SY"/>
        </w:rPr>
        <w:t>قامت</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الخارجية،</w:t>
      </w:r>
      <w:r w:rsidR="00F32B28">
        <w:rPr>
          <w:rtl/>
          <w:lang w:bidi="ar-SY"/>
        </w:rPr>
        <w:t xml:space="preserve"> </w:t>
      </w:r>
      <w:r w:rsidR="00F32B28" w:rsidRPr="00F32B28">
        <w:rPr>
          <w:rtl/>
          <w:lang w:bidi="ar-SY"/>
        </w:rPr>
        <w:t>بالشراكة</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مكتب</w:t>
      </w:r>
      <w:r w:rsidR="00F32B28">
        <w:rPr>
          <w:rtl/>
          <w:lang w:bidi="ar-SY"/>
        </w:rPr>
        <w:t xml:space="preserve"> </w:t>
      </w:r>
      <w:r w:rsidR="00F32B28" w:rsidRPr="00F32B28">
        <w:rPr>
          <w:rtl/>
          <w:lang w:bidi="ar-SY"/>
        </w:rPr>
        <w:t>المفوض</w:t>
      </w:r>
      <w:r w:rsidR="00F32B28">
        <w:rPr>
          <w:rtl/>
          <w:lang w:bidi="ar-SY"/>
        </w:rPr>
        <w:t xml:space="preserve"> </w:t>
      </w:r>
      <w:r w:rsidR="00F32B28" w:rsidRPr="00F32B28">
        <w:rPr>
          <w:rtl/>
          <w:lang w:bidi="ar-SY"/>
        </w:rPr>
        <w:t>السامي</w:t>
      </w:r>
      <w:r w:rsidR="00F32B28">
        <w:rPr>
          <w:rtl/>
          <w:lang w:bidi="ar-SY"/>
        </w:rPr>
        <w:t xml:space="preserve"> </w:t>
      </w:r>
      <w:r w:rsidR="00F32B28" w:rsidRPr="00F32B28">
        <w:rPr>
          <w:rtl/>
          <w:lang w:bidi="ar-SY"/>
        </w:rPr>
        <w:t>لحقوق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والهيئة</w:t>
      </w:r>
      <w:r w:rsidR="00F32B28">
        <w:rPr>
          <w:rtl/>
          <w:lang w:bidi="ar-SY"/>
        </w:rPr>
        <w:t xml:space="preserve"> </w:t>
      </w:r>
      <w:r w:rsidR="00F32B28" w:rsidRPr="00F32B28">
        <w:rPr>
          <w:rtl/>
          <w:lang w:bidi="ar-SY"/>
        </w:rPr>
        <w:t>المستقلة</w:t>
      </w:r>
      <w:r w:rsidR="00F32B28">
        <w:rPr>
          <w:rtl/>
          <w:lang w:bidi="ar-SY"/>
        </w:rPr>
        <w:t xml:space="preserve"> </w:t>
      </w:r>
      <w:r w:rsidR="00F32B28" w:rsidRPr="00F32B28">
        <w:rPr>
          <w:rtl/>
          <w:lang w:bidi="ar-SY"/>
        </w:rPr>
        <w:t>لحقوق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بتوزيع</w:t>
      </w:r>
      <w:r w:rsidR="00F32B28">
        <w:rPr>
          <w:rtl/>
          <w:lang w:bidi="ar-SY"/>
        </w:rPr>
        <w:t xml:space="preserve"> </w:t>
      </w:r>
      <w:r w:rsidR="00F32B28" w:rsidRPr="00F32B28">
        <w:rPr>
          <w:rtl/>
          <w:lang w:bidi="ar-SY"/>
        </w:rPr>
        <w:t>كتيبات</w:t>
      </w:r>
      <w:r w:rsidR="00F32B28">
        <w:rPr>
          <w:rtl/>
          <w:lang w:bidi="ar-SY"/>
        </w:rPr>
        <w:t xml:space="preserve"> </w:t>
      </w:r>
      <w:r w:rsidR="00F32B28" w:rsidRPr="00F32B28">
        <w:rPr>
          <w:rtl/>
          <w:lang w:bidi="ar-SY"/>
        </w:rPr>
        <w:t>تتضمن</w:t>
      </w:r>
      <w:r w:rsidR="00F32B28">
        <w:rPr>
          <w:rtl/>
          <w:lang w:bidi="ar-SY"/>
        </w:rPr>
        <w:t xml:space="preserve"> </w:t>
      </w:r>
      <w:r w:rsidR="00F32B28" w:rsidRPr="00F32B28">
        <w:rPr>
          <w:rtl/>
          <w:lang w:bidi="ar-SY"/>
        </w:rPr>
        <w:t>وثيقة</w:t>
      </w:r>
      <w:r w:rsidR="00F32B28">
        <w:rPr>
          <w:rtl/>
          <w:lang w:bidi="ar-SY"/>
        </w:rPr>
        <w:t xml:space="preserve"> </w:t>
      </w:r>
      <w:r w:rsidR="00F32B28" w:rsidRPr="00F32B28">
        <w:rPr>
          <w:rtl/>
          <w:lang w:bidi="ar-SY"/>
        </w:rPr>
        <w:t>إعلان</w:t>
      </w:r>
      <w:r w:rsidR="00F32B28">
        <w:rPr>
          <w:rtl/>
          <w:lang w:bidi="ar-SY"/>
        </w:rPr>
        <w:t xml:space="preserve"> </w:t>
      </w:r>
      <w:r w:rsidR="00F32B28" w:rsidRPr="00F32B28">
        <w:rPr>
          <w:rtl/>
          <w:lang w:bidi="ar-SY"/>
        </w:rPr>
        <w:t>الاستقلال</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والإعلان</w:t>
      </w:r>
      <w:r w:rsidR="00F32B28">
        <w:rPr>
          <w:rtl/>
          <w:lang w:bidi="ar-SY"/>
        </w:rPr>
        <w:t xml:space="preserve"> </w:t>
      </w:r>
      <w:r w:rsidR="00F32B28" w:rsidRPr="00F32B28">
        <w:rPr>
          <w:rtl/>
          <w:lang w:bidi="ar-SY"/>
        </w:rPr>
        <w:t>العالمي</w:t>
      </w:r>
      <w:r w:rsidR="00F32B28">
        <w:rPr>
          <w:rtl/>
          <w:lang w:bidi="ar-SY"/>
        </w:rPr>
        <w:t xml:space="preserve"> </w:t>
      </w:r>
      <w:r w:rsidR="00F32B28" w:rsidRPr="00F32B28">
        <w:rPr>
          <w:rtl/>
          <w:lang w:bidi="ar-SY"/>
        </w:rPr>
        <w:t>لحقوق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الاتفاقيات</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لحقوق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انضمت</w:t>
      </w:r>
      <w:r w:rsidR="00F32B28">
        <w:rPr>
          <w:rtl/>
          <w:lang w:bidi="ar-SY"/>
        </w:rPr>
        <w:t xml:space="preserve"> </w:t>
      </w:r>
      <w:r w:rsidR="00F32B28" w:rsidRPr="00F32B28">
        <w:rPr>
          <w:rtl/>
          <w:lang w:bidi="ar-SY"/>
        </w:rPr>
        <w:t>إليها</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2014،</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اتفاقية</w:t>
      </w:r>
      <w:r w:rsidR="00F32B28">
        <w:rPr>
          <w:rtl/>
          <w:lang w:bidi="ar-SY"/>
        </w:rPr>
        <w:t xml:space="preserve"> </w:t>
      </w:r>
      <w:r w:rsidR="00F32B28" w:rsidRPr="00F32B28">
        <w:rPr>
          <w:rtl/>
          <w:lang w:bidi="ar-SY"/>
        </w:rPr>
        <w:t>(سيداو)،</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الهيئات</w:t>
      </w:r>
      <w:r w:rsidR="00F32B28">
        <w:rPr>
          <w:rtl/>
          <w:lang w:bidi="ar-SY"/>
        </w:rPr>
        <w:t xml:space="preserve"> </w:t>
      </w:r>
      <w:r w:rsidR="00F32B28" w:rsidRPr="00F32B28">
        <w:rPr>
          <w:rtl/>
          <w:lang w:bidi="ar-SY"/>
        </w:rPr>
        <w:t>الرسمية</w:t>
      </w:r>
      <w:r w:rsidR="00F32B28">
        <w:rPr>
          <w:rtl/>
          <w:lang w:bidi="ar-SY"/>
        </w:rPr>
        <w:t xml:space="preserve"> </w:t>
      </w:r>
      <w:r w:rsidR="00F32B28" w:rsidRPr="00F32B28">
        <w:rPr>
          <w:rtl/>
          <w:lang w:bidi="ar-SY"/>
        </w:rPr>
        <w:t>وغير</w:t>
      </w:r>
      <w:r w:rsidR="00F32B28">
        <w:rPr>
          <w:rtl/>
          <w:lang w:bidi="ar-SY"/>
        </w:rPr>
        <w:t xml:space="preserve"> </w:t>
      </w:r>
      <w:r w:rsidR="00F32B28" w:rsidRPr="00F32B28">
        <w:rPr>
          <w:rtl/>
          <w:lang w:bidi="ar-SY"/>
        </w:rPr>
        <w:t>الرسمية</w:t>
      </w:r>
      <w:r w:rsidR="008D730A">
        <w:rPr>
          <w:rFonts w:hint="cs"/>
          <w:rtl/>
          <w:lang w:bidi="ar-SY"/>
        </w:rPr>
        <w:t xml:space="preserve"> </w:t>
      </w:r>
      <w:r w:rsidR="00F32B28" w:rsidRPr="00F32B28">
        <w:rPr>
          <w:rtl/>
          <w:lang w:bidi="ar-SY"/>
        </w:rPr>
        <w:t>وذلك</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إطار</w:t>
      </w:r>
      <w:r w:rsidR="00F32B28">
        <w:rPr>
          <w:rtl/>
          <w:lang w:bidi="ar-SY"/>
        </w:rPr>
        <w:t xml:space="preserve"> </w:t>
      </w:r>
      <w:r w:rsidR="00F32B28" w:rsidRPr="00F32B28">
        <w:rPr>
          <w:rtl/>
          <w:lang w:bidi="ar-SY"/>
        </w:rPr>
        <w:t>توعية</w:t>
      </w:r>
      <w:r w:rsidR="00F32B28">
        <w:rPr>
          <w:rtl/>
          <w:lang w:bidi="ar-SY"/>
        </w:rPr>
        <w:t xml:space="preserve"> </w:t>
      </w:r>
      <w:r w:rsidR="00F32B28" w:rsidRPr="00F32B28">
        <w:rPr>
          <w:rtl/>
          <w:lang w:bidi="ar-SY"/>
        </w:rPr>
        <w:t>الموظفين</w:t>
      </w:r>
      <w:r w:rsidR="00F32B28">
        <w:rPr>
          <w:rtl/>
          <w:lang w:bidi="ar-SY"/>
        </w:rPr>
        <w:t xml:space="preserve"> </w:t>
      </w:r>
      <w:r w:rsidR="00F32B28" w:rsidRPr="00F32B28">
        <w:rPr>
          <w:rtl/>
          <w:lang w:bidi="ar-SY"/>
        </w:rPr>
        <w:t>العموميون</w:t>
      </w:r>
      <w:r w:rsidR="00F32B28">
        <w:rPr>
          <w:rtl/>
          <w:lang w:bidi="ar-SY"/>
        </w:rPr>
        <w:t xml:space="preserve"> </w:t>
      </w:r>
      <w:r w:rsidR="00F32B28" w:rsidRPr="00F32B28">
        <w:rPr>
          <w:rtl/>
          <w:lang w:bidi="ar-SY"/>
        </w:rPr>
        <w:t>وأفراد</w:t>
      </w:r>
      <w:r w:rsidR="00F32B28">
        <w:rPr>
          <w:rtl/>
          <w:lang w:bidi="ar-SY"/>
        </w:rPr>
        <w:t xml:space="preserve"> </w:t>
      </w:r>
      <w:r w:rsidR="00F32B28" w:rsidRPr="00F32B28">
        <w:rPr>
          <w:rtl/>
          <w:lang w:bidi="ar-SY"/>
        </w:rPr>
        <w:t>المجتمع</w:t>
      </w:r>
      <w:r w:rsidR="00F32B28">
        <w:rPr>
          <w:rtl/>
          <w:lang w:bidi="ar-SY"/>
        </w:rPr>
        <w:t xml:space="preserve"> </w:t>
      </w:r>
      <w:r w:rsidR="00F32B28" w:rsidRPr="00F32B28">
        <w:rPr>
          <w:rtl/>
          <w:lang w:bidi="ar-SY"/>
        </w:rPr>
        <w:t>بهذه</w:t>
      </w:r>
      <w:r w:rsidR="00F32B28">
        <w:rPr>
          <w:rtl/>
          <w:lang w:bidi="ar-SY"/>
        </w:rPr>
        <w:t xml:space="preserve"> </w:t>
      </w:r>
      <w:r w:rsidR="00F32B28" w:rsidRPr="00F32B28">
        <w:rPr>
          <w:rtl/>
          <w:lang w:bidi="ar-SY"/>
        </w:rPr>
        <w:t>الاتفاقيات</w:t>
      </w:r>
    </w:p>
    <w:p w:rsidR="00F32B28" w:rsidRPr="00F32B28" w:rsidRDefault="00596246" w:rsidP="00596246">
      <w:pPr>
        <w:pStyle w:val="SingleTxt"/>
      </w:pPr>
      <w:r>
        <w:rPr>
          <w:rFonts w:hint="cs"/>
          <w:rtl/>
          <w:lang w:bidi="ar-SY"/>
        </w:rPr>
        <w:t>56 -</w:t>
      </w:r>
      <w:r>
        <w:rPr>
          <w:rFonts w:hint="cs"/>
          <w:rtl/>
          <w:lang w:bidi="ar-SY"/>
        </w:rPr>
        <w:tab/>
      </w:r>
      <w:r w:rsidR="00F32B28" w:rsidRPr="00F32B28">
        <w:rPr>
          <w:rtl/>
          <w:lang w:bidi="ar-SY"/>
        </w:rPr>
        <w:t>كما</w:t>
      </w:r>
      <w:r w:rsidR="00F32B28">
        <w:rPr>
          <w:rtl/>
          <w:lang w:bidi="ar-SY"/>
        </w:rPr>
        <w:t xml:space="preserve"> </w:t>
      </w:r>
      <w:r w:rsidR="00F32B28" w:rsidRPr="00F32B28">
        <w:rPr>
          <w:rtl/>
          <w:lang w:bidi="ar-SY"/>
        </w:rPr>
        <w:t>نفذت</w:t>
      </w:r>
      <w:r w:rsidR="00F32B28">
        <w:rPr>
          <w:rtl/>
          <w:lang w:bidi="ar-SY"/>
        </w:rPr>
        <w:t xml:space="preserve"> </w:t>
      </w:r>
      <w:r w:rsidR="00F32B28" w:rsidRPr="00F32B28">
        <w:rPr>
          <w:rtl/>
          <w:lang w:bidi="ar-SY"/>
        </w:rPr>
        <w:t>الوزارة</w:t>
      </w:r>
      <w:r w:rsidR="00F32B28">
        <w:rPr>
          <w:rtl/>
          <w:lang w:bidi="ar-SY"/>
        </w:rPr>
        <w:t xml:space="preserve"> </w:t>
      </w:r>
      <w:r w:rsidR="00F32B28" w:rsidRPr="00F32B28">
        <w:rPr>
          <w:rtl/>
          <w:lang w:bidi="ar-SY"/>
        </w:rPr>
        <w:t>بالشراكة</w:t>
      </w:r>
      <w:r w:rsidR="00F32B28">
        <w:rPr>
          <w:rtl/>
          <w:lang w:bidi="ar-SY"/>
        </w:rPr>
        <w:t xml:space="preserve"> </w:t>
      </w:r>
      <w:r w:rsidR="00F32B28" w:rsidRPr="00F32B28">
        <w:rPr>
          <w:rtl/>
          <w:lang w:bidi="ar-SY"/>
        </w:rPr>
        <w:t>مكتب</w:t>
      </w:r>
      <w:r w:rsidR="00F32B28">
        <w:rPr>
          <w:rtl/>
          <w:lang w:bidi="ar-SY"/>
        </w:rPr>
        <w:t xml:space="preserve"> </w:t>
      </w:r>
      <w:r w:rsidR="00F32B28" w:rsidRPr="00F32B28">
        <w:rPr>
          <w:rtl/>
          <w:lang w:bidi="ar-SY"/>
        </w:rPr>
        <w:t>المفوض</w:t>
      </w:r>
      <w:r w:rsidR="00F32B28">
        <w:rPr>
          <w:rtl/>
          <w:lang w:bidi="ar-SY"/>
        </w:rPr>
        <w:t xml:space="preserve"> </w:t>
      </w:r>
      <w:r w:rsidR="00F32B28" w:rsidRPr="00F32B28">
        <w:rPr>
          <w:rtl/>
          <w:lang w:bidi="ar-SY"/>
        </w:rPr>
        <w:t>السامي</w:t>
      </w:r>
      <w:r w:rsidR="00F32B28">
        <w:rPr>
          <w:rtl/>
          <w:lang w:bidi="ar-SY"/>
        </w:rPr>
        <w:t xml:space="preserve"> </w:t>
      </w:r>
      <w:r w:rsidR="00F32B28" w:rsidRPr="00F32B28">
        <w:rPr>
          <w:rtl/>
          <w:lang w:bidi="ar-SY"/>
        </w:rPr>
        <w:t>والهيئة</w:t>
      </w:r>
      <w:r w:rsidR="00F32B28">
        <w:rPr>
          <w:rtl/>
          <w:lang w:bidi="ar-SY"/>
        </w:rPr>
        <w:t xml:space="preserve"> </w:t>
      </w:r>
      <w:r w:rsidR="00F32B28" w:rsidRPr="00F32B28">
        <w:rPr>
          <w:rtl/>
          <w:lang w:bidi="ar-SY"/>
        </w:rPr>
        <w:t>المستقلة،</w:t>
      </w:r>
      <w:r w:rsidR="00F32B28" w:rsidRPr="00F32B28">
        <w:rPr>
          <w:rtl/>
          <w:lang w:bidi="ar-JO"/>
        </w:rPr>
        <w:t>خطة</w:t>
      </w:r>
      <w:r w:rsidR="00F32B28">
        <w:rPr>
          <w:rtl/>
          <w:lang w:bidi="ar-JO"/>
        </w:rPr>
        <w:t xml:space="preserve"> </w:t>
      </w:r>
      <w:r w:rsidR="00F32B28" w:rsidRPr="00F32B28">
        <w:rPr>
          <w:rtl/>
          <w:lang w:bidi="ar-JO"/>
        </w:rPr>
        <w:t>تدريبية</w:t>
      </w:r>
      <w:r w:rsidR="00F32B28">
        <w:rPr>
          <w:rtl/>
          <w:lang w:bidi="ar-JO"/>
        </w:rPr>
        <w:t xml:space="preserve"> </w:t>
      </w:r>
      <w:r w:rsidR="00F32B28" w:rsidRPr="00F32B28">
        <w:rPr>
          <w:rtl/>
          <w:lang w:bidi="ar-JO"/>
        </w:rPr>
        <w:t>للتعريف</w:t>
      </w:r>
      <w:r w:rsidR="00F32B28">
        <w:rPr>
          <w:rtl/>
          <w:lang w:bidi="ar-JO"/>
        </w:rPr>
        <w:t xml:space="preserve"> </w:t>
      </w:r>
      <w:r w:rsidR="00F32B28" w:rsidRPr="00F32B28">
        <w:rPr>
          <w:rtl/>
          <w:lang w:bidi="ar-JO"/>
        </w:rPr>
        <w:t>باتفاقيات</w:t>
      </w:r>
      <w:r w:rsidR="00F32B28">
        <w:rPr>
          <w:rtl/>
          <w:lang w:bidi="ar-JO"/>
        </w:rPr>
        <w:t xml:space="preserve"> </w:t>
      </w:r>
      <w:r w:rsidR="00F32B28" w:rsidRPr="00F32B28">
        <w:rPr>
          <w:rtl/>
          <w:lang w:bidi="ar-JO"/>
        </w:rPr>
        <w:t>حقوق</w:t>
      </w:r>
      <w:r w:rsidR="00F32B28">
        <w:rPr>
          <w:rtl/>
          <w:lang w:bidi="ar-JO"/>
        </w:rPr>
        <w:t xml:space="preserve"> </w:t>
      </w:r>
      <w:r w:rsidR="00F32B28" w:rsidRPr="00F32B28">
        <w:rPr>
          <w:rtl/>
          <w:lang w:bidi="ar-JO"/>
        </w:rPr>
        <w:t>الإنسان</w:t>
      </w:r>
      <w:r w:rsidR="00F32B28">
        <w:rPr>
          <w:rtl/>
          <w:lang w:bidi="ar-JO"/>
        </w:rPr>
        <w:t xml:space="preserve"> </w:t>
      </w:r>
      <w:r w:rsidR="00F32B28" w:rsidRPr="00F32B28">
        <w:rPr>
          <w:rtl/>
          <w:lang w:bidi="ar-JO"/>
        </w:rPr>
        <w:t>الرئيسية،</w:t>
      </w:r>
      <w:r w:rsidR="00F32B28">
        <w:rPr>
          <w:rtl/>
          <w:lang w:bidi="ar-JO"/>
        </w:rPr>
        <w:t xml:space="preserve"> </w:t>
      </w:r>
      <w:r w:rsidR="00F32B28" w:rsidRPr="00F32B28">
        <w:rPr>
          <w:rtl/>
          <w:lang w:bidi="ar-JO"/>
        </w:rPr>
        <w:t>وآلية</w:t>
      </w:r>
      <w:r w:rsidR="00F32B28">
        <w:rPr>
          <w:rtl/>
          <w:lang w:bidi="ar-JO"/>
        </w:rPr>
        <w:t xml:space="preserve"> </w:t>
      </w:r>
      <w:r w:rsidR="00F32B28" w:rsidRPr="00F32B28">
        <w:rPr>
          <w:rtl/>
          <w:lang w:bidi="ar-JO"/>
        </w:rPr>
        <w:t>إعداد</w:t>
      </w:r>
      <w:r w:rsidR="00F32B28">
        <w:rPr>
          <w:rtl/>
          <w:lang w:bidi="ar-JO"/>
        </w:rPr>
        <w:t xml:space="preserve"> </w:t>
      </w:r>
      <w:r w:rsidR="00F32B28" w:rsidRPr="00F32B28">
        <w:rPr>
          <w:rtl/>
          <w:lang w:bidi="ar-JO"/>
        </w:rPr>
        <w:t>التقارير</w:t>
      </w:r>
      <w:r w:rsidR="00F32B28">
        <w:rPr>
          <w:rtl/>
          <w:lang w:bidi="ar-JO"/>
        </w:rPr>
        <w:t xml:space="preserve"> </w:t>
      </w:r>
      <w:r w:rsidR="00F32B28" w:rsidRPr="00F32B28">
        <w:rPr>
          <w:rtl/>
          <w:lang w:bidi="ar-JO"/>
        </w:rPr>
        <w:t>ودور</w:t>
      </w:r>
      <w:r w:rsidR="00F32B28">
        <w:rPr>
          <w:rtl/>
          <w:lang w:bidi="ar-JO"/>
        </w:rPr>
        <w:t xml:space="preserve"> </w:t>
      </w:r>
      <w:r w:rsidR="00F32B28" w:rsidRPr="00F32B28">
        <w:rPr>
          <w:rtl/>
          <w:lang w:bidi="ar-JO"/>
        </w:rPr>
        <w:t>الهيئات</w:t>
      </w:r>
      <w:r w:rsidR="00F32B28">
        <w:rPr>
          <w:rtl/>
          <w:lang w:bidi="ar-JO"/>
        </w:rPr>
        <w:t xml:space="preserve"> </w:t>
      </w:r>
      <w:r w:rsidR="00F32B28" w:rsidRPr="00F32B28">
        <w:rPr>
          <w:rtl/>
          <w:lang w:bidi="ar-JO"/>
        </w:rPr>
        <w:t>القائمة</w:t>
      </w:r>
      <w:r w:rsidR="00F32B28">
        <w:rPr>
          <w:rtl/>
          <w:lang w:bidi="ar-JO"/>
        </w:rPr>
        <w:t xml:space="preserve"> </w:t>
      </w:r>
      <w:r w:rsidR="00F32B28" w:rsidRPr="00F32B28">
        <w:rPr>
          <w:rtl/>
          <w:lang w:bidi="ar-JO"/>
        </w:rPr>
        <w:t>على</w:t>
      </w:r>
      <w:r w:rsidR="00F32B28">
        <w:rPr>
          <w:rtl/>
          <w:lang w:bidi="ar-JO"/>
        </w:rPr>
        <w:t xml:space="preserve"> </w:t>
      </w:r>
      <w:r w:rsidR="00F32B28" w:rsidRPr="00F32B28">
        <w:rPr>
          <w:rtl/>
          <w:lang w:bidi="ar-JO"/>
        </w:rPr>
        <w:t>الاتفاقيات</w:t>
      </w:r>
      <w:r w:rsidR="00F32B28" w:rsidRPr="00F32B28">
        <w:rPr>
          <w:rtl/>
          <w:lang w:bidi="ar-SY"/>
        </w:rPr>
        <w:t>استهدفت</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العاملين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المؤسسات</w:t>
      </w:r>
      <w:r w:rsidR="00F32B28">
        <w:rPr>
          <w:rtl/>
          <w:lang w:bidi="ar-SY"/>
        </w:rPr>
        <w:t xml:space="preserve"> </w:t>
      </w:r>
      <w:r w:rsidR="00F32B28" w:rsidRPr="00F32B28">
        <w:rPr>
          <w:rtl/>
          <w:lang w:bidi="ar-SY"/>
        </w:rPr>
        <w:t>الحكومية</w:t>
      </w:r>
      <w:r w:rsidR="00F32B28">
        <w:rPr>
          <w:rtl/>
          <w:lang w:bidi="ar-SY"/>
        </w:rPr>
        <w:t xml:space="preserve"> </w:t>
      </w:r>
      <w:r w:rsidR="00F32B28" w:rsidRPr="00F32B28">
        <w:rPr>
          <w:rtl/>
          <w:lang w:bidi="ar-SY"/>
        </w:rPr>
        <w:t>والهيئة</w:t>
      </w:r>
      <w:r w:rsidR="00F32B28">
        <w:rPr>
          <w:rtl/>
          <w:lang w:bidi="ar-SY"/>
        </w:rPr>
        <w:t xml:space="preserve"> </w:t>
      </w:r>
      <w:r w:rsidR="00F32B28" w:rsidRPr="00F32B28">
        <w:rPr>
          <w:rtl/>
          <w:lang w:bidi="ar-SY"/>
        </w:rPr>
        <w:t>المستقلة</w:t>
      </w:r>
      <w:r w:rsidR="00F32B28">
        <w:rPr>
          <w:rtl/>
          <w:lang w:bidi="ar-SY"/>
        </w:rPr>
        <w:t xml:space="preserve"> </w:t>
      </w:r>
      <w:r w:rsidR="00F32B28" w:rsidRPr="00F32B28">
        <w:rPr>
          <w:rtl/>
          <w:lang w:bidi="ar-SY"/>
        </w:rPr>
        <w:t>ومؤسسات</w:t>
      </w:r>
      <w:r w:rsidR="00F32B28">
        <w:rPr>
          <w:rtl/>
          <w:lang w:bidi="ar-SY"/>
        </w:rPr>
        <w:t xml:space="preserve"> </w:t>
      </w:r>
      <w:r w:rsidR="00F32B28" w:rsidRPr="00F32B28">
        <w:rPr>
          <w:rtl/>
          <w:lang w:bidi="ar-SY"/>
        </w:rPr>
        <w:t>المجتمع</w:t>
      </w:r>
      <w:r w:rsidR="00F32B28">
        <w:rPr>
          <w:rtl/>
          <w:lang w:bidi="ar-SY"/>
        </w:rPr>
        <w:t xml:space="preserve"> </w:t>
      </w:r>
      <w:r w:rsidR="00F32B28" w:rsidRPr="00F32B28">
        <w:rPr>
          <w:rtl/>
          <w:lang w:bidi="ar-SY"/>
        </w:rPr>
        <w:t>المدني.</w:t>
      </w:r>
    </w:p>
    <w:p w:rsidR="00F32B28" w:rsidRPr="00F32B28" w:rsidRDefault="00596246" w:rsidP="00596246">
      <w:pPr>
        <w:pStyle w:val="SingleTxt"/>
        <w:rPr>
          <w:rtl/>
        </w:rPr>
      </w:pPr>
      <w:r>
        <w:rPr>
          <w:rFonts w:hint="cs"/>
          <w:rtl/>
        </w:rPr>
        <w:t>57 -</w:t>
      </w:r>
      <w:r>
        <w:rPr>
          <w:rFonts w:hint="cs"/>
          <w:rtl/>
        </w:rPr>
        <w:tab/>
      </w:r>
      <w:r w:rsidR="00F32B28" w:rsidRPr="00F32B28">
        <w:rPr>
          <w:rtl/>
        </w:rPr>
        <w:t>كما</w:t>
      </w:r>
      <w:r w:rsidR="00F32B28">
        <w:rPr>
          <w:rtl/>
        </w:rPr>
        <w:t xml:space="preserve"> </w:t>
      </w:r>
      <w:r w:rsidR="00F32B28" w:rsidRPr="00F32B28">
        <w:rPr>
          <w:rtl/>
        </w:rPr>
        <w:t>تلعب</w:t>
      </w:r>
      <w:r w:rsidR="00F32B28">
        <w:rPr>
          <w:rtl/>
        </w:rPr>
        <w:t xml:space="preserve"> </w:t>
      </w:r>
      <w:r w:rsidR="00F32B28" w:rsidRPr="00F32B28">
        <w:rPr>
          <w:rtl/>
        </w:rPr>
        <w:t>مؤسسات</w:t>
      </w:r>
      <w:r w:rsidR="00F32B28">
        <w:rPr>
          <w:rtl/>
        </w:rPr>
        <w:t xml:space="preserve"> </w:t>
      </w:r>
      <w:r w:rsidR="00F32B28" w:rsidRPr="00F32B28">
        <w:rPr>
          <w:rtl/>
        </w:rPr>
        <w:t>المجتمع</w:t>
      </w:r>
      <w:r w:rsidR="00F32B28">
        <w:rPr>
          <w:rtl/>
        </w:rPr>
        <w:t xml:space="preserve"> </w:t>
      </w:r>
      <w:r w:rsidR="00F32B28" w:rsidRPr="00F32B28">
        <w:rPr>
          <w:rtl/>
        </w:rPr>
        <w:t>المدني</w:t>
      </w:r>
      <w:r w:rsidR="00F32B28">
        <w:rPr>
          <w:rtl/>
        </w:rPr>
        <w:t xml:space="preserve"> </w:t>
      </w:r>
      <w:r w:rsidR="00F32B28" w:rsidRPr="00F32B28">
        <w:rPr>
          <w:rtl/>
        </w:rPr>
        <w:t>دوراً</w:t>
      </w:r>
      <w:r w:rsidR="00F32B28">
        <w:rPr>
          <w:rtl/>
        </w:rPr>
        <w:t xml:space="preserve"> </w:t>
      </w:r>
      <w:r w:rsidR="00F32B28" w:rsidRPr="00F32B28">
        <w:rPr>
          <w:rtl/>
        </w:rPr>
        <w:t>بارزاً</w:t>
      </w:r>
      <w:r w:rsidR="00F32B28">
        <w:rPr>
          <w:rtl/>
        </w:rPr>
        <w:t xml:space="preserve"> </w:t>
      </w:r>
      <w:r w:rsidR="00F32B28" w:rsidRPr="00F32B28">
        <w:rPr>
          <w:rtl/>
        </w:rPr>
        <w:t>في</w:t>
      </w:r>
      <w:r w:rsidR="00F32B28">
        <w:rPr>
          <w:rtl/>
        </w:rPr>
        <w:t xml:space="preserve"> </w:t>
      </w:r>
      <w:r w:rsidR="00F32B28" w:rsidRPr="00F32B28">
        <w:rPr>
          <w:rtl/>
        </w:rPr>
        <w:t>رفع</w:t>
      </w:r>
      <w:r w:rsidR="00F32B28">
        <w:rPr>
          <w:rtl/>
        </w:rPr>
        <w:t xml:space="preserve"> </w:t>
      </w:r>
      <w:r w:rsidR="00F32B28" w:rsidRPr="00F32B28">
        <w:rPr>
          <w:rtl/>
        </w:rPr>
        <w:t>الوعي</w:t>
      </w:r>
      <w:r w:rsidR="00F32B28">
        <w:rPr>
          <w:rtl/>
        </w:rPr>
        <w:t xml:space="preserve"> </w:t>
      </w:r>
      <w:r w:rsidR="00F32B28" w:rsidRPr="00F32B28">
        <w:rPr>
          <w:rtl/>
        </w:rPr>
        <w:t>حول</w:t>
      </w:r>
      <w:r w:rsidR="00F32B28">
        <w:rPr>
          <w:rtl/>
        </w:rPr>
        <w:t xml:space="preserve"> </w:t>
      </w:r>
      <w:r w:rsidR="00F32B28" w:rsidRPr="00F32B28">
        <w:rPr>
          <w:rtl/>
        </w:rPr>
        <w:t>حقوق</w:t>
      </w:r>
      <w:r w:rsidR="00F32B28">
        <w:rPr>
          <w:rtl/>
        </w:rPr>
        <w:t xml:space="preserve"> </w:t>
      </w:r>
      <w:r w:rsidR="00F32B28" w:rsidRPr="00F32B28">
        <w:rPr>
          <w:rtl/>
        </w:rPr>
        <w:t>المرأة</w:t>
      </w:r>
      <w:r w:rsidR="00F32B28">
        <w:rPr>
          <w:rtl/>
        </w:rPr>
        <w:t xml:space="preserve"> </w:t>
      </w:r>
      <w:r w:rsidR="00F32B28" w:rsidRPr="00F32B28">
        <w:rPr>
          <w:rtl/>
        </w:rPr>
        <w:t>وتشكيل</w:t>
      </w:r>
      <w:r w:rsidR="00F32B28">
        <w:rPr>
          <w:rtl/>
        </w:rPr>
        <w:t xml:space="preserve"> </w:t>
      </w:r>
      <w:r w:rsidR="00F32B28" w:rsidRPr="00F32B28">
        <w:rPr>
          <w:rtl/>
        </w:rPr>
        <w:t>حملات</w:t>
      </w:r>
      <w:r w:rsidR="00F32B28">
        <w:rPr>
          <w:rtl/>
        </w:rPr>
        <w:t xml:space="preserve"> </w:t>
      </w:r>
      <w:r w:rsidR="00F32B28" w:rsidRPr="00F32B28">
        <w:rPr>
          <w:rtl/>
        </w:rPr>
        <w:t>المناصرة</w:t>
      </w:r>
      <w:r w:rsidR="00F32B28">
        <w:rPr>
          <w:rtl/>
        </w:rPr>
        <w:t xml:space="preserve"> </w:t>
      </w:r>
      <w:r w:rsidR="00F32B28" w:rsidRPr="00F32B28">
        <w:rPr>
          <w:rtl/>
        </w:rPr>
        <w:t>حول</w:t>
      </w:r>
      <w:r w:rsidR="00F32B28">
        <w:rPr>
          <w:rtl/>
        </w:rPr>
        <w:t xml:space="preserve"> </w:t>
      </w:r>
      <w:r w:rsidR="00F32B28" w:rsidRPr="00F32B28">
        <w:rPr>
          <w:rtl/>
        </w:rPr>
        <w:t>مسائل</w:t>
      </w:r>
      <w:r w:rsidR="00F32B28">
        <w:rPr>
          <w:rtl/>
        </w:rPr>
        <w:t xml:space="preserve"> </w:t>
      </w:r>
      <w:r w:rsidR="00F32B28" w:rsidRPr="00F32B28">
        <w:rPr>
          <w:rtl/>
        </w:rPr>
        <w:t>المساواة</w:t>
      </w:r>
      <w:r w:rsidR="00F32B28">
        <w:rPr>
          <w:rtl/>
        </w:rPr>
        <w:t xml:space="preserve"> </w:t>
      </w:r>
      <w:r w:rsidR="00F32B28" w:rsidRPr="00F32B28">
        <w:rPr>
          <w:rtl/>
        </w:rPr>
        <w:t>بين</w:t>
      </w:r>
      <w:r w:rsidR="00F32B28">
        <w:rPr>
          <w:rtl/>
        </w:rPr>
        <w:t xml:space="preserve"> </w:t>
      </w:r>
      <w:r w:rsidR="00F32B28" w:rsidRPr="00F32B28">
        <w:rPr>
          <w:rtl/>
        </w:rPr>
        <w:t>الجنسين.</w:t>
      </w:r>
      <w:r w:rsidR="00F32B28">
        <w:rPr>
          <w:rtl/>
        </w:rPr>
        <w:t xml:space="preserve"> </w:t>
      </w:r>
      <w:r w:rsidR="00F32B28" w:rsidRPr="00F32B28">
        <w:rPr>
          <w:rtl/>
        </w:rPr>
        <w:t>كما</w:t>
      </w:r>
      <w:r w:rsidR="00F32B28">
        <w:rPr>
          <w:rtl/>
        </w:rPr>
        <w:t xml:space="preserve"> </w:t>
      </w:r>
      <w:r w:rsidR="00F32B28" w:rsidRPr="00F32B28">
        <w:rPr>
          <w:rtl/>
        </w:rPr>
        <w:t>تشكل</w:t>
      </w:r>
      <w:r w:rsidR="00F32B28">
        <w:rPr>
          <w:rtl/>
        </w:rPr>
        <w:t xml:space="preserve"> </w:t>
      </w:r>
      <w:r w:rsidR="00F32B28" w:rsidRPr="00F32B28">
        <w:rPr>
          <w:rtl/>
        </w:rPr>
        <w:t>هذه</w:t>
      </w:r>
      <w:r w:rsidR="00F32B28">
        <w:rPr>
          <w:rtl/>
        </w:rPr>
        <w:t xml:space="preserve"> </w:t>
      </w:r>
      <w:r w:rsidR="00F32B28" w:rsidRPr="00F32B28">
        <w:rPr>
          <w:rtl/>
        </w:rPr>
        <w:t>المؤسسات،</w:t>
      </w:r>
      <w:r w:rsidR="00F32B28">
        <w:rPr>
          <w:rtl/>
        </w:rPr>
        <w:t xml:space="preserve"> </w:t>
      </w:r>
      <w:r w:rsidR="00F32B28" w:rsidRPr="00F32B28">
        <w:rPr>
          <w:rtl/>
        </w:rPr>
        <w:t>لا</w:t>
      </w:r>
      <w:r w:rsidR="00F32B28">
        <w:rPr>
          <w:rtl/>
        </w:rPr>
        <w:t xml:space="preserve"> </w:t>
      </w:r>
      <w:r w:rsidR="00F32B28" w:rsidRPr="00F32B28">
        <w:rPr>
          <w:rtl/>
        </w:rPr>
        <w:t>سيما</w:t>
      </w:r>
      <w:r w:rsidR="00F32B28">
        <w:rPr>
          <w:rtl/>
        </w:rPr>
        <w:t xml:space="preserve"> </w:t>
      </w:r>
      <w:r w:rsidR="00F32B28" w:rsidRPr="00F32B28">
        <w:rPr>
          <w:rtl/>
        </w:rPr>
        <w:t>النسوية</w:t>
      </w:r>
      <w:r w:rsidR="00F32B28">
        <w:rPr>
          <w:rtl/>
        </w:rPr>
        <w:t xml:space="preserve"> </w:t>
      </w:r>
      <w:r w:rsidR="00F32B28" w:rsidRPr="00F32B28">
        <w:rPr>
          <w:rtl/>
        </w:rPr>
        <w:t>منها،</w:t>
      </w:r>
      <w:r w:rsidR="00F32B28">
        <w:rPr>
          <w:rtl/>
        </w:rPr>
        <w:t xml:space="preserve"> </w:t>
      </w:r>
      <w:r w:rsidR="00F32B28" w:rsidRPr="00F32B28">
        <w:rPr>
          <w:rtl/>
        </w:rPr>
        <w:t>أداة</w:t>
      </w:r>
      <w:r w:rsidR="00F32B28">
        <w:rPr>
          <w:rtl/>
        </w:rPr>
        <w:t xml:space="preserve"> </w:t>
      </w:r>
      <w:r w:rsidR="00F32B28" w:rsidRPr="00F32B28">
        <w:rPr>
          <w:rtl/>
        </w:rPr>
        <w:t>رقابية</w:t>
      </w:r>
      <w:r w:rsidR="00F32B28">
        <w:rPr>
          <w:rtl/>
        </w:rPr>
        <w:t xml:space="preserve"> </w:t>
      </w:r>
      <w:r w:rsidR="00F32B28" w:rsidRPr="00F32B28">
        <w:rPr>
          <w:rtl/>
        </w:rPr>
        <w:t>على</w:t>
      </w:r>
      <w:r w:rsidR="00F32B28">
        <w:rPr>
          <w:rtl/>
        </w:rPr>
        <w:t xml:space="preserve"> </w:t>
      </w:r>
      <w:r w:rsidR="00F32B28" w:rsidRPr="00F32B28">
        <w:rPr>
          <w:rtl/>
        </w:rPr>
        <w:t>أداء</w:t>
      </w:r>
      <w:r w:rsidR="00F32B28">
        <w:rPr>
          <w:rtl/>
        </w:rPr>
        <w:t xml:space="preserve"> </w:t>
      </w:r>
      <w:r w:rsidR="00F32B28" w:rsidRPr="00F32B28">
        <w:rPr>
          <w:rtl/>
        </w:rPr>
        <w:t>المؤسسات</w:t>
      </w:r>
      <w:r w:rsidR="00F32B28">
        <w:rPr>
          <w:rtl/>
        </w:rPr>
        <w:t xml:space="preserve"> </w:t>
      </w:r>
      <w:r w:rsidR="00F32B28" w:rsidRPr="00F32B28">
        <w:rPr>
          <w:rtl/>
        </w:rPr>
        <w:t>الرسمية</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في</w:t>
      </w:r>
      <w:r w:rsidR="00F32B28">
        <w:rPr>
          <w:rtl/>
        </w:rPr>
        <w:t xml:space="preserve"> </w:t>
      </w:r>
      <w:r w:rsidR="00F32B28" w:rsidRPr="00F32B28">
        <w:rPr>
          <w:rtl/>
        </w:rPr>
        <w:t>هذا</w:t>
      </w:r>
      <w:r w:rsidR="00F32B28">
        <w:rPr>
          <w:rtl/>
        </w:rPr>
        <w:t xml:space="preserve"> </w:t>
      </w:r>
      <w:r w:rsidR="00F32B28" w:rsidRPr="00F32B28">
        <w:rPr>
          <w:rtl/>
        </w:rPr>
        <w:t>الخصوص؛</w:t>
      </w:r>
      <w:r w:rsidR="00F32B28">
        <w:rPr>
          <w:rtl/>
        </w:rPr>
        <w:t xml:space="preserve"> </w:t>
      </w:r>
      <w:r w:rsidR="00F32B28" w:rsidRPr="00F32B28">
        <w:rPr>
          <w:rtl/>
        </w:rPr>
        <w:t>خاصة</w:t>
      </w:r>
      <w:r w:rsidR="00F32B28">
        <w:rPr>
          <w:rtl/>
        </w:rPr>
        <w:t xml:space="preserve"> </w:t>
      </w:r>
      <w:r w:rsidR="00F32B28" w:rsidRPr="00F32B28">
        <w:rPr>
          <w:rtl/>
        </w:rPr>
        <w:t>أن</w:t>
      </w:r>
      <w:r w:rsidR="00F32B28">
        <w:rPr>
          <w:rtl/>
        </w:rPr>
        <w:t xml:space="preserve"> </w:t>
      </w:r>
      <w:r w:rsidR="00F32B28" w:rsidRPr="00F32B28">
        <w:rPr>
          <w:rtl/>
        </w:rPr>
        <w:t>النساء</w:t>
      </w:r>
      <w:r w:rsidR="00F32B28">
        <w:rPr>
          <w:rtl/>
        </w:rPr>
        <w:t xml:space="preserve"> </w:t>
      </w:r>
      <w:r w:rsidR="00F32B28" w:rsidRPr="00F32B28">
        <w:rPr>
          <w:rtl/>
        </w:rPr>
        <w:t>يجدن</w:t>
      </w:r>
      <w:r w:rsidR="00F32B28">
        <w:rPr>
          <w:rtl/>
        </w:rPr>
        <w:t xml:space="preserve"> </w:t>
      </w:r>
      <w:r w:rsidR="00F32B28" w:rsidRPr="00F32B28">
        <w:rPr>
          <w:rtl/>
        </w:rPr>
        <w:t>آلية</w:t>
      </w:r>
      <w:r w:rsidR="00F32B28">
        <w:rPr>
          <w:rtl/>
        </w:rPr>
        <w:t xml:space="preserve"> </w:t>
      </w:r>
      <w:r w:rsidR="00F32B28" w:rsidRPr="00F32B28">
        <w:rPr>
          <w:rtl/>
        </w:rPr>
        <w:t>مباشرة</w:t>
      </w:r>
      <w:r w:rsidR="00F32B28">
        <w:rPr>
          <w:rtl/>
        </w:rPr>
        <w:t xml:space="preserve"> </w:t>
      </w:r>
      <w:r w:rsidR="00F32B28" w:rsidRPr="00F32B28">
        <w:rPr>
          <w:rtl/>
        </w:rPr>
        <w:t>للوصول</w:t>
      </w:r>
      <w:r w:rsidR="00F32B28">
        <w:rPr>
          <w:rtl/>
        </w:rPr>
        <w:t xml:space="preserve"> </w:t>
      </w:r>
      <w:r w:rsidR="00F32B28" w:rsidRPr="00F32B28">
        <w:rPr>
          <w:rtl/>
        </w:rPr>
        <w:t>لهذه</w:t>
      </w:r>
      <w:r w:rsidR="00F32B28">
        <w:rPr>
          <w:rtl/>
        </w:rPr>
        <w:t xml:space="preserve"> </w:t>
      </w:r>
      <w:r w:rsidR="00F32B28" w:rsidRPr="00F32B28">
        <w:rPr>
          <w:rtl/>
        </w:rPr>
        <w:t>المؤسسات</w:t>
      </w:r>
      <w:r w:rsidR="00F32B28">
        <w:rPr>
          <w:rtl/>
        </w:rPr>
        <w:t xml:space="preserve"> </w:t>
      </w:r>
      <w:r w:rsidR="00F32B28" w:rsidRPr="00F32B28">
        <w:rPr>
          <w:rtl/>
        </w:rPr>
        <w:t>للدفاع</w:t>
      </w:r>
      <w:r w:rsidR="00F32B28">
        <w:rPr>
          <w:rtl/>
        </w:rPr>
        <w:t xml:space="preserve"> </w:t>
      </w:r>
      <w:r w:rsidR="00F32B28" w:rsidRPr="00F32B28">
        <w:rPr>
          <w:rtl/>
        </w:rPr>
        <w:t>عنها</w:t>
      </w:r>
      <w:r w:rsidR="00F32B28">
        <w:rPr>
          <w:rtl/>
        </w:rPr>
        <w:t xml:space="preserve"> </w:t>
      </w:r>
      <w:r w:rsidR="00F32B28" w:rsidRPr="00F32B28">
        <w:rPr>
          <w:rtl/>
        </w:rPr>
        <w:t>والتواصل</w:t>
      </w:r>
      <w:r w:rsidR="00F32B28">
        <w:rPr>
          <w:rtl/>
        </w:rPr>
        <w:t xml:space="preserve"> </w:t>
      </w:r>
      <w:r w:rsidR="00F32B28" w:rsidRPr="00F32B28">
        <w:rPr>
          <w:rtl/>
        </w:rPr>
        <w:t>عبرها</w:t>
      </w:r>
      <w:r w:rsidR="00F32B28">
        <w:rPr>
          <w:rtl/>
        </w:rPr>
        <w:t xml:space="preserve"> </w:t>
      </w:r>
      <w:r w:rsidR="00F32B28" w:rsidRPr="00F32B28">
        <w:rPr>
          <w:rtl/>
        </w:rPr>
        <w:t>مع</w:t>
      </w:r>
      <w:r w:rsidR="00F32B28">
        <w:rPr>
          <w:rtl/>
        </w:rPr>
        <w:t xml:space="preserve"> </w:t>
      </w:r>
      <w:r w:rsidR="00F32B28" w:rsidRPr="00F32B28">
        <w:rPr>
          <w:rtl/>
        </w:rPr>
        <w:t>الجهات</w:t>
      </w:r>
      <w:r w:rsidR="00F32B28">
        <w:rPr>
          <w:rtl/>
        </w:rPr>
        <w:t xml:space="preserve"> </w:t>
      </w:r>
      <w:r w:rsidR="00F32B28" w:rsidRPr="00F32B28">
        <w:rPr>
          <w:rtl/>
        </w:rPr>
        <w:t>المختصة.</w:t>
      </w:r>
    </w:p>
    <w:p w:rsidR="00596246" w:rsidRPr="00596246" w:rsidRDefault="00596246" w:rsidP="00596246">
      <w:pPr>
        <w:pStyle w:val="SingleTxt"/>
        <w:spacing w:after="0" w:line="120" w:lineRule="exact"/>
        <w:rPr>
          <w:b/>
          <w:bCs/>
          <w:sz w:val="10"/>
          <w:rtl/>
        </w:rPr>
      </w:pPr>
    </w:p>
    <w:p w:rsidR="00596246" w:rsidRPr="00596246" w:rsidRDefault="00596246" w:rsidP="00596246">
      <w:pPr>
        <w:pStyle w:val="SingleTxt"/>
        <w:spacing w:after="0" w:line="120" w:lineRule="exact"/>
        <w:rPr>
          <w:b/>
          <w:bCs/>
          <w:sz w:val="10"/>
          <w:rtl/>
        </w:rPr>
      </w:pPr>
    </w:p>
    <w:p w:rsidR="00F32B28" w:rsidRPr="00FD6731" w:rsidRDefault="00FD6731" w:rsidP="00FD673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F32B28" w:rsidRPr="00F32B28">
        <w:rPr>
          <w:rtl/>
        </w:rPr>
        <w:t>المادة</w:t>
      </w:r>
      <w:r w:rsidR="00F32B28">
        <w:rPr>
          <w:rtl/>
        </w:rPr>
        <w:t xml:space="preserve"> </w:t>
      </w:r>
      <w:r w:rsidR="00F32B28" w:rsidRPr="00F32B28">
        <w:rPr>
          <w:rtl/>
        </w:rPr>
        <w:t>(3)</w:t>
      </w:r>
      <w:r>
        <w:rPr>
          <w:rFonts w:hint="cs"/>
          <w:rtl/>
        </w:rPr>
        <w:tab/>
      </w:r>
      <w:r>
        <w:rPr>
          <w:rtl/>
        </w:rPr>
        <w:br/>
      </w:r>
      <w:r w:rsidR="00F32B28" w:rsidRPr="00FD6731">
        <w:rPr>
          <w:rtl/>
        </w:rPr>
        <w:t>التدابير والسياسات العامة</w:t>
      </w:r>
    </w:p>
    <w:p w:rsidR="00F32B28" w:rsidRPr="00F32B28" w:rsidRDefault="00596246" w:rsidP="00596246">
      <w:pPr>
        <w:pStyle w:val="SingleTxt"/>
        <w:rPr>
          <w:b/>
          <w:bCs/>
        </w:rPr>
      </w:pPr>
      <w:r>
        <w:rPr>
          <w:rFonts w:hint="cs"/>
          <w:rtl/>
          <w:lang w:bidi="ar-SY"/>
        </w:rPr>
        <w:t>58 -</w:t>
      </w:r>
      <w:r>
        <w:rPr>
          <w:rFonts w:hint="cs"/>
          <w:rtl/>
          <w:lang w:bidi="ar-SY"/>
        </w:rPr>
        <w:tab/>
      </w:r>
      <w:r w:rsidR="00F32B28" w:rsidRPr="00F32B28">
        <w:rPr>
          <w:rtl/>
          <w:lang w:bidi="ar-SY"/>
        </w:rPr>
        <w:t>شرعت</w:t>
      </w:r>
      <w:r w:rsidR="00F32B28">
        <w:rPr>
          <w:rtl/>
          <w:lang w:bidi="ar-SY"/>
        </w:rPr>
        <w:t xml:space="preserve"> </w:t>
      </w:r>
      <w:r w:rsidR="00F32B28" w:rsidRPr="00F32B28">
        <w:rPr>
          <w:rtl/>
          <w:lang w:bidi="ar-SY"/>
        </w:rPr>
        <w:t>الحكومة</w:t>
      </w:r>
      <w:r w:rsidR="00F32B28">
        <w:rPr>
          <w:rtl/>
          <w:lang w:bidi="ar-SY"/>
        </w:rPr>
        <w:t xml:space="preserve"> </w:t>
      </w:r>
      <w:r w:rsidR="00F32B28" w:rsidRPr="00F32B28">
        <w:rPr>
          <w:rtl/>
          <w:lang w:bidi="ar-SY"/>
        </w:rPr>
        <w:t>منذ</w:t>
      </w:r>
      <w:r w:rsidR="00F32B28">
        <w:rPr>
          <w:rtl/>
          <w:lang w:bidi="ar-SY"/>
        </w:rPr>
        <w:t xml:space="preserve"> </w:t>
      </w:r>
      <w:r w:rsidR="00F32B28" w:rsidRPr="00F32B28">
        <w:rPr>
          <w:rtl/>
          <w:lang w:bidi="ar-SY"/>
        </w:rPr>
        <w:t>التسعينيات</w:t>
      </w:r>
      <w:r w:rsidR="00F32B28">
        <w:rPr>
          <w:rtl/>
          <w:lang w:bidi="ar-SY"/>
        </w:rPr>
        <w:t xml:space="preserve"> </w:t>
      </w:r>
      <w:r w:rsidR="00F32B28" w:rsidRPr="00F32B28">
        <w:rPr>
          <w:rtl/>
          <w:lang w:bidi="ar-SY"/>
        </w:rPr>
        <w:t>بإجراء</w:t>
      </w:r>
      <w:r w:rsidR="00F32B28">
        <w:rPr>
          <w:rtl/>
          <w:lang w:bidi="ar-SY"/>
        </w:rPr>
        <w:t xml:space="preserve"> </w:t>
      </w:r>
      <w:r w:rsidR="00F32B28" w:rsidRPr="00F32B28">
        <w:rPr>
          <w:rtl/>
          <w:lang w:bidi="ar-SY"/>
        </w:rPr>
        <w:t>عملية</w:t>
      </w:r>
      <w:r w:rsidR="00F32B28">
        <w:rPr>
          <w:rtl/>
          <w:lang w:bidi="ar-SY"/>
        </w:rPr>
        <w:t xml:space="preserve"> </w:t>
      </w:r>
      <w:r w:rsidR="00F32B28" w:rsidRPr="00F32B28">
        <w:rPr>
          <w:rtl/>
          <w:lang w:bidi="ar-SY"/>
        </w:rPr>
        <w:t>إصلاح</w:t>
      </w:r>
      <w:r w:rsidR="00F32B28">
        <w:rPr>
          <w:rtl/>
          <w:lang w:bidi="ar-SY"/>
        </w:rPr>
        <w:t xml:space="preserve"> </w:t>
      </w:r>
      <w:r w:rsidR="00F32B28" w:rsidRPr="00F32B28">
        <w:rPr>
          <w:rtl/>
          <w:lang w:bidi="ar-SY"/>
        </w:rPr>
        <w:t>تشريعية</w:t>
      </w:r>
      <w:r w:rsidR="00F32B28">
        <w:rPr>
          <w:rtl/>
          <w:lang w:bidi="ar-SY"/>
        </w:rPr>
        <w:t xml:space="preserve"> </w:t>
      </w:r>
      <w:r w:rsidR="00F32B28" w:rsidRPr="00F32B28">
        <w:rPr>
          <w:rtl/>
          <w:lang w:bidi="ar-SY"/>
        </w:rPr>
        <w:t>انطلاقاً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التزامها</w:t>
      </w:r>
      <w:r w:rsidR="00F32B28">
        <w:rPr>
          <w:rtl/>
          <w:lang w:bidi="ar-SY"/>
        </w:rPr>
        <w:t xml:space="preserve"> </w:t>
      </w:r>
      <w:r w:rsidR="00F32B28" w:rsidRPr="00F32B28">
        <w:rPr>
          <w:rtl/>
          <w:lang w:bidi="ar-SY"/>
        </w:rPr>
        <w:t>بمبادئ</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وإرادتها</w:t>
      </w:r>
      <w:r w:rsidR="00F32B28">
        <w:rPr>
          <w:rtl/>
          <w:lang w:bidi="ar-SY"/>
        </w:rPr>
        <w:t xml:space="preserve"> </w:t>
      </w:r>
      <w:r w:rsidR="00F32B28" w:rsidRPr="00F32B28">
        <w:rPr>
          <w:rtl/>
          <w:lang w:bidi="ar-SY"/>
        </w:rPr>
        <w:t>الراسخة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مواصلة</w:t>
      </w:r>
      <w:r w:rsidR="00F32B28">
        <w:rPr>
          <w:rtl/>
          <w:lang w:bidi="ar-SY"/>
        </w:rPr>
        <w:t xml:space="preserve"> </w:t>
      </w:r>
      <w:r w:rsidR="00F32B28" w:rsidRPr="00F32B28">
        <w:rPr>
          <w:rtl/>
          <w:lang w:bidi="ar-SY"/>
        </w:rPr>
        <w:t>تعزيز</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ولم</w:t>
      </w:r>
      <w:r w:rsidR="00F32B28">
        <w:rPr>
          <w:rtl/>
          <w:lang w:bidi="ar-SY"/>
        </w:rPr>
        <w:t xml:space="preserve"> </w:t>
      </w:r>
      <w:r w:rsidR="00F32B28" w:rsidRPr="00F32B28">
        <w:rPr>
          <w:rtl/>
          <w:lang w:bidi="ar-SY"/>
        </w:rPr>
        <w:t>ترمِ</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الإصلاحات</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إلغاء</w:t>
      </w:r>
      <w:r w:rsidR="00F32B28">
        <w:rPr>
          <w:rtl/>
          <w:lang w:bidi="ar-SY"/>
        </w:rPr>
        <w:t xml:space="preserve"> </w:t>
      </w:r>
      <w:r w:rsidR="00F32B28" w:rsidRPr="00F32B28">
        <w:rPr>
          <w:rtl/>
          <w:lang w:bidi="ar-SY"/>
        </w:rPr>
        <w:t>الأحكام</w:t>
      </w:r>
      <w:r w:rsidR="00F32B28">
        <w:rPr>
          <w:rtl/>
          <w:lang w:bidi="ar-SY"/>
        </w:rPr>
        <w:t xml:space="preserve"> </w:t>
      </w:r>
      <w:r w:rsidR="00F32B28" w:rsidRPr="00F32B28">
        <w:rPr>
          <w:rtl/>
          <w:lang w:bidi="ar-SY"/>
        </w:rPr>
        <w:t>التمييزية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فحسب،</w:t>
      </w:r>
      <w:r w:rsidR="00F32B28">
        <w:rPr>
          <w:rtl/>
          <w:lang w:bidi="ar-SY"/>
        </w:rPr>
        <w:t xml:space="preserve"> </w:t>
      </w:r>
      <w:r w:rsidR="00F32B28" w:rsidRPr="00F32B28">
        <w:rPr>
          <w:rtl/>
          <w:lang w:bidi="ar-SY"/>
        </w:rPr>
        <w:t>بل</w:t>
      </w:r>
      <w:r w:rsidR="00F32B28">
        <w:rPr>
          <w:rtl/>
          <w:lang w:bidi="ar-SY"/>
        </w:rPr>
        <w:t xml:space="preserve"> </w:t>
      </w:r>
      <w:r w:rsidR="00F32B28" w:rsidRPr="00F32B28">
        <w:rPr>
          <w:rtl/>
          <w:lang w:bidi="ar-SY"/>
        </w:rPr>
        <w:t>أيضاً</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ضمان</w:t>
      </w:r>
      <w:r w:rsidR="00F32B28">
        <w:rPr>
          <w:rtl/>
          <w:lang w:bidi="ar-SY"/>
        </w:rPr>
        <w:t xml:space="preserve"> </w:t>
      </w:r>
      <w:r w:rsidR="00F32B28" w:rsidRPr="00F32B28">
        <w:rPr>
          <w:rtl/>
          <w:lang w:bidi="ar-SY"/>
        </w:rPr>
        <w:t>تمتع</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بحقوقها</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فعلي</w:t>
      </w:r>
      <w:r w:rsidR="00F32B28">
        <w:rPr>
          <w:rtl/>
          <w:lang w:bidi="ar-SY"/>
        </w:rPr>
        <w:t xml:space="preserve"> </w:t>
      </w:r>
      <w:r w:rsidR="00F32B28" w:rsidRPr="00F32B28">
        <w:rPr>
          <w:rtl/>
          <w:lang w:bidi="ar-SY"/>
        </w:rPr>
        <w:t>سواء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الحياة</w:t>
      </w:r>
      <w:r w:rsidR="00F32B28">
        <w:rPr>
          <w:rtl/>
          <w:lang w:bidi="ar-SY"/>
        </w:rPr>
        <w:t xml:space="preserve"> </w:t>
      </w:r>
      <w:r w:rsidR="00F32B28" w:rsidRPr="00F32B28">
        <w:rPr>
          <w:rtl/>
          <w:lang w:bidi="ar-SY"/>
        </w:rPr>
        <w:t>الخاصة</w:t>
      </w:r>
      <w:r w:rsidR="00F32B28">
        <w:rPr>
          <w:rtl/>
          <w:lang w:bidi="ar-SY"/>
        </w:rPr>
        <w:t xml:space="preserve"> </w:t>
      </w:r>
      <w:r w:rsidR="00F32B28" w:rsidRPr="00F32B28">
        <w:rPr>
          <w:rtl/>
          <w:lang w:bidi="ar-SY"/>
        </w:rPr>
        <w:t>والعامة،</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بالرغم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محدودية</w:t>
      </w:r>
      <w:r w:rsidR="00F32B28">
        <w:rPr>
          <w:rtl/>
          <w:lang w:bidi="ar-SY"/>
        </w:rPr>
        <w:t xml:space="preserve"> </w:t>
      </w:r>
      <w:r w:rsidR="00F32B28" w:rsidRPr="00F32B28">
        <w:rPr>
          <w:rtl/>
          <w:lang w:bidi="ar-SY"/>
        </w:rPr>
        <w:t>الموارد</w:t>
      </w:r>
      <w:r w:rsidR="00F32B28">
        <w:rPr>
          <w:rtl/>
          <w:lang w:bidi="ar-SY"/>
        </w:rPr>
        <w:t xml:space="preserve"> </w:t>
      </w:r>
      <w:r w:rsidR="00F32B28" w:rsidRPr="00F32B28">
        <w:rPr>
          <w:rtl/>
          <w:lang w:bidi="ar-SY"/>
        </w:rPr>
        <w:t>الطبيعية</w:t>
      </w:r>
      <w:r w:rsidR="00F32B28">
        <w:rPr>
          <w:rtl/>
          <w:lang w:bidi="ar-SY"/>
        </w:rPr>
        <w:t xml:space="preserve"> </w:t>
      </w:r>
      <w:r w:rsidR="00F32B28" w:rsidRPr="00F32B28">
        <w:rPr>
          <w:rtl/>
          <w:lang w:bidi="ar-SY"/>
        </w:rPr>
        <w:t>والمادية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المستوى</w:t>
      </w:r>
      <w:r w:rsidR="00F32B28">
        <w:rPr>
          <w:rtl/>
          <w:lang w:bidi="ar-SY"/>
        </w:rPr>
        <w:t xml:space="preserve"> </w:t>
      </w:r>
      <w:r w:rsidR="00F32B28" w:rsidRPr="00F32B28">
        <w:rPr>
          <w:rtl/>
          <w:lang w:bidi="ar-SY"/>
        </w:rPr>
        <w:t>المحلي</w:t>
      </w:r>
      <w:r w:rsidR="00F32B28">
        <w:rPr>
          <w:rtl/>
          <w:lang w:bidi="ar-SY"/>
        </w:rPr>
        <w:t xml:space="preserve"> </w:t>
      </w:r>
      <w:r w:rsidR="00F32B28" w:rsidRPr="00F32B28">
        <w:rPr>
          <w:rtl/>
          <w:lang w:bidi="ar-SY"/>
        </w:rPr>
        <w:t>واستمرار</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كمعيق</w:t>
      </w:r>
      <w:r w:rsidR="00F32B28">
        <w:rPr>
          <w:rtl/>
          <w:lang w:bidi="ar-SY"/>
        </w:rPr>
        <w:t xml:space="preserve"> </w:t>
      </w:r>
      <w:r w:rsidR="00F32B28" w:rsidRPr="00F32B28">
        <w:rPr>
          <w:rtl/>
          <w:lang w:bidi="ar-SY"/>
        </w:rPr>
        <w:t>جدي</w:t>
      </w:r>
      <w:r w:rsidR="00F32B28">
        <w:rPr>
          <w:rtl/>
          <w:lang w:bidi="ar-SY"/>
        </w:rPr>
        <w:t xml:space="preserve"> </w:t>
      </w:r>
      <w:r w:rsidR="00F32B28" w:rsidRPr="00F32B28">
        <w:rPr>
          <w:rtl/>
          <w:lang w:bidi="ar-SY"/>
        </w:rPr>
        <w:t>لأي</w:t>
      </w:r>
      <w:r w:rsidR="00F32B28">
        <w:rPr>
          <w:rtl/>
          <w:lang w:bidi="ar-SY"/>
        </w:rPr>
        <w:t xml:space="preserve"> </w:t>
      </w:r>
      <w:r w:rsidR="00F32B28" w:rsidRPr="00F32B28">
        <w:rPr>
          <w:rtl/>
          <w:lang w:bidi="ar-SY"/>
        </w:rPr>
        <w:t>فرص</w:t>
      </w:r>
      <w:r w:rsidR="00F32B28">
        <w:rPr>
          <w:rtl/>
          <w:lang w:bidi="ar-SY"/>
        </w:rPr>
        <w:t xml:space="preserve"> </w:t>
      </w:r>
      <w:r w:rsidR="00F32B28" w:rsidRPr="00F32B28">
        <w:rPr>
          <w:rtl/>
          <w:lang w:bidi="ar-SY"/>
        </w:rPr>
        <w:t>للتنمية</w:t>
      </w:r>
      <w:r w:rsidR="00F32B28">
        <w:rPr>
          <w:rtl/>
          <w:lang w:bidi="ar-SY"/>
        </w:rPr>
        <w:t xml:space="preserve"> </w:t>
      </w:r>
      <w:r w:rsidR="00F32B28" w:rsidRPr="00F32B28">
        <w:rPr>
          <w:rtl/>
          <w:lang w:bidi="ar-SY"/>
        </w:rPr>
        <w:t>المستدامة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المحتلة.</w:t>
      </w:r>
    </w:p>
    <w:p w:rsidR="00F32B28" w:rsidRPr="00F32B28" w:rsidRDefault="00FD6731" w:rsidP="00FD6731">
      <w:pPr>
        <w:pStyle w:val="SingleTxt"/>
      </w:pPr>
      <w:r>
        <w:rPr>
          <w:rFonts w:hint="cs"/>
          <w:rtl/>
          <w:lang w:bidi="ar-SY"/>
        </w:rPr>
        <w:t>59 -</w:t>
      </w:r>
      <w:r>
        <w:rPr>
          <w:rFonts w:hint="cs"/>
          <w:rtl/>
          <w:lang w:bidi="ar-SY"/>
        </w:rPr>
        <w:tab/>
      </w:r>
      <w:r w:rsidR="00F32B28" w:rsidRPr="00F32B28">
        <w:rPr>
          <w:rtl/>
          <w:lang w:bidi="ar-SY"/>
        </w:rPr>
        <w:t>وعلى</w:t>
      </w:r>
      <w:r w:rsidR="00F32B28">
        <w:rPr>
          <w:rtl/>
          <w:lang w:bidi="ar-SY"/>
        </w:rPr>
        <w:t xml:space="preserve"> </w:t>
      </w:r>
      <w:r w:rsidR="00F32B28" w:rsidRPr="00F32B28">
        <w:rPr>
          <w:rtl/>
          <w:lang w:bidi="ar-SY"/>
        </w:rPr>
        <w:t>صعيد</w:t>
      </w:r>
      <w:r w:rsidR="00F32B28">
        <w:rPr>
          <w:rtl/>
          <w:lang w:bidi="ar-SY"/>
        </w:rPr>
        <w:t xml:space="preserve"> </w:t>
      </w:r>
      <w:r w:rsidR="00F32B28" w:rsidRPr="00F32B28">
        <w:rPr>
          <w:rtl/>
          <w:lang w:bidi="ar-SY"/>
        </w:rPr>
        <w:t>التخطيط</w:t>
      </w:r>
      <w:r w:rsidR="00F32B28">
        <w:rPr>
          <w:rtl/>
          <w:lang w:bidi="ar-SY"/>
        </w:rPr>
        <w:t xml:space="preserve"> </w:t>
      </w:r>
      <w:r w:rsidR="00F32B28" w:rsidRPr="00F32B28">
        <w:rPr>
          <w:rtl/>
          <w:lang w:bidi="ar-SY"/>
        </w:rPr>
        <w:t>الوطني،</w:t>
      </w:r>
      <w:r w:rsidR="00F32B28">
        <w:rPr>
          <w:rtl/>
          <w:lang w:bidi="ar-SY"/>
        </w:rPr>
        <w:t xml:space="preserve"> </w:t>
      </w:r>
      <w:r w:rsidR="00F32B28" w:rsidRPr="00F32B28">
        <w:rPr>
          <w:rtl/>
          <w:lang w:bidi="ar-SY"/>
        </w:rPr>
        <w:t>تبنت</w:t>
      </w:r>
      <w:r w:rsidR="00F32B28">
        <w:rPr>
          <w:rtl/>
          <w:lang w:bidi="ar-SY"/>
        </w:rPr>
        <w:t xml:space="preserve"> </w:t>
      </w:r>
      <w:r w:rsidR="00F32B28" w:rsidRPr="00F32B28">
        <w:rPr>
          <w:rtl/>
          <w:lang w:bidi="ar-SY"/>
        </w:rPr>
        <w:t>الحكومة</w:t>
      </w:r>
      <w:r w:rsidR="00F32B28">
        <w:rPr>
          <w:rtl/>
          <w:lang w:bidi="ar-SY"/>
        </w:rPr>
        <w:t xml:space="preserve"> </w:t>
      </w:r>
      <w:r w:rsidR="00F32B28" w:rsidRPr="00F32B28">
        <w:rPr>
          <w:rtl/>
          <w:lang w:bidi="ar-SY"/>
        </w:rPr>
        <w:t>الفلسطينية</w:t>
      </w:r>
      <w:r w:rsidR="001D253C">
        <w:rPr>
          <w:rFonts w:hint="cs"/>
          <w:rtl/>
          <w:lang w:bidi="ar-SY"/>
        </w:rPr>
        <w:t xml:space="preserve"> </w:t>
      </w:r>
      <w:r w:rsidR="001D253C">
        <w:rPr>
          <w:rFonts w:hint="eastAsia"/>
          <w:rtl/>
          <w:lang w:bidi="ar-SY"/>
        </w:rPr>
        <w:t>”</w:t>
      </w:r>
      <w:r w:rsidR="00F32B28" w:rsidRPr="00F32B28">
        <w:rPr>
          <w:i/>
          <w:iCs/>
          <w:rtl/>
          <w:lang w:bidi="ar-SY"/>
        </w:rPr>
        <w:t>أجندة</w:t>
      </w:r>
      <w:r w:rsidR="00F32B28">
        <w:rPr>
          <w:i/>
          <w:iCs/>
          <w:rtl/>
          <w:lang w:bidi="ar-SY"/>
        </w:rPr>
        <w:t xml:space="preserve"> </w:t>
      </w:r>
      <w:r w:rsidR="00F32B28" w:rsidRPr="00F32B28">
        <w:rPr>
          <w:i/>
          <w:iCs/>
          <w:rtl/>
          <w:lang w:bidi="ar-SY"/>
        </w:rPr>
        <w:t>السياسات</w:t>
      </w:r>
      <w:r w:rsidR="00F32B28">
        <w:rPr>
          <w:i/>
          <w:iCs/>
          <w:rtl/>
          <w:lang w:bidi="ar-SY"/>
        </w:rPr>
        <w:t xml:space="preserve"> </w:t>
      </w:r>
      <w:r w:rsidR="00F32B28" w:rsidRPr="00F32B28">
        <w:rPr>
          <w:i/>
          <w:iCs/>
          <w:rtl/>
          <w:lang w:bidi="ar-SY"/>
        </w:rPr>
        <w:t>الوطنية</w:t>
      </w:r>
      <w:r w:rsidR="00F32B28">
        <w:rPr>
          <w:i/>
          <w:iCs/>
          <w:rtl/>
          <w:lang w:bidi="ar-SY"/>
        </w:rPr>
        <w:t xml:space="preserve"> </w:t>
      </w:r>
      <w:r w:rsidR="00F32B28" w:rsidRPr="00F32B28">
        <w:rPr>
          <w:i/>
          <w:iCs/>
          <w:rtl/>
          <w:lang w:bidi="ar-SY"/>
        </w:rPr>
        <w:t>للأعوام</w:t>
      </w:r>
      <w:r w:rsidR="00F32B28">
        <w:rPr>
          <w:i/>
          <w:iCs/>
          <w:rtl/>
          <w:lang w:bidi="ar-SY"/>
        </w:rPr>
        <w:t xml:space="preserve"> </w:t>
      </w:r>
      <w:r w:rsidR="00F32B28" w:rsidRPr="00F32B28">
        <w:rPr>
          <w:i/>
          <w:iCs/>
          <w:rtl/>
          <w:lang w:bidi="ar-SY"/>
        </w:rPr>
        <w:t>الستة</w:t>
      </w:r>
      <w:r w:rsidR="00F32B28">
        <w:rPr>
          <w:i/>
          <w:iCs/>
          <w:rtl/>
          <w:lang w:bidi="ar-SY"/>
        </w:rPr>
        <w:t xml:space="preserve"> </w:t>
      </w:r>
      <w:r w:rsidR="00F32B28" w:rsidRPr="00F32B28">
        <w:rPr>
          <w:i/>
          <w:iCs/>
          <w:rtl/>
          <w:lang w:bidi="ar-SY"/>
        </w:rPr>
        <w:t>القادمة</w:t>
      </w:r>
      <w:r w:rsidR="00F32B28">
        <w:rPr>
          <w:i/>
          <w:iCs/>
          <w:rtl/>
          <w:lang w:bidi="ar-SY"/>
        </w:rPr>
        <w:t xml:space="preserve"> </w:t>
      </w:r>
      <w:r w:rsidR="00F32B28" w:rsidRPr="00F32B28">
        <w:rPr>
          <w:i/>
          <w:iCs/>
          <w:rtl/>
          <w:lang w:bidi="ar-SY"/>
        </w:rPr>
        <w:t>(2017-2022):</w:t>
      </w:r>
      <w:r w:rsidR="00F32B28">
        <w:rPr>
          <w:i/>
          <w:iCs/>
          <w:rtl/>
          <w:lang w:bidi="ar-SY"/>
        </w:rPr>
        <w:t xml:space="preserve"> </w:t>
      </w:r>
      <w:r w:rsidR="00F32B28" w:rsidRPr="00F32B28">
        <w:rPr>
          <w:i/>
          <w:iCs/>
          <w:rtl/>
          <w:lang w:bidi="ar-SY"/>
        </w:rPr>
        <w:t>المواطن</w:t>
      </w:r>
      <w:r w:rsidR="00F32B28">
        <w:rPr>
          <w:i/>
          <w:iCs/>
          <w:rtl/>
          <w:lang w:bidi="ar-SY"/>
        </w:rPr>
        <w:t xml:space="preserve"> </w:t>
      </w:r>
      <w:r w:rsidR="00F32B28" w:rsidRPr="00F32B28">
        <w:rPr>
          <w:i/>
          <w:iCs/>
          <w:rtl/>
          <w:lang w:bidi="ar-SY"/>
        </w:rPr>
        <w:t>أولا</w:t>
      </w:r>
      <w:r w:rsidR="001D253C">
        <w:rPr>
          <w:rFonts w:hint="cs"/>
          <w:rtl/>
        </w:rPr>
        <w:t>“</w:t>
      </w:r>
      <w:r w:rsidR="00F32B28" w:rsidRPr="00F32B28">
        <w:rPr>
          <w:i/>
          <w:iCs/>
          <w:rtl/>
          <w:lang w:bidi="ar-SY"/>
        </w:rPr>
        <w:t>،</w:t>
      </w:r>
      <w:r w:rsidR="001D253C">
        <w:rPr>
          <w:rFonts w:hint="cs"/>
          <w:i/>
          <w:iCs/>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تحدد</w:t>
      </w:r>
      <w:r w:rsidR="00F32B28">
        <w:rPr>
          <w:rtl/>
          <w:lang w:bidi="ar-SY"/>
        </w:rPr>
        <w:t xml:space="preserve"> </w:t>
      </w:r>
      <w:r w:rsidR="00F32B28" w:rsidRPr="00F32B28">
        <w:rPr>
          <w:rtl/>
          <w:lang w:bidi="ar-SY"/>
        </w:rPr>
        <w:t>التوجهات</w:t>
      </w:r>
      <w:r w:rsidR="00F32B28">
        <w:rPr>
          <w:rtl/>
          <w:lang w:bidi="ar-SY"/>
        </w:rPr>
        <w:t xml:space="preserve"> </w:t>
      </w:r>
      <w:r w:rsidR="00F32B28" w:rsidRPr="00F32B28">
        <w:rPr>
          <w:rtl/>
          <w:lang w:bidi="ar-SY"/>
        </w:rPr>
        <w:t>الاستراتيجية</w:t>
      </w:r>
      <w:r w:rsidR="0043161B">
        <w:rPr>
          <w:rFonts w:hint="cs"/>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وتبين</w:t>
      </w:r>
      <w:r w:rsidR="00F32B28">
        <w:rPr>
          <w:rtl/>
          <w:lang w:bidi="ar-SY"/>
        </w:rPr>
        <w:t xml:space="preserve"> </w:t>
      </w:r>
      <w:r w:rsidR="00F32B28" w:rsidRPr="00F32B28">
        <w:rPr>
          <w:rtl/>
          <w:lang w:bidi="ar-SY"/>
        </w:rPr>
        <w:t>الرؤيا</w:t>
      </w:r>
      <w:r w:rsidR="00F32B28">
        <w:rPr>
          <w:rtl/>
          <w:lang w:bidi="ar-SY"/>
        </w:rPr>
        <w:t xml:space="preserve"> </w:t>
      </w:r>
      <w:r w:rsidR="00F32B28" w:rsidRPr="00F32B28">
        <w:rPr>
          <w:rtl/>
          <w:lang w:bidi="ar-SY"/>
        </w:rPr>
        <w:t>والأولويات</w:t>
      </w:r>
      <w:r w:rsidR="00F32B28">
        <w:rPr>
          <w:rtl/>
          <w:lang w:bidi="ar-SY"/>
        </w:rPr>
        <w:t xml:space="preserve"> </w:t>
      </w:r>
      <w:r w:rsidR="00F32B28" w:rsidRPr="00F32B28">
        <w:rPr>
          <w:rtl/>
          <w:lang w:bidi="ar-SY"/>
        </w:rPr>
        <w:t>والسياسات</w:t>
      </w:r>
      <w:r w:rsidR="00F32B28">
        <w:rPr>
          <w:rtl/>
          <w:lang w:bidi="ar-SY"/>
        </w:rPr>
        <w:t xml:space="preserve"> </w:t>
      </w:r>
      <w:r w:rsidR="00F32B28" w:rsidRPr="00F32B28">
        <w:rPr>
          <w:rtl/>
          <w:lang w:bidi="ar-SY"/>
        </w:rPr>
        <w:t>العليا،</w:t>
      </w:r>
      <w:r w:rsidR="00F32B28">
        <w:rPr>
          <w:rtl/>
          <w:lang w:bidi="ar-SY"/>
        </w:rPr>
        <w:t xml:space="preserve"> </w:t>
      </w:r>
      <w:r w:rsidR="00F32B28" w:rsidRPr="00F32B28">
        <w:rPr>
          <w:rtl/>
          <w:lang w:bidi="ar-SY"/>
        </w:rPr>
        <w:t>وتضع</w:t>
      </w:r>
      <w:r w:rsidR="00F32B28">
        <w:rPr>
          <w:rtl/>
          <w:lang w:bidi="ar-SY"/>
        </w:rPr>
        <w:t xml:space="preserve"> </w:t>
      </w:r>
      <w:r w:rsidR="00F32B28" w:rsidRPr="00F32B28">
        <w:rPr>
          <w:rtl/>
          <w:lang w:bidi="ar-SY"/>
        </w:rPr>
        <w:t>المواطن</w:t>
      </w:r>
      <w:r w:rsidR="00F32B28">
        <w:rPr>
          <w:rtl/>
          <w:lang w:bidi="ar-SY"/>
        </w:rPr>
        <w:t xml:space="preserve"> </w:t>
      </w:r>
      <w:r w:rsidR="00F32B28" w:rsidRPr="00F32B28">
        <w:rPr>
          <w:rtl/>
          <w:lang w:bidi="ar-SY"/>
        </w:rPr>
        <w:t>مركزاً</w:t>
      </w:r>
      <w:r w:rsidR="00F32B28">
        <w:rPr>
          <w:rtl/>
          <w:lang w:bidi="ar-SY"/>
        </w:rPr>
        <w:t xml:space="preserve"> </w:t>
      </w:r>
      <w:r w:rsidR="00F32B28" w:rsidRPr="00F32B28">
        <w:rPr>
          <w:rtl/>
          <w:lang w:bidi="ar-SY"/>
        </w:rPr>
        <w:t>لعملها.</w:t>
      </w:r>
      <w:r w:rsidR="00F32B28">
        <w:rPr>
          <w:rtl/>
          <w:lang w:bidi="ar-SY"/>
        </w:rPr>
        <w:t xml:space="preserve"> </w:t>
      </w:r>
      <w:r w:rsidR="00F32B28" w:rsidRPr="00F32B28">
        <w:rPr>
          <w:rtl/>
          <w:lang w:bidi="ar-SY"/>
        </w:rPr>
        <w:t>وتأتي</w:t>
      </w:r>
      <w:r w:rsidR="00F32B28">
        <w:rPr>
          <w:rtl/>
          <w:lang w:bidi="ar-SY"/>
        </w:rPr>
        <w:t xml:space="preserve"> </w:t>
      </w:r>
      <w:r w:rsidR="00F32B28" w:rsidRPr="00F32B28">
        <w:rPr>
          <w:rtl/>
          <w:lang w:bidi="ar-SY"/>
        </w:rPr>
        <w:t>الاستراتيجيات</w:t>
      </w:r>
      <w:r w:rsidR="00F32B28">
        <w:rPr>
          <w:rtl/>
          <w:lang w:bidi="ar-SY"/>
        </w:rPr>
        <w:t xml:space="preserve"> </w:t>
      </w:r>
      <w:r w:rsidR="00F32B28" w:rsidRPr="00F32B28">
        <w:rPr>
          <w:rtl/>
          <w:lang w:bidi="ar-SY"/>
        </w:rPr>
        <w:t>القطاعية</w:t>
      </w:r>
      <w:r w:rsidR="00F32B28">
        <w:rPr>
          <w:rtl/>
          <w:lang w:bidi="ar-SY"/>
        </w:rPr>
        <w:t xml:space="preserve"> </w:t>
      </w:r>
      <w:r w:rsidR="00F32B28" w:rsidRPr="00F32B28">
        <w:rPr>
          <w:rtl/>
          <w:lang w:bidi="ar-SY"/>
        </w:rPr>
        <w:t>وعبر</w:t>
      </w:r>
      <w:r w:rsidR="00F32B28">
        <w:rPr>
          <w:rtl/>
          <w:lang w:bidi="ar-SY"/>
        </w:rPr>
        <w:t xml:space="preserve"> </w:t>
      </w:r>
      <w:r w:rsidR="00F32B28" w:rsidRPr="00F32B28">
        <w:rPr>
          <w:rtl/>
          <w:lang w:bidi="ar-SY"/>
        </w:rPr>
        <w:t>القطاعية</w:t>
      </w:r>
      <w:r w:rsidR="00F32B28">
        <w:rPr>
          <w:rtl/>
          <w:lang w:bidi="ar-SY"/>
        </w:rPr>
        <w:t xml:space="preserve"> </w:t>
      </w:r>
      <w:r w:rsidR="00F32B28" w:rsidRPr="00F32B28">
        <w:rPr>
          <w:rtl/>
          <w:lang w:bidi="ar-SY"/>
        </w:rPr>
        <w:t>للأعوام</w:t>
      </w:r>
      <w:r w:rsidR="00F32B28">
        <w:rPr>
          <w:rtl/>
          <w:lang w:bidi="ar-SY"/>
        </w:rPr>
        <w:t xml:space="preserve"> </w:t>
      </w:r>
      <w:r w:rsidR="00F32B28" w:rsidRPr="00F32B28">
        <w:rPr>
          <w:rtl/>
          <w:lang w:bidi="ar-SY"/>
        </w:rPr>
        <w:t>(2017-2022)</w:t>
      </w:r>
      <w:r w:rsidR="00F32B28">
        <w:rPr>
          <w:rtl/>
          <w:lang w:bidi="ar-SY"/>
        </w:rPr>
        <w:t xml:space="preserve"> </w:t>
      </w:r>
      <w:r w:rsidR="00F32B28" w:rsidRPr="00F32B28">
        <w:rPr>
          <w:rtl/>
          <w:lang w:bidi="ar-SY"/>
        </w:rPr>
        <w:t>والموازنة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متوسط</w:t>
      </w:r>
      <w:r w:rsidR="00F32B28">
        <w:rPr>
          <w:rtl/>
          <w:lang w:bidi="ar-SY"/>
        </w:rPr>
        <w:t xml:space="preserve"> </w:t>
      </w:r>
      <w:r w:rsidR="00F32B28" w:rsidRPr="00F32B28">
        <w:rPr>
          <w:rtl/>
          <w:lang w:bidi="ar-SY"/>
        </w:rPr>
        <w:t>المدى،</w:t>
      </w:r>
      <w:r w:rsidR="00F32B28">
        <w:rPr>
          <w:rtl/>
          <w:lang w:bidi="ar-SY"/>
        </w:rPr>
        <w:t xml:space="preserve"> </w:t>
      </w:r>
      <w:r w:rsidR="00F32B28" w:rsidRPr="00F32B28">
        <w:rPr>
          <w:rtl/>
          <w:lang w:bidi="ar-SY"/>
        </w:rPr>
        <w:t>كمكونات</w:t>
      </w:r>
      <w:r w:rsidR="00F32B28">
        <w:rPr>
          <w:rtl/>
          <w:lang w:bidi="ar-SY"/>
        </w:rPr>
        <w:t xml:space="preserve"> </w:t>
      </w:r>
      <w:r w:rsidR="00F32B28" w:rsidRPr="00F32B28">
        <w:rPr>
          <w:rtl/>
          <w:lang w:bidi="ar-SY"/>
        </w:rPr>
        <w:t>تتكامل</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أجندة</w:t>
      </w:r>
      <w:r w:rsidR="00F32B28">
        <w:rPr>
          <w:rtl/>
          <w:lang w:bidi="ar-SY"/>
        </w:rPr>
        <w:t xml:space="preserve"> </w:t>
      </w:r>
      <w:r w:rsidR="00F32B28" w:rsidRPr="00F32B28">
        <w:rPr>
          <w:rtl/>
          <w:lang w:bidi="ar-SY"/>
        </w:rPr>
        <w:t>السيات</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بمجملها</w:t>
      </w:r>
      <w:r w:rsidR="00F32B28">
        <w:rPr>
          <w:rtl/>
          <w:lang w:bidi="ar-SY"/>
        </w:rPr>
        <w:t xml:space="preserve"> </w:t>
      </w:r>
      <w:r w:rsidR="00F32B28" w:rsidRPr="00F32B28">
        <w:rPr>
          <w:rtl/>
          <w:lang w:bidi="ar-SY"/>
        </w:rPr>
        <w:t>تشكل</w:t>
      </w:r>
      <w:r w:rsidR="00F32B28">
        <w:rPr>
          <w:rtl/>
          <w:lang w:bidi="ar-SY"/>
        </w:rPr>
        <w:t xml:space="preserve"> </w:t>
      </w:r>
      <w:r w:rsidR="00F32B28" w:rsidRPr="00F32B28">
        <w:rPr>
          <w:rtl/>
          <w:lang w:bidi="ar-SY"/>
        </w:rPr>
        <w:t>خطة</w:t>
      </w:r>
      <w:r w:rsidR="00F32B28">
        <w:rPr>
          <w:rtl/>
          <w:lang w:bidi="ar-SY"/>
        </w:rPr>
        <w:t xml:space="preserve"> </w:t>
      </w:r>
      <w:r w:rsidR="00F32B28" w:rsidRPr="00F32B28">
        <w:rPr>
          <w:rtl/>
          <w:lang w:bidi="ar-SY"/>
        </w:rPr>
        <w:t>التنمية</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الرابعة</w:t>
      </w:r>
      <w:r w:rsidR="00F32B28">
        <w:rPr>
          <w:rtl/>
          <w:lang w:bidi="ar-SY"/>
        </w:rPr>
        <w:t xml:space="preserve"> </w:t>
      </w:r>
      <w:r w:rsidR="00F32B28" w:rsidRPr="00F32B28">
        <w:rPr>
          <w:rtl/>
          <w:lang w:bidi="ar-SY"/>
        </w:rPr>
        <w:t>لفلسطين.</w:t>
      </w:r>
      <w:r w:rsidR="00F32B28">
        <w:rPr>
          <w:rtl/>
          <w:lang w:bidi="ar-SY"/>
        </w:rPr>
        <w:t xml:space="preserve"> </w:t>
      </w:r>
      <w:r w:rsidR="00F32B28" w:rsidRPr="00F32B28">
        <w:rPr>
          <w:rtl/>
          <w:lang w:bidi="ar-SY"/>
        </w:rPr>
        <w:t>واعتمدت</w:t>
      </w:r>
      <w:r w:rsidR="00F32B28">
        <w:rPr>
          <w:rtl/>
          <w:lang w:bidi="ar-SY"/>
        </w:rPr>
        <w:t xml:space="preserve"> </w:t>
      </w:r>
      <w:r w:rsidR="00F32B28" w:rsidRPr="00F32B28">
        <w:rPr>
          <w:rtl/>
          <w:lang w:bidi="ar-SY"/>
        </w:rPr>
        <w:t>خطة</w:t>
      </w:r>
      <w:r w:rsidR="00F32B28">
        <w:rPr>
          <w:rtl/>
          <w:lang w:bidi="ar-SY"/>
        </w:rPr>
        <w:t xml:space="preserve"> </w:t>
      </w:r>
      <w:r w:rsidR="00F32B28" w:rsidRPr="00F32B28">
        <w:rPr>
          <w:rtl/>
          <w:lang w:bidi="ar-SY"/>
        </w:rPr>
        <w:t>التنمية</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بمختلف</w:t>
      </w:r>
      <w:r w:rsidR="00F32B28">
        <w:rPr>
          <w:rtl/>
          <w:lang w:bidi="ar-SY"/>
        </w:rPr>
        <w:t xml:space="preserve"> </w:t>
      </w:r>
      <w:r w:rsidR="00F32B28" w:rsidRPr="00F32B28">
        <w:rPr>
          <w:rtl/>
          <w:lang w:bidi="ar-SY"/>
        </w:rPr>
        <w:t>مكوناتها</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المعايير</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المواثيق</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تلتزم</w:t>
      </w:r>
      <w:r w:rsidR="00F32B28">
        <w:rPr>
          <w:rtl/>
          <w:lang w:bidi="ar-SY"/>
        </w:rPr>
        <w:t xml:space="preserve"> </w:t>
      </w:r>
      <w:r w:rsidR="00F32B28" w:rsidRPr="00F32B28">
        <w:rPr>
          <w:rtl/>
          <w:lang w:bidi="ar-SY"/>
        </w:rPr>
        <w:t>بها</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فلسطين</w:t>
      </w:r>
      <w:r w:rsidR="0043161B">
        <w:rPr>
          <w:rFonts w:hint="cs"/>
          <w:rtl/>
          <w:lang w:bidi="ar-SY"/>
        </w:rPr>
        <w:t xml:space="preserve"> </w:t>
      </w:r>
      <w:r w:rsidR="00F32B28" w:rsidRPr="00F32B28">
        <w:rPr>
          <w:rtl/>
          <w:lang w:bidi="ar-SY"/>
        </w:rPr>
        <w:t>وخطة</w:t>
      </w:r>
      <w:r w:rsidR="00F32B28">
        <w:rPr>
          <w:rtl/>
          <w:lang w:bidi="ar-SY"/>
        </w:rPr>
        <w:t xml:space="preserve"> </w:t>
      </w:r>
      <w:r w:rsidR="00F32B28" w:rsidRPr="00F32B28">
        <w:rPr>
          <w:rtl/>
          <w:lang w:bidi="ar-SY"/>
        </w:rPr>
        <w:t>الأمم</w:t>
      </w:r>
      <w:r w:rsidR="00F32B28">
        <w:rPr>
          <w:rtl/>
          <w:lang w:bidi="ar-SY"/>
        </w:rPr>
        <w:t xml:space="preserve"> </w:t>
      </w:r>
      <w:r w:rsidR="00F32B28" w:rsidRPr="00F32B28">
        <w:rPr>
          <w:rtl/>
          <w:lang w:bidi="ar-SY"/>
        </w:rPr>
        <w:t>المتحدة</w:t>
      </w:r>
      <w:r w:rsidR="00F32B28">
        <w:rPr>
          <w:rtl/>
          <w:lang w:bidi="ar-SY"/>
        </w:rPr>
        <w:t xml:space="preserve"> </w:t>
      </w:r>
      <w:r w:rsidR="00F32B28" w:rsidRPr="00F32B28">
        <w:rPr>
          <w:rtl/>
          <w:lang w:bidi="ar-SY"/>
        </w:rPr>
        <w:t>للتنمية</w:t>
      </w:r>
      <w:r w:rsidR="00F32B28">
        <w:rPr>
          <w:rtl/>
          <w:lang w:bidi="ar-SY"/>
        </w:rPr>
        <w:t xml:space="preserve"> </w:t>
      </w:r>
      <w:r w:rsidR="00F32B28" w:rsidRPr="00F32B28">
        <w:rPr>
          <w:rtl/>
          <w:lang w:bidi="ar-SY"/>
        </w:rPr>
        <w:t>المستدامة</w:t>
      </w:r>
      <w:r w:rsidR="00F32B28">
        <w:rPr>
          <w:rtl/>
          <w:lang w:bidi="ar-SY"/>
        </w:rPr>
        <w:t xml:space="preserve"> </w:t>
      </w:r>
      <w:r w:rsidR="00F32B28" w:rsidRPr="00F32B28">
        <w:rPr>
          <w:rtl/>
          <w:lang w:bidi="ar-SY"/>
        </w:rPr>
        <w:t>2030،</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تسعى</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تحقيقها</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الأعوام.</w:t>
      </w:r>
      <w:r w:rsidR="00F32B28">
        <w:rPr>
          <w:rtl/>
          <w:lang w:bidi="ar-SY"/>
        </w:rPr>
        <w:t xml:space="preserve"> </w:t>
      </w:r>
    </w:p>
    <w:p w:rsidR="00F32B28" w:rsidRPr="00F32B28" w:rsidRDefault="00FD6731" w:rsidP="004C698D">
      <w:pPr>
        <w:pStyle w:val="SingleTxt"/>
      </w:pPr>
      <w:r>
        <w:rPr>
          <w:rFonts w:hint="cs"/>
          <w:rtl/>
          <w:lang w:bidi="ar-SY"/>
        </w:rPr>
        <w:t>60 -</w:t>
      </w:r>
      <w:r>
        <w:rPr>
          <w:rFonts w:hint="cs"/>
          <w:rtl/>
          <w:lang w:bidi="ar-SY"/>
        </w:rPr>
        <w:tab/>
      </w:r>
      <w:r w:rsidR="00F32B28" w:rsidRPr="00F32B28">
        <w:rPr>
          <w:rtl/>
          <w:lang w:bidi="ar-SY"/>
        </w:rPr>
        <w:t>وترتكز</w:t>
      </w:r>
      <w:r w:rsidR="00F32B28">
        <w:rPr>
          <w:rtl/>
          <w:lang w:bidi="ar-SY"/>
        </w:rPr>
        <w:t xml:space="preserve"> </w:t>
      </w:r>
      <w:r w:rsidR="00F32B28" w:rsidRPr="00F32B28">
        <w:rPr>
          <w:rtl/>
          <w:lang w:bidi="ar-SY"/>
        </w:rPr>
        <w:t>أجندة</w:t>
      </w:r>
      <w:r w:rsidR="00F32B28">
        <w:rPr>
          <w:rtl/>
          <w:lang w:bidi="ar-SY"/>
        </w:rPr>
        <w:t xml:space="preserve"> </w:t>
      </w:r>
      <w:r w:rsidR="00F32B28" w:rsidRPr="00F32B28">
        <w:rPr>
          <w:rtl/>
          <w:lang w:bidi="ar-SY"/>
        </w:rPr>
        <w:t>السياسات</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ثلاثة</w:t>
      </w:r>
      <w:r w:rsidR="00F32B28">
        <w:rPr>
          <w:rtl/>
          <w:lang w:bidi="ar-SY"/>
        </w:rPr>
        <w:t xml:space="preserve"> </w:t>
      </w:r>
      <w:r w:rsidR="00F32B28" w:rsidRPr="00F32B28">
        <w:rPr>
          <w:rtl/>
          <w:lang w:bidi="ar-SY"/>
        </w:rPr>
        <w:t>محاور</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الطريق</w:t>
      </w:r>
      <w:r w:rsidR="00F32B28">
        <w:rPr>
          <w:rtl/>
          <w:lang w:bidi="ar-SY"/>
        </w:rPr>
        <w:t xml:space="preserve"> </w:t>
      </w:r>
      <w:r w:rsidR="00F32B28" w:rsidRPr="00F32B28">
        <w:rPr>
          <w:rtl/>
          <w:lang w:bidi="ar-SY"/>
        </w:rPr>
        <w:t>نحو</w:t>
      </w:r>
      <w:r w:rsidR="00F32B28">
        <w:rPr>
          <w:rtl/>
          <w:lang w:bidi="ar-SY"/>
        </w:rPr>
        <w:t xml:space="preserve"> </w:t>
      </w:r>
      <w:r w:rsidR="00F32B28" w:rsidRPr="00F32B28">
        <w:rPr>
          <w:rtl/>
          <w:lang w:bidi="ar-SY"/>
        </w:rPr>
        <w:t>الاستقلال،</w:t>
      </w:r>
      <w:r w:rsidR="00F32B28">
        <w:rPr>
          <w:rtl/>
          <w:lang w:bidi="ar-SY"/>
        </w:rPr>
        <w:t xml:space="preserve"> </w:t>
      </w:r>
      <w:r w:rsidR="00F32B28" w:rsidRPr="00F32B28">
        <w:rPr>
          <w:rtl/>
          <w:lang w:bidi="ar-SY"/>
        </w:rPr>
        <w:t>والإصلاح</w:t>
      </w:r>
      <w:r w:rsidR="00F32B28">
        <w:rPr>
          <w:rtl/>
          <w:lang w:bidi="ar-SY"/>
        </w:rPr>
        <w:t xml:space="preserve"> </w:t>
      </w:r>
      <w:r w:rsidR="00F32B28" w:rsidRPr="00F32B28">
        <w:rPr>
          <w:rtl/>
          <w:lang w:bidi="ar-SY"/>
        </w:rPr>
        <w:t>وتحسين</w:t>
      </w:r>
      <w:r w:rsidR="00F32B28">
        <w:rPr>
          <w:rtl/>
          <w:lang w:bidi="ar-SY"/>
        </w:rPr>
        <w:t xml:space="preserve"> </w:t>
      </w:r>
      <w:r w:rsidR="00F32B28" w:rsidRPr="00F32B28">
        <w:rPr>
          <w:rtl/>
          <w:lang w:bidi="ar-SY"/>
        </w:rPr>
        <w:t>جودة</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والتنمية</w:t>
      </w:r>
      <w:r w:rsidR="00F32B28">
        <w:rPr>
          <w:rtl/>
          <w:lang w:bidi="ar-SY"/>
        </w:rPr>
        <w:t xml:space="preserve"> </w:t>
      </w:r>
      <w:r w:rsidR="00F32B28" w:rsidRPr="00F32B28">
        <w:rPr>
          <w:rtl/>
          <w:lang w:bidi="ar-SY"/>
        </w:rPr>
        <w:t>المستدامة،</w:t>
      </w:r>
      <w:r w:rsidR="00F32B28">
        <w:rPr>
          <w:rtl/>
          <w:lang w:bidi="ar-SY"/>
        </w:rPr>
        <w:t xml:space="preserve"> </w:t>
      </w:r>
      <w:r w:rsidR="00F32B28" w:rsidRPr="00F32B28">
        <w:rPr>
          <w:rtl/>
          <w:lang w:bidi="ar-SY"/>
        </w:rPr>
        <w:t>سيتم</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تحقيقها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تنفيذ</w:t>
      </w:r>
      <w:r w:rsidR="00F32B28">
        <w:rPr>
          <w:rtl/>
          <w:lang w:bidi="ar-SY"/>
        </w:rPr>
        <w:t xml:space="preserve"> </w:t>
      </w:r>
      <w:r w:rsidR="00F32B28" w:rsidRPr="00F32B28">
        <w:rPr>
          <w:rtl/>
          <w:lang w:bidi="ar-SY"/>
        </w:rPr>
        <w:t>أولويات</w:t>
      </w:r>
      <w:r w:rsidR="00F32B28">
        <w:rPr>
          <w:rtl/>
          <w:lang w:bidi="ar-SY"/>
        </w:rPr>
        <w:t xml:space="preserve"> </w:t>
      </w:r>
      <w:r w:rsidR="00F32B28" w:rsidRPr="00F32B28">
        <w:rPr>
          <w:rtl/>
          <w:lang w:bidi="ar-SY"/>
        </w:rPr>
        <w:lastRenderedPageBreak/>
        <w:t>وسياسات</w:t>
      </w:r>
      <w:r w:rsidR="00F32B28">
        <w:rPr>
          <w:rtl/>
          <w:lang w:bidi="ar-SY"/>
        </w:rPr>
        <w:t xml:space="preserve"> </w:t>
      </w:r>
      <w:r w:rsidR="00F32B28" w:rsidRPr="00F32B28">
        <w:rPr>
          <w:rtl/>
          <w:lang w:bidi="ar-SY"/>
        </w:rPr>
        <w:t>وطنية</w:t>
      </w:r>
      <w:r w:rsidR="00F32B28">
        <w:rPr>
          <w:rtl/>
          <w:lang w:bidi="ar-SY"/>
        </w:rPr>
        <w:t xml:space="preserve"> </w:t>
      </w:r>
      <w:r w:rsidR="00F32B28" w:rsidRPr="00F32B28">
        <w:rPr>
          <w:rtl/>
          <w:lang w:bidi="ar-SY"/>
        </w:rPr>
        <w:t>محددة؛</w:t>
      </w:r>
      <w:r w:rsidR="00F32B28">
        <w:rPr>
          <w:rtl/>
          <w:lang w:bidi="ar-SY"/>
        </w:rPr>
        <w:t xml:space="preserve"> </w:t>
      </w:r>
      <w:r w:rsidR="00F32B28" w:rsidRPr="00F32B28">
        <w:rPr>
          <w:rtl/>
          <w:lang w:bidi="ar-SY"/>
        </w:rPr>
        <w:t>جاء</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بينها</w:t>
      </w:r>
      <w:r w:rsidR="00F32B28">
        <w:rPr>
          <w:rtl/>
          <w:lang w:bidi="ar-SY"/>
        </w:rPr>
        <w:t xml:space="preserve"> </w:t>
      </w:r>
      <w:r w:rsidR="00F32B28" w:rsidRPr="00F32B28">
        <w:rPr>
          <w:rtl/>
          <w:lang w:bidi="ar-SY"/>
        </w:rPr>
        <w:t>تعزيز</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الجنسين</w:t>
      </w:r>
      <w:r w:rsidR="00F32B28">
        <w:rPr>
          <w:rtl/>
          <w:lang w:bidi="ar-SY"/>
        </w:rPr>
        <w:t xml:space="preserve"> </w:t>
      </w:r>
      <w:r w:rsidR="00F32B28" w:rsidRPr="00F32B28">
        <w:rPr>
          <w:rtl/>
          <w:lang w:bidi="ar-SY"/>
        </w:rPr>
        <w:t>وتمكين</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والفتيات</w:t>
      </w:r>
      <w:r w:rsidR="00F32B28">
        <w:rPr>
          <w:rtl/>
          <w:lang w:bidi="ar-SY"/>
        </w:rPr>
        <w:t xml:space="preserve"> </w:t>
      </w:r>
      <w:r w:rsidR="00F32B28" w:rsidRPr="00F32B28">
        <w:rPr>
          <w:rtl/>
          <w:lang w:bidi="ar-SY"/>
        </w:rPr>
        <w:t>والقضاء</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أشكال</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والعنف</w:t>
      </w:r>
      <w:r w:rsidR="00F32B28">
        <w:rPr>
          <w:rtl/>
          <w:lang w:bidi="ar-SY"/>
        </w:rPr>
        <w:t xml:space="preserve"> </w:t>
      </w:r>
      <w:r w:rsidR="00F32B28" w:rsidRPr="00F32B28">
        <w:rPr>
          <w:rtl/>
          <w:lang w:bidi="ar-SY"/>
        </w:rPr>
        <w:t>ضدهن،</w:t>
      </w:r>
      <w:r w:rsidR="00F32B28">
        <w:rPr>
          <w:rtl/>
          <w:lang w:bidi="ar-SY"/>
        </w:rPr>
        <w:t xml:space="preserve"> </w:t>
      </w:r>
      <w:r w:rsidR="00F32B28" w:rsidRPr="00F32B28">
        <w:rPr>
          <w:rtl/>
          <w:lang w:bidi="ar-SY"/>
        </w:rPr>
        <w:t>وإزالة</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العوائق</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تحول</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مشاركتهن</w:t>
      </w:r>
      <w:r w:rsidR="00F32B28">
        <w:rPr>
          <w:rtl/>
          <w:lang w:bidi="ar-SY"/>
        </w:rPr>
        <w:t xml:space="preserve"> </w:t>
      </w:r>
      <w:r w:rsidR="00F32B28" w:rsidRPr="00F32B28">
        <w:rPr>
          <w:rtl/>
          <w:lang w:bidi="ar-SY"/>
        </w:rPr>
        <w:t>الكاملة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التنمية</w:t>
      </w:r>
      <w:r w:rsidR="00F32B28">
        <w:rPr>
          <w:rtl/>
          <w:lang w:bidi="ar-SY"/>
        </w:rPr>
        <w:t xml:space="preserve"> </w:t>
      </w:r>
      <w:r w:rsidR="00F32B28" w:rsidRPr="00F32B28">
        <w:rPr>
          <w:rtl/>
          <w:lang w:bidi="ar-SY"/>
        </w:rPr>
        <w:t>المجتمعية</w:t>
      </w:r>
      <w:r w:rsidR="00F32B28">
        <w:rPr>
          <w:rtl/>
          <w:lang w:bidi="ar-SY"/>
        </w:rPr>
        <w:t xml:space="preserve"> </w:t>
      </w:r>
      <w:r w:rsidR="00F32B28" w:rsidRPr="00F32B28">
        <w:rPr>
          <w:rtl/>
          <w:lang w:bidi="ar-SY"/>
        </w:rPr>
        <w:t>والاقتصادية</w:t>
      </w:r>
      <w:r w:rsidR="00F32B28">
        <w:rPr>
          <w:rtl/>
          <w:lang w:bidi="ar-SY"/>
        </w:rPr>
        <w:t xml:space="preserve"> </w:t>
      </w:r>
      <w:r w:rsidR="00F32B28" w:rsidRPr="00F32B28">
        <w:rPr>
          <w:rtl/>
          <w:lang w:bidi="ar-SY"/>
        </w:rPr>
        <w:t>والحياة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ضوء</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فقد</w:t>
      </w:r>
      <w:r w:rsidR="00F32B28">
        <w:rPr>
          <w:rtl/>
          <w:lang w:bidi="ar-SY"/>
        </w:rPr>
        <w:t xml:space="preserve"> </w:t>
      </w:r>
      <w:r w:rsidR="00F32B28" w:rsidRPr="00F32B28">
        <w:rPr>
          <w:rtl/>
          <w:lang w:bidi="ar-SY"/>
        </w:rPr>
        <w:t>تمحورت</w:t>
      </w:r>
      <w:r w:rsidR="00F32B28">
        <w:rPr>
          <w:rtl/>
          <w:lang w:bidi="ar-SY"/>
        </w:rPr>
        <w:t xml:space="preserve"> </w:t>
      </w:r>
      <w:r w:rsidR="00F32B28" w:rsidRPr="00F32B28">
        <w:rPr>
          <w:rtl/>
          <w:lang w:bidi="ar-SY"/>
        </w:rPr>
        <w:t>الاستراتيجية</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عبر</w:t>
      </w:r>
      <w:r w:rsidR="00F32B28">
        <w:rPr>
          <w:rtl/>
          <w:lang w:bidi="ar-SY"/>
        </w:rPr>
        <w:t xml:space="preserve"> </w:t>
      </w:r>
      <w:r w:rsidR="00F32B28" w:rsidRPr="00F32B28">
        <w:rPr>
          <w:rtl/>
          <w:lang w:bidi="ar-SY"/>
        </w:rPr>
        <w:t>القطاعية</w:t>
      </w:r>
      <w:r w:rsidR="00F32B28">
        <w:rPr>
          <w:rtl/>
          <w:lang w:bidi="ar-SY"/>
        </w:rPr>
        <w:t xml:space="preserve"> </w:t>
      </w:r>
      <w:r w:rsidR="00F32B28" w:rsidRPr="00F32B28">
        <w:rPr>
          <w:rtl/>
          <w:lang w:bidi="ar-SY"/>
        </w:rPr>
        <w:t>لتعزيز</w:t>
      </w:r>
      <w:r w:rsidR="00F32B28">
        <w:rPr>
          <w:rtl/>
          <w:lang w:bidi="ar-SY"/>
        </w:rPr>
        <w:t xml:space="preserve"> </w:t>
      </w:r>
      <w:r w:rsidR="00F32B28" w:rsidRPr="00F32B28">
        <w:rPr>
          <w:rtl/>
          <w:lang w:bidi="ar-SY"/>
        </w:rPr>
        <w:t>العدالة</w:t>
      </w:r>
      <w:r w:rsidR="00F32B28">
        <w:rPr>
          <w:rtl/>
          <w:lang w:bidi="ar-SY"/>
        </w:rPr>
        <w:t xml:space="preserve"> </w:t>
      </w:r>
      <w:r w:rsidR="00F32B28" w:rsidRPr="00F32B28">
        <w:rPr>
          <w:rtl/>
          <w:lang w:bidi="ar-SY"/>
        </w:rPr>
        <w:t>والمساواة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الجنسين</w:t>
      </w:r>
      <w:r w:rsidR="00F32B28">
        <w:rPr>
          <w:rtl/>
          <w:lang w:bidi="ar-SY"/>
        </w:rPr>
        <w:t xml:space="preserve"> </w:t>
      </w:r>
      <w:r w:rsidR="00F32B28" w:rsidRPr="00F32B28">
        <w:rPr>
          <w:rtl/>
          <w:lang w:bidi="ar-SY"/>
        </w:rPr>
        <w:t>وتمكين</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2017-2022،</w:t>
      </w:r>
      <w:r w:rsidR="00F32B28">
        <w:rPr>
          <w:rtl/>
          <w:lang w:bidi="ar-SY"/>
        </w:rPr>
        <w:t xml:space="preserve"> </w:t>
      </w:r>
      <w:r w:rsidR="00F32B28" w:rsidRPr="00F32B28">
        <w:rPr>
          <w:rtl/>
          <w:lang w:bidi="ar-SY"/>
        </w:rPr>
        <w:t>والمصادق</w:t>
      </w:r>
      <w:r w:rsidR="00F32B28">
        <w:rPr>
          <w:rtl/>
          <w:lang w:bidi="ar-SY"/>
        </w:rPr>
        <w:t xml:space="preserve"> </w:t>
      </w:r>
      <w:r w:rsidR="00F32B28" w:rsidRPr="00F32B28">
        <w:rPr>
          <w:rtl/>
          <w:lang w:bidi="ar-SY"/>
        </w:rPr>
        <w:t>عليها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مجلس</w:t>
      </w:r>
      <w:r w:rsidR="00F32B28">
        <w:rPr>
          <w:rtl/>
          <w:lang w:bidi="ar-SY"/>
        </w:rPr>
        <w:t xml:space="preserve"> </w:t>
      </w:r>
      <w:r w:rsidR="00F32B28" w:rsidRPr="00F32B28">
        <w:rPr>
          <w:rtl/>
          <w:lang w:bidi="ar-SY"/>
        </w:rPr>
        <w:t>الوزراء،</w:t>
      </w:r>
      <w:r w:rsidR="00F32B28">
        <w:rPr>
          <w:rtl/>
          <w:lang w:bidi="ar-SY"/>
        </w:rPr>
        <w:t xml:space="preserve"> </w:t>
      </w:r>
      <w:r w:rsidR="00F32B28" w:rsidRPr="00F32B28">
        <w:rPr>
          <w:rtl/>
          <w:lang w:bidi="ar-SY"/>
        </w:rPr>
        <w:t>حول</w:t>
      </w:r>
      <w:r w:rsidR="00F32B28">
        <w:rPr>
          <w:rtl/>
          <w:lang w:bidi="ar-SY"/>
        </w:rPr>
        <w:t xml:space="preserve"> </w:t>
      </w:r>
      <w:r w:rsidR="00F32B28" w:rsidRPr="00F32B28">
        <w:rPr>
          <w:rtl/>
          <w:lang w:bidi="ar-SY"/>
        </w:rPr>
        <w:t>خمسة</w:t>
      </w:r>
      <w:r w:rsidR="00F32B28">
        <w:rPr>
          <w:rtl/>
          <w:lang w:bidi="ar-SY"/>
        </w:rPr>
        <w:t xml:space="preserve"> </w:t>
      </w:r>
      <w:r w:rsidR="00F32B28" w:rsidRPr="00F32B28">
        <w:rPr>
          <w:rtl/>
          <w:lang w:bidi="ar-SY"/>
        </w:rPr>
        <w:t>أهداف</w:t>
      </w:r>
      <w:r w:rsidR="00F32B28">
        <w:rPr>
          <w:rtl/>
          <w:lang w:bidi="ar-SY"/>
        </w:rPr>
        <w:t xml:space="preserve"> </w:t>
      </w:r>
      <w:r w:rsidR="00F32B28" w:rsidRPr="00F32B28">
        <w:rPr>
          <w:rtl/>
          <w:lang w:bidi="ar-SY"/>
        </w:rPr>
        <w:t>استراتيجية</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تخفيض</w:t>
      </w:r>
      <w:r w:rsidR="00F32B28">
        <w:rPr>
          <w:rtl/>
          <w:lang w:bidi="ar-SY"/>
        </w:rPr>
        <w:t xml:space="preserve"> </w:t>
      </w:r>
      <w:r w:rsidR="00F32B28" w:rsidRPr="00F32B28">
        <w:rPr>
          <w:rtl/>
          <w:lang w:bidi="ar-SY"/>
        </w:rPr>
        <w:t>نسبة</w:t>
      </w:r>
      <w:r w:rsidR="00F32B28">
        <w:rPr>
          <w:rtl/>
          <w:lang w:bidi="ar-SY"/>
        </w:rPr>
        <w:t xml:space="preserve"> </w:t>
      </w:r>
      <w:r w:rsidR="00F32B28" w:rsidRPr="00F32B28">
        <w:rPr>
          <w:rtl/>
          <w:lang w:bidi="ar-SY"/>
        </w:rPr>
        <w:t>العنف</w:t>
      </w:r>
      <w:r w:rsidR="00F32B28">
        <w:rPr>
          <w:rtl/>
          <w:lang w:bidi="ar-SY"/>
        </w:rPr>
        <w:t xml:space="preserve"> </w:t>
      </w:r>
      <w:r w:rsidR="00F32B28" w:rsidRPr="00F32B28">
        <w:rPr>
          <w:rtl/>
          <w:lang w:bidi="ar-SY"/>
        </w:rPr>
        <w:t>الموجه</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الفلسطينية</w:t>
      </w:r>
      <w:r w:rsidR="00600C43">
        <w:rPr>
          <w:rtl/>
          <w:lang w:bidi="ar-SY"/>
        </w:rPr>
        <w:t xml:space="preserve"> </w:t>
      </w:r>
      <w:r w:rsidR="00F32B28" w:rsidRPr="00F32B28">
        <w:rPr>
          <w:rtl/>
          <w:lang w:bidi="ar-SY"/>
        </w:rPr>
        <w:t>بكافة</w:t>
      </w:r>
      <w:r w:rsidR="00F32B28">
        <w:rPr>
          <w:rtl/>
          <w:lang w:bidi="ar-SY"/>
        </w:rPr>
        <w:t xml:space="preserve"> </w:t>
      </w:r>
      <w:r w:rsidR="00F32B28" w:rsidRPr="00F32B28">
        <w:rPr>
          <w:rtl/>
          <w:lang w:bidi="ar-SY"/>
        </w:rPr>
        <w:t>أشكاله</w:t>
      </w:r>
      <w:r>
        <w:rPr>
          <w:rFonts w:hint="cs"/>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النصف،</w:t>
      </w:r>
      <w:r w:rsidR="00F32B28">
        <w:rPr>
          <w:rtl/>
          <w:lang w:bidi="ar-SY"/>
        </w:rPr>
        <w:t xml:space="preserve"> </w:t>
      </w:r>
      <w:r w:rsidR="00F32B28" w:rsidRPr="00F32B28">
        <w:rPr>
          <w:rtl/>
          <w:lang w:bidi="ar-SY"/>
        </w:rPr>
        <w:t>وزيادة</w:t>
      </w:r>
      <w:r w:rsidR="00F32B28">
        <w:rPr>
          <w:rtl/>
          <w:lang w:bidi="ar-SY"/>
        </w:rPr>
        <w:t xml:space="preserve"> </w:t>
      </w:r>
      <w:r w:rsidR="00F32B28" w:rsidRPr="00F32B28">
        <w:rPr>
          <w:rtl/>
          <w:lang w:bidi="ar-SY"/>
        </w:rPr>
        <w:t>مشاركة</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مواقع</w:t>
      </w:r>
      <w:r w:rsidR="00F32B28">
        <w:rPr>
          <w:rtl/>
          <w:lang w:bidi="ar-SY"/>
        </w:rPr>
        <w:t xml:space="preserve"> </w:t>
      </w:r>
      <w:r w:rsidR="00F32B28" w:rsidRPr="00F32B28">
        <w:rPr>
          <w:rtl/>
          <w:lang w:bidi="ar-SY"/>
        </w:rPr>
        <w:t>صنع</w:t>
      </w:r>
      <w:r w:rsidR="00F32B28">
        <w:rPr>
          <w:rtl/>
          <w:lang w:bidi="ar-SY"/>
        </w:rPr>
        <w:t xml:space="preserve"> </w:t>
      </w:r>
      <w:r w:rsidR="00F32B28" w:rsidRPr="00F32B28">
        <w:rPr>
          <w:rtl/>
          <w:lang w:bidi="ar-SY"/>
        </w:rPr>
        <w:t>القرار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المؤسسات</w:t>
      </w:r>
      <w:r w:rsidR="00F32B28">
        <w:rPr>
          <w:rtl/>
          <w:lang w:bidi="ar-SY"/>
        </w:rPr>
        <w:t xml:space="preserve"> </w:t>
      </w:r>
      <w:r w:rsidR="00F32B28" w:rsidRPr="00F32B28">
        <w:rPr>
          <w:rtl/>
          <w:lang w:bidi="ar-SY"/>
        </w:rPr>
        <w:t>الحكومية</w:t>
      </w:r>
      <w:r w:rsidR="00F32B28">
        <w:rPr>
          <w:rtl/>
          <w:lang w:bidi="ar-SY"/>
        </w:rPr>
        <w:t xml:space="preserve"> </w:t>
      </w:r>
      <w:r w:rsidR="00F32B28" w:rsidRPr="00F32B28">
        <w:rPr>
          <w:rtl/>
          <w:lang w:bidi="ar-SY"/>
        </w:rPr>
        <w:t>وغير</w:t>
      </w:r>
      <w:r w:rsidR="00F32B28">
        <w:rPr>
          <w:rtl/>
          <w:lang w:bidi="ar-SY"/>
        </w:rPr>
        <w:t xml:space="preserve"> </w:t>
      </w:r>
      <w:r w:rsidR="00F32B28" w:rsidRPr="00F32B28">
        <w:rPr>
          <w:rtl/>
          <w:lang w:bidi="ar-SY"/>
        </w:rPr>
        <w:t>الحكومية</w:t>
      </w:r>
      <w:r w:rsidR="00F32B28">
        <w:rPr>
          <w:rtl/>
          <w:lang w:bidi="ar-SY"/>
        </w:rPr>
        <w:t xml:space="preserve"> </w:t>
      </w:r>
      <w:r w:rsidR="00F32B28" w:rsidRPr="00F32B28">
        <w:rPr>
          <w:rtl/>
          <w:lang w:bidi="ar-SY"/>
        </w:rPr>
        <w:t>الأكثر</w:t>
      </w:r>
      <w:r w:rsidR="00F32B28">
        <w:rPr>
          <w:rtl/>
          <w:lang w:bidi="ar-SY"/>
        </w:rPr>
        <w:t xml:space="preserve"> </w:t>
      </w:r>
      <w:r w:rsidR="00F32B28" w:rsidRPr="00F32B28">
        <w:rPr>
          <w:rtl/>
          <w:lang w:bidi="ar-SY"/>
        </w:rPr>
        <w:t>تأثيراً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حياة</w:t>
      </w:r>
      <w:r w:rsidR="00F32B28">
        <w:rPr>
          <w:rtl/>
          <w:lang w:bidi="ar-SY"/>
        </w:rPr>
        <w:t xml:space="preserve"> </w:t>
      </w:r>
      <w:r w:rsidR="00F32B28" w:rsidRPr="00F32B28">
        <w:rPr>
          <w:rtl/>
          <w:lang w:bidi="ar-SY"/>
        </w:rPr>
        <w:t>الرجال</w:t>
      </w:r>
      <w:r w:rsidR="00F32B28">
        <w:rPr>
          <w:rtl/>
          <w:lang w:bidi="ar-SY"/>
        </w:rPr>
        <w:t xml:space="preserve"> </w:t>
      </w:r>
      <w:r w:rsidR="00F32B28" w:rsidRPr="00F32B28">
        <w:rPr>
          <w:rtl/>
          <w:lang w:bidi="ar-SY"/>
        </w:rPr>
        <w:t>والنساء</w:t>
      </w:r>
      <w:r w:rsidR="00600C43">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يقل</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10</w:t>
      </w:r>
      <w:r w:rsidR="00600C43" w:rsidRPr="00600C43">
        <w:rPr>
          <w:rFonts w:hint="cs"/>
          <w:rtl/>
        </w:rPr>
        <w:t xml:space="preserve"> </w:t>
      </w:r>
      <w:r w:rsidR="00600C43">
        <w:rPr>
          <w:rFonts w:hint="cs"/>
          <w:rtl/>
        </w:rPr>
        <w:t>في المائة</w:t>
      </w:r>
      <w:r w:rsidR="00F32B28" w:rsidRPr="00F32B28">
        <w:rPr>
          <w:rtl/>
          <w:lang w:bidi="ar-SY"/>
        </w:rPr>
        <w:t>،</w:t>
      </w:r>
      <w:r w:rsidR="00F32B28">
        <w:rPr>
          <w:rtl/>
          <w:lang w:bidi="ar-SY"/>
        </w:rPr>
        <w:t xml:space="preserve"> </w:t>
      </w:r>
      <w:r w:rsidR="00F32B28" w:rsidRPr="00F32B28">
        <w:rPr>
          <w:rtl/>
          <w:lang w:bidi="ar-SY"/>
        </w:rPr>
        <w:t>و</w:t>
      </w:r>
      <w:r w:rsidR="00F32B28" w:rsidRPr="00F32B28">
        <w:rPr>
          <w:rtl/>
        </w:rPr>
        <w:t>مأسسة</w:t>
      </w:r>
      <w:r w:rsidR="00F32B28">
        <w:rPr>
          <w:rtl/>
        </w:rPr>
        <w:t xml:space="preserve"> </w:t>
      </w:r>
      <w:r w:rsidR="00F32B28" w:rsidRPr="00F32B28">
        <w:rPr>
          <w:rtl/>
        </w:rPr>
        <w:t>قضايا</w:t>
      </w:r>
      <w:r w:rsidR="00F32B28">
        <w:rPr>
          <w:rtl/>
        </w:rPr>
        <w:t xml:space="preserve"> </w:t>
      </w:r>
      <w:r w:rsidR="00F32B28" w:rsidRPr="00F32B28">
        <w:rPr>
          <w:rtl/>
        </w:rPr>
        <w:t>المساواة</w:t>
      </w:r>
      <w:r w:rsidR="00F32B28">
        <w:rPr>
          <w:rtl/>
        </w:rPr>
        <w:t xml:space="preserve"> </w:t>
      </w:r>
      <w:r w:rsidR="00F32B28" w:rsidRPr="00F32B28">
        <w:rPr>
          <w:rtl/>
        </w:rPr>
        <w:t>والعدالة</w:t>
      </w:r>
      <w:r w:rsidR="00F32B28">
        <w:rPr>
          <w:rtl/>
        </w:rPr>
        <w:t xml:space="preserve"> </w:t>
      </w:r>
      <w:r w:rsidR="00F32B28" w:rsidRPr="00F32B28">
        <w:rPr>
          <w:rtl/>
        </w:rPr>
        <w:t>بين</w:t>
      </w:r>
      <w:r w:rsidR="00F32B28">
        <w:rPr>
          <w:rtl/>
        </w:rPr>
        <w:t xml:space="preserve"> </w:t>
      </w:r>
      <w:r w:rsidR="00F32B28" w:rsidRPr="00F32B28">
        <w:rPr>
          <w:rtl/>
        </w:rPr>
        <w:t>الجنسين</w:t>
      </w:r>
      <w:r w:rsidR="00F32B28">
        <w:rPr>
          <w:rtl/>
        </w:rPr>
        <w:t xml:space="preserve"> </w:t>
      </w:r>
      <w:r w:rsidR="00F32B28" w:rsidRPr="00F32B28">
        <w:rPr>
          <w:rtl/>
        </w:rPr>
        <w:t>وتمكين</w:t>
      </w:r>
      <w:r w:rsidR="00F32B28">
        <w:rPr>
          <w:rtl/>
        </w:rPr>
        <w:t xml:space="preserve"> </w:t>
      </w:r>
      <w:r w:rsidR="00F32B28" w:rsidRPr="00F32B28">
        <w:rPr>
          <w:rtl/>
        </w:rPr>
        <w:t>المرأة</w:t>
      </w:r>
      <w:r w:rsidR="00F32B28">
        <w:rPr>
          <w:rtl/>
        </w:rPr>
        <w:t xml:space="preserve"> </w:t>
      </w:r>
      <w:r w:rsidR="00F32B28" w:rsidRPr="00F32B28">
        <w:rPr>
          <w:rtl/>
        </w:rPr>
        <w:t>كافة</w:t>
      </w:r>
      <w:r w:rsidR="00F32B28">
        <w:rPr>
          <w:rtl/>
        </w:rPr>
        <w:t xml:space="preserve"> </w:t>
      </w:r>
      <w:r w:rsidR="00F32B28" w:rsidRPr="00F32B28">
        <w:rPr>
          <w:rtl/>
        </w:rPr>
        <w:t>المؤسسات</w:t>
      </w:r>
      <w:r w:rsidR="00F32B28">
        <w:rPr>
          <w:rtl/>
        </w:rPr>
        <w:t xml:space="preserve"> </w:t>
      </w:r>
      <w:r w:rsidR="00F32B28" w:rsidRPr="00F32B28">
        <w:rPr>
          <w:rtl/>
        </w:rPr>
        <w:t>الرسمية،</w:t>
      </w:r>
      <w:r w:rsidR="00F32B28">
        <w:rPr>
          <w:rtl/>
        </w:rPr>
        <w:t xml:space="preserve"> </w:t>
      </w:r>
      <w:r w:rsidR="00F32B28" w:rsidRPr="00F32B28">
        <w:rPr>
          <w:rtl/>
        </w:rPr>
        <w:t>وتعزيز</w:t>
      </w:r>
      <w:r w:rsidR="00F32B28">
        <w:rPr>
          <w:rtl/>
          <w:lang w:bidi="ar-SY"/>
        </w:rPr>
        <w:t xml:space="preserve"> </w:t>
      </w:r>
      <w:r w:rsidR="00F32B28" w:rsidRPr="00F32B28">
        <w:rPr>
          <w:rtl/>
          <w:lang w:bidi="ar-SY"/>
        </w:rPr>
        <w:t>مشاركة</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lang w:bidi="ar-SY"/>
        </w:rPr>
        <w:t>الاقتصادي،</w:t>
      </w:r>
      <w:r w:rsidR="00F32B28">
        <w:rPr>
          <w:rtl/>
          <w:lang w:bidi="ar-SY"/>
        </w:rPr>
        <w:t xml:space="preserve"> </w:t>
      </w:r>
      <w:r w:rsidR="00F32B28" w:rsidRPr="00F32B28">
        <w:rPr>
          <w:rtl/>
          <w:lang w:bidi="ar-SY"/>
        </w:rPr>
        <w:t>وتحسين</w:t>
      </w:r>
      <w:r w:rsidR="00F32B28">
        <w:rPr>
          <w:rtl/>
          <w:lang w:bidi="ar-SY"/>
        </w:rPr>
        <w:t xml:space="preserve"> </w:t>
      </w:r>
      <w:r w:rsidR="00F32B28" w:rsidRPr="00F32B28">
        <w:rPr>
          <w:rtl/>
          <w:lang w:bidi="ar-SY"/>
        </w:rPr>
        <w:t>نوعية</w:t>
      </w:r>
      <w:r w:rsidR="00F32B28">
        <w:rPr>
          <w:rtl/>
          <w:lang w:bidi="ar-SY"/>
        </w:rPr>
        <w:t xml:space="preserve"> </w:t>
      </w:r>
      <w:r w:rsidR="00F32B28" w:rsidRPr="00F32B28">
        <w:rPr>
          <w:rtl/>
          <w:lang w:bidi="ar-SY"/>
        </w:rPr>
        <w:t>الحياة</w:t>
      </w:r>
      <w:r w:rsidR="00F32B28">
        <w:rPr>
          <w:rtl/>
          <w:lang w:bidi="ar-SY"/>
        </w:rPr>
        <w:t xml:space="preserve"> </w:t>
      </w:r>
      <w:r w:rsidR="00F32B28" w:rsidRPr="00F32B28">
        <w:rPr>
          <w:rtl/>
          <w:lang w:bidi="ar-SY"/>
        </w:rPr>
        <w:t>للأسر</w:t>
      </w:r>
      <w:r w:rsidR="00F32B28">
        <w:rPr>
          <w:rtl/>
          <w:lang w:bidi="ar-SY"/>
        </w:rPr>
        <w:t xml:space="preserve"> </w:t>
      </w:r>
      <w:r w:rsidR="00F32B28" w:rsidRPr="00F32B28">
        <w:rPr>
          <w:rtl/>
          <w:lang w:bidi="ar-SY"/>
        </w:rPr>
        <w:t>الفقيرة</w:t>
      </w:r>
      <w:r w:rsidR="00F32B28">
        <w:rPr>
          <w:rtl/>
          <w:lang w:bidi="ar-SY"/>
        </w:rPr>
        <w:t xml:space="preserve"> </w:t>
      </w:r>
      <w:r w:rsidR="00F32B28" w:rsidRPr="00F32B28">
        <w:rPr>
          <w:rtl/>
          <w:lang w:bidi="ar-SY"/>
        </w:rPr>
        <w:t>والمهمشة.</w:t>
      </w:r>
    </w:p>
    <w:p w:rsidR="00F32B28" w:rsidRPr="00F32B28" w:rsidRDefault="00FD6731" w:rsidP="008D730A">
      <w:pPr>
        <w:pStyle w:val="SingleTxt"/>
      </w:pPr>
      <w:r>
        <w:rPr>
          <w:rFonts w:hint="cs"/>
          <w:rtl/>
          <w:lang w:bidi="ar-SY"/>
        </w:rPr>
        <w:t>61 -</w:t>
      </w:r>
      <w:r>
        <w:rPr>
          <w:rFonts w:hint="cs"/>
          <w:rtl/>
          <w:lang w:bidi="ar-SY"/>
        </w:rPr>
        <w:tab/>
      </w:r>
      <w:r w:rsidR="00F32B28" w:rsidRPr="00F32B28">
        <w:rPr>
          <w:rtl/>
          <w:lang w:bidi="ar-SY"/>
        </w:rPr>
        <w:t>تم</w:t>
      </w:r>
      <w:r w:rsidR="00F32B28">
        <w:rPr>
          <w:rtl/>
        </w:rPr>
        <w:t xml:space="preserve"> </w:t>
      </w:r>
      <w:r w:rsidR="00F32B28" w:rsidRPr="00F32B28">
        <w:rPr>
          <w:rtl/>
        </w:rPr>
        <w:t>تضمين</w:t>
      </w:r>
      <w:r w:rsidR="00F32B28">
        <w:rPr>
          <w:rtl/>
        </w:rPr>
        <w:t xml:space="preserve"> </w:t>
      </w:r>
      <w:r w:rsidR="00F32B28" w:rsidRPr="00F32B28">
        <w:rPr>
          <w:rtl/>
        </w:rPr>
        <w:t>النوع</w:t>
      </w:r>
      <w:r w:rsidR="00F32B28">
        <w:rPr>
          <w:rtl/>
        </w:rPr>
        <w:t xml:space="preserve"> </w:t>
      </w:r>
      <w:r w:rsidR="00F32B28" w:rsidRPr="00F32B28">
        <w:rPr>
          <w:rtl/>
        </w:rPr>
        <w:t>الاجتماعي</w:t>
      </w:r>
      <w:r w:rsidR="00F32B28">
        <w:rPr>
          <w:rtl/>
        </w:rPr>
        <w:t xml:space="preserve"> </w:t>
      </w:r>
      <w:r w:rsidR="00F32B28" w:rsidRPr="00F32B28">
        <w:rPr>
          <w:rtl/>
        </w:rPr>
        <w:t>في</w:t>
      </w:r>
      <w:r w:rsidR="00F32B28">
        <w:rPr>
          <w:rtl/>
        </w:rPr>
        <w:t xml:space="preserve"> </w:t>
      </w:r>
      <w:r w:rsidR="00F32B28" w:rsidRPr="00F32B28">
        <w:rPr>
          <w:rtl/>
        </w:rPr>
        <w:t>المسوحات</w:t>
      </w:r>
      <w:r w:rsidR="00F32B28">
        <w:rPr>
          <w:rtl/>
        </w:rPr>
        <w:t xml:space="preserve"> </w:t>
      </w:r>
      <w:r w:rsidR="00F32B28" w:rsidRPr="00F32B28">
        <w:rPr>
          <w:rtl/>
        </w:rPr>
        <w:t>الصادرة</w:t>
      </w:r>
      <w:r w:rsidR="00F32B28">
        <w:rPr>
          <w:rtl/>
        </w:rPr>
        <w:t xml:space="preserve"> </w:t>
      </w:r>
      <w:r w:rsidR="00F32B28" w:rsidRPr="00F32B28">
        <w:rPr>
          <w:rtl/>
        </w:rPr>
        <w:t>عن</w:t>
      </w:r>
      <w:r w:rsidR="00F32B28">
        <w:rPr>
          <w:rtl/>
        </w:rPr>
        <w:t xml:space="preserve"> </w:t>
      </w:r>
      <w:r w:rsidR="00F32B28" w:rsidRPr="00F32B28">
        <w:rPr>
          <w:rtl/>
        </w:rPr>
        <w:t>مركز</w:t>
      </w:r>
      <w:r w:rsidR="00F32B28">
        <w:rPr>
          <w:rtl/>
        </w:rPr>
        <w:t xml:space="preserve"> </w:t>
      </w:r>
      <w:r w:rsidR="00F32B28" w:rsidRPr="00F32B28">
        <w:rPr>
          <w:rtl/>
        </w:rPr>
        <w:t>الإحصاء</w:t>
      </w:r>
      <w:r w:rsidR="00F32B28">
        <w:rPr>
          <w:rtl/>
        </w:rPr>
        <w:t xml:space="preserve"> </w:t>
      </w:r>
      <w:r w:rsidR="00F32B28" w:rsidRPr="00F32B28">
        <w:rPr>
          <w:rtl/>
        </w:rPr>
        <w:t>الفلسطيني</w:t>
      </w:r>
      <w:r w:rsidR="00F32B28">
        <w:rPr>
          <w:rtl/>
        </w:rPr>
        <w:t xml:space="preserve"> </w:t>
      </w:r>
      <w:r w:rsidR="00F32B28" w:rsidRPr="00F32B28">
        <w:rPr>
          <w:rtl/>
        </w:rPr>
        <w:t>منذ</w:t>
      </w:r>
      <w:r w:rsidR="00F32B28">
        <w:rPr>
          <w:rtl/>
        </w:rPr>
        <w:t xml:space="preserve"> </w:t>
      </w:r>
      <w:r w:rsidR="00F32B28" w:rsidRPr="00F32B28">
        <w:rPr>
          <w:rtl/>
        </w:rPr>
        <w:t>عام</w:t>
      </w:r>
      <w:r w:rsidR="00F32B28">
        <w:rPr>
          <w:rtl/>
        </w:rPr>
        <w:t xml:space="preserve"> </w:t>
      </w:r>
      <w:r w:rsidR="00F32B28" w:rsidRPr="00F32B28">
        <w:rPr>
          <w:rtl/>
        </w:rPr>
        <w:t>1996،</w:t>
      </w:r>
      <w:r w:rsidR="00F32B28">
        <w:rPr>
          <w:rtl/>
        </w:rPr>
        <w:t xml:space="preserve"> </w:t>
      </w:r>
      <w:r w:rsidR="00F32B28" w:rsidRPr="00F32B28">
        <w:rPr>
          <w:rtl/>
        </w:rPr>
        <w:t>وتوفير</w:t>
      </w:r>
      <w:r w:rsidR="00F32B28">
        <w:rPr>
          <w:rtl/>
        </w:rPr>
        <w:t xml:space="preserve"> </w:t>
      </w:r>
      <w:r w:rsidR="00F32B28" w:rsidRPr="00F32B28">
        <w:rPr>
          <w:rtl/>
        </w:rPr>
        <w:t>بيانات</w:t>
      </w:r>
      <w:r w:rsidR="00F32B28">
        <w:rPr>
          <w:rtl/>
        </w:rPr>
        <w:t xml:space="preserve"> </w:t>
      </w:r>
      <w:r w:rsidR="00F32B28" w:rsidRPr="00F32B28">
        <w:rPr>
          <w:rtl/>
        </w:rPr>
        <w:t>مفصلة</w:t>
      </w:r>
      <w:r w:rsidR="00F32B28">
        <w:rPr>
          <w:rtl/>
        </w:rPr>
        <w:t xml:space="preserve"> </w:t>
      </w:r>
      <w:r w:rsidR="00F32B28" w:rsidRPr="00F32B28">
        <w:rPr>
          <w:rtl/>
        </w:rPr>
        <w:t>حسب</w:t>
      </w:r>
      <w:r w:rsidR="00F32B28">
        <w:rPr>
          <w:rtl/>
        </w:rPr>
        <w:t xml:space="preserve"> </w:t>
      </w:r>
      <w:r w:rsidR="00F32B28" w:rsidRPr="00F32B28">
        <w:rPr>
          <w:rtl/>
        </w:rPr>
        <w:t>الجنس،</w:t>
      </w:r>
      <w:r w:rsidR="00F32B28">
        <w:rPr>
          <w:rtl/>
        </w:rPr>
        <w:t xml:space="preserve"> </w:t>
      </w:r>
      <w:r w:rsidR="00F32B28" w:rsidRPr="00F32B28">
        <w:rPr>
          <w:rtl/>
        </w:rPr>
        <w:t>وقد</w:t>
      </w:r>
      <w:r w:rsidR="00F32B28">
        <w:rPr>
          <w:rtl/>
        </w:rPr>
        <w:t xml:space="preserve"> </w:t>
      </w:r>
      <w:r w:rsidR="00F32B28" w:rsidRPr="00F32B28">
        <w:rPr>
          <w:rtl/>
        </w:rPr>
        <w:t>تم</w:t>
      </w:r>
      <w:r w:rsidR="00F32B28">
        <w:rPr>
          <w:rtl/>
        </w:rPr>
        <w:t xml:space="preserve"> </w:t>
      </w:r>
      <w:r w:rsidR="00F32B28" w:rsidRPr="00F32B28">
        <w:rPr>
          <w:rtl/>
        </w:rPr>
        <w:t>إعداد</w:t>
      </w:r>
      <w:r w:rsidR="00F32B28">
        <w:rPr>
          <w:rtl/>
        </w:rPr>
        <w:t xml:space="preserve"> </w:t>
      </w:r>
      <w:r w:rsidR="00F32B28" w:rsidRPr="00F32B28">
        <w:rPr>
          <w:rtl/>
        </w:rPr>
        <w:t>استمارة</w:t>
      </w:r>
      <w:r w:rsidR="00F32B28">
        <w:rPr>
          <w:rtl/>
        </w:rPr>
        <w:t xml:space="preserve"> </w:t>
      </w:r>
      <w:r w:rsidR="00F32B28" w:rsidRPr="00F32B28">
        <w:rPr>
          <w:rtl/>
        </w:rPr>
        <w:t>التعداد</w:t>
      </w:r>
      <w:r w:rsidR="00F32B28">
        <w:rPr>
          <w:rtl/>
        </w:rPr>
        <w:t xml:space="preserve"> </w:t>
      </w:r>
      <w:r w:rsidR="00F32B28" w:rsidRPr="00F32B28">
        <w:rPr>
          <w:rtl/>
        </w:rPr>
        <w:t>العام</w:t>
      </w:r>
      <w:r w:rsidR="00F32B28">
        <w:rPr>
          <w:rtl/>
        </w:rPr>
        <w:t xml:space="preserve"> </w:t>
      </w:r>
      <w:r w:rsidR="00F32B28" w:rsidRPr="00F32B28">
        <w:rPr>
          <w:rtl/>
        </w:rPr>
        <w:t>للسكان</w:t>
      </w:r>
      <w:r w:rsidR="00F32B28">
        <w:rPr>
          <w:rtl/>
        </w:rPr>
        <w:t xml:space="preserve"> </w:t>
      </w:r>
      <w:r w:rsidR="00F32B28" w:rsidRPr="00F32B28">
        <w:rPr>
          <w:rtl/>
        </w:rPr>
        <w:t>والمنش</w:t>
      </w:r>
      <w:r w:rsidR="008D730A">
        <w:rPr>
          <w:rFonts w:hint="cs"/>
          <w:rtl/>
        </w:rPr>
        <w:t>آ</w:t>
      </w:r>
      <w:r w:rsidR="00F32B28" w:rsidRPr="00F32B28">
        <w:rPr>
          <w:rtl/>
        </w:rPr>
        <w:t>ت</w:t>
      </w:r>
      <w:r w:rsidR="00F32B28">
        <w:rPr>
          <w:rtl/>
        </w:rPr>
        <w:t xml:space="preserve"> </w:t>
      </w:r>
      <w:r w:rsidR="00F32B28" w:rsidRPr="00F32B28">
        <w:rPr>
          <w:rtl/>
        </w:rPr>
        <w:t>الذي</w:t>
      </w:r>
      <w:r w:rsidR="00F32B28">
        <w:rPr>
          <w:rtl/>
        </w:rPr>
        <w:t xml:space="preserve"> </w:t>
      </w:r>
      <w:r w:rsidR="00F32B28" w:rsidRPr="00F32B28">
        <w:rPr>
          <w:rtl/>
        </w:rPr>
        <w:t>تم</w:t>
      </w:r>
      <w:r w:rsidR="00F32B28">
        <w:rPr>
          <w:rtl/>
        </w:rPr>
        <w:t xml:space="preserve"> </w:t>
      </w:r>
      <w:r w:rsidR="00F32B28" w:rsidRPr="00F32B28">
        <w:rPr>
          <w:rtl/>
        </w:rPr>
        <w:t>تنفيذه</w:t>
      </w:r>
      <w:r w:rsidR="00F32B28">
        <w:rPr>
          <w:rtl/>
        </w:rPr>
        <w:t xml:space="preserve"> </w:t>
      </w:r>
      <w:r w:rsidR="00F32B28" w:rsidRPr="00F32B28">
        <w:rPr>
          <w:rtl/>
        </w:rPr>
        <w:t>عام</w:t>
      </w:r>
      <w:r w:rsidR="00F32B28">
        <w:rPr>
          <w:rtl/>
        </w:rPr>
        <w:t xml:space="preserve"> </w:t>
      </w:r>
      <w:r w:rsidR="00F32B28" w:rsidRPr="00F32B28">
        <w:rPr>
          <w:rtl/>
        </w:rPr>
        <w:t>2007</w:t>
      </w:r>
      <w:r w:rsidR="00F32B28">
        <w:rPr>
          <w:rtl/>
        </w:rPr>
        <w:t xml:space="preserve"> </w:t>
      </w:r>
      <w:r w:rsidR="00F32B28" w:rsidRPr="00F32B28">
        <w:rPr>
          <w:rtl/>
        </w:rPr>
        <w:t>مراعية</w:t>
      </w:r>
      <w:r w:rsidR="00F32B28">
        <w:rPr>
          <w:rtl/>
        </w:rPr>
        <w:t xml:space="preserve"> </w:t>
      </w:r>
      <w:r w:rsidR="00F32B28" w:rsidRPr="00F32B28">
        <w:rPr>
          <w:rtl/>
        </w:rPr>
        <w:t>للنوع</w:t>
      </w:r>
      <w:r w:rsidR="00F32B28">
        <w:rPr>
          <w:rtl/>
        </w:rPr>
        <w:t xml:space="preserve"> </w:t>
      </w:r>
      <w:r w:rsidR="00F32B28" w:rsidRPr="00F32B28">
        <w:rPr>
          <w:rtl/>
        </w:rPr>
        <w:t>الاجتماعي</w:t>
      </w:r>
      <w:r w:rsidR="00F32B28" w:rsidRPr="00F32B28">
        <w:rPr>
          <w:rtl/>
          <w:lang w:bidi="ar-SY"/>
        </w:rPr>
        <w:t>.</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بدأ</w:t>
      </w:r>
      <w:r w:rsidR="00F32B28">
        <w:rPr>
          <w:rtl/>
          <w:lang w:bidi="ar-SY"/>
        </w:rPr>
        <w:t xml:space="preserve"> </w:t>
      </w:r>
      <w:r w:rsidR="00F32B28" w:rsidRPr="00F32B28">
        <w:rPr>
          <w:rtl/>
          <w:lang w:bidi="ar-SY"/>
        </w:rPr>
        <w:t>مركز</w:t>
      </w:r>
      <w:r w:rsidR="00F32B28">
        <w:rPr>
          <w:rtl/>
          <w:lang w:bidi="ar-SY"/>
        </w:rPr>
        <w:t xml:space="preserve"> </w:t>
      </w:r>
      <w:r w:rsidR="00F32B28" w:rsidRPr="00F32B28">
        <w:rPr>
          <w:rtl/>
          <w:lang w:bidi="ar-SY"/>
        </w:rPr>
        <w:t>الإحصاء</w:t>
      </w:r>
      <w:r w:rsidR="00F32B28">
        <w:rPr>
          <w:rtl/>
          <w:lang w:bidi="ar-SY"/>
        </w:rPr>
        <w:t xml:space="preserve"> </w:t>
      </w:r>
      <w:r w:rsidR="00F32B28" w:rsidRPr="00F32B28">
        <w:rPr>
          <w:rtl/>
          <w:lang w:bidi="ar-SY"/>
        </w:rPr>
        <w:t>بتنفيذ</w:t>
      </w:r>
      <w:r w:rsidR="00F32B28">
        <w:rPr>
          <w:rtl/>
          <w:lang w:bidi="ar-SY"/>
        </w:rPr>
        <w:t xml:space="preserve"> </w:t>
      </w:r>
      <w:r w:rsidR="00F32B28" w:rsidRPr="00F32B28">
        <w:rPr>
          <w:rtl/>
        </w:rPr>
        <w:t>الخطة</w:t>
      </w:r>
      <w:r w:rsidR="00F32B28">
        <w:rPr>
          <w:rtl/>
        </w:rPr>
        <w:t xml:space="preserve"> </w:t>
      </w:r>
      <w:r w:rsidR="00F32B28" w:rsidRPr="00F32B28">
        <w:rPr>
          <w:rtl/>
        </w:rPr>
        <w:t>الوطنية</w:t>
      </w:r>
      <w:r w:rsidR="00F32B28">
        <w:rPr>
          <w:rtl/>
        </w:rPr>
        <w:t xml:space="preserve"> </w:t>
      </w:r>
      <w:r w:rsidR="00F32B28" w:rsidRPr="00F32B28">
        <w:rPr>
          <w:rtl/>
        </w:rPr>
        <w:t>لمراقبة</w:t>
      </w:r>
      <w:r w:rsidR="00F32B28">
        <w:rPr>
          <w:rtl/>
        </w:rPr>
        <w:t xml:space="preserve"> </w:t>
      </w:r>
      <w:r w:rsidR="00F32B28" w:rsidRPr="00F32B28">
        <w:rPr>
          <w:rtl/>
        </w:rPr>
        <w:t>مؤشرات</w:t>
      </w:r>
      <w:r w:rsidR="00F32B28">
        <w:rPr>
          <w:rtl/>
        </w:rPr>
        <w:t xml:space="preserve"> </w:t>
      </w:r>
      <w:r w:rsidR="00F32B28" w:rsidRPr="00F32B28">
        <w:rPr>
          <w:rtl/>
        </w:rPr>
        <w:t>التنمية</w:t>
      </w:r>
      <w:r w:rsidR="00F32B28">
        <w:rPr>
          <w:rtl/>
        </w:rPr>
        <w:t xml:space="preserve"> </w:t>
      </w:r>
      <w:r w:rsidR="00F32B28" w:rsidRPr="00F32B28">
        <w:rPr>
          <w:rtl/>
        </w:rPr>
        <w:t>المستدامة</w:t>
      </w:r>
      <w:r w:rsidR="00F32B28">
        <w:rPr>
          <w:rtl/>
        </w:rPr>
        <w:t xml:space="preserve"> </w:t>
      </w:r>
      <w:r w:rsidR="00F32B28" w:rsidRPr="00F32B28">
        <w:rPr>
          <w:rtl/>
        </w:rPr>
        <w:t>2030،</w:t>
      </w:r>
      <w:r w:rsidR="00F32B28">
        <w:rPr>
          <w:rtl/>
        </w:rPr>
        <w:t xml:space="preserve"> </w:t>
      </w:r>
    </w:p>
    <w:p w:rsidR="00F32B28" w:rsidRPr="00F32B28" w:rsidRDefault="00FD6731" w:rsidP="00FD6731">
      <w:pPr>
        <w:pStyle w:val="SingleTxt"/>
      </w:pPr>
      <w:r>
        <w:rPr>
          <w:rFonts w:hint="cs"/>
          <w:rtl/>
          <w:lang w:bidi="ar-SY"/>
        </w:rPr>
        <w:t>62 -</w:t>
      </w:r>
      <w:r>
        <w:rPr>
          <w:rFonts w:hint="cs"/>
          <w:rtl/>
          <w:lang w:bidi="ar-SY"/>
        </w:rPr>
        <w:tab/>
      </w:r>
      <w:r w:rsidR="00F32B28" w:rsidRPr="00F32B28">
        <w:rPr>
          <w:rtl/>
          <w:lang w:bidi="ar-SY"/>
        </w:rPr>
        <w:t>أقر</w:t>
      </w:r>
      <w:r w:rsidR="00F32B28">
        <w:rPr>
          <w:rtl/>
          <w:lang w:bidi="ar-SY"/>
        </w:rPr>
        <w:t xml:space="preserve"> </w:t>
      </w:r>
      <w:r w:rsidR="00F32B28" w:rsidRPr="00F32B28">
        <w:rPr>
          <w:rtl/>
        </w:rPr>
        <w:t>مجلس</w:t>
      </w:r>
      <w:r w:rsidR="00F32B28">
        <w:rPr>
          <w:rtl/>
        </w:rPr>
        <w:t xml:space="preserve"> </w:t>
      </w:r>
      <w:r w:rsidR="00F32B28" w:rsidRPr="00F32B28">
        <w:rPr>
          <w:rtl/>
        </w:rPr>
        <w:t>الوزراء</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2009</w:t>
      </w:r>
      <w:r w:rsidR="00F32B28">
        <w:rPr>
          <w:rtl/>
        </w:rPr>
        <w:t xml:space="preserve"> </w:t>
      </w:r>
      <w:r w:rsidR="00F32B28" w:rsidRPr="00F32B28">
        <w:rPr>
          <w:rtl/>
          <w:lang w:bidi="ar-SY"/>
        </w:rPr>
        <w:t>إعداد</w:t>
      </w:r>
      <w:r w:rsidR="00F32B28">
        <w:rPr>
          <w:rtl/>
          <w:lang w:bidi="ar-SY"/>
        </w:rPr>
        <w:t xml:space="preserve"> </w:t>
      </w:r>
      <w:r w:rsidR="00F32B28" w:rsidRPr="00F32B28">
        <w:rPr>
          <w:rtl/>
          <w:lang w:bidi="ar-SY"/>
        </w:rPr>
        <w:t>الخطط</w:t>
      </w:r>
      <w:r w:rsidR="00F32B28">
        <w:rPr>
          <w:rtl/>
          <w:lang w:bidi="ar-SY"/>
        </w:rPr>
        <w:t xml:space="preserve"> </w:t>
      </w:r>
      <w:r w:rsidR="00F32B28" w:rsidRPr="00F32B28">
        <w:rPr>
          <w:rtl/>
          <w:lang w:bidi="ar-SY"/>
        </w:rPr>
        <w:t>والموازنات</w:t>
      </w:r>
      <w:r w:rsidR="00F32B28">
        <w:rPr>
          <w:rtl/>
          <w:lang w:bidi="ar-SY"/>
        </w:rPr>
        <w:t xml:space="preserve"> </w:t>
      </w:r>
      <w:r w:rsidR="00F32B28" w:rsidRPr="00F32B28">
        <w:rPr>
          <w:rtl/>
          <w:lang w:bidi="ar-SY"/>
        </w:rPr>
        <w:t>المستجيبة</w:t>
      </w:r>
      <w:r w:rsidR="00F32B28">
        <w:rPr>
          <w:rtl/>
          <w:lang w:bidi="ar-SY"/>
        </w:rPr>
        <w:t xml:space="preserve"> </w:t>
      </w:r>
      <w:r w:rsidR="00F32B28" w:rsidRPr="00F32B28">
        <w:rPr>
          <w:rtl/>
          <w:lang w:bidi="ar-SY"/>
        </w:rPr>
        <w:t>للنوع</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rPr>
        <w:t>ألزم</w:t>
      </w:r>
      <w:r w:rsidR="00F32B28">
        <w:rPr>
          <w:rtl/>
        </w:rPr>
        <w:t xml:space="preserve"> </w:t>
      </w:r>
      <w:r w:rsidR="00F32B28" w:rsidRPr="00F32B28">
        <w:rPr>
          <w:rtl/>
        </w:rPr>
        <w:t>كافة</w:t>
      </w:r>
      <w:r w:rsidR="00F32B28">
        <w:rPr>
          <w:rtl/>
        </w:rPr>
        <w:t xml:space="preserve"> </w:t>
      </w:r>
      <w:r w:rsidR="00F32B28" w:rsidRPr="00F32B28">
        <w:rPr>
          <w:rtl/>
        </w:rPr>
        <w:t>الدوائر</w:t>
      </w:r>
      <w:r w:rsidR="00F32B28">
        <w:rPr>
          <w:rtl/>
        </w:rPr>
        <w:t xml:space="preserve"> </w:t>
      </w:r>
      <w:r w:rsidR="00F32B28" w:rsidRPr="00F32B28">
        <w:rPr>
          <w:rtl/>
        </w:rPr>
        <w:t>الحكومية</w:t>
      </w:r>
      <w:r w:rsidR="00F32B28">
        <w:rPr>
          <w:rtl/>
        </w:rPr>
        <w:t xml:space="preserve"> </w:t>
      </w:r>
      <w:r w:rsidR="00F32B28" w:rsidRPr="00F32B28">
        <w:rPr>
          <w:rtl/>
        </w:rPr>
        <w:t>بإعداد</w:t>
      </w:r>
      <w:r w:rsidR="00F32B28">
        <w:rPr>
          <w:rtl/>
        </w:rPr>
        <w:t xml:space="preserve"> </w:t>
      </w:r>
      <w:r w:rsidR="00F32B28" w:rsidRPr="00F32B28">
        <w:rPr>
          <w:rtl/>
        </w:rPr>
        <w:t>موازنات</w:t>
      </w:r>
      <w:r w:rsidR="00F32B28">
        <w:rPr>
          <w:rtl/>
        </w:rPr>
        <w:t xml:space="preserve"> </w:t>
      </w:r>
      <w:r w:rsidR="00F32B28" w:rsidRPr="00F32B28">
        <w:rPr>
          <w:rtl/>
        </w:rPr>
        <w:t>سنوية</w:t>
      </w:r>
      <w:r w:rsidR="00F32B28">
        <w:rPr>
          <w:rtl/>
        </w:rPr>
        <w:t xml:space="preserve"> </w:t>
      </w:r>
      <w:r w:rsidR="00F32B28" w:rsidRPr="00F32B28">
        <w:rPr>
          <w:rtl/>
        </w:rPr>
        <w:t>تكون</w:t>
      </w:r>
      <w:r w:rsidR="00F32B28">
        <w:rPr>
          <w:rtl/>
        </w:rPr>
        <w:t xml:space="preserve"> </w:t>
      </w:r>
      <w:r w:rsidR="00F32B28" w:rsidRPr="00F32B28">
        <w:rPr>
          <w:rtl/>
        </w:rPr>
        <w:t>حساسة</w:t>
      </w:r>
      <w:r w:rsidR="00F32B28">
        <w:rPr>
          <w:rtl/>
        </w:rPr>
        <w:t xml:space="preserve"> </w:t>
      </w:r>
      <w:r w:rsidR="00F32B28" w:rsidRPr="00F32B28">
        <w:rPr>
          <w:rtl/>
        </w:rPr>
        <w:t>للنوع</w:t>
      </w:r>
      <w:r w:rsidR="00F32B28">
        <w:rPr>
          <w:rtl/>
        </w:rPr>
        <w:t xml:space="preserve"> </w:t>
      </w:r>
      <w:r w:rsidR="00F32B28" w:rsidRPr="00F32B28">
        <w:rPr>
          <w:rtl/>
        </w:rPr>
        <w:t>الاجتماعي.</w:t>
      </w:r>
      <w:r w:rsidR="00F32B28">
        <w:rPr>
          <w:rtl/>
        </w:rPr>
        <w:t xml:space="preserve"> </w:t>
      </w:r>
      <w:r w:rsidR="00F32B28" w:rsidRPr="00F32B28">
        <w:rPr>
          <w:rtl/>
        </w:rPr>
        <w:t>وتم</w:t>
      </w:r>
      <w:r w:rsidR="00F32B28">
        <w:rPr>
          <w:rtl/>
        </w:rPr>
        <w:t xml:space="preserve"> </w:t>
      </w:r>
      <w:r w:rsidR="00F32B28" w:rsidRPr="00F32B28">
        <w:rPr>
          <w:rtl/>
        </w:rPr>
        <w:t>إنشاء</w:t>
      </w:r>
      <w:r w:rsidR="00F32B28">
        <w:rPr>
          <w:rtl/>
        </w:rPr>
        <w:t xml:space="preserve"> </w:t>
      </w:r>
      <w:r w:rsidR="00F32B28" w:rsidRPr="00F32B28">
        <w:rPr>
          <w:rtl/>
          <w:lang w:bidi="ar-SY"/>
        </w:rPr>
        <w:t>اللجنة</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للموازنة</w:t>
      </w:r>
      <w:r w:rsidR="00F32B28">
        <w:rPr>
          <w:rtl/>
          <w:lang w:bidi="ar-SY"/>
        </w:rPr>
        <w:t xml:space="preserve"> </w:t>
      </w:r>
      <w:r w:rsidR="00F32B28" w:rsidRPr="00F32B28">
        <w:rPr>
          <w:rtl/>
          <w:lang w:bidi="ar-SY"/>
        </w:rPr>
        <w:t>المستجيبة</w:t>
      </w:r>
      <w:r w:rsidR="00F32B28">
        <w:rPr>
          <w:rtl/>
          <w:lang w:bidi="ar-SY"/>
        </w:rPr>
        <w:t xml:space="preserve"> </w:t>
      </w:r>
      <w:r w:rsidR="00F32B28" w:rsidRPr="00F32B28">
        <w:rPr>
          <w:rtl/>
          <w:lang w:bidi="ar-SY"/>
        </w:rPr>
        <w:t>للنوع</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2012</w:t>
      </w:r>
      <w:r w:rsidR="00F32B28">
        <w:rPr>
          <w:rtl/>
        </w:rPr>
        <w:t xml:space="preserve"> </w:t>
      </w:r>
      <w:r w:rsidR="00F32B28" w:rsidRPr="00F32B28">
        <w:rPr>
          <w:rtl/>
          <w:lang w:bidi="ar-SY"/>
        </w:rPr>
        <w:t>من</w:t>
      </w:r>
      <w:r w:rsidR="00F32B28">
        <w:rPr>
          <w:rtl/>
          <w:lang w:bidi="ar-SY"/>
        </w:rPr>
        <w:t xml:space="preserve"> </w:t>
      </w:r>
      <w:r w:rsidR="00F32B28" w:rsidRPr="00F32B28">
        <w:rPr>
          <w:rtl/>
          <w:lang w:bidi="ar-SY"/>
        </w:rPr>
        <w:t>أجل</w:t>
      </w:r>
      <w:r w:rsidR="00F32B28">
        <w:rPr>
          <w:rtl/>
          <w:lang w:bidi="ar-SY"/>
        </w:rPr>
        <w:t xml:space="preserve"> </w:t>
      </w:r>
      <w:r w:rsidR="00F32B28" w:rsidRPr="00F32B28">
        <w:rPr>
          <w:rtl/>
          <w:lang w:bidi="ar-SY"/>
        </w:rPr>
        <w:t>توجيه</w:t>
      </w:r>
      <w:r w:rsidR="00F32B28">
        <w:rPr>
          <w:rtl/>
          <w:lang w:bidi="ar-SY"/>
        </w:rPr>
        <w:t xml:space="preserve"> </w:t>
      </w:r>
      <w:r w:rsidR="00F32B28" w:rsidRPr="00F32B28">
        <w:rPr>
          <w:rtl/>
          <w:lang w:bidi="ar-SY"/>
        </w:rPr>
        <w:t>عملية</w:t>
      </w:r>
      <w:r w:rsidR="00F32B28">
        <w:rPr>
          <w:rtl/>
          <w:lang w:bidi="ar-SY"/>
        </w:rPr>
        <w:t xml:space="preserve"> </w:t>
      </w:r>
      <w:r w:rsidR="00F32B28" w:rsidRPr="00F32B28">
        <w:rPr>
          <w:rtl/>
          <w:lang w:bidi="ar-SY"/>
        </w:rPr>
        <w:t>إدماج</w:t>
      </w:r>
      <w:r w:rsidR="00F32B28">
        <w:rPr>
          <w:rtl/>
          <w:lang w:bidi="ar-SY"/>
        </w:rPr>
        <w:t xml:space="preserve"> </w:t>
      </w:r>
      <w:r w:rsidR="00F32B28" w:rsidRPr="00F32B28">
        <w:rPr>
          <w:rtl/>
          <w:lang w:bidi="ar-SY"/>
        </w:rPr>
        <w:t>النوع</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الموازنات</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وتدريب</w:t>
      </w:r>
      <w:r w:rsidR="00F32B28">
        <w:rPr>
          <w:rtl/>
          <w:lang w:bidi="ar-SY"/>
        </w:rPr>
        <w:t xml:space="preserve"> </w:t>
      </w:r>
      <w:r w:rsidR="00F32B28" w:rsidRPr="00F32B28">
        <w:rPr>
          <w:rtl/>
          <w:lang w:bidi="ar-SY"/>
        </w:rPr>
        <w:t>الكوادر</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إعدادها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منظور</w:t>
      </w:r>
      <w:r w:rsidR="00F32B28">
        <w:rPr>
          <w:rtl/>
          <w:lang w:bidi="ar-SY"/>
        </w:rPr>
        <w:t xml:space="preserve"> </w:t>
      </w:r>
      <w:r w:rsidR="00F32B28" w:rsidRPr="00F32B28">
        <w:rPr>
          <w:rtl/>
          <w:lang w:bidi="ar-SY"/>
        </w:rPr>
        <w:t>النوع</w:t>
      </w:r>
      <w:r w:rsidR="00F32B28">
        <w:rPr>
          <w:rtl/>
          <w:lang w:bidi="ar-SY"/>
        </w:rPr>
        <w:t xml:space="preserve"> </w:t>
      </w:r>
      <w:r w:rsidR="00F32B28" w:rsidRPr="00F32B28">
        <w:rPr>
          <w:rtl/>
          <w:lang w:bidi="ar-SY"/>
        </w:rPr>
        <w:t>الاجتماعي.</w:t>
      </w:r>
    </w:p>
    <w:p w:rsidR="00F32B28" w:rsidRPr="00F32B28" w:rsidRDefault="00FD6731" w:rsidP="00FD6731">
      <w:pPr>
        <w:pStyle w:val="SingleTxt"/>
      </w:pPr>
      <w:r>
        <w:rPr>
          <w:rFonts w:hint="cs"/>
          <w:rtl/>
          <w:lang w:bidi="ar-SY"/>
        </w:rPr>
        <w:t>63 -</w:t>
      </w:r>
      <w:r>
        <w:rPr>
          <w:rFonts w:hint="cs"/>
          <w:rtl/>
          <w:lang w:bidi="ar-SY"/>
        </w:rPr>
        <w:tab/>
      </w:r>
      <w:r w:rsidR="00F32B28" w:rsidRPr="00F32B28">
        <w:rPr>
          <w:rtl/>
          <w:lang w:bidi="ar-SY"/>
        </w:rPr>
        <w:t>يعتبر</w:t>
      </w:r>
      <w:r w:rsidR="00F32B28">
        <w:rPr>
          <w:rtl/>
          <w:lang w:bidi="ar-SY"/>
        </w:rPr>
        <w:t xml:space="preserve"> </w:t>
      </w:r>
      <w:r w:rsidR="00F32B28" w:rsidRPr="00F32B28">
        <w:rPr>
          <w:rtl/>
          <w:lang w:bidi="ar-SY"/>
        </w:rPr>
        <w:t>يوم</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العالمي،</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يصادف</w:t>
      </w:r>
      <w:r w:rsidR="00F32B28">
        <w:rPr>
          <w:rtl/>
          <w:lang w:bidi="ar-SY"/>
        </w:rPr>
        <w:t xml:space="preserve"> </w:t>
      </w:r>
      <w:r w:rsidR="00F32B28" w:rsidRPr="00F32B28">
        <w:rPr>
          <w:rtl/>
          <w:lang w:bidi="ar-SY"/>
        </w:rPr>
        <w:t>الثامن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آذار</w:t>
      </w:r>
      <w:r w:rsidR="000B4ABE">
        <w:rPr>
          <w:rFonts w:hint="cs"/>
          <w:rtl/>
          <w:lang w:bidi="ar-SY"/>
        </w:rPr>
        <w:t>/مارس</w:t>
      </w:r>
      <w:r w:rsidR="00F32B28" w:rsidRPr="00F32B28">
        <w:rPr>
          <w:rtl/>
          <w:lang w:bidi="ar-SY"/>
        </w:rPr>
        <w:t>،</w:t>
      </w:r>
      <w:r w:rsidR="00F32B28">
        <w:rPr>
          <w:rtl/>
          <w:lang w:bidi="ar-SY"/>
        </w:rPr>
        <w:t xml:space="preserve"> </w:t>
      </w:r>
      <w:r w:rsidR="00F32B28" w:rsidRPr="00F32B28">
        <w:rPr>
          <w:rtl/>
          <w:lang w:bidi="ar-SY"/>
        </w:rPr>
        <w:t>عيداً</w:t>
      </w:r>
      <w:r w:rsidR="00F32B28">
        <w:rPr>
          <w:rtl/>
          <w:lang w:bidi="ar-SY"/>
        </w:rPr>
        <w:t xml:space="preserve"> </w:t>
      </w:r>
      <w:r w:rsidR="00F32B28" w:rsidRPr="00F32B28">
        <w:rPr>
          <w:rtl/>
          <w:lang w:bidi="ar-SY"/>
        </w:rPr>
        <w:t>وطنياً</w:t>
      </w:r>
      <w:r w:rsidR="004B33D7">
        <w:rPr>
          <w:rFonts w:hint="cs"/>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تقوم</w:t>
      </w:r>
      <w:r w:rsidR="00F32B28">
        <w:rPr>
          <w:rtl/>
          <w:lang w:bidi="ar-SY"/>
        </w:rPr>
        <w:t xml:space="preserve"> </w:t>
      </w:r>
      <w:r w:rsidR="00F32B28" w:rsidRPr="00F32B28">
        <w:rPr>
          <w:rtl/>
          <w:lang w:bidi="ar-SY"/>
        </w:rPr>
        <w:t>به</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بتنظيم</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الفعاليات</w:t>
      </w:r>
      <w:r w:rsidR="00F32B28" w:rsidRPr="00F32B28">
        <w:rPr>
          <w:rFonts w:hint="cs"/>
          <w:rtl/>
          <w:lang w:bidi="ar-SY"/>
        </w:rPr>
        <w:t>،</w:t>
      </w:r>
      <w:r w:rsidR="00F32B28">
        <w:rPr>
          <w:rFonts w:hint="cs"/>
          <w:rtl/>
          <w:lang w:bidi="ar-SY"/>
        </w:rPr>
        <w:t xml:space="preserve"> </w:t>
      </w:r>
      <w:r w:rsidR="00F32B28" w:rsidRPr="00F32B28">
        <w:rPr>
          <w:rFonts w:hint="cs"/>
          <w:rtl/>
          <w:lang w:bidi="ar-SY"/>
        </w:rPr>
        <w:t>بما</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ذلك</w:t>
      </w:r>
      <w:r>
        <w:rPr>
          <w:rFonts w:hint="cs"/>
          <w:rtl/>
          <w:lang w:bidi="ar-SY"/>
        </w:rPr>
        <w:t xml:space="preserve"> </w:t>
      </w:r>
      <w:r w:rsidR="00F32B28" w:rsidRPr="00F32B28">
        <w:rPr>
          <w:rtl/>
          <w:lang w:bidi="ar-SY"/>
        </w:rPr>
        <w:t>المسيرات</w:t>
      </w:r>
      <w:r w:rsidR="00F32B28">
        <w:rPr>
          <w:rtl/>
          <w:lang w:bidi="ar-SY"/>
        </w:rPr>
        <w:t xml:space="preserve"> </w:t>
      </w:r>
      <w:r w:rsidR="00F32B28" w:rsidRPr="00F32B28">
        <w:rPr>
          <w:rtl/>
          <w:lang w:bidi="ar-SY"/>
        </w:rPr>
        <w:t>السلمية</w:t>
      </w:r>
      <w:r w:rsidR="00F32B28">
        <w:rPr>
          <w:rtl/>
          <w:lang w:bidi="ar-SY"/>
        </w:rPr>
        <w:t xml:space="preserve"> </w:t>
      </w:r>
      <w:r w:rsidR="00F32B28" w:rsidRPr="00F32B28">
        <w:rPr>
          <w:rtl/>
          <w:lang w:bidi="ar-SY"/>
        </w:rPr>
        <w:t>للاحتجاج</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جرائم</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وعموم</w:t>
      </w:r>
      <w:r w:rsidR="00F32B28">
        <w:rPr>
          <w:rtl/>
          <w:lang w:bidi="ar-SY"/>
        </w:rPr>
        <w:t xml:space="preserve"> </w:t>
      </w:r>
      <w:r w:rsidR="00F32B28" w:rsidRPr="00F32B28">
        <w:rPr>
          <w:rtl/>
          <w:lang w:bidi="ar-SY"/>
        </w:rPr>
        <w:t>الشعب</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وما</w:t>
      </w:r>
      <w:r w:rsidR="00F32B28">
        <w:rPr>
          <w:rtl/>
          <w:lang w:bidi="ar-SY"/>
        </w:rPr>
        <w:t xml:space="preserve"> </w:t>
      </w:r>
      <w:r w:rsidR="00F32B28" w:rsidRPr="00F32B28">
        <w:rPr>
          <w:rtl/>
          <w:lang w:bidi="ar-SY"/>
        </w:rPr>
        <w:t>تكاد</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المسيرات</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تنطلق</w:t>
      </w:r>
      <w:r w:rsidR="00F32B28">
        <w:rPr>
          <w:rtl/>
          <w:lang w:bidi="ar-SY"/>
        </w:rPr>
        <w:t xml:space="preserve"> </w:t>
      </w:r>
      <w:r w:rsidR="00F32B28" w:rsidRPr="00F32B28">
        <w:rPr>
          <w:rtl/>
          <w:lang w:bidi="ar-SY"/>
        </w:rPr>
        <w:t>إلا</w:t>
      </w:r>
      <w:r w:rsidR="008974F6">
        <w:rPr>
          <w:rFonts w:hint="cs"/>
          <w:rtl/>
          <w:lang w:bidi="ar-SY"/>
        </w:rPr>
        <w:t> </w:t>
      </w:r>
      <w:r w:rsidR="00F32B28" w:rsidRPr="00F32B28">
        <w:rPr>
          <w:rtl/>
          <w:lang w:bidi="ar-SY"/>
        </w:rPr>
        <w:t>ويسارع</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قمعها</w:t>
      </w:r>
      <w:r w:rsidR="00F32B28">
        <w:rPr>
          <w:rtl/>
          <w:lang w:bidi="ar-SY"/>
        </w:rPr>
        <w:t xml:space="preserve"> </w:t>
      </w:r>
      <w:r w:rsidR="00F32B28" w:rsidRPr="00F32B28">
        <w:rPr>
          <w:rtl/>
          <w:lang w:bidi="ar-SY"/>
        </w:rPr>
        <w:t>والاعتداء</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المشاركات</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بالضرب</w:t>
      </w:r>
      <w:r w:rsidR="00F32B28">
        <w:rPr>
          <w:rtl/>
          <w:lang w:bidi="ar-SY"/>
        </w:rPr>
        <w:t xml:space="preserve"> </w:t>
      </w:r>
      <w:r w:rsidR="00F32B28" w:rsidRPr="00F32B28">
        <w:rPr>
          <w:rtl/>
          <w:lang w:bidi="ar-SY"/>
        </w:rPr>
        <w:t>وإطلاق</w:t>
      </w:r>
      <w:r w:rsidR="00F32B28">
        <w:rPr>
          <w:rtl/>
          <w:lang w:bidi="ar-SY"/>
        </w:rPr>
        <w:t xml:space="preserve"> </w:t>
      </w:r>
      <w:r w:rsidR="00F32B28" w:rsidRPr="00F32B28">
        <w:rPr>
          <w:rtl/>
          <w:lang w:bidi="ar-SY"/>
        </w:rPr>
        <w:t>قنابل</w:t>
      </w:r>
      <w:r w:rsidR="00F32B28">
        <w:rPr>
          <w:rtl/>
          <w:lang w:bidi="ar-SY"/>
        </w:rPr>
        <w:t xml:space="preserve"> </w:t>
      </w:r>
      <w:r w:rsidR="00F32B28" w:rsidRPr="00F32B28">
        <w:rPr>
          <w:rtl/>
          <w:lang w:bidi="ar-SY"/>
        </w:rPr>
        <w:t>الصوت</w:t>
      </w:r>
      <w:r w:rsidR="00F32B28">
        <w:rPr>
          <w:rtl/>
          <w:lang w:bidi="ar-SY"/>
        </w:rPr>
        <w:t xml:space="preserve"> </w:t>
      </w:r>
      <w:r w:rsidR="00F32B28" w:rsidRPr="00F32B28">
        <w:rPr>
          <w:rtl/>
          <w:lang w:bidi="ar-SY"/>
        </w:rPr>
        <w:t>والغاز</w:t>
      </w:r>
      <w:r w:rsidR="00F32B28">
        <w:rPr>
          <w:rtl/>
          <w:lang w:bidi="ar-SY"/>
        </w:rPr>
        <w:t xml:space="preserve"> </w:t>
      </w:r>
      <w:r w:rsidR="00F32B28" w:rsidRPr="00F32B28">
        <w:rPr>
          <w:rtl/>
          <w:lang w:bidi="ar-SY"/>
        </w:rPr>
        <w:t>والرصاص</w:t>
      </w:r>
      <w:r w:rsidR="00F32B28">
        <w:rPr>
          <w:rtl/>
          <w:lang w:bidi="ar-SY"/>
        </w:rPr>
        <w:t xml:space="preserve"> </w:t>
      </w:r>
      <w:r w:rsidR="00F32B28" w:rsidRPr="00F32B28">
        <w:rPr>
          <w:rtl/>
          <w:lang w:bidi="ar-SY"/>
        </w:rPr>
        <w:t>المطاطي.</w:t>
      </w:r>
    </w:p>
    <w:p w:rsidR="00F32B28" w:rsidRPr="00F32B28" w:rsidRDefault="00FD6731" w:rsidP="00FD6731">
      <w:pPr>
        <w:pStyle w:val="SingleTxt"/>
      </w:pPr>
      <w:r>
        <w:rPr>
          <w:rFonts w:hint="cs"/>
          <w:rtl/>
          <w:lang w:bidi="ar-SY"/>
        </w:rPr>
        <w:t>64 -</w:t>
      </w:r>
      <w:r>
        <w:rPr>
          <w:rFonts w:hint="cs"/>
          <w:rtl/>
          <w:lang w:bidi="ar-SY"/>
        </w:rPr>
        <w:tab/>
      </w:r>
      <w:r w:rsidR="00F32B28" w:rsidRPr="00F32B28">
        <w:rPr>
          <w:rtl/>
          <w:lang w:bidi="ar-SY"/>
        </w:rPr>
        <w:t>يشكل</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المعوقين</w:t>
      </w:r>
      <w:r w:rsidR="00F32B28">
        <w:rPr>
          <w:rtl/>
          <w:lang w:bidi="ar-SY"/>
        </w:rPr>
        <w:t xml:space="preserve"> </w:t>
      </w:r>
      <w:r w:rsidR="00F32B28" w:rsidRPr="00F32B28">
        <w:rPr>
          <w:rtl/>
          <w:lang w:bidi="ar-SY"/>
        </w:rPr>
        <w:t>لعام</w:t>
      </w:r>
      <w:r w:rsidR="00F32B28">
        <w:rPr>
          <w:rtl/>
          <w:lang w:bidi="ar-SY"/>
        </w:rPr>
        <w:t xml:space="preserve"> </w:t>
      </w:r>
      <w:r w:rsidR="00F32B28" w:rsidRPr="00F32B28">
        <w:rPr>
          <w:rtl/>
          <w:lang w:bidi="ar-SY"/>
        </w:rPr>
        <w:t>1999</w:t>
      </w:r>
      <w:r w:rsidR="00F32B28">
        <w:rPr>
          <w:rtl/>
          <w:lang w:bidi="ar-SY"/>
        </w:rPr>
        <w:t xml:space="preserve"> </w:t>
      </w:r>
      <w:r w:rsidR="00F32B28" w:rsidRPr="00F32B28">
        <w:rPr>
          <w:rtl/>
          <w:lang w:bidi="ar-SY"/>
        </w:rPr>
        <w:t>ولوائحه</w:t>
      </w:r>
      <w:r w:rsidR="00F32B28">
        <w:rPr>
          <w:rtl/>
          <w:lang w:bidi="ar-SY"/>
        </w:rPr>
        <w:t xml:space="preserve"> </w:t>
      </w:r>
      <w:r w:rsidR="00F32B28" w:rsidRPr="00F32B28">
        <w:rPr>
          <w:rtl/>
          <w:lang w:bidi="ar-SY"/>
        </w:rPr>
        <w:t>التنفيذية</w:t>
      </w:r>
      <w:r w:rsidR="00F32B28">
        <w:rPr>
          <w:rtl/>
          <w:lang w:bidi="ar-SY"/>
        </w:rPr>
        <w:t xml:space="preserve"> </w:t>
      </w:r>
      <w:r w:rsidR="00F32B28" w:rsidRPr="00F32B28">
        <w:rPr>
          <w:rtl/>
          <w:lang w:bidi="ar-SY"/>
        </w:rPr>
        <w:t>الإطار</w:t>
      </w:r>
      <w:r w:rsidR="00F32B28">
        <w:rPr>
          <w:rtl/>
          <w:lang w:bidi="ar-SY"/>
        </w:rPr>
        <w:t xml:space="preserve"> </w:t>
      </w:r>
      <w:r w:rsidR="00F32B28" w:rsidRPr="00F32B28">
        <w:rPr>
          <w:rtl/>
          <w:lang w:bidi="ar-SY"/>
        </w:rPr>
        <w:t>التشريعي</w:t>
      </w:r>
      <w:r w:rsidR="00F32B28">
        <w:rPr>
          <w:rtl/>
          <w:lang w:bidi="ar-SY"/>
        </w:rPr>
        <w:t xml:space="preserve"> </w:t>
      </w:r>
      <w:r w:rsidR="00F32B28" w:rsidRPr="00F32B28">
        <w:rPr>
          <w:rtl/>
          <w:lang w:bidi="ar-SY"/>
        </w:rPr>
        <w:t>الناظم</w:t>
      </w:r>
      <w:r w:rsidR="00F32B28">
        <w:rPr>
          <w:rtl/>
          <w:lang w:bidi="ar-SY"/>
        </w:rPr>
        <w:t xml:space="preserve"> </w:t>
      </w:r>
      <w:r w:rsidR="00F32B28" w:rsidRPr="00F32B28">
        <w:rPr>
          <w:rtl/>
          <w:lang w:bidi="ar-SY"/>
        </w:rPr>
        <w:t>للحقوق</w:t>
      </w:r>
      <w:r w:rsidR="00F32B28">
        <w:rPr>
          <w:rtl/>
          <w:lang w:bidi="ar-SY"/>
        </w:rPr>
        <w:t xml:space="preserve"> </w:t>
      </w:r>
      <w:r w:rsidR="00F32B28" w:rsidRPr="00F32B28">
        <w:rPr>
          <w:rtl/>
          <w:lang w:bidi="ar-SY"/>
        </w:rPr>
        <w:t>الأساسية</w:t>
      </w:r>
      <w:r w:rsidR="00F32B28">
        <w:rPr>
          <w:rtl/>
          <w:lang w:bidi="ar-SY"/>
        </w:rPr>
        <w:t xml:space="preserve"> </w:t>
      </w:r>
      <w:r w:rsidR="00F32B28" w:rsidRPr="00F32B28">
        <w:rPr>
          <w:rtl/>
          <w:lang w:bidi="ar-SY"/>
        </w:rPr>
        <w:t>لذوي</w:t>
      </w:r>
      <w:r w:rsidR="00F32B28">
        <w:rPr>
          <w:rtl/>
          <w:lang w:bidi="ar-SY"/>
        </w:rPr>
        <w:t xml:space="preserve"> </w:t>
      </w:r>
      <w:r w:rsidR="00F32B28" w:rsidRPr="00F32B28">
        <w:rPr>
          <w:rtl/>
          <w:lang w:bidi="ar-SY"/>
        </w:rPr>
        <w:t>الإعاقة،</w:t>
      </w:r>
      <w:r w:rsidR="00F32B28">
        <w:rPr>
          <w:rtl/>
          <w:lang w:bidi="ar-SY"/>
        </w:rPr>
        <w:t xml:space="preserve"> </w:t>
      </w:r>
      <w:r w:rsidR="00F32B28" w:rsidRPr="00F32B28">
        <w:rPr>
          <w:rtl/>
          <w:lang w:bidi="ar-SY"/>
        </w:rPr>
        <w:t>رجالاً</w:t>
      </w:r>
      <w:r w:rsidR="00F32B28">
        <w:rPr>
          <w:rtl/>
          <w:lang w:bidi="ar-SY"/>
        </w:rPr>
        <w:t xml:space="preserve"> </w:t>
      </w:r>
      <w:r w:rsidR="00F32B28" w:rsidRPr="00F32B28">
        <w:rPr>
          <w:rtl/>
          <w:lang w:bidi="ar-SY"/>
        </w:rPr>
        <w:t>ونساءً</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قدم</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مختلف</w:t>
      </w:r>
      <w:r w:rsidR="00F32B28">
        <w:rPr>
          <w:rtl/>
          <w:lang w:bidi="ar-SY"/>
        </w:rPr>
        <w:t xml:space="preserve"> </w:t>
      </w:r>
      <w:r w:rsidR="00F32B28" w:rsidRPr="00F32B28">
        <w:rPr>
          <w:rtl/>
          <w:lang w:bidi="ar-SY"/>
        </w:rPr>
        <w:t>مجالات</w:t>
      </w:r>
      <w:r w:rsidR="00F32B28">
        <w:rPr>
          <w:rtl/>
          <w:lang w:bidi="ar-SY"/>
        </w:rPr>
        <w:t xml:space="preserve"> </w:t>
      </w:r>
      <w:r w:rsidR="00F32B28" w:rsidRPr="00F32B28">
        <w:rPr>
          <w:rtl/>
          <w:lang w:bidi="ar-SY"/>
        </w:rPr>
        <w:t>الحياة.</w:t>
      </w:r>
      <w:r w:rsidR="00F32B28">
        <w:rPr>
          <w:rtl/>
          <w:lang w:bidi="ar-SY"/>
        </w:rPr>
        <w:t xml:space="preserve"> </w:t>
      </w:r>
      <w:r w:rsidR="00F32B28" w:rsidRPr="00F32B28">
        <w:rPr>
          <w:rtl/>
          <w:lang w:bidi="ar-SY"/>
        </w:rPr>
        <w:t>وينيط</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التنمية</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بصفتها</w:t>
      </w:r>
      <w:r w:rsidR="00F32B28">
        <w:rPr>
          <w:rtl/>
          <w:lang w:bidi="ar-SY"/>
        </w:rPr>
        <w:t xml:space="preserve"> </w:t>
      </w:r>
      <w:r w:rsidR="00F32B28" w:rsidRPr="00F32B28">
        <w:rPr>
          <w:rtl/>
          <w:lang w:bidi="ar-SY"/>
        </w:rPr>
        <w:t>قائدة</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الحماية</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المسؤولية</w:t>
      </w:r>
      <w:r w:rsidR="00F32B28">
        <w:rPr>
          <w:rtl/>
          <w:lang w:bidi="ar-SY"/>
        </w:rPr>
        <w:t xml:space="preserve"> </w:t>
      </w:r>
      <w:r w:rsidR="00F32B28" w:rsidRPr="00F32B28">
        <w:rPr>
          <w:rtl/>
          <w:lang w:bidi="ar-SY"/>
        </w:rPr>
        <w:t>الرئيسية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دمج</w:t>
      </w:r>
      <w:r w:rsidR="00F32B28">
        <w:rPr>
          <w:rtl/>
          <w:lang w:bidi="ar-SY"/>
        </w:rPr>
        <w:t xml:space="preserve"> </w:t>
      </w:r>
      <w:r w:rsidR="00F32B28" w:rsidRPr="00F32B28">
        <w:rPr>
          <w:rtl/>
          <w:lang w:bidi="ar-SY"/>
        </w:rPr>
        <w:t>ورعاية</w:t>
      </w:r>
      <w:r w:rsidR="00F32B28">
        <w:rPr>
          <w:rtl/>
          <w:lang w:bidi="ar-SY"/>
        </w:rPr>
        <w:t xml:space="preserve"> </w:t>
      </w:r>
      <w:r w:rsidR="00F32B28" w:rsidRPr="00F32B28">
        <w:rPr>
          <w:rtl/>
          <w:lang w:bidi="ar-SY"/>
        </w:rPr>
        <w:t>الأشخاص</w:t>
      </w:r>
      <w:r w:rsidR="00F32B28">
        <w:rPr>
          <w:rtl/>
          <w:lang w:bidi="ar-SY"/>
        </w:rPr>
        <w:t xml:space="preserve"> </w:t>
      </w:r>
      <w:r w:rsidR="00F32B28" w:rsidRPr="00F32B28">
        <w:rPr>
          <w:rtl/>
          <w:lang w:bidi="ar-SY"/>
        </w:rPr>
        <w:t>ذوي</w:t>
      </w:r>
      <w:r w:rsidR="00F32B28">
        <w:rPr>
          <w:rtl/>
          <w:lang w:bidi="ar-SY"/>
        </w:rPr>
        <w:t xml:space="preserve"> </w:t>
      </w:r>
      <w:r w:rsidR="00F32B28" w:rsidRPr="00F32B28">
        <w:rPr>
          <w:rtl/>
          <w:lang w:bidi="ar-SY"/>
        </w:rPr>
        <w:t>الإعاقة،</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تلتزم</w:t>
      </w:r>
      <w:r w:rsidR="00F32B28">
        <w:rPr>
          <w:rtl/>
          <w:lang w:bidi="ar-SY"/>
        </w:rPr>
        <w:t xml:space="preserve"> </w:t>
      </w:r>
      <w:r w:rsidR="00F32B28" w:rsidRPr="00F32B28">
        <w:rPr>
          <w:rtl/>
          <w:lang w:bidi="ar-SY"/>
        </w:rPr>
        <w:t>وبالتنسيق</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الجهات</w:t>
      </w:r>
      <w:r w:rsidR="00F32B28">
        <w:rPr>
          <w:rtl/>
          <w:lang w:bidi="ar-SY"/>
        </w:rPr>
        <w:t xml:space="preserve"> </w:t>
      </w:r>
      <w:r w:rsidR="00F32B28" w:rsidRPr="00F32B28">
        <w:rPr>
          <w:rtl/>
          <w:lang w:bidi="ar-SY"/>
        </w:rPr>
        <w:t>المختصة</w:t>
      </w:r>
      <w:r w:rsidR="00F32B28">
        <w:rPr>
          <w:rtl/>
          <w:lang w:bidi="ar-SY"/>
        </w:rPr>
        <w:t xml:space="preserve"> </w:t>
      </w:r>
      <w:r w:rsidR="00F32B28" w:rsidRPr="00F32B28">
        <w:rPr>
          <w:rtl/>
          <w:lang w:bidi="ar-SY"/>
        </w:rPr>
        <w:t>بتقديم</w:t>
      </w:r>
      <w:r w:rsidR="00F32B28">
        <w:rPr>
          <w:rtl/>
          <w:lang w:bidi="ar-SY"/>
        </w:rPr>
        <w:t xml:space="preserve"> </w:t>
      </w:r>
      <w:r w:rsidR="00F32B28" w:rsidRPr="00F32B28">
        <w:rPr>
          <w:rtl/>
          <w:lang w:bidi="ar-SY"/>
        </w:rPr>
        <w:t>خدمات</w:t>
      </w:r>
      <w:r w:rsidR="00F32B28">
        <w:rPr>
          <w:rtl/>
          <w:lang w:bidi="ar-SY"/>
        </w:rPr>
        <w:t xml:space="preserve"> </w:t>
      </w:r>
      <w:r w:rsidR="00F32B28" w:rsidRPr="00F32B28">
        <w:rPr>
          <w:rtl/>
          <w:lang w:bidi="ar-SY"/>
        </w:rPr>
        <w:t>الرعاية</w:t>
      </w:r>
      <w:r w:rsidR="00F32B28">
        <w:rPr>
          <w:rtl/>
          <w:lang w:bidi="ar-SY"/>
        </w:rPr>
        <w:t xml:space="preserve"> </w:t>
      </w:r>
      <w:r w:rsidR="00F32B28" w:rsidRPr="00F32B28">
        <w:rPr>
          <w:rtl/>
          <w:lang w:bidi="ar-SY"/>
        </w:rPr>
        <w:t>والتأهيل</w:t>
      </w:r>
      <w:r w:rsidR="00F32B28">
        <w:rPr>
          <w:rtl/>
          <w:lang w:bidi="ar-SY"/>
        </w:rPr>
        <w:t xml:space="preserve"> </w:t>
      </w:r>
      <w:r w:rsidR="00F32B28" w:rsidRPr="00F32B28">
        <w:rPr>
          <w:rtl/>
          <w:lang w:bidi="ar-SY"/>
        </w:rPr>
        <w:t>لذوي</w:t>
      </w:r>
      <w:r w:rsidR="00F32B28">
        <w:rPr>
          <w:rtl/>
          <w:lang w:bidi="ar-SY"/>
        </w:rPr>
        <w:t xml:space="preserve"> </w:t>
      </w:r>
      <w:r w:rsidR="00F32B28" w:rsidRPr="00F32B28">
        <w:rPr>
          <w:rtl/>
          <w:lang w:bidi="ar-SY"/>
        </w:rPr>
        <w:t>الإعاقة،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المجالات</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والتعليمية</w:t>
      </w:r>
      <w:r w:rsidR="00F32B28">
        <w:rPr>
          <w:rtl/>
          <w:lang w:bidi="ar-SY"/>
        </w:rPr>
        <w:t xml:space="preserve"> </w:t>
      </w:r>
      <w:r w:rsidR="00F32B28" w:rsidRPr="00F32B28">
        <w:rPr>
          <w:rtl/>
          <w:lang w:bidi="ar-SY"/>
        </w:rPr>
        <w:t>والصحية</w:t>
      </w:r>
      <w:r w:rsidR="00F32B28">
        <w:rPr>
          <w:rtl/>
          <w:lang w:bidi="ar-SY"/>
        </w:rPr>
        <w:t xml:space="preserve"> </w:t>
      </w:r>
      <w:r w:rsidR="00F32B28" w:rsidRPr="00F32B28">
        <w:rPr>
          <w:rtl/>
          <w:lang w:bidi="ar-SY"/>
        </w:rPr>
        <w:t>والمهنية</w:t>
      </w:r>
      <w:r w:rsidR="00F32B28">
        <w:rPr>
          <w:rtl/>
          <w:lang w:bidi="ar-SY"/>
        </w:rPr>
        <w:t xml:space="preserve"> </w:t>
      </w:r>
      <w:r w:rsidR="00F32B28" w:rsidRPr="00F32B28">
        <w:rPr>
          <w:rtl/>
          <w:lang w:bidi="ar-SY"/>
        </w:rPr>
        <w:t>والترويحية</w:t>
      </w:r>
      <w:r w:rsidR="00F32B28">
        <w:rPr>
          <w:rtl/>
          <w:lang w:bidi="ar-SY"/>
        </w:rPr>
        <w:t xml:space="preserve"> </w:t>
      </w:r>
      <w:r w:rsidR="00F32B28" w:rsidRPr="00F32B28">
        <w:rPr>
          <w:rtl/>
          <w:lang w:bidi="ar-SY"/>
        </w:rPr>
        <w:t>والتوعية</w:t>
      </w:r>
      <w:r w:rsidR="00F32B28">
        <w:rPr>
          <w:rtl/>
          <w:lang w:bidi="ar-SY"/>
        </w:rPr>
        <w:t xml:space="preserve"> </w:t>
      </w:r>
      <w:r w:rsidR="00F32B28" w:rsidRPr="00F32B28">
        <w:rPr>
          <w:rtl/>
          <w:lang w:bidi="ar-SY"/>
        </w:rPr>
        <w:t>الجماهيرية</w:t>
      </w:r>
      <w:r w:rsidR="00F32B28">
        <w:rPr>
          <w:rtl/>
          <w:lang w:bidi="ar-SY"/>
        </w:rPr>
        <w:t xml:space="preserve"> </w:t>
      </w:r>
      <w:r w:rsidR="00F32B28" w:rsidRPr="00F32B28">
        <w:rPr>
          <w:rtl/>
          <w:lang w:bidi="ar-SY"/>
        </w:rPr>
        <w:t>وتقديم</w:t>
      </w:r>
      <w:r w:rsidR="00F32B28">
        <w:rPr>
          <w:rtl/>
          <w:lang w:bidi="ar-SY"/>
        </w:rPr>
        <w:t xml:space="preserve"> </w:t>
      </w:r>
      <w:r w:rsidR="00F32B28" w:rsidRPr="00F32B28">
        <w:rPr>
          <w:rtl/>
          <w:lang w:bidi="ar-SY"/>
        </w:rPr>
        <w:t>التسهيلات</w:t>
      </w:r>
      <w:r w:rsidR="00F32B28">
        <w:rPr>
          <w:rtl/>
          <w:lang w:bidi="ar-SY"/>
        </w:rPr>
        <w:t xml:space="preserve"> </w:t>
      </w:r>
      <w:r w:rsidR="00F32B28" w:rsidRPr="00F32B28">
        <w:rPr>
          <w:rtl/>
          <w:lang w:bidi="ar-SY"/>
        </w:rPr>
        <w:t>البيئية</w:t>
      </w:r>
      <w:r w:rsidR="00F32B28">
        <w:rPr>
          <w:rtl/>
          <w:lang w:bidi="ar-SY"/>
        </w:rPr>
        <w:t xml:space="preserve"> </w:t>
      </w:r>
      <w:r w:rsidR="00F32B28" w:rsidRPr="00F32B28">
        <w:rPr>
          <w:rtl/>
          <w:lang w:bidi="ar-SY"/>
        </w:rPr>
        <w:t>والاجتماعية</w:t>
      </w:r>
      <w:r w:rsidR="00F32B28">
        <w:rPr>
          <w:rtl/>
          <w:lang w:bidi="ar-SY"/>
        </w:rPr>
        <w:t xml:space="preserve"> </w:t>
      </w:r>
      <w:r w:rsidR="00F32B28" w:rsidRPr="00F32B28">
        <w:rPr>
          <w:rtl/>
          <w:lang w:bidi="ar-SY"/>
        </w:rPr>
        <w:t>وتعميم</w:t>
      </w:r>
      <w:r w:rsidR="00F32B28">
        <w:rPr>
          <w:rtl/>
          <w:lang w:bidi="ar-SY"/>
        </w:rPr>
        <w:t xml:space="preserve"> </w:t>
      </w:r>
      <w:r w:rsidR="00F32B28" w:rsidRPr="00F32B28">
        <w:rPr>
          <w:rtl/>
          <w:lang w:bidi="ar-SY"/>
        </w:rPr>
        <w:t>لغة</w:t>
      </w:r>
      <w:r w:rsidR="00F32B28">
        <w:rPr>
          <w:rtl/>
          <w:lang w:bidi="ar-SY"/>
        </w:rPr>
        <w:t xml:space="preserve"> </w:t>
      </w:r>
      <w:r w:rsidR="00F32B28" w:rsidRPr="00F32B28">
        <w:rPr>
          <w:rtl/>
          <w:lang w:bidi="ar-SY"/>
        </w:rPr>
        <w:t>الإشارة.</w:t>
      </w:r>
    </w:p>
    <w:p w:rsidR="00F32B28" w:rsidRPr="00F32B28" w:rsidRDefault="00FD6731" w:rsidP="00FD6731">
      <w:pPr>
        <w:pStyle w:val="SingleTxt"/>
      </w:pPr>
      <w:r>
        <w:rPr>
          <w:rFonts w:hint="cs"/>
          <w:rtl/>
          <w:lang w:bidi="ar-SY"/>
        </w:rPr>
        <w:t>65 -</w:t>
      </w:r>
      <w:r>
        <w:rPr>
          <w:rFonts w:hint="cs"/>
          <w:rtl/>
          <w:lang w:bidi="ar-SY"/>
        </w:rPr>
        <w:tab/>
      </w:r>
      <w:r w:rsidR="00F32B28" w:rsidRPr="00F32B28">
        <w:rPr>
          <w:rtl/>
          <w:lang w:bidi="ar-SY"/>
        </w:rPr>
        <w:t>وتم</w:t>
      </w:r>
      <w:r w:rsidR="00F32B28">
        <w:rPr>
          <w:rtl/>
          <w:lang w:bidi="ar-SY"/>
        </w:rPr>
        <w:t xml:space="preserve"> </w:t>
      </w:r>
      <w:r w:rsidR="00F32B28" w:rsidRPr="00F32B28">
        <w:rPr>
          <w:rtl/>
          <w:lang w:bidi="ar-SY"/>
        </w:rPr>
        <w:t>إعادة</w:t>
      </w:r>
      <w:r w:rsidR="00F32B28">
        <w:rPr>
          <w:rtl/>
          <w:lang w:bidi="ar-SY"/>
        </w:rPr>
        <w:t xml:space="preserve"> </w:t>
      </w:r>
      <w:r w:rsidR="00F32B28" w:rsidRPr="00F32B28">
        <w:rPr>
          <w:rtl/>
          <w:lang w:bidi="ar-SY"/>
        </w:rPr>
        <w:t>تشكيل</w:t>
      </w:r>
      <w:r w:rsidR="00F32B28">
        <w:rPr>
          <w:rtl/>
          <w:lang w:bidi="ar-SY"/>
        </w:rPr>
        <w:t xml:space="preserve"> </w:t>
      </w:r>
      <w:r w:rsidR="00F32B28" w:rsidRPr="00F32B28">
        <w:rPr>
          <w:rtl/>
          <w:lang w:bidi="ar-SY"/>
        </w:rPr>
        <w:t>المجلس</w:t>
      </w:r>
      <w:r w:rsidR="00F32B28">
        <w:rPr>
          <w:rtl/>
          <w:lang w:bidi="ar-SY"/>
        </w:rPr>
        <w:t xml:space="preserve"> </w:t>
      </w:r>
      <w:r w:rsidR="00F32B28" w:rsidRPr="00F32B28">
        <w:rPr>
          <w:rtl/>
          <w:lang w:bidi="ar-SY"/>
        </w:rPr>
        <w:t>الأعلى</w:t>
      </w:r>
      <w:r w:rsidR="00F32B28">
        <w:rPr>
          <w:rtl/>
          <w:lang w:bidi="ar-SY"/>
        </w:rPr>
        <w:t xml:space="preserve"> </w:t>
      </w:r>
      <w:r w:rsidR="00F32B28" w:rsidRPr="00F32B28">
        <w:rPr>
          <w:rtl/>
          <w:lang w:bidi="ar-SY"/>
        </w:rPr>
        <w:t>للأشخاص</w:t>
      </w:r>
      <w:r w:rsidR="00F32B28">
        <w:rPr>
          <w:rtl/>
          <w:lang w:bidi="ar-SY"/>
        </w:rPr>
        <w:t xml:space="preserve"> </w:t>
      </w:r>
      <w:r w:rsidR="00F32B28" w:rsidRPr="00F32B28">
        <w:rPr>
          <w:rtl/>
          <w:lang w:bidi="ar-SY"/>
        </w:rPr>
        <w:t>ذوي</w:t>
      </w:r>
      <w:r w:rsidR="00F32B28">
        <w:rPr>
          <w:rtl/>
          <w:lang w:bidi="ar-SY"/>
        </w:rPr>
        <w:t xml:space="preserve"> </w:t>
      </w:r>
      <w:r w:rsidR="00F32B28" w:rsidRPr="00F32B28">
        <w:rPr>
          <w:rtl/>
          <w:lang w:bidi="ar-SY"/>
        </w:rPr>
        <w:t>الإعاقة</w:t>
      </w:r>
      <w:r w:rsidR="00F32B28">
        <w:rPr>
          <w:rtl/>
          <w:lang w:bidi="ar-SY"/>
        </w:rPr>
        <w:t xml:space="preserve"> </w:t>
      </w:r>
      <w:r w:rsidR="00F32B28" w:rsidRPr="00F32B28">
        <w:rPr>
          <w:rtl/>
          <w:lang w:bidi="ar-SY"/>
        </w:rPr>
        <w:t>بموجب</w:t>
      </w:r>
      <w:r w:rsidR="00F32B28">
        <w:rPr>
          <w:rtl/>
          <w:lang w:bidi="ar-SY"/>
        </w:rPr>
        <w:t xml:space="preserve"> </w:t>
      </w:r>
      <w:r w:rsidR="00F32B28" w:rsidRPr="00F32B28">
        <w:rPr>
          <w:rtl/>
          <w:lang w:bidi="ar-SY"/>
        </w:rPr>
        <w:t>مرسوم</w:t>
      </w:r>
      <w:r w:rsidR="00F32B28">
        <w:rPr>
          <w:rtl/>
          <w:lang w:bidi="ar-SY"/>
        </w:rPr>
        <w:t xml:space="preserve"> </w:t>
      </w:r>
      <w:r w:rsidR="00F32B28" w:rsidRPr="00F32B28">
        <w:rPr>
          <w:rtl/>
          <w:lang w:bidi="ar-SY"/>
        </w:rPr>
        <w:t>رئاسي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2012،</w:t>
      </w:r>
      <w:r w:rsidR="00F32B28">
        <w:rPr>
          <w:rtl/>
          <w:lang w:bidi="ar-SY"/>
        </w:rPr>
        <w:t xml:space="preserve"> </w:t>
      </w:r>
      <w:r w:rsidR="00F32B28" w:rsidRPr="00F32B28">
        <w:rPr>
          <w:rtl/>
          <w:lang w:bidi="ar-SY"/>
        </w:rPr>
        <w:t>ويختص</w:t>
      </w:r>
      <w:r w:rsidR="00F32B28">
        <w:rPr>
          <w:rtl/>
          <w:lang w:bidi="ar-SY"/>
        </w:rPr>
        <w:t xml:space="preserve"> </w:t>
      </w:r>
      <w:r w:rsidR="00F32B28" w:rsidRPr="00F32B28">
        <w:rPr>
          <w:rtl/>
          <w:lang w:bidi="ar-SY"/>
        </w:rPr>
        <w:t>بمتابعة</w:t>
      </w:r>
      <w:r w:rsidR="00F32B28">
        <w:rPr>
          <w:rtl/>
          <w:lang w:bidi="ar-SY"/>
        </w:rPr>
        <w:t xml:space="preserve"> </w:t>
      </w:r>
      <w:r w:rsidR="00F32B28" w:rsidRPr="00F32B28">
        <w:rPr>
          <w:rtl/>
          <w:lang w:bidi="ar-SY"/>
        </w:rPr>
        <w:t>تنفيذ</w:t>
      </w:r>
      <w:r w:rsidR="00F32B28">
        <w:rPr>
          <w:rtl/>
          <w:lang w:bidi="ar-SY"/>
        </w:rPr>
        <w:t xml:space="preserve"> </w:t>
      </w:r>
      <w:r w:rsidR="00F32B28" w:rsidRPr="00F32B28">
        <w:rPr>
          <w:rtl/>
          <w:lang w:bidi="ar-SY"/>
        </w:rPr>
        <w:t>الالتزامات</w:t>
      </w:r>
      <w:r w:rsidR="00F32B28">
        <w:rPr>
          <w:rtl/>
          <w:lang w:bidi="ar-SY"/>
        </w:rPr>
        <w:t xml:space="preserve"> </w:t>
      </w:r>
      <w:r w:rsidR="00F32B28" w:rsidRPr="00F32B28">
        <w:rPr>
          <w:rtl/>
          <w:lang w:bidi="ar-SY"/>
        </w:rPr>
        <w:t>المترتبة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المعاهدات</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تنضم</w:t>
      </w:r>
      <w:r w:rsidR="00F32B28">
        <w:rPr>
          <w:rtl/>
          <w:lang w:bidi="ar-SY"/>
        </w:rPr>
        <w:t xml:space="preserve"> </w:t>
      </w:r>
      <w:r w:rsidR="00F32B28" w:rsidRPr="00F32B28">
        <w:rPr>
          <w:rtl/>
          <w:lang w:bidi="ar-SY"/>
        </w:rPr>
        <w:t>إليها</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والمتعلقة</w:t>
      </w:r>
      <w:r w:rsidR="00F32B28">
        <w:rPr>
          <w:rtl/>
          <w:lang w:bidi="ar-SY"/>
        </w:rPr>
        <w:t xml:space="preserve"> </w:t>
      </w:r>
      <w:r w:rsidR="00F32B28" w:rsidRPr="00F32B28">
        <w:rPr>
          <w:rtl/>
          <w:lang w:bidi="ar-SY"/>
        </w:rPr>
        <w:t>بالأشخاص</w:t>
      </w:r>
      <w:r w:rsidR="00F32B28">
        <w:rPr>
          <w:rtl/>
          <w:lang w:bidi="ar-SY"/>
        </w:rPr>
        <w:t xml:space="preserve"> </w:t>
      </w:r>
      <w:r w:rsidR="00F32B28" w:rsidRPr="00F32B28">
        <w:rPr>
          <w:rtl/>
          <w:lang w:bidi="ar-SY"/>
        </w:rPr>
        <w:t>ذوي</w:t>
      </w:r>
      <w:r w:rsidR="00F32B28">
        <w:rPr>
          <w:rtl/>
          <w:lang w:bidi="ar-SY"/>
        </w:rPr>
        <w:t xml:space="preserve"> </w:t>
      </w:r>
      <w:r w:rsidR="00F32B28" w:rsidRPr="00F32B28">
        <w:rPr>
          <w:rtl/>
          <w:lang w:bidi="ar-SY"/>
        </w:rPr>
        <w:t>الإعاقة،</w:t>
      </w:r>
      <w:r w:rsidR="00F32B28">
        <w:rPr>
          <w:rtl/>
          <w:lang w:bidi="ar-SY"/>
        </w:rPr>
        <w:t xml:space="preserve"> </w:t>
      </w:r>
      <w:r w:rsidR="00F32B28" w:rsidRPr="00F32B28">
        <w:rPr>
          <w:rtl/>
          <w:lang w:bidi="ar-SY"/>
        </w:rPr>
        <w:t>وتطوير</w:t>
      </w:r>
      <w:r w:rsidR="00F32B28">
        <w:rPr>
          <w:rtl/>
          <w:lang w:bidi="ar-SY"/>
        </w:rPr>
        <w:t xml:space="preserve"> </w:t>
      </w:r>
      <w:r w:rsidR="00F32B28" w:rsidRPr="00F32B28">
        <w:rPr>
          <w:rtl/>
          <w:lang w:bidi="ar-SY"/>
        </w:rPr>
        <w:t>أداء</w:t>
      </w:r>
      <w:r w:rsidR="00F32B28">
        <w:rPr>
          <w:rtl/>
          <w:lang w:bidi="ar-SY"/>
        </w:rPr>
        <w:t xml:space="preserve"> </w:t>
      </w:r>
      <w:r w:rsidR="00F32B28" w:rsidRPr="00F32B28">
        <w:rPr>
          <w:rtl/>
          <w:lang w:bidi="ar-SY"/>
        </w:rPr>
        <w:t>الحكومة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تحقيق</w:t>
      </w:r>
      <w:r w:rsidR="00F32B28">
        <w:rPr>
          <w:rtl/>
          <w:lang w:bidi="ar-SY"/>
        </w:rPr>
        <w:t xml:space="preserve"> </w:t>
      </w:r>
      <w:r w:rsidR="00F32B28" w:rsidRPr="00F32B28">
        <w:rPr>
          <w:rtl/>
          <w:lang w:bidi="ar-SY"/>
        </w:rPr>
        <w:t>حياة</w:t>
      </w:r>
      <w:r w:rsidR="00F32B28">
        <w:rPr>
          <w:rtl/>
          <w:lang w:bidi="ar-SY"/>
        </w:rPr>
        <w:t xml:space="preserve"> </w:t>
      </w:r>
      <w:r w:rsidR="00F32B28" w:rsidRPr="00F32B28">
        <w:rPr>
          <w:rtl/>
          <w:lang w:bidi="ar-SY"/>
        </w:rPr>
        <w:t>كريمة</w:t>
      </w:r>
      <w:r w:rsidR="00F32B28">
        <w:rPr>
          <w:rtl/>
          <w:lang w:bidi="ar-SY"/>
        </w:rPr>
        <w:t xml:space="preserve"> </w:t>
      </w:r>
      <w:r w:rsidR="00F32B28" w:rsidRPr="00F32B28">
        <w:rPr>
          <w:rtl/>
          <w:lang w:bidi="ar-SY"/>
        </w:rPr>
        <w:t>لهم،</w:t>
      </w:r>
      <w:r w:rsidR="00F32B28">
        <w:rPr>
          <w:rtl/>
          <w:lang w:bidi="ar-SY"/>
        </w:rPr>
        <w:t xml:space="preserve"> </w:t>
      </w:r>
      <w:r w:rsidR="00F32B28" w:rsidRPr="00F32B28">
        <w:rPr>
          <w:rtl/>
          <w:lang w:bidi="ar-SY"/>
        </w:rPr>
        <w:t>وإعداد</w:t>
      </w:r>
      <w:r w:rsidR="00F32B28">
        <w:rPr>
          <w:rtl/>
          <w:lang w:bidi="ar-SY"/>
        </w:rPr>
        <w:t xml:space="preserve"> </w:t>
      </w:r>
      <w:r w:rsidR="00F32B28" w:rsidRPr="00F32B28">
        <w:rPr>
          <w:rtl/>
          <w:lang w:bidi="ar-SY"/>
        </w:rPr>
        <w:t>الاستراتيجيات</w:t>
      </w:r>
      <w:r w:rsidR="00F32B28">
        <w:rPr>
          <w:rtl/>
          <w:lang w:bidi="ar-SY"/>
        </w:rPr>
        <w:t xml:space="preserve"> </w:t>
      </w:r>
      <w:r w:rsidR="00F32B28" w:rsidRPr="00F32B28">
        <w:rPr>
          <w:rtl/>
          <w:lang w:bidi="ar-SY"/>
        </w:rPr>
        <w:t>والسياسات</w:t>
      </w:r>
      <w:r w:rsidR="00F32B28">
        <w:rPr>
          <w:rtl/>
          <w:lang w:bidi="ar-SY"/>
        </w:rPr>
        <w:t xml:space="preserve"> </w:t>
      </w:r>
      <w:r w:rsidR="00F32B28" w:rsidRPr="00F32B28">
        <w:rPr>
          <w:rtl/>
          <w:lang w:bidi="ar-SY"/>
        </w:rPr>
        <w:t>اللازمة</w:t>
      </w:r>
      <w:r w:rsidR="00F32B28">
        <w:rPr>
          <w:rtl/>
          <w:lang w:bidi="ar-SY"/>
        </w:rPr>
        <w:t xml:space="preserve"> </w:t>
      </w:r>
      <w:r w:rsidR="00F32B28" w:rsidRPr="00F32B28">
        <w:rPr>
          <w:rtl/>
          <w:lang w:bidi="ar-SY"/>
        </w:rPr>
        <w:t>واقتراح</w:t>
      </w:r>
      <w:r w:rsidR="00F32B28">
        <w:rPr>
          <w:rtl/>
          <w:lang w:bidi="ar-SY"/>
        </w:rPr>
        <w:t xml:space="preserve"> </w:t>
      </w:r>
      <w:r w:rsidR="00F32B28" w:rsidRPr="00F32B28">
        <w:rPr>
          <w:rtl/>
          <w:lang w:bidi="ar-SY"/>
        </w:rPr>
        <w:t>التعديلات</w:t>
      </w:r>
      <w:r w:rsidR="00F32B28">
        <w:rPr>
          <w:rtl/>
          <w:lang w:bidi="ar-SY"/>
        </w:rPr>
        <w:t xml:space="preserve"> </w:t>
      </w:r>
      <w:r w:rsidR="00F32B28" w:rsidRPr="00F32B28">
        <w:rPr>
          <w:rtl/>
          <w:lang w:bidi="ar-SY"/>
        </w:rPr>
        <w:t>التشريعية</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الصلة.</w:t>
      </w:r>
    </w:p>
    <w:p w:rsidR="00F32B28" w:rsidRPr="00F32B28" w:rsidRDefault="00FD6731" w:rsidP="00FD6731">
      <w:pPr>
        <w:pStyle w:val="SingleTxt"/>
      </w:pPr>
      <w:r>
        <w:rPr>
          <w:rFonts w:hint="cs"/>
          <w:rtl/>
        </w:rPr>
        <w:t>66 -</w:t>
      </w:r>
      <w:r>
        <w:rPr>
          <w:rFonts w:hint="cs"/>
          <w:rtl/>
        </w:rPr>
        <w:tab/>
      </w:r>
      <w:r w:rsidR="00F32B28" w:rsidRPr="00F32B28">
        <w:rPr>
          <w:rtl/>
        </w:rPr>
        <w:t>وتتسبب</w:t>
      </w:r>
      <w:r w:rsidR="00F32B28">
        <w:rPr>
          <w:rtl/>
        </w:rPr>
        <w:t xml:space="preserve"> </w:t>
      </w:r>
      <w:r w:rsidR="00F32B28" w:rsidRPr="00F32B28">
        <w:rPr>
          <w:rtl/>
        </w:rPr>
        <w:t>الجرائم</w:t>
      </w:r>
      <w:r w:rsidR="00F32B28">
        <w:rPr>
          <w:rtl/>
        </w:rPr>
        <w:t xml:space="preserve"> </w:t>
      </w:r>
      <w:r w:rsidR="00F32B28" w:rsidRPr="00F32B28">
        <w:rPr>
          <w:rtl/>
        </w:rPr>
        <w:t>التي</w:t>
      </w:r>
      <w:r w:rsidR="00F32B28">
        <w:rPr>
          <w:rtl/>
        </w:rPr>
        <w:t xml:space="preserve"> </w:t>
      </w:r>
      <w:r w:rsidR="00F32B28" w:rsidRPr="00F32B28">
        <w:rPr>
          <w:rtl/>
        </w:rPr>
        <w:t>يرتكبها</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ضد</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الارتفاع</w:t>
      </w:r>
      <w:r w:rsidR="00F32B28">
        <w:rPr>
          <w:rtl/>
        </w:rPr>
        <w:t xml:space="preserve"> </w:t>
      </w:r>
      <w:r w:rsidR="00F32B28" w:rsidRPr="00F32B28">
        <w:rPr>
          <w:rtl/>
        </w:rPr>
        <w:t>السريع</w:t>
      </w:r>
      <w:r w:rsidR="00F32B28">
        <w:rPr>
          <w:rtl/>
        </w:rPr>
        <w:t xml:space="preserve"> </w:t>
      </w:r>
      <w:r w:rsidR="00F32B28" w:rsidRPr="00F32B28">
        <w:rPr>
          <w:rtl/>
        </w:rPr>
        <w:t>في</w:t>
      </w:r>
      <w:r w:rsidR="00F32B28">
        <w:rPr>
          <w:rtl/>
        </w:rPr>
        <w:t xml:space="preserve"> </w:t>
      </w:r>
      <w:r w:rsidR="00F32B28" w:rsidRPr="00F32B28">
        <w:rPr>
          <w:rtl/>
        </w:rPr>
        <w:t>أعداد</w:t>
      </w:r>
      <w:r w:rsidR="00F32B28">
        <w:rPr>
          <w:rtl/>
        </w:rPr>
        <w:t xml:space="preserve"> </w:t>
      </w:r>
      <w:r w:rsidR="00F32B28" w:rsidRPr="00F32B28">
        <w:rPr>
          <w:rtl/>
        </w:rPr>
        <w:t>الأشخاص</w:t>
      </w:r>
      <w:r w:rsidR="00F32B28">
        <w:rPr>
          <w:rtl/>
        </w:rPr>
        <w:t xml:space="preserve"> </w:t>
      </w:r>
      <w:r w:rsidR="00F32B28" w:rsidRPr="00F32B28">
        <w:rPr>
          <w:rtl/>
        </w:rPr>
        <w:t>من</w:t>
      </w:r>
      <w:r w:rsidR="00F32B28">
        <w:rPr>
          <w:rtl/>
        </w:rPr>
        <w:t xml:space="preserve"> </w:t>
      </w:r>
      <w:r w:rsidR="00F32B28" w:rsidRPr="00F32B28">
        <w:rPr>
          <w:rtl/>
        </w:rPr>
        <w:t>ذوي</w:t>
      </w:r>
      <w:r w:rsidR="00F32B28">
        <w:rPr>
          <w:rtl/>
        </w:rPr>
        <w:t xml:space="preserve"> </w:t>
      </w:r>
      <w:r w:rsidR="00F32B28" w:rsidRPr="00F32B28">
        <w:rPr>
          <w:rtl/>
        </w:rPr>
        <w:t>الإعاقة</w:t>
      </w:r>
      <w:r w:rsidR="00F32B28">
        <w:rPr>
          <w:rtl/>
        </w:rPr>
        <w:t xml:space="preserve"> </w:t>
      </w:r>
      <w:r w:rsidR="00F32B28" w:rsidRPr="00F32B28">
        <w:rPr>
          <w:rtl/>
        </w:rPr>
        <w:t>(الجسدية</w:t>
      </w:r>
      <w:r w:rsidR="00F32B28">
        <w:rPr>
          <w:rtl/>
        </w:rPr>
        <w:t xml:space="preserve"> </w:t>
      </w:r>
      <w:r w:rsidR="00F32B28" w:rsidRPr="00F32B28">
        <w:rPr>
          <w:rtl/>
        </w:rPr>
        <w:t>والذهنية</w:t>
      </w:r>
      <w:r w:rsidR="00F32B28">
        <w:rPr>
          <w:rtl/>
        </w:rPr>
        <w:t xml:space="preserve"> </w:t>
      </w:r>
      <w:r w:rsidR="00F32B28" w:rsidRPr="00F32B28">
        <w:rPr>
          <w:rtl/>
        </w:rPr>
        <w:t>والعقلية</w:t>
      </w:r>
      <w:r w:rsidR="00F32B28">
        <w:rPr>
          <w:rtl/>
        </w:rPr>
        <w:t xml:space="preserve"> </w:t>
      </w:r>
      <w:r w:rsidR="00F32B28" w:rsidRPr="00F32B28">
        <w:rPr>
          <w:rtl/>
        </w:rPr>
        <w:t>والنفسية</w:t>
      </w:r>
      <w:r w:rsidR="00F32B28">
        <w:rPr>
          <w:rtl/>
        </w:rPr>
        <w:t xml:space="preserve"> </w:t>
      </w:r>
      <w:r w:rsidR="00F32B28" w:rsidRPr="00F32B28">
        <w:rPr>
          <w:rtl/>
        </w:rPr>
        <w:t>والحسية)،</w:t>
      </w:r>
      <w:r w:rsidR="00F32B28">
        <w:rPr>
          <w:rtl/>
        </w:rPr>
        <w:t xml:space="preserve"> </w:t>
      </w:r>
      <w:r w:rsidR="00F32B28" w:rsidRPr="00F32B28">
        <w:rPr>
          <w:rtl/>
        </w:rPr>
        <w:t>وذلك</w:t>
      </w:r>
      <w:r w:rsidR="00F32B28">
        <w:rPr>
          <w:rtl/>
        </w:rPr>
        <w:t xml:space="preserve"> </w:t>
      </w:r>
      <w:r w:rsidR="00F32B28" w:rsidRPr="00F32B28">
        <w:rPr>
          <w:rtl/>
        </w:rPr>
        <w:t>جراء</w:t>
      </w:r>
      <w:r w:rsidR="00F32B28">
        <w:rPr>
          <w:rtl/>
        </w:rPr>
        <w:t xml:space="preserve"> </w:t>
      </w:r>
      <w:r w:rsidR="00F32B28" w:rsidRPr="00F32B28">
        <w:rPr>
          <w:rtl/>
        </w:rPr>
        <w:lastRenderedPageBreak/>
        <w:t>استهداف</w:t>
      </w:r>
      <w:r w:rsidR="00F32B28">
        <w:rPr>
          <w:rtl/>
        </w:rPr>
        <w:t xml:space="preserve"> </w:t>
      </w:r>
      <w:r w:rsidR="00F32B28" w:rsidRPr="00F32B28">
        <w:rPr>
          <w:rtl/>
        </w:rPr>
        <w:t>‏المدنيين</w:t>
      </w:r>
      <w:r w:rsidR="00F32B28">
        <w:rPr>
          <w:rtl/>
        </w:rPr>
        <w:t xml:space="preserve"> </w:t>
      </w:r>
      <w:r w:rsidR="00F32B28" w:rsidRPr="00F32B28">
        <w:rPr>
          <w:rtl/>
        </w:rPr>
        <w:t>بالرصاص</w:t>
      </w:r>
      <w:r w:rsidR="00F32B28">
        <w:rPr>
          <w:rtl/>
        </w:rPr>
        <w:t xml:space="preserve"> </w:t>
      </w:r>
      <w:r w:rsidR="00F32B28" w:rsidRPr="00F32B28">
        <w:rPr>
          <w:rtl/>
        </w:rPr>
        <w:t>والضرب،</w:t>
      </w:r>
      <w:r w:rsidR="00F32B28">
        <w:rPr>
          <w:rtl/>
        </w:rPr>
        <w:t xml:space="preserve"> </w:t>
      </w:r>
      <w:r w:rsidR="00F32B28" w:rsidRPr="00F32B28">
        <w:rPr>
          <w:rtl/>
        </w:rPr>
        <w:t>والتنكيل</w:t>
      </w:r>
      <w:r w:rsidR="00F32B28">
        <w:rPr>
          <w:rtl/>
        </w:rPr>
        <w:t xml:space="preserve"> </w:t>
      </w:r>
      <w:r w:rsidR="00F32B28" w:rsidRPr="00F32B28">
        <w:rPr>
          <w:rtl/>
        </w:rPr>
        <w:t>بالجرحى</w:t>
      </w:r>
      <w:r w:rsidR="00F32B28">
        <w:rPr>
          <w:rtl/>
        </w:rPr>
        <w:t xml:space="preserve"> </w:t>
      </w:r>
      <w:r w:rsidR="00F32B28" w:rsidRPr="00F32B28">
        <w:rPr>
          <w:rtl/>
        </w:rPr>
        <w:t>ومنع</w:t>
      </w:r>
      <w:r w:rsidR="00F32B28">
        <w:rPr>
          <w:rtl/>
        </w:rPr>
        <w:t xml:space="preserve"> </w:t>
      </w:r>
      <w:r w:rsidR="00F32B28" w:rsidRPr="00F32B28">
        <w:rPr>
          <w:rtl/>
        </w:rPr>
        <w:t>إسعافهم،</w:t>
      </w:r>
      <w:r w:rsidR="00F32B28">
        <w:rPr>
          <w:rtl/>
        </w:rPr>
        <w:t xml:space="preserve"> </w:t>
      </w:r>
      <w:r w:rsidR="00F32B28" w:rsidRPr="00F32B28">
        <w:rPr>
          <w:rtl/>
        </w:rPr>
        <w:t>وما</w:t>
      </w:r>
      <w:r w:rsidR="00F32B28">
        <w:rPr>
          <w:rtl/>
        </w:rPr>
        <w:t xml:space="preserve"> </w:t>
      </w:r>
      <w:r w:rsidR="00F32B28" w:rsidRPr="00F32B28">
        <w:rPr>
          <w:rtl/>
        </w:rPr>
        <w:t>يرافق</w:t>
      </w:r>
      <w:r w:rsidR="00F32B28">
        <w:rPr>
          <w:rtl/>
        </w:rPr>
        <w:t xml:space="preserve"> </w:t>
      </w:r>
      <w:r w:rsidR="00F32B28" w:rsidRPr="00F32B28">
        <w:rPr>
          <w:rtl/>
        </w:rPr>
        <w:t>الاعتقالات</w:t>
      </w:r>
      <w:r w:rsidR="00F32B28">
        <w:rPr>
          <w:rtl/>
        </w:rPr>
        <w:t xml:space="preserve"> </w:t>
      </w:r>
      <w:r w:rsidR="00F32B28" w:rsidRPr="00F32B28">
        <w:rPr>
          <w:rtl/>
        </w:rPr>
        <w:t>التعسفية</w:t>
      </w:r>
      <w:r w:rsidR="00F32B28">
        <w:rPr>
          <w:rtl/>
        </w:rPr>
        <w:t xml:space="preserve"> </w:t>
      </w:r>
      <w:r w:rsidR="00F32B28" w:rsidRPr="00F32B28">
        <w:rPr>
          <w:rtl/>
        </w:rPr>
        <w:t>المتواصلة</w:t>
      </w:r>
      <w:r w:rsidR="00F32B28">
        <w:rPr>
          <w:rtl/>
        </w:rPr>
        <w:t xml:space="preserve"> </w:t>
      </w:r>
      <w:r w:rsidR="00F32B28" w:rsidRPr="00F32B28">
        <w:rPr>
          <w:rtl/>
        </w:rPr>
        <w:t>للفلسطينيين</w:t>
      </w:r>
      <w:r w:rsidR="00F32B28">
        <w:rPr>
          <w:rtl/>
        </w:rPr>
        <w:t xml:space="preserve"> </w:t>
      </w:r>
      <w:r w:rsidR="00F32B28" w:rsidRPr="00F32B28">
        <w:rPr>
          <w:rtl/>
        </w:rPr>
        <w:t>من</w:t>
      </w:r>
      <w:r w:rsidR="00F32B28">
        <w:rPr>
          <w:rtl/>
        </w:rPr>
        <w:t xml:space="preserve"> </w:t>
      </w:r>
      <w:r w:rsidR="00F32B28" w:rsidRPr="00F32B28">
        <w:rPr>
          <w:rtl/>
        </w:rPr>
        <w:t>جرائم</w:t>
      </w:r>
      <w:r w:rsidR="00F32B28">
        <w:rPr>
          <w:rtl/>
        </w:rPr>
        <w:t xml:space="preserve"> </w:t>
      </w:r>
      <w:r w:rsidR="00F32B28" w:rsidRPr="00F32B28">
        <w:rPr>
          <w:rtl/>
        </w:rPr>
        <w:t>التعذيب</w:t>
      </w:r>
      <w:r w:rsidR="00F32B28">
        <w:rPr>
          <w:rtl/>
        </w:rPr>
        <w:t xml:space="preserve"> </w:t>
      </w:r>
      <w:r w:rsidR="00F32B28" w:rsidRPr="00F32B28">
        <w:rPr>
          <w:rtl/>
        </w:rPr>
        <w:t>والمعاملة</w:t>
      </w:r>
      <w:r w:rsidR="00F32B28">
        <w:rPr>
          <w:rtl/>
        </w:rPr>
        <w:t xml:space="preserve"> </w:t>
      </w:r>
      <w:r w:rsidR="00F32B28" w:rsidRPr="00F32B28">
        <w:rPr>
          <w:rFonts w:hint="cs"/>
          <w:rtl/>
        </w:rPr>
        <w:t>القاسية</w:t>
      </w:r>
      <w:r w:rsidR="00F32B28" w:rsidRPr="00F32B28">
        <w:rPr>
          <w:rtl/>
        </w:rPr>
        <w:t>،</w:t>
      </w:r>
      <w:r w:rsidR="00F32B28">
        <w:rPr>
          <w:rtl/>
        </w:rPr>
        <w:t xml:space="preserve"> </w:t>
      </w:r>
      <w:r w:rsidR="00F32B28" w:rsidRPr="00F32B28">
        <w:rPr>
          <w:rtl/>
        </w:rPr>
        <w:t>والإهمال</w:t>
      </w:r>
      <w:r w:rsidR="00F32B28">
        <w:rPr>
          <w:rtl/>
        </w:rPr>
        <w:t xml:space="preserve"> </w:t>
      </w:r>
      <w:r w:rsidR="00F32B28" w:rsidRPr="00F32B28">
        <w:rPr>
          <w:rtl/>
        </w:rPr>
        <w:t>الطبي.</w:t>
      </w:r>
      <w:r w:rsidR="00F32B28">
        <w:rPr>
          <w:rtl/>
        </w:rPr>
        <w:t xml:space="preserve"> </w:t>
      </w:r>
      <w:r w:rsidR="00F32B28" w:rsidRPr="00F32B28">
        <w:rPr>
          <w:rtl/>
        </w:rPr>
        <w:t>كما</w:t>
      </w:r>
      <w:r w:rsidR="00F32B28">
        <w:rPr>
          <w:rtl/>
        </w:rPr>
        <w:t xml:space="preserve"> </w:t>
      </w:r>
      <w:r w:rsidR="00F32B28" w:rsidRPr="00F32B28">
        <w:rPr>
          <w:rtl/>
        </w:rPr>
        <w:t>أسفرت</w:t>
      </w:r>
      <w:r w:rsidR="00F32B28">
        <w:rPr>
          <w:rtl/>
        </w:rPr>
        <w:t xml:space="preserve"> </w:t>
      </w:r>
      <w:r w:rsidR="00F32B28" w:rsidRPr="00F32B28">
        <w:rPr>
          <w:rtl/>
        </w:rPr>
        <w:t>الحروب</w:t>
      </w:r>
      <w:r w:rsidR="00F32B28">
        <w:rPr>
          <w:rtl/>
        </w:rPr>
        <w:t xml:space="preserve"> </w:t>
      </w:r>
      <w:r w:rsidR="00F32B28" w:rsidRPr="00F32B28">
        <w:rPr>
          <w:rtl/>
        </w:rPr>
        <w:t>المتتالية</w:t>
      </w:r>
      <w:r w:rsidR="00F32B28">
        <w:rPr>
          <w:rtl/>
        </w:rPr>
        <w:t xml:space="preserve"> </w:t>
      </w:r>
      <w:r w:rsidR="00F32B28" w:rsidRPr="00F32B28">
        <w:rPr>
          <w:rtl/>
        </w:rPr>
        <w:t>على</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عن</w:t>
      </w:r>
      <w:r w:rsidR="00F32B28">
        <w:rPr>
          <w:rtl/>
        </w:rPr>
        <w:t xml:space="preserve"> </w:t>
      </w:r>
      <w:r w:rsidR="00F32B28" w:rsidRPr="00F32B28">
        <w:rPr>
          <w:rtl/>
        </w:rPr>
        <w:t>إصابة</w:t>
      </w:r>
      <w:r w:rsidR="00F32B28">
        <w:rPr>
          <w:rtl/>
        </w:rPr>
        <w:t xml:space="preserve"> </w:t>
      </w:r>
      <w:r w:rsidR="00F32B28" w:rsidRPr="00F32B28">
        <w:rPr>
          <w:rtl/>
        </w:rPr>
        <w:t>آلاف</w:t>
      </w:r>
      <w:r w:rsidR="00F32B28">
        <w:rPr>
          <w:rtl/>
        </w:rPr>
        <w:t xml:space="preserve"> </w:t>
      </w:r>
      <w:r w:rsidR="00F32B28" w:rsidRPr="00F32B28">
        <w:rPr>
          <w:rtl/>
        </w:rPr>
        <w:t>الفلسطينيين،</w:t>
      </w:r>
      <w:r w:rsidR="00F32B28">
        <w:rPr>
          <w:rtl/>
        </w:rPr>
        <w:t xml:space="preserve"> </w:t>
      </w:r>
      <w:r w:rsidR="00F32B28" w:rsidRPr="00F32B28">
        <w:rPr>
          <w:rtl/>
        </w:rPr>
        <w:t>رجالاً</w:t>
      </w:r>
      <w:r w:rsidR="00F32B28">
        <w:rPr>
          <w:rtl/>
        </w:rPr>
        <w:t xml:space="preserve"> </w:t>
      </w:r>
      <w:r w:rsidR="00F32B28" w:rsidRPr="00F32B28">
        <w:rPr>
          <w:rtl/>
        </w:rPr>
        <w:t>ونساءً،</w:t>
      </w:r>
      <w:r w:rsidR="00F32B28">
        <w:rPr>
          <w:rtl/>
        </w:rPr>
        <w:t xml:space="preserve"> </w:t>
      </w:r>
      <w:r w:rsidR="00F32B28" w:rsidRPr="00F32B28">
        <w:rPr>
          <w:rtl/>
        </w:rPr>
        <w:t>بشتى</w:t>
      </w:r>
      <w:r w:rsidR="00F32B28">
        <w:rPr>
          <w:rtl/>
        </w:rPr>
        <w:t xml:space="preserve"> </w:t>
      </w:r>
      <w:r w:rsidR="00F32B28" w:rsidRPr="00F32B28">
        <w:rPr>
          <w:rtl/>
        </w:rPr>
        <w:t>الإعاقات</w:t>
      </w:r>
      <w:r w:rsidR="00F32B28">
        <w:rPr>
          <w:rtl/>
        </w:rPr>
        <w:t xml:space="preserve"> </w:t>
      </w:r>
      <w:r w:rsidR="00F32B28" w:rsidRPr="00F32B28">
        <w:rPr>
          <w:rtl/>
        </w:rPr>
        <w:t>وبتر</w:t>
      </w:r>
      <w:r w:rsidR="00F32B28">
        <w:rPr>
          <w:rtl/>
        </w:rPr>
        <w:t xml:space="preserve"> </w:t>
      </w:r>
      <w:r w:rsidR="00F32B28" w:rsidRPr="00F32B28">
        <w:rPr>
          <w:rtl/>
        </w:rPr>
        <w:t>للأطراف،</w:t>
      </w:r>
      <w:r w:rsidR="00F32B28">
        <w:rPr>
          <w:rtl/>
        </w:rPr>
        <w:t xml:space="preserve"> </w:t>
      </w:r>
      <w:r w:rsidR="00F32B28" w:rsidRPr="00F32B28">
        <w:rPr>
          <w:rtl/>
        </w:rPr>
        <w:t>وتتفاقم</w:t>
      </w:r>
      <w:r w:rsidR="00F32B28">
        <w:rPr>
          <w:rtl/>
        </w:rPr>
        <w:t xml:space="preserve"> </w:t>
      </w:r>
      <w:r w:rsidR="00F32B28" w:rsidRPr="00F32B28">
        <w:rPr>
          <w:rtl/>
        </w:rPr>
        <w:t>معاناتهم</w:t>
      </w:r>
      <w:r w:rsidR="00F32B28">
        <w:rPr>
          <w:rtl/>
        </w:rPr>
        <w:t xml:space="preserve"> </w:t>
      </w:r>
      <w:r w:rsidR="00F32B28" w:rsidRPr="00F32B28">
        <w:rPr>
          <w:rtl/>
        </w:rPr>
        <w:t>من</w:t>
      </w:r>
      <w:r w:rsidR="00F32B28">
        <w:rPr>
          <w:rtl/>
        </w:rPr>
        <w:t xml:space="preserve"> </w:t>
      </w:r>
      <w:r w:rsidR="00F32B28" w:rsidRPr="00F32B28">
        <w:rPr>
          <w:rtl/>
        </w:rPr>
        <w:t>جراء</w:t>
      </w:r>
      <w:r w:rsidR="00F32B28">
        <w:rPr>
          <w:rtl/>
        </w:rPr>
        <w:t xml:space="preserve"> </w:t>
      </w:r>
      <w:r w:rsidR="00F32B28" w:rsidRPr="00F32B28">
        <w:rPr>
          <w:rtl/>
        </w:rPr>
        <w:t>الحصار</w:t>
      </w:r>
      <w:r w:rsidR="00F32B28">
        <w:rPr>
          <w:rtl/>
        </w:rPr>
        <w:t xml:space="preserve"> </w:t>
      </w:r>
      <w:r w:rsidR="00F32B28" w:rsidRPr="00F32B28">
        <w:rPr>
          <w:rtl/>
        </w:rPr>
        <w:t>المفروض</w:t>
      </w:r>
      <w:r w:rsidR="00F32B28">
        <w:rPr>
          <w:rtl/>
        </w:rPr>
        <w:t xml:space="preserve"> </w:t>
      </w:r>
      <w:r w:rsidR="00F32B28" w:rsidRPr="00F32B28">
        <w:rPr>
          <w:rtl/>
        </w:rPr>
        <w:t>على</w:t>
      </w:r>
      <w:r w:rsidR="00F32B28">
        <w:rPr>
          <w:rtl/>
        </w:rPr>
        <w:t xml:space="preserve"> </w:t>
      </w:r>
      <w:r w:rsidR="00F32B28" w:rsidRPr="00F32B28">
        <w:rPr>
          <w:rtl/>
        </w:rPr>
        <w:t>القطاع</w:t>
      </w:r>
      <w:r w:rsidR="00F32B28">
        <w:rPr>
          <w:rtl/>
        </w:rPr>
        <w:t xml:space="preserve"> </w:t>
      </w:r>
      <w:r w:rsidR="00F32B28" w:rsidRPr="00F32B28">
        <w:rPr>
          <w:rtl/>
        </w:rPr>
        <w:t>وإغلاق</w:t>
      </w:r>
      <w:r w:rsidR="00F32B28">
        <w:rPr>
          <w:rtl/>
        </w:rPr>
        <w:t xml:space="preserve"> </w:t>
      </w:r>
      <w:r w:rsidR="00F32B28" w:rsidRPr="00F32B28">
        <w:rPr>
          <w:rtl/>
        </w:rPr>
        <w:t>المعابر</w:t>
      </w:r>
      <w:r w:rsidR="00F32B28">
        <w:rPr>
          <w:rtl/>
        </w:rPr>
        <w:t xml:space="preserve"> </w:t>
      </w:r>
      <w:r w:rsidR="00F32B28" w:rsidRPr="00F32B28">
        <w:rPr>
          <w:rtl/>
        </w:rPr>
        <w:t>ومنع</w:t>
      </w:r>
      <w:r w:rsidR="00F32B28">
        <w:rPr>
          <w:rtl/>
        </w:rPr>
        <w:t xml:space="preserve"> </w:t>
      </w:r>
      <w:r w:rsidR="00F32B28" w:rsidRPr="00F32B28">
        <w:rPr>
          <w:rtl/>
        </w:rPr>
        <w:t>إدخال</w:t>
      </w:r>
      <w:r w:rsidR="00F32B28">
        <w:rPr>
          <w:rtl/>
        </w:rPr>
        <w:t xml:space="preserve"> </w:t>
      </w:r>
      <w:r w:rsidR="00F32B28" w:rsidRPr="00F32B28">
        <w:rPr>
          <w:rtl/>
        </w:rPr>
        <w:t>الأدوات</w:t>
      </w:r>
      <w:r w:rsidR="00F32B28" w:rsidRPr="00F32B28">
        <w:rPr>
          <w:cs/>
        </w:rPr>
        <w:t>‎‎</w:t>
      </w:r>
      <w:r w:rsidR="00F32B28" w:rsidRPr="00F32B28">
        <w:rPr>
          <w:rtl/>
        </w:rPr>
        <w:t>الطبية</w:t>
      </w:r>
      <w:r w:rsidR="00F32B28">
        <w:rPr>
          <w:rtl/>
        </w:rPr>
        <w:t xml:space="preserve"> </w:t>
      </w:r>
      <w:r w:rsidR="00F32B28" w:rsidRPr="00F32B28">
        <w:rPr>
          <w:rtl/>
        </w:rPr>
        <w:t>اللازمة</w:t>
      </w:r>
      <w:r w:rsidR="00F32B28">
        <w:rPr>
          <w:rtl/>
        </w:rPr>
        <w:t xml:space="preserve"> </w:t>
      </w:r>
      <w:r w:rsidR="00F32B28" w:rsidRPr="00F32B28">
        <w:rPr>
          <w:rtl/>
        </w:rPr>
        <w:t>لهم</w:t>
      </w:r>
      <w:r w:rsidR="00F32B28">
        <w:rPr>
          <w:rtl/>
        </w:rPr>
        <w:t xml:space="preserve"> </w:t>
      </w:r>
      <w:r w:rsidR="00F32B28" w:rsidRPr="00F32B28">
        <w:rPr>
          <w:rtl/>
        </w:rPr>
        <w:t>وتردي</w:t>
      </w:r>
      <w:r w:rsidR="00F32B28">
        <w:rPr>
          <w:rtl/>
        </w:rPr>
        <w:t xml:space="preserve"> </w:t>
      </w:r>
      <w:r w:rsidR="00F32B28" w:rsidRPr="00F32B28">
        <w:rPr>
          <w:rtl/>
        </w:rPr>
        <w:t>أوضاعهم</w:t>
      </w:r>
      <w:r w:rsidR="00F32B28">
        <w:rPr>
          <w:rtl/>
        </w:rPr>
        <w:t xml:space="preserve"> </w:t>
      </w:r>
      <w:r w:rsidR="00F32B28" w:rsidRPr="00F32B28">
        <w:rPr>
          <w:rtl/>
        </w:rPr>
        <w:t>الإنسانية</w:t>
      </w:r>
      <w:r w:rsidR="00F32B28">
        <w:rPr>
          <w:rtl/>
        </w:rPr>
        <w:t xml:space="preserve"> </w:t>
      </w:r>
      <w:r w:rsidR="00F32B28" w:rsidRPr="00F32B28">
        <w:rPr>
          <w:rtl/>
        </w:rPr>
        <w:t>ومنع</w:t>
      </w:r>
      <w:r w:rsidR="00F32B28">
        <w:rPr>
          <w:rtl/>
        </w:rPr>
        <w:t xml:space="preserve"> </w:t>
      </w:r>
      <w:r w:rsidR="00F32B28" w:rsidRPr="00F32B28">
        <w:rPr>
          <w:rtl/>
        </w:rPr>
        <w:t>سفرهم</w:t>
      </w:r>
      <w:r w:rsidR="00F32B28">
        <w:rPr>
          <w:rtl/>
        </w:rPr>
        <w:t xml:space="preserve"> </w:t>
      </w:r>
      <w:r w:rsidR="00F32B28" w:rsidRPr="00F32B28">
        <w:rPr>
          <w:rtl/>
        </w:rPr>
        <w:t>لتلقي</w:t>
      </w:r>
      <w:r w:rsidR="00F32B28">
        <w:rPr>
          <w:rtl/>
        </w:rPr>
        <w:t xml:space="preserve"> </w:t>
      </w:r>
      <w:r w:rsidR="00F32B28" w:rsidRPr="00F32B28">
        <w:rPr>
          <w:rtl/>
        </w:rPr>
        <w:t>العلاج</w:t>
      </w:r>
      <w:r w:rsidR="00F32B28">
        <w:rPr>
          <w:rtl/>
        </w:rPr>
        <w:t xml:space="preserve"> </w:t>
      </w:r>
      <w:r w:rsidR="00F32B28" w:rsidRPr="00F32B28">
        <w:rPr>
          <w:rtl/>
        </w:rPr>
        <w:t>الضروري.</w:t>
      </w:r>
    </w:p>
    <w:p w:rsidR="00F32B28" w:rsidRPr="00F32B28" w:rsidRDefault="00FD6731" w:rsidP="00FD6731">
      <w:pPr>
        <w:pStyle w:val="SingleTxt"/>
      </w:pPr>
      <w:r>
        <w:rPr>
          <w:rFonts w:hint="cs"/>
          <w:rtl/>
          <w:lang w:bidi="ar-SY"/>
        </w:rPr>
        <w:t>67 -</w:t>
      </w:r>
      <w:r>
        <w:rPr>
          <w:rFonts w:hint="cs"/>
          <w:rtl/>
          <w:lang w:bidi="ar-SY"/>
        </w:rPr>
        <w:tab/>
      </w:r>
      <w:r w:rsidR="00F32B28" w:rsidRPr="00F32B28">
        <w:rPr>
          <w:rtl/>
          <w:lang w:bidi="ar-SY"/>
        </w:rPr>
        <w:t>أما</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يخص</w:t>
      </w:r>
      <w:r w:rsidR="00F32B28">
        <w:rPr>
          <w:rtl/>
          <w:lang w:bidi="ar-SY"/>
        </w:rPr>
        <w:t xml:space="preserve"> </w:t>
      </w:r>
      <w:r w:rsidR="00F32B28" w:rsidRPr="00F32B28">
        <w:rPr>
          <w:rtl/>
          <w:lang w:bidi="ar-SY"/>
        </w:rPr>
        <w:t>كبار</w:t>
      </w:r>
      <w:r w:rsidR="00F32B28">
        <w:rPr>
          <w:rtl/>
          <w:lang w:bidi="ar-SY"/>
        </w:rPr>
        <w:t xml:space="preserve"> </w:t>
      </w:r>
      <w:r w:rsidR="00F32B28" w:rsidRPr="00F32B28">
        <w:rPr>
          <w:rtl/>
          <w:lang w:bidi="ar-SY"/>
        </w:rPr>
        <w:t>السن،</w:t>
      </w:r>
      <w:r w:rsidR="00F32B28">
        <w:rPr>
          <w:rtl/>
          <w:lang w:bidi="ar-SY"/>
        </w:rPr>
        <w:t xml:space="preserve"> </w:t>
      </w:r>
      <w:r w:rsidR="00F32B28" w:rsidRPr="00F32B28">
        <w:rPr>
          <w:rtl/>
          <w:lang w:bidi="ar-SY"/>
        </w:rPr>
        <w:t>تقوم</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التنمية</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rPr>
        <w:t>الاستراتيجية</w:t>
      </w:r>
      <w:r w:rsidR="00F32B28">
        <w:rPr>
          <w:rtl/>
        </w:rPr>
        <w:t xml:space="preserve"> </w:t>
      </w:r>
      <w:r w:rsidR="00F32B28" w:rsidRPr="00F32B28">
        <w:rPr>
          <w:rtl/>
        </w:rPr>
        <w:t>الوطنية</w:t>
      </w:r>
      <w:r w:rsidR="00F32B28">
        <w:rPr>
          <w:rtl/>
        </w:rPr>
        <w:t xml:space="preserve"> </w:t>
      </w:r>
      <w:r w:rsidR="00F32B28" w:rsidRPr="00F32B28">
        <w:rPr>
          <w:rtl/>
        </w:rPr>
        <w:t>لرعاية</w:t>
      </w:r>
      <w:r w:rsidR="00F32B28">
        <w:rPr>
          <w:rtl/>
        </w:rPr>
        <w:t xml:space="preserve"> </w:t>
      </w:r>
      <w:r w:rsidR="00F32B28" w:rsidRPr="00F32B28">
        <w:rPr>
          <w:rtl/>
        </w:rPr>
        <w:t>المسنين</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للأعوام</w:t>
      </w:r>
      <w:r w:rsidR="00F32B28">
        <w:rPr>
          <w:rtl/>
        </w:rPr>
        <w:t xml:space="preserve"> </w:t>
      </w:r>
      <w:r>
        <w:rPr>
          <w:rFonts w:hint="cs"/>
          <w:rtl/>
        </w:rPr>
        <w:t>2010-2015</w:t>
      </w:r>
      <w:r w:rsidR="00F32B28" w:rsidRPr="00F32B28">
        <w:rPr>
          <w:rtl/>
        </w:rPr>
        <w:t>،</w:t>
      </w:r>
      <w:r w:rsidR="00F32B28">
        <w:rPr>
          <w:rtl/>
        </w:rPr>
        <w:t xml:space="preserve"> </w:t>
      </w:r>
      <w:r w:rsidR="00F32B28" w:rsidRPr="00F32B28">
        <w:rPr>
          <w:rtl/>
          <w:lang w:bidi="ar-SY"/>
        </w:rPr>
        <w:t>بتوفير</w:t>
      </w:r>
      <w:r w:rsidR="00F32B28">
        <w:rPr>
          <w:rtl/>
          <w:lang w:bidi="ar-SY"/>
        </w:rPr>
        <w:t xml:space="preserve"> </w:t>
      </w:r>
      <w:r w:rsidR="00F32B28" w:rsidRPr="00F32B28">
        <w:rPr>
          <w:rtl/>
          <w:lang w:bidi="ar-SY"/>
        </w:rPr>
        <w:t>خدمات</w:t>
      </w:r>
      <w:r w:rsidR="00F32B28">
        <w:rPr>
          <w:rtl/>
          <w:lang w:bidi="ar-SY"/>
        </w:rPr>
        <w:t xml:space="preserve"> </w:t>
      </w:r>
      <w:r w:rsidR="00F32B28" w:rsidRPr="00F32B28">
        <w:rPr>
          <w:rtl/>
          <w:lang w:bidi="ar-SY"/>
        </w:rPr>
        <w:t>الحماية</w:t>
      </w:r>
      <w:r w:rsidR="00F32B28">
        <w:rPr>
          <w:rtl/>
          <w:lang w:bidi="ar-SY"/>
        </w:rPr>
        <w:t xml:space="preserve"> </w:t>
      </w:r>
      <w:r w:rsidR="00F32B28" w:rsidRPr="00F32B28">
        <w:rPr>
          <w:rtl/>
          <w:lang w:bidi="ar-SY"/>
        </w:rPr>
        <w:t>والرعاية</w:t>
      </w:r>
      <w:r w:rsidR="00F32B28">
        <w:rPr>
          <w:rtl/>
          <w:lang w:bidi="ar-SY"/>
        </w:rPr>
        <w:t xml:space="preserve"> </w:t>
      </w:r>
      <w:r w:rsidR="00F32B28" w:rsidRPr="00F32B28">
        <w:rPr>
          <w:rtl/>
          <w:lang w:bidi="ar-SY"/>
        </w:rPr>
        <w:t>والتأهيل</w:t>
      </w:r>
      <w:r w:rsidR="00F32B28">
        <w:rPr>
          <w:rtl/>
          <w:lang w:bidi="ar-SY"/>
        </w:rPr>
        <w:t xml:space="preserve"> </w:t>
      </w:r>
      <w:r w:rsidR="00F32B28" w:rsidRPr="00F32B28">
        <w:rPr>
          <w:rtl/>
          <w:lang w:bidi="ar-SY"/>
        </w:rPr>
        <w:t>لهم،</w:t>
      </w:r>
      <w:r w:rsidR="00F32B28">
        <w:rPr>
          <w:rtl/>
          <w:lang w:bidi="ar-SY"/>
        </w:rPr>
        <w:t xml:space="preserve"> </w:t>
      </w:r>
      <w:r w:rsidR="00F32B28" w:rsidRPr="00F32B28">
        <w:rPr>
          <w:rtl/>
          <w:lang w:bidi="ar-SY"/>
        </w:rPr>
        <w:t>نساءً</w:t>
      </w:r>
      <w:r w:rsidR="00F32B28">
        <w:rPr>
          <w:rtl/>
          <w:lang w:bidi="ar-SY"/>
        </w:rPr>
        <w:t xml:space="preserve"> </w:t>
      </w:r>
      <w:r w:rsidR="00F32B28" w:rsidRPr="00F32B28">
        <w:rPr>
          <w:rtl/>
          <w:lang w:bidi="ar-SY"/>
        </w:rPr>
        <w:t>ورجالاً،</w:t>
      </w:r>
      <w:r w:rsidR="00F32B28">
        <w:rPr>
          <w:rtl/>
          <w:lang w:bidi="ar-SY"/>
        </w:rPr>
        <w:t xml:space="preserve"> </w:t>
      </w:r>
      <w:r w:rsidR="00F32B28" w:rsidRPr="00F32B28">
        <w:rPr>
          <w:rtl/>
          <w:lang w:bidi="ar-SY"/>
        </w:rPr>
        <w:t>ضمن</w:t>
      </w:r>
      <w:r w:rsidR="00F32B28">
        <w:rPr>
          <w:rtl/>
          <w:lang w:bidi="ar-SY"/>
        </w:rPr>
        <w:t xml:space="preserve"> </w:t>
      </w:r>
      <w:r w:rsidR="00F32B28" w:rsidRPr="00F32B28">
        <w:rPr>
          <w:rtl/>
          <w:lang w:bidi="ar-SY"/>
        </w:rPr>
        <w:t>هيكليتها</w:t>
      </w:r>
      <w:r w:rsidR="00F32B28">
        <w:rPr>
          <w:rtl/>
          <w:lang w:bidi="ar-SY"/>
        </w:rPr>
        <w:t xml:space="preserve"> </w:t>
      </w:r>
      <w:r w:rsidR="00F32B28" w:rsidRPr="00F32B28">
        <w:rPr>
          <w:rtl/>
          <w:lang w:bidi="ar-SY"/>
        </w:rPr>
        <w:t>وبرامجها</w:t>
      </w:r>
      <w:r w:rsidR="00F32B28">
        <w:rPr>
          <w:rtl/>
          <w:lang w:bidi="ar-SY"/>
        </w:rPr>
        <w:t xml:space="preserve"> </w:t>
      </w:r>
      <w:r w:rsidR="00F32B28" w:rsidRPr="00F32B28">
        <w:rPr>
          <w:rtl/>
          <w:lang w:bidi="ar-SY"/>
        </w:rPr>
        <w:t>وأنشطتها،</w:t>
      </w:r>
      <w:r w:rsidR="00F32B28">
        <w:rPr>
          <w:rtl/>
          <w:lang w:bidi="ar-SY"/>
        </w:rPr>
        <w:t xml:space="preserve"> </w:t>
      </w:r>
      <w:r w:rsidR="00F32B28" w:rsidRPr="00F32B28">
        <w:rPr>
          <w:rtl/>
          <w:lang w:bidi="ar-SY"/>
        </w:rPr>
        <w:t>وتوفير</w:t>
      </w:r>
      <w:r>
        <w:rPr>
          <w:rFonts w:hint="cs"/>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الحماية</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(المساعدات</w:t>
      </w:r>
      <w:r w:rsidR="00F32B28">
        <w:rPr>
          <w:rtl/>
          <w:lang w:bidi="ar-SY"/>
        </w:rPr>
        <w:t xml:space="preserve"> </w:t>
      </w:r>
      <w:r w:rsidR="00F32B28" w:rsidRPr="00F32B28">
        <w:rPr>
          <w:rtl/>
          <w:lang w:bidi="ar-SY"/>
        </w:rPr>
        <w:t>النقدية</w:t>
      </w:r>
      <w:r w:rsidR="00F32B28">
        <w:rPr>
          <w:rtl/>
          <w:lang w:bidi="ar-SY"/>
        </w:rPr>
        <w:t xml:space="preserve"> </w:t>
      </w:r>
      <w:r w:rsidR="00F32B28" w:rsidRPr="00F32B28">
        <w:rPr>
          <w:rtl/>
          <w:lang w:bidi="ar-SY"/>
        </w:rPr>
        <w:t>الدورية</w:t>
      </w:r>
      <w:r w:rsidR="00F32B28">
        <w:rPr>
          <w:rtl/>
          <w:lang w:bidi="ar-SY"/>
        </w:rPr>
        <w:t xml:space="preserve"> </w:t>
      </w:r>
      <w:r w:rsidR="00F32B28" w:rsidRPr="00F32B28">
        <w:rPr>
          <w:rtl/>
          <w:lang w:bidi="ar-SY"/>
        </w:rPr>
        <w:t>والطارئة،</w:t>
      </w:r>
      <w:r w:rsidR="00F32B28">
        <w:rPr>
          <w:rtl/>
          <w:lang w:bidi="ar-SY"/>
        </w:rPr>
        <w:t xml:space="preserve"> </w:t>
      </w:r>
      <w:r w:rsidR="00F32B28" w:rsidRPr="00F32B28">
        <w:rPr>
          <w:rtl/>
          <w:lang w:bidi="ar-SY"/>
        </w:rPr>
        <w:t>والتأمين</w:t>
      </w:r>
      <w:r w:rsidR="00F32B28">
        <w:rPr>
          <w:rtl/>
          <w:lang w:bidi="ar-SY"/>
        </w:rPr>
        <w:t xml:space="preserve"> </w:t>
      </w:r>
      <w:r w:rsidR="00F32B28" w:rsidRPr="00F32B28">
        <w:rPr>
          <w:rtl/>
          <w:lang w:bidi="ar-SY"/>
        </w:rPr>
        <w:t>الصحي،</w:t>
      </w:r>
      <w:r w:rsidR="00F32B28">
        <w:rPr>
          <w:rtl/>
          <w:lang w:bidi="ar-SY"/>
        </w:rPr>
        <w:t xml:space="preserve"> </w:t>
      </w:r>
      <w:r w:rsidR="00F32B28" w:rsidRPr="00F32B28">
        <w:rPr>
          <w:rtl/>
          <w:lang w:bidi="ar-SY"/>
        </w:rPr>
        <w:t>والخدمات</w:t>
      </w:r>
      <w:r w:rsidR="00F32B28">
        <w:rPr>
          <w:rtl/>
          <w:lang w:bidi="ar-SY"/>
        </w:rPr>
        <w:t xml:space="preserve"> </w:t>
      </w:r>
      <w:r w:rsidR="00F32B28" w:rsidRPr="00F32B28">
        <w:rPr>
          <w:rtl/>
          <w:lang w:bidi="ar-SY"/>
        </w:rPr>
        <w:t>الرعائية،</w:t>
      </w:r>
      <w:r w:rsidR="00F32B28">
        <w:rPr>
          <w:rtl/>
          <w:lang w:bidi="ar-SY"/>
        </w:rPr>
        <w:t xml:space="preserve"> </w:t>
      </w:r>
      <w:r w:rsidR="00F32B28" w:rsidRPr="00F32B28">
        <w:rPr>
          <w:rtl/>
          <w:lang w:bidi="ar-SY"/>
        </w:rPr>
        <w:t>والتأهيلية</w:t>
      </w:r>
      <w:r w:rsidR="00F32B28">
        <w:rPr>
          <w:rtl/>
          <w:lang w:bidi="ar-SY"/>
        </w:rPr>
        <w:t xml:space="preserve"> </w:t>
      </w:r>
      <w:r w:rsidR="00F32B28" w:rsidRPr="00F32B28">
        <w:rPr>
          <w:rtl/>
          <w:lang w:bidi="ar-SY"/>
        </w:rPr>
        <w:t>والإيوائية)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يستفيد</w:t>
      </w:r>
      <w:r w:rsidR="00F32B28">
        <w:rPr>
          <w:rtl/>
          <w:lang w:bidi="ar-SY"/>
        </w:rPr>
        <w:t xml:space="preserve"> </w:t>
      </w:r>
      <w:r w:rsidR="00F32B28" w:rsidRPr="00F32B28">
        <w:rPr>
          <w:rtl/>
          <w:lang w:bidi="ar-SY"/>
        </w:rPr>
        <w:t>منها</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45</w:t>
      </w:r>
      <w:r w:rsidR="00F32B28">
        <w:rPr>
          <w:rtl/>
          <w:lang w:bidi="ar-SY"/>
        </w:rPr>
        <w:t xml:space="preserve"> </w:t>
      </w:r>
      <w:r w:rsidR="00F32B28" w:rsidRPr="00F32B28">
        <w:rPr>
          <w:rtl/>
          <w:lang w:bidi="ar-SY"/>
        </w:rPr>
        <w:t>ألف</w:t>
      </w:r>
      <w:r w:rsidR="00F32B28">
        <w:rPr>
          <w:rtl/>
          <w:lang w:bidi="ar-SY"/>
        </w:rPr>
        <w:t xml:space="preserve"> </w:t>
      </w:r>
      <w:r w:rsidR="00F32B28" w:rsidRPr="00F32B28">
        <w:rPr>
          <w:rtl/>
          <w:lang w:bidi="ar-SY"/>
        </w:rPr>
        <w:t>مسن</w:t>
      </w:r>
      <w:r w:rsidR="00F32B28">
        <w:rPr>
          <w:rtl/>
          <w:lang w:bidi="ar-SY"/>
        </w:rPr>
        <w:t xml:space="preserve"> </w:t>
      </w:r>
      <w:r w:rsidR="00F32B28" w:rsidRPr="00F32B28">
        <w:rPr>
          <w:rtl/>
          <w:lang w:bidi="ar-SY"/>
        </w:rPr>
        <w:t>ومسنة.</w:t>
      </w:r>
      <w:r w:rsidR="00F32B28">
        <w:rPr>
          <w:rtl/>
          <w:lang w:bidi="ar-SY"/>
        </w:rPr>
        <w:t xml:space="preserve"> </w:t>
      </w:r>
      <w:r w:rsidR="00F32B28" w:rsidRPr="00F32B28">
        <w:rPr>
          <w:rtl/>
          <w:lang w:bidi="ar-SY"/>
        </w:rPr>
        <w:t>وقد</w:t>
      </w:r>
      <w:r w:rsidR="00F32B28">
        <w:rPr>
          <w:rtl/>
          <w:lang w:bidi="ar-SY"/>
        </w:rPr>
        <w:t xml:space="preserve"> </w:t>
      </w:r>
      <w:r w:rsidR="00F32B28" w:rsidRPr="00F32B28">
        <w:rPr>
          <w:rtl/>
          <w:lang w:bidi="ar-SY"/>
        </w:rPr>
        <w:t>تم</w:t>
      </w:r>
      <w:r w:rsidR="00F32B28">
        <w:rPr>
          <w:rtl/>
          <w:lang w:bidi="ar-SY"/>
        </w:rPr>
        <w:t xml:space="preserve"> </w:t>
      </w:r>
      <w:r w:rsidR="00F32B28" w:rsidRPr="00F32B28">
        <w:rPr>
          <w:rtl/>
          <w:lang w:bidi="ar-SY"/>
        </w:rPr>
        <w:t>إنشاء</w:t>
      </w:r>
      <w:r w:rsidR="00F32B28">
        <w:rPr>
          <w:rtl/>
          <w:lang w:bidi="ar-SY"/>
        </w:rPr>
        <w:t xml:space="preserve"> </w:t>
      </w:r>
      <w:r w:rsidR="001D253C">
        <w:rPr>
          <w:rFonts w:hint="cs"/>
          <w:rtl/>
          <w:lang w:bidi="ar-SY"/>
        </w:rPr>
        <w:t>”</w:t>
      </w:r>
      <w:r w:rsidR="00F32B28" w:rsidRPr="00F32B28">
        <w:rPr>
          <w:rtl/>
          <w:lang w:bidi="ar-SY"/>
        </w:rPr>
        <w:t>بيت</w:t>
      </w:r>
      <w:r w:rsidR="00F32B28">
        <w:rPr>
          <w:rtl/>
          <w:lang w:bidi="ar-SY"/>
        </w:rPr>
        <w:t xml:space="preserve"> </w:t>
      </w:r>
      <w:r w:rsidR="00F32B28" w:rsidRPr="00F32B28">
        <w:rPr>
          <w:rtl/>
          <w:lang w:bidi="ar-SY"/>
        </w:rPr>
        <w:t>الأجداد</w:t>
      </w:r>
      <w:r w:rsidR="001D253C">
        <w:rPr>
          <w:rFonts w:hint="cs"/>
          <w:rtl/>
        </w:rPr>
        <w:t>“</w:t>
      </w:r>
      <w:r w:rsidR="00F32B28" w:rsidRPr="00F32B28">
        <w:rPr>
          <w:rtl/>
          <w:lang w:bidi="ar-SY"/>
        </w:rPr>
        <w:t>،</w:t>
      </w:r>
      <w:r w:rsidR="001D253C">
        <w:rPr>
          <w:rFonts w:hint="cs"/>
          <w:rtl/>
          <w:lang w:bidi="ar-SY"/>
        </w:rPr>
        <w:t xml:space="preserve"> </w:t>
      </w:r>
      <w:r w:rsidR="00F32B28" w:rsidRPr="00F32B28">
        <w:rPr>
          <w:rtl/>
          <w:lang w:bidi="ar-SY"/>
        </w:rPr>
        <w:t>الذي</w:t>
      </w:r>
      <w:r w:rsidR="00F32B28">
        <w:rPr>
          <w:rtl/>
          <w:lang w:bidi="ar-SY"/>
        </w:rPr>
        <w:t xml:space="preserve"> </w:t>
      </w:r>
      <w:r w:rsidR="00F32B28" w:rsidRPr="00F32B28">
        <w:rPr>
          <w:rtl/>
          <w:lang w:bidi="ar-SY"/>
        </w:rPr>
        <w:t>تشرف</w:t>
      </w:r>
      <w:r w:rsidR="00F32B28">
        <w:rPr>
          <w:rtl/>
          <w:lang w:bidi="ar-SY"/>
        </w:rPr>
        <w:t xml:space="preserve"> </w:t>
      </w:r>
      <w:r w:rsidR="00F32B28" w:rsidRPr="00F32B28">
        <w:rPr>
          <w:rtl/>
          <w:lang w:bidi="ar-SY"/>
        </w:rPr>
        <w:t>عليه</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الشؤون</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المتخصصة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رعاية</w:t>
      </w:r>
      <w:r w:rsidR="00F32B28">
        <w:rPr>
          <w:rtl/>
          <w:lang w:bidi="ar-SY"/>
        </w:rPr>
        <w:t xml:space="preserve"> </w:t>
      </w:r>
      <w:r w:rsidR="00F32B28" w:rsidRPr="00F32B28">
        <w:rPr>
          <w:rtl/>
          <w:lang w:bidi="ar-SY"/>
        </w:rPr>
        <w:t>وتأهيل</w:t>
      </w:r>
      <w:r w:rsidR="00F32B28">
        <w:rPr>
          <w:rtl/>
          <w:lang w:bidi="ar-SY"/>
        </w:rPr>
        <w:t xml:space="preserve"> </w:t>
      </w:r>
      <w:r w:rsidR="00F32B28" w:rsidRPr="00F32B28">
        <w:rPr>
          <w:rtl/>
          <w:lang w:bidi="ar-SY"/>
        </w:rPr>
        <w:t>المسنين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عمر</w:t>
      </w:r>
      <w:r w:rsidR="00F32B28">
        <w:rPr>
          <w:rtl/>
          <w:lang w:bidi="ar-SY"/>
        </w:rPr>
        <w:t xml:space="preserve"> </w:t>
      </w:r>
      <w:r w:rsidR="00F32B28" w:rsidRPr="00F32B28">
        <w:rPr>
          <w:rtl/>
          <w:lang w:bidi="ar-SY"/>
        </w:rPr>
        <w:t>الستين</w:t>
      </w:r>
      <w:r w:rsidR="00F32B28">
        <w:rPr>
          <w:rtl/>
          <w:lang w:bidi="ar-SY"/>
        </w:rPr>
        <w:t xml:space="preserve"> </w:t>
      </w:r>
      <w:r w:rsidR="00F32B28" w:rsidRPr="00F32B28">
        <w:rPr>
          <w:rtl/>
          <w:lang w:bidi="ar-SY"/>
        </w:rPr>
        <w:t>فما</w:t>
      </w:r>
      <w:r w:rsidR="00F32B28">
        <w:rPr>
          <w:rtl/>
          <w:lang w:bidi="ar-SY"/>
        </w:rPr>
        <w:t xml:space="preserve"> </w:t>
      </w:r>
      <w:r w:rsidR="00F32B28" w:rsidRPr="00F32B28">
        <w:rPr>
          <w:rtl/>
          <w:lang w:bidi="ar-SY"/>
        </w:rPr>
        <w:t>فوق،</w:t>
      </w:r>
      <w:r w:rsidR="00F32B28">
        <w:rPr>
          <w:rtl/>
          <w:lang w:bidi="ar-SY"/>
        </w:rPr>
        <w:t xml:space="preserve"> </w:t>
      </w:r>
      <w:r w:rsidR="00F32B28" w:rsidRPr="00F32B28">
        <w:rPr>
          <w:rtl/>
          <w:lang w:bidi="ar-SY"/>
        </w:rPr>
        <w:t>نساء</w:t>
      </w:r>
      <w:r w:rsidR="00F32B28">
        <w:rPr>
          <w:rtl/>
          <w:lang w:bidi="ar-SY"/>
        </w:rPr>
        <w:t xml:space="preserve"> </w:t>
      </w:r>
      <w:r w:rsidR="00F32B28" w:rsidRPr="00F32B28">
        <w:rPr>
          <w:rtl/>
          <w:lang w:bidi="ar-SY"/>
        </w:rPr>
        <w:t>ورجالا،</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القادرين</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رعاية</w:t>
      </w:r>
      <w:r w:rsidR="00F32B28">
        <w:rPr>
          <w:rtl/>
          <w:lang w:bidi="ar-SY"/>
        </w:rPr>
        <w:t xml:space="preserve"> </w:t>
      </w:r>
      <w:r w:rsidR="00F32B28" w:rsidRPr="00F32B28">
        <w:rPr>
          <w:rtl/>
          <w:lang w:bidi="ar-SY"/>
        </w:rPr>
        <w:t>أنفسهم</w:t>
      </w:r>
      <w:r w:rsidR="00F32B28">
        <w:rPr>
          <w:rtl/>
          <w:lang w:bidi="ar-SY"/>
        </w:rPr>
        <w:t xml:space="preserve"> </w:t>
      </w:r>
      <w:r w:rsidR="00F32B28" w:rsidRPr="00F32B28">
        <w:rPr>
          <w:rtl/>
          <w:lang w:bidi="ar-SY"/>
        </w:rPr>
        <w:t>ولا</w:t>
      </w:r>
      <w:r w:rsidR="00F32B28">
        <w:rPr>
          <w:rtl/>
          <w:lang w:bidi="ar-SY"/>
        </w:rPr>
        <w:t xml:space="preserve"> </w:t>
      </w:r>
      <w:r w:rsidR="00F32B28" w:rsidRPr="00F32B28">
        <w:rPr>
          <w:rtl/>
          <w:lang w:bidi="ar-SY"/>
        </w:rPr>
        <w:t>تتوفر</w:t>
      </w:r>
      <w:r w:rsidR="00F32B28">
        <w:rPr>
          <w:rtl/>
          <w:lang w:bidi="ar-SY"/>
        </w:rPr>
        <w:t xml:space="preserve"> </w:t>
      </w:r>
      <w:r w:rsidR="00F32B28" w:rsidRPr="00F32B28">
        <w:rPr>
          <w:rtl/>
          <w:lang w:bidi="ar-SY"/>
        </w:rPr>
        <w:t>لهم</w:t>
      </w:r>
      <w:r w:rsidR="00F32B28">
        <w:rPr>
          <w:rtl/>
          <w:lang w:bidi="ar-SY"/>
        </w:rPr>
        <w:t xml:space="preserve"> </w:t>
      </w:r>
      <w:r w:rsidR="00F32B28" w:rsidRPr="00F32B28">
        <w:rPr>
          <w:rtl/>
          <w:lang w:bidi="ar-SY"/>
        </w:rPr>
        <w:t>رعاية</w:t>
      </w:r>
      <w:r w:rsidR="00F32B28">
        <w:rPr>
          <w:rtl/>
          <w:lang w:bidi="ar-SY"/>
        </w:rPr>
        <w:t xml:space="preserve"> </w:t>
      </w:r>
      <w:r w:rsidR="00F32B28" w:rsidRPr="00F32B28">
        <w:rPr>
          <w:rtl/>
          <w:lang w:bidi="ar-SY"/>
        </w:rPr>
        <w:t>أسرية</w:t>
      </w:r>
      <w:r w:rsidR="00F32B28">
        <w:rPr>
          <w:rtl/>
          <w:lang w:bidi="ar-SY"/>
        </w:rPr>
        <w:t xml:space="preserve"> </w:t>
      </w:r>
      <w:r w:rsidR="00F32B28" w:rsidRPr="00F32B28">
        <w:rPr>
          <w:rtl/>
          <w:lang w:bidi="ar-SY"/>
        </w:rPr>
        <w:t>ويعيشون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أوضاع</w:t>
      </w:r>
      <w:r w:rsidR="00F32B28">
        <w:rPr>
          <w:rtl/>
          <w:lang w:bidi="ar-SY"/>
        </w:rPr>
        <w:t xml:space="preserve"> </w:t>
      </w:r>
      <w:r w:rsidR="00F32B28" w:rsidRPr="00F32B28">
        <w:rPr>
          <w:rtl/>
          <w:lang w:bidi="ar-SY"/>
        </w:rPr>
        <w:t>اقتصادية</w:t>
      </w:r>
      <w:r w:rsidR="00F32B28">
        <w:rPr>
          <w:rtl/>
          <w:lang w:bidi="ar-SY"/>
        </w:rPr>
        <w:t xml:space="preserve"> </w:t>
      </w:r>
      <w:r w:rsidR="00F32B28" w:rsidRPr="00F32B28">
        <w:rPr>
          <w:rtl/>
          <w:lang w:bidi="ar-SY"/>
        </w:rPr>
        <w:t>صعبة.</w:t>
      </w:r>
    </w:p>
    <w:p w:rsidR="00FD6731" w:rsidRPr="00FD6731" w:rsidRDefault="00FD6731" w:rsidP="00FD6731">
      <w:pPr>
        <w:pStyle w:val="SingleTxt"/>
        <w:spacing w:after="0" w:line="120" w:lineRule="exact"/>
        <w:rPr>
          <w:b/>
          <w:bCs/>
          <w:sz w:val="10"/>
          <w:rtl/>
        </w:rPr>
      </w:pPr>
    </w:p>
    <w:p w:rsidR="00F32B28" w:rsidRPr="00F32B28" w:rsidRDefault="00F32B28" w:rsidP="00FD6731">
      <w:pPr>
        <w:pStyle w:val="SingleTxt"/>
        <w:rPr>
          <w:b/>
          <w:bCs/>
        </w:rPr>
      </w:pPr>
      <w:r w:rsidRPr="00F32B28">
        <w:rPr>
          <w:b/>
          <w:bCs/>
          <w:rtl/>
        </w:rPr>
        <w:t>المادة</w:t>
      </w:r>
      <w:r>
        <w:rPr>
          <w:b/>
          <w:bCs/>
          <w:rtl/>
        </w:rPr>
        <w:t xml:space="preserve"> </w:t>
      </w:r>
      <w:r w:rsidRPr="00F32B28">
        <w:rPr>
          <w:b/>
          <w:bCs/>
          <w:rtl/>
        </w:rPr>
        <w:t>(4)</w:t>
      </w:r>
      <w:r w:rsidR="00FD6731">
        <w:rPr>
          <w:rFonts w:hint="cs"/>
          <w:b/>
          <w:bCs/>
          <w:rtl/>
        </w:rPr>
        <w:tab/>
      </w:r>
      <w:r w:rsidR="00FD6731">
        <w:rPr>
          <w:rFonts w:hint="cs"/>
          <w:b/>
          <w:bCs/>
          <w:rtl/>
        </w:rPr>
        <w:br/>
      </w:r>
      <w:r w:rsidRPr="00F32B28">
        <w:rPr>
          <w:b/>
          <w:bCs/>
          <w:rtl/>
        </w:rPr>
        <w:t>تدابير</w:t>
      </w:r>
      <w:r>
        <w:rPr>
          <w:b/>
          <w:bCs/>
          <w:rtl/>
        </w:rPr>
        <w:t xml:space="preserve"> </w:t>
      </w:r>
      <w:r w:rsidRPr="00F32B28">
        <w:rPr>
          <w:b/>
          <w:bCs/>
          <w:rtl/>
        </w:rPr>
        <w:t>خاصة</w:t>
      </w:r>
      <w:r>
        <w:rPr>
          <w:b/>
          <w:bCs/>
          <w:rtl/>
        </w:rPr>
        <w:t xml:space="preserve"> </w:t>
      </w:r>
      <w:r w:rsidRPr="00F32B28">
        <w:rPr>
          <w:b/>
          <w:bCs/>
          <w:rtl/>
        </w:rPr>
        <w:t>مؤقتة</w:t>
      </w:r>
    </w:p>
    <w:p w:rsidR="00F32B28" w:rsidRPr="00F32B28" w:rsidRDefault="00FD6731" w:rsidP="00407D55">
      <w:pPr>
        <w:pStyle w:val="SingleTxt"/>
      </w:pPr>
      <w:r>
        <w:rPr>
          <w:rFonts w:hint="cs"/>
          <w:rtl/>
          <w:lang w:bidi="ar-SY"/>
        </w:rPr>
        <w:t>68 -</w:t>
      </w:r>
      <w:r>
        <w:rPr>
          <w:rFonts w:hint="cs"/>
          <w:rtl/>
          <w:lang w:bidi="ar-SY"/>
        </w:rPr>
        <w:tab/>
      </w:r>
      <w:r w:rsidR="00F32B28" w:rsidRPr="00F32B28">
        <w:rPr>
          <w:rtl/>
          <w:lang w:bidi="ar-SY"/>
        </w:rPr>
        <w:t>لتيسير</w:t>
      </w:r>
      <w:r w:rsidR="00F32B28">
        <w:rPr>
          <w:rtl/>
          <w:lang w:bidi="ar-SY"/>
        </w:rPr>
        <w:t xml:space="preserve"> </w:t>
      </w:r>
      <w:r w:rsidR="00F32B28" w:rsidRPr="00F32B28">
        <w:rPr>
          <w:rtl/>
          <w:lang w:bidi="ar-SY"/>
        </w:rPr>
        <w:t>وصول</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مراكز</w:t>
      </w:r>
      <w:r w:rsidR="00F32B28">
        <w:rPr>
          <w:rtl/>
          <w:lang w:bidi="ar-SY"/>
        </w:rPr>
        <w:t xml:space="preserve"> </w:t>
      </w:r>
      <w:r w:rsidR="00F32B28" w:rsidRPr="00F32B28">
        <w:rPr>
          <w:rtl/>
          <w:lang w:bidi="ar-SY"/>
        </w:rPr>
        <w:t>صنع</w:t>
      </w:r>
      <w:r w:rsidR="00F32B28">
        <w:rPr>
          <w:rtl/>
          <w:lang w:bidi="ar-SY"/>
        </w:rPr>
        <w:t xml:space="preserve"> </w:t>
      </w:r>
      <w:r w:rsidR="00F32B28" w:rsidRPr="00F32B28">
        <w:rPr>
          <w:rtl/>
          <w:lang w:bidi="ar-SY"/>
        </w:rPr>
        <w:t>القرار</w:t>
      </w:r>
      <w:r w:rsidR="00F32B28">
        <w:rPr>
          <w:rtl/>
          <w:lang w:bidi="ar-SY"/>
        </w:rPr>
        <w:t xml:space="preserve"> </w:t>
      </w:r>
      <w:r w:rsidR="00F32B28" w:rsidRPr="00F32B28">
        <w:rPr>
          <w:rtl/>
          <w:lang w:bidi="ar-SY"/>
        </w:rPr>
        <w:t>وتعزيز</w:t>
      </w:r>
      <w:r w:rsidR="00F32B28">
        <w:rPr>
          <w:rtl/>
          <w:lang w:bidi="ar-SY"/>
        </w:rPr>
        <w:t xml:space="preserve"> </w:t>
      </w:r>
      <w:r w:rsidR="00F32B28" w:rsidRPr="00F32B28">
        <w:rPr>
          <w:rtl/>
          <w:lang w:bidi="ar-SY"/>
        </w:rPr>
        <w:t>حقها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المشاركة</w:t>
      </w:r>
      <w:r w:rsidR="00F32B28">
        <w:rPr>
          <w:rtl/>
          <w:lang w:bidi="ar-SY"/>
        </w:rPr>
        <w:t xml:space="preserve"> </w:t>
      </w:r>
      <w:r w:rsidR="00F32B28" w:rsidRPr="00F32B28">
        <w:rPr>
          <w:rtl/>
          <w:lang w:bidi="ar-SY"/>
        </w:rPr>
        <w:t>السياسية،</w:t>
      </w:r>
      <w:r w:rsidR="00F32B28">
        <w:rPr>
          <w:rtl/>
          <w:lang w:bidi="ar-SY"/>
        </w:rPr>
        <w:t xml:space="preserve"> </w:t>
      </w:r>
      <w:r w:rsidR="00F32B28" w:rsidRPr="00F32B28">
        <w:rPr>
          <w:rtl/>
        </w:rPr>
        <w:t>تبنى</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رقم</w:t>
      </w:r>
      <w:r w:rsidR="00F32B28">
        <w:rPr>
          <w:rtl/>
        </w:rPr>
        <w:t xml:space="preserve"> </w:t>
      </w:r>
      <w:r w:rsidR="00F32B28" w:rsidRPr="00F32B28">
        <w:rPr>
          <w:rtl/>
        </w:rPr>
        <w:t>(1)</w:t>
      </w:r>
      <w:r w:rsidR="00F32B28">
        <w:rPr>
          <w:rtl/>
        </w:rPr>
        <w:t xml:space="preserve"> </w:t>
      </w:r>
      <w:r w:rsidR="00F32B28" w:rsidRPr="00F32B28">
        <w:rPr>
          <w:rtl/>
        </w:rPr>
        <w:t>لسنة</w:t>
      </w:r>
      <w:r w:rsidR="00F32B28">
        <w:rPr>
          <w:rtl/>
        </w:rPr>
        <w:t xml:space="preserve"> </w:t>
      </w:r>
      <w:r w:rsidR="00F32B28" w:rsidRPr="00F32B28">
        <w:rPr>
          <w:rtl/>
        </w:rPr>
        <w:t>2007</w:t>
      </w:r>
      <w:r w:rsidR="00F32B28">
        <w:rPr>
          <w:rtl/>
        </w:rPr>
        <w:t xml:space="preserve"> </w:t>
      </w:r>
      <w:r w:rsidR="00F32B28" w:rsidRPr="00F32B28">
        <w:rPr>
          <w:rtl/>
        </w:rPr>
        <w:t>بشأن</w:t>
      </w:r>
      <w:r w:rsidR="00F32B28">
        <w:rPr>
          <w:rtl/>
        </w:rPr>
        <w:t xml:space="preserve"> </w:t>
      </w:r>
      <w:r w:rsidR="00F32B28" w:rsidRPr="00F32B28">
        <w:rPr>
          <w:rtl/>
        </w:rPr>
        <w:t>الانتخابات</w:t>
      </w:r>
      <w:r w:rsidR="00F32B28">
        <w:rPr>
          <w:rtl/>
        </w:rPr>
        <w:t xml:space="preserve"> </w:t>
      </w:r>
      <w:r w:rsidR="00F32B28" w:rsidRPr="00F32B28">
        <w:rPr>
          <w:rtl/>
        </w:rPr>
        <w:t>العامة</w:t>
      </w:r>
      <w:r w:rsidR="00F32B28">
        <w:rPr>
          <w:rtl/>
        </w:rPr>
        <w:t xml:space="preserve"> </w:t>
      </w:r>
      <w:r w:rsidR="00F32B28" w:rsidRPr="00F32B28">
        <w:rPr>
          <w:rtl/>
        </w:rPr>
        <w:t>نظام</w:t>
      </w:r>
      <w:r w:rsidR="00407D55">
        <w:rPr>
          <w:rFonts w:hint="cs"/>
          <w:rtl/>
        </w:rPr>
        <w:t xml:space="preserve"> </w:t>
      </w:r>
      <w:r w:rsidR="00407D55">
        <w:rPr>
          <w:rFonts w:hint="eastAsia"/>
          <w:rtl/>
          <w:lang w:bidi="ar-SY"/>
        </w:rPr>
        <w:t>”</w:t>
      </w:r>
      <w:r w:rsidR="00F32B28" w:rsidRPr="00F32B28">
        <w:rPr>
          <w:rtl/>
        </w:rPr>
        <w:t>الكوتا</w:t>
      </w:r>
      <w:r w:rsidR="00F32B28">
        <w:rPr>
          <w:rtl/>
        </w:rPr>
        <w:t xml:space="preserve"> </w:t>
      </w:r>
      <w:r w:rsidR="00F32B28" w:rsidRPr="00F32B28">
        <w:rPr>
          <w:rtl/>
        </w:rPr>
        <w:t>النسائية</w:t>
      </w:r>
      <w:r w:rsidR="00407D55" w:rsidRPr="00407D55">
        <w:rPr>
          <w:rFonts w:hint="cs"/>
          <w:rtl/>
          <w:lang w:bidi="ar-SY"/>
        </w:rPr>
        <w:t>“</w:t>
      </w:r>
      <w:r w:rsidR="00F32B28">
        <w:rPr>
          <w:rtl/>
        </w:rPr>
        <w:t xml:space="preserve"> </w:t>
      </w:r>
      <w:r w:rsidR="00F32B28" w:rsidRPr="00F32B28">
        <w:rPr>
          <w:rtl/>
        </w:rPr>
        <w:t>كتدبير</w:t>
      </w:r>
      <w:r w:rsidR="00F32B28">
        <w:rPr>
          <w:rtl/>
        </w:rPr>
        <w:t xml:space="preserve"> </w:t>
      </w:r>
      <w:r w:rsidR="00F32B28" w:rsidRPr="00F32B28">
        <w:rPr>
          <w:rtl/>
        </w:rPr>
        <w:t>خاص</w:t>
      </w:r>
      <w:r w:rsidR="00F32B28">
        <w:rPr>
          <w:rtl/>
        </w:rPr>
        <w:t xml:space="preserve"> </w:t>
      </w:r>
      <w:r w:rsidR="00F32B28" w:rsidRPr="00F32B28">
        <w:rPr>
          <w:rtl/>
        </w:rPr>
        <w:t>مؤقت،</w:t>
      </w:r>
      <w:r w:rsidR="00F32B28">
        <w:rPr>
          <w:rtl/>
        </w:rPr>
        <w:t xml:space="preserve"> </w:t>
      </w:r>
      <w:r w:rsidR="00F32B28" w:rsidRPr="00F32B28">
        <w:rPr>
          <w:rtl/>
        </w:rPr>
        <w:t>وكذلك</w:t>
      </w:r>
      <w:r w:rsidR="00F32B28">
        <w:rPr>
          <w:rtl/>
        </w:rPr>
        <w:t xml:space="preserve"> </w:t>
      </w:r>
      <w:r w:rsidR="00F32B28" w:rsidRPr="00F32B28">
        <w:rPr>
          <w:rtl/>
        </w:rPr>
        <w:t>الأمر</w:t>
      </w:r>
      <w:r w:rsidR="00F32B28">
        <w:rPr>
          <w:rtl/>
        </w:rPr>
        <w:t xml:space="preserve"> </w:t>
      </w:r>
      <w:r w:rsidR="00F32B28" w:rsidRPr="00F32B28">
        <w:rPr>
          <w:rtl/>
        </w:rPr>
        <w:t>بالنسبة</w:t>
      </w:r>
      <w:r w:rsidR="00F32B28">
        <w:rPr>
          <w:rtl/>
        </w:rPr>
        <w:t xml:space="preserve"> </w:t>
      </w:r>
      <w:r w:rsidR="00F32B28" w:rsidRPr="00F32B28">
        <w:rPr>
          <w:rtl/>
        </w:rPr>
        <w:t>لقانون</w:t>
      </w:r>
      <w:r w:rsidR="00F32B28">
        <w:rPr>
          <w:rtl/>
        </w:rPr>
        <w:t xml:space="preserve"> </w:t>
      </w:r>
      <w:r w:rsidR="00F32B28" w:rsidRPr="00F32B28">
        <w:rPr>
          <w:rtl/>
        </w:rPr>
        <w:t>انتخاب</w:t>
      </w:r>
      <w:r w:rsidR="00F32B28">
        <w:rPr>
          <w:rtl/>
        </w:rPr>
        <w:t xml:space="preserve"> </w:t>
      </w:r>
      <w:r w:rsidR="00F32B28" w:rsidRPr="00F32B28">
        <w:rPr>
          <w:rtl/>
        </w:rPr>
        <w:t>مجالس</w:t>
      </w:r>
      <w:r w:rsidR="00F32B28">
        <w:rPr>
          <w:rtl/>
        </w:rPr>
        <w:t xml:space="preserve"> </w:t>
      </w:r>
      <w:r w:rsidR="00F32B28" w:rsidRPr="00F32B28">
        <w:rPr>
          <w:rtl/>
        </w:rPr>
        <w:t>الهيئات</w:t>
      </w:r>
      <w:r w:rsidR="00F32B28">
        <w:rPr>
          <w:rtl/>
        </w:rPr>
        <w:t xml:space="preserve"> </w:t>
      </w:r>
      <w:r w:rsidR="00F32B28" w:rsidRPr="00F32B28">
        <w:rPr>
          <w:rtl/>
        </w:rPr>
        <w:t>المحلية</w:t>
      </w:r>
      <w:r w:rsidR="00F32B28">
        <w:rPr>
          <w:rtl/>
        </w:rPr>
        <w:t xml:space="preserve"> </w:t>
      </w:r>
      <w:r w:rsidR="00F32B28" w:rsidRPr="00F32B28">
        <w:rPr>
          <w:rtl/>
        </w:rPr>
        <w:t>رقم</w:t>
      </w:r>
      <w:r w:rsidR="00F32B28">
        <w:rPr>
          <w:rtl/>
        </w:rPr>
        <w:t xml:space="preserve"> </w:t>
      </w:r>
      <w:r w:rsidR="00F32B28" w:rsidRPr="00F32B28">
        <w:rPr>
          <w:rtl/>
        </w:rPr>
        <w:t>(10)</w:t>
      </w:r>
      <w:r w:rsidR="00F32B28">
        <w:rPr>
          <w:rtl/>
        </w:rPr>
        <w:t xml:space="preserve"> </w:t>
      </w:r>
      <w:r w:rsidR="00F32B28" w:rsidRPr="00F32B28">
        <w:rPr>
          <w:rtl/>
        </w:rPr>
        <w:t>لسنة</w:t>
      </w:r>
      <w:r w:rsidR="00F32B28">
        <w:rPr>
          <w:rtl/>
        </w:rPr>
        <w:t xml:space="preserve"> </w:t>
      </w:r>
      <w:r w:rsidR="00F32B28" w:rsidRPr="00F32B28">
        <w:rPr>
          <w:rtl/>
        </w:rPr>
        <w:t>2005</w:t>
      </w:r>
      <w:r w:rsidR="00F32B28">
        <w:rPr>
          <w:rtl/>
        </w:rPr>
        <w:t xml:space="preserve"> </w:t>
      </w:r>
      <w:r w:rsidR="00F32B28" w:rsidRPr="00F32B28">
        <w:rPr>
          <w:rtl/>
        </w:rPr>
        <w:t>وتعديلاته.</w:t>
      </w:r>
      <w:r w:rsidR="001D253C">
        <w:rPr>
          <w:rFonts w:hint="cs"/>
          <w:rtl/>
        </w:rPr>
        <w:t xml:space="preserve"> </w:t>
      </w:r>
      <w:r w:rsidR="00F32B28" w:rsidRPr="00F32B28">
        <w:rPr>
          <w:rtl/>
        </w:rPr>
        <w:t>ففيما</w:t>
      </w:r>
      <w:r w:rsidR="00F32B28">
        <w:rPr>
          <w:rtl/>
        </w:rPr>
        <w:t xml:space="preserve"> </w:t>
      </w:r>
      <w:r w:rsidR="00F32B28" w:rsidRPr="00F32B28">
        <w:rPr>
          <w:rtl/>
        </w:rPr>
        <w:t>يتعلق</w:t>
      </w:r>
      <w:r w:rsidR="001D253C">
        <w:rPr>
          <w:rFonts w:hint="cs"/>
          <w:rtl/>
        </w:rPr>
        <w:t xml:space="preserve"> </w:t>
      </w:r>
      <w:r w:rsidR="00F32B28" w:rsidRPr="00F32B28">
        <w:rPr>
          <w:rtl/>
        </w:rPr>
        <w:t>بعملية</w:t>
      </w:r>
      <w:r w:rsidR="00F32B28">
        <w:rPr>
          <w:rtl/>
        </w:rPr>
        <w:t xml:space="preserve"> </w:t>
      </w:r>
      <w:r w:rsidR="00F32B28" w:rsidRPr="00F32B28">
        <w:rPr>
          <w:rtl/>
        </w:rPr>
        <w:t>الانتخابات</w:t>
      </w:r>
      <w:r w:rsidR="001D253C">
        <w:rPr>
          <w:rFonts w:hint="cs"/>
          <w:rtl/>
        </w:rPr>
        <w:t xml:space="preserve"> </w:t>
      </w:r>
      <w:r w:rsidR="00F32B28" w:rsidRPr="00F32B28">
        <w:rPr>
          <w:rtl/>
        </w:rPr>
        <w:t>الخاصة</w:t>
      </w:r>
      <w:r w:rsidR="00F32B28">
        <w:rPr>
          <w:rtl/>
        </w:rPr>
        <w:t xml:space="preserve"> </w:t>
      </w:r>
      <w:r w:rsidR="00F32B28" w:rsidRPr="00F32B28">
        <w:rPr>
          <w:rtl/>
        </w:rPr>
        <w:t>بأعضاء</w:t>
      </w:r>
      <w:r w:rsidR="00F32B28">
        <w:rPr>
          <w:rtl/>
        </w:rPr>
        <w:t xml:space="preserve"> </w:t>
      </w:r>
      <w:r w:rsidR="00F32B28" w:rsidRPr="00F32B28">
        <w:rPr>
          <w:rtl/>
        </w:rPr>
        <w:t>المجلس</w:t>
      </w:r>
      <w:r w:rsidR="00F32B28">
        <w:rPr>
          <w:rtl/>
        </w:rPr>
        <w:t xml:space="preserve"> </w:t>
      </w:r>
      <w:r w:rsidR="00F32B28" w:rsidRPr="00F32B28">
        <w:rPr>
          <w:rtl/>
        </w:rPr>
        <w:t>التشريعي</w:t>
      </w:r>
      <w:r w:rsidR="00F32B28">
        <w:rPr>
          <w:rtl/>
        </w:rPr>
        <w:t xml:space="preserve"> </w:t>
      </w:r>
      <w:r w:rsidR="00F32B28" w:rsidRPr="00F32B28">
        <w:rPr>
          <w:rtl/>
        </w:rPr>
        <w:t>الفلسطيني،</w:t>
      </w:r>
      <w:r w:rsidR="00F32B28">
        <w:rPr>
          <w:rtl/>
        </w:rPr>
        <w:t xml:space="preserve"> </w:t>
      </w:r>
      <w:r w:rsidR="00F32B28" w:rsidRPr="00F32B28">
        <w:rPr>
          <w:rtl/>
        </w:rPr>
        <w:t>والقائمة</w:t>
      </w:r>
      <w:r w:rsidR="00F32B28">
        <w:rPr>
          <w:rtl/>
        </w:rPr>
        <w:t xml:space="preserve"> </w:t>
      </w:r>
      <w:r w:rsidR="00F32B28" w:rsidRPr="00F32B28">
        <w:rPr>
          <w:rtl/>
        </w:rPr>
        <w:t>على</w:t>
      </w:r>
      <w:r w:rsidR="00F32B28">
        <w:rPr>
          <w:rtl/>
        </w:rPr>
        <w:t xml:space="preserve"> </w:t>
      </w:r>
      <w:r w:rsidR="00F32B28" w:rsidRPr="00F32B28">
        <w:rPr>
          <w:rtl/>
        </w:rPr>
        <w:t>أساس</w:t>
      </w:r>
      <w:r w:rsidR="00F32B28">
        <w:rPr>
          <w:rtl/>
        </w:rPr>
        <w:t xml:space="preserve"> </w:t>
      </w:r>
      <w:r w:rsidR="00F32B28" w:rsidRPr="00F32B28">
        <w:rPr>
          <w:rtl/>
        </w:rPr>
        <w:t>نظام</w:t>
      </w:r>
      <w:r w:rsidR="00F32B28">
        <w:rPr>
          <w:rtl/>
        </w:rPr>
        <w:t xml:space="preserve"> </w:t>
      </w:r>
      <w:r w:rsidR="00F32B28" w:rsidRPr="00F32B28">
        <w:rPr>
          <w:rtl/>
        </w:rPr>
        <w:t>التمثيل</w:t>
      </w:r>
      <w:r w:rsidR="00F32B28">
        <w:rPr>
          <w:rtl/>
        </w:rPr>
        <w:t xml:space="preserve"> </w:t>
      </w:r>
      <w:r w:rsidR="00F32B28" w:rsidRPr="00F32B28">
        <w:rPr>
          <w:rtl/>
        </w:rPr>
        <w:t>النسبي</w:t>
      </w:r>
      <w:r w:rsidR="00F32B28">
        <w:rPr>
          <w:rtl/>
        </w:rPr>
        <w:t xml:space="preserve"> </w:t>
      </w:r>
      <w:r w:rsidR="00F32B28" w:rsidRPr="00F32B28">
        <w:rPr>
          <w:rtl/>
        </w:rPr>
        <w:t>الكامل</w:t>
      </w:r>
      <w:r w:rsidR="00F32B28">
        <w:rPr>
          <w:rtl/>
        </w:rPr>
        <w:t xml:space="preserve"> </w:t>
      </w:r>
      <w:r w:rsidR="001D253C">
        <w:rPr>
          <w:rFonts w:hint="cs"/>
          <w:rtl/>
        </w:rPr>
        <w:t>”</w:t>
      </w:r>
      <w:r w:rsidR="00F32B28" w:rsidRPr="00F32B28">
        <w:rPr>
          <w:rtl/>
        </w:rPr>
        <w:t>القوائم</w:t>
      </w:r>
      <w:r w:rsidR="001D253C">
        <w:rPr>
          <w:rFonts w:hint="cs"/>
          <w:rtl/>
        </w:rPr>
        <w:t>“</w:t>
      </w:r>
      <w:r w:rsidR="00F32B28" w:rsidRPr="00F32B28">
        <w:rPr>
          <w:rFonts w:hint="cs"/>
          <w:rtl/>
        </w:rPr>
        <w:t>.</w:t>
      </w:r>
    </w:p>
    <w:p w:rsidR="00F32B28" w:rsidRPr="00F32B28" w:rsidRDefault="00FD6731" w:rsidP="00102AE6">
      <w:pPr>
        <w:pStyle w:val="SingleTxt"/>
      </w:pPr>
      <w:r>
        <w:rPr>
          <w:rFonts w:hint="cs"/>
          <w:rtl/>
        </w:rPr>
        <w:t>69 -</w:t>
      </w:r>
      <w:r>
        <w:rPr>
          <w:rFonts w:hint="cs"/>
          <w:rtl/>
        </w:rPr>
        <w:tab/>
      </w:r>
      <w:r w:rsidR="00F32B28" w:rsidRPr="00F32B28">
        <w:rPr>
          <w:rFonts w:hint="cs"/>
          <w:rtl/>
        </w:rPr>
        <w:t>ي</w:t>
      </w:r>
      <w:r w:rsidR="00F32B28" w:rsidRPr="00F32B28">
        <w:rPr>
          <w:rtl/>
        </w:rPr>
        <w:t>شترط</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رقم</w:t>
      </w:r>
      <w:r w:rsidR="00F32B28">
        <w:rPr>
          <w:rtl/>
        </w:rPr>
        <w:t xml:space="preserve"> </w:t>
      </w:r>
      <w:r w:rsidR="00F32B28" w:rsidRPr="00F32B28">
        <w:rPr>
          <w:rtl/>
        </w:rPr>
        <w:t>(1)</w:t>
      </w:r>
      <w:r w:rsidR="00F32B28">
        <w:rPr>
          <w:rtl/>
        </w:rPr>
        <w:t xml:space="preserve"> </w:t>
      </w:r>
      <w:r w:rsidR="00F32B28" w:rsidRPr="00F32B28">
        <w:rPr>
          <w:rtl/>
        </w:rPr>
        <w:t>لسنة</w:t>
      </w:r>
      <w:r w:rsidR="00F32B28">
        <w:rPr>
          <w:rtl/>
        </w:rPr>
        <w:t xml:space="preserve"> </w:t>
      </w:r>
      <w:r w:rsidR="00F32B28" w:rsidRPr="00F32B28">
        <w:rPr>
          <w:rtl/>
        </w:rPr>
        <w:t>2007</w:t>
      </w:r>
      <w:r w:rsidR="00F32B28">
        <w:rPr>
          <w:rtl/>
        </w:rPr>
        <w:t xml:space="preserve"> </w:t>
      </w:r>
      <w:r w:rsidR="00F32B28" w:rsidRPr="00F32B28">
        <w:rPr>
          <w:rtl/>
        </w:rPr>
        <w:t>ت</w:t>
      </w:r>
      <w:r w:rsidR="00F32B28" w:rsidRPr="00F32B28">
        <w:rPr>
          <w:rtl/>
          <w:lang w:bidi="ar-SY"/>
        </w:rPr>
        <w:t>َ</w:t>
      </w:r>
      <w:r w:rsidR="00F32B28" w:rsidRPr="00F32B28">
        <w:rPr>
          <w:rtl/>
        </w:rPr>
        <w:t>ضمُن</w:t>
      </w:r>
      <w:r w:rsidR="00F32B28">
        <w:rPr>
          <w:rtl/>
        </w:rPr>
        <w:t xml:space="preserve"> </w:t>
      </w:r>
      <w:r w:rsidR="00F32B28" w:rsidRPr="00F32B28">
        <w:rPr>
          <w:rtl/>
        </w:rPr>
        <w:t>كل</w:t>
      </w:r>
      <w:r w:rsidR="00F32B28">
        <w:rPr>
          <w:rtl/>
        </w:rPr>
        <w:t xml:space="preserve"> </w:t>
      </w:r>
      <w:r w:rsidR="00F32B28" w:rsidRPr="00F32B28">
        <w:rPr>
          <w:rtl/>
        </w:rPr>
        <w:t>قائمة</w:t>
      </w:r>
      <w:r w:rsidR="00F32B28">
        <w:rPr>
          <w:rtl/>
        </w:rPr>
        <w:t xml:space="preserve"> </w:t>
      </w:r>
      <w:r w:rsidR="00F32B28" w:rsidRPr="00F32B28">
        <w:rPr>
          <w:rtl/>
        </w:rPr>
        <w:t>من</w:t>
      </w:r>
      <w:r w:rsidR="00F32B28">
        <w:rPr>
          <w:rtl/>
        </w:rPr>
        <w:t xml:space="preserve"> </w:t>
      </w:r>
      <w:r w:rsidR="00F32B28" w:rsidRPr="00F32B28">
        <w:rPr>
          <w:rtl/>
        </w:rPr>
        <w:t>القوائم</w:t>
      </w:r>
      <w:r w:rsidR="00F32B28">
        <w:rPr>
          <w:rtl/>
        </w:rPr>
        <w:t xml:space="preserve"> </w:t>
      </w:r>
      <w:r w:rsidR="00F32B28" w:rsidRPr="00F32B28">
        <w:rPr>
          <w:rtl/>
        </w:rPr>
        <w:t>الانتخابية</w:t>
      </w:r>
      <w:r w:rsidR="00F32B28">
        <w:rPr>
          <w:rtl/>
        </w:rPr>
        <w:t xml:space="preserve"> </w:t>
      </w:r>
      <w:r w:rsidR="00F32B28" w:rsidRPr="00F32B28">
        <w:rPr>
          <w:rtl/>
        </w:rPr>
        <w:t>المرشحة</w:t>
      </w:r>
      <w:r w:rsidR="00F32B28">
        <w:rPr>
          <w:rtl/>
        </w:rPr>
        <w:t xml:space="preserve"> </w:t>
      </w:r>
      <w:r w:rsidR="00F32B28" w:rsidRPr="00F32B28">
        <w:rPr>
          <w:rtl/>
        </w:rPr>
        <w:t>للانتخابات</w:t>
      </w:r>
      <w:r w:rsidR="00F32B28">
        <w:rPr>
          <w:rtl/>
        </w:rPr>
        <w:t xml:space="preserve"> </w:t>
      </w:r>
      <w:r w:rsidR="00F32B28" w:rsidRPr="00F32B28">
        <w:rPr>
          <w:rtl/>
        </w:rPr>
        <w:t>حداً</w:t>
      </w:r>
      <w:r w:rsidR="00F32B28">
        <w:rPr>
          <w:rtl/>
        </w:rPr>
        <w:t xml:space="preserve"> </w:t>
      </w:r>
      <w:r w:rsidR="00F32B28" w:rsidRPr="00F32B28">
        <w:rPr>
          <w:rtl/>
        </w:rPr>
        <w:t>أدنى</w:t>
      </w:r>
      <w:r w:rsidR="00F32B28">
        <w:rPr>
          <w:rtl/>
        </w:rPr>
        <w:t xml:space="preserve"> </w:t>
      </w:r>
      <w:r w:rsidR="00F32B28" w:rsidRPr="00F32B28">
        <w:rPr>
          <w:rtl/>
        </w:rPr>
        <w:t>لتمثيل</w:t>
      </w:r>
      <w:r w:rsidR="00F32B28">
        <w:rPr>
          <w:rtl/>
        </w:rPr>
        <w:t xml:space="preserve"> </w:t>
      </w:r>
      <w:r w:rsidR="00F32B28" w:rsidRPr="00F32B28">
        <w:rPr>
          <w:rtl/>
        </w:rPr>
        <w:t>المرأة</w:t>
      </w:r>
      <w:r w:rsidR="00F32B28">
        <w:rPr>
          <w:rtl/>
        </w:rPr>
        <w:t xml:space="preserve"> </w:t>
      </w:r>
      <w:r w:rsidR="00F32B28" w:rsidRPr="00F32B28">
        <w:rPr>
          <w:rtl/>
        </w:rPr>
        <w:t>لا</w:t>
      </w:r>
      <w:r w:rsidR="00F32B28">
        <w:rPr>
          <w:rtl/>
        </w:rPr>
        <w:t xml:space="preserve"> </w:t>
      </w:r>
      <w:r w:rsidR="00F32B28" w:rsidRPr="00F32B28">
        <w:rPr>
          <w:rtl/>
        </w:rPr>
        <w:t>يقل</w:t>
      </w:r>
      <w:r w:rsidR="00F32B28">
        <w:rPr>
          <w:rtl/>
        </w:rPr>
        <w:t xml:space="preserve"> </w:t>
      </w:r>
      <w:r w:rsidR="00F32B28" w:rsidRPr="00F32B28">
        <w:rPr>
          <w:rtl/>
        </w:rPr>
        <w:t>عن</w:t>
      </w:r>
      <w:r w:rsidR="00F32B28">
        <w:rPr>
          <w:rtl/>
        </w:rPr>
        <w:t xml:space="preserve"> </w:t>
      </w:r>
      <w:r w:rsidR="00F32B28" w:rsidRPr="00F32B28">
        <w:rPr>
          <w:rtl/>
        </w:rPr>
        <w:t>امرأة</w:t>
      </w:r>
      <w:r w:rsidR="00F32B28">
        <w:rPr>
          <w:rtl/>
        </w:rPr>
        <w:t xml:space="preserve"> </w:t>
      </w:r>
      <w:r w:rsidR="00F32B28" w:rsidRPr="00F32B28">
        <w:rPr>
          <w:rtl/>
        </w:rPr>
        <w:t>واحدة</w:t>
      </w:r>
      <w:r w:rsidR="00F32B28">
        <w:rPr>
          <w:rtl/>
        </w:rPr>
        <w:t xml:space="preserve"> </w:t>
      </w:r>
      <w:r w:rsidR="00F32B28" w:rsidRPr="00F32B28">
        <w:rPr>
          <w:rtl/>
        </w:rPr>
        <w:t>من</w:t>
      </w:r>
      <w:r w:rsidR="00F32B28">
        <w:rPr>
          <w:rtl/>
        </w:rPr>
        <w:t xml:space="preserve"> </w:t>
      </w:r>
      <w:r w:rsidR="00F32B28" w:rsidRPr="00F32B28">
        <w:rPr>
          <w:rtl/>
        </w:rPr>
        <w:t>بين</w:t>
      </w:r>
      <w:r w:rsidR="00F32B28">
        <w:rPr>
          <w:rtl/>
        </w:rPr>
        <w:t xml:space="preserve"> </w:t>
      </w:r>
      <w:r w:rsidR="00F32B28" w:rsidRPr="00F32B28">
        <w:rPr>
          <w:rtl/>
        </w:rPr>
        <w:t>كل</w:t>
      </w:r>
      <w:r w:rsidR="00F32B28">
        <w:rPr>
          <w:rtl/>
        </w:rPr>
        <w:t xml:space="preserve"> </w:t>
      </w:r>
      <w:r w:rsidR="00102AE6">
        <w:rPr>
          <w:rtl/>
        </w:rPr>
        <w:t>من</w:t>
      </w:r>
      <w:r w:rsidR="00102AE6">
        <w:rPr>
          <w:rFonts w:hint="cs"/>
          <w:rtl/>
        </w:rPr>
        <w:t xml:space="preserve"> </w:t>
      </w:r>
      <w:r w:rsidR="00F32B28" w:rsidRPr="00F32B28">
        <w:rPr>
          <w:rtl/>
        </w:rPr>
        <w:t>الأسماء</w:t>
      </w:r>
      <w:r w:rsidR="00F32B28">
        <w:rPr>
          <w:rtl/>
        </w:rPr>
        <w:t xml:space="preserve"> </w:t>
      </w:r>
      <w:r w:rsidR="00F32B28" w:rsidRPr="00F32B28">
        <w:rPr>
          <w:rtl/>
        </w:rPr>
        <w:t>الثلاثة</w:t>
      </w:r>
      <w:r w:rsidR="00F32B28">
        <w:rPr>
          <w:rtl/>
        </w:rPr>
        <w:t xml:space="preserve"> </w:t>
      </w:r>
      <w:r w:rsidR="00F32B28" w:rsidRPr="00F32B28">
        <w:rPr>
          <w:rtl/>
        </w:rPr>
        <w:t>الأولى</w:t>
      </w:r>
      <w:r w:rsidR="00F32B28">
        <w:rPr>
          <w:rtl/>
        </w:rPr>
        <w:t xml:space="preserve"> </w:t>
      </w:r>
      <w:r w:rsidR="00F32B28" w:rsidRPr="00F32B28">
        <w:rPr>
          <w:rtl/>
        </w:rPr>
        <w:t>في</w:t>
      </w:r>
      <w:r w:rsidR="00F32B28">
        <w:rPr>
          <w:rtl/>
        </w:rPr>
        <w:t xml:space="preserve"> </w:t>
      </w:r>
      <w:r w:rsidR="00F32B28" w:rsidRPr="00F32B28">
        <w:rPr>
          <w:rtl/>
        </w:rPr>
        <w:t>القائمة</w:t>
      </w:r>
      <w:r w:rsidR="00102AE6">
        <w:rPr>
          <w:rFonts w:hint="cs"/>
          <w:rtl/>
        </w:rPr>
        <w:t>، و</w:t>
      </w:r>
      <w:r w:rsidR="00F32B28" w:rsidRPr="00F32B28">
        <w:rPr>
          <w:rtl/>
        </w:rPr>
        <w:t>الأسماء</w:t>
      </w:r>
      <w:r w:rsidR="00F32B28">
        <w:rPr>
          <w:rtl/>
        </w:rPr>
        <w:t xml:space="preserve"> </w:t>
      </w:r>
      <w:r w:rsidR="00F32B28" w:rsidRPr="00F32B28">
        <w:rPr>
          <w:rtl/>
        </w:rPr>
        <w:t>الأربعة</w:t>
      </w:r>
      <w:r w:rsidR="00F32B28">
        <w:rPr>
          <w:rtl/>
        </w:rPr>
        <w:t xml:space="preserve"> </w:t>
      </w:r>
      <w:r w:rsidR="00F32B28" w:rsidRPr="00F32B28">
        <w:rPr>
          <w:rtl/>
        </w:rPr>
        <w:t>التي</w:t>
      </w:r>
      <w:r w:rsidR="00F32B28">
        <w:rPr>
          <w:rtl/>
        </w:rPr>
        <w:t xml:space="preserve"> </w:t>
      </w:r>
      <w:r w:rsidR="00F32B28" w:rsidRPr="00F32B28">
        <w:rPr>
          <w:rtl/>
        </w:rPr>
        <w:t>تلي</w:t>
      </w:r>
      <w:r w:rsidR="00F32B28">
        <w:rPr>
          <w:rtl/>
        </w:rPr>
        <w:t xml:space="preserve"> </w:t>
      </w:r>
      <w:r w:rsidR="00F32B28" w:rsidRPr="00F32B28">
        <w:rPr>
          <w:rtl/>
        </w:rPr>
        <w:t>ذلك</w:t>
      </w:r>
      <w:r w:rsidR="00102AE6">
        <w:rPr>
          <w:rFonts w:hint="cs"/>
          <w:rtl/>
        </w:rPr>
        <w:t>، و</w:t>
      </w:r>
      <w:r w:rsidR="00F32B28" w:rsidRPr="00F32B28">
        <w:rPr>
          <w:rtl/>
        </w:rPr>
        <w:t>كل</w:t>
      </w:r>
      <w:r w:rsidR="00F32B28">
        <w:rPr>
          <w:rtl/>
        </w:rPr>
        <w:t xml:space="preserve"> </w:t>
      </w:r>
      <w:r w:rsidR="00F32B28" w:rsidRPr="00F32B28">
        <w:rPr>
          <w:rtl/>
        </w:rPr>
        <w:t>خمسة</w:t>
      </w:r>
      <w:r w:rsidR="00F32B28">
        <w:rPr>
          <w:rtl/>
        </w:rPr>
        <w:t xml:space="preserve"> </w:t>
      </w:r>
      <w:r w:rsidR="00F32B28" w:rsidRPr="00F32B28">
        <w:rPr>
          <w:rtl/>
        </w:rPr>
        <w:t>أسماء</w:t>
      </w:r>
      <w:r w:rsidR="00F32B28">
        <w:rPr>
          <w:rtl/>
        </w:rPr>
        <w:t xml:space="preserve"> </w:t>
      </w:r>
      <w:r w:rsidR="00F32B28" w:rsidRPr="00F32B28">
        <w:rPr>
          <w:rtl/>
        </w:rPr>
        <w:t>تلي</w:t>
      </w:r>
      <w:r w:rsidR="00F32B28">
        <w:rPr>
          <w:rtl/>
        </w:rPr>
        <w:t xml:space="preserve"> </w:t>
      </w:r>
      <w:r w:rsidR="00F32B28" w:rsidRPr="00F32B28">
        <w:rPr>
          <w:rtl/>
        </w:rPr>
        <w:t>ذلك.</w:t>
      </w:r>
    </w:p>
    <w:p w:rsidR="00FD6731" w:rsidRPr="00FD6731" w:rsidRDefault="00FD6731" w:rsidP="00FD6731">
      <w:pPr>
        <w:pStyle w:val="SingleTxt"/>
        <w:rPr>
          <w:i/>
          <w:iCs/>
        </w:rPr>
      </w:pPr>
      <w:r>
        <w:rPr>
          <w:rFonts w:hint="cs"/>
          <w:rtl/>
        </w:rPr>
        <w:t>70 -</w:t>
      </w:r>
      <w:r>
        <w:rPr>
          <w:rFonts w:hint="cs"/>
          <w:rtl/>
        </w:rPr>
        <w:tab/>
      </w:r>
      <w:r w:rsidR="00F32B28" w:rsidRPr="00F32B28">
        <w:rPr>
          <w:rtl/>
        </w:rPr>
        <w:t>كما</w:t>
      </w:r>
      <w:r w:rsidR="00F32B28">
        <w:rPr>
          <w:rtl/>
        </w:rPr>
        <w:t xml:space="preserve"> </w:t>
      </w:r>
      <w:r w:rsidR="00F32B28" w:rsidRPr="00F32B28">
        <w:rPr>
          <w:rtl/>
        </w:rPr>
        <w:t>واشترط</w:t>
      </w:r>
      <w:r w:rsidR="00F32B28">
        <w:rPr>
          <w:rtl/>
        </w:rPr>
        <w:t xml:space="preserve"> </w:t>
      </w:r>
      <w:r w:rsidR="00F32B28" w:rsidRPr="00F32B28">
        <w:rPr>
          <w:rtl/>
        </w:rPr>
        <w:t>قانون</w:t>
      </w:r>
      <w:r w:rsidR="00F32B28">
        <w:rPr>
          <w:rtl/>
        </w:rPr>
        <w:t xml:space="preserve"> </w:t>
      </w:r>
      <w:r w:rsidR="00F32B28" w:rsidRPr="00F32B28">
        <w:rPr>
          <w:rtl/>
        </w:rPr>
        <w:t>انتخاب</w:t>
      </w:r>
      <w:r w:rsidR="00F32B28">
        <w:rPr>
          <w:rtl/>
        </w:rPr>
        <w:t xml:space="preserve"> </w:t>
      </w:r>
      <w:r w:rsidR="00F32B28" w:rsidRPr="00F32B28">
        <w:rPr>
          <w:rtl/>
        </w:rPr>
        <w:t>مجالس</w:t>
      </w:r>
      <w:r w:rsidR="00F32B28">
        <w:rPr>
          <w:rtl/>
        </w:rPr>
        <w:t xml:space="preserve"> </w:t>
      </w:r>
      <w:r w:rsidR="00F32B28" w:rsidRPr="00F32B28">
        <w:rPr>
          <w:rtl/>
        </w:rPr>
        <w:t>الهيئات</w:t>
      </w:r>
      <w:r w:rsidR="00F32B28">
        <w:rPr>
          <w:rtl/>
        </w:rPr>
        <w:t xml:space="preserve"> </w:t>
      </w:r>
      <w:r w:rsidR="00F32B28" w:rsidRPr="00F32B28">
        <w:rPr>
          <w:rtl/>
        </w:rPr>
        <w:t>المحلية</w:t>
      </w:r>
      <w:r w:rsidR="00F32B28">
        <w:rPr>
          <w:rtl/>
        </w:rPr>
        <w:t xml:space="preserve"> </w:t>
      </w:r>
      <w:r w:rsidR="00F32B28" w:rsidRPr="00F32B28">
        <w:rPr>
          <w:rtl/>
        </w:rPr>
        <w:t>على</w:t>
      </w:r>
      <w:r w:rsidR="00F32B28">
        <w:rPr>
          <w:rtl/>
        </w:rPr>
        <w:t xml:space="preserve"> </w:t>
      </w:r>
      <w:r w:rsidR="00F32B28" w:rsidRPr="00F32B28">
        <w:rPr>
          <w:rtl/>
        </w:rPr>
        <w:t>أنه:</w:t>
      </w:r>
    </w:p>
    <w:p w:rsidR="00F32B28" w:rsidRPr="00F32B28" w:rsidRDefault="00FD6731" w:rsidP="00FD6731">
      <w:pPr>
        <w:pStyle w:val="SingleTxt"/>
        <w:ind w:left="2592" w:hanging="1328"/>
        <w:rPr>
          <w:rtl/>
        </w:rPr>
      </w:pPr>
      <w:r>
        <w:rPr>
          <w:rFonts w:hint="cs"/>
          <w:rtl/>
        </w:rPr>
        <w:tab/>
      </w:r>
      <w:r w:rsidR="001D253C">
        <w:rPr>
          <w:rFonts w:hint="cs"/>
          <w:rtl/>
        </w:rPr>
        <w:t>”</w:t>
      </w:r>
      <w:r w:rsidR="00F32B28" w:rsidRPr="00F32B28">
        <w:rPr>
          <w:rtl/>
        </w:rPr>
        <w:t>1</w:t>
      </w:r>
      <w:r>
        <w:rPr>
          <w:rFonts w:hint="cs"/>
          <w:rtl/>
        </w:rPr>
        <w:t xml:space="preserve"> </w:t>
      </w:r>
      <w:r w:rsidR="00F32B28" w:rsidRPr="00F32B28">
        <w:rPr>
          <w:rtl/>
        </w:rPr>
        <w:t>-</w:t>
      </w:r>
      <w:r>
        <w:rPr>
          <w:rFonts w:hint="cs"/>
          <w:rtl/>
        </w:rPr>
        <w:tab/>
      </w:r>
      <w:r w:rsidR="00F32B28" w:rsidRPr="00F32B28">
        <w:rPr>
          <w:rtl/>
        </w:rPr>
        <w:t>في</w:t>
      </w:r>
      <w:r w:rsidR="00F32B28">
        <w:rPr>
          <w:rtl/>
        </w:rPr>
        <w:t xml:space="preserve"> </w:t>
      </w:r>
      <w:r w:rsidR="00F32B28" w:rsidRPr="00F32B28">
        <w:rPr>
          <w:rtl/>
        </w:rPr>
        <w:t>الهيئة</w:t>
      </w:r>
      <w:r w:rsidR="00F32B28">
        <w:rPr>
          <w:rtl/>
        </w:rPr>
        <w:t xml:space="preserve"> </w:t>
      </w:r>
      <w:r w:rsidR="00F32B28" w:rsidRPr="00F32B28">
        <w:rPr>
          <w:rtl/>
        </w:rPr>
        <w:t>المحلية</w:t>
      </w:r>
      <w:r w:rsidR="00F32B28">
        <w:rPr>
          <w:rtl/>
        </w:rPr>
        <w:t xml:space="preserve"> </w:t>
      </w:r>
      <w:r w:rsidR="00F32B28" w:rsidRPr="00F32B28">
        <w:rPr>
          <w:rtl/>
        </w:rPr>
        <w:t>التي</w:t>
      </w:r>
      <w:r w:rsidR="00F32B28">
        <w:rPr>
          <w:rtl/>
        </w:rPr>
        <w:t xml:space="preserve"> </w:t>
      </w:r>
      <w:r w:rsidR="00F32B28" w:rsidRPr="00F32B28">
        <w:rPr>
          <w:rtl/>
        </w:rPr>
        <w:t>لا</w:t>
      </w:r>
      <w:r w:rsidR="00F32B28">
        <w:rPr>
          <w:rtl/>
        </w:rPr>
        <w:t xml:space="preserve"> </w:t>
      </w:r>
      <w:r w:rsidR="00F32B28" w:rsidRPr="00F32B28">
        <w:rPr>
          <w:rtl/>
        </w:rPr>
        <w:t>يزيد</w:t>
      </w:r>
      <w:r w:rsidR="00F32B28">
        <w:rPr>
          <w:rtl/>
        </w:rPr>
        <w:t xml:space="preserve"> </w:t>
      </w:r>
      <w:r w:rsidR="00F32B28" w:rsidRPr="00F32B28">
        <w:rPr>
          <w:rtl/>
        </w:rPr>
        <w:t>عدد</w:t>
      </w:r>
      <w:r w:rsidR="00F32B28">
        <w:rPr>
          <w:rtl/>
        </w:rPr>
        <w:t xml:space="preserve"> </w:t>
      </w:r>
      <w:r w:rsidR="00F32B28" w:rsidRPr="00F32B28">
        <w:rPr>
          <w:rtl/>
        </w:rPr>
        <w:t>مقاعدها</w:t>
      </w:r>
      <w:r w:rsidR="00F32B28">
        <w:rPr>
          <w:rtl/>
        </w:rPr>
        <w:t xml:space="preserve"> </w:t>
      </w:r>
      <w:r w:rsidR="00F32B28" w:rsidRPr="00F32B28">
        <w:rPr>
          <w:rtl/>
        </w:rPr>
        <w:t>عن</w:t>
      </w:r>
      <w:r w:rsidR="00F32B28">
        <w:rPr>
          <w:rtl/>
        </w:rPr>
        <w:t xml:space="preserve"> </w:t>
      </w:r>
      <w:r w:rsidR="00F32B28" w:rsidRPr="00F32B28">
        <w:rPr>
          <w:rtl/>
        </w:rPr>
        <w:t>ثلاثة</w:t>
      </w:r>
      <w:r w:rsidR="00F32B28">
        <w:rPr>
          <w:rtl/>
        </w:rPr>
        <w:t xml:space="preserve"> </w:t>
      </w:r>
      <w:r w:rsidR="00F32B28" w:rsidRPr="00F32B28">
        <w:rPr>
          <w:rtl/>
        </w:rPr>
        <w:t>عشر</w:t>
      </w:r>
      <w:r w:rsidR="00F32B28">
        <w:rPr>
          <w:rtl/>
        </w:rPr>
        <w:t xml:space="preserve"> </w:t>
      </w:r>
      <w:r w:rsidR="00F32B28" w:rsidRPr="00F32B28">
        <w:rPr>
          <w:rtl/>
        </w:rPr>
        <w:t>مقعداً</w:t>
      </w:r>
      <w:r w:rsidR="00F32B28">
        <w:rPr>
          <w:rtl/>
        </w:rPr>
        <w:t xml:space="preserve"> </w:t>
      </w:r>
      <w:r w:rsidR="00F32B28" w:rsidRPr="00F32B28">
        <w:rPr>
          <w:rtl/>
        </w:rPr>
        <w:t>يجب</w:t>
      </w:r>
      <w:r w:rsidR="00F32B28">
        <w:rPr>
          <w:rtl/>
        </w:rPr>
        <w:t xml:space="preserve"> </w:t>
      </w:r>
      <w:r w:rsidR="00F32B28" w:rsidRPr="00F32B28">
        <w:rPr>
          <w:rtl/>
        </w:rPr>
        <w:t>ألا</w:t>
      </w:r>
      <w:r w:rsidR="00F32B28">
        <w:rPr>
          <w:rtl/>
        </w:rPr>
        <w:t xml:space="preserve"> </w:t>
      </w:r>
      <w:r w:rsidR="00F32B28" w:rsidRPr="00F32B28">
        <w:rPr>
          <w:rtl/>
        </w:rPr>
        <w:t>يقل</w:t>
      </w:r>
      <w:r w:rsidR="00F32B28">
        <w:rPr>
          <w:rtl/>
        </w:rPr>
        <w:t xml:space="preserve"> </w:t>
      </w:r>
      <w:r w:rsidR="00F32B28" w:rsidRPr="00F32B28">
        <w:rPr>
          <w:rtl/>
        </w:rPr>
        <w:t>تمثيل</w:t>
      </w:r>
      <w:r w:rsidR="00F32B28">
        <w:rPr>
          <w:rtl/>
        </w:rPr>
        <w:t xml:space="preserve"> </w:t>
      </w:r>
      <w:r w:rsidR="00F32B28" w:rsidRPr="00F32B28">
        <w:rPr>
          <w:rtl/>
        </w:rPr>
        <w:t>المرأة</w:t>
      </w:r>
      <w:r w:rsidR="00F32B28">
        <w:rPr>
          <w:rtl/>
        </w:rPr>
        <w:t xml:space="preserve"> </w:t>
      </w:r>
      <w:r w:rsidR="00F32B28" w:rsidRPr="00F32B28">
        <w:rPr>
          <w:rtl/>
        </w:rPr>
        <w:t>عن</w:t>
      </w:r>
      <w:r w:rsidR="00F32B28">
        <w:rPr>
          <w:rtl/>
        </w:rPr>
        <w:t xml:space="preserve"> </w:t>
      </w:r>
      <w:r w:rsidR="00F32B28" w:rsidRPr="00F32B28">
        <w:rPr>
          <w:rtl/>
        </w:rPr>
        <w:t>مقعدين:</w:t>
      </w:r>
    </w:p>
    <w:p w:rsidR="00F32B28" w:rsidRPr="00F32B28" w:rsidRDefault="00102AE6" w:rsidP="00FD6731">
      <w:pPr>
        <w:pStyle w:val="SingleTxt"/>
        <w:rPr>
          <w:i/>
          <w:iCs/>
          <w:rtl/>
        </w:rPr>
      </w:pPr>
      <w:r>
        <w:rPr>
          <w:rFonts w:hint="cs"/>
          <w:rtl/>
        </w:rPr>
        <w:tab/>
      </w:r>
      <w:r w:rsidR="00FD6731" w:rsidRPr="00FD6731">
        <w:rPr>
          <w:rFonts w:hint="cs"/>
          <w:rtl/>
        </w:rPr>
        <w:tab/>
        <w:t>(</w:t>
      </w:r>
      <w:r w:rsidR="00F32B28" w:rsidRPr="00FD6731">
        <w:rPr>
          <w:rtl/>
        </w:rPr>
        <w:t>أ)</w:t>
      </w:r>
      <w:r w:rsidR="00FD6731" w:rsidRPr="00FD6731">
        <w:rPr>
          <w:rFonts w:hint="cs"/>
          <w:rtl/>
        </w:rPr>
        <w:tab/>
      </w:r>
      <w:r w:rsidR="00F32B28" w:rsidRPr="00F32B28">
        <w:rPr>
          <w:i/>
          <w:iCs/>
          <w:rtl/>
        </w:rPr>
        <w:t>امرأة</w:t>
      </w:r>
      <w:r w:rsidR="00F32B28">
        <w:rPr>
          <w:i/>
          <w:iCs/>
          <w:rtl/>
        </w:rPr>
        <w:t xml:space="preserve"> </w:t>
      </w:r>
      <w:r w:rsidR="00F32B28" w:rsidRPr="00F32B28">
        <w:rPr>
          <w:i/>
          <w:iCs/>
          <w:rtl/>
        </w:rPr>
        <w:t>واحدة</w:t>
      </w:r>
      <w:r w:rsidR="00F32B28">
        <w:rPr>
          <w:i/>
          <w:iCs/>
          <w:rtl/>
        </w:rPr>
        <w:t xml:space="preserve"> </w:t>
      </w:r>
      <w:r w:rsidR="00F32B28" w:rsidRPr="00F32B28">
        <w:rPr>
          <w:i/>
          <w:iCs/>
          <w:rtl/>
        </w:rPr>
        <w:t>من</w:t>
      </w:r>
      <w:r w:rsidR="00F32B28">
        <w:rPr>
          <w:i/>
          <w:iCs/>
          <w:rtl/>
        </w:rPr>
        <w:t xml:space="preserve"> </w:t>
      </w:r>
      <w:r w:rsidR="00F32B28" w:rsidRPr="00F32B28">
        <w:rPr>
          <w:i/>
          <w:iCs/>
          <w:rtl/>
        </w:rPr>
        <w:t>بين</w:t>
      </w:r>
      <w:r w:rsidR="00F32B28">
        <w:rPr>
          <w:i/>
          <w:iCs/>
          <w:rtl/>
        </w:rPr>
        <w:t xml:space="preserve"> </w:t>
      </w:r>
      <w:r w:rsidR="00F32B28" w:rsidRPr="00F32B28">
        <w:rPr>
          <w:i/>
          <w:iCs/>
          <w:rtl/>
        </w:rPr>
        <w:t>الخمسة</w:t>
      </w:r>
      <w:r w:rsidR="00F32B28">
        <w:rPr>
          <w:i/>
          <w:iCs/>
          <w:rtl/>
        </w:rPr>
        <w:t xml:space="preserve"> </w:t>
      </w:r>
      <w:r w:rsidR="00F32B28" w:rsidRPr="00F32B28">
        <w:rPr>
          <w:i/>
          <w:iCs/>
          <w:rtl/>
        </w:rPr>
        <w:t>أسماء</w:t>
      </w:r>
      <w:r w:rsidR="00F32B28">
        <w:rPr>
          <w:i/>
          <w:iCs/>
          <w:rtl/>
        </w:rPr>
        <w:t xml:space="preserve"> </w:t>
      </w:r>
      <w:r w:rsidR="00F32B28" w:rsidRPr="00F32B28">
        <w:rPr>
          <w:i/>
          <w:iCs/>
          <w:rtl/>
        </w:rPr>
        <w:t>الأولى</w:t>
      </w:r>
      <w:r w:rsidR="00F32B28">
        <w:rPr>
          <w:i/>
          <w:iCs/>
          <w:rtl/>
        </w:rPr>
        <w:t xml:space="preserve"> </w:t>
      </w:r>
      <w:r w:rsidR="00F32B28" w:rsidRPr="00F32B28">
        <w:rPr>
          <w:i/>
          <w:iCs/>
          <w:rtl/>
        </w:rPr>
        <w:t>في</w:t>
      </w:r>
      <w:r w:rsidR="00F32B28">
        <w:rPr>
          <w:i/>
          <w:iCs/>
          <w:rtl/>
        </w:rPr>
        <w:t xml:space="preserve"> </w:t>
      </w:r>
      <w:r w:rsidR="00F32B28" w:rsidRPr="00F32B28">
        <w:rPr>
          <w:i/>
          <w:iCs/>
          <w:rtl/>
        </w:rPr>
        <w:t>القائمة</w:t>
      </w:r>
    </w:p>
    <w:p w:rsidR="00F32B28" w:rsidRPr="00F32B28" w:rsidRDefault="00102AE6" w:rsidP="00FD6731">
      <w:pPr>
        <w:pStyle w:val="SingleTxt"/>
        <w:rPr>
          <w:i/>
          <w:iCs/>
          <w:rtl/>
        </w:rPr>
      </w:pPr>
      <w:r>
        <w:rPr>
          <w:rFonts w:hint="cs"/>
          <w:rtl/>
        </w:rPr>
        <w:tab/>
      </w:r>
      <w:r w:rsidR="00FD6731" w:rsidRPr="00FD6731">
        <w:rPr>
          <w:rFonts w:hint="cs"/>
          <w:rtl/>
        </w:rPr>
        <w:tab/>
        <w:t>(</w:t>
      </w:r>
      <w:r w:rsidR="00F32B28" w:rsidRPr="00FD6731">
        <w:rPr>
          <w:rtl/>
        </w:rPr>
        <w:t>ب)</w:t>
      </w:r>
      <w:r w:rsidR="00FD6731" w:rsidRPr="00FD6731">
        <w:rPr>
          <w:rFonts w:hint="cs"/>
          <w:rtl/>
        </w:rPr>
        <w:tab/>
      </w:r>
      <w:r w:rsidR="00F32B28" w:rsidRPr="00F32B28">
        <w:rPr>
          <w:i/>
          <w:iCs/>
          <w:rtl/>
        </w:rPr>
        <w:t>امرأة</w:t>
      </w:r>
      <w:r w:rsidR="00F32B28">
        <w:rPr>
          <w:i/>
          <w:iCs/>
          <w:rtl/>
        </w:rPr>
        <w:t xml:space="preserve"> </w:t>
      </w:r>
      <w:r w:rsidR="00F32B28" w:rsidRPr="00F32B28">
        <w:rPr>
          <w:i/>
          <w:iCs/>
          <w:rtl/>
        </w:rPr>
        <w:t>واحدة</w:t>
      </w:r>
      <w:r w:rsidR="00F32B28">
        <w:rPr>
          <w:i/>
          <w:iCs/>
          <w:rtl/>
        </w:rPr>
        <w:t xml:space="preserve"> </w:t>
      </w:r>
      <w:r w:rsidR="00F32B28" w:rsidRPr="00F32B28">
        <w:rPr>
          <w:i/>
          <w:iCs/>
          <w:rtl/>
        </w:rPr>
        <w:t>من</w:t>
      </w:r>
      <w:r w:rsidR="00F32B28">
        <w:rPr>
          <w:i/>
          <w:iCs/>
          <w:rtl/>
        </w:rPr>
        <w:t xml:space="preserve"> </w:t>
      </w:r>
      <w:r w:rsidR="00F32B28" w:rsidRPr="00F32B28">
        <w:rPr>
          <w:i/>
          <w:iCs/>
          <w:rtl/>
        </w:rPr>
        <w:t>بين</w:t>
      </w:r>
      <w:r w:rsidR="00F32B28">
        <w:rPr>
          <w:i/>
          <w:iCs/>
          <w:rtl/>
        </w:rPr>
        <w:t xml:space="preserve"> </w:t>
      </w:r>
      <w:r w:rsidR="00F32B28" w:rsidRPr="00F32B28">
        <w:rPr>
          <w:i/>
          <w:iCs/>
          <w:rtl/>
        </w:rPr>
        <w:t>الخمسة</w:t>
      </w:r>
      <w:r w:rsidR="00F32B28">
        <w:rPr>
          <w:i/>
          <w:iCs/>
          <w:rtl/>
        </w:rPr>
        <w:t xml:space="preserve"> </w:t>
      </w:r>
      <w:r w:rsidR="00F32B28" w:rsidRPr="00F32B28">
        <w:rPr>
          <w:i/>
          <w:iCs/>
          <w:rtl/>
        </w:rPr>
        <w:t>أسماء</w:t>
      </w:r>
      <w:r w:rsidR="00F32B28">
        <w:rPr>
          <w:i/>
          <w:iCs/>
          <w:rtl/>
        </w:rPr>
        <w:t xml:space="preserve"> </w:t>
      </w:r>
      <w:r w:rsidR="00F32B28" w:rsidRPr="00F32B28">
        <w:rPr>
          <w:i/>
          <w:iCs/>
          <w:rtl/>
        </w:rPr>
        <w:t>التي</w:t>
      </w:r>
      <w:r w:rsidR="00F32B28">
        <w:rPr>
          <w:i/>
          <w:iCs/>
          <w:rtl/>
        </w:rPr>
        <w:t xml:space="preserve"> </w:t>
      </w:r>
      <w:r w:rsidR="00F32B28" w:rsidRPr="00F32B28">
        <w:rPr>
          <w:i/>
          <w:iCs/>
          <w:rtl/>
        </w:rPr>
        <w:t>تلي</w:t>
      </w:r>
      <w:r w:rsidR="00F32B28">
        <w:rPr>
          <w:i/>
          <w:iCs/>
          <w:rtl/>
        </w:rPr>
        <w:t xml:space="preserve"> </w:t>
      </w:r>
      <w:r w:rsidR="00F32B28" w:rsidRPr="00F32B28">
        <w:rPr>
          <w:i/>
          <w:iCs/>
          <w:rtl/>
        </w:rPr>
        <w:t>ذلك.</w:t>
      </w:r>
    </w:p>
    <w:p w:rsidR="00F32B28" w:rsidRPr="00F32B28" w:rsidRDefault="00FD6731" w:rsidP="00FD6731">
      <w:pPr>
        <w:pStyle w:val="SingleTxt"/>
        <w:ind w:left="2592" w:hanging="1328"/>
        <w:rPr>
          <w:rtl/>
        </w:rPr>
      </w:pPr>
      <w:r>
        <w:rPr>
          <w:rFonts w:hint="cs"/>
          <w:rtl/>
        </w:rPr>
        <w:tab/>
      </w:r>
      <w:r w:rsidR="00F32B28" w:rsidRPr="00F32B28">
        <w:rPr>
          <w:rtl/>
        </w:rPr>
        <w:t>2</w:t>
      </w:r>
      <w:r>
        <w:rPr>
          <w:rFonts w:hint="cs"/>
          <w:rtl/>
        </w:rPr>
        <w:t xml:space="preserve"> </w:t>
      </w:r>
      <w:r w:rsidR="00F32B28" w:rsidRPr="00F32B28">
        <w:rPr>
          <w:rtl/>
        </w:rPr>
        <w:t>-</w:t>
      </w:r>
      <w:r>
        <w:rPr>
          <w:rFonts w:hint="cs"/>
          <w:rtl/>
        </w:rPr>
        <w:tab/>
      </w:r>
      <w:r w:rsidR="00F32B28" w:rsidRPr="00F32B28">
        <w:rPr>
          <w:rtl/>
        </w:rPr>
        <w:t>في</w:t>
      </w:r>
      <w:r w:rsidR="00F32B28">
        <w:rPr>
          <w:rtl/>
        </w:rPr>
        <w:t xml:space="preserve"> </w:t>
      </w:r>
      <w:r w:rsidR="00F32B28" w:rsidRPr="00F32B28">
        <w:rPr>
          <w:rtl/>
        </w:rPr>
        <w:t>الهيئة</w:t>
      </w:r>
      <w:r w:rsidR="00F32B28">
        <w:rPr>
          <w:rtl/>
        </w:rPr>
        <w:t xml:space="preserve"> </w:t>
      </w:r>
      <w:r w:rsidR="00F32B28" w:rsidRPr="00F32B28">
        <w:rPr>
          <w:rtl/>
        </w:rPr>
        <w:t>المحلية</w:t>
      </w:r>
      <w:r w:rsidR="00F32B28">
        <w:rPr>
          <w:rtl/>
        </w:rPr>
        <w:t xml:space="preserve"> </w:t>
      </w:r>
      <w:r w:rsidR="00F32B28" w:rsidRPr="00F32B28">
        <w:rPr>
          <w:rtl/>
        </w:rPr>
        <w:t>التي</w:t>
      </w:r>
      <w:r w:rsidR="00F32B28">
        <w:rPr>
          <w:rtl/>
        </w:rPr>
        <w:t xml:space="preserve"> </w:t>
      </w:r>
      <w:r w:rsidR="00F32B28" w:rsidRPr="00F32B28">
        <w:rPr>
          <w:rtl/>
        </w:rPr>
        <w:t>يزيد</w:t>
      </w:r>
      <w:r w:rsidR="00F32B28">
        <w:rPr>
          <w:rtl/>
        </w:rPr>
        <w:t xml:space="preserve"> </w:t>
      </w:r>
      <w:r w:rsidR="00F32B28" w:rsidRPr="00F32B28">
        <w:rPr>
          <w:rtl/>
        </w:rPr>
        <w:t>عدد</w:t>
      </w:r>
      <w:r w:rsidR="00F32B28">
        <w:rPr>
          <w:rtl/>
        </w:rPr>
        <w:t xml:space="preserve"> </w:t>
      </w:r>
      <w:r w:rsidR="00F32B28" w:rsidRPr="00F32B28">
        <w:rPr>
          <w:rtl/>
        </w:rPr>
        <w:t>مقاعدها</w:t>
      </w:r>
      <w:r w:rsidR="00F32B28">
        <w:rPr>
          <w:rtl/>
        </w:rPr>
        <w:t xml:space="preserve"> </w:t>
      </w:r>
      <w:r w:rsidR="00F32B28" w:rsidRPr="00F32B28">
        <w:rPr>
          <w:rtl/>
        </w:rPr>
        <w:t>عن</w:t>
      </w:r>
      <w:r w:rsidR="00F32B28">
        <w:rPr>
          <w:rtl/>
        </w:rPr>
        <w:t xml:space="preserve"> </w:t>
      </w:r>
      <w:r w:rsidR="00F32B28" w:rsidRPr="00F32B28">
        <w:rPr>
          <w:rtl/>
        </w:rPr>
        <w:t>ثلاثة</w:t>
      </w:r>
      <w:r w:rsidR="00F32B28">
        <w:rPr>
          <w:rtl/>
        </w:rPr>
        <w:t xml:space="preserve"> </w:t>
      </w:r>
      <w:r w:rsidR="00F32B28" w:rsidRPr="00F32B28">
        <w:rPr>
          <w:rtl/>
        </w:rPr>
        <w:t>عشر</w:t>
      </w:r>
      <w:r w:rsidR="00F32B28">
        <w:rPr>
          <w:rtl/>
        </w:rPr>
        <w:t xml:space="preserve"> </w:t>
      </w:r>
      <w:r w:rsidR="00F32B28" w:rsidRPr="00F32B28">
        <w:rPr>
          <w:rtl/>
        </w:rPr>
        <w:t>مقعداً</w:t>
      </w:r>
      <w:r w:rsidR="00F32B28">
        <w:rPr>
          <w:rtl/>
        </w:rPr>
        <w:t xml:space="preserve"> </w:t>
      </w:r>
      <w:r w:rsidR="00F32B28" w:rsidRPr="00F32B28">
        <w:rPr>
          <w:rtl/>
        </w:rPr>
        <w:t>يخصص</w:t>
      </w:r>
      <w:r w:rsidR="00F32B28">
        <w:rPr>
          <w:rtl/>
        </w:rPr>
        <w:t xml:space="preserve"> </w:t>
      </w:r>
      <w:r w:rsidR="00F32B28" w:rsidRPr="00F32B28">
        <w:rPr>
          <w:rtl/>
        </w:rPr>
        <w:t>مقعد</w:t>
      </w:r>
      <w:r w:rsidR="00F32B28">
        <w:rPr>
          <w:rtl/>
        </w:rPr>
        <w:t xml:space="preserve"> </w:t>
      </w:r>
      <w:r w:rsidR="00F32B28" w:rsidRPr="00F32B28">
        <w:rPr>
          <w:rtl/>
        </w:rPr>
        <w:t>للمرأة</w:t>
      </w:r>
      <w:r w:rsidR="00F32B28">
        <w:rPr>
          <w:rtl/>
        </w:rPr>
        <w:t xml:space="preserve"> </w:t>
      </w:r>
      <w:r w:rsidR="00F32B28" w:rsidRPr="00F32B28">
        <w:rPr>
          <w:rtl/>
        </w:rPr>
        <w:t>من</w:t>
      </w:r>
      <w:r w:rsidR="00F32B28">
        <w:rPr>
          <w:rtl/>
        </w:rPr>
        <w:t xml:space="preserve"> </w:t>
      </w:r>
      <w:r w:rsidR="00F32B28" w:rsidRPr="00F32B28">
        <w:rPr>
          <w:rtl/>
        </w:rPr>
        <w:t>بين</w:t>
      </w:r>
      <w:r w:rsidR="00F32B28">
        <w:rPr>
          <w:rtl/>
        </w:rPr>
        <w:t xml:space="preserve"> </w:t>
      </w:r>
      <w:r w:rsidR="00F32B28" w:rsidRPr="00F32B28">
        <w:rPr>
          <w:rtl/>
        </w:rPr>
        <w:t>الأسماء</w:t>
      </w:r>
      <w:r w:rsidR="00F32B28">
        <w:rPr>
          <w:rtl/>
        </w:rPr>
        <w:t xml:space="preserve"> </w:t>
      </w:r>
      <w:r w:rsidR="00F32B28" w:rsidRPr="00F32B28">
        <w:rPr>
          <w:rtl/>
        </w:rPr>
        <w:t>الخمسة</w:t>
      </w:r>
      <w:r w:rsidR="00F32B28">
        <w:rPr>
          <w:rtl/>
        </w:rPr>
        <w:t xml:space="preserve"> </w:t>
      </w:r>
      <w:r w:rsidR="00F32B28" w:rsidRPr="00F32B28">
        <w:rPr>
          <w:rtl/>
        </w:rPr>
        <w:t>التي</w:t>
      </w:r>
      <w:r w:rsidR="00F32B28">
        <w:rPr>
          <w:rtl/>
        </w:rPr>
        <w:t xml:space="preserve"> </w:t>
      </w:r>
      <w:r w:rsidR="00F32B28" w:rsidRPr="00F32B28">
        <w:rPr>
          <w:rtl/>
        </w:rPr>
        <w:t>تلي</w:t>
      </w:r>
      <w:r>
        <w:rPr>
          <w:rFonts w:hint="cs"/>
          <w:rtl/>
        </w:rPr>
        <w:t xml:space="preserve"> </w:t>
      </w:r>
      <w:r w:rsidR="00F32B28" w:rsidRPr="00F32B28">
        <w:rPr>
          <w:rtl/>
        </w:rPr>
        <w:t>بند</w:t>
      </w:r>
      <w:r w:rsidR="00F32B28">
        <w:rPr>
          <w:rtl/>
        </w:rPr>
        <w:t xml:space="preserve"> </w:t>
      </w:r>
      <w:r w:rsidR="00F32B28" w:rsidRPr="00F32B28">
        <w:rPr>
          <w:rtl/>
        </w:rPr>
        <w:t>(ب)</w:t>
      </w:r>
      <w:r w:rsidR="00F32B28">
        <w:rPr>
          <w:rtl/>
        </w:rPr>
        <w:t xml:space="preserve"> </w:t>
      </w:r>
      <w:r w:rsidR="00F32B28" w:rsidRPr="00F32B28">
        <w:rPr>
          <w:rtl/>
        </w:rPr>
        <w:t>أعلاه.</w:t>
      </w:r>
    </w:p>
    <w:p w:rsidR="00F32B28" w:rsidRPr="00F32B28" w:rsidRDefault="00FD6731" w:rsidP="00FD6731">
      <w:pPr>
        <w:pStyle w:val="SingleTxt"/>
        <w:ind w:left="2592" w:hanging="1328"/>
        <w:rPr>
          <w:i/>
          <w:iCs/>
          <w:rtl/>
        </w:rPr>
      </w:pPr>
      <w:r w:rsidRPr="00FD6731">
        <w:rPr>
          <w:rFonts w:hint="cs"/>
          <w:rtl/>
        </w:rPr>
        <w:tab/>
      </w:r>
      <w:r w:rsidR="00F32B28" w:rsidRPr="00FD6731">
        <w:rPr>
          <w:rtl/>
        </w:rPr>
        <w:t>3</w:t>
      </w:r>
      <w:r w:rsidRPr="00FD6731">
        <w:rPr>
          <w:rFonts w:hint="cs"/>
          <w:rtl/>
        </w:rPr>
        <w:t xml:space="preserve"> </w:t>
      </w:r>
      <w:r w:rsidR="00F32B28" w:rsidRPr="00FD6731">
        <w:rPr>
          <w:rtl/>
        </w:rPr>
        <w:t>-</w:t>
      </w:r>
      <w:r w:rsidRPr="00FD6731">
        <w:rPr>
          <w:rFonts w:hint="cs"/>
          <w:rtl/>
        </w:rPr>
        <w:tab/>
      </w:r>
      <w:r w:rsidR="00F32B28" w:rsidRPr="00F32B28">
        <w:rPr>
          <w:i/>
          <w:iCs/>
          <w:rtl/>
        </w:rPr>
        <w:t>يستثنى</w:t>
      </w:r>
      <w:r w:rsidR="00F32B28">
        <w:rPr>
          <w:i/>
          <w:iCs/>
          <w:rtl/>
        </w:rPr>
        <w:t xml:space="preserve"> </w:t>
      </w:r>
      <w:r w:rsidR="00F32B28" w:rsidRPr="00F32B28">
        <w:rPr>
          <w:i/>
          <w:iCs/>
          <w:rtl/>
        </w:rPr>
        <w:t>من</w:t>
      </w:r>
      <w:r w:rsidR="00F32B28">
        <w:rPr>
          <w:i/>
          <w:iCs/>
          <w:rtl/>
        </w:rPr>
        <w:t xml:space="preserve"> </w:t>
      </w:r>
      <w:r w:rsidR="00F32B28" w:rsidRPr="00F32B28">
        <w:rPr>
          <w:i/>
          <w:iCs/>
          <w:rtl/>
        </w:rPr>
        <w:t>أحكام</w:t>
      </w:r>
      <w:r w:rsidR="00F32B28">
        <w:rPr>
          <w:i/>
          <w:iCs/>
          <w:rtl/>
        </w:rPr>
        <w:t xml:space="preserve"> </w:t>
      </w:r>
      <w:r w:rsidR="00F32B28" w:rsidRPr="00F32B28">
        <w:rPr>
          <w:i/>
          <w:iCs/>
          <w:rtl/>
        </w:rPr>
        <w:t>البند</w:t>
      </w:r>
      <w:r w:rsidR="00F32B28">
        <w:rPr>
          <w:i/>
          <w:iCs/>
          <w:rtl/>
        </w:rPr>
        <w:t xml:space="preserve"> </w:t>
      </w:r>
      <w:r w:rsidR="00F32B28" w:rsidRPr="00F32B28">
        <w:rPr>
          <w:i/>
          <w:iCs/>
          <w:rtl/>
        </w:rPr>
        <w:t>(1)</w:t>
      </w:r>
      <w:r w:rsidR="00F32B28">
        <w:rPr>
          <w:i/>
          <w:iCs/>
          <w:rtl/>
        </w:rPr>
        <w:t xml:space="preserve"> </w:t>
      </w:r>
      <w:r w:rsidR="00F32B28" w:rsidRPr="00F32B28">
        <w:rPr>
          <w:i/>
          <w:iCs/>
          <w:rtl/>
        </w:rPr>
        <w:t>أعلاه</w:t>
      </w:r>
      <w:r w:rsidR="00F32B28">
        <w:rPr>
          <w:i/>
          <w:iCs/>
          <w:rtl/>
        </w:rPr>
        <w:t xml:space="preserve"> </w:t>
      </w:r>
      <w:r w:rsidR="00F32B28" w:rsidRPr="00F32B28">
        <w:rPr>
          <w:i/>
          <w:iCs/>
          <w:rtl/>
        </w:rPr>
        <w:t>الهيئات</w:t>
      </w:r>
      <w:r w:rsidR="00F32B28">
        <w:rPr>
          <w:i/>
          <w:iCs/>
          <w:rtl/>
        </w:rPr>
        <w:t xml:space="preserve"> </w:t>
      </w:r>
      <w:r w:rsidR="00F32B28" w:rsidRPr="00F32B28">
        <w:rPr>
          <w:i/>
          <w:iCs/>
          <w:rtl/>
        </w:rPr>
        <w:t>المحلية</w:t>
      </w:r>
      <w:r w:rsidR="00F32B28">
        <w:rPr>
          <w:i/>
          <w:iCs/>
          <w:rtl/>
        </w:rPr>
        <w:t xml:space="preserve"> </w:t>
      </w:r>
      <w:r w:rsidR="00F32B28" w:rsidRPr="00F32B28">
        <w:rPr>
          <w:i/>
          <w:iCs/>
          <w:rtl/>
        </w:rPr>
        <w:t>التي</w:t>
      </w:r>
      <w:r w:rsidR="00F32B28">
        <w:rPr>
          <w:i/>
          <w:iCs/>
          <w:rtl/>
        </w:rPr>
        <w:t xml:space="preserve"> </w:t>
      </w:r>
      <w:r w:rsidR="00F32B28" w:rsidRPr="00F32B28">
        <w:rPr>
          <w:i/>
          <w:iCs/>
          <w:rtl/>
        </w:rPr>
        <w:t>يقل</w:t>
      </w:r>
      <w:r w:rsidR="00F32B28">
        <w:rPr>
          <w:i/>
          <w:iCs/>
          <w:rtl/>
        </w:rPr>
        <w:t xml:space="preserve"> </w:t>
      </w:r>
      <w:r w:rsidR="00F32B28" w:rsidRPr="00F32B28">
        <w:rPr>
          <w:i/>
          <w:iCs/>
          <w:rtl/>
        </w:rPr>
        <w:t>عدد</w:t>
      </w:r>
      <w:r w:rsidR="00F32B28">
        <w:rPr>
          <w:i/>
          <w:iCs/>
          <w:rtl/>
        </w:rPr>
        <w:t xml:space="preserve"> </w:t>
      </w:r>
      <w:r w:rsidR="00F32B28" w:rsidRPr="00F32B28">
        <w:rPr>
          <w:i/>
          <w:iCs/>
          <w:rtl/>
        </w:rPr>
        <w:t>الناخبين</w:t>
      </w:r>
      <w:r w:rsidR="00F32B28">
        <w:rPr>
          <w:i/>
          <w:iCs/>
          <w:rtl/>
        </w:rPr>
        <w:t xml:space="preserve"> </w:t>
      </w:r>
      <w:r w:rsidR="00F32B28" w:rsidRPr="00F32B28">
        <w:rPr>
          <w:i/>
          <w:iCs/>
          <w:rtl/>
        </w:rPr>
        <w:t>فيها</w:t>
      </w:r>
      <w:r w:rsidR="00F32B28">
        <w:rPr>
          <w:i/>
          <w:iCs/>
          <w:rtl/>
        </w:rPr>
        <w:t xml:space="preserve"> </w:t>
      </w:r>
      <w:r w:rsidR="00F32B28" w:rsidRPr="00F32B28">
        <w:rPr>
          <w:i/>
          <w:iCs/>
          <w:rtl/>
        </w:rPr>
        <w:t>وفقاً</w:t>
      </w:r>
      <w:r w:rsidR="00F32B28">
        <w:rPr>
          <w:i/>
          <w:iCs/>
          <w:rtl/>
        </w:rPr>
        <w:t xml:space="preserve"> </w:t>
      </w:r>
      <w:r w:rsidR="00F32B28" w:rsidRPr="00F32B28">
        <w:rPr>
          <w:i/>
          <w:iCs/>
          <w:rtl/>
        </w:rPr>
        <w:t>للجدول</w:t>
      </w:r>
      <w:r w:rsidR="00F32B28">
        <w:rPr>
          <w:i/>
          <w:iCs/>
          <w:rtl/>
        </w:rPr>
        <w:t xml:space="preserve"> </w:t>
      </w:r>
      <w:r w:rsidR="00F32B28" w:rsidRPr="00F32B28">
        <w:rPr>
          <w:i/>
          <w:iCs/>
          <w:rtl/>
        </w:rPr>
        <w:t>النهائي</w:t>
      </w:r>
      <w:r w:rsidR="00F32B28">
        <w:rPr>
          <w:i/>
          <w:iCs/>
          <w:rtl/>
        </w:rPr>
        <w:t xml:space="preserve"> </w:t>
      </w:r>
      <w:r w:rsidR="00F32B28" w:rsidRPr="00F32B28">
        <w:rPr>
          <w:i/>
          <w:iCs/>
          <w:rtl/>
        </w:rPr>
        <w:t>للناخبين</w:t>
      </w:r>
      <w:r w:rsidR="00F32B28">
        <w:rPr>
          <w:i/>
          <w:iCs/>
          <w:rtl/>
        </w:rPr>
        <w:t xml:space="preserve"> </w:t>
      </w:r>
      <w:r w:rsidR="00F32B28" w:rsidRPr="00F32B28">
        <w:rPr>
          <w:i/>
          <w:iCs/>
          <w:rtl/>
        </w:rPr>
        <w:t>عن</w:t>
      </w:r>
      <w:r>
        <w:rPr>
          <w:rFonts w:hint="cs"/>
          <w:i/>
          <w:iCs/>
          <w:rtl/>
        </w:rPr>
        <w:t xml:space="preserve"> </w:t>
      </w:r>
      <w:r w:rsidR="00F32B28" w:rsidRPr="00F32B28">
        <w:rPr>
          <w:i/>
          <w:iCs/>
          <w:rtl/>
        </w:rPr>
        <w:t>ألف</w:t>
      </w:r>
      <w:r w:rsidR="00F32B28">
        <w:rPr>
          <w:i/>
          <w:iCs/>
          <w:rtl/>
        </w:rPr>
        <w:t xml:space="preserve"> </w:t>
      </w:r>
      <w:r w:rsidR="00F32B28" w:rsidRPr="00F32B28">
        <w:rPr>
          <w:i/>
          <w:iCs/>
          <w:rtl/>
        </w:rPr>
        <w:t>ناخب،</w:t>
      </w:r>
      <w:r w:rsidR="00F32B28">
        <w:rPr>
          <w:i/>
          <w:iCs/>
          <w:rtl/>
        </w:rPr>
        <w:t xml:space="preserve"> </w:t>
      </w:r>
      <w:r w:rsidR="00F32B28" w:rsidRPr="00F32B28">
        <w:rPr>
          <w:i/>
          <w:iCs/>
          <w:rtl/>
        </w:rPr>
        <w:t>وفي</w:t>
      </w:r>
      <w:r w:rsidR="00F32B28">
        <w:rPr>
          <w:i/>
          <w:iCs/>
          <w:rtl/>
        </w:rPr>
        <w:t xml:space="preserve"> </w:t>
      </w:r>
      <w:r w:rsidR="00F32B28" w:rsidRPr="00F32B28">
        <w:rPr>
          <w:i/>
          <w:iCs/>
          <w:rtl/>
        </w:rPr>
        <w:t>هذا</w:t>
      </w:r>
      <w:r w:rsidR="00F32B28">
        <w:rPr>
          <w:i/>
          <w:iCs/>
          <w:rtl/>
        </w:rPr>
        <w:t xml:space="preserve"> </w:t>
      </w:r>
      <w:r w:rsidR="00F32B28" w:rsidRPr="00F32B28">
        <w:rPr>
          <w:i/>
          <w:iCs/>
          <w:rtl/>
        </w:rPr>
        <w:t>الحال</w:t>
      </w:r>
      <w:r w:rsidR="00F32B28">
        <w:rPr>
          <w:i/>
          <w:iCs/>
          <w:rtl/>
        </w:rPr>
        <w:t xml:space="preserve"> </w:t>
      </w:r>
      <w:r w:rsidR="00F32B28" w:rsidRPr="00F32B28">
        <w:rPr>
          <w:i/>
          <w:iCs/>
          <w:rtl/>
        </w:rPr>
        <w:t>تترك</w:t>
      </w:r>
      <w:r w:rsidR="00F32B28">
        <w:rPr>
          <w:i/>
          <w:iCs/>
          <w:rtl/>
        </w:rPr>
        <w:t xml:space="preserve"> </w:t>
      </w:r>
      <w:r w:rsidR="00F32B28" w:rsidRPr="00F32B28">
        <w:rPr>
          <w:i/>
          <w:iCs/>
          <w:rtl/>
        </w:rPr>
        <w:t>للقوائم</w:t>
      </w:r>
      <w:r w:rsidR="00F32B28">
        <w:rPr>
          <w:i/>
          <w:iCs/>
          <w:rtl/>
        </w:rPr>
        <w:t xml:space="preserve"> </w:t>
      </w:r>
      <w:r w:rsidR="00F32B28" w:rsidRPr="00F32B28">
        <w:rPr>
          <w:i/>
          <w:iCs/>
          <w:rtl/>
        </w:rPr>
        <w:t>الانتخابية</w:t>
      </w:r>
      <w:r w:rsidR="00F32B28">
        <w:rPr>
          <w:i/>
          <w:iCs/>
          <w:rtl/>
        </w:rPr>
        <w:t xml:space="preserve"> </w:t>
      </w:r>
      <w:r w:rsidR="00F32B28" w:rsidRPr="00F32B28">
        <w:rPr>
          <w:i/>
          <w:iCs/>
          <w:rtl/>
        </w:rPr>
        <w:t>حرية</w:t>
      </w:r>
      <w:r w:rsidR="00F32B28">
        <w:rPr>
          <w:i/>
          <w:iCs/>
          <w:rtl/>
        </w:rPr>
        <w:t xml:space="preserve"> </w:t>
      </w:r>
      <w:r w:rsidR="00F32B28" w:rsidRPr="00F32B28">
        <w:rPr>
          <w:i/>
          <w:iCs/>
          <w:rtl/>
        </w:rPr>
        <w:t>اختيار</w:t>
      </w:r>
      <w:r w:rsidR="00F32B28">
        <w:rPr>
          <w:i/>
          <w:iCs/>
          <w:rtl/>
        </w:rPr>
        <w:t xml:space="preserve"> </w:t>
      </w:r>
      <w:r w:rsidR="00F32B28" w:rsidRPr="00F32B28">
        <w:rPr>
          <w:i/>
          <w:iCs/>
          <w:rtl/>
        </w:rPr>
        <w:t>الأماكن</w:t>
      </w:r>
      <w:r w:rsidR="00F32B28">
        <w:rPr>
          <w:i/>
          <w:iCs/>
          <w:rtl/>
        </w:rPr>
        <w:t xml:space="preserve"> </w:t>
      </w:r>
      <w:r w:rsidR="00F32B28" w:rsidRPr="00F32B28">
        <w:rPr>
          <w:i/>
          <w:iCs/>
          <w:rtl/>
        </w:rPr>
        <w:t>المخصصة</w:t>
      </w:r>
      <w:r w:rsidR="00F32B28">
        <w:rPr>
          <w:i/>
          <w:iCs/>
          <w:rtl/>
        </w:rPr>
        <w:t xml:space="preserve"> </w:t>
      </w:r>
      <w:r w:rsidR="00F32B28" w:rsidRPr="00F32B28">
        <w:rPr>
          <w:i/>
          <w:iCs/>
          <w:rtl/>
        </w:rPr>
        <w:t>للمرأة</w:t>
      </w:r>
      <w:r w:rsidR="00F32B28">
        <w:rPr>
          <w:i/>
          <w:iCs/>
          <w:rtl/>
        </w:rPr>
        <w:t xml:space="preserve"> </w:t>
      </w:r>
      <w:r w:rsidR="00F32B28" w:rsidRPr="00F32B28">
        <w:rPr>
          <w:i/>
          <w:iCs/>
          <w:rtl/>
        </w:rPr>
        <w:t>من</w:t>
      </w:r>
      <w:r w:rsidR="00F32B28">
        <w:rPr>
          <w:i/>
          <w:iCs/>
          <w:rtl/>
        </w:rPr>
        <w:t xml:space="preserve"> </w:t>
      </w:r>
      <w:r w:rsidR="00F32B28" w:rsidRPr="00F32B28">
        <w:rPr>
          <w:i/>
          <w:iCs/>
          <w:rtl/>
        </w:rPr>
        <w:t>بين</w:t>
      </w:r>
      <w:r w:rsidR="00F32B28">
        <w:rPr>
          <w:i/>
          <w:iCs/>
          <w:rtl/>
        </w:rPr>
        <w:t xml:space="preserve"> </w:t>
      </w:r>
      <w:r w:rsidR="00F32B28" w:rsidRPr="00F32B28">
        <w:rPr>
          <w:i/>
          <w:iCs/>
          <w:rtl/>
        </w:rPr>
        <w:t>مرشحيها.</w:t>
      </w:r>
    </w:p>
    <w:p w:rsidR="00F32B28" w:rsidRPr="00F32B28" w:rsidRDefault="00FD6731" w:rsidP="00FD6731">
      <w:pPr>
        <w:pStyle w:val="SingleTxt"/>
        <w:ind w:left="2592" w:hanging="1328"/>
        <w:rPr>
          <w:i/>
          <w:iCs/>
        </w:rPr>
      </w:pPr>
      <w:r w:rsidRPr="00FD6731">
        <w:rPr>
          <w:rFonts w:hint="cs"/>
          <w:rtl/>
        </w:rPr>
        <w:lastRenderedPageBreak/>
        <w:tab/>
      </w:r>
      <w:r w:rsidR="00F32B28" w:rsidRPr="00FD6731">
        <w:rPr>
          <w:rtl/>
        </w:rPr>
        <w:t>4</w:t>
      </w:r>
      <w:r w:rsidRPr="00FD6731">
        <w:rPr>
          <w:rFonts w:hint="cs"/>
          <w:rtl/>
        </w:rPr>
        <w:t xml:space="preserve"> </w:t>
      </w:r>
      <w:r w:rsidR="00F32B28" w:rsidRPr="00FD6731">
        <w:rPr>
          <w:rtl/>
        </w:rPr>
        <w:t>-</w:t>
      </w:r>
      <w:r w:rsidRPr="00FD6731">
        <w:rPr>
          <w:rFonts w:hint="cs"/>
          <w:rtl/>
        </w:rPr>
        <w:tab/>
      </w:r>
      <w:r w:rsidR="00F32B28" w:rsidRPr="00F32B28">
        <w:rPr>
          <w:i/>
          <w:iCs/>
          <w:rtl/>
        </w:rPr>
        <w:t>إذا</w:t>
      </w:r>
      <w:r w:rsidR="00F32B28">
        <w:rPr>
          <w:i/>
          <w:iCs/>
          <w:rtl/>
        </w:rPr>
        <w:t xml:space="preserve"> </w:t>
      </w:r>
      <w:r w:rsidR="00F32B28" w:rsidRPr="00F32B28">
        <w:rPr>
          <w:i/>
          <w:iCs/>
          <w:rtl/>
        </w:rPr>
        <w:t>شغر</w:t>
      </w:r>
      <w:r w:rsidR="00F32B28">
        <w:rPr>
          <w:i/>
          <w:iCs/>
          <w:rtl/>
        </w:rPr>
        <w:t xml:space="preserve"> </w:t>
      </w:r>
      <w:r w:rsidR="00F32B28" w:rsidRPr="00F32B28">
        <w:rPr>
          <w:i/>
          <w:iCs/>
          <w:rtl/>
        </w:rPr>
        <w:t>مقعد</w:t>
      </w:r>
      <w:r w:rsidR="00F32B28">
        <w:rPr>
          <w:i/>
          <w:iCs/>
          <w:rtl/>
        </w:rPr>
        <w:t xml:space="preserve"> </w:t>
      </w:r>
      <w:r w:rsidR="00F32B28" w:rsidRPr="00F32B28">
        <w:rPr>
          <w:i/>
          <w:iCs/>
          <w:rtl/>
        </w:rPr>
        <w:t>للمرأة</w:t>
      </w:r>
      <w:r w:rsidR="00F32B28">
        <w:rPr>
          <w:i/>
          <w:iCs/>
          <w:rtl/>
        </w:rPr>
        <w:t xml:space="preserve"> </w:t>
      </w:r>
      <w:r w:rsidR="00F32B28" w:rsidRPr="00F32B28">
        <w:rPr>
          <w:i/>
          <w:iCs/>
          <w:rtl/>
        </w:rPr>
        <w:t>في</w:t>
      </w:r>
      <w:r w:rsidR="00F32B28">
        <w:rPr>
          <w:i/>
          <w:iCs/>
          <w:rtl/>
        </w:rPr>
        <w:t xml:space="preserve"> </w:t>
      </w:r>
      <w:r w:rsidR="00F32B28" w:rsidRPr="00F32B28">
        <w:rPr>
          <w:i/>
          <w:iCs/>
          <w:rtl/>
        </w:rPr>
        <w:t>مجلس</w:t>
      </w:r>
      <w:r w:rsidR="00F32B28">
        <w:rPr>
          <w:i/>
          <w:iCs/>
          <w:rtl/>
        </w:rPr>
        <w:t xml:space="preserve"> </w:t>
      </w:r>
      <w:r w:rsidR="00F32B28" w:rsidRPr="00F32B28">
        <w:rPr>
          <w:i/>
          <w:iCs/>
          <w:rtl/>
        </w:rPr>
        <w:t>الهيئة</w:t>
      </w:r>
      <w:r w:rsidR="00F32B28">
        <w:rPr>
          <w:i/>
          <w:iCs/>
          <w:rtl/>
        </w:rPr>
        <w:t xml:space="preserve"> </w:t>
      </w:r>
      <w:r w:rsidR="00F32B28" w:rsidRPr="00F32B28">
        <w:rPr>
          <w:i/>
          <w:iCs/>
          <w:rtl/>
        </w:rPr>
        <w:t>المحلية،</w:t>
      </w:r>
      <w:r w:rsidR="00F32B28">
        <w:rPr>
          <w:i/>
          <w:iCs/>
          <w:rtl/>
        </w:rPr>
        <w:t xml:space="preserve"> </w:t>
      </w:r>
      <w:r w:rsidR="00F32B28" w:rsidRPr="00F32B28">
        <w:rPr>
          <w:i/>
          <w:iCs/>
          <w:rtl/>
        </w:rPr>
        <w:t>تحل</w:t>
      </w:r>
      <w:r w:rsidR="00F32B28">
        <w:rPr>
          <w:i/>
          <w:iCs/>
          <w:rtl/>
        </w:rPr>
        <w:t xml:space="preserve"> </w:t>
      </w:r>
      <w:r w:rsidR="00F32B28" w:rsidRPr="00F32B28">
        <w:rPr>
          <w:i/>
          <w:iCs/>
          <w:rtl/>
        </w:rPr>
        <w:t>مكانها</w:t>
      </w:r>
      <w:r w:rsidR="00F32B28">
        <w:rPr>
          <w:i/>
          <w:iCs/>
          <w:rtl/>
        </w:rPr>
        <w:t xml:space="preserve"> </w:t>
      </w:r>
      <w:r w:rsidR="00F32B28" w:rsidRPr="00F32B28">
        <w:rPr>
          <w:i/>
          <w:iCs/>
          <w:rtl/>
        </w:rPr>
        <w:t>المرأة</w:t>
      </w:r>
      <w:r w:rsidR="00F32B28">
        <w:rPr>
          <w:i/>
          <w:iCs/>
          <w:rtl/>
        </w:rPr>
        <w:t xml:space="preserve"> </w:t>
      </w:r>
      <w:r w:rsidR="00F32B28" w:rsidRPr="00F32B28">
        <w:rPr>
          <w:i/>
          <w:iCs/>
          <w:rtl/>
        </w:rPr>
        <w:t>التي</w:t>
      </w:r>
      <w:r w:rsidR="00F32B28">
        <w:rPr>
          <w:i/>
          <w:iCs/>
          <w:rtl/>
        </w:rPr>
        <w:t xml:space="preserve"> </w:t>
      </w:r>
      <w:r w:rsidR="00F32B28" w:rsidRPr="00F32B28">
        <w:rPr>
          <w:i/>
          <w:iCs/>
          <w:rtl/>
        </w:rPr>
        <w:t>تليها</w:t>
      </w:r>
      <w:r w:rsidR="00F32B28">
        <w:rPr>
          <w:i/>
          <w:iCs/>
          <w:rtl/>
        </w:rPr>
        <w:t xml:space="preserve"> </w:t>
      </w:r>
      <w:r w:rsidR="00F32B28" w:rsidRPr="00F32B28">
        <w:rPr>
          <w:i/>
          <w:iCs/>
          <w:rtl/>
        </w:rPr>
        <w:t>في</w:t>
      </w:r>
      <w:r w:rsidR="00F32B28">
        <w:rPr>
          <w:i/>
          <w:iCs/>
          <w:rtl/>
        </w:rPr>
        <w:t xml:space="preserve"> </w:t>
      </w:r>
      <w:r w:rsidR="00F32B28" w:rsidRPr="00F32B28">
        <w:rPr>
          <w:i/>
          <w:iCs/>
          <w:rtl/>
        </w:rPr>
        <w:t>تسلسل</w:t>
      </w:r>
      <w:r w:rsidR="00F32B28">
        <w:rPr>
          <w:i/>
          <w:iCs/>
          <w:rtl/>
        </w:rPr>
        <w:t xml:space="preserve"> </w:t>
      </w:r>
      <w:r w:rsidR="00F32B28" w:rsidRPr="00F32B28">
        <w:rPr>
          <w:i/>
          <w:iCs/>
          <w:rtl/>
        </w:rPr>
        <w:t>المقاعد</w:t>
      </w:r>
      <w:r w:rsidR="00F32B28">
        <w:rPr>
          <w:i/>
          <w:iCs/>
          <w:rtl/>
        </w:rPr>
        <w:t xml:space="preserve"> </w:t>
      </w:r>
      <w:r w:rsidR="00F32B28" w:rsidRPr="00F32B28">
        <w:rPr>
          <w:i/>
          <w:iCs/>
          <w:rtl/>
        </w:rPr>
        <w:t>المخصصة</w:t>
      </w:r>
      <w:r w:rsidR="00F32B28">
        <w:rPr>
          <w:i/>
          <w:iCs/>
          <w:rtl/>
        </w:rPr>
        <w:t xml:space="preserve"> </w:t>
      </w:r>
      <w:r w:rsidR="00F32B28" w:rsidRPr="00F32B28">
        <w:rPr>
          <w:i/>
          <w:iCs/>
          <w:rtl/>
        </w:rPr>
        <w:t>للمرأة</w:t>
      </w:r>
      <w:r w:rsidR="00F32B28">
        <w:rPr>
          <w:i/>
          <w:iCs/>
          <w:rtl/>
        </w:rPr>
        <w:t xml:space="preserve"> </w:t>
      </w:r>
      <w:r w:rsidR="00F32B28" w:rsidRPr="00F32B28">
        <w:rPr>
          <w:i/>
          <w:iCs/>
          <w:rtl/>
        </w:rPr>
        <w:t>في</w:t>
      </w:r>
      <w:r w:rsidR="00F32B28">
        <w:rPr>
          <w:i/>
          <w:iCs/>
          <w:rtl/>
        </w:rPr>
        <w:t xml:space="preserve"> </w:t>
      </w:r>
      <w:r w:rsidR="00F32B28" w:rsidRPr="00F32B28">
        <w:rPr>
          <w:i/>
          <w:iCs/>
          <w:rtl/>
        </w:rPr>
        <w:t>نفس</w:t>
      </w:r>
      <w:r w:rsidR="00F32B28">
        <w:rPr>
          <w:i/>
          <w:iCs/>
          <w:rtl/>
        </w:rPr>
        <w:t xml:space="preserve"> </w:t>
      </w:r>
      <w:r w:rsidR="00F32B28" w:rsidRPr="00F32B28">
        <w:rPr>
          <w:i/>
          <w:iCs/>
          <w:rtl/>
        </w:rPr>
        <w:t>القائمة</w:t>
      </w:r>
      <w:r w:rsidR="00F32B28">
        <w:rPr>
          <w:i/>
          <w:iCs/>
          <w:rtl/>
        </w:rPr>
        <w:t xml:space="preserve"> </w:t>
      </w:r>
      <w:r w:rsidR="00F32B28" w:rsidRPr="00F32B28">
        <w:rPr>
          <w:i/>
          <w:iCs/>
          <w:rtl/>
        </w:rPr>
        <w:t>التي</w:t>
      </w:r>
      <w:r w:rsidR="00F32B28">
        <w:rPr>
          <w:i/>
          <w:iCs/>
          <w:rtl/>
        </w:rPr>
        <w:t xml:space="preserve"> </w:t>
      </w:r>
      <w:r w:rsidR="00F32B28" w:rsidRPr="00F32B28">
        <w:rPr>
          <w:i/>
          <w:iCs/>
          <w:rtl/>
        </w:rPr>
        <w:t>تنتمي</w:t>
      </w:r>
      <w:r w:rsidR="00F32B28">
        <w:rPr>
          <w:i/>
          <w:iCs/>
          <w:rtl/>
        </w:rPr>
        <w:t xml:space="preserve"> </w:t>
      </w:r>
      <w:r w:rsidR="00F32B28" w:rsidRPr="00F32B28">
        <w:rPr>
          <w:i/>
          <w:iCs/>
          <w:rtl/>
        </w:rPr>
        <w:t>إليها</w:t>
      </w:r>
      <w:r w:rsidR="001D253C">
        <w:rPr>
          <w:rFonts w:hint="cs"/>
          <w:rtl/>
        </w:rPr>
        <w:t>“</w:t>
      </w:r>
      <w:r w:rsidR="00F32B28" w:rsidRPr="00F32B28">
        <w:rPr>
          <w:i/>
          <w:iCs/>
          <w:rtl/>
        </w:rPr>
        <w:t>.</w:t>
      </w:r>
    </w:p>
    <w:p w:rsidR="00F32B28" w:rsidRPr="00F32B28" w:rsidRDefault="00FD6731" w:rsidP="00FD6731">
      <w:pPr>
        <w:pStyle w:val="SingleTxt"/>
      </w:pPr>
      <w:r>
        <w:rPr>
          <w:rFonts w:hint="cs"/>
          <w:rtl/>
        </w:rPr>
        <w:t>71 -</w:t>
      </w:r>
      <w:r>
        <w:rPr>
          <w:rFonts w:hint="cs"/>
          <w:rtl/>
        </w:rPr>
        <w:tab/>
      </w:r>
      <w:r w:rsidR="00F32B28" w:rsidRPr="00F32B28">
        <w:rPr>
          <w:rtl/>
        </w:rPr>
        <w:t>وفي</w:t>
      </w:r>
      <w:r w:rsidR="00F32B28">
        <w:rPr>
          <w:rtl/>
        </w:rPr>
        <w:t xml:space="preserve"> </w:t>
      </w:r>
      <w:r w:rsidR="00F32B28" w:rsidRPr="00F32B28">
        <w:rPr>
          <w:rtl/>
        </w:rPr>
        <w:t>عام</w:t>
      </w:r>
      <w:r w:rsidR="00F32B28">
        <w:rPr>
          <w:rtl/>
        </w:rPr>
        <w:t xml:space="preserve"> </w:t>
      </w:r>
      <w:r w:rsidR="00F32B28" w:rsidRPr="00F32B28">
        <w:rPr>
          <w:rtl/>
        </w:rPr>
        <w:t>2010،</w:t>
      </w:r>
      <w:r w:rsidR="00F32B28">
        <w:rPr>
          <w:rtl/>
        </w:rPr>
        <w:t xml:space="preserve"> </w:t>
      </w:r>
      <w:r w:rsidR="00F32B28" w:rsidRPr="00F32B28">
        <w:rPr>
          <w:rtl/>
        </w:rPr>
        <w:t>وقعت</w:t>
      </w:r>
      <w:r w:rsidR="00F32B28">
        <w:rPr>
          <w:rtl/>
        </w:rPr>
        <w:t xml:space="preserve"> </w:t>
      </w:r>
      <w:r w:rsidR="00F32B28" w:rsidRPr="00F32B28">
        <w:rPr>
          <w:rtl/>
        </w:rPr>
        <w:t>معظم</w:t>
      </w:r>
      <w:r w:rsidR="00F32B28">
        <w:rPr>
          <w:rtl/>
        </w:rPr>
        <w:t xml:space="preserve"> </w:t>
      </w:r>
      <w:r w:rsidR="00F32B28" w:rsidRPr="00F32B28">
        <w:rPr>
          <w:rtl/>
        </w:rPr>
        <w:t>الأحزاب</w:t>
      </w:r>
      <w:r w:rsidR="00F32B28">
        <w:rPr>
          <w:rtl/>
        </w:rPr>
        <w:t xml:space="preserve"> </w:t>
      </w:r>
      <w:r w:rsidR="00F32B28" w:rsidRPr="00F32B28">
        <w:rPr>
          <w:rtl/>
        </w:rPr>
        <w:t>السياسية</w:t>
      </w:r>
      <w:r w:rsidR="00F32B28">
        <w:rPr>
          <w:rtl/>
        </w:rPr>
        <w:t xml:space="preserve"> </w:t>
      </w:r>
      <w:r w:rsidR="00F32B28" w:rsidRPr="00F32B28">
        <w:rPr>
          <w:rtl/>
        </w:rPr>
        <w:t>على</w:t>
      </w:r>
      <w:r w:rsidR="00F32B28">
        <w:rPr>
          <w:rtl/>
        </w:rPr>
        <w:t xml:space="preserve"> </w:t>
      </w:r>
      <w:r w:rsidR="00F32B28" w:rsidRPr="00F32B28">
        <w:rPr>
          <w:rtl/>
        </w:rPr>
        <w:t>ميثاق</w:t>
      </w:r>
      <w:r w:rsidR="00F32B28">
        <w:rPr>
          <w:rtl/>
        </w:rPr>
        <w:t xml:space="preserve"> </w:t>
      </w:r>
      <w:r w:rsidR="00F32B28" w:rsidRPr="00F32B28">
        <w:rPr>
          <w:rtl/>
        </w:rPr>
        <w:t>تعهد</w:t>
      </w:r>
      <w:r w:rsidR="00F32B28">
        <w:rPr>
          <w:rtl/>
        </w:rPr>
        <w:t xml:space="preserve"> </w:t>
      </w:r>
      <w:r w:rsidR="00F32B28" w:rsidRPr="00F32B28">
        <w:rPr>
          <w:rtl/>
        </w:rPr>
        <w:t>لتعزيز</w:t>
      </w:r>
      <w:r w:rsidR="00F32B28">
        <w:rPr>
          <w:rtl/>
        </w:rPr>
        <w:t xml:space="preserve"> </w:t>
      </w:r>
      <w:r w:rsidR="00F32B28" w:rsidRPr="00F32B28">
        <w:rPr>
          <w:rtl/>
        </w:rPr>
        <w:t>مشاركة</w:t>
      </w:r>
      <w:r w:rsidR="00F32B28">
        <w:rPr>
          <w:rtl/>
        </w:rPr>
        <w:t xml:space="preserve"> </w:t>
      </w:r>
      <w:r w:rsidR="00F32B28" w:rsidRPr="00F32B28">
        <w:rPr>
          <w:rtl/>
        </w:rPr>
        <w:t>المرأة</w:t>
      </w:r>
      <w:r w:rsidR="00F32B28">
        <w:rPr>
          <w:rtl/>
        </w:rPr>
        <w:t xml:space="preserve"> </w:t>
      </w:r>
      <w:r w:rsidR="00F32B28" w:rsidRPr="00F32B28">
        <w:rPr>
          <w:rtl/>
        </w:rPr>
        <w:t>الفلسطينية</w:t>
      </w:r>
      <w:r w:rsidR="00F32B28">
        <w:rPr>
          <w:rtl/>
        </w:rPr>
        <w:t xml:space="preserve"> </w:t>
      </w:r>
      <w:r w:rsidR="00F32B28" w:rsidRPr="00F32B28">
        <w:rPr>
          <w:rtl/>
        </w:rPr>
        <w:t>في</w:t>
      </w:r>
      <w:r w:rsidR="00F32B28">
        <w:rPr>
          <w:rtl/>
        </w:rPr>
        <w:t xml:space="preserve"> </w:t>
      </w:r>
      <w:r w:rsidR="00F32B28" w:rsidRPr="00F32B28">
        <w:rPr>
          <w:rtl/>
        </w:rPr>
        <w:t>صنع</w:t>
      </w:r>
      <w:r w:rsidR="00F32B28">
        <w:rPr>
          <w:rtl/>
        </w:rPr>
        <w:t xml:space="preserve"> </w:t>
      </w:r>
      <w:r w:rsidR="00F32B28" w:rsidRPr="00F32B28">
        <w:rPr>
          <w:rtl/>
        </w:rPr>
        <w:t>القرار</w:t>
      </w:r>
      <w:r w:rsidR="00F32B28">
        <w:rPr>
          <w:rtl/>
        </w:rPr>
        <w:t xml:space="preserve"> </w:t>
      </w:r>
      <w:r w:rsidR="00F32B28" w:rsidRPr="00F32B28">
        <w:rPr>
          <w:rtl/>
        </w:rPr>
        <w:t>السياسي</w:t>
      </w:r>
      <w:r w:rsidR="00F32B28">
        <w:rPr>
          <w:rtl/>
        </w:rPr>
        <w:t xml:space="preserve"> </w:t>
      </w:r>
      <w:r w:rsidR="00F32B28" w:rsidRPr="00F32B28">
        <w:rPr>
          <w:rtl/>
        </w:rPr>
        <w:t>بما</w:t>
      </w:r>
      <w:r w:rsidR="00F32B28">
        <w:rPr>
          <w:rtl/>
        </w:rPr>
        <w:t xml:space="preserve"> </w:t>
      </w:r>
      <w:r w:rsidR="00F32B28" w:rsidRPr="00F32B28">
        <w:rPr>
          <w:rtl/>
        </w:rPr>
        <w:t>لا</w:t>
      </w:r>
      <w:r w:rsidR="00F32B28">
        <w:rPr>
          <w:rtl/>
        </w:rPr>
        <w:t xml:space="preserve"> </w:t>
      </w:r>
      <w:r w:rsidR="00F32B28" w:rsidRPr="00F32B28">
        <w:rPr>
          <w:rtl/>
        </w:rPr>
        <w:t>يقل</w:t>
      </w:r>
      <w:r w:rsidR="00F32B28">
        <w:rPr>
          <w:rtl/>
        </w:rPr>
        <w:t xml:space="preserve"> </w:t>
      </w:r>
      <w:r w:rsidR="00F32B28" w:rsidRPr="00F32B28">
        <w:rPr>
          <w:rtl/>
        </w:rPr>
        <w:t>عن</w:t>
      </w:r>
      <w:r w:rsidR="00F32B28">
        <w:rPr>
          <w:rtl/>
        </w:rPr>
        <w:t xml:space="preserve"> </w:t>
      </w:r>
      <w:r w:rsidR="00F32B28" w:rsidRPr="00F32B28">
        <w:rPr>
          <w:rtl/>
        </w:rPr>
        <w:t>30</w:t>
      </w:r>
      <w:r w:rsidR="00600C43" w:rsidRPr="00600C43">
        <w:rPr>
          <w:rFonts w:hint="cs"/>
          <w:rtl/>
        </w:rPr>
        <w:t xml:space="preserve"> </w:t>
      </w:r>
      <w:r w:rsidR="00600C43">
        <w:rPr>
          <w:rFonts w:hint="cs"/>
          <w:rtl/>
        </w:rPr>
        <w:t>في المائة</w:t>
      </w:r>
      <w:r w:rsidR="00F32B28" w:rsidRPr="00F32B28">
        <w:rPr>
          <w:rtl/>
        </w:rPr>
        <w:t>؛</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زيادة</w:t>
      </w:r>
      <w:r w:rsidR="00F32B28">
        <w:rPr>
          <w:rtl/>
        </w:rPr>
        <w:t xml:space="preserve"> </w:t>
      </w:r>
      <w:r w:rsidR="00F32B28" w:rsidRPr="00F32B28">
        <w:rPr>
          <w:rtl/>
        </w:rPr>
        <w:t>عدد</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مراكز</w:t>
      </w:r>
      <w:r w:rsidR="00F32B28">
        <w:rPr>
          <w:rtl/>
        </w:rPr>
        <w:t xml:space="preserve"> </w:t>
      </w:r>
      <w:r w:rsidR="00F32B28" w:rsidRPr="00F32B28">
        <w:rPr>
          <w:rtl/>
        </w:rPr>
        <w:t>صنع</w:t>
      </w:r>
      <w:r w:rsidR="00F32B28">
        <w:rPr>
          <w:rtl/>
        </w:rPr>
        <w:t xml:space="preserve"> </w:t>
      </w:r>
      <w:r w:rsidR="00F32B28" w:rsidRPr="00F32B28">
        <w:rPr>
          <w:rtl/>
        </w:rPr>
        <w:t>القرار</w:t>
      </w:r>
      <w:r w:rsidR="00F32B28">
        <w:rPr>
          <w:rtl/>
        </w:rPr>
        <w:t xml:space="preserve"> </w:t>
      </w:r>
      <w:r w:rsidR="00F32B28" w:rsidRPr="00F32B28">
        <w:rPr>
          <w:rtl/>
        </w:rPr>
        <w:t>داخل</w:t>
      </w:r>
      <w:r w:rsidR="00F32B28">
        <w:rPr>
          <w:rtl/>
        </w:rPr>
        <w:t xml:space="preserve"> </w:t>
      </w:r>
      <w:r w:rsidR="00F32B28" w:rsidRPr="00F32B28">
        <w:rPr>
          <w:rtl/>
        </w:rPr>
        <w:t>الأحزاب</w:t>
      </w:r>
      <w:r w:rsidR="00F32B28">
        <w:rPr>
          <w:rtl/>
        </w:rPr>
        <w:t xml:space="preserve"> </w:t>
      </w:r>
      <w:r w:rsidR="00F32B28" w:rsidRPr="00F32B28">
        <w:rPr>
          <w:rtl/>
        </w:rPr>
        <w:t>والتنظيمات</w:t>
      </w:r>
      <w:r w:rsidR="00F32B28">
        <w:rPr>
          <w:rtl/>
        </w:rPr>
        <w:t xml:space="preserve"> </w:t>
      </w:r>
      <w:r w:rsidR="00F32B28" w:rsidRPr="00F32B28">
        <w:rPr>
          <w:rtl/>
        </w:rPr>
        <w:t>وفي</w:t>
      </w:r>
      <w:r w:rsidR="00F32B28">
        <w:rPr>
          <w:rtl/>
        </w:rPr>
        <w:t xml:space="preserve"> </w:t>
      </w:r>
      <w:r w:rsidR="00F32B28" w:rsidRPr="00F32B28">
        <w:rPr>
          <w:rtl/>
        </w:rPr>
        <w:t>القوائم</w:t>
      </w:r>
      <w:r w:rsidR="00F32B28">
        <w:rPr>
          <w:rtl/>
        </w:rPr>
        <w:t xml:space="preserve"> </w:t>
      </w:r>
      <w:r w:rsidR="00F32B28" w:rsidRPr="00F32B28">
        <w:rPr>
          <w:rtl/>
        </w:rPr>
        <w:t>الانتخابية</w:t>
      </w:r>
      <w:r w:rsidR="00F32B28">
        <w:rPr>
          <w:rtl/>
        </w:rPr>
        <w:t xml:space="preserve"> </w:t>
      </w:r>
      <w:r w:rsidR="00F32B28" w:rsidRPr="00F32B28">
        <w:rPr>
          <w:rtl/>
        </w:rPr>
        <w:t>للهيئات</w:t>
      </w:r>
      <w:r w:rsidR="00F32B28">
        <w:rPr>
          <w:rtl/>
        </w:rPr>
        <w:t xml:space="preserve"> </w:t>
      </w:r>
      <w:r w:rsidR="00F32B28" w:rsidRPr="00F32B28">
        <w:rPr>
          <w:rtl/>
        </w:rPr>
        <w:t>المحلية</w:t>
      </w:r>
      <w:r w:rsidR="00F32B28">
        <w:rPr>
          <w:rtl/>
        </w:rPr>
        <w:t xml:space="preserve"> </w:t>
      </w:r>
      <w:r w:rsidR="00F32B28" w:rsidRPr="00F32B28">
        <w:rPr>
          <w:rtl/>
        </w:rPr>
        <w:t>والتشريعية،</w:t>
      </w:r>
      <w:r w:rsidR="00F32B28">
        <w:rPr>
          <w:rtl/>
        </w:rPr>
        <w:t xml:space="preserve"> </w:t>
      </w:r>
      <w:r w:rsidR="00F32B28" w:rsidRPr="00F32B28">
        <w:rPr>
          <w:rtl/>
        </w:rPr>
        <w:t>وتقديم</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قوائم</w:t>
      </w:r>
      <w:r w:rsidR="00F32B28">
        <w:rPr>
          <w:rtl/>
        </w:rPr>
        <w:t xml:space="preserve"> </w:t>
      </w:r>
      <w:r w:rsidR="00F32B28" w:rsidRPr="00F32B28">
        <w:rPr>
          <w:rtl/>
        </w:rPr>
        <w:t>هذه</w:t>
      </w:r>
      <w:r w:rsidR="00F32B28">
        <w:rPr>
          <w:rtl/>
        </w:rPr>
        <w:t xml:space="preserve"> </w:t>
      </w:r>
      <w:r w:rsidR="00F32B28" w:rsidRPr="00F32B28">
        <w:rPr>
          <w:rtl/>
        </w:rPr>
        <w:t>الانتخابات</w:t>
      </w:r>
      <w:r w:rsidR="00F32B28">
        <w:rPr>
          <w:rtl/>
        </w:rPr>
        <w:t xml:space="preserve"> </w:t>
      </w:r>
      <w:r w:rsidR="00F32B28" w:rsidRPr="00F32B28">
        <w:rPr>
          <w:rtl/>
        </w:rPr>
        <w:t>لضمان</w:t>
      </w:r>
      <w:r w:rsidR="00F32B28">
        <w:rPr>
          <w:rtl/>
        </w:rPr>
        <w:t xml:space="preserve"> </w:t>
      </w:r>
      <w:r w:rsidR="00F32B28" w:rsidRPr="00F32B28">
        <w:rPr>
          <w:rtl/>
        </w:rPr>
        <w:t>زيادة</w:t>
      </w:r>
      <w:r w:rsidR="00F32B28">
        <w:rPr>
          <w:rtl/>
        </w:rPr>
        <w:t xml:space="preserve"> </w:t>
      </w:r>
      <w:r w:rsidR="00F32B28" w:rsidRPr="00F32B28">
        <w:rPr>
          <w:rtl/>
        </w:rPr>
        <w:t>فرص</w:t>
      </w:r>
      <w:r w:rsidR="00F32B28">
        <w:rPr>
          <w:rtl/>
        </w:rPr>
        <w:t xml:space="preserve"> </w:t>
      </w:r>
      <w:r w:rsidR="00F32B28" w:rsidRPr="00F32B28">
        <w:rPr>
          <w:rtl/>
        </w:rPr>
        <w:t>نجاحهن.</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بعض</w:t>
      </w:r>
      <w:r w:rsidR="00F32B28">
        <w:rPr>
          <w:rtl/>
        </w:rPr>
        <w:t xml:space="preserve"> </w:t>
      </w:r>
      <w:r w:rsidR="00F32B28" w:rsidRPr="00F32B28">
        <w:rPr>
          <w:rtl/>
        </w:rPr>
        <w:t>الأحزاب</w:t>
      </w:r>
      <w:r w:rsidR="00F32B28">
        <w:rPr>
          <w:rtl/>
        </w:rPr>
        <w:t xml:space="preserve"> </w:t>
      </w:r>
      <w:r w:rsidR="00F32B28" w:rsidRPr="00F32B28">
        <w:rPr>
          <w:rtl/>
        </w:rPr>
        <w:t>لم</w:t>
      </w:r>
      <w:r w:rsidR="00F32B28">
        <w:rPr>
          <w:rtl/>
        </w:rPr>
        <w:t xml:space="preserve"> </w:t>
      </w:r>
      <w:r w:rsidR="00F32B28" w:rsidRPr="00F32B28">
        <w:rPr>
          <w:rtl/>
        </w:rPr>
        <w:t>تلتزم</w:t>
      </w:r>
      <w:r w:rsidR="00F32B28">
        <w:rPr>
          <w:rtl/>
        </w:rPr>
        <w:t xml:space="preserve"> </w:t>
      </w:r>
      <w:r w:rsidR="00F32B28" w:rsidRPr="00F32B28">
        <w:rPr>
          <w:rtl/>
        </w:rPr>
        <w:t>في</w:t>
      </w:r>
      <w:r w:rsidR="00F32B28">
        <w:rPr>
          <w:rtl/>
        </w:rPr>
        <w:t xml:space="preserve"> </w:t>
      </w:r>
      <w:r w:rsidR="00F32B28" w:rsidRPr="00F32B28">
        <w:rPr>
          <w:rtl/>
        </w:rPr>
        <w:t>تطبيق</w:t>
      </w:r>
      <w:r w:rsidR="00F32B28">
        <w:rPr>
          <w:rtl/>
        </w:rPr>
        <w:t xml:space="preserve"> </w:t>
      </w:r>
      <w:r w:rsidR="00F32B28" w:rsidRPr="00F32B28">
        <w:rPr>
          <w:rtl/>
        </w:rPr>
        <w:t>هذا</w:t>
      </w:r>
      <w:r w:rsidR="00F32B28">
        <w:rPr>
          <w:rtl/>
        </w:rPr>
        <w:t xml:space="preserve"> </w:t>
      </w:r>
      <w:r w:rsidR="00F32B28" w:rsidRPr="00F32B28">
        <w:rPr>
          <w:rtl/>
        </w:rPr>
        <w:t>الحد</w:t>
      </w:r>
      <w:r w:rsidR="00F32B28">
        <w:rPr>
          <w:rtl/>
        </w:rPr>
        <w:t xml:space="preserve"> </w:t>
      </w:r>
      <w:r w:rsidR="00F32B28" w:rsidRPr="00F32B28">
        <w:rPr>
          <w:rtl/>
        </w:rPr>
        <w:t>الأدنى.</w:t>
      </w:r>
    </w:p>
    <w:p w:rsidR="00F32B28" w:rsidRPr="00F32B28" w:rsidRDefault="00FD6731" w:rsidP="00407D55">
      <w:pPr>
        <w:pStyle w:val="SingleTxt"/>
        <w:rPr>
          <w:i/>
          <w:iCs/>
        </w:rPr>
      </w:pPr>
      <w:r>
        <w:rPr>
          <w:rFonts w:hint="cs"/>
          <w:rtl/>
        </w:rPr>
        <w:t>72 -</w:t>
      </w:r>
      <w:r>
        <w:rPr>
          <w:rFonts w:hint="cs"/>
          <w:rtl/>
        </w:rPr>
        <w:tab/>
      </w:r>
      <w:r w:rsidR="00F32B28" w:rsidRPr="00F32B28">
        <w:rPr>
          <w:rtl/>
        </w:rPr>
        <w:t>ويندرج</w:t>
      </w:r>
      <w:r w:rsidR="00F32B28">
        <w:rPr>
          <w:rtl/>
        </w:rPr>
        <w:t xml:space="preserve"> </w:t>
      </w:r>
      <w:r w:rsidR="00F32B28" w:rsidRPr="00F32B28">
        <w:rPr>
          <w:rtl/>
        </w:rPr>
        <w:t>ضمن</w:t>
      </w:r>
      <w:r w:rsidR="00F32B28">
        <w:rPr>
          <w:rtl/>
        </w:rPr>
        <w:t xml:space="preserve"> </w:t>
      </w:r>
      <w:r w:rsidR="00F32B28" w:rsidRPr="00F32B28">
        <w:rPr>
          <w:rtl/>
        </w:rPr>
        <w:t>الجهود</w:t>
      </w:r>
      <w:r w:rsidR="00F32B28">
        <w:rPr>
          <w:rtl/>
        </w:rPr>
        <w:t xml:space="preserve"> </w:t>
      </w:r>
      <w:r w:rsidR="00F32B28" w:rsidRPr="00F32B28">
        <w:rPr>
          <w:rtl/>
        </w:rPr>
        <w:t>الرسمية</w:t>
      </w:r>
      <w:r w:rsidR="00F32B28">
        <w:rPr>
          <w:rtl/>
        </w:rPr>
        <w:t xml:space="preserve"> </w:t>
      </w:r>
      <w:r w:rsidR="00F32B28" w:rsidRPr="00F32B28">
        <w:rPr>
          <w:rtl/>
        </w:rPr>
        <w:t>التي</w:t>
      </w:r>
      <w:r w:rsidR="00F32B28">
        <w:rPr>
          <w:rtl/>
        </w:rPr>
        <w:t xml:space="preserve"> </w:t>
      </w:r>
      <w:r w:rsidR="00F32B28" w:rsidRPr="00F32B28">
        <w:rPr>
          <w:rtl/>
        </w:rPr>
        <w:t>تسعى</w:t>
      </w:r>
      <w:r w:rsidR="00F32B28">
        <w:rPr>
          <w:rtl/>
        </w:rPr>
        <w:t xml:space="preserve"> </w:t>
      </w:r>
      <w:r w:rsidR="00F32B28" w:rsidRPr="00F32B28">
        <w:rPr>
          <w:rtl/>
        </w:rPr>
        <w:t>إلى</w:t>
      </w:r>
      <w:r w:rsidR="00F32B28">
        <w:rPr>
          <w:rtl/>
        </w:rPr>
        <w:t xml:space="preserve"> </w:t>
      </w:r>
      <w:r w:rsidR="00F32B28" w:rsidRPr="00F32B28">
        <w:rPr>
          <w:rtl/>
        </w:rPr>
        <w:t>تطوير</w:t>
      </w:r>
      <w:r w:rsidR="00F32B28">
        <w:rPr>
          <w:rtl/>
        </w:rPr>
        <w:t xml:space="preserve"> </w:t>
      </w:r>
      <w:r w:rsidR="00F32B28" w:rsidRPr="00F32B28">
        <w:rPr>
          <w:rtl/>
        </w:rPr>
        <w:t>البيئة</w:t>
      </w:r>
      <w:r w:rsidR="00F32B28">
        <w:rPr>
          <w:rtl/>
        </w:rPr>
        <w:t xml:space="preserve"> </w:t>
      </w:r>
      <w:r w:rsidR="00F32B28" w:rsidRPr="00F32B28">
        <w:rPr>
          <w:rtl/>
        </w:rPr>
        <w:t>القانونية</w:t>
      </w:r>
      <w:r w:rsidR="00F32B28">
        <w:rPr>
          <w:rtl/>
        </w:rPr>
        <w:t xml:space="preserve"> </w:t>
      </w:r>
      <w:r w:rsidR="00F32B28" w:rsidRPr="00F32B28">
        <w:rPr>
          <w:rtl/>
        </w:rPr>
        <w:t>الداعمة</w:t>
      </w:r>
      <w:r w:rsidR="00F32B28">
        <w:rPr>
          <w:rtl/>
        </w:rPr>
        <w:t xml:space="preserve"> </w:t>
      </w:r>
      <w:r w:rsidR="00F32B28" w:rsidRPr="00F32B28">
        <w:rPr>
          <w:rtl/>
        </w:rPr>
        <w:t>لمشاركة</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الحياة</w:t>
      </w:r>
      <w:r w:rsidR="00F32B28">
        <w:rPr>
          <w:rtl/>
        </w:rPr>
        <w:t xml:space="preserve"> </w:t>
      </w:r>
      <w:r w:rsidR="00F32B28" w:rsidRPr="00F32B28">
        <w:rPr>
          <w:rtl/>
        </w:rPr>
        <w:t>السياسية،</w:t>
      </w:r>
      <w:r w:rsidR="00F32B28" w:rsidRPr="00F32B28">
        <w:rPr>
          <w:rtl/>
          <w:lang w:bidi="ar-LB"/>
        </w:rPr>
        <w:t>إعداد</w:t>
      </w:r>
      <w:r w:rsidR="00F32B28">
        <w:rPr>
          <w:rtl/>
          <w:lang w:bidi="ar-LB"/>
        </w:rPr>
        <w:t xml:space="preserve"> </w:t>
      </w:r>
      <w:r w:rsidR="00F32B28" w:rsidRPr="00F32B28">
        <w:rPr>
          <w:rtl/>
          <w:lang w:bidi="ar-LB"/>
        </w:rPr>
        <w:t>مسودة</w:t>
      </w:r>
      <w:r w:rsidR="00F32B28">
        <w:rPr>
          <w:rtl/>
          <w:lang w:bidi="ar-LB"/>
        </w:rPr>
        <w:t xml:space="preserve"> </w:t>
      </w:r>
      <w:r w:rsidR="00F32B28" w:rsidRPr="00F32B28">
        <w:rPr>
          <w:rtl/>
          <w:lang w:bidi="ar-LB"/>
        </w:rPr>
        <w:t>قانون</w:t>
      </w:r>
      <w:r w:rsidR="00F32B28">
        <w:rPr>
          <w:rtl/>
          <w:lang w:bidi="ar-LB"/>
        </w:rPr>
        <w:t xml:space="preserve"> </w:t>
      </w:r>
      <w:r w:rsidR="00F32B28" w:rsidRPr="00F32B28">
        <w:rPr>
          <w:rtl/>
          <w:lang w:bidi="ar-LB"/>
        </w:rPr>
        <w:t>انتخاب</w:t>
      </w:r>
      <w:r w:rsidR="00F32B28">
        <w:rPr>
          <w:rtl/>
          <w:lang w:bidi="ar-LB"/>
        </w:rPr>
        <w:t xml:space="preserve"> </w:t>
      </w:r>
      <w:r w:rsidR="00F32B28" w:rsidRPr="00F32B28">
        <w:rPr>
          <w:rtl/>
          <w:lang w:bidi="ar-LB"/>
        </w:rPr>
        <w:t>مجالس</w:t>
      </w:r>
      <w:r w:rsidR="00F32B28">
        <w:rPr>
          <w:rtl/>
          <w:lang w:bidi="ar-LB"/>
        </w:rPr>
        <w:t xml:space="preserve"> </w:t>
      </w:r>
      <w:r w:rsidR="00F32B28" w:rsidRPr="00F32B28">
        <w:rPr>
          <w:rtl/>
          <w:lang w:bidi="ar-LB"/>
        </w:rPr>
        <w:t>الهيئات</w:t>
      </w:r>
      <w:r w:rsidR="00F32B28">
        <w:rPr>
          <w:rtl/>
          <w:lang w:bidi="ar-LB"/>
        </w:rPr>
        <w:t xml:space="preserve"> </w:t>
      </w:r>
      <w:r w:rsidR="00F32B28" w:rsidRPr="00F32B28">
        <w:rPr>
          <w:rtl/>
          <w:lang w:bidi="ar-LB"/>
        </w:rPr>
        <w:t>المحلية</w:t>
      </w:r>
      <w:r w:rsidR="00F32B28">
        <w:rPr>
          <w:rtl/>
          <w:lang w:bidi="ar-LB"/>
        </w:rPr>
        <w:t xml:space="preserve"> </w:t>
      </w:r>
      <w:r w:rsidR="00F32B28" w:rsidRPr="00F32B28">
        <w:rPr>
          <w:rtl/>
          <w:lang w:bidi="ar-LB"/>
        </w:rPr>
        <w:t>لسنة</w:t>
      </w:r>
      <w:r w:rsidR="00F32B28">
        <w:rPr>
          <w:rtl/>
          <w:lang w:bidi="ar-LB"/>
        </w:rPr>
        <w:t xml:space="preserve"> </w:t>
      </w:r>
      <w:r w:rsidR="00F32B28" w:rsidRPr="00F32B28">
        <w:rPr>
          <w:rtl/>
          <w:lang w:bidi="ar-LB"/>
        </w:rPr>
        <w:t>2014</w:t>
      </w:r>
      <w:r w:rsidR="00F32B28">
        <w:rPr>
          <w:rtl/>
          <w:lang w:bidi="ar-LB"/>
        </w:rPr>
        <w:t xml:space="preserve"> </w:t>
      </w:r>
      <w:r w:rsidR="00F32B28" w:rsidRPr="00F32B28">
        <w:rPr>
          <w:rtl/>
          <w:lang w:bidi="ar-LB"/>
        </w:rPr>
        <w:t>ترفع</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الحد</w:t>
      </w:r>
      <w:r w:rsidR="00F32B28">
        <w:rPr>
          <w:rtl/>
          <w:lang w:bidi="ar-LB"/>
        </w:rPr>
        <w:t xml:space="preserve"> </w:t>
      </w:r>
      <w:r w:rsidR="00F32B28" w:rsidRPr="00F32B28">
        <w:rPr>
          <w:rtl/>
          <w:lang w:bidi="ar-LB"/>
        </w:rPr>
        <w:t>الأدنى</w:t>
      </w:r>
      <w:r w:rsidR="00F32B28">
        <w:rPr>
          <w:rtl/>
          <w:lang w:bidi="ar-LB"/>
        </w:rPr>
        <w:t xml:space="preserve"> </w:t>
      </w:r>
      <w:r w:rsidR="00F32B28" w:rsidRPr="00F32B28">
        <w:rPr>
          <w:rtl/>
          <w:lang w:bidi="ar-LB"/>
        </w:rPr>
        <w:t>لنسبة</w:t>
      </w:r>
      <w:r w:rsidR="00F32B28">
        <w:rPr>
          <w:rtl/>
          <w:lang w:bidi="ar-LB"/>
        </w:rPr>
        <w:t xml:space="preserve"> </w:t>
      </w:r>
      <w:r w:rsidR="00F32B28" w:rsidRPr="00F32B28">
        <w:rPr>
          <w:rtl/>
          <w:lang w:bidi="ar-LB"/>
        </w:rPr>
        <w:t>تمثيل</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الانتخابات</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20</w:t>
      </w:r>
      <w:r w:rsidR="00600C43" w:rsidRPr="00600C43">
        <w:rPr>
          <w:rFonts w:hint="cs"/>
          <w:rtl/>
        </w:rPr>
        <w:t xml:space="preserve"> </w:t>
      </w:r>
      <w:r w:rsidR="00600C43">
        <w:rPr>
          <w:rFonts w:hint="cs"/>
          <w:rtl/>
        </w:rPr>
        <w:t>في المائة</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30</w:t>
      </w:r>
      <w:r w:rsidR="00600C43" w:rsidRPr="00600C43">
        <w:rPr>
          <w:rFonts w:hint="cs"/>
          <w:rtl/>
        </w:rPr>
        <w:t xml:space="preserve"> </w:t>
      </w:r>
      <w:r w:rsidR="00600C43">
        <w:rPr>
          <w:rFonts w:hint="cs"/>
          <w:rtl/>
        </w:rPr>
        <w:t>في المائة</w:t>
      </w:r>
      <w:r w:rsidR="00F32B28">
        <w:rPr>
          <w:rtl/>
          <w:lang w:bidi="ar-LB"/>
        </w:rPr>
        <w:t xml:space="preserve"> </w:t>
      </w:r>
      <w:r w:rsidR="00F32B28" w:rsidRPr="00F32B28">
        <w:rPr>
          <w:rtl/>
          <w:lang w:bidi="ar-LB"/>
        </w:rPr>
        <w:t>وذلك</w:t>
      </w:r>
      <w:r w:rsidR="00F32B28">
        <w:rPr>
          <w:rtl/>
          <w:lang w:bidi="ar-LB"/>
        </w:rPr>
        <w:t xml:space="preserve"> </w:t>
      </w:r>
      <w:r w:rsidR="00F32B28" w:rsidRPr="00F32B28">
        <w:rPr>
          <w:rtl/>
          <w:lang w:bidi="ar-LB"/>
        </w:rPr>
        <w:t>استجابة</w:t>
      </w:r>
      <w:r w:rsidR="00F32B28">
        <w:rPr>
          <w:rtl/>
          <w:lang w:bidi="ar-LB"/>
        </w:rPr>
        <w:t xml:space="preserve"> </w:t>
      </w:r>
      <w:r w:rsidR="00F32B28" w:rsidRPr="00F32B28">
        <w:rPr>
          <w:rtl/>
          <w:lang w:bidi="ar-LB"/>
        </w:rPr>
        <w:t>للقرارات</w:t>
      </w:r>
      <w:r w:rsidR="00F32B28">
        <w:rPr>
          <w:rtl/>
          <w:lang w:bidi="ar-LB"/>
        </w:rPr>
        <w:t xml:space="preserve"> </w:t>
      </w:r>
      <w:r w:rsidR="00F32B28" w:rsidRPr="00F32B28">
        <w:rPr>
          <w:rtl/>
          <w:lang w:bidi="ar-LB"/>
        </w:rPr>
        <w:t>الدولية</w:t>
      </w:r>
      <w:r w:rsidR="00F32B28">
        <w:rPr>
          <w:rtl/>
          <w:lang w:bidi="ar-LB"/>
        </w:rPr>
        <w:t xml:space="preserve"> </w:t>
      </w:r>
      <w:r w:rsidR="00F32B28" w:rsidRPr="00F32B28">
        <w:rPr>
          <w:rtl/>
          <w:lang w:bidi="ar-LB"/>
        </w:rPr>
        <w:t>ومؤشرات</w:t>
      </w:r>
      <w:r w:rsidR="00F32B28">
        <w:rPr>
          <w:rtl/>
          <w:lang w:bidi="ar-LB"/>
        </w:rPr>
        <w:t xml:space="preserve"> </w:t>
      </w:r>
      <w:r w:rsidR="00F32B28" w:rsidRPr="00F32B28">
        <w:rPr>
          <w:rtl/>
          <w:lang w:bidi="ar-LB"/>
        </w:rPr>
        <w:t>أهداف</w:t>
      </w:r>
      <w:r w:rsidR="00F32B28">
        <w:rPr>
          <w:rtl/>
          <w:lang w:bidi="ar-LB"/>
        </w:rPr>
        <w:t xml:space="preserve"> </w:t>
      </w:r>
      <w:r w:rsidR="00F32B28" w:rsidRPr="00F32B28">
        <w:rPr>
          <w:rtl/>
          <w:lang w:bidi="ar-LB"/>
        </w:rPr>
        <w:t>الألفية</w:t>
      </w:r>
      <w:r w:rsidR="00F32B28">
        <w:rPr>
          <w:rtl/>
        </w:rPr>
        <w:t xml:space="preserve"> </w:t>
      </w:r>
      <w:r w:rsidR="00F32B28" w:rsidRPr="00F32B28">
        <w:rPr>
          <w:rtl/>
        </w:rPr>
        <w:t>الإنمائية</w:t>
      </w:r>
      <w:r w:rsidR="00F32B28" w:rsidRPr="00F32B28">
        <w:rPr>
          <w:rtl/>
          <w:lang w:bidi="ar-LB"/>
        </w:rPr>
        <w:t>،</w:t>
      </w:r>
      <w:r w:rsidR="00F32B28">
        <w:rPr>
          <w:rtl/>
          <w:lang w:bidi="ar-LB"/>
        </w:rPr>
        <w:t xml:space="preserve"> </w:t>
      </w:r>
      <w:r w:rsidR="00F32B28" w:rsidRPr="00F32B28">
        <w:rPr>
          <w:rtl/>
          <w:lang w:bidi="ar-LB"/>
        </w:rPr>
        <w:t>وأنيطت</w:t>
      </w:r>
      <w:r w:rsidR="00F32B28">
        <w:rPr>
          <w:rtl/>
          <w:lang w:bidi="ar-LB"/>
        </w:rPr>
        <w:t xml:space="preserve"> </w:t>
      </w:r>
      <w:r w:rsidR="00F32B28" w:rsidRPr="00F32B28">
        <w:rPr>
          <w:rtl/>
          <w:lang w:bidi="ar-LB"/>
        </w:rPr>
        <w:t>لجنة</w:t>
      </w:r>
      <w:r w:rsidR="00F32B28">
        <w:rPr>
          <w:rtl/>
          <w:lang w:bidi="ar-LB"/>
        </w:rPr>
        <w:t xml:space="preserve"> </w:t>
      </w:r>
      <w:r w:rsidR="00F32B28" w:rsidRPr="00F32B28">
        <w:rPr>
          <w:rtl/>
          <w:lang w:bidi="ar-LB"/>
        </w:rPr>
        <w:t>الانتخابات</w:t>
      </w:r>
      <w:r w:rsidR="00F32B28">
        <w:rPr>
          <w:rtl/>
          <w:lang w:bidi="ar-LB"/>
        </w:rPr>
        <w:t xml:space="preserve"> </w:t>
      </w:r>
      <w:r w:rsidR="00F32B28" w:rsidRPr="00F32B28">
        <w:rPr>
          <w:rtl/>
          <w:lang w:bidi="ar-LB"/>
        </w:rPr>
        <w:t>المركزية</w:t>
      </w:r>
      <w:r w:rsidR="00F32B28">
        <w:rPr>
          <w:rtl/>
          <w:lang w:bidi="ar-LB"/>
        </w:rPr>
        <w:t xml:space="preserve"> </w:t>
      </w:r>
      <w:r w:rsidR="00F32B28" w:rsidRPr="00F32B28">
        <w:rPr>
          <w:rtl/>
          <w:lang w:bidi="ar-LB"/>
        </w:rPr>
        <w:t>مسؤولية</w:t>
      </w:r>
      <w:r w:rsidR="00F32B28">
        <w:rPr>
          <w:rtl/>
          <w:lang w:bidi="ar-LB"/>
        </w:rPr>
        <w:t xml:space="preserve"> </w:t>
      </w:r>
      <w:r w:rsidR="00F32B28" w:rsidRPr="00F32B28">
        <w:rPr>
          <w:rtl/>
          <w:lang w:bidi="ar-LB"/>
        </w:rPr>
        <w:t>اتخاذ</w:t>
      </w:r>
      <w:r w:rsidR="00F32B28">
        <w:rPr>
          <w:rtl/>
          <w:lang w:bidi="ar-LB"/>
        </w:rPr>
        <w:t xml:space="preserve"> </w:t>
      </w:r>
      <w:r w:rsidR="00F32B28" w:rsidRPr="00F32B28">
        <w:rPr>
          <w:rtl/>
          <w:lang w:bidi="ar-LB"/>
        </w:rPr>
        <w:t>التدابير</w:t>
      </w:r>
      <w:r w:rsidR="00F32B28">
        <w:rPr>
          <w:rtl/>
          <w:lang w:bidi="ar-LB"/>
        </w:rPr>
        <w:t xml:space="preserve"> </w:t>
      </w:r>
      <w:r w:rsidR="00F32B28" w:rsidRPr="00F32B28">
        <w:rPr>
          <w:rtl/>
          <w:lang w:bidi="ar-LB"/>
        </w:rPr>
        <w:t>المناسبة</w:t>
      </w:r>
      <w:r w:rsidR="00F32B28">
        <w:rPr>
          <w:rtl/>
          <w:lang w:bidi="ar-LB"/>
        </w:rPr>
        <w:t xml:space="preserve"> </w:t>
      </w:r>
      <w:r w:rsidR="00F32B28" w:rsidRPr="00F32B28">
        <w:rPr>
          <w:rtl/>
          <w:lang w:bidi="ar-LB"/>
        </w:rPr>
        <w:t>لكفالة</w:t>
      </w:r>
      <w:r w:rsidR="00F32B28">
        <w:rPr>
          <w:rtl/>
          <w:lang w:bidi="ar-LB"/>
        </w:rPr>
        <w:t xml:space="preserve"> </w:t>
      </w:r>
      <w:r w:rsidR="00F32B28" w:rsidRPr="00F32B28">
        <w:rPr>
          <w:rtl/>
          <w:lang w:bidi="ar-LB"/>
        </w:rPr>
        <w:t>تحقيق</w:t>
      </w:r>
      <w:r w:rsidR="00F32B28">
        <w:rPr>
          <w:rtl/>
          <w:lang w:bidi="ar-LB"/>
        </w:rPr>
        <w:t xml:space="preserve"> </w:t>
      </w:r>
      <w:r w:rsidR="00F32B28" w:rsidRPr="00F32B28">
        <w:rPr>
          <w:rtl/>
          <w:lang w:bidi="ar-LB"/>
        </w:rPr>
        <w:t>ذلك،</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تنص</w:t>
      </w:r>
      <w:r w:rsidR="00F32B28">
        <w:rPr>
          <w:rtl/>
          <w:lang w:bidi="ar-LB"/>
        </w:rPr>
        <w:t xml:space="preserve"> </w:t>
      </w:r>
      <w:r w:rsidR="00F32B28" w:rsidRPr="00F32B28">
        <w:rPr>
          <w:rtl/>
          <w:lang w:bidi="ar-LB"/>
        </w:rPr>
        <w:t>المادة</w:t>
      </w:r>
      <w:r w:rsidR="00F32B28">
        <w:rPr>
          <w:rtl/>
          <w:lang w:bidi="ar-LB"/>
        </w:rPr>
        <w:t xml:space="preserve"> </w:t>
      </w:r>
      <w:r w:rsidR="00F32B28" w:rsidRPr="00F32B28">
        <w:rPr>
          <w:rtl/>
          <w:lang w:bidi="ar-LB"/>
        </w:rPr>
        <w:t>الثالثة</w:t>
      </w:r>
      <w:r w:rsidR="00F32B28">
        <w:rPr>
          <w:rtl/>
          <w:lang w:bidi="ar-LB"/>
        </w:rPr>
        <w:t xml:space="preserve"> </w:t>
      </w:r>
      <w:r w:rsidR="00F32B28" w:rsidRPr="00F32B28">
        <w:rPr>
          <w:rtl/>
          <w:lang w:bidi="ar-LB"/>
        </w:rPr>
        <w:t>منها</w:t>
      </w:r>
      <w:r w:rsidR="00F32B28">
        <w:rPr>
          <w:rtl/>
          <w:lang w:bidi="ar-LB"/>
        </w:rPr>
        <w:t xml:space="preserve"> </w:t>
      </w:r>
      <w:r w:rsidR="00407D55" w:rsidRPr="00407D55">
        <w:rPr>
          <w:rFonts w:hint="eastAsia"/>
          <w:i/>
          <w:iCs/>
          <w:rtl/>
          <w:lang w:bidi="ar-SY"/>
        </w:rPr>
        <w:t>”</w:t>
      </w:r>
      <w:r w:rsidR="00F32B28" w:rsidRPr="00F32B28">
        <w:rPr>
          <w:i/>
          <w:iCs/>
          <w:rtl/>
          <w:lang w:bidi="ar-LB"/>
        </w:rPr>
        <w:t>تمثل</w:t>
      </w:r>
      <w:r w:rsidR="00F32B28">
        <w:rPr>
          <w:i/>
          <w:iCs/>
          <w:rtl/>
          <w:lang w:bidi="ar-LB"/>
        </w:rPr>
        <w:t xml:space="preserve"> </w:t>
      </w:r>
      <w:r w:rsidR="00F32B28" w:rsidRPr="00F32B28">
        <w:rPr>
          <w:i/>
          <w:iCs/>
          <w:rtl/>
          <w:lang w:bidi="ar-LB"/>
        </w:rPr>
        <w:t>المرأة</w:t>
      </w:r>
      <w:r w:rsidR="00F32B28">
        <w:rPr>
          <w:i/>
          <w:iCs/>
          <w:rtl/>
          <w:lang w:bidi="ar-LB"/>
        </w:rPr>
        <w:t xml:space="preserve"> </w:t>
      </w:r>
      <w:r w:rsidR="00F32B28" w:rsidRPr="00F32B28">
        <w:rPr>
          <w:i/>
          <w:iCs/>
          <w:rtl/>
          <w:lang w:bidi="ar-LB"/>
        </w:rPr>
        <w:t>بنسبة</w:t>
      </w:r>
      <w:r w:rsidR="00F32B28">
        <w:rPr>
          <w:i/>
          <w:iCs/>
          <w:rtl/>
          <w:lang w:bidi="ar-LB"/>
        </w:rPr>
        <w:t xml:space="preserve"> </w:t>
      </w:r>
      <w:r w:rsidR="00F32B28" w:rsidRPr="00F32B28">
        <w:rPr>
          <w:i/>
          <w:iCs/>
          <w:rtl/>
          <w:lang w:bidi="ar-LB"/>
        </w:rPr>
        <w:t>لا</w:t>
      </w:r>
      <w:r w:rsidR="00F32B28">
        <w:rPr>
          <w:i/>
          <w:iCs/>
          <w:rtl/>
          <w:lang w:bidi="ar-LB"/>
        </w:rPr>
        <w:t xml:space="preserve"> </w:t>
      </w:r>
      <w:r w:rsidR="00F32B28" w:rsidRPr="00F32B28">
        <w:rPr>
          <w:i/>
          <w:iCs/>
          <w:rtl/>
          <w:lang w:bidi="ar-LB"/>
        </w:rPr>
        <w:t>تقل</w:t>
      </w:r>
      <w:r w:rsidR="00F32B28">
        <w:rPr>
          <w:i/>
          <w:iCs/>
          <w:rtl/>
          <w:lang w:bidi="ar-LB"/>
        </w:rPr>
        <w:t xml:space="preserve"> </w:t>
      </w:r>
      <w:r w:rsidR="00F32B28" w:rsidRPr="00F32B28">
        <w:rPr>
          <w:i/>
          <w:iCs/>
          <w:rtl/>
          <w:lang w:bidi="ar-LB"/>
        </w:rPr>
        <w:t>عن</w:t>
      </w:r>
      <w:r w:rsidR="00F32B28">
        <w:rPr>
          <w:i/>
          <w:iCs/>
          <w:rtl/>
          <w:lang w:bidi="ar-LB"/>
        </w:rPr>
        <w:t xml:space="preserve"> </w:t>
      </w:r>
      <w:r w:rsidR="00F32B28" w:rsidRPr="00F32B28">
        <w:rPr>
          <w:i/>
          <w:iCs/>
          <w:rtl/>
          <w:lang w:bidi="ar-LB"/>
        </w:rPr>
        <w:t>30</w:t>
      </w:r>
      <w:r w:rsidR="00600C43" w:rsidRPr="00600C43">
        <w:rPr>
          <w:rFonts w:hint="cs"/>
          <w:rtl/>
        </w:rPr>
        <w:t xml:space="preserve"> </w:t>
      </w:r>
      <w:r w:rsidR="00600C43" w:rsidRPr="00600C43">
        <w:rPr>
          <w:rFonts w:hint="cs"/>
          <w:i/>
          <w:iCs/>
          <w:rtl/>
        </w:rPr>
        <w:t>في المائة</w:t>
      </w:r>
      <w:r w:rsidR="00F32B28">
        <w:rPr>
          <w:i/>
          <w:iCs/>
          <w:rtl/>
          <w:lang w:bidi="ar-LB"/>
        </w:rPr>
        <w:t xml:space="preserve"> </w:t>
      </w:r>
      <w:r w:rsidR="00F32B28" w:rsidRPr="00F32B28">
        <w:rPr>
          <w:i/>
          <w:iCs/>
          <w:rtl/>
          <w:lang w:bidi="ar-LB"/>
        </w:rPr>
        <w:t>في</w:t>
      </w:r>
      <w:r w:rsidR="00F32B28">
        <w:rPr>
          <w:i/>
          <w:iCs/>
          <w:rtl/>
          <w:lang w:bidi="ar-LB"/>
        </w:rPr>
        <w:t xml:space="preserve"> </w:t>
      </w:r>
      <w:r w:rsidR="00F32B28" w:rsidRPr="00F32B28">
        <w:rPr>
          <w:i/>
          <w:iCs/>
          <w:rtl/>
          <w:lang w:bidi="ar-LB"/>
        </w:rPr>
        <w:t>الترشح</w:t>
      </w:r>
      <w:r w:rsidR="00F32B28">
        <w:rPr>
          <w:i/>
          <w:iCs/>
          <w:rtl/>
          <w:lang w:bidi="ar-LB"/>
        </w:rPr>
        <w:t xml:space="preserve"> </w:t>
      </w:r>
      <w:r w:rsidR="00F32B28" w:rsidRPr="00F32B28">
        <w:rPr>
          <w:i/>
          <w:iCs/>
          <w:rtl/>
          <w:lang w:bidi="ar-LB"/>
        </w:rPr>
        <w:t>والنتيجة،</w:t>
      </w:r>
      <w:r w:rsidR="00F32B28">
        <w:rPr>
          <w:i/>
          <w:iCs/>
          <w:rtl/>
          <w:lang w:bidi="ar-LB"/>
        </w:rPr>
        <w:t xml:space="preserve"> </w:t>
      </w:r>
      <w:r w:rsidR="00F32B28" w:rsidRPr="00F32B28">
        <w:rPr>
          <w:i/>
          <w:iCs/>
          <w:rtl/>
          <w:lang w:bidi="ar-LB"/>
        </w:rPr>
        <w:t>وتضع</w:t>
      </w:r>
      <w:r w:rsidR="00F32B28">
        <w:rPr>
          <w:i/>
          <w:iCs/>
          <w:rtl/>
          <w:lang w:bidi="ar-LB"/>
        </w:rPr>
        <w:t xml:space="preserve"> </w:t>
      </w:r>
      <w:r w:rsidR="00F32B28" w:rsidRPr="00F32B28">
        <w:rPr>
          <w:i/>
          <w:iCs/>
          <w:rtl/>
          <w:lang w:bidi="ar-LB"/>
        </w:rPr>
        <w:t>اللجنة</w:t>
      </w:r>
      <w:r w:rsidR="00F32B28">
        <w:rPr>
          <w:i/>
          <w:iCs/>
          <w:rtl/>
          <w:lang w:bidi="ar-LB"/>
        </w:rPr>
        <w:t xml:space="preserve"> </w:t>
      </w:r>
      <w:r w:rsidR="00F32B28" w:rsidRPr="00F32B28">
        <w:rPr>
          <w:i/>
          <w:iCs/>
          <w:rtl/>
          <w:lang w:bidi="ar-LB"/>
        </w:rPr>
        <w:t>الإجراءات</w:t>
      </w:r>
      <w:r w:rsidR="00F32B28">
        <w:rPr>
          <w:i/>
          <w:iCs/>
          <w:rtl/>
          <w:lang w:bidi="ar-LB"/>
        </w:rPr>
        <w:t xml:space="preserve"> </w:t>
      </w:r>
      <w:r w:rsidR="00F32B28" w:rsidRPr="00F32B28">
        <w:rPr>
          <w:i/>
          <w:iCs/>
          <w:rtl/>
          <w:lang w:bidi="ar-LB"/>
        </w:rPr>
        <w:t>التي</w:t>
      </w:r>
      <w:r w:rsidR="00F32B28">
        <w:rPr>
          <w:i/>
          <w:iCs/>
          <w:rtl/>
          <w:lang w:bidi="ar-LB"/>
        </w:rPr>
        <w:t xml:space="preserve"> </w:t>
      </w:r>
      <w:r w:rsidR="00F32B28" w:rsidRPr="00F32B28">
        <w:rPr>
          <w:i/>
          <w:iCs/>
          <w:rtl/>
          <w:lang w:bidi="ar-LB"/>
        </w:rPr>
        <w:t>تكفل</w:t>
      </w:r>
      <w:r w:rsidR="00F32B28">
        <w:rPr>
          <w:i/>
          <w:iCs/>
          <w:rtl/>
          <w:lang w:bidi="ar-LB"/>
        </w:rPr>
        <w:t xml:space="preserve"> </w:t>
      </w:r>
      <w:r w:rsidR="00F32B28" w:rsidRPr="00F32B28">
        <w:rPr>
          <w:i/>
          <w:iCs/>
          <w:rtl/>
          <w:lang w:bidi="ar-LB"/>
        </w:rPr>
        <w:t>ذلك</w:t>
      </w:r>
      <w:r w:rsidR="00407D55" w:rsidRPr="00407D55">
        <w:rPr>
          <w:rFonts w:hint="cs"/>
          <w:i/>
          <w:iCs/>
          <w:rtl/>
          <w:lang w:bidi="ar-SY"/>
        </w:rPr>
        <w:t>“</w:t>
      </w:r>
      <w:r w:rsidR="00F32B28" w:rsidRPr="00F32B28">
        <w:rPr>
          <w:i/>
          <w:iCs/>
          <w:rtl/>
          <w:lang w:bidi="ar-LB"/>
        </w:rPr>
        <w:t>.</w:t>
      </w:r>
    </w:p>
    <w:p w:rsidR="00F32B28" w:rsidRPr="00F32B28" w:rsidRDefault="00186574" w:rsidP="00186574">
      <w:pPr>
        <w:pStyle w:val="SingleTxt"/>
        <w:rPr>
          <w:i/>
          <w:iCs/>
        </w:rPr>
      </w:pPr>
      <w:r>
        <w:rPr>
          <w:rFonts w:hint="cs"/>
          <w:rtl/>
        </w:rPr>
        <w:t>73 -</w:t>
      </w:r>
      <w:r>
        <w:rPr>
          <w:rFonts w:hint="cs"/>
          <w:rtl/>
        </w:rPr>
        <w:tab/>
      </w:r>
      <w:r w:rsidR="00F32B28" w:rsidRPr="00F32B28">
        <w:rPr>
          <w:rtl/>
        </w:rPr>
        <w:t>كما</w:t>
      </w:r>
      <w:r>
        <w:rPr>
          <w:rFonts w:hint="cs"/>
          <w:rtl/>
        </w:rPr>
        <w:t xml:space="preserve"> </w:t>
      </w:r>
      <w:r w:rsidR="00F32B28" w:rsidRPr="00F32B28">
        <w:rPr>
          <w:rtl/>
        </w:rPr>
        <w:t>تعمل</w:t>
      </w:r>
      <w:r w:rsidR="00F32B28">
        <w:rPr>
          <w:rtl/>
        </w:rPr>
        <w:t xml:space="preserve"> </w:t>
      </w:r>
      <w:r w:rsidR="00F32B28" w:rsidRPr="00F32B28">
        <w:rPr>
          <w:rtl/>
        </w:rPr>
        <w:t>الحكومة</w:t>
      </w:r>
      <w:r w:rsidR="00F32B28">
        <w:rPr>
          <w:rtl/>
        </w:rPr>
        <w:t xml:space="preserve"> </w:t>
      </w:r>
      <w:r w:rsidR="00F32B28" w:rsidRPr="00F32B28">
        <w:rPr>
          <w:rtl/>
        </w:rPr>
        <w:t>على</w:t>
      </w:r>
      <w:r w:rsidR="00F32B28">
        <w:rPr>
          <w:rtl/>
        </w:rPr>
        <w:t xml:space="preserve"> </w:t>
      </w:r>
      <w:r w:rsidR="00F32B28" w:rsidRPr="00F32B28">
        <w:rPr>
          <w:rtl/>
        </w:rPr>
        <w:t>دمج</w:t>
      </w:r>
      <w:r w:rsidR="00F32B28">
        <w:rPr>
          <w:rtl/>
        </w:rPr>
        <w:t xml:space="preserve"> </w:t>
      </w:r>
      <w:r w:rsidR="00F32B28" w:rsidRPr="00F32B28">
        <w:rPr>
          <w:rtl/>
        </w:rPr>
        <w:t>مفهوم</w:t>
      </w:r>
      <w:r w:rsidR="00F32B28">
        <w:rPr>
          <w:rtl/>
        </w:rPr>
        <w:t xml:space="preserve"> </w:t>
      </w:r>
      <w:r w:rsidR="00F32B28" w:rsidRPr="00F32B28">
        <w:rPr>
          <w:rtl/>
        </w:rPr>
        <w:t>النوع</w:t>
      </w:r>
      <w:r w:rsidR="00F32B28">
        <w:rPr>
          <w:rtl/>
        </w:rPr>
        <w:t xml:space="preserve"> </w:t>
      </w:r>
      <w:r w:rsidR="00F32B28" w:rsidRPr="00F32B28">
        <w:rPr>
          <w:rtl/>
        </w:rPr>
        <w:t>الاجتماعي</w:t>
      </w:r>
      <w:r w:rsidR="00F32B28">
        <w:rPr>
          <w:rtl/>
        </w:rPr>
        <w:t xml:space="preserve"> </w:t>
      </w:r>
      <w:r w:rsidR="00F32B28" w:rsidRPr="00F32B28">
        <w:rPr>
          <w:rtl/>
        </w:rPr>
        <w:t>في</w:t>
      </w:r>
      <w:r w:rsidR="00F32B28">
        <w:rPr>
          <w:rtl/>
        </w:rPr>
        <w:t xml:space="preserve"> </w:t>
      </w:r>
      <w:r w:rsidR="00F32B28" w:rsidRPr="00F32B28">
        <w:rPr>
          <w:rtl/>
        </w:rPr>
        <w:t>الخطط</w:t>
      </w:r>
      <w:r w:rsidR="00F32B28">
        <w:rPr>
          <w:rtl/>
        </w:rPr>
        <w:t xml:space="preserve"> </w:t>
      </w:r>
      <w:r w:rsidR="00F32B28" w:rsidRPr="00F32B28">
        <w:rPr>
          <w:rtl/>
        </w:rPr>
        <w:t>التشريعية</w:t>
      </w:r>
      <w:r w:rsidR="00F32B28">
        <w:rPr>
          <w:rtl/>
        </w:rPr>
        <w:t xml:space="preserve"> </w:t>
      </w:r>
      <w:r w:rsidR="00F32B28" w:rsidRPr="00F32B28">
        <w:rPr>
          <w:rtl/>
        </w:rPr>
        <w:t>والتنموية</w:t>
      </w:r>
      <w:r w:rsidR="00F32B28">
        <w:rPr>
          <w:rtl/>
        </w:rPr>
        <w:t xml:space="preserve"> </w:t>
      </w:r>
      <w:r w:rsidR="00F32B28" w:rsidRPr="00F32B28">
        <w:rPr>
          <w:rtl/>
        </w:rPr>
        <w:t>وتخصيص</w:t>
      </w:r>
      <w:r w:rsidR="00F32B28">
        <w:rPr>
          <w:rtl/>
        </w:rPr>
        <w:t xml:space="preserve"> </w:t>
      </w:r>
      <w:r w:rsidR="00F32B28" w:rsidRPr="00F32B28">
        <w:rPr>
          <w:rtl/>
        </w:rPr>
        <w:t>الموارد</w:t>
      </w:r>
      <w:r w:rsidR="00F32B28">
        <w:rPr>
          <w:rtl/>
        </w:rPr>
        <w:t xml:space="preserve"> </w:t>
      </w:r>
      <w:r w:rsidR="00F32B28" w:rsidRPr="00F32B28">
        <w:rPr>
          <w:rtl/>
        </w:rPr>
        <w:t>الوطنية</w:t>
      </w:r>
      <w:r w:rsidR="00F32B28">
        <w:rPr>
          <w:rtl/>
        </w:rPr>
        <w:t xml:space="preserve"> </w:t>
      </w:r>
      <w:r w:rsidR="00F32B28" w:rsidRPr="00F32B28">
        <w:rPr>
          <w:rtl/>
        </w:rPr>
        <w:t>اللازمة،</w:t>
      </w:r>
      <w:r w:rsidR="00F32B28">
        <w:rPr>
          <w:rtl/>
        </w:rPr>
        <w:t xml:space="preserve"> </w:t>
      </w:r>
      <w:r w:rsidR="00F32B28" w:rsidRPr="00F32B28">
        <w:rPr>
          <w:rtl/>
        </w:rPr>
        <w:t>وذلك</w:t>
      </w:r>
      <w:r w:rsidR="00F32B28">
        <w:rPr>
          <w:rtl/>
        </w:rPr>
        <w:t xml:space="preserve"> </w:t>
      </w:r>
      <w:r w:rsidR="00F32B28" w:rsidRPr="00F32B28">
        <w:rPr>
          <w:rtl/>
        </w:rPr>
        <w:t>على</w:t>
      </w:r>
      <w:r w:rsidR="00F32B28">
        <w:rPr>
          <w:rtl/>
        </w:rPr>
        <w:t xml:space="preserve"> </w:t>
      </w:r>
      <w:r w:rsidR="00F32B28" w:rsidRPr="00F32B28">
        <w:rPr>
          <w:rtl/>
        </w:rPr>
        <w:t>النحو</w:t>
      </w:r>
      <w:r w:rsidR="00F32B28">
        <w:rPr>
          <w:rtl/>
        </w:rPr>
        <w:t xml:space="preserve"> </w:t>
      </w:r>
      <w:r w:rsidR="00F32B28" w:rsidRPr="00F32B28">
        <w:rPr>
          <w:rtl/>
        </w:rPr>
        <w:t>الآتي:</w:t>
      </w:r>
      <w:r w:rsidR="00F32B28">
        <w:rPr>
          <w:rtl/>
        </w:rPr>
        <w:t xml:space="preserve"> </w:t>
      </w:r>
    </w:p>
    <w:p w:rsidR="00F32B28" w:rsidRPr="00F32B28" w:rsidRDefault="00186574" w:rsidP="0018657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خصصت</w:t>
      </w:r>
      <w:r w:rsidR="00F32B28">
        <w:rPr>
          <w:rtl/>
        </w:rPr>
        <w:t xml:space="preserve"> </w:t>
      </w:r>
      <w:r w:rsidR="00F32B28" w:rsidRPr="00F32B28">
        <w:rPr>
          <w:rtl/>
        </w:rPr>
        <w:t>الحكومة</w:t>
      </w:r>
      <w:r w:rsidR="00F32B28">
        <w:rPr>
          <w:rtl/>
        </w:rPr>
        <w:t xml:space="preserve"> </w:t>
      </w:r>
      <w:r w:rsidR="00F32B28" w:rsidRPr="00F32B28">
        <w:rPr>
          <w:rtl/>
        </w:rPr>
        <w:t>في</w:t>
      </w:r>
      <w:r w:rsidR="00F32B28">
        <w:rPr>
          <w:rtl/>
        </w:rPr>
        <w:t xml:space="preserve"> </w:t>
      </w:r>
      <w:r w:rsidR="00F32B28" w:rsidRPr="00F32B28">
        <w:rPr>
          <w:rtl/>
        </w:rPr>
        <w:t>خطة</w:t>
      </w:r>
      <w:r w:rsidR="00F32B28">
        <w:rPr>
          <w:rtl/>
        </w:rPr>
        <w:t xml:space="preserve"> </w:t>
      </w:r>
      <w:r w:rsidR="00F32B28" w:rsidRPr="00F32B28">
        <w:rPr>
          <w:rtl/>
        </w:rPr>
        <w:t>التنمية</w:t>
      </w:r>
      <w:r w:rsidR="00F32B28">
        <w:rPr>
          <w:rtl/>
        </w:rPr>
        <w:t xml:space="preserve"> </w:t>
      </w:r>
      <w:r w:rsidR="00F32B28" w:rsidRPr="00F32B28">
        <w:rPr>
          <w:rtl/>
        </w:rPr>
        <w:t>الفلسطينية</w:t>
      </w:r>
      <w:r w:rsidR="00F32B28">
        <w:rPr>
          <w:rtl/>
        </w:rPr>
        <w:t xml:space="preserve"> </w:t>
      </w:r>
      <w:r w:rsidR="00F32B28" w:rsidRPr="00F32B28">
        <w:rPr>
          <w:rtl/>
        </w:rPr>
        <w:t>للأعوام</w:t>
      </w:r>
      <w:r w:rsidR="00F32B28">
        <w:rPr>
          <w:rtl/>
        </w:rPr>
        <w:t xml:space="preserve"> </w:t>
      </w:r>
      <w:r w:rsidR="00F32B28" w:rsidRPr="00F32B28">
        <w:rPr>
          <w:rtl/>
        </w:rPr>
        <w:t>2014-2016</w:t>
      </w:r>
      <w:r w:rsidR="00F32B28">
        <w:rPr>
          <w:rtl/>
        </w:rPr>
        <w:t xml:space="preserve"> </w:t>
      </w:r>
      <w:r w:rsidR="00F32B28" w:rsidRPr="00F32B28">
        <w:rPr>
          <w:rtl/>
        </w:rPr>
        <w:t>مبلغ</w:t>
      </w:r>
      <w:r w:rsidR="00F32B28">
        <w:rPr>
          <w:rtl/>
        </w:rPr>
        <w:t xml:space="preserve"> </w:t>
      </w:r>
      <w:r w:rsidR="00F32B28" w:rsidRPr="00F32B28">
        <w:rPr>
          <w:rtl/>
        </w:rPr>
        <w:t>قدره</w:t>
      </w:r>
      <w:r w:rsidR="00F32B28">
        <w:rPr>
          <w:rtl/>
        </w:rPr>
        <w:t xml:space="preserve"> </w:t>
      </w:r>
      <w:r w:rsidR="00F32B28" w:rsidRPr="00F32B28">
        <w:rPr>
          <w:rtl/>
        </w:rPr>
        <w:t>(9)</w:t>
      </w:r>
      <w:r>
        <w:rPr>
          <w:rFonts w:hint="cs"/>
          <w:rtl/>
        </w:rPr>
        <w:t xml:space="preserve"> </w:t>
      </w:r>
      <w:r w:rsidR="00F32B28" w:rsidRPr="00F32B28">
        <w:rPr>
          <w:rtl/>
        </w:rPr>
        <w:t>ملايين</w:t>
      </w:r>
      <w:r w:rsidR="00F32B28">
        <w:rPr>
          <w:rtl/>
        </w:rPr>
        <w:t xml:space="preserve"> </w:t>
      </w:r>
      <w:r w:rsidR="00F32B28" w:rsidRPr="00F32B28">
        <w:rPr>
          <w:rtl/>
        </w:rPr>
        <w:t>دولار</w:t>
      </w:r>
      <w:r w:rsidR="00F32B28">
        <w:rPr>
          <w:rtl/>
        </w:rPr>
        <w:t xml:space="preserve"> </w:t>
      </w:r>
      <w:r w:rsidR="00F32B28" w:rsidRPr="00F32B28">
        <w:rPr>
          <w:rtl/>
        </w:rPr>
        <w:t>أمريكي</w:t>
      </w:r>
      <w:r w:rsidR="00F32B28">
        <w:rPr>
          <w:rtl/>
        </w:rPr>
        <w:t xml:space="preserve"> </w:t>
      </w:r>
      <w:r w:rsidR="00F32B28" w:rsidRPr="00F32B28">
        <w:rPr>
          <w:rtl/>
        </w:rPr>
        <w:t>لاستكمال</w:t>
      </w:r>
      <w:r w:rsidR="00F32B28">
        <w:rPr>
          <w:rtl/>
        </w:rPr>
        <w:t xml:space="preserve"> </w:t>
      </w:r>
      <w:r w:rsidR="00F32B28" w:rsidRPr="00F32B28">
        <w:rPr>
          <w:rtl/>
        </w:rPr>
        <w:t>عملية</w:t>
      </w:r>
      <w:r w:rsidR="00F32B28">
        <w:rPr>
          <w:rtl/>
        </w:rPr>
        <w:t xml:space="preserve"> </w:t>
      </w:r>
      <w:r w:rsidR="00F32B28" w:rsidRPr="00F32B28">
        <w:rPr>
          <w:rtl/>
        </w:rPr>
        <w:t>مراجعة</w:t>
      </w:r>
      <w:r w:rsidR="00F32B28">
        <w:rPr>
          <w:rtl/>
        </w:rPr>
        <w:t xml:space="preserve"> </w:t>
      </w:r>
      <w:r w:rsidR="00F32B28" w:rsidRPr="00F32B28">
        <w:rPr>
          <w:rtl/>
        </w:rPr>
        <w:t>التشريعات</w:t>
      </w:r>
      <w:r w:rsidR="00F32B28">
        <w:rPr>
          <w:rtl/>
        </w:rPr>
        <w:t xml:space="preserve"> </w:t>
      </w:r>
      <w:r w:rsidR="00F32B28" w:rsidRPr="00F32B28">
        <w:rPr>
          <w:rtl/>
        </w:rPr>
        <w:t>والتأكد</w:t>
      </w:r>
      <w:r w:rsidR="00F32B28">
        <w:rPr>
          <w:rtl/>
        </w:rPr>
        <w:t xml:space="preserve"> </w:t>
      </w:r>
      <w:r w:rsidR="00F32B28" w:rsidRPr="00F32B28">
        <w:rPr>
          <w:rtl/>
        </w:rPr>
        <w:t>من</w:t>
      </w:r>
      <w:r w:rsidR="00F32B28">
        <w:rPr>
          <w:rtl/>
        </w:rPr>
        <w:t xml:space="preserve"> </w:t>
      </w:r>
      <w:r w:rsidR="00F32B28" w:rsidRPr="00F32B28">
        <w:rPr>
          <w:rtl/>
        </w:rPr>
        <w:t>مراعاتها</w:t>
      </w:r>
      <w:r w:rsidR="00F32B28">
        <w:rPr>
          <w:rtl/>
        </w:rPr>
        <w:t xml:space="preserve"> </w:t>
      </w:r>
      <w:r w:rsidR="00F32B28" w:rsidRPr="00F32B28">
        <w:rPr>
          <w:rtl/>
        </w:rPr>
        <w:t>لحقوق</w:t>
      </w:r>
      <w:r w:rsidR="00F32B28">
        <w:rPr>
          <w:rtl/>
        </w:rPr>
        <w:t xml:space="preserve"> </w:t>
      </w:r>
      <w:r w:rsidR="00F32B28" w:rsidRPr="00F32B28">
        <w:rPr>
          <w:rtl/>
        </w:rPr>
        <w:t>المرأة،</w:t>
      </w:r>
      <w:r w:rsidR="00F32B28">
        <w:rPr>
          <w:rtl/>
        </w:rPr>
        <w:t xml:space="preserve"> </w:t>
      </w:r>
      <w:r w:rsidR="00F32B28" w:rsidRPr="00F32B28">
        <w:rPr>
          <w:rtl/>
        </w:rPr>
        <w:t>وتنزيهها</w:t>
      </w:r>
      <w:r w:rsidR="00F32B28">
        <w:rPr>
          <w:rtl/>
        </w:rPr>
        <w:t xml:space="preserve"> </w:t>
      </w:r>
      <w:r w:rsidR="00F32B28" w:rsidRPr="00F32B28">
        <w:rPr>
          <w:rtl/>
        </w:rPr>
        <w:t>من</w:t>
      </w:r>
      <w:r w:rsidR="00F32B28">
        <w:rPr>
          <w:rtl/>
        </w:rPr>
        <w:t xml:space="preserve"> </w:t>
      </w:r>
      <w:r w:rsidR="00F32B28" w:rsidRPr="00F32B28">
        <w:rPr>
          <w:rtl/>
        </w:rPr>
        <w:t>الأحكام</w:t>
      </w:r>
      <w:r w:rsidR="00F32B28">
        <w:rPr>
          <w:rtl/>
        </w:rPr>
        <w:t xml:space="preserve"> </w:t>
      </w:r>
      <w:r w:rsidR="00F32B28" w:rsidRPr="00F32B28">
        <w:rPr>
          <w:rtl/>
        </w:rPr>
        <w:t>التمييزية</w:t>
      </w:r>
      <w:r w:rsidR="00F32B28">
        <w:rPr>
          <w:rtl/>
        </w:rPr>
        <w:t xml:space="preserve"> </w:t>
      </w:r>
      <w:r w:rsidR="00F32B28" w:rsidRPr="00F32B28">
        <w:rPr>
          <w:rtl/>
        </w:rPr>
        <w:t>لتنسجم</w:t>
      </w:r>
      <w:r w:rsidR="00F32B28">
        <w:rPr>
          <w:rtl/>
        </w:rPr>
        <w:t xml:space="preserve"> </w:t>
      </w:r>
      <w:r w:rsidR="00F32B28" w:rsidRPr="00F32B28">
        <w:rPr>
          <w:rtl/>
        </w:rPr>
        <w:t>مع</w:t>
      </w:r>
      <w:r w:rsidR="00F32B28">
        <w:rPr>
          <w:rtl/>
        </w:rPr>
        <w:t xml:space="preserve"> </w:t>
      </w:r>
      <w:r w:rsidR="00F32B28" w:rsidRPr="00F32B28">
        <w:rPr>
          <w:rtl/>
        </w:rPr>
        <w:t>الاتفاقيات</w:t>
      </w:r>
      <w:r w:rsidR="00F32B28">
        <w:rPr>
          <w:rtl/>
        </w:rPr>
        <w:t xml:space="preserve"> </w:t>
      </w:r>
      <w:r w:rsidR="00F32B28" w:rsidRPr="00F32B28">
        <w:rPr>
          <w:rtl/>
        </w:rPr>
        <w:t>الدولية.</w:t>
      </w:r>
      <w:r w:rsidR="00F32B28">
        <w:rPr>
          <w:rtl/>
        </w:rPr>
        <w:t xml:space="preserve"> </w:t>
      </w:r>
      <w:r w:rsidR="00F32B28" w:rsidRPr="00F32B28">
        <w:rPr>
          <w:rtl/>
        </w:rPr>
        <w:t>وكذلك</w:t>
      </w:r>
      <w:r w:rsidR="00F32B28">
        <w:rPr>
          <w:rtl/>
        </w:rPr>
        <w:t xml:space="preserve"> </w:t>
      </w:r>
      <w:r w:rsidR="00F32B28" w:rsidRPr="00F32B28">
        <w:rPr>
          <w:rtl/>
        </w:rPr>
        <w:t>من</w:t>
      </w:r>
      <w:r w:rsidR="00F32B28">
        <w:rPr>
          <w:rtl/>
        </w:rPr>
        <w:t xml:space="preserve"> </w:t>
      </w:r>
      <w:r w:rsidR="00F32B28" w:rsidRPr="00F32B28">
        <w:rPr>
          <w:rtl/>
        </w:rPr>
        <w:t>أجل</w:t>
      </w:r>
      <w:r w:rsidR="00F32B28">
        <w:rPr>
          <w:rtl/>
        </w:rPr>
        <w:t xml:space="preserve"> </w:t>
      </w:r>
      <w:r w:rsidR="00F32B28" w:rsidRPr="00F32B28">
        <w:rPr>
          <w:rtl/>
        </w:rPr>
        <w:t>تنفيذ</w:t>
      </w:r>
      <w:r w:rsidR="00F32B28">
        <w:rPr>
          <w:rtl/>
        </w:rPr>
        <w:t xml:space="preserve"> </w:t>
      </w:r>
      <w:r w:rsidR="00F32B28" w:rsidRPr="00F32B28">
        <w:rPr>
          <w:rtl/>
        </w:rPr>
        <w:t>برامج</w:t>
      </w:r>
      <w:r w:rsidR="00F32B28">
        <w:rPr>
          <w:rtl/>
        </w:rPr>
        <w:t xml:space="preserve"> </w:t>
      </w:r>
      <w:r w:rsidR="00F32B28" w:rsidRPr="00F32B28">
        <w:rPr>
          <w:rtl/>
        </w:rPr>
        <w:t>لبناء</w:t>
      </w:r>
      <w:r w:rsidR="00F32B28">
        <w:rPr>
          <w:rtl/>
        </w:rPr>
        <w:t xml:space="preserve"> </w:t>
      </w:r>
      <w:r w:rsidR="00F32B28" w:rsidRPr="00F32B28">
        <w:rPr>
          <w:rtl/>
        </w:rPr>
        <w:t>القدرات</w:t>
      </w:r>
      <w:r w:rsidR="00F32B28">
        <w:rPr>
          <w:rtl/>
        </w:rPr>
        <w:t xml:space="preserve"> </w:t>
      </w:r>
      <w:r w:rsidR="00F32B28" w:rsidRPr="00F32B28">
        <w:rPr>
          <w:rtl/>
        </w:rPr>
        <w:t>في</w:t>
      </w:r>
      <w:r w:rsidR="00F32B28">
        <w:rPr>
          <w:rtl/>
        </w:rPr>
        <w:t xml:space="preserve"> </w:t>
      </w:r>
      <w:r w:rsidR="00F32B28" w:rsidRPr="00F32B28">
        <w:rPr>
          <w:rtl/>
        </w:rPr>
        <w:t>مجال</w:t>
      </w:r>
      <w:r w:rsidR="00F32B28">
        <w:rPr>
          <w:rtl/>
        </w:rPr>
        <w:t xml:space="preserve"> </w:t>
      </w:r>
      <w:r w:rsidR="00F32B28" w:rsidRPr="00F32B28">
        <w:rPr>
          <w:rtl/>
        </w:rPr>
        <w:t>النوع</w:t>
      </w:r>
      <w:r w:rsidR="00F32B28">
        <w:rPr>
          <w:rtl/>
        </w:rPr>
        <w:t xml:space="preserve"> </w:t>
      </w:r>
      <w:r w:rsidR="00F32B28" w:rsidRPr="00F32B28">
        <w:rPr>
          <w:rtl/>
        </w:rPr>
        <w:t>الاجتماعي،</w:t>
      </w:r>
      <w:r w:rsidR="00F32B28">
        <w:rPr>
          <w:rtl/>
        </w:rPr>
        <w:t xml:space="preserve"> </w:t>
      </w:r>
      <w:r w:rsidR="00F32B28" w:rsidRPr="00F32B28">
        <w:rPr>
          <w:rtl/>
        </w:rPr>
        <w:t>وإجراء</w:t>
      </w:r>
      <w:r w:rsidR="00F32B28">
        <w:rPr>
          <w:rtl/>
        </w:rPr>
        <w:t xml:space="preserve"> </w:t>
      </w:r>
      <w:r w:rsidR="00F32B28" w:rsidRPr="00F32B28">
        <w:rPr>
          <w:rtl/>
        </w:rPr>
        <w:t>الدراسات</w:t>
      </w:r>
      <w:r w:rsidR="00F32B28">
        <w:rPr>
          <w:rtl/>
        </w:rPr>
        <w:t xml:space="preserve"> </w:t>
      </w:r>
      <w:r w:rsidR="00F32B28" w:rsidRPr="00F32B28">
        <w:rPr>
          <w:rtl/>
        </w:rPr>
        <w:t>حول</w:t>
      </w:r>
      <w:r w:rsidR="00F32B28">
        <w:rPr>
          <w:rtl/>
        </w:rPr>
        <w:t xml:space="preserve"> </w:t>
      </w:r>
      <w:r w:rsidR="00F32B28" w:rsidRPr="00F32B28">
        <w:rPr>
          <w:rtl/>
        </w:rPr>
        <w:t>فجوات</w:t>
      </w:r>
      <w:r w:rsidR="00F32B28">
        <w:rPr>
          <w:rtl/>
        </w:rPr>
        <w:t xml:space="preserve"> </w:t>
      </w:r>
      <w:r w:rsidR="00F32B28" w:rsidRPr="00F32B28">
        <w:rPr>
          <w:rtl/>
        </w:rPr>
        <w:t>النوع</w:t>
      </w:r>
      <w:r w:rsidR="00F32B28">
        <w:rPr>
          <w:rtl/>
        </w:rPr>
        <w:t xml:space="preserve"> </w:t>
      </w:r>
      <w:r w:rsidR="00F32B28" w:rsidRPr="00F32B28">
        <w:rPr>
          <w:rtl/>
        </w:rPr>
        <w:t>الاجتماعي،</w:t>
      </w:r>
      <w:r w:rsidR="00F32B28">
        <w:rPr>
          <w:rtl/>
        </w:rPr>
        <w:t xml:space="preserve"> </w:t>
      </w:r>
      <w:r w:rsidR="00F32B28" w:rsidRPr="00F32B28">
        <w:rPr>
          <w:rtl/>
        </w:rPr>
        <w:t>والعمل</w:t>
      </w:r>
      <w:r w:rsidR="00F32B28">
        <w:rPr>
          <w:rtl/>
        </w:rPr>
        <w:t xml:space="preserve"> </w:t>
      </w:r>
      <w:r w:rsidR="00F32B28" w:rsidRPr="00F32B28">
        <w:rPr>
          <w:rtl/>
        </w:rPr>
        <w:t>على</w:t>
      </w:r>
      <w:r w:rsidR="00F32B28">
        <w:rPr>
          <w:rtl/>
        </w:rPr>
        <w:t xml:space="preserve"> </w:t>
      </w:r>
      <w:r w:rsidR="00F32B28" w:rsidRPr="00F32B28">
        <w:rPr>
          <w:rtl/>
        </w:rPr>
        <w:t>تقديم</w:t>
      </w:r>
      <w:r w:rsidR="00F32B28">
        <w:rPr>
          <w:rtl/>
        </w:rPr>
        <w:t xml:space="preserve"> </w:t>
      </w:r>
      <w:r w:rsidR="00F32B28" w:rsidRPr="00F32B28">
        <w:rPr>
          <w:rtl/>
        </w:rPr>
        <w:t>الخدمات</w:t>
      </w:r>
      <w:r w:rsidR="00F32B28">
        <w:rPr>
          <w:rtl/>
        </w:rPr>
        <w:t xml:space="preserve"> </w:t>
      </w:r>
      <w:r w:rsidR="00F32B28" w:rsidRPr="00F32B28">
        <w:rPr>
          <w:rtl/>
        </w:rPr>
        <w:t>والحماية</w:t>
      </w:r>
      <w:r w:rsidR="00F32B28">
        <w:rPr>
          <w:rtl/>
        </w:rPr>
        <w:t xml:space="preserve"> </w:t>
      </w:r>
      <w:r w:rsidR="00F32B28" w:rsidRPr="00F32B28">
        <w:rPr>
          <w:rtl/>
        </w:rPr>
        <w:t>للنساء</w:t>
      </w:r>
      <w:r w:rsidR="00F32B28">
        <w:rPr>
          <w:rtl/>
        </w:rPr>
        <w:t xml:space="preserve"> </w:t>
      </w:r>
      <w:r w:rsidR="00F32B28" w:rsidRPr="00F32B28">
        <w:rPr>
          <w:rtl/>
        </w:rPr>
        <w:t>من</w:t>
      </w:r>
      <w:r w:rsidR="00F32B28">
        <w:rPr>
          <w:rtl/>
        </w:rPr>
        <w:t xml:space="preserve"> </w:t>
      </w:r>
      <w:r w:rsidR="00F32B28" w:rsidRPr="00F32B28">
        <w:rPr>
          <w:rtl/>
        </w:rPr>
        <w:t>العنف</w:t>
      </w:r>
      <w:r w:rsidR="00F32B28">
        <w:rPr>
          <w:rtl/>
        </w:rPr>
        <w:t xml:space="preserve"> </w:t>
      </w:r>
      <w:r w:rsidR="00F32B28" w:rsidRPr="00F32B28">
        <w:rPr>
          <w:rtl/>
        </w:rPr>
        <w:t>وضمان</w:t>
      </w:r>
      <w:r w:rsidR="00F32B28">
        <w:rPr>
          <w:rtl/>
        </w:rPr>
        <w:t xml:space="preserve"> </w:t>
      </w:r>
      <w:r w:rsidR="00F32B28" w:rsidRPr="00F32B28">
        <w:rPr>
          <w:rtl/>
        </w:rPr>
        <w:t>وصولهن</w:t>
      </w:r>
      <w:r w:rsidR="00F32B28">
        <w:rPr>
          <w:rtl/>
        </w:rPr>
        <w:t xml:space="preserve"> </w:t>
      </w:r>
      <w:r w:rsidR="00F32B28" w:rsidRPr="00F32B28">
        <w:rPr>
          <w:rtl/>
        </w:rPr>
        <w:t>للعدالة،</w:t>
      </w:r>
      <w:r w:rsidR="00F32B28">
        <w:rPr>
          <w:rtl/>
        </w:rPr>
        <w:t xml:space="preserve"> </w:t>
      </w:r>
      <w:r w:rsidR="00F32B28" w:rsidRPr="00F32B28">
        <w:rPr>
          <w:rtl/>
        </w:rPr>
        <w:t>والتوعية</w:t>
      </w:r>
      <w:r w:rsidR="00F32B28">
        <w:rPr>
          <w:rtl/>
        </w:rPr>
        <w:t xml:space="preserve"> </w:t>
      </w:r>
      <w:r w:rsidR="00F32B28" w:rsidRPr="00F32B28">
        <w:rPr>
          <w:rtl/>
        </w:rPr>
        <w:t>المجتمعية</w:t>
      </w:r>
      <w:r w:rsidR="00F32B28">
        <w:rPr>
          <w:rtl/>
        </w:rPr>
        <w:t xml:space="preserve"> </w:t>
      </w:r>
      <w:r w:rsidR="00F32B28" w:rsidRPr="00F32B28">
        <w:rPr>
          <w:rtl/>
        </w:rPr>
        <w:t>لمناهضة</w:t>
      </w:r>
      <w:r w:rsidR="00F32B28">
        <w:rPr>
          <w:rtl/>
        </w:rPr>
        <w:t xml:space="preserve"> </w:t>
      </w:r>
      <w:r w:rsidR="00F32B28" w:rsidRPr="00F32B28">
        <w:rPr>
          <w:rtl/>
        </w:rPr>
        <w:t>العنف</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وسيتم</w:t>
      </w:r>
      <w:r w:rsidR="00F32B28">
        <w:rPr>
          <w:rtl/>
        </w:rPr>
        <w:t xml:space="preserve"> </w:t>
      </w:r>
      <w:r w:rsidR="00F32B28" w:rsidRPr="00F32B28">
        <w:rPr>
          <w:rtl/>
        </w:rPr>
        <w:t>توجيه</w:t>
      </w:r>
      <w:r w:rsidR="00F32B28">
        <w:rPr>
          <w:rtl/>
        </w:rPr>
        <w:t xml:space="preserve"> </w:t>
      </w:r>
      <w:r w:rsidR="00F32B28" w:rsidRPr="00F32B28">
        <w:rPr>
          <w:rtl/>
        </w:rPr>
        <w:t>جزء</w:t>
      </w:r>
      <w:r w:rsidR="00F32B28">
        <w:rPr>
          <w:rtl/>
        </w:rPr>
        <w:t xml:space="preserve"> </w:t>
      </w:r>
      <w:r w:rsidR="00F32B28" w:rsidRPr="00F32B28">
        <w:rPr>
          <w:rtl/>
        </w:rPr>
        <w:t>من</w:t>
      </w:r>
      <w:r w:rsidR="00F32B28">
        <w:rPr>
          <w:rtl/>
        </w:rPr>
        <w:t xml:space="preserve"> </w:t>
      </w:r>
      <w:r w:rsidR="00F32B28" w:rsidRPr="00F32B28">
        <w:rPr>
          <w:rtl/>
        </w:rPr>
        <w:t>نفقات</w:t>
      </w:r>
      <w:r w:rsidR="00F32B28">
        <w:rPr>
          <w:rtl/>
        </w:rPr>
        <w:t xml:space="preserve"> </w:t>
      </w:r>
      <w:r w:rsidR="00F32B28" w:rsidRPr="00F32B28">
        <w:rPr>
          <w:rtl/>
        </w:rPr>
        <w:t>هذا</w:t>
      </w:r>
      <w:r w:rsidR="00F32B28">
        <w:rPr>
          <w:rtl/>
        </w:rPr>
        <w:t xml:space="preserve"> </w:t>
      </w:r>
      <w:r w:rsidR="00F32B28" w:rsidRPr="00F32B28">
        <w:rPr>
          <w:rtl/>
        </w:rPr>
        <w:t>البند</w:t>
      </w:r>
      <w:r w:rsidR="00F32B28">
        <w:rPr>
          <w:rtl/>
        </w:rPr>
        <w:t xml:space="preserve"> </w:t>
      </w:r>
      <w:r w:rsidR="00F32B28" w:rsidRPr="00F32B28">
        <w:rPr>
          <w:rtl/>
        </w:rPr>
        <w:t>أيضاً</w:t>
      </w:r>
      <w:r w:rsidR="00F32B28">
        <w:rPr>
          <w:rtl/>
        </w:rPr>
        <w:t xml:space="preserve"> </w:t>
      </w:r>
      <w:r w:rsidR="00F32B28" w:rsidRPr="00F32B28">
        <w:rPr>
          <w:rtl/>
        </w:rPr>
        <w:t>من</w:t>
      </w:r>
      <w:r w:rsidR="00F32B28">
        <w:rPr>
          <w:rtl/>
        </w:rPr>
        <w:t xml:space="preserve"> </w:t>
      </w:r>
      <w:r w:rsidR="00F32B28" w:rsidRPr="00F32B28">
        <w:rPr>
          <w:rtl/>
        </w:rPr>
        <w:t>أجل</w:t>
      </w:r>
      <w:r w:rsidR="00F32B28">
        <w:rPr>
          <w:rtl/>
        </w:rPr>
        <w:t xml:space="preserve"> </w:t>
      </w:r>
      <w:r w:rsidR="00F32B28" w:rsidRPr="00F32B28">
        <w:rPr>
          <w:rtl/>
        </w:rPr>
        <w:t>دعم</w:t>
      </w:r>
      <w:r w:rsidR="00F32B28">
        <w:rPr>
          <w:rtl/>
        </w:rPr>
        <w:t xml:space="preserve"> </w:t>
      </w:r>
      <w:r w:rsidR="00F32B28" w:rsidRPr="00F32B28">
        <w:rPr>
          <w:rtl/>
        </w:rPr>
        <w:t>عملية</w:t>
      </w:r>
      <w:r w:rsidR="00F32B28">
        <w:rPr>
          <w:rtl/>
        </w:rPr>
        <w:t xml:space="preserve"> </w:t>
      </w:r>
      <w:r w:rsidR="00F32B28" w:rsidRPr="00F32B28">
        <w:rPr>
          <w:rtl/>
        </w:rPr>
        <w:t>تطوير</w:t>
      </w:r>
      <w:r w:rsidR="00F32B28">
        <w:rPr>
          <w:rtl/>
        </w:rPr>
        <w:t xml:space="preserve"> </w:t>
      </w:r>
      <w:r w:rsidR="00F32B28" w:rsidRPr="00F32B28">
        <w:rPr>
          <w:rtl/>
        </w:rPr>
        <w:t>السياسات</w:t>
      </w:r>
      <w:r w:rsidR="00F32B28">
        <w:rPr>
          <w:rtl/>
        </w:rPr>
        <w:t xml:space="preserve"> </w:t>
      </w:r>
      <w:r w:rsidR="00F32B28" w:rsidRPr="00F32B28">
        <w:rPr>
          <w:rtl/>
        </w:rPr>
        <w:t>وإعداد</w:t>
      </w:r>
      <w:r w:rsidR="00F32B28">
        <w:rPr>
          <w:rtl/>
        </w:rPr>
        <w:t xml:space="preserve"> </w:t>
      </w:r>
      <w:r w:rsidR="00F32B28" w:rsidRPr="00F32B28">
        <w:rPr>
          <w:rtl/>
        </w:rPr>
        <w:t>الموازنات</w:t>
      </w:r>
      <w:r w:rsidR="00F32B28">
        <w:rPr>
          <w:rtl/>
        </w:rPr>
        <w:t xml:space="preserve"> </w:t>
      </w:r>
      <w:r w:rsidR="00F32B28" w:rsidRPr="00F32B28">
        <w:rPr>
          <w:rtl/>
        </w:rPr>
        <w:t>المستجيبة</w:t>
      </w:r>
      <w:r w:rsidR="00F32B28">
        <w:rPr>
          <w:rtl/>
        </w:rPr>
        <w:t xml:space="preserve"> </w:t>
      </w:r>
      <w:r w:rsidR="00F32B28" w:rsidRPr="00F32B28">
        <w:rPr>
          <w:rtl/>
        </w:rPr>
        <w:t>للنوع</w:t>
      </w:r>
      <w:r w:rsidR="00F32B28">
        <w:rPr>
          <w:rtl/>
        </w:rPr>
        <w:t xml:space="preserve"> </w:t>
      </w:r>
      <w:r w:rsidR="00F32B28" w:rsidRPr="00F32B28">
        <w:rPr>
          <w:rtl/>
        </w:rPr>
        <w:t>الاجتماعي.</w:t>
      </w:r>
    </w:p>
    <w:p w:rsidR="00F32B28" w:rsidRPr="00F32B28" w:rsidRDefault="00186574" w:rsidP="00846FB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الموازنة</w:t>
      </w:r>
      <w:r w:rsidR="00F32B28">
        <w:rPr>
          <w:rtl/>
        </w:rPr>
        <w:t xml:space="preserve"> </w:t>
      </w:r>
      <w:r w:rsidR="00F32B28" w:rsidRPr="00F32B28">
        <w:rPr>
          <w:rtl/>
        </w:rPr>
        <w:t>المخصصة</w:t>
      </w:r>
      <w:r w:rsidR="00F32B28">
        <w:rPr>
          <w:rtl/>
        </w:rPr>
        <w:t xml:space="preserve"> </w:t>
      </w:r>
      <w:r w:rsidR="00F32B28" w:rsidRPr="00F32B28">
        <w:rPr>
          <w:rtl/>
        </w:rPr>
        <w:t>لوزارة</w:t>
      </w:r>
      <w:r w:rsidR="00F32B28">
        <w:rPr>
          <w:rtl/>
        </w:rPr>
        <w:t xml:space="preserve"> </w:t>
      </w:r>
      <w:r w:rsidR="00F32B28" w:rsidRPr="00F32B28">
        <w:rPr>
          <w:rtl/>
        </w:rPr>
        <w:t>شؤون</w:t>
      </w:r>
      <w:r w:rsidR="00F32B28">
        <w:rPr>
          <w:rtl/>
        </w:rPr>
        <w:t xml:space="preserve"> </w:t>
      </w:r>
      <w:r w:rsidR="00F32B28" w:rsidRPr="00F32B28">
        <w:rPr>
          <w:rtl/>
        </w:rPr>
        <w:t>المرأة</w:t>
      </w:r>
      <w:r w:rsidR="00F32B28">
        <w:rPr>
          <w:rtl/>
        </w:rPr>
        <w:t xml:space="preserve"> </w:t>
      </w:r>
      <w:r w:rsidR="00F32B28" w:rsidRPr="00F32B28">
        <w:rPr>
          <w:rtl/>
        </w:rPr>
        <w:t>من</w:t>
      </w:r>
      <w:r w:rsidR="00F32B28">
        <w:rPr>
          <w:rtl/>
        </w:rPr>
        <w:t xml:space="preserve"> </w:t>
      </w:r>
      <w:r w:rsidR="00F32B28" w:rsidRPr="00F32B28">
        <w:rPr>
          <w:rtl/>
        </w:rPr>
        <w:t>الموازنة</w:t>
      </w:r>
      <w:r w:rsidR="00F32B28">
        <w:rPr>
          <w:rtl/>
        </w:rPr>
        <w:t xml:space="preserve"> </w:t>
      </w:r>
      <w:r w:rsidR="00F32B28" w:rsidRPr="00F32B28">
        <w:rPr>
          <w:rtl/>
        </w:rPr>
        <w:t>العامة</w:t>
      </w:r>
      <w:r w:rsidR="00F32B28">
        <w:rPr>
          <w:rtl/>
        </w:rPr>
        <w:t xml:space="preserve"> </w:t>
      </w:r>
      <w:r w:rsidR="00F32B28" w:rsidRPr="00F32B28">
        <w:rPr>
          <w:rtl/>
        </w:rPr>
        <w:t>السنوية،</w:t>
      </w:r>
      <w:r w:rsidR="00F32B28">
        <w:rPr>
          <w:rtl/>
        </w:rPr>
        <w:t xml:space="preserve"> </w:t>
      </w:r>
      <w:r w:rsidR="00F32B28" w:rsidRPr="00F32B28">
        <w:rPr>
          <w:rtl/>
        </w:rPr>
        <w:t>وزيادتها</w:t>
      </w:r>
      <w:r w:rsidR="00F32B28">
        <w:rPr>
          <w:rtl/>
        </w:rPr>
        <w:t xml:space="preserve"> </w:t>
      </w:r>
      <w:r w:rsidR="00F32B28" w:rsidRPr="00F32B28">
        <w:rPr>
          <w:rtl/>
        </w:rPr>
        <w:t>كل</w:t>
      </w:r>
      <w:r w:rsidR="00F32B28">
        <w:rPr>
          <w:rtl/>
        </w:rPr>
        <w:t xml:space="preserve"> </w:t>
      </w:r>
      <w:r w:rsidR="00F32B28" w:rsidRPr="00F32B28">
        <w:rPr>
          <w:rtl/>
        </w:rPr>
        <w:t>عام</w:t>
      </w:r>
      <w:r w:rsidR="00F32B28">
        <w:rPr>
          <w:rtl/>
        </w:rPr>
        <w:t xml:space="preserve"> </w:t>
      </w:r>
      <w:r w:rsidR="00F32B28" w:rsidRPr="00F32B28">
        <w:rPr>
          <w:rtl/>
        </w:rPr>
        <w:t>تصاعدياً</w:t>
      </w:r>
      <w:r w:rsidR="00F32B28">
        <w:rPr>
          <w:rtl/>
        </w:rPr>
        <w:t xml:space="preserve"> </w:t>
      </w:r>
      <w:r w:rsidR="00F32B28" w:rsidRPr="00F32B28">
        <w:rPr>
          <w:rtl/>
        </w:rPr>
        <w:t>وذلك</w:t>
      </w:r>
      <w:r w:rsidR="00F32B28">
        <w:rPr>
          <w:rtl/>
        </w:rPr>
        <w:t xml:space="preserve"> </w:t>
      </w:r>
      <w:r w:rsidR="00F32B28" w:rsidRPr="00F32B28">
        <w:rPr>
          <w:rtl/>
        </w:rPr>
        <w:t>في</w:t>
      </w:r>
      <w:r w:rsidR="00F32B28">
        <w:rPr>
          <w:rtl/>
        </w:rPr>
        <w:t xml:space="preserve"> </w:t>
      </w:r>
      <w:r w:rsidR="00F32B28" w:rsidRPr="00F32B28">
        <w:rPr>
          <w:rtl/>
        </w:rPr>
        <w:t>إطار</w:t>
      </w:r>
      <w:r w:rsidR="00F32B28">
        <w:rPr>
          <w:rtl/>
        </w:rPr>
        <w:t xml:space="preserve"> </w:t>
      </w:r>
      <w:r w:rsidR="00F32B28" w:rsidRPr="00F32B28">
        <w:rPr>
          <w:rtl/>
        </w:rPr>
        <w:t>الجهود</w:t>
      </w:r>
      <w:r w:rsidR="00F32B28">
        <w:rPr>
          <w:rtl/>
        </w:rPr>
        <w:t xml:space="preserve"> </w:t>
      </w:r>
      <w:r w:rsidR="00F32B28" w:rsidRPr="00F32B28">
        <w:rPr>
          <w:rtl/>
        </w:rPr>
        <w:t>الوطنية</w:t>
      </w:r>
      <w:r w:rsidR="00F32B28">
        <w:rPr>
          <w:rtl/>
        </w:rPr>
        <w:t xml:space="preserve"> </w:t>
      </w:r>
      <w:r w:rsidR="00F32B28" w:rsidRPr="00F32B28">
        <w:rPr>
          <w:rtl/>
        </w:rPr>
        <w:t>المبذولة</w:t>
      </w:r>
      <w:r w:rsidR="00F32B28">
        <w:rPr>
          <w:rtl/>
        </w:rPr>
        <w:t xml:space="preserve"> </w:t>
      </w:r>
      <w:r w:rsidR="00F32B28" w:rsidRPr="00F32B28">
        <w:rPr>
          <w:rtl/>
        </w:rPr>
        <w:t>لتمكين</w:t>
      </w:r>
      <w:r w:rsidR="00F32B28">
        <w:rPr>
          <w:rtl/>
        </w:rPr>
        <w:t xml:space="preserve"> </w:t>
      </w:r>
      <w:r w:rsidR="00F32B28" w:rsidRPr="00F32B28">
        <w:rPr>
          <w:rtl/>
        </w:rPr>
        <w:t>المرأة</w:t>
      </w:r>
      <w:r w:rsidR="00F32B28">
        <w:rPr>
          <w:rtl/>
        </w:rPr>
        <w:t xml:space="preserve"> </w:t>
      </w:r>
      <w:r w:rsidR="00F32B28" w:rsidRPr="00F32B28">
        <w:rPr>
          <w:rtl/>
        </w:rPr>
        <w:t>وتحقيق</w:t>
      </w:r>
      <w:r w:rsidR="00F32B28">
        <w:rPr>
          <w:rtl/>
        </w:rPr>
        <w:t xml:space="preserve"> </w:t>
      </w:r>
      <w:r w:rsidR="00F32B28" w:rsidRPr="00F32B28">
        <w:rPr>
          <w:rtl/>
        </w:rPr>
        <w:t>المساواة</w:t>
      </w:r>
      <w:r w:rsidR="00F32B28">
        <w:rPr>
          <w:rtl/>
        </w:rPr>
        <w:t xml:space="preserve"> </w:t>
      </w:r>
      <w:r w:rsidR="00F32B28" w:rsidRPr="00F32B28">
        <w:rPr>
          <w:rtl/>
        </w:rPr>
        <w:t>بين</w:t>
      </w:r>
      <w:r w:rsidR="00F32B28">
        <w:rPr>
          <w:rtl/>
        </w:rPr>
        <w:t xml:space="preserve"> </w:t>
      </w:r>
      <w:r w:rsidR="00F32B28" w:rsidRPr="00F32B28">
        <w:rPr>
          <w:rtl/>
        </w:rPr>
        <w:t>الجنسين،</w:t>
      </w:r>
      <w:r w:rsidR="00F32B28">
        <w:rPr>
          <w:rtl/>
        </w:rPr>
        <w:t xml:space="preserve"> </w:t>
      </w:r>
      <w:r w:rsidR="00F32B28" w:rsidRPr="00F32B28">
        <w:rPr>
          <w:rtl/>
        </w:rPr>
        <w:t>لا</w:t>
      </w:r>
      <w:r w:rsidR="00F32B28">
        <w:rPr>
          <w:rtl/>
        </w:rPr>
        <w:t xml:space="preserve"> </w:t>
      </w:r>
      <w:r w:rsidR="00F32B28" w:rsidRPr="00F32B28">
        <w:rPr>
          <w:rtl/>
        </w:rPr>
        <w:t>سيما</w:t>
      </w:r>
      <w:r w:rsidR="00F32B28">
        <w:rPr>
          <w:rtl/>
        </w:rPr>
        <w:t xml:space="preserve"> </w:t>
      </w:r>
      <w:r w:rsidR="00F32B28" w:rsidRPr="00F32B28">
        <w:rPr>
          <w:rtl/>
        </w:rPr>
        <w:t>بعد</w:t>
      </w:r>
      <w:r w:rsidR="00F32B28">
        <w:rPr>
          <w:rtl/>
        </w:rPr>
        <w:t xml:space="preserve"> </w:t>
      </w:r>
      <w:r w:rsidR="00F32B28" w:rsidRPr="00F32B28">
        <w:rPr>
          <w:rtl/>
        </w:rPr>
        <w:t>انضمام</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لاتفاقية</w:t>
      </w:r>
      <w:r w:rsidR="00F32B28">
        <w:rPr>
          <w:rtl/>
        </w:rPr>
        <w:t xml:space="preserve"> </w:t>
      </w:r>
      <w:r w:rsidR="001D253C">
        <w:rPr>
          <w:rFonts w:hint="cs"/>
          <w:rtl/>
        </w:rPr>
        <w:t>”</w:t>
      </w:r>
      <w:r w:rsidR="00F32B28" w:rsidRPr="00F32B28">
        <w:rPr>
          <w:rtl/>
        </w:rPr>
        <w:t>سيداو</w:t>
      </w:r>
      <w:r w:rsidR="001D253C">
        <w:rPr>
          <w:rFonts w:hint="cs"/>
          <w:rtl/>
        </w:rPr>
        <w:t>“</w:t>
      </w:r>
      <w:r w:rsidR="00F32B28" w:rsidRPr="00F32B28">
        <w:rPr>
          <w:rtl/>
        </w:rPr>
        <w:t>،</w:t>
      </w:r>
      <w:r w:rsidR="00F32B28">
        <w:rPr>
          <w:rtl/>
        </w:rPr>
        <w:t xml:space="preserve"> </w:t>
      </w:r>
      <w:r w:rsidR="00F32B28" w:rsidRPr="00F32B28">
        <w:rPr>
          <w:rtl/>
        </w:rPr>
        <w:t>حيث</w:t>
      </w:r>
      <w:r w:rsidR="00F32B28">
        <w:rPr>
          <w:rtl/>
        </w:rPr>
        <w:t xml:space="preserve"> </w:t>
      </w:r>
      <w:r w:rsidR="00F32B28" w:rsidRPr="00F32B28">
        <w:rPr>
          <w:rtl/>
        </w:rPr>
        <w:t>بلغ</w:t>
      </w:r>
      <w:r w:rsidR="00F32B28">
        <w:rPr>
          <w:rtl/>
        </w:rPr>
        <w:t xml:space="preserve"> </w:t>
      </w:r>
      <w:r w:rsidR="00F32B28" w:rsidRPr="00F32B28">
        <w:rPr>
          <w:rtl/>
        </w:rPr>
        <w:t>إجمالي</w:t>
      </w:r>
      <w:r w:rsidR="00F32B28">
        <w:rPr>
          <w:rtl/>
        </w:rPr>
        <w:t xml:space="preserve"> </w:t>
      </w:r>
      <w:r w:rsidR="00F32B28" w:rsidRPr="00F32B28">
        <w:rPr>
          <w:rtl/>
        </w:rPr>
        <w:t>الموازنة</w:t>
      </w:r>
      <w:r w:rsidR="00F32B28">
        <w:rPr>
          <w:rtl/>
        </w:rPr>
        <w:t xml:space="preserve"> </w:t>
      </w:r>
      <w:r w:rsidR="00F32B28" w:rsidRPr="00F32B28">
        <w:rPr>
          <w:rtl/>
        </w:rPr>
        <w:t>المخصصة</w:t>
      </w:r>
      <w:r w:rsidR="00F32B28">
        <w:rPr>
          <w:rtl/>
        </w:rPr>
        <w:t xml:space="preserve"> </w:t>
      </w:r>
      <w:r w:rsidR="00F32B28" w:rsidRPr="00F32B28">
        <w:rPr>
          <w:rtl/>
        </w:rPr>
        <w:t>للوزارة</w:t>
      </w:r>
      <w:r w:rsidR="00F32B28">
        <w:rPr>
          <w:rtl/>
        </w:rPr>
        <w:t xml:space="preserve"> </w:t>
      </w:r>
      <w:r w:rsidR="00F32B28" w:rsidRPr="00F32B28">
        <w:rPr>
          <w:rtl/>
        </w:rPr>
        <w:t>للعام</w:t>
      </w:r>
      <w:r w:rsidR="00F32B28">
        <w:rPr>
          <w:rtl/>
        </w:rPr>
        <w:t xml:space="preserve"> </w:t>
      </w:r>
      <w:r w:rsidR="00F32B28" w:rsidRPr="00F32B28">
        <w:rPr>
          <w:rtl/>
        </w:rPr>
        <w:t>2007</w:t>
      </w:r>
      <w:r w:rsidR="0043161B">
        <w:rPr>
          <w:rFonts w:hint="cs"/>
          <w:rtl/>
        </w:rPr>
        <w:t xml:space="preserve"> </w:t>
      </w:r>
      <w:r w:rsidR="00F32B28" w:rsidRPr="00F32B28">
        <w:rPr>
          <w:rtl/>
        </w:rPr>
        <w:t>حوالي</w:t>
      </w:r>
      <w:r w:rsidR="00F32B28">
        <w:rPr>
          <w:rtl/>
        </w:rPr>
        <w:t xml:space="preserve"> </w:t>
      </w:r>
      <w:r w:rsidR="00F32B28" w:rsidRPr="00F32B28">
        <w:rPr>
          <w:rtl/>
        </w:rPr>
        <w:t>(</w:t>
      </w:r>
      <w:r w:rsidR="00846FB9">
        <w:rPr>
          <w:rFonts w:hint="cs"/>
          <w:rtl/>
        </w:rPr>
        <w:t>254 079 1</w:t>
      </w:r>
      <w:r w:rsidR="00F32B28" w:rsidRPr="00F32B28">
        <w:rPr>
          <w:rtl/>
        </w:rPr>
        <w:t>)</w:t>
      </w:r>
      <w:r w:rsidR="00F32B28">
        <w:rPr>
          <w:rtl/>
        </w:rPr>
        <w:t xml:space="preserve"> </w:t>
      </w:r>
      <w:r w:rsidR="00F32B28" w:rsidRPr="00F32B28">
        <w:rPr>
          <w:rtl/>
        </w:rPr>
        <w:t>دولار</w:t>
      </w:r>
      <w:r w:rsidR="00F32B28">
        <w:rPr>
          <w:rtl/>
        </w:rPr>
        <w:t xml:space="preserve"> </w:t>
      </w:r>
      <w:r w:rsidR="00F32B28" w:rsidRPr="00F32B28">
        <w:rPr>
          <w:rtl/>
        </w:rPr>
        <w:t>أمريكي،</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ارتفع</w:t>
      </w:r>
      <w:r w:rsidR="00F32B28">
        <w:rPr>
          <w:rtl/>
        </w:rPr>
        <w:t xml:space="preserve"> </w:t>
      </w:r>
      <w:r w:rsidR="00F32B28" w:rsidRPr="00F32B28">
        <w:rPr>
          <w:rtl/>
        </w:rPr>
        <w:t>في</w:t>
      </w:r>
      <w:r w:rsidR="00F32B28">
        <w:rPr>
          <w:rtl/>
        </w:rPr>
        <w:t xml:space="preserve"> </w:t>
      </w:r>
      <w:r w:rsidR="00F32B28" w:rsidRPr="00F32B28">
        <w:rPr>
          <w:rtl/>
        </w:rPr>
        <w:t>العامين</w:t>
      </w:r>
      <w:r w:rsidR="00F32B28">
        <w:rPr>
          <w:rtl/>
        </w:rPr>
        <w:t xml:space="preserve"> </w:t>
      </w:r>
      <w:r w:rsidR="00F32B28" w:rsidRPr="00F32B28">
        <w:rPr>
          <w:rtl/>
        </w:rPr>
        <w:t>2015</w:t>
      </w:r>
      <w:r w:rsidR="00F32B28">
        <w:rPr>
          <w:rtl/>
        </w:rPr>
        <w:t xml:space="preserve"> </w:t>
      </w:r>
      <w:r w:rsidR="00F32B28" w:rsidRPr="00F32B28">
        <w:rPr>
          <w:rtl/>
        </w:rPr>
        <w:t>و</w:t>
      </w:r>
      <w:r w:rsidR="00846FB9">
        <w:rPr>
          <w:rFonts w:hint="cs"/>
          <w:rtl/>
        </w:rPr>
        <w:t xml:space="preserve"> </w:t>
      </w:r>
      <w:r w:rsidR="00F32B28" w:rsidRPr="00F32B28">
        <w:rPr>
          <w:rtl/>
        </w:rPr>
        <w:t>2016</w:t>
      </w:r>
      <w:r w:rsidR="00F32B28">
        <w:rPr>
          <w:rtl/>
        </w:rPr>
        <w:t xml:space="preserve"> </w:t>
      </w:r>
      <w:r w:rsidR="00F32B28" w:rsidRPr="00F32B28">
        <w:rPr>
          <w:rtl/>
        </w:rPr>
        <w:t>ليبلغ</w:t>
      </w:r>
      <w:r w:rsidR="00F32B28">
        <w:rPr>
          <w:rtl/>
        </w:rPr>
        <w:t xml:space="preserve"> </w:t>
      </w:r>
      <w:r w:rsidR="00F32B28" w:rsidRPr="00F32B28">
        <w:rPr>
          <w:rtl/>
        </w:rPr>
        <w:t>حوالي</w:t>
      </w:r>
      <w:r w:rsidR="00F32B28">
        <w:rPr>
          <w:rtl/>
        </w:rPr>
        <w:t xml:space="preserve"> </w:t>
      </w:r>
      <w:r w:rsidR="00F32B28" w:rsidRPr="00F32B28">
        <w:rPr>
          <w:rtl/>
        </w:rPr>
        <w:t>(</w:t>
      </w:r>
      <w:r w:rsidR="004B33D7">
        <w:rPr>
          <w:rFonts w:hint="cs"/>
          <w:rtl/>
        </w:rPr>
        <w:t>576 253 2)</w:t>
      </w:r>
      <w:r w:rsidR="00F32B28">
        <w:rPr>
          <w:rtl/>
          <w:lang w:bidi="ar-SY"/>
        </w:rPr>
        <w:t xml:space="preserve"> </w:t>
      </w:r>
      <w:r w:rsidR="00F32B28" w:rsidRPr="00F32B28">
        <w:rPr>
          <w:rtl/>
          <w:lang w:bidi="ar-SY"/>
        </w:rPr>
        <w:t>و</w:t>
      </w:r>
      <w:r w:rsidR="004B33D7">
        <w:rPr>
          <w:rFonts w:hint="cs"/>
          <w:rtl/>
          <w:lang w:bidi="ar-SY"/>
        </w:rPr>
        <w:t xml:space="preserve"> </w:t>
      </w:r>
      <w:r w:rsidR="00F32B28" w:rsidRPr="00F32B28">
        <w:rPr>
          <w:rtl/>
          <w:lang w:bidi="ar-SY"/>
        </w:rPr>
        <w:t>(</w:t>
      </w:r>
      <w:r w:rsidR="004B33D7">
        <w:rPr>
          <w:rFonts w:hint="cs"/>
          <w:rtl/>
          <w:lang w:bidi="ar-SY"/>
        </w:rPr>
        <w:t>672 861 1</w:t>
      </w:r>
      <w:r w:rsidR="00F32B28" w:rsidRPr="00F32B28">
        <w:rPr>
          <w:rtl/>
          <w:lang w:bidi="ar-SY"/>
        </w:rPr>
        <w:t>)</w:t>
      </w:r>
      <w:r w:rsidR="00F32B28">
        <w:rPr>
          <w:rtl/>
          <w:lang w:bidi="ar-SY"/>
        </w:rPr>
        <w:t xml:space="preserve"> </w:t>
      </w:r>
      <w:r w:rsidR="00F32B28" w:rsidRPr="00F32B28">
        <w:rPr>
          <w:rtl/>
          <w:lang w:bidi="ar-SY"/>
        </w:rPr>
        <w:t>دولار</w:t>
      </w:r>
      <w:r w:rsidR="00F32B28">
        <w:rPr>
          <w:rtl/>
          <w:lang w:bidi="ar-SY"/>
        </w:rPr>
        <w:t xml:space="preserve"> </w:t>
      </w:r>
      <w:r w:rsidR="00F32B28" w:rsidRPr="00F32B28">
        <w:rPr>
          <w:rtl/>
          <w:lang w:bidi="ar-SY"/>
        </w:rPr>
        <w:t>أمريكي</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التوالي.</w:t>
      </w:r>
    </w:p>
    <w:p w:rsidR="00F32B28" w:rsidRPr="00F32B28" w:rsidRDefault="00186574" w:rsidP="0018657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b/>
          <w:bCs/>
          <w:rtl/>
          <w:lang w:bidi="ar-SY"/>
        </w:rPr>
      </w:pPr>
      <w:r>
        <w:rPr>
          <w:rFonts w:hint="cs"/>
          <w:rtl/>
        </w:rPr>
        <w:tab/>
      </w:r>
      <w:r>
        <w:rPr>
          <w:rFonts w:hint="eastAsia"/>
          <w:rtl/>
        </w:rPr>
        <w:t>•</w:t>
      </w:r>
      <w:r>
        <w:rPr>
          <w:rFonts w:hint="cs"/>
          <w:rtl/>
        </w:rPr>
        <w:tab/>
      </w:r>
      <w:r w:rsidR="00F32B28" w:rsidRPr="00F32B28">
        <w:rPr>
          <w:rtl/>
        </w:rPr>
        <w:t>الميزانيات</w:t>
      </w:r>
      <w:r w:rsidR="00F32B28">
        <w:rPr>
          <w:rtl/>
        </w:rPr>
        <w:t xml:space="preserve"> </w:t>
      </w:r>
      <w:r w:rsidR="00F32B28" w:rsidRPr="00F32B28">
        <w:rPr>
          <w:rtl/>
        </w:rPr>
        <w:t>التي</w:t>
      </w:r>
      <w:r w:rsidR="00F32B28">
        <w:rPr>
          <w:rtl/>
        </w:rPr>
        <w:t xml:space="preserve"> </w:t>
      </w:r>
      <w:r w:rsidR="00F32B28" w:rsidRPr="00F32B28">
        <w:rPr>
          <w:rtl/>
        </w:rPr>
        <w:t>تصرف</w:t>
      </w:r>
      <w:r w:rsidR="00F32B28">
        <w:rPr>
          <w:rtl/>
        </w:rPr>
        <w:t xml:space="preserve"> </w:t>
      </w:r>
      <w:r w:rsidR="00F32B28" w:rsidRPr="00F32B28">
        <w:rPr>
          <w:rtl/>
        </w:rPr>
        <w:t>لعمل</w:t>
      </w:r>
      <w:r w:rsidR="00F32B28">
        <w:rPr>
          <w:rtl/>
        </w:rPr>
        <w:t xml:space="preserve"> </w:t>
      </w:r>
      <w:r w:rsidR="00F32B28" w:rsidRPr="00F32B28">
        <w:rPr>
          <w:rtl/>
        </w:rPr>
        <w:t>وحدات</w:t>
      </w:r>
      <w:r w:rsidR="00F32B28">
        <w:rPr>
          <w:rtl/>
        </w:rPr>
        <w:t xml:space="preserve"> </w:t>
      </w:r>
      <w:r w:rsidR="00F32B28" w:rsidRPr="00F32B28">
        <w:rPr>
          <w:rtl/>
        </w:rPr>
        <w:t>النوع</w:t>
      </w:r>
      <w:r w:rsidR="00F32B28">
        <w:rPr>
          <w:rtl/>
        </w:rPr>
        <w:t xml:space="preserve"> </w:t>
      </w:r>
      <w:r w:rsidR="00F32B28" w:rsidRPr="00F32B28">
        <w:rPr>
          <w:rtl/>
        </w:rPr>
        <w:t>الاجتماعي</w:t>
      </w:r>
      <w:r w:rsidR="00F32B28">
        <w:rPr>
          <w:rtl/>
        </w:rPr>
        <w:t xml:space="preserve"> </w:t>
      </w:r>
      <w:r w:rsidR="00F32B28" w:rsidRPr="00F32B28">
        <w:rPr>
          <w:rtl/>
        </w:rPr>
        <w:t>وللوزارات</w:t>
      </w:r>
      <w:r w:rsidR="00F32B28">
        <w:rPr>
          <w:rtl/>
        </w:rPr>
        <w:t xml:space="preserve"> </w:t>
      </w:r>
      <w:r w:rsidR="00F32B28" w:rsidRPr="00F32B28">
        <w:rPr>
          <w:rtl/>
        </w:rPr>
        <w:t>التي</w:t>
      </w:r>
      <w:r w:rsidR="00F32B28">
        <w:rPr>
          <w:rtl/>
        </w:rPr>
        <w:t xml:space="preserve"> </w:t>
      </w:r>
      <w:r w:rsidR="00F32B28" w:rsidRPr="00F32B28">
        <w:rPr>
          <w:rtl/>
        </w:rPr>
        <w:t>يتصل</w:t>
      </w:r>
      <w:r w:rsidR="00F32B28">
        <w:rPr>
          <w:rtl/>
        </w:rPr>
        <w:t xml:space="preserve"> </w:t>
      </w:r>
      <w:r w:rsidR="00F32B28" w:rsidRPr="00F32B28">
        <w:rPr>
          <w:rtl/>
        </w:rPr>
        <w:t>عملها</w:t>
      </w:r>
      <w:r w:rsidR="00F32B28">
        <w:rPr>
          <w:rtl/>
        </w:rPr>
        <w:t xml:space="preserve"> </w:t>
      </w:r>
      <w:r w:rsidR="00F32B28" w:rsidRPr="00F32B28">
        <w:rPr>
          <w:rtl/>
        </w:rPr>
        <w:t>بالمرأة</w:t>
      </w:r>
      <w:r w:rsidR="00F32B28">
        <w:rPr>
          <w:rtl/>
        </w:rPr>
        <w:t xml:space="preserve"> </w:t>
      </w:r>
      <w:r w:rsidR="00F32B28" w:rsidRPr="00F32B28">
        <w:rPr>
          <w:rtl/>
        </w:rPr>
        <w:t>وتمكينها</w:t>
      </w:r>
      <w:r w:rsidR="00F32B28">
        <w:rPr>
          <w:rtl/>
        </w:rPr>
        <w:t xml:space="preserve"> </w:t>
      </w:r>
      <w:r w:rsidR="00F32B28" w:rsidRPr="00F32B28">
        <w:rPr>
          <w:rtl/>
        </w:rPr>
        <w:t>على</w:t>
      </w:r>
      <w:r w:rsidR="00F32B28">
        <w:rPr>
          <w:rtl/>
        </w:rPr>
        <w:t xml:space="preserve"> </w:t>
      </w:r>
      <w:r w:rsidR="00F32B28" w:rsidRPr="00F32B28">
        <w:rPr>
          <w:rtl/>
        </w:rPr>
        <w:t>مختلف</w:t>
      </w:r>
      <w:r w:rsidR="00F32B28">
        <w:rPr>
          <w:rtl/>
        </w:rPr>
        <w:t xml:space="preserve"> </w:t>
      </w:r>
      <w:r w:rsidR="00F32B28" w:rsidRPr="00F32B28">
        <w:rPr>
          <w:rtl/>
        </w:rPr>
        <w:t>الأصعدة.</w:t>
      </w:r>
    </w:p>
    <w:p w:rsidR="00186574" w:rsidRPr="00186574" w:rsidRDefault="00186574" w:rsidP="00186574">
      <w:pPr>
        <w:pStyle w:val="SingleTxt"/>
        <w:spacing w:after="0" w:line="120" w:lineRule="exact"/>
        <w:rPr>
          <w:b/>
          <w:bCs/>
          <w:sz w:val="10"/>
          <w:rtl/>
          <w:lang w:bidi="ar-SY"/>
        </w:rPr>
      </w:pPr>
    </w:p>
    <w:p w:rsidR="00F32B28" w:rsidRPr="00F32B28" w:rsidRDefault="00F32B28" w:rsidP="00F32B28">
      <w:pPr>
        <w:pStyle w:val="SingleTxt"/>
        <w:rPr>
          <w:b/>
          <w:bCs/>
        </w:rPr>
      </w:pPr>
      <w:r w:rsidRPr="00F32B28">
        <w:rPr>
          <w:b/>
          <w:bCs/>
          <w:rtl/>
          <w:lang w:bidi="ar-SY"/>
        </w:rPr>
        <w:t>حماية</w:t>
      </w:r>
      <w:r>
        <w:rPr>
          <w:b/>
          <w:bCs/>
          <w:rtl/>
          <w:lang w:bidi="ar-SY"/>
        </w:rPr>
        <w:t xml:space="preserve"> </w:t>
      </w:r>
      <w:r w:rsidRPr="00F32B28">
        <w:rPr>
          <w:b/>
          <w:bCs/>
          <w:rtl/>
          <w:lang w:bidi="ar-SY"/>
        </w:rPr>
        <w:t>الأمومة</w:t>
      </w:r>
    </w:p>
    <w:p w:rsidR="00F32B28" w:rsidRPr="00F32B28" w:rsidRDefault="00186574" w:rsidP="00186574">
      <w:pPr>
        <w:pStyle w:val="SingleTxt"/>
        <w:rPr>
          <w:rtl/>
          <w:lang w:bidi="ar-SY"/>
        </w:rPr>
      </w:pPr>
      <w:r>
        <w:rPr>
          <w:rFonts w:hint="cs"/>
          <w:rtl/>
          <w:lang w:bidi="ar-SY"/>
        </w:rPr>
        <w:t>74 -</w:t>
      </w:r>
      <w:r>
        <w:rPr>
          <w:rFonts w:hint="cs"/>
          <w:rtl/>
          <w:lang w:bidi="ar-SY"/>
        </w:rPr>
        <w:tab/>
      </w:r>
      <w:r w:rsidR="00F32B28" w:rsidRPr="00F32B28">
        <w:rPr>
          <w:rtl/>
          <w:lang w:bidi="ar-SY"/>
        </w:rPr>
        <w:t>جاء</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بنص</w:t>
      </w:r>
      <w:r w:rsidR="00F32B28">
        <w:rPr>
          <w:rtl/>
          <w:lang w:bidi="ar-SY"/>
        </w:rPr>
        <w:t xml:space="preserve"> </w:t>
      </w:r>
      <w:r w:rsidR="00F32B28" w:rsidRPr="00F32B28">
        <w:rPr>
          <w:rtl/>
          <w:lang w:bidi="ar-SY"/>
        </w:rPr>
        <w:t>المادة</w:t>
      </w:r>
      <w:r w:rsidR="00F32B28">
        <w:rPr>
          <w:rtl/>
          <w:lang w:bidi="ar-SY"/>
        </w:rPr>
        <w:t xml:space="preserve"> </w:t>
      </w:r>
      <w:r w:rsidR="00F32B28" w:rsidRPr="00F32B28">
        <w:rPr>
          <w:rtl/>
          <w:lang w:bidi="ar-SY"/>
        </w:rPr>
        <w:t>(29)</w:t>
      </w:r>
      <w:r w:rsidR="00F32B28">
        <w:rPr>
          <w:rtl/>
          <w:lang w:bidi="ar-SY"/>
        </w:rPr>
        <w:t xml:space="preserve"> </w:t>
      </w:r>
      <w:r w:rsidR="00F32B28" w:rsidRPr="00F32B28">
        <w:rPr>
          <w:rtl/>
          <w:lang w:bidi="ar-SY"/>
        </w:rPr>
        <w:t>ليفرض</w:t>
      </w:r>
      <w:r w:rsidR="00F32B28">
        <w:rPr>
          <w:rtl/>
          <w:lang w:bidi="ar-SY"/>
        </w:rPr>
        <w:t xml:space="preserve"> </w:t>
      </w:r>
      <w:r w:rsidR="00F32B28" w:rsidRPr="00F32B28">
        <w:rPr>
          <w:rtl/>
          <w:lang w:bidi="ar-SY"/>
        </w:rPr>
        <w:t>حماية</w:t>
      </w:r>
      <w:r w:rsidR="00F32B28">
        <w:rPr>
          <w:rtl/>
          <w:lang w:bidi="ar-SY"/>
        </w:rPr>
        <w:t xml:space="preserve"> </w:t>
      </w:r>
      <w:r w:rsidR="00F32B28" w:rsidRPr="00F32B28">
        <w:rPr>
          <w:rtl/>
          <w:lang w:bidi="ar-SY"/>
        </w:rPr>
        <w:t>قانونية</w:t>
      </w:r>
      <w:r w:rsidR="00F32B28">
        <w:rPr>
          <w:rtl/>
          <w:lang w:bidi="ar-SY"/>
        </w:rPr>
        <w:t xml:space="preserve"> </w:t>
      </w:r>
      <w:r w:rsidR="00F32B28" w:rsidRPr="00F32B28">
        <w:rPr>
          <w:rtl/>
          <w:lang w:bidi="ar-SY"/>
        </w:rPr>
        <w:t>عليا</w:t>
      </w:r>
      <w:r w:rsidR="00F32B28">
        <w:rPr>
          <w:rtl/>
          <w:lang w:bidi="ar-SY"/>
        </w:rPr>
        <w:t xml:space="preserve"> </w:t>
      </w:r>
      <w:r w:rsidR="00F32B28" w:rsidRPr="00F32B28">
        <w:rPr>
          <w:rtl/>
          <w:lang w:bidi="ar-SY"/>
        </w:rPr>
        <w:t>للأمومة</w:t>
      </w:r>
      <w:r w:rsidR="00F32B28">
        <w:rPr>
          <w:rtl/>
          <w:lang w:bidi="ar-SY"/>
        </w:rPr>
        <w:t xml:space="preserve"> </w:t>
      </w:r>
      <w:r w:rsidR="00F32B28" w:rsidRPr="00F32B28">
        <w:rPr>
          <w:rtl/>
          <w:lang w:bidi="ar-SY"/>
        </w:rPr>
        <w:t>باعتبارها</w:t>
      </w:r>
      <w:r w:rsidR="00F32B28">
        <w:rPr>
          <w:rtl/>
          <w:lang w:bidi="ar-SY"/>
        </w:rPr>
        <w:t xml:space="preserve"> </w:t>
      </w:r>
      <w:r w:rsidR="00F32B28" w:rsidRPr="00F32B28">
        <w:rPr>
          <w:rtl/>
          <w:lang w:bidi="ar-SY"/>
        </w:rPr>
        <w:t>واجب</w:t>
      </w:r>
      <w:r w:rsidR="00F32B28">
        <w:rPr>
          <w:rtl/>
          <w:lang w:bidi="ar-SY"/>
        </w:rPr>
        <w:t xml:space="preserve"> </w:t>
      </w:r>
      <w:r w:rsidR="00F32B28" w:rsidRPr="00F32B28">
        <w:rPr>
          <w:rtl/>
          <w:lang w:bidi="ar-SY"/>
        </w:rPr>
        <w:t>وطني.</w:t>
      </w:r>
      <w:r>
        <w:rPr>
          <w:rFonts w:hint="cs"/>
          <w:rtl/>
          <w:lang w:bidi="ar-SY"/>
        </w:rPr>
        <w:t xml:space="preserve"> </w:t>
      </w:r>
      <w:r w:rsidR="00F32B28" w:rsidRPr="00F32B28">
        <w:rPr>
          <w:rtl/>
          <w:lang w:bidi="ar-SY"/>
        </w:rPr>
        <w:t>كما</w:t>
      </w:r>
      <w:r w:rsidR="00F32B28">
        <w:rPr>
          <w:rtl/>
          <w:lang w:bidi="ar-SY"/>
        </w:rPr>
        <w:t xml:space="preserve"> </w:t>
      </w:r>
      <w:r w:rsidR="00F32B28" w:rsidRPr="00F32B28">
        <w:rPr>
          <w:rtl/>
          <w:lang w:bidi="ar-SY"/>
        </w:rPr>
        <w:t>يعد</w:t>
      </w:r>
      <w:r w:rsidR="00F32B28">
        <w:rPr>
          <w:rtl/>
          <w:lang w:bidi="ar-SY"/>
        </w:rPr>
        <w:t xml:space="preserve"> </w:t>
      </w:r>
      <w:r w:rsidR="00F32B28" w:rsidRPr="00F32B28">
        <w:rPr>
          <w:rtl/>
          <w:lang w:bidi="ar-SY"/>
        </w:rPr>
        <w:t>الاعتراف</w:t>
      </w:r>
      <w:r w:rsidR="00F32B28">
        <w:rPr>
          <w:rtl/>
          <w:lang w:bidi="ar-SY"/>
        </w:rPr>
        <w:t xml:space="preserve"> </w:t>
      </w:r>
      <w:r w:rsidR="00F32B28" w:rsidRPr="00F32B28">
        <w:rPr>
          <w:rtl/>
          <w:lang w:bidi="ar-SY"/>
        </w:rPr>
        <w:t>بالأمومة</w:t>
      </w:r>
      <w:r w:rsidR="00F32B28">
        <w:rPr>
          <w:rtl/>
          <w:lang w:bidi="ar-SY"/>
        </w:rPr>
        <w:t xml:space="preserve"> </w:t>
      </w:r>
      <w:r w:rsidR="00F32B28" w:rsidRPr="00F32B28">
        <w:rPr>
          <w:rtl/>
          <w:lang w:bidi="ar-SY"/>
        </w:rPr>
        <w:t>باعتبارها</w:t>
      </w:r>
      <w:r w:rsidR="00F32B28">
        <w:rPr>
          <w:rtl/>
          <w:lang w:bidi="ar-SY"/>
        </w:rPr>
        <w:t xml:space="preserve"> </w:t>
      </w:r>
      <w:r w:rsidR="00F32B28" w:rsidRPr="00F32B28">
        <w:rPr>
          <w:rtl/>
          <w:lang w:bidi="ar-SY"/>
        </w:rPr>
        <w:t>وظيفة</w:t>
      </w:r>
      <w:r w:rsidR="00F32B28">
        <w:rPr>
          <w:rtl/>
          <w:lang w:bidi="ar-SY"/>
        </w:rPr>
        <w:t xml:space="preserve"> </w:t>
      </w:r>
      <w:r w:rsidR="00F32B28" w:rsidRPr="00F32B28">
        <w:rPr>
          <w:rtl/>
          <w:lang w:bidi="ar-SY"/>
        </w:rPr>
        <w:t>اجتماعية</w:t>
      </w:r>
      <w:r w:rsidR="00F32B28">
        <w:rPr>
          <w:rtl/>
          <w:lang w:bidi="ar-SY"/>
        </w:rPr>
        <w:t xml:space="preserve"> </w:t>
      </w:r>
      <w:r w:rsidR="00F32B28" w:rsidRPr="00F32B28">
        <w:rPr>
          <w:rtl/>
          <w:lang w:bidi="ar-SY"/>
        </w:rPr>
        <w:t>مبدأ</w:t>
      </w:r>
      <w:r w:rsidR="00F32B28">
        <w:rPr>
          <w:rtl/>
          <w:lang w:bidi="ar-SY"/>
        </w:rPr>
        <w:t xml:space="preserve"> </w:t>
      </w:r>
      <w:r w:rsidR="00F32B28" w:rsidRPr="00F32B28">
        <w:rPr>
          <w:rtl/>
          <w:lang w:bidi="ar-SY"/>
        </w:rPr>
        <w:t>ترتكز</w:t>
      </w:r>
      <w:r w:rsidR="00F32B28">
        <w:rPr>
          <w:rtl/>
          <w:lang w:bidi="ar-SY"/>
        </w:rPr>
        <w:t xml:space="preserve"> </w:t>
      </w:r>
      <w:r w:rsidR="00F32B28" w:rsidRPr="00F32B28">
        <w:rPr>
          <w:rtl/>
          <w:lang w:bidi="ar-SY"/>
        </w:rPr>
        <w:t>إليه</w:t>
      </w:r>
      <w:r w:rsidR="00F32B28">
        <w:rPr>
          <w:rtl/>
          <w:lang w:bidi="ar-SY"/>
        </w:rPr>
        <w:t xml:space="preserve"> </w:t>
      </w:r>
      <w:r w:rsidR="00F32B28" w:rsidRPr="00F32B28">
        <w:rPr>
          <w:rtl/>
          <w:lang w:bidi="ar-SY"/>
        </w:rPr>
        <w:t>قوانين</w:t>
      </w:r>
      <w:r w:rsidR="00F32B28">
        <w:rPr>
          <w:rtl/>
          <w:lang w:bidi="ar-SY"/>
        </w:rPr>
        <w:t xml:space="preserve"> </w:t>
      </w:r>
      <w:r w:rsidR="00F32B28" w:rsidRPr="00F32B28">
        <w:rPr>
          <w:rtl/>
          <w:lang w:bidi="ar-SY"/>
        </w:rPr>
        <w:t>الخدمة</w:t>
      </w:r>
      <w:r w:rsidR="00F32B28">
        <w:rPr>
          <w:rtl/>
          <w:lang w:bidi="ar-SY"/>
        </w:rPr>
        <w:t xml:space="preserve"> </w:t>
      </w:r>
      <w:r w:rsidR="00F32B28" w:rsidRPr="00F32B28">
        <w:rPr>
          <w:rtl/>
          <w:lang w:bidi="ar-SY"/>
        </w:rPr>
        <w:t>المدنية</w:t>
      </w:r>
      <w:r w:rsidR="00F32B28">
        <w:rPr>
          <w:rtl/>
          <w:lang w:bidi="ar-SY"/>
        </w:rPr>
        <w:t xml:space="preserve"> </w:t>
      </w:r>
      <w:r w:rsidR="00F32B28" w:rsidRPr="00F32B28">
        <w:rPr>
          <w:rtl/>
          <w:lang w:bidi="ar-SY"/>
        </w:rPr>
        <w:lastRenderedPageBreak/>
        <w:t>والعمل</w:t>
      </w:r>
      <w:r w:rsidR="00F32B28">
        <w:rPr>
          <w:rtl/>
          <w:lang w:bidi="ar-SY"/>
        </w:rPr>
        <w:t xml:space="preserve"> </w:t>
      </w:r>
      <w:r w:rsidR="00F32B28" w:rsidRPr="00F32B28">
        <w:rPr>
          <w:rtl/>
          <w:lang w:bidi="ar-SY"/>
        </w:rPr>
        <w:t>للمرأة</w:t>
      </w:r>
      <w:r w:rsidR="00F32B28">
        <w:rPr>
          <w:rtl/>
          <w:lang w:bidi="ar-SY"/>
        </w:rPr>
        <w:t xml:space="preserve"> </w:t>
      </w:r>
      <w:r w:rsidR="00F32B28" w:rsidRPr="00F32B28">
        <w:rPr>
          <w:rtl/>
          <w:lang w:bidi="ar-SY"/>
        </w:rPr>
        <w:t>الموظفة/العاملة</w:t>
      </w:r>
      <w:r w:rsidR="00F32B28">
        <w:rPr>
          <w:rtl/>
          <w:lang w:bidi="ar-SY"/>
        </w:rPr>
        <w:t xml:space="preserve"> </w:t>
      </w:r>
      <w:r w:rsidR="00F32B28" w:rsidRPr="00F32B28">
        <w:rPr>
          <w:rtl/>
          <w:lang w:bidi="ar-SY"/>
        </w:rPr>
        <w:t>حماية</w:t>
      </w:r>
      <w:r w:rsidR="00F32B28">
        <w:rPr>
          <w:rtl/>
          <w:lang w:bidi="ar-SY"/>
        </w:rPr>
        <w:t xml:space="preserve"> </w:t>
      </w:r>
      <w:r w:rsidR="00F32B28" w:rsidRPr="00F32B28">
        <w:rPr>
          <w:rtl/>
          <w:lang w:bidi="ar-SY"/>
        </w:rPr>
        <w:t>وحقوقاً</w:t>
      </w:r>
      <w:r w:rsidR="00F32B28">
        <w:rPr>
          <w:rtl/>
          <w:lang w:bidi="ar-SY"/>
        </w:rPr>
        <w:t xml:space="preserve"> </w:t>
      </w:r>
      <w:r w:rsidR="00F32B28" w:rsidRPr="00F32B28">
        <w:rPr>
          <w:rtl/>
          <w:lang w:bidi="ar-SY"/>
        </w:rPr>
        <w:t>اجتماعية</w:t>
      </w:r>
      <w:r w:rsidR="00F32B28">
        <w:rPr>
          <w:rtl/>
          <w:lang w:bidi="ar-SY"/>
        </w:rPr>
        <w:t xml:space="preserve"> </w:t>
      </w:r>
      <w:r w:rsidR="00F32B28" w:rsidRPr="00F32B28">
        <w:rPr>
          <w:rtl/>
          <w:lang w:bidi="ar-SY"/>
        </w:rPr>
        <w:t>محددة؛</w:t>
      </w:r>
      <w:r w:rsidR="00362769">
        <w:rPr>
          <w:rFonts w:hint="cs"/>
          <w:rtl/>
          <w:lang w:bidi="ar-SY"/>
        </w:rPr>
        <w:t xml:space="preserve"> </w:t>
      </w:r>
      <w:r w:rsidR="00F32B28" w:rsidRPr="00F32B28">
        <w:rPr>
          <w:rtl/>
          <w:lang w:bidi="ar-SY"/>
        </w:rPr>
        <w:t>كإجازة</w:t>
      </w:r>
      <w:r w:rsidR="00F32B28">
        <w:rPr>
          <w:rtl/>
          <w:lang w:bidi="ar-SY"/>
        </w:rPr>
        <w:t xml:space="preserve"> </w:t>
      </w:r>
      <w:r w:rsidR="00F32B28" w:rsidRPr="00F32B28">
        <w:rPr>
          <w:rtl/>
          <w:lang w:bidi="ar-SY"/>
        </w:rPr>
        <w:t>الأمومة</w:t>
      </w:r>
      <w:r w:rsidR="00F32B28">
        <w:rPr>
          <w:rtl/>
          <w:lang w:bidi="ar-SY"/>
        </w:rPr>
        <w:t xml:space="preserve"> </w:t>
      </w:r>
      <w:r w:rsidR="00F32B28" w:rsidRPr="00F32B28">
        <w:rPr>
          <w:rtl/>
          <w:lang w:bidi="ar-SY"/>
        </w:rPr>
        <w:t>المدفوعة</w:t>
      </w:r>
      <w:r w:rsidR="00F32B28">
        <w:rPr>
          <w:rtl/>
          <w:lang w:bidi="ar-SY"/>
        </w:rPr>
        <w:t xml:space="preserve"> </w:t>
      </w:r>
      <w:r w:rsidR="00F32B28" w:rsidRPr="00F32B28">
        <w:rPr>
          <w:rtl/>
          <w:lang w:bidi="ar-SY"/>
        </w:rPr>
        <w:t>الأجر</w:t>
      </w:r>
      <w:r w:rsidR="00F32B28">
        <w:rPr>
          <w:rtl/>
          <w:lang w:bidi="ar-SY"/>
        </w:rPr>
        <w:t xml:space="preserve"> </w:t>
      </w:r>
      <w:r w:rsidR="00F32B28" w:rsidRPr="00F32B28">
        <w:rPr>
          <w:rtl/>
          <w:lang w:bidi="ar-SY"/>
        </w:rPr>
        <w:t>وساعات</w:t>
      </w:r>
      <w:r w:rsidR="00F32B28">
        <w:rPr>
          <w:rtl/>
          <w:lang w:bidi="ar-SY"/>
        </w:rPr>
        <w:t xml:space="preserve"> </w:t>
      </w:r>
      <w:r w:rsidR="00F32B28" w:rsidRPr="00F32B28">
        <w:rPr>
          <w:rtl/>
          <w:lang w:bidi="ar-SY"/>
        </w:rPr>
        <w:t>الرضاعة</w:t>
      </w:r>
      <w:r>
        <w:rPr>
          <w:rFonts w:hint="cs"/>
          <w:rtl/>
          <w:lang w:bidi="ar-SY"/>
        </w:rPr>
        <w:t xml:space="preserve"> </w:t>
      </w:r>
      <w:r w:rsidR="00F32B28" w:rsidRPr="00F32B28">
        <w:rPr>
          <w:rtl/>
          <w:lang w:bidi="ar-SY"/>
        </w:rPr>
        <w:t>المدفوعة</w:t>
      </w:r>
      <w:r w:rsidR="00F32B28">
        <w:rPr>
          <w:rtl/>
          <w:lang w:bidi="ar-SY"/>
        </w:rPr>
        <w:t xml:space="preserve"> </w:t>
      </w:r>
      <w:r w:rsidR="00F32B28" w:rsidRPr="00F32B28">
        <w:rPr>
          <w:rtl/>
          <w:lang w:bidi="ar-SY"/>
        </w:rPr>
        <w:t>الأجر.</w:t>
      </w:r>
    </w:p>
    <w:p w:rsidR="00F32B28" w:rsidRPr="00F32B28" w:rsidRDefault="00186574" w:rsidP="00186574">
      <w:pPr>
        <w:pStyle w:val="SingleTxt"/>
      </w:pPr>
      <w:r>
        <w:rPr>
          <w:rFonts w:hint="cs"/>
          <w:rtl/>
          <w:lang w:bidi="ar-SY"/>
        </w:rPr>
        <w:t>75 -</w:t>
      </w:r>
      <w:r>
        <w:rPr>
          <w:rFonts w:hint="cs"/>
          <w:rtl/>
          <w:lang w:bidi="ar-SY"/>
        </w:rPr>
        <w:tab/>
      </w:r>
      <w:r w:rsidR="00F32B28" w:rsidRPr="00F32B28">
        <w:rPr>
          <w:rtl/>
          <w:lang w:bidi="ar-SY"/>
        </w:rPr>
        <w:t>كما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إدماج</w:t>
      </w:r>
      <w:r w:rsidR="00F32B28">
        <w:rPr>
          <w:rtl/>
          <w:lang w:bidi="ar-SY"/>
        </w:rPr>
        <w:t xml:space="preserve"> </w:t>
      </w:r>
      <w:r w:rsidR="00F32B28" w:rsidRPr="00F32B28">
        <w:rPr>
          <w:rtl/>
          <w:lang w:bidi="ar-SY"/>
        </w:rPr>
        <w:t>خدمات</w:t>
      </w:r>
      <w:r w:rsidR="00F32B28">
        <w:rPr>
          <w:rtl/>
          <w:lang w:bidi="ar-SY"/>
        </w:rPr>
        <w:t xml:space="preserve"> </w:t>
      </w:r>
      <w:r w:rsidR="00F32B28" w:rsidRPr="00F32B28">
        <w:rPr>
          <w:rtl/>
          <w:lang w:bidi="ar-SY"/>
        </w:rPr>
        <w:t>الصحة</w:t>
      </w:r>
      <w:r w:rsidR="00F32B28">
        <w:rPr>
          <w:rtl/>
          <w:lang w:bidi="ar-SY"/>
        </w:rPr>
        <w:t xml:space="preserve"> </w:t>
      </w:r>
      <w:r w:rsidR="00F32B28" w:rsidRPr="00F32B28">
        <w:rPr>
          <w:rtl/>
          <w:lang w:bidi="ar-SY"/>
        </w:rPr>
        <w:t>الإنجابية</w:t>
      </w:r>
      <w:r w:rsidR="00F32B28">
        <w:rPr>
          <w:rtl/>
          <w:lang w:bidi="ar-SY"/>
        </w:rPr>
        <w:t xml:space="preserve"> </w:t>
      </w:r>
      <w:r w:rsidR="00F32B28" w:rsidRPr="00F32B28">
        <w:rPr>
          <w:rtl/>
          <w:lang w:bidi="ar-SY"/>
        </w:rPr>
        <w:t>ورعاية</w:t>
      </w:r>
      <w:r w:rsidR="00F32B28">
        <w:rPr>
          <w:rtl/>
          <w:lang w:bidi="ar-SY"/>
        </w:rPr>
        <w:t xml:space="preserve"> </w:t>
      </w:r>
      <w:r w:rsidR="00F32B28" w:rsidRPr="00F32B28">
        <w:rPr>
          <w:rtl/>
          <w:lang w:bidi="ar-SY"/>
        </w:rPr>
        <w:t>الحوامل</w:t>
      </w:r>
      <w:r w:rsidR="00F32B28">
        <w:rPr>
          <w:rtl/>
          <w:lang w:bidi="ar-SY"/>
        </w:rPr>
        <w:t xml:space="preserve"> </w:t>
      </w:r>
      <w:r w:rsidR="00F32B28" w:rsidRPr="00F32B28">
        <w:rPr>
          <w:rtl/>
          <w:lang w:bidi="ar-SY"/>
        </w:rPr>
        <w:t>وتنظيم</w:t>
      </w:r>
      <w:r w:rsidR="00F32B28">
        <w:rPr>
          <w:rtl/>
          <w:lang w:bidi="ar-SY"/>
        </w:rPr>
        <w:t xml:space="preserve"> </w:t>
      </w:r>
      <w:r w:rsidR="00F32B28" w:rsidRPr="00F32B28">
        <w:rPr>
          <w:rtl/>
          <w:lang w:bidi="ar-SY"/>
        </w:rPr>
        <w:t>الأسرة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مراكز</w:t>
      </w:r>
      <w:r w:rsidR="00F32B28">
        <w:rPr>
          <w:rtl/>
          <w:lang w:bidi="ar-SY"/>
        </w:rPr>
        <w:t xml:space="preserve"> </w:t>
      </w:r>
      <w:r w:rsidR="00F32B28" w:rsidRPr="00F32B28">
        <w:rPr>
          <w:rtl/>
          <w:lang w:bidi="ar-SY"/>
        </w:rPr>
        <w:t>الرعاية</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الأولية</w:t>
      </w:r>
      <w:r w:rsidR="00F32B28">
        <w:rPr>
          <w:rtl/>
          <w:lang w:bidi="ar-SY"/>
        </w:rPr>
        <w:t xml:space="preserve"> </w:t>
      </w:r>
      <w:r w:rsidR="00F32B28" w:rsidRPr="00F32B28">
        <w:rPr>
          <w:rtl/>
          <w:lang w:bidi="ar-SY"/>
        </w:rPr>
        <w:t>المنتشرة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أرجاء</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w:t>
      </w:r>
      <w:r w:rsidR="00F32B28" w:rsidRPr="00F32B28">
        <w:rPr>
          <w:rtl/>
          <w:lang w:bidi="ar-JO"/>
        </w:rPr>
        <w:t>التابعة</w:t>
      </w:r>
      <w:r w:rsidR="00F32B28">
        <w:rPr>
          <w:rtl/>
          <w:lang w:bidi="ar-JO"/>
        </w:rPr>
        <w:t xml:space="preserve"> </w:t>
      </w:r>
      <w:r w:rsidR="00F32B28" w:rsidRPr="00F32B28">
        <w:rPr>
          <w:rtl/>
          <w:lang w:bidi="ar-JO"/>
        </w:rPr>
        <w:t>لوزارة</w:t>
      </w:r>
      <w:r w:rsidR="00F32B28">
        <w:rPr>
          <w:rtl/>
          <w:lang w:bidi="ar-JO"/>
        </w:rPr>
        <w:t xml:space="preserve"> </w:t>
      </w:r>
      <w:r w:rsidR="00F32B28" w:rsidRPr="00F32B28">
        <w:rPr>
          <w:rtl/>
          <w:lang w:bidi="ar-JO"/>
        </w:rPr>
        <w:t>الصحة</w:t>
      </w:r>
      <w:r w:rsidR="00F32B28">
        <w:rPr>
          <w:rtl/>
          <w:lang w:bidi="ar-JO"/>
        </w:rPr>
        <w:t xml:space="preserve"> </w:t>
      </w:r>
      <w:r w:rsidR="00F32B28" w:rsidRPr="00F32B28">
        <w:rPr>
          <w:rtl/>
          <w:lang w:bidi="ar-SY"/>
        </w:rPr>
        <w:t>هو</w:t>
      </w:r>
      <w:r w:rsidR="00F32B28">
        <w:rPr>
          <w:rtl/>
          <w:lang w:bidi="ar-SY"/>
        </w:rPr>
        <w:t xml:space="preserve"> </w:t>
      </w:r>
      <w:r w:rsidR="00F32B28" w:rsidRPr="00F32B28">
        <w:rPr>
          <w:rtl/>
          <w:lang w:bidi="ar-SY"/>
        </w:rPr>
        <w:t>تدبير</w:t>
      </w:r>
      <w:r w:rsidR="00F32B28">
        <w:rPr>
          <w:rtl/>
          <w:lang w:bidi="ar-SY"/>
        </w:rPr>
        <w:t xml:space="preserve"> </w:t>
      </w:r>
      <w:r w:rsidR="00F32B28" w:rsidRPr="00F32B28">
        <w:rPr>
          <w:rtl/>
          <w:lang w:bidi="ar-SY"/>
        </w:rPr>
        <w:t>بمثابة</w:t>
      </w:r>
      <w:r w:rsidR="00F32B28">
        <w:rPr>
          <w:rtl/>
          <w:lang w:bidi="ar-SY"/>
        </w:rPr>
        <w:t xml:space="preserve"> </w:t>
      </w:r>
      <w:r w:rsidR="00F32B28" w:rsidRPr="00F32B28">
        <w:rPr>
          <w:rtl/>
          <w:lang w:bidi="ar-SY"/>
        </w:rPr>
        <w:t>تمييز</w:t>
      </w:r>
      <w:r w:rsidR="00F32B28">
        <w:rPr>
          <w:rtl/>
          <w:lang w:bidi="ar-SY"/>
        </w:rPr>
        <w:t xml:space="preserve"> </w:t>
      </w:r>
      <w:r w:rsidR="00F32B28" w:rsidRPr="00F32B28">
        <w:rPr>
          <w:rtl/>
          <w:lang w:bidi="ar-SY"/>
        </w:rPr>
        <w:t>إيجابي</w:t>
      </w:r>
      <w:r w:rsidR="00F32B28">
        <w:rPr>
          <w:rtl/>
          <w:lang w:bidi="ar-SY"/>
        </w:rPr>
        <w:t xml:space="preserve"> </w:t>
      </w:r>
      <w:r w:rsidR="00F32B28" w:rsidRPr="00F32B28">
        <w:rPr>
          <w:rtl/>
          <w:lang w:bidi="ar-SY"/>
        </w:rPr>
        <w:t>إزاء</w:t>
      </w:r>
      <w:r w:rsidR="009C6174">
        <w:rPr>
          <w:rFonts w:hint="cs"/>
          <w:rtl/>
          <w:lang w:bidi="ar-SY"/>
        </w:rPr>
        <w:t> </w:t>
      </w:r>
      <w:r w:rsidR="00F32B28" w:rsidRPr="00F32B28">
        <w:rPr>
          <w:rtl/>
          <w:lang w:bidi="ar-SY"/>
        </w:rPr>
        <w:t>المرأة.</w:t>
      </w:r>
      <w:r w:rsidR="00600C43">
        <w:rPr>
          <w:rtl/>
          <w:lang w:bidi="ar-SY"/>
        </w:rPr>
        <w:t xml:space="preserve"> </w:t>
      </w:r>
    </w:p>
    <w:p w:rsidR="00F32B28" w:rsidRPr="00F32B28" w:rsidRDefault="00186574" w:rsidP="00407D55">
      <w:pPr>
        <w:pStyle w:val="SingleTxt"/>
        <w:rPr>
          <w:i/>
          <w:iCs/>
          <w:rtl/>
          <w:lang w:bidi="ar-SY"/>
        </w:rPr>
      </w:pPr>
      <w:r>
        <w:rPr>
          <w:rFonts w:hint="cs"/>
          <w:rtl/>
          <w:lang w:bidi="ar-SY"/>
        </w:rPr>
        <w:t>76 -</w:t>
      </w:r>
      <w:r w:rsidR="00F32B28" w:rsidRPr="00F32B28">
        <w:rPr>
          <w:rtl/>
          <w:lang w:bidi="ar-SY"/>
        </w:rPr>
        <w:tab/>
        <w:t>كما</w:t>
      </w:r>
      <w:r w:rsidR="00F32B28">
        <w:rPr>
          <w:rtl/>
          <w:lang w:bidi="ar-SY"/>
        </w:rPr>
        <w:t xml:space="preserve"> </w:t>
      </w:r>
      <w:r w:rsidR="00F32B28" w:rsidRPr="00F32B28">
        <w:rPr>
          <w:rtl/>
          <w:lang w:bidi="ar-SY"/>
        </w:rPr>
        <w:t>ينص</w:t>
      </w:r>
      <w:r>
        <w:rPr>
          <w:rFonts w:hint="cs"/>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مراكز</w:t>
      </w:r>
      <w:r w:rsidR="00F32B28">
        <w:rPr>
          <w:rtl/>
          <w:lang w:bidi="ar-SY"/>
        </w:rPr>
        <w:t xml:space="preserve"> </w:t>
      </w:r>
      <w:r w:rsidR="00F32B28" w:rsidRPr="00F32B28">
        <w:rPr>
          <w:rtl/>
          <w:lang w:bidi="ar-SY"/>
        </w:rPr>
        <w:t>الإصلاح</w:t>
      </w:r>
      <w:r w:rsidR="00F32B28">
        <w:rPr>
          <w:rtl/>
          <w:lang w:bidi="ar-SY"/>
        </w:rPr>
        <w:t xml:space="preserve"> </w:t>
      </w:r>
      <w:r w:rsidR="00F32B28" w:rsidRPr="00F32B28">
        <w:rPr>
          <w:rtl/>
          <w:lang w:bidi="ar-SY"/>
        </w:rPr>
        <w:t>والتأهيل</w:t>
      </w:r>
      <w:r w:rsidR="00F32B28">
        <w:rPr>
          <w:rtl/>
          <w:lang w:bidi="ar-SY"/>
        </w:rPr>
        <w:t xml:space="preserve"> </w:t>
      </w:r>
      <w:r w:rsidR="00F32B28" w:rsidRPr="00F32B28">
        <w:rPr>
          <w:rtl/>
          <w:lang w:bidi="ar-SY"/>
        </w:rPr>
        <w:t>رقم</w:t>
      </w:r>
      <w:r w:rsidR="00F32B28">
        <w:rPr>
          <w:rtl/>
          <w:lang w:bidi="ar-SY"/>
        </w:rPr>
        <w:t xml:space="preserve"> </w:t>
      </w:r>
      <w:r w:rsidR="00F32B28" w:rsidRPr="00F32B28">
        <w:rPr>
          <w:rtl/>
          <w:lang w:bidi="ar-SY"/>
        </w:rPr>
        <w:t>(6)</w:t>
      </w:r>
      <w:r w:rsidR="00F32B28">
        <w:rPr>
          <w:rtl/>
          <w:lang w:bidi="ar-SY"/>
        </w:rPr>
        <w:t xml:space="preserve"> </w:t>
      </w:r>
      <w:r w:rsidR="00F32B28" w:rsidRPr="00F32B28">
        <w:rPr>
          <w:rtl/>
          <w:lang w:bidi="ar-SY"/>
        </w:rPr>
        <w:t>لسنة</w:t>
      </w:r>
      <w:r w:rsidR="00F32B28">
        <w:rPr>
          <w:rtl/>
          <w:lang w:bidi="ar-SY"/>
        </w:rPr>
        <w:t xml:space="preserve"> </w:t>
      </w:r>
      <w:r w:rsidR="00F32B28" w:rsidRPr="00F32B28">
        <w:rPr>
          <w:rtl/>
          <w:lang w:bidi="ar-SY"/>
        </w:rPr>
        <w:t>1998</w:t>
      </w:r>
      <w:r w:rsidR="0043161B">
        <w:rPr>
          <w:rFonts w:hint="cs"/>
          <w:rtl/>
          <w:lang w:bidi="ar-SY"/>
        </w:rPr>
        <w:t xml:space="preserve"> </w:t>
      </w:r>
      <w:r w:rsidR="00F32B28" w:rsidRPr="00F32B28">
        <w:rPr>
          <w:rtl/>
          <w:lang w:bidi="ar-SY"/>
        </w:rPr>
        <w:t>على</w:t>
      </w:r>
      <w:r w:rsidR="00F32B28">
        <w:rPr>
          <w:rtl/>
          <w:lang w:bidi="ar-SY"/>
        </w:rPr>
        <w:t xml:space="preserve"> </w:t>
      </w:r>
      <w:r w:rsidR="00F32B28" w:rsidRPr="00F32B28">
        <w:rPr>
          <w:rtl/>
          <w:lang w:bidi="ar-SY"/>
        </w:rPr>
        <w:t>تدابير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شأنها</w:t>
      </w:r>
      <w:r w:rsidR="00F32B28">
        <w:rPr>
          <w:rtl/>
          <w:lang w:bidi="ar-SY"/>
        </w:rPr>
        <w:t xml:space="preserve"> </w:t>
      </w:r>
      <w:r w:rsidR="00F32B28" w:rsidRPr="00F32B28">
        <w:rPr>
          <w:rtl/>
          <w:lang w:bidi="ar-SY"/>
        </w:rPr>
        <w:t>حماية</w:t>
      </w:r>
      <w:r w:rsidR="00F32B28">
        <w:rPr>
          <w:rtl/>
          <w:lang w:bidi="ar-SY"/>
        </w:rPr>
        <w:t xml:space="preserve"> </w:t>
      </w:r>
      <w:r w:rsidR="00F32B28" w:rsidRPr="00F32B28">
        <w:rPr>
          <w:rtl/>
          <w:lang w:bidi="ar-SY"/>
        </w:rPr>
        <w:t>أمومة</w:t>
      </w:r>
      <w:r w:rsidR="00F32B28">
        <w:rPr>
          <w:rtl/>
          <w:lang w:bidi="ar-SY"/>
        </w:rPr>
        <w:t xml:space="preserve"> </w:t>
      </w:r>
      <w:r w:rsidR="00F32B28" w:rsidRPr="00F32B28">
        <w:rPr>
          <w:rtl/>
          <w:lang w:bidi="ar-SY"/>
        </w:rPr>
        <w:t>نزيلة</w:t>
      </w:r>
      <w:r w:rsidR="00F32B28">
        <w:rPr>
          <w:rtl/>
          <w:lang w:bidi="ar-SY"/>
        </w:rPr>
        <w:t xml:space="preserve"> </w:t>
      </w:r>
      <w:r w:rsidR="00F32B28" w:rsidRPr="00F32B28">
        <w:rPr>
          <w:rtl/>
          <w:lang w:bidi="ar-SY"/>
        </w:rPr>
        <w:t>مراكز</w:t>
      </w:r>
      <w:r w:rsidR="00F32B28">
        <w:rPr>
          <w:rtl/>
          <w:lang w:bidi="ar-SY"/>
        </w:rPr>
        <w:t xml:space="preserve"> </w:t>
      </w:r>
      <w:r w:rsidR="00F32B28" w:rsidRPr="00F32B28">
        <w:rPr>
          <w:rtl/>
          <w:lang w:bidi="ar-SY"/>
        </w:rPr>
        <w:t>الإصلاح</w:t>
      </w:r>
      <w:r w:rsidR="00F32B28">
        <w:rPr>
          <w:rtl/>
          <w:lang w:bidi="ar-SY"/>
        </w:rPr>
        <w:t xml:space="preserve"> </w:t>
      </w:r>
      <w:r w:rsidR="00F32B28" w:rsidRPr="00F32B28">
        <w:rPr>
          <w:rtl/>
          <w:lang w:bidi="ar-SY"/>
        </w:rPr>
        <w:t>والتأهيل،</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تنص</w:t>
      </w:r>
      <w:r w:rsidR="00F32B28">
        <w:rPr>
          <w:rtl/>
          <w:lang w:bidi="ar-SY"/>
        </w:rPr>
        <w:t xml:space="preserve"> </w:t>
      </w:r>
      <w:r w:rsidR="00F32B28" w:rsidRPr="00F32B28">
        <w:rPr>
          <w:rtl/>
          <w:lang w:bidi="ar-SY"/>
        </w:rPr>
        <w:t>المادة</w:t>
      </w:r>
      <w:r w:rsidR="00F32B28">
        <w:rPr>
          <w:rtl/>
          <w:lang w:bidi="ar-SY"/>
        </w:rPr>
        <w:t xml:space="preserve"> </w:t>
      </w:r>
      <w:r w:rsidR="00F32B28" w:rsidRPr="00F32B28">
        <w:rPr>
          <w:rtl/>
          <w:lang w:bidi="ar-SY"/>
        </w:rPr>
        <w:t>(27)</w:t>
      </w:r>
      <w:r w:rsidR="00F32B28">
        <w:rPr>
          <w:rtl/>
          <w:lang w:bidi="ar-SY"/>
        </w:rPr>
        <w:t xml:space="preserve"> </w:t>
      </w:r>
      <w:r w:rsidR="00F32B28" w:rsidRPr="00F32B28">
        <w:rPr>
          <w:rtl/>
          <w:lang w:bidi="ar-SY"/>
        </w:rPr>
        <w:t>منه</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أنه</w:t>
      </w:r>
      <w:r w:rsidR="00F32B28">
        <w:rPr>
          <w:rtl/>
          <w:lang w:bidi="ar-SY"/>
        </w:rPr>
        <w:t xml:space="preserve"> </w:t>
      </w:r>
      <w:r w:rsidR="00407D55" w:rsidRPr="00407D55">
        <w:rPr>
          <w:rFonts w:hint="eastAsia"/>
          <w:i/>
          <w:iCs/>
          <w:rtl/>
          <w:lang w:bidi="ar-SY"/>
        </w:rPr>
        <w:t>”</w:t>
      </w:r>
      <w:r w:rsidR="00F32B28" w:rsidRPr="00F32B28">
        <w:rPr>
          <w:i/>
          <w:iCs/>
          <w:rtl/>
          <w:lang w:bidi="ar-SY"/>
        </w:rPr>
        <w:t>تعامل</w:t>
      </w:r>
      <w:r w:rsidR="00F32B28">
        <w:rPr>
          <w:i/>
          <w:iCs/>
          <w:rtl/>
          <w:lang w:bidi="ar-SY"/>
        </w:rPr>
        <w:t xml:space="preserve"> </w:t>
      </w:r>
      <w:r w:rsidR="00F32B28" w:rsidRPr="00F32B28">
        <w:rPr>
          <w:i/>
          <w:iCs/>
          <w:rtl/>
          <w:lang w:bidi="ar-SY"/>
        </w:rPr>
        <w:t>النزيلة</w:t>
      </w:r>
      <w:r w:rsidR="00F32B28">
        <w:rPr>
          <w:i/>
          <w:iCs/>
          <w:rtl/>
          <w:lang w:bidi="ar-SY"/>
        </w:rPr>
        <w:t xml:space="preserve"> </w:t>
      </w:r>
      <w:r w:rsidR="00F32B28" w:rsidRPr="00F32B28">
        <w:rPr>
          <w:i/>
          <w:iCs/>
          <w:rtl/>
          <w:lang w:bidi="ar-SY"/>
        </w:rPr>
        <w:t>الحامل</w:t>
      </w:r>
      <w:r w:rsidR="00F32B28">
        <w:rPr>
          <w:i/>
          <w:iCs/>
          <w:rtl/>
          <w:lang w:bidi="ar-SY"/>
        </w:rPr>
        <w:t xml:space="preserve"> </w:t>
      </w:r>
      <w:r w:rsidR="00F32B28" w:rsidRPr="00F32B28">
        <w:rPr>
          <w:i/>
          <w:iCs/>
          <w:rtl/>
          <w:lang w:bidi="ar-SY"/>
        </w:rPr>
        <w:t>ابتداء</w:t>
      </w:r>
      <w:r w:rsidR="00F32B28">
        <w:rPr>
          <w:i/>
          <w:iCs/>
          <w:rtl/>
          <w:lang w:bidi="ar-SY"/>
        </w:rPr>
        <w:t xml:space="preserve"> </w:t>
      </w:r>
      <w:r w:rsidR="00F32B28" w:rsidRPr="00F32B28">
        <w:rPr>
          <w:i/>
          <w:iCs/>
          <w:rtl/>
          <w:lang w:bidi="ar-SY"/>
        </w:rPr>
        <w:t>من</w:t>
      </w:r>
      <w:r w:rsidR="00F32B28">
        <w:rPr>
          <w:i/>
          <w:iCs/>
          <w:rtl/>
          <w:lang w:bidi="ar-SY"/>
        </w:rPr>
        <w:t xml:space="preserve"> </w:t>
      </w:r>
      <w:r w:rsidR="00F32B28" w:rsidRPr="00F32B28">
        <w:rPr>
          <w:i/>
          <w:iCs/>
          <w:rtl/>
          <w:lang w:bidi="ar-SY"/>
        </w:rPr>
        <w:t>ظهور</w:t>
      </w:r>
      <w:r w:rsidR="00F32B28">
        <w:rPr>
          <w:i/>
          <w:iCs/>
          <w:rtl/>
          <w:lang w:bidi="ar-SY"/>
        </w:rPr>
        <w:t xml:space="preserve"> </w:t>
      </w:r>
      <w:r w:rsidR="00F32B28" w:rsidRPr="00F32B28">
        <w:rPr>
          <w:i/>
          <w:iCs/>
          <w:rtl/>
          <w:lang w:bidi="ar-SY"/>
        </w:rPr>
        <w:t>أعراض</w:t>
      </w:r>
      <w:r w:rsidR="00F32B28">
        <w:rPr>
          <w:i/>
          <w:iCs/>
          <w:rtl/>
          <w:lang w:bidi="ar-SY"/>
        </w:rPr>
        <w:t xml:space="preserve"> </w:t>
      </w:r>
      <w:r w:rsidR="00F32B28" w:rsidRPr="00F32B28">
        <w:rPr>
          <w:i/>
          <w:iCs/>
          <w:rtl/>
          <w:lang w:bidi="ar-SY"/>
        </w:rPr>
        <w:t>الحمل</w:t>
      </w:r>
      <w:r w:rsidR="00F32B28">
        <w:rPr>
          <w:i/>
          <w:iCs/>
          <w:rtl/>
          <w:lang w:bidi="ar-SY"/>
        </w:rPr>
        <w:t xml:space="preserve"> </w:t>
      </w:r>
      <w:r w:rsidR="00F32B28" w:rsidRPr="00F32B28">
        <w:rPr>
          <w:i/>
          <w:iCs/>
          <w:rtl/>
          <w:lang w:bidi="ar-SY"/>
        </w:rPr>
        <w:t>عليها</w:t>
      </w:r>
      <w:r w:rsidR="00F32B28">
        <w:rPr>
          <w:i/>
          <w:iCs/>
          <w:rtl/>
          <w:lang w:bidi="ar-SY"/>
        </w:rPr>
        <w:t xml:space="preserve"> </w:t>
      </w:r>
      <w:r w:rsidR="00F32B28" w:rsidRPr="00F32B28">
        <w:rPr>
          <w:i/>
          <w:iCs/>
          <w:rtl/>
          <w:lang w:bidi="ar-SY"/>
        </w:rPr>
        <w:t>والى</w:t>
      </w:r>
      <w:r w:rsidR="00F32B28">
        <w:rPr>
          <w:i/>
          <w:iCs/>
          <w:rtl/>
          <w:lang w:bidi="ar-SY"/>
        </w:rPr>
        <w:t xml:space="preserve"> </w:t>
      </w:r>
      <w:r w:rsidR="00F32B28" w:rsidRPr="00F32B28">
        <w:rPr>
          <w:i/>
          <w:iCs/>
          <w:rtl/>
          <w:lang w:bidi="ar-SY"/>
        </w:rPr>
        <w:t>ما</w:t>
      </w:r>
      <w:r w:rsidR="00F32B28">
        <w:rPr>
          <w:i/>
          <w:iCs/>
          <w:rtl/>
          <w:lang w:bidi="ar-SY"/>
        </w:rPr>
        <w:t xml:space="preserve"> </w:t>
      </w:r>
      <w:r w:rsidR="00F32B28" w:rsidRPr="00F32B28">
        <w:rPr>
          <w:i/>
          <w:iCs/>
          <w:rtl/>
          <w:lang w:bidi="ar-SY"/>
        </w:rPr>
        <w:t>بعد</w:t>
      </w:r>
      <w:r w:rsidR="00F32B28">
        <w:rPr>
          <w:i/>
          <w:iCs/>
          <w:rtl/>
          <w:lang w:bidi="ar-SY"/>
        </w:rPr>
        <w:t xml:space="preserve"> </w:t>
      </w:r>
      <w:r w:rsidR="00F32B28" w:rsidRPr="00F32B28">
        <w:rPr>
          <w:i/>
          <w:iCs/>
          <w:rtl/>
          <w:lang w:bidi="ar-SY"/>
        </w:rPr>
        <w:t>الوضع</w:t>
      </w:r>
      <w:r w:rsidR="00F32B28">
        <w:rPr>
          <w:i/>
          <w:iCs/>
          <w:rtl/>
          <w:lang w:bidi="ar-SY"/>
        </w:rPr>
        <w:t xml:space="preserve"> </w:t>
      </w:r>
      <w:r w:rsidR="00F32B28" w:rsidRPr="00F32B28">
        <w:rPr>
          <w:i/>
          <w:iCs/>
          <w:rtl/>
          <w:lang w:bidi="ar-SY"/>
        </w:rPr>
        <w:t>بستين</w:t>
      </w:r>
      <w:r w:rsidR="00F32B28">
        <w:rPr>
          <w:i/>
          <w:iCs/>
          <w:rtl/>
          <w:lang w:bidi="ar-SY"/>
        </w:rPr>
        <w:t xml:space="preserve"> </w:t>
      </w:r>
      <w:r w:rsidR="00F32B28" w:rsidRPr="00F32B28">
        <w:rPr>
          <w:i/>
          <w:iCs/>
          <w:rtl/>
          <w:lang w:bidi="ar-SY"/>
        </w:rPr>
        <w:t>يوماً،</w:t>
      </w:r>
      <w:r w:rsidR="00F32B28">
        <w:rPr>
          <w:i/>
          <w:iCs/>
          <w:rtl/>
          <w:lang w:bidi="ar-SY"/>
        </w:rPr>
        <w:t xml:space="preserve"> </w:t>
      </w:r>
      <w:r w:rsidR="00F32B28" w:rsidRPr="00F32B28">
        <w:rPr>
          <w:i/>
          <w:iCs/>
          <w:rtl/>
          <w:lang w:bidi="ar-SY"/>
        </w:rPr>
        <w:t>معاملة</w:t>
      </w:r>
      <w:r w:rsidR="00F32B28">
        <w:rPr>
          <w:i/>
          <w:iCs/>
          <w:rtl/>
          <w:lang w:bidi="ar-SY"/>
        </w:rPr>
        <w:t xml:space="preserve"> </w:t>
      </w:r>
      <w:r w:rsidR="00F32B28" w:rsidRPr="00F32B28">
        <w:rPr>
          <w:i/>
          <w:iCs/>
          <w:rtl/>
          <w:lang w:bidi="ar-SY"/>
        </w:rPr>
        <w:t>خاصة</w:t>
      </w:r>
      <w:r w:rsidR="00F32B28">
        <w:rPr>
          <w:i/>
          <w:iCs/>
          <w:rtl/>
          <w:lang w:bidi="ar-SY"/>
        </w:rPr>
        <w:t xml:space="preserve"> </w:t>
      </w:r>
      <w:r w:rsidR="00F32B28" w:rsidRPr="00F32B28">
        <w:rPr>
          <w:i/>
          <w:iCs/>
          <w:rtl/>
          <w:lang w:bidi="ar-SY"/>
        </w:rPr>
        <w:t>من</w:t>
      </w:r>
      <w:r w:rsidR="00F32B28">
        <w:rPr>
          <w:i/>
          <w:iCs/>
          <w:rtl/>
          <w:lang w:bidi="ar-SY"/>
        </w:rPr>
        <w:t xml:space="preserve"> </w:t>
      </w:r>
      <w:r w:rsidR="00F32B28" w:rsidRPr="00F32B28">
        <w:rPr>
          <w:i/>
          <w:iCs/>
          <w:rtl/>
          <w:lang w:bidi="ar-SY"/>
        </w:rPr>
        <w:t>حيث</w:t>
      </w:r>
      <w:r w:rsidR="00F32B28">
        <w:rPr>
          <w:i/>
          <w:iCs/>
          <w:rtl/>
          <w:lang w:bidi="ar-SY"/>
        </w:rPr>
        <w:t xml:space="preserve"> </w:t>
      </w:r>
      <w:r w:rsidR="00F32B28" w:rsidRPr="00F32B28">
        <w:rPr>
          <w:i/>
          <w:iCs/>
          <w:rtl/>
          <w:lang w:bidi="ar-SY"/>
        </w:rPr>
        <w:t>التغذية</w:t>
      </w:r>
      <w:r w:rsidR="00F32B28">
        <w:rPr>
          <w:i/>
          <w:iCs/>
          <w:rtl/>
          <w:lang w:bidi="ar-SY"/>
        </w:rPr>
        <w:t xml:space="preserve"> </w:t>
      </w:r>
      <w:r w:rsidR="00F32B28" w:rsidRPr="00F32B28">
        <w:rPr>
          <w:i/>
          <w:iCs/>
          <w:rtl/>
          <w:lang w:bidi="ar-SY"/>
        </w:rPr>
        <w:t>وأوقات</w:t>
      </w:r>
      <w:r w:rsidR="00F32B28">
        <w:rPr>
          <w:i/>
          <w:iCs/>
          <w:rtl/>
          <w:lang w:bidi="ar-SY"/>
        </w:rPr>
        <w:t xml:space="preserve"> </w:t>
      </w:r>
      <w:r w:rsidR="00F32B28" w:rsidRPr="00F32B28">
        <w:rPr>
          <w:i/>
          <w:iCs/>
          <w:rtl/>
          <w:lang w:bidi="ar-SY"/>
        </w:rPr>
        <w:t>النوم</w:t>
      </w:r>
      <w:r w:rsidR="00F32B28">
        <w:rPr>
          <w:i/>
          <w:iCs/>
          <w:rtl/>
          <w:lang w:bidi="ar-SY"/>
        </w:rPr>
        <w:t xml:space="preserve"> </w:t>
      </w:r>
      <w:r w:rsidR="00F32B28" w:rsidRPr="00F32B28">
        <w:rPr>
          <w:i/>
          <w:iCs/>
          <w:rtl/>
          <w:lang w:bidi="ar-SY"/>
        </w:rPr>
        <w:t>والعمل</w:t>
      </w:r>
      <w:r w:rsidR="00F32B28">
        <w:rPr>
          <w:i/>
          <w:iCs/>
          <w:rtl/>
          <w:lang w:bidi="ar-SY"/>
        </w:rPr>
        <w:t xml:space="preserve"> </w:t>
      </w:r>
      <w:r w:rsidR="00F32B28" w:rsidRPr="00F32B28">
        <w:rPr>
          <w:i/>
          <w:iCs/>
          <w:rtl/>
          <w:lang w:bidi="ar-SY"/>
        </w:rPr>
        <w:t>وتوفر</w:t>
      </w:r>
      <w:r w:rsidR="00F32B28">
        <w:rPr>
          <w:i/>
          <w:iCs/>
          <w:rtl/>
          <w:lang w:bidi="ar-SY"/>
        </w:rPr>
        <w:t xml:space="preserve"> </w:t>
      </w:r>
      <w:r w:rsidR="00F32B28" w:rsidRPr="00F32B28">
        <w:rPr>
          <w:i/>
          <w:iCs/>
          <w:rtl/>
          <w:lang w:bidi="ar-SY"/>
        </w:rPr>
        <w:t>لها</w:t>
      </w:r>
      <w:r w:rsidR="00F32B28">
        <w:rPr>
          <w:i/>
          <w:iCs/>
          <w:rtl/>
          <w:lang w:bidi="ar-SY"/>
        </w:rPr>
        <w:t xml:space="preserve"> </w:t>
      </w:r>
      <w:r w:rsidR="00F32B28" w:rsidRPr="00F32B28">
        <w:rPr>
          <w:i/>
          <w:iCs/>
          <w:rtl/>
          <w:lang w:bidi="ar-SY"/>
        </w:rPr>
        <w:t>العناية</w:t>
      </w:r>
      <w:r w:rsidR="00F32B28">
        <w:rPr>
          <w:i/>
          <w:iCs/>
          <w:rtl/>
          <w:lang w:bidi="ar-SY"/>
        </w:rPr>
        <w:t xml:space="preserve"> </w:t>
      </w:r>
      <w:r w:rsidR="00F32B28" w:rsidRPr="00F32B28">
        <w:rPr>
          <w:i/>
          <w:iCs/>
          <w:rtl/>
          <w:lang w:bidi="ar-SY"/>
        </w:rPr>
        <w:t>والرعاية</w:t>
      </w:r>
      <w:r w:rsidR="00F32B28">
        <w:rPr>
          <w:i/>
          <w:iCs/>
          <w:rtl/>
          <w:lang w:bidi="ar-SY"/>
        </w:rPr>
        <w:t xml:space="preserve"> </w:t>
      </w:r>
      <w:r w:rsidR="00F32B28" w:rsidRPr="00F32B28">
        <w:rPr>
          <w:i/>
          <w:iCs/>
          <w:rtl/>
          <w:lang w:bidi="ar-SY"/>
        </w:rPr>
        <w:t>الطبية</w:t>
      </w:r>
      <w:r w:rsidR="00F32B28">
        <w:rPr>
          <w:i/>
          <w:iCs/>
          <w:rtl/>
          <w:lang w:bidi="ar-SY"/>
        </w:rPr>
        <w:t xml:space="preserve"> </w:t>
      </w:r>
      <w:r w:rsidR="00F32B28" w:rsidRPr="00F32B28">
        <w:rPr>
          <w:i/>
          <w:iCs/>
          <w:rtl/>
          <w:lang w:bidi="ar-SY"/>
        </w:rPr>
        <w:t>وفق</w:t>
      </w:r>
      <w:r w:rsidR="00F32B28">
        <w:rPr>
          <w:i/>
          <w:iCs/>
          <w:rtl/>
          <w:lang w:bidi="ar-SY"/>
        </w:rPr>
        <w:t xml:space="preserve"> </w:t>
      </w:r>
      <w:r w:rsidR="00F32B28" w:rsidRPr="00F32B28">
        <w:rPr>
          <w:i/>
          <w:iCs/>
          <w:rtl/>
          <w:lang w:bidi="ar-SY"/>
        </w:rPr>
        <w:t>ما</w:t>
      </w:r>
      <w:r w:rsidR="00F32B28">
        <w:rPr>
          <w:i/>
          <w:iCs/>
          <w:rtl/>
          <w:lang w:bidi="ar-SY"/>
        </w:rPr>
        <w:t xml:space="preserve"> </w:t>
      </w:r>
      <w:r w:rsidR="00F32B28" w:rsidRPr="00F32B28">
        <w:rPr>
          <w:i/>
          <w:iCs/>
          <w:rtl/>
          <w:lang w:bidi="ar-SY"/>
        </w:rPr>
        <w:t>يوصي</w:t>
      </w:r>
      <w:r w:rsidR="00F32B28">
        <w:rPr>
          <w:i/>
          <w:iCs/>
          <w:rtl/>
          <w:lang w:bidi="ar-SY"/>
        </w:rPr>
        <w:t xml:space="preserve"> </w:t>
      </w:r>
      <w:r w:rsidR="00F32B28" w:rsidRPr="00F32B28">
        <w:rPr>
          <w:i/>
          <w:iCs/>
          <w:rtl/>
          <w:lang w:bidi="ar-SY"/>
        </w:rPr>
        <w:t>به</w:t>
      </w:r>
      <w:r w:rsidR="00F32B28">
        <w:rPr>
          <w:i/>
          <w:iCs/>
          <w:rtl/>
          <w:lang w:bidi="ar-SY"/>
        </w:rPr>
        <w:t xml:space="preserve"> </w:t>
      </w:r>
      <w:r w:rsidR="00F32B28" w:rsidRPr="00F32B28">
        <w:rPr>
          <w:i/>
          <w:iCs/>
          <w:rtl/>
          <w:lang w:bidi="ar-SY"/>
        </w:rPr>
        <w:t>الطبيب</w:t>
      </w:r>
      <w:r w:rsidR="00F32B28">
        <w:rPr>
          <w:i/>
          <w:iCs/>
          <w:rtl/>
          <w:lang w:bidi="ar-SY"/>
        </w:rPr>
        <w:t xml:space="preserve"> </w:t>
      </w:r>
      <w:r w:rsidR="00F32B28" w:rsidRPr="00F32B28">
        <w:rPr>
          <w:i/>
          <w:iCs/>
          <w:rtl/>
          <w:lang w:bidi="ar-SY"/>
        </w:rPr>
        <w:t>وتتخذ</w:t>
      </w:r>
      <w:r w:rsidR="00F32B28">
        <w:rPr>
          <w:i/>
          <w:iCs/>
          <w:rtl/>
          <w:lang w:bidi="ar-SY"/>
        </w:rPr>
        <w:t xml:space="preserve"> </w:t>
      </w:r>
      <w:r w:rsidR="00F32B28" w:rsidRPr="00F32B28">
        <w:rPr>
          <w:i/>
          <w:iCs/>
          <w:rtl/>
          <w:lang w:bidi="ar-SY"/>
        </w:rPr>
        <w:t>التدابير</w:t>
      </w:r>
      <w:r w:rsidR="00F32B28">
        <w:rPr>
          <w:i/>
          <w:iCs/>
          <w:rtl/>
          <w:lang w:bidi="ar-SY"/>
        </w:rPr>
        <w:t xml:space="preserve"> </w:t>
      </w:r>
      <w:r w:rsidR="00F32B28" w:rsidRPr="00F32B28">
        <w:rPr>
          <w:i/>
          <w:iCs/>
          <w:rtl/>
          <w:lang w:bidi="ar-SY"/>
        </w:rPr>
        <w:t>اللازمة</w:t>
      </w:r>
      <w:r w:rsidR="00F32B28">
        <w:rPr>
          <w:i/>
          <w:iCs/>
          <w:rtl/>
          <w:lang w:bidi="ar-SY"/>
        </w:rPr>
        <w:t xml:space="preserve"> </w:t>
      </w:r>
      <w:r w:rsidR="00F32B28" w:rsidRPr="00F32B28">
        <w:rPr>
          <w:i/>
          <w:iCs/>
          <w:rtl/>
          <w:lang w:bidi="ar-SY"/>
        </w:rPr>
        <w:t>كي</w:t>
      </w:r>
      <w:r w:rsidR="00F32B28">
        <w:rPr>
          <w:i/>
          <w:iCs/>
          <w:rtl/>
          <w:lang w:bidi="ar-SY"/>
        </w:rPr>
        <w:t xml:space="preserve"> </w:t>
      </w:r>
      <w:r w:rsidR="00F32B28" w:rsidRPr="00F32B28">
        <w:rPr>
          <w:i/>
          <w:iCs/>
          <w:rtl/>
          <w:lang w:bidi="ar-SY"/>
        </w:rPr>
        <w:t>تضع</w:t>
      </w:r>
      <w:r w:rsidR="00F32B28">
        <w:rPr>
          <w:i/>
          <w:iCs/>
          <w:rtl/>
          <w:lang w:bidi="ar-SY"/>
        </w:rPr>
        <w:t xml:space="preserve"> </w:t>
      </w:r>
      <w:r w:rsidR="00F32B28" w:rsidRPr="00F32B28">
        <w:rPr>
          <w:i/>
          <w:iCs/>
          <w:rtl/>
          <w:lang w:bidi="ar-SY"/>
        </w:rPr>
        <w:t>حملها</w:t>
      </w:r>
      <w:r w:rsidR="00F32B28">
        <w:rPr>
          <w:i/>
          <w:iCs/>
          <w:rtl/>
          <w:lang w:bidi="ar-SY"/>
        </w:rPr>
        <w:t xml:space="preserve"> </w:t>
      </w:r>
      <w:r w:rsidR="00F32B28" w:rsidRPr="00F32B28">
        <w:rPr>
          <w:i/>
          <w:iCs/>
          <w:rtl/>
          <w:lang w:bidi="ar-SY"/>
        </w:rPr>
        <w:t>في</w:t>
      </w:r>
      <w:r w:rsidR="00F32B28">
        <w:rPr>
          <w:i/>
          <w:iCs/>
          <w:rtl/>
          <w:lang w:bidi="ar-SY"/>
        </w:rPr>
        <w:t xml:space="preserve"> </w:t>
      </w:r>
      <w:r w:rsidR="00F32B28" w:rsidRPr="00F32B28">
        <w:rPr>
          <w:i/>
          <w:iCs/>
          <w:rtl/>
          <w:lang w:bidi="ar-SY"/>
        </w:rPr>
        <w:t>المستشفى</w:t>
      </w:r>
      <w:r w:rsidR="00407D55" w:rsidRPr="00407D55">
        <w:rPr>
          <w:rFonts w:hint="cs"/>
          <w:i/>
          <w:iCs/>
          <w:rtl/>
          <w:lang w:bidi="ar-SY"/>
        </w:rPr>
        <w:t>“</w:t>
      </w:r>
      <w:r w:rsidR="00F32B28" w:rsidRPr="00F32B28">
        <w:rPr>
          <w:i/>
          <w:iCs/>
          <w:rtl/>
          <w:lang w:bidi="ar-SY"/>
        </w:rPr>
        <w:t>.</w:t>
      </w:r>
      <w:r>
        <w:rPr>
          <w:rFonts w:hint="cs"/>
          <w:i/>
          <w:iCs/>
          <w:rtl/>
          <w:lang w:bidi="ar-SY"/>
        </w:rPr>
        <w:t xml:space="preserve"> </w:t>
      </w:r>
      <w:r w:rsidR="00F32B28" w:rsidRPr="00F32B28">
        <w:rPr>
          <w:rtl/>
          <w:lang w:bidi="ar-SY"/>
        </w:rPr>
        <w:t>كما</w:t>
      </w:r>
      <w:r w:rsidR="00F32B28">
        <w:rPr>
          <w:rtl/>
          <w:lang w:bidi="ar-SY"/>
        </w:rPr>
        <w:t xml:space="preserve"> </w:t>
      </w:r>
      <w:r w:rsidR="00F32B28" w:rsidRPr="00F32B28">
        <w:rPr>
          <w:rtl/>
          <w:lang w:bidi="ar-SY"/>
        </w:rPr>
        <w:t>يحمي</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خصوصية</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النزيلة</w:t>
      </w:r>
      <w:r w:rsidR="00F32B28">
        <w:rPr>
          <w:rtl/>
          <w:lang w:bidi="ar-SY"/>
        </w:rPr>
        <w:t xml:space="preserve"> </w:t>
      </w:r>
      <w:r w:rsidR="00F32B28" w:rsidRPr="00F32B28">
        <w:rPr>
          <w:rtl/>
          <w:lang w:bidi="ar-SY"/>
        </w:rPr>
        <w:t>وطفلها،</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تنص</w:t>
      </w:r>
      <w:r w:rsidR="00F32B28">
        <w:rPr>
          <w:rtl/>
          <w:lang w:bidi="ar-SY"/>
        </w:rPr>
        <w:t xml:space="preserve"> </w:t>
      </w:r>
      <w:r w:rsidR="00F32B28" w:rsidRPr="00F32B28">
        <w:rPr>
          <w:rtl/>
          <w:lang w:bidi="ar-SY"/>
        </w:rPr>
        <w:t>المادة</w:t>
      </w:r>
      <w:r w:rsidR="00F32B28">
        <w:rPr>
          <w:rtl/>
          <w:lang w:bidi="ar-SY"/>
        </w:rPr>
        <w:t xml:space="preserve"> </w:t>
      </w:r>
      <w:r w:rsidR="00F32B28" w:rsidRPr="00F32B28">
        <w:rPr>
          <w:rtl/>
          <w:lang w:bidi="ar-SY"/>
        </w:rPr>
        <w:t>(28)</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أنه</w:t>
      </w:r>
      <w:r w:rsidR="00F32B28">
        <w:rPr>
          <w:rtl/>
          <w:lang w:bidi="ar-SY"/>
        </w:rPr>
        <w:t xml:space="preserve"> </w:t>
      </w:r>
      <w:r w:rsidR="00407D55" w:rsidRPr="00407D55">
        <w:rPr>
          <w:rFonts w:hint="eastAsia"/>
          <w:i/>
          <w:iCs/>
          <w:rtl/>
          <w:lang w:bidi="ar-SY"/>
        </w:rPr>
        <w:t>”</w:t>
      </w:r>
      <w:r w:rsidR="00F32B28" w:rsidRPr="00F32B28">
        <w:rPr>
          <w:i/>
          <w:iCs/>
          <w:rtl/>
          <w:lang w:bidi="ar-SY"/>
        </w:rPr>
        <w:t>إذا</w:t>
      </w:r>
      <w:r w:rsidR="00F32B28">
        <w:rPr>
          <w:i/>
          <w:iCs/>
          <w:rtl/>
          <w:lang w:bidi="ar-SY"/>
        </w:rPr>
        <w:t xml:space="preserve"> </w:t>
      </w:r>
      <w:r w:rsidR="00F32B28" w:rsidRPr="00F32B28">
        <w:rPr>
          <w:i/>
          <w:iCs/>
          <w:rtl/>
          <w:lang w:bidi="ar-SY"/>
        </w:rPr>
        <w:t>وضعت</w:t>
      </w:r>
      <w:r w:rsidR="00F32B28">
        <w:rPr>
          <w:i/>
          <w:iCs/>
          <w:rtl/>
          <w:lang w:bidi="ar-SY"/>
        </w:rPr>
        <w:t xml:space="preserve"> </w:t>
      </w:r>
      <w:r w:rsidR="00F32B28" w:rsidRPr="00F32B28">
        <w:rPr>
          <w:i/>
          <w:iCs/>
          <w:rtl/>
          <w:lang w:bidi="ar-SY"/>
        </w:rPr>
        <w:t>النزيلة</w:t>
      </w:r>
      <w:r w:rsidR="00F32B28">
        <w:rPr>
          <w:i/>
          <w:iCs/>
          <w:rtl/>
          <w:lang w:bidi="ar-SY"/>
        </w:rPr>
        <w:t xml:space="preserve"> </w:t>
      </w:r>
      <w:r w:rsidR="00F32B28" w:rsidRPr="00F32B28">
        <w:rPr>
          <w:i/>
          <w:iCs/>
          <w:rtl/>
          <w:lang w:bidi="ar-SY"/>
        </w:rPr>
        <w:t>طفلها</w:t>
      </w:r>
      <w:r w:rsidR="00F32B28">
        <w:rPr>
          <w:i/>
          <w:iCs/>
          <w:rtl/>
          <w:lang w:bidi="ar-SY"/>
        </w:rPr>
        <w:t xml:space="preserve"> </w:t>
      </w:r>
      <w:r w:rsidR="00F32B28" w:rsidRPr="00F32B28">
        <w:rPr>
          <w:i/>
          <w:iCs/>
          <w:rtl/>
          <w:lang w:bidi="ar-SY"/>
        </w:rPr>
        <w:t>في</w:t>
      </w:r>
      <w:r w:rsidR="00F32B28">
        <w:rPr>
          <w:i/>
          <w:iCs/>
          <w:rtl/>
          <w:lang w:bidi="ar-SY"/>
        </w:rPr>
        <w:t xml:space="preserve"> </w:t>
      </w:r>
      <w:r w:rsidR="00F32B28" w:rsidRPr="00F32B28">
        <w:rPr>
          <w:i/>
          <w:iCs/>
          <w:rtl/>
          <w:lang w:bidi="ar-SY"/>
        </w:rPr>
        <w:t>المركز</w:t>
      </w:r>
      <w:r w:rsidR="00F32B28">
        <w:rPr>
          <w:i/>
          <w:iCs/>
          <w:rtl/>
          <w:lang w:bidi="ar-SY"/>
        </w:rPr>
        <w:t xml:space="preserve"> </w:t>
      </w:r>
      <w:r w:rsidR="00F32B28" w:rsidRPr="00F32B28">
        <w:rPr>
          <w:i/>
          <w:iCs/>
          <w:rtl/>
          <w:lang w:bidi="ar-SY"/>
        </w:rPr>
        <w:t>فلا</w:t>
      </w:r>
      <w:r w:rsidR="00F32B28">
        <w:rPr>
          <w:i/>
          <w:iCs/>
          <w:rtl/>
          <w:lang w:bidi="ar-SY"/>
        </w:rPr>
        <w:t xml:space="preserve"> </w:t>
      </w:r>
      <w:r w:rsidR="00F32B28" w:rsidRPr="00F32B28">
        <w:rPr>
          <w:i/>
          <w:iCs/>
          <w:rtl/>
          <w:lang w:bidi="ar-SY"/>
        </w:rPr>
        <w:t>يذكر</w:t>
      </w:r>
      <w:r w:rsidR="00F32B28">
        <w:rPr>
          <w:i/>
          <w:iCs/>
          <w:rtl/>
          <w:lang w:bidi="ar-SY"/>
        </w:rPr>
        <w:t xml:space="preserve"> </w:t>
      </w:r>
      <w:r w:rsidR="00F32B28" w:rsidRPr="00F32B28">
        <w:rPr>
          <w:i/>
          <w:iCs/>
          <w:rtl/>
          <w:lang w:bidi="ar-SY"/>
        </w:rPr>
        <w:t>ذلك</w:t>
      </w:r>
      <w:r w:rsidR="00F32B28">
        <w:rPr>
          <w:i/>
          <w:iCs/>
          <w:rtl/>
          <w:lang w:bidi="ar-SY"/>
        </w:rPr>
        <w:t xml:space="preserve"> </w:t>
      </w:r>
      <w:r w:rsidR="00F32B28" w:rsidRPr="00F32B28">
        <w:rPr>
          <w:i/>
          <w:iCs/>
          <w:rtl/>
          <w:lang w:bidi="ar-SY"/>
        </w:rPr>
        <w:t>في</w:t>
      </w:r>
      <w:r w:rsidR="00F32B28">
        <w:rPr>
          <w:i/>
          <w:iCs/>
          <w:rtl/>
          <w:lang w:bidi="ar-SY"/>
        </w:rPr>
        <w:t xml:space="preserve"> </w:t>
      </w:r>
      <w:r w:rsidR="00F32B28" w:rsidRPr="00F32B28">
        <w:rPr>
          <w:i/>
          <w:iCs/>
          <w:rtl/>
          <w:lang w:bidi="ar-SY"/>
        </w:rPr>
        <w:t>السجلات</w:t>
      </w:r>
      <w:r w:rsidR="00F32B28">
        <w:rPr>
          <w:i/>
          <w:iCs/>
          <w:rtl/>
          <w:lang w:bidi="ar-SY"/>
        </w:rPr>
        <w:t xml:space="preserve"> </w:t>
      </w:r>
      <w:r w:rsidR="00F32B28" w:rsidRPr="00F32B28">
        <w:rPr>
          <w:i/>
          <w:iCs/>
          <w:rtl/>
          <w:lang w:bidi="ar-SY"/>
        </w:rPr>
        <w:t>الرسمية</w:t>
      </w:r>
      <w:r w:rsidR="00F32B28">
        <w:rPr>
          <w:i/>
          <w:iCs/>
          <w:rtl/>
          <w:lang w:bidi="ar-SY"/>
        </w:rPr>
        <w:t xml:space="preserve"> </w:t>
      </w:r>
      <w:r w:rsidR="00F32B28" w:rsidRPr="00F32B28">
        <w:rPr>
          <w:i/>
          <w:iCs/>
          <w:rtl/>
          <w:lang w:bidi="ar-SY"/>
        </w:rPr>
        <w:t>ولا</w:t>
      </w:r>
      <w:r w:rsidR="00F32B28">
        <w:rPr>
          <w:i/>
          <w:iCs/>
          <w:rtl/>
          <w:lang w:bidi="ar-SY"/>
        </w:rPr>
        <w:t xml:space="preserve"> </w:t>
      </w:r>
      <w:r w:rsidR="00F32B28" w:rsidRPr="00F32B28">
        <w:rPr>
          <w:i/>
          <w:iCs/>
          <w:rtl/>
          <w:lang w:bidi="ar-SY"/>
        </w:rPr>
        <w:t>في</w:t>
      </w:r>
      <w:r w:rsidR="00F32B28">
        <w:rPr>
          <w:i/>
          <w:iCs/>
          <w:rtl/>
          <w:lang w:bidi="ar-SY"/>
        </w:rPr>
        <w:t xml:space="preserve"> </w:t>
      </w:r>
      <w:r w:rsidR="00F32B28" w:rsidRPr="00F32B28">
        <w:rPr>
          <w:i/>
          <w:iCs/>
          <w:rtl/>
          <w:lang w:bidi="ar-SY"/>
        </w:rPr>
        <w:t>شهادة</w:t>
      </w:r>
      <w:r w:rsidR="00F32B28">
        <w:rPr>
          <w:i/>
          <w:iCs/>
          <w:rtl/>
          <w:lang w:bidi="ar-SY"/>
        </w:rPr>
        <w:t xml:space="preserve"> </w:t>
      </w:r>
      <w:r w:rsidR="00F32B28" w:rsidRPr="00F32B28">
        <w:rPr>
          <w:i/>
          <w:iCs/>
          <w:rtl/>
          <w:lang w:bidi="ar-SY"/>
        </w:rPr>
        <w:t>الميلاد</w:t>
      </w:r>
      <w:r w:rsidR="00F32B28">
        <w:rPr>
          <w:i/>
          <w:iCs/>
          <w:rtl/>
          <w:lang w:bidi="ar-SY"/>
        </w:rPr>
        <w:t xml:space="preserve"> </w:t>
      </w:r>
      <w:r w:rsidR="00F32B28" w:rsidRPr="00F32B28">
        <w:rPr>
          <w:i/>
          <w:iCs/>
          <w:rtl/>
          <w:lang w:bidi="ar-SY"/>
        </w:rPr>
        <w:t>ويعتبر</w:t>
      </w:r>
      <w:r w:rsidR="00F32B28">
        <w:rPr>
          <w:i/>
          <w:iCs/>
          <w:rtl/>
          <w:lang w:bidi="ar-SY"/>
        </w:rPr>
        <w:t xml:space="preserve"> </w:t>
      </w:r>
      <w:r w:rsidR="00F32B28" w:rsidRPr="00F32B28">
        <w:rPr>
          <w:i/>
          <w:iCs/>
          <w:rtl/>
          <w:lang w:bidi="ar-SY"/>
        </w:rPr>
        <w:t>المستشفى</w:t>
      </w:r>
      <w:r w:rsidR="00F32B28">
        <w:rPr>
          <w:i/>
          <w:iCs/>
          <w:rtl/>
          <w:lang w:bidi="ar-SY"/>
        </w:rPr>
        <w:t xml:space="preserve"> </w:t>
      </w:r>
      <w:r w:rsidR="00F32B28" w:rsidRPr="00F32B28">
        <w:rPr>
          <w:i/>
          <w:iCs/>
          <w:rtl/>
          <w:lang w:bidi="ar-SY"/>
        </w:rPr>
        <w:t>مكان</w:t>
      </w:r>
      <w:r w:rsidR="00F32B28">
        <w:rPr>
          <w:i/>
          <w:iCs/>
          <w:rtl/>
          <w:lang w:bidi="ar-SY"/>
        </w:rPr>
        <w:t xml:space="preserve"> </w:t>
      </w:r>
      <w:r w:rsidR="00F32B28" w:rsidRPr="00F32B28">
        <w:rPr>
          <w:i/>
          <w:iCs/>
          <w:rtl/>
          <w:lang w:bidi="ar-SY"/>
        </w:rPr>
        <w:t>الولادة</w:t>
      </w:r>
      <w:r w:rsidR="00F32B28">
        <w:rPr>
          <w:i/>
          <w:iCs/>
          <w:rtl/>
          <w:lang w:bidi="ar-SY"/>
        </w:rPr>
        <w:t xml:space="preserve"> </w:t>
      </w:r>
      <w:r w:rsidR="00F32B28" w:rsidRPr="00F32B28">
        <w:rPr>
          <w:i/>
          <w:iCs/>
          <w:rtl/>
          <w:lang w:bidi="ar-SY"/>
        </w:rPr>
        <w:t>ويبقى</w:t>
      </w:r>
      <w:r w:rsidR="00F32B28">
        <w:rPr>
          <w:i/>
          <w:iCs/>
          <w:rtl/>
          <w:lang w:bidi="ar-SY"/>
        </w:rPr>
        <w:t xml:space="preserve"> </w:t>
      </w:r>
      <w:r w:rsidR="00F32B28" w:rsidRPr="00F32B28">
        <w:rPr>
          <w:i/>
          <w:iCs/>
          <w:rtl/>
          <w:lang w:bidi="ar-SY"/>
        </w:rPr>
        <w:t>الطفل</w:t>
      </w:r>
      <w:r w:rsidR="00F32B28">
        <w:rPr>
          <w:i/>
          <w:iCs/>
          <w:rtl/>
          <w:lang w:bidi="ar-SY"/>
        </w:rPr>
        <w:t xml:space="preserve"> </w:t>
      </w:r>
      <w:r w:rsidR="00F32B28" w:rsidRPr="00F32B28">
        <w:rPr>
          <w:i/>
          <w:iCs/>
          <w:rtl/>
          <w:lang w:bidi="ar-SY"/>
        </w:rPr>
        <w:t>بمعية</w:t>
      </w:r>
      <w:r w:rsidR="00F32B28">
        <w:rPr>
          <w:i/>
          <w:iCs/>
          <w:rtl/>
          <w:lang w:bidi="ar-SY"/>
        </w:rPr>
        <w:t xml:space="preserve"> </w:t>
      </w:r>
      <w:r w:rsidR="00F32B28" w:rsidRPr="00F32B28">
        <w:rPr>
          <w:i/>
          <w:iCs/>
          <w:rtl/>
          <w:lang w:bidi="ar-SY"/>
        </w:rPr>
        <w:t>أمه</w:t>
      </w:r>
      <w:r w:rsidR="00F32B28">
        <w:rPr>
          <w:i/>
          <w:iCs/>
          <w:rtl/>
          <w:lang w:bidi="ar-SY"/>
        </w:rPr>
        <w:t xml:space="preserve"> </w:t>
      </w:r>
      <w:r w:rsidR="00F32B28" w:rsidRPr="00F32B28">
        <w:rPr>
          <w:i/>
          <w:iCs/>
          <w:rtl/>
          <w:lang w:bidi="ar-SY"/>
        </w:rPr>
        <w:t>حتى</w:t>
      </w:r>
      <w:r w:rsidR="00F32B28">
        <w:rPr>
          <w:i/>
          <w:iCs/>
          <w:rtl/>
          <w:lang w:bidi="ar-SY"/>
        </w:rPr>
        <w:t xml:space="preserve"> </w:t>
      </w:r>
      <w:r w:rsidR="00F32B28" w:rsidRPr="00F32B28">
        <w:rPr>
          <w:i/>
          <w:iCs/>
          <w:rtl/>
          <w:lang w:bidi="ar-SY"/>
        </w:rPr>
        <w:t>بلوغه</w:t>
      </w:r>
      <w:r w:rsidR="00F32B28">
        <w:rPr>
          <w:i/>
          <w:iCs/>
          <w:rtl/>
          <w:lang w:bidi="ar-SY"/>
        </w:rPr>
        <w:t xml:space="preserve"> </w:t>
      </w:r>
      <w:r w:rsidR="00F32B28" w:rsidRPr="00F32B28">
        <w:rPr>
          <w:i/>
          <w:iCs/>
          <w:rtl/>
          <w:lang w:bidi="ar-SY"/>
        </w:rPr>
        <w:t>السنتين</w:t>
      </w:r>
      <w:r w:rsidR="00F32B28">
        <w:rPr>
          <w:i/>
          <w:iCs/>
          <w:rtl/>
          <w:lang w:bidi="ar-SY"/>
        </w:rPr>
        <w:t xml:space="preserve"> </w:t>
      </w:r>
      <w:r w:rsidR="00F32B28" w:rsidRPr="00F32B28">
        <w:rPr>
          <w:i/>
          <w:iCs/>
          <w:rtl/>
          <w:lang w:bidi="ar-SY"/>
        </w:rPr>
        <w:t>من</w:t>
      </w:r>
      <w:r w:rsidR="00F32B28">
        <w:rPr>
          <w:i/>
          <w:iCs/>
          <w:rtl/>
          <w:lang w:bidi="ar-SY"/>
        </w:rPr>
        <w:t xml:space="preserve"> </w:t>
      </w:r>
      <w:r w:rsidR="00F32B28" w:rsidRPr="00F32B28">
        <w:rPr>
          <w:i/>
          <w:iCs/>
          <w:rtl/>
          <w:lang w:bidi="ar-SY"/>
        </w:rPr>
        <w:t>العمر</w:t>
      </w:r>
      <w:r w:rsidR="00F32B28">
        <w:rPr>
          <w:i/>
          <w:iCs/>
          <w:rtl/>
          <w:lang w:bidi="ar-SY"/>
        </w:rPr>
        <w:t xml:space="preserve"> </w:t>
      </w:r>
      <w:r w:rsidR="00F32B28" w:rsidRPr="00F32B28">
        <w:rPr>
          <w:i/>
          <w:iCs/>
          <w:rtl/>
          <w:lang w:bidi="ar-SY"/>
        </w:rPr>
        <w:t>وعلى</w:t>
      </w:r>
      <w:r w:rsidR="00F32B28">
        <w:rPr>
          <w:i/>
          <w:iCs/>
          <w:rtl/>
          <w:lang w:bidi="ar-SY"/>
        </w:rPr>
        <w:t xml:space="preserve"> </w:t>
      </w:r>
      <w:r w:rsidR="00F32B28" w:rsidRPr="00F32B28">
        <w:rPr>
          <w:i/>
          <w:iCs/>
          <w:rtl/>
          <w:lang w:bidi="ar-SY"/>
        </w:rPr>
        <w:t>المدير</w:t>
      </w:r>
      <w:r w:rsidR="00F32B28">
        <w:rPr>
          <w:i/>
          <w:iCs/>
          <w:rtl/>
          <w:lang w:bidi="ar-SY"/>
        </w:rPr>
        <w:t xml:space="preserve"> </w:t>
      </w:r>
      <w:r w:rsidR="00F32B28" w:rsidRPr="00F32B28">
        <w:rPr>
          <w:i/>
          <w:iCs/>
          <w:rtl/>
          <w:lang w:bidi="ar-SY"/>
        </w:rPr>
        <w:t>أن</w:t>
      </w:r>
      <w:r w:rsidR="00F32B28">
        <w:rPr>
          <w:i/>
          <w:iCs/>
          <w:rtl/>
          <w:lang w:bidi="ar-SY"/>
        </w:rPr>
        <w:t xml:space="preserve"> </w:t>
      </w:r>
      <w:r w:rsidR="00F32B28" w:rsidRPr="00F32B28">
        <w:rPr>
          <w:i/>
          <w:iCs/>
          <w:rtl/>
          <w:lang w:bidi="ar-SY"/>
        </w:rPr>
        <w:t>يوفر</w:t>
      </w:r>
      <w:r w:rsidR="00F32B28">
        <w:rPr>
          <w:i/>
          <w:iCs/>
          <w:rtl/>
          <w:lang w:bidi="ar-SY"/>
        </w:rPr>
        <w:t xml:space="preserve"> </w:t>
      </w:r>
      <w:r w:rsidR="00F32B28" w:rsidRPr="00F32B28">
        <w:rPr>
          <w:i/>
          <w:iCs/>
          <w:rtl/>
          <w:lang w:bidi="ar-SY"/>
        </w:rPr>
        <w:t>للأم</w:t>
      </w:r>
      <w:r w:rsidR="00F32B28">
        <w:rPr>
          <w:i/>
          <w:iCs/>
          <w:rtl/>
          <w:lang w:bidi="ar-SY"/>
        </w:rPr>
        <w:t xml:space="preserve"> </w:t>
      </w:r>
      <w:r w:rsidR="00F32B28" w:rsidRPr="00F32B28">
        <w:rPr>
          <w:i/>
          <w:iCs/>
          <w:rtl/>
          <w:lang w:bidi="ar-SY"/>
        </w:rPr>
        <w:t>المرضعة</w:t>
      </w:r>
      <w:r w:rsidR="00F32B28">
        <w:rPr>
          <w:i/>
          <w:iCs/>
          <w:rtl/>
          <w:lang w:bidi="ar-SY"/>
        </w:rPr>
        <w:t xml:space="preserve"> </w:t>
      </w:r>
      <w:r w:rsidR="00F32B28" w:rsidRPr="00F32B28">
        <w:rPr>
          <w:i/>
          <w:iCs/>
          <w:rtl/>
          <w:lang w:bidi="ar-SY"/>
        </w:rPr>
        <w:t>مكاناً</w:t>
      </w:r>
      <w:r w:rsidR="00F32B28">
        <w:rPr>
          <w:i/>
          <w:iCs/>
          <w:rtl/>
          <w:lang w:bidi="ar-SY"/>
        </w:rPr>
        <w:t xml:space="preserve"> </w:t>
      </w:r>
      <w:r w:rsidR="00F32B28" w:rsidRPr="00F32B28">
        <w:rPr>
          <w:i/>
          <w:iCs/>
          <w:rtl/>
          <w:lang w:bidi="ar-SY"/>
        </w:rPr>
        <w:t>منفصلاً</w:t>
      </w:r>
      <w:r w:rsidR="00F32B28">
        <w:rPr>
          <w:i/>
          <w:iCs/>
          <w:rtl/>
          <w:lang w:bidi="ar-SY"/>
        </w:rPr>
        <w:t xml:space="preserve"> </w:t>
      </w:r>
      <w:r w:rsidR="00F32B28" w:rsidRPr="00F32B28">
        <w:rPr>
          <w:i/>
          <w:iCs/>
          <w:rtl/>
          <w:lang w:bidi="ar-SY"/>
        </w:rPr>
        <w:t>عن</w:t>
      </w:r>
      <w:r w:rsidR="00F32B28">
        <w:rPr>
          <w:i/>
          <w:iCs/>
          <w:rtl/>
          <w:lang w:bidi="ar-SY"/>
        </w:rPr>
        <w:t xml:space="preserve"> </w:t>
      </w:r>
      <w:r w:rsidR="00F32B28" w:rsidRPr="00F32B28">
        <w:rPr>
          <w:i/>
          <w:iCs/>
          <w:rtl/>
          <w:lang w:bidi="ar-SY"/>
        </w:rPr>
        <w:t>بقية</w:t>
      </w:r>
      <w:r w:rsidR="00F32B28">
        <w:rPr>
          <w:i/>
          <w:iCs/>
          <w:rtl/>
          <w:lang w:bidi="ar-SY"/>
        </w:rPr>
        <w:t xml:space="preserve"> </w:t>
      </w:r>
      <w:r w:rsidR="00F32B28" w:rsidRPr="00F32B28">
        <w:rPr>
          <w:i/>
          <w:iCs/>
          <w:rtl/>
          <w:lang w:bidi="ar-SY"/>
        </w:rPr>
        <w:t>النزيلات</w:t>
      </w:r>
      <w:r w:rsidR="00407D55" w:rsidRPr="00407D55">
        <w:rPr>
          <w:rFonts w:hint="cs"/>
          <w:i/>
          <w:iCs/>
          <w:rtl/>
          <w:lang w:bidi="ar-SY"/>
        </w:rPr>
        <w:t>“</w:t>
      </w:r>
      <w:r w:rsidR="00F32B28" w:rsidRPr="00F32B28">
        <w:rPr>
          <w:i/>
          <w:iCs/>
          <w:rtl/>
          <w:lang w:bidi="ar-SY"/>
        </w:rPr>
        <w:t>.</w:t>
      </w:r>
    </w:p>
    <w:p w:rsidR="00186574" w:rsidRPr="00186574" w:rsidRDefault="00186574" w:rsidP="00186574">
      <w:pPr>
        <w:pStyle w:val="SingleTxt"/>
        <w:spacing w:after="0" w:line="120" w:lineRule="exact"/>
        <w:rPr>
          <w:b/>
          <w:bCs/>
          <w:sz w:val="10"/>
          <w:rtl/>
        </w:rPr>
      </w:pPr>
    </w:p>
    <w:p w:rsidR="00F32B28" w:rsidRPr="00F32B28" w:rsidRDefault="00F32B28" w:rsidP="00186574">
      <w:pPr>
        <w:pStyle w:val="SingleTxt"/>
        <w:rPr>
          <w:b/>
          <w:bCs/>
        </w:rPr>
      </w:pPr>
      <w:r w:rsidRPr="00F32B28">
        <w:rPr>
          <w:b/>
          <w:bCs/>
          <w:rtl/>
        </w:rPr>
        <w:t>المادة</w:t>
      </w:r>
      <w:r>
        <w:rPr>
          <w:b/>
          <w:bCs/>
          <w:rtl/>
        </w:rPr>
        <w:t xml:space="preserve"> </w:t>
      </w:r>
      <w:r w:rsidRPr="00F32B28">
        <w:rPr>
          <w:b/>
          <w:bCs/>
          <w:rtl/>
        </w:rPr>
        <w:t>(5)</w:t>
      </w:r>
      <w:r w:rsidR="00186574">
        <w:rPr>
          <w:rFonts w:hint="cs"/>
          <w:b/>
          <w:bCs/>
          <w:rtl/>
        </w:rPr>
        <w:tab/>
      </w:r>
      <w:r w:rsidR="00186574">
        <w:rPr>
          <w:rFonts w:hint="cs"/>
          <w:b/>
          <w:bCs/>
          <w:rtl/>
        </w:rPr>
        <w:br/>
      </w:r>
      <w:r w:rsidRPr="00F32B28">
        <w:rPr>
          <w:b/>
          <w:bCs/>
          <w:rtl/>
        </w:rPr>
        <w:t>الأدوار</w:t>
      </w:r>
      <w:r>
        <w:rPr>
          <w:b/>
          <w:bCs/>
          <w:rtl/>
        </w:rPr>
        <w:t xml:space="preserve"> </w:t>
      </w:r>
      <w:r w:rsidRPr="00F32B28">
        <w:rPr>
          <w:b/>
          <w:bCs/>
          <w:rtl/>
        </w:rPr>
        <w:t>النمطية</w:t>
      </w:r>
      <w:r>
        <w:rPr>
          <w:b/>
          <w:bCs/>
          <w:rtl/>
        </w:rPr>
        <w:t xml:space="preserve"> </w:t>
      </w:r>
      <w:r w:rsidRPr="00F32B28">
        <w:rPr>
          <w:b/>
          <w:bCs/>
          <w:rtl/>
        </w:rPr>
        <w:t>للمرأة</w:t>
      </w:r>
    </w:p>
    <w:p w:rsidR="00F32B28" w:rsidRPr="00F32B28" w:rsidRDefault="00186574" w:rsidP="00186574">
      <w:pPr>
        <w:pStyle w:val="SingleTxt"/>
      </w:pPr>
      <w:r>
        <w:rPr>
          <w:rFonts w:hint="cs"/>
          <w:rtl/>
        </w:rPr>
        <w:t>77 -</w:t>
      </w:r>
      <w:r>
        <w:rPr>
          <w:rFonts w:hint="cs"/>
          <w:rtl/>
        </w:rPr>
        <w:tab/>
      </w:r>
      <w:r w:rsidR="00F32B28" w:rsidRPr="00F32B28">
        <w:rPr>
          <w:rtl/>
        </w:rPr>
        <w:t>تعتبر</w:t>
      </w:r>
      <w:r w:rsidR="00F32B28">
        <w:rPr>
          <w:rtl/>
        </w:rPr>
        <w:t xml:space="preserve"> </w:t>
      </w:r>
      <w:r w:rsidR="00F32B28" w:rsidRPr="00F32B28">
        <w:rPr>
          <w:rtl/>
        </w:rPr>
        <w:t>الأنماط</w:t>
      </w:r>
      <w:r w:rsidR="00F32B28">
        <w:rPr>
          <w:rtl/>
        </w:rPr>
        <w:t xml:space="preserve"> </w:t>
      </w:r>
      <w:r w:rsidR="00F32B28" w:rsidRPr="00F32B28">
        <w:rPr>
          <w:rtl/>
        </w:rPr>
        <w:t>الاجتماعية</w:t>
      </w:r>
      <w:r w:rsidR="00F32B28">
        <w:rPr>
          <w:rtl/>
        </w:rPr>
        <w:t xml:space="preserve"> </w:t>
      </w:r>
      <w:r w:rsidR="00F32B28" w:rsidRPr="00F32B28">
        <w:rPr>
          <w:rtl/>
        </w:rPr>
        <w:t>والثقافية</w:t>
      </w:r>
      <w:r w:rsidR="00F32B28">
        <w:rPr>
          <w:rtl/>
        </w:rPr>
        <w:t xml:space="preserve"> </w:t>
      </w:r>
      <w:r w:rsidR="00F32B28" w:rsidRPr="00F32B28">
        <w:rPr>
          <w:rtl/>
        </w:rPr>
        <w:t>السائدة</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من</w:t>
      </w:r>
      <w:r w:rsidR="00F32B28">
        <w:rPr>
          <w:rtl/>
        </w:rPr>
        <w:t xml:space="preserve"> </w:t>
      </w:r>
      <w:r w:rsidR="00F32B28" w:rsidRPr="00F32B28">
        <w:rPr>
          <w:rtl/>
        </w:rPr>
        <w:t>أهم</w:t>
      </w:r>
      <w:r w:rsidR="00F32B28">
        <w:rPr>
          <w:rtl/>
        </w:rPr>
        <w:t xml:space="preserve"> </w:t>
      </w:r>
      <w:r w:rsidR="00F32B28" w:rsidRPr="00F32B28">
        <w:rPr>
          <w:rtl/>
        </w:rPr>
        <w:t>المعوقات</w:t>
      </w:r>
      <w:r w:rsidR="00F32B28">
        <w:rPr>
          <w:rtl/>
        </w:rPr>
        <w:t xml:space="preserve"> </w:t>
      </w:r>
      <w:r w:rsidR="00F32B28" w:rsidRPr="00F32B28">
        <w:rPr>
          <w:rtl/>
        </w:rPr>
        <w:t>التي</w:t>
      </w:r>
      <w:r w:rsidR="00F32B28">
        <w:rPr>
          <w:rtl/>
        </w:rPr>
        <w:t xml:space="preserve"> </w:t>
      </w:r>
      <w:r w:rsidR="00F32B28" w:rsidRPr="00F32B28">
        <w:rPr>
          <w:rtl/>
        </w:rPr>
        <w:t>تحول</w:t>
      </w:r>
      <w:r w:rsidR="00F32B28">
        <w:rPr>
          <w:rtl/>
        </w:rPr>
        <w:t xml:space="preserve"> </w:t>
      </w:r>
      <w:r w:rsidR="00F32B28" w:rsidRPr="00F32B28">
        <w:rPr>
          <w:rtl/>
        </w:rPr>
        <w:t>دون</w:t>
      </w:r>
      <w:r w:rsidR="00F32B28">
        <w:rPr>
          <w:rtl/>
        </w:rPr>
        <w:t xml:space="preserve"> </w:t>
      </w:r>
      <w:r w:rsidR="00F32B28" w:rsidRPr="00F32B28">
        <w:rPr>
          <w:rtl/>
        </w:rPr>
        <w:t>ممارسة</w:t>
      </w:r>
      <w:r w:rsidR="00F32B28">
        <w:rPr>
          <w:rtl/>
        </w:rPr>
        <w:t xml:space="preserve"> </w:t>
      </w:r>
      <w:r w:rsidR="00F32B28" w:rsidRPr="00F32B28">
        <w:rPr>
          <w:rtl/>
        </w:rPr>
        <w:t>المرأة</w:t>
      </w:r>
      <w:r w:rsidR="00F32B28">
        <w:rPr>
          <w:rtl/>
        </w:rPr>
        <w:t xml:space="preserve"> </w:t>
      </w:r>
      <w:r w:rsidR="00F32B28" w:rsidRPr="00F32B28">
        <w:rPr>
          <w:rtl/>
        </w:rPr>
        <w:t>حقوقها</w:t>
      </w:r>
      <w:r w:rsidR="00F32B28">
        <w:rPr>
          <w:rtl/>
        </w:rPr>
        <w:t xml:space="preserve"> </w:t>
      </w:r>
      <w:r w:rsidR="00F32B28" w:rsidRPr="00F32B28">
        <w:rPr>
          <w:rtl/>
        </w:rPr>
        <w:t>المساوية</w:t>
      </w:r>
      <w:r w:rsidR="00F32B28">
        <w:rPr>
          <w:rtl/>
        </w:rPr>
        <w:t xml:space="preserve"> </w:t>
      </w:r>
      <w:r w:rsidR="00F32B28" w:rsidRPr="00F32B28">
        <w:rPr>
          <w:rtl/>
        </w:rPr>
        <w:t>للرجل.</w:t>
      </w:r>
      <w:r w:rsidR="00F32B28">
        <w:rPr>
          <w:rtl/>
        </w:rPr>
        <w:t xml:space="preserve"> </w:t>
      </w:r>
      <w:r w:rsidR="00F32B28" w:rsidRPr="00F32B28">
        <w:rPr>
          <w:rtl/>
        </w:rPr>
        <w:t>حيث</w:t>
      </w:r>
      <w:r w:rsidR="00F32B28">
        <w:rPr>
          <w:rtl/>
        </w:rPr>
        <w:t xml:space="preserve"> </w:t>
      </w:r>
      <w:r w:rsidR="00F32B28" w:rsidRPr="00F32B28">
        <w:rPr>
          <w:rtl/>
        </w:rPr>
        <w:t>تلعب</w:t>
      </w:r>
      <w:r w:rsidR="00F32B28">
        <w:rPr>
          <w:rtl/>
        </w:rPr>
        <w:t xml:space="preserve"> </w:t>
      </w:r>
      <w:r w:rsidR="00F32B28" w:rsidRPr="00F32B28">
        <w:rPr>
          <w:rtl/>
        </w:rPr>
        <w:t>هذه</w:t>
      </w:r>
      <w:r w:rsidR="00F32B28">
        <w:rPr>
          <w:rtl/>
        </w:rPr>
        <w:t xml:space="preserve"> </w:t>
      </w:r>
      <w:r w:rsidR="00F32B28" w:rsidRPr="00F32B28">
        <w:rPr>
          <w:rtl/>
          <w:lang w:bidi="ar-LB"/>
        </w:rPr>
        <w:t>الأنماط،</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الثقافات</w:t>
      </w:r>
      <w:r w:rsidR="00F32B28">
        <w:rPr>
          <w:rtl/>
          <w:lang w:bidi="ar-LB"/>
        </w:rPr>
        <w:t xml:space="preserve"> </w:t>
      </w:r>
      <w:r w:rsidR="00F32B28" w:rsidRPr="00F32B28">
        <w:rPr>
          <w:rtl/>
          <w:lang w:bidi="ar-LB"/>
        </w:rPr>
        <w:t>الأبوية،</w:t>
      </w:r>
      <w:r w:rsidR="00F32B28">
        <w:rPr>
          <w:rtl/>
          <w:lang w:bidi="ar-LB"/>
        </w:rPr>
        <w:t xml:space="preserve"> </w:t>
      </w:r>
      <w:r w:rsidR="00F32B28" w:rsidRPr="00F32B28">
        <w:rPr>
          <w:rtl/>
          <w:lang w:bidi="ar-LB"/>
        </w:rPr>
        <w:t>دوراً</w:t>
      </w:r>
      <w:r w:rsidR="00F32B28">
        <w:rPr>
          <w:rtl/>
          <w:lang w:bidi="ar-LB"/>
        </w:rPr>
        <w:t xml:space="preserve"> </w:t>
      </w:r>
      <w:r w:rsidR="00F32B28" w:rsidRPr="00F32B28">
        <w:rPr>
          <w:rtl/>
          <w:lang w:bidi="ar-LB"/>
        </w:rPr>
        <w:t>حاسماً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تثبيت</w:t>
      </w:r>
      <w:r w:rsidR="00F32B28">
        <w:rPr>
          <w:rtl/>
          <w:lang w:bidi="ar-LB"/>
        </w:rPr>
        <w:t xml:space="preserve"> </w:t>
      </w:r>
      <w:r w:rsidR="00F32B28" w:rsidRPr="00F32B28">
        <w:rPr>
          <w:rtl/>
          <w:lang w:bidi="ar-LB"/>
        </w:rPr>
        <w:t>التحيزات</w:t>
      </w:r>
      <w:r w:rsidR="00F32B28">
        <w:rPr>
          <w:rtl/>
          <w:lang w:bidi="ar-LB"/>
        </w:rPr>
        <w:t xml:space="preserve"> </w:t>
      </w:r>
      <w:r w:rsidR="00F32B28" w:rsidRPr="00F32B28">
        <w:rPr>
          <w:rtl/>
          <w:lang w:bidi="ar-LB"/>
        </w:rPr>
        <w:t>والممارسات</w:t>
      </w:r>
      <w:r w:rsidR="00F32B28">
        <w:rPr>
          <w:rtl/>
          <w:lang w:bidi="ar-LB"/>
        </w:rPr>
        <w:t xml:space="preserve"> </w:t>
      </w:r>
      <w:r w:rsidR="00F32B28" w:rsidRPr="00F32B28">
        <w:rPr>
          <w:rtl/>
          <w:lang w:bidi="ar-LB"/>
        </w:rPr>
        <w:t>الآيلة</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تشجيع</w:t>
      </w:r>
      <w:r w:rsidR="00F32B28">
        <w:rPr>
          <w:rtl/>
          <w:lang w:bidi="ar-LB"/>
        </w:rPr>
        <w:t xml:space="preserve"> </w:t>
      </w:r>
      <w:r w:rsidR="00F32B28" w:rsidRPr="00F32B28">
        <w:rPr>
          <w:rtl/>
          <w:lang w:bidi="ar-LB"/>
        </w:rPr>
        <w:t>موقع</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الدوني</w:t>
      </w:r>
      <w:r w:rsidR="00F32B28">
        <w:rPr>
          <w:rtl/>
          <w:lang w:bidi="ar-LB"/>
        </w:rPr>
        <w:t xml:space="preserve"> </w:t>
      </w:r>
      <w:r w:rsidR="00F32B28" w:rsidRPr="00F32B28">
        <w:rPr>
          <w:rtl/>
          <w:lang w:bidi="ar-LB"/>
        </w:rPr>
        <w:t>والثانوي</w:t>
      </w:r>
      <w:r w:rsidR="00F32B28">
        <w:rPr>
          <w:rtl/>
          <w:lang w:bidi="ar-LB"/>
        </w:rPr>
        <w:t xml:space="preserve"> </w:t>
      </w:r>
      <w:r w:rsidR="00F32B28" w:rsidRPr="00F32B28">
        <w:rPr>
          <w:rtl/>
          <w:lang w:bidi="ar-LB"/>
        </w:rPr>
        <w:t>وحصر</w:t>
      </w:r>
      <w:r w:rsidR="00F32B28">
        <w:rPr>
          <w:rtl/>
          <w:lang w:bidi="ar-LB"/>
        </w:rPr>
        <w:t xml:space="preserve"> </w:t>
      </w:r>
      <w:r w:rsidR="00F32B28" w:rsidRPr="00F32B28">
        <w:rPr>
          <w:rtl/>
          <w:lang w:bidi="ar-LB"/>
        </w:rPr>
        <w:t>دورها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المجال</w:t>
      </w:r>
      <w:r w:rsidR="00F32B28">
        <w:rPr>
          <w:rtl/>
          <w:lang w:bidi="ar-LB"/>
        </w:rPr>
        <w:t xml:space="preserve"> </w:t>
      </w:r>
      <w:r w:rsidR="00F32B28" w:rsidRPr="00F32B28">
        <w:rPr>
          <w:rtl/>
          <w:lang w:bidi="ar-LB"/>
        </w:rPr>
        <w:t>الأسري</w:t>
      </w:r>
      <w:r w:rsidR="00F32B28">
        <w:rPr>
          <w:rtl/>
          <w:lang w:bidi="ar-LB"/>
        </w:rPr>
        <w:t xml:space="preserve"> </w:t>
      </w:r>
      <w:r w:rsidR="00F32B28" w:rsidRPr="00F32B28">
        <w:rPr>
          <w:rtl/>
          <w:lang w:bidi="ar-LB"/>
        </w:rPr>
        <w:t>الخاص.</w:t>
      </w:r>
      <w:r w:rsidR="00F32B28">
        <w:rPr>
          <w:rtl/>
          <w:lang w:bidi="ar-LB"/>
        </w:rPr>
        <w:t xml:space="preserve"> </w:t>
      </w:r>
      <w:r w:rsidR="00F32B28" w:rsidRPr="00F32B28">
        <w:rPr>
          <w:rtl/>
          <w:lang w:bidi="ar-LB"/>
        </w:rPr>
        <w:t>فالأم</w:t>
      </w:r>
      <w:r w:rsidR="00F32B28">
        <w:rPr>
          <w:rtl/>
          <w:lang w:bidi="ar-LB"/>
        </w:rPr>
        <w:t xml:space="preserve"> </w:t>
      </w:r>
      <w:r w:rsidR="00F32B28" w:rsidRPr="00F32B28">
        <w:rPr>
          <w:rtl/>
          <w:lang w:bidi="ar-LB"/>
        </w:rPr>
        <w:t>يجري</w:t>
      </w:r>
      <w:r w:rsidR="00F32B28">
        <w:rPr>
          <w:rtl/>
          <w:lang w:bidi="ar-LB"/>
        </w:rPr>
        <w:t xml:space="preserve"> </w:t>
      </w:r>
      <w:r w:rsidR="00F32B28" w:rsidRPr="00F32B28">
        <w:rPr>
          <w:rtl/>
          <w:lang w:bidi="ar-LB"/>
        </w:rPr>
        <w:t>تحميلها،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أكثر</w:t>
      </w:r>
      <w:r w:rsidR="00F32B28">
        <w:rPr>
          <w:rtl/>
          <w:lang w:bidi="ar-LB"/>
        </w:rPr>
        <w:t xml:space="preserve"> </w:t>
      </w:r>
      <w:r w:rsidR="00F32B28" w:rsidRPr="00F32B28">
        <w:rPr>
          <w:rtl/>
          <w:lang w:bidi="ar-LB"/>
        </w:rPr>
        <w:t>الأحيان،</w:t>
      </w:r>
      <w:r w:rsidR="00F32B28">
        <w:rPr>
          <w:rtl/>
          <w:lang w:bidi="ar-LB"/>
        </w:rPr>
        <w:t xml:space="preserve"> </w:t>
      </w:r>
      <w:r w:rsidR="00F32B28" w:rsidRPr="00F32B28">
        <w:rPr>
          <w:rtl/>
          <w:lang w:bidi="ar-LB"/>
        </w:rPr>
        <w:t>مسؤولية</w:t>
      </w:r>
      <w:r w:rsidR="00F32B28">
        <w:rPr>
          <w:rtl/>
          <w:lang w:bidi="ar-LB"/>
        </w:rPr>
        <w:t xml:space="preserve"> </w:t>
      </w:r>
      <w:r w:rsidR="00F32B28" w:rsidRPr="00F32B28">
        <w:rPr>
          <w:rtl/>
          <w:lang w:bidi="ar-LB"/>
        </w:rPr>
        <w:t>رعاية</w:t>
      </w:r>
      <w:r w:rsidR="00F32B28">
        <w:rPr>
          <w:rtl/>
          <w:lang w:bidi="ar-LB"/>
        </w:rPr>
        <w:t xml:space="preserve"> </w:t>
      </w:r>
      <w:r w:rsidR="00F32B28" w:rsidRPr="00F32B28">
        <w:rPr>
          <w:rtl/>
          <w:lang w:bidi="ar-LB"/>
        </w:rPr>
        <w:t>الأسرة</w:t>
      </w:r>
      <w:r w:rsidR="00F32B28">
        <w:rPr>
          <w:rtl/>
          <w:lang w:bidi="ar-LB"/>
        </w:rPr>
        <w:t xml:space="preserve"> </w:t>
      </w:r>
      <w:r w:rsidR="00F32B28" w:rsidRPr="00F32B28">
        <w:rPr>
          <w:rtl/>
          <w:lang w:bidi="ar-LB"/>
        </w:rPr>
        <w:t>وتربية</w:t>
      </w:r>
      <w:r w:rsidR="00F32B28">
        <w:rPr>
          <w:rtl/>
          <w:lang w:bidi="ar-LB"/>
        </w:rPr>
        <w:t xml:space="preserve"> </w:t>
      </w:r>
      <w:r w:rsidR="00F32B28" w:rsidRPr="00F32B28">
        <w:rPr>
          <w:rtl/>
          <w:lang w:bidi="ar-LB"/>
        </w:rPr>
        <w:t>الأطفال</w:t>
      </w:r>
      <w:r w:rsidR="00F32B28">
        <w:rPr>
          <w:rtl/>
          <w:lang w:bidi="ar-LB"/>
        </w:rPr>
        <w:t xml:space="preserve"> </w:t>
      </w:r>
      <w:r w:rsidR="00F32B28" w:rsidRPr="00F32B28">
        <w:rPr>
          <w:rtl/>
          <w:lang w:bidi="ar-LB"/>
        </w:rPr>
        <w:t>ويبقى</w:t>
      </w:r>
      <w:r w:rsidR="00F32B28">
        <w:rPr>
          <w:rtl/>
          <w:lang w:bidi="ar-LB"/>
        </w:rPr>
        <w:t xml:space="preserve"> </w:t>
      </w:r>
      <w:r w:rsidR="00F32B28" w:rsidRPr="00F32B28">
        <w:rPr>
          <w:rtl/>
          <w:lang w:bidi="ar-LB"/>
        </w:rPr>
        <w:t>دورها</w:t>
      </w:r>
      <w:r w:rsidR="00F32B28">
        <w:rPr>
          <w:rtl/>
          <w:lang w:bidi="ar-LB"/>
        </w:rPr>
        <w:t xml:space="preserve"> </w:t>
      </w:r>
      <w:r w:rsidR="00F32B28" w:rsidRPr="00F32B28">
        <w:rPr>
          <w:rtl/>
          <w:lang w:bidi="ar-LB"/>
        </w:rPr>
        <w:t>هذا</w:t>
      </w:r>
      <w:r w:rsidR="00F32B28">
        <w:rPr>
          <w:rtl/>
          <w:lang w:bidi="ar-LB"/>
        </w:rPr>
        <w:t xml:space="preserve"> </w:t>
      </w:r>
      <w:r w:rsidR="00F32B28" w:rsidRPr="00F32B28">
        <w:rPr>
          <w:rtl/>
          <w:lang w:bidi="ar-LB"/>
        </w:rPr>
        <w:t>غير</w:t>
      </w:r>
      <w:r w:rsidR="00F32B28">
        <w:rPr>
          <w:rtl/>
          <w:lang w:bidi="ar-LB"/>
        </w:rPr>
        <w:t xml:space="preserve"> </w:t>
      </w:r>
      <w:r w:rsidR="00F32B28" w:rsidRPr="00F32B28">
        <w:rPr>
          <w:rtl/>
          <w:lang w:bidi="ar-LB"/>
        </w:rPr>
        <w:t>ملموس</w:t>
      </w:r>
      <w:r w:rsidR="00F32B28">
        <w:rPr>
          <w:rtl/>
          <w:lang w:bidi="ar-LB"/>
        </w:rPr>
        <w:t xml:space="preserve"> </w:t>
      </w:r>
      <w:r w:rsidR="00F32B28" w:rsidRPr="00F32B28">
        <w:rPr>
          <w:rtl/>
          <w:lang w:bidi="ar-LB"/>
        </w:rPr>
        <w:t>وبدون</w:t>
      </w:r>
      <w:r w:rsidR="00F32B28">
        <w:rPr>
          <w:rtl/>
          <w:lang w:bidi="ar-LB"/>
        </w:rPr>
        <w:t xml:space="preserve"> </w:t>
      </w:r>
      <w:r w:rsidR="00F32B28" w:rsidRPr="00F32B28">
        <w:rPr>
          <w:rtl/>
          <w:lang w:bidi="ar-LB"/>
        </w:rPr>
        <w:t>بدل</w:t>
      </w:r>
      <w:r w:rsidR="00F32B28">
        <w:rPr>
          <w:rtl/>
          <w:lang w:bidi="ar-LB"/>
        </w:rPr>
        <w:t xml:space="preserve"> </w:t>
      </w:r>
      <w:r w:rsidR="00F32B28" w:rsidRPr="00F32B28">
        <w:rPr>
          <w:rtl/>
          <w:lang w:bidi="ar-LB"/>
        </w:rPr>
        <w:t>مادي.</w:t>
      </w:r>
      <w:r w:rsidR="00F32B28">
        <w:rPr>
          <w:rtl/>
          <w:lang w:bidi="ar-LB"/>
        </w:rPr>
        <w:t xml:space="preserve"> </w:t>
      </w:r>
    </w:p>
    <w:p w:rsidR="00186574" w:rsidRPr="00186574" w:rsidRDefault="00186574" w:rsidP="001865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F32B28" w:rsidRPr="00F32B28" w:rsidRDefault="00186574" w:rsidP="0018657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F32B28" w:rsidRPr="00F32B28">
        <w:rPr>
          <w:rtl/>
        </w:rPr>
        <w:t>الأدوار</w:t>
      </w:r>
      <w:r w:rsidR="00F32B28">
        <w:rPr>
          <w:rtl/>
        </w:rPr>
        <w:t xml:space="preserve"> </w:t>
      </w:r>
      <w:r w:rsidR="00F32B28" w:rsidRPr="00F32B28">
        <w:rPr>
          <w:rtl/>
        </w:rPr>
        <w:t>النمطية</w:t>
      </w:r>
      <w:r w:rsidR="00F32B28">
        <w:rPr>
          <w:rtl/>
        </w:rPr>
        <w:t xml:space="preserve"> </w:t>
      </w:r>
      <w:r w:rsidR="00F32B28" w:rsidRPr="00F32B28">
        <w:rPr>
          <w:rtl/>
        </w:rPr>
        <w:t>للمرأة</w:t>
      </w:r>
      <w:r w:rsidR="00F32B28">
        <w:rPr>
          <w:rtl/>
        </w:rPr>
        <w:t xml:space="preserve"> </w:t>
      </w:r>
      <w:r w:rsidR="00F32B28" w:rsidRPr="00F32B28">
        <w:rPr>
          <w:rtl/>
        </w:rPr>
        <w:t>في</w:t>
      </w:r>
      <w:r w:rsidR="00F32B28">
        <w:rPr>
          <w:rtl/>
        </w:rPr>
        <w:t xml:space="preserve"> </w:t>
      </w:r>
      <w:r w:rsidR="00F32B28" w:rsidRPr="00F32B28">
        <w:rPr>
          <w:rtl/>
        </w:rPr>
        <w:t>المجالات</w:t>
      </w:r>
      <w:r w:rsidR="00F32B28">
        <w:rPr>
          <w:rtl/>
        </w:rPr>
        <w:t xml:space="preserve"> </w:t>
      </w:r>
      <w:r w:rsidR="00F32B28" w:rsidRPr="00F32B28">
        <w:rPr>
          <w:rtl/>
        </w:rPr>
        <w:t>العامة</w:t>
      </w:r>
      <w:r w:rsidR="00F32B28">
        <w:rPr>
          <w:rtl/>
        </w:rPr>
        <w:t xml:space="preserve"> </w:t>
      </w:r>
      <w:r w:rsidR="00F32B28" w:rsidRPr="00F32B28">
        <w:rPr>
          <w:rtl/>
        </w:rPr>
        <w:t>والخاصة</w:t>
      </w:r>
    </w:p>
    <w:p w:rsidR="00FF0A17" w:rsidRDefault="00186574" w:rsidP="00186574">
      <w:pPr>
        <w:pStyle w:val="SingleTxt"/>
        <w:rPr>
          <w:b/>
          <w:rtl/>
        </w:rPr>
      </w:pPr>
      <w:r w:rsidRPr="00186574">
        <w:rPr>
          <w:rFonts w:hint="cs"/>
          <w:b/>
          <w:rtl/>
        </w:rPr>
        <w:t>78 -</w:t>
      </w:r>
      <w:r w:rsidRPr="00186574">
        <w:rPr>
          <w:rFonts w:hint="cs"/>
          <w:b/>
          <w:rtl/>
        </w:rPr>
        <w:tab/>
      </w:r>
    </w:p>
    <w:p w:rsidR="00F32B28" w:rsidRPr="00F32B28" w:rsidRDefault="00FF0A17" w:rsidP="00FF0A1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b/>
          <w:rtl/>
        </w:rPr>
        <w:tab/>
      </w:r>
      <w:r>
        <w:rPr>
          <w:rFonts w:hint="eastAsia"/>
          <w:b/>
          <w:rtl/>
        </w:rPr>
        <w:t>•</w:t>
      </w:r>
      <w:r>
        <w:rPr>
          <w:rFonts w:hint="eastAsia"/>
          <w:b/>
          <w:rtl/>
        </w:rPr>
        <w:tab/>
      </w:r>
      <w:r w:rsidR="00F32B28" w:rsidRPr="00FF0A17">
        <w:rPr>
          <w:bCs/>
          <w:rtl/>
        </w:rPr>
        <w:t>في المنزل:</w:t>
      </w:r>
      <w:r w:rsidR="00F32B28" w:rsidRPr="00FF0A17">
        <w:rPr>
          <w:b/>
          <w:rtl/>
        </w:rPr>
        <w:t xml:space="preserve"> </w:t>
      </w:r>
      <w:r w:rsidR="00F32B28" w:rsidRPr="00F32B28">
        <w:rPr>
          <w:rtl/>
        </w:rPr>
        <w:t>تشير</w:t>
      </w:r>
      <w:r w:rsidR="00F32B28">
        <w:rPr>
          <w:rtl/>
        </w:rPr>
        <w:t xml:space="preserve"> </w:t>
      </w:r>
      <w:r w:rsidR="00F32B28" w:rsidRPr="00F32B28">
        <w:rPr>
          <w:rtl/>
        </w:rPr>
        <w:t>الدراسات</w:t>
      </w:r>
      <w:r w:rsidR="00F32B28">
        <w:rPr>
          <w:rtl/>
        </w:rPr>
        <w:t xml:space="preserve"> </w:t>
      </w:r>
      <w:r w:rsidR="00F32B28" w:rsidRPr="00F32B28">
        <w:rPr>
          <w:rtl/>
        </w:rPr>
        <w:t>الوصفية</w:t>
      </w:r>
      <w:r w:rsidR="00F32B28">
        <w:rPr>
          <w:rtl/>
        </w:rPr>
        <w:t xml:space="preserve"> </w:t>
      </w:r>
      <w:r w:rsidR="00F32B28" w:rsidRPr="00F32B28">
        <w:rPr>
          <w:rtl/>
        </w:rPr>
        <w:t>الفلسطينية</w:t>
      </w:r>
      <w:r w:rsidR="00F32B28">
        <w:rPr>
          <w:rtl/>
        </w:rPr>
        <w:t xml:space="preserve"> </w:t>
      </w:r>
      <w:r w:rsidR="00F32B28" w:rsidRPr="00F32B28">
        <w:rPr>
          <w:rtl/>
        </w:rPr>
        <w:t>إلى</w:t>
      </w:r>
      <w:r w:rsidR="00F32B28">
        <w:rPr>
          <w:rtl/>
        </w:rPr>
        <w:t xml:space="preserve"> </w:t>
      </w:r>
      <w:r w:rsidR="00F32B28" w:rsidRPr="00F32B28">
        <w:rPr>
          <w:rtl/>
        </w:rPr>
        <w:t>أن</w:t>
      </w:r>
      <w:r w:rsidR="00F32B28">
        <w:rPr>
          <w:rtl/>
        </w:rPr>
        <w:t xml:space="preserve"> </w:t>
      </w:r>
      <w:r w:rsidR="00F32B28" w:rsidRPr="00F32B28">
        <w:rPr>
          <w:rtl/>
        </w:rPr>
        <w:t>الأدوار</w:t>
      </w:r>
      <w:r w:rsidR="00F32B28">
        <w:rPr>
          <w:rtl/>
        </w:rPr>
        <w:t xml:space="preserve"> </w:t>
      </w:r>
      <w:r w:rsidR="00F32B28" w:rsidRPr="00F32B28">
        <w:rPr>
          <w:rtl/>
        </w:rPr>
        <w:t>المتوقعة</w:t>
      </w:r>
      <w:r w:rsidR="00F32B28">
        <w:rPr>
          <w:rtl/>
        </w:rPr>
        <w:t xml:space="preserve"> </w:t>
      </w:r>
      <w:r w:rsidR="00F32B28" w:rsidRPr="00F32B28">
        <w:rPr>
          <w:rtl/>
        </w:rPr>
        <w:t>تقليدياً</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تتعلق</w:t>
      </w:r>
      <w:r w:rsidR="00F32B28">
        <w:rPr>
          <w:rtl/>
        </w:rPr>
        <w:t xml:space="preserve"> </w:t>
      </w:r>
      <w:r w:rsidR="00F32B28" w:rsidRPr="00F32B28">
        <w:rPr>
          <w:rtl/>
        </w:rPr>
        <w:t>غالباً</w:t>
      </w:r>
      <w:r w:rsidR="00F32B28">
        <w:rPr>
          <w:rtl/>
        </w:rPr>
        <w:t xml:space="preserve"> </w:t>
      </w:r>
      <w:r w:rsidR="00F32B28" w:rsidRPr="00F32B28">
        <w:rPr>
          <w:rtl/>
        </w:rPr>
        <w:t>بالطاعة</w:t>
      </w:r>
      <w:r w:rsidR="00F32B28">
        <w:rPr>
          <w:rtl/>
        </w:rPr>
        <w:t xml:space="preserve"> </w:t>
      </w:r>
      <w:r w:rsidR="00F32B28" w:rsidRPr="00F32B28">
        <w:rPr>
          <w:rtl/>
        </w:rPr>
        <w:t>والرعاية</w:t>
      </w:r>
      <w:r w:rsidR="00F32B28">
        <w:rPr>
          <w:rtl/>
        </w:rPr>
        <w:t xml:space="preserve"> </w:t>
      </w:r>
      <w:r w:rsidR="00F32B28" w:rsidRPr="00F32B28">
        <w:rPr>
          <w:rtl/>
        </w:rPr>
        <w:t>والتسيير</w:t>
      </w:r>
      <w:r w:rsidR="00F32B28">
        <w:rPr>
          <w:rtl/>
        </w:rPr>
        <w:t xml:space="preserve"> </w:t>
      </w:r>
      <w:r w:rsidR="00F32B28" w:rsidRPr="00F32B28">
        <w:rPr>
          <w:rtl/>
        </w:rPr>
        <w:t>والتنفيذ،</w:t>
      </w:r>
      <w:r w:rsidR="00F32B28">
        <w:rPr>
          <w:rtl/>
        </w:rPr>
        <w:t xml:space="preserve"> </w:t>
      </w:r>
      <w:r w:rsidR="00F32B28" w:rsidRPr="00F32B28">
        <w:rPr>
          <w:rtl/>
        </w:rPr>
        <w:t>أما</w:t>
      </w:r>
      <w:r w:rsidR="00F32B28">
        <w:rPr>
          <w:rtl/>
        </w:rPr>
        <w:t xml:space="preserve"> </w:t>
      </w:r>
      <w:r w:rsidR="00F32B28" w:rsidRPr="00F32B28">
        <w:rPr>
          <w:rtl/>
        </w:rPr>
        <w:t>الرجل</w:t>
      </w:r>
      <w:r w:rsidR="00F32B28">
        <w:rPr>
          <w:rtl/>
        </w:rPr>
        <w:t xml:space="preserve"> </w:t>
      </w:r>
      <w:r w:rsidR="00F32B28" w:rsidRPr="00F32B28">
        <w:rPr>
          <w:rtl/>
        </w:rPr>
        <w:t>فيناط</w:t>
      </w:r>
      <w:r w:rsidR="00F32B28">
        <w:rPr>
          <w:rtl/>
        </w:rPr>
        <w:t xml:space="preserve"> </w:t>
      </w:r>
      <w:r w:rsidR="00F32B28" w:rsidRPr="00F32B28">
        <w:rPr>
          <w:rtl/>
        </w:rPr>
        <w:t>به</w:t>
      </w:r>
      <w:r w:rsidR="00F32B28">
        <w:rPr>
          <w:rtl/>
        </w:rPr>
        <w:t xml:space="preserve"> </w:t>
      </w:r>
      <w:r w:rsidR="00F32B28" w:rsidRPr="00F32B28">
        <w:rPr>
          <w:rtl/>
        </w:rPr>
        <w:t>مسؤولية</w:t>
      </w:r>
      <w:r w:rsidR="00F32B28">
        <w:rPr>
          <w:rtl/>
        </w:rPr>
        <w:t xml:space="preserve"> </w:t>
      </w:r>
      <w:r w:rsidR="00F32B28" w:rsidRPr="00F32B28">
        <w:rPr>
          <w:rtl/>
        </w:rPr>
        <w:t>رئاسة</w:t>
      </w:r>
      <w:r w:rsidR="00F32B28">
        <w:rPr>
          <w:rtl/>
        </w:rPr>
        <w:t xml:space="preserve"> </w:t>
      </w:r>
      <w:r w:rsidR="00F32B28" w:rsidRPr="00F32B28">
        <w:rPr>
          <w:rtl/>
        </w:rPr>
        <w:t>الأسرة</w:t>
      </w:r>
      <w:r w:rsidR="00F32B28">
        <w:rPr>
          <w:rtl/>
        </w:rPr>
        <w:t xml:space="preserve"> </w:t>
      </w:r>
      <w:r w:rsidR="00F32B28" w:rsidRPr="00F32B28">
        <w:rPr>
          <w:rtl/>
        </w:rPr>
        <w:t>واتخاذ</w:t>
      </w:r>
      <w:r w:rsidR="00F32B28">
        <w:rPr>
          <w:rtl/>
        </w:rPr>
        <w:t xml:space="preserve"> </w:t>
      </w:r>
      <w:r w:rsidR="00F32B28" w:rsidRPr="00F32B28">
        <w:rPr>
          <w:rtl/>
        </w:rPr>
        <w:t>القرارات.</w:t>
      </w:r>
      <w:r w:rsidR="00F32B28">
        <w:rPr>
          <w:rtl/>
        </w:rPr>
        <w:t xml:space="preserve"> </w:t>
      </w:r>
      <w:r w:rsidR="00F32B28" w:rsidRPr="00F32B28">
        <w:rPr>
          <w:rtl/>
        </w:rPr>
        <w:t>وبحكم</w:t>
      </w:r>
      <w:r w:rsidR="00F32B28">
        <w:rPr>
          <w:rtl/>
        </w:rPr>
        <w:t xml:space="preserve"> </w:t>
      </w:r>
      <w:r w:rsidR="00F32B28" w:rsidRPr="00F32B28">
        <w:rPr>
          <w:rtl/>
        </w:rPr>
        <w:t>التنشئة</w:t>
      </w:r>
      <w:r w:rsidR="00F32B28">
        <w:rPr>
          <w:rtl/>
        </w:rPr>
        <w:t xml:space="preserve"> </w:t>
      </w:r>
      <w:r w:rsidR="00F32B28" w:rsidRPr="00F32B28">
        <w:rPr>
          <w:rtl/>
        </w:rPr>
        <w:t>والتربية</w:t>
      </w:r>
      <w:r w:rsidR="00F32B28">
        <w:rPr>
          <w:rtl/>
        </w:rPr>
        <w:t xml:space="preserve"> </w:t>
      </w:r>
      <w:r w:rsidR="00F32B28" w:rsidRPr="00F32B28">
        <w:rPr>
          <w:rtl/>
        </w:rPr>
        <w:t>الأسرية،</w:t>
      </w:r>
      <w:r w:rsidR="00F32B28">
        <w:rPr>
          <w:rtl/>
        </w:rPr>
        <w:t xml:space="preserve"> </w:t>
      </w:r>
      <w:r w:rsidR="00F32B28" w:rsidRPr="00F32B28">
        <w:rPr>
          <w:rtl/>
        </w:rPr>
        <w:t>تنتج</w:t>
      </w:r>
      <w:r w:rsidR="00F32B28">
        <w:rPr>
          <w:rtl/>
        </w:rPr>
        <w:t xml:space="preserve"> </w:t>
      </w:r>
      <w:r w:rsidR="00F32B28" w:rsidRPr="00F32B28">
        <w:rPr>
          <w:rtl/>
        </w:rPr>
        <w:t>هذه</w:t>
      </w:r>
      <w:r w:rsidR="00F32B28">
        <w:rPr>
          <w:rtl/>
        </w:rPr>
        <w:t xml:space="preserve"> </w:t>
      </w:r>
      <w:r w:rsidR="00F32B28" w:rsidRPr="00F32B28">
        <w:rPr>
          <w:rtl/>
        </w:rPr>
        <w:t>القيم</w:t>
      </w:r>
      <w:r w:rsidR="00F32B28">
        <w:rPr>
          <w:rtl/>
        </w:rPr>
        <w:t xml:space="preserve"> </w:t>
      </w:r>
      <w:r w:rsidR="00F32B28" w:rsidRPr="00F32B28">
        <w:rPr>
          <w:rtl/>
        </w:rPr>
        <w:t>نفسها</w:t>
      </w:r>
      <w:r w:rsidR="00F32B28">
        <w:rPr>
          <w:rtl/>
        </w:rPr>
        <w:t xml:space="preserve"> </w:t>
      </w:r>
      <w:r w:rsidR="00F32B28" w:rsidRPr="00F32B28">
        <w:rPr>
          <w:rtl/>
        </w:rPr>
        <w:t>مرة</w:t>
      </w:r>
      <w:r w:rsidR="00F32B28">
        <w:rPr>
          <w:rtl/>
        </w:rPr>
        <w:t xml:space="preserve"> </w:t>
      </w:r>
      <w:r w:rsidR="00F32B28" w:rsidRPr="00F32B28">
        <w:rPr>
          <w:rtl/>
        </w:rPr>
        <w:t>أخرى،</w:t>
      </w:r>
      <w:r w:rsidR="00F32B28">
        <w:rPr>
          <w:rtl/>
        </w:rPr>
        <w:t xml:space="preserve"> </w:t>
      </w:r>
      <w:r w:rsidR="00F32B28" w:rsidRPr="00F32B28">
        <w:rPr>
          <w:rtl/>
        </w:rPr>
        <w:t>حيث</w:t>
      </w:r>
      <w:r w:rsidR="00F32B28">
        <w:rPr>
          <w:rtl/>
        </w:rPr>
        <w:t xml:space="preserve"> </w:t>
      </w:r>
      <w:r w:rsidR="00F32B28" w:rsidRPr="00F32B28">
        <w:rPr>
          <w:rtl/>
        </w:rPr>
        <w:t>يتم</w:t>
      </w:r>
      <w:r w:rsidR="00F32B28">
        <w:rPr>
          <w:rtl/>
        </w:rPr>
        <w:t xml:space="preserve"> </w:t>
      </w:r>
      <w:r w:rsidR="00F32B28" w:rsidRPr="00F32B28">
        <w:rPr>
          <w:rtl/>
        </w:rPr>
        <w:t>نقلها</w:t>
      </w:r>
      <w:r w:rsidR="00F32B28">
        <w:rPr>
          <w:rtl/>
        </w:rPr>
        <w:t xml:space="preserve"> </w:t>
      </w:r>
      <w:r w:rsidR="00F32B28" w:rsidRPr="00F32B28">
        <w:rPr>
          <w:rtl/>
        </w:rPr>
        <w:t>وتعليمها</w:t>
      </w:r>
      <w:r w:rsidR="00F32B28">
        <w:rPr>
          <w:rtl/>
        </w:rPr>
        <w:t xml:space="preserve"> </w:t>
      </w:r>
      <w:r w:rsidR="00F32B28" w:rsidRPr="00F32B28">
        <w:rPr>
          <w:rtl/>
        </w:rPr>
        <w:t>للأطفال</w:t>
      </w:r>
      <w:r w:rsidR="00F32B28">
        <w:rPr>
          <w:rtl/>
        </w:rPr>
        <w:t xml:space="preserve"> </w:t>
      </w:r>
      <w:r w:rsidR="00F32B28" w:rsidRPr="00F32B28">
        <w:rPr>
          <w:rtl/>
        </w:rPr>
        <w:t>في</w:t>
      </w:r>
      <w:r w:rsidR="00F32B28">
        <w:rPr>
          <w:rtl/>
        </w:rPr>
        <w:t xml:space="preserve"> </w:t>
      </w:r>
      <w:r w:rsidR="00F32B28" w:rsidRPr="00F32B28">
        <w:rPr>
          <w:rtl/>
        </w:rPr>
        <w:t>سن</w:t>
      </w:r>
      <w:r w:rsidR="00F32B28">
        <w:rPr>
          <w:rtl/>
        </w:rPr>
        <w:t xml:space="preserve"> </w:t>
      </w:r>
      <w:r w:rsidR="00F32B28" w:rsidRPr="00F32B28">
        <w:rPr>
          <w:rtl/>
        </w:rPr>
        <w:t>مبكر</w:t>
      </w:r>
      <w:r w:rsidR="00F32B28">
        <w:rPr>
          <w:rtl/>
        </w:rPr>
        <w:t xml:space="preserve"> </w:t>
      </w:r>
      <w:r w:rsidR="00F32B28" w:rsidRPr="00F32B28">
        <w:rPr>
          <w:rtl/>
        </w:rPr>
        <w:t>داخل</w:t>
      </w:r>
      <w:r w:rsidR="00F32B28">
        <w:rPr>
          <w:rtl/>
        </w:rPr>
        <w:t xml:space="preserve"> </w:t>
      </w:r>
      <w:r w:rsidR="00F32B28" w:rsidRPr="00F32B28">
        <w:rPr>
          <w:rtl/>
        </w:rPr>
        <w:t>الأسرة،</w:t>
      </w:r>
      <w:r w:rsidR="00F32B28">
        <w:rPr>
          <w:rtl/>
        </w:rPr>
        <w:t xml:space="preserve"> </w:t>
      </w:r>
      <w:r w:rsidR="00F32B28" w:rsidRPr="00F32B28">
        <w:rPr>
          <w:rtl/>
        </w:rPr>
        <w:t>فتعطى</w:t>
      </w:r>
      <w:r w:rsidR="00F32B28">
        <w:rPr>
          <w:rtl/>
        </w:rPr>
        <w:t xml:space="preserve"> </w:t>
      </w:r>
      <w:r w:rsidR="00F32B28" w:rsidRPr="00F32B28">
        <w:rPr>
          <w:rtl/>
        </w:rPr>
        <w:t>الفتيات</w:t>
      </w:r>
      <w:r w:rsidR="00F32B28">
        <w:rPr>
          <w:rtl/>
        </w:rPr>
        <w:t xml:space="preserve"> </w:t>
      </w:r>
      <w:r w:rsidR="00F32B28" w:rsidRPr="00F32B28">
        <w:rPr>
          <w:rtl/>
        </w:rPr>
        <w:t>أدواراً</w:t>
      </w:r>
      <w:r w:rsidR="00F32B28">
        <w:rPr>
          <w:rtl/>
        </w:rPr>
        <w:t xml:space="preserve"> </w:t>
      </w:r>
      <w:r w:rsidR="00F32B28" w:rsidRPr="00F32B28">
        <w:rPr>
          <w:rtl/>
        </w:rPr>
        <w:t>شبيهة</w:t>
      </w:r>
      <w:r w:rsidR="00F32B28">
        <w:rPr>
          <w:rtl/>
        </w:rPr>
        <w:t xml:space="preserve"> </w:t>
      </w:r>
      <w:r w:rsidR="00F32B28" w:rsidRPr="00F32B28">
        <w:rPr>
          <w:rtl/>
        </w:rPr>
        <w:t>لأدوار</w:t>
      </w:r>
      <w:r w:rsidR="00F32B28">
        <w:rPr>
          <w:rtl/>
        </w:rPr>
        <w:t xml:space="preserve"> </w:t>
      </w:r>
      <w:r w:rsidR="00F32B28" w:rsidRPr="00F32B28">
        <w:rPr>
          <w:rtl/>
        </w:rPr>
        <w:t>أمهاتهن</w:t>
      </w:r>
      <w:r w:rsidR="00F32B28">
        <w:rPr>
          <w:rtl/>
        </w:rPr>
        <w:t xml:space="preserve"> </w:t>
      </w:r>
      <w:r w:rsidR="00F32B28" w:rsidRPr="00F32B28">
        <w:rPr>
          <w:rtl/>
        </w:rPr>
        <w:t>خاصة</w:t>
      </w:r>
      <w:r w:rsidR="00F32B28">
        <w:rPr>
          <w:rtl/>
        </w:rPr>
        <w:t xml:space="preserve"> </w:t>
      </w:r>
      <w:r w:rsidR="00F32B28" w:rsidRPr="00F32B28">
        <w:rPr>
          <w:rtl/>
        </w:rPr>
        <w:t>فيما</w:t>
      </w:r>
      <w:r w:rsidR="00F32B28">
        <w:rPr>
          <w:rtl/>
        </w:rPr>
        <w:t xml:space="preserve"> </w:t>
      </w:r>
      <w:r w:rsidR="00F32B28" w:rsidRPr="00F32B28">
        <w:rPr>
          <w:rtl/>
        </w:rPr>
        <w:t>يتعلق</w:t>
      </w:r>
      <w:r w:rsidR="00F32B28">
        <w:rPr>
          <w:rtl/>
        </w:rPr>
        <w:t xml:space="preserve"> </w:t>
      </w:r>
      <w:r w:rsidR="00F32B28" w:rsidRPr="00F32B28">
        <w:rPr>
          <w:rtl/>
        </w:rPr>
        <w:t>بتربية</w:t>
      </w:r>
      <w:r w:rsidR="00F32B28">
        <w:rPr>
          <w:rtl/>
        </w:rPr>
        <w:t xml:space="preserve"> </w:t>
      </w:r>
      <w:r w:rsidR="00F32B28" w:rsidRPr="00F32B28">
        <w:rPr>
          <w:rtl/>
        </w:rPr>
        <w:t>إخوتهم</w:t>
      </w:r>
      <w:r w:rsidR="00F32B28">
        <w:rPr>
          <w:rtl/>
        </w:rPr>
        <w:t xml:space="preserve"> </w:t>
      </w:r>
      <w:r w:rsidR="00F32B28" w:rsidRPr="00F32B28">
        <w:rPr>
          <w:rtl/>
        </w:rPr>
        <w:t>والعناية</w:t>
      </w:r>
      <w:r w:rsidR="00F32B28">
        <w:rPr>
          <w:rtl/>
        </w:rPr>
        <w:t xml:space="preserve"> </w:t>
      </w:r>
      <w:r w:rsidR="00F32B28" w:rsidRPr="00F32B28">
        <w:rPr>
          <w:rtl/>
        </w:rPr>
        <w:t>بهم</w:t>
      </w:r>
      <w:r w:rsidR="00F32B28">
        <w:rPr>
          <w:rtl/>
        </w:rPr>
        <w:t xml:space="preserve"> </w:t>
      </w:r>
      <w:r w:rsidR="00F32B28" w:rsidRPr="00F32B28">
        <w:rPr>
          <w:rtl/>
        </w:rPr>
        <w:t>وتحمل</w:t>
      </w:r>
      <w:r w:rsidR="00F32B28">
        <w:rPr>
          <w:rtl/>
        </w:rPr>
        <w:t xml:space="preserve"> </w:t>
      </w:r>
      <w:r w:rsidR="00F32B28" w:rsidRPr="00F32B28">
        <w:rPr>
          <w:rtl/>
        </w:rPr>
        <w:t>مسؤولية</w:t>
      </w:r>
      <w:r w:rsidR="00F32B28">
        <w:rPr>
          <w:rtl/>
        </w:rPr>
        <w:t xml:space="preserve"> </w:t>
      </w:r>
      <w:r w:rsidR="00F32B28" w:rsidRPr="00F32B28">
        <w:rPr>
          <w:rtl/>
        </w:rPr>
        <w:t>العمل</w:t>
      </w:r>
      <w:r w:rsidR="00F32B28">
        <w:rPr>
          <w:rtl/>
        </w:rPr>
        <w:t xml:space="preserve"> </w:t>
      </w:r>
      <w:r w:rsidR="00F32B28" w:rsidRPr="00F32B28">
        <w:rPr>
          <w:rtl/>
        </w:rPr>
        <w:t>المنزلي،</w:t>
      </w:r>
      <w:r w:rsidR="00F32B28">
        <w:rPr>
          <w:rtl/>
        </w:rPr>
        <w:t xml:space="preserve"> </w:t>
      </w:r>
      <w:r w:rsidR="00F32B28" w:rsidRPr="00F32B28">
        <w:rPr>
          <w:rtl/>
        </w:rPr>
        <w:t>أما</w:t>
      </w:r>
      <w:r w:rsidR="00F32B28">
        <w:rPr>
          <w:rtl/>
        </w:rPr>
        <w:t xml:space="preserve"> </w:t>
      </w:r>
      <w:r w:rsidR="00F32B28" w:rsidRPr="00F32B28">
        <w:rPr>
          <w:rtl/>
        </w:rPr>
        <w:t>الفتيان</w:t>
      </w:r>
      <w:r w:rsidR="00F32B28">
        <w:rPr>
          <w:rtl/>
        </w:rPr>
        <w:t xml:space="preserve"> </w:t>
      </w:r>
      <w:r w:rsidR="00F32B28" w:rsidRPr="00F32B28">
        <w:rPr>
          <w:rtl/>
        </w:rPr>
        <w:t>فيتم</w:t>
      </w:r>
      <w:r w:rsidR="00F32B28">
        <w:rPr>
          <w:rtl/>
        </w:rPr>
        <w:t xml:space="preserve"> </w:t>
      </w:r>
      <w:r w:rsidR="00F32B28" w:rsidRPr="00F32B28">
        <w:rPr>
          <w:rtl/>
        </w:rPr>
        <w:t>إعدادهم</w:t>
      </w:r>
      <w:r w:rsidR="00F32B28">
        <w:rPr>
          <w:rtl/>
        </w:rPr>
        <w:t xml:space="preserve"> </w:t>
      </w:r>
      <w:r w:rsidR="00F32B28" w:rsidRPr="00F32B28">
        <w:rPr>
          <w:rtl/>
        </w:rPr>
        <w:t>منذ</w:t>
      </w:r>
      <w:r w:rsidR="00F32B28">
        <w:rPr>
          <w:rtl/>
        </w:rPr>
        <w:t xml:space="preserve"> </w:t>
      </w:r>
      <w:r w:rsidR="00F32B28" w:rsidRPr="00F32B28">
        <w:rPr>
          <w:rtl/>
        </w:rPr>
        <w:t>الصغر</w:t>
      </w:r>
      <w:r w:rsidR="00F32B28">
        <w:rPr>
          <w:rtl/>
        </w:rPr>
        <w:t xml:space="preserve"> </w:t>
      </w:r>
      <w:r w:rsidR="00F32B28" w:rsidRPr="00F32B28">
        <w:rPr>
          <w:rtl/>
        </w:rPr>
        <w:t>لتحمل</w:t>
      </w:r>
      <w:r w:rsidR="00F32B28">
        <w:rPr>
          <w:rtl/>
        </w:rPr>
        <w:t xml:space="preserve"> </w:t>
      </w:r>
      <w:r w:rsidR="00F32B28" w:rsidRPr="00F32B28">
        <w:rPr>
          <w:rtl/>
        </w:rPr>
        <w:t>عبء</w:t>
      </w:r>
      <w:r w:rsidR="00F32B28">
        <w:rPr>
          <w:rtl/>
        </w:rPr>
        <w:t xml:space="preserve"> </w:t>
      </w:r>
      <w:r w:rsidR="00F32B28" w:rsidRPr="00F32B28">
        <w:rPr>
          <w:rtl/>
        </w:rPr>
        <w:t>تأمين</w:t>
      </w:r>
      <w:r w:rsidR="00F32B28">
        <w:rPr>
          <w:rtl/>
        </w:rPr>
        <w:t xml:space="preserve"> </w:t>
      </w:r>
      <w:r w:rsidR="00F32B28" w:rsidRPr="00F32B28">
        <w:rPr>
          <w:rtl/>
        </w:rPr>
        <w:t>العيش</w:t>
      </w:r>
      <w:r w:rsidR="00F32B28">
        <w:rPr>
          <w:rtl/>
        </w:rPr>
        <w:t xml:space="preserve"> </w:t>
      </w:r>
      <w:r w:rsidR="00F32B28" w:rsidRPr="00F32B28">
        <w:rPr>
          <w:rtl/>
        </w:rPr>
        <w:t>واتخاذ</w:t>
      </w:r>
      <w:r w:rsidR="00F32B28">
        <w:rPr>
          <w:rtl/>
        </w:rPr>
        <w:t xml:space="preserve"> </w:t>
      </w:r>
      <w:r w:rsidR="00F32B28" w:rsidRPr="00F32B28">
        <w:rPr>
          <w:rtl/>
        </w:rPr>
        <w:t>القرارات</w:t>
      </w:r>
      <w:r w:rsidR="00F32B28">
        <w:rPr>
          <w:rtl/>
        </w:rPr>
        <w:t xml:space="preserve"> </w:t>
      </w:r>
      <w:r w:rsidR="00F32B28" w:rsidRPr="00F32B28">
        <w:rPr>
          <w:rtl/>
        </w:rPr>
        <w:t>المالية</w:t>
      </w:r>
      <w:r w:rsidR="00F32B28">
        <w:rPr>
          <w:rtl/>
        </w:rPr>
        <w:t xml:space="preserve"> </w:t>
      </w:r>
      <w:r w:rsidR="00F32B28" w:rsidRPr="00F32B28">
        <w:rPr>
          <w:rtl/>
        </w:rPr>
        <w:t>والمصيرية.</w:t>
      </w:r>
      <w:r w:rsidR="00F32B28">
        <w:rPr>
          <w:rtl/>
        </w:rPr>
        <w:t xml:space="preserve"> </w:t>
      </w:r>
    </w:p>
    <w:p w:rsidR="00F32B28" w:rsidRPr="00F32B28" w:rsidRDefault="00FF0A17" w:rsidP="00FF0A1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b/>
          <w:bCs/>
          <w:rtl/>
        </w:rPr>
        <w:tab/>
      </w:r>
      <w:r>
        <w:rPr>
          <w:rFonts w:hint="eastAsia"/>
          <w:b/>
          <w:bCs/>
          <w:rtl/>
        </w:rPr>
        <w:t>•</w:t>
      </w:r>
      <w:r>
        <w:rPr>
          <w:rFonts w:hint="cs"/>
          <w:b/>
          <w:bCs/>
          <w:rtl/>
        </w:rPr>
        <w:tab/>
      </w:r>
      <w:r w:rsidR="00F32B28" w:rsidRPr="00FF0A17">
        <w:rPr>
          <w:b/>
          <w:bCs/>
          <w:rtl/>
        </w:rPr>
        <w:t>في المدرسة:</w:t>
      </w:r>
      <w:r w:rsidR="00F32B28">
        <w:rPr>
          <w:rtl/>
        </w:rPr>
        <w:t xml:space="preserve"> </w:t>
      </w:r>
      <w:r w:rsidR="00F32B28" w:rsidRPr="00F32B28">
        <w:rPr>
          <w:rtl/>
        </w:rPr>
        <w:t>ورغم</w:t>
      </w:r>
      <w:r w:rsidR="00F32B28">
        <w:rPr>
          <w:rtl/>
        </w:rPr>
        <w:t xml:space="preserve"> </w:t>
      </w:r>
      <w:r w:rsidR="00F32B28" w:rsidRPr="00F32B28">
        <w:rPr>
          <w:rtl/>
        </w:rPr>
        <w:t>تطوير</w:t>
      </w:r>
      <w:r w:rsidR="00F32B28">
        <w:rPr>
          <w:rtl/>
        </w:rPr>
        <w:t xml:space="preserve"> </w:t>
      </w:r>
      <w:r w:rsidR="00F32B28" w:rsidRPr="00F32B28">
        <w:rPr>
          <w:rtl/>
        </w:rPr>
        <w:t>المناهج</w:t>
      </w:r>
      <w:r w:rsidR="00F32B28">
        <w:rPr>
          <w:rtl/>
        </w:rPr>
        <w:t xml:space="preserve"> </w:t>
      </w:r>
      <w:r w:rsidR="00F32B28" w:rsidRPr="00F32B28">
        <w:rPr>
          <w:rtl/>
        </w:rPr>
        <w:t>التعليمية</w:t>
      </w:r>
      <w:r w:rsidR="00F32B28">
        <w:rPr>
          <w:rtl/>
        </w:rPr>
        <w:t xml:space="preserve"> </w:t>
      </w:r>
      <w:r w:rsidR="00F32B28" w:rsidRPr="00F32B28">
        <w:rPr>
          <w:rtl/>
        </w:rPr>
        <w:t>الفلسطينية</w:t>
      </w:r>
      <w:r w:rsidR="00F32B28">
        <w:rPr>
          <w:rtl/>
        </w:rPr>
        <w:t xml:space="preserve"> </w:t>
      </w:r>
      <w:r w:rsidR="00F32B28" w:rsidRPr="00F32B28">
        <w:rPr>
          <w:rtl/>
        </w:rPr>
        <w:t>مؤخراً</w:t>
      </w:r>
      <w:r w:rsidR="00F32B28">
        <w:rPr>
          <w:rtl/>
        </w:rPr>
        <w:t xml:space="preserve"> </w:t>
      </w:r>
      <w:r w:rsidR="00F32B28" w:rsidRPr="00F32B28">
        <w:rPr>
          <w:rtl/>
        </w:rPr>
        <w:t>ووجود</w:t>
      </w:r>
      <w:r w:rsidR="00F32B28">
        <w:rPr>
          <w:rtl/>
        </w:rPr>
        <w:t xml:space="preserve"> </w:t>
      </w:r>
      <w:r w:rsidR="00F32B28" w:rsidRPr="00F32B28">
        <w:rPr>
          <w:rtl/>
        </w:rPr>
        <w:t>تطور</w:t>
      </w:r>
      <w:r w:rsidR="00F32B28">
        <w:rPr>
          <w:rtl/>
        </w:rPr>
        <w:t xml:space="preserve"> </w:t>
      </w:r>
      <w:r w:rsidR="00F32B28" w:rsidRPr="00F32B28">
        <w:rPr>
          <w:rtl/>
        </w:rPr>
        <w:t>نسبي</w:t>
      </w:r>
      <w:r w:rsidR="00F32B28">
        <w:rPr>
          <w:rtl/>
        </w:rPr>
        <w:t xml:space="preserve"> </w:t>
      </w:r>
      <w:r w:rsidR="00F32B28" w:rsidRPr="00F32B28">
        <w:rPr>
          <w:rtl/>
        </w:rPr>
        <w:t>في</w:t>
      </w:r>
      <w:r w:rsidR="00F32B28">
        <w:rPr>
          <w:rtl/>
        </w:rPr>
        <w:t xml:space="preserve"> </w:t>
      </w:r>
      <w:r w:rsidR="00F32B28" w:rsidRPr="00F32B28">
        <w:rPr>
          <w:rtl/>
        </w:rPr>
        <w:t>النظرة</w:t>
      </w:r>
      <w:r w:rsidR="00F32B28">
        <w:rPr>
          <w:rtl/>
        </w:rPr>
        <w:t xml:space="preserve"> </w:t>
      </w:r>
      <w:r w:rsidR="00F32B28" w:rsidRPr="00F32B28">
        <w:rPr>
          <w:rtl/>
        </w:rPr>
        <w:t>إلى</w:t>
      </w:r>
      <w:r w:rsidR="00F32B28">
        <w:rPr>
          <w:rtl/>
        </w:rPr>
        <w:t xml:space="preserve"> </w:t>
      </w:r>
      <w:r w:rsidR="00F32B28" w:rsidRPr="00F32B28">
        <w:rPr>
          <w:rtl/>
        </w:rPr>
        <w:t>المرأة،</w:t>
      </w:r>
      <w:r w:rsidR="00F32B28">
        <w:rPr>
          <w:rtl/>
        </w:rPr>
        <w:t xml:space="preserve"> </w:t>
      </w:r>
      <w:r w:rsidR="00F32B28" w:rsidRPr="00F32B28">
        <w:rPr>
          <w:rtl/>
        </w:rPr>
        <w:t>لكنها</w:t>
      </w:r>
      <w:r w:rsidR="00F32B28">
        <w:rPr>
          <w:rtl/>
        </w:rPr>
        <w:t xml:space="preserve"> </w:t>
      </w:r>
      <w:r w:rsidR="00F32B28" w:rsidRPr="00F32B28">
        <w:rPr>
          <w:rtl/>
        </w:rPr>
        <w:t>نادراً</w:t>
      </w:r>
      <w:r w:rsidR="00F32B28">
        <w:rPr>
          <w:rtl/>
        </w:rPr>
        <w:t xml:space="preserve"> </w:t>
      </w:r>
      <w:r w:rsidR="00F32B28" w:rsidRPr="00F32B28">
        <w:rPr>
          <w:rtl/>
        </w:rPr>
        <w:t>ما</w:t>
      </w:r>
      <w:r w:rsidR="00F32B28">
        <w:rPr>
          <w:rtl/>
        </w:rPr>
        <w:t xml:space="preserve"> </w:t>
      </w:r>
      <w:r w:rsidR="00F32B28" w:rsidRPr="00F32B28">
        <w:rPr>
          <w:rtl/>
        </w:rPr>
        <w:t>تظهر</w:t>
      </w:r>
      <w:r w:rsidR="00F32B28">
        <w:rPr>
          <w:rtl/>
        </w:rPr>
        <w:t xml:space="preserve"> </w:t>
      </w:r>
      <w:r w:rsidR="00F32B28" w:rsidRPr="00F32B28">
        <w:rPr>
          <w:rtl/>
        </w:rPr>
        <w:t>فيها</w:t>
      </w:r>
      <w:r w:rsidR="00F32B28">
        <w:rPr>
          <w:rtl/>
        </w:rPr>
        <w:t xml:space="preserve"> </w:t>
      </w:r>
      <w:r w:rsidR="00F32B28" w:rsidRPr="00F32B28">
        <w:rPr>
          <w:rtl/>
        </w:rPr>
        <w:t>الإناث</w:t>
      </w:r>
      <w:r w:rsidR="00F32B28">
        <w:rPr>
          <w:rtl/>
        </w:rPr>
        <w:t xml:space="preserve"> </w:t>
      </w:r>
      <w:r w:rsidR="00F32B28" w:rsidRPr="00F32B28">
        <w:rPr>
          <w:rtl/>
        </w:rPr>
        <w:t>كقائدات</w:t>
      </w:r>
      <w:r w:rsidR="00F32B28">
        <w:rPr>
          <w:rtl/>
        </w:rPr>
        <w:t xml:space="preserve"> </w:t>
      </w:r>
      <w:r w:rsidR="00F32B28" w:rsidRPr="00F32B28">
        <w:rPr>
          <w:rtl/>
        </w:rPr>
        <w:t>ومتخذات</w:t>
      </w:r>
      <w:r w:rsidR="00F32B28">
        <w:rPr>
          <w:rtl/>
        </w:rPr>
        <w:t xml:space="preserve"> </w:t>
      </w:r>
      <w:r w:rsidR="00F32B28" w:rsidRPr="00F32B28">
        <w:rPr>
          <w:rtl/>
        </w:rPr>
        <w:t>للقرارات</w:t>
      </w:r>
      <w:r w:rsidR="00F32B28">
        <w:rPr>
          <w:rtl/>
        </w:rPr>
        <w:t xml:space="preserve"> </w:t>
      </w:r>
      <w:r w:rsidR="00F32B28" w:rsidRPr="00F32B28">
        <w:rPr>
          <w:rtl/>
        </w:rPr>
        <w:t>ومتوليات</w:t>
      </w:r>
      <w:r w:rsidR="00F32B28">
        <w:rPr>
          <w:rtl/>
        </w:rPr>
        <w:t xml:space="preserve"> </w:t>
      </w:r>
      <w:r w:rsidR="00F32B28" w:rsidRPr="00F32B28">
        <w:rPr>
          <w:rtl/>
        </w:rPr>
        <w:t>لأمور</w:t>
      </w:r>
      <w:r w:rsidR="00F32B28">
        <w:rPr>
          <w:rtl/>
        </w:rPr>
        <w:t xml:space="preserve"> </w:t>
      </w:r>
      <w:r w:rsidR="00F32B28" w:rsidRPr="00F32B28">
        <w:rPr>
          <w:rtl/>
        </w:rPr>
        <w:t>الإدارة</w:t>
      </w:r>
      <w:r w:rsidR="00F32B28">
        <w:rPr>
          <w:rtl/>
        </w:rPr>
        <w:t xml:space="preserve"> </w:t>
      </w:r>
      <w:r w:rsidR="00F32B28" w:rsidRPr="00F32B28">
        <w:rPr>
          <w:rtl/>
        </w:rPr>
        <w:t>والعمل.</w:t>
      </w:r>
    </w:p>
    <w:p w:rsidR="00F32B28" w:rsidRPr="00F32B28" w:rsidRDefault="00BB7DEC" w:rsidP="00FF0A1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lastRenderedPageBreak/>
        <w:tab/>
      </w:r>
      <w:r>
        <w:rPr>
          <w:rFonts w:hint="eastAsia"/>
          <w:b/>
          <w:bCs/>
          <w:rtl/>
        </w:rPr>
        <w:t>•</w:t>
      </w:r>
      <w:r>
        <w:rPr>
          <w:rFonts w:hint="cs"/>
          <w:rtl/>
        </w:rPr>
        <w:tab/>
      </w:r>
      <w:r w:rsidR="00F32B28" w:rsidRPr="00102AE6">
        <w:rPr>
          <w:b/>
          <w:bCs/>
          <w:rtl/>
        </w:rPr>
        <w:t>في العمل:</w:t>
      </w:r>
      <w:r w:rsidR="00F32B28">
        <w:rPr>
          <w:rtl/>
        </w:rPr>
        <w:t xml:space="preserve"> </w:t>
      </w:r>
      <w:r w:rsidR="00F32B28" w:rsidRPr="00F32B28">
        <w:rPr>
          <w:rtl/>
        </w:rPr>
        <w:t>عادةً</w:t>
      </w:r>
      <w:r w:rsidR="00F32B28">
        <w:rPr>
          <w:rtl/>
        </w:rPr>
        <w:t xml:space="preserve"> </w:t>
      </w:r>
      <w:r w:rsidR="00F32B28" w:rsidRPr="00F32B28">
        <w:rPr>
          <w:rtl/>
        </w:rPr>
        <w:t>ما</w:t>
      </w:r>
      <w:r w:rsidR="00F32B28">
        <w:rPr>
          <w:rtl/>
        </w:rPr>
        <w:t xml:space="preserve"> </w:t>
      </w:r>
      <w:r w:rsidR="00F32B28" w:rsidRPr="00F32B28">
        <w:rPr>
          <w:rtl/>
        </w:rPr>
        <w:t>تناط</w:t>
      </w:r>
      <w:r w:rsidR="00F32B28">
        <w:rPr>
          <w:rtl/>
        </w:rPr>
        <w:t xml:space="preserve"> </w:t>
      </w:r>
      <w:r w:rsidR="00F32B28" w:rsidRPr="00F32B28">
        <w:rPr>
          <w:rtl/>
        </w:rPr>
        <w:t>الأعمال</w:t>
      </w:r>
      <w:r w:rsidR="00F32B28">
        <w:rPr>
          <w:rtl/>
        </w:rPr>
        <w:t xml:space="preserve"> </w:t>
      </w:r>
      <w:r w:rsidR="00F32B28" w:rsidRPr="00F32B28">
        <w:rPr>
          <w:rtl/>
        </w:rPr>
        <w:t>التي</w:t>
      </w:r>
      <w:r w:rsidR="00F32B28">
        <w:rPr>
          <w:rtl/>
        </w:rPr>
        <w:t xml:space="preserve"> </w:t>
      </w:r>
      <w:r w:rsidR="00F32B28" w:rsidRPr="00F32B28">
        <w:rPr>
          <w:rtl/>
        </w:rPr>
        <w:t>تتطلب</w:t>
      </w:r>
      <w:r w:rsidR="00F32B28">
        <w:rPr>
          <w:rtl/>
        </w:rPr>
        <w:t xml:space="preserve"> </w:t>
      </w:r>
      <w:r w:rsidR="00F32B28" w:rsidRPr="00F32B28">
        <w:rPr>
          <w:rtl/>
        </w:rPr>
        <w:t>صفات</w:t>
      </w:r>
      <w:r w:rsidR="00F32B28">
        <w:rPr>
          <w:rtl/>
        </w:rPr>
        <w:t xml:space="preserve"> </w:t>
      </w:r>
      <w:r w:rsidR="00F32B28" w:rsidRPr="00F32B28">
        <w:rPr>
          <w:rtl/>
        </w:rPr>
        <w:t>قيادية</w:t>
      </w:r>
      <w:r w:rsidR="00F32B28">
        <w:rPr>
          <w:rtl/>
        </w:rPr>
        <w:t xml:space="preserve"> </w:t>
      </w:r>
      <w:r w:rsidR="00F32B28" w:rsidRPr="00F32B28">
        <w:rPr>
          <w:rtl/>
        </w:rPr>
        <w:t>أو</w:t>
      </w:r>
      <w:r w:rsidR="00F32B28">
        <w:rPr>
          <w:rtl/>
        </w:rPr>
        <w:t xml:space="preserve"> </w:t>
      </w:r>
      <w:r w:rsidR="00F32B28" w:rsidRPr="00F32B28">
        <w:rPr>
          <w:rtl/>
        </w:rPr>
        <w:t>جهداً</w:t>
      </w:r>
      <w:r w:rsidR="00F32B28">
        <w:rPr>
          <w:rtl/>
        </w:rPr>
        <w:t xml:space="preserve"> </w:t>
      </w:r>
      <w:r w:rsidR="00F32B28" w:rsidRPr="00F32B28">
        <w:rPr>
          <w:rtl/>
        </w:rPr>
        <w:t>جسدياً</w:t>
      </w:r>
      <w:r w:rsidR="00F32B28">
        <w:rPr>
          <w:rtl/>
        </w:rPr>
        <w:t xml:space="preserve"> </w:t>
      </w:r>
      <w:r w:rsidR="00F32B28" w:rsidRPr="00F32B28">
        <w:rPr>
          <w:rtl/>
        </w:rPr>
        <w:t>للرجال،</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أن</w:t>
      </w:r>
      <w:r w:rsidR="00F32B28">
        <w:rPr>
          <w:rtl/>
        </w:rPr>
        <w:t xml:space="preserve"> </w:t>
      </w:r>
      <w:r w:rsidR="00F32B28" w:rsidRPr="00F32B28">
        <w:rPr>
          <w:rtl/>
        </w:rPr>
        <w:t>الأعمال</w:t>
      </w:r>
      <w:r w:rsidR="00F32B28">
        <w:rPr>
          <w:rtl/>
        </w:rPr>
        <w:t xml:space="preserve"> </w:t>
      </w:r>
      <w:r w:rsidR="00F32B28" w:rsidRPr="00F32B28">
        <w:rPr>
          <w:rtl/>
        </w:rPr>
        <w:t>التي</w:t>
      </w:r>
      <w:r w:rsidR="00F32B28">
        <w:rPr>
          <w:rtl/>
        </w:rPr>
        <w:t xml:space="preserve"> </w:t>
      </w:r>
      <w:r w:rsidR="00F32B28" w:rsidRPr="00F32B28">
        <w:rPr>
          <w:rtl/>
        </w:rPr>
        <w:t>تعتبر</w:t>
      </w:r>
      <w:r w:rsidR="00F32B28">
        <w:rPr>
          <w:rtl/>
        </w:rPr>
        <w:t xml:space="preserve"> </w:t>
      </w:r>
      <w:r w:rsidR="00F32B28" w:rsidRPr="00F32B28">
        <w:rPr>
          <w:rtl/>
        </w:rPr>
        <w:t>نسائية</w:t>
      </w:r>
      <w:r w:rsidR="00F32B28">
        <w:rPr>
          <w:rtl/>
        </w:rPr>
        <w:t xml:space="preserve"> </w:t>
      </w:r>
      <w:r w:rsidR="00F32B28" w:rsidRPr="00F32B28">
        <w:rPr>
          <w:rtl/>
        </w:rPr>
        <w:t>بالدرجة</w:t>
      </w:r>
      <w:r w:rsidR="00F32B28">
        <w:rPr>
          <w:rtl/>
        </w:rPr>
        <w:t xml:space="preserve"> </w:t>
      </w:r>
      <w:r w:rsidR="00F32B28" w:rsidRPr="00F32B28">
        <w:rPr>
          <w:rtl/>
        </w:rPr>
        <w:t>الأولى</w:t>
      </w:r>
      <w:r w:rsidR="00F32B28">
        <w:rPr>
          <w:rtl/>
        </w:rPr>
        <w:t xml:space="preserve"> </w:t>
      </w:r>
      <w:r w:rsidR="00F32B28" w:rsidRPr="00F32B28">
        <w:rPr>
          <w:rtl/>
        </w:rPr>
        <w:t>كتلك</w:t>
      </w:r>
      <w:r w:rsidR="00F32B28">
        <w:rPr>
          <w:rtl/>
        </w:rPr>
        <w:t xml:space="preserve"> </w:t>
      </w:r>
      <w:r w:rsidR="00F32B28" w:rsidRPr="00F32B28">
        <w:rPr>
          <w:rtl/>
        </w:rPr>
        <w:t>المتعلقة</w:t>
      </w:r>
      <w:r w:rsidR="00F32B28">
        <w:rPr>
          <w:rtl/>
        </w:rPr>
        <w:t xml:space="preserve"> </w:t>
      </w:r>
      <w:r w:rsidR="00F32B28" w:rsidRPr="00F32B28">
        <w:rPr>
          <w:rtl/>
        </w:rPr>
        <w:t>بالرعاية</w:t>
      </w:r>
      <w:r w:rsidR="00F32B28">
        <w:rPr>
          <w:rtl/>
        </w:rPr>
        <w:t xml:space="preserve"> </w:t>
      </w:r>
      <w:r w:rsidR="00F32B28" w:rsidRPr="00F32B28">
        <w:rPr>
          <w:rtl/>
        </w:rPr>
        <w:t>والاتصال</w:t>
      </w:r>
      <w:r w:rsidR="00F32B28">
        <w:rPr>
          <w:rtl/>
        </w:rPr>
        <w:t xml:space="preserve"> </w:t>
      </w:r>
      <w:r w:rsidR="00F32B28" w:rsidRPr="00F32B28">
        <w:rPr>
          <w:rtl/>
        </w:rPr>
        <w:t>الاجتماعي</w:t>
      </w:r>
      <w:r w:rsidR="00F32B28">
        <w:rPr>
          <w:rtl/>
        </w:rPr>
        <w:t xml:space="preserve"> </w:t>
      </w:r>
      <w:r w:rsidR="00F32B28" w:rsidRPr="00F32B28">
        <w:rPr>
          <w:rtl/>
        </w:rPr>
        <w:t>والتربية</w:t>
      </w:r>
      <w:r w:rsidR="00F32B28">
        <w:rPr>
          <w:rtl/>
        </w:rPr>
        <w:t xml:space="preserve"> </w:t>
      </w:r>
      <w:r w:rsidR="00F32B28" w:rsidRPr="00F32B28">
        <w:rPr>
          <w:rtl/>
        </w:rPr>
        <w:t>الأسرية،</w:t>
      </w:r>
      <w:r w:rsidR="00F32B28">
        <w:rPr>
          <w:rtl/>
        </w:rPr>
        <w:t xml:space="preserve"> </w:t>
      </w:r>
      <w:r w:rsidR="00F32B28" w:rsidRPr="00F32B28">
        <w:rPr>
          <w:rtl/>
        </w:rPr>
        <w:t>والتعليم،</w:t>
      </w:r>
      <w:r w:rsidR="00F32B28">
        <w:rPr>
          <w:rtl/>
        </w:rPr>
        <w:t xml:space="preserve"> </w:t>
      </w:r>
      <w:r w:rsidR="00F32B28" w:rsidRPr="00F32B28">
        <w:rPr>
          <w:rtl/>
        </w:rPr>
        <w:t>والصحة،</w:t>
      </w:r>
      <w:r w:rsidR="00F32B28">
        <w:rPr>
          <w:rtl/>
        </w:rPr>
        <w:t xml:space="preserve"> </w:t>
      </w:r>
      <w:r w:rsidR="00F32B28" w:rsidRPr="00F32B28">
        <w:rPr>
          <w:rtl/>
        </w:rPr>
        <w:t>والإعلام،</w:t>
      </w:r>
      <w:r w:rsidR="00F32B28">
        <w:rPr>
          <w:rtl/>
        </w:rPr>
        <w:t xml:space="preserve"> </w:t>
      </w:r>
      <w:r w:rsidR="00F32B28" w:rsidRPr="00F32B28">
        <w:rPr>
          <w:rtl/>
        </w:rPr>
        <w:t>والسياحة</w:t>
      </w:r>
      <w:r w:rsidR="00F32B28">
        <w:rPr>
          <w:rtl/>
        </w:rPr>
        <w:t xml:space="preserve"> </w:t>
      </w:r>
      <w:r w:rsidR="00F32B28" w:rsidRPr="00F32B28">
        <w:rPr>
          <w:rtl/>
        </w:rPr>
        <w:t>والإدارة</w:t>
      </w:r>
      <w:r w:rsidR="00F32B28">
        <w:rPr>
          <w:rtl/>
        </w:rPr>
        <w:t xml:space="preserve"> </w:t>
      </w:r>
      <w:r w:rsidR="00F32B28" w:rsidRPr="00F32B28">
        <w:rPr>
          <w:rtl/>
        </w:rPr>
        <w:t>غالباً</w:t>
      </w:r>
      <w:r w:rsidR="00F32B28">
        <w:rPr>
          <w:rtl/>
        </w:rPr>
        <w:t xml:space="preserve"> </w:t>
      </w:r>
      <w:r w:rsidR="00F32B28" w:rsidRPr="00F32B28">
        <w:rPr>
          <w:rtl/>
        </w:rPr>
        <w:t>ما</w:t>
      </w:r>
      <w:r w:rsidR="00F32B28">
        <w:rPr>
          <w:rtl/>
        </w:rPr>
        <w:t xml:space="preserve"> </w:t>
      </w:r>
      <w:r w:rsidR="00F32B28" w:rsidRPr="00F32B28">
        <w:rPr>
          <w:rtl/>
        </w:rPr>
        <w:t>تناط</w:t>
      </w:r>
      <w:r w:rsidR="00F32B28">
        <w:rPr>
          <w:rtl/>
        </w:rPr>
        <w:t xml:space="preserve"> </w:t>
      </w:r>
      <w:r w:rsidR="00F32B28" w:rsidRPr="00F32B28">
        <w:rPr>
          <w:rtl/>
        </w:rPr>
        <w:t>بالمرأة.</w:t>
      </w:r>
    </w:p>
    <w:p w:rsidR="00F32B28" w:rsidRPr="00F32B28" w:rsidRDefault="00BB7DEC" w:rsidP="00FF0A1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cs"/>
          <w:rtl/>
        </w:rPr>
        <w:tab/>
      </w:r>
      <w:r w:rsidR="00F32B28" w:rsidRPr="00102AE6">
        <w:rPr>
          <w:b/>
          <w:bCs/>
          <w:rtl/>
        </w:rPr>
        <w:t>في الإعلام:</w:t>
      </w:r>
      <w:r w:rsidR="00F32B28">
        <w:rPr>
          <w:rtl/>
        </w:rPr>
        <w:t xml:space="preserve"> </w:t>
      </w:r>
      <w:r w:rsidR="00F32B28" w:rsidRPr="00F32B28">
        <w:rPr>
          <w:rtl/>
        </w:rPr>
        <w:t>تكرس</w:t>
      </w:r>
      <w:r w:rsidR="00F32B28">
        <w:rPr>
          <w:rtl/>
        </w:rPr>
        <w:t xml:space="preserve"> </w:t>
      </w:r>
      <w:r w:rsidR="00F32B28" w:rsidRPr="00F32B28">
        <w:rPr>
          <w:rtl/>
        </w:rPr>
        <w:t>وسائل</w:t>
      </w:r>
      <w:r w:rsidR="00F32B28">
        <w:rPr>
          <w:rtl/>
        </w:rPr>
        <w:t xml:space="preserve"> </w:t>
      </w:r>
      <w:r w:rsidR="00F32B28" w:rsidRPr="00F32B28">
        <w:rPr>
          <w:rtl/>
        </w:rPr>
        <w:t>الإعلام</w:t>
      </w:r>
      <w:r w:rsidR="00F32B28">
        <w:rPr>
          <w:rtl/>
        </w:rPr>
        <w:t xml:space="preserve"> </w:t>
      </w:r>
      <w:r w:rsidR="00F32B28" w:rsidRPr="00F32B28">
        <w:rPr>
          <w:rtl/>
        </w:rPr>
        <w:t>المحلية</w:t>
      </w:r>
      <w:r w:rsidR="00F32B28">
        <w:rPr>
          <w:rtl/>
        </w:rPr>
        <w:t xml:space="preserve"> </w:t>
      </w:r>
      <w:r w:rsidR="00F32B28" w:rsidRPr="00F32B28">
        <w:rPr>
          <w:rtl/>
        </w:rPr>
        <w:t>مساحة</w:t>
      </w:r>
      <w:r w:rsidR="00F32B28">
        <w:rPr>
          <w:rtl/>
        </w:rPr>
        <w:t xml:space="preserve"> </w:t>
      </w:r>
      <w:r w:rsidR="00F32B28" w:rsidRPr="00F32B28">
        <w:rPr>
          <w:rtl/>
        </w:rPr>
        <w:t>لطرح</w:t>
      </w:r>
      <w:r w:rsidR="00F32B28">
        <w:rPr>
          <w:rtl/>
        </w:rPr>
        <w:t xml:space="preserve"> </w:t>
      </w:r>
      <w:r w:rsidR="00F32B28" w:rsidRPr="00F32B28">
        <w:rPr>
          <w:rtl/>
        </w:rPr>
        <w:t>مواضيع</w:t>
      </w:r>
      <w:r w:rsidR="00F32B28">
        <w:rPr>
          <w:rtl/>
        </w:rPr>
        <w:t xml:space="preserve"> </w:t>
      </w:r>
      <w:r w:rsidR="00F32B28" w:rsidRPr="00F32B28">
        <w:rPr>
          <w:rtl/>
        </w:rPr>
        <w:t>شؤون</w:t>
      </w:r>
      <w:r w:rsidR="00F32B28">
        <w:rPr>
          <w:rtl/>
        </w:rPr>
        <w:t xml:space="preserve"> </w:t>
      </w:r>
      <w:r w:rsidR="00F32B28" w:rsidRPr="00F32B28">
        <w:rPr>
          <w:rtl/>
        </w:rPr>
        <w:t>المرأة،</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معظمها</w:t>
      </w:r>
      <w:r w:rsidR="00F32B28">
        <w:rPr>
          <w:rtl/>
        </w:rPr>
        <w:t xml:space="preserve"> </w:t>
      </w:r>
      <w:r w:rsidR="00F32B28" w:rsidRPr="00F32B28">
        <w:rPr>
          <w:rtl/>
        </w:rPr>
        <w:t>تأتي</w:t>
      </w:r>
      <w:r w:rsidR="00F32B28">
        <w:rPr>
          <w:rtl/>
        </w:rPr>
        <w:t xml:space="preserve"> </w:t>
      </w:r>
      <w:r w:rsidR="00F32B28" w:rsidRPr="00F32B28">
        <w:rPr>
          <w:rtl/>
        </w:rPr>
        <w:t>لتركز</w:t>
      </w:r>
      <w:r w:rsidR="00F32B28">
        <w:rPr>
          <w:rtl/>
        </w:rPr>
        <w:t xml:space="preserve"> </w:t>
      </w:r>
      <w:r w:rsidR="00F32B28" w:rsidRPr="00F32B28">
        <w:rPr>
          <w:rtl/>
        </w:rPr>
        <w:t>على</w:t>
      </w:r>
      <w:r w:rsidR="00F32B28">
        <w:rPr>
          <w:rtl/>
        </w:rPr>
        <w:t xml:space="preserve"> </w:t>
      </w:r>
      <w:r w:rsidR="00F32B28" w:rsidRPr="00F32B28">
        <w:rPr>
          <w:rtl/>
        </w:rPr>
        <w:t>الدور</w:t>
      </w:r>
      <w:r w:rsidR="00F32B28">
        <w:rPr>
          <w:rtl/>
        </w:rPr>
        <w:t xml:space="preserve"> </w:t>
      </w:r>
      <w:r w:rsidR="00F32B28" w:rsidRPr="00F32B28">
        <w:rPr>
          <w:rtl/>
        </w:rPr>
        <w:t>التقليدي</w:t>
      </w:r>
      <w:r w:rsidR="00F32B28">
        <w:rPr>
          <w:rtl/>
        </w:rPr>
        <w:t xml:space="preserve"> </w:t>
      </w:r>
      <w:r w:rsidR="00F32B28" w:rsidRPr="00F32B28">
        <w:rPr>
          <w:rtl/>
        </w:rPr>
        <w:t>للمرأة؛</w:t>
      </w:r>
      <w:r w:rsidR="00F32B28">
        <w:rPr>
          <w:rtl/>
        </w:rPr>
        <w:t xml:space="preserve"> </w:t>
      </w:r>
      <w:r w:rsidR="00F32B28" w:rsidRPr="00F32B28">
        <w:rPr>
          <w:rtl/>
        </w:rPr>
        <w:t>مثل</w:t>
      </w:r>
      <w:r w:rsidR="00F32B28">
        <w:rPr>
          <w:rtl/>
        </w:rPr>
        <w:t xml:space="preserve"> </w:t>
      </w:r>
      <w:r w:rsidR="00F32B28" w:rsidRPr="00F32B28">
        <w:rPr>
          <w:rtl/>
        </w:rPr>
        <w:t>أمور</w:t>
      </w:r>
      <w:r w:rsidR="00F32B28">
        <w:rPr>
          <w:rtl/>
        </w:rPr>
        <w:t xml:space="preserve"> </w:t>
      </w:r>
      <w:r w:rsidR="00F32B28" w:rsidRPr="00F32B28">
        <w:rPr>
          <w:rtl/>
        </w:rPr>
        <w:t>الطهي</w:t>
      </w:r>
      <w:r w:rsidR="00F32B28">
        <w:rPr>
          <w:rtl/>
        </w:rPr>
        <w:t xml:space="preserve"> </w:t>
      </w:r>
      <w:r w:rsidR="00F32B28" w:rsidRPr="00F32B28">
        <w:rPr>
          <w:rtl/>
        </w:rPr>
        <w:t>وصحة</w:t>
      </w:r>
      <w:r w:rsidR="00F32B28">
        <w:rPr>
          <w:rtl/>
        </w:rPr>
        <w:t xml:space="preserve"> </w:t>
      </w:r>
      <w:r w:rsidR="00F32B28" w:rsidRPr="00F32B28">
        <w:rPr>
          <w:rtl/>
        </w:rPr>
        <w:t>الأسرة</w:t>
      </w:r>
      <w:r w:rsidR="00F32B28">
        <w:rPr>
          <w:rtl/>
        </w:rPr>
        <w:t xml:space="preserve"> </w:t>
      </w:r>
      <w:r w:rsidR="00F32B28" w:rsidRPr="00F32B28">
        <w:rPr>
          <w:rtl/>
        </w:rPr>
        <w:t>والأطفال</w:t>
      </w:r>
      <w:r w:rsidR="00F32B28">
        <w:rPr>
          <w:rtl/>
        </w:rPr>
        <w:t xml:space="preserve"> </w:t>
      </w:r>
      <w:r w:rsidR="00F32B28" w:rsidRPr="00F32B28">
        <w:rPr>
          <w:rtl/>
        </w:rPr>
        <w:t>والأزياء.</w:t>
      </w:r>
      <w:r w:rsidR="00F32B28">
        <w:rPr>
          <w:rtl/>
        </w:rPr>
        <w:t xml:space="preserve"> </w:t>
      </w:r>
      <w:r w:rsidR="00F32B28" w:rsidRPr="00F32B28">
        <w:rPr>
          <w:rtl/>
        </w:rPr>
        <w:t>كما</w:t>
      </w:r>
      <w:r w:rsidR="00F32B28">
        <w:rPr>
          <w:rtl/>
        </w:rPr>
        <w:t xml:space="preserve"> </w:t>
      </w:r>
      <w:r w:rsidR="00F32B28" w:rsidRPr="00F32B28">
        <w:rPr>
          <w:rtl/>
        </w:rPr>
        <w:t>وتركز</w:t>
      </w:r>
      <w:r w:rsidR="00F32B28">
        <w:rPr>
          <w:rtl/>
        </w:rPr>
        <w:t xml:space="preserve"> </w:t>
      </w:r>
      <w:r w:rsidR="00F32B28" w:rsidRPr="00F32B28">
        <w:rPr>
          <w:rtl/>
        </w:rPr>
        <w:t>معظم</w:t>
      </w:r>
      <w:r w:rsidR="00F32B28">
        <w:rPr>
          <w:rtl/>
        </w:rPr>
        <w:t xml:space="preserve"> </w:t>
      </w:r>
      <w:r w:rsidR="00F32B28" w:rsidRPr="00F32B28">
        <w:rPr>
          <w:rtl/>
        </w:rPr>
        <w:t>هذه</w:t>
      </w:r>
      <w:r w:rsidR="00F32B28">
        <w:rPr>
          <w:rtl/>
        </w:rPr>
        <w:t xml:space="preserve"> </w:t>
      </w:r>
      <w:r w:rsidR="00F32B28" w:rsidRPr="00F32B28">
        <w:rPr>
          <w:rtl/>
        </w:rPr>
        <w:t>الوسائل</w:t>
      </w:r>
      <w:r w:rsidR="00F32B28">
        <w:rPr>
          <w:rtl/>
        </w:rPr>
        <w:t xml:space="preserve"> </w:t>
      </w:r>
      <w:r w:rsidR="00F32B28" w:rsidRPr="00F32B28">
        <w:rPr>
          <w:rtl/>
        </w:rPr>
        <w:t>على</w:t>
      </w:r>
      <w:r w:rsidR="00F32B28">
        <w:rPr>
          <w:rtl/>
        </w:rPr>
        <w:t xml:space="preserve"> </w:t>
      </w:r>
      <w:r w:rsidR="00F32B28" w:rsidRPr="00F32B28">
        <w:rPr>
          <w:rtl/>
        </w:rPr>
        <w:t>فئات</w:t>
      </w:r>
      <w:r w:rsidR="00F32B28">
        <w:rPr>
          <w:rtl/>
        </w:rPr>
        <w:t xml:space="preserve"> </w:t>
      </w:r>
      <w:r w:rsidR="00F32B28" w:rsidRPr="00F32B28">
        <w:rPr>
          <w:rtl/>
        </w:rPr>
        <w:t>محددة</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دون</w:t>
      </w:r>
      <w:r w:rsidR="00F32B28">
        <w:rPr>
          <w:rtl/>
        </w:rPr>
        <w:t xml:space="preserve"> </w:t>
      </w:r>
      <w:r w:rsidR="00F32B28" w:rsidRPr="00F32B28">
        <w:rPr>
          <w:rtl/>
        </w:rPr>
        <w:t>النساء</w:t>
      </w:r>
      <w:r w:rsidR="00F32B28">
        <w:rPr>
          <w:rtl/>
        </w:rPr>
        <w:t xml:space="preserve"> </w:t>
      </w:r>
      <w:r w:rsidR="00F32B28" w:rsidRPr="00F32B28">
        <w:rPr>
          <w:rtl/>
        </w:rPr>
        <w:t>الأكثر</w:t>
      </w:r>
      <w:r w:rsidR="00F32B28">
        <w:rPr>
          <w:rtl/>
        </w:rPr>
        <w:t xml:space="preserve"> </w:t>
      </w:r>
      <w:r w:rsidR="00F32B28" w:rsidRPr="00F32B28">
        <w:rPr>
          <w:rtl/>
        </w:rPr>
        <w:t>عرضة</w:t>
      </w:r>
      <w:r w:rsidR="00F32B28">
        <w:rPr>
          <w:rtl/>
        </w:rPr>
        <w:t xml:space="preserve"> </w:t>
      </w:r>
      <w:r w:rsidR="00F32B28" w:rsidRPr="00F32B28">
        <w:rPr>
          <w:rtl/>
        </w:rPr>
        <w:t>للانكشاف،</w:t>
      </w:r>
      <w:r w:rsidR="00F32B28">
        <w:rPr>
          <w:rtl/>
        </w:rPr>
        <w:t xml:space="preserve"> </w:t>
      </w:r>
      <w:r w:rsidR="00F32B28" w:rsidRPr="00F32B28">
        <w:rPr>
          <w:rtl/>
        </w:rPr>
        <w:t>كالمرأة</w:t>
      </w:r>
      <w:r w:rsidR="00F32B28">
        <w:rPr>
          <w:rtl/>
        </w:rPr>
        <w:t xml:space="preserve"> </w:t>
      </w:r>
      <w:r w:rsidR="00F32B28" w:rsidRPr="00F32B28">
        <w:rPr>
          <w:rtl/>
        </w:rPr>
        <w:t>الريفية،</w:t>
      </w:r>
      <w:r w:rsidR="00F32B28">
        <w:rPr>
          <w:rtl/>
        </w:rPr>
        <w:t xml:space="preserve"> </w:t>
      </w:r>
      <w:r w:rsidR="00F32B28" w:rsidRPr="00F32B28">
        <w:rPr>
          <w:rtl/>
        </w:rPr>
        <w:t>والمرأة</w:t>
      </w:r>
      <w:r w:rsidR="00F32B28">
        <w:rPr>
          <w:rtl/>
        </w:rPr>
        <w:t xml:space="preserve"> </w:t>
      </w:r>
      <w:r w:rsidR="00F32B28" w:rsidRPr="00F32B28">
        <w:rPr>
          <w:rtl/>
        </w:rPr>
        <w:t>في</w:t>
      </w:r>
      <w:r w:rsidR="00F32B28">
        <w:rPr>
          <w:rtl/>
        </w:rPr>
        <w:t xml:space="preserve"> </w:t>
      </w:r>
      <w:r w:rsidR="00F32B28" w:rsidRPr="00F32B28">
        <w:rPr>
          <w:rtl/>
        </w:rPr>
        <w:t>المخيمات</w:t>
      </w:r>
      <w:r w:rsidR="00F32B28">
        <w:rPr>
          <w:rtl/>
        </w:rPr>
        <w:t xml:space="preserve"> </w:t>
      </w:r>
      <w:r w:rsidR="00F32B28" w:rsidRPr="00F32B28">
        <w:rPr>
          <w:rtl/>
        </w:rPr>
        <w:t>والقرى</w:t>
      </w:r>
      <w:r w:rsidR="00F32B28">
        <w:rPr>
          <w:rtl/>
        </w:rPr>
        <w:t xml:space="preserve"> </w:t>
      </w:r>
      <w:r w:rsidR="00F32B28" w:rsidRPr="00F32B28">
        <w:rPr>
          <w:rtl/>
        </w:rPr>
        <w:t>البدوية،</w:t>
      </w:r>
      <w:r w:rsidR="00F32B28">
        <w:rPr>
          <w:rtl/>
        </w:rPr>
        <w:t xml:space="preserve"> </w:t>
      </w:r>
      <w:r w:rsidR="00F32B28" w:rsidRPr="00F32B28">
        <w:rPr>
          <w:rtl/>
        </w:rPr>
        <w:t>إذ</w:t>
      </w:r>
      <w:r w:rsidR="00F32B28">
        <w:rPr>
          <w:rtl/>
        </w:rPr>
        <w:t xml:space="preserve"> </w:t>
      </w:r>
      <w:r w:rsidR="00F32B28" w:rsidRPr="00F32B28">
        <w:rPr>
          <w:rtl/>
        </w:rPr>
        <w:t>غالباً</w:t>
      </w:r>
      <w:r w:rsidR="00F32B28">
        <w:rPr>
          <w:rtl/>
        </w:rPr>
        <w:t xml:space="preserve"> </w:t>
      </w:r>
      <w:r w:rsidR="00F32B28" w:rsidRPr="00F32B28">
        <w:rPr>
          <w:rtl/>
        </w:rPr>
        <w:t>ما</w:t>
      </w:r>
      <w:r w:rsidR="00F32B28">
        <w:rPr>
          <w:rtl/>
        </w:rPr>
        <w:t xml:space="preserve"> </w:t>
      </w:r>
      <w:r w:rsidR="00F32B28" w:rsidRPr="00F32B28">
        <w:rPr>
          <w:rtl/>
        </w:rPr>
        <w:t>ينصب</w:t>
      </w:r>
      <w:r w:rsidR="00F32B28">
        <w:rPr>
          <w:rtl/>
        </w:rPr>
        <w:t xml:space="preserve"> </w:t>
      </w:r>
      <w:r w:rsidR="00F32B28" w:rsidRPr="00F32B28">
        <w:rPr>
          <w:rtl/>
        </w:rPr>
        <w:t>الاهتمام</w:t>
      </w:r>
      <w:r w:rsidR="00F32B28">
        <w:rPr>
          <w:rtl/>
        </w:rPr>
        <w:t xml:space="preserve"> </w:t>
      </w:r>
      <w:r w:rsidR="00F32B28" w:rsidRPr="00F32B28">
        <w:rPr>
          <w:rtl/>
        </w:rPr>
        <w:t>الإعلامي</w:t>
      </w:r>
      <w:r w:rsidR="00F32B28">
        <w:rPr>
          <w:rtl/>
        </w:rPr>
        <w:t xml:space="preserve"> </w:t>
      </w:r>
      <w:r w:rsidR="00F32B28" w:rsidRPr="00F32B28">
        <w:rPr>
          <w:rtl/>
        </w:rPr>
        <w:t>على</w:t>
      </w:r>
      <w:r w:rsidR="00F32B28">
        <w:rPr>
          <w:rtl/>
        </w:rPr>
        <w:t xml:space="preserve"> </w:t>
      </w:r>
      <w:r w:rsidR="00F32B28" w:rsidRPr="00F32B28">
        <w:rPr>
          <w:rtl/>
        </w:rPr>
        <w:t>النساء</w:t>
      </w:r>
      <w:r w:rsidR="00F32B28">
        <w:rPr>
          <w:rtl/>
        </w:rPr>
        <w:t xml:space="preserve"> </w:t>
      </w:r>
      <w:r w:rsidR="00F32B28" w:rsidRPr="00F32B28">
        <w:rPr>
          <w:rtl/>
        </w:rPr>
        <w:t>اللواتي</w:t>
      </w:r>
      <w:r w:rsidR="00F32B28">
        <w:rPr>
          <w:rtl/>
        </w:rPr>
        <w:t xml:space="preserve"> </w:t>
      </w:r>
      <w:r w:rsidR="00F32B28" w:rsidRPr="00F32B28">
        <w:rPr>
          <w:rtl/>
        </w:rPr>
        <w:t>يعملن</w:t>
      </w:r>
      <w:r w:rsidR="00F32B28">
        <w:rPr>
          <w:rtl/>
        </w:rPr>
        <w:t xml:space="preserve"> </w:t>
      </w:r>
      <w:r w:rsidR="00F32B28" w:rsidRPr="00F32B28">
        <w:rPr>
          <w:rtl/>
        </w:rPr>
        <w:t>في</w:t>
      </w:r>
      <w:r w:rsidR="00F32B28">
        <w:rPr>
          <w:rtl/>
        </w:rPr>
        <w:t xml:space="preserve"> </w:t>
      </w:r>
      <w:r w:rsidR="00F32B28" w:rsidRPr="00F32B28">
        <w:rPr>
          <w:rtl/>
        </w:rPr>
        <w:t>وظائف</w:t>
      </w:r>
      <w:r w:rsidR="00F32B28">
        <w:rPr>
          <w:rtl/>
        </w:rPr>
        <w:t xml:space="preserve"> </w:t>
      </w:r>
      <w:r w:rsidR="00F32B28" w:rsidRPr="00F32B28">
        <w:rPr>
          <w:rtl/>
        </w:rPr>
        <w:t>ومهن</w:t>
      </w:r>
      <w:r w:rsidR="00F32B28">
        <w:rPr>
          <w:rtl/>
        </w:rPr>
        <w:t xml:space="preserve"> </w:t>
      </w:r>
      <w:r w:rsidR="00F32B28" w:rsidRPr="00F32B28">
        <w:rPr>
          <w:rtl/>
        </w:rPr>
        <w:t>نخبوية</w:t>
      </w:r>
      <w:r w:rsidR="00F32B28">
        <w:rPr>
          <w:rtl/>
        </w:rPr>
        <w:t xml:space="preserve"> </w:t>
      </w:r>
      <w:r w:rsidR="00F32B28" w:rsidRPr="00F32B28">
        <w:rPr>
          <w:rtl/>
        </w:rPr>
        <w:t>وأخرى</w:t>
      </w:r>
      <w:r w:rsidR="00F32B28">
        <w:rPr>
          <w:rtl/>
        </w:rPr>
        <w:t xml:space="preserve"> </w:t>
      </w:r>
      <w:r w:rsidR="00F32B28" w:rsidRPr="00F32B28">
        <w:rPr>
          <w:rtl/>
        </w:rPr>
        <w:t>حزبية</w:t>
      </w:r>
      <w:r w:rsidR="00F32B28">
        <w:rPr>
          <w:rtl/>
        </w:rPr>
        <w:t xml:space="preserve"> </w:t>
      </w:r>
      <w:r w:rsidR="00F32B28" w:rsidRPr="00F32B28">
        <w:rPr>
          <w:rtl/>
        </w:rPr>
        <w:t>وسياسية.</w:t>
      </w:r>
      <w:r w:rsidR="00F32B28">
        <w:rPr>
          <w:rtl/>
        </w:rPr>
        <w:t xml:space="preserve"> </w:t>
      </w:r>
      <w:r w:rsidR="00F32B28" w:rsidRPr="00F32B28">
        <w:rPr>
          <w:rtl/>
        </w:rPr>
        <w:t>ورغم</w:t>
      </w:r>
      <w:r w:rsidR="00F32B28">
        <w:rPr>
          <w:rtl/>
        </w:rPr>
        <w:t xml:space="preserve"> </w:t>
      </w:r>
      <w:r w:rsidR="00F32B28" w:rsidRPr="00F32B28">
        <w:rPr>
          <w:rtl/>
        </w:rPr>
        <w:t>أن</w:t>
      </w:r>
      <w:r w:rsidR="00F32B28">
        <w:rPr>
          <w:rtl/>
        </w:rPr>
        <w:t xml:space="preserve"> </w:t>
      </w:r>
      <w:r w:rsidR="00F32B28" w:rsidRPr="00F32B28">
        <w:rPr>
          <w:rtl/>
        </w:rPr>
        <w:t>القطاع</w:t>
      </w:r>
      <w:r w:rsidR="00F32B28">
        <w:rPr>
          <w:rtl/>
        </w:rPr>
        <w:t xml:space="preserve"> </w:t>
      </w:r>
      <w:r w:rsidR="00F32B28" w:rsidRPr="00F32B28">
        <w:rPr>
          <w:rtl/>
        </w:rPr>
        <w:t>الإعلامي</w:t>
      </w:r>
      <w:r w:rsidR="00F32B28">
        <w:rPr>
          <w:rtl/>
        </w:rPr>
        <w:t xml:space="preserve"> </w:t>
      </w:r>
      <w:r w:rsidR="00F32B28" w:rsidRPr="00F32B28">
        <w:rPr>
          <w:rtl/>
        </w:rPr>
        <w:t>يشهد</w:t>
      </w:r>
      <w:r w:rsidR="00F32B28">
        <w:rPr>
          <w:rtl/>
        </w:rPr>
        <w:t xml:space="preserve"> </w:t>
      </w:r>
      <w:r w:rsidR="00F32B28" w:rsidRPr="00F32B28">
        <w:rPr>
          <w:rtl/>
        </w:rPr>
        <w:t>تزايداً</w:t>
      </w:r>
      <w:r w:rsidR="00F32B28">
        <w:rPr>
          <w:rtl/>
        </w:rPr>
        <w:t xml:space="preserve"> </w:t>
      </w:r>
      <w:r w:rsidR="00F32B28" w:rsidRPr="00F32B28">
        <w:rPr>
          <w:rtl/>
        </w:rPr>
        <w:t>نسائياً</w:t>
      </w:r>
      <w:r w:rsidR="00F32B28">
        <w:rPr>
          <w:rtl/>
        </w:rPr>
        <w:t xml:space="preserve"> </w:t>
      </w:r>
      <w:r w:rsidR="00F32B28" w:rsidRPr="00F32B28">
        <w:rPr>
          <w:rtl/>
        </w:rPr>
        <w:t>ملحوظاً،</w:t>
      </w:r>
      <w:r w:rsidR="00F32B28">
        <w:rPr>
          <w:rtl/>
        </w:rPr>
        <w:t xml:space="preserve"> </w:t>
      </w:r>
      <w:r w:rsidR="00F32B28" w:rsidRPr="00F32B28">
        <w:rPr>
          <w:rtl/>
        </w:rPr>
        <w:t>خصوصاً</w:t>
      </w:r>
      <w:r w:rsidR="00F32B28">
        <w:rPr>
          <w:rtl/>
        </w:rPr>
        <w:t xml:space="preserve"> </w:t>
      </w:r>
      <w:r w:rsidR="00F32B28" w:rsidRPr="00F32B28">
        <w:rPr>
          <w:rtl/>
        </w:rPr>
        <w:t>في</w:t>
      </w:r>
      <w:r w:rsidR="00F32B28">
        <w:rPr>
          <w:rtl/>
        </w:rPr>
        <w:t xml:space="preserve"> </w:t>
      </w:r>
      <w:r w:rsidR="00F32B28" w:rsidRPr="00F32B28">
        <w:rPr>
          <w:rtl/>
        </w:rPr>
        <w:t>الإعلام</w:t>
      </w:r>
      <w:r w:rsidR="00F32B28">
        <w:rPr>
          <w:rtl/>
        </w:rPr>
        <w:t xml:space="preserve"> </w:t>
      </w:r>
      <w:r w:rsidR="00F32B28" w:rsidRPr="00F32B28">
        <w:rPr>
          <w:rtl/>
        </w:rPr>
        <w:t>المرئي،</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هذا</w:t>
      </w:r>
      <w:r w:rsidR="00F32B28">
        <w:rPr>
          <w:rtl/>
        </w:rPr>
        <w:t xml:space="preserve"> </w:t>
      </w:r>
      <w:r w:rsidR="00F32B28" w:rsidRPr="00F32B28">
        <w:rPr>
          <w:rtl/>
        </w:rPr>
        <w:t>التزايد</w:t>
      </w:r>
      <w:r w:rsidR="00F32B28">
        <w:rPr>
          <w:rtl/>
        </w:rPr>
        <w:t xml:space="preserve"> </w:t>
      </w:r>
      <w:r w:rsidR="00F32B28" w:rsidRPr="00F32B28">
        <w:rPr>
          <w:rtl/>
        </w:rPr>
        <w:t>الكمي</w:t>
      </w:r>
      <w:r w:rsidR="00F32B28">
        <w:rPr>
          <w:rtl/>
        </w:rPr>
        <w:t xml:space="preserve"> </w:t>
      </w:r>
      <w:r w:rsidR="00F32B28" w:rsidRPr="00F32B28">
        <w:rPr>
          <w:rtl/>
        </w:rPr>
        <w:t>ارتبط</w:t>
      </w:r>
      <w:r w:rsidR="00F32B28">
        <w:rPr>
          <w:rtl/>
        </w:rPr>
        <w:t xml:space="preserve"> </w:t>
      </w:r>
      <w:r w:rsidR="00F32B28" w:rsidRPr="00F32B28">
        <w:rPr>
          <w:rtl/>
        </w:rPr>
        <w:t>بالمتغيرات</w:t>
      </w:r>
      <w:r w:rsidR="00F32B28">
        <w:rPr>
          <w:rtl/>
        </w:rPr>
        <w:t xml:space="preserve"> </w:t>
      </w:r>
      <w:r w:rsidR="00F32B28" w:rsidRPr="00F32B28">
        <w:rPr>
          <w:rtl/>
        </w:rPr>
        <w:t>والمتطلبات</w:t>
      </w:r>
      <w:r w:rsidR="00F32B28">
        <w:rPr>
          <w:rtl/>
        </w:rPr>
        <w:t xml:space="preserve"> </w:t>
      </w:r>
      <w:r w:rsidR="00F32B28" w:rsidRPr="00F32B28">
        <w:rPr>
          <w:rtl/>
        </w:rPr>
        <w:t>الإعلامية</w:t>
      </w:r>
      <w:r w:rsidR="00F32B28">
        <w:rPr>
          <w:rtl/>
        </w:rPr>
        <w:t xml:space="preserve"> </w:t>
      </w:r>
      <w:r w:rsidR="00F32B28" w:rsidRPr="00F32B28">
        <w:rPr>
          <w:rtl/>
        </w:rPr>
        <w:t>أكثر</w:t>
      </w:r>
      <w:r w:rsidR="00F32B28">
        <w:rPr>
          <w:rtl/>
        </w:rPr>
        <w:t xml:space="preserve"> </w:t>
      </w:r>
      <w:r w:rsidR="00F32B28" w:rsidRPr="00F32B28">
        <w:rPr>
          <w:rtl/>
        </w:rPr>
        <w:t>مما</w:t>
      </w:r>
      <w:r w:rsidR="00F32B28">
        <w:rPr>
          <w:rtl/>
        </w:rPr>
        <w:t xml:space="preserve"> </w:t>
      </w:r>
      <w:r w:rsidR="00F32B28" w:rsidRPr="00F32B28">
        <w:rPr>
          <w:rtl/>
        </w:rPr>
        <w:t>ارتبط</w:t>
      </w:r>
      <w:r w:rsidR="00F32B28">
        <w:rPr>
          <w:rtl/>
        </w:rPr>
        <w:t xml:space="preserve"> </w:t>
      </w:r>
      <w:r w:rsidR="00F32B28" w:rsidRPr="00F32B28">
        <w:rPr>
          <w:rtl/>
        </w:rPr>
        <w:t>بالمتغيرات</w:t>
      </w:r>
      <w:r w:rsidR="00F32B28">
        <w:rPr>
          <w:rtl/>
        </w:rPr>
        <w:t xml:space="preserve"> </w:t>
      </w:r>
      <w:r w:rsidR="00F32B28" w:rsidRPr="00F32B28">
        <w:rPr>
          <w:rtl/>
        </w:rPr>
        <w:t>الجوهرية</w:t>
      </w:r>
      <w:r w:rsidR="00F32B28">
        <w:rPr>
          <w:rtl/>
        </w:rPr>
        <w:t xml:space="preserve"> </w:t>
      </w:r>
      <w:r w:rsidR="00F32B28" w:rsidRPr="00F32B28">
        <w:rPr>
          <w:rtl/>
        </w:rPr>
        <w:t>على</w:t>
      </w:r>
      <w:r w:rsidR="00F32B28">
        <w:rPr>
          <w:rtl/>
        </w:rPr>
        <w:t xml:space="preserve"> </w:t>
      </w:r>
      <w:r w:rsidR="00F32B28" w:rsidRPr="00F32B28">
        <w:rPr>
          <w:rtl/>
        </w:rPr>
        <w:t>صعيد</w:t>
      </w:r>
      <w:r w:rsidR="00F32B28">
        <w:rPr>
          <w:rtl/>
        </w:rPr>
        <w:t xml:space="preserve"> </w:t>
      </w:r>
      <w:r w:rsidR="00F32B28" w:rsidRPr="00F32B28">
        <w:rPr>
          <w:rtl/>
        </w:rPr>
        <w:t>أوضاع</w:t>
      </w:r>
      <w:r w:rsidR="00F32B28">
        <w:rPr>
          <w:rtl/>
        </w:rPr>
        <w:t xml:space="preserve"> </w:t>
      </w:r>
      <w:r w:rsidR="00F32B28" w:rsidRPr="00F32B28">
        <w:rPr>
          <w:rtl/>
        </w:rPr>
        <w:t>المرأة؛</w:t>
      </w:r>
      <w:r w:rsidR="00F32B28">
        <w:rPr>
          <w:rtl/>
        </w:rPr>
        <w:t xml:space="preserve"> </w:t>
      </w:r>
      <w:r w:rsidR="00F32B28" w:rsidRPr="00F32B28">
        <w:rPr>
          <w:rtl/>
        </w:rPr>
        <w:t>حيث</w:t>
      </w:r>
      <w:r w:rsidR="00F32B28">
        <w:rPr>
          <w:rtl/>
        </w:rPr>
        <w:t xml:space="preserve"> </w:t>
      </w:r>
      <w:r w:rsidR="00F32B28" w:rsidRPr="00F32B28">
        <w:rPr>
          <w:rtl/>
        </w:rPr>
        <w:t>لا</w:t>
      </w:r>
      <w:r w:rsidR="00F32B28">
        <w:rPr>
          <w:rtl/>
        </w:rPr>
        <w:t xml:space="preserve"> </w:t>
      </w:r>
      <w:r w:rsidR="00F32B28" w:rsidRPr="00F32B28">
        <w:rPr>
          <w:rtl/>
        </w:rPr>
        <w:t>يزال،</w:t>
      </w:r>
      <w:r w:rsidR="00F32B28">
        <w:rPr>
          <w:rtl/>
        </w:rPr>
        <w:t xml:space="preserve"> </w:t>
      </w:r>
      <w:r w:rsidR="00F32B28" w:rsidRPr="00F32B28">
        <w:rPr>
          <w:rtl/>
        </w:rPr>
        <w:t>ومن</w:t>
      </w:r>
      <w:r w:rsidR="00F32B28">
        <w:rPr>
          <w:rtl/>
        </w:rPr>
        <w:t xml:space="preserve"> </w:t>
      </w:r>
      <w:r w:rsidR="00F32B28" w:rsidRPr="00F32B28">
        <w:rPr>
          <w:rtl/>
        </w:rPr>
        <w:t>حيث</w:t>
      </w:r>
      <w:r w:rsidR="00F32B28">
        <w:rPr>
          <w:rtl/>
        </w:rPr>
        <w:t xml:space="preserve"> </w:t>
      </w:r>
      <w:r w:rsidR="00F32B28" w:rsidRPr="00F32B28">
        <w:rPr>
          <w:rtl/>
        </w:rPr>
        <w:t>المضمون،</w:t>
      </w:r>
      <w:r w:rsidR="00F32B28">
        <w:rPr>
          <w:rtl/>
        </w:rPr>
        <w:t xml:space="preserve"> </w:t>
      </w:r>
      <w:r w:rsidR="00F32B28" w:rsidRPr="00F32B28">
        <w:rPr>
          <w:rtl/>
        </w:rPr>
        <w:t>يستخدم</w:t>
      </w:r>
      <w:r w:rsidR="00F32B28">
        <w:rPr>
          <w:rtl/>
        </w:rPr>
        <w:t xml:space="preserve"> </w:t>
      </w:r>
      <w:r w:rsidR="00F32B28" w:rsidRPr="00F32B28">
        <w:rPr>
          <w:rtl/>
        </w:rPr>
        <w:t>المرأة</w:t>
      </w:r>
      <w:r w:rsidR="00F32B28">
        <w:rPr>
          <w:rtl/>
        </w:rPr>
        <w:t xml:space="preserve"> </w:t>
      </w:r>
      <w:r w:rsidR="00F32B28" w:rsidRPr="00F32B28">
        <w:rPr>
          <w:rtl/>
        </w:rPr>
        <w:t>كمادة</w:t>
      </w:r>
      <w:r w:rsidR="00F32B28">
        <w:rPr>
          <w:rtl/>
        </w:rPr>
        <w:t xml:space="preserve"> </w:t>
      </w:r>
      <w:r w:rsidR="00F32B28" w:rsidRPr="00F32B28">
        <w:rPr>
          <w:rtl/>
        </w:rPr>
        <w:t>إعلانية</w:t>
      </w:r>
      <w:r w:rsidR="00F32B28">
        <w:rPr>
          <w:rtl/>
        </w:rPr>
        <w:t xml:space="preserve"> </w:t>
      </w:r>
      <w:r w:rsidR="00F32B28" w:rsidRPr="00F32B28">
        <w:rPr>
          <w:rtl/>
        </w:rPr>
        <w:t>أو</w:t>
      </w:r>
      <w:r w:rsidR="008974F6">
        <w:rPr>
          <w:rFonts w:hint="cs"/>
          <w:rtl/>
        </w:rPr>
        <w:t> </w:t>
      </w:r>
      <w:r w:rsidR="00F32B28" w:rsidRPr="00F32B28">
        <w:rPr>
          <w:rtl/>
        </w:rPr>
        <w:t>كمستهلك</w:t>
      </w:r>
      <w:r w:rsidR="00F32B28">
        <w:rPr>
          <w:rtl/>
        </w:rPr>
        <w:t xml:space="preserve"> </w:t>
      </w:r>
      <w:r w:rsidR="00F32B28" w:rsidRPr="00F32B28">
        <w:rPr>
          <w:rtl/>
        </w:rPr>
        <w:t>أساس.</w:t>
      </w:r>
    </w:p>
    <w:p w:rsidR="00BB7DEC" w:rsidRPr="00BB7DEC" w:rsidRDefault="00BB7DEC" w:rsidP="00BB7DEC">
      <w:pPr>
        <w:pStyle w:val="SingleTxt"/>
        <w:spacing w:after="0" w:line="120" w:lineRule="exact"/>
        <w:rPr>
          <w:sz w:val="10"/>
          <w:rtl/>
          <w:lang w:bidi="ar-SY"/>
        </w:rPr>
      </w:pPr>
    </w:p>
    <w:p w:rsidR="00F32B28" w:rsidRPr="00F32B28" w:rsidRDefault="00BB7DEC" w:rsidP="00BB7DE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SY"/>
        </w:rPr>
      </w:pPr>
      <w:r>
        <w:rPr>
          <w:rFonts w:hint="cs"/>
          <w:rtl/>
          <w:lang w:bidi="ar-SY"/>
        </w:rPr>
        <w:tab/>
      </w:r>
      <w:r>
        <w:rPr>
          <w:rFonts w:hint="cs"/>
          <w:rtl/>
          <w:lang w:bidi="ar-SY"/>
        </w:rPr>
        <w:tab/>
      </w:r>
      <w:r w:rsidR="00F32B28" w:rsidRPr="00F32B28">
        <w:rPr>
          <w:rtl/>
          <w:lang w:bidi="ar-SY"/>
        </w:rPr>
        <w:t>التحديات</w:t>
      </w:r>
    </w:p>
    <w:p w:rsidR="00F32B28" w:rsidRPr="00F32B28" w:rsidRDefault="00B73D93" w:rsidP="008E4514">
      <w:pPr>
        <w:pStyle w:val="SingleTxt"/>
      </w:pPr>
      <w:r>
        <w:rPr>
          <w:rFonts w:hint="cs"/>
          <w:rtl/>
        </w:rPr>
        <w:t>79 -</w:t>
      </w:r>
      <w:r>
        <w:rPr>
          <w:rFonts w:hint="cs"/>
          <w:rtl/>
        </w:rPr>
        <w:tab/>
      </w:r>
      <w:r w:rsidR="00F32B28" w:rsidRPr="00F32B28">
        <w:rPr>
          <w:rtl/>
        </w:rPr>
        <w:t>إن</w:t>
      </w:r>
      <w:r w:rsidR="00F32B28">
        <w:rPr>
          <w:rtl/>
        </w:rPr>
        <w:t xml:space="preserve"> </w:t>
      </w:r>
      <w:r w:rsidR="00F32B28" w:rsidRPr="00F32B28">
        <w:rPr>
          <w:rtl/>
        </w:rPr>
        <w:t>معظم</w:t>
      </w:r>
      <w:r w:rsidR="00F32B28">
        <w:rPr>
          <w:rtl/>
        </w:rPr>
        <w:t xml:space="preserve"> </w:t>
      </w:r>
      <w:r w:rsidR="00F32B28" w:rsidRPr="00F32B28">
        <w:rPr>
          <w:rtl/>
        </w:rPr>
        <w:t>الممارسات</w:t>
      </w:r>
      <w:r w:rsidR="00F32B28">
        <w:rPr>
          <w:rtl/>
        </w:rPr>
        <w:t xml:space="preserve"> </w:t>
      </w:r>
      <w:r w:rsidR="00F32B28" w:rsidRPr="00F32B28">
        <w:rPr>
          <w:rtl/>
        </w:rPr>
        <w:t>التمييزية</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بوصفها</w:t>
      </w:r>
      <w:r w:rsidR="00F32B28">
        <w:rPr>
          <w:rtl/>
        </w:rPr>
        <w:t xml:space="preserve"> </w:t>
      </w:r>
      <w:r w:rsidR="001D253C">
        <w:rPr>
          <w:rFonts w:hint="cs"/>
          <w:rtl/>
        </w:rPr>
        <w:t>”</w:t>
      </w:r>
      <w:r w:rsidR="00F32B28" w:rsidRPr="00F32B28">
        <w:rPr>
          <w:rtl/>
        </w:rPr>
        <w:t>امرأة</w:t>
      </w:r>
      <w:r w:rsidR="001D253C">
        <w:rPr>
          <w:rFonts w:hint="cs"/>
          <w:rtl/>
        </w:rPr>
        <w:t>“</w:t>
      </w:r>
      <w:r w:rsidR="00F32B28">
        <w:rPr>
          <w:rtl/>
        </w:rPr>
        <w:t xml:space="preserve"> </w:t>
      </w:r>
      <w:r w:rsidR="00F32B28" w:rsidRPr="00F32B28">
        <w:rPr>
          <w:rtl/>
        </w:rPr>
        <w:t>هي</w:t>
      </w:r>
      <w:r w:rsidR="00F32B28">
        <w:rPr>
          <w:rtl/>
        </w:rPr>
        <w:t xml:space="preserve"> </w:t>
      </w:r>
      <w:r w:rsidR="00F32B28" w:rsidRPr="00F32B28">
        <w:rPr>
          <w:rtl/>
        </w:rPr>
        <w:t>ممارسات</w:t>
      </w:r>
      <w:r w:rsidR="00F32B28">
        <w:rPr>
          <w:rtl/>
        </w:rPr>
        <w:t xml:space="preserve"> </w:t>
      </w:r>
      <w:r w:rsidR="00F32B28" w:rsidRPr="00F32B28">
        <w:rPr>
          <w:rtl/>
        </w:rPr>
        <w:t>غير</w:t>
      </w:r>
      <w:r w:rsidR="00F32B28">
        <w:rPr>
          <w:rtl/>
        </w:rPr>
        <w:t xml:space="preserve"> </w:t>
      </w:r>
      <w:r w:rsidR="00F32B28" w:rsidRPr="00F32B28">
        <w:rPr>
          <w:rtl/>
        </w:rPr>
        <w:t>مرئية،</w:t>
      </w:r>
      <w:r w:rsidR="00F32B28">
        <w:rPr>
          <w:rtl/>
        </w:rPr>
        <w:t xml:space="preserve"> </w:t>
      </w:r>
      <w:r w:rsidR="00F32B28" w:rsidRPr="00F32B28">
        <w:rPr>
          <w:rtl/>
        </w:rPr>
        <w:t>وذلك</w:t>
      </w:r>
      <w:r w:rsidR="00F32B28">
        <w:rPr>
          <w:rtl/>
        </w:rPr>
        <w:t xml:space="preserve"> </w:t>
      </w:r>
      <w:r w:rsidR="00F32B28" w:rsidRPr="00F32B28">
        <w:rPr>
          <w:rtl/>
        </w:rPr>
        <w:t>بسبب</w:t>
      </w:r>
      <w:r w:rsidR="00F32B28">
        <w:rPr>
          <w:rtl/>
        </w:rPr>
        <w:t xml:space="preserve"> </w:t>
      </w:r>
      <w:r w:rsidR="00F32B28" w:rsidRPr="00F32B28">
        <w:rPr>
          <w:rtl/>
        </w:rPr>
        <w:t>تجذرها</w:t>
      </w:r>
      <w:r w:rsidR="00F32B28">
        <w:rPr>
          <w:rtl/>
        </w:rPr>
        <w:t xml:space="preserve"> </w:t>
      </w:r>
      <w:r w:rsidR="00F32B28" w:rsidRPr="00F32B28">
        <w:rPr>
          <w:rtl/>
        </w:rPr>
        <w:t>في</w:t>
      </w:r>
      <w:r w:rsidR="00F32B28">
        <w:rPr>
          <w:rtl/>
        </w:rPr>
        <w:t xml:space="preserve"> </w:t>
      </w:r>
      <w:r w:rsidR="00F32B28" w:rsidRPr="00F32B28">
        <w:rPr>
          <w:rtl/>
        </w:rPr>
        <w:t>العادات</w:t>
      </w:r>
      <w:r w:rsidR="00F32B28">
        <w:rPr>
          <w:rtl/>
        </w:rPr>
        <w:t xml:space="preserve"> </w:t>
      </w:r>
      <w:r w:rsidR="00F32B28" w:rsidRPr="00F32B28">
        <w:rPr>
          <w:rtl/>
        </w:rPr>
        <w:t>والأعراف</w:t>
      </w:r>
      <w:r w:rsidR="00F32B28">
        <w:rPr>
          <w:rtl/>
        </w:rPr>
        <w:t xml:space="preserve"> </w:t>
      </w:r>
      <w:r w:rsidR="00F32B28" w:rsidRPr="00F32B28">
        <w:rPr>
          <w:rFonts w:hint="cs"/>
          <w:rtl/>
        </w:rPr>
        <w:t>الاجتماعية</w:t>
      </w:r>
      <w:r w:rsidR="00F32B28" w:rsidRPr="00F32B28">
        <w:rPr>
          <w:rtl/>
        </w:rPr>
        <w:t>،</w:t>
      </w:r>
      <w:r w:rsidR="00F32B28">
        <w:rPr>
          <w:rtl/>
        </w:rPr>
        <w:t xml:space="preserve"> </w:t>
      </w:r>
      <w:r w:rsidR="00F32B28" w:rsidRPr="00F32B28">
        <w:rPr>
          <w:rtl/>
        </w:rPr>
        <w:t>الأمر</w:t>
      </w:r>
      <w:r w:rsidR="00F32B28">
        <w:rPr>
          <w:rtl/>
        </w:rPr>
        <w:t xml:space="preserve"> </w:t>
      </w:r>
      <w:r w:rsidR="00F32B28" w:rsidRPr="00F32B28">
        <w:rPr>
          <w:rtl/>
        </w:rPr>
        <w:t>الذي</w:t>
      </w:r>
      <w:r w:rsidR="00F32B28">
        <w:rPr>
          <w:rtl/>
        </w:rPr>
        <w:t xml:space="preserve"> </w:t>
      </w:r>
      <w:r w:rsidR="00F32B28" w:rsidRPr="00F32B28">
        <w:rPr>
          <w:rtl/>
        </w:rPr>
        <w:t>يجعلها</w:t>
      </w:r>
      <w:r w:rsidR="00F32B28">
        <w:rPr>
          <w:rtl/>
        </w:rPr>
        <w:t xml:space="preserve"> </w:t>
      </w:r>
      <w:r w:rsidR="00F32B28" w:rsidRPr="00F32B28">
        <w:rPr>
          <w:rtl/>
        </w:rPr>
        <w:t>تبدو</w:t>
      </w:r>
      <w:r w:rsidR="00F32B28">
        <w:rPr>
          <w:rtl/>
        </w:rPr>
        <w:t xml:space="preserve"> </w:t>
      </w:r>
      <w:r w:rsidR="00F32B28" w:rsidRPr="00F32B28">
        <w:rPr>
          <w:rtl/>
        </w:rPr>
        <w:t>وكأنها</w:t>
      </w:r>
      <w:r w:rsidR="00F32B28">
        <w:rPr>
          <w:rtl/>
        </w:rPr>
        <w:t xml:space="preserve"> </w:t>
      </w:r>
      <w:r w:rsidR="00F32B28" w:rsidRPr="00F32B28">
        <w:rPr>
          <w:rtl/>
        </w:rPr>
        <w:t>فطرية</w:t>
      </w:r>
      <w:r w:rsidR="00F32B28">
        <w:rPr>
          <w:rtl/>
        </w:rPr>
        <w:t xml:space="preserve"> </w:t>
      </w:r>
      <w:r w:rsidR="00F32B28" w:rsidRPr="00F32B28">
        <w:rPr>
          <w:rtl/>
        </w:rPr>
        <w:t>وطبيعية،</w:t>
      </w:r>
      <w:r w:rsidR="00F32B28">
        <w:rPr>
          <w:rtl/>
        </w:rPr>
        <w:t xml:space="preserve"> </w:t>
      </w:r>
      <w:r w:rsidR="00F32B28" w:rsidRPr="00F32B28">
        <w:rPr>
          <w:rtl/>
        </w:rPr>
        <w:t>ما</w:t>
      </w:r>
      <w:r w:rsidR="008E4514">
        <w:rPr>
          <w:rFonts w:hint="cs"/>
          <w:rtl/>
        </w:rPr>
        <w:t> </w:t>
      </w:r>
      <w:r w:rsidR="00F32B28" w:rsidRPr="00F32B28">
        <w:rPr>
          <w:rtl/>
        </w:rPr>
        <w:t>يعقد</w:t>
      </w:r>
      <w:r w:rsidR="00F32B28">
        <w:rPr>
          <w:rtl/>
        </w:rPr>
        <w:t xml:space="preserve"> </w:t>
      </w:r>
      <w:r w:rsidR="00F32B28" w:rsidRPr="00F32B28">
        <w:rPr>
          <w:rtl/>
        </w:rPr>
        <w:t>عملية</w:t>
      </w:r>
      <w:r w:rsidR="00F32B28">
        <w:rPr>
          <w:rtl/>
        </w:rPr>
        <w:t xml:space="preserve"> </w:t>
      </w:r>
      <w:r w:rsidR="00F32B28" w:rsidRPr="00F32B28">
        <w:rPr>
          <w:rtl/>
        </w:rPr>
        <w:t>إبرازها</w:t>
      </w:r>
      <w:r w:rsidR="00F32B28">
        <w:rPr>
          <w:rtl/>
        </w:rPr>
        <w:t xml:space="preserve"> </w:t>
      </w:r>
      <w:r w:rsidR="00F32B28" w:rsidRPr="00F32B28">
        <w:rPr>
          <w:rtl/>
        </w:rPr>
        <w:t>ووصفها</w:t>
      </w:r>
      <w:r w:rsidR="00F32B28">
        <w:rPr>
          <w:rtl/>
        </w:rPr>
        <w:t xml:space="preserve"> </w:t>
      </w:r>
      <w:r w:rsidR="00F32B28" w:rsidRPr="00F32B28">
        <w:rPr>
          <w:rtl/>
        </w:rPr>
        <w:t>بأنها</w:t>
      </w:r>
      <w:r w:rsidR="00F32B28">
        <w:rPr>
          <w:rtl/>
        </w:rPr>
        <w:t xml:space="preserve"> </w:t>
      </w:r>
      <w:r w:rsidR="00F32B28" w:rsidRPr="00F32B28">
        <w:rPr>
          <w:rtl/>
        </w:rPr>
        <w:t>تمييزية</w:t>
      </w:r>
      <w:r w:rsidR="00F32B28">
        <w:rPr>
          <w:rtl/>
        </w:rPr>
        <w:t xml:space="preserve"> </w:t>
      </w:r>
      <w:r w:rsidR="00F32B28" w:rsidRPr="00F32B28">
        <w:rPr>
          <w:rtl/>
        </w:rPr>
        <w:t>والعمل</w:t>
      </w:r>
      <w:r w:rsidR="00F32B28">
        <w:rPr>
          <w:rtl/>
        </w:rPr>
        <w:t xml:space="preserve"> </w:t>
      </w:r>
      <w:r w:rsidR="00F32B28" w:rsidRPr="00F32B28">
        <w:rPr>
          <w:rtl/>
        </w:rPr>
        <w:t>على</w:t>
      </w:r>
      <w:r w:rsidR="00F32B28">
        <w:rPr>
          <w:rtl/>
        </w:rPr>
        <w:t xml:space="preserve"> </w:t>
      </w:r>
      <w:r w:rsidR="00F32B28" w:rsidRPr="00F32B28">
        <w:rPr>
          <w:rtl/>
        </w:rPr>
        <w:t>تغييرها</w:t>
      </w:r>
      <w:r w:rsidR="00F32B28">
        <w:rPr>
          <w:rtl/>
        </w:rPr>
        <w:t xml:space="preserve"> </w:t>
      </w:r>
      <w:r w:rsidR="00F32B28" w:rsidRPr="00F32B28">
        <w:rPr>
          <w:rtl/>
        </w:rPr>
        <w:t>وإلغائها.</w:t>
      </w:r>
      <w:r w:rsidR="00102AE6">
        <w:rPr>
          <w:rFonts w:hint="cs"/>
          <w:rtl/>
        </w:rPr>
        <w:t xml:space="preserve"> </w:t>
      </w:r>
      <w:r w:rsidR="008E4514">
        <w:rPr>
          <w:rFonts w:hint="cs"/>
          <w:rtl/>
        </w:rPr>
        <w:t xml:space="preserve">وتتخذ </w:t>
      </w:r>
      <w:r w:rsidR="00F32B28" w:rsidRPr="00F32B28">
        <w:rPr>
          <w:rtl/>
        </w:rPr>
        <w:t>الجهود</w:t>
      </w:r>
      <w:r w:rsidR="00F32B28">
        <w:rPr>
          <w:rtl/>
        </w:rPr>
        <w:t xml:space="preserve"> </w:t>
      </w:r>
      <w:r w:rsidR="00F32B28" w:rsidRPr="00F32B28">
        <w:rPr>
          <w:rtl/>
        </w:rPr>
        <w:t>المقابلة</w:t>
      </w:r>
      <w:r>
        <w:rPr>
          <w:rFonts w:hint="cs"/>
          <w:rtl/>
        </w:rPr>
        <w:t xml:space="preserve"> </w:t>
      </w:r>
      <w:r w:rsidR="00F32B28" w:rsidRPr="00F32B28">
        <w:rPr>
          <w:rtl/>
        </w:rPr>
        <w:t>التي</w:t>
      </w:r>
      <w:r w:rsidR="00F32B28">
        <w:rPr>
          <w:rtl/>
        </w:rPr>
        <w:t xml:space="preserve"> </w:t>
      </w:r>
      <w:r w:rsidR="00F32B28" w:rsidRPr="00F32B28">
        <w:rPr>
          <w:rtl/>
        </w:rPr>
        <w:t>تكرس</w:t>
      </w:r>
      <w:r w:rsidR="00F32B28">
        <w:rPr>
          <w:rtl/>
        </w:rPr>
        <w:t xml:space="preserve"> </w:t>
      </w:r>
      <w:r w:rsidR="00F32B28" w:rsidRPr="00F32B28">
        <w:rPr>
          <w:rtl/>
        </w:rPr>
        <w:t>الأدوار</w:t>
      </w:r>
      <w:r w:rsidR="00F32B28">
        <w:rPr>
          <w:rtl/>
        </w:rPr>
        <w:t xml:space="preserve"> </w:t>
      </w:r>
      <w:r w:rsidR="00F32B28" w:rsidRPr="00F32B28">
        <w:rPr>
          <w:rtl/>
        </w:rPr>
        <w:t>النمطية</w:t>
      </w:r>
      <w:r w:rsidR="00F32B28">
        <w:rPr>
          <w:rtl/>
        </w:rPr>
        <w:t xml:space="preserve"> </w:t>
      </w:r>
      <w:r w:rsidR="00F32B28" w:rsidRPr="00F32B28">
        <w:rPr>
          <w:rtl/>
        </w:rPr>
        <w:t>التقليدية</w:t>
      </w:r>
      <w:r w:rsidR="00F32B28">
        <w:rPr>
          <w:rtl/>
        </w:rPr>
        <w:t xml:space="preserve"> </w:t>
      </w:r>
      <w:r w:rsidR="00F32B28" w:rsidRPr="00F32B28">
        <w:rPr>
          <w:rtl/>
        </w:rPr>
        <w:t>وتثبت</w:t>
      </w:r>
      <w:r w:rsidR="00F32B28">
        <w:rPr>
          <w:rtl/>
        </w:rPr>
        <w:t xml:space="preserve"> </w:t>
      </w:r>
      <w:r w:rsidR="00F32B28" w:rsidRPr="00F32B28">
        <w:rPr>
          <w:rtl/>
        </w:rPr>
        <w:t>ثقافة</w:t>
      </w:r>
      <w:r w:rsidR="00F32B28">
        <w:rPr>
          <w:rtl/>
        </w:rPr>
        <w:t xml:space="preserve"> </w:t>
      </w:r>
      <w:r w:rsidR="00F32B28" w:rsidRPr="00F32B28">
        <w:rPr>
          <w:rtl/>
        </w:rPr>
        <w:t>تبعية</w:t>
      </w:r>
      <w:r w:rsidR="00F32B28">
        <w:rPr>
          <w:rtl/>
        </w:rPr>
        <w:t xml:space="preserve"> </w:t>
      </w:r>
      <w:r w:rsidR="00F32B28" w:rsidRPr="00F32B28">
        <w:rPr>
          <w:rtl/>
        </w:rPr>
        <w:t>المرأة</w:t>
      </w:r>
      <w:r w:rsidR="00F32B28">
        <w:rPr>
          <w:rtl/>
        </w:rPr>
        <w:t xml:space="preserve"> </w:t>
      </w:r>
      <w:r w:rsidR="00F32B28" w:rsidRPr="00F32B28">
        <w:rPr>
          <w:rtl/>
        </w:rPr>
        <w:t>أشكالاً</w:t>
      </w:r>
      <w:r w:rsidR="00F32B28">
        <w:rPr>
          <w:rtl/>
        </w:rPr>
        <w:t xml:space="preserve"> </w:t>
      </w:r>
      <w:r w:rsidR="00F32B28" w:rsidRPr="00F32B28">
        <w:rPr>
          <w:rtl/>
        </w:rPr>
        <w:t>متعددة</w:t>
      </w:r>
      <w:r w:rsidR="008E4514">
        <w:rPr>
          <w:rFonts w:hint="cs"/>
          <w:rtl/>
        </w:rPr>
        <w:t>،</w:t>
      </w:r>
      <w:r w:rsidR="00F32B28">
        <w:rPr>
          <w:rtl/>
        </w:rPr>
        <w:t xml:space="preserve"> </w:t>
      </w:r>
      <w:r w:rsidR="00F32B28" w:rsidRPr="00F32B28">
        <w:rPr>
          <w:rtl/>
        </w:rPr>
        <w:t>كالدعوة</w:t>
      </w:r>
      <w:r w:rsidR="00F32B28">
        <w:rPr>
          <w:rtl/>
        </w:rPr>
        <w:t xml:space="preserve"> </w:t>
      </w:r>
      <w:r w:rsidR="00F32B28" w:rsidRPr="00F32B28">
        <w:rPr>
          <w:rtl/>
        </w:rPr>
        <w:t>إلى</w:t>
      </w:r>
      <w:r w:rsidR="00F32B28">
        <w:rPr>
          <w:rtl/>
        </w:rPr>
        <w:t xml:space="preserve"> </w:t>
      </w:r>
      <w:r w:rsidR="00F32B28" w:rsidRPr="00F32B28">
        <w:rPr>
          <w:rtl/>
        </w:rPr>
        <w:t>التمسك</w:t>
      </w:r>
      <w:r w:rsidR="00F32B28">
        <w:rPr>
          <w:rtl/>
        </w:rPr>
        <w:t xml:space="preserve"> </w:t>
      </w:r>
      <w:r w:rsidR="00F32B28" w:rsidRPr="00F32B28">
        <w:rPr>
          <w:rtl/>
        </w:rPr>
        <w:t>ببعض</w:t>
      </w:r>
      <w:r w:rsidR="00F32B28">
        <w:rPr>
          <w:rtl/>
        </w:rPr>
        <w:t xml:space="preserve"> </w:t>
      </w:r>
      <w:r w:rsidR="00F32B28" w:rsidRPr="00F32B28">
        <w:rPr>
          <w:rtl/>
        </w:rPr>
        <w:t>تفسيرات</w:t>
      </w:r>
      <w:r>
        <w:rPr>
          <w:rFonts w:hint="cs"/>
          <w:rtl/>
        </w:rPr>
        <w:t xml:space="preserve"> </w:t>
      </w:r>
      <w:r w:rsidR="00F32B28" w:rsidRPr="00F32B28">
        <w:rPr>
          <w:rtl/>
        </w:rPr>
        <w:t>التعاليم</w:t>
      </w:r>
      <w:r w:rsidR="00F32B28">
        <w:rPr>
          <w:rtl/>
        </w:rPr>
        <w:t xml:space="preserve"> </w:t>
      </w:r>
      <w:r w:rsidR="00F32B28" w:rsidRPr="00F32B28">
        <w:rPr>
          <w:rtl/>
        </w:rPr>
        <w:t>الدينية،</w:t>
      </w:r>
      <w:r w:rsidR="00F32B28">
        <w:rPr>
          <w:rtl/>
        </w:rPr>
        <w:t xml:space="preserve"> </w:t>
      </w:r>
      <w:r w:rsidR="00F32B28" w:rsidRPr="00F32B28">
        <w:rPr>
          <w:rtl/>
        </w:rPr>
        <w:t>أو</w:t>
      </w:r>
      <w:r w:rsidR="00F32B28">
        <w:rPr>
          <w:rtl/>
        </w:rPr>
        <w:t xml:space="preserve"> </w:t>
      </w:r>
      <w:r w:rsidR="00F32B28" w:rsidRPr="00F32B28">
        <w:rPr>
          <w:rtl/>
        </w:rPr>
        <w:t>المناداة</w:t>
      </w:r>
      <w:r w:rsidR="00F32B28">
        <w:rPr>
          <w:rtl/>
        </w:rPr>
        <w:t xml:space="preserve"> </w:t>
      </w:r>
      <w:r w:rsidR="00F32B28" w:rsidRPr="00F32B28">
        <w:rPr>
          <w:rtl/>
        </w:rPr>
        <w:t>برفض</w:t>
      </w:r>
      <w:r w:rsidR="00F32B28">
        <w:rPr>
          <w:rtl/>
        </w:rPr>
        <w:t xml:space="preserve"> </w:t>
      </w:r>
      <w:r w:rsidR="00F32B28" w:rsidRPr="00F32B28">
        <w:rPr>
          <w:rtl/>
        </w:rPr>
        <w:t>المطالبات</w:t>
      </w:r>
      <w:r w:rsidR="00F32B28">
        <w:rPr>
          <w:rtl/>
        </w:rPr>
        <w:t xml:space="preserve"> </w:t>
      </w:r>
      <w:r w:rsidR="00F32B28" w:rsidRPr="00F32B28">
        <w:rPr>
          <w:rtl/>
        </w:rPr>
        <w:t>المتعلقة</w:t>
      </w:r>
      <w:r w:rsidR="00F32B28">
        <w:rPr>
          <w:rtl/>
        </w:rPr>
        <w:t xml:space="preserve"> </w:t>
      </w:r>
      <w:r w:rsidR="00F32B28" w:rsidRPr="00F32B28">
        <w:rPr>
          <w:rtl/>
        </w:rPr>
        <w:t>بإلغاء</w:t>
      </w:r>
      <w:r w:rsidR="00F32B28">
        <w:rPr>
          <w:rtl/>
        </w:rPr>
        <w:t xml:space="preserve"> </w:t>
      </w:r>
      <w:r w:rsidR="00F32B28" w:rsidRPr="00F32B28">
        <w:rPr>
          <w:rtl/>
        </w:rPr>
        <w:t>التمييز</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باعتبارها</w:t>
      </w:r>
      <w:r w:rsidR="00F32B28">
        <w:rPr>
          <w:rtl/>
        </w:rPr>
        <w:t xml:space="preserve"> </w:t>
      </w:r>
      <w:r w:rsidR="00F32B28" w:rsidRPr="00F32B28">
        <w:rPr>
          <w:rtl/>
        </w:rPr>
        <w:t>نابعة</w:t>
      </w:r>
      <w:r w:rsidR="00F32B28">
        <w:rPr>
          <w:rtl/>
        </w:rPr>
        <w:t xml:space="preserve"> </w:t>
      </w:r>
      <w:r w:rsidR="00F32B28" w:rsidRPr="00F32B28">
        <w:rPr>
          <w:rtl/>
        </w:rPr>
        <w:t>من</w:t>
      </w:r>
      <w:r w:rsidR="00F32B28">
        <w:rPr>
          <w:rtl/>
        </w:rPr>
        <w:t xml:space="preserve"> </w:t>
      </w:r>
      <w:r w:rsidR="00F32B28" w:rsidRPr="00F32B28">
        <w:rPr>
          <w:rtl/>
        </w:rPr>
        <w:t>ثقافة</w:t>
      </w:r>
      <w:r w:rsidR="00F32B28">
        <w:rPr>
          <w:rtl/>
        </w:rPr>
        <w:t xml:space="preserve"> </w:t>
      </w:r>
      <w:r w:rsidR="00F32B28" w:rsidRPr="00F32B28">
        <w:rPr>
          <w:rtl/>
        </w:rPr>
        <w:t>غربية</w:t>
      </w:r>
      <w:r w:rsidR="00F32B28">
        <w:rPr>
          <w:rtl/>
        </w:rPr>
        <w:t xml:space="preserve"> </w:t>
      </w:r>
      <w:r w:rsidR="00F32B28" w:rsidRPr="00F32B28">
        <w:rPr>
          <w:rtl/>
        </w:rPr>
        <w:t>تخالف</w:t>
      </w:r>
      <w:r w:rsidR="00F32B28">
        <w:rPr>
          <w:rtl/>
        </w:rPr>
        <w:t xml:space="preserve"> </w:t>
      </w:r>
      <w:r w:rsidR="00F32B28" w:rsidRPr="00F32B28">
        <w:rPr>
          <w:rtl/>
        </w:rPr>
        <w:t>العادات</w:t>
      </w:r>
      <w:r w:rsidR="00F32B28">
        <w:rPr>
          <w:rtl/>
        </w:rPr>
        <w:t xml:space="preserve"> </w:t>
      </w:r>
      <w:r w:rsidR="00F32B28" w:rsidRPr="00F32B28">
        <w:rPr>
          <w:rtl/>
        </w:rPr>
        <w:t>والتقاليد،</w:t>
      </w:r>
      <w:r w:rsidR="00F32B28">
        <w:rPr>
          <w:rtl/>
        </w:rPr>
        <w:t xml:space="preserve"> </w:t>
      </w:r>
      <w:r w:rsidR="00F32B28" w:rsidRPr="00F32B28">
        <w:rPr>
          <w:rtl/>
        </w:rPr>
        <w:t>أو</w:t>
      </w:r>
      <w:r w:rsidR="00F32B28">
        <w:rPr>
          <w:rtl/>
        </w:rPr>
        <w:t xml:space="preserve"> </w:t>
      </w:r>
      <w:r w:rsidR="00F32B28" w:rsidRPr="00F32B28">
        <w:rPr>
          <w:rtl/>
        </w:rPr>
        <w:t>التقليل</w:t>
      </w:r>
      <w:r w:rsidR="00F32B28">
        <w:rPr>
          <w:rtl/>
        </w:rPr>
        <w:t xml:space="preserve"> </w:t>
      </w:r>
      <w:r w:rsidR="00F32B28" w:rsidRPr="00F32B28">
        <w:rPr>
          <w:rtl/>
        </w:rPr>
        <w:t>من</w:t>
      </w:r>
      <w:r w:rsidR="00F32B28">
        <w:rPr>
          <w:rtl/>
        </w:rPr>
        <w:t xml:space="preserve"> </w:t>
      </w:r>
      <w:r w:rsidR="00F32B28" w:rsidRPr="00F32B28">
        <w:rPr>
          <w:rtl/>
        </w:rPr>
        <w:t>أهمية</w:t>
      </w:r>
      <w:r w:rsidR="00F32B28">
        <w:rPr>
          <w:rtl/>
        </w:rPr>
        <w:t xml:space="preserve"> </w:t>
      </w:r>
      <w:r w:rsidR="00F32B28" w:rsidRPr="00F32B28">
        <w:rPr>
          <w:rtl/>
        </w:rPr>
        <w:t>العمل</w:t>
      </w:r>
      <w:r w:rsidR="00F32B28">
        <w:rPr>
          <w:rtl/>
        </w:rPr>
        <w:t xml:space="preserve"> </w:t>
      </w:r>
      <w:r w:rsidR="00F32B28" w:rsidRPr="00F32B28">
        <w:rPr>
          <w:rtl/>
        </w:rPr>
        <w:t>على</w:t>
      </w:r>
      <w:r w:rsidR="00F32B28">
        <w:rPr>
          <w:rtl/>
        </w:rPr>
        <w:t xml:space="preserve"> </w:t>
      </w:r>
      <w:r w:rsidR="00F32B28" w:rsidRPr="00F32B28">
        <w:rPr>
          <w:rtl/>
        </w:rPr>
        <w:t>إنصاف</w:t>
      </w:r>
      <w:r w:rsidR="00F32B28">
        <w:rPr>
          <w:rtl/>
        </w:rPr>
        <w:t xml:space="preserve"> </w:t>
      </w:r>
      <w:r w:rsidR="00F32B28" w:rsidRPr="00F32B28">
        <w:rPr>
          <w:rtl/>
        </w:rPr>
        <w:t>المرأة</w:t>
      </w:r>
      <w:r w:rsidR="00F32B28">
        <w:rPr>
          <w:rtl/>
        </w:rPr>
        <w:t xml:space="preserve"> </w:t>
      </w:r>
      <w:r w:rsidR="00F32B28" w:rsidRPr="00F32B28">
        <w:rPr>
          <w:rtl/>
        </w:rPr>
        <w:t>وضرورة</w:t>
      </w:r>
      <w:r w:rsidR="00F32B28">
        <w:rPr>
          <w:rtl/>
        </w:rPr>
        <w:t xml:space="preserve"> </w:t>
      </w:r>
      <w:r w:rsidR="00F32B28" w:rsidRPr="00F32B28">
        <w:rPr>
          <w:rtl/>
        </w:rPr>
        <w:t>تأجيله</w:t>
      </w:r>
      <w:r w:rsidR="00F32B28">
        <w:rPr>
          <w:rtl/>
        </w:rPr>
        <w:t xml:space="preserve"> </w:t>
      </w:r>
      <w:r w:rsidR="00F32B28" w:rsidRPr="00F32B28">
        <w:rPr>
          <w:rtl/>
        </w:rPr>
        <w:t>بدعوى</w:t>
      </w:r>
      <w:r w:rsidR="00F32B28">
        <w:rPr>
          <w:rtl/>
        </w:rPr>
        <w:t xml:space="preserve"> </w:t>
      </w:r>
      <w:r w:rsidR="00F32B28" w:rsidRPr="00F32B28">
        <w:rPr>
          <w:rtl/>
        </w:rPr>
        <w:t>أنه</w:t>
      </w:r>
      <w:r w:rsidR="00F32B28">
        <w:rPr>
          <w:rtl/>
        </w:rPr>
        <w:t xml:space="preserve"> </w:t>
      </w:r>
      <w:r w:rsidR="00F32B28" w:rsidRPr="00F32B28">
        <w:rPr>
          <w:rtl/>
        </w:rPr>
        <w:t>ليس</w:t>
      </w:r>
      <w:r w:rsidR="00F32B28">
        <w:rPr>
          <w:rtl/>
        </w:rPr>
        <w:t xml:space="preserve"> </w:t>
      </w:r>
      <w:r w:rsidR="00F32B28" w:rsidRPr="00F32B28">
        <w:rPr>
          <w:rtl/>
        </w:rPr>
        <w:t>أولوية</w:t>
      </w:r>
      <w:r w:rsidR="00F32B28">
        <w:rPr>
          <w:rtl/>
        </w:rPr>
        <w:t xml:space="preserve"> </w:t>
      </w:r>
      <w:r w:rsidR="00F32B28" w:rsidRPr="00F32B28">
        <w:rPr>
          <w:rtl/>
        </w:rPr>
        <w:t>في</w:t>
      </w:r>
      <w:r w:rsidR="00F32B28">
        <w:rPr>
          <w:rtl/>
        </w:rPr>
        <w:t xml:space="preserve"> </w:t>
      </w:r>
      <w:r w:rsidR="00F32B28" w:rsidRPr="00F32B28">
        <w:rPr>
          <w:rtl/>
        </w:rPr>
        <w:t>المرحلة</w:t>
      </w:r>
      <w:r w:rsidR="00F32B28">
        <w:rPr>
          <w:rtl/>
        </w:rPr>
        <w:t xml:space="preserve"> </w:t>
      </w:r>
      <w:r w:rsidR="00F32B28" w:rsidRPr="00F32B28">
        <w:rPr>
          <w:rtl/>
        </w:rPr>
        <w:t>الحالية</w:t>
      </w:r>
      <w:r w:rsidR="00F32B28">
        <w:rPr>
          <w:rtl/>
        </w:rPr>
        <w:t xml:space="preserve"> </w:t>
      </w:r>
      <w:r w:rsidR="00F32B28" w:rsidRPr="00F32B28">
        <w:rPr>
          <w:rtl/>
        </w:rPr>
        <w:t>التي</w:t>
      </w:r>
      <w:r w:rsidR="00F32B28">
        <w:rPr>
          <w:rtl/>
        </w:rPr>
        <w:t xml:space="preserve"> </w:t>
      </w:r>
      <w:r w:rsidR="00F32B28" w:rsidRPr="00F32B28">
        <w:rPr>
          <w:rtl/>
        </w:rPr>
        <w:t>تتكاتف</w:t>
      </w:r>
      <w:r w:rsidR="00F32B28">
        <w:rPr>
          <w:rtl/>
        </w:rPr>
        <w:t xml:space="preserve"> </w:t>
      </w:r>
      <w:r w:rsidR="00F32B28" w:rsidRPr="00F32B28">
        <w:rPr>
          <w:rtl/>
        </w:rPr>
        <w:t>فيها</w:t>
      </w:r>
      <w:r w:rsidR="00F32B28">
        <w:rPr>
          <w:rtl/>
        </w:rPr>
        <w:t xml:space="preserve"> </w:t>
      </w:r>
      <w:r w:rsidR="00F32B28" w:rsidRPr="00F32B28">
        <w:rPr>
          <w:rtl/>
        </w:rPr>
        <w:t>الجهود</w:t>
      </w:r>
      <w:r w:rsidR="00F32B28">
        <w:rPr>
          <w:rtl/>
        </w:rPr>
        <w:t xml:space="preserve"> </w:t>
      </w:r>
      <w:r w:rsidR="00F32B28" w:rsidRPr="00F32B28">
        <w:rPr>
          <w:rtl/>
        </w:rPr>
        <w:t>لإنهاء</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وتحقيق</w:t>
      </w:r>
      <w:r w:rsidR="00F32B28">
        <w:rPr>
          <w:rtl/>
        </w:rPr>
        <w:t xml:space="preserve"> </w:t>
      </w:r>
      <w:r w:rsidR="00F32B28" w:rsidRPr="00F32B28">
        <w:rPr>
          <w:rtl/>
        </w:rPr>
        <w:t>استقلال</w:t>
      </w:r>
      <w:r w:rsidR="00F32B28">
        <w:rPr>
          <w:rtl/>
        </w:rPr>
        <w:t xml:space="preserve"> </w:t>
      </w:r>
      <w:r w:rsidR="00F32B28" w:rsidRPr="00F32B28">
        <w:rPr>
          <w:rtl/>
        </w:rPr>
        <w:t>الدولة</w:t>
      </w:r>
      <w:r w:rsidR="00F32B28">
        <w:rPr>
          <w:rtl/>
        </w:rPr>
        <w:t xml:space="preserve"> </w:t>
      </w:r>
      <w:r w:rsidR="00F32B28" w:rsidRPr="00F32B28">
        <w:rPr>
          <w:rtl/>
        </w:rPr>
        <w:t>الفلسطينية.</w:t>
      </w:r>
      <w:r w:rsidR="00F32B28">
        <w:rPr>
          <w:rtl/>
        </w:rPr>
        <w:t xml:space="preserve"> </w:t>
      </w:r>
    </w:p>
    <w:p w:rsidR="00B73D93" w:rsidRPr="00B73D93" w:rsidRDefault="00B73D93" w:rsidP="00B73D93">
      <w:pPr>
        <w:pStyle w:val="SingleTxt"/>
        <w:spacing w:after="0" w:line="120" w:lineRule="exact"/>
        <w:rPr>
          <w:b/>
          <w:bCs/>
          <w:sz w:val="10"/>
          <w:rtl/>
        </w:rPr>
      </w:pPr>
    </w:p>
    <w:p w:rsidR="00F32B28" w:rsidRPr="00F32B28" w:rsidRDefault="00F32B28" w:rsidP="00F32B28">
      <w:pPr>
        <w:pStyle w:val="SingleTxt"/>
        <w:rPr>
          <w:b/>
          <w:bCs/>
        </w:rPr>
      </w:pPr>
      <w:r w:rsidRPr="00F32B28">
        <w:rPr>
          <w:b/>
          <w:bCs/>
          <w:rtl/>
        </w:rPr>
        <w:t>العنف</w:t>
      </w:r>
      <w:r>
        <w:rPr>
          <w:b/>
          <w:bCs/>
          <w:rtl/>
        </w:rPr>
        <w:t xml:space="preserve"> </w:t>
      </w:r>
      <w:r w:rsidRPr="00F32B28">
        <w:rPr>
          <w:b/>
          <w:bCs/>
          <w:rtl/>
        </w:rPr>
        <w:t>ضد</w:t>
      </w:r>
      <w:r>
        <w:rPr>
          <w:b/>
          <w:bCs/>
          <w:rtl/>
        </w:rPr>
        <w:t xml:space="preserve"> </w:t>
      </w:r>
      <w:r w:rsidRPr="00F32B28">
        <w:rPr>
          <w:b/>
          <w:bCs/>
          <w:rtl/>
        </w:rPr>
        <w:t>النساء</w:t>
      </w:r>
    </w:p>
    <w:p w:rsidR="00F32B28" w:rsidRPr="00F32B28" w:rsidRDefault="004B33D7" w:rsidP="00B73D93">
      <w:pPr>
        <w:pStyle w:val="SingleTxt"/>
      </w:pPr>
      <w:r>
        <w:rPr>
          <w:rFonts w:hint="cs"/>
          <w:rtl/>
        </w:rPr>
        <w:t>80 -</w:t>
      </w:r>
      <w:r>
        <w:rPr>
          <w:rFonts w:hint="cs"/>
          <w:rtl/>
        </w:rPr>
        <w:tab/>
      </w:r>
      <w:r w:rsidR="00F32B28" w:rsidRPr="00F32B28">
        <w:rPr>
          <w:rtl/>
        </w:rPr>
        <w:t>تتعرض</w:t>
      </w:r>
      <w:r w:rsidR="00F32B28">
        <w:rPr>
          <w:rtl/>
        </w:rPr>
        <w:t xml:space="preserve"> </w:t>
      </w:r>
      <w:r w:rsidR="00F32B28" w:rsidRPr="00F32B28">
        <w:rPr>
          <w:rtl/>
        </w:rPr>
        <w:t>النساء</w:t>
      </w:r>
      <w:r w:rsidR="00F32B28">
        <w:rPr>
          <w:rtl/>
        </w:rPr>
        <w:t xml:space="preserve"> </w:t>
      </w:r>
      <w:r w:rsidR="00F32B28" w:rsidRPr="00F32B28">
        <w:rPr>
          <w:rtl/>
        </w:rPr>
        <w:t>الفلسطينيات</w:t>
      </w:r>
      <w:r w:rsidR="00F32B28">
        <w:rPr>
          <w:rtl/>
        </w:rPr>
        <w:t xml:space="preserve"> </w:t>
      </w:r>
      <w:r w:rsidR="00F32B28" w:rsidRPr="00F32B28">
        <w:rPr>
          <w:rtl/>
        </w:rPr>
        <w:t>إلى</w:t>
      </w:r>
      <w:r w:rsidR="00F32B28">
        <w:rPr>
          <w:rtl/>
        </w:rPr>
        <w:t xml:space="preserve"> </w:t>
      </w:r>
      <w:r w:rsidR="00F32B28" w:rsidRPr="00F32B28">
        <w:rPr>
          <w:rtl/>
        </w:rPr>
        <w:t>عنف</w:t>
      </w:r>
      <w:r w:rsidR="00F32B28">
        <w:rPr>
          <w:rtl/>
        </w:rPr>
        <w:t xml:space="preserve"> </w:t>
      </w:r>
      <w:r w:rsidR="00F32B28" w:rsidRPr="00F32B28">
        <w:rPr>
          <w:rtl/>
        </w:rPr>
        <w:t>مضاعف</w:t>
      </w:r>
      <w:r w:rsidR="00F32B28">
        <w:rPr>
          <w:rtl/>
        </w:rPr>
        <w:t xml:space="preserve"> </w:t>
      </w:r>
      <w:r w:rsidR="00F32B28" w:rsidRPr="00F32B28">
        <w:rPr>
          <w:rtl/>
        </w:rPr>
        <w:t>في</w:t>
      </w:r>
      <w:r w:rsidR="00F32B28">
        <w:rPr>
          <w:rtl/>
        </w:rPr>
        <w:t xml:space="preserve"> </w:t>
      </w:r>
      <w:r w:rsidR="00F32B28" w:rsidRPr="00F32B28">
        <w:rPr>
          <w:rtl/>
        </w:rPr>
        <w:t>ظل</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الذي</w:t>
      </w:r>
      <w:r w:rsidR="00F32B28">
        <w:rPr>
          <w:rtl/>
        </w:rPr>
        <w:t xml:space="preserve"> </w:t>
      </w:r>
      <w:r w:rsidR="00F32B28" w:rsidRPr="00F32B28">
        <w:rPr>
          <w:rtl/>
        </w:rPr>
        <w:t>يهدد</w:t>
      </w:r>
      <w:r w:rsidR="00F32B28">
        <w:rPr>
          <w:rtl/>
        </w:rPr>
        <w:t xml:space="preserve"> </w:t>
      </w:r>
      <w:r w:rsidR="00F32B28" w:rsidRPr="00F32B28">
        <w:rPr>
          <w:rtl/>
        </w:rPr>
        <w:t>أمنهن</w:t>
      </w:r>
      <w:r w:rsidR="00F32B28">
        <w:rPr>
          <w:rtl/>
        </w:rPr>
        <w:t xml:space="preserve"> </w:t>
      </w:r>
      <w:r w:rsidR="00F32B28" w:rsidRPr="00F32B28">
        <w:rPr>
          <w:rtl/>
        </w:rPr>
        <w:t>الإنساني</w:t>
      </w:r>
      <w:r w:rsidR="00F32B28">
        <w:rPr>
          <w:rtl/>
        </w:rPr>
        <w:t xml:space="preserve"> </w:t>
      </w:r>
      <w:r w:rsidR="00F32B28" w:rsidRPr="00F32B28">
        <w:rPr>
          <w:rtl/>
        </w:rPr>
        <w:t>ويساهم</w:t>
      </w:r>
      <w:r w:rsidR="00F32B28">
        <w:rPr>
          <w:rtl/>
        </w:rPr>
        <w:t xml:space="preserve"> </w:t>
      </w:r>
      <w:r w:rsidR="00F32B28" w:rsidRPr="00F32B28">
        <w:rPr>
          <w:rtl/>
        </w:rPr>
        <w:t>في</w:t>
      </w:r>
      <w:r w:rsidR="00F32B28">
        <w:rPr>
          <w:rtl/>
        </w:rPr>
        <w:t xml:space="preserve"> </w:t>
      </w:r>
      <w:r w:rsidR="00F32B28" w:rsidRPr="00F32B28">
        <w:rPr>
          <w:rtl/>
        </w:rPr>
        <w:t>زيادة</w:t>
      </w:r>
      <w:r w:rsidR="00F32B28">
        <w:rPr>
          <w:rtl/>
        </w:rPr>
        <w:t xml:space="preserve"> </w:t>
      </w:r>
      <w:r w:rsidR="00F32B28" w:rsidRPr="00F32B28">
        <w:rPr>
          <w:rtl/>
        </w:rPr>
        <w:t>حرمانهن</w:t>
      </w:r>
      <w:r w:rsidR="00F32B28">
        <w:rPr>
          <w:rtl/>
        </w:rPr>
        <w:t xml:space="preserve"> </w:t>
      </w:r>
      <w:r w:rsidR="00F32B28" w:rsidRPr="00F32B28">
        <w:rPr>
          <w:rtl/>
        </w:rPr>
        <w:t>من</w:t>
      </w:r>
      <w:r w:rsidR="00F32B28">
        <w:rPr>
          <w:rtl/>
        </w:rPr>
        <w:t xml:space="preserve"> </w:t>
      </w:r>
      <w:r w:rsidR="00F32B28" w:rsidRPr="00F32B28">
        <w:rPr>
          <w:rtl/>
        </w:rPr>
        <w:t>حقوقهن</w:t>
      </w:r>
      <w:r w:rsidR="00F32B28">
        <w:rPr>
          <w:rtl/>
        </w:rPr>
        <w:t xml:space="preserve"> </w:t>
      </w:r>
      <w:r w:rsidR="00F32B28" w:rsidRPr="00F32B28">
        <w:rPr>
          <w:rtl/>
        </w:rPr>
        <w:t>الأساسية.</w:t>
      </w:r>
      <w:r w:rsidR="00F32B28">
        <w:rPr>
          <w:rtl/>
        </w:rPr>
        <w:t xml:space="preserve"> </w:t>
      </w:r>
      <w:r w:rsidR="00F32B28" w:rsidRPr="00F32B28">
        <w:rPr>
          <w:rtl/>
        </w:rPr>
        <w:t>وفي</w:t>
      </w:r>
      <w:r w:rsidR="00F32B28">
        <w:rPr>
          <w:rtl/>
        </w:rPr>
        <w:t xml:space="preserve"> </w:t>
      </w:r>
      <w:r w:rsidR="00F32B28" w:rsidRPr="00F32B28">
        <w:rPr>
          <w:rtl/>
        </w:rPr>
        <w:t>مسح</w:t>
      </w:r>
      <w:r w:rsidR="00F32B28">
        <w:rPr>
          <w:rtl/>
        </w:rPr>
        <w:t xml:space="preserve"> </w:t>
      </w:r>
      <w:r w:rsidR="00F32B28" w:rsidRPr="00F32B28">
        <w:rPr>
          <w:rtl/>
        </w:rPr>
        <w:t>للعنف</w:t>
      </w:r>
      <w:r w:rsidR="00F32B28">
        <w:rPr>
          <w:rtl/>
        </w:rPr>
        <w:t xml:space="preserve"> </w:t>
      </w:r>
      <w:r w:rsidR="00F32B28" w:rsidRPr="00F32B28">
        <w:rPr>
          <w:rtl/>
        </w:rPr>
        <w:t>في</w:t>
      </w:r>
      <w:r w:rsidR="00F32B28">
        <w:rPr>
          <w:rtl/>
        </w:rPr>
        <w:t xml:space="preserve"> </w:t>
      </w:r>
      <w:r w:rsidR="00F32B28" w:rsidRPr="00F32B28">
        <w:rPr>
          <w:rtl/>
        </w:rPr>
        <w:t>المجتمع</w:t>
      </w:r>
      <w:r w:rsidR="00F32B28">
        <w:rPr>
          <w:rtl/>
        </w:rPr>
        <w:t xml:space="preserve"> </w:t>
      </w:r>
      <w:r w:rsidR="00F32B28" w:rsidRPr="00F32B28">
        <w:rPr>
          <w:rtl/>
        </w:rPr>
        <w:t>الفلسطيني</w:t>
      </w:r>
      <w:r w:rsidR="00F32B28">
        <w:rPr>
          <w:rtl/>
        </w:rPr>
        <w:t xml:space="preserve"> </w:t>
      </w:r>
      <w:r w:rsidR="00F32B28" w:rsidRPr="00F32B28">
        <w:rPr>
          <w:rtl/>
        </w:rPr>
        <w:t>لعام</w:t>
      </w:r>
      <w:r w:rsidR="00F32B28">
        <w:rPr>
          <w:rtl/>
        </w:rPr>
        <w:t xml:space="preserve"> </w:t>
      </w:r>
      <w:r w:rsidR="00F32B28" w:rsidRPr="00F32B28">
        <w:rPr>
          <w:rtl/>
        </w:rPr>
        <w:t>2011،</w:t>
      </w:r>
      <w:r w:rsidR="00F32B28">
        <w:rPr>
          <w:rtl/>
        </w:rPr>
        <w:t xml:space="preserve"> </w:t>
      </w:r>
      <w:r w:rsidR="00F32B28" w:rsidRPr="00F32B28">
        <w:rPr>
          <w:rtl/>
        </w:rPr>
        <w:t>أشارت</w:t>
      </w:r>
      <w:r w:rsidR="00F32B28">
        <w:rPr>
          <w:rtl/>
        </w:rPr>
        <w:t xml:space="preserve"> </w:t>
      </w:r>
      <w:r w:rsidR="00F32B28" w:rsidRPr="00F32B28">
        <w:rPr>
          <w:rtl/>
        </w:rPr>
        <w:t>النتائج</w:t>
      </w:r>
      <w:r w:rsidR="00F32B28">
        <w:rPr>
          <w:rtl/>
        </w:rPr>
        <w:t xml:space="preserve"> </w:t>
      </w:r>
      <w:r w:rsidR="00F32B28" w:rsidRPr="00F32B28">
        <w:rPr>
          <w:rtl/>
        </w:rPr>
        <w:t>بأن</w:t>
      </w:r>
      <w:r w:rsidR="00F32B28">
        <w:rPr>
          <w:rtl/>
        </w:rPr>
        <w:t xml:space="preserve"> </w:t>
      </w:r>
      <w:r w:rsidR="00F32B28" w:rsidRPr="00F32B28">
        <w:rPr>
          <w:rtl/>
        </w:rPr>
        <w:t>حوالي</w:t>
      </w:r>
      <w:r w:rsidR="00F32B28">
        <w:rPr>
          <w:rtl/>
        </w:rPr>
        <w:t xml:space="preserve"> </w:t>
      </w:r>
      <w:r w:rsidR="00F32B28" w:rsidRPr="00F32B28">
        <w:rPr>
          <w:rtl/>
        </w:rPr>
        <w:t>نصف</w:t>
      </w:r>
      <w:r w:rsidR="00F32B28">
        <w:rPr>
          <w:rtl/>
        </w:rPr>
        <w:t xml:space="preserve"> </w:t>
      </w:r>
      <w:r w:rsidR="00F32B28" w:rsidRPr="00F32B28">
        <w:rPr>
          <w:rtl/>
        </w:rPr>
        <w:t>الأسر</w:t>
      </w:r>
      <w:r w:rsidR="00F32B28">
        <w:rPr>
          <w:rtl/>
        </w:rPr>
        <w:t xml:space="preserve"> </w:t>
      </w:r>
      <w:r w:rsidR="00F32B28" w:rsidRPr="00F32B28">
        <w:rPr>
          <w:rtl/>
        </w:rPr>
        <w:t>الفلسطينية</w:t>
      </w:r>
      <w:r w:rsidR="00F32B28">
        <w:rPr>
          <w:rtl/>
        </w:rPr>
        <w:t xml:space="preserve"> </w:t>
      </w:r>
      <w:r w:rsidR="00F32B28" w:rsidRPr="00F32B28">
        <w:rPr>
          <w:rtl/>
        </w:rPr>
        <w:t>تعرضت</w:t>
      </w:r>
      <w:r w:rsidR="00F32B28">
        <w:rPr>
          <w:rtl/>
        </w:rPr>
        <w:t xml:space="preserve"> </w:t>
      </w:r>
      <w:r w:rsidR="00F32B28" w:rsidRPr="00F32B28">
        <w:rPr>
          <w:rtl/>
        </w:rPr>
        <w:t>لعنف</w:t>
      </w:r>
      <w:r w:rsidR="00F32B28">
        <w:rPr>
          <w:rtl/>
        </w:rPr>
        <w:t xml:space="preserve"> </w:t>
      </w:r>
      <w:r w:rsidR="00F32B28" w:rsidRPr="00F32B28">
        <w:rPr>
          <w:rtl/>
        </w:rPr>
        <w:t>بشكل</w:t>
      </w:r>
      <w:r w:rsidR="00F32B28">
        <w:rPr>
          <w:rtl/>
        </w:rPr>
        <w:t xml:space="preserve"> </w:t>
      </w:r>
      <w:r w:rsidR="00F32B28" w:rsidRPr="00F32B28">
        <w:rPr>
          <w:rtl/>
        </w:rPr>
        <w:t>مباشر</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قوات</w:t>
      </w:r>
      <w:r w:rsidR="00F32B28">
        <w:rPr>
          <w:rtl/>
        </w:rPr>
        <w:t xml:space="preserve"> </w:t>
      </w:r>
      <w:r w:rsidR="00F32B28" w:rsidRPr="00F32B28">
        <w:rPr>
          <w:rtl/>
        </w:rPr>
        <w:t>الاحتلال</w:t>
      </w:r>
      <w:r w:rsidR="00F32B28">
        <w:rPr>
          <w:rtl/>
        </w:rPr>
        <w:t xml:space="preserve"> </w:t>
      </w:r>
      <w:r w:rsidR="00F32B28" w:rsidRPr="00F32B28">
        <w:rPr>
          <w:rtl/>
        </w:rPr>
        <w:t>و</w:t>
      </w:r>
      <w:r w:rsidR="00F32B28" w:rsidRPr="00F32B28">
        <w:rPr>
          <w:rtl/>
          <w:lang w:bidi="ar-LB"/>
        </w:rPr>
        <w:t>مليشيات</w:t>
      </w:r>
      <w:r w:rsidR="00F32B28">
        <w:rPr>
          <w:rtl/>
          <w:lang w:bidi="ar-LB"/>
        </w:rPr>
        <w:t xml:space="preserve"> </w:t>
      </w:r>
      <w:r w:rsidR="00F32B28" w:rsidRPr="00F32B28">
        <w:rPr>
          <w:rtl/>
          <w:lang w:bidi="ar-LB"/>
        </w:rPr>
        <w:t>المستوطنين</w:t>
      </w:r>
      <w:r w:rsidR="00F32B28">
        <w:rPr>
          <w:rtl/>
          <w:lang w:bidi="ar-LB"/>
        </w:rPr>
        <w:t xml:space="preserve"> </w:t>
      </w:r>
      <w:r w:rsidR="00F32B28" w:rsidRPr="00F32B28">
        <w:rPr>
          <w:rtl/>
          <w:lang w:bidi="ar-LB"/>
        </w:rPr>
        <w:t>الإرهابية</w:t>
      </w:r>
      <w:r w:rsidR="00F32B28">
        <w:rPr>
          <w:rtl/>
        </w:rPr>
        <w:t xml:space="preserve"> </w:t>
      </w:r>
      <w:r w:rsidR="00F32B28" w:rsidRPr="00F32B28">
        <w:rPr>
          <w:rtl/>
        </w:rPr>
        <w:t>خلال</w:t>
      </w:r>
      <w:r w:rsidR="00F32B28">
        <w:rPr>
          <w:rtl/>
        </w:rPr>
        <w:t xml:space="preserve"> </w:t>
      </w:r>
      <w:r w:rsidR="00F32B28" w:rsidRPr="00F32B28">
        <w:rPr>
          <w:rtl/>
        </w:rPr>
        <w:t>الفترة</w:t>
      </w:r>
      <w:r w:rsidR="00F32B28">
        <w:rPr>
          <w:rtl/>
        </w:rPr>
        <w:t xml:space="preserve"> </w:t>
      </w:r>
      <w:r w:rsidR="00F32B28" w:rsidRPr="00F32B28">
        <w:rPr>
          <w:rtl/>
        </w:rPr>
        <w:t>التي</w:t>
      </w:r>
      <w:r w:rsidR="00F32B28">
        <w:rPr>
          <w:rtl/>
        </w:rPr>
        <w:t xml:space="preserve"> </w:t>
      </w:r>
      <w:r w:rsidR="00F32B28" w:rsidRPr="00F32B28">
        <w:rPr>
          <w:rtl/>
        </w:rPr>
        <w:t>سبقت</w:t>
      </w:r>
      <w:r w:rsidR="00F32B28">
        <w:rPr>
          <w:rtl/>
        </w:rPr>
        <w:t xml:space="preserve"> </w:t>
      </w:r>
      <w:r w:rsidR="00F32B28" w:rsidRPr="00F32B28">
        <w:rPr>
          <w:rtl/>
        </w:rPr>
        <w:t>تموز/</w:t>
      </w:r>
      <w:r w:rsidR="00846FB9">
        <w:rPr>
          <w:rFonts w:hint="cs"/>
          <w:rtl/>
        </w:rPr>
        <w:t xml:space="preserve">يوليه </w:t>
      </w:r>
      <w:r w:rsidR="00F32B28" w:rsidRPr="00F32B28">
        <w:rPr>
          <w:rtl/>
        </w:rPr>
        <w:t>2011،</w:t>
      </w:r>
      <w:r w:rsidR="00F32B28">
        <w:rPr>
          <w:rtl/>
        </w:rPr>
        <w:t xml:space="preserve"> </w:t>
      </w:r>
      <w:r w:rsidR="00F32B28" w:rsidRPr="00F32B28">
        <w:rPr>
          <w:rtl/>
        </w:rPr>
        <w:t>وكانت</w:t>
      </w:r>
      <w:r w:rsidR="00F32B28">
        <w:rPr>
          <w:rtl/>
        </w:rPr>
        <w:t xml:space="preserve"> </w:t>
      </w:r>
      <w:r w:rsidR="00F32B28" w:rsidRPr="00F32B28">
        <w:rPr>
          <w:rtl/>
        </w:rPr>
        <w:t>الأعلى</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49.1</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مقابل</w:t>
      </w:r>
      <w:r w:rsidR="00F32B28">
        <w:rPr>
          <w:rtl/>
        </w:rPr>
        <w:t xml:space="preserve"> </w:t>
      </w:r>
      <w:r w:rsidR="00F32B28" w:rsidRPr="00F32B28">
        <w:rPr>
          <w:rtl/>
        </w:rPr>
        <w:t>47.8</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p>
    <w:p w:rsidR="00F32B28" w:rsidRPr="00F32B28" w:rsidRDefault="004B33D7" w:rsidP="00B73D93">
      <w:pPr>
        <w:pStyle w:val="SingleTxt"/>
        <w:rPr>
          <w:rtl/>
        </w:rPr>
      </w:pPr>
      <w:r>
        <w:rPr>
          <w:rFonts w:hint="cs"/>
          <w:rtl/>
        </w:rPr>
        <w:t>81 -</w:t>
      </w:r>
      <w:r>
        <w:rPr>
          <w:rFonts w:hint="cs"/>
          <w:rtl/>
        </w:rPr>
        <w:tab/>
      </w:r>
      <w:r w:rsidR="00F32B28" w:rsidRPr="00F32B28">
        <w:rPr>
          <w:rtl/>
        </w:rPr>
        <w:t>يساهم</w:t>
      </w:r>
      <w:r w:rsidR="00F32B28">
        <w:rPr>
          <w:rtl/>
        </w:rPr>
        <w:t xml:space="preserve"> </w:t>
      </w:r>
      <w:r w:rsidR="00F32B28" w:rsidRPr="00F32B28">
        <w:rPr>
          <w:rtl/>
        </w:rPr>
        <w:t>الاحتلال</w:t>
      </w:r>
      <w:r w:rsidR="00F32B28">
        <w:rPr>
          <w:rtl/>
        </w:rPr>
        <w:t xml:space="preserve"> </w:t>
      </w:r>
      <w:r w:rsidR="00F32B28" w:rsidRPr="00F32B28">
        <w:rPr>
          <w:rtl/>
        </w:rPr>
        <w:t>في</w:t>
      </w:r>
      <w:r w:rsidR="00F32B28">
        <w:rPr>
          <w:rtl/>
        </w:rPr>
        <w:t xml:space="preserve"> </w:t>
      </w:r>
      <w:r w:rsidR="00F32B28" w:rsidRPr="00F32B28">
        <w:rPr>
          <w:rtl/>
        </w:rPr>
        <w:t>زيادة</w:t>
      </w:r>
      <w:r w:rsidR="00F32B28">
        <w:rPr>
          <w:rtl/>
        </w:rPr>
        <w:t xml:space="preserve"> </w:t>
      </w:r>
      <w:r w:rsidR="00F32B28" w:rsidRPr="00F32B28">
        <w:rPr>
          <w:rtl/>
        </w:rPr>
        <w:t>العنف</w:t>
      </w:r>
      <w:r w:rsidR="00F32B28">
        <w:rPr>
          <w:rtl/>
        </w:rPr>
        <w:t xml:space="preserve"> </w:t>
      </w:r>
      <w:r w:rsidR="00F32B28" w:rsidRPr="00F32B28">
        <w:rPr>
          <w:rtl/>
        </w:rPr>
        <w:t>الممارس</w:t>
      </w:r>
      <w:r w:rsidR="00F32B28">
        <w:rPr>
          <w:rtl/>
        </w:rPr>
        <w:t xml:space="preserve"> </w:t>
      </w:r>
      <w:r w:rsidR="00F32B28" w:rsidRPr="00F32B28">
        <w:rPr>
          <w:rtl/>
        </w:rPr>
        <w:t>ضد</w:t>
      </w:r>
      <w:r w:rsidR="00F32B28">
        <w:rPr>
          <w:rtl/>
        </w:rPr>
        <w:t xml:space="preserve"> </w:t>
      </w:r>
      <w:r w:rsidR="00F32B28" w:rsidRPr="00F32B28">
        <w:rPr>
          <w:rtl/>
        </w:rPr>
        <w:t>النساء،</w:t>
      </w:r>
      <w:r w:rsidR="00F32B28">
        <w:rPr>
          <w:rtl/>
        </w:rPr>
        <w:t xml:space="preserve"> </w:t>
      </w:r>
      <w:r w:rsidR="00F32B28" w:rsidRPr="00F32B28">
        <w:rPr>
          <w:rtl/>
        </w:rPr>
        <w:t>ويعمل</w:t>
      </w:r>
      <w:r w:rsidR="00F32B28">
        <w:rPr>
          <w:rtl/>
        </w:rPr>
        <w:t xml:space="preserve"> </w:t>
      </w:r>
      <w:r w:rsidR="00F32B28" w:rsidRPr="00F32B28">
        <w:rPr>
          <w:rtl/>
        </w:rPr>
        <w:t>على</w:t>
      </w:r>
      <w:r w:rsidR="00F32B28">
        <w:rPr>
          <w:rtl/>
        </w:rPr>
        <w:t xml:space="preserve"> </w:t>
      </w:r>
      <w:r w:rsidR="00F32B28" w:rsidRPr="00F32B28">
        <w:rPr>
          <w:rtl/>
        </w:rPr>
        <w:t>تكريس</w:t>
      </w:r>
      <w:r w:rsidR="00F32B28">
        <w:rPr>
          <w:rtl/>
        </w:rPr>
        <w:t xml:space="preserve"> </w:t>
      </w:r>
      <w:r w:rsidR="00F32B28" w:rsidRPr="00F32B28">
        <w:rPr>
          <w:rtl/>
        </w:rPr>
        <w:t>مفهوم</w:t>
      </w:r>
      <w:r w:rsidR="00F32B28">
        <w:rPr>
          <w:rtl/>
        </w:rPr>
        <w:t xml:space="preserve"> </w:t>
      </w:r>
      <w:r w:rsidR="00F32B28" w:rsidRPr="00F32B28">
        <w:rPr>
          <w:rtl/>
        </w:rPr>
        <w:t>السيطرة</w:t>
      </w:r>
      <w:r w:rsidR="00F32B28">
        <w:rPr>
          <w:rtl/>
        </w:rPr>
        <w:t xml:space="preserve"> </w:t>
      </w:r>
      <w:r w:rsidR="00F32B28" w:rsidRPr="00F32B28">
        <w:rPr>
          <w:rtl/>
        </w:rPr>
        <w:t>الأبوية</w:t>
      </w:r>
      <w:r w:rsidR="00F32B28">
        <w:rPr>
          <w:rtl/>
        </w:rPr>
        <w:t xml:space="preserve"> </w:t>
      </w:r>
      <w:r w:rsidR="00F32B28" w:rsidRPr="00F32B28">
        <w:rPr>
          <w:rtl/>
        </w:rPr>
        <w:t>على</w:t>
      </w:r>
      <w:r w:rsidR="00F32B28">
        <w:rPr>
          <w:rtl/>
        </w:rPr>
        <w:t xml:space="preserve"> </w:t>
      </w:r>
      <w:r w:rsidR="00F32B28" w:rsidRPr="00F32B28">
        <w:rPr>
          <w:rtl/>
        </w:rPr>
        <w:t>النساء،</w:t>
      </w:r>
      <w:r w:rsidR="00F32B28">
        <w:rPr>
          <w:rtl/>
        </w:rPr>
        <w:t xml:space="preserve"> </w:t>
      </w:r>
      <w:r w:rsidR="00F32B28" w:rsidRPr="00F32B28">
        <w:rPr>
          <w:rtl/>
        </w:rPr>
        <w:t>ويؤثر</w:t>
      </w:r>
      <w:r w:rsidR="00F32B28">
        <w:rPr>
          <w:rtl/>
        </w:rPr>
        <w:t xml:space="preserve"> </w:t>
      </w:r>
      <w:r w:rsidR="00F32B28" w:rsidRPr="00F32B28">
        <w:rPr>
          <w:rtl/>
        </w:rPr>
        <w:t>في</w:t>
      </w:r>
      <w:r w:rsidR="00F32B28">
        <w:rPr>
          <w:rtl/>
        </w:rPr>
        <w:t xml:space="preserve"> </w:t>
      </w:r>
      <w:r w:rsidR="00F32B28" w:rsidRPr="00F32B28">
        <w:rPr>
          <w:rtl/>
        </w:rPr>
        <w:t>رفع</w:t>
      </w:r>
      <w:r w:rsidR="00F32B28">
        <w:rPr>
          <w:rtl/>
        </w:rPr>
        <w:t xml:space="preserve"> </w:t>
      </w:r>
      <w:r w:rsidR="00F32B28" w:rsidRPr="00F32B28">
        <w:rPr>
          <w:rtl/>
        </w:rPr>
        <w:t>وتيرة</w:t>
      </w:r>
      <w:r w:rsidR="00F32B28">
        <w:rPr>
          <w:rtl/>
        </w:rPr>
        <w:t xml:space="preserve"> </w:t>
      </w:r>
      <w:r w:rsidR="00F32B28" w:rsidRPr="00F32B28">
        <w:rPr>
          <w:rtl/>
        </w:rPr>
        <w:t>العنف</w:t>
      </w:r>
      <w:r w:rsidR="00F32B28">
        <w:rPr>
          <w:rtl/>
        </w:rPr>
        <w:t xml:space="preserve"> </w:t>
      </w:r>
      <w:r w:rsidR="00F32B28" w:rsidRPr="00F32B28">
        <w:rPr>
          <w:rtl/>
        </w:rPr>
        <w:t>الداخلي،</w:t>
      </w:r>
      <w:r w:rsidR="00F32B28">
        <w:rPr>
          <w:rtl/>
        </w:rPr>
        <w:t xml:space="preserve"> </w:t>
      </w:r>
      <w:r w:rsidR="00F32B28" w:rsidRPr="00F32B28">
        <w:rPr>
          <w:rtl/>
        </w:rPr>
        <w:t>وخاصة</w:t>
      </w:r>
      <w:r w:rsidR="00F32B28">
        <w:rPr>
          <w:rtl/>
        </w:rPr>
        <w:t xml:space="preserve"> </w:t>
      </w:r>
      <w:r w:rsidR="00F32B28" w:rsidRPr="00F32B28">
        <w:rPr>
          <w:rtl/>
        </w:rPr>
        <w:t>الأسري.</w:t>
      </w:r>
      <w:r w:rsidR="00F32B28">
        <w:rPr>
          <w:rtl/>
        </w:rPr>
        <w:t xml:space="preserve"> </w:t>
      </w:r>
      <w:r w:rsidR="00F32B28" w:rsidRPr="00F32B28">
        <w:rPr>
          <w:rtl/>
        </w:rPr>
        <w:t>إن</w:t>
      </w:r>
      <w:r w:rsidR="00F32B28">
        <w:rPr>
          <w:rtl/>
        </w:rPr>
        <w:t xml:space="preserve"> </w:t>
      </w:r>
      <w:r w:rsidR="00F32B28" w:rsidRPr="00F32B28">
        <w:rPr>
          <w:rtl/>
        </w:rPr>
        <w:t>أشكال</w:t>
      </w:r>
      <w:r w:rsidR="00F32B28">
        <w:rPr>
          <w:rtl/>
        </w:rPr>
        <w:t xml:space="preserve"> </w:t>
      </w:r>
      <w:r w:rsidR="00F32B28" w:rsidRPr="00F32B28">
        <w:rPr>
          <w:rtl/>
        </w:rPr>
        <w:t>العنف</w:t>
      </w:r>
      <w:r w:rsidR="00F32B28">
        <w:rPr>
          <w:rtl/>
        </w:rPr>
        <w:t xml:space="preserve"> </w:t>
      </w:r>
      <w:r w:rsidR="00F32B28" w:rsidRPr="00F32B28">
        <w:rPr>
          <w:rtl/>
        </w:rPr>
        <w:t>الأسري</w:t>
      </w:r>
      <w:r w:rsidR="00F32B28">
        <w:rPr>
          <w:rtl/>
        </w:rPr>
        <w:t xml:space="preserve"> </w:t>
      </w:r>
      <w:r w:rsidR="00F32B28" w:rsidRPr="00F32B28">
        <w:rPr>
          <w:rtl/>
        </w:rPr>
        <w:t>الممارس</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المجتمع</w:t>
      </w:r>
      <w:r w:rsidR="00F32B28">
        <w:rPr>
          <w:rtl/>
        </w:rPr>
        <w:t xml:space="preserve"> </w:t>
      </w:r>
      <w:r w:rsidR="00F32B28" w:rsidRPr="00F32B28">
        <w:rPr>
          <w:rtl/>
        </w:rPr>
        <w:t>الفلسطيني</w:t>
      </w:r>
      <w:r w:rsidR="00F32B28">
        <w:rPr>
          <w:rtl/>
        </w:rPr>
        <w:t xml:space="preserve"> </w:t>
      </w:r>
      <w:r w:rsidR="00F32B28" w:rsidRPr="00F32B28">
        <w:rPr>
          <w:rtl/>
        </w:rPr>
        <w:t>تتمثل</w:t>
      </w:r>
      <w:r w:rsidR="00F32B28">
        <w:rPr>
          <w:rtl/>
        </w:rPr>
        <w:t xml:space="preserve"> </w:t>
      </w:r>
      <w:r w:rsidR="00F32B28" w:rsidRPr="00F32B28">
        <w:rPr>
          <w:rtl/>
        </w:rPr>
        <w:t>إما</w:t>
      </w:r>
      <w:r w:rsidR="00F32B28">
        <w:rPr>
          <w:rtl/>
        </w:rPr>
        <w:t xml:space="preserve"> </w:t>
      </w:r>
      <w:r w:rsidR="00F32B28" w:rsidRPr="00F32B28">
        <w:rPr>
          <w:rtl/>
        </w:rPr>
        <w:t>بالإيذاء</w:t>
      </w:r>
      <w:r w:rsidR="00F32B28">
        <w:rPr>
          <w:rtl/>
        </w:rPr>
        <w:t xml:space="preserve"> </w:t>
      </w:r>
      <w:r w:rsidR="00F32B28" w:rsidRPr="00F32B28">
        <w:rPr>
          <w:rtl/>
        </w:rPr>
        <w:t>الجسدي</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الزوج</w:t>
      </w:r>
      <w:r w:rsidR="00F32B28">
        <w:rPr>
          <w:rtl/>
        </w:rPr>
        <w:t xml:space="preserve"> </w:t>
      </w:r>
      <w:r w:rsidR="00F32B28" w:rsidRPr="00F32B28">
        <w:rPr>
          <w:rtl/>
        </w:rPr>
        <w:t>أو</w:t>
      </w:r>
      <w:r w:rsidR="00F32B28">
        <w:rPr>
          <w:rtl/>
        </w:rPr>
        <w:t xml:space="preserve"> </w:t>
      </w:r>
      <w:r w:rsidR="00F32B28" w:rsidRPr="00F32B28">
        <w:rPr>
          <w:rtl/>
        </w:rPr>
        <w:t>عائلته</w:t>
      </w:r>
      <w:r w:rsidR="00F32B28">
        <w:rPr>
          <w:rtl/>
        </w:rPr>
        <w:t xml:space="preserve"> </w:t>
      </w:r>
      <w:r w:rsidR="00F32B28" w:rsidRPr="00F32B28">
        <w:rPr>
          <w:rtl/>
        </w:rPr>
        <w:t>أو</w:t>
      </w:r>
      <w:r w:rsidR="00F32B28">
        <w:rPr>
          <w:rtl/>
        </w:rPr>
        <w:t xml:space="preserve"> </w:t>
      </w:r>
      <w:r w:rsidR="00F32B28" w:rsidRPr="00F32B28">
        <w:rPr>
          <w:rtl/>
        </w:rPr>
        <w:t>عائلتها،</w:t>
      </w:r>
      <w:r w:rsidR="00F32B28">
        <w:rPr>
          <w:rtl/>
        </w:rPr>
        <w:t xml:space="preserve"> </w:t>
      </w:r>
      <w:r w:rsidR="00F32B28" w:rsidRPr="00F32B28">
        <w:rPr>
          <w:rtl/>
        </w:rPr>
        <w:t>أو</w:t>
      </w:r>
      <w:r w:rsidR="00F32B28">
        <w:rPr>
          <w:rtl/>
        </w:rPr>
        <w:t xml:space="preserve"> </w:t>
      </w:r>
      <w:r w:rsidR="00F32B28" w:rsidRPr="00F32B28">
        <w:rPr>
          <w:rtl/>
        </w:rPr>
        <w:t>التهديد</w:t>
      </w:r>
      <w:r w:rsidR="00F32B28">
        <w:rPr>
          <w:rtl/>
        </w:rPr>
        <w:t xml:space="preserve"> </w:t>
      </w:r>
      <w:r w:rsidR="00F32B28" w:rsidRPr="00F32B28">
        <w:rPr>
          <w:rtl/>
        </w:rPr>
        <w:t>بالقتل،</w:t>
      </w:r>
      <w:r w:rsidR="00F32B28">
        <w:rPr>
          <w:rtl/>
        </w:rPr>
        <w:t xml:space="preserve"> </w:t>
      </w:r>
      <w:r w:rsidR="00F32B28" w:rsidRPr="00F32B28">
        <w:rPr>
          <w:rtl/>
        </w:rPr>
        <w:t>أو</w:t>
      </w:r>
      <w:r w:rsidR="00F32B28">
        <w:rPr>
          <w:rtl/>
        </w:rPr>
        <w:t xml:space="preserve"> </w:t>
      </w:r>
      <w:r w:rsidR="00F32B28" w:rsidRPr="00F32B28">
        <w:rPr>
          <w:rtl/>
        </w:rPr>
        <w:t>الاغتصاب</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عائلتها</w:t>
      </w:r>
      <w:r w:rsidR="00F32B28">
        <w:rPr>
          <w:rtl/>
        </w:rPr>
        <w:t xml:space="preserve"> </w:t>
      </w:r>
      <w:r w:rsidR="00F32B28" w:rsidRPr="00F32B28">
        <w:rPr>
          <w:rtl/>
        </w:rPr>
        <w:t>أو</w:t>
      </w:r>
      <w:r w:rsidR="00F32B28">
        <w:rPr>
          <w:rtl/>
        </w:rPr>
        <w:t xml:space="preserve"> </w:t>
      </w:r>
      <w:r w:rsidR="00F32B28" w:rsidRPr="00F32B28">
        <w:rPr>
          <w:rtl/>
        </w:rPr>
        <w:t>عائلة</w:t>
      </w:r>
      <w:r w:rsidR="00F32B28">
        <w:rPr>
          <w:rtl/>
        </w:rPr>
        <w:t xml:space="preserve"> </w:t>
      </w:r>
      <w:r w:rsidR="00F32B28" w:rsidRPr="00F32B28">
        <w:rPr>
          <w:rtl/>
        </w:rPr>
        <w:t>زوجها،</w:t>
      </w:r>
      <w:r w:rsidR="00F32B28">
        <w:rPr>
          <w:rtl/>
        </w:rPr>
        <w:t xml:space="preserve"> </w:t>
      </w:r>
      <w:r w:rsidR="00F32B28" w:rsidRPr="00F32B28">
        <w:rPr>
          <w:rtl/>
        </w:rPr>
        <w:t>أو</w:t>
      </w:r>
      <w:r w:rsidR="00F32B28">
        <w:rPr>
          <w:rtl/>
        </w:rPr>
        <w:t xml:space="preserve"> </w:t>
      </w:r>
      <w:r w:rsidR="00F32B28" w:rsidRPr="00F32B28">
        <w:rPr>
          <w:rtl/>
        </w:rPr>
        <w:t>هروب</w:t>
      </w:r>
      <w:r w:rsidR="00F32B28">
        <w:rPr>
          <w:rtl/>
        </w:rPr>
        <w:t xml:space="preserve"> </w:t>
      </w:r>
      <w:r w:rsidR="00F32B28" w:rsidRPr="00F32B28">
        <w:rPr>
          <w:rtl/>
        </w:rPr>
        <w:t>من</w:t>
      </w:r>
      <w:r w:rsidR="00F32B28">
        <w:rPr>
          <w:rtl/>
        </w:rPr>
        <w:t xml:space="preserve"> </w:t>
      </w:r>
      <w:r w:rsidR="00F32B28" w:rsidRPr="00F32B28">
        <w:rPr>
          <w:rtl/>
        </w:rPr>
        <w:t>الأسرة</w:t>
      </w:r>
      <w:r w:rsidR="00F32B28">
        <w:rPr>
          <w:rtl/>
        </w:rPr>
        <w:t xml:space="preserve"> </w:t>
      </w:r>
      <w:r w:rsidR="00F32B28" w:rsidRPr="00F32B28">
        <w:rPr>
          <w:rtl/>
        </w:rPr>
        <w:t>نتيجة</w:t>
      </w:r>
      <w:r w:rsidR="00F32B28">
        <w:rPr>
          <w:rtl/>
        </w:rPr>
        <w:t xml:space="preserve"> </w:t>
      </w:r>
      <w:r w:rsidR="00F32B28" w:rsidRPr="00F32B28">
        <w:rPr>
          <w:rtl/>
        </w:rPr>
        <w:t>التعرض</w:t>
      </w:r>
      <w:r w:rsidR="00F32B28">
        <w:rPr>
          <w:rtl/>
        </w:rPr>
        <w:t xml:space="preserve"> </w:t>
      </w:r>
      <w:r w:rsidR="00F32B28" w:rsidRPr="00F32B28">
        <w:rPr>
          <w:rtl/>
        </w:rPr>
        <w:t>لعنف</w:t>
      </w:r>
      <w:r w:rsidR="00F32B28">
        <w:rPr>
          <w:rtl/>
        </w:rPr>
        <w:t xml:space="preserve"> </w:t>
      </w:r>
      <w:r w:rsidR="00F32B28" w:rsidRPr="00F32B28">
        <w:rPr>
          <w:rtl/>
        </w:rPr>
        <w:t>جسدي</w:t>
      </w:r>
      <w:r w:rsidR="00F32B28">
        <w:rPr>
          <w:rtl/>
        </w:rPr>
        <w:t xml:space="preserve"> </w:t>
      </w:r>
      <w:r w:rsidR="00F32B28" w:rsidRPr="00F32B28">
        <w:rPr>
          <w:rtl/>
        </w:rPr>
        <w:t>أو</w:t>
      </w:r>
      <w:r w:rsidR="00F32B28">
        <w:rPr>
          <w:rtl/>
        </w:rPr>
        <w:t xml:space="preserve"> </w:t>
      </w:r>
      <w:r w:rsidR="00F32B28" w:rsidRPr="00F32B28">
        <w:rPr>
          <w:rtl/>
        </w:rPr>
        <w:t>جنسي</w:t>
      </w:r>
      <w:r w:rsidR="00F32B28">
        <w:rPr>
          <w:rtl/>
        </w:rPr>
        <w:t xml:space="preserve"> </w:t>
      </w:r>
      <w:r w:rsidR="00F32B28" w:rsidRPr="00F32B28">
        <w:rPr>
          <w:rtl/>
        </w:rPr>
        <w:t>أو</w:t>
      </w:r>
      <w:r w:rsidR="00F32B28">
        <w:rPr>
          <w:rtl/>
        </w:rPr>
        <w:t xml:space="preserve"> </w:t>
      </w:r>
      <w:r w:rsidR="00F32B28" w:rsidRPr="00F32B28">
        <w:rPr>
          <w:rtl/>
        </w:rPr>
        <w:t>لفظي،</w:t>
      </w:r>
      <w:r w:rsidR="00F32B28">
        <w:rPr>
          <w:rtl/>
        </w:rPr>
        <w:t xml:space="preserve"> </w:t>
      </w:r>
      <w:r w:rsidR="00F32B28" w:rsidRPr="00F32B28">
        <w:rPr>
          <w:rtl/>
        </w:rPr>
        <w:t>أو</w:t>
      </w:r>
      <w:r w:rsidR="00F32B28">
        <w:rPr>
          <w:rtl/>
        </w:rPr>
        <w:t xml:space="preserve"> </w:t>
      </w:r>
      <w:r w:rsidR="00F32B28" w:rsidRPr="00F32B28">
        <w:rPr>
          <w:rtl/>
        </w:rPr>
        <w:t>الإهمال،</w:t>
      </w:r>
      <w:r w:rsidR="00F32B28">
        <w:rPr>
          <w:rtl/>
        </w:rPr>
        <w:t xml:space="preserve"> </w:t>
      </w:r>
      <w:r w:rsidR="00F32B28" w:rsidRPr="00F32B28">
        <w:rPr>
          <w:rtl/>
        </w:rPr>
        <w:t>أو</w:t>
      </w:r>
      <w:r w:rsidR="00F32B28">
        <w:rPr>
          <w:rtl/>
        </w:rPr>
        <w:t xml:space="preserve"> </w:t>
      </w:r>
      <w:r w:rsidR="00F32B28" w:rsidRPr="00F32B28">
        <w:rPr>
          <w:rtl/>
        </w:rPr>
        <w:t>تقسيم</w:t>
      </w:r>
      <w:r w:rsidR="00F32B28">
        <w:rPr>
          <w:rtl/>
        </w:rPr>
        <w:t xml:space="preserve"> </w:t>
      </w:r>
      <w:r w:rsidR="00F32B28" w:rsidRPr="00F32B28">
        <w:rPr>
          <w:rtl/>
        </w:rPr>
        <w:t>الأدوار</w:t>
      </w:r>
      <w:r w:rsidR="00F32B28">
        <w:rPr>
          <w:rtl/>
        </w:rPr>
        <w:t xml:space="preserve"> </w:t>
      </w:r>
      <w:r w:rsidR="00F32B28" w:rsidRPr="00F32B28">
        <w:rPr>
          <w:rtl/>
        </w:rPr>
        <w:t>الاجتماعية</w:t>
      </w:r>
      <w:r w:rsidR="00F32B28">
        <w:rPr>
          <w:rtl/>
        </w:rPr>
        <w:t xml:space="preserve"> </w:t>
      </w:r>
      <w:r w:rsidR="00F32B28" w:rsidRPr="00F32B28">
        <w:rPr>
          <w:rtl/>
        </w:rPr>
        <w:t>داخل</w:t>
      </w:r>
      <w:r w:rsidR="00F32B28">
        <w:rPr>
          <w:rtl/>
        </w:rPr>
        <w:t xml:space="preserve"> </w:t>
      </w:r>
      <w:r w:rsidR="00F32B28" w:rsidRPr="00F32B28">
        <w:rPr>
          <w:rtl/>
        </w:rPr>
        <w:t>الأسرة</w:t>
      </w:r>
      <w:r w:rsidR="00F32B28">
        <w:rPr>
          <w:rtl/>
        </w:rPr>
        <w:t xml:space="preserve"> </w:t>
      </w:r>
      <w:r w:rsidR="00F32B28" w:rsidRPr="00F32B28">
        <w:rPr>
          <w:rtl/>
        </w:rPr>
        <w:t>والذي</w:t>
      </w:r>
      <w:r w:rsidR="00F32B28">
        <w:rPr>
          <w:rtl/>
        </w:rPr>
        <w:t xml:space="preserve"> </w:t>
      </w:r>
      <w:r w:rsidR="00F32B28" w:rsidRPr="00F32B28">
        <w:rPr>
          <w:rtl/>
        </w:rPr>
        <w:t>يستند</w:t>
      </w:r>
      <w:r w:rsidR="00F32B28">
        <w:rPr>
          <w:rtl/>
        </w:rPr>
        <w:t xml:space="preserve"> </w:t>
      </w:r>
      <w:r w:rsidR="00F32B28" w:rsidRPr="00F32B28">
        <w:rPr>
          <w:rtl/>
        </w:rPr>
        <w:t>إلى</w:t>
      </w:r>
      <w:r w:rsidR="00F32B28">
        <w:rPr>
          <w:rtl/>
        </w:rPr>
        <w:t xml:space="preserve"> </w:t>
      </w:r>
      <w:r w:rsidR="00F32B28" w:rsidRPr="00F32B28">
        <w:rPr>
          <w:rtl/>
        </w:rPr>
        <w:t>تفضيل</w:t>
      </w:r>
      <w:r w:rsidR="00F32B28">
        <w:rPr>
          <w:rtl/>
        </w:rPr>
        <w:t xml:space="preserve"> </w:t>
      </w:r>
      <w:r w:rsidR="00F32B28" w:rsidRPr="00F32B28">
        <w:rPr>
          <w:rtl/>
        </w:rPr>
        <w:t>الذكور.</w:t>
      </w:r>
    </w:p>
    <w:p w:rsidR="00F32B28" w:rsidRPr="00F32B28" w:rsidRDefault="004B33D7" w:rsidP="00EB128F">
      <w:pPr>
        <w:pStyle w:val="SingleTxt"/>
        <w:rPr>
          <w:rtl/>
        </w:rPr>
      </w:pPr>
      <w:r>
        <w:rPr>
          <w:rFonts w:hint="cs"/>
          <w:rtl/>
        </w:rPr>
        <w:lastRenderedPageBreak/>
        <w:t>82 -</w:t>
      </w:r>
      <w:r>
        <w:rPr>
          <w:rFonts w:hint="cs"/>
          <w:rtl/>
        </w:rPr>
        <w:tab/>
      </w:r>
      <w:r w:rsidR="00F32B28" w:rsidRPr="00F32B28">
        <w:rPr>
          <w:rtl/>
        </w:rPr>
        <w:t>ويشير</w:t>
      </w:r>
      <w:r w:rsidR="00F32B28">
        <w:rPr>
          <w:rtl/>
        </w:rPr>
        <w:t xml:space="preserve"> </w:t>
      </w:r>
      <w:r w:rsidR="00F32B28" w:rsidRPr="00F32B28">
        <w:rPr>
          <w:rtl/>
        </w:rPr>
        <w:t>المسح</w:t>
      </w:r>
      <w:r w:rsidR="00F32B28">
        <w:rPr>
          <w:rtl/>
        </w:rPr>
        <w:t xml:space="preserve"> </w:t>
      </w:r>
      <w:r w:rsidR="00F32B28" w:rsidRPr="00F32B28">
        <w:rPr>
          <w:rtl/>
        </w:rPr>
        <w:t>الإحصائي</w:t>
      </w:r>
      <w:r w:rsidR="00F32B28">
        <w:rPr>
          <w:rtl/>
        </w:rPr>
        <w:t xml:space="preserve"> </w:t>
      </w:r>
      <w:r w:rsidR="00F32B28" w:rsidRPr="00F32B28">
        <w:rPr>
          <w:rtl/>
        </w:rPr>
        <w:t>المذكور</w:t>
      </w:r>
      <w:r w:rsidR="00F32B28">
        <w:rPr>
          <w:rtl/>
        </w:rPr>
        <w:t xml:space="preserve"> </w:t>
      </w:r>
      <w:r w:rsidR="00F32B28" w:rsidRPr="00F32B28">
        <w:rPr>
          <w:rtl/>
        </w:rPr>
        <w:t>بأن</w:t>
      </w:r>
      <w:r w:rsidR="00F32B28">
        <w:rPr>
          <w:rtl/>
        </w:rPr>
        <w:t xml:space="preserve"> </w:t>
      </w:r>
      <w:r w:rsidR="00F32B28" w:rsidRPr="00F32B28">
        <w:rPr>
          <w:rtl/>
        </w:rPr>
        <w:t>37</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اللواتي</w:t>
      </w:r>
      <w:r w:rsidR="00F32B28">
        <w:rPr>
          <w:rtl/>
        </w:rPr>
        <w:t xml:space="preserve"> </w:t>
      </w:r>
      <w:r w:rsidR="00F32B28" w:rsidRPr="00F32B28">
        <w:rPr>
          <w:rtl/>
        </w:rPr>
        <w:t>سبق</w:t>
      </w:r>
      <w:r w:rsidR="00F32B28">
        <w:rPr>
          <w:rtl/>
        </w:rPr>
        <w:t xml:space="preserve"> </w:t>
      </w:r>
      <w:r w:rsidR="00F32B28" w:rsidRPr="00F32B28">
        <w:rPr>
          <w:rtl/>
        </w:rPr>
        <w:t>لهن</w:t>
      </w:r>
      <w:r w:rsidR="00F32B28">
        <w:rPr>
          <w:rtl/>
        </w:rPr>
        <w:t xml:space="preserve"> </w:t>
      </w:r>
      <w:r w:rsidR="00F32B28" w:rsidRPr="00F32B28">
        <w:rPr>
          <w:rtl/>
        </w:rPr>
        <w:t>الزواج</w:t>
      </w:r>
      <w:r w:rsidR="00F32B28">
        <w:rPr>
          <w:rtl/>
        </w:rPr>
        <w:t xml:space="preserve"> </w:t>
      </w:r>
      <w:r w:rsidR="00F32B28" w:rsidRPr="00F32B28">
        <w:rPr>
          <w:rtl/>
        </w:rPr>
        <w:t>تعرضن</w:t>
      </w:r>
      <w:r w:rsidR="00F32B28">
        <w:rPr>
          <w:rtl/>
        </w:rPr>
        <w:t xml:space="preserve"> </w:t>
      </w:r>
      <w:r w:rsidR="00F32B28" w:rsidRPr="00F32B28">
        <w:rPr>
          <w:rtl/>
        </w:rPr>
        <w:t>لأحد</w:t>
      </w:r>
      <w:r w:rsidR="00F32B28">
        <w:rPr>
          <w:rtl/>
        </w:rPr>
        <w:t xml:space="preserve"> </w:t>
      </w:r>
      <w:r w:rsidR="00F32B28" w:rsidRPr="00F32B28">
        <w:rPr>
          <w:rtl/>
        </w:rPr>
        <w:t>أشكال</w:t>
      </w:r>
      <w:r w:rsidR="00F32B28">
        <w:rPr>
          <w:rtl/>
        </w:rPr>
        <w:t xml:space="preserve"> </w:t>
      </w:r>
      <w:r w:rsidR="00F32B28" w:rsidRPr="00F32B28">
        <w:rPr>
          <w:rtl/>
        </w:rPr>
        <w:t>العنف</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أزواجهن؛</w:t>
      </w:r>
      <w:r w:rsidR="00F32B28">
        <w:rPr>
          <w:rtl/>
        </w:rPr>
        <w:t xml:space="preserve"> </w:t>
      </w:r>
      <w:r w:rsidR="00F32B28" w:rsidRPr="00F32B28">
        <w:rPr>
          <w:rtl/>
        </w:rPr>
        <w:t>29.9</w:t>
      </w:r>
      <w:r w:rsidR="00F32B28">
        <w:rPr>
          <w:rtl/>
        </w:rPr>
        <w:t xml:space="preserve"> </w:t>
      </w:r>
      <w:r w:rsidR="00600C43">
        <w:rPr>
          <w:rFonts w:hint="cs"/>
          <w:rtl/>
        </w:rPr>
        <w:t>في المائة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مقابل</w:t>
      </w:r>
      <w:r w:rsidR="00F32B28">
        <w:rPr>
          <w:rtl/>
        </w:rPr>
        <w:t xml:space="preserve"> </w:t>
      </w:r>
      <w:r w:rsidR="00F32B28" w:rsidRPr="00F32B28">
        <w:rPr>
          <w:rtl/>
        </w:rPr>
        <w:t>51</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كما</w:t>
      </w:r>
      <w:r w:rsidR="00F32B28">
        <w:rPr>
          <w:rtl/>
        </w:rPr>
        <w:t xml:space="preserve"> </w:t>
      </w:r>
      <w:r w:rsidR="00F32B28" w:rsidRPr="00F32B28">
        <w:rPr>
          <w:rtl/>
        </w:rPr>
        <w:t>بلغت</w:t>
      </w:r>
      <w:r w:rsidR="00F32B28">
        <w:rPr>
          <w:rtl/>
        </w:rPr>
        <w:t xml:space="preserve"> </w:t>
      </w:r>
      <w:r w:rsidR="00F32B28" w:rsidRPr="00F32B28">
        <w:rPr>
          <w:rtl/>
        </w:rPr>
        <w:t>نسبة</w:t>
      </w:r>
      <w:r w:rsidR="00F32B28">
        <w:rPr>
          <w:rtl/>
        </w:rPr>
        <w:t xml:space="preserve"> </w:t>
      </w:r>
      <w:r w:rsidR="00F32B28" w:rsidRPr="00F32B28">
        <w:rPr>
          <w:rtl/>
        </w:rPr>
        <w:t>اللواتي</w:t>
      </w:r>
      <w:r w:rsidR="00F32B28">
        <w:rPr>
          <w:rtl/>
        </w:rPr>
        <w:t xml:space="preserve"> </w:t>
      </w:r>
      <w:r w:rsidR="00F32B28" w:rsidRPr="00F32B28">
        <w:rPr>
          <w:rtl/>
        </w:rPr>
        <w:t>تعرضن</w:t>
      </w:r>
      <w:r w:rsidR="00F32B28">
        <w:rPr>
          <w:rtl/>
        </w:rPr>
        <w:t xml:space="preserve"> </w:t>
      </w:r>
      <w:r w:rsidR="00F32B28" w:rsidRPr="00F32B28">
        <w:rPr>
          <w:rtl/>
        </w:rPr>
        <w:t>لعنف</w:t>
      </w:r>
      <w:r w:rsidR="00F32B28">
        <w:rPr>
          <w:rtl/>
        </w:rPr>
        <w:t xml:space="preserve"> </w:t>
      </w:r>
      <w:r w:rsidR="00F32B28" w:rsidRPr="00F32B28">
        <w:rPr>
          <w:rtl/>
        </w:rPr>
        <w:t>نفسي</w:t>
      </w:r>
      <w:r w:rsidR="00F32B28">
        <w:rPr>
          <w:rtl/>
        </w:rPr>
        <w:t xml:space="preserve"> </w:t>
      </w:r>
      <w:r w:rsidR="001D253C">
        <w:rPr>
          <w:rFonts w:hint="cs"/>
          <w:rtl/>
        </w:rPr>
        <w:t>”</w:t>
      </w:r>
      <w:r w:rsidR="00F32B28" w:rsidRPr="00F32B28">
        <w:rPr>
          <w:rtl/>
        </w:rPr>
        <w:t>لمرة</w:t>
      </w:r>
      <w:r w:rsidR="00F32B28">
        <w:rPr>
          <w:rtl/>
        </w:rPr>
        <w:t xml:space="preserve"> </w:t>
      </w:r>
      <w:r w:rsidR="00F32B28" w:rsidRPr="00F32B28">
        <w:rPr>
          <w:rtl/>
        </w:rPr>
        <w:t>واحده</w:t>
      </w:r>
      <w:r w:rsidR="00F32B28">
        <w:rPr>
          <w:rtl/>
        </w:rPr>
        <w:t xml:space="preserve"> </w:t>
      </w:r>
      <w:r w:rsidR="00F32B28" w:rsidRPr="00F32B28">
        <w:rPr>
          <w:rtl/>
        </w:rPr>
        <w:t>على</w:t>
      </w:r>
      <w:r w:rsidR="00F32B28">
        <w:rPr>
          <w:rtl/>
        </w:rPr>
        <w:t xml:space="preserve"> </w:t>
      </w:r>
      <w:r w:rsidR="00F32B28" w:rsidRPr="00F32B28">
        <w:rPr>
          <w:rtl/>
        </w:rPr>
        <w:t>الأقل</w:t>
      </w:r>
      <w:r w:rsidR="001D253C">
        <w:rPr>
          <w:rFonts w:hint="cs"/>
          <w:rtl/>
        </w:rPr>
        <w:t xml:space="preserve">“ </w:t>
      </w:r>
      <w:r w:rsidR="00F32B28" w:rsidRPr="00F32B28">
        <w:rPr>
          <w:rtl/>
        </w:rPr>
        <w:t>من</w:t>
      </w:r>
      <w:r w:rsidR="00F32B28">
        <w:rPr>
          <w:rtl/>
        </w:rPr>
        <w:t xml:space="preserve"> </w:t>
      </w:r>
      <w:r w:rsidR="00F32B28" w:rsidRPr="00F32B28">
        <w:rPr>
          <w:rtl/>
        </w:rPr>
        <w:t>هؤلاء</w:t>
      </w:r>
      <w:r w:rsidR="00F32B28">
        <w:rPr>
          <w:rtl/>
        </w:rPr>
        <w:t xml:space="preserve"> </w:t>
      </w:r>
      <w:r w:rsidR="00F32B28" w:rsidRPr="00F32B28">
        <w:rPr>
          <w:rtl/>
        </w:rPr>
        <w:t>السيدات</w:t>
      </w:r>
      <w:r w:rsidR="00F32B28">
        <w:rPr>
          <w:rtl/>
        </w:rPr>
        <w:t xml:space="preserve"> </w:t>
      </w:r>
      <w:r w:rsidR="00F32B28" w:rsidRPr="00F32B28">
        <w:rPr>
          <w:rtl/>
        </w:rPr>
        <w:t>58.6</w:t>
      </w:r>
      <w:r w:rsidR="001D253C">
        <w:rPr>
          <w:rFonts w:hint="eastAsia"/>
          <w:rtl/>
        </w:rPr>
        <w:t> </w:t>
      </w:r>
      <w:r w:rsidR="00600C43">
        <w:rPr>
          <w:rFonts w:hint="cs"/>
          <w:rtl/>
        </w:rPr>
        <w:t>في المائة</w:t>
      </w:r>
      <w:r w:rsidR="00F32B28" w:rsidRPr="00F32B28">
        <w:rPr>
          <w:rtl/>
        </w:rPr>
        <w:t>،</w:t>
      </w:r>
      <w:r w:rsidR="00F32B28">
        <w:rPr>
          <w:rtl/>
        </w:rPr>
        <w:t xml:space="preserve"> </w:t>
      </w:r>
      <w:r w:rsidR="00F32B28" w:rsidRPr="00F32B28">
        <w:rPr>
          <w:rtl/>
        </w:rPr>
        <w:t>و</w:t>
      </w:r>
      <w:r w:rsidR="00600C43">
        <w:rPr>
          <w:rFonts w:hint="cs"/>
          <w:rtl/>
        </w:rPr>
        <w:t xml:space="preserve"> 55.1</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تعرضن</w:t>
      </w:r>
      <w:r w:rsidR="00F32B28">
        <w:rPr>
          <w:rtl/>
        </w:rPr>
        <w:t xml:space="preserve"> </w:t>
      </w:r>
      <w:r w:rsidR="00F32B28" w:rsidRPr="00F32B28">
        <w:rPr>
          <w:rtl/>
        </w:rPr>
        <w:t>لعنف</w:t>
      </w:r>
      <w:r w:rsidR="00F32B28">
        <w:rPr>
          <w:rtl/>
        </w:rPr>
        <w:t xml:space="preserve"> </w:t>
      </w:r>
      <w:r w:rsidR="00F32B28" w:rsidRPr="00F32B28">
        <w:rPr>
          <w:rtl/>
        </w:rPr>
        <w:t>اقتصادي،</w:t>
      </w:r>
      <w:r w:rsidR="00F32B28">
        <w:rPr>
          <w:rtl/>
        </w:rPr>
        <w:t xml:space="preserve"> </w:t>
      </w:r>
      <w:r w:rsidR="00F32B28" w:rsidRPr="00F32B28">
        <w:rPr>
          <w:rtl/>
        </w:rPr>
        <w:t>و</w:t>
      </w:r>
      <w:r w:rsidR="001D253C">
        <w:rPr>
          <w:rFonts w:hint="cs"/>
          <w:rtl/>
        </w:rPr>
        <w:t xml:space="preserve"> 54.8 </w:t>
      </w:r>
      <w:r w:rsidR="00600C43">
        <w:rPr>
          <w:rFonts w:hint="cs"/>
          <w:rtl/>
        </w:rPr>
        <w:t>في المائة</w:t>
      </w:r>
      <w:r w:rsidR="00F32B28">
        <w:rPr>
          <w:rtl/>
        </w:rPr>
        <w:t xml:space="preserve"> </w:t>
      </w:r>
      <w:r w:rsidR="00F32B28" w:rsidRPr="00F32B28">
        <w:rPr>
          <w:rtl/>
        </w:rPr>
        <w:t>لعنف</w:t>
      </w:r>
      <w:r w:rsidR="00F32B28">
        <w:rPr>
          <w:rtl/>
        </w:rPr>
        <w:t xml:space="preserve"> </w:t>
      </w:r>
      <w:r w:rsidR="00F32B28" w:rsidRPr="00F32B28">
        <w:rPr>
          <w:rtl/>
        </w:rPr>
        <w:t>اجتماعي،</w:t>
      </w:r>
      <w:r w:rsidR="00F32B28">
        <w:rPr>
          <w:rtl/>
        </w:rPr>
        <w:t xml:space="preserve"> </w:t>
      </w:r>
      <w:r w:rsidR="00F32B28" w:rsidRPr="00F32B28">
        <w:rPr>
          <w:rtl/>
        </w:rPr>
        <w:t>و</w:t>
      </w:r>
      <w:r w:rsidR="00EB128F">
        <w:rPr>
          <w:rFonts w:hint="eastAsia"/>
          <w:rtl/>
        </w:rPr>
        <w:t> </w:t>
      </w:r>
      <w:r w:rsidR="001D253C">
        <w:rPr>
          <w:rFonts w:hint="cs"/>
          <w:rtl/>
        </w:rPr>
        <w:t xml:space="preserve">23.5 </w:t>
      </w:r>
      <w:r w:rsidR="00600C43">
        <w:rPr>
          <w:rFonts w:hint="cs"/>
          <w:rtl/>
        </w:rPr>
        <w:t>في المائة</w:t>
      </w:r>
      <w:r w:rsidR="00F32B28">
        <w:rPr>
          <w:rtl/>
        </w:rPr>
        <w:t xml:space="preserve"> </w:t>
      </w:r>
      <w:r w:rsidR="00F32B28" w:rsidRPr="00F32B28">
        <w:rPr>
          <w:rtl/>
        </w:rPr>
        <w:t>لعنف</w:t>
      </w:r>
      <w:r w:rsidR="00F32B28">
        <w:rPr>
          <w:rtl/>
        </w:rPr>
        <w:t xml:space="preserve"> </w:t>
      </w:r>
      <w:r w:rsidR="00F32B28" w:rsidRPr="00F32B28">
        <w:rPr>
          <w:rtl/>
        </w:rPr>
        <w:t>جسدي،</w:t>
      </w:r>
      <w:r w:rsidR="00F32B28">
        <w:rPr>
          <w:rtl/>
        </w:rPr>
        <w:t xml:space="preserve"> </w:t>
      </w:r>
      <w:r w:rsidR="00F32B28" w:rsidRPr="00F32B28">
        <w:rPr>
          <w:rtl/>
        </w:rPr>
        <w:t>و</w:t>
      </w:r>
      <w:r w:rsidR="00600C43">
        <w:rPr>
          <w:rFonts w:hint="cs"/>
          <w:rtl/>
        </w:rPr>
        <w:t> </w:t>
      </w:r>
      <w:r w:rsidR="00F32B28" w:rsidRPr="00F32B28">
        <w:rPr>
          <w:rtl/>
        </w:rPr>
        <w:t>11.8</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لعنف</w:t>
      </w:r>
      <w:r w:rsidR="00F32B28">
        <w:rPr>
          <w:rtl/>
        </w:rPr>
        <w:t xml:space="preserve"> </w:t>
      </w:r>
      <w:r w:rsidR="00F32B28" w:rsidRPr="00F32B28">
        <w:rPr>
          <w:rtl/>
        </w:rPr>
        <w:t>جنسي.</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بلغت</w:t>
      </w:r>
      <w:r w:rsidR="00F32B28">
        <w:rPr>
          <w:rtl/>
        </w:rPr>
        <w:t xml:space="preserve"> </w:t>
      </w:r>
      <w:r w:rsidR="00F32B28" w:rsidRPr="00F32B28">
        <w:rPr>
          <w:rtl/>
        </w:rPr>
        <w:t>نسبة</w:t>
      </w:r>
      <w:r w:rsidR="00F32B28">
        <w:rPr>
          <w:rtl/>
        </w:rPr>
        <w:t xml:space="preserve"> </w:t>
      </w:r>
      <w:r w:rsidR="00F32B28" w:rsidRPr="00F32B28">
        <w:rPr>
          <w:rtl/>
        </w:rPr>
        <w:t>النساء</w:t>
      </w:r>
      <w:r w:rsidR="00F32B28">
        <w:rPr>
          <w:rtl/>
        </w:rPr>
        <w:t xml:space="preserve"> </w:t>
      </w:r>
      <w:r w:rsidR="00F32B28" w:rsidRPr="00F32B28">
        <w:rPr>
          <w:rtl/>
        </w:rPr>
        <w:t>اللواتي</w:t>
      </w:r>
      <w:r w:rsidR="00F32B28">
        <w:rPr>
          <w:rtl/>
        </w:rPr>
        <w:t xml:space="preserve"> </w:t>
      </w:r>
      <w:r w:rsidR="00F32B28" w:rsidRPr="00F32B28">
        <w:rPr>
          <w:rtl/>
        </w:rPr>
        <w:t>عنفن</w:t>
      </w:r>
      <w:r w:rsidR="00F32B28">
        <w:rPr>
          <w:rtl/>
        </w:rPr>
        <w:t xml:space="preserve"> </w:t>
      </w:r>
      <w:r w:rsidR="00F32B28" w:rsidRPr="00F32B28">
        <w:rPr>
          <w:rtl/>
        </w:rPr>
        <w:t>أزواجهن</w:t>
      </w:r>
      <w:r w:rsidR="00F32B28">
        <w:rPr>
          <w:rtl/>
        </w:rPr>
        <w:t xml:space="preserve"> </w:t>
      </w:r>
      <w:r w:rsidR="00F32B28" w:rsidRPr="00F32B28">
        <w:rPr>
          <w:rtl/>
        </w:rPr>
        <w:t>17.3</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وقطاع</w:t>
      </w:r>
      <w:r w:rsidR="00F32B28">
        <w:rPr>
          <w:rtl/>
        </w:rPr>
        <w:t xml:space="preserve"> </w:t>
      </w:r>
      <w:r w:rsidR="00F32B28" w:rsidRPr="00F32B28">
        <w:rPr>
          <w:rtl/>
        </w:rPr>
        <w:t>غزة؛</w:t>
      </w:r>
      <w:r w:rsidR="00F32B28">
        <w:rPr>
          <w:rtl/>
        </w:rPr>
        <w:t xml:space="preserve"> </w:t>
      </w:r>
      <w:r w:rsidR="00F32B28" w:rsidRPr="00F32B28">
        <w:rPr>
          <w:rtl/>
        </w:rPr>
        <w:t>35.1</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منهم</w:t>
      </w:r>
      <w:r w:rsidR="00F32B28">
        <w:rPr>
          <w:rtl/>
        </w:rPr>
        <w:t xml:space="preserve"> </w:t>
      </w:r>
      <w:r w:rsidR="00F32B28" w:rsidRPr="00F32B28">
        <w:rPr>
          <w:rtl/>
        </w:rPr>
        <w:t>تعرضوا</w:t>
      </w:r>
      <w:r w:rsidR="00F32B28">
        <w:rPr>
          <w:rtl/>
        </w:rPr>
        <w:t xml:space="preserve"> </w:t>
      </w:r>
      <w:r w:rsidR="00F32B28" w:rsidRPr="00F32B28">
        <w:rPr>
          <w:rtl/>
        </w:rPr>
        <w:t>لعنف</w:t>
      </w:r>
      <w:r w:rsidR="00F32B28">
        <w:rPr>
          <w:rtl/>
        </w:rPr>
        <w:t xml:space="preserve"> </w:t>
      </w:r>
      <w:r w:rsidR="00F32B28" w:rsidRPr="00F32B28">
        <w:rPr>
          <w:rtl/>
        </w:rPr>
        <w:t>نفسي،</w:t>
      </w:r>
      <w:r w:rsidR="00F32B28">
        <w:rPr>
          <w:rtl/>
        </w:rPr>
        <w:t xml:space="preserve"> </w:t>
      </w:r>
      <w:r w:rsidR="00F32B28" w:rsidRPr="00F32B28">
        <w:rPr>
          <w:rtl/>
        </w:rPr>
        <w:t>و</w:t>
      </w:r>
      <w:r w:rsidR="00407D55">
        <w:rPr>
          <w:rFonts w:hint="cs"/>
          <w:rtl/>
        </w:rPr>
        <w:t> </w:t>
      </w:r>
      <w:r w:rsidR="00F32B28" w:rsidRPr="00F32B28">
        <w:rPr>
          <w:rtl/>
        </w:rPr>
        <w:t>20.3</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لعنف</w:t>
      </w:r>
      <w:r w:rsidR="00F32B28">
        <w:rPr>
          <w:rtl/>
        </w:rPr>
        <w:t xml:space="preserve"> </w:t>
      </w:r>
      <w:r w:rsidR="00F32B28" w:rsidRPr="00F32B28">
        <w:rPr>
          <w:rtl/>
        </w:rPr>
        <w:t>جسدي،</w:t>
      </w:r>
      <w:r w:rsidR="00F32B28">
        <w:rPr>
          <w:rtl/>
        </w:rPr>
        <w:t xml:space="preserve"> </w:t>
      </w:r>
      <w:r w:rsidR="00F32B28" w:rsidRPr="00F32B28">
        <w:rPr>
          <w:rtl/>
        </w:rPr>
        <w:t>و</w:t>
      </w:r>
      <w:r w:rsidR="004C698D">
        <w:rPr>
          <w:rFonts w:hint="cs"/>
          <w:rtl/>
        </w:rPr>
        <w:t xml:space="preserve"> </w:t>
      </w:r>
      <w:r w:rsidR="00F32B28" w:rsidRPr="00F32B28">
        <w:rPr>
          <w:rtl/>
        </w:rPr>
        <w:t>4.5</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تعرضوا</w:t>
      </w:r>
      <w:r w:rsidR="00F32B28">
        <w:rPr>
          <w:rtl/>
        </w:rPr>
        <w:t xml:space="preserve"> </w:t>
      </w:r>
      <w:r w:rsidR="00F32B28" w:rsidRPr="00F32B28">
        <w:rPr>
          <w:rtl/>
        </w:rPr>
        <w:t>لعنف</w:t>
      </w:r>
      <w:r w:rsidR="00F32B28">
        <w:rPr>
          <w:rtl/>
        </w:rPr>
        <w:t xml:space="preserve"> </w:t>
      </w:r>
      <w:r w:rsidR="00F32B28" w:rsidRPr="00F32B28">
        <w:rPr>
          <w:rtl/>
        </w:rPr>
        <w:t>اجتماعي،</w:t>
      </w:r>
      <w:r w:rsidR="00F32B28">
        <w:rPr>
          <w:rtl/>
        </w:rPr>
        <w:t xml:space="preserve"> </w:t>
      </w:r>
      <w:r w:rsidR="00F32B28" w:rsidRPr="00F32B28">
        <w:rPr>
          <w:rtl/>
        </w:rPr>
        <w:t>و</w:t>
      </w:r>
      <w:r w:rsidR="004C698D">
        <w:rPr>
          <w:rFonts w:hint="cs"/>
          <w:rtl/>
        </w:rPr>
        <w:t xml:space="preserve"> </w:t>
      </w:r>
      <w:r w:rsidR="00F32B28" w:rsidRPr="00F32B28">
        <w:rPr>
          <w:rtl/>
        </w:rPr>
        <w:t>4.9</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تعرضوا</w:t>
      </w:r>
      <w:r w:rsidR="00F32B28">
        <w:rPr>
          <w:rtl/>
        </w:rPr>
        <w:t xml:space="preserve"> </w:t>
      </w:r>
      <w:r w:rsidR="00F32B28" w:rsidRPr="00F32B28">
        <w:rPr>
          <w:rtl/>
        </w:rPr>
        <w:t>لعنف</w:t>
      </w:r>
      <w:r w:rsidR="00F32B28">
        <w:rPr>
          <w:rtl/>
        </w:rPr>
        <w:t xml:space="preserve"> </w:t>
      </w:r>
      <w:r w:rsidR="00F32B28" w:rsidRPr="00F32B28">
        <w:rPr>
          <w:rtl/>
        </w:rPr>
        <w:t>اقتصادي</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زوجاتهم.</w:t>
      </w:r>
      <w:r w:rsidR="00F32B28">
        <w:rPr>
          <w:rtl/>
        </w:rPr>
        <w:t xml:space="preserve"> </w:t>
      </w:r>
    </w:p>
    <w:p w:rsidR="00F32B28" w:rsidRPr="00F32B28" w:rsidRDefault="004B33D7" w:rsidP="00B73D93">
      <w:pPr>
        <w:pStyle w:val="SingleTxt"/>
        <w:rPr>
          <w:rtl/>
        </w:rPr>
      </w:pPr>
      <w:r>
        <w:rPr>
          <w:rFonts w:hint="cs"/>
          <w:rtl/>
        </w:rPr>
        <w:t>83 -</w:t>
      </w:r>
      <w:r>
        <w:rPr>
          <w:rFonts w:hint="cs"/>
          <w:rtl/>
        </w:rPr>
        <w:tab/>
      </w:r>
      <w:r w:rsidR="00F32B28" w:rsidRPr="00F32B28">
        <w:rPr>
          <w:rtl/>
        </w:rPr>
        <w:t>أما</w:t>
      </w:r>
      <w:r w:rsidR="00F32B28">
        <w:rPr>
          <w:rtl/>
        </w:rPr>
        <w:t xml:space="preserve"> </w:t>
      </w:r>
      <w:r w:rsidR="00F32B28" w:rsidRPr="00F32B28">
        <w:rPr>
          <w:rtl/>
        </w:rPr>
        <w:t>العنف</w:t>
      </w:r>
      <w:r w:rsidR="00F32B28">
        <w:rPr>
          <w:rtl/>
        </w:rPr>
        <w:t xml:space="preserve"> </w:t>
      </w:r>
      <w:r w:rsidR="00F32B28" w:rsidRPr="00F32B28">
        <w:rPr>
          <w:rtl/>
        </w:rPr>
        <w:t>الموجه</w:t>
      </w:r>
      <w:r w:rsidR="00F32B28">
        <w:rPr>
          <w:rtl/>
        </w:rPr>
        <w:t xml:space="preserve"> </w:t>
      </w:r>
      <w:r w:rsidR="00F32B28" w:rsidRPr="00F32B28">
        <w:rPr>
          <w:rtl/>
        </w:rPr>
        <w:t>للإناث</w:t>
      </w:r>
      <w:r w:rsidR="00F32B28">
        <w:rPr>
          <w:rtl/>
        </w:rPr>
        <w:t xml:space="preserve"> </w:t>
      </w:r>
      <w:r w:rsidR="00F32B28" w:rsidRPr="00F32B28">
        <w:rPr>
          <w:rtl/>
        </w:rPr>
        <w:t>غير</w:t>
      </w:r>
      <w:r w:rsidR="00F32B28">
        <w:rPr>
          <w:rtl/>
        </w:rPr>
        <w:t xml:space="preserve"> </w:t>
      </w:r>
      <w:r w:rsidR="00F32B28" w:rsidRPr="00F32B28">
        <w:rPr>
          <w:rtl/>
        </w:rPr>
        <w:t>المتزوجات</w:t>
      </w:r>
      <w:r w:rsidR="00F32B28">
        <w:rPr>
          <w:rtl/>
        </w:rPr>
        <w:t xml:space="preserve"> </w:t>
      </w:r>
      <w:r w:rsidR="00F32B28" w:rsidRPr="008974F6">
        <w:rPr>
          <w:w w:val="99"/>
          <w:rtl/>
        </w:rPr>
        <w:t>من داخل أسرهن، فقد أشار المسح بأن 16.1</w:t>
      </w:r>
      <w:r w:rsidR="00600C43" w:rsidRPr="008974F6">
        <w:rPr>
          <w:rFonts w:hint="cs"/>
          <w:w w:val="99"/>
          <w:rtl/>
        </w:rPr>
        <w:t xml:space="preserve"> في المائة</w:t>
      </w:r>
      <w:r w:rsidR="00F32B28" w:rsidRPr="008974F6">
        <w:rPr>
          <w:w w:val="99"/>
          <w:rtl/>
        </w:rPr>
        <w:t xml:space="preserve"> من</w:t>
      </w:r>
      <w:r w:rsidR="00F32B28">
        <w:rPr>
          <w:rtl/>
        </w:rPr>
        <w:t xml:space="preserve"> </w:t>
      </w:r>
      <w:r w:rsidR="00F32B28" w:rsidRPr="00F32B28">
        <w:rPr>
          <w:rtl/>
        </w:rPr>
        <w:t>الإناث</w:t>
      </w:r>
      <w:r w:rsidR="00F32B28">
        <w:rPr>
          <w:rtl/>
        </w:rPr>
        <w:t xml:space="preserve"> </w:t>
      </w:r>
      <w:r w:rsidR="00F32B28" w:rsidRPr="00F32B28">
        <w:rPr>
          <w:rtl/>
        </w:rPr>
        <w:t>اللواتي</w:t>
      </w:r>
      <w:r w:rsidR="00F32B28">
        <w:rPr>
          <w:rtl/>
        </w:rPr>
        <w:t xml:space="preserve"> </w:t>
      </w:r>
      <w:r w:rsidR="00F32B28" w:rsidRPr="00F32B28">
        <w:rPr>
          <w:rtl/>
        </w:rPr>
        <w:t>لم</w:t>
      </w:r>
      <w:r w:rsidR="00F32B28">
        <w:rPr>
          <w:rtl/>
        </w:rPr>
        <w:t xml:space="preserve"> </w:t>
      </w:r>
      <w:r w:rsidR="00F32B28" w:rsidRPr="00F32B28">
        <w:rPr>
          <w:rtl/>
        </w:rPr>
        <w:t>يسبق</w:t>
      </w:r>
      <w:r w:rsidR="00F32B28">
        <w:rPr>
          <w:rtl/>
        </w:rPr>
        <w:t xml:space="preserve"> </w:t>
      </w:r>
      <w:r w:rsidR="00F32B28" w:rsidRPr="00F32B28">
        <w:rPr>
          <w:rtl/>
        </w:rPr>
        <w:t>لهن</w:t>
      </w:r>
      <w:r w:rsidR="00F32B28">
        <w:rPr>
          <w:rtl/>
        </w:rPr>
        <w:t xml:space="preserve"> </w:t>
      </w:r>
      <w:r w:rsidR="00F32B28" w:rsidRPr="00F32B28">
        <w:rPr>
          <w:rtl/>
        </w:rPr>
        <w:t>الزواج</w:t>
      </w:r>
      <w:r w:rsidR="00F32B28">
        <w:rPr>
          <w:rtl/>
        </w:rPr>
        <w:t xml:space="preserve"> </w:t>
      </w:r>
      <w:r w:rsidR="00F32B28" w:rsidRPr="00F32B28">
        <w:rPr>
          <w:rtl/>
        </w:rPr>
        <w:t>في</w:t>
      </w:r>
      <w:r w:rsidR="00F32B28">
        <w:rPr>
          <w:rtl/>
        </w:rPr>
        <w:t xml:space="preserve"> </w:t>
      </w:r>
      <w:r w:rsidR="00F32B28" w:rsidRPr="00F32B28">
        <w:rPr>
          <w:rtl/>
        </w:rPr>
        <w:t>العمر</w:t>
      </w:r>
      <w:r w:rsidR="00F32B28">
        <w:rPr>
          <w:rtl/>
        </w:rPr>
        <w:t xml:space="preserve"> </w:t>
      </w:r>
      <w:r w:rsidR="00F32B28" w:rsidRPr="00F32B28">
        <w:rPr>
          <w:rtl/>
        </w:rPr>
        <w:t>18-64</w:t>
      </w:r>
      <w:r w:rsidR="00F32B28">
        <w:rPr>
          <w:rtl/>
        </w:rPr>
        <w:t xml:space="preserve"> </w:t>
      </w:r>
      <w:r w:rsidR="00F32B28" w:rsidRPr="00F32B28">
        <w:rPr>
          <w:rtl/>
        </w:rPr>
        <w:t>تعرضن</w:t>
      </w:r>
      <w:r w:rsidR="00F32B28">
        <w:rPr>
          <w:rtl/>
        </w:rPr>
        <w:t xml:space="preserve"> </w:t>
      </w:r>
      <w:r w:rsidR="00F32B28" w:rsidRPr="00F32B28">
        <w:rPr>
          <w:rtl/>
        </w:rPr>
        <w:t>لعنف</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أحد</w:t>
      </w:r>
      <w:r w:rsidR="00F32B28">
        <w:rPr>
          <w:rtl/>
        </w:rPr>
        <w:t xml:space="preserve"> </w:t>
      </w:r>
      <w:r w:rsidR="00F32B28" w:rsidRPr="00F32B28">
        <w:rPr>
          <w:rtl/>
        </w:rPr>
        <w:t>أفراد</w:t>
      </w:r>
      <w:r w:rsidR="00F32B28">
        <w:rPr>
          <w:rtl/>
        </w:rPr>
        <w:t xml:space="preserve"> </w:t>
      </w:r>
      <w:r w:rsidR="00F32B28" w:rsidRPr="00F32B28">
        <w:rPr>
          <w:rtl/>
        </w:rPr>
        <w:t>الأسرة؛</w:t>
      </w:r>
      <w:r w:rsidR="00F32B28">
        <w:rPr>
          <w:rtl/>
        </w:rPr>
        <w:t xml:space="preserve"> </w:t>
      </w:r>
      <w:r w:rsidR="00F32B28" w:rsidRPr="00F32B28">
        <w:rPr>
          <w:rtl/>
        </w:rPr>
        <w:t>12.4</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مقابل</w:t>
      </w:r>
      <w:r w:rsidR="00F32B28">
        <w:rPr>
          <w:rtl/>
        </w:rPr>
        <w:t xml:space="preserve"> </w:t>
      </w:r>
      <w:r w:rsidR="00F32B28" w:rsidRPr="00F32B28">
        <w:rPr>
          <w:rtl/>
        </w:rPr>
        <w:t>21.8</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p>
    <w:p w:rsidR="00F32B28" w:rsidRPr="00F32B28" w:rsidRDefault="004B33D7" w:rsidP="00B73D93">
      <w:pPr>
        <w:pStyle w:val="SingleTxt"/>
      </w:pPr>
      <w:r>
        <w:rPr>
          <w:rFonts w:hint="cs"/>
          <w:rtl/>
        </w:rPr>
        <w:t>84 -</w:t>
      </w:r>
      <w:r>
        <w:rPr>
          <w:rFonts w:hint="cs"/>
          <w:rtl/>
        </w:rPr>
        <w:tab/>
      </w:r>
      <w:r w:rsidR="00F32B28" w:rsidRPr="00F32B28">
        <w:rPr>
          <w:rtl/>
        </w:rPr>
        <w:t>وتشير</w:t>
      </w:r>
      <w:r w:rsidR="00F32B28">
        <w:rPr>
          <w:rtl/>
        </w:rPr>
        <w:t xml:space="preserve"> </w:t>
      </w:r>
      <w:r w:rsidR="00F32B28" w:rsidRPr="00F32B28">
        <w:rPr>
          <w:rtl/>
        </w:rPr>
        <w:t>الإحصاءات</w:t>
      </w:r>
      <w:r w:rsidR="00F32B28">
        <w:rPr>
          <w:rtl/>
        </w:rPr>
        <w:t xml:space="preserve"> </w:t>
      </w:r>
      <w:r w:rsidR="00F32B28" w:rsidRPr="00F32B28">
        <w:rPr>
          <w:rtl/>
        </w:rPr>
        <w:t>لعام</w:t>
      </w:r>
      <w:r w:rsidR="00F32B28">
        <w:rPr>
          <w:rtl/>
        </w:rPr>
        <w:t xml:space="preserve"> </w:t>
      </w:r>
      <w:r w:rsidR="00F32B28" w:rsidRPr="00F32B28">
        <w:rPr>
          <w:rtl/>
        </w:rPr>
        <w:t>2014</w:t>
      </w:r>
      <w:r w:rsidR="00F32B28">
        <w:rPr>
          <w:rtl/>
        </w:rPr>
        <w:t xml:space="preserve"> </w:t>
      </w:r>
      <w:r w:rsidR="00F32B28" w:rsidRPr="00F32B28">
        <w:rPr>
          <w:rtl/>
        </w:rPr>
        <w:t>بوقوع</w:t>
      </w:r>
      <w:r w:rsidR="00F32B28">
        <w:rPr>
          <w:rtl/>
        </w:rPr>
        <w:t xml:space="preserve"> </w:t>
      </w:r>
      <w:r w:rsidR="00F32B28" w:rsidRPr="00F32B28">
        <w:rPr>
          <w:rtl/>
        </w:rPr>
        <w:t>(25)</w:t>
      </w:r>
      <w:r w:rsidR="00F32B28">
        <w:rPr>
          <w:rtl/>
        </w:rPr>
        <w:t xml:space="preserve"> </w:t>
      </w:r>
      <w:r w:rsidR="00F32B28" w:rsidRPr="00F32B28">
        <w:rPr>
          <w:rtl/>
        </w:rPr>
        <w:t>جريمة</w:t>
      </w:r>
      <w:r w:rsidR="00F32B28">
        <w:rPr>
          <w:rtl/>
        </w:rPr>
        <w:t xml:space="preserve"> </w:t>
      </w:r>
      <w:r w:rsidR="00F32B28" w:rsidRPr="00F32B28">
        <w:rPr>
          <w:rtl/>
        </w:rPr>
        <w:t>قتل</w:t>
      </w:r>
      <w:r w:rsidR="00F32B28">
        <w:rPr>
          <w:rtl/>
        </w:rPr>
        <w:t xml:space="preserve"> </w:t>
      </w:r>
      <w:r w:rsidR="00F32B28" w:rsidRPr="00F32B28">
        <w:rPr>
          <w:rtl/>
        </w:rPr>
        <w:t>لنساء</w:t>
      </w:r>
      <w:r w:rsidR="00F32B28">
        <w:rPr>
          <w:rtl/>
        </w:rPr>
        <w:t xml:space="preserve"> </w:t>
      </w:r>
      <w:r w:rsidR="00F32B28" w:rsidRPr="00F32B28">
        <w:rPr>
          <w:rtl/>
        </w:rPr>
        <w:t>فلسطينيات؛</w:t>
      </w:r>
      <w:r w:rsidR="00F32B28">
        <w:rPr>
          <w:rtl/>
        </w:rPr>
        <w:t xml:space="preserve"> </w:t>
      </w:r>
      <w:r w:rsidR="00F32B28" w:rsidRPr="00F32B28">
        <w:rPr>
          <w:rtl/>
        </w:rPr>
        <w:t>منها</w:t>
      </w:r>
      <w:r w:rsidR="00F32B28">
        <w:rPr>
          <w:rtl/>
        </w:rPr>
        <w:t xml:space="preserve"> </w:t>
      </w:r>
      <w:r w:rsidR="00F32B28" w:rsidRPr="00F32B28">
        <w:rPr>
          <w:rtl/>
        </w:rPr>
        <w:t>ما</w:t>
      </w:r>
      <w:r w:rsidR="00F32B28">
        <w:rPr>
          <w:rtl/>
        </w:rPr>
        <w:t xml:space="preserve"> </w:t>
      </w:r>
      <w:r w:rsidR="00F32B28" w:rsidRPr="00F32B28">
        <w:rPr>
          <w:rtl/>
        </w:rPr>
        <w:t>ارتكب</w:t>
      </w:r>
      <w:r w:rsidR="00F32B28">
        <w:rPr>
          <w:rtl/>
        </w:rPr>
        <w:t xml:space="preserve"> </w:t>
      </w:r>
      <w:r w:rsidR="00F32B28" w:rsidRPr="00F32B28">
        <w:rPr>
          <w:rtl/>
        </w:rPr>
        <w:t>تحت</w:t>
      </w:r>
      <w:r w:rsidR="00F32B28">
        <w:rPr>
          <w:rtl/>
        </w:rPr>
        <w:t xml:space="preserve"> </w:t>
      </w:r>
      <w:r w:rsidR="00F32B28" w:rsidRPr="00F32B28">
        <w:rPr>
          <w:rtl/>
        </w:rPr>
        <w:t>ذرائع</w:t>
      </w:r>
      <w:r w:rsidR="00F32B28">
        <w:rPr>
          <w:rtl/>
        </w:rPr>
        <w:t xml:space="preserve"> </w:t>
      </w:r>
      <w:r w:rsidR="00F32B28" w:rsidRPr="00F32B28">
        <w:rPr>
          <w:rtl/>
        </w:rPr>
        <w:t>ما</w:t>
      </w:r>
      <w:r w:rsidR="00F32B28">
        <w:rPr>
          <w:rtl/>
        </w:rPr>
        <w:t xml:space="preserve"> </w:t>
      </w:r>
      <w:r w:rsidR="00F32B28" w:rsidRPr="00F32B28">
        <w:rPr>
          <w:rtl/>
        </w:rPr>
        <w:t>يسمى</w:t>
      </w:r>
      <w:r w:rsidR="00F32B28">
        <w:rPr>
          <w:rtl/>
        </w:rPr>
        <w:t xml:space="preserve"> </w:t>
      </w:r>
      <w:r w:rsidR="001D253C">
        <w:rPr>
          <w:rFonts w:hint="cs"/>
          <w:rtl/>
        </w:rPr>
        <w:t>”</w:t>
      </w:r>
      <w:r w:rsidR="00F32B28" w:rsidRPr="00F32B28">
        <w:rPr>
          <w:rtl/>
        </w:rPr>
        <w:t>القتل</w:t>
      </w:r>
      <w:r w:rsidR="00F32B28">
        <w:rPr>
          <w:rtl/>
        </w:rPr>
        <w:t xml:space="preserve"> </w:t>
      </w:r>
      <w:r w:rsidR="00F32B28" w:rsidRPr="00F32B28">
        <w:rPr>
          <w:rtl/>
        </w:rPr>
        <w:t>على</w:t>
      </w:r>
      <w:r w:rsidR="00F32B28">
        <w:rPr>
          <w:rtl/>
        </w:rPr>
        <w:t xml:space="preserve"> </w:t>
      </w:r>
      <w:r w:rsidR="00F32B28" w:rsidRPr="00F32B28">
        <w:rPr>
          <w:rtl/>
        </w:rPr>
        <w:t>خلفية</w:t>
      </w:r>
      <w:r w:rsidR="00F32B28">
        <w:rPr>
          <w:rtl/>
        </w:rPr>
        <w:t xml:space="preserve"> </w:t>
      </w:r>
      <w:r w:rsidR="00F32B28" w:rsidRPr="00F32B28">
        <w:rPr>
          <w:rtl/>
        </w:rPr>
        <w:t>الشرف</w:t>
      </w:r>
      <w:r w:rsidR="001D253C">
        <w:rPr>
          <w:rFonts w:hint="cs"/>
          <w:rtl/>
        </w:rPr>
        <w:t>“</w:t>
      </w:r>
      <w:r w:rsidR="00F32B28" w:rsidRPr="00F32B28">
        <w:rPr>
          <w:rtl/>
        </w:rPr>
        <w:t>،</w:t>
      </w:r>
      <w:r w:rsidR="00F32B28">
        <w:rPr>
          <w:rtl/>
        </w:rPr>
        <w:t xml:space="preserve"> </w:t>
      </w:r>
      <w:r w:rsidR="00F32B28" w:rsidRPr="00F32B28">
        <w:rPr>
          <w:rtl/>
        </w:rPr>
        <w:t>ومنها</w:t>
      </w:r>
      <w:r w:rsidR="00F32B28">
        <w:rPr>
          <w:rtl/>
        </w:rPr>
        <w:t xml:space="preserve"> </w:t>
      </w:r>
      <w:r w:rsidR="00F32B28" w:rsidRPr="00F32B28">
        <w:rPr>
          <w:rtl/>
        </w:rPr>
        <w:t>ما</w:t>
      </w:r>
      <w:r w:rsidR="00F32B28">
        <w:rPr>
          <w:rtl/>
        </w:rPr>
        <w:t xml:space="preserve"> </w:t>
      </w:r>
      <w:r w:rsidR="00F32B28" w:rsidRPr="00F32B28">
        <w:rPr>
          <w:rtl/>
        </w:rPr>
        <w:t>بقي</w:t>
      </w:r>
      <w:r w:rsidR="00F32B28">
        <w:rPr>
          <w:rtl/>
        </w:rPr>
        <w:t xml:space="preserve"> </w:t>
      </w:r>
      <w:r w:rsidR="00F32B28" w:rsidRPr="00F32B28">
        <w:rPr>
          <w:rtl/>
        </w:rPr>
        <w:t>لأسباب</w:t>
      </w:r>
      <w:r w:rsidR="00F32B28">
        <w:rPr>
          <w:rtl/>
        </w:rPr>
        <w:t xml:space="preserve"> </w:t>
      </w:r>
      <w:r w:rsidR="00F32B28" w:rsidRPr="00F32B28">
        <w:rPr>
          <w:rtl/>
        </w:rPr>
        <w:t>غامضة</w:t>
      </w:r>
      <w:r w:rsidR="00F32B28">
        <w:rPr>
          <w:rtl/>
        </w:rPr>
        <w:t xml:space="preserve"> </w:t>
      </w:r>
      <w:r w:rsidR="00F32B28" w:rsidRPr="00F32B28">
        <w:rPr>
          <w:rtl/>
        </w:rPr>
        <w:t>وقيدت</w:t>
      </w:r>
      <w:r w:rsidR="00F32B28">
        <w:rPr>
          <w:rtl/>
        </w:rPr>
        <w:t xml:space="preserve"> </w:t>
      </w:r>
      <w:r w:rsidR="00F32B28" w:rsidRPr="00F32B28">
        <w:rPr>
          <w:rtl/>
        </w:rPr>
        <w:t>ضد</w:t>
      </w:r>
      <w:r w:rsidR="00F32B28">
        <w:rPr>
          <w:rtl/>
        </w:rPr>
        <w:t xml:space="preserve"> </w:t>
      </w:r>
      <w:r w:rsidR="00F32B28" w:rsidRPr="00F32B28">
        <w:rPr>
          <w:rtl/>
        </w:rPr>
        <w:t>مجهول،</w:t>
      </w:r>
      <w:r w:rsidR="00F32B28">
        <w:rPr>
          <w:rtl/>
        </w:rPr>
        <w:t xml:space="preserve"> </w:t>
      </w:r>
      <w:r w:rsidR="00F32B28" w:rsidRPr="00F32B28">
        <w:rPr>
          <w:rtl/>
        </w:rPr>
        <w:t>كان</w:t>
      </w:r>
      <w:r w:rsidR="00F32B28">
        <w:rPr>
          <w:rtl/>
        </w:rPr>
        <w:t xml:space="preserve"> </w:t>
      </w:r>
      <w:r w:rsidR="00F32B28" w:rsidRPr="00F32B28">
        <w:rPr>
          <w:rtl/>
        </w:rPr>
        <w:t>منهن</w:t>
      </w:r>
      <w:r w:rsidR="00F32B28">
        <w:rPr>
          <w:rtl/>
        </w:rPr>
        <w:t xml:space="preserve"> </w:t>
      </w:r>
      <w:r w:rsidR="00F32B28" w:rsidRPr="00F32B28">
        <w:rPr>
          <w:rtl/>
        </w:rPr>
        <w:t>(14)</w:t>
      </w:r>
      <w:r w:rsidR="00F32B28">
        <w:rPr>
          <w:rtl/>
        </w:rPr>
        <w:t xml:space="preserve"> </w:t>
      </w:r>
      <w:r w:rsidR="00F32B28" w:rsidRPr="00F32B28">
        <w:rPr>
          <w:rtl/>
        </w:rPr>
        <w:t>امرأة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و</w:t>
      </w:r>
      <w:r>
        <w:rPr>
          <w:rFonts w:hint="cs"/>
          <w:rtl/>
        </w:rPr>
        <w:t xml:space="preserve"> </w:t>
      </w:r>
      <w:r w:rsidR="00F32B28" w:rsidRPr="00F32B28">
        <w:rPr>
          <w:rtl/>
        </w:rPr>
        <w:t>(11)</w:t>
      </w:r>
      <w:r w:rsidR="00F32B28">
        <w:rPr>
          <w:rtl/>
        </w:rPr>
        <w:t xml:space="preserve"> </w:t>
      </w:r>
      <w:r w:rsidR="00F32B28" w:rsidRPr="00F32B28">
        <w:rPr>
          <w:rtl/>
        </w:rPr>
        <w:t>امرأة</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ومما</w:t>
      </w:r>
      <w:r w:rsidR="00F32B28">
        <w:rPr>
          <w:rtl/>
        </w:rPr>
        <w:t xml:space="preserve"> </w:t>
      </w:r>
      <w:r w:rsidR="00F32B28" w:rsidRPr="00F32B28">
        <w:rPr>
          <w:rtl/>
        </w:rPr>
        <w:t>لا</w:t>
      </w:r>
      <w:r w:rsidR="00F32B28">
        <w:rPr>
          <w:rtl/>
        </w:rPr>
        <w:t xml:space="preserve"> </w:t>
      </w:r>
      <w:r w:rsidR="00F32B28" w:rsidRPr="00F32B28">
        <w:rPr>
          <w:rtl/>
        </w:rPr>
        <w:t>شك</w:t>
      </w:r>
      <w:r w:rsidR="00F32B28">
        <w:rPr>
          <w:rtl/>
        </w:rPr>
        <w:t xml:space="preserve"> </w:t>
      </w:r>
      <w:r w:rsidR="00F32B28" w:rsidRPr="00F32B28">
        <w:rPr>
          <w:rtl/>
        </w:rPr>
        <w:t>فيه،</w:t>
      </w:r>
      <w:r w:rsidR="00F32B28">
        <w:rPr>
          <w:rtl/>
        </w:rPr>
        <w:t xml:space="preserve"> </w:t>
      </w:r>
      <w:r w:rsidR="00F32B28" w:rsidRPr="00F32B28">
        <w:rPr>
          <w:rtl/>
        </w:rPr>
        <w:t>أن</w:t>
      </w:r>
      <w:r w:rsidR="00F32B28">
        <w:rPr>
          <w:rtl/>
        </w:rPr>
        <w:t xml:space="preserve"> </w:t>
      </w:r>
      <w:r w:rsidR="00F32B28" w:rsidRPr="00F32B28">
        <w:rPr>
          <w:rtl/>
        </w:rPr>
        <w:t>الاستمرار</w:t>
      </w:r>
      <w:r w:rsidR="00F32B28">
        <w:rPr>
          <w:rtl/>
        </w:rPr>
        <w:t xml:space="preserve"> </w:t>
      </w:r>
      <w:r w:rsidR="00F32B28" w:rsidRPr="00F32B28">
        <w:rPr>
          <w:rtl/>
        </w:rPr>
        <w:t>في</w:t>
      </w:r>
      <w:r w:rsidR="00F32B28">
        <w:rPr>
          <w:rtl/>
        </w:rPr>
        <w:t xml:space="preserve"> </w:t>
      </w:r>
      <w:r w:rsidR="00F32B28" w:rsidRPr="00F32B28">
        <w:rPr>
          <w:rtl/>
        </w:rPr>
        <w:t>ارتكاب</w:t>
      </w:r>
      <w:r w:rsidR="00F32B28">
        <w:rPr>
          <w:rtl/>
        </w:rPr>
        <w:t xml:space="preserve"> </w:t>
      </w:r>
      <w:r w:rsidR="00F32B28" w:rsidRPr="00F32B28">
        <w:rPr>
          <w:rtl/>
        </w:rPr>
        <w:t>جرائم</w:t>
      </w:r>
      <w:r w:rsidR="00F32B28">
        <w:rPr>
          <w:rtl/>
        </w:rPr>
        <w:t xml:space="preserve"> </w:t>
      </w:r>
      <w:r w:rsidR="00F32B28" w:rsidRPr="00F32B28">
        <w:rPr>
          <w:rtl/>
        </w:rPr>
        <w:t>قتل</w:t>
      </w:r>
      <w:r w:rsidR="00F32B28">
        <w:rPr>
          <w:rtl/>
        </w:rPr>
        <w:t xml:space="preserve"> </w:t>
      </w:r>
      <w:r w:rsidR="00F32B28" w:rsidRPr="00F32B28">
        <w:rPr>
          <w:rtl/>
        </w:rPr>
        <w:t>النساء</w:t>
      </w:r>
      <w:r w:rsidR="00F32B28">
        <w:rPr>
          <w:rtl/>
        </w:rPr>
        <w:t xml:space="preserve"> </w:t>
      </w:r>
      <w:r w:rsidR="00F32B28" w:rsidRPr="00F32B28">
        <w:rPr>
          <w:rtl/>
        </w:rPr>
        <w:t>تحت</w:t>
      </w:r>
      <w:r w:rsidR="00F32B28">
        <w:rPr>
          <w:rtl/>
        </w:rPr>
        <w:t xml:space="preserve"> </w:t>
      </w:r>
      <w:r w:rsidR="00F32B28" w:rsidRPr="00F32B28">
        <w:rPr>
          <w:rtl/>
        </w:rPr>
        <w:t>ذرائع</w:t>
      </w:r>
      <w:r w:rsidR="00F32B28">
        <w:rPr>
          <w:rtl/>
        </w:rPr>
        <w:t xml:space="preserve"> </w:t>
      </w:r>
      <w:r w:rsidR="00F32B28" w:rsidRPr="00F32B28">
        <w:rPr>
          <w:rtl/>
        </w:rPr>
        <w:t>الشرف</w:t>
      </w:r>
      <w:r w:rsidR="00F32B28">
        <w:rPr>
          <w:rtl/>
        </w:rPr>
        <w:t xml:space="preserve"> </w:t>
      </w:r>
      <w:r w:rsidR="00F32B28" w:rsidRPr="00F32B28">
        <w:rPr>
          <w:rtl/>
        </w:rPr>
        <w:t>يأتي</w:t>
      </w:r>
      <w:r w:rsidR="00F32B28">
        <w:rPr>
          <w:rtl/>
        </w:rPr>
        <w:t xml:space="preserve"> </w:t>
      </w:r>
      <w:r w:rsidR="00F32B28" w:rsidRPr="00F32B28">
        <w:rPr>
          <w:rtl/>
        </w:rPr>
        <w:t>بسبب</w:t>
      </w:r>
      <w:r w:rsidR="00F32B28">
        <w:rPr>
          <w:rtl/>
        </w:rPr>
        <w:t xml:space="preserve"> </w:t>
      </w:r>
      <w:r w:rsidR="00F32B28" w:rsidRPr="00F32B28">
        <w:rPr>
          <w:rtl/>
        </w:rPr>
        <w:t>الحصانة</w:t>
      </w:r>
      <w:r w:rsidR="00F32B28">
        <w:rPr>
          <w:rtl/>
        </w:rPr>
        <w:t xml:space="preserve"> </w:t>
      </w:r>
      <w:r w:rsidR="00F32B28" w:rsidRPr="00F32B28">
        <w:rPr>
          <w:rtl/>
          <w:lang w:bidi="ar-SY"/>
        </w:rPr>
        <w:t>شبه</w:t>
      </w:r>
      <w:r w:rsidR="00F32B28">
        <w:rPr>
          <w:rtl/>
          <w:lang w:bidi="ar-SY"/>
        </w:rPr>
        <w:t xml:space="preserve"> </w:t>
      </w:r>
      <w:r w:rsidR="00F32B28" w:rsidRPr="00F32B28">
        <w:rPr>
          <w:rtl/>
          <w:lang w:bidi="ar-SY"/>
        </w:rPr>
        <w:t>الكاملة</w:t>
      </w:r>
      <w:r w:rsidR="00F32B28">
        <w:rPr>
          <w:rtl/>
        </w:rPr>
        <w:t xml:space="preserve"> </w:t>
      </w:r>
      <w:r w:rsidR="00F32B28" w:rsidRPr="00F32B28">
        <w:rPr>
          <w:rtl/>
        </w:rPr>
        <w:t>الممنوحة</w:t>
      </w:r>
      <w:r w:rsidR="00F32B28">
        <w:rPr>
          <w:rtl/>
        </w:rPr>
        <w:t xml:space="preserve"> </w:t>
      </w:r>
      <w:r w:rsidR="00F32B28" w:rsidRPr="00F32B28">
        <w:rPr>
          <w:rtl/>
        </w:rPr>
        <w:t>للجناة</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القانون</w:t>
      </w:r>
      <w:r w:rsidR="00F32B28">
        <w:rPr>
          <w:rtl/>
        </w:rPr>
        <w:t xml:space="preserve"> </w:t>
      </w:r>
      <w:r w:rsidR="00F32B28" w:rsidRPr="00F32B28">
        <w:rPr>
          <w:rtl/>
        </w:rPr>
        <w:t>والقضاء</w:t>
      </w:r>
      <w:r w:rsidR="00F32B28">
        <w:rPr>
          <w:rtl/>
        </w:rPr>
        <w:t xml:space="preserve"> </w:t>
      </w:r>
      <w:r w:rsidR="00F32B28" w:rsidRPr="00F32B28">
        <w:rPr>
          <w:rtl/>
        </w:rPr>
        <w:t>والحكم</w:t>
      </w:r>
      <w:r w:rsidR="00F32B28">
        <w:rPr>
          <w:rtl/>
        </w:rPr>
        <w:t xml:space="preserve"> </w:t>
      </w:r>
      <w:r w:rsidR="00F32B28" w:rsidRPr="00F32B28">
        <w:rPr>
          <w:rtl/>
        </w:rPr>
        <w:t>عليهم</w:t>
      </w:r>
      <w:r w:rsidR="00F32B28">
        <w:rPr>
          <w:rtl/>
        </w:rPr>
        <w:t xml:space="preserve"> </w:t>
      </w:r>
      <w:r w:rsidR="00F32B28" w:rsidRPr="00F32B28">
        <w:rPr>
          <w:rtl/>
        </w:rPr>
        <w:t>بالحدود</w:t>
      </w:r>
      <w:r w:rsidR="00F32B28">
        <w:rPr>
          <w:rtl/>
        </w:rPr>
        <w:t xml:space="preserve"> </w:t>
      </w:r>
      <w:r w:rsidR="00F32B28" w:rsidRPr="00F32B28">
        <w:rPr>
          <w:rtl/>
        </w:rPr>
        <w:t>الدنيا</w:t>
      </w:r>
      <w:r w:rsidR="00F32B28">
        <w:rPr>
          <w:rtl/>
        </w:rPr>
        <w:t xml:space="preserve"> </w:t>
      </w:r>
      <w:r w:rsidR="00F32B28" w:rsidRPr="00F32B28">
        <w:rPr>
          <w:rtl/>
        </w:rPr>
        <w:t>للعقوبات</w:t>
      </w:r>
      <w:r w:rsidR="00F32B28">
        <w:rPr>
          <w:rtl/>
        </w:rPr>
        <w:t xml:space="preserve"> </w:t>
      </w:r>
      <w:r w:rsidR="00F32B28" w:rsidRPr="00F32B28">
        <w:rPr>
          <w:rtl/>
        </w:rPr>
        <w:t>المقررة،</w:t>
      </w:r>
      <w:r w:rsidR="00F32B28">
        <w:rPr>
          <w:rtl/>
        </w:rPr>
        <w:t xml:space="preserve"> </w:t>
      </w:r>
      <w:r w:rsidR="00F32B28" w:rsidRPr="00F32B28">
        <w:rPr>
          <w:rtl/>
        </w:rPr>
        <w:t>إذ</w:t>
      </w:r>
      <w:r w:rsidR="00F32B28">
        <w:rPr>
          <w:rtl/>
        </w:rPr>
        <w:t xml:space="preserve"> </w:t>
      </w:r>
      <w:r w:rsidR="00F32B28" w:rsidRPr="00F32B28">
        <w:rPr>
          <w:rtl/>
        </w:rPr>
        <w:t>لم</w:t>
      </w:r>
      <w:r w:rsidR="00F32B28">
        <w:rPr>
          <w:rtl/>
        </w:rPr>
        <w:t xml:space="preserve"> </w:t>
      </w:r>
      <w:r w:rsidR="00F32B28" w:rsidRPr="00F32B28">
        <w:rPr>
          <w:rtl/>
        </w:rPr>
        <w:t>تتجاوز</w:t>
      </w:r>
      <w:r w:rsidR="00F32B28">
        <w:rPr>
          <w:rtl/>
        </w:rPr>
        <w:t xml:space="preserve"> </w:t>
      </w:r>
      <w:r w:rsidR="00F32B28" w:rsidRPr="00F32B28">
        <w:rPr>
          <w:rtl/>
        </w:rPr>
        <w:t>العقوبة</w:t>
      </w:r>
      <w:r w:rsidR="00F32B28">
        <w:rPr>
          <w:rtl/>
        </w:rPr>
        <w:t xml:space="preserve"> </w:t>
      </w:r>
      <w:r w:rsidR="00F32B28" w:rsidRPr="00F32B28">
        <w:rPr>
          <w:rtl/>
        </w:rPr>
        <w:t>المفروضة</w:t>
      </w:r>
      <w:r w:rsidR="00F32B28">
        <w:rPr>
          <w:rtl/>
        </w:rPr>
        <w:t xml:space="preserve"> </w:t>
      </w:r>
      <w:r w:rsidR="00F32B28" w:rsidRPr="00F32B28">
        <w:rPr>
          <w:rtl/>
        </w:rPr>
        <w:t>على</w:t>
      </w:r>
      <w:r w:rsidR="00F32B28">
        <w:rPr>
          <w:rtl/>
        </w:rPr>
        <w:t xml:space="preserve"> </w:t>
      </w:r>
      <w:r w:rsidR="00F32B28" w:rsidRPr="00F32B28">
        <w:rPr>
          <w:rtl/>
        </w:rPr>
        <w:t>هؤلاء</w:t>
      </w:r>
      <w:r w:rsidR="00F32B28">
        <w:rPr>
          <w:rtl/>
        </w:rPr>
        <w:t xml:space="preserve"> </w:t>
      </w:r>
      <w:r w:rsidR="00F32B28" w:rsidRPr="00F32B28">
        <w:rPr>
          <w:rtl/>
        </w:rPr>
        <w:t>في</w:t>
      </w:r>
      <w:r w:rsidR="00F32B28">
        <w:rPr>
          <w:rtl/>
        </w:rPr>
        <w:t xml:space="preserve"> </w:t>
      </w:r>
      <w:r w:rsidR="00F32B28" w:rsidRPr="00F32B28">
        <w:rPr>
          <w:rtl/>
        </w:rPr>
        <w:t>معظم</w:t>
      </w:r>
      <w:r w:rsidR="00F32B28">
        <w:rPr>
          <w:rtl/>
        </w:rPr>
        <w:t xml:space="preserve"> </w:t>
      </w:r>
      <w:r w:rsidR="00F32B28" w:rsidRPr="00F32B28">
        <w:rPr>
          <w:rtl/>
        </w:rPr>
        <w:t>الحالات</w:t>
      </w:r>
      <w:r w:rsidR="00F32B28">
        <w:rPr>
          <w:rtl/>
        </w:rPr>
        <w:t xml:space="preserve"> </w:t>
      </w:r>
      <w:r w:rsidR="00F32B28" w:rsidRPr="00F32B28">
        <w:rPr>
          <w:rtl/>
        </w:rPr>
        <w:t>عن</w:t>
      </w:r>
      <w:r w:rsidR="00F32B28">
        <w:rPr>
          <w:rtl/>
        </w:rPr>
        <w:t xml:space="preserve"> </w:t>
      </w:r>
      <w:r w:rsidR="00F32B28" w:rsidRPr="00F32B28">
        <w:rPr>
          <w:rtl/>
        </w:rPr>
        <w:t>الحبس</w:t>
      </w:r>
      <w:r w:rsidR="00F32B28">
        <w:rPr>
          <w:rtl/>
        </w:rPr>
        <w:t xml:space="preserve"> </w:t>
      </w:r>
      <w:r w:rsidR="00F32B28" w:rsidRPr="00F32B28">
        <w:rPr>
          <w:rtl/>
        </w:rPr>
        <w:t>لمدة</w:t>
      </w:r>
      <w:r w:rsidR="00F32B28">
        <w:rPr>
          <w:rtl/>
        </w:rPr>
        <w:t xml:space="preserve"> </w:t>
      </w:r>
      <w:r w:rsidR="00F32B28" w:rsidRPr="00F32B28">
        <w:rPr>
          <w:rtl/>
        </w:rPr>
        <w:t>ثلاث</w:t>
      </w:r>
      <w:r w:rsidR="00F32B28">
        <w:rPr>
          <w:rtl/>
        </w:rPr>
        <w:t xml:space="preserve"> </w:t>
      </w:r>
      <w:r w:rsidR="00F32B28" w:rsidRPr="00F32B28">
        <w:rPr>
          <w:rtl/>
        </w:rPr>
        <w:t>سنوات،</w:t>
      </w:r>
      <w:r w:rsidR="00F32B28">
        <w:rPr>
          <w:rtl/>
        </w:rPr>
        <w:t xml:space="preserve"> </w:t>
      </w:r>
      <w:r w:rsidR="00F32B28" w:rsidRPr="00F32B28">
        <w:rPr>
          <w:rtl/>
        </w:rPr>
        <w:t>بل</w:t>
      </w:r>
      <w:r w:rsidR="00F32B28">
        <w:rPr>
          <w:rtl/>
        </w:rPr>
        <w:t xml:space="preserve"> </w:t>
      </w:r>
      <w:r w:rsidR="00F32B28" w:rsidRPr="00F32B28">
        <w:rPr>
          <w:rtl/>
        </w:rPr>
        <w:t>تم</w:t>
      </w:r>
      <w:r w:rsidR="00F32B28">
        <w:rPr>
          <w:rtl/>
        </w:rPr>
        <w:t xml:space="preserve"> </w:t>
      </w:r>
      <w:r w:rsidR="00F32B28" w:rsidRPr="00F32B28">
        <w:rPr>
          <w:rtl/>
        </w:rPr>
        <w:t>تخفيضها</w:t>
      </w:r>
      <w:r w:rsidR="00F32B28">
        <w:rPr>
          <w:rtl/>
        </w:rPr>
        <w:t xml:space="preserve"> </w:t>
      </w:r>
      <w:r w:rsidR="00F32B28" w:rsidRPr="00F32B28">
        <w:rPr>
          <w:rtl/>
        </w:rPr>
        <w:t>في</w:t>
      </w:r>
      <w:r w:rsidR="00F32B28">
        <w:rPr>
          <w:rtl/>
        </w:rPr>
        <w:t xml:space="preserve"> </w:t>
      </w:r>
      <w:r w:rsidR="00F32B28" w:rsidRPr="00F32B28">
        <w:rPr>
          <w:rtl/>
        </w:rPr>
        <w:t>الأحيان</w:t>
      </w:r>
      <w:r w:rsidR="00F32B28">
        <w:rPr>
          <w:rtl/>
        </w:rPr>
        <w:t xml:space="preserve"> </w:t>
      </w:r>
      <w:r w:rsidR="00F32B28" w:rsidRPr="00F32B28">
        <w:rPr>
          <w:rtl/>
        </w:rPr>
        <w:t>الأخرى</w:t>
      </w:r>
      <w:r w:rsidR="00F32B28">
        <w:rPr>
          <w:rtl/>
        </w:rPr>
        <w:t xml:space="preserve"> </w:t>
      </w:r>
      <w:r w:rsidR="00F32B28" w:rsidRPr="00F32B28">
        <w:rPr>
          <w:rtl/>
        </w:rPr>
        <w:t>إلى</w:t>
      </w:r>
      <w:r w:rsidR="00F32B28">
        <w:rPr>
          <w:rtl/>
        </w:rPr>
        <w:t xml:space="preserve"> </w:t>
      </w:r>
      <w:r w:rsidR="00F32B28" w:rsidRPr="00F32B28">
        <w:rPr>
          <w:rtl/>
        </w:rPr>
        <w:t>سنة</w:t>
      </w:r>
      <w:r w:rsidR="00F32B28">
        <w:rPr>
          <w:rtl/>
        </w:rPr>
        <w:t xml:space="preserve"> </w:t>
      </w:r>
      <w:r w:rsidR="00F32B28" w:rsidRPr="00F32B28">
        <w:rPr>
          <w:rtl/>
        </w:rPr>
        <w:t>أو</w:t>
      </w:r>
      <w:r w:rsidR="00F32B28">
        <w:rPr>
          <w:rtl/>
        </w:rPr>
        <w:t xml:space="preserve"> </w:t>
      </w:r>
      <w:r w:rsidR="00F32B28" w:rsidRPr="00F32B28">
        <w:rPr>
          <w:rtl/>
        </w:rPr>
        <w:t>ستة</w:t>
      </w:r>
      <w:r w:rsidR="00F32B28">
        <w:rPr>
          <w:rtl/>
        </w:rPr>
        <w:t xml:space="preserve"> </w:t>
      </w:r>
      <w:r w:rsidR="00F32B28" w:rsidRPr="00F32B28">
        <w:rPr>
          <w:rtl/>
        </w:rPr>
        <w:t>أشهر.</w:t>
      </w:r>
      <w:r w:rsidR="00F32B28">
        <w:rPr>
          <w:rtl/>
        </w:rPr>
        <w:t xml:space="preserve"> </w:t>
      </w:r>
      <w:r w:rsidR="00F32B28" w:rsidRPr="00F32B28">
        <w:rPr>
          <w:rtl/>
        </w:rPr>
        <w:t>وتشير</w:t>
      </w:r>
      <w:r w:rsidR="00F32B28">
        <w:rPr>
          <w:rtl/>
        </w:rPr>
        <w:t xml:space="preserve"> </w:t>
      </w:r>
      <w:r w:rsidR="00F32B28" w:rsidRPr="00F32B28">
        <w:rPr>
          <w:rtl/>
        </w:rPr>
        <w:t>الدراسات</w:t>
      </w:r>
      <w:r w:rsidR="00F32B28">
        <w:rPr>
          <w:rtl/>
        </w:rPr>
        <w:t xml:space="preserve"> </w:t>
      </w:r>
      <w:r w:rsidR="00F32B28" w:rsidRPr="00F32B28">
        <w:rPr>
          <w:rtl/>
        </w:rPr>
        <w:t>إلى</w:t>
      </w:r>
      <w:r w:rsidR="00F32B28">
        <w:rPr>
          <w:rtl/>
        </w:rPr>
        <w:t xml:space="preserve"> </w:t>
      </w:r>
      <w:r w:rsidR="00F32B28" w:rsidRPr="00F32B28">
        <w:rPr>
          <w:rtl/>
        </w:rPr>
        <w:t>أن</w:t>
      </w:r>
      <w:r w:rsidR="00F32B28">
        <w:rPr>
          <w:rtl/>
        </w:rPr>
        <w:t xml:space="preserve"> </w:t>
      </w:r>
      <w:r w:rsidR="00F32B28" w:rsidRPr="00F32B28">
        <w:rPr>
          <w:rtl/>
        </w:rPr>
        <w:t>معظم</w:t>
      </w:r>
      <w:r w:rsidR="00F32B28">
        <w:rPr>
          <w:rtl/>
        </w:rPr>
        <w:t xml:space="preserve"> </w:t>
      </w:r>
      <w:r w:rsidR="00F32B28" w:rsidRPr="00F32B28">
        <w:rPr>
          <w:rtl/>
        </w:rPr>
        <w:t>هذه</w:t>
      </w:r>
      <w:r w:rsidR="00F32B28">
        <w:rPr>
          <w:rtl/>
        </w:rPr>
        <w:t xml:space="preserve"> </w:t>
      </w:r>
      <w:r w:rsidR="00F32B28" w:rsidRPr="00F32B28">
        <w:rPr>
          <w:rtl/>
        </w:rPr>
        <w:t>الجرائم</w:t>
      </w:r>
      <w:r w:rsidR="00F32B28">
        <w:rPr>
          <w:rtl/>
        </w:rPr>
        <w:t xml:space="preserve"> </w:t>
      </w:r>
      <w:r w:rsidR="00F32B28" w:rsidRPr="00F32B28">
        <w:rPr>
          <w:rtl/>
        </w:rPr>
        <w:t>يكون</w:t>
      </w:r>
      <w:r w:rsidR="00F32B28">
        <w:rPr>
          <w:rtl/>
        </w:rPr>
        <w:t xml:space="preserve"> </w:t>
      </w:r>
      <w:r w:rsidR="00F32B28" w:rsidRPr="00F32B28">
        <w:rPr>
          <w:rtl/>
        </w:rPr>
        <w:t>السبب</w:t>
      </w:r>
      <w:r w:rsidR="00F32B28">
        <w:rPr>
          <w:rtl/>
        </w:rPr>
        <w:t xml:space="preserve"> </w:t>
      </w:r>
      <w:r w:rsidR="00F32B28" w:rsidRPr="00F32B28">
        <w:rPr>
          <w:rtl/>
        </w:rPr>
        <w:t>الحقيقي</w:t>
      </w:r>
      <w:r w:rsidR="00F32B28">
        <w:rPr>
          <w:rtl/>
        </w:rPr>
        <w:t xml:space="preserve"> </w:t>
      </w:r>
      <w:r w:rsidR="00F32B28" w:rsidRPr="00F32B28">
        <w:rPr>
          <w:rtl/>
        </w:rPr>
        <w:t>ورائها</w:t>
      </w:r>
      <w:r w:rsidR="00F32B28">
        <w:rPr>
          <w:rtl/>
        </w:rPr>
        <w:t xml:space="preserve"> </w:t>
      </w:r>
      <w:r w:rsidR="00F32B28" w:rsidRPr="00F32B28">
        <w:rPr>
          <w:rtl/>
        </w:rPr>
        <w:t>لا</w:t>
      </w:r>
      <w:r w:rsidR="00F32B28">
        <w:rPr>
          <w:rtl/>
        </w:rPr>
        <w:t xml:space="preserve"> </w:t>
      </w:r>
      <w:r w:rsidR="00F32B28" w:rsidRPr="00F32B28">
        <w:rPr>
          <w:rtl/>
        </w:rPr>
        <w:t>يعود</w:t>
      </w:r>
      <w:r w:rsidR="00F32B28">
        <w:rPr>
          <w:rtl/>
        </w:rPr>
        <w:t xml:space="preserve"> </w:t>
      </w:r>
      <w:r w:rsidR="00F32B28" w:rsidRPr="00F32B28">
        <w:rPr>
          <w:rtl/>
        </w:rPr>
        <w:t>لسلوكيات</w:t>
      </w:r>
      <w:r w:rsidR="00F32B28">
        <w:rPr>
          <w:rtl/>
        </w:rPr>
        <w:t xml:space="preserve"> </w:t>
      </w:r>
      <w:r w:rsidR="00F32B28" w:rsidRPr="00F32B28">
        <w:rPr>
          <w:rtl/>
        </w:rPr>
        <w:t>المرأة</w:t>
      </w:r>
      <w:r w:rsidR="00F32B28">
        <w:rPr>
          <w:rtl/>
        </w:rPr>
        <w:t xml:space="preserve"> </w:t>
      </w:r>
      <w:r w:rsidR="00F32B28" w:rsidRPr="00F32B28">
        <w:rPr>
          <w:rtl/>
        </w:rPr>
        <w:t>بحسب</w:t>
      </w:r>
      <w:r w:rsidR="00F32B28">
        <w:rPr>
          <w:rtl/>
        </w:rPr>
        <w:t xml:space="preserve"> </w:t>
      </w:r>
      <w:r w:rsidR="00F32B28" w:rsidRPr="00F32B28">
        <w:rPr>
          <w:rtl/>
        </w:rPr>
        <w:t>ما</w:t>
      </w:r>
      <w:r w:rsidR="00F32B28">
        <w:rPr>
          <w:rtl/>
        </w:rPr>
        <w:t xml:space="preserve"> </w:t>
      </w:r>
      <w:r w:rsidR="00F32B28" w:rsidRPr="00F32B28">
        <w:rPr>
          <w:rtl/>
        </w:rPr>
        <w:t>يتذرع</w:t>
      </w:r>
      <w:r w:rsidR="00F32B28">
        <w:rPr>
          <w:rtl/>
        </w:rPr>
        <w:t xml:space="preserve"> </w:t>
      </w:r>
      <w:r w:rsidR="00F32B28" w:rsidRPr="00F32B28">
        <w:rPr>
          <w:rtl/>
        </w:rPr>
        <w:t>الجناة،</w:t>
      </w:r>
      <w:r w:rsidR="00F32B28">
        <w:rPr>
          <w:rtl/>
        </w:rPr>
        <w:t xml:space="preserve"> </w:t>
      </w:r>
      <w:r w:rsidR="00F32B28" w:rsidRPr="00F32B28">
        <w:rPr>
          <w:rtl/>
        </w:rPr>
        <w:t>إنما</w:t>
      </w:r>
      <w:r w:rsidR="00F32B28">
        <w:rPr>
          <w:rtl/>
        </w:rPr>
        <w:t xml:space="preserve"> </w:t>
      </w:r>
      <w:r w:rsidR="00F32B28" w:rsidRPr="00F32B28">
        <w:rPr>
          <w:rtl/>
        </w:rPr>
        <w:t>يكون</w:t>
      </w:r>
      <w:r w:rsidR="00F32B28">
        <w:rPr>
          <w:rtl/>
        </w:rPr>
        <w:t xml:space="preserve"> </w:t>
      </w:r>
      <w:r w:rsidR="00F32B28" w:rsidRPr="00F32B28">
        <w:rPr>
          <w:rtl/>
        </w:rPr>
        <w:t>بسبب</w:t>
      </w:r>
      <w:r w:rsidR="00F32B28">
        <w:rPr>
          <w:rtl/>
        </w:rPr>
        <w:t xml:space="preserve"> </w:t>
      </w:r>
      <w:r w:rsidR="00F32B28" w:rsidRPr="00F32B28">
        <w:rPr>
          <w:rtl/>
        </w:rPr>
        <w:t>خلافات</w:t>
      </w:r>
      <w:r w:rsidR="00F32B28">
        <w:rPr>
          <w:rtl/>
        </w:rPr>
        <w:t xml:space="preserve"> </w:t>
      </w:r>
      <w:r w:rsidR="00F32B28" w:rsidRPr="00F32B28">
        <w:rPr>
          <w:rtl/>
        </w:rPr>
        <w:t>عائلية،</w:t>
      </w:r>
      <w:r w:rsidR="00F32B28">
        <w:rPr>
          <w:rtl/>
        </w:rPr>
        <w:t xml:space="preserve"> </w:t>
      </w:r>
      <w:r w:rsidR="00F32B28" w:rsidRPr="00F32B28">
        <w:rPr>
          <w:rtl/>
        </w:rPr>
        <w:t>أو</w:t>
      </w:r>
      <w:r w:rsidR="00F32B28">
        <w:rPr>
          <w:rtl/>
        </w:rPr>
        <w:t xml:space="preserve"> </w:t>
      </w:r>
      <w:r w:rsidR="00F32B28" w:rsidRPr="00F32B28">
        <w:rPr>
          <w:rtl/>
        </w:rPr>
        <w:t>عنف</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الزوج،</w:t>
      </w:r>
      <w:r w:rsidR="00F32B28">
        <w:rPr>
          <w:rtl/>
        </w:rPr>
        <w:t xml:space="preserve"> </w:t>
      </w:r>
      <w:r w:rsidR="00F32B28" w:rsidRPr="00F32B28">
        <w:rPr>
          <w:rtl/>
        </w:rPr>
        <w:t>أو</w:t>
      </w:r>
      <w:r w:rsidR="00F32B28">
        <w:rPr>
          <w:rtl/>
        </w:rPr>
        <w:t xml:space="preserve"> </w:t>
      </w:r>
      <w:r w:rsidR="00F32B28" w:rsidRPr="00F32B28">
        <w:rPr>
          <w:rtl/>
        </w:rPr>
        <w:t>السرقة،</w:t>
      </w:r>
      <w:r w:rsidR="00F32B28">
        <w:rPr>
          <w:rtl/>
        </w:rPr>
        <w:t xml:space="preserve"> </w:t>
      </w:r>
      <w:r w:rsidR="00F32B28" w:rsidRPr="00F32B28">
        <w:rPr>
          <w:rtl/>
        </w:rPr>
        <w:t>أو</w:t>
      </w:r>
      <w:r w:rsidR="00F32B28">
        <w:rPr>
          <w:rtl/>
        </w:rPr>
        <w:t xml:space="preserve"> </w:t>
      </w:r>
      <w:r w:rsidR="00F32B28" w:rsidRPr="00F32B28">
        <w:rPr>
          <w:rtl/>
        </w:rPr>
        <w:t>الانتحار</w:t>
      </w:r>
      <w:r w:rsidR="00F32B28">
        <w:rPr>
          <w:rtl/>
        </w:rPr>
        <w:t xml:space="preserve"> </w:t>
      </w:r>
      <w:r w:rsidR="00F32B28" w:rsidRPr="00F32B28">
        <w:rPr>
          <w:rtl/>
        </w:rPr>
        <w:t>بسبب</w:t>
      </w:r>
      <w:r w:rsidR="00F32B28">
        <w:rPr>
          <w:rtl/>
        </w:rPr>
        <w:t xml:space="preserve"> </w:t>
      </w:r>
      <w:r w:rsidR="00F32B28" w:rsidRPr="00F32B28">
        <w:rPr>
          <w:rtl/>
        </w:rPr>
        <w:t>تعرضها</w:t>
      </w:r>
      <w:r w:rsidR="00F32B28">
        <w:rPr>
          <w:rtl/>
        </w:rPr>
        <w:t xml:space="preserve"> </w:t>
      </w:r>
      <w:r w:rsidR="00F32B28" w:rsidRPr="00F32B28">
        <w:rPr>
          <w:rtl/>
        </w:rPr>
        <w:t>للتحرش</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أحد</w:t>
      </w:r>
      <w:r w:rsidR="00F32B28">
        <w:rPr>
          <w:rtl/>
        </w:rPr>
        <w:t xml:space="preserve"> </w:t>
      </w:r>
      <w:r w:rsidR="00F32B28" w:rsidRPr="00F32B28">
        <w:rPr>
          <w:rtl/>
        </w:rPr>
        <w:t>أقاربها،</w:t>
      </w:r>
      <w:r w:rsidR="00F32B28">
        <w:rPr>
          <w:rtl/>
        </w:rPr>
        <w:t xml:space="preserve"> </w:t>
      </w:r>
      <w:r w:rsidR="00F32B28" w:rsidRPr="00F32B28">
        <w:rPr>
          <w:rtl/>
        </w:rPr>
        <w:t>ولعل</w:t>
      </w:r>
      <w:r w:rsidR="00F32B28">
        <w:rPr>
          <w:rtl/>
        </w:rPr>
        <w:t xml:space="preserve"> </w:t>
      </w:r>
      <w:r w:rsidR="00F32B28" w:rsidRPr="00F32B28">
        <w:rPr>
          <w:rtl/>
        </w:rPr>
        <w:t>أبرز</w:t>
      </w:r>
      <w:r w:rsidR="00F32B28">
        <w:rPr>
          <w:rtl/>
        </w:rPr>
        <w:t xml:space="preserve"> </w:t>
      </w:r>
      <w:r w:rsidR="00F32B28" w:rsidRPr="00F32B28">
        <w:rPr>
          <w:rtl/>
        </w:rPr>
        <w:t>أسباب</w:t>
      </w:r>
      <w:r w:rsidR="00F32B28">
        <w:rPr>
          <w:rtl/>
        </w:rPr>
        <w:t xml:space="preserve"> </w:t>
      </w:r>
      <w:r w:rsidR="00F32B28" w:rsidRPr="00F32B28">
        <w:rPr>
          <w:rtl/>
        </w:rPr>
        <w:t>قتل</w:t>
      </w:r>
      <w:r w:rsidR="00F32B28">
        <w:rPr>
          <w:rtl/>
        </w:rPr>
        <w:t xml:space="preserve"> </w:t>
      </w:r>
      <w:r w:rsidR="00F32B28" w:rsidRPr="00F32B28">
        <w:rPr>
          <w:rtl/>
        </w:rPr>
        <w:t>النساء</w:t>
      </w:r>
      <w:r w:rsidR="00F32B28">
        <w:rPr>
          <w:rtl/>
        </w:rPr>
        <w:t xml:space="preserve"> </w:t>
      </w:r>
      <w:r w:rsidR="00F32B28" w:rsidRPr="00F32B28">
        <w:rPr>
          <w:rtl/>
        </w:rPr>
        <w:t>يكون</w:t>
      </w:r>
      <w:r w:rsidR="00F32B28">
        <w:rPr>
          <w:rtl/>
        </w:rPr>
        <w:t xml:space="preserve"> </w:t>
      </w:r>
      <w:r w:rsidR="00F32B28" w:rsidRPr="00F32B28">
        <w:rPr>
          <w:rtl/>
        </w:rPr>
        <w:t>من</w:t>
      </w:r>
      <w:r w:rsidR="00F32B28">
        <w:rPr>
          <w:rtl/>
        </w:rPr>
        <w:t xml:space="preserve"> </w:t>
      </w:r>
      <w:r w:rsidR="00F32B28" w:rsidRPr="00F32B28">
        <w:rPr>
          <w:rtl/>
        </w:rPr>
        <w:t>أجل</w:t>
      </w:r>
      <w:r w:rsidR="00F32B28">
        <w:rPr>
          <w:rtl/>
        </w:rPr>
        <w:t xml:space="preserve"> </w:t>
      </w:r>
      <w:r w:rsidR="00F32B28" w:rsidRPr="00F32B28">
        <w:rPr>
          <w:rtl/>
        </w:rPr>
        <w:t>حصصهن</w:t>
      </w:r>
      <w:r w:rsidR="00F32B28">
        <w:rPr>
          <w:rtl/>
        </w:rPr>
        <w:t xml:space="preserve"> </w:t>
      </w:r>
      <w:r w:rsidR="00F32B28" w:rsidRPr="00F32B28">
        <w:rPr>
          <w:rtl/>
        </w:rPr>
        <w:t>الإرثية.</w:t>
      </w:r>
    </w:p>
    <w:p w:rsidR="00F32B28" w:rsidRPr="00F32B28" w:rsidRDefault="00B80192" w:rsidP="00B80192">
      <w:pPr>
        <w:pStyle w:val="SingleTxt"/>
        <w:rPr>
          <w:rtl/>
          <w:lang w:bidi="ar-SY"/>
        </w:rPr>
      </w:pPr>
      <w:r>
        <w:rPr>
          <w:rFonts w:hint="cs"/>
          <w:rtl/>
          <w:lang w:bidi="ar-SY"/>
        </w:rPr>
        <w:t>85 -</w:t>
      </w:r>
      <w:r>
        <w:rPr>
          <w:rFonts w:hint="cs"/>
          <w:rtl/>
          <w:lang w:bidi="ar-SY"/>
        </w:rPr>
        <w:tab/>
      </w:r>
      <w:r w:rsidR="00F32B28" w:rsidRPr="00F32B28">
        <w:rPr>
          <w:rtl/>
          <w:lang w:bidi="ar-SY"/>
        </w:rPr>
        <w:t>كما</w:t>
      </w:r>
      <w:r w:rsidR="00F32B28">
        <w:rPr>
          <w:rtl/>
          <w:lang w:bidi="ar-SY"/>
        </w:rPr>
        <w:t xml:space="preserve"> </w:t>
      </w:r>
      <w:r w:rsidR="00F32B28" w:rsidRPr="00F32B28">
        <w:rPr>
          <w:rtl/>
          <w:lang w:bidi="ar-SY"/>
        </w:rPr>
        <w:t>أصدر</w:t>
      </w:r>
      <w:r w:rsidR="00F32B28">
        <w:rPr>
          <w:rtl/>
          <w:lang w:bidi="ar-SY"/>
        </w:rPr>
        <w:t xml:space="preserve"> </w:t>
      </w:r>
      <w:r w:rsidR="00F32B28" w:rsidRPr="00F32B28">
        <w:rPr>
          <w:rtl/>
          <w:lang w:bidi="ar-SY"/>
        </w:rPr>
        <w:t>مجلس</w:t>
      </w:r>
      <w:r w:rsidR="00F32B28">
        <w:rPr>
          <w:rtl/>
          <w:lang w:bidi="ar-SY"/>
        </w:rPr>
        <w:t xml:space="preserve"> </w:t>
      </w:r>
      <w:r w:rsidR="00F32B28" w:rsidRPr="00F32B28">
        <w:rPr>
          <w:rtl/>
          <w:lang w:bidi="ar-SY"/>
        </w:rPr>
        <w:t>الوزراء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نيسان</w:t>
      </w:r>
      <w:r w:rsidR="00846FB9">
        <w:rPr>
          <w:rFonts w:hint="cs"/>
          <w:rtl/>
          <w:lang w:bidi="ar-SY"/>
        </w:rPr>
        <w:t>/أبريل</w:t>
      </w:r>
      <w:r w:rsidR="00F32B28">
        <w:rPr>
          <w:rtl/>
          <w:lang w:bidi="ar-SY"/>
        </w:rPr>
        <w:t xml:space="preserve"> </w:t>
      </w:r>
      <w:r w:rsidR="00F32B28" w:rsidRPr="00F32B28">
        <w:rPr>
          <w:rtl/>
          <w:lang w:bidi="ar-SY"/>
        </w:rPr>
        <w:t>2014</w:t>
      </w:r>
      <w:r w:rsidR="00F32B28">
        <w:rPr>
          <w:rtl/>
          <w:lang w:bidi="ar-SY"/>
        </w:rPr>
        <w:t xml:space="preserve"> </w:t>
      </w:r>
      <w:r w:rsidR="00F32B28" w:rsidRPr="00F32B28">
        <w:rPr>
          <w:rtl/>
          <w:lang w:bidi="ar-SY"/>
        </w:rPr>
        <w:t>قراراً</w:t>
      </w:r>
      <w:r w:rsidR="00F32B28">
        <w:rPr>
          <w:rtl/>
          <w:lang w:bidi="ar-SY"/>
        </w:rPr>
        <w:t xml:space="preserve"> </w:t>
      </w:r>
      <w:r w:rsidR="00F32B28" w:rsidRPr="00F32B28">
        <w:rPr>
          <w:rtl/>
          <w:lang w:bidi="ar-SY"/>
        </w:rPr>
        <w:t>بخصوص</w:t>
      </w:r>
      <w:r w:rsidR="00F32B28">
        <w:rPr>
          <w:rtl/>
          <w:lang w:bidi="ar-SY"/>
        </w:rPr>
        <w:t xml:space="preserve"> </w:t>
      </w:r>
      <w:r w:rsidR="00F32B28" w:rsidRPr="00F32B28">
        <w:rPr>
          <w:rtl/>
          <w:lang w:bidi="ar-SY"/>
        </w:rPr>
        <w:t>إيواء</w:t>
      </w:r>
      <w:r w:rsidR="00F32B28">
        <w:rPr>
          <w:rtl/>
          <w:lang w:bidi="ar-SY"/>
        </w:rPr>
        <w:t xml:space="preserve"> </w:t>
      </w:r>
      <w:r w:rsidR="00F32B28" w:rsidRPr="00F32B28">
        <w:rPr>
          <w:rtl/>
          <w:lang w:bidi="ar-SY"/>
        </w:rPr>
        <w:t>الأطفال،</w:t>
      </w:r>
      <w:r w:rsidR="00F32B28">
        <w:rPr>
          <w:rtl/>
          <w:lang w:bidi="ar-SY"/>
        </w:rPr>
        <w:t xml:space="preserve"> </w:t>
      </w:r>
      <w:r w:rsidR="00F32B28" w:rsidRPr="00F32B28">
        <w:rPr>
          <w:rtl/>
          <w:lang w:bidi="ar-SY"/>
        </w:rPr>
        <w:t>إناثاً</w:t>
      </w:r>
      <w:r w:rsidR="00F32B28">
        <w:rPr>
          <w:rtl/>
          <w:lang w:bidi="ar-SY"/>
        </w:rPr>
        <w:t xml:space="preserve"> </w:t>
      </w:r>
      <w:r w:rsidR="00F32B28" w:rsidRPr="00F32B28">
        <w:rPr>
          <w:rtl/>
          <w:lang w:bidi="ar-SY"/>
        </w:rPr>
        <w:t>وذكوراً،</w:t>
      </w:r>
      <w:r w:rsidR="00F32B28">
        <w:rPr>
          <w:rtl/>
          <w:lang w:bidi="ar-SY"/>
        </w:rPr>
        <w:t xml:space="preserve"> </w:t>
      </w:r>
      <w:r w:rsidR="00F32B28" w:rsidRPr="00F32B28">
        <w:rPr>
          <w:rtl/>
          <w:lang w:bidi="ar-SY"/>
        </w:rPr>
        <w:t>لدى</w:t>
      </w:r>
      <w:r w:rsidR="00F32B28">
        <w:rPr>
          <w:rtl/>
          <w:lang w:bidi="ar-SY"/>
        </w:rPr>
        <w:t xml:space="preserve"> </w:t>
      </w:r>
      <w:r w:rsidR="00F32B28" w:rsidRPr="00F32B28">
        <w:rPr>
          <w:rtl/>
          <w:lang w:bidi="ar-SY"/>
        </w:rPr>
        <w:t>أسر</w:t>
      </w:r>
      <w:r w:rsidR="00F32B28">
        <w:rPr>
          <w:rtl/>
          <w:lang w:bidi="ar-SY"/>
        </w:rPr>
        <w:t xml:space="preserve"> </w:t>
      </w:r>
      <w:r w:rsidR="00F32B28" w:rsidRPr="00F32B28">
        <w:rPr>
          <w:rtl/>
          <w:lang w:bidi="ar-SY"/>
        </w:rPr>
        <w:t>بديلة</w:t>
      </w:r>
      <w:r w:rsidR="00F32B28">
        <w:rPr>
          <w:rtl/>
          <w:lang w:bidi="ar-SY"/>
        </w:rPr>
        <w:t xml:space="preserve"> </w:t>
      </w:r>
      <w:r w:rsidR="00F32B28" w:rsidRPr="00F32B28">
        <w:rPr>
          <w:rtl/>
          <w:lang w:bidi="ar-SY"/>
        </w:rPr>
        <w:t>مؤقتة</w:t>
      </w:r>
      <w:r w:rsidR="00F32B28">
        <w:rPr>
          <w:rtl/>
          <w:lang w:bidi="ar-SY"/>
        </w:rPr>
        <w:t xml:space="preserve"> </w:t>
      </w:r>
      <w:r w:rsidR="00F32B28" w:rsidRPr="00F32B28">
        <w:rPr>
          <w:rtl/>
          <w:lang w:bidi="ar-SY"/>
        </w:rPr>
        <w:t>مكونة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زوجين</w:t>
      </w:r>
      <w:r>
        <w:rPr>
          <w:rFonts w:hint="cs"/>
          <w:rtl/>
          <w:lang w:bidi="ar-SY"/>
        </w:rPr>
        <w:t xml:space="preserve"> </w:t>
      </w:r>
      <w:r w:rsidR="00F32B28" w:rsidRPr="00F32B28">
        <w:rPr>
          <w:rtl/>
          <w:lang w:bidi="ar-SY"/>
        </w:rPr>
        <w:t>إذا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كانوا</w:t>
      </w:r>
      <w:r w:rsidR="00F32B28">
        <w:rPr>
          <w:rtl/>
          <w:lang w:bidi="ar-SY"/>
        </w:rPr>
        <w:t xml:space="preserve"> </w:t>
      </w:r>
      <w:r w:rsidR="00F32B28" w:rsidRPr="00F32B28">
        <w:rPr>
          <w:rtl/>
          <w:lang w:bidi="ar-SY"/>
        </w:rPr>
        <w:t>هؤلاء</w:t>
      </w:r>
      <w:r w:rsidR="00F32B28">
        <w:rPr>
          <w:rtl/>
          <w:lang w:bidi="ar-SY"/>
        </w:rPr>
        <w:t xml:space="preserve"> </w:t>
      </w:r>
      <w:r w:rsidR="00F32B28" w:rsidRPr="00F32B28">
        <w:rPr>
          <w:rtl/>
          <w:lang w:bidi="ar-SY"/>
        </w:rPr>
        <w:t>الأطفال</w:t>
      </w:r>
      <w:r w:rsidR="00F32B28">
        <w:rPr>
          <w:rtl/>
          <w:lang w:bidi="ar-SY"/>
        </w:rPr>
        <w:t xml:space="preserve"> </w:t>
      </w:r>
      <w:r w:rsidR="00F32B28" w:rsidRPr="00F32B28">
        <w:rPr>
          <w:rtl/>
          <w:lang w:bidi="ar-SY"/>
        </w:rPr>
        <w:t>عرضةً</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مؤقت</w:t>
      </w:r>
      <w:r w:rsidR="00F32B28">
        <w:rPr>
          <w:rtl/>
          <w:lang w:bidi="ar-SY"/>
        </w:rPr>
        <w:t xml:space="preserve"> </w:t>
      </w:r>
      <w:r w:rsidR="00F32B28" w:rsidRPr="00F32B28">
        <w:rPr>
          <w:rtl/>
          <w:lang w:bidi="ar-SY"/>
        </w:rPr>
        <w:t>لخطر</w:t>
      </w:r>
      <w:r w:rsidR="00F32B28">
        <w:rPr>
          <w:rtl/>
          <w:lang w:bidi="ar-SY"/>
        </w:rPr>
        <w:t xml:space="preserve"> </w:t>
      </w:r>
      <w:r w:rsidR="00F32B28" w:rsidRPr="00F32B28">
        <w:rPr>
          <w:rtl/>
          <w:lang w:bidi="ar-SY"/>
        </w:rPr>
        <w:t>العنف</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الاستغلال</w:t>
      </w:r>
      <w:r w:rsidR="00F32B28">
        <w:rPr>
          <w:rtl/>
          <w:lang w:bidi="ar-SY"/>
        </w:rPr>
        <w:t xml:space="preserve"> </w:t>
      </w:r>
      <w:r w:rsidR="00F32B28" w:rsidRPr="00F32B28">
        <w:rPr>
          <w:rtl/>
          <w:lang w:bidi="ar-SY"/>
        </w:rPr>
        <w:t>لدى</w:t>
      </w:r>
      <w:r w:rsidR="00F32B28">
        <w:rPr>
          <w:rtl/>
          <w:lang w:bidi="ar-SY"/>
        </w:rPr>
        <w:t xml:space="preserve"> </w:t>
      </w:r>
      <w:r w:rsidR="00F32B28" w:rsidRPr="00F32B28">
        <w:rPr>
          <w:rtl/>
          <w:lang w:bidi="ar-SY"/>
        </w:rPr>
        <w:t>أسرهم</w:t>
      </w:r>
      <w:r w:rsidR="00F32B28">
        <w:rPr>
          <w:rtl/>
          <w:lang w:bidi="ar-SY"/>
        </w:rPr>
        <w:t xml:space="preserve"> </w:t>
      </w:r>
      <w:r w:rsidR="00F32B28" w:rsidRPr="00F32B28">
        <w:rPr>
          <w:rtl/>
          <w:lang w:bidi="ar-SY"/>
        </w:rPr>
        <w:t>الأصلية.</w:t>
      </w:r>
      <w:r w:rsidR="00F32B28">
        <w:rPr>
          <w:rtl/>
          <w:lang w:bidi="ar-SY"/>
        </w:rPr>
        <w:t xml:space="preserve"> </w:t>
      </w:r>
      <w:r w:rsidR="00F32B28" w:rsidRPr="00F32B28">
        <w:rPr>
          <w:rtl/>
          <w:lang w:bidi="ar-SY"/>
        </w:rPr>
        <w:t>وتقوم</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التنمية</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بالتحري</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الأسرة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تطلب</w:t>
      </w:r>
      <w:r w:rsidR="00F32B28">
        <w:rPr>
          <w:rtl/>
          <w:lang w:bidi="ar-SY"/>
        </w:rPr>
        <w:t xml:space="preserve"> </w:t>
      </w:r>
      <w:r w:rsidR="00F32B28" w:rsidRPr="00F32B28">
        <w:rPr>
          <w:rtl/>
          <w:lang w:bidi="ar-SY"/>
        </w:rPr>
        <w:t>رعاية</w:t>
      </w:r>
      <w:r w:rsidR="00F32B28">
        <w:rPr>
          <w:rtl/>
          <w:lang w:bidi="ar-SY"/>
        </w:rPr>
        <w:t xml:space="preserve"> </w:t>
      </w:r>
      <w:r w:rsidR="00F32B28" w:rsidRPr="00F32B28">
        <w:rPr>
          <w:rtl/>
          <w:lang w:bidi="ar-SY"/>
        </w:rPr>
        <w:t>طفل</w:t>
      </w:r>
      <w:r w:rsidR="00F32B28">
        <w:rPr>
          <w:rtl/>
          <w:lang w:bidi="ar-SY"/>
        </w:rPr>
        <w:t xml:space="preserve"> </w:t>
      </w:r>
      <w:r w:rsidR="00F32B28" w:rsidRPr="00F32B28">
        <w:rPr>
          <w:rtl/>
          <w:lang w:bidi="ar-SY"/>
        </w:rPr>
        <w:t>والتثبت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استيفائها</w:t>
      </w:r>
      <w:r>
        <w:rPr>
          <w:rFonts w:hint="cs"/>
          <w:rtl/>
          <w:lang w:bidi="ar-SY"/>
        </w:rPr>
        <w:t xml:space="preserve"> </w:t>
      </w:r>
      <w:r w:rsidR="00F32B28" w:rsidRPr="00F32B28">
        <w:rPr>
          <w:rtl/>
          <w:lang w:bidi="ar-SY"/>
        </w:rPr>
        <w:t>لشروط</w:t>
      </w:r>
      <w:r w:rsidR="00F32B28">
        <w:rPr>
          <w:rtl/>
          <w:lang w:bidi="ar-SY"/>
        </w:rPr>
        <w:t xml:space="preserve"> </w:t>
      </w:r>
      <w:r w:rsidR="00F32B28" w:rsidRPr="00F32B28">
        <w:rPr>
          <w:rtl/>
          <w:lang w:bidi="ar-SY"/>
        </w:rPr>
        <w:t>المحددة</w:t>
      </w:r>
      <w:r w:rsidR="00F32B28">
        <w:rPr>
          <w:rtl/>
          <w:lang w:bidi="ar-SY"/>
        </w:rPr>
        <w:t xml:space="preserve"> </w:t>
      </w:r>
      <w:r w:rsidR="00F32B28" w:rsidRPr="00F32B28">
        <w:rPr>
          <w:rtl/>
          <w:lang w:bidi="ar-SY"/>
        </w:rPr>
        <w:t>اللازمة</w:t>
      </w:r>
      <w:r w:rsidR="00F32B28">
        <w:rPr>
          <w:rtl/>
          <w:lang w:bidi="ar-SY"/>
        </w:rPr>
        <w:t xml:space="preserve"> </w:t>
      </w:r>
      <w:r w:rsidR="00F32B28" w:rsidRPr="00F32B28">
        <w:rPr>
          <w:rtl/>
          <w:lang w:bidi="ar-SY"/>
        </w:rPr>
        <w:t>لتلبية</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احتياجات</w:t>
      </w:r>
      <w:r w:rsidR="00F32B28">
        <w:rPr>
          <w:rtl/>
          <w:lang w:bidi="ar-SY"/>
        </w:rPr>
        <w:t xml:space="preserve"> </w:t>
      </w:r>
      <w:r w:rsidR="00F32B28" w:rsidRPr="00F32B28">
        <w:rPr>
          <w:rtl/>
          <w:lang w:bidi="ar-SY"/>
        </w:rPr>
        <w:t>الطفل.</w:t>
      </w:r>
      <w:r w:rsidR="00F32B28">
        <w:rPr>
          <w:rtl/>
          <w:lang w:bidi="ar-SY"/>
        </w:rPr>
        <w:t xml:space="preserve"> </w:t>
      </w:r>
      <w:r w:rsidR="00F32B28" w:rsidRPr="00F32B28">
        <w:rPr>
          <w:rtl/>
          <w:lang w:bidi="ar-SY"/>
        </w:rPr>
        <w:t>ويحق</w:t>
      </w:r>
      <w:r w:rsidR="00F32B28">
        <w:rPr>
          <w:rtl/>
          <w:lang w:bidi="ar-SY"/>
        </w:rPr>
        <w:t xml:space="preserve"> </w:t>
      </w:r>
      <w:r w:rsidR="00F32B28" w:rsidRPr="00F32B28">
        <w:rPr>
          <w:rtl/>
          <w:lang w:bidi="ar-SY"/>
        </w:rPr>
        <w:t>للوزارة</w:t>
      </w:r>
      <w:r w:rsidR="00F32B28">
        <w:rPr>
          <w:rtl/>
          <w:lang w:bidi="ar-SY"/>
        </w:rPr>
        <w:t xml:space="preserve"> </w:t>
      </w:r>
      <w:r w:rsidR="00F32B28" w:rsidRPr="00F32B28">
        <w:rPr>
          <w:rtl/>
          <w:lang w:bidi="ar-SY"/>
        </w:rPr>
        <w:t>تسليم</w:t>
      </w:r>
      <w:r w:rsidR="00F32B28">
        <w:rPr>
          <w:rtl/>
          <w:lang w:bidi="ar-SY"/>
        </w:rPr>
        <w:t xml:space="preserve"> </w:t>
      </w:r>
      <w:r w:rsidR="00F32B28" w:rsidRPr="00F32B28">
        <w:rPr>
          <w:rtl/>
          <w:lang w:bidi="ar-SY"/>
        </w:rPr>
        <w:t>الطفل</w:t>
      </w:r>
      <w:r w:rsidR="00F32B28">
        <w:rPr>
          <w:rtl/>
          <w:lang w:bidi="ar-SY"/>
        </w:rPr>
        <w:t xml:space="preserve"> </w:t>
      </w:r>
      <w:r w:rsidR="00F32B28" w:rsidRPr="00F32B28">
        <w:rPr>
          <w:rtl/>
          <w:lang w:bidi="ar-SY"/>
        </w:rPr>
        <w:t>لامرأة</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توافرت</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الشروط.</w:t>
      </w:r>
      <w:r w:rsidR="00F32B28">
        <w:rPr>
          <w:rtl/>
          <w:lang w:bidi="ar-SY"/>
        </w:rPr>
        <w:t xml:space="preserve"> </w:t>
      </w:r>
      <w:r w:rsidR="00F32B28" w:rsidRPr="00F32B28">
        <w:rPr>
          <w:rtl/>
          <w:lang w:bidi="ar-SY"/>
        </w:rPr>
        <w:t>وتتولى</w:t>
      </w:r>
      <w:r w:rsidR="00F32B28">
        <w:rPr>
          <w:rtl/>
          <w:lang w:bidi="ar-SY"/>
        </w:rPr>
        <w:t xml:space="preserve"> </w:t>
      </w:r>
      <w:r w:rsidR="00F32B28" w:rsidRPr="00F32B28">
        <w:rPr>
          <w:rtl/>
          <w:lang w:bidi="ar-SY"/>
        </w:rPr>
        <w:t>الوزارة</w:t>
      </w:r>
      <w:r w:rsidR="00F32B28">
        <w:rPr>
          <w:rtl/>
          <w:lang w:bidi="ar-SY"/>
        </w:rPr>
        <w:t xml:space="preserve"> </w:t>
      </w:r>
      <w:r w:rsidR="00F32B28" w:rsidRPr="00F32B28">
        <w:rPr>
          <w:rtl/>
          <w:lang w:bidi="ar-SY"/>
        </w:rPr>
        <w:t>زيارة</w:t>
      </w:r>
      <w:r w:rsidR="00F32B28">
        <w:rPr>
          <w:rtl/>
          <w:lang w:bidi="ar-SY"/>
        </w:rPr>
        <w:t xml:space="preserve"> </w:t>
      </w:r>
      <w:r w:rsidR="00F32B28" w:rsidRPr="00F32B28">
        <w:rPr>
          <w:rtl/>
          <w:lang w:bidi="ar-SY"/>
        </w:rPr>
        <w:t>الطفل</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دوري</w:t>
      </w:r>
      <w:r w:rsidR="00F32B28">
        <w:rPr>
          <w:rtl/>
          <w:lang w:bidi="ar-SY"/>
        </w:rPr>
        <w:t xml:space="preserve"> </w:t>
      </w:r>
      <w:r w:rsidR="00F32B28" w:rsidRPr="00F32B28">
        <w:rPr>
          <w:rtl/>
          <w:lang w:bidi="ar-SY"/>
        </w:rPr>
        <w:t>ودائم</w:t>
      </w:r>
      <w:r w:rsidR="00F32B28">
        <w:rPr>
          <w:rtl/>
          <w:lang w:bidi="ar-SY"/>
        </w:rPr>
        <w:t xml:space="preserve"> </w:t>
      </w:r>
      <w:r w:rsidR="00F32B28" w:rsidRPr="00F32B28">
        <w:rPr>
          <w:rtl/>
          <w:lang w:bidi="ar-SY"/>
        </w:rPr>
        <w:t>للاطلاع</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حاله</w:t>
      </w:r>
      <w:r w:rsidR="00F32B28">
        <w:rPr>
          <w:rtl/>
          <w:lang w:bidi="ar-SY"/>
        </w:rPr>
        <w:t xml:space="preserve"> </w:t>
      </w:r>
      <w:r w:rsidR="00F32B28" w:rsidRPr="00F32B28">
        <w:rPr>
          <w:rtl/>
          <w:lang w:bidi="ar-SY"/>
        </w:rPr>
        <w:t>داخل</w:t>
      </w:r>
      <w:r w:rsidR="00F32B28">
        <w:rPr>
          <w:rtl/>
          <w:lang w:bidi="ar-SY"/>
        </w:rPr>
        <w:t xml:space="preserve"> </w:t>
      </w:r>
      <w:r w:rsidR="00F32B28" w:rsidRPr="00F32B28">
        <w:rPr>
          <w:rtl/>
          <w:lang w:bidi="ar-SY"/>
        </w:rPr>
        <w:t>الأسرة</w:t>
      </w:r>
      <w:r w:rsidR="00F32B28">
        <w:rPr>
          <w:rtl/>
          <w:lang w:bidi="ar-SY"/>
        </w:rPr>
        <w:t xml:space="preserve"> </w:t>
      </w:r>
      <w:r w:rsidR="00F32B28" w:rsidRPr="00F32B28">
        <w:rPr>
          <w:rtl/>
          <w:lang w:bidi="ar-SY"/>
        </w:rPr>
        <w:t>البديلة،</w:t>
      </w:r>
      <w:r w:rsidR="00F32B28">
        <w:rPr>
          <w:rtl/>
          <w:lang w:bidi="ar-SY"/>
        </w:rPr>
        <w:t xml:space="preserve"> </w:t>
      </w:r>
      <w:r w:rsidR="00F32B28" w:rsidRPr="00F32B28">
        <w:rPr>
          <w:rtl/>
          <w:lang w:bidi="ar-SY"/>
        </w:rPr>
        <w:t>ونقله</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أسرة</w:t>
      </w:r>
      <w:r w:rsidR="00F32B28">
        <w:rPr>
          <w:rtl/>
          <w:lang w:bidi="ar-SY"/>
        </w:rPr>
        <w:t xml:space="preserve"> </w:t>
      </w:r>
      <w:r w:rsidR="00F32B28" w:rsidRPr="00F32B28">
        <w:rPr>
          <w:rtl/>
          <w:lang w:bidi="ar-SY"/>
        </w:rPr>
        <w:t>بديلة</w:t>
      </w:r>
      <w:r w:rsidR="00F32B28">
        <w:rPr>
          <w:rtl/>
          <w:lang w:bidi="ar-SY"/>
        </w:rPr>
        <w:t xml:space="preserve"> </w:t>
      </w:r>
      <w:r w:rsidR="00F32B28" w:rsidRPr="00F32B28">
        <w:rPr>
          <w:rtl/>
          <w:lang w:bidi="ar-SY"/>
        </w:rPr>
        <w:t>أخرى</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استوجبت</w:t>
      </w:r>
      <w:r w:rsidR="00F32B28">
        <w:rPr>
          <w:rtl/>
          <w:lang w:bidi="ar-SY"/>
        </w:rPr>
        <w:t xml:space="preserve"> </w:t>
      </w:r>
      <w:r w:rsidR="00F32B28" w:rsidRPr="00F32B28">
        <w:rPr>
          <w:rtl/>
          <w:lang w:bidi="ar-SY"/>
        </w:rPr>
        <w:t>الظروف</w:t>
      </w:r>
      <w:r w:rsidR="00F32B28">
        <w:rPr>
          <w:rtl/>
          <w:lang w:bidi="ar-SY"/>
        </w:rPr>
        <w:t xml:space="preserve"> </w:t>
      </w:r>
      <w:r w:rsidR="00F32B28" w:rsidRPr="00F32B28">
        <w:rPr>
          <w:rtl/>
          <w:lang w:bidi="ar-SY"/>
        </w:rPr>
        <w:t>ذلك.</w:t>
      </w:r>
    </w:p>
    <w:p w:rsidR="00F32B28" w:rsidRPr="00F32B28" w:rsidRDefault="00B80192" w:rsidP="0043161B">
      <w:pPr>
        <w:pStyle w:val="SingleTxt"/>
      </w:pPr>
      <w:r>
        <w:rPr>
          <w:rFonts w:hint="cs"/>
          <w:rtl/>
        </w:rPr>
        <w:t>86 -</w:t>
      </w:r>
      <w:r>
        <w:rPr>
          <w:rFonts w:hint="cs"/>
          <w:rtl/>
        </w:rPr>
        <w:tab/>
      </w:r>
      <w:r w:rsidR="00F32B28" w:rsidRPr="00F32B28">
        <w:rPr>
          <w:rtl/>
        </w:rPr>
        <w:t>أنشأت</w:t>
      </w:r>
      <w:r w:rsidR="00F32B28">
        <w:rPr>
          <w:rtl/>
        </w:rPr>
        <w:t xml:space="preserve"> </w:t>
      </w:r>
      <w:r w:rsidR="00F32B28" w:rsidRPr="00F32B28">
        <w:rPr>
          <w:rtl/>
        </w:rPr>
        <w:t>في</w:t>
      </w:r>
      <w:r w:rsidR="00F32B28">
        <w:rPr>
          <w:rtl/>
        </w:rPr>
        <w:t xml:space="preserve"> </w:t>
      </w:r>
      <w:r w:rsidR="00F32B28" w:rsidRPr="00F32B28">
        <w:rPr>
          <w:rtl/>
        </w:rPr>
        <w:t>الشرطة</w:t>
      </w:r>
      <w:r w:rsidR="00F32B28">
        <w:rPr>
          <w:rtl/>
        </w:rPr>
        <w:t xml:space="preserve"> </w:t>
      </w:r>
      <w:r w:rsidR="00F32B28" w:rsidRPr="00F32B28">
        <w:rPr>
          <w:rtl/>
        </w:rPr>
        <w:t>المدنية</w:t>
      </w:r>
      <w:r w:rsidR="00846FB9">
        <w:rPr>
          <w:rFonts w:hint="cs"/>
          <w:rtl/>
        </w:rPr>
        <w:t xml:space="preserve"> </w:t>
      </w:r>
      <w:r w:rsidR="00F32B28" w:rsidRPr="00F32B28">
        <w:rPr>
          <w:rtl/>
        </w:rPr>
        <w:t>منذ</w:t>
      </w:r>
      <w:r w:rsidR="00F32B28">
        <w:rPr>
          <w:rtl/>
        </w:rPr>
        <w:t xml:space="preserve"> </w:t>
      </w:r>
      <w:r w:rsidR="00F32B28" w:rsidRPr="00F32B28">
        <w:rPr>
          <w:rtl/>
        </w:rPr>
        <w:t>عام</w:t>
      </w:r>
      <w:r w:rsidR="00F32B28">
        <w:rPr>
          <w:rtl/>
        </w:rPr>
        <w:t xml:space="preserve"> </w:t>
      </w:r>
      <w:r w:rsidR="00F32B28" w:rsidRPr="00F32B28">
        <w:rPr>
          <w:rtl/>
        </w:rPr>
        <w:t>2008</w:t>
      </w:r>
      <w:r w:rsidR="00846FB9">
        <w:rPr>
          <w:rFonts w:hint="cs"/>
          <w:rtl/>
        </w:rPr>
        <w:t xml:space="preserve"> </w:t>
      </w:r>
      <w:r w:rsidR="00F32B28" w:rsidRPr="00F32B28">
        <w:rPr>
          <w:rtl/>
        </w:rPr>
        <w:t>دوائر</w:t>
      </w:r>
      <w:r w:rsidR="00F32B28">
        <w:rPr>
          <w:rtl/>
        </w:rPr>
        <w:t xml:space="preserve"> </w:t>
      </w:r>
      <w:r w:rsidR="00F32B28" w:rsidRPr="00F32B28">
        <w:rPr>
          <w:rtl/>
        </w:rPr>
        <w:t>لحماية</w:t>
      </w:r>
      <w:r w:rsidR="00F32B28">
        <w:rPr>
          <w:rtl/>
        </w:rPr>
        <w:t xml:space="preserve"> </w:t>
      </w:r>
      <w:r w:rsidR="00F32B28" w:rsidRPr="00F32B28">
        <w:rPr>
          <w:rtl/>
        </w:rPr>
        <w:t>الأسرة</w:t>
      </w:r>
      <w:r w:rsidR="00F32B28">
        <w:rPr>
          <w:rtl/>
        </w:rPr>
        <w:t xml:space="preserve"> </w:t>
      </w:r>
      <w:r w:rsidR="00F32B28" w:rsidRPr="00F32B28">
        <w:rPr>
          <w:rtl/>
        </w:rPr>
        <w:t>تختص</w:t>
      </w:r>
      <w:r w:rsidR="00F32B28">
        <w:rPr>
          <w:rtl/>
        </w:rPr>
        <w:t xml:space="preserve"> </w:t>
      </w:r>
      <w:r w:rsidR="00F32B28" w:rsidRPr="00F32B28">
        <w:rPr>
          <w:rtl/>
        </w:rPr>
        <w:t>بقضايا</w:t>
      </w:r>
      <w:r w:rsidR="00F32B28">
        <w:rPr>
          <w:rtl/>
        </w:rPr>
        <w:t xml:space="preserve"> </w:t>
      </w:r>
      <w:r w:rsidR="00F32B28" w:rsidRPr="00F32B28">
        <w:rPr>
          <w:rtl/>
        </w:rPr>
        <w:t>العنف</w:t>
      </w:r>
      <w:r w:rsidR="00F32B28">
        <w:rPr>
          <w:rtl/>
        </w:rPr>
        <w:t xml:space="preserve"> </w:t>
      </w:r>
      <w:r w:rsidR="00F32B28" w:rsidRPr="00F32B28">
        <w:rPr>
          <w:rtl/>
        </w:rPr>
        <w:t>الأسري،</w:t>
      </w:r>
      <w:r w:rsidR="00F32B28">
        <w:rPr>
          <w:rtl/>
        </w:rPr>
        <w:t xml:space="preserve"> </w:t>
      </w:r>
      <w:r w:rsidR="00F32B28" w:rsidRPr="00F32B28">
        <w:rPr>
          <w:rtl/>
        </w:rPr>
        <w:t>والجرائم</w:t>
      </w:r>
      <w:r w:rsidR="00F32B28">
        <w:rPr>
          <w:rtl/>
        </w:rPr>
        <w:t xml:space="preserve"> </w:t>
      </w:r>
      <w:r w:rsidR="00F32B28" w:rsidRPr="00F32B28">
        <w:rPr>
          <w:rtl/>
        </w:rPr>
        <w:t>الجنسية</w:t>
      </w:r>
      <w:r w:rsidR="00F32B28">
        <w:rPr>
          <w:rtl/>
        </w:rPr>
        <w:t xml:space="preserve"> </w:t>
      </w:r>
      <w:r w:rsidR="00F32B28" w:rsidRPr="00F32B28">
        <w:rPr>
          <w:rtl/>
        </w:rPr>
        <w:t>التي</w:t>
      </w:r>
      <w:r w:rsidR="00F32B28">
        <w:rPr>
          <w:rtl/>
        </w:rPr>
        <w:t xml:space="preserve"> </w:t>
      </w:r>
      <w:r w:rsidR="00F32B28" w:rsidRPr="00F32B28">
        <w:rPr>
          <w:rtl/>
        </w:rPr>
        <w:t>تقع</w:t>
      </w:r>
      <w:r w:rsidR="00F32B28">
        <w:rPr>
          <w:rtl/>
        </w:rPr>
        <w:t xml:space="preserve"> </w:t>
      </w:r>
      <w:r w:rsidR="00F32B28" w:rsidRPr="00F32B28">
        <w:rPr>
          <w:rtl/>
        </w:rPr>
        <w:t>داخل</w:t>
      </w:r>
      <w:r w:rsidR="00F32B28">
        <w:rPr>
          <w:rtl/>
        </w:rPr>
        <w:t xml:space="preserve"> </w:t>
      </w:r>
      <w:r w:rsidR="00F32B28" w:rsidRPr="00F32B28">
        <w:rPr>
          <w:rtl/>
        </w:rPr>
        <w:t>الأسرة</w:t>
      </w:r>
      <w:r w:rsidR="00F32B28">
        <w:rPr>
          <w:rtl/>
        </w:rPr>
        <w:t xml:space="preserve"> </w:t>
      </w:r>
      <w:r w:rsidR="00F32B28" w:rsidRPr="00F32B28">
        <w:rPr>
          <w:rtl/>
        </w:rPr>
        <w:t>أو</w:t>
      </w:r>
      <w:r w:rsidR="00846FB9">
        <w:rPr>
          <w:rFonts w:hint="cs"/>
          <w:rtl/>
        </w:rPr>
        <w:t xml:space="preserve"> </w:t>
      </w:r>
      <w:r w:rsidR="00F32B28" w:rsidRPr="00F32B28">
        <w:rPr>
          <w:rtl/>
        </w:rPr>
        <w:t>خارجها.</w:t>
      </w:r>
      <w:r w:rsidR="00F32B28">
        <w:rPr>
          <w:rtl/>
        </w:rPr>
        <w:t xml:space="preserve"> </w:t>
      </w:r>
      <w:r w:rsidR="00F32B28" w:rsidRPr="00F32B28">
        <w:rPr>
          <w:rtl/>
        </w:rPr>
        <w:t>وقد</w:t>
      </w:r>
      <w:r w:rsidR="00F32B28">
        <w:rPr>
          <w:rtl/>
        </w:rPr>
        <w:t xml:space="preserve"> </w:t>
      </w:r>
      <w:r w:rsidR="00F32B28" w:rsidRPr="00F32B28">
        <w:rPr>
          <w:rtl/>
        </w:rPr>
        <w:t>تلقت</w:t>
      </w:r>
      <w:r w:rsidR="00F32B28">
        <w:rPr>
          <w:rtl/>
        </w:rPr>
        <w:t xml:space="preserve"> </w:t>
      </w:r>
      <w:r w:rsidR="00F32B28" w:rsidRPr="00F32B28">
        <w:rPr>
          <w:rtl/>
        </w:rPr>
        <w:t>وحدة</w:t>
      </w:r>
      <w:r w:rsidR="00F32B28">
        <w:rPr>
          <w:rtl/>
        </w:rPr>
        <w:t xml:space="preserve"> </w:t>
      </w:r>
      <w:r w:rsidR="00F32B28" w:rsidRPr="00F32B28">
        <w:rPr>
          <w:rtl/>
        </w:rPr>
        <w:t>حماية</w:t>
      </w:r>
      <w:r w:rsidR="00F32B28">
        <w:rPr>
          <w:rtl/>
        </w:rPr>
        <w:t xml:space="preserve"> </w:t>
      </w:r>
      <w:r w:rsidR="00F32B28" w:rsidRPr="00F32B28">
        <w:rPr>
          <w:rtl/>
        </w:rPr>
        <w:t>الأسرة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خلال</w:t>
      </w:r>
      <w:r w:rsidR="00F32B28">
        <w:rPr>
          <w:rtl/>
        </w:rPr>
        <w:t xml:space="preserve"> </w:t>
      </w:r>
      <w:r w:rsidR="00F32B28" w:rsidRPr="00F32B28">
        <w:rPr>
          <w:rtl/>
        </w:rPr>
        <w:t>عام</w:t>
      </w:r>
      <w:r w:rsidR="00F32B28">
        <w:rPr>
          <w:rtl/>
        </w:rPr>
        <w:t xml:space="preserve"> </w:t>
      </w:r>
      <w:r w:rsidR="00F32B28" w:rsidRPr="00F32B28">
        <w:rPr>
          <w:rtl/>
        </w:rPr>
        <w:t>2014</w:t>
      </w:r>
      <w:r w:rsidR="00846FB9">
        <w:rPr>
          <w:rFonts w:hint="cs"/>
          <w:rtl/>
        </w:rPr>
        <w:t xml:space="preserve"> </w:t>
      </w:r>
      <w:r w:rsidR="00F32B28" w:rsidRPr="00F32B28">
        <w:rPr>
          <w:rtl/>
        </w:rPr>
        <w:t>حوالي</w:t>
      </w:r>
      <w:r w:rsidR="00F32B28">
        <w:rPr>
          <w:rtl/>
        </w:rPr>
        <w:t xml:space="preserve"> </w:t>
      </w:r>
      <w:r w:rsidR="00F32B28" w:rsidRPr="00F32B28">
        <w:rPr>
          <w:rtl/>
        </w:rPr>
        <w:t>(</w:t>
      </w:r>
      <w:r w:rsidR="0043161B">
        <w:rPr>
          <w:rFonts w:hint="cs"/>
          <w:rtl/>
        </w:rPr>
        <w:t>480 3</w:t>
      </w:r>
      <w:r w:rsidR="00F32B28" w:rsidRPr="00F32B28">
        <w:rPr>
          <w:rtl/>
        </w:rPr>
        <w:t>)</w:t>
      </w:r>
      <w:r w:rsidR="00F32B28">
        <w:rPr>
          <w:rtl/>
        </w:rPr>
        <w:t xml:space="preserve"> </w:t>
      </w:r>
      <w:r w:rsidR="00F32B28" w:rsidRPr="00F32B28">
        <w:rPr>
          <w:rtl/>
        </w:rPr>
        <w:t>قضية</w:t>
      </w:r>
      <w:r w:rsidR="00F32B28">
        <w:rPr>
          <w:rtl/>
        </w:rPr>
        <w:t xml:space="preserve"> </w:t>
      </w:r>
      <w:r w:rsidR="00F32B28" w:rsidRPr="00F32B28">
        <w:rPr>
          <w:rtl/>
        </w:rPr>
        <w:t>في</w:t>
      </w:r>
      <w:r w:rsidR="00F32B28">
        <w:rPr>
          <w:rtl/>
        </w:rPr>
        <w:t xml:space="preserve"> </w:t>
      </w:r>
      <w:r w:rsidR="00F32B28" w:rsidRPr="00F32B28">
        <w:rPr>
          <w:rtl/>
        </w:rPr>
        <w:t>إطار</w:t>
      </w:r>
      <w:r w:rsidR="00F32B28">
        <w:rPr>
          <w:rtl/>
        </w:rPr>
        <w:t xml:space="preserve"> </w:t>
      </w:r>
      <w:r w:rsidR="00F32B28" w:rsidRPr="00F32B28">
        <w:rPr>
          <w:rtl/>
        </w:rPr>
        <w:t>عملها</w:t>
      </w:r>
      <w:r w:rsidR="00F32B28">
        <w:rPr>
          <w:rtl/>
        </w:rPr>
        <w:t xml:space="preserve"> </w:t>
      </w:r>
      <w:r w:rsidR="00F32B28" w:rsidRPr="00F32B28">
        <w:rPr>
          <w:rtl/>
        </w:rPr>
        <w:t>اتخذت</w:t>
      </w:r>
      <w:r w:rsidR="00F32B28">
        <w:rPr>
          <w:rtl/>
        </w:rPr>
        <w:t xml:space="preserve"> </w:t>
      </w:r>
      <w:r w:rsidR="00F32B28" w:rsidRPr="00F32B28">
        <w:rPr>
          <w:rtl/>
        </w:rPr>
        <w:t>فيها</w:t>
      </w:r>
      <w:r w:rsidR="00F32B28">
        <w:rPr>
          <w:rtl/>
        </w:rPr>
        <w:t xml:space="preserve"> </w:t>
      </w:r>
      <w:r w:rsidR="00F32B28" w:rsidRPr="00F32B28">
        <w:rPr>
          <w:rtl/>
        </w:rPr>
        <w:t>الإجراءات</w:t>
      </w:r>
      <w:r w:rsidR="00F32B28">
        <w:rPr>
          <w:rtl/>
        </w:rPr>
        <w:t xml:space="preserve"> </w:t>
      </w:r>
      <w:r w:rsidR="00F32B28" w:rsidRPr="00F32B28">
        <w:rPr>
          <w:rtl/>
        </w:rPr>
        <w:t>القانونية</w:t>
      </w:r>
      <w:r w:rsidR="00F32B28">
        <w:rPr>
          <w:rtl/>
        </w:rPr>
        <w:t xml:space="preserve"> </w:t>
      </w:r>
      <w:r w:rsidR="00F32B28" w:rsidRPr="00F32B28">
        <w:rPr>
          <w:rtl/>
        </w:rPr>
        <w:t>اللازمة</w:t>
      </w:r>
      <w:r w:rsidR="00F32B28">
        <w:rPr>
          <w:rtl/>
        </w:rPr>
        <w:t xml:space="preserve"> </w:t>
      </w:r>
      <w:r w:rsidR="00F32B28" w:rsidRPr="00F32B28">
        <w:rPr>
          <w:rtl/>
        </w:rPr>
        <w:t>لتوفير</w:t>
      </w:r>
      <w:r w:rsidR="00F32B28">
        <w:rPr>
          <w:rtl/>
        </w:rPr>
        <w:t xml:space="preserve"> </w:t>
      </w:r>
      <w:r w:rsidR="00F32B28" w:rsidRPr="00F32B28">
        <w:rPr>
          <w:rtl/>
        </w:rPr>
        <w:t>الحماية</w:t>
      </w:r>
      <w:r w:rsidR="00F32B28">
        <w:rPr>
          <w:rtl/>
        </w:rPr>
        <w:t xml:space="preserve"> </w:t>
      </w:r>
      <w:r w:rsidR="00F32B28" w:rsidRPr="00F32B28">
        <w:rPr>
          <w:rtl/>
        </w:rPr>
        <w:t>للضحايا</w:t>
      </w:r>
      <w:r w:rsidR="00F32B28">
        <w:rPr>
          <w:rtl/>
        </w:rPr>
        <w:t xml:space="preserve"> </w:t>
      </w:r>
      <w:r w:rsidR="00F32B28" w:rsidRPr="00F32B28">
        <w:rPr>
          <w:rtl/>
        </w:rPr>
        <w:t>العنف</w:t>
      </w:r>
      <w:r w:rsidR="00846FB9">
        <w:rPr>
          <w:rFonts w:hint="cs"/>
          <w:rtl/>
        </w:rPr>
        <w:t xml:space="preserve"> </w:t>
      </w:r>
      <w:r w:rsidR="00F32B28" w:rsidRPr="00F32B28">
        <w:rPr>
          <w:rtl/>
        </w:rPr>
        <w:t>وإحالتها</w:t>
      </w:r>
      <w:r w:rsidR="00F32B28">
        <w:rPr>
          <w:rtl/>
        </w:rPr>
        <w:t xml:space="preserve"> </w:t>
      </w:r>
      <w:r w:rsidR="00F32B28" w:rsidRPr="00F32B28">
        <w:rPr>
          <w:rtl/>
        </w:rPr>
        <w:t>للمحاكم</w:t>
      </w:r>
      <w:r w:rsidR="00F32B28">
        <w:rPr>
          <w:rtl/>
        </w:rPr>
        <w:t xml:space="preserve"> </w:t>
      </w:r>
      <w:r w:rsidR="00F32B28" w:rsidRPr="00F32B28">
        <w:rPr>
          <w:rtl/>
        </w:rPr>
        <w:t>المختصة.</w:t>
      </w:r>
    </w:p>
    <w:p w:rsidR="00F32B28" w:rsidRPr="00F32B28" w:rsidRDefault="00B80192" w:rsidP="00B80192">
      <w:pPr>
        <w:pStyle w:val="SingleTxt"/>
      </w:pPr>
      <w:r>
        <w:rPr>
          <w:rFonts w:hint="cs"/>
          <w:rtl/>
        </w:rPr>
        <w:t>87 -</w:t>
      </w:r>
      <w:r>
        <w:rPr>
          <w:rFonts w:hint="cs"/>
          <w:rtl/>
        </w:rPr>
        <w:tab/>
      </w:r>
      <w:r w:rsidR="00F32B28" w:rsidRPr="00F32B28">
        <w:rPr>
          <w:rtl/>
        </w:rPr>
        <w:t>وفي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وفي</w:t>
      </w:r>
      <w:r w:rsidR="00F32B28">
        <w:rPr>
          <w:rtl/>
        </w:rPr>
        <w:t xml:space="preserve"> </w:t>
      </w:r>
      <w:r w:rsidR="00F32B28" w:rsidRPr="00F32B28">
        <w:rPr>
          <w:rtl/>
        </w:rPr>
        <w:t>ظل</w:t>
      </w:r>
      <w:r w:rsidR="00F32B28">
        <w:rPr>
          <w:rtl/>
        </w:rPr>
        <w:t xml:space="preserve"> </w:t>
      </w:r>
      <w:r w:rsidR="00F32B28" w:rsidRPr="00F32B28">
        <w:rPr>
          <w:rtl/>
        </w:rPr>
        <w:t>غياب</w:t>
      </w:r>
      <w:r w:rsidR="00F32B28">
        <w:rPr>
          <w:rtl/>
        </w:rPr>
        <w:t xml:space="preserve"> </w:t>
      </w:r>
      <w:r w:rsidR="00F32B28" w:rsidRPr="00F32B28">
        <w:rPr>
          <w:rtl/>
        </w:rPr>
        <w:t>وحدات</w:t>
      </w:r>
      <w:r w:rsidR="00F32B28">
        <w:rPr>
          <w:rtl/>
        </w:rPr>
        <w:t xml:space="preserve"> </w:t>
      </w:r>
      <w:r w:rsidR="00F32B28" w:rsidRPr="00F32B28">
        <w:rPr>
          <w:rtl/>
        </w:rPr>
        <w:t>متخصصة</w:t>
      </w:r>
      <w:r w:rsidR="00F32B28">
        <w:rPr>
          <w:rtl/>
        </w:rPr>
        <w:t xml:space="preserve"> </w:t>
      </w:r>
      <w:r w:rsidR="00F32B28" w:rsidRPr="00F32B28">
        <w:rPr>
          <w:rtl/>
        </w:rPr>
        <w:t>في</w:t>
      </w:r>
      <w:r w:rsidR="00F32B28">
        <w:rPr>
          <w:rtl/>
        </w:rPr>
        <w:t xml:space="preserve"> </w:t>
      </w:r>
      <w:r w:rsidR="00F32B28" w:rsidRPr="00F32B28">
        <w:rPr>
          <w:rtl/>
        </w:rPr>
        <w:t>حماية</w:t>
      </w:r>
      <w:r w:rsidR="00F32B28">
        <w:rPr>
          <w:rtl/>
        </w:rPr>
        <w:t xml:space="preserve"> </w:t>
      </w:r>
      <w:r w:rsidR="00F32B28" w:rsidRPr="00F32B28">
        <w:rPr>
          <w:rtl/>
        </w:rPr>
        <w:t>الأسرة،</w:t>
      </w:r>
      <w:r w:rsidR="00F32B28">
        <w:rPr>
          <w:rtl/>
        </w:rPr>
        <w:t xml:space="preserve"> </w:t>
      </w:r>
      <w:r w:rsidR="00F32B28" w:rsidRPr="00F32B28">
        <w:rPr>
          <w:rtl/>
        </w:rPr>
        <w:t>تقوم</w:t>
      </w:r>
      <w:r w:rsidR="00F32B28">
        <w:rPr>
          <w:rtl/>
        </w:rPr>
        <w:t xml:space="preserve"> </w:t>
      </w:r>
      <w:r w:rsidR="00F32B28" w:rsidRPr="00F32B28">
        <w:rPr>
          <w:rtl/>
        </w:rPr>
        <w:t>الشرطة</w:t>
      </w:r>
      <w:r w:rsidR="00F32B28">
        <w:rPr>
          <w:rtl/>
        </w:rPr>
        <w:t xml:space="preserve"> </w:t>
      </w:r>
      <w:r w:rsidR="00F32B28" w:rsidRPr="00F32B28">
        <w:rPr>
          <w:rtl/>
        </w:rPr>
        <w:t>بتلقي</w:t>
      </w:r>
      <w:r w:rsidR="00F32B28">
        <w:rPr>
          <w:rtl/>
        </w:rPr>
        <w:t xml:space="preserve"> </w:t>
      </w:r>
      <w:r w:rsidR="00F32B28" w:rsidRPr="00F32B28">
        <w:rPr>
          <w:rtl/>
        </w:rPr>
        <w:t>الشكاوى</w:t>
      </w:r>
      <w:r w:rsidR="00F32B28">
        <w:rPr>
          <w:rtl/>
        </w:rPr>
        <w:t xml:space="preserve"> </w:t>
      </w:r>
      <w:r w:rsidR="00F32B28" w:rsidRPr="00F32B28">
        <w:rPr>
          <w:rtl/>
        </w:rPr>
        <w:t>المقدمة</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وتساهم</w:t>
      </w:r>
      <w:r w:rsidR="00F32B28">
        <w:rPr>
          <w:rtl/>
        </w:rPr>
        <w:t xml:space="preserve"> </w:t>
      </w:r>
      <w:r w:rsidR="00F32B28" w:rsidRPr="00F32B28">
        <w:rPr>
          <w:rtl/>
        </w:rPr>
        <w:t>في</w:t>
      </w:r>
      <w:r w:rsidR="00F32B28">
        <w:rPr>
          <w:rtl/>
        </w:rPr>
        <w:t xml:space="preserve"> </w:t>
      </w:r>
      <w:r w:rsidR="00F32B28" w:rsidRPr="00F32B28">
        <w:rPr>
          <w:rtl/>
        </w:rPr>
        <w:t>حل</w:t>
      </w:r>
      <w:r w:rsidR="00F32B28">
        <w:rPr>
          <w:rtl/>
        </w:rPr>
        <w:t xml:space="preserve"> </w:t>
      </w:r>
      <w:r w:rsidR="00F32B28" w:rsidRPr="00F32B28">
        <w:rPr>
          <w:rtl/>
        </w:rPr>
        <w:t>بعض</w:t>
      </w:r>
      <w:r w:rsidR="00F32B28">
        <w:rPr>
          <w:rtl/>
        </w:rPr>
        <w:t xml:space="preserve"> </w:t>
      </w:r>
      <w:r w:rsidR="00F32B28" w:rsidRPr="00F32B28">
        <w:rPr>
          <w:rtl/>
        </w:rPr>
        <w:t>النزاعات</w:t>
      </w:r>
      <w:r w:rsidR="00F32B28">
        <w:rPr>
          <w:rtl/>
        </w:rPr>
        <w:t xml:space="preserve"> </w:t>
      </w:r>
      <w:r w:rsidR="00F32B28" w:rsidRPr="00F32B28">
        <w:rPr>
          <w:rtl/>
        </w:rPr>
        <w:t>البسيطة،</w:t>
      </w:r>
      <w:r w:rsidR="00F32B28">
        <w:rPr>
          <w:rtl/>
        </w:rPr>
        <w:t xml:space="preserve"> </w:t>
      </w:r>
      <w:r w:rsidR="00F32B28" w:rsidRPr="00F32B28">
        <w:rPr>
          <w:rtl/>
        </w:rPr>
        <w:t>وإشراك</w:t>
      </w:r>
      <w:r w:rsidR="00F32B28">
        <w:rPr>
          <w:rtl/>
        </w:rPr>
        <w:t xml:space="preserve"> </w:t>
      </w:r>
      <w:r w:rsidR="00F32B28" w:rsidRPr="00F32B28">
        <w:rPr>
          <w:rtl/>
        </w:rPr>
        <w:t>لجان</w:t>
      </w:r>
      <w:r w:rsidR="00F32B28">
        <w:rPr>
          <w:rtl/>
        </w:rPr>
        <w:t xml:space="preserve"> </w:t>
      </w:r>
      <w:r w:rsidR="00F32B28" w:rsidRPr="00F32B28">
        <w:rPr>
          <w:rtl/>
        </w:rPr>
        <w:t>الإصلاح</w:t>
      </w:r>
      <w:r w:rsidR="0043161B">
        <w:rPr>
          <w:rFonts w:hint="cs"/>
          <w:rtl/>
        </w:rPr>
        <w:t xml:space="preserve"> </w:t>
      </w:r>
      <w:r w:rsidR="00F32B28" w:rsidRPr="00F32B28">
        <w:rPr>
          <w:rtl/>
        </w:rPr>
        <w:t>لهذا</w:t>
      </w:r>
      <w:r w:rsidR="00F32B28">
        <w:rPr>
          <w:rtl/>
        </w:rPr>
        <w:t xml:space="preserve"> </w:t>
      </w:r>
      <w:r w:rsidR="00F32B28" w:rsidRPr="00F32B28">
        <w:rPr>
          <w:rtl/>
        </w:rPr>
        <w:t>الشأن.</w:t>
      </w:r>
      <w:r w:rsidR="00F32B28">
        <w:rPr>
          <w:rtl/>
        </w:rPr>
        <w:t xml:space="preserve"> </w:t>
      </w:r>
      <w:r w:rsidR="00F32B28" w:rsidRPr="00F32B28">
        <w:rPr>
          <w:rtl/>
        </w:rPr>
        <w:t>وخلال</w:t>
      </w:r>
      <w:r w:rsidR="00F32B28">
        <w:rPr>
          <w:rtl/>
        </w:rPr>
        <w:t xml:space="preserve"> </w:t>
      </w:r>
      <w:r w:rsidR="00F32B28" w:rsidRPr="00F32B28">
        <w:rPr>
          <w:rtl/>
        </w:rPr>
        <w:t>عام</w:t>
      </w:r>
      <w:r w:rsidR="00F32B28">
        <w:rPr>
          <w:rtl/>
        </w:rPr>
        <w:t xml:space="preserve"> </w:t>
      </w:r>
      <w:r w:rsidR="00F32B28" w:rsidRPr="00F32B28">
        <w:rPr>
          <w:rtl/>
        </w:rPr>
        <w:t>2014،</w:t>
      </w:r>
      <w:r w:rsidR="00F32B28">
        <w:rPr>
          <w:rtl/>
        </w:rPr>
        <w:t xml:space="preserve"> </w:t>
      </w:r>
      <w:r w:rsidR="00F32B28" w:rsidRPr="00F32B28">
        <w:rPr>
          <w:rtl/>
        </w:rPr>
        <w:t>قامت</w:t>
      </w:r>
      <w:r w:rsidR="00F32B28">
        <w:rPr>
          <w:rtl/>
        </w:rPr>
        <w:t xml:space="preserve"> </w:t>
      </w:r>
      <w:r w:rsidR="00F32B28" w:rsidRPr="00F32B28">
        <w:rPr>
          <w:rtl/>
        </w:rPr>
        <w:t>الشرطة</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بتلقي</w:t>
      </w:r>
      <w:r w:rsidR="00F32B28">
        <w:rPr>
          <w:rtl/>
        </w:rPr>
        <w:t xml:space="preserve"> </w:t>
      </w:r>
      <w:r w:rsidR="00F32B28" w:rsidRPr="00F32B28">
        <w:rPr>
          <w:rtl/>
        </w:rPr>
        <w:t>ما</w:t>
      </w:r>
      <w:r w:rsidR="00F32B28">
        <w:rPr>
          <w:rtl/>
        </w:rPr>
        <w:t xml:space="preserve"> </w:t>
      </w:r>
      <w:r w:rsidR="00F32B28" w:rsidRPr="00F32B28">
        <w:rPr>
          <w:rtl/>
        </w:rPr>
        <w:t>معدله</w:t>
      </w:r>
      <w:r w:rsidR="00F32B28">
        <w:rPr>
          <w:rtl/>
        </w:rPr>
        <w:t xml:space="preserve"> </w:t>
      </w:r>
      <w:r w:rsidR="00F32B28" w:rsidRPr="00F32B28">
        <w:rPr>
          <w:rtl/>
        </w:rPr>
        <w:t>(50)</w:t>
      </w:r>
      <w:r w:rsidR="00F32B28">
        <w:rPr>
          <w:rtl/>
        </w:rPr>
        <w:t xml:space="preserve"> </w:t>
      </w:r>
      <w:r w:rsidR="00F32B28" w:rsidRPr="00F32B28">
        <w:rPr>
          <w:rtl/>
        </w:rPr>
        <w:t>شكوى</w:t>
      </w:r>
      <w:r w:rsidR="00F32B28">
        <w:rPr>
          <w:rtl/>
        </w:rPr>
        <w:t xml:space="preserve"> </w:t>
      </w:r>
      <w:r w:rsidR="00F32B28" w:rsidRPr="00F32B28">
        <w:rPr>
          <w:rtl/>
        </w:rPr>
        <w:lastRenderedPageBreak/>
        <w:t>شهرياً</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وازدادت</w:t>
      </w:r>
      <w:r w:rsidR="00F32B28">
        <w:rPr>
          <w:rtl/>
        </w:rPr>
        <w:t xml:space="preserve"> </w:t>
      </w:r>
      <w:r w:rsidR="00F32B28" w:rsidRPr="00F32B28">
        <w:rPr>
          <w:rtl/>
        </w:rPr>
        <w:t>بعد</w:t>
      </w:r>
      <w:r w:rsidR="00F32B28">
        <w:rPr>
          <w:rtl/>
        </w:rPr>
        <w:t xml:space="preserve"> </w:t>
      </w:r>
      <w:r w:rsidR="00F32B28" w:rsidRPr="00F32B28">
        <w:rPr>
          <w:rtl/>
        </w:rPr>
        <w:t>العدوان</w:t>
      </w:r>
      <w:r w:rsidR="00F32B28">
        <w:rPr>
          <w:rtl/>
        </w:rPr>
        <w:t xml:space="preserve"> </w:t>
      </w:r>
      <w:r w:rsidR="00F32B28" w:rsidRPr="00F32B28">
        <w:rPr>
          <w:rtl/>
        </w:rPr>
        <w:t>الأخير</w:t>
      </w:r>
      <w:r w:rsidR="00F32B28">
        <w:rPr>
          <w:rtl/>
        </w:rPr>
        <w:t xml:space="preserve"> </w:t>
      </w:r>
      <w:r w:rsidR="00F32B28" w:rsidRPr="00F32B28">
        <w:rPr>
          <w:rtl/>
        </w:rPr>
        <w:t>على</w:t>
      </w:r>
      <w:r w:rsidR="00F32B28">
        <w:rPr>
          <w:rtl/>
        </w:rPr>
        <w:t xml:space="preserve"> </w:t>
      </w:r>
      <w:r w:rsidR="00F32B28" w:rsidRPr="00F32B28">
        <w:rPr>
          <w:rtl/>
        </w:rPr>
        <w:t>القطاع</w:t>
      </w:r>
      <w:r w:rsidR="00F32B28">
        <w:rPr>
          <w:rtl/>
        </w:rPr>
        <w:t xml:space="preserve"> </w:t>
      </w:r>
      <w:r w:rsidR="00F32B28" w:rsidRPr="00F32B28">
        <w:rPr>
          <w:rtl/>
        </w:rPr>
        <w:t>غزة،</w:t>
      </w:r>
      <w:r w:rsidR="00F32B28">
        <w:rPr>
          <w:rtl/>
        </w:rPr>
        <w:t xml:space="preserve"> </w:t>
      </w:r>
      <w:r w:rsidR="00F32B28" w:rsidRPr="00F32B28">
        <w:rPr>
          <w:rtl/>
        </w:rPr>
        <w:t>كان</w:t>
      </w:r>
      <w:r w:rsidR="00F32B28">
        <w:rPr>
          <w:rtl/>
        </w:rPr>
        <w:t xml:space="preserve"> </w:t>
      </w:r>
      <w:r w:rsidR="00F32B28" w:rsidRPr="00F32B28">
        <w:rPr>
          <w:rtl/>
        </w:rPr>
        <w:t>80</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منها</w:t>
      </w:r>
      <w:r w:rsidR="00F32B28">
        <w:rPr>
          <w:rtl/>
        </w:rPr>
        <w:t xml:space="preserve"> </w:t>
      </w:r>
      <w:r w:rsidR="00F32B28" w:rsidRPr="00F32B28">
        <w:rPr>
          <w:rtl/>
        </w:rPr>
        <w:t>هي</w:t>
      </w:r>
      <w:r w:rsidR="00F32B28">
        <w:rPr>
          <w:rtl/>
        </w:rPr>
        <w:t xml:space="preserve"> </w:t>
      </w:r>
      <w:r w:rsidR="00F32B28" w:rsidRPr="00F32B28">
        <w:rPr>
          <w:rtl/>
        </w:rPr>
        <w:t>نتيجة</w:t>
      </w:r>
      <w:r w:rsidR="00F32B28">
        <w:rPr>
          <w:rtl/>
        </w:rPr>
        <w:t xml:space="preserve"> </w:t>
      </w:r>
      <w:r w:rsidR="00F32B28" w:rsidRPr="00F32B28">
        <w:rPr>
          <w:rtl/>
        </w:rPr>
        <w:t>خلافات</w:t>
      </w:r>
      <w:r w:rsidR="00F32B28">
        <w:rPr>
          <w:rtl/>
        </w:rPr>
        <w:t xml:space="preserve"> </w:t>
      </w:r>
      <w:r w:rsidR="00F32B28" w:rsidRPr="00F32B28">
        <w:rPr>
          <w:rtl/>
        </w:rPr>
        <w:t>أسرية</w:t>
      </w:r>
      <w:r w:rsidR="00F32B28">
        <w:rPr>
          <w:rtl/>
        </w:rPr>
        <w:t xml:space="preserve"> </w:t>
      </w:r>
      <w:r w:rsidR="00F32B28" w:rsidRPr="00F32B28">
        <w:rPr>
          <w:rtl/>
        </w:rPr>
        <w:t>ومشاكل</w:t>
      </w:r>
      <w:r w:rsidR="00F32B28">
        <w:rPr>
          <w:rtl/>
        </w:rPr>
        <w:t xml:space="preserve"> </w:t>
      </w:r>
      <w:r w:rsidR="00F32B28" w:rsidRPr="00F32B28">
        <w:rPr>
          <w:rtl/>
        </w:rPr>
        <w:t>بين</w:t>
      </w:r>
      <w:r w:rsidR="00F32B28">
        <w:rPr>
          <w:rtl/>
        </w:rPr>
        <w:t xml:space="preserve"> </w:t>
      </w:r>
      <w:r w:rsidR="00F32B28" w:rsidRPr="00F32B28">
        <w:rPr>
          <w:rtl/>
        </w:rPr>
        <w:t>الزوجين،</w:t>
      </w:r>
      <w:r w:rsidR="00F32B28">
        <w:rPr>
          <w:rtl/>
        </w:rPr>
        <w:t xml:space="preserve"> </w:t>
      </w:r>
      <w:r w:rsidR="00F32B28" w:rsidRPr="00F32B28">
        <w:rPr>
          <w:rtl/>
        </w:rPr>
        <w:t>وقامت</w:t>
      </w:r>
      <w:r w:rsidR="00F32B28">
        <w:rPr>
          <w:rtl/>
        </w:rPr>
        <w:t xml:space="preserve"> </w:t>
      </w:r>
      <w:r w:rsidR="00F32B28" w:rsidRPr="00F32B28">
        <w:rPr>
          <w:rtl/>
        </w:rPr>
        <w:t>الشرطة</w:t>
      </w:r>
      <w:r w:rsidR="00F32B28">
        <w:rPr>
          <w:rtl/>
        </w:rPr>
        <w:t xml:space="preserve"> </w:t>
      </w:r>
      <w:r w:rsidR="00F32B28" w:rsidRPr="00F32B28">
        <w:rPr>
          <w:rtl/>
        </w:rPr>
        <w:t>بحل</w:t>
      </w:r>
      <w:r w:rsidR="00F32B28">
        <w:rPr>
          <w:rtl/>
        </w:rPr>
        <w:t xml:space="preserve"> </w:t>
      </w:r>
      <w:r w:rsidR="00F32B28" w:rsidRPr="00F32B28">
        <w:rPr>
          <w:rtl/>
        </w:rPr>
        <w:t>ما</w:t>
      </w:r>
      <w:r w:rsidR="00F32B28">
        <w:rPr>
          <w:rtl/>
        </w:rPr>
        <w:t xml:space="preserve"> </w:t>
      </w:r>
      <w:r w:rsidR="00F32B28" w:rsidRPr="00F32B28">
        <w:rPr>
          <w:rtl/>
        </w:rPr>
        <w:t>يقارب</w:t>
      </w:r>
      <w:r w:rsidR="00F32B28">
        <w:rPr>
          <w:rtl/>
        </w:rPr>
        <w:t xml:space="preserve"> </w:t>
      </w:r>
      <w:r w:rsidR="00F32B28" w:rsidRPr="00F32B28">
        <w:rPr>
          <w:rtl/>
        </w:rPr>
        <w:t>60</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منها.</w:t>
      </w:r>
      <w:r w:rsidR="00600C43">
        <w:rPr>
          <w:rFonts w:hint="cs"/>
          <w:rtl/>
        </w:rPr>
        <w:t xml:space="preserve"> </w:t>
      </w:r>
      <w:r w:rsidR="00F32B28" w:rsidRPr="00F32B28">
        <w:rPr>
          <w:rtl/>
        </w:rPr>
        <w:t>وقد</w:t>
      </w:r>
      <w:r w:rsidR="00F32B28">
        <w:rPr>
          <w:rtl/>
        </w:rPr>
        <w:t xml:space="preserve"> </w:t>
      </w:r>
      <w:r w:rsidR="00F32B28" w:rsidRPr="00F32B28">
        <w:rPr>
          <w:rtl/>
        </w:rPr>
        <w:t>بلغت</w:t>
      </w:r>
      <w:r w:rsidR="00F32B28">
        <w:rPr>
          <w:rtl/>
        </w:rPr>
        <w:t xml:space="preserve"> </w:t>
      </w:r>
      <w:r w:rsidR="00F32B28" w:rsidRPr="00F32B28">
        <w:rPr>
          <w:rtl/>
        </w:rPr>
        <w:t>نسبة</w:t>
      </w:r>
      <w:r w:rsidR="00F32B28">
        <w:rPr>
          <w:rtl/>
        </w:rPr>
        <w:t xml:space="preserve"> </w:t>
      </w:r>
      <w:r w:rsidR="00F32B28" w:rsidRPr="00F32B28">
        <w:rPr>
          <w:rtl/>
        </w:rPr>
        <w:t>الشكاوى</w:t>
      </w:r>
      <w:r w:rsidR="00F32B28">
        <w:rPr>
          <w:rtl/>
        </w:rPr>
        <w:t xml:space="preserve"> </w:t>
      </w:r>
      <w:r w:rsidR="00F32B28" w:rsidRPr="00F32B28">
        <w:rPr>
          <w:rtl/>
        </w:rPr>
        <w:t>المحالة</w:t>
      </w:r>
      <w:r w:rsidR="00F32B28">
        <w:rPr>
          <w:rtl/>
        </w:rPr>
        <w:t xml:space="preserve"> </w:t>
      </w:r>
      <w:r w:rsidR="00F32B28" w:rsidRPr="00F32B28">
        <w:rPr>
          <w:rtl/>
        </w:rPr>
        <w:t>للنيابة</w:t>
      </w:r>
      <w:r w:rsidR="00F32B28">
        <w:rPr>
          <w:rtl/>
        </w:rPr>
        <w:t xml:space="preserve"> </w:t>
      </w:r>
      <w:r w:rsidR="00F32B28" w:rsidRPr="00F32B28">
        <w:rPr>
          <w:rtl/>
        </w:rPr>
        <w:t>لعام</w:t>
      </w:r>
      <w:r w:rsidR="00F32B28">
        <w:rPr>
          <w:rtl/>
        </w:rPr>
        <w:t xml:space="preserve"> </w:t>
      </w:r>
      <w:r w:rsidR="00F32B28" w:rsidRPr="00F32B28">
        <w:rPr>
          <w:rtl/>
        </w:rPr>
        <w:t>2014</w:t>
      </w:r>
      <w:r w:rsidR="00F32B28">
        <w:rPr>
          <w:rtl/>
        </w:rPr>
        <w:t xml:space="preserve"> </w:t>
      </w:r>
      <w:r w:rsidR="00F32B28" w:rsidRPr="00F32B28">
        <w:rPr>
          <w:rtl/>
        </w:rPr>
        <w:t>حوالي</w:t>
      </w:r>
      <w:r w:rsidR="00F32B28">
        <w:rPr>
          <w:rtl/>
        </w:rPr>
        <w:t xml:space="preserve"> </w:t>
      </w:r>
      <w:r w:rsidR="00600C43">
        <w:rPr>
          <w:rtl/>
        </w:rPr>
        <w:t>في المائة</w:t>
      </w:r>
      <w:r w:rsidR="00846FB9">
        <w:rPr>
          <w:rFonts w:hint="cs"/>
          <w:rtl/>
        </w:rPr>
        <w:t xml:space="preserve"> </w:t>
      </w:r>
      <w:r w:rsidR="00F32B28" w:rsidRPr="00F32B28">
        <w:rPr>
          <w:rtl/>
        </w:rPr>
        <w:t>5</w:t>
      </w:r>
      <w:r w:rsidR="00F32B28">
        <w:rPr>
          <w:rtl/>
        </w:rPr>
        <w:t xml:space="preserve"> </w:t>
      </w:r>
      <w:r w:rsidR="00F32B28" w:rsidRPr="00F32B28">
        <w:rPr>
          <w:rtl/>
        </w:rPr>
        <w:t>فقط</w:t>
      </w:r>
      <w:r w:rsidR="00F32B28">
        <w:rPr>
          <w:rtl/>
        </w:rPr>
        <w:t xml:space="preserve"> </w:t>
      </w:r>
      <w:r w:rsidR="00F32B28" w:rsidRPr="00F32B28">
        <w:rPr>
          <w:rtl/>
        </w:rPr>
        <w:t>من</w:t>
      </w:r>
      <w:r w:rsidR="00F32B28">
        <w:rPr>
          <w:rtl/>
        </w:rPr>
        <w:t xml:space="preserve"> </w:t>
      </w:r>
      <w:r w:rsidR="00F32B28" w:rsidRPr="00F32B28">
        <w:rPr>
          <w:rtl/>
        </w:rPr>
        <w:t>الشكاوى</w:t>
      </w:r>
      <w:r w:rsidR="00F32B28">
        <w:rPr>
          <w:rtl/>
        </w:rPr>
        <w:t xml:space="preserve"> </w:t>
      </w:r>
      <w:r w:rsidR="00F32B28" w:rsidRPr="00F32B28">
        <w:rPr>
          <w:rtl/>
        </w:rPr>
        <w:t>المقدمة،</w:t>
      </w:r>
      <w:r w:rsidR="00F32B28">
        <w:rPr>
          <w:rtl/>
        </w:rPr>
        <w:t xml:space="preserve"> </w:t>
      </w:r>
      <w:r w:rsidR="00F32B28" w:rsidRPr="00F32B28">
        <w:rPr>
          <w:rtl/>
        </w:rPr>
        <w:t>حيث</w:t>
      </w:r>
      <w:r w:rsidR="00F32B28">
        <w:rPr>
          <w:rtl/>
        </w:rPr>
        <w:t xml:space="preserve"> </w:t>
      </w:r>
      <w:r w:rsidR="00F32B28" w:rsidRPr="00F32B28">
        <w:rPr>
          <w:rtl/>
        </w:rPr>
        <w:t>وكما</w:t>
      </w:r>
      <w:r w:rsidR="00F32B28">
        <w:rPr>
          <w:rtl/>
        </w:rPr>
        <w:t xml:space="preserve"> </w:t>
      </w:r>
      <w:r w:rsidR="00F32B28" w:rsidRPr="00F32B28">
        <w:rPr>
          <w:rtl/>
        </w:rPr>
        <w:t>تم</w:t>
      </w:r>
      <w:r w:rsidR="00F32B28">
        <w:rPr>
          <w:rtl/>
        </w:rPr>
        <w:t xml:space="preserve"> </w:t>
      </w:r>
      <w:r w:rsidR="00F32B28" w:rsidRPr="00F32B28">
        <w:rPr>
          <w:rtl/>
        </w:rPr>
        <w:t>بيانه</w:t>
      </w:r>
      <w:r w:rsidR="00F32B28">
        <w:rPr>
          <w:rtl/>
        </w:rPr>
        <w:t xml:space="preserve"> </w:t>
      </w:r>
      <w:r w:rsidR="00F32B28" w:rsidRPr="00F32B28">
        <w:rPr>
          <w:rtl/>
        </w:rPr>
        <w:t>يغلب</w:t>
      </w:r>
      <w:r w:rsidR="00F32B28">
        <w:rPr>
          <w:rtl/>
        </w:rPr>
        <w:t xml:space="preserve"> </w:t>
      </w:r>
      <w:r w:rsidR="00F32B28" w:rsidRPr="00F32B28">
        <w:rPr>
          <w:rtl/>
        </w:rPr>
        <w:t>التعاطي</w:t>
      </w:r>
      <w:r w:rsidR="00F32B28">
        <w:rPr>
          <w:rtl/>
        </w:rPr>
        <w:t xml:space="preserve"> </w:t>
      </w:r>
      <w:r w:rsidR="00F32B28" w:rsidRPr="00F32B28">
        <w:rPr>
          <w:rtl/>
        </w:rPr>
        <w:t>في</w:t>
      </w:r>
      <w:r w:rsidR="00F32B28">
        <w:rPr>
          <w:rtl/>
        </w:rPr>
        <w:t xml:space="preserve"> </w:t>
      </w:r>
      <w:r w:rsidR="00F32B28" w:rsidRPr="00F32B28">
        <w:rPr>
          <w:rtl/>
        </w:rPr>
        <w:t>قضايا</w:t>
      </w:r>
      <w:r w:rsidR="00F32B28">
        <w:rPr>
          <w:rtl/>
        </w:rPr>
        <w:t xml:space="preserve"> </w:t>
      </w:r>
      <w:r w:rsidR="00F32B28" w:rsidRPr="00F32B28">
        <w:rPr>
          <w:rtl/>
        </w:rPr>
        <w:t>العنف</w:t>
      </w:r>
      <w:r w:rsidR="00F32B28">
        <w:rPr>
          <w:rtl/>
        </w:rPr>
        <w:t xml:space="preserve"> </w:t>
      </w:r>
      <w:r w:rsidR="00F32B28" w:rsidRPr="00F32B28">
        <w:rPr>
          <w:rtl/>
        </w:rPr>
        <w:t>ضد</w:t>
      </w:r>
      <w:r w:rsidR="00F32B28">
        <w:rPr>
          <w:rtl/>
        </w:rPr>
        <w:t xml:space="preserve"> </w:t>
      </w:r>
      <w:r w:rsidR="00F32B28" w:rsidRPr="00F32B28">
        <w:rPr>
          <w:rtl/>
        </w:rPr>
        <w:t>النساء</w:t>
      </w:r>
      <w:r w:rsidR="00F32B28">
        <w:rPr>
          <w:rtl/>
        </w:rPr>
        <w:t xml:space="preserve"> </w:t>
      </w:r>
      <w:r w:rsidR="00F32B28" w:rsidRPr="00F32B28">
        <w:rPr>
          <w:rtl/>
        </w:rPr>
        <w:t>على</w:t>
      </w:r>
      <w:r w:rsidR="00F32B28">
        <w:rPr>
          <w:rtl/>
        </w:rPr>
        <w:t xml:space="preserve"> </w:t>
      </w:r>
      <w:r w:rsidR="00F32B28" w:rsidRPr="00F32B28">
        <w:rPr>
          <w:rtl/>
        </w:rPr>
        <w:t>طابع</w:t>
      </w:r>
      <w:r w:rsidR="00F32B28">
        <w:rPr>
          <w:rtl/>
        </w:rPr>
        <w:t xml:space="preserve"> </w:t>
      </w:r>
      <w:r w:rsidR="00F32B28" w:rsidRPr="00F32B28">
        <w:rPr>
          <w:rtl/>
        </w:rPr>
        <w:t>الاحتكام</w:t>
      </w:r>
      <w:r w:rsidR="00F32B28">
        <w:rPr>
          <w:rtl/>
        </w:rPr>
        <w:t xml:space="preserve"> </w:t>
      </w:r>
      <w:r w:rsidR="00F32B28" w:rsidRPr="00F32B28">
        <w:rPr>
          <w:rtl/>
        </w:rPr>
        <w:t>لما</w:t>
      </w:r>
      <w:r w:rsidR="00F32B28">
        <w:rPr>
          <w:rtl/>
        </w:rPr>
        <w:t xml:space="preserve"> </w:t>
      </w:r>
      <w:r w:rsidR="00F32B28" w:rsidRPr="00F32B28">
        <w:rPr>
          <w:rtl/>
        </w:rPr>
        <w:t>هو</w:t>
      </w:r>
      <w:r w:rsidR="00F32B28">
        <w:rPr>
          <w:rtl/>
        </w:rPr>
        <w:t xml:space="preserve"> </w:t>
      </w:r>
      <w:r w:rsidR="00F32B28" w:rsidRPr="00F32B28">
        <w:rPr>
          <w:rtl/>
        </w:rPr>
        <w:t>عرفي</w:t>
      </w:r>
      <w:r w:rsidR="00F32B28">
        <w:rPr>
          <w:rtl/>
        </w:rPr>
        <w:t xml:space="preserve"> </w:t>
      </w:r>
      <w:r w:rsidR="00F32B28" w:rsidRPr="00F32B28">
        <w:rPr>
          <w:rtl/>
        </w:rPr>
        <w:t>ومجتمعي</w:t>
      </w:r>
      <w:r w:rsidR="00F32B28">
        <w:rPr>
          <w:rtl/>
        </w:rPr>
        <w:t xml:space="preserve"> </w:t>
      </w:r>
      <w:r w:rsidR="00F32B28" w:rsidRPr="00F32B28">
        <w:rPr>
          <w:rtl/>
        </w:rPr>
        <w:t>باعتبار</w:t>
      </w:r>
      <w:r w:rsidR="00F32B28">
        <w:rPr>
          <w:rtl/>
        </w:rPr>
        <w:t xml:space="preserve"> </w:t>
      </w:r>
      <w:r w:rsidR="00F32B28" w:rsidRPr="00F32B28">
        <w:rPr>
          <w:rtl/>
        </w:rPr>
        <w:t>أن</w:t>
      </w:r>
      <w:r w:rsidR="00F32B28">
        <w:rPr>
          <w:rtl/>
        </w:rPr>
        <w:t xml:space="preserve"> </w:t>
      </w:r>
      <w:r w:rsidR="00F32B28" w:rsidRPr="00F32B28">
        <w:rPr>
          <w:rtl/>
        </w:rPr>
        <w:t>العنف</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هو</w:t>
      </w:r>
      <w:r w:rsidR="00F32B28">
        <w:rPr>
          <w:rtl/>
        </w:rPr>
        <w:t xml:space="preserve"> </w:t>
      </w:r>
      <w:r w:rsidR="00F32B28" w:rsidRPr="00F32B28">
        <w:rPr>
          <w:rtl/>
        </w:rPr>
        <w:t>خلاف</w:t>
      </w:r>
      <w:r w:rsidR="00F32B28">
        <w:rPr>
          <w:rtl/>
        </w:rPr>
        <w:t xml:space="preserve"> </w:t>
      </w:r>
      <w:r w:rsidR="00F32B28" w:rsidRPr="00F32B28">
        <w:rPr>
          <w:rtl/>
        </w:rPr>
        <w:t>أسري،</w:t>
      </w:r>
      <w:r w:rsidR="00F32B28">
        <w:rPr>
          <w:rtl/>
        </w:rPr>
        <w:t xml:space="preserve"> </w:t>
      </w:r>
      <w:r w:rsidR="00F32B28" w:rsidRPr="00F32B28">
        <w:rPr>
          <w:rtl/>
        </w:rPr>
        <w:t>وليس</w:t>
      </w:r>
      <w:r w:rsidR="00F32B28">
        <w:rPr>
          <w:rtl/>
        </w:rPr>
        <w:t xml:space="preserve"> </w:t>
      </w:r>
      <w:r w:rsidR="00F32B28" w:rsidRPr="00F32B28">
        <w:rPr>
          <w:rtl/>
        </w:rPr>
        <w:t>كونه</w:t>
      </w:r>
      <w:r w:rsidR="00F32B28">
        <w:rPr>
          <w:rtl/>
        </w:rPr>
        <w:t xml:space="preserve"> </w:t>
      </w:r>
      <w:r w:rsidR="00F32B28" w:rsidRPr="00F32B28">
        <w:rPr>
          <w:rtl/>
        </w:rPr>
        <w:t>جريمة</w:t>
      </w:r>
      <w:r w:rsidR="00F32B28">
        <w:rPr>
          <w:rtl/>
        </w:rPr>
        <w:t xml:space="preserve"> </w:t>
      </w:r>
      <w:r w:rsidR="00F32B28" w:rsidRPr="00F32B28">
        <w:rPr>
          <w:rtl/>
        </w:rPr>
        <w:t>تستوجب</w:t>
      </w:r>
      <w:r w:rsidR="00F32B28">
        <w:rPr>
          <w:rtl/>
        </w:rPr>
        <w:t xml:space="preserve"> </w:t>
      </w:r>
      <w:r w:rsidR="00F32B28" w:rsidRPr="00F32B28">
        <w:rPr>
          <w:rtl/>
        </w:rPr>
        <w:t>المحاسبة</w:t>
      </w:r>
      <w:r w:rsidR="00F32B28">
        <w:rPr>
          <w:rtl/>
        </w:rPr>
        <w:t xml:space="preserve"> </w:t>
      </w:r>
      <w:r w:rsidR="00F32B28" w:rsidRPr="00F32B28">
        <w:rPr>
          <w:rtl/>
        </w:rPr>
        <w:t>والعقاب.</w:t>
      </w:r>
      <w:r w:rsidR="00F32B28">
        <w:rPr>
          <w:rtl/>
        </w:rPr>
        <w:t xml:space="preserve"> </w:t>
      </w:r>
      <w:r w:rsidR="00F32B28" w:rsidRPr="00F32B28">
        <w:rPr>
          <w:rtl/>
        </w:rPr>
        <w:t>علاوة</w:t>
      </w:r>
      <w:r w:rsidR="00F32B28">
        <w:rPr>
          <w:rtl/>
        </w:rPr>
        <w:t xml:space="preserve"> </w:t>
      </w:r>
      <w:r w:rsidR="00F32B28" w:rsidRPr="00F32B28">
        <w:rPr>
          <w:rtl/>
        </w:rPr>
        <w:t>على</w:t>
      </w:r>
      <w:r w:rsidR="00F32B28">
        <w:rPr>
          <w:rtl/>
        </w:rPr>
        <w:t xml:space="preserve"> </w:t>
      </w:r>
      <w:r w:rsidR="00F32B28" w:rsidRPr="00F32B28">
        <w:rPr>
          <w:rtl/>
        </w:rPr>
        <w:t>عدم</w:t>
      </w:r>
      <w:r w:rsidR="00F32B28">
        <w:rPr>
          <w:rtl/>
        </w:rPr>
        <w:t xml:space="preserve"> </w:t>
      </w:r>
      <w:r w:rsidR="00F32B28" w:rsidRPr="00F32B28">
        <w:rPr>
          <w:rtl/>
        </w:rPr>
        <w:t>وجود</w:t>
      </w:r>
      <w:r w:rsidR="00F32B28">
        <w:rPr>
          <w:rtl/>
        </w:rPr>
        <w:t xml:space="preserve"> </w:t>
      </w:r>
      <w:r w:rsidR="00F32B28" w:rsidRPr="00F32B28">
        <w:rPr>
          <w:rtl/>
        </w:rPr>
        <w:t>نظام</w:t>
      </w:r>
      <w:r w:rsidR="00F32B28">
        <w:rPr>
          <w:rtl/>
        </w:rPr>
        <w:t xml:space="preserve"> </w:t>
      </w:r>
      <w:r w:rsidR="00F32B28" w:rsidRPr="00F32B28">
        <w:rPr>
          <w:rtl/>
        </w:rPr>
        <w:t>لتحويل</w:t>
      </w:r>
      <w:r w:rsidR="00F32B28">
        <w:rPr>
          <w:rtl/>
        </w:rPr>
        <w:t xml:space="preserve"> </w:t>
      </w:r>
      <w:r w:rsidR="00F32B28" w:rsidRPr="00F32B28">
        <w:rPr>
          <w:rtl/>
        </w:rPr>
        <w:t>النساء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إلى</w:t>
      </w:r>
      <w:r w:rsidR="00F32B28">
        <w:rPr>
          <w:rtl/>
        </w:rPr>
        <w:t xml:space="preserve"> </w:t>
      </w:r>
      <w:r w:rsidR="00F32B28" w:rsidRPr="00F32B28">
        <w:rPr>
          <w:rtl/>
        </w:rPr>
        <w:t>مختلف</w:t>
      </w:r>
      <w:r w:rsidR="00F32B28">
        <w:rPr>
          <w:rtl/>
        </w:rPr>
        <w:t xml:space="preserve"> </w:t>
      </w:r>
      <w:r w:rsidR="00F32B28" w:rsidRPr="00F32B28">
        <w:rPr>
          <w:rtl/>
        </w:rPr>
        <w:t>القطاعات</w:t>
      </w:r>
      <w:r w:rsidR="00F32B28">
        <w:rPr>
          <w:rtl/>
        </w:rPr>
        <w:t xml:space="preserve"> </w:t>
      </w:r>
      <w:r w:rsidR="00F32B28" w:rsidRPr="00F32B28">
        <w:rPr>
          <w:rtl/>
        </w:rPr>
        <w:t>كما</w:t>
      </w:r>
      <w:r w:rsidR="00F32B28">
        <w:rPr>
          <w:rtl/>
        </w:rPr>
        <w:t xml:space="preserve"> </w:t>
      </w:r>
      <w:r w:rsidR="00F32B28" w:rsidRPr="00F32B28">
        <w:rPr>
          <w:rtl/>
        </w:rPr>
        <w:t>هو</w:t>
      </w:r>
      <w:r w:rsidR="00F32B28">
        <w:rPr>
          <w:rtl/>
        </w:rPr>
        <w:t xml:space="preserve"> </w:t>
      </w:r>
      <w:r w:rsidR="00F32B28" w:rsidRPr="00F32B28">
        <w:rPr>
          <w:rtl/>
        </w:rPr>
        <w:t>الحال</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p>
    <w:p w:rsidR="00F32B28" w:rsidRPr="00F32B28" w:rsidRDefault="00B80192" w:rsidP="00B73D93">
      <w:pPr>
        <w:pStyle w:val="SingleTxt"/>
      </w:pPr>
      <w:r>
        <w:rPr>
          <w:rFonts w:hint="cs"/>
          <w:rtl/>
          <w:lang w:bidi="ar-SY"/>
        </w:rPr>
        <w:t>88 -</w:t>
      </w:r>
      <w:r>
        <w:rPr>
          <w:rFonts w:hint="cs"/>
          <w:rtl/>
          <w:lang w:bidi="ar-SY"/>
        </w:rPr>
        <w:tab/>
      </w:r>
      <w:r w:rsidR="00F32B28" w:rsidRPr="00F32B28">
        <w:rPr>
          <w:rtl/>
          <w:lang w:bidi="ar-SY"/>
        </w:rPr>
        <w:t>تختص</w:t>
      </w:r>
      <w:r w:rsidR="00F32B28">
        <w:rPr>
          <w:rtl/>
          <w:lang w:bidi="ar-SY"/>
        </w:rPr>
        <w:t xml:space="preserve"> </w:t>
      </w:r>
      <w:r w:rsidR="00F32B28" w:rsidRPr="00F32B28">
        <w:rPr>
          <w:rtl/>
          <w:lang w:bidi="ar-SY"/>
        </w:rPr>
        <w:t>النيابة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تحريك</w:t>
      </w:r>
      <w:r w:rsidR="00F32B28">
        <w:rPr>
          <w:rtl/>
          <w:lang w:bidi="ar-SY"/>
        </w:rPr>
        <w:t xml:space="preserve"> </w:t>
      </w:r>
      <w:r w:rsidR="00F32B28" w:rsidRPr="00F32B28">
        <w:rPr>
          <w:rtl/>
          <w:lang w:bidi="ar-SY"/>
        </w:rPr>
        <w:t>القضايا</w:t>
      </w:r>
      <w:r w:rsidR="00F32B28">
        <w:rPr>
          <w:rtl/>
          <w:lang w:bidi="ar-SY"/>
        </w:rPr>
        <w:t xml:space="preserve"> </w:t>
      </w:r>
      <w:r w:rsidR="00F32B28" w:rsidRPr="00F32B28">
        <w:rPr>
          <w:rtl/>
          <w:lang w:bidi="ar-SY"/>
        </w:rPr>
        <w:t>والتحقيق</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وإقامة</w:t>
      </w:r>
      <w:r w:rsidR="00F32B28">
        <w:rPr>
          <w:rtl/>
          <w:lang w:bidi="ar-SY"/>
        </w:rPr>
        <w:t xml:space="preserve"> </w:t>
      </w:r>
      <w:r w:rsidR="00F32B28" w:rsidRPr="00F32B28">
        <w:rPr>
          <w:rtl/>
          <w:lang w:bidi="ar-SY"/>
        </w:rPr>
        <w:t>الدعوى</w:t>
      </w:r>
      <w:r w:rsidR="00F32B28">
        <w:rPr>
          <w:rtl/>
          <w:lang w:bidi="ar-SY"/>
        </w:rPr>
        <w:t xml:space="preserve"> </w:t>
      </w:r>
      <w:r w:rsidR="00F32B28" w:rsidRPr="00F32B28">
        <w:rPr>
          <w:rtl/>
          <w:lang w:bidi="ar-SY"/>
        </w:rPr>
        <w:t>الجزائية</w:t>
      </w:r>
      <w:r w:rsidR="00F32B28">
        <w:rPr>
          <w:rtl/>
          <w:lang w:bidi="ar-SY"/>
        </w:rPr>
        <w:t xml:space="preserve"> </w:t>
      </w:r>
      <w:r w:rsidR="00F32B28" w:rsidRPr="00F32B28">
        <w:rPr>
          <w:rtl/>
          <w:lang w:bidi="ar-SY"/>
        </w:rPr>
        <w:t>ومباشرتها</w:t>
      </w:r>
      <w:r w:rsidR="00F32B28">
        <w:rPr>
          <w:rtl/>
          <w:lang w:bidi="ar-SY"/>
        </w:rPr>
        <w:t xml:space="preserve"> </w:t>
      </w:r>
      <w:r w:rsidR="00F32B28" w:rsidRPr="00F32B28">
        <w:rPr>
          <w:rtl/>
          <w:lang w:bidi="ar-SY"/>
        </w:rPr>
        <w:t>أمام</w:t>
      </w:r>
      <w:r w:rsidR="00F32B28">
        <w:rPr>
          <w:rtl/>
          <w:lang w:bidi="ar-SY"/>
        </w:rPr>
        <w:t xml:space="preserve"> </w:t>
      </w:r>
      <w:r w:rsidR="00F32B28" w:rsidRPr="00F32B28">
        <w:rPr>
          <w:rtl/>
          <w:lang w:bidi="ar-SY"/>
        </w:rPr>
        <w:t>المحاكم</w:t>
      </w:r>
      <w:r w:rsidR="00F32B28">
        <w:rPr>
          <w:rtl/>
          <w:lang w:bidi="ar-SY"/>
        </w:rPr>
        <w:t xml:space="preserve"> </w:t>
      </w:r>
      <w:r w:rsidR="00F32B28" w:rsidRPr="00F32B28">
        <w:rPr>
          <w:rtl/>
          <w:lang w:bidi="ar-SY"/>
        </w:rPr>
        <w:t>والإشراف</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تنفيذ</w:t>
      </w:r>
      <w:r w:rsidR="00F32B28">
        <w:rPr>
          <w:rtl/>
          <w:lang w:bidi="ar-SY"/>
        </w:rPr>
        <w:t xml:space="preserve"> </w:t>
      </w:r>
      <w:r w:rsidR="00F32B28" w:rsidRPr="00F32B28">
        <w:rPr>
          <w:rtl/>
          <w:lang w:bidi="ar-SY"/>
        </w:rPr>
        <w:t>الأحكام</w:t>
      </w:r>
      <w:r w:rsidR="00600C43">
        <w:rPr>
          <w:rFonts w:hint="cs"/>
          <w:rtl/>
          <w:lang w:bidi="ar-SY"/>
        </w:rPr>
        <w:t xml:space="preserve"> </w:t>
      </w:r>
      <w:r w:rsidR="00F32B28" w:rsidRPr="00F32B28">
        <w:rPr>
          <w:rtl/>
          <w:lang w:bidi="ar-SY"/>
        </w:rPr>
        <w:t>الصادرة</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ويتضح</w:t>
      </w:r>
      <w:r w:rsidR="00F32B28">
        <w:rPr>
          <w:rtl/>
          <w:lang w:bidi="ar-SY"/>
        </w:rPr>
        <w:t xml:space="preserve"> </w:t>
      </w:r>
      <w:r w:rsidR="00F32B28" w:rsidRPr="00F32B28">
        <w:rPr>
          <w:rtl/>
          <w:lang w:bidi="ar-SY"/>
        </w:rPr>
        <w:t>عمل</w:t>
      </w:r>
      <w:r w:rsidR="00F32B28">
        <w:rPr>
          <w:rtl/>
          <w:lang w:bidi="ar-SY"/>
        </w:rPr>
        <w:t xml:space="preserve"> </w:t>
      </w:r>
      <w:r w:rsidR="00F32B28" w:rsidRPr="00F32B28">
        <w:rPr>
          <w:rtl/>
          <w:lang w:bidi="ar-SY"/>
        </w:rPr>
        <w:t>النيابة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مجال</w:t>
      </w:r>
      <w:r w:rsidR="00F32B28">
        <w:rPr>
          <w:rtl/>
          <w:lang w:bidi="ar-SY"/>
        </w:rPr>
        <w:t xml:space="preserve"> </w:t>
      </w:r>
      <w:r w:rsidR="00F32B28" w:rsidRPr="00F32B28">
        <w:rPr>
          <w:rtl/>
          <w:lang w:bidi="ar-SY"/>
        </w:rPr>
        <w:t>تعزيز</w:t>
      </w:r>
      <w:r w:rsidR="00F32B28">
        <w:rPr>
          <w:rtl/>
          <w:lang w:bidi="ar-SY"/>
        </w:rPr>
        <w:t xml:space="preserve"> </w:t>
      </w:r>
      <w:r w:rsidR="00F32B28" w:rsidRPr="00F32B28">
        <w:rPr>
          <w:rtl/>
          <w:lang w:bidi="ar-SY"/>
        </w:rPr>
        <w:t>الحماية</w:t>
      </w:r>
      <w:r w:rsidR="00F32B28">
        <w:rPr>
          <w:rtl/>
          <w:lang w:bidi="ar-SY"/>
        </w:rPr>
        <w:t xml:space="preserve"> </w:t>
      </w:r>
      <w:r w:rsidR="00F32B28" w:rsidRPr="00F32B28">
        <w:rPr>
          <w:rtl/>
          <w:lang w:bidi="ar-SY"/>
        </w:rPr>
        <w:t>للنساء</w:t>
      </w:r>
      <w:r w:rsidR="00F32B28">
        <w:rPr>
          <w:rtl/>
          <w:lang w:bidi="ar-SY"/>
        </w:rPr>
        <w:t xml:space="preserve"> </w:t>
      </w:r>
      <w:r w:rsidR="00F32B28" w:rsidRPr="00F32B28">
        <w:rPr>
          <w:rtl/>
          <w:lang w:bidi="ar-SY"/>
        </w:rPr>
        <w:t>ضحايا</w:t>
      </w:r>
      <w:r w:rsidR="00F32B28">
        <w:rPr>
          <w:rtl/>
          <w:lang w:bidi="ar-SY"/>
        </w:rPr>
        <w:t xml:space="preserve"> </w:t>
      </w:r>
      <w:r w:rsidR="00F32B28" w:rsidRPr="00F32B28">
        <w:rPr>
          <w:rtl/>
          <w:lang w:bidi="ar-SY"/>
        </w:rPr>
        <w:t>العنف</w:t>
      </w:r>
      <w:r w:rsidR="00F32B28">
        <w:rPr>
          <w:rtl/>
          <w:lang w:bidi="ar-SY"/>
        </w:rPr>
        <w:t xml:space="preserve"> </w:t>
      </w:r>
      <w:r w:rsidR="00F32B28" w:rsidRPr="00F32B28">
        <w:rPr>
          <w:rtl/>
          <w:lang w:bidi="ar-SY"/>
        </w:rPr>
        <w:t>منذ</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2012</w:t>
      </w:r>
      <w:r w:rsidR="00F32B28">
        <w:rPr>
          <w:rtl/>
          <w:lang w:bidi="ar-SY"/>
        </w:rPr>
        <w:t xml:space="preserve"> </w:t>
      </w:r>
      <w:r w:rsidR="00F32B28" w:rsidRPr="00F32B28">
        <w:rPr>
          <w:rtl/>
          <w:lang w:bidi="ar-SY"/>
        </w:rPr>
        <w:t>حين</w:t>
      </w:r>
      <w:r w:rsidR="00F32B28">
        <w:rPr>
          <w:rtl/>
          <w:lang w:bidi="ar-SY"/>
        </w:rPr>
        <w:t xml:space="preserve"> </w:t>
      </w:r>
      <w:r w:rsidR="00F32B28" w:rsidRPr="00F32B28">
        <w:rPr>
          <w:rtl/>
          <w:lang w:bidi="ar-SY"/>
        </w:rPr>
        <w:t>تم</w:t>
      </w:r>
      <w:r w:rsidR="00F32B28">
        <w:rPr>
          <w:rtl/>
          <w:lang w:bidi="ar-SY"/>
        </w:rPr>
        <w:t xml:space="preserve"> </w:t>
      </w:r>
      <w:r w:rsidR="00F32B28" w:rsidRPr="00F32B28">
        <w:rPr>
          <w:rtl/>
          <w:lang w:bidi="ar-SY"/>
        </w:rPr>
        <w:t>تفعيل</w:t>
      </w:r>
      <w:r w:rsidR="00F32B28">
        <w:rPr>
          <w:rtl/>
          <w:lang w:bidi="ar-SY"/>
        </w:rPr>
        <w:t xml:space="preserve"> </w:t>
      </w:r>
      <w:r w:rsidR="00F32B28" w:rsidRPr="00F32B28">
        <w:rPr>
          <w:rtl/>
          <w:lang w:bidi="ar-SY"/>
        </w:rPr>
        <w:t>وحدة</w:t>
      </w:r>
      <w:r w:rsidR="00F32B28">
        <w:rPr>
          <w:rtl/>
          <w:lang w:bidi="ar-SY"/>
        </w:rPr>
        <w:t xml:space="preserve"> </w:t>
      </w:r>
      <w:r w:rsidR="00F32B28" w:rsidRPr="00F32B28">
        <w:rPr>
          <w:rtl/>
          <w:lang w:bidi="ar-SY"/>
        </w:rPr>
        <w:t>النوع</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مكتب</w:t>
      </w:r>
      <w:r w:rsidR="00F32B28">
        <w:rPr>
          <w:rtl/>
          <w:lang w:bidi="ar-SY"/>
        </w:rPr>
        <w:t xml:space="preserve"> </w:t>
      </w:r>
      <w:r w:rsidR="00F32B28" w:rsidRPr="00F32B28">
        <w:rPr>
          <w:rtl/>
          <w:lang w:bidi="ar-SY"/>
        </w:rPr>
        <w:t>النائب</w:t>
      </w:r>
      <w:r w:rsidR="00F32B28">
        <w:rPr>
          <w:rtl/>
          <w:lang w:bidi="ar-SY"/>
        </w:rPr>
        <w:t xml:space="preserve"> </w:t>
      </w:r>
      <w:r w:rsidR="00F32B28" w:rsidRPr="00F32B28">
        <w:rPr>
          <w:rtl/>
          <w:lang w:bidi="ar-SY"/>
        </w:rPr>
        <w:t>العام،</w:t>
      </w:r>
      <w:r w:rsidR="00F32B28">
        <w:rPr>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عملت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استراتيجياتها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يلي:</w:t>
      </w:r>
      <w:r w:rsidR="00F32B28">
        <w:rPr>
          <w:rtl/>
          <w:lang w:bidi="ar-SY"/>
        </w:rPr>
        <w:t xml:space="preserve"> </w:t>
      </w:r>
    </w:p>
    <w:p w:rsidR="00F32B28" w:rsidRPr="00F32B28" w:rsidRDefault="00B80192" w:rsidP="00B73D93">
      <w:pPr>
        <w:pStyle w:val="SingleTxt"/>
      </w:pPr>
      <w:r>
        <w:rPr>
          <w:rFonts w:hint="cs"/>
          <w:rtl/>
        </w:rPr>
        <w:t>89 -</w:t>
      </w:r>
      <w:r>
        <w:rPr>
          <w:rFonts w:hint="cs"/>
          <w:rtl/>
        </w:rPr>
        <w:tab/>
      </w:r>
      <w:r w:rsidR="00F32B28" w:rsidRPr="00F32B28">
        <w:rPr>
          <w:rtl/>
        </w:rPr>
        <w:t>تطوير</w:t>
      </w:r>
      <w:r w:rsidR="00F32B28">
        <w:rPr>
          <w:rtl/>
        </w:rPr>
        <w:t xml:space="preserve"> </w:t>
      </w:r>
      <w:r w:rsidR="00F32B28" w:rsidRPr="00F32B28">
        <w:rPr>
          <w:rtl/>
        </w:rPr>
        <w:t>خدمات</w:t>
      </w:r>
      <w:r w:rsidR="00F32B28">
        <w:rPr>
          <w:rtl/>
        </w:rPr>
        <w:t xml:space="preserve"> </w:t>
      </w:r>
      <w:r w:rsidR="00F32B28" w:rsidRPr="00F32B28">
        <w:rPr>
          <w:rtl/>
        </w:rPr>
        <w:t>متخصصة</w:t>
      </w:r>
      <w:r w:rsidR="00F32B28">
        <w:rPr>
          <w:rtl/>
        </w:rPr>
        <w:t xml:space="preserve"> </w:t>
      </w:r>
      <w:r w:rsidR="00F32B28" w:rsidRPr="00F32B28">
        <w:rPr>
          <w:rtl/>
        </w:rPr>
        <w:t>للنساء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بهدف</w:t>
      </w:r>
      <w:r w:rsidR="00F32B28">
        <w:rPr>
          <w:rtl/>
        </w:rPr>
        <w:t xml:space="preserve"> </w:t>
      </w:r>
      <w:r w:rsidR="00F32B28" w:rsidRPr="00F32B28">
        <w:rPr>
          <w:rtl/>
        </w:rPr>
        <w:t>تعزيز</w:t>
      </w:r>
      <w:r w:rsidR="00F32B28">
        <w:rPr>
          <w:rtl/>
        </w:rPr>
        <w:t xml:space="preserve"> </w:t>
      </w:r>
      <w:r w:rsidR="00F32B28" w:rsidRPr="00F32B28">
        <w:rPr>
          <w:rtl/>
        </w:rPr>
        <w:t>الحماية</w:t>
      </w:r>
      <w:r w:rsidR="00F32B28">
        <w:rPr>
          <w:rtl/>
        </w:rPr>
        <w:t xml:space="preserve"> </w:t>
      </w:r>
      <w:r w:rsidR="00F32B28" w:rsidRPr="00F32B28">
        <w:rPr>
          <w:rtl/>
        </w:rPr>
        <w:t>للنساء</w:t>
      </w:r>
      <w:r w:rsidR="00F32B28">
        <w:rPr>
          <w:rtl/>
        </w:rPr>
        <w:t xml:space="preserve"> </w:t>
      </w:r>
      <w:r w:rsidR="00F32B28" w:rsidRPr="00F32B28">
        <w:rPr>
          <w:rtl/>
        </w:rPr>
        <w:t>ومحاسبه</w:t>
      </w:r>
      <w:r w:rsidR="00F32B28">
        <w:rPr>
          <w:rtl/>
        </w:rPr>
        <w:t xml:space="preserve"> </w:t>
      </w:r>
      <w:r w:rsidR="00F32B28" w:rsidRPr="00F32B28">
        <w:rPr>
          <w:rtl/>
        </w:rPr>
        <w:t>الجناة:</w:t>
      </w:r>
      <w:r w:rsidR="00F32B28">
        <w:rPr>
          <w:rtl/>
        </w:rPr>
        <w:t xml:space="preserve"> </w:t>
      </w:r>
      <w:r w:rsidR="00F32B28" w:rsidRPr="00F32B28">
        <w:rPr>
          <w:rtl/>
        </w:rPr>
        <w:t>ففي</w:t>
      </w:r>
      <w:r w:rsidR="00F32B28">
        <w:rPr>
          <w:rtl/>
        </w:rPr>
        <w:t xml:space="preserve"> </w:t>
      </w:r>
      <w:r w:rsidR="00F32B28" w:rsidRPr="00F32B28">
        <w:rPr>
          <w:rtl/>
        </w:rPr>
        <w:t>عام</w:t>
      </w:r>
      <w:r w:rsidR="00F32B28">
        <w:rPr>
          <w:rtl/>
        </w:rPr>
        <w:t xml:space="preserve"> </w:t>
      </w:r>
      <w:r w:rsidR="00F32B28" w:rsidRPr="00F32B28">
        <w:rPr>
          <w:rtl/>
        </w:rPr>
        <w:t>2014،</w:t>
      </w:r>
      <w:r w:rsidR="00F32B28">
        <w:rPr>
          <w:rtl/>
        </w:rPr>
        <w:t xml:space="preserve"> </w:t>
      </w:r>
      <w:r w:rsidR="00F32B28" w:rsidRPr="00F32B28">
        <w:rPr>
          <w:rtl/>
        </w:rPr>
        <w:t>تم</w:t>
      </w:r>
      <w:r w:rsidR="00F32B28">
        <w:rPr>
          <w:rtl/>
        </w:rPr>
        <w:t xml:space="preserve"> </w:t>
      </w:r>
      <w:r w:rsidR="00F32B28" w:rsidRPr="00F32B28">
        <w:rPr>
          <w:rtl/>
        </w:rPr>
        <w:t>تكليف</w:t>
      </w:r>
      <w:r w:rsidR="00F32B28">
        <w:rPr>
          <w:rtl/>
        </w:rPr>
        <w:t xml:space="preserve"> </w:t>
      </w:r>
      <w:r w:rsidR="00F32B28" w:rsidRPr="00F32B28">
        <w:rPr>
          <w:rtl/>
        </w:rPr>
        <w:t>(15)</w:t>
      </w:r>
      <w:r w:rsidR="00F32B28">
        <w:rPr>
          <w:rtl/>
        </w:rPr>
        <w:t xml:space="preserve"> </w:t>
      </w:r>
      <w:r w:rsidR="00F32B28" w:rsidRPr="00F32B28">
        <w:rPr>
          <w:rtl/>
        </w:rPr>
        <w:t>وكيل</w:t>
      </w:r>
      <w:r w:rsidR="00F32B28">
        <w:rPr>
          <w:rtl/>
        </w:rPr>
        <w:t xml:space="preserve"> </w:t>
      </w:r>
      <w:r w:rsidR="00F32B28" w:rsidRPr="00F32B28">
        <w:rPr>
          <w:rtl/>
        </w:rPr>
        <w:t>نيابة</w:t>
      </w:r>
      <w:r w:rsidR="00F32B28">
        <w:rPr>
          <w:rtl/>
        </w:rPr>
        <w:t xml:space="preserve"> </w:t>
      </w:r>
      <w:r w:rsidR="00F32B28" w:rsidRPr="00F32B28">
        <w:rPr>
          <w:rtl/>
        </w:rPr>
        <w:t>مختص</w:t>
      </w:r>
      <w:r w:rsidR="0043161B">
        <w:rPr>
          <w:rFonts w:hint="cs"/>
          <w:rtl/>
        </w:rPr>
        <w:t xml:space="preserve"> </w:t>
      </w:r>
      <w:r w:rsidR="00F32B28" w:rsidRPr="00F32B28">
        <w:rPr>
          <w:rtl/>
        </w:rPr>
        <w:t>ينفي</w:t>
      </w:r>
      <w:r w:rsidR="00F32B28">
        <w:rPr>
          <w:rtl/>
        </w:rPr>
        <w:t xml:space="preserve"> </w:t>
      </w:r>
      <w:r w:rsidR="00F32B28" w:rsidRPr="00F32B28">
        <w:rPr>
          <w:rtl/>
        </w:rPr>
        <w:t>التحقيق</w:t>
      </w:r>
      <w:r w:rsidR="00F32B28">
        <w:rPr>
          <w:rtl/>
        </w:rPr>
        <w:t xml:space="preserve"> </w:t>
      </w:r>
      <w:r w:rsidR="00F32B28" w:rsidRPr="00F32B28">
        <w:rPr>
          <w:rtl/>
        </w:rPr>
        <w:t>والترافع</w:t>
      </w:r>
      <w:r w:rsidR="00F32B28">
        <w:rPr>
          <w:rtl/>
        </w:rPr>
        <w:t xml:space="preserve"> </w:t>
      </w:r>
      <w:r w:rsidR="00F32B28" w:rsidRPr="00F32B28">
        <w:rPr>
          <w:rtl/>
        </w:rPr>
        <w:t>في</w:t>
      </w:r>
      <w:r w:rsidR="00F32B28">
        <w:rPr>
          <w:rtl/>
        </w:rPr>
        <w:t xml:space="preserve"> </w:t>
      </w:r>
      <w:r w:rsidR="00F32B28" w:rsidRPr="00F32B28">
        <w:rPr>
          <w:rtl/>
        </w:rPr>
        <w:t>قضايا</w:t>
      </w:r>
      <w:r w:rsidR="00F32B28">
        <w:rPr>
          <w:rtl/>
        </w:rPr>
        <w:t xml:space="preserve"> </w:t>
      </w:r>
      <w:r w:rsidR="00F32B28" w:rsidRPr="00F32B28">
        <w:rPr>
          <w:rtl/>
        </w:rPr>
        <w:t>العنف</w:t>
      </w:r>
      <w:r w:rsidR="00F32B28">
        <w:rPr>
          <w:rtl/>
        </w:rPr>
        <w:t xml:space="preserve"> </w:t>
      </w:r>
      <w:r w:rsidR="00F32B28" w:rsidRPr="00F32B28">
        <w:rPr>
          <w:rtl/>
        </w:rPr>
        <w:t>الأسري</w:t>
      </w:r>
      <w:r w:rsidR="00F32B28">
        <w:rPr>
          <w:rtl/>
        </w:rPr>
        <w:t xml:space="preserve"> </w:t>
      </w:r>
      <w:r w:rsidR="00F32B28" w:rsidRPr="00F32B28">
        <w:rPr>
          <w:rtl/>
        </w:rPr>
        <w:t>والعنف</w:t>
      </w:r>
      <w:r w:rsidR="00F32B28">
        <w:rPr>
          <w:rtl/>
        </w:rPr>
        <w:t xml:space="preserve"> </w:t>
      </w:r>
      <w:r w:rsidR="00F32B28" w:rsidRPr="00F32B28">
        <w:rPr>
          <w:rtl/>
        </w:rPr>
        <w:t>ضد</w:t>
      </w:r>
      <w:r w:rsidR="00F32B28">
        <w:rPr>
          <w:rtl/>
        </w:rPr>
        <w:t xml:space="preserve"> </w:t>
      </w:r>
      <w:r w:rsidR="00F32B28" w:rsidRPr="00F32B28">
        <w:rPr>
          <w:rtl/>
        </w:rPr>
        <w:t>النساء</w:t>
      </w:r>
      <w:r w:rsidR="00F32B28">
        <w:rPr>
          <w:rtl/>
        </w:rPr>
        <w:t xml:space="preserve"> </w:t>
      </w:r>
      <w:r w:rsidR="00F32B28" w:rsidRPr="00F32B28">
        <w:rPr>
          <w:rtl/>
        </w:rPr>
        <w:t>والأطفال،</w:t>
      </w:r>
      <w:r w:rsidR="00F32B28">
        <w:rPr>
          <w:rtl/>
        </w:rPr>
        <w:t xml:space="preserve"> </w:t>
      </w:r>
      <w:r w:rsidR="00F32B28" w:rsidRPr="00F32B28">
        <w:rPr>
          <w:rFonts w:hint="cs"/>
          <w:rtl/>
        </w:rPr>
        <w:t>و</w:t>
      </w:r>
      <w:r w:rsidR="00F32B28" w:rsidRPr="00F32B28">
        <w:rPr>
          <w:rtl/>
        </w:rPr>
        <w:t>إدماج</w:t>
      </w:r>
      <w:r w:rsidR="00F32B28">
        <w:rPr>
          <w:rtl/>
        </w:rPr>
        <w:t xml:space="preserve"> </w:t>
      </w:r>
      <w:r w:rsidR="00F32B28" w:rsidRPr="00F32B28">
        <w:rPr>
          <w:rtl/>
        </w:rPr>
        <w:t>النوع</w:t>
      </w:r>
      <w:r w:rsidR="00F32B28">
        <w:rPr>
          <w:rtl/>
        </w:rPr>
        <w:t xml:space="preserve"> </w:t>
      </w:r>
      <w:r w:rsidR="00F32B28" w:rsidRPr="00F32B28">
        <w:rPr>
          <w:rtl/>
        </w:rPr>
        <w:t>الاجتماعي</w:t>
      </w:r>
      <w:r w:rsidR="00F32B28">
        <w:rPr>
          <w:rtl/>
        </w:rPr>
        <w:t xml:space="preserve"> </w:t>
      </w:r>
      <w:r w:rsidR="00F32B28" w:rsidRPr="00F32B28">
        <w:rPr>
          <w:rtl/>
        </w:rPr>
        <w:t>في</w:t>
      </w:r>
      <w:r w:rsidR="00F32B28">
        <w:rPr>
          <w:rtl/>
        </w:rPr>
        <w:t xml:space="preserve"> </w:t>
      </w:r>
      <w:r w:rsidR="00F32B28" w:rsidRPr="00F32B28">
        <w:rPr>
          <w:rtl/>
        </w:rPr>
        <w:t>أعمال</w:t>
      </w:r>
      <w:r w:rsidR="00F32B28">
        <w:rPr>
          <w:rtl/>
        </w:rPr>
        <w:t xml:space="preserve"> </w:t>
      </w:r>
      <w:r w:rsidR="00F32B28" w:rsidRPr="00F32B28">
        <w:rPr>
          <w:rtl/>
        </w:rPr>
        <w:t>النيابة</w:t>
      </w:r>
      <w:r w:rsidR="00F32B28">
        <w:rPr>
          <w:rtl/>
        </w:rPr>
        <w:t xml:space="preserve"> </w:t>
      </w:r>
      <w:r w:rsidR="00F32B28" w:rsidRPr="00F32B28">
        <w:rPr>
          <w:rtl/>
        </w:rPr>
        <w:t>العامة،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lang w:bidi="ar-SY"/>
        </w:rPr>
        <w:t>تبني</w:t>
      </w:r>
      <w:r w:rsidR="00F32B28">
        <w:rPr>
          <w:rtl/>
          <w:lang w:bidi="ar-SY"/>
        </w:rPr>
        <w:t xml:space="preserve"> </w:t>
      </w:r>
      <w:r w:rsidR="00F32B28" w:rsidRPr="00F32B28">
        <w:rPr>
          <w:rtl/>
          <w:lang w:bidi="ar-SY"/>
        </w:rPr>
        <w:t>خطط</w:t>
      </w:r>
      <w:r w:rsidR="00F32B28">
        <w:rPr>
          <w:rtl/>
          <w:lang w:bidi="ar-SY"/>
        </w:rPr>
        <w:t xml:space="preserve"> </w:t>
      </w:r>
      <w:r w:rsidR="00F32B28" w:rsidRPr="00F32B28">
        <w:rPr>
          <w:rtl/>
          <w:lang w:bidi="ar-SY"/>
        </w:rPr>
        <w:t>عمل</w:t>
      </w:r>
      <w:r w:rsidR="00F32B28">
        <w:rPr>
          <w:rtl/>
          <w:lang w:bidi="ar-SY"/>
        </w:rPr>
        <w:t xml:space="preserve"> </w:t>
      </w:r>
      <w:r w:rsidR="00F32B28" w:rsidRPr="00F32B28">
        <w:rPr>
          <w:rtl/>
          <w:lang w:bidi="ar-SY"/>
        </w:rPr>
        <w:t>سنوية</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بمراعاة</w:t>
      </w:r>
      <w:r w:rsidR="00F32B28">
        <w:rPr>
          <w:rtl/>
          <w:lang w:bidi="ar-SY"/>
        </w:rPr>
        <w:t xml:space="preserve"> </w:t>
      </w:r>
      <w:r w:rsidR="00F32B28" w:rsidRPr="00F32B28">
        <w:rPr>
          <w:rtl/>
          <w:lang w:bidi="ar-SY"/>
        </w:rPr>
        <w:t>مفهوم</w:t>
      </w:r>
      <w:r w:rsidR="00F32B28">
        <w:rPr>
          <w:rtl/>
          <w:lang w:bidi="ar-SY"/>
        </w:rPr>
        <w:t xml:space="preserve"> </w:t>
      </w:r>
      <w:r w:rsidR="00F32B28" w:rsidRPr="00F32B28">
        <w:rPr>
          <w:rtl/>
          <w:lang w:bidi="ar-SY"/>
        </w:rPr>
        <w:t>النوع</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أعمالها،</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rPr>
        <w:t>مراعاة</w:t>
      </w:r>
      <w:r w:rsidR="00F32B28">
        <w:rPr>
          <w:rtl/>
        </w:rPr>
        <w:t xml:space="preserve"> </w:t>
      </w:r>
      <w:r w:rsidR="00F32B28" w:rsidRPr="00F32B28">
        <w:rPr>
          <w:rtl/>
        </w:rPr>
        <w:t>المعايير</w:t>
      </w:r>
      <w:r w:rsidR="00F32B28">
        <w:rPr>
          <w:rtl/>
        </w:rPr>
        <w:t xml:space="preserve"> </w:t>
      </w:r>
      <w:r w:rsidR="00F32B28" w:rsidRPr="00F32B28">
        <w:rPr>
          <w:rtl/>
        </w:rPr>
        <w:t>الخاصة</w:t>
      </w:r>
      <w:r w:rsidR="00F32B28">
        <w:rPr>
          <w:rtl/>
        </w:rPr>
        <w:t xml:space="preserve"> </w:t>
      </w:r>
      <w:r w:rsidR="00F32B28" w:rsidRPr="00F32B28">
        <w:rPr>
          <w:rtl/>
        </w:rPr>
        <w:t>عند</w:t>
      </w:r>
      <w:r w:rsidR="00F32B28">
        <w:rPr>
          <w:rtl/>
        </w:rPr>
        <w:t xml:space="preserve"> </w:t>
      </w:r>
      <w:r w:rsidR="00F32B28" w:rsidRPr="00F32B28">
        <w:rPr>
          <w:rtl/>
        </w:rPr>
        <w:t>تجهيز</w:t>
      </w:r>
      <w:r w:rsidR="00F32B28">
        <w:rPr>
          <w:rtl/>
        </w:rPr>
        <w:t xml:space="preserve"> </w:t>
      </w:r>
      <w:r w:rsidR="00F32B28" w:rsidRPr="00F32B28">
        <w:rPr>
          <w:rtl/>
        </w:rPr>
        <w:t>مرافق</w:t>
      </w:r>
      <w:r w:rsidR="00F32B28">
        <w:rPr>
          <w:rtl/>
        </w:rPr>
        <w:t xml:space="preserve"> </w:t>
      </w:r>
      <w:r w:rsidR="00F32B28" w:rsidRPr="00F32B28">
        <w:rPr>
          <w:rtl/>
        </w:rPr>
        <w:t>النيابة</w:t>
      </w:r>
      <w:r w:rsidR="00F32B28">
        <w:rPr>
          <w:rtl/>
        </w:rPr>
        <w:t xml:space="preserve"> </w:t>
      </w:r>
      <w:r w:rsidR="00F32B28" w:rsidRPr="00F32B28">
        <w:rPr>
          <w:rtl/>
        </w:rPr>
        <w:t>العامة</w:t>
      </w:r>
      <w:r w:rsidR="00F32B28">
        <w:rPr>
          <w:rtl/>
        </w:rPr>
        <w:t xml:space="preserve"> </w:t>
      </w:r>
      <w:r w:rsidR="00F32B28" w:rsidRPr="00F32B28">
        <w:rPr>
          <w:rtl/>
        </w:rPr>
        <w:t>لضمان</w:t>
      </w:r>
      <w:r w:rsidR="00F32B28">
        <w:rPr>
          <w:rtl/>
        </w:rPr>
        <w:t xml:space="preserve"> </w:t>
      </w:r>
      <w:r w:rsidR="00F32B28" w:rsidRPr="00F32B28">
        <w:rPr>
          <w:rtl/>
        </w:rPr>
        <w:t>ملاءمتها</w:t>
      </w:r>
      <w:r w:rsidR="00F32B28">
        <w:rPr>
          <w:rtl/>
        </w:rPr>
        <w:t xml:space="preserve"> </w:t>
      </w:r>
      <w:r w:rsidR="00F32B28" w:rsidRPr="00F32B28">
        <w:rPr>
          <w:rtl/>
        </w:rPr>
        <w:t>لاحتياجات</w:t>
      </w:r>
      <w:r w:rsidR="00F32B28">
        <w:rPr>
          <w:rtl/>
        </w:rPr>
        <w:t xml:space="preserve"> </w:t>
      </w:r>
      <w:r w:rsidR="00F32B28" w:rsidRPr="00F32B28">
        <w:rPr>
          <w:rtl/>
        </w:rPr>
        <w:t>النساء</w:t>
      </w:r>
      <w:r w:rsidR="00F32B28">
        <w:rPr>
          <w:rtl/>
        </w:rPr>
        <w:t xml:space="preserve"> </w:t>
      </w:r>
      <w:r w:rsidR="00F32B28" w:rsidRPr="00F32B28">
        <w:rPr>
          <w:rtl/>
        </w:rPr>
        <w:t>المتوجهات</w:t>
      </w:r>
      <w:r w:rsidR="00F32B28">
        <w:rPr>
          <w:rtl/>
        </w:rPr>
        <w:t xml:space="preserve"> </w:t>
      </w:r>
      <w:r w:rsidR="00F32B28" w:rsidRPr="00F32B28">
        <w:rPr>
          <w:rtl/>
        </w:rPr>
        <w:t>إلى</w:t>
      </w:r>
      <w:r w:rsidR="00F32B28">
        <w:rPr>
          <w:rtl/>
        </w:rPr>
        <w:t xml:space="preserve"> </w:t>
      </w:r>
      <w:r w:rsidR="00F32B28" w:rsidRPr="00F32B28">
        <w:rPr>
          <w:rtl/>
        </w:rPr>
        <w:t>النيابة،</w:t>
      </w:r>
      <w:r w:rsidR="00F32B28">
        <w:rPr>
          <w:rtl/>
        </w:rPr>
        <w:t xml:space="preserve"> </w:t>
      </w:r>
      <w:r w:rsidR="00F32B28" w:rsidRPr="00F32B28">
        <w:rPr>
          <w:rtl/>
        </w:rPr>
        <w:t>وبشكل</w:t>
      </w:r>
      <w:r w:rsidR="00F32B28">
        <w:rPr>
          <w:rtl/>
        </w:rPr>
        <w:t xml:space="preserve"> </w:t>
      </w:r>
      <w:r w:rsidR="00F32B28" w:rsidRPr="00F32B28">
        <w:rPr>
          <w:rtl/>
        </w:rPr>
        <w:t>خاص</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اصطحابهن</w:t>
      </w:r>
      <w:r w:rsidR="00F32B28">
        <w:rPr>
          <w:rtl/>
        </w:rPr>
        <w:t xml:space="preserve"> </w:t>
      </w:r>
      <w:r w:rsidR="00F32B28" w:rsidRPr="00F32B28">
        <w:rPr>
          <w:rtl/>
        </w:rPr>
        <w:t>لأطفالهن،</w:t>
      </w:r>
      <w:r w:rsidR="00F32B28">
        <w:rPr>
          <w:rtl/>
        </w:rPr>
        <w:t xml:space="preserve"> </w:t>
      </w:r>
      <w:r w:rsidR="00F32B28" w:rsidRPr="00F32B28">
        <w:rPr>
          <w:rtl/>
        </w:rPr>
        <w:t>بما</w:t>
      </w:r>
      <w:r w:rsidR="00F32B28">
        <w:rPr>
          <w:rtl/>
        </w:rPr>
        <w:t xml:space="preserve"> </w:t>
      </w:r>
      <w:r w:rsidR="00F32B28" w:rsidRPr="00F32B28">
        <w:rPr>
          <w:rtl/>
        </w:rPr>
        <w:t>يضمن</w:t>
      </w:r>
      <w:r w:rsidR="00F32B28">
        <w:rPr>
          <w:rtl/>
        </w:rPr>
        <w:t xml:space="preserve"> </w:t>
      </w:r>
      <w:r w:rsidR="00F32B28" w:rsidRPr="00F32B28">
        <w:rPr>
          <w:rtl/>
        </w:rPr>
        <w:t>الحفاظ</w:t>
      </w:r>
      <w:r w:rsidR="00F32B28">
        <w:rPr>
          <w:rtl/>
        </w:rPr>
        <w:t xml:space="preserve"> </w:t>
      </w:r>
      <w:r w:rsidR="00F32B28" w:rsidRPr="00F32B28">
        <w:rPr>
          <w:rtl/>
        </w:rPr>
        <w:t>على</w:t>
      </w:r>
      <w:r w:rsidR="00F32B28">
        <w:rPr>
          <w:rtl/>
        </w:rPr>
        <w:t xml:space="preserve"> </w:t>
      </w:r>
      <w:r w:rsidR="00F32B28" w:rsidRPr="00F32B28">
        <w:rPr>
          <w:rtl/>
        </w:rPr>
        <w:t>كرامتهن</w:t>
      </w:r>
      <w:r w:rsidR="00F32B28">
        <w:rPr>
          <w:rtl/>
        </w:rPr>
        <w:t xml:space="preserve"> </w:t>
      </w:r>
      <w:r w:rsidR="00F32B28" w:rsidRPr="00F32B28">
        <w:rPr>
          <w:rtl/>
        </w:rPr>
        <w:t>ويعزز</w:t>
      </w:r>
      <w:r w:rsidR="00F32B28">
        <w:rPr>
          <w:rtl/>
        </w:rPr>
        <w:t xml:space="preserve"> </w:t>
      </w:r>
      <w:r w:rsidR="00F32B28" w:rsidRPr="00F32B28">
        <w:rPr>
          <w:rtl/>
        </w:rPr>
        <w:t>مبدأ</w:t>
      </w:r>
      <w:r w:rsidR="00F32B28">
        <w:rPr>
          <w:rtl/>
        </w:rPr>
        <w:t xml:space="preserve"> </w:t>
      </w:r>
      <w:r w:rsidR="00F32B28" w:rsidRPr="00F32B28">
        <w:rPr>
          <w:rtl/>
        </w:rPr>
        <w:t>السرية</w:t>
      </w:r>
      <w:r w:rsidR="00F32B28">
        <w:rPr>
          <w:rtl/>
        </w:rPr>
        <w:t xml:space="preserve"> </w:t>
      </w:r>
      <w:r w:rsidR="00F32B28" w:rsidRPr="00F32B28">
        <w:rPr>
          <w:rtl/>
        </w:rPr>
        <w:t>في</w:t>
      </w:r>
      <w:r w:rsidR="00F32B28">
        <w:rPr>
          <w:rtl/>
        </w:rPr>
        <w:t xml:space="preserve"> </w:t>
      </w:r>
      <w:r w:rsidR="00F32B28" w:rsidRPr="00F32B28">
        <w:rPr>
          <w:rtl/>
        </w:rPr>
        <w:t>التعامل</w:t>
      </w:r>
      <w:r w:rsidR="00F32B28">
        <w:rPr>
          <w:rtl/>
        </w:rPr>
        <w:t xml:space="preserve"> </w:t>
      </w:r>
      <w:r w:rsidR="00F32B28" w:rsidRPr="00F32B28">
        <w:rPr>
          <w:rtl/>
        </w:rPr>
        <w:t>مع</w:t>
      </w:r>
      <w:r w:rsidR="00F32B28">
        <w:rPr>
          <w:rtl/>
        </w:rPr>
        <w:t xml:space="preserve"> </w:t>
      </w:r>
      <w:r w:rsidR="00F32B28" w:rsidRPr="00F32B28">
        <w:rPr>
          <w:rtl/>
        </w:rPr>
        <w:t>قضاياهن.</w:t>
      </w:r>
      <w:r w:rsidR="00F32B28">
        <w:rPr>
          <w:rtl/>
        </w:rPr>
        <w:t xml:space="preserve"> </w:t>
      </w:r>
      <w:r w:rsidR="00F32B28" w:rsidRPr="00F32B28">
        <w:rPr>
          <w:rtl/>
        </w:rPr>
        <w:t>ويجري</w:t>
      </w:r>
      <w:r w:rsidR="00F32B28">
        <w:rPr>
          <w:rtl/>
        </w:rPr>
        <w:t xml:space="preserve"> </w:t>
      </w:r>
      <w:r w:rsidR="00F32B28" w:rsidRPr="00F32B28">
        <w:rPr>
          <w:rtl/>
        </w:rPr>
        <w:t>العمل</w:t>
      </w:r>
      <w:r w:rsidR="00F32B28">
        <w:rPr>
          <w:rtl/>
        </w:rPr>
        <w:t xml:space="preserve"> </w:t>
      </w:r>
      <w:r w:rsidR="00F32B28" w:rsidRPr="00F32B28">
        <w:rPr>
          <w:rtl/>
        </w:rPr>
        <w:t>حالياً</w:t>
      </w:r>
      <w:r w:rsidR="00F32B28">
        <w:rPr>
          <w:rtl/>
        </w:rPr>
        <w:t xml:space="preserve"> </w:t>
      </w:r>
      <w:r w:rsidR="00F32B28" w:rsidRPr="00F32B28">
        <w:rPr>
          <w:rtl/>
        </w:rPr>
        <w:t>على</w:t>
      </w:r>
      <w:r w:rsidR="00F32B28">
        <w:rPr>
          <w:rtl/>
        </w:rPr>
        <w:t xml:space="preserve"> </w:t>
      </w:r>
      <w:r w:rsidR="00F32B28" w:rsidRPr="00F32B28">
        <w:rPr>
          <w:rtl/>
        </w:rPr>
        <w:t>تطوير</w:t>
      </w:r>
      <w:r w:rsidR="00F32B28">
        <w:rPr>
          <w:rtl/>
        </w:rPr>
        <w:t xml:space="preserve"> </w:t>
      </w:r>
      <w:r w:rsidR="00F32B28" w:rsidRPr="00F32B28">
        <w:rPr>
          <w:rtl/>
        </w:rPr>
        <w:t>قاعدة</w:t>
      </w:r>
      <w:r w:rsidR="00F32B28">
        <w:rPr>
          <w:rtl/>
        </w:rPr>
        <w:t xml:space="preserve"> </w:t>
      </w:r>
      <w:r w:rsidR="00F32B28" w:rsidRPr="00F32B28">
        <w:rPr>
          <w:rtl/>
        </w:rPr>
        <w:t>بيانات</w:t>
      </w:r>
      <w:r w:rsidR="00F32B28">
        <w:rPr>
          <w:rtl/>
        </w:rPr>
        <w:t xml:space="preserve"> </w:t>
      </w:r>
      <w:r w:rsidR="00F32B28" w:rsidRPr="00F32B28">
        <w:rPr>
          <w:rtl/>
        </w:rPr>
        <w:t>خاصة</w:t>
      </w:r>
      <w:r w:rsidR="00F32B28">
        <w:rPr>
          <w:rtl/>
        </w:rPr>
        <w:t xml:space="preserve"> </w:t>
      </w:r>
      <w:r w:rsidR="00F32B28" w:rsidRPr="00F32B28">
        <w:rPr>
          <w:rtl/>
        </w:rPr>
        <w:t>بقضايا</w:t>
      </w:r>
      <w:r w:rsidR="00F32B28">
        <w:rPr>
          <w:rtl/>
        </w:rPr>
        <w:t xml:space="preserve"> </w:t>
      </w:r>
      <w:r w:rsidR="00F32B28" w:rsidRPr="00F32B28">
        <w:rPr>
          <w:rtl/>
        </w:rPr>
        <w:t>العنف</w:t>
      </w:r>
      <w:r w:rsidR="00F32B28">
        <w:rPr>
          <w:rtl/>
        </w:rPr>
        <w:t xml:space="preserve"> </w:t>
      </w:r>
      <w:r w:rsidR="00F32B28" w:rsidRPr="00F32B28">
        <w:rPr>
          <w:rtl/>
        </w:rPr>
        <w:t>ضد</w:t>
      </w:r>
      <w:r w:rsidR="00F32B28">
        <w:rPr>
          <w:rtl/>
        </w:rPr>
        <w:t xml:space="preserve"> </w:t>
      </w:r>
      <w:r w:rsidR="00F32B28" w:rsidRPr="00F32B28">
        <w:rPr>
          <w:rtl/>
        </w:rPr>
        <w:t>النساء</w:t>
      </w:r>
      <w:r w:rsidR="00F32B28">
        <w:rPr>
          <w:rtl/>
        </w:rPr>
        <w:t xml:space="preserve"> </w:t>
      </w:r>
      <w:r w:rsidR="00F32B28" w:rsidRPr="00F32B28">
        <w:rPr>
          <w:rtl/>
        </w:rPr>
        <w:t>والأطفال</w:t>
      </w:r>
      <w:r w:rsidR="00F32B28">
        <w:rPr>
          <w:rtl/>
        </w:rPr>
        <w:t xml:space="preserve"> </w:t>
      </w:r>
      <w:r w:rsidR="00F32B28" w:rsidRPr="00F32B28">
        <w:rPr>
          <w:rtl/>
        </w:rPr>
        <w:t>الواردة</w:t>
      </w:r>
      <w:r w:rsidR="00F32B28">
        <w:rPr>
          <w:rtl/>
        </w:rPr>
        <w:t xml:space="preserve"> </w:t>
      </w:r>
      <w:r w:rsidR="00F32B28" w:rsidRPr="00F32B28">
        <w:rPr>
          <w:rtl/>
        </w:rPr>
        <w:t>إلى</w:t>
      </w:r>
      <w:r w:rsidR="00F32B28">
        <w:rPr>
          <w:rtl/>
        </w:rPr>
        <w:t xml:space="preserve"> </w:t>
      </w:r>
      <w:r w:rsidR="00F32B28" w:rsidRPr="00F32B28">
        <w:rPr>
          <w:rtl/>
        </w:rPr>
        <w:t>النيابة</w:t>
      </w:r>
      <w:r w:rsidR="00F32B28">
        <w:rPr>
          <w:rtl/>
        </w:rPr>
        <w:t xml:space="preserve"> </w:t>
      </w:r>
      <w:r w:rsidR="00F32B28" w:rsidRPr="00F32B28">
        <w:rPr>
          <w:rtl/>
        </w:rPr>
        <w:t>وتضمن</w:t>
      </w:r>
      <w:r w:rsidR="00F32B28">
        <w:rPr>
          <w:rtl/>
        </w:rPr>
        <w:t xml:space="preserve"> </w:t>
      </w:r>
      <w:r w:rsidR="00F32B28" w:rsidRPr="00F32B28">
        <w:rPr>
          <w:rtl/>
        </w:rPr>
        <w:t>الحفاظ</w:t>
      </w:r>
      <w:r w:rsidR="00F32B28">
        <w:rPr>
          <w:rtl/>
        </w:rPr>
        <w:t xml:space="preserve"> </w:t>
      </w:r>
      <w:r w:rsidR="00F32B28" w:rsidRPr="00F32B28">
        <w:rPr>
          <w:rtl/>
        </w:rPr>
        <w:t>على</w:t>
      </w:r>
      <w:r w:rsidR="00F32B28">
        <w:rPr>
          <w:rtl/>
        </w:rPr>
        <w:t xml:space="preserve"> </w:t>
      </w:r>
      <w:r w:rsidR="00F32B28" w:rsidRPr="00F32B28">
        <w:rPr>
          <w:rtl/>
          <w:lang w:bidi="ar-SY"/>
        </w:rPr>
        <w:t>سرية</w:t>
      </w:r>
      <w:r w:rsidR="00F32B28">
        <w:rPr>
          <w:rtl/>
          <w:lang w:bidi="ar-SY"/>
        </w:rPr>
        <w:t xml:space="preserve"> </w:t>
      </w:r>
      <w:r w:rsidR="00F32B28" w:rsidRPr="00F32B28">
        <w:rPr>
          <w:rtl/>
        </w:rPr>
        <w:t>المعلومات</w:t>
      </w:r>
      <w:r w:rsidR="00F32B28" w:rsidRPr="00F32B28">
        <w:rPr>
          <w:rFonts w:hint="cs"/>
          <w:rtl/>
        </w:rPr>
        <w:t>.</w:t>
      </w:r>
      <w:r w:rsidR="00F32B28">
        <w:rPr>
          <w:rFonts w:hint="cs"/>
          <w:rtl/>
        </w:rPr>
        <w:t xml:space="preserve"> </w:t>
      </w:r>
    </w:p>
    <w:p w:rsidR="00F32B28" w:rsidRPr="00F32B28" w:rsidRDefault="00B80192" w:rsidP="008974F6">
      <w:pPr>
        <w:pStyle w:val="SingleTxt"/>
        <w:spacing w:line="340" w:lineRule="exact"/>
        <w:ind w:left="1267" w:right="1267"/>
        <w:rPr>
          <w:rtl/>
        </w:rPr>
      </w:pPr>
      <w:r>
        <w:rPr>
          <w:rFonts w:hint="cs"/>
          <w:rtl/>
        </w:rPr>
        <w:t>90 -</w:t>
      </w:r>
      <w:r>
        <w:rPr>
          <w:rFonts w:hint="cs"/>
          <w:rtl/>
        </w:rPr>
        <w:tab/>
      </w:r>
      <w:r w:rsidR="00F32B28" w:rsidRPr="00F32B28">
        <w:rPr>
          <w:rtl/>
        </w:rPr>
        <w:t>وقد</w:t>
      </w:r>
      <w:r w:rsidR="00F32B28">
        <w:rPr>
          <w:rtl/>
        </w:rPr>
        <w:t xml:space="preserve"> </w:t>
      </w:r>
      <w:r w:rsidR="00F32B28" w:rsidRPr="00F32B28">
        <w:rPr>
          <w:rtl/>
          <w:lang w:bidi="ar-LB"/>
        </w:rPr>
        <w:t>تبنت</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شؤون</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rPr>
        <w:t>الخطة</w:t>
      </w:r>
      <w:r w:rsidR="00F32B28">
        <w:rPr>
          <w:rtl/>
        </w:rPr>
        <w:t xml:space="preserve"> </w:t>
      </w:r>
      <w:r w:rsidR="00F32B28" w:rsidRPr="00F32B28">
        <w:rPr>
          <w:rtl/>
        </w:rPr>
        <w:t>الاستراتيجية</w:t>
      </w:r>
      <w:r w:rsidR="00F32B28">
        <w:rPr>
          <w:rtl/>
        </w:rPr>
        <w:t xml:space="preserve"> </w:t>
      </w:r>
      <w:r w:rsidR="00F32B28" w:rsidRPr="00F32B28">
        <w:rPr>
          <w:rtl/>
        </w:rPr>
        <w:t>لمناهضة</w:t>
      </w:r>
      <w:r w:rsidR="00F32B28">
        <w:rPr>
          <w:rtl/>
        </w:rPr>
        <w:t xml:space="preserve"> </w:t>
      </w:r>
      <w:r w:rsidR="00F32B28" w:rsidRPr="00F32B28">
        <w:rPr>
          <w:rtl/>
        </w:rPr>
        <w:t>العنف</w:t>
      </w:r>
      <w:r w:rsidR="00F32B28">
        <w:rPr>
          <w:rtl/>
        </w:rPr>
        <w:t xml:space="preserve"> </w:t>
      </w:r>
      <w:r w:rsidR="00F32B28" w:rsidRPr="00F32B28">
        <w:rPr>
          <w:rtl/>
        </w:rPr>
        <w:t>ضد</w:t>
      </w:r>
      <w:r w:rsidR="00F32B28">
        <w:rPr>
          <w:rtl/>
        </w:rPr>
        <w:t xml:space="preserve"> </w:t>
      </w:r>
      <w:r w:rsidR="00F32B28" w:rsidRPr="00F32B28">
        <w:rPr>
          <w:rtl/>
        </w:rPr>
        <w:t>النساء</w:t>
      </w:r>
      <w:r w:rsidR="00F32B28">
        <w:rPr>
          <w:rtl/>
        </w:rPr>
        <w:t xml:space="preserve"> </w:t>
      </w:r>
      <w:r w:rsidR="00F32B28" w:rsidRPr="00F32B28">
        <w:rPr>
          <w:rtl/>
        </w:rPr>
        <w:t>للأعوام</w:t>
      </w:r>
      <w:r w:rsidR="00F32B28">
        <w:rPr>
          <w:rtl/>
        </w:rPr>
        <w:t xml:space="preserve"> </w:t>
      </w:r>
      <w:r w:rsidR="008974F6">
        <w:rPr>
          <w:rFonts w:hint="cs"/>
          <w:rtl/>
        </w:rPr>
        <w:br/>
      </w:r>
      <w:r w:rsidR="00F32B28" w:rsidRPr="00F32B28">
        <w:rPr>
          <w:rtl/>
        </w:rPr>
        <w:t>2011-2019،</w:t>
      </w:r>
      <w:r w:rsidR="00F32B28">
        <w:rPr>
          <w:rtl/>
        </w:rPr>
        <w:t xml:space="preserve"> </w:t>
      </w:r>
      <w:r w:rsidR="00F32B28" w:rsidRPr="00F32B28">
        <w:rPr>
          <w:rtl/>
        </w:rPr>
        <w:t>التي</w:t>
      </w:r>
      <w:r w:rsidR="00F32B28">
        <w:rPr>
          <w:rtl/>
        </w:rPr>
        <w:t xml:space="preserve"> </w:t>
      </w:r>
      <w:r w:rsidR="00F32B28" w:rsidRPr="00F32B28">
        <w:rPr>
          <w:rtl/>
        </w:rPr>
        <w:t>تهدف</w:t>
      </w:r>
      <w:r w:rsidR="00F32B28">
        <w:rPr>
          <w:rtl/>
        </w:rPr>
        <w:t xml:space="preserve"> </w:t>
      </w:r>
      <w:r w:rsidR="00F32B28" w:rsidRPr="00F32B28">
        <w:rPr>
          <w:rtl/>
        </w:rPr>
        <w:t>إلى</w:t>
      </w:r>
      <w:r w:rsidR="00F32B28">
        <w:rPr>
          <w:rtl/>
        </w:rPr>
        <w:t xml:space="preserve"> </w:t>
      </w:r>
      <w:r w:rsidR="00F32B28" w:rsidRPr="00F32B28">
        <w:rPr>
          <w:rtl/>
        </w:rPr>
        <w:t>تعزيز</w:t>
      </w:r>
      <w:r w:rsidR="00F32B28">
        <w:rPr>
          <w:rtl/>
        </w:rPr>
        <w:t xml:space="preserve"> </w:t>
      </w:r>
      <w:r w:rsidR="00F32B28" w:rsidRPr="00F32B28">
        <w:rPr>
          <w:rtl/>
        </w:rPr>
        <w:t>آليات</w:t>
      </w:r>
      <w:r w:rsidR="00F32B28">
        <w:rPr>
          <w:rtl/>
        </w:rPr>
        <w:t xml:space="preserve"> </w:t>
      </w:r>
      <w:r w:rsidR="00F32B28" w:rsidRPr="00F32B28">
        <w:rPr>
          <w:rtl/>
        </w:rPr>
        <w:t>الحماية</w:t>
      </w:r>
      <w:r w:rsidR="00F32B28">
        <w:rPr>
          <w:rtl/>
        </w:rPr>
        <w:t xml:space="preserve"> </w:t>
      </w:r>
      <w:r w:rsidR="00F32B28" w:rsidRPr="00F32B28">
        <w:rPr>
          <w:rtl/>
        </w:rPr>
        <w:t>والتمكين</w:t>
      </w:r>
      <w:r w:rsidR="00F32B28">
        <w:rPr>
          <w:rtl/>
        </w:rPr>
        <w:t xml:space="preserve"> </w:t>
      </w:r>
      <w:r w:rsidR="00F32B28" w:rsidRPr="00F32B28">
        <w:rPr>
          <w:rtl/>
        </w:rPr>
        <w:t>للنساء</w:t>
      </w:r>
      <w:r w:rsidR="00F32B28">
        <w:rPr>
          <w:rtl/>
        </w:rPr>
        <w:t xml:space="preserve"> </w:t>
      </w:r>
      <w:r w:rsidR="00F32B28" w:rsidRPr="00F32B28">
        <w:rPr>
          <w:rtl/>
        </w:rPr>
        <w:t>اللواتي</w:t>
      </w:r>
      <w:r w:rsidR="00F32B28">
        <w:rPr>
          <w:rtl/>
        </w:rPr>
        <w:t xml:space="preserve"> </w:t>
      </w:r>
      <w:r w:rsidR="00F32B28" w:rsidRPr="00F32B28">
        <w:rPr>
          <w:rtl/>
        </w:rPr>
        <w:t>يتعرضن</w:t>
      </w:r>
      <w:r w:rsidR="00F32B28">
        <w:rPr>
          <w:rtl/>
        </w:rPr>
        <w:t xml:space="preserve"> </w:t>
      </w:r>
      <w:r w:rsidR="00F32B28" w:rsidRPr="00F32B28">
        <w:rPr>
          <w:rtl/>
        </w:rPr>
        <w:t>لانتهاكات</w:t>
      </w:r>
      <w:r w:rsidR="00F32B28">
        <w:rPr>
          <w:rtl/>
        </w:rPr>
        <w:t xml:space="preserve"> </w:t>
      </w:r>
      <w:r w:rsidR="00F32B28" w:rsidRPr="00F32B28">
        <w:rPr>
          <w:rtl/>
        </w:rPr>
        <w:t>الاحتلال،</w:t>
      </w:r>
      <w:r w:rsidR="00F32B28">
        <w:rPr>
          <w:rtl/>
        </w:rPr>
        <w:t xml:space="preserve"> </w:t>
      </w:r>
      <w:r w:rsidR="00F32B28" w:rsidRPr="00F32B28">
        <w:rPr>
          <w:rtl/>
        </w:rPr>
        <w:t>وتعزيز</w:t>
      </w:r>
      <w:r w:rsidR="00F32B28">
        <w:rPr>
          <w:rtl/>
        </w:rPr>
        <w:t xml:space="preserve"> </w:t>
      </w:r>
      <w:r w:rsidR="00F32B28" w:rsidRPr="00F32B28">
        <w:rPr>
          <w:rtl/>
        </w:rPr>
        <w:t>الإطار</w:t>
      </w:r>
      <w:r w:rsidR="00F32B28">
        <w:rPr>
          <w:rtl/>
        </w:rPr>
        <w:t xml:space="preserve"> </w:t>
      </w:r>
      <w:r w:rsidR="00F32B28" w:rsidRPr="00F32B28">
        <w:rPr>
          <w:rtl/>
        </w:rPr>
        <w:t>القانوني</w:t>
      </w:r>
      <w:r w:rsidR="00F32B28">
        <w:rPr>
          <w:rtl/>
        </w:rPr>
        <w:t xml:space="preserve"> </w:t>
      </w:r>
      <w:r w:rsidR="00F32B28" w:rsidRPr="00F32B28">
        <w:rPr>
          <w:rtl/>
        </w:rPr>
        <w:t>والمؤسسي</w:t>
      </w:r>
      <w:r w:rsidR="00F32B28">
        <w:rPr>
          <w:rtl/>
        </w:rPr>
        <w:t xml:space="preserve"> </w:t>
      </w:r>
      <w:r w:rsidR="00F32B28" w:rsidRPr="00F32B28">
        <w:rPr>
          <w:rtl/>
        </w:rPr>
        <w:t>لحماية</w:t>
      </w:r>
      <w:r w:rsidR="00F32B28">
        <w:rPr>
          <w:rtl/>
        </w:rPr>
        <w:t xml:space="preserve"> </w:t>
      </w:r>
      <w:r w:rsidR="00F32B28" w:rsidRPr="00F32B28">
        <w:rPr>
          <w:rtl/>
        </w:rPr>
        <w:t>النساء</w:t>
      </w:r>
      <w:r w:rsidR="00F32B28">
        <w:rPr>
          <w:rtl/>
        </w:rPr>
        <w:t xml:space="preserve"> </w:t>
      </w:r>
      <w:r w:rsidR="00F32B28" w:rsidRPr="00F32B28">
        <w:rPr>
          <w:rtl/>
        </w:rPr>
        <w:t>من</w:t>
      </w:r>
      <w:r w:rsidR="00F32B28">
        <w:rPr>
          <w:rtl/>
        </w:rPr>
        <w:t xml:space="preserve"> </w:t>
      </w:r>
      <w:r w:rsidR="00F32B28" w:rsidRPr="00F32B28">
        <w:rPr>
          <w:rtl/>
        </w:rPr>
        <w:t>العنف،</w:t>
      </w:r>
      <w:r w:rsidR="00F32B28">
        <w:rPr>
          <w:rtl/>
        </w:rPr>
        <w:t xml:space="preserve"> </w:t>
      </w:r>
      <w:r w:rsidR="00F32B28" w:rsidRPr="00F32B28">
        <w:rPr>
          <w:rtl/>
        </w:rPr>
        <w:t>وتطوير</w:t>
      </w:r>
      <w:r w:rsidR="00F32B28">
        <w:rPr>
          <w:rtl/>
        </w:rPr>
        <w:t xml:space="preserve"> </w:t>
      </w:r>
      <w:r w:rsidR="00F32B28" w:rsidRPr="00F32B28">
        <w:rPr>
          <w:rtl/>
        </w:rPr>
        <w:t>إجراءات</w:t>
      </w:r>
      <w:r w:rsidR="00F32B28">
        <w:rPr>
          <w:rtl/>
        </w:rPr>
        <w:t xml:space="preserve"> </w:t>
      </w:r>
      <w:r w:rsidR="00F32B28" w:rsidRPr="00F32B28">
        <w:rPr>
          <w:rtl/>
        </w:rPr>
        <w:t>إدارية</w:t>
      </w:r>
      <w:r w:rsidR="00F32B28">
        <w:rPr>
          <w:rtl/>
        </w:rPr>
        <w:t xml:space="preserve"> </w:t>
      </w:r>
      <w:r w:rsidR="00F32B28" w:rsidRPr="00F32B28">
        <w:rPr>
          <w:rtl/>
        </w:rPr>
        <w:t>ومدونات</w:t>
      </w:r>
      <w:r w:rsidR="00F32B28">
        <w:rPr>
          <w:rtl/>
        </w:rPr>
        <w:t xml:space="preserve"> </w:t>
      </w:r>
      <w:r w:rsidR="00F32B28" w:rsidRPr="00F32B28">
        <w:rPr>
          <w:rtl/>
        </w:rPr>
        <w:t>قواعد</w:t>
      </w:r>
      <w:r w:rsidR="00F32B28">
        <w:rPr>
          <w:rtl/>
        </w:rPr>
        <w:t xml:space="preserve"> </w:t>
      </w:r>
      <w:r w:rsidR="00F32B28" w:rsidRPr="00F32B28">
        <w:rPr>
          <w:rtl/>
        </w:rPr>
        <w:t>سلوك</w:t>
      </w:r>
      <w:r w:rsidR="00F32B28">
        <w:rPr>
          <w:rtl/>
        </w:rPr>
        <w:t xml:space="preserve"> </w:t>
      </w:r>
      <w:r w:rsidR="00F32B28" w:rsidRPr="00F32B28">
        <w:rPr>
          <w:rtl/>
        </w:rPr>
        <w:t>تحدد</w:t>
      </w:r>
      <w:r w:rsidR="00F32B28">
        <w:rPr>
          <w:rtl/>
        </w:rPr>
        <w:t xml:space="preserve"> </w:t>
      </w:r>
      <w:r w:rsidR="00F32B28" w:rsidRPr="00F32B28">
        <w:rPr>
          <w:rtl/>
        </w:rPr>
        <w:t>أدوار</w:t>
      </w:r>
      <w:r w:rsidR="00F32B28">
        <w:rPr>
          <w:rtl/>
        </w:rPr>
        <w:t xml:space="preserve"> </w:t>
      </w:r>
      <w:r w:rsidR="00F32B28" w:rsidRPr="00F32B28">
        <w:rPr>
          <w:rtl/>
        </w:rPr>
        <w:t>وكيفية</w:t>
      </w:r>
      <w:r w:rsidR="00F32B28">
        <w:rPr>
          <w:rtl/>
        </w:rPr>
        <w:t xml:space="preserve"> </w:t>
      </w:r>
      <w:r w:rsidR="00F32B28" w:rsidRPr="00F32B28">
        <w:rPr>
          <w:rtl/>
        </w:rPr>
        <w:t>تعامل</w:t>
      </w:r>
      <w:r w:rsidR="00F32B28">
        <w:rPr>
          <w:rtl/>
        </w:rPr>
        <w:t xml:space="preserve"> </w:t>
      </w:r>
      <w:r w:rsidR="00F32B28" w:rsidRPr="00F32B28">
        <w:rPr>
          <w:rtl/>
        </w:rPr>
        <w:t>الجهات</w:t>
      </w:r>
      <w:r w:rsidR="00F32B28">
        <w:rPr>
          <w:rtl/>
        </w:rPr>
        <w:t xml:space="preserve"> </w:t>
      </w:r>
      <w:r w:rsidR="00F32B28" w:rsidRPr="00F32B28">
        <w:rPr>
          <w:rtl/>
        </w:rPr>
        <w:t>المتعددة</w:t>
      </w:r>
      <w:r w:rsidR="00F32B28">
        <w:rPr>
          <w:rtl/>
        </w:rPr>
        <w:t xml:space="preserve"> </w:t>
      </w:r>
      <w:r w:rsidR="00F32B28" w:rsidRPr="00F32B28">
        <w:rPr>
          <w:rtl/>
        </w:rPr>
        <w:t>مع</w:t>
      </w:r>
      <w:r w:rsidR="00F32B28">
        <w:rPr>
          <w:rtl/>
        </w:rPr>
        <w:t xml:space="preserve"> </w:t>
      </w:r>
      <w:r w:rsidR="00F32B28" w:rsidRPr="00F32B28">
        <w:rPr>
          <w:rtl/>
        </w:rPr>
        <w:t>النساء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وتحسين</w:t>
      </w:r>
      <w:r w:rsidR="00F32B28">
        <w:rPr>
          <w:rtl/>
        </w:rPr>
        <w:t xml:space="preserve"> </w:t>
      </w:r>
      <w:r w:rsidR="00F32B28" w:rsidRPr="00F32B28">
        <w:rPr>
          <w:rtl/>
        </w:rPr>
        <w:t>الحماية</w:t>
      </w:r>
      <w:r w:rsidR="00F32B28">
        <w:rPr>
          <w:rtl/>
        </w:rPr>
        <w:t xml:space="preserve"> </w:t>
      </w:r>
      <w:r w:rsidR="00F32B28" w:rsidRPr="00F32B28">
        <w:rPr>
          <w:rtl/>
        </w:rPr>
        <w:t>الاجتماعية</w:t>
      </w:r>
      <w:r w:rsidR="00F32B28">
        <w:rPr>
          <w:rtl/>
        </w:rPr>
        <w:t xml:space="preserve"> </w:t>
      </w:r>
      <w:r w:rsidR="00F32B28" w:rsidRPr="00F32B28">
        <w:rPr>
          <w:rtl/>
        </w:rPr>
        <w:t>والخدمات</w:t>
      </w:r>
      <w:r w:rsidR="00F32B28">
        <w:rPr>
          <w:rtl/>
        </w:rPr>
        <w:t xml:space="preserve"> </w:t>
      </w:r>
      <w:r w:rsidR="00F32B28" w:rsidRPr="00F32B28">
        <w:rPr>
          <w:rtl/>
        </w:rPr>
        <w:t>الطبية</w:t>
      </w:r>
      <w:r w:rsidR="00600C43">
        <w:rPr>
          <w:rtl/>
        </w:rPr>
        <w:t xml:space="preserve"> </w:t>
      </w:r>
      <w:r w:rsidR="00F32B28" w:rsidRPr="00F32B28">
        <w:rPr>
          <w:rtl/>
        </w:rPr>
        <w:t>المقدمة</w:t>
      </w:r>
      <w:r w:rsidR="00F32B28">
        <w:rPr>
          <w:rtl/>
        </w:rPr>
        <w:t xml:space="preserve"> </w:t>
      </w:r>
      <w:r w:rsidR="00F32B28" w:rsidRPr="00F32B28">
        <w:rPr>
          <w:rtl/>
        </w:rPr>
        <w:t>للنساء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وتأهيل</w:t>
      </w:r>
      <w:r w:rsidR="00F32B28">
        <w:rPr>
          <w:rtl/>
        </w:rPr>
        <w:t xml:space="preserve"> </w:t>
      </w:r>
      <w:r w:rsidR="00F32B28" w:rsidRPr="00F32B28">
        <w:rPr>
          <w:rtl/>
        </w:rPr>
        <w:t>هؤلاء</w:t>
      </w:r>
      <w:r w:rsidR="00F32B28">
        <w:rPr>
          <w:rtl/>
        </w:rPr>
        <w:t xml:space="preserve"> </w:t>
      </w:r>
      <w:r w:rsidR="00F32B28" w:rsidRPr="00F32B28">
        <w:rPr>
          <w:rtl/>
        </w:rPr>
        <w:t>الناجيات</w:t>
      </w:r>
      <w:r w:rsidR="00F32B28">
        <w:rPr>
          <w:rtl/>
        </w:rPr>
        <w:t xml:space="preserve"> </w:t>
      </w:r>
      <w:r w:rsidR="00F32B28" w:rsidRPr="00F32B28">
        <w:rPr>
          <w:rtl/>
        </w:rPr>
        <w:t>من</w:t>
      </w:r>
      <w:r w:rsidR="00F32B28">
        <w:rPr>
          <w:rtl/>
        </w:rPr>
        <w:t xml:space="preserve"> </w:t>
      </w:r>
      <w:r w:rsidR="00F32B28" w:rsidRPr="00F32B28">
        <w:rPr>
          <w:rtl/>
        </w:rPr>
        <w:t>العنف</w:t>
      </w:r>
      <w:r w:rsidR="00F32B28">
        <w:rPr>
          <w:rtl/>
        </w:rPr>
        <w:t xml:space="preserve"> </w:t>
      </w:r>
      <w:r w:rsidR="00F32B28" w:rsidRPr="00F32B28">
        <w:rPr>
          <w:rtl/>
        </w:rPr>
        <w:t>وإعادة</w:t>
      </w:r>
      <w:r w:rsidR="00F32B28">
        <w:rPr>
          <w:rtl/>
        </w:rPr>
        <w:t xml:space="preserve"> </w:t>
      </w:r>
      <w:r w:rsidR="00F32B28" w:rsidRPr="00F32B28">
        <w:rPr>
          <w:rtl/>
        </w:rPr>
        <w:t>دمجهن</w:t>
      </w:r>
      <w:r w:rsidR="00F32B28">
        <w:rPr>
          <w:rtl/>
        </w:rPr>
        <w:t xml:space="preserve"> </w:t>
      </w:r>
      <w:r w:rsidR="00F32B28" w:rsidRPr="00F32B28">
        <w:rPr>
          <w:rtl/>
        </w:rPr>
        <w:t>في</w:t>
      </w:r>
      <w:r w:rsidR="00F32B28">
        <w:rPr>
          <w:rtl/>
        </w:rPr>
        <w:t xml:space="preserve"> </w:t>
      </w:r>
      <w:r w:rsidR="00F32B28" w:rsidRPr="00F32B28">
        <w:rPr>
          <w:rtl/>
        </w:rPr>
        <w:t>المجتمع،</w:t>
      </w:r>
      <w:r w:rsidR="00F32B28">
        <w:rPr>
          <w:rtl/>
        </w:rPr>
        <w:t xml:space="preserve"> </w:t>
      </w:r>
      <w:r w:rsidR="00F32B28" w:rsidRPr="00F32B28">
        <w:rPr>
          <w:rtl/>
        </w:rPr>
        <w:t>وتحسين</w:t>
      </w:r>
      <w:r w:rsidR="00F32B28">
        <w:rPr>
          <w:rtl/>
        </w:rPr>
        <w:t xml:space="preserve"> </w:t>
      </w:r>
      <w:r w:rsidR="00F32B28" w:rsidRPr="00F32B28">
        <w:rPr>
          <w:rtl/>
        </w:rPr>
        <w:t>نظام</w:t>
      </w:r>
      <w:r w:rsidR="00F32B28">
        <w:rPr>
          <w:rtl/>
        </w:rPr>
        <w:t xml:space="preserve"> </w:t>
      </w:r>
      <w:r w:rsidR="00F32B28" w:rsidRPr="00F32B28">
        <w:rPr>
          <w:rtl/>
        </w:rPr>
        <w:t>الحماية</w:t>
      </w:r>
      <w:r w:rsidR="00F32B28">
        <w:rPr>
          <w:rtl/>
        </w:rPr>
        <w:t xml:space="preserve"> </w:t>
      </w:r>
      <w:r w:rsidR="00F32B28" w:rsidRPr="00F32B28">
        <w:rPr>
          <w:rtl/>
        </w:rPr>
        <w:t>والدفاع</w:t>
      </w:r>
      <w:r w:rsidR="00F32B28">
        <w:rPr>
          <w:rtl/>
        </w:rPr>
        <w:t xml:space="preserve"> </w:t>
      </w:r>
      <w:r w:rsidR="00F32B28" w:rsidRPr="00F32B28">
        <w:rPr>
          <w:rtl/>
        </w:rPr>
        <w:t>والسلطة</w:t>
      </w:r>
      <w:r w:rsidR="00F32B28">
        <w:rPr>
          <w:rtl/>
        </w:rPr>
        <w:t xml:space="preserve"> </w:t>
      </w:r>
      <w:r w:rsidR="00F32B28" w:rsidRPr="00F32B28">
        <w:rPr>
          <w:rtl/>
        </w:rPr>
        <w:t>القضائية</w:t>
      </w:r>
      <w:r w:rsidR="00F32B28">
        <w:rPr>
          <w:rtl/>
        </w:rPr>
        <w:t xml:space="preserve"> </w:t>
      </w:r>
      <w:r w:rsidR="00F32B28" w:rsidRPr="00F32B28">
        <w:rPr>
          <w:rtl/>
        </w:rPr>
        <w:t>والشرعية</w:t>
      </w:r>
      <w:r w:rsidR="00F32B28">
        <w:rPr>
          <w:rtl/>
        </w:rPr>
        <w:t xml:space="preserve"> </w:t>
      </w:r>
      <w:r w:rsidR="00F32B28" w:rsidRPr="00F32B28">
        <w:rPr>
          <w:rFonts w:hint="cs"/>
          <w:rtl/>
        </w:rPr>
        <w:t>في</w:t>
      </w:r>
      <w:r w:rsidR="00F32B28">
        <w:rPr>
          <w:rFonts w:hint="cs"/>
          <w:rtl/>
        </w:rPr>
        <w:t xml:space="preserve"> </w:t>
      </w:r>
      <w:r w:rsidR="00F32B28" w:rsidRPr="00F32B28">
        <w:rPr>
          <w:rFonts w:hint="cs"/>
          <w:rtl/>
        </w:rPr>
        <w:t>هذا</w:t>
      </w:r>
      <w:r w:rsidR="00F32B28">
        <w:rPr>
          <w:rFonts w:hint="cs"/>
          <w:rtl/>
        </w:rPr>
        <w:t xml:space="preserve"> </w:t>
      </w:r>
      <w:r w:rsidR="00F32B28" w:rsidRPr="00F32B28">
        <w:rPr>
          <w:rFonts w:hint="cs"/>
          <w:rtl/>
        </w:rPr>
        <w:t>الصدد</w:t>
      </w:r>
      <w:r w:rsidR="00F32B28" w:rsidRPr="00F32B28">
        <w:rPr>
          <w:rtl/>
        </w:rPr>
        <w:t>.</w:t>
      </w:r>
      <w:r w:rsidR="00F32B28">
        <w:rPr>
          <w:rtl/>
        </w:rPr>
        <w:t xml:space="preserve"> </w:t>
      </w:r>
      <w:r w:rsidR="00F32B28" w:rsidRPr="00F32B28">
        <w:rPr>
          <w:rtl/>
        </w:rPr>
        <w:t>وقد</w:t>
      </w:r>
      <w:r w:rsidR="00F32B28">
        <w:rPr>
          <w:rtl/>
        </w:rPr>
        <w:t xml:space="preserve"> </w:t>
      </w:r>
      <w:r w:rsidR="00F32B28" w:rsidRPr="00F32B28">
        <w:rPr>
          <w:rtl/>
        </w:rPr>
        <w:t>تم</w:t>
      </w:r>
      <w:r w:rsidR="00F32B28">
        <w:rPr>
          <w:rtl/>
        </w:rPr>
        <w:t xml:space="preserve"> </w:t>
      </w:r>
      <w:r w:rsidR="00F32B28" w:rsidRPr="00F32B28">
        <w:rPr>
          <w:rtl/>
        </w:rPr>
        <w:t>تشكيل</w:t>
      </w:r>
      <w:r w:rsidR="00F32B28">
        <w:rPr>
          <w:rtl/>
        </w:rPr>
        <w:t xml:space="preserve"> </w:t>
      </w:r>
      <w:r w:rsidR="00F32B28" w:rsidRPr="00F32B28">
        <w:rPr>
          <w:rtl/>
        </w:rPr>
        <w:t>اللجنة</w:t>
      </w:r>
      <w:r w:rsidR="00F32B28">
        <w:rPr>
          <w:rtl/>
        </w:rPr>
        <w:t xml:space="preserve"> </w:t>
      </w:r>
      <w:r w:rsidR="00F32B28" w:rsidRPr="00F32B28">
        <w:rPr>
          <w:rtl/>
        </w:rPr>
        <w:t>الوطنية</w:t>
      </w:r>
      <w:r w:rsidR="00F32B28">
        <w:rPr>
          <w:rtl/>
        </w:rPr>
        <w:t xml:space="preserve"> </w:t>
      </w:r>
      <w:r w:rsidR="00F32B28" w:rsidRPr="00F32B28">
        <w:rPr>
          <w:rtl/>
        </w:rPr>
        <w:t>لمناهضة</w:t>
      </w:r>
      <w:r w:rsidR="00F32B28">
        <w:rPr>
          <w:rtl/>
        </w:rPr>
        <w:t xml:space="preserve"> </w:t>
      </w:r>
      <w:r w:rsidR="00F32B28" w:rsidRPr="00F32B28">
        <w:rPr>
          <w:rtl/>
        </w:rPr>
        <w:t>العنف</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لغايات</w:t>
      </w:r>
      <w:r w:rsidR="00F32B28">
        <w:rPr>
          <w:rtl/>
        </w:rPr>
        <w:t xml:space="preserve"> </w:t>
      </w:r>
      <w:r w:rsidR="00F32B28" w:rsidRPr="00F32B28">
        <w:rPr>
          <w:rtl/>
        </w:rPr>
        <w:t>تنفيذ</w:t>
      </w:r>
      <w:r w:rsidR="00F32B28">
        <w:rPr>
          <w:rtl/>
        </w:rPr>
        <w:t xml:space="preserve"> </w:t>
      </w:r>
      <w:r w:rsidR="00F32B28" w:rsidRPr="00F32B28">
        <w:rPr>
          <w:rtl/>
        </w:rPr>
        <w:t>هذه</w:t>
      </w:r>
      <w:r w:rsidR="00F32B28">
        <w:rPr>
          <w:rtl/>
        </w:rPr>
        <w:t xml:space="preserve"> </w:t>
      </w:r>
      <w:r w:rsidR="00F32B28" w:rsidRPr="00F32B28">
        <w:rPr>
          <w:rtl/>
        </w:rPr>
        <w:t>الخطة</w:t>
      </w:r>
      <w:r w:rsidR="00F32B28">
        <w:rPr>
          <w:rtl/>
        </w:rPr>
        <w:t xml:space="preserve"> </w:t>
      </w:r>
      <w:r w:rsidR="00F32B28" w:rsidRPr="00F32B28">
        <w:rPr>
          <w:rtl/>
        </w:rPr>
        <w:t>ومتابعتها،</w:t>
      </w:r>
      <w:r w:rsidR="00F32B28">
        <w:rPr>
          <w:rtl/>
        </w:rPr>
        <w:t xml:space="preserve"> </w:t>
      </w:r>
      <w:r w:rsidR="00F32B28" w:rsidRPr="00F32B28">
        <w:rPr>
          <w:rtl/>
        </w:rPr>
        <w:t>وانبثقت</w:t>
      </w:r>
      <w:r w:rsidR="00F32B28">
        <w:rPr>
          <w:rtl/>
        </w:rPr>
        <w:t xml:space="preserve"> </w:t>
      </w:r>
      <w:r w:rsidR="00F32B28" w:rsidRPr="00F32B28">
        <w:rPr>
          <w:rtl/>
        </w:rPr>
        <w:t>عنها</w:t>
      </w:r>
      <w:r w:rsidR="00F32B28">
        <w:rPr>
          <w:rtl/>
        </w:rPr>
        <w:t xml:space="preserve"> </w:t>
      </w:r>
      <w:r w:rsidR="00F32B28" w:rsidRPr="00F32B28">
        <w:rPr>
          <w:rtl/>
        </w:rPr>
        <w:t>لجنة</w:t>
      </w:r>
      <w:r w:rsidR="00F32B28">
        <w:rPr>
          <w:rtl/>
        </w:rPr>
        <w:t xml:space="preserve"> </w:t>
      </w:r>
      <w:r w:rsidR="00F32B28" w:rsidRPr="00F32B28">
        <w:rPr>
          <w:rtl/>
        </w:rPr>
        <w:t>تقنية</w:t>
      </w:r>
      <w:r w:rsidR="00F32B28">
        <w:rPr>
          <w:rtl/>
        </w:rPr>
        <w:t xml:space="preserve"> </w:t>
      </w:r>
      <w:r w:rsidR="00F32B28" w:rsidRPr="00F32B28">
        <w:rPr>
          <w:rtl/>
        </w:rPr>
        <w:t>لمراجعة</w:t>
      </w:r>
      <w:r w:rsidR="00F32B28">
        <w:rPr>
          <w:rtl/>
        </w:rPr>
        <w:t xml:space="preserve"> </w:t>
      </w:r>
      <w:r w:rsidR="00F32B28" w:rsidRPr="00F32B28">
        <w:rPr>
          <w:rtl/>
        </w:rPr>
        <w:t>الحالات</w:t>
      </w:r>
      <w:r w:rsidR="00F32B28">
        <w:rPr>
          <w:rtl/>
        </w:rPr>
        <w:t xml:space="preserve"> </w:t>
      </w:r>
      <w:r w:rsidR="00F32B28" w:rsidRPr="00F32B28">
        <w:rPr>
          <w:rtl/>
        </w:rPr>
        <w:t>الخطرة</w:t>
      </w:r>
      <w:r w:rsidR="00F32B28">
        <w:rPr>
          <w:rtl/>
        </w:rPr>
        <w:t xml:space="preserve"> </w:t>
      </w:r>
      <w:r w:rsidR="00F32B28" w:rsidRPr="00F32B28">
        <w:rPr>
          <w:rtl/>
        </w:rPr>
        <w:t>فيما</w:t>
      </w:r>
      <w:r w:rsidR="00F32B28">
        <w:rPr>
          <w:rtl/>
        </w:rPr>
        <w:t xml:space="preserve"> </w:t>
      </w:r>
      <w:r w:rsidR="00F32B28" w:rsidRPr="00F32B28">
        <w:rPr>
          <w:rtl/>
        </w:rPr>
        <w:t>يتعلق</w:t>
      </w:r>
      <w:r w:rsidR="00F32B28">
        <w:rPr>
          <w:rtl/>
        </w:rPr>
        <w:t xml:space="preserve"> </w:t>
      </w:r>
      <w:r w:rsidR="00F32B28" w:rsidRPr="00F32B28">
        <w:rPr>
          <w:rtl/>
        </w:rPr>
        <w:t>بقتل</w:t>
      </w:r>
      <w:r w:rsidR="00F32B28">
        <w:rPr>
          <w:rtl/>
        </w:rPr>
        <w:t xml:space="preserve"> </w:t>
      </w:r>
      <w:r w:rsidR="00F32B28" w:rsidRPr="00F32B28">
        <w:rPr>
          <w:rtl/>
        </w:rPr>
        <w:t>النساء</w:t>
      </w:r>
      <w:r w:rsidR="00F32B28">
        <w:rPr>
          <w:rtl/>
        </w:rPr>
        <w:t xml:space="preserve"> </w:t>
      </w:r>
      <w:r w:rsidR="00F32B28" w:rsidRPr="00F32B28">
        <w:rPr>
          <w:rtl/>
        </w:rPr>
        <w:t>وآلية</w:t>
      </w:r>
      <w:r w:rsidR="00F32B28">
        <w:rPr>
          <w:rtl/>
        </w:rPr>
        <w:t xml:space="preserve"> </w:t>
      </w:r>
      <w:r w:rsidR="00F32B28" w:rsidRPr="00F32B28">
        <w:rPr>
          <w:rtl/>
        </w:rPr>
        <w:t>حماية</w:t>
      </w:r>
      <w:r w:rsidR="00F32B28">
        <w:rPr>
          <w:rtl/>
        </w:rPr>
        <w:t xml:space="preserve"> </w:t>
      </w:r>
      <w:r w:rsidR="00F32B28" w:rsidRPr="00F32B28">
        <w:rPr>
          <w:rtl/>
        </w:rPr>
        <w:t>المرأة</w:t>
      </w:r>
      <w:r w:rsidR="00F32B28">
        <w:rPr>
          <w:rtl/>
        </w:rPr>
        <w:t xml:space="preserve"> </w:t>
      </w:r>
      <w:r w:rsidR="00F32B28" w:rsidRPr="00F32B28">
        <w:rPr>
          <w:rtl/>
        </w:rPr>
        <w:t>من</w:t>
      </w:r>
      <w:r w:rsidR="00F32B28">
        <w:rPr>
          <w:rtl/>
        </w:rPr>
        <w:t xml:space="preserve"> </w:t>
      </w:r>
      <w:r w:rsidR="00F32B28" w:rsidRPr="00F32B28">
        <w:rPr>
          <w:rtl/>
        </w:rPr>
        <w:t>العنف،</w:t>
      </w:r>
      <w:r w:rsidR="00F32B28">
        <w:rPr>
          <w:rtl/>
        </w:rPr>
        <w:t xml:space="preserve"> </w:t>
      </w:r>
      <w:r w:rsidR="00F32B28" w:rsidRPr="00F32B28">
        <w:rPr>
          <w:rtl/>
        </w:rPr>
        <w:t>ولجنة</w:t>
      </w:r>
      <w:r w:rsidR="00F32B28">
        <w:rPr>
          <w:rtl/>
        </w:rPr>
        <w:t xml:space="preserve"> </w:t>
      </w:r>
      <w:r w:rsidR="00F32B28" w:rsidRPr="00F32B28">
        <w:rPr>
          <w:rtl/>
        </w:rPr>
        <w:t>التشريعات</w:t>
      </w:r>
      <w:r w:rsidR="00F32B28">
        <w:rPr>
          <w:rtl/>
        </w:rPr>
        <w:t xml:space="preserve"> </w:t>
      </w:r>
      <w:r w:rsidR="00F32B28" w:rsidRPr="00F32B28">
        <w:rPr>
          <w:rtl/>
        </w:rPr>
        <w:t>لعدالة</w:t>
      </w:r>
      <w:r w:rsidR="00F32B28">
        <w:rPr>
          <w:rtl/>
        </w:rPr>
        <w:t xml:space="preserve"> </w:t>
      </w:r>
      <w:r w:rsidR="00F32B28" w:rsidRPr="00F32B28">
        <w:rPr>
          <w:rtl/>
        </w:rPr>
        <w:t>النوع</w:t>
      </w:r>
      <w:r w:rsidR="00F32B28">
        <w:rPr>
          <w:rtl/>
        </w:rPr>
        <w:t xml:space="preserve"> </w:t>
      </w:r>
      <w:r w:rsidR="00F32B28" w:rsidRPr="00F32B28">
        <w:rPr>
          <w:rtl/>
        </w:rPr>
        <w:t>الاجتماعي</w:t>
      </w:r>
      <w:r w:rsidR="00B73D93">
        <w:rPr>
          <w:rFonts w:hint="cs"/>
          <w:rtl/>
        </w:rPr>
        <w:t xml:space="preserve"> </w:t>
      </w:r>
      <w:r w:rsidR="00F32B28" w:rsidRPr="00F32B28">
        <w:rPr>
          <w:rtl/>
        </w:rPr>
        <w:t>تختص</w:t>
      </w:r>
      <w:r w:rsidR="00F32B28">
        <w:rPr>
          <w:rtl/>
        </w:rPr>
        <w:t xml:space="preserve"> </w:t>
      </w:r>
      <w:r w:rsidR="00F32B28" w:rsidRPr="00F32B28">
        <w:rPr>
          <w:rtl/>
        </w:rPr>
        <w:t>بمراجعة</w:t>
      </w:r>
      <w:r w:rsidR="00F32B28">
        <w:rPr>
          <w:rtl/>
        </w:rPr>
        <w:t xml:space="preserve"> </w:t>
      </w:r>
      <w:r w:rsidR="00F32B28" w:rsidRPr="00F32B28">
        <w:rPr>
          <w:rtl/>
        </w:rPr>
        <w:t>التشريعات</w:t>
      </w:r>
      <w:r w:rsidR="00F32B28">
        <w:rPr>
          <w:rtl/>
        </w:rPr>
        <w:t xml:space="preserve"> </w:t>
      </w:r>
      <w:r w:rsidR="00F32B28" w:rsidRPr="00F32B28">
        <w:rPr>
          <w:rtl/>
        </w:rPr>
        <w:t>السارية</w:t>
      </w:r>
      <w:r w:rsidR="00F32B28">
        <w:rPr>
          <w:rtl/>
        </w:rPr>
        <w:t xml:space="preserve"> </w:t>
      </w:r>
      <w:r w:rsidR="00F32B28" w:rsidRPr="00F32B28">
        <w:rPr>
          <w:rtl/>
        </w:rPr>
        <w:t>ذات</w:t>
      </w:r>
      <w:r w:rsidR="00F32B28">
        <w:rPr>
          <w:rtl/>
        </w:rPr>
        <w:t xml:space="preserve"> </w:t>
      </w:r>
      <w:r w:rsidR="00F32B28" w:rsidRPr="00F32B28">
        <w:rPr>
          <w:rtl/>
        </w:rPr>
        <w:t>الصلة</w:t>
      </w:r>
      <w:r w:rsidR="00F32B28">
        <w:rPr>
          <w:rtl/>
        </w:rPr>
        <w:t xml:space="preserve"> </w:t>
      </w:r>
      <w:r w:rsidR="00F32B28" w:rsidRPr="00F32B28">
        <w:rPr>
          <w:rtl/>
        </w:rPr>
        <w:t>بالعنف</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ورفع</w:t>
      </w:r>
      <w:r w:rsidR="00F32B28">
        <w:rPr>
          <w:rtl/>
        </w:rPr>
        <w:t xml:space="preserve"> </w:t>
      </w:r>
      <w:r w:rsidR="00F32B28" w:rsidRPr="00F32B28">
        <w:rPr>
          <w:rtl/>
        </w:rPr>
        <w:t>التوصيات</w:t>
      </w:r>
      <w:r w:rsidR="00F32B28">
        <w:rPr>
          <w:rtl/>
        </w:rPr>
        <w:t xml:space="preserve"> </w:t>
      </w:r>
      <w:r w:rsidR="00F32B28" w:rsidRPr="00F32B28">
        <w:rPr>
          <w:rtl/>
        </w:rPr>
        <w:t>بشأن</w:t>
      </w:r>
      <w:r w:rsidR="00F32B28">
        <w:rPr>
          <w:rtl/>
        </w:rPr>
        <w:t xml:space="preserve"> </w:t>
      </w:r>
      <w:r w:rsidR="00F32B28" w:rsidRPr="00F32B28">
        <w:rPr>
          <w:rtl/>
        </w:rPr>
        <w:t>تعديلها</w:t>
      </w:r>
      <w:r w:rsidR="00F32B28">
        <w:rPr>
          <w:rtl/>
        </w:rPr>
        <w:t xml:space="preserve"> </w:t>
      </w:r>
      <w:r w:rsidR="00F32B28" w:rsidRPr="00F32B28">
        <w:rPr>
          <w:rtl/>
        </w:rPr>
        <w:t>وتبني</w:t>
      </w:r>
      <w:r w:rsidR="00F32B28">
        <w:rPr>
          <w:rtl/>
        </w:rPr>
        <w:t xml:space="preserve"> </w:t>
      </w:r>
      <w:r w:rsidR="00F32B28" w:rsidRPr="00F32B28">
        <w:rPr>
          <w:rtl/>
        </w:rPr>
        <w:t>تشريعات</w:t>
      </w:r>
      <w:r w:rsidR="00F32B28">
        <w:rPr>
          <w:rtl/>
        </w:rPr>
        <w:t xml:space="preserve"> </w:t>
      </w:r>
      <w:r w:rsidR="00F32B28" w:rsidRPr="00F32B28">
        <w:rPr>
          <w:rtl/>
        </w:rPr>
        <w:t>جديدة.</w:t>
      </w:r>
      <w:r w:rsidR="00F32B28">
        <w:rPr>
          <w:rtl/>
        </w:rPr>
        <w:t xml:space="preserve"> </w:t>
      </w:r>
      <w:r w:rsidR="00F32B28" w:rsidRPr="00F32B28">
        <w:rPr>
          <w:rtl/>
        </w:rPr>
        <w:t>كما</w:t>
      </w:r>
      <w:r w:rsidR="00F32B28">
        <w:rPr>
          <w:rtl/>
        </w:rPr>
        <w:t xml:space="preserve"> </w:t>
      </w:r>
      <w:r w:rsidR="00F32B28" w:rsidRPr="00F32B28">
        <w:rPr>
          <w:rtl/>
        </w:rPr>
        <w:t>كلفت</w:t>
      </w:r>
      <w:r w:rsidR="00F32B28">
        <w:rPr>
          <w:rtl/>
        </w:rPr>
        <w:t xml:space="preserve"> </w:t>
      </w:r>
      <w:r w:rsidR="00F32B28" w:rsidRPr="00F32B28">
        <w:rPr>
          <w:rtl/>
        </w:rPr>
        <w:t>وزارة</w:t>
      </w:r>
      <w:r w:rsidR="00F32B28">
        <w:rPr>
          <w:rtl/>
        </w:rPr>
        <w:t xml:space="preserve"> </w:t>
      </w:r>
      <w:r w:rsidR="00F32B28" w:rsidRPr="00F32B28">
        <w:rPr>
          <w:rtl/>
        </w:rPr>
        <w:t>التنمية</w:t>
      </w:r>
      <w:r w:rsidR="00F32B28">
        <w:rPr>
          <w:rtl/>
        </w:rPr>
        <w:t xml:space="preserve"> </w:t>
      </w:r>
      <w:r w:rsidR="00F32B28" w:rsidRPr="00F32B28">
        <w:rPr>
          <w:rtl/>
        </w:rPr>
        <w:t>الاجتماعية</w:t>
      </w:r>
      <w:r w:rsidR="00F32B28">
        <w:rPr>
          <w:rtl/>
        </w:rPr>
        <w:t xml:space="preserve"> </w:t>
      </w:r>
      <w:r w:rsidR="00F32B28" w:rsidRPr="00F32B28">
        <w:rPr>
          <w:rtl/>
        </w:rPr>
        <w:t>إدراج</w:t>
      </w:r>
      <w:r w:rsidR="00F32B28">
        <w:rPr>
          <w:rtl/>
        </w:rPr>
        <w:t xml:space="preserve"> </w:t>
      </w:r>
      <w:r w:rsidR="00F32B28" w:rsidRPr="00F32B28">
        <w:rPr>
          <w:rtl/>
        </w:rPr>
        <w:t>النساء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ضمن</w:t>
      </w:r>
      <w:r w:rsidR="00F32B28">
        <w:rPr>
          <w:rtl/>
        </w:rPr>
        <w:t xml:space="preserve"> </w:t>
      </w:r>
      <w:r w:rsidR="00F32B28" w:rsidRPr="00F32B28">
        <w:rPr>
          <w:rtl/>
        </w:rPr>
        <w:t>برامج</w:t>
      </w:r>
      <w:r w:rsidR="00F32B28">
        <w:rPr>
          <w:rtl/>
        </w:rPr>
        <w:t xml:space="preserve"> </w:t>
      </w:r>
      <w:r w:rsidR="00F32B28" w:rsidRPr="00F32B28">
        <w:rPr>
          <w:rtl/>
        </w:rPr>
        <w:t>الإغاثة</w:t>
      </w:r>
      <w:r w:rsidR="00F32B28">
        <w:rPr>
          <w:rtl/>
        </w:rPr>
        <w:t xml:space="preserve"> </w:t>
      </w:r>
      <w:r w:rsidR="00F32B28" w:rsidRPr="00F32B28">
        <w:rPr>
          <w:rtl/>
        </w:rPr>
        <w:t>والتنمية</w:t>
      </w:r>
      <w:r w:rsidR="00F32B28">
        <w:rPr>
          <w:rtl/>
        </w:rPr>
        <w:t xml:space="preserve"> </w:t>
      </w:r>
      <w:r w:rsidR="00F32B28" w:rsidRPr="00F32B28">
        <w:rPr>
          <w:rtl/>
        </w:rPr>
        <w:t>المتبعة</w:t>
      </w:r>
      <w:r w:rsidR="00F32B28">
        <w:rPr>
          <w:rtl/>
        </w:rPr>
        <w:t xml:space="preserve"> </w:t>
      </w:r>
      <w:r w:rsidR="00F32B28" w:rsidRPr="00F32B28">
        <w:rPr>
          <w:rtl/>
        </w:rPr>
        <w:t>في</w:t>
      </w:r>
      <w:r w:rsidR="00F32B28">
        <w:rPr>
          <w:rtl/>
        </w:rPr>
        <w:t xml:space="preserve"> </w:t>
      </w:r>
      <w:r w:rsidR="00F32B28" w:rsidRPr="00F32B28">
        <w:rPr>
          <w:rtl/>
        </w:rPr>
        <w:t>الوزارة</w:t>
      </w:r>
      <w:r w:rsidR="00F32B28">
        <w:rPr>
          <w:rtl/>
        </w:rPr>
        <w:t xml:space="preserve"> </w:t>
      </w:r>
      <w:r w:rsidR="00F32B28" w:rsidRPr="00F32B28">
        <w:rPr>
          <w:rtl/>
        </w:rPr>
        <w:t>كحالات</w:t>
      </w:r>
      <w:r w:rsidR="00F32B28">
        <w:rPr>
          <w:rtl/>
        </w:rPr>
        <w:t xml:space="preserve"> </w:t>
      </w:r>
      <w:r w:rsidR="00F32B28" w:rsidRPr="00F32B28">
        <w:rPr>
          <w:rtl/>
        </w:rPr>
        <w:t>استثنائية</w:t>
      </w:r>
      <w:r w:rsidR="00F32B28">
        <w:rPr>
          <w:rtl/>
        </w:rPr>
        <w:t xml:space="preserve"> </w:t>
      </w:r>
      <w:r w:rsidR="00F32B28" w:rsidRPr="00F32B28">
        <w:rPr>
          <w:rtl/>
        </w:rPr>
        <w:t>عاجلة.</w:t>
      </w:r>
    </w:p>
    <w:p w:rsidR="00F32B28" w:rsidRPr="00F32B28" w:rsidRDefault="00B80192" w:rsidP="00B73D93">
      <w:pPr>
        <w:pStyle w:val="SingleTxt"/>
      </w:pPr>
      <w:r>
        <w:rPr>
          <w:rFonts w:hint="cs"/>
          <w:rtl/>
        </w:rPr>
        <w:t>91 -</w:t>
      </w:r>
      <w:r>
        <w:rPr>
          <w:rFonts w:hint="cs"/>
          <w:rtl/>
        </w:rPr>
        <w:tab/>
      </w:r>
      <w:r w:rsidR="00F32B28" w:rsidRPr="00F32B28">
        <w:rPr>
          <w:rtl/>
        </w:rPr>
        <w:t>كما</w:t>
      </w:r>
      <w:r w:rsidR="00F32B28">
        <w:rPr>
          <w:rtl/>
        </w:rPr>
        <w:t xml:space="preserve"> </w:t>
      </w:r>
      <w:r w:rsidR="00F32B28" w:rsidRPr="00F32B28">
        <w:rPr>
          <w:rtl/>
        </w:rPr>
        <w:t>تقوم</w:t>
      </w:r>
      <w:r w:rsidR="00F32B28">
        <w:rPr>
          <w:rtl/>
        </w:rPr>
        <w:t xml:space="preserve"> </w:t>
      </w:r>
      <w:r w:rsidR="00F32B28" w:rsidRPr="00F32B28">
        <w:rPr>
          <w:rtl/>
        </w:rPr>
        <w:t>وزارة</w:t>
      </w:r>
      <w:r w:rsidR="00F32B28">
        <w:rPr>
          <w:rtl/>
        </w:rPr>
        <w:t xml:space="preserve"> </w:t>
      </w:r>
      <w:r w:rsidR="00F32B28" w:rsidRPr="00F32B28">
        <w:rPr>
          <w:rtl/>
        </w:rPr>
        <w:t>التنمية</w:t>
      </w:r>
      <w:r w:rsidR="00F32B28">
        <w:rPr>
          <w:rtl/>
        </w:rPr>
        <w:t xml:space="preserve"> </w:t>
      </w:r>
      <w:r w:rsidR="00F32B28" w:rsidRPr="00F32B28">
        <w:rPr>
          <w:rtl/>
        </w:rPr>
        <w:t>الاجتماعية</w:t>
      </w:r>
      <w:r w:rsidR="00F32B28">
        <w:rPr>
          <w:rtl/>
        </w:rPr>
        <w:t xml:space="preserve"> </w:t>
      </w:r>
      <w:r w:rsidR="00F32B28" w:rsidRPr="00F32B28">
        <w:rPr>
          <w:rtl/>
        </w:rPr>
        <w:t>باستقبال</w:t>
      </w:r>
      <w:r w:rsidR="00F32B28">
        <w:rPr>
          <w:rtl/>
        </w:rPr>
        <w:t xml:space="preserve"> </w:t>
      </w:r>
      <w:r w:rsidR="00F32B28" w:rsidRPr="00F32B28">
        <w:rPr>
          <w:rtl/>
        </w:rPr>
        <w:t>النساء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وتقديم</w:t>
      </w:r>
      <w:r w:rsidR="00F32B28">
        <w:rPr>
          <w:rtl/>
        </w:rPr>
        <w:t xml:space="preserve"> </w:t>
      </w:r>
      <w:r w:rsidR="00F32B28" w:rsidRPr="00F32B28">
        <w:rPr>
          <w:rtl/>
        </w:rPr>
        <w:t>المشورة</w:t>
      </w:r>
      <w:r w:rsidR="00F32B28">
        <w:rPr>
          <w:rtl/>
        </w:rPr>
        <w:t xml:space="preserve"> </w:t>
      </w:r>
      <w:r w:rsidR="00F32B28" w:rsidRPr="00F32B28">
        <w:rPr>
          <w:rtl/>
        </w:rPr>
        <w:t>الاجتماعية</w:t>
      </w:r>
      <w:r w:rsidR="00F32B28">
        <w:rPr>
          <w:rtl/>
        </w:rPr>
        <w:t xml:space="preserve"> </w:t>
      </w:r>
      <w:r w:rsidR="00F32B28" w:rsidRPr="00F32B28">
        <w:rPr>
          <w:rtl/>
        </w:rPr>
        <w:t>والقانونية</w:t>
      </w:r>
      <w:r w:rsidR="00F32B28">
        <w:rPr>
          <w:rtl/>
        </w:rPr>
        <w:t xml:space="preserve"> </w:t>
      </w:r>
      <w:r w:rsidR="00F32B28" w:rsidRPr="00F32B28">
        <w:rPr>
          <w:rtl/>
        </w:rPr>
        <w:t>وخدمات</w:t>
      </w:r>
      <w:r w:rsidR="00F32B28">
        <w:rPr>
          <w:rtl/>
        </w:rPr>
        <w:t xml:space="preserve"> </w:t>
      </w:r>
      <w:r w:rsidR="00F32B28" w:rsidRPr="00F32B28">
        <w:rPr>
          <w:rtl/>
        </w:rPr>
        <w:t>التدخل</w:t>
      </w:r>
      <w:r w:rsidR="00F32B28">
        <w:rPr>
          <w:rtl/>
        </w:rPr>
        <w:t xml:space="preserve"> </w:t>
      </w:r>
      <w:r w:rsidR="00F32B28" w:rsidRPr="00F32B28">
        <w:rPr>
          <w:rtl/>
        </w:rPr>
        <w:t>النفسي</w:t>
      </w:r>
      <w:r w:rsidR="00F32B28">
        <w:rPr>
          <w:rtl/>
        </w:rPr>
        <w:t xml:space="preserve"> </w:t>
      </w:r>
      <w:r w:rsidR="00F32B28" w:rsidRPr="00F32B28">
        <w:rPr>
          <w:rtl/>
        </w:rPr>
        <w:t>مجاناً،</w:t>
      </w:r>
      <w:r w:rsidR="00F32B28">
        <w:rPr>
          <w:rtl/>
        </w:rPr>
        <w:t xml:space="preserve"> </w:t>
      </w:r>
      <w:r w:rsidR="00F32B28" w:rsidRPr="00F32B28">
        <w:rPr>
          <w:rtl/>
        </w:rPr>
        <w:t>وتقوم</w:t>
      </w:r>
      <w:r w:rsidR="00F32B28">
        <w:rPr>
          <w:rtl/>
        </w:rPr>
        <w:t xml:space="preserve"> </w:t>
      </w:r>
      <w:r w:rsidR="00F32B28" w:rsidRPr="00F32B28">
        <w:rPr>
          <w:rtl/>
        </w:rPr>
        <w:t>الوزارة</w:t>
      </w:r>
      <w:r w:rsidR="00F32B28">
        <w:rPr>
          <w:rtl/>
        </w:rPr>
        <w:t xml:space="preserve"> </w:t>
      </w:r>
      <w:r w:rsidR="00F32B28" w:rsidRPr="00F32B28">
        <w:rPr>
          <w:rtl/>
        </w:rPr>
        <w:t>بتحويلهن</w:t>
      </w:r>
      <w:r w:rsidR="00F32B28">
        <w:rPr>
          <w:rtl/>
        </w:rPr>
        <w:t xml:space="preserve"> </w:t>
      </w:r>
      <w:r w:rsidR="00F32B28" w:rsidRPr="00F32B28">
        <w:rPr>
          <w:rtl/>
        </w:rPr>
        <w:t>إلى</w:t>
      </w:r>
      <w:r w:rsidR="00F32B28">
        <w:rPr>
          <w:rtl/>
        </w:rPr>
        <w:t xml:space="preserve"> </w:t>
      </w:r>
      <w:r w:rsidR="00F32B28" w:rsidRPr="00F32B28">
        <w:rPr>
          <w:rtl/>
        </w:rPr>
        <w:t>مراكز</w:t>
      </w:r>
      <w:r w:rsidR="00F32B28">
        <w:rPr>
          <w:rtl/>
        </w:rPr>
        <w:t xml:space="preserve"> </w:t>
      </w:r>
      <w:r w:rsidR="00F32B28" w:rsidRPr="00F32B28">
        <w:rPr>
          <w:rtl/>
        </w:rPr>
        <w:t>الحماية</w:t>
      </w:r>
      <w:r w:rsidR="00F32B28">
        <w:rPr>
          <w:rtl/>
        </w:rPr>
        <w:t xml:space="preserve"> </w:t>
      </w:r>
      <w:r w:rsidR="00F32B28" w:rsidRPr="00F32B28">
        <w:rPr>
          <w:rtl/>
        </w:rPr>
        <w:t>والإيواء</w:t>
      </w:r>
      <w:r w:rsidR="00F32B28">
        <w:rPr>
          <w:rtl/>
        </w:rPr>
        <w:t xml:space="preserve"> </w:t>
      </w:r>
      <w:r w:rsidR="00F32B28" w:rsidRPr="00F32B28">
        <w:rPr>
          <w:rtl/>
        </w:rPr>
        <w:t>الخاصة</w:t>
      </w:r>
      <w:r w:rsidR="00F32B28">
        <w:rPr>
          <w:rtl/>
        </w:rPr>
        <w:t xml:space="preserve"> </w:t>
      </w:r>
      <w:r w:rsidR="00F32B28" w:rsidRPr="00F32B28">
        <w:rPr>
          <w:rtl/>
        </w:rPr>
        <w:t>بالنساء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سواء</w:t>
      </w:r>
      <w:r w:rsidR="00F32B28">
        <w:rPr>
          <w:rtl/>
        </w:rPr>
        <w:t xml:space="preserve"> </w:t>
      </w:r>
      <w:r w:rsidR="00F32B28" w:rsidRPr="00F32B28">
        <w:rPr>
          <w:rtl/>
        </w:rPr>
        <w:t>التابعة</w:t>
      </w:r>
      <w:r w:rsidR="00F32B28">
        <w:rPr>
          <w:rtl/>
        </w:rPr>
        <w:t xml:space="preserve"> </w:t>
      </w:r>
      <w:r w:rsidR="00F32B28" w:rsidRPr="00F32B28">
        <w:rPr>
          <w:rtl/>
        </w:rPr>
        <w:t>لها</w:t>
      </w:r>
      <w:r w:rsidR="00F32B28">
        <w:rPr>
          <w:rtl/>
        </w:rPr>
        <w:t xml:space="preserve"> </w:t>
      </w:r>
      <w:r w:rsidR="00F32B28" w:rsidRPr="00F32B28">
        <w:rPr>
          <w:rtl/>
        </w:rPr>
        <w:t>أو</w:t>
      </w:r>
      <w:r w:rsidR="00F32B28">
        <w:rPr>
          <w:rtl/>
        </w:rPr>
        <w:t xml:space="preserve"> </w:t>
      </w:r>
      <w:r w:rsidR="00F32B28" w:rsidRPr="00F32B28">
        <w:rPr>
          <w:rtl/>
        </w:rPr>
        <w:t>التي</w:t>
      </w:r>
      <w:r w:rsidR="00F32B28">
        <w:rPr>
          <w:rtl/>
        </w:rPr>
        <w:t xml:space="preserve"> </w:t>
      </w:r>
      <w:r w:rsidR="00F32B28" w:rsidRPr="00F32B28">
        <w:rPr>
          <w:rtl/>
        </w:rPr>
        <w:t>تخضع</w:t>
      </w:r>
      <w:r w:rsidR="00F32B28">
        <w:rPr>
          <w:rtl/>
        </w:rPr>
        <w:t xml:space="preserve"> </w:t>
      </w:r>
      <w:r w:rsidR="00F32B28" w:rsidRPr="00F32B28">
        <w:rPr>
          <w:rtl/>
        </w:rPr>
        <w:t>لإشرافها</w:t>
      </w:r>
      <w:r w:rsidR="00F32B28">
        <w:rPr>
          <w:rtl/>
        </w:rPr>
        <w:t xml:space="preserve"> </w:t>
      </w:r>
      <w:r w:rsidR="00F32B28" w:rsidRPr="00F32B28">
        <w:rPr>
          <w:rtl/>
        </w:rPr>
        <w:t>إن</w:t>
      </w:r>
      <w:r w:rsidR="00F32B28">
        <w:rPr>
          <w:rtl/>
        </w:rPr>
        <w:t xml:space="preserve"> </w:t>
      </w:r>
      <w:r w:rsidR="00F32B28" w:rsidRPr="00F32B28">
        <w:rPr>
          <w:rtl/>
        </w:rPr>
        <w:t>استدعى</w:t>
      </w:r>
      <w:r w:rsidR="00F32B28">
        <w:rPr>
          <w:rtl/>
        </w:rPr>
        <w:t xml:space="preserve"> </w:t>
      </w:r>
      <w:r w:rsidR="00F32B28" w:rsidRPr="00F32B28">
        <w:rPr>
          <w:rtl/>
        </w:rPr>
        <w:t>الأمر</w:t>
      </w:r>
      <w:r w:rsidR="00F32B28">
        <w:rPr>
          <w:rtl/>
        </w:rPr>
        <w:t xml:space="preserve"> </w:t>
      </w:r>
      <w:r w:rsidR="00F32B28" w:rsidRPr="00F32B28">
        <w:rPr>
          <w:rtl/>
        </w:rPr>
        <w:t>ذلك.</w:t>
      </w:r>
      <w:r w:rsidR="00F32B28">
        <w:rPr>
          <w:rtl/>
        </w:rPr>
        <w:t xml:space="preserve"> </w:t>
      </w:r>
      <w:r w:rsidR="00F32B28" w:rsidRPr="00F32B28">
        <w:rPr>
          <w:rtl/>
        </w:rPr>
        <w:t>وتوفر</w:t>
      </w:r>
      <w:r w:rsidR="00F32B28">
        <w:rPr>
          <w:rtl/>
        </w:rPr>
        <w:t xml:space="preserve"> </w:t>
      </w:r>
      <w:r w:rsidR="00F32B28" w:rsidRPr="00F32B28">
        <w:rPr>
          <w:rtl/>
        </w:rPr>
        <w:t>هذه</w:t>
      </w:r>
      <w:r w:rsidR="00F32B28">
        <w:rPr>
          <w:rtl/>
        </w:rPr>
        <w:t xml:space="preserve"> </w:t>
      </w:r>
      <w:r w:rsidR="00F32B28" w:rsidRPr="00F32B28">
        <w:rPr>
          <w:rtl/>
        </w:rPr>
        <w:t>المراكز</w:t>
      </w:r>
      <w:r w:rsidR="00F32B28">
        <w:rPr>
          <w:rtl/>
        </w:rPr>
        <w:t xml:space="preserve"> </w:t>
      </w:r>
      <w:r w:rsidR="00F32B28" w:rsidRPr="00F32B28">
        <w:rPr>
          <w:rtl/>
        </w:rPr>
        <w:t>بدورها</w:t>
      </w:r>
      <w:r w:rsidR="00F32B28">
        <w:rPr>
          <w:rtl/>
        </w:rPr>
        <w:t xml:space="preserve"> </w:t>
      </w:r>
      <w:r w:rsidR="00F32B28" w:rsidRPr="00F32B28">
        <w:rPr>
          <w:rtl/>
        </w:rPr>
        <w:t>المبيت</w:t>
      </w:r>
      <w:r w:rsidR="00F32B28">
        <w:rPr>
          <w:rtl/>
        </w:rPr>
        <w:t xml:space="preserve"> </w:t>
      </w:r>
      <w:r w:rsidR="00F32B28" w:rsidRPr="00F32B28">
        <w:rPr>
          <w:rtl/>
        </w:rPr>
        <w:t>والإيواء</w:t>
      </w:r>
      <w:r w:rsidR="00F32B28">
        <w:rPr>
          <w:rtl/>
        </w:rPr>
        <w:t xml:space="preserve"> </w:t>
      </w:r>
      <w:r w:rsidR="00F32B28" w:rsidRPr="00F32B28">
        <w:rPr>
          <w:rtl/>
        </w:rPr>
        <w:t>لهؤلاء</w:t>
      </w:r>
      <w:r w:rsidR="00F32B28">
        <w:rPr>
          <w:rtl/>
        </w:rPr>
        <w:t xml:space="preserve"> </w:t>
      </w:r>
      <w:r w:rsidR="00F32B28" w:rsidRPr="00F32B28">
        <w:rPr>
          <w:rtl/>
        </w:rPr>
        <w:t>النساء</w:t>
      </w:r>
      <w:r w:rsidR="00F32B28">
        <w:rPr>
          <w:rtl/>
        </w:rPr>
        <w:t xml:space="preserve"> </w:t>
      </w:r>
      <w:r w:rsidR="00F32B28" w:rsidRPr="00F32B28">
        <w:rPr>
          <w:rtl/>
        </w:rPr>
        <w:t>وحمايتهن</w:t>
      </w:r>
      <w:r w:rsidR="00F32B28">
        <w:rPr>
          <w:rtl/>
        </w:rPr>
        <w:t xml:space="preserve"> </w:t>
      </w:r>
      <w:r w:rsidR="00F32B28" w:rsidRPr="00F32B28">
        <w:rPr>
          <w:rtl/>
        </w:rPr>
        <w:t>وتأهيلهن</w:t>
      </w:r>
      <w:r w:rsidR="00F32B28">
        <w:rPr>
          <w:rtl/>
        </w:rPr>
        <w:t xml:space="preserve"> </w:t>
      </w:r>
      <w:r w:rsidR="00F32B28" w:rsidRPr="00F32B28">
        <w:rPr>
          <w:rtl/>
        </w:rPr>
        <w:t>وتقديم</w:t>
      </w:r>
      <w:r w:rsidR="00F32B28">
        <w:rPr>
          <w:rtl/>
        </w:rPr>
        <w:t xml:space="preserve"> </w:t>
      </w:r>
      <w:r w:rsidR="00F32B28" w:rsidRPr="00F32B28">
        <w:rPr>
          <w:rtl/>
        </w:rPr>
        <w:t>كافة</w:t>
      </w:r>
      <w:r w:rsidR="00F32B28">
        <w:rPr>
          <w:rtl/>
        </w:rPr>
        <w:t xml:space="preserve"> </w:t>
      </w:r>
      <w:r w:rsidR="00F32B28" w:rsidRPr="00F32B28">
        <w:rPr>
          <w:rtl/>
        </w:rPr>
        <w:t>الاستشارات</w:t>
      </w:r>
      <w:r w:rsidR="00F32B28">
        <w:rPr>
          <w:rtl/>
        </w:rPr>
        <w:t xml:space="preserve"> </w:t>
      </w:r>
      <w:r w:rsidR="00F32B28" w:rsidRPr="00F32B28">
        <w:rPr>
          <w:rtl/>
        </w:rPr>
        <w:t>اللازمة</w:t>
      </w:r>
      <w:r w:rsidR="00F32B28">
        <w:rPr>
          <w:rtl/>
        </w:rPr>
        <w:t xml:space="preserve"> </w:t>
      </w:r>
      <w:r w:rsidR="00F32B28" w:rsidRPr="00F32B28">
        <w:rPr>
          <w:rtl/>
        </w:rPr>
        <w:t>لذلك.</w:t>
      </w:r>
    </w:p>
    <w:p w:rsidR="00F32B28" w:rsidRPr="00F32B28" w:rsidRDefault="00B80192" w:rsidP="00B80192">
      <w:pPr>
        <w:pStyle w:val="SingleTxt"/>
        <w:rPr>
          <w:rtl/>
          <w:lang w:bidi="ar-SY"/>
        </w:rPr>
      </w:pPr>
      <w:r>
        <w:rPr>
          <w:rFonts w:hint="cs"/>
          <w:rtl/>
        </w:rPr>
        <w:t>92 -</w:t>
      </w:r>
      <w:r>
        <w:rPr>
          <w:rFonts w:hint="cs"/>
          <w:rtl/>
        </w:rPr>
        <w:tab/>
      </w:r>
      <w:r w:rsidR="00F32B28" w:rsidRPr="00F32B28">
        <w:rPr>
          <w:rtl/>
        </w:rPr>
        <w:t>ويوجد</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(4)</w:t>
      </w:r>
      <w:r w:rsidR="00F32B28">
        <w:rPr>
          <w:rtl/>
        </w:rPr>
        <w:t xml:space="preserve"> </w:t>
      </w:r>
      <w:r w:rsidR="00F32B28" w:rsidRPr="00F32B28">
        <w:rPr>
          <w:rtl/>
        </w:rPr>
        <w:t>مراكز</w:t>
      </w:r>
      <w:r w:rsidR="00F32B28">
        <w:rPr>
          <w:rtl/>
        </w:rPr>
        <w:t xml:space="preserve"> </w:t>
      </w:r>
      <w:r w:rsidR="00F32B28" w:rsidRPr="00F32B28">
        <w:rPr>
          <w:rtl/>
        </w:rPr>
        <w:t>حماية</w:t>
      </w:r>
      <w:r w:rsidR="00F32B28">
        <w:rPr>
          <w:rtl/>
        </w:rPr>
        <w:t xml:space="preserve"> </w:t>
      </w:r>
      <w:r w:rsidR="00F32B28" w:rsidRPr="00F32B28">
        <w:rPr>
          <w:rtl/>
        </w:rPr>
        <w:t>تقوم</w:t>
      </w:r>
      <w:r w:rsidR="00F32B28">
        <w:rPr>
          <w:rtl/>
        </w:rPr>
        <w:t xml:space="preserve"> </w:t>
      </w:r>
      <w:r w:rsidR="00F32B28" w:rsidRPr="00F32B28">
        <w:rPr>
          <w:rtl/>
        </w:rPr>
        <w:t>بتقديم</w:t>
      </w:r>
      <w:r w:rsidR="00F32B28">
        <w:rPr>
          <w:rtl/>
        </w:rPr>
        <w:t xml:space="preserve"> </w:t>
      </w:r>
      <w:r w:rsidR="00F32B28" w:rsidRPr="00F32B28">
        <w:rPr>
          <w:rtl/>
        </w:rPr>
        <w:t>هذه</w:t>
      </w:r>
      <w:r w:rsidR="00F32B28">
        <w:rPr>
          <w:rtl/>
        </w:rPr>
        <w:t xml:space="preserve"> </w:t>
      </w:r>
      <w:r w:rsidR="00F32B28" w:rsidRPr="00F32B28">
        <w:rPr>
          <w:rtl/>
        </w:rPr>
        <w:t>الخدمات</w:t>
      </w:r>
      <w:r w:rsidR="00F32B28">
        <w:rPr>
          <w:rtl/>
        </w:rPr>
        <w:t xml:space="preserve"> </w:t>
      </w:r>
      <w:r w:rsidR="00F32B28" w:rsidRPr="00F32B28">
        <w:rPr>
          <w:rtl/>
        </w:rPr>
        <w:t>وتتوزع</w:t>
      </w:r>
      <w:r w:rsidR="00F32B28">
        <w:rPr>
          <w:rtl/>
        </w:rPr>
        <w:t xml:space="preserve"> </w:t>
      </w:r>
      <w:r w:rsidR="00F32B28" w:rsidRPr="00F32B28">
        <w:rPr>
          <w:rtl/>
        </w:rPr>
        <w:t>جغرافياً</w:t>
      </w:r>
      <w:r w:rsidR="00F32B28">
        <w:rPr>
          <w:rtl/>
        </w:rPr>
        <w:t xml:space="preserve"> </w:t>
      </w:r>
      <w:r w:rsidR="00F32B28" w:rsidRPr="00F32B28">
        <w:rPr>
          <w:rtl/>
        </w:rPr>
        <w:t>لت</w:t>
      </w:r>
      <w:r w:rsidR="00F32B28" w:rsidRPr="00F32B28">
        <w:rPr>
          <w:rtl/>
          <w:lang w:bidi="ar-SY"/>
        </w:rPr>
        <w:t>سيهل</w:t>
      </w:r>
      <w:r w:rsidR="00F32B28">
        <w:rPr>
          <w:rtl/>
          <w:lang w:bidi="ar-SY"/>
        </w:rPr>
        <w:t xml:space="preserve"> </w:t>
      </w:r>
      <w:r w:rsidR="00F32B28" w:rsidRPr="00F32B28">
        <w:rPr>
          <w:rtl/>
          <w:lang w:bidi="ar-SY"/>
        </w:rPr>
        <w:t>وصول</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إليها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المحافظات؛</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مركز</w:t>
      </w:r>
      <w:r w:rsidR="00F32B28">
        <w:rPr>
          <w:rtl/>
          <w:lang w:bidi="ar-SY"/>
        </w:rPr>
        <w:t xml:space="preserve"> </w:t>
      </w:r>
      <w:r w:rsidR="00F32B28" w:rsidRPr="00F32B28">
        <w:rPr>
          <w:rtl/>
          <w:lang w:bidi="ar-SY"/>
        </w:rPr>
        <w:t>محور،</w:t>
      </w:r>
      <w:r w:rsidR="00F32B28">
        <w:rPr>
          <w:rtl/>
          <w:lang w:bidi="ar-SY"/>
        </w:rPr>
        <w:t xml:space="preserve"> </w:t>
      </w:r>
      <w:r w:rsidR="00F32B28" w:rsidRPr="00F32B28">
        <w:rPr>
          <w:rtl/>
          <w:lang w:bidi="ar-SY"/>
        </w:rPr>
        <w:t>ومؤسسة</w:t>
      </w:r>
      <w:r w:rsidR="00F32B28">
        <w:rPr>
          <w:rtl/>
          <w:lang w:bidi="ar-SY"/>
        </w:rPr>
        <w:t xml:space="preserve"> </w:t>
      </w:r>
      <w:r w:rsidR="00F32B28" w:rsidRPr="00F32B28">
        <w:rPr>
          <w:rtl/>
          <w:lang w:bidi="ar-SY"/>
        </w:rPr>
        <w:t>دار</w:t>
      </w:r>
      <w:r w:rsidR="00F32B28">
        <w:rPr>
          <w:rtl/>
          <w:lang w:bidi="ar-SY"/>
        </w:rPr>
        <w:t xml:space="preserve"> </w:t>
      </w:r>
      <w:r w:rsidR="00F32B28" w:rsidRPr="00F32B28">
        <w:rPr>
          <w:rtl/>
          <w:lang w:bidi="ar-SY"/>
        </w:rPr>
        <w:t>رعاية</w:t>
      </w:r>
      <w:r w:rsidR="00F32B28">
        <w:rPr>
          <w:rtl/>
          <w:lang w:bidi="ar-SY"/>
        </w:rPr>
        <w:t xml:space="preserve"> </w:t>
      </w:r>
      <w:r w:rsidR="00F32B28" w:rsidRPr="00F32B28">
        <w:rPr>
          <w:rtl/>
          <w:lang w:bidi="ar-SY"/>
        </w:rPr>
        <w:t>الفتيات،</w:t>
      </w:r>
      <w:r w:rsidR="00F32B28">
        <w:rPr>
          <w:rtl/>
          <w:lang w:bidi="ar-SY"/>
        </w:rPr>
        <w:t xml:space="preserve"> </w:t>
      </w:r>
      <w:r w:rsidR="00F32B28" w:rsidRPr="00F32B28">
        <w:rPr>
          <w:rtl/>
          <w:lang w:bidi="ar-SY"/>
        </w:rPr>
        <w:t>والبيت</w:t>
      </w:r>
      <w:r w:rsidR="00F32B28">
        <w:rPr>
          <w:rtl/>
          <w:lang w:bidi="ar-SY"/>
        </w:rPr>
        <w:t xml:space="preserve"> </w:t>
      </w:r>
      <w:r w:rsidR="00F32B28" w:rsidRPr="00F32B28">
        <w:rPr>
          <w:rtl/>
          <w:lang w:bidi="ar-SY"/>
        </w:rPr>
        <w:t>الآمن،</w:t>
      </w:r>
      <w:r w:rsidR="00F32B28">
        <w:rPr>
          <w:rtl/>
          <w:lang w:bidi="ar-SY"/>
        </w:rPr>
        <w:t xml:space="preserve"> </w:t>
      </w:r>
      <w:r w:rsidR="00F32B28" w:rsidRPr="00F32B28">
        <w:rPr>
          <w:rtl/>
          <w:lang w:bidi="ar-SY"/>
        </w:rPr>
        <w:lastRenderedPageBreak/>
        <w:t>وبيت</w:t>
      </w:r>
      <w:r w:rsidR="00F32B28">
        <w:rPr>
          <w:rtl/>
          <w:lang w:bidi="ar-SY"/>
        </w:rPr>
        <w:t xml:space="preserve"> </w:t>
      </w:r>
      <w:r w:rsidR="00F32B28" w:rsidRPr="00F32B28">
        <w:rPr>
          <w:rtl/>
          <w:lang w:bidi="ar-SY"/>
        </w:rPr>
        <w:t>الطوارئ</w:t>
      </w:r>
      <w:r w:rsidR="00F32B28">
        <w:rPr>
          <w:rtl/>
          <w:lang w:bidi="ar-SY"/>
        </w:rPr>
        <w:t xml:space="preserve"> </w:t>
      </w:r>
      <w:r w:rsidR="00F32B28" w:rsidRPr="00F32B28">
        <w:rPr>
          <w:rtl/>
          <w:lang w:bidi="ar-SY"/>
        </w:rPr>
        <w:t>لحماية</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أما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يوجد</w:t>
      </w:r>
      <w:r w:rsidR="00F32B28">
        <w:rPr>
          <w:rtl/>
          <w:lang w:bidi="ar-SY"/>
        </w:rPr>
        <w:t xml:space="preserve"> </w:t>
      </w:r>
      <w:r w:rsidR="00F32B28" w:rsidRPr="00F32B28">
        <w:rPr>
          <w:rtl/>
          <w:lang w:bidi="ar-SY"/>
        </w:rPr>
        <w:t>مركزين</w:t>
      </w:r>
      <w:r w:rsidR="00F32B28">
        <w:rPr>
          <w:rtl/>
          <w:lang w:bidi="ar-SY"/>
        </w:rPr>
        <w:t xml:space="preserve"> </w:t>
      </w:r>
      <w:r w:rsidR="00F32B28" w:rsidRPr="00F32B28">
        <w:rPr>
          <w:rtl/>
          <w:lang w:bidi="ar-SY"/>
        </w:rPr>
        <w:t>اثنين،</w:t>
      </w:r>
      <w:r w:rsidR="00F32B28">
        <w:rPr>
          <w:rtl/>
          <w:lang w:bidi="ar-SY"/>
        </w:rPr>
        <w:t xml:space="preserve"> </w:t>
      </w:r>
      <w:r w:rsidR="00F32B28" w:rsidRPr="00F32B28">
        <w:rPr>
          <w:rtl/>
          <w:lang w:bidi="ar-SY"/>
        </w:rPr>
        <w:t>هما</w:t>
      </w:r>
      <w:r w:rsidR="00F32B28">
        <w:rPr>
          <w:rtl/>
          <w:lang w:bidi="ar-SY"/>
        </w:rPr>
        <w:t xml:space="preserve"> </w:t>
      </w:r>
      <w:r w:rsidR="00F32B28" w:rsidRPr="00F32B28">
        <w:rPr>
          <w:rtl/>
          <w:lang w:bidi="ar-SY"/>
        </w:rPr>
        <w:t>بيت</w:t>
      </w:r>
      <w:r w:rsidR="00F32B28">
        <w:rPr>
          <w:rtl/>
          <w:lang w:bidi="ar-SY"/>
        </w:rPr>
        <w:t xml:space="preserve"> </w:t>
      </w:r>
      <w:r w:rsidR="00F32B28" w:rsidRPr="00F32B28">
        <w:rPr>
          <w:rtl/>
          <w:lang w:bidi="ar-SY"/>
        </w:rPr>
        <w:t>الأمان</w:t>
      </w:r>
      <w:r w:rsidR="00F32B28">
        <w:rPr>
          <w:rtl/>
          <w:lang w:bidi="ar-SY"/>
        </w:rPr>
        <w:t xml:space="preserve"> </w:t>
      </w:r>
      <w:r w:rsidR="00F32B28" w:rsidRPr="00F32B28">
        <w:rPr>
          <w:rtl/>
          <w:lang w:bidi="ar-SY"/>
        </w:rPr>
        <w:t>لرعاية</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ومركز</w:t>
      </w:r>
      <w:r w:rsidR="00F32B28">
        <w:rPr>
          <w:rtl/>
          <w:lang w:bidi="ar-SY"/>
        </w:rPr>
        <w:t xml:space="preserve"> </w:t>
      </w:r>
      <w:r w:rsidR="00F32B28" w:rsidRPr="00F32B28">
        <w:rPr>
          <w:rtl/>
          <w:lang w:bidi="ar-SY"/>
        </w:rPr>
        <w:t>حياة</w:t>
      </w:r>
      <w:r w:rsidR="00F32B28">
        <w:rPr>
          <w:rtl/>
          <w:lang w:bidi="ar-SY"/>
        </w:rPr>
        <w:t xml:space="preserve"> </w:t>
      </w:r>
      <w:r w:rsidR="00F32B28" w:rsidRPr="00F32B28">
        <w:rPr>
          <w:rtl/>
          <w:lang w:bidi="ar-SY"/>
        </w:rPr>
        <w:t>لحماية</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وواحد</w:t>
      </w:r>
      <w:r w:rsidR="00F32B28">
        <w:rPr>
          <w:rtl/>
          <w:lang w:bidi="ar-SY"/>
        </w:rPr>
        <w:t xml:space="preserve"> </w:t>
      </w:r>
      <w:r w:rsidR="00F32B28" w:rsidRPr="00F32B28">
        <w:rPr>
          <w:rtl/>
          <w:lang w:bidi="ar-SY"/>
        </w:rPr>
        <w:t>منهم</w:t>
      </w:r>
      <w:r w:rsidR="00F32B28">
        <w:rPr>
          <w:rtl/>
          <w:lang w:bidi="ar-SY"/>
        </w:rPr>
        <w:t xml:space="preserve"> </w:t>
      </w:r>
      <w:r w:rsidR="00F32B28" w:rsidRPr="00F32B28">
        <w:rPr>
          <w:rtl/>
          <w:lang w:bidi="ar-SY"/>
        </w:rPr>
        <w:t>فقط</w:t>
      </w:r>
      <w:r w:rsidR="00F32B28">
        <w:rPr>
          <w:rtl/>
          <w:lang w:bidi="ar-SY"/>
        </w:rPr>
        <w:t xml:space="preserve"> </w:t>
      </w:r>
      <w:r w:rsidR="00F32B28" w:rsidRPr="00F32B28">
        <w:rPr>
          <w:rtl/>
          <w:lang w:bidi="ar-SY"/>
        </w:rPr>
        <w:t>يؤمن</w:t>
      </w:r>
      <w:r w:rsidR="00F32B28">
        <w:rPr>
          <w:rtl/>
          <w:lang w:bidi="ar-SY"/>
        </w:rPr>
        <w:t xml:space="preserve"> </w:t>
      </w:r>
      <w:r w:rsidR="00F32B28" w:rsidRPr="00F32B28">
        <w:rPr>
          <w:rtl/>
          <w:lang w:bidi="ar-SY"/>
        </w:rPr>
        <w:t>الإيواء،</w:t>
      </w:r>
      <w:r w:rsidR="00F32B28">
        <w:rPr>
          <w:rtl/>
          <w:lang w:bidi="ar-SY"/>
        </w:rPr>
        <w:t xml:space="preserve"> </w:t>
      </w:r>
      <w:r w:rsidR="00F32B28" w:rsidRPr="00F32B28">
        <w:rPr>
          <w:rtl/>
        </w:rPr>
        <w:t>ما</w:t>
      </w:r>
      <w:r w:rsidR="00F32B28">
        <w:rPr>
          <w:rtl/>
        </w:rPr>
        <w:t xml:space="preserve"> </w:t>
      </w:r>
      <w:r w:rsidR="00F32B28" w:rsidRPr="00F32B28">
        <w:rPr>
          <w:rtl/>
        </w:rPr>
        <w:t>يؤدي</w:t>
      </w:r>
      <w:r w:rsidR="00F32B28">
        <w:rPr>
          <w:rtl/>
        </w:rPr>
        <w:t xml:space="preserve"> </w:t>
      </w:r>
      <w:r w:rsidR="00F32B28" w:rsidRPr="00F32B28">
        <w:rPr>
          <w:rtl/>
        </w:rPr>
        <w:t>إلى</w:t>
      </w:r>
      <w:r w:rsidR="00F32B28">
        <w:rPr>
          <w:rtl/>
        </w:rPr>
        <w:t xml:space="preserve"> </w:t>
      </w:r>
      <w:r w:rsidR="00F32B28" w:rsidRPr="00F32B28">
        <w:rPr>
          <w:rtl/>
        </w:rPr>
        <w:t>عدم</w:t>
      </w:r>
      <w:r w:rsidR="00F32B28">
        <w:rPr>
          <w:rtl/>
        </w:rPr>
        <w:t xml:space="preserve"> </w:t>
      </w:r>
      <w:r w:rsidR="00F32B28" w:rsidRPr="00F32B28">
        <w:rPr>
          <w:rtl/>
        </w:rPr>
        <w:t>القدرة</w:t>
      </w:r>
      <w:r w:rsidR="00F32B28">
        <w:rPr>
          <w:rtl/>
        </w:rPr>
        <w:t xml:space="preserve"> </w:t>
      </w:r>
      <w:r w:rsidR="00F32B28" w:rsidRPr="00F32B28">
        <w:rPr>
          <w:rtl/>
        </w:rPr>
        <w:t>على</w:t>
      </w:r>
      <w:r w:rsidR="00F32B28">
        <w:rPr>
          <w:rtl/>
        </w:rPr>
        <w:t xml:space="preserve"> </w:t>
      </w:r>
      <w:r w:rsidR="00F32B28" w:rsidRPr="00F32B28">
        <w:rPr>
          <w:rtl/>
        </w:rPr>
        <w:t>استيعاب</w:t>
      </w:r>
      <w:r w:rsidR="00F32B28">
        <w:rPr>
          <w:rtl/>
        </w:rPr>
        <w:t xml:space="preserve"> </w:t>
      </w:r>
      <w:r w:rsidR="00F32B28" w:rsidRPr="00F32B28">
        <w:rPr>
          <w:rtl/>
        </w:rPr>
        <w:t>جميع</w:t>
      </w:r>
      <w:r w:rsidR="00F32B28">
        <w:rPr>
          <w:rtl/>
        </w:rPr>
        <w:t xml:space="preserve"> </w:t>
      </w:r>
      <w:r w:rsidR="00F32B28" w:rsidRPr="00F32B28">
        <w:rPr>
          <w:rtl/>
        </w:rPr>
        <w:t>الحالات</w:t>
      </w:r>
      <w:r w:rsidR="00F32B28">
        <w:rPr>
          <w:rtl/>
        </w:rPr>
        <w:t xml:space="preserve"> </w:t>
      </w:r>
      <w:r w:rsidR="00F32B28" w:rsidRPr="00F32B28">
        <w:rPr>
          <w:rtl/>
        </w:rPr>
        <w:t>التي</w:t>
      </w:r>
      <w:r w:rsidR="00F32B28">
        <w:rPr>
          <w:rtl/>
        </w:rPr>
        <w:t xml:space="preserve"> </w:t>
      </w:r>
      <w:r w:rsidR="00F32B28" w:rsidRPr="00F32B28">
        <w:rPr>
          <w:rtl/>
        </w:rPr>
        <w:t>يمكن</w:t>
      </w:r>
      <w:r w:rsidR="00F32B28">
        <w:rPr>
          <w:rtl/>
        </w:rPr>
        <w:t xml:space="preserve"> </w:t>
      </w:r>
      <w:r w:rsidR="00F32B28" w:rsidRPr="00F32B28">
        <w:rPr>
          <w:rtl/>
        </w:rPr>
        <w:t>أن</w:t>
      </w:r>
      <w:r w:rsidR="00F32B28">
        <w:rPr>
          <w:rtl/>
        </w:rPr>
        <w:t xml:space="preserve"> </w:t>
      </w:r>
      <w:r w:rsidR="00F32B28" w:rsidRPr="00F32B28">
        <w:rPr>
          <w:rtl/>
        </w:rPr>
        <w:t>تلجئ</w:t>
      </w:r>
      <w:r>
        <w:rPr>
          <w:rFonts w:hint="cs"/>
          <w:rtl/>
        </w:rPr>
        <w:t xml:space="preserve"> </w:t>
      </w:r>
      <w:r w:rsidR="00F32B28" w:rsidRPr="00F32B28">
        <w:rPr>
          <w:rtl/>
        </w:rPr>
        <w:t>فيها</w:t>
      </w:r>
      <w:r w:rsidR="00F32B28">
        <w:rPr>
          <w:rtl/>
        </w:rPr>
        <w:t xml:space="preserve"> </w:t>
      </w:r>
      <w:r w:rsidR="00F32B28" w:rsidRPr="00F32B28">
        <w:rPr>
          <w:rtl/>
        </w:rPr>
        <w:t>النساء</w:t>
      </w:r>
      <w:r w:rsidR="00F32B28">
        <w:rPr>
          <w:rtl/>
        </w:rPr>
        <w:t xml:space="preserve"> </w:t>
      </w:r>
      <w:r w:rsidR="00F32B28" w:rsidRPr="00F32B28">
        <w:rPr>
          <w:rtl/>
        </w:rPr>
        <w:t>لطلب</w:t>
      </w:r>
      <w:r w:rsidR="00F32B28">
        <w:rPr>
          <w:rtl/>
        </w:rPr>
        <w:t xml:space="preserve"> </w:t>
      </w:r>
      <w:r w:rsidR="00F32B28" w:rsidRPr="00F32B28">
        <w:rPr>
          <w:rtl/>
        </w:rPr>
        <w:t>الحماية.</w:t>
      </w:r>
      <w:r w:rsidR="00F32B28">
        <w:rPr>
          <w:rtl/>
        </w:rPr>
        <w:t xml:space="preserve"> </w:t>
      </w:r>
    </w:p>
    <w:p w:rsidR="00F32B28" w:rsidRPr="00F32B28" w:rsidRDefault="00B80192" w:rsidP="00B73D93">
      <w:pPr>
        <w:pStyle w:val="SingleTxt"/>
        <w:rPr>
          <w:rtl/>
        </w:rPr>
      </w:pPr>
      <w:r>
        <w:rPr>
          <w:rFonts w:hint="cs"/>
          <w:rtl/>
        </w:rPr>
        <w:t>93 -</w:t>
      </w:r>
      <w:r>
        <w:rPr>
          <w:rFonts w:hint="cs"/>
          <w:rtl/>
        </w:rPr>
        <w:tab/>
      </w:r>
      <w:r w:rsidR="00F32B28" w:rsidRPr="00F32B28">
        <w:rPr>
          <w:rtl/>
        </w:rPr>
        <w:t>وتقوم</w:t>
      </w:r>
      <w:r w:rsidR="00F32B28">
        <w:rPr>
          <w:rtl/>
        </w:rPr>
        <w:t xml:space="preserve"> </w:t>
      </w:r>
      <w:r w:rsidR="00F32B28" w:rsidRPr="00F32B28">
        <w:rPr>
          <w:rtl/>
        </w:rPr>
        <w:t>وزارة</w:t>
      </w:r>
      <w:r w:rsidR="00F32B28">
        <w:rPr>
          <w:rtl/>
        </w:rPr>
        <w:t xml:space="preserve"> </w:t>
      </w:r>
      <w:r w:rsidR="00F32B28" w:rsidRPr="00F32B28">
        <w:rPr>
          <w:rtl/>
        </w:rPr>
        <w:t>التنمية</w:t>
      </w:r>
      <w:r w:rsidR="00F32B28">
        <w:rPr>
          <w:rtl/>
        </w:rPr>
        <w:t xml:space="preserve"> </w:t>
      </w:r>
      <w:r w:rsidR="00F32B28" w:rsidRPr="00F32B28">
        <w:rPr>
          <w:rtl/>
        </w:rPr>
        <w:t>الاجتماعية</w:t>
      </w:r>
      <w:r w:rsidR="00F32B28">
        <w:rPr>
          <w:rtl/>
        </w:rPr>
        <w:t xml:space="preserve"> </w:t>
      </w:r>
      <w:r w:rsidR="00F32B28" w:rsidRPr="00F32B28">
        <w:rPr>
          <w:rtl/>
        </w:rPr>
        <w:t>بإدراج</w:t>
      </w:r>
      <w:r w:rsidR="00F32B28">
        <w:rPr>
          <w:rtl/>
        </w:rPr>
        <w:t xml:space="preserve"> </w:t>
      </w:r>
      <w:r w:rsidR="00F32B28" w:rsidRPr="00F32B28">
        <w:rPr>
          <w:rtl/>
        </w:rPr>
        <w:t>النساء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ضمن</w:t>
      </w:r>
      <w:r w:rsidR="00F32B28">
        <w:rPr>
          <w:rtl/>
        </w:rPr>
        <w:t xml:space="preserve"> </w:t>
      </w:r>
      <w:r w:rsidR="00F32B28" w:rsidRPr="00F32B28">
        <w:rPr>
          <w:rtl/>
        </w:rPr>
        <w:t>برامج</w:t>
      </w:r>
      <w:r w:rsidR="00F32B28">
        <w:rPr>
          <w:rtl/>
        </w:rPr>
        <w:t xml:space="preserve"> </w:t>
      </w:r>
      <w:r w:rsidR="00F32B28" w:rsidRPr="00F32B28">
        <w:rPr>
          <w:rtl/>
        </w:rPr>
        <w:t>الإغاثة</w:t>
      </w:r>
      <w:r w:rsidR="00F32B28">
        <w:rPr>
          <w:rtl/>
        </w:rPr>
        <w:t xml:space="preserve"> </w:t>
      </w:r>
      <w:r w:rsidR="00F32B28" w:rsidRPr="00F32B28">
        <w:rPr>
          <w:rtl/>
        </w:rPr>
        <w:t>والتنمية</w:t>
      </w:r>
      <w:r w:rsidR="00F32B28">
        <w:rPr>
          <w:rtl/>
        </w:rPr>
        <w:t xml:space="preserve"> </w:t>
      </w:r>
      <w:r w:rsidR="00F32B28" w:rsidRPr="00F32B28">
        <w:rPr>
          <w:rtl/>
        </w:rPr>
        <w:t>كحالات</w:t>
      </w:r>
      <w:r w:rsidR="00F32B28">
        <w:rPr>
          <w:rtl/>
        </w:rPr>
        <w:t xml:space="preserve"> </w:t>
      </w:r>
      <w:r w:rsidR="00F32B28" w:rsidRPr="00F32B28">
        <w:rPr>
          <w:rtl/>
        </w:rPr>
        <w:t>استثنائية</w:t>
      </w:r>
      <w:r w:rsidR="00F32B28">
        <w:rPr>
          <w:rtl/>
        </w:rPr>
        <w:t xml:space="preserve"> </w:t>
      </w:r>
      <w:r w:rsidR="00F32B28" w:rsidRPr="00F32B28">
        <w:rPr>
          <w:rtl/>
        </w:rPr>
        <w:t>عاجلة.</w:t>
      </w:r>
      <w:r w:rsidR="00F32B28">
        <w:rPr>
          <w:rtl/>
        </w:rPr>
        <w:t xml:space="preserve"> </w:t>
      </w:r>
      <w:r w:rsidR="00F32B28" w:rsidRPr="00F32B28">
        <w:rPr>
          <w:rtl/>
        </w:rPr>
        <w:t>وتنظم</w:t>
      </w:r>
      <w:r w:rsidR="00F32B28">
        <w:rPr>
          <w:rtl/>
        </w:rPr>
        <w:t xml:space="preserve"> </w:t>
      </w:r>
      <w:r w:rsidR="00F32B28" w:rsidRPr="00F32B28">
        <w:rPr>
          <w:rtl/>
        </w:rPr>
        <w:t>برامج</w:t>
      </w:r>
      <w:r w:rsidR="00F32B28">
        <w:rPr>
          <w:rtl/>
        </w:rPr>
        <w:t xml:space="preserve"> </w:t>
      </w:r>
      <w:r w:rsidR="00F32B28" w:rsidRPr="00F32B28">
        <w:rPr>
          <w:rtl/>
        </w:rPr>
        <w:t>مشتركة</w:t>
      </w:r>
      <w:r w:rsidR="00F32B28">
        <w:rPr>
          <w:rtl/>
        </w:rPr>
        <w:t xml:space="preserve"> </w:t>
      </w:r>
      <w:r w:rsidR="00F32B28" w:rsidRPr="00F32B28">
        <w:rPr>
          <w:rtl/>
        </w:rPr>
        <w:t>مع</w:t>
      </w:r>
      <w:r w:rsidR="00F32B28">
        <w:rPr>
          <w:rtl/>
        </w:rPr>
        <w:t xml:space="preserve"> </w:t>
      </w:r>
      <w:r w:rsidR="00F32B28" w:rsidRPr="00F32B28">
        <w:rPr>
          <w:rtl/>
        </w:rPr>
        <w:t>المؤسسات</w:t>
      </w:r>
      <w:r w:rsidR="00F32B28">
        <w:rPr>
          <w:rtl/>
        </w:rPr>
        <w:t xml:space="preserve"> </w:t>
      </w:r>
      <w:r w:rsidR="00F32B28" w:rsidRPr="00F32B28">
        <w:rPr>
          <w:rtl/>
        </w:rPr>
        <w:t>غير</w:t>
      </w:r>
      <w:r w:rsidR="00F32B28">
        <w:rPr>
          <w:rtl/>
        </w:rPr>
        <w:t xml:space="preserve"> </w:t>
      </w:r>
      <w:r w:rsidR="00F32B28" w:rsidRPr="00F32B28">
        <w:rPr>
          <w:rtl/>
        </w:rPr>
        <w:t>الحكومية</w:t>
      </w:r>
      <w:r w:rsidR="00F32B28">
        <w:rPr>
          <w:rtl/>
        </w:rPr>
        <w:t xml:space="preserve"> </w:t>
      </w:r>
      <w:r w:rsidR="00F32B28" w:rsidRPr="00F32B28">
        <w:rPr>
          <w:rtl/>
        </w:rPr>
        <w:t>من</w:t>
      </w:r>
      <w:r w:rsidR="00F32B28">
        <w:rPr>
          <w:rtl/>
        </w:rPr>
        <w:t xml:space="preserve"> </w:t>
      </w:r>
      <w:r w:rsidR="00F32B28" w:rsidRPr="00F32B28">
        <w:rPr>
          <w:rtl/>
        </w:rPr>
        <w:t>أجل</w:t>
      </w:r>
      <w:r w:rsidR="00F32B28">
        <w:rPr>
          <w:rtl/>
        </w:rPr>
        <w:t xml:space="preserve"> </w:t>
      </w:r>
      <w:r w:rsidR="00F32B28" w:rsidRPr="00F32B28">
        <w:rPr>
          <w:rtl/>
        </w:rPr>
        <w:t>بث</w:t>
      </w:r>
      <w:r w:rsidR="00F32B28">
        <w:rPr>
          <w:rtl/>
        </w:rPr>
        <w:t xml:space="preserve"> </w:t>
      </w:r>
      <w:r w:rsidR="00F32B28" w:rsidRPr="00F32B28">
        <w:rPr>
          <w:rtl/>
        </w:rPr>
        <w:t>ثقافة</w:t>
      </w:r>
      <w:r w:rsidR="00F32B28">
        <w:rPr>
          <w:rtl/>
        </w:rPr>
        <w:t xml:space="preserve"> </w:t>
      </w:r>
      <w:r w:rsidR="00F32B28" w:rsidRPr="00F32B28">
        <w:rPr>
          <w:rtl/>
        </w:rPr>
        <w:t>مناهضة</w:t>
      </w:r>
      <w:r w:rsidR="00F32B28">
        <w:rPr>
          <w:rtl/>
        </w:rPr>
        <w:t xml:space="preserve"> </w:t>
      </w:r>
      <w:r w:rsidR="00F32B28" w:rsidRPr="00F32B28">
        <w:rPr>
          <w:rtl/>
        </w:rPr>
        <w:t>العنف</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وسعياً</w:t>
      </w:r>
      <w:r w:rsidR="00F32B28">
        <w:rPr>
          <w:rtl/>
        </w:rPr>
        <w:t xml:space="preserve"> </w:t>
      </w:r>
      <w:r w:rsidR="00F32B28" w:rsidRPr="00F32B28">
        <w:rPr>
          <w:rtl/>
        </w:rPr>
        <w:t>للتكامل</w:t>
      </w:r>
      <w:r w:rsidR="00F32B28">
        <w:rPr>
          <w:rtl/>
        </w:rPr>
        <w:t xml:space="preserve"> </w:t>
      </w:r>
      <w:r w:rsidR="00F32B28" w:rsidRPr="00F32B28">
        <w:rPr>
          <w:rtl/>
        </w:rPr>
        <w:t>بين</w:t>
      </w:r>
      <w:r w:rsidR="00F32B28">
        <w:rPr>
          <w:rtl/>
        </w:rPr>
        <w:t xml:space="preserve"> </w:t>
      </w:r>
      <w:r w:rsidR="00F32B28" w:rsidRPr="00F32B28">
        <w:rPr>
          <w:rtl/>
        </w:rPr>
        <w:t>البرامج</w:t>
      </w:r>
      <w:r w:rsidR="00F32B28">
        <w:rPr>
          <w:rtl/>
        </w:rPr>
        <w:t xml:space="preserve"> </w:t>
      </w:r>
      <w:r w:rsidR="00F32B28" w:rsidRPr="00F32B28">
        <w:rPr>
          <w:rtl/>
        </w:rPr>
        <w:t>والأنشطة</w:t>
      </w:r>
      <w:r w:rsidR="00F32B28">
        <w:rPr>
          <w:rtl/>
        </w:rPr>
        <w:t xml:space="preserve"> </w:t>
      </w:r>
      <w:r w:rsidR="00F32B28" w:rsidRPr="00F32B28">
        <w:rPr>
          <w:rtl/>
        </w:rPr>
        <w:t>والخدمات</w:t>
      </w:r>
      <w:r w:rsidR="00F32B28">
        <w:rPr>
          <w:rtl/>
        </w:rPr>
        <w:t xml:space="preserve"> </w:t>
      </w:r>
      <w:r w:rsidR="00F32B28" w:rsidRPr="00F32B28">
        <w:rPr>
          <w:rtl/>
        </w:rPr>
        <w:t>المقدمة</w:t>
      </w:r>
      <w:r w:rsidR="00F32B28">
        <w:rPr>
          <w:rtl/>
        </w:rPr>
        <w:t xml:space="preserve"> </w:t>
      </w:r>
      <w:r w:rsidR="00F32B28" w:rsidRPr="00F32B28">
        <w:rPr>
          <w:rtl/>
        </w:rPr>
        <w:t>للنساء</w:t>
      </w:r>
      <w:r w:rsidR="00F32B28">
        <w:rPr>
          <w:rtl/>
        </w:rPr>
        <w:t xml:space="preserve"> </w:t>
      </w:r>
      <w:r w:rsidR="00F32B28" w:rsidRPr="00F32B28">
        <w:rPr>
          <w:rtl/>
        </w:rPr>
        <w:t>ضحايا</w:t>
      </w:r>
      <w:r w:rsidR="008974F6">
        <w:rPr>
          <w:rFonts w:hint="cs"/>
          <w:rtl/>
        </w:rPr>
        <w:t> </w:t>
      </w:r>
      <w:r w:rsidR="00F32B28" w:rsidRPr="00F32B28">
        <w:rPr>
          <w:rtl/>
        </w:rPr>
        <w:t>العنف.</w:t>
      </w:r>
      <w:r w:rsidR="00600C43">
        <w:rPr>
          <w:rtl/>
        </w:rPr>
        <w:t xml:space="preserve"> </w:t>
      </w:r>
    </w:p>
    <w:p w:rsidR="00F32B28" w:rsidRPr="00F32B28" w:rsidRDefault="00B80192" w:rsidP="00B73D93">
      <w:pPr>
        <w:pStyle w:val="SingleTxt"/>
      </w:pPr>
      <w:r>
        <w:rPr>
          <w:rFonts w:hint="cs"/>
          <w:rtl/>
        </w:rPr>
        <w:t>94 -</w:t>
      </w:r>
      <w:r>
        <w:rPr>
          <w:rFonts w:hint="cs"/>
          <w:rtl/>
        </w:rPr>
        <w:tab/>
      </w:r>
      <w:r w:rsidR="00F32B28" w:rsidRPr="00F32B28">
        <w:rPr>
          <w:rtl/>
        </w:rPr>
        <w:t>كما</w:t>
      </w:r>
      <w:r w:rsidR="00F32B28">
        <w:rPr>
          <w:rtl/>
        </w:rPr>
        <w:t xml:space="preserve"> </w:t>
      </w:r>
      <w:r w:rsidR="00F32B28" w:rsidRPr="00F32B28">
        <w:rPr>
          <w:rtl/>
        </w:rPr>
        <w:t>تبذل</w:t>
      </w:r>
      <w:r w:rsidR="00F32B28">
        <w:rPr>
          <w:rtl/>
        </w:rPr>
        <w:t xml:space="preserve"> </w:t>
      </w:r>
      <w:r w:rsidR="00F32B28" w:rsidRPr="00F32B28">
        <w:rPr>
          <w:rtl/>
        </w:rPr>
        <w:t>المؤسسات</w:t>
      </w:r>
      <w:r w:rsidR="00F32B28">
        <w:rPr>
          <w:rtl/>
        </w:rPr>
        <w:t xml:space="preserve"> </w:t>
      </w:r>
      <w:r w:rsidR="00F32B28" w:rsidRPr="00F32B28">
        <w:rPr>
          <w:rtl/>
        </w:rPr>
        <w:t>غير</w:t>
      </w:r>
      <w:r w:rsidR="00F32B28">
        <w:rPr>
          <w:rtl/>
        </w:rPr>
        <w:t xml:space="preserve"> </w:t>
      </w:r>
      <w:r w:rsidR="00F32B28" w:rsidRPr="00F32B28">
        <w:rPr>
          <w:rtl/>
        </w:rPr>
        <w:t>الحكومية</w:t>
      </w:r>
      <w:r w:rsidR="00F32B28">
        <w:rPr>
          <w:rtl/>
        </w:rPr>
        <w:t xml:space="preserve"> </w:t>
      </w:r>
      <w:r w:rsidR="00F32B28" w:rsidRPr="00F32B28">
        <w:rPr>
          <w:rtl/>
        </w:rPr>
        <w:t>كافة</w:t>
      </w:r>
      <w:r w:rsidR="00F32B28">
        <w:rPr>
          <w:rtl/>
        </w:rPr>
        <w:t xml:space="preserve"> </w:t>
      </w:r>
      <w:r w:rsidR="00F32B28" w:rsidRPr="00F32B28">
        <w:rPr>
          <w:rtl/>
        </w:rPr>
        <w:t>الجهود</w:t>
      </w:r>
      <w:r w:rsidR="00F32B28">
        <w:rPr>
          <w:rtl/>
        </w:rPr>
        <w:t xml:space="preserve"> </w:t>
      </w:r>
      <w:r w:rsidR="00F32B28" w:rsidRPr="00F32B28">
        <w:rPr>
          <w:rtl/>
        </w:rPr>
        <w:t>المتعلقة</w:t>
      </w:r>
      <w:r w:rsidR="00F32B28">
        <w:rPr>
          <w:rtl/>
        </w:rPr>
        <w:t xml:space="preserve"> </w:t>
      </w:r>
      <w:r w:rsidR="00F32B28" w:rsidRPr="00F32B28">
        <w:rPr>
          <w:rtl/>
        </w:rPr>
        <w:t>بالتثقيف</w:t>
      </w:r>
      <w:r w:rsidR="00F32B28">
        <w:rPr>
          <w:rtl/>
        </w:rPr>
        <w:t xml:space="preserve"> </w:t>
      </w:r>
      <w:r w:rsidR="00F32B28" w:rsidRPr="00F32B28">
        <w:rPr>
          <w:rtl/>
        </w:rPr>
        <w:t>والتوعية</w:t>
      </w:r>
      <w:r w:rsidR="00F32B28">
        <w:rPr>
          <w:rtl/>
        </w:rPr>
        <w:t xml:space="preserve"> </w:t>
      </w:r>
      <w:r w:rsidR="00F32B28" w:rsidRPr="00F32B28">
        <w:rPr>
          <w:rtl/>
        </w:rPr>
        <w:t>والتدريب</w:t>
      </w:r>
      <w:r w:rsidR="00F32B28">
        <w:rPr>
          <w:rtl/>
        </w:rPr>
        <w:t xml:space="preserve"> </w:t>
      </w:r>
      <w:r w:rsidR="00F32B28" w:rsidRPr="00F32B28">
        <w:rPr>
          <w:rtl/>
        </w:rPr>
        <w:t>في</w:t>
      </w:r>
      <w:r w:rsidR="00F32B28">
        <w:rPr>
          <w:rtl/>
        </w:rPr>
        <w:t xml:space="preserve"> </w:t>
      </w:r>
      <w:r w:rsidR="00F32B28" w:rsidRPr="00F32B28">
        <w:rPr>
          <w:rtl/>
        </w:rPr>
        <w:t>مجال</w:t>
      </w:r>
      <w:r w:rsidR="00F32B28">
        <w:rPr>
          <w:rtl/>
        </w:rPr>
        <w:t xml:space="preserve"> </w:t>
      </w:r>
      <w:r w:rsidR="00F32B28" w:rsidRPr="00F32B28">
        <w:rPr>
          <w:rtl/>
        </w:rPr>
        <w:t>مناهضة</w:t>
      </w:r>
      <w:r w:rsidR="00F32B28">
        <w:rPr>
          <w:rtl/>
        </w:rPr>
        <w:t xml:space="preserve"> </w:t>
      </w:r>
      <w:r w:rsidR="00F32B28" w:rsidRPr="00F32B28">
        <w:rPr>
          <w:rtl/>
        </w:rPr>
        <w:t>العنف</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وإصدار</w:t>
      </w:r>
      <w:r w:rsidR="00F32B28">
        <w:rPr>
          <w:rtl/>
        </w:rPr>
        <w:t xml:space="preserve"> </w:t>
      </w:r>
      <w:r w:rsidR="00F32B28" w:rsidRPr="00F32B28">
        <w:rPr>
          <w:rtl/>
        </w:rPr>
        <w:t>وتوزيع</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الكتيبات</w:t>
      </w:r>
      <w:r w:rsidR="00F32B28">
        <w:rPr>
          <w:rtl/>
        </w:rPr>
        <w:t xml:space="preserve"> </w:t>
      </w:r>
      <w:r w:rsidR="00F32B28" w:rsidRPr="00F32B28">
        <w:rPr>
          <w:rtl/>
        </w:rPr>
        <w:t>والمناشير</w:t>
      </w:r>
      <w:r w:rsidR="00F32B28">
        <w:rPr>
          <w:rtl/>
        </w:rPr>
        <w:t xml:space="preserve"> </w:t>
      </w:r>
      <w:r w:rsidR="00F32B28" w:rsidRPr="00F32B28">
        <w:rPr>
          <w:rtl/>
        </w:rPr>
        <w:t>والتقارير</w:t>
      </w:r>
      <w:r w:rsidR="00F32B28">
        <w:rPr>
          <w:rtl/>
        </w:rPr>
        <w:t xml:space="preserve"> </w:t>
      </w:r>
      <w:r w:rsidR="00F32B28" w:rsidRPr="00F32B28">
        <w:rPr>
          <w:rtl/>
        </w:rPr>
        <w:t>في</w:t>
      </w:r>
      <w:r w:rsidR="00F32B28">
        <w:rPr>
          <w:rtl/>
        </w:rPr>
        <w:t xml:space="preserve"> </w:t>
      </w:r>
      <w:r w:rsidR="00F32B28" w:rsidRPr="00F32B28">
        <w:rPr>
          <w:rtl/>
        </w:rPr>
        <w:t>هذا</w:t>
      </w:r>
      <w:r w:rsidR="00F32B28">
        <w:rPr>
          <w:rtl/>
        </w:rPr>
        <w:t xml:space="preserve"> </w:t>
      </w:r>
      <w:r w:rsidR="00F32B28" w:rsidRPr="00F32B28">
        <w:rPr>
          <w:rtl/>
        </w:rPr>
        <w:t>المجال،</w:t>
      </w:r>
      <w:r w:rsidR="00F32B28">
        <w:rPr>
          <w:rtl/>
        </w:rPr>
        <w:t xml:space="preserve"> </w:t>
      </w:r>
      <w:r w:rsidR="00F32B28" w:rsidRPr="00F32B28">
        <w:rPr>
          <w:rtl/>
        </w:rPr>
        <w:t>وتنظيم</w:t>
      </w:r>
      <w:r w:rsidR="00F32B28">
        <w:rPr>
          <w:rtl/>
        </w:rPr>
        <w:t xml:space="preserve"> </w:t>
      </w:r>
      <w:r w:rsidR="00F32B28" w:rsidRPr="00F32B28">
        <w:rPr>
          <w:rtl/>
        </w:rPr>
        <w:t>حملات</w:t>
      </w:r>
      <w:r w:rsidR="00F32B28">
        <w:rPr>
          <w:rtl/>
        </w:rPr>
        <w:t xml:space="preserve"> </w:t>
      </w:r>
      <w:r w:rsidR="00F32B28" w:rsidRPr="00F32B28">
        <w:rPr>
          <w:rtl/>
        </w:rPr>
        <w:t>الدعم</w:t>
      </w:r>
      <w:r w:rsidR="00F32B28">
        <w:rPr>
          <w:rtl/>
        </w:rPr>
        <w:t xml:space="preserve"> </w:t>
      </w:r>
      <w:r w:rsidR="00F32B28" w:rsidRPr="00F32B28">
        <w:rPr>
          <w:rtl/>
        </w:rPr>
        <w:t>والمناصرة</w:t>
      </w:r>
      <w:r w:rsidR="00F32B28">
        <w:rPr>
          <w:rtl/>
        </w:rPr>
        <w:t xml:space="preserve"> </w:t>
      </w:r>
      <w:r w:rsidR="00F32B28" w:rsidRPr="00F32B28">
        <w:rPr>
          <w:rtl/>
        </w:rPr>
        <w:t>لحقوق</w:t>
      </w:r>
      <w:r w:rsidR="00F32B28">
        <w:rPr>
          <w:rtl/>
        </w:rPr>
        <w:t xml:space="preserve"> </w:t>
      </w:r>
      <w:r w:rsidR="00F32B28" w:rsidRPr="00F32B28">
        <w:rPr>
          <w:rtl/>
        </w:rPr>
        <w:t>النساء</w:t>
      </w:r>
      <w:r w:rsidR="00F32B28">
        <w:rPr>
          <w:rtl/>
        </w:rPr>
        <w:t xml:space="preserve"> </w:t>
      </w:r>
      <w:r w:rsidR="00F32B28" w:rsidRPr="00F32B28">
        <w:rPr>
          <w:rtl/>
        </w:rPr>
        <w:t>ومحاربة</w:t>
      </w:r>
      <w:r w:rsidR="00F32B28">
        <w:rPr>
          <w:rtl/>
        </w:rPr>
        <w:t xml:space="preserve"> </w:t>
      </w:r>
      <w:r w:rsidR="00F32B28" w:rsidRPr="00F32B28">
        <w:rPr>
          <w:rtl/>
        </w:rPr>
        <w:t>العنف،</w:t>
      </w:r>
      <w:r w:rsidR="00F32B28">
        <w:rPr>
          <w:rtl/>
        </w:rPr>
        <w:t xml:space="preserve"> </w:t>
      </w:r>
      <w:r w:rsidR="00F32B28" w:rsidRPr="00F32B28">
        <w:rPr>
          <w:rtl/>
        </w:rPr>
        <w:t>كما</w:t>
      </w:r>
      <w:r w:rsidR="00F32B28">
        <w:rPr>
          <w:rtl/>
        </w:rPr>
        <w:t xml:space="preserve"> </w:t>
      </w:r>
      <w:r w:rsidR="00F32B28" w:rsidRPr="00F32B28">
        <w:rPr>
          <w:rtl/>
        </w:rPr>
        <w:t>توفر</w:t>
      </w:r>
      <w:r w:rsidR="00F32B28">
        <w:rPr>
          <w:rtl/>
        </w:rPr>
        <w:t xml:space="preserve"> </w:t>
      </w:r>
      <w:r w:rsidR="00F32B28" w:rsidRPr="00F32B28">
        <w:rPr>
          <w:rtl/>
        </w:rPr>
        <w:t>للنساء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خدمات</w:t>
      </w:r>
      <w:r w:rsidR="00F32B28">
        <w:rPr>
          <w:rtl/>
        </w:rPr>
        <w:t xml:space="preserve"> </w:t>
      </w:r>
      <w:r w:rsidR="00F32B28" w:rsidRPr="00F32B28">
        <w:rPr>
          <w:rtl/>
        </w:rPr>
        <w:t>الدعم</w:t>
      </w:r>
      <w:r w:rsidR="00F32B28">
        <w:rPr>
          <w:rtl/>
        </w:rPr>
        <w:t xml:space="preserve"> </w:t>
      </w:r>
      <w:r w:rsidR="00F32B28" w:rsidRPr="00F32B28">
        <w:rPr>
          <w:rtl/>
        </w:rPr>
        <w:t>النفسي</w:t>
      </w:r>
      <w:r w:rsidR="00F32B28">
        <w:rPr>
          <w:rtl/>
        </w:rPr>
        <w:t xml:space="preserve"> </w:t>
      </w:r>
      <w:r w:rsidR="00F32B28" w:rsidRPr="00F32B28">
        <w:rPr>
          <w:rtl/>
        </w:rPr>
        <w:t>والإرشاد</w:t>
      </w:r>
      <w:r w:rsidR="00F32B28">
        <w:rPr>
          <w:rtl/>
        </w:rPr>
        <w:t xml:space="preserve"> </w:t>
      </w:r>
      <w:r w:rsidR="00F32B28" w:rsidRPr="00F32B28">
        <w:rPr>
          <w:rtl/>
        </w:rPr>
        <w:t>القانوني</w:t>
      </w:r>
      <w:r w:rsidR="00F32B28">
        <w:rPr>
          <w:rtl/>
        </w:rPr>
        <w:t xml:space="preserve"> </w:t>
      </w:r>
      <w:r w:rsidR="00F32B28" w:rsidRPr="00F32B28">
        <w:rPr>
          <w:rtl/>
        </w:rPr>
        <w:t>والاجتماعي</w:t>
      </w:r>
      <w:r w:rsidR="00F32B28">
        <w:rPr>
          <w:rtl/>
        </w:rPr>
        <w:t xml:space="preserve"> </w:t>
      </w:r>
      <w:r w:rsidR="00F32B28" w:rsidRPr="00F32B28">
        <w:rPr>
          <w:rtl/>
        </w:rPr>
        <w:t>والتأهيل.</w:t>
      </w:r>
      <w:r w:rsidR="00F32B28">
        <w:rPr>
          <w:rtl/>
        </w:rPr>
        <w:t xml:space="preserve"> </w:t>
      </w:r>
      <w:r w:rsidR="00F32B28" w:rsidRPr="00F32B28">
        <w:rPr>
          <w:rtl/>
        </w:rPr>
        <w:t>كما</w:t>
      </w:r>
      <w:r w:rsidR="00F32B28">
        <w:rPr>
          <w:rtl/>
        </w:rPr>
        <w:t xml:space="preserve"> </w:t>
      </w:r>
      <w:r w:rsidR="00F32B28" w:rsidRPr="00F32B28">
        <w:rPr>
          <w:rtl/>
        </w:rPr>
        <w:t>تقوم</w:t>
      </w:r>
      <w:r w:rsidR="00F32B28">
        <w:rPr>
          <w:rtl/>
        </w:rPr>
        <w:t xml:space="preserve"> </w:t>
      </w:r>
      <w:r w:rsidR="00F32B28" w:rsidRPr="00F32B28">
        <w:rPr>
          <w:rtl/>
        </w:rPr>
        <w:t>هذه</w:t>
      </w:r>
      <w:r w:rsidR="00F32B28">
        <w:rPr>
          <w:rtl/>
        </w:rPr>
        <w:t xml:space="preserve"> </w:t>
      </w:r>
      <w:r w:rsidR="00F32B28" w:rsidRPr="00F32B28">
        <w:rPr>
          <w:rtl/>
        </w:rPr>
        <w:t>المؤسسات</w:t>
      </w:r>
      <w:r w:rsidR="00F32B28">
        <w:rPr>
          <w:rtl/>
        </w:rPr>
        <w:t xml:space="preserve"> </w:t>
      </w:r>
      <w:r w:rsidR="00F32B28" w:rsidRPr="00F32B28">
        <w:rPr>
          <w:rtl/>
        </w:rPr>
        <w:t>بتسليط</w:t>
      </w:r>
      <w:r w:rsidR="00F32B28">
        <w:rPr>
          <w:rtl/>
        </w:rPr>
        <w:t xml:space="preserve"> </w:t>
      </w:r>
      <w:r w:rsidR="00F32B28" w:rsidRPr="00F32B28">
        <w:rPr>
          <w:rtl/>
        </w:rPr>
        <w:t>الضوء</w:t>
      </w:r>
      <w:r w:rsidR="00F32B28">
        <w:rPr>
          <w:rtl/>
        </w:rPr>
        <w:t xml:space="preserve"> </w:t>
      </w:r>
      <w:r w:rsidR="00F32B28" w:rsidRPr="00F32B28">
        <w:rPr>
          <w:rtl/>
        </w:rPr>
        <w:t>إعلامياً</w:t>
      </w:r>
      <w:r w:rsidR="00F32B28">
        <w:rPr>
          <w:rtl/>
        </w:rPr>
        <w:t xml:space="preserve"> </w:t>
      </w:r>
      <w:r w:rsidR="00F32B28" w:rsidRPr="00F32B28">
        <w:rPr>
          <w:rtl/>
        </w:rPr>
        <w:t>على</w:t>
      </w:r>
      <w:r w:rsidR="00F32B28">
        <w:rPr>
          <w:rtl/>
        </w:rPr>
        <w:t xml:space="preserve"> </w:t>
      </w:r>
      <w:r w:rsidR="00F32B28" w:rsidRPr="00F32B28">
        <w:rPr>
          <w:rtl/>
        </w:rPr>
        <w:t>هذه</w:t>
      </w:r>
      <w:r w:rsidR="00F32B28">
        <w:rPr>
          <w:rtl/>
        </w:rPr>
        <w:t xml:space="preserve"> </w:t>
      </w:r>
      <w:r w:rsidR="00F32B28" w:rsidRPr="00F32B28">
        <w:rPr>
          <w:rtl/>
        </w:rPr>
        <w:t>المسألة</w:t>
      </w:r>
      <w:r w:rsidR="00F32B28">
        <w:rPr>
          <w:rtl/>
        </w:rPr>
        <w:t xml:space="preserve"> </w:t>
      </w:r>
      <w:r w:rsidR="00F32B28" w:rsidRPr="00F32B28">
        <w:rPr>
          <w:rtl/>
        </w:rPr>
        <w:t>وأثرها</w:t>
      </w:r>
      <w:r w:rsidR="00F32B28">
        <w:rPr>
          <w:rtl/>
        </w:rPr>
        <w:t xml:space="preserve"> </w:t>
      </w:r>
      <w:r w:rsidR="00F32B28" w:rsidRPr="00F32B28">
        <w:rPr>
          <w:rtl/>
        </w:rPr>
        <w:t>على</w:t>
      </w:r>
      <w:r w:rsidR="00F32B28">
        <w:rPr>
          <w:rtl/>
        </w:rPr>
        <w:t xml:space="preserve"> </w:t>
      </w:r>
      <w:r w:rsidR="00F32B28" w:rsidRPr="00F32B28">
        <w:rPr>
          <w:rtl/>
        </w:rPr>
        <w:t>المجتمع</w:t>
      </w:r>
      <w:r w:rsidR="00F32B28">
        <w:rPr>
          <w:rtl/>
        </w:rPr>
        <w:t xml:space="preserve"> </w:t>
      </w:r>
      <w:r w:rsidR="00F32B28" w:rsidRPr="00F32B28">
        <w:rPr>
          <w:rtl/>
        </w:rPr>
        <w:t>الفلسطيني.</w:t>
      </w:r>
    </w:p>
    <w:p w:rsidR="00B80192" w:rsidRPr="00B80192" w:rsidRDefault="00B80192" w:rsidP="00B80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F32B28" w:rsidRPr="00F32B28" w:rsidRDefault="00B80192" w:rsidP="00B8019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F32B28" w:rsidRPr="00F32B28">
        <w:rPr>
          <w:rtl/>
        </w:rPr>
        <w:t>تقدم</w:t>
      </w:r>
      <w:r w:rsidR="00F32B28">
        <w:rPr>
          <w:rtl/>
        </w:rPr>
        <w:t xml:space="preserve"> </w:t>
      </w:r>
      <w:r w:rsidR="00F32B28" w:rsidRPr="00F32B28">
        <w:rPr>
          <w:rtl/>
        </w:rPr>
        <w:t>محرز</w:t>
      </w:r>
    </w:p>
    <w:p w:rsidR="00F32B28" w:rsidRPr="00F32B28" w:rsidRDefault="00B80192" w:rsidP="00B73D93">
      <w:pPr>
        <w:pStyle w:val="SingleTxt"/>
        <w:rPr>
          <w:b/>
          <w:bCs/>
        </w:rPr>
      </w:pPr>
      <w:r>
        <w:rPr>
          <w:rFonts w:hint="cs"/>
          <w:rtl/>
        </w:rPr>
        <w:t>95 -</w:t>
      </w:r>
      <w:r>
        <w:rPr>
          <w:rFonts w:hint="cs"/>
          <w:rtl/>
        </w:rPr>
        <w:tab/>
      </w:r>
      <w:r w:rsidR="00F32B28" w:rsidRPr="00F32B28">
        <w:rPr>
          <w:rtl/>
        </w:rPr>
        <w:t>في</w:t>
      </w:r>
      <w:r w:rsidR="00F32B28">
        <w:rPr>
          <w:rtl/>
        </w:rPr>
        <w:t xml:space="preserve"> </w:t>
      </w:r>
      <w:r w:rsidR="00F32B28" w:rsidRPr="00F32B28">
        <w:rPr>
          <w:rtl/>
        </w:rPr>
        <w:t>شباط</w:t>
      </w:r>
      <w:r w:rsidR="00846FB9">
        <w:rPr>
          <w:rFonts w:hint="cs"/>
          <w:rtl/>
        </w:rPr>
        <w:t>/فبراير</w:t>
      </w:r>
      <w:r w:rsidR="00F32B28">
        <w:rPr>
          <w:rtl/>
        </w:rPr>
        <w:t xml:space="preserve"> </w:t>
      </w:r>
      <w:r w:rsidR="00F32B28" w:rsidRPr="00F32B28">
        <w:rPr>
          <w:rtl/>
        </w:rPr>
        <w:t>2016،</w:t>
      </w:r>
      <w:r w:rsidR="00F32B28">
        <w:rPr>
          <w:rtl/>
        </w:rPr>
        <w:t xml:space="preserve"> </w:t>
      </w:r>
      <w:r w:rsidR="00F32B28" w:rsidRPr="00F32B28">
        <w:rPr>
          <w:rtl/>
        </w:rPr>
        <w:t>تم</w:t>
      </w:r>
      <w:r w:rsidR="00F32B28">
        <w:rPr>
          <w:rtl/>
        </w:rPr>
        <w:t xml:space="preserve"> </w:t>
      </w:r>
      <w:r w:rsidR="00F32B28" w:rsidRPr="00F32B28">
        <w:rPr>
          <w:rtl/>
        </w:rPr>
        <w:t>إنشاء</w:t>
      </w:r>
      <w:r w:rsidR="00F32B28">
        <w:rPr>
          <w:rtl/>
        </w:rPr>
        <w:t xml:space="preserve"> </w:t>
      </w:r>
      <w:r w:rsidR="00F32B28" w:rsidRPr="00F32B28">
        <w:rPr>
          <w:rtl/>
        </w:rPr>
        <w:t>نيابة</w:t>
      </w:r>
      <w:r w:rsidR="00F32B28">
        <w:rPr>
          <w:rtl/>
        </w:rPr>
        <w:t xml:space="preserve"> </w:t>
      </w:r>
      <w:r w:rsidR="00F32B28" w:rsidRPr="00F32B28">
        <w:rPr>
          <w:rtl/>
        </w:rPr>
        <w:t>مختصة</w:t>
      </w:r>
      <w:r w:rsidR="00F32B28">
        <w:rPr>
          <w:rtl/>
        </w:rPr>
        <w:t xml:space="preserve"> </w:t>
      </w:r>
      <w:r w:rsidR="00F32B28" w:rsidRPr="00F32B28">
        <w:rPr>
          <w:rtl/>
        </w:rPr>
        <w:t>في</w:t>
      </w:r>
      <w:r w:rsidR="00F32B28">
        <w:rPr>
          <w:rtl/>
        </w:rPr>
        <w:t xml:space="preserve"> </w:t>
      </w:r>
      <w:r w:rsidR="00F32B28" w:rsidRPr="00F32B28">
        <w:rPr>
          <w:rtl/>
        </w:rPr>
        <w:t>حماية</w:t>
      </w:r>
      <w:r w:rsidR="00F32B28">
        <w:rPr>
          <w:rtl/>
        </w:rPr>
        <w:t xml:space="preserve"> </w:t>
      </w:r>
      <w:r w:rsidR="00F32B28" w:rsidRPr="00F32B28">
        <w:rPr>
          <w:rtl/>
        </w:rPr>
        <w:t>الأسرة</w:t>
      </w:r>
      <w:r w:rsidR="00F32B28">
        <w:rPr>
          <w:rtl/>
        </w:rPr>
        <w:t xml:space="preserve"> </w:t>
      </w:r>
      <w:r w:rsidR="00F32B28" w:rsidRPr="00F32B28">
        <w:rPr>
          <w:rtl/>
        </w:rPr>
        <w:t>من</w:t>
      </w:r>
      <w:r w:rsidR="00F32B28">
        <w:rPr>
          <w:rtl/>
        </w:rPr>
        <w:t xml:space="preserve"> </w:t>
      </w:r>
      <w:r w:rsidR="00F32B28" w:rsidRPr="00F32B28">
        <w:rPr>
          <w:rtl/>
        </w:rPr>
        <w:t>العنف</w:t>
      </w:r>
      <w:r w:rsidR="00F32B28">
        <w:rPr>
          <w:rtl/>
        </w:rPr>
        <w:t xml:space="preserve"> </w:t>
      </w:r>
      <w:r w:rsidR="00F32B28" w:rsidRPr="00F32B28">
        <w:rPr>
          <w:rtl/>
        </w:rPr>
        <w:t>وتهدف</w:t>
      </w:r>
      <w:r w:rsidR="00F32B28">
        <w:rPr>
          <w:rtl/>
        </w:rPr>
        <w:t xml:space="preserve"> </w:t>
      </w:r>
      <w:r w:rsidR="00F32B28" w:rsidRPr="00F32B28">
        <w:rPr>
          <w:rtl/>
        </w:rPr>
        <w:t>إلى</w:t>
      </w:r>
      <w:r w:rsidR="00F32B28">
        <w:rPr>
          <w:rtl/>
        </w:rPr>
        <w:t xml:space="preserve"> </w:t>
      </w:r>
      <w:r w:rsidR="00F32B28" w:rsidRPr="00F32B28">
        <w:rPr>
          <w:rtl/>
        </w:rPr>
        <w:t>تعزيز</w:t>
      </w:r>
      <w:r w:rsidR="00F32B28">
        <w:rPr>
          <w:rtl/>
        </w:rPr>
        <w:t xml:space="preserve"> </w:t>
      </w:r>
      <w:r w:rsidR="00F32B28" w:rsidRPr="00F32B28">
        <w:rPr>
          <w:rtl/>
        </w:rPr>
        <w:t>دور</w:t>
      </w:r>
      <w:r w:rsidR="00F32B28">
        <w:rPr>
          <w:rtl/>
        </w:rPr>
        <w:t xml:space="preserve"> </w:t>
      </w:r>
      <w:r w:rsidR="00F32B28" w:rsidRPr="00F32B28">
        <w:rPr>
          <w:rtl/>
        </w:rPr>
        <w:t>النيابة</w:t>
      </w:r>
      <w:r w:rsidR="00F32B28">
        <w:rPr>
          <w:rtl/>
        </w:rPr>
        <w:t xml:space="preserve"> </w:t>
      </w:r>
      <w:r w:rsidR="00F32B28" w:rsidRPr="00F32B28">
        <w:rPr>
          <w:rtl/>
        </w:rPr>
        <w:t>العامة</w:t>
      </w:r>
      <w:r w:rsidR="00F32B28">
        <w:rPr>
          <w:rtl/>
        </w:rPr>
        <w:t xml:space="preserve"> </w:t>
      </w:r>
      <w:r w:rsidR="00F32B28" w:rsidRPr="00F32B28">
        <w:rPr>
          <w:rtl/>
        </w:rPr>
        <w:t>في</w:t>
      </w:r>
      <w:r w:rsidR="00F32B28">
        <w:rPr>
          <w:rtl/>
        </w:rPr>
        <w:t xml:space="preserve"> </w:t>
      </w:r>
      <w:r w:rsidR="00F32B28" w:rsidRPr="00F32B28">
        <w:rPr>
          <w:rtl/>
        </w:rPr>
        <w:t>حماية</w:t>
      </w:r>
      <w:r w:rsidR="00F32B28">
        <w:rPr>
          <w:rtl/>
        </w:rPr>
        <w:t xml:space="preserve"> </w:t>
      </w:r>
      <w:r w:rsidR="00F32B28" w:rsidRPr="00F32B28">
        <w:rPr>
          <w:rtl/>
        </w:rPr>
        <w:t>النساء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وتحقيق</w:t>
      </w:r>
      <w:r w:rsidR="00F32B28">
        <w:rPr>
          <w:rtl/>
        </w:rPr>
        <w:t xml:space="preserve"> </w:t>
      </w:r>
      <w:r w:rsidR="00F32B28" w:rsidRPr="00F32B28">
        <w:rPr>
          <w:rtl/>
        </w:rPr>
        <w:t>الردع</w:t>
      </w:r>
      <w:r w:rsidR="00F32B28">
        <w:rPr>
          <w:rtl/>
        </w:rPr>
        <w:t xml:space="preserve"> </w:t>
      </w:r>
      <w:r w:rsidR="00F32B28" w:rsidRPr="00F32B28">
        <w:rPr>
          <w:rtl/>
        </w:rPr>
        <w:t>العام.</w:t>
      </w:r>
      <w:r w:rsidR="00F32B28">
        <w:rPr>
          <w:rtl/>
        </w:rPr>
        <w:t xml:space="preserve"> </w:t>
      </w:r>
      <w:r w:rsidR="00F32B28" w:rsidRPr="00F32B28">
        <w:rPr>
          <w:rtl/>
        </w:rPr>
        <w:t>وتترأس</w:t>
      </w:r>
      <w:r w:rsidR="00F32B28">
        <w:rPr>
          <w:rtl/>
        </w:rPr>
        <w:t xml:space="preserve"> </w:t>
      </w:r>
      <w:r w:rsidR="00F32B28" w:rsidRPr="00F32B28">
        <w:rPr>
          <w:rtl/>
        </w:rPr>
        <w:t>هذه</w:t>
      </w:r>
      <w:r w:rsidR="00F32B28">
        <w:rPr>
          <w:rtl/>
        </w:rPr>
        <w:t xml:space="preserve"> </w:t>
      </w:r>
      <w:r w:rsidR="00F32B28" w:rsidRPr="00F32B28">
        <w:rPr>
          <w:rtl/>
        </w:rPr>
        <w:t>النيابة</w:t>
      </w:r>
      <w:r w:rsidR="00F32B28">
        <w:rPr>
          <w:rtl/>
        </w:rPr>
        <w:t xml:space="preserve"> </w:t>
      </w:r>
      <w:r w:rsidR="00F32B28" w:rsidRPr="00F32B28">
        <w:rPr>
          <w:rtl/>
        </w:rPr>
        <w:t>امرأة</w:t>
      </w:r>
      <w:r w:rsidR="00F32B28">
        <w:rPr>
          <w:rtl/>
        </w:rPr>
        <w:t xml:space="preserve"> </w:t>
      </w:r>
      <w:r w:rsidR="00F32B28" w:rsidRPr="00F32B28">
        <w:rPr>
          <w:rtl/>
        </w:rPr>
        <w:t>(رئيسة</w:t>
      </w:r>
      <w:r w:rsidR="00F32B28">
        <w:rPr>
          <w:rtl/>
        </w:rPr>
        <w:t xml:space="preserve"> </w:t>
      </w:r>
      <w:r w:rsidR="00F32B28" w:rsidRPr="00F32B28">
        <w:rPr>
          <w:rtl/>
        </w:rPr>
        <w:t>نيابة)</w:t>
      </w:r>
      <w:r w:rsidR="00F32B28">
        <w:rPr>
          <w:rtl/>
        </w:rPr>
        <w:t xml:space="preserve"> </w:t>
      </w:r>
      <w:r w:rsidR="00F32B28" w:rsidRPr="00F32B28">
        <w:rPr>
          <w:rtl/>
        </w:rPr>
        <w:t>وقد</w:t>
      </w:r>
      <w:r w:rsidR="00F32B28">
        <w:rPr>
          <w:rtl/>
        </w:rPr>
        <w:t xml:space="preserve"> </w:t>
      </w:r>
      <w:r w:rsidR="00F32B28" w:rsidRPr="00F32B28">
        <w:rPr>
          <w:rtl/>
        </w:rPr>
        <w:t>تم</w:t>
      </w:r>
      <w:r w:rsidR="00F32B28">
        <w:rPr>
          <w:rtl/>
        </w:rPr>
        <w:t xml:space="preserve"> </w:t>
      </w:r>
      <w:r w:rsidR="00F32B28" w:rsidRPr="00F32B28">
        <w:rPr>
          <w:rtl/>
        </w:rPr>
        <w:t>تكليف</w:t>
      </w:r>
      <w:r w:rsidR="00F32B28">
        <w:rPr>
          <w:rtl/>
        </w:rPr>
        <w:t xml:space="preserve"> </w:t>
      </w:r>
      <w:r w:rsidR="00F32B28" w:rsidRPr="00F32B28">
        <w:rPr>
          <w:rtl/>
        </w:rPr>
        <w:t>(15)</w:t>
      </w:r>
      <w:r w:rsidR="00F32B28">
        <w:rPr>
          <w:rtl/>
        </w:rPr>
        <w:t xml:space="preserve"> </w:t>
      </w:r>
      <w:r w:rsidR="00F32B28" w:rsidRPr="00F32B28">
        <w:rPr>
          <w:rtl/>
        </w:rPr>
        <w:t>وكيل</w:t>
      </w:r>
      <w:r w:rsidR="00F32B28">
        <w:rPr>
          <w:rtl/>
        </w:rPr>
        <w:t xml:space="preserve"> </w:t>
      </w:r>
      <w:r w:rsidR="00F32B28" w:rsidRPr="00F32B28">
        <w:rPr>
          <w:rtl/>
        </w:rPr>
        <w:t>نيابة</w:t>
      </w:r>
      <w:r w:rsidR="00F32B28">
        <w:rPr>
          <w:rtl/>
        </w:rPr>
        <w:t xml:space="preserve"> </w:t>
      </w:r>
      <w:r w:rsidR="00F32B28" w:rsidRPr="00F32B28">
        <w:rPr>
          <w:rtl/>
        </w:rPr>
        <w:t>للعمل</w:t>
      </w:r>
      <w:r w:rsidR="00F32B28">
        <w:rPr>
          <w:rtl/>
        </w:rPr>
        <w:t xml:space="preserve"> </w:t>
      </w:r>
      <w:r w:rsidR="00F32B28" w:rsidRPr="00F32B28">
        <w:rPr>
          <w:rtl/>
        </w:rPr>
        <w:t>في</w:t>
      </w:r>
      <w:r w:rsidR="00F32B28">
        <w:rPr>
          <w:rtl/>
        </w:rPr>
        <w:t xml:space="preserve"> </w:t>
      </w:r>
      <w:r w:rsidR="00F32B28" w:rsidRPr="00F32B28">
        <w:rPr>
          <w:rtl/>
        </w:rPr>
        <w:t>نيابة</w:t>
      </w:r>
      <w:r w:rsidR="00F32B28">
        <w:rPr>
          <w:rtl/>
        </w:rPr>
        <w:t xml:space="preserve"> </w:t>
      </w:r>
      <w:r w:rsidR="00F32B28" w:rsidRPr="00F32B28">
        <w:rPr>
          <w:rtl/>
        </w:rPr>
        <w:t>حماية</w:t>
      </w:r>
      <w:r w:rsidR="00F32B28">
        <w:rPr>
          <w:rtl/>
        </w:rPr>
        <w:t xml:space="preserve"> </w:t>
      </w:r>
      <w:r w:rsidR="00F32B28" w:rsidRPr="00F32B28">
        <w:rPr>
          <w:rtl/>
        </w:rPr>
        <w:t>الأسرة</w:t>
      </w:r>
      <w:r w:rsidR="00F32B28">
        <w:rPr>
          <w:rtl/>
        </w:rPr>
        <w:t xml:space="preserve"> </w:t>
      </w:r>
      <w:r w:rsidR="00F32B28" w:rsidRPr="00F32B28">
        <w:rPr>
          <w:rtl/>
        </w:rPr>
        <w:t>من</w:t>
      </w:r>
      <w:r w:rsidR="00F32B28">
        <w:rPr>
          <w:rtl/>
        </w:rPr>
        <w:t xml:space="preserve"> </w:t>
      </w:r>
      <w:r w:rsidR="00F32B28" w:rsidRPr="00F32B28">
        <w:rPr>
          <w:rtl/>
        </w:rPr>
        <w:t>العنف</w:t>
      </w:r>
      <w:r w:rsidR="00F32B28">
        <w:rPr>
          <w:rtl/>
        </w:rPr>
        <w:t xml:space="preserve"> </w:t>
      </w:r>
      <w:r w:rsidR="00F32B28" w:rsidRPr="00F32B28">
        <w:rPr>
          <w:rtl/>
        </w:rPr>
        <w:t>في</w:t>
      </w:r>
      <w:r w:rsidR="00F32B28">
        <w:rPr>
          <w:rtl/>
        </w:rPr>
        <w:t xml:space="preserve"> </w:t>
      </w:r>
      <w:r w:rsidR="00F32B28" w:rsidRPr="00F32B28">
        <w:rPr>
          <w:rtl/>
        </w:rPr>
        <w:t>مختلف</w:t>
      </w:r>
      <w:r w:rsidR="00F32B28">
        <w:rPr>
          <w:rtl/>
        </w:rPr>
        <w:t xml:space="preserve"> </w:t>
      </w:r>
      <w:r w:rsidR="00F32B28" w:rsidRPr="00F32B28">
        <w:rPr>
          <w:rtl/>
        </w:rPr>
        <w:t>محافظات</w:t>
      </w:r>
      <w:r w:rsidR="00F32B28">
        <w:rPr>
          <w:rtl/>
        </w:rPr>
        <w:t xml:space="preserve"> </w:t>
      </w:r>
      <w:r w:rsidR="00F32B28" w:rsidRPr="00F32B28">
        <w:rPr>
          <w:rtl/>
        </w:rPr>
        <w:t>الشمالية</w:t>
      </w:r>
      <w:r w:rsidR="00F32B28">
        <w:rPr>
          <w:rtl/>
        </w:rPr>
        <w:t xml:space="preserve"> </w:t>
      </w:r>
      <w:r w:rsidR="00F32B28" w:rsidRPr="00F32B28">
        <w:rPr>
          <w:rtl/>
        </w:rPr>
        <w:t>للوطن.</w:t>
      </w:r>
      <w:r w:rsidR="00F32B28">
        <w:rPr>
          <w:rtl/>
        </w:rPr>
        <w:t xml:space="preserve"> </w:t>
      </w:r>
      <w:r w:rsidR="00F32B28" w:rsidRPr="00F32B28">
        <w:rPr>
          <w:rtl/>
        </w:rPr>
        <w:t>وتختص</w:t>
      </w:r>
      <w:r w:rsidR="00F32B28">
        <w:rPr>
          <w:rtl/>
        </w:rPr>
        <w:t xml:space="preserve"> </w:t>
      </w:r>
      <w:r w:rsidR="00F32B28" w:rsidRPr="00F32B28">
        <w:rPr>
          <w:rtl/>
        </w:rPr>
        <w:t>هذه</w:t>
      </w:r>
      <w:r w:rsidR="00F32B28">
        <w:rPr>
          <w:rtl/>
        </w:rPr>
        <w:t xml:space="preserve"> </w:t>
      </w:r>
      <w:r w:rsidR="00F32B28" w:rsidRPr="00F32B28">
        <w:rPr>
          <w:rtl/>
        </w:rPr>
        <w:t>النيابة</w:t>
      </w:r>
      <w:r w:rsidR="00F32B28">
        <w:rPr>
          <w:rtl/>
        </w:rPr>
        <w:t xml:space="preserve"> </w:t>
      </w:r>
      <w:r w:rsidR="00F32B28" w:rsidRPr="00F32B28">
        <w:rPr>
          <w:rtl/>
        </w:rPr>
        <w:t>بالتحقيق</w:t>
      </w:r>
      <w:r w:rsidR="00F32B28">
        <w:rPr>
          <w:rtl/>
        </w:rPr>
        <w:t xml:space="preserve"> </w:t>
      </w:r>
      <w:r w:rsidR="00F32B28" w:rsidRPr="00F32B28">
        <w:rPr>
          <w:rtl/>
        </w:rPr>
        <w:t>وملاحقة</w:t>
      </w:r>
      <w:r w:rsidR="00F32B28">
        <w:rPr>
          <w:rtl/>
        </w:rPr>
        <w:t xml:space="preserve"> </w:t>
      </w:r>
      <w:r w:rsidR="00F32B28" w:rsidRPr="00F32B28">
        <w:rPr>
          <w:rtl/>
        </w:rPr>
        <w:t>المتهمين</w:t>
      </w:r>
      <w:r w:rsidR="00F32B28">
        <w:rPr>
          <w:rtl/>
        </w:rPr>
        <w:t xml:space="preserve"> </w:t>
      </w:r>
      <w:r w:rsidR="00F32B28" w:rsidRPr="00F32B28">
        <w:rPr>
          <w:rtl/>
        </w:rPr>
        <w:t>والترافع</w:t>
      </w:r>
      <w:r w:rsidR="00F32B28">
        <w:rPr>
          <w:rtl/>
        </w:rPr>
        <w:t xml:space="preserve"> </w:t>
      </w:r>
      <w:r w:rsidR="00F32B28" w:rsidRPr="00F32B28">
        <w:rPr>
          <w:rtl/>
        </w:rPr>
        <w:t>والطعن</w:t>
      </w:r>
      <w:r w:rsidR="00F32B28">
        <w:rPr>
          <w:rtl/>
        </w:rPr>
        <w:t xml:space="preserve"> </w:t>
      </w:r>
      <w:r w:rsidR="00F32B28" w:rsidRPr="00F32B28">
        <w:rPr>
          <w:rtl/>
        </w:rPr>
        <w:t>ومتابعة</w:t>
      </w:r>
      <w:r w:rsidR="00F32B28">
        <w:rPr>
          <w:rtl/>
        </w:rPr>
        <w:t xml:space="preserve"> </w:t>
      </w:r>
      <w:r w:rsidR="00F32B28" w:rsidRPr="00F32B28">
        <w:rPr>
          <w:rtl/>
        </w:rPr>
        <w:t>تنفيذ</w:t>
      </w:r>
      <w:r w:rsidR="00F32B28">
        <w:rPr>
          <w:rtl/>
        </w:rPr>
        <w:t xml:space="preserve"> </w:t>
      </w:r>
      <w:r w:rsidR="00F32B28" w:rsidRPr="00F32B28">
        <w:rPr>
          <w:rtl/>
        </w:rPr>
        <w:t>الأحكام</w:t>
      </w:r>
      <w:r w:rsidR="00F32B28">
        <w:rPr>
          <w:rtl/>
        </w:rPr>
        <w:t xml:space="preserve"> </w:t>
      </w:r>
      <w:r w:rsidR="00F32B28" w:rsidRPr="00F32B28">
        <w:rPr>
          <w:rtl/>
        </w:rPr>
        <w:t>في</w:t>
      </w:r>
      <w:r w:rsidR="00F32B28">
        <w:rPr>
          <w:rtl/>
        </w:rPr>
        <w:t xml:space="preserve"> </w:t>
      </w:r>
      <w:r w:rsidR="00F32B28" w:rsidRPr="00F32B28">
        <w:rPr>
          <w:rtl/>
        </w:rPr>
        <w:t>الجرائم</w:t>
      </w:r>
      <w:r w:rsidR="00F32B28">
        <w:rPr>
          <w:rtl/>
        </w:rPr>
        <w:t xml:space="preserve"> </w:t>
      </w:r>
      <w:r w:rsidR="00F32B28" w:rsidRPr="00F32B28">
        <w:rPr>
          <w:rtl/>
        </w:rPr>
        <w:t>المرتكبة</w:t>
      </w:r>
      <w:r w:rsidR="00F32B28">
        <w:rPr>
          <w:rtl/>
        </w:rPr>
        <w:t xml:space="preserve"> </w:t>
      </w:r>
      <w:r w:rsidR="00F32B28" w:rsidRPr="00F32B28">
        <w:rPr>
          <w:rtl/>
        </w:rPr>
        <w:t>داخل</w:t>
      </w:r>
      <w:r w:rsidR="00F32B28">
        <w:rPr>
          <w:rtl/>
        </w:rPr>
        <w:t xml:space="preserve"> </w:t>
      </w:r>
      <w:r w:rsidR="00F32B28" w:rsidRPr="00F32B28">
        <w:rPr>
          <w:rtl/>
        </w:rPr>
        <w:t>نطاق</w:t>
      </w:r>
      <w:r w:rsidR="00F32B28">
        <w:rPr>
          <w:rtl/>
        </w:rPr>
        <w:t xml:space="preserve"> </w:t>
      </w:r>
      <w:r w:rsidR="00F32B28" w:rsidRPr="00F32B28">
        <w:rPr>
          <w:rtl/>
        </w:rPr>
        <w:t>الأسرة</w:t>
      </w:r>
      <w:r w:rsidR="00F32B28">
        <w:rPr>
          <w:rtl/>
        </w:rPr>
        <w:t xml:space="preserve"> </w:t>
      </w:r>
      <w:r w:rsidR="00F32B28" w:rsidRPr="00F32B28">
        <w:rPr>
          <w:rtl/>
        </w:rPr>
        <w:t>بمختلف</w:t>
      </w:r>
      <w:r w:rsidR="00F32B28">
        <w:rPr>
          <w:rtl/>
        </w:rPr>
        <w:t xml:space="preserve"> </w:t>
      </w:r>
      <w:r w:rsidR="00F32B28" w:rsidRPr="00F32B28">
        <w:rPr>
          <w:rtl/>
        </w:rPr>
        <w:t>أفرادها؛</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الجرائم</w:t>
      </w:r>
      <w:r w:rsidR="00F32B28">
        <w:rPr>
          <w:rtl/>
        </w:rPr>
        <w:t xml:space="preserve"> </w:t>
      </w:r>
      <w:r w:rsidR="00F32B28" w:rsidRPr="00F32B28">
        <w:rPr>
          <w:rtl/>
        </w:rPr>
        <w:t>المرتكبة</w:t>
      </w:r>
      <w:r w:rsidR="00F32B28">
        <w:rPr>
          <w:rtl/>
        </w:rPr>
        <w:t xml:space="preserve"> </w:t>
      </w:r>
      <w:r w:rsidR="00F32B28" w:rsidRPr="00F32B28">
        <w:rPr>
          <w:rtl/>
        </w:rPr>
        <w:t>ضد</w:t>
      </w:r>
      <w:r w:rsidR="00F32B28">
        <w:rPr>
          <w:rtl/>
        </w:rPr>
        <w:t xml:space="preserve"> </w:t>
      </w:r>
      <w:r w:rsidR="00F32B28" w:rsidRPr="00F32B28">
        <w:rPr>
          <w:rtl/>
        </w:rPr>
        <w:t>النساء</w:t>
      </w:r>
      <w:r w:rsidR="00F32B28">
        <w:rPr>
          <w:rtl/>
        </w:rPr>
        <w:t xml:space="preserve"> </w:t>
      </w:r>
      <w:r w:rsidR="00F32B28" w:rsidRPr="00F32B28">
        <w:rPr>
          <w:rtl/>
        </w:rPr>
        <w:t>والأطفال</w:t>
      </w:r>
      <w:r w:rsidR="00F32B28">
        <w:rPr>
          <w:rtl/>
        </w:rPr>
        <w:t xml:space="preserve"> </w:t>
      </w:r>
      <w:r w:rsidR="00F32B28" w:rsidRPr="00F32B28">
        <w:rPr>
          <w:rtl/>
        </w:rPr>
        <w:t>وكبار</w:t>
      </w:r>
      <w:r w:rsidR="00F32B28">
        <w:rPr>
          <w:rtl/>
        </w:rPr>
        <w:t xml:space="preserve"> </w:t>
      </w:r>
      <w:r w:rsidR="00F32B28" w:rsidRPr="00F32B28">
        <w:rPr>
          <w:rtl/>
        </w:rPr>
        <w:t>السن</w:t>
      </w:r>
      <w:r w:rsidR="00F32B28">
        <w:rPr>
          <w:rtl/>
        </w:rPr>
        <w:t xml:space="preserve"> </w:t>
      </w:r>
      <w:r w:rsidR="00F32B28" w:rsidRPr="00F32B28">
        <w:rPr>
          <w:rtl/>
        </w:rPr>
        <w:t>وذوي</w:t>
      </w:r>
      <w:r w:rsidR="00F32B28">
        <w:rPr>
          <w:rtl/>
        </w:rPr>
        <w:t xml:space="preserve"> </w:t>
      </w:r>
      <w:r w:rsidR="00F32B28" w:rsidRPr="00F32B28">
        <w:rPr>
          <w:rtl/>
        </w:rPr>
        <w:t>الإعاقة،</w:t>
      </w:r>
      <w:r w:rsidR="00F32B28">
        <w:rPr>
          <w:rtl/>
        </w:rPr>
        <w:t xml:space="preserve"> </w:t>
      </w:r>
      <w:r w:rsidR="00F32B28" w:rsidRPr="00F32B28">
        <w:rPr>
          <w:rtl/>
        </w:rPr>
        <w:t>والجرائم</w:t>
      </w:r>
      <w:r w:rsidR="00F32B28">
        <w:rPr>
          <w:rtl/>
        </w:rPr>
        <w:t xml:space="preserve"> </w:t>
      </w:r>
      <w:r w:rsidR="00F32B28" w:rsidRPr="00F32B28">
        <w:rPr>
          <w:rtl/>
        </w:rPr>
        <w:t>المرتكبة</w:t>
      </w:r>
      <w:r w:rsidR="00F32B28">
        <w:rPr>
          <w:rtl/>
        </w:rPr>
        <w:t xml:space="preserve"> </w:t>
      </w:r>
      <w:r w:rsidR="00F32B28" w:rsidRPr="00F32B28">
        <w:rPr>
          <w:rtl/>
        </w:rPr>
        <w:t>ضد</w:t>
      </w:r>
      <w:r w:rsidR="00F32B28">
        <w:rPr>
          <w:rtl/>
        </w:rPr>
        <w:t xml:space="preserve"> </w:t>
      </w:r>
      <w:r w:rsidR="00F32B28" w:rsidRPr="00F32B28">
        <w:rPr>
          <w:rtl/>
        </w:rPr>
        <w:t>النساء</w:t>
      </w:r>
      <w:r w:rsidR="00F32B28">
        <w:rPr>
          <w:rtl/>
        </w:rPr>
        <w:t xml:space="preserve"> </w:t>
      </w:r>
      <w:r w:rsidR="00F32B28" w:rsidRPr="00F32B28">
        <w:rPr>
          <w:rtl/>
        </w:rPr>
        <w:t>والأطفال</w:t>
      </w:r>
      <w:r w:rsidR="00F32B28">
        <w:rPr>
          <w:rtl/>
        </w:rPr>
        <w:t xml:space="preserve"> </w:t>
      </w:r>
      <w:r w:rsidR="00F32B28" w:rsidRPr="00F32B28">
        <w:rPr>
          <w:rtl/>
        </w:rPr>
        <w:t>خارج</w:t>
      </w:r>
      <w:r w:rsidR="00F32B28">
        <w:rPr>
          <w:rtl/>
        </w:rPr>
        <w:t xml:space="preserve"> </w:t>
      </w:r>
      <w:r w:rsidR="00F32B28" w:rsidRPr="00F32B28">
        <w:rPr>
          <w:rtl/>
        </w:rPr>
        <w:t>الأسرة،</w:t>
      </w:r>
      <w:r w:rsidR="00F32B28">
        <w:rPr>
          <w:rtl/>
        </w:rPr>
        <w:t xml:space="preserve"> </w:t>
      </w:r>
      <w:r w:rsidR="00F32B28" w:rsidRPr="00F32B28">
        <w:rPr>
          <w:rtl/>
        </w:rPr>
        <w:t>والجرائم</w:t>
      </w:r>
      <w:r w:rsidR="00F32B28">
        <w:rPr>
          <w:rtl/>
        </w:rPr>
        <w:t xml:space="preserve"> </w:t>
      </w:r>
      <w:r w:rsidR="00F32B28" w:rsidRPr="00F32B28">
        <w:rPr>
          <w:rtl/>
        </w:rPr>
        <w:t>الجنسية</w:t>
      </w:r>
      <w:r w:rsidR="00F32B28">
        <w:rPr>
          <w:rtl/>
        </w:rPr>
        <w:t xml:space="preserve"> </w:t>
      </w:r>
      <w:r w:rsidR="00F32B28" w:rsidRPr="00F32B28">
        <w:rPr>
          <w:rtl/>
        </w:rPr>
        <w:t>المرتكبة</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النساء،</w:t>
      </w:r>
      <w:r w:rsidR="00F32B28">
        <w:rPr>
          <w:rtl/>
        </w:rPr>
        <w:t xml:space="preserve"> </w:t>
      </w:r>
      <w:r w:rsidR="00F32B28" w:rsidRPr="00F32B28">
        <w:rPr>
          <w:rtl/>
        </w:rPr>
        <w:t>وجرائم</w:t>
      </w:r>
      <w:r w:rsidR="00F32B28">
        <w:rPr>
          <w:rtl/>
        </w:rPr>
        <w:t xml:space="preserve"> </w:t>
      </w:r>
      <w:r w:rsidR="00F32B28" w:rsidRPr="00F32B28">
        <w:rPr>
          <w:rtl/>
        </w:rPr>
        <w:t>تهديد</w:t>
      </w:r>
      <w:r w:rsidR="00F32B28">
        <w:rPr>
          <w:rtl/>
        </w:rPr>
        <w:t xml:space="preserve"> </w:t>
      </w:r>
      <w:r w:rsidR="00F32B28" w:rsidRPr="00F32B28">
        <w:rPr>
          <w:rtl/>
        </w:rPr>
        <w:t>النساء</w:t>
      </w:r>
      <w:r w:rsidR="00F32B28">
        <w:rPr>
          <w:rtl/>
        </w:rPr>
        <w:t xml:space="preserve"> </w:t>
      </w:r>
      <w:r w:rsidR="00F32B28" w:rsidRPr="00F32B28">
        <w:rPr>
          <w:rtl/>
        </w:rPr>
        <w:t>عبر</w:t>
      </w:r>
      <w:r w:rsidR="00F32B28">
        <w:rPr>
          <w:rtl/>
        </w:rPr>
        <w:t xml:space="preserve"> </w:t>
      </w:r>
      <w:r w:rsidR="00F32B28" w:rsidRPr="00F32B28">
        <w:rPr>
          <w:rtl/>
        </w:rPr>
        <w:t>وسائل</w:t>
      </w:r>
      <w:r w:rsidR="00F32B28">
        <w:rPr>
          <w:rtl/>
        </w:rPr>
        <w:t xml:space="preserve"> </w:t>
      </w:r>
      <w:r w:rsidR="00F32B28" w:rsidRPr="00F32B28">
        <w:rPr>
          <w:rtl/>
        </w:rPr>
        <w:t>الاتصالات</w:t>
      </w:r>
      <w:r w:rsidR="00F32B28">
        <w:rPr>
          <w:rtl/>
        </w:rPr>
        <w:t xml:space="preserve"> </w:t>
      </w:r>
      <w:r w:rsidR="00F32B28" w:rsidRPr="00F32B28">
        <w:rPr>
          <w:rtl/>
        </w:rPr>
        <w:t>السلكية</w:t>
      </w:r>
      <w:r w:rsidR="00F32B28">
        <w:rPr>
          <w:rtl/>
        </w:rPr>
        <w:t xml:space="preserve"> </w:t>
      </w:r>
      <w:r w:rsidR="00F32B28" w:rsidRPr="00F32B28">
        <w:rPr>
          <w:rtl/>
        </w:rPr>
        <w:t>واللاسلكية</w:t>
      </w:r>
      <w:r w:rsidR="00F32B28">
        <w:rPr>
          <w:rtl/>
        </w:rPr>
        <w:t xml:space="preserve"> </w:t>
      </w:r>
      <w:r w:rsidR="00F32B28" w:rsidRPr="00F32B28">
        <w:rPr>
          <w:rtl/>
        </w:rPr>
        <w:t>والإلكترونية.</w:t>
      </w:r>
      <w:r w:rsidR="0043161B">
        <w:rPr>
          <w:rFonts w:hint="cs"/>
          <w:rtl/>
        </w:rPr>
        <w:t xml:space="preserve"> </w:t>
      </w:r>
      <w:r w:rsidR="00F32B28" w:rsidRPr="00F32B28">
        <w:rPr>
          <w:rtl/>
        </w:rPr>
        <w:t>كما</w:t>
      </w:r>
      <w:r w:rsidR="00F32B28">
        <w:rPr>
          <w:rtl/>
        </w:rPr>
        <w:t xml:space="preserve"> </w:t>
      </w:r>
      <w:r w:rsidR="00F32B28" w:rsidRPr="00F32B28">
        <w:rPr>
          <w:rtl/>
        </w:rPr>
        <w:t>يتولى</w:t>
      </w:r>
      <w:r w:rsidR="00F32B28">
        <w:rPr>
          <w:rtl/>
        </w:rPr>
        <w:t xml:space="preserve"> </w:t>
      </w:r>
      <w:r w:rsidR="00F32B28" w:rsidRPr="00F32B28">
        <w:rPr>
          <w:rtl/>
        </w:rPr>
        <w:t>أعضاء</w:t>
      </w:r>
      <w:r w:rsidR="00F32B28">
        <w:rPr>
          <w:rtl/>
        </w:rPr>
        <w:t xml:space="preserve"> </w:t>
      </w:r>
      <w:r w:rsidR="00F32B28" w:rsidRPr="00F32B28">
        <w:rPr>
          <w:rtl/>
        </w:rPr>
        <w:t>هذه</w:t>
      </w:r>
      <w:r w:rsidR="00F32B28">
        <w:rPr>
          <w:rtl/>
        </w:rPr>
        <w:t xml:space="preserve"> </w:t>
      </w:r>
      <w:r w:rsidR="00F32B28" w:rsidRPr="00F32B28">
        <w:rPr>
          <w:rtl/>
        </w:rPr>
        <w:t>النيابة</w:t>
      </w:r>
      <w:r w:rsidR="00F32B28">
        <w:rPr>
          <w:rtl/>
        </w:rPr>
        <w:t xml:space="preserve"> </w:t>
      </w:r>
      <w:r w:rsidR="00F32B28" w:rsidRPr="00F32B28">
        <w:rPr>
          <w:rtl/>
        </w:rPr>
        <w:t>مهمة</w:t>
      </w:r>
      <w:r w:rsidR="00F32B28">
        <w:rPr>
          <w:rtl/>
        </w:rPr>
        <w:t xml:space="preserve"> </w:t>
      </w:r>
      <w:r w:rsidR="00F32B28" w:rsidRPr="00F32B28">
        <w:rPr>
          <w:rtl/>
        </w:rPr>
        <w:t>عقد</w:t>
      </w:r>
      <w:r w:rsidR="00F32B28">
        <w:rPr>
          <w:rtl/>
        </w:rPr>
        <w:t xml:space="preserve"> </w:t>
      </w:r>
      <w:r w:rsidR="00F32B28" w:rsidRPr="00F32B28">
        <w:rPr>
          <w:rtl/>
        </w:rPr>
        <w:t>زيارات</w:t>
      </w:r>
      <w:r w:rsidR="0043161B">
        <w:rPr>
          <w:rFonts w:hint="cs"/>
          <w:rtl/>
        </w:rPr>
        <w:t xml:space="preserve"> </w:t>
      </w:r>
      <w:r w:rsidR="00F32B28" w:rsidRPr="00F32B28">
        <w:rPr>
          <w:rtl/>
        </w:rPr>
        <w:t>دورية</w:t>
      </w:r>
      <w:r w:rsidR="00F32B28">
        <w:rPr>
          <w:rtl/>
        </w:rPr>
        <w:t xml:space="preserve"> </w:t>
      </w:r>
      <w:r w:rsidR="00F32B28" w:rsidRPr="00F32B28">
        <w:rPr>
          <w:rtl/>
        </w:rPr>
        <w:t>لمراكز</w:t>
      </w:r>
      <w:r w:rsidR="00F32B28">
        <w:rPr>
          <w:rtl/>
        </w:rPr>
        <w:t xml:space="preserve"> </w:t>
      </w:r>
      <w:r w:rsidR="00F32B28" w:rsidRPr="00F32B28">
        <w:rPr>
          <w:rtl/>
        </w:rPr>
        <w:t>التأهيل</w:t>
      </w:r>
      <w:r w:rsidR="00F32B28">
        <w:rPr>
          <w:rtl/>
        </w:rPr>
        <w:t xml:space="preserve"> </w:t>
      </w:r>
      <w:r w:rsidR="00F32B28" w:rsidRPr="00F32B28">
        <w:rPr>
          <w:rtl/>
        </w:rPr>
        <w:t>لفحص</w:t>
      </w:r>
      <w:r w:rsidR="00F32B28">
        <w:rPr>
          <w:rtl/>
        </w:rPr>
        <w:t xml:space="preserve"> </w:t>
      </w:r>
      <w:r w:rsidR="00F32B28" w:rsidRPr="00F32B28">
        <w:rPr>
          <w:rtl/>
        </w:rPr>
        <w:t>ظروف</w:t>
      </w:r>
      <w:r w:rsidR="00F32B28">
        <w:rPr>
          <w:rtl/>
        </w:rPr>
        <w:t xml:space="preserve"> </w:t>
      </w:r>
      <w:r w:rsidR="00F32B28" w:rsidRPr="00F32B28">
        <w:rPr>
          <w:rtl/>
        </w:rPr>
        <w:t>احتجاز</w:t>
      </w:r>
      <w:r w:rsidR="00F32B28">
        <w:rPr>
          <w:rtl/>
        </w:rPr>
        <w:t xml:space="preserve"> </w:t>
      </w:r>
      <w:r w:rsidR="00F32B28" w:rsidRPr="00F32B28">
        <w:rPr>
          <w:rtl/>
        </w:rPr>
        <w:t>النساء</w:t>
      </w:r>
      <w:r w:rsidR="008974F6">
        <w:rPr>
          <w:rFonts w:hint="cs"/>
          <w:rtl/>
        </w:rPr>
        <w:t> </w:t>
      </w:r>
      <w:r w:rsidR="00F32B28" w:rsidRPr="00F32B28">
        <w:rPr>
          <w:rtl/>
        </w:rPr>
        <w:t>السجينات.</w:t>
      </w:r>
    </w:p>
    <w:p w:rsidR="00F32B28" w:rsidRPr="00F32B28" w:rsidRDefault="00B73D93" w:rsidP="00B73D93">
      <w:pPr>
        <w:pStyle w:val="SingleTxt"/>
        <w:rPr>
          <w:rtl/>
        </w:rPr>
      </w:pPr>
      <w:r>
        <w:rPr>
          <w:rFonts w:hint="cs"/>
          <w:rtl/>
        </w:rPr>
        <w:tab/>
      </w:r>
      <w:r w:rsidR="00F32B28" w:rsidRPr="00F32B28">
        <w:rPr>
          <w:rtl/>
        </w:rPr>
        <w:t>ومع</w:t>
      </w:r>
      <w:r w:rsidR="00F32B28">
        <w:rPr>
          <w:rtl/>
        </w:rPr>
        <w:t xml:space="preserve"> </w:t>
      </w:r>
      <w:r w:rsidR="00F32B28" w:rsidRPr="00F32B28">
        <w:rPr>
          <w:rtl/>
        </w:rPr>
        <w:t>بداية</w:t>
      </w:r>
      <w:r w:rsidR="00F32B28">
        <w:rPr>
          <w:rtl/>
        </w:rPr>
        <w:t xml:space="preserve"> </w:t>
      </w:r>
      <w:r w:rsidR="00F32B28" w:rsidRPr="00F32B28">
        <w:rPr>
          <w:rtl/>
        </w:rPr>
        <w:t>عام</w:t>
      </w:r>
      <w:r w:rsidR="00F32B28">
        <w:rPr>
          <w:rtl/>
        </w:rPr>
        <w:t xml:space="preserve"> </w:t>
      </w:r>
      <w:r w:rsidR="00F32B28" w:rsidRPr="00F32B28">
        <w:rPr>
          <w:rtl/>
        </w:rPr>
        <w:t>2015،</w:t>
      </w:r>
      <w:r w:rsidR="00F32B28">
        <w:rPr>
          <w:rtl/>
        </w:rPr>
        <w:t xml:space="preserve"> </w:t>
      </w:r>
      <w:r w:rsidR="00F32B28" w:rsidRPr="00F32B28">
        <w:rPr>
          <w:rtl/>
        </w:rPr>
        <w:t>تم</w:t>
      </w:r>
      <w:r w:rsidR="00F32B28">
        <w:rPr>
          <w:rtl/>
        </w:rPr>
        <w:t xml:space="preserve"> </w:t>
      </w:r>
      <w:r w:rsidR="00F32B28" w:rsidRPr="00F32B28">
        <w:rPr>
          <w:rtl/>
        </w:rPr>
        <w:t>إعادة</w:t>
      </w:r>
      <w:r w:rsidR="00F32B28">
        <w:rPr>
          <w:rtl/>
        </w:rPr>
        <w:t xml:space="preserve"> </w:t>
      </w:r>
      <w:r w:rsidR="00F32B28" w:rsidRPr="00F32B28">
        <w:rPr>
          <w:rtl/>
        </w:rPr>
        <w:t>تفعيل</w:t>
      </w:r>
      <w:r w:rsidR="00F32B28">
        <w:rPr>
          <w:rtl/>
        </w:rPr>
        <w:t xml:space="preserve"> </w:t>
      </w:r>
      <w:r w:rsidR="00F32B28" w:rsidRPr="00F32B28">
        <w:rPr>
          <w:rtl/>
        </w:rPr>
        <w:t>العمل</w:t>
      </w:r>
      <w:r w:rsidR="00F32B28">
        <w:rPr>
          <w:rtl/>
        </w:rPr>
        <w:t xml:space="preserve"> </w:t>
      </w:r>
      <w:r w:rsidR="00F32B28" w:rsidRPr="00F32B28">
        <w:rPr>
          <w:rtl/>
        </w:rPr>
        <w:t>على</w:t>
      </w:r>
      <w:r w:rsidR="00F32B28">
        <w:rPr>
          <w:rtl/>
        </w:rPr>
        <w:t xml:space="preserve"> </w:t>
      </w:r>
      <w:r w:rsidR="00F32B28" w:rsidRPr="00F32B28">
        <w:rPr>
          <w:rtl/>
        </w:rPr>
        <w:t>المسودة</w:t>
      </w:r>
      <w:r w:rsidR="00F32B28">
        <w:rPr>
          <w:rtl/>
        </w:rPr>
        <w:t xml:space="preserve"> </w:t>
      </w:r>
      <w:r w:rsidR="00F32B28" w:rsidRPr="00F32B28">
        <w:rPr>
          <w:rtl/>
        </w:rPr>
        <w:t>الخاصة</w:t>
      </w:r>
      <w:r w:rsidR="00F32B28">
        <w:rPr>
          <w:rtl/>
        </w:rPr>
        <w:t xml:space="preserve"> </w:t>
      </w:r>
      <w:r w:rsidR="00F32B28" w:rsidRPr="00F32B28">
        <w:rPr>
          <w:rtl/>
        </w:rPr>
        <w:t>بمشروع</w:t>
      </w:r>
      <w:r w:rsidR="00F32B28">
        <w:rPr>
          <w:rtl/>
        </w:rPr>
        <w:t xml:space="preserve"> </w:t>
      </w:r>
      <w:r w:rsidR="00F32B28" w:rsidRPr="00F32B28">
        <w:rPr>
          <w:rtl/>
        </w:rPr>
        <w:t>قرار</w:t>
      </w:r>
      <w:r w:rsidR="00F32B28">
        <w:rPr>
          <w:rtl/>
        </w:rPr>
        <w:t xml:space="preserve"> </w:t>
      </w:r>
      <w:r w:rsidR="00F32B28" w:rsidRPr="00F32B28">
        <w:rPr>
          <w:rtl/>
        </w:rPr>
        <w:t>بقانون</w:t>
      </w:r>
      <w:r w:rsidR="00F32B28">
        <w:rPr>
          <w:rtl/>
        </w:rPr>
        <w:t xml:space="preserve"> </w:t>
      </w:r>
      <w:r w:rsidR="00F32B28" w:rsidRPr="00F32B28">
        <w:rPr>
          <w:rtl/>
        </w:rPr>
        <w:t>حماية</w:t>
      </w:r>
      <w:r w:rsidR="00F32B28">
        <w:rPr>
          <w:rtl/>
        </w:rPr>
        <w:t xml:space="preserve"> </w:t>
      </w:r>
      <w:r w:rsidR="00F32B28" w:rsidRPr="00F32B28">
        <w:rPr>
          <w:rtl/>
        </w:rPr>
        <w:t>الأسرة</w:t>
      </w:r>
      <w:r w:rsidR="00F32B28">
        <w:rPr>
          <w:rtl/>
        </w:rPr>
        <w:t xml:space="preserve"> </w:t>
      </w:r>
      <w:r w:rsidR="00F32B28" w:rsidRPr="00F32B28">
        <w:rPr>
          <w:rtl/>
        </w:rPr>
        <w:t>من</w:t>
      </w:r>
      <w:r w:rsidR="00F32B28">
        <w:rPr>
          <w:rtl/>
        </w:rPr>
        <w:t xml:space="preserve"> </w:t>
      </w:r>
      <w:r w:rsidR="00F32B28" w:rsidRPr="00F32B28">
        <w:rPr>
          <w:rtl/>
        </w:rPr>
        <w:t>العنف</w:t>
      </w:r>
      <w:r w:rsidR="00F32B28">
        <w:rPr>
          <w:rtl/>
        </w:rPr>
        <w:t xml:space="preserve"> </w:t>
      </w:r>
      <w:r w:rsidR="00F32B28" w:rsidRPr="00F32B28">
        <w:rPr>
          <w:rtl/>
        </w:rPr>
        <w:t>لسنة</w:t>
      </w:r>
      <w:r w:rsidR="00F32B28">
        <w:rPr>
          <w:rtl/>
        </w:rPr>
        <w:t xml:space="preserve"> </w:t>
      </w:r>
      <w:r w:rsidR="00F32B28" w:rsidRPr="00F32B28">
        <w:rPr>
          <w:rtl/>
        </w:rPr>
        <w:t>2015</w:t>
      </w:r>
      <w:r w:rsidR="00F32B28">
        <w:rPr>
          <w:rtl/>
        </w:rPr>
        <w:t xml:space="preserve"> </w:t>
      </w:r>
      <w:r w:rsidR="00F32B28" w:rsidRPr="00F32B28">
        <w:rPr>
          <w:rtl/>
        </w:rPr>
        <w:t>ومراجعة</w:t>
      </w:r>
      <w:r w:rsidR="00F32B28">
        <w:rPr>
          <w:rtl/>
        </w:rPr>
        <w:t xml:space="preserve"> </w:t>
      </w:r>
      <w:r w:rsidR="00F32B28" w:rsidRPr="00F32B28">
        <w:rPr>
          <w:rtl/>
        </w:rPr>
        <w:t>الأحكام</w:t>
      </w:r>
      <w:r w:rsidR="00F32B28">
        <w:rPr>
          <w:rtl/>
        </w:rPr>
        <w:t xml:space="preserve"> </w:t>
      </w:r>
      <w:r w:rsidR="00F32B28" w:rsidRPr="00F32B28">
        <w:rPr>
          <w:rtl/>
        </w:rPr>
        <w:t>الواردة</w:t>
      </w:r>
      <w:r w:rsidR="00F32B28">
        <w:rPr>
          <w:rtl/>
        </w:rPr>
        <w:t xml:space="preserve"> </w:t>
      </w:r>
      <w:r w:rsidR="00F32B28" w:rsidRPr="00F32B28">
        <w:rPr>
          <w:rtl/>
        </w:rPr>
        <w:t>فيه</w:t>
      </w:r>
      <w:r w:rsidR="00F32B28">
        <w:rPr>
          <w:rtl/>
        </w:rPr>
        <w:t xml:space="preserve"> </w:t>
      </w:r>
      <w:r w:rsidR="00F32B28" w:rsidRPr="00F32B28">
        <w:rPr>
          <w:rtl/>
        </w:rPr>
        <w:t>بالاستناد</w:t>
      </w:r>
      <w:r w:rsidR="00F32B28">
        <w:rPr>
          <w:rtl/>
        </w:rPr>
        <w:t xml:space="preserve"> </w:t>
      </w:r>
      <w:r w:rsidR="00F32B28" w:rsidRPr="00F32B28">
        <w:rPr>
          <w:rtl/>
        </w:rPr>
        <w:t>إلى</w:t>
      </w:r>
      <w:r w:rsidR="00F32B28">
        <w:rPr>
          <w:rtl/>
        </w:rPr>
        <w:t xml:space="preserve"> </w:t>
      </w:r>
      <w:r w:rsidR="00F32B28" w:rsidRPr="00F32B28">
        <w:rPr>
          <w:rtl/>
        </w:rPr>
        <w:t>المبادئ</w:t>
      </w:r>
      <w:r w:rsidR="00F32B28">
        <w:rPr>
          <w:rtl/>
        </w:rPr>
        <w:t xml:space="preserve"> </w:t>
      </w:r>
      <w:r w:rsidR="00F32B28" w:rsidRPr="00F32B28">
        <w:rPr>
          <w:rtl/>
        </w:rPr>
        <w:t>الدولية</w:t>
      </w:r>
      <w:r w:rsidR="00F32B28">
        <w:rPr>
          <w:rtl/>
        </w:rPr>
        <w:t xml:space="preserve"> </w:t>
      </w:r>
      <w:r w:rsidR="00F32B28" w:rsidRPr="00F32B28">
        <w:rPr>
          <w:rtl/>
        </w:rPr>
        <w:t>لحقوق</w:t>
      </w:r>
      <w:r w:rsidR="00F32B28">
        <w:rPr>
          <w:rtl/>
        </w:rPr>
        <w:t xml:space="preserve"> </w:t>
      </w:r>
      <w:r w:rsidR="00F32B28" w:rsidRPr="00F32B28">
        <w:rPr>
          <w:rtl/>
        </w:rPr>
        <w:t>المرأة،</w:t>
      </w:r>
      <w:r w:rsidR="00F32B28">
        <w:rPr>
          <w:rtl/>
        </w:rPr>
        <w:t xml:space="preserve"> </w:t>
      </w:r>
      <w:r w:rsidR="00F32B28" w:rsidRPr="00F32B28">
        <w:rPr>
          <w:rtl/>
        </w:rPr>
        <w:t>لا</w:t>
      </w:r>
      <w:r w:rsidR="00F32B28">
        <w:rPr>
          <w:rtl/>
        </w:rPr>
        <w:t xml:space="preserve"> </w:t>
      </w:r>
      <w:r w:rsidR="00F32B28" w:rsidRPr="00F32B28">
        <w:rPr>
          <w:rtl/>
        </w:rPr>
        <w:t>سيما</w:t>
      </w:r>
      <w:r w:rsidR="00F32B28">
        <w:rPr>
          <w:rtl/>
        </w:rPr>
        <w:t xml:space="preserve"> </w:t>
      </w:r>
      <w:r w:rsidR="00F32B28" w:rsidRPr="00F32B28">
        <w:rPr>
          <w:rtl/>
        </w:rPr>
        <w:t>تلك</w:t>
      </w:r>
      <w:r w:rsidR="00F32B28">
        <w:rPr>
          <w:rtl/>
        </w:rPr>
        <w:t xml:space="preserve"> </w:t>
      </w:r>
      <w:r w:rsidR="00F32B28" w:rsidRPr="00F32B28">
        <w:rPr>
          <w:rtl/>
        </w:rPr>
        <w:t>المتعلقة</w:t>
      </w:r>
      <w:r w:rsidR="00F32B28">
        <w:rPr>
          <w:rtl/>
        </w:rPr>
        <w:t xml:space="preserve"> </w:t>
      </w:r>
      <w:r w:rsidR="00F32B28" w:rsidRPr="00F32B28">
        <w:rPr>
          <w:rtl/>
        </w:rPr>
        <w:t>بحمايتها</w:t>
      </w:r>
      <w:r w:rsidR="00F32B28">
        <w:rPr>
          <w:rtl/>
        </w:rPr>
        <w:t xml:space="preserve"> </w:t>
      </w:r>
      <w:r w:rsidR="00F32B28" w:rsidRPr="00F32B28">
        <w:rPr>
          <w:rtl/>
        </w:rPr>
        <w:t>من</w:t>
      </w:r>
      <w:r w:rsidR="00F32B28">
        <w:rPr>
          <w:rtl/>
        </w:rPr>
        <w:t xml:space="preserve"> </w:t>
      </w:r>
      <w:r w:rsidR="00F32B28" w:rsidRPr="00F32B28">
        <w:rPr>
          <w:rtl/>
        </w:rPr>
        <w:t>العنف.</w:t>
      </w:r>
      <w:r w:rsidR="00F32B28">
        <w:rPr>
          <w:rtl/>
        </w:rPr>
        <w:t xml:space="preserve"> </w:t>
      </w:r>
      <w:r w:rsidR="00F32B28" w:rsidRPr="00F32B28">
        <w:rPr>
          <w:rtl/>
        </w:rPr>
        <w:t>ويعرف</w:t>
      </w:r>
      <w:r w:rsidR="00F32B28">
        <w:rPr>
          <w:rtl/>
        </w:rPr>
        <w:t xml:space="preserve"> </w:t>
      </w:r>
      <w:r w:rsidR="00F32B28" w:rsidRPr="00F32B28">
        <w:rPr>
          <w:rtl/>
        </w:rPr>
        <w:t>هذا</w:t>
      </w:r>
      <w:r w:rsidR="00F32B28">
        <w:rPr>
          <w:rtl/>
        </w:rPr>
        <w:t xml:space="preserve"> </w:t>
      </w:r>
      <w:r w:rsidR="00F32B28" w:rsidRPr="00F32B28">
        <w:rPr>
          <w:rtl/>
        </w:rPr>
        <w:t>المشروع</w:t>
      </w:r>
      <w:r w:rsidR="00F32B28">
        <w:rPr>
          <w:rtl/>
        </w:rPr>
        <w:t xml:space="preserve"> </w:t>
      </w:r>
      <w:r w:rsidR="00F32B28" w:rsidRPr="00F32B28">
        <w:rPr>
          <w:rtl/>
        </w:rPr>
        <w:t>العنف</w:t>
      </w:r>
      <w:r w:rsidR="00F32B28">
        <w:rPr>
          <w:rtl/>
        </w:rPr>
        <w:t xml:space="preserve"> </w:t>
      </w:r>
      <w:r w:rsidR="00F32B28" w:rsidRPr="00F32B28">
        <w:rPr>
          <w:rtl/>
        </w:rPr>
        <w:t>الممارس</w:t>
      </w:r>
      <w:r w:rsidR="00F32B28">
        <w:rPr>
          <w:rtl/>
        </w:rPr>
        <w:t xml:space="preserve"> </w:t>
      </w:r>
      <w:r w:rsidR="00F32B28" w:rsidRPr="00F32B28">
        <w:rPr>
          <w:rtl/>
        </w:rPr>
        <w:t>على</w:t>
      </w:r>
      <w:r w:rsidR="00F32B28">
        <w:rPr>
          <w:rtl/>
        </w:rPr>
        <w:t xml:space="preserve"> </w:t>
      </w:r>
      <w:r w:rsidR="00F32B28" w:rsidRPr="00F32B28">
        <w:rPr>
          <w:rtl/>
        </w:rPr>
        <w:t>الأسرة</w:t>
      </w:r>
      <w:r w:rsidR="00F32B28">
        <w:rPr>
          <w:rtl/>
        </w:rPr>
        <w:t xml:space="preserve"> </w:t>
      </w:r>
      <w:r w:rsidR="00F32B28" w:rsidRPr="00F32B28">
        <w:rPr>
          <w:rtl/>
        </w:rPr>
        <w:t>بأنه</w:t>
      </w:r>
      <w:r w:rsidR="00F32B28">
        <w:rPr>
          <w:rtl/>
        </w:rPr>
        <w:t xml:space="preserve"> </w:t>
      </w:r>
      <w:r w:rsidR="00F32B28" w:rsidRPr="00F32B28">
        <w:rPr>
          <w:rtl/>
        </w:rPr>
        <w:t>كل</w:t>
      </w:r>
      <w:r w:rsidR="00F32B28">
        <w:rPr>
          <w:rtl/>
        </w:rPr>
        <w:t xml:space="preserve"> </w:t>
      </w:r>
      <w:r w:rsidR="00F32B28" w:rsidRPr="00F32B28">
        <w:rPr>
          <w:rtl/>
        </w:rPr>
        <w:t>فعل</w:t>
      </w:r>
      <w:r w:rsidR="00F32B28">
        <w:rPr>
          <w:rtl/>
        </w:rPr>
        <w:t xml:space="preserve"> </w:t>
      </w:r>
      <w:r w:rsidR="00F32B28" w:rsidRPr="00F32B28">
        <w:rPr>
          <w:rtl/>
        </w:rPr>
        <w:t>ينشأ</w:t>
      </w:r>
      <w:r w:rsidR="00F32B28">
        <w:rPr>
          <w:rtl/>
        </w:rPr>
        <w:t xml:space="preserve"> </w:t>
      </w:r>
      <w:r w:rsidR="00F32B28" w:rsidRPr="00F32B28">
        <w:rPr>
          <w:rtl/>
        </w:rPr>
        <w:t>عنه</w:t>
      </w:r>
      <w:r w:rsidR="00F32B28">
        <w:rPr>
          <w:rtl/>
        </w:rPr>
        <w:t xml:space="preserve"> </w:t>
      </w:r>
      <w:r w:rsidR="00F32B28" w:rsidRPr="00F32B28">
        <w:rPr>
          <w:rtl/>
        </w:rPr>
        <w:t>أذى</w:t>
      </w:r>
      <w:r w:rsidR="00F32B28">
        <w:rPr>
          <w:rtl/>
        </w:rPr>
        <w:t xml:space="preserve"> </w:t>
      </w:r>
      <w:r w:rsidR="00F32B28" w:rsidRPr="00F32B28">
        <w:rPr>
          <w:rtl/>
        </w:rPr>
        <w:t>مادي</w:t>
      </w:r>
      <w:r w:rsidR="00F32B28">
        <w:rPr>
          <w:rtl/>
        </w:rPr>
        <w:t xml:space="preserve"> </w:t>
      </w:r>
      <w:r w:rsidR="00F32B28" w:rsidRPr="00F32B28">
        <w:rPr>
          <w:rtl/>
        </w:rPr>
        <w:t>أو</w:t>
      </w:r>
      <w:r w:rsidR="00F32B28">
        <w:rPr>
          <w:rtl/>
        </w:rPr>
        <w:t xml:space="preserve"> </w:t>
      </w:r>
      <w:r w:rsidR="00F32B28" w:rsidRPr="00F32B28">
        <w:rPr>
          <w:rtl/>
        </w:rPr>
        <w:t>نفسي،</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الإساءة</w:t>
      </w:r>
      <w:r w:rsidR="00F32B28">
        <w:rPr>
          <w:rtl/>
        </w:rPr>
        <w:t xml:space="preserve"> </w:t>
      </w:r>
      <w:r w:rsidR="00F32B28" w:rsidRPr="00F32B28">
        <w:rPr>
          <w:rtl/>
        </w:rPr>
        <w:t>الجنسية،</w:t>
      </w:r>
      <w:r w:rsidR="00F32B28">
        <w:rPr>
          <w:rtl/>
        </w:rPr>
        <w:t xml:space="preserve"> </w:t>
      </w:r>
      <w:r w:rsidR="00F32B28" w:rsidRPr="00F32B28">
        <w:rPr>
          <w:rtl/>
        </w:rPr>
        <w:t>أو</w:t>
      </w:r>
      <w:r w:rsidR="00F32B28">
        <w:rPr>
          <w:rtl/>
        </w:rPr>
        <w:t xml:space="preserve"> </w:t>
      </w:r>
      <w:r w:rsidR="00F32B28" w:rsidRPr="00F32B28">
        <w:rPr>
          <w:rtl/>
        </w:rPr>
        <w:t>الاستغلال</w:t>
      </w:r>
      <w:r w:rsidR="00F32B28">
        <w:rPr>
          <w:rtl/>
        </w:rPr>
        <w:t xml:space="preserve"> </w:t>
      </w:r>
      <w:r w:rsidR="00F32B28" w:rsidRPr="00F32B28">
        <w:rPr>
          <w:rtl/>
        </w:rPr>
        <w:t>الجنسي</w:t>
      </w:r>
      <w:r w:rsidR="00F32B28">
        <w:rPr>
          <w:rtl/>
        </w:rPr>
        <w:t xml:space="preserve"> </w:t>
      </w:r>
      <w:r w:rsidR="00F32B28" w:rsidRPr="00F32B28">
        <w:rPr>
          <w:rtl/>
        </w:rPr>
        <w:t>أو</w:t>
      </w:r>
      <w:r w:rsidR="00F32B28">
        <w:rPr>
          <w:rtl/>
        </w:rPr>
        <w:t xml:space="preserve"> </w:t>
      </w:r>
      <w:r w:rsidR="00F32B28" w:rsidRPr="00F32B28">
        <w:rPr>
          <w:rtl/>
        </w:rPr>
        <w:t>الاقتصادي</w:t>
      </w:r>
      <w:r w:rsidR="00F32B28">
        <w:rPr>
          <w:rtl/>
        </w:rPr>
        <w:t xml:space="preserve"> </w:t>
      </w:r>
      <w:r w:rsidR="00F32B28" w:rsidRPr="00F32B28">
        <w:rPr>
          <w:rtl/>
        </w:rPr>
        <w:t>أو</w:t>
      </w:r>
      <w:r w:rsidR="00F32B28">
        <w:rPr>
          <w:rtl/>
        </w:rPr>
        <w:t xml:space="preserve"> </w:t>
      </w:r>
      <w:r w:rsidR="00F32B28" w:rsidRPr="00F32B28">
        <w:rPr>
          <w:rtl/>
        </w:rPr>
        <w:t>السخرة،</w:t>
      </w:r>
      <w:r w:rsidR="00F32B28">
        <w:rPr>
          <w:rtl/>
        </w:rPr>
        <w:t xml:space="preserve"> </w:t>
      </w:r>
      <w:r w:rsidR="00F32B28" w:rsidRPr="00F32B28">
        <w:rPr>
          <w:rtl/>
        </w:rPr>
        <w:t>أو</w:t>
      </w:r>
      <w:r w:rsidR="00F32B28">
        <w:rPr>
          <w:rtl/>
        </w:rPr>
        <w:t xml:space="preserve"> </w:t>
      </w:r>
      <w:r w:rsidR="00F32B28" w:rsidRPr="00F32B28">
        <w:rPr>
          <w:rtl/>
        </w:rPr>
        <w:t>المنع</w:t>
      </w:r>
      <w:r w:rsidR="00F32B28">
        <w:rPr>
          <w:rtl/>
        </w:rPr>
        <w:t xml:space="preserve"> </w:t>
      </w:r>
      <w:r w:rsidR="00F32B28" w:rsidRPr="00F32B28">
        <w:rPr>
          <w:rtl/>
        </w:rPr>
        <w:t>من</w:t>
      </w:r>
      <w:r w:rsidR="00F32B28">
        <w:rPr>
          <w:rtl/>
        </w:rPr>
        <w:t xml:space="preserve"> </w:t>
      </w:r>
      <w:r w:rsidR="00F32B28" w:rsidRPr="00F32B28">
        <w:rPr>
          <w:rtl/>
        </w:rPr>
        <w:t>العمل،</w:t>
      </w:r>
      <w:r w:rsidR="00F32B28">
        <w:rPr>
          <w:rtl/>
        </w:rPr>
        <w:t xml:space="preserve"> </w:t>
      </w:r>
      <w:r w:rsidR="00F32B28" w:rsidRPr="00F32B28">
        <w:rPr>
          <w:rtl/>
        </w:rPr>
        <w:t>أو</w:t>
      </w:r>
      <w:r w:rsidR="00F32B28">
        <w:rPr>
          <w:rtl/>
        </w:rPr>
        <w:t xml:space="preserve"> </w:t>
      </w:r>
      <w:r w:rsidR="00F32B28" w:rsidRPr="00F32B28">
        <w:rPr>
          <w:rtl/>
        </w:rPr>
        <w:t>الإجبار</w:t>
      </w:r>
      <w:r w:rsidR="00F32B28">
        <w:rPr>
          <w:rtl/>
        </w:rPr>
        <w:t xml:space="preserve"> </w:t>
      </w:r>
      <w:r w:rsidR="00F32B28" w:rsidRPr="00F32B28">
        <w:rPr>
          <w:rtl/>
        </w:rPr>
        <w:t>عليه</w:t>
      </w:r>
      <w:r w:rsidR="00F32B28">
        <w:rPr>
          <w:rtl/>
        </w:rPr>
        <w:t xml:space="preserve"> </w:t>
      </w:r>
      <w:r w:rsidR="00F32B28" w:rsidRPr="00F32B28">
        <w:rPr>
          <w:rtl/>
        </w:rPr>
        <w:t>أو</w:t>
      </w:r>
      <w:r w:rsidR="00F32B28">
        <w:rPr>
          <w:rtl/>
        </w:rPr>
        <w:t xml:space="preserve"> </w:t>
      </w:r>
      <w:r w:rsidR="00F32B28" w:rsidRPr="00F32B28">
        <w:rPr>
          <w:rtl/>
        </w:rPr>
        <w:t>السيطرة</w:t>
      </w:r>
      <w:r w:rsidR="00F32B28">
        <w:rPr>
          <w:rtl/>
        </w:rPr>
        <w:t xml:space="preserve"> </w:t>
      </w:r>
      <w:r w:rsidR="00F32B28" w:rsidRPr="00F32B28">
        <w:rPr>
          <w:rtl/>
        </w:rPr>
        <w:t>على</w:t>
      </w:r>
      <w:r w:rsidR="00F32B28">
        <w:rPr>
          <w:rtl/>
        </w:rPr>
        <w:t xml:space="preserve"> </w:t>
      </w:r>
      <w:r w:rsidR="00F32B28" w:rsidRPr="00F32B28">
        <w:rPr>
          <w:rtl/>
        </w:rPr>
        <w:t>عوائده،</w:t>
      </w:r>
      <w:r w:rsidR="00F32B28">
        <w:rPr>
          <w:rtl/>
        </w:rPr>
        <w:t xml:space="preserve"> </w:t>
      </w:r>
      <w:r w:rsidR="00F32B28" w:rsidRPr="00F32B28">
        <w:rPr>
          <w:rtl/>
        </w:rPr>
        <w:t>أو</w:t>
      </w:r>
      <w:r w:rsidR="00F32B28">
        <w:rPr>
          <w:rtl/>
        </w:rPr>
        <w:t xml:space="preserve"> </w:t>
      </w:r>
      <w:r w:rsidR="00F32B28" w:rsidRPr="00F32B28">
        <w:rPr>
          <w:rtl/>
        </w:rPr>
        <w:t>السيطرة</w:t>
      </w:r>
      <w:r w:rsidR="00F32B28">
        <w:rPr>
          <w:rtl/>
        </w:rPr>
        <w:t xml:space="preserve"> </w:t>
      </w:r>
      <w:r w:rsidR="00F32B28" w:rsidRPr="00F32B28">
        <w:rPr>
          <w:rtl/>
        </w:rPr>
        <w:t>على</w:t>
      </w:r>
      <w:r w:rsidR="00F32B28">
        <w:rPr>
          <w:rtl/>
        </w:rPr>
        <w:t xml:space="preserve"> </w:t>
      </w:r>
      <w:r w:rsidR="00F32B28" w:rsidRPr="00F32B28">
        <w:rPr>
          <w:rtl/>
        </w:rPr>
        <w:t>الأملاك</w:t>
      </w:r>
      <w:r w:rsidR="00F32B28">
        <w:rPr>
          <w:rtl/>
        </w:rPr>
        <w:t xml:space="preserve"> </w:t>
      </w:r>
      <w:r w:rsidR="00F32B28" w:rsidRPr="00F32B28">
        <w:rPr>
          <w:rtl/>
        </w:rPr>
        <w:t>والحقوق</w:t>
      </w:r>
      <w:r w:rsidR="00F32B28">
        <w:rPr>
          <w:rtl/>
        </w:rPr>
        <w:t xml:space="preserve"> </w:t>
      </w:r>
      <w:r w:rsidR="00F32B28" w:rsidRPr="00F32B28">
        <w:rPr>
          <w:rtl/>
        </w:rPr>
        <w:t>الإرثية،</w:t>
      </w:r>
      <w:r w:rsidR="00F32B28">
        <w:rPr>
          <w:rtl/>
        </w:rPr>
        <w:t xml:space="preserve"> </w:t>
      </w:r>
      <w:r w:rsidR="00F32B28" w:rsidRPr="00F32B28">
        <w:rPr>
          <w:rtl/>
        </w:rPr>
        <w:t>أو</w:t>
      </w:r>
      <w:r w:rsidR="00F32B28">
        <w:rPr>
          <w:rtl/>
        </w:rPr>
        <w:t xml:space="preserve"> </w:t>
      </w:r>
      <w:r w:rsidR="00F32B28" w:rsidRPr="00F32B28">
        <w:rPr>
          <w:rtl/>
        </w:rPr>
        <w:t>التهديد</w:t>
      </w:r>
      <w:r w:rsidR="00F32B28">
        <w:rPr>
          <w:rtl/>
        </w:rPr>
        <w:t xml:space="preserve"> </w:t>
      </w:r>
      <w:r w:rsidR="00F32B28" w:rsidRPr="00F32B28">
        <w:rPr>
          <w:rtl/>
        </w:rPr>
        <w:t>بهذه</w:t>
      </w:r>
      <w:r w:rsidR="00F32B28">
        <w:rPr>
          <w:rtl/>
        </w:rPr>
        <w:t xml:space="preserve"> </w:t>
      </w:r>
      <w:r w:rsidR="00F32B28" w:rsidRPr="00F32B28">
        <w:rPr>
          <w:rtl/>
        </w:rPr>
        <w:t>الأفعال،</w:t>
      </w:r>
      <w:r w:rsidR="00F32B28">
        <w:rPr>
          <w:rtl/>
        </w:rPr>
        <w:t xml:space="preserve"> </w:t>
      </w:r>
      <w:r w:rsidR="00F32B28" w:rsidRPr="00F32B28">
        <w:rPr>
          <w:rtl/>
        </w:rPr>
        <w:t>سواء</w:t>
      </w:r>
      <w:r w:rsidR="00F32B28">
        <w:rPr>
          <w:rtl/>
        </w:rPr>
        <w:t xml:space="preserve"> </w:t>
      </w:r>
      <w:r w:rsidR="00F32B28" w:rsidRPr="00F32B28">
        <w:rPr>
          <w:rtl/>
        </w:rPr>
        <w:t>وقع</w:t>
      </w:r>
      <w:r w:rsidR="00F32B28">
        <w:rPr>
          <w:rtl/>
        </w:rPr>
        <w:t xml:space="preserve"> </w:t>
      </w:r>
      <w:r w:rsidR="00F32B28" w:rsidRPr="00F32B28">
        <w:rPr>
          <w:rtl/>
        </w:rPr>
        <w:t>الفعل</w:t>
      </w:r>
      <w:r w:rsidR="00F32B28">
        <w:rPr>
          <w:rtl/>
        </w:rPr>
        <w:t xml:space="preserve"> </w:t>
      </w:r>
      <w:r w:rsidR="00F32B28" w:rsidRPr="00F32B28">
        <w:rPr>
          <w:rtl/>
        </w:rPr>
        <w:t>أو</w:t>
      </w:r>
      <w:r w:rsidR="00F32B28">
        <w:rPr>
          <w:rtl/>
        </w:rPr>
        <w:t xml:space="preserve"> </w:t>
      </w:r>
      <w:r w:rsidR="00F32B28" w:rsidRPr="00F32B28">
        <w:rPr>
          <w:rtl/>
        </w:rPr>
        <w:t>التهديد</w:t>
      </w:r>
      <w:r w:rsidR="00F32B28">
        <w:rPr>
          <w:rtl/>
        </w:rPr>
        <w:t xml:space="preserve"> </w:t>
      </w:r>
      <w:r w:rsidR="00F32B28" w:rsidRPr="00F32B28">
        <w:rPr>
          <w:rtl/>
        </w:rPr>
        <w:t>به</w:t>
      </w:r>
      <w:r w:rsidR="00F32B28">
        <w:rPr>
          <w:rtl/>
        </w:rPr>
        <w:t xml:space="preserve"> </w:t>
      </w:r>
      <w:r w:rsidR="00F32B28" w:rsidRPr="00F32B28">
        <w:rPr>
          <w:rtl/>
        </w:rPr>
        <w:t>داخل</w:t>
      </w:r>
      <w:r w:rsidR="00F32B28">
        <w:rPr>
          <w:rtl/>
        </w:rPr>
        <w:t xml:space="preserve"> </w:t>
      </w:r>
      <w:r w:rsidR="00F32B28" w:rsidRPr="00F32B28">
        <w:rPr>
          <w:rtl/>
        </w:rPr>
        <w:t>الأسرة</w:t>
      </w:r>
      <w:r w:rsidR="00F32B28">
        <w:rPr>
          <w:rtl/>
        </w:rPr>
        <w:t xml:space="preserve"> </w:t>
      </w:r>
      <w:r w:rsidR="00F32B28" w:rsidRPr="00F32B28">
        <w:rPr>
          <w:rtl/>
        </w:rPr>
        <w:t>أو</w:t>
      </w:r>
      <w:r w:rsidR="00F32B28">
        <w:rPr>
          <w:rtl/>
        </w:rPr>
        <w:t xml:space="preserve"> </w:t>
      </w:r>
      <w:r w:rsidR="00F32B28" w:rsidRPr="00F32B28">
        <w:rPr>
          <w:rtl/>
        </w:rPr>
        <w:t>خارجها.</w:t>
      </w:r>
      <w:r w:rsidR="00F32B28">
        <w:rPr>
          <w:rtl/>
        </w:rPr>
        <w:t xml:space="preserve"> </w:t>
      </w:r>
      <w:r w:rsidR="00F32B28" w:rsidRPr="00F32B28">
        <w:rPr>
          <w:rtl/>
        </w:rPr>
        <w:t>ويقصد</w:t>
      </w:r>
      <w:r w:rsidR="00F32B28">
        <w:rPr>
          <w:rtl/>
        </w:rPr>
        <w:t xml:space="preserve"> </w:t>
      </w:r>
      <w:r w:rsidR="00F32B28" w:rsidRPr="00F32B28">
        <w:rPr>
          <w:rtl/>
        </w:rPr>
        <w:t>بالأسرة</w:t>
      </w:r>
      <w:r w:rsidR="00F32B28">
        <w:rPr>
          <w:rtl/>
        </w:rPr>
        <w:t xml:space="preserve"> </w:t>
      </w:r>
      <w:r w:rsidR="00F32B28" w:rsidRPr="00F32B28">
        <w:rPr>
          <w:rtl/>
        </w:rPr>
        <w:t>أفراد</w:t>
      </w:r>
      <w:r w:rsidR="00F32B28">
        <w:rPr>
          <w:rtl/>
        </w:rPr>
        <w:t xml:space="preserve"> </w:t>
      </w:r>
      <w:r w:rsidR="00F32B28" w:rsidRPr="00F32B28">
        <w:rPr>
          <w:rtl/>
        </w:rPr>
        <w:t>العائلة</w:t>
      </w:r>
      <w:r w:rsidR="00F32B28">
        <w:rPr>
          <w:rtl/>
        </w:rPr>
        <w:t xml:space="preserve"> </w:t>
      </w:r>
      <w:r w:rsidR="00F32B28" w:rsidRPr="00F32B28">
        <w:rPr>
          <w:rtl/>
        </w:rPr>
        <w:t>الذين</w:t>
      </w:r>
      <w:r w:rsidR="00F32B28">
        <w:rPr>
          <w:rtl/>
        </w:rPr>
        <w:t xml:space="preserve"> </w:t>
      </w:r>
      <w:r w:rsidR="00F32B28" w:rsidRPr="00F32B28">
        <w:rPr>
          <w:rtl/>
        </w:rPr>
        <w:t>تجمع</w:t>
      </w:r>
      <w:r w:rsidR="00F32B28">
        <w:rPr>
          <w:rtl/>
        </w:rPr>
        <w:t xml:space="preserve"> </w:t>
      </w:r>
      <w:r w:rsidR="00F32B28" w:rsidRPr="00F32B28">
        <w:rPr>
          <w:rtl/>
        </w:rPr>
        <w:t>بينهم</w:t>
      </w:r>
      <w:r w:rsidR="00F32B28">
        <w:rPr>
          <w:rtl/>
        </w:rPr>
        <w:t xml:space="preserve"> </w:t>
      </w:r>
      <w:r w:rsidR="00F32B28" w:rsidRPr="00F32B28">
        <w:rPr>
          <w:rtl/>
        </w:rPr>
        <w:t>رابطة</w:t>
      </w:r>
      <w:r w:rsidR="00F32B28">
        <w:rPr>
          <w:rtl/>
        </w:rPr>
        <w:t xml:space="preserve"> </w:t>
      </w:r>
      <w:r w:rsidR="00F32B28" w:rsidRPr="00F32B28">
        <w:rPr>
          <w:rtl/>
        </w:rPr>
        <w:t>الدم</w:t>
      </w:r>
      <w:r w:rsidR="00F32B28">
        <w:rPr>
          <w:rtl/>
        </w:rPr>
        <w:t xml:space="preserve"> </w:t>
      </w:r>
      <w:r w:rsidR="00F32B28" w:rsidRPr="00F32B28">
        <w:rPr>
          <w:rtl/>
        </w:rPr>
        <w:t>أو</w:t>
      </w:r>
      <w:r w:rsidR="00F32B28">
        <w:rPr>
          <w:rtl/>
        </w:rPr>
        <w:t xml:space="preserve"> </w:t>
      </w:r>
      <w:r w:rsidR="00F32B28" w:rsidRPr="00F32B28">
        <w:rPr>
          <w:rtl/>
        </w:rPr>
        <w:t>المصاهرة</w:t>
      </w:r>
      <w:r w:rsidR="00F32B28">
        <w:rPr>
          <w:rtl/>
        </w:rPr>
        <w:t xml:space="preserve"> </w:t>
      </w:r>
      <w:r w:rsidR="00F32B28" w:rsidRPr="00F32B28">
        <w:rPr>
          <w:rtl/>
        </w:rPr>
        <w:t>حتى</w:t>
      </w:r>
      <w:r w:rsidR="00F32B28">
        <w:rPr>
          <w:rtl/>
        </w:rPr>
        <w:t xml:space="preserve"> </w:t>
      </w:r>
      <w:r w:rsidR="00F32B28" w:rsidRPr="00F32B28">
        <w:rPr>
          <w:rtl/>
        </w:rPr>
        <w:t>الدرجة</w:t>
      </w:r>
      <w:r w:rsidR="00F32B28">
        <w:rPr>
          <w:rtl/>
        </w:rPr>
        <w:t xml:space="preserve"> </w:t>
      </w:r>
      <w:r w:rsidR="00F32B28" w:rsidRPr="00F32B28">
        <w:rPr>
          <w:rtl/>
        </w:rPr>
        <w:t>الرابعة،</w:t>
      </w:r>
      <w:r w:rsidR="00F32B28">
        <w:rPr>
          <w:rtl/>
        </w:rPr>
        <w:t xml:space="preserve"> </w:t>
      </w:r>
      <w:r w:rsidR="00F32B28" w:rsidRPr="00F32B28">
        <w:rPr>
          <w:rtl/>
        </w:rPr>
        <w:t>ومن</w:t>
      </w:r>
      <w:r w:rsidR="00F32B28">
        <w:rPr>
          <w:rtl/>
        </w:rPr>
        <w:t xml:space="preserve"> </w:t>
      </w:r>
      <w:r w:rsidR="00F32B28" w:rsidRPr="00F32B28">
        <w:rPr>
          <w:rtl/>
        </w:rPr>
        <w:t>في</w:t>
      </w:r>
      <w:r w:rsidR="00F32B28">
        <w:rPr>
          <w:rtl/>
        </w:rPr>
        <w:t xml:space="preserve"> </w:t>
      </w:r>
      <w:r w:rsidR="00F32B28" w:rsidRPr="00F32B28">
        <w:rPr>
          <w:rtl/>
        </w:rPr>
        <w:t>حكمهم،</w:t>
      </w:r>
      <w:r w:rsidR="00F32B28">
        <w:rPr>
          <w:rtl/>
        </w:rPr>
        <w:t xml:space="preserve"> </w:t>
      </w:r>
      <w:r w:rsidR="00F32B28" w:rsidRPr="00F32B28">
        <w:rPr>
          <w:rtl/>
        </w:rPr>
        <w:t>وكل</w:t>
      </w:r>
      <w:r w:rsidR="00F32B28">
        <w:rPr>
          <w:rtl/>
        </w:rPr>
        <w:t xml:space="preserve"> </w:t>
      </w:r>
      <w:r w:rsidR="00F32B28" w:rsidRPr="00F32B28">
        <w:rPr>
          <w:rtl/>
        </w:rPr>
        <w:t>من</w:t>
      </w:r>
      <w:r w:rsidR="00F32B28">
        <w:rPr>
          <w:rtl/>
        </w:rPr>
        <w:t xml:space="preserve"> </w:t>
      </w:r>
      <w:r w:rsidR="00F32B28" w:rsidRPr="00F32B28">
        <w:rPr>
          <w:rtl/>
        </w:rPr>
        <w:t>كانت</w:t>
      </w:r>
      <w:r w:rsidR="00F32B28">
        <w:rPr>
          <w:rtl/>
        </w:rPr>
        <w:t xml:space="preserve"> </w:t>
      </w:r>
      <w:r w:rsidR="00F32B28" w:rsidRPr="00F32B28">
        <w:rPr>
          <w:rtl/>
        </w:rPr>
        <w:t>تربطهم</w:t>
      </w:r>
      <w:r w:rsidR="00F32B28">
        <w:rPr>
          <w:rtl/>
        </w:rPr>
        <w:t xml:space="preserve"> </w:t>
      </w:r>
      <w:r w:rsidR="00F32B28" w:rsidRPr="00F32B28">
        <w:rPr>
          <w:rtl/>
        </w:rPr>
        <w:t>علاقة</w:t>
      </w:r>
      <w:r w:rsidR="00F32B28">
        <w:rPr>
          <w:rtl/>
        </w:rPr>
        <w:t xml:space="preserve"> </w:t>
      </w:r>
      <w:r w:rsidR="00F32B28" w:rsidRPr="00F32B28">
        <w:rPr>
          <w:rtl/>
        </w:rPr>
        <w:t>زوجية.</w:t>
      </w:r>
      <w:r w:rsidR="00F32B28">
        <w:rPr>
          <w:rtl/>
        </w:rPr>
        <w:t xml:space="preserve"> </w:t>
      </w:r>
      <w:r w:rsidR="00F32B28" w:rsidRPr="00F32B28">
        <w:rPr>
          <w:rtl/>
        </w:rPr>
        <w:t>ويفرد</w:t>
      </w:r>
      <w:r w:rsidR="00F32B28">
        <w:rPr>
          <w:rtl/>
        </w:rPr>
        <w:t xml:space="preserve"> </w:t>
      </w:r>
      <w:r w:rsidR="00F32B28" w:rsidRPr="00F32B28">
        <w:rPr>
          <w:rtl/>
        </w:rPr>
        <w:t>هذا</w:t>
      </w:r>
      <w:r w:rsidR="00F32B28">
        <w:rPr>
          <w:rtl/>
        </w:rPr>
        <w:t xml:space="preserve"> </w:t>
      </w:r>
      <w:r w:rsidR="00F32B28" w:rsidRPr="00F32B28">
        <w:rPr>
          <w:rtl/>
        </w:rPr>
        <w:t>المشروع</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آليات</w:t>
      </w:r>
      <w:r w:rsidR="00F32B28">
        <w:rPr>
          <w:rtl/>
        </w:rPr>
        <w:t xml:space="preserve"> </w:t>
      </w:r>
      <w:r w:rsidR="00F32B28" w:rsidRPr="00F32B28">
        <w:rPr>
          <w:rtl/>
        </w:rPr>
        <w:t>ضمان</w:t>
      </w:r>
      <w:r w:rsidR="00F32B28">
        <w:rPr>
          <w:rtl/>
        </w:rPr>
        <w:t xml:space="preserve"> </w:t>
      </w:r>
      <w:r w:rsidR="00F32B28" w:rsidRPr="00F32B28">
        <w:rPr>
          <w:rtl/>
        </w:rPr>
        <w:t>وصول</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لا</w:t>
      </w:r>
      <w:r w:rsidR="00F32B28">
        <w:rPr>
          <w:rtl/>
        </w:rPr>
        <w:t xml:space="preserve"> </w:t>
      </w:r>
      <w:r w:rsidR="00F32B28" w:rsidRPr="00F32B28">
        <w:rPr>
          <w:rtl/>
        </w:rPr>
        <w:t>سيما</w:t>
      </w:r>
      <w:r w:rsidR="00F32B28">
        <w:rPr>
          <w:rtl/>
        </w:rPr>
        <w:t xml:space="preserve"> </w:t>
      </w:r>
      <w:r w:rsidR="00F32B28" w:rsidRPr="00F32B28">
        <w:rPr>
          <w:rtl/>
        </w:rPr>
        <w:t>النساء،</w:t>
      </w:r>
      <w:r w:rsidR="00F32B28">
        <w:rPr>
          <w:rtl/>
        </w:rPr>
        <w:t xml:space="preserve"> </w:t>
      </w:r>
      <w:r w:rsidR="00F32B28" w:rsidRPr="00F32B28">
        <w:rPr>
          <w:rtl/>
        </w:rPr>
        <w:t>إلى</w:t>
      </w:r>
      <w:r w:rsidR="00F32B28">
        <w:rPr>
          <w:rtl/>
        </w:rPr>
        <w:t xml:space="preserve"> </w:t>
      </w:r>
      <w:r w:rsidR="00F32B28" w:rsidRPr="00F32B28">
        <w:rPr>
          <w:rtl/>
        </w:rPr>
        <w:t>سبل</w:t>
      </w:r>
      <w:r w:rsidR="00F32B28">
        <w:rPr>
          <w:rtl/>
        </w:rPr>
        <w:t xml:space="preserve"> </w:t>
      </w:r>
      <w:r w:rsidR="00F32B28" w:rsidRPr="00F32B28">
        <w:rPr>
          <w:rtl/>
        </w:rPr>
        <w:t>الانتصاف</w:t>
      </w:r>
      <w:r w:rsidR="00F32B28">
        <w:rPr>
          <w:rtl/>
        </w:rPr>
        <w:t xml:space="preserve"> </w:t>
      </w:r>
      <w:r w:rsidR="00F32B28" w:rsidRPr="00F32B28">
        <w:rPr>
          <w:rtl/>
        </w:rPr>
        <w:t>الفعالة،</w:t>
      </w:r>
      <w:r w:rsidR="00F32B28">
        <w:rPr>
          <w:rtl/>
        </w:rPr>
        <w:t xml:space="preserve"> </w:t>
      </w:r>
      <w:r w:rsidR="00F32B28" w:rsidRPr="00F32B28">
        <w:rPr>
          <w:rtl/>
        </w:rPr>
        <w:t>وأخرى</w:t>
      </w:r>
      <w:r w:rsidR="00F32B28">
        <w:rPr>
          <w:rtl/>
        </w:rPr>
        <w:t xml:space="preserve"> </w:t>
      </w:r>
      <w:r w:rsidR="00F32B28" w:rsidRPr="00F32B28">
        <w:rPr>
          <w:rtl/>
        </w:rPr>
        <w:t>للوقاية</w:t>
      </w:r>
      <w:r w:rsidR="00F32B28">
        <w:rPr>
          <w:rtl/>
        </w:rPr>
        <w:t xml:space="preserve"> </w:t>
      </w:r>
      <w:r w:rsidR="00F32B28" w:rsidRPr="00F32B28">
        <w:rPr>
          <w:rtl/>
        </w:rPr>
        <w:t>والحماية</w:t>
      </w:r>
      <w:r w:rsidR="00F32B28">
        <w:rPr>
          <w:rtl/>
        </w:rPr>
        <w:t xml:space="preserve"> </w:t>
      </w:r>
      <w:r w:rsidR="00F32B28" w:rsidRPr="00F32B28">
        <w:rPr>
          <w:rtl/>
        </w:rPr>
        <w:t>والتأهيل</w:t>
      </w:r>
      <w:r w:rsidR="00F32B28">
        <w:rPr>
          <w:rtl/>
        </w:rPr>
        <w:t xml:space="preserve"> </w:t>
      </w:r>
      <w:r w:rsidR="00F32B28" w:rsidRPr="00F32B28">
        <w:rPr>
          <w:rtl/>
        </w:rPr>
        <w:t>ومعاقبة</w:t>
      </w:r>
      <w:r w:rsidR="00F32B28">
        <w:rPr>
          <w:rtl/>
        </w:rPr>
        <w:t xml:space="preserve"> </w:t>
      </w:r>
      <w:r w:rsidR="00F32B28" w:rsidRPr="00F32B28">
        <w:rPr>
          <w:rtl/>
        </w:rPr>
        <w:t>الجناة</w:t>
      </w:r>
      <w:r w:rsidR="00F32B28">
        <w:rPr>
          <w:rtl/>
        </w:rPr>
        <w:t xml:space="preserve"> </w:t>
      </w:r>
      <w:r w:rsidR="00F32B28" w:rsidRPr="00F32B28">
        <w:rPr>
          <w:rtl/>
        </w:rPr>
        <w:t>وضمان</w:t>
      </w:r>
      <w:r w:rsidR="00F32B28">
        <w:rPr>
          <w:rtl/>
        </w:rPr>
        <w:t xml:space="preserve"> </w:t>
      </w:r>
      <w:r w:rsidR="00F32B28" w:rsidRPr="00F32B28">
        <w:rPr>
          <w:rtl/>
        </w:rPr>
        <w:t>عدم</w:t>
      </w:r>
      <w:r w:rsidR="00F32B28">
        <w:rPr>
          <w:rtl/>
        </w:rPr>
        <w:t xml:space="preserve"> </w:t>
      </w:r>
      <w:r w:rsidR="00F32B28" w:rsidRPr="00F32B28">
        <w:rPr>
          <w:rtl/>
        </w:rPr>
        <w:t>إفلاتهم</w:t>
      </w:r>
      <w:r w:rsidR="00F32B28">
        <w:rPr>
          <w:rtl/>
        </w:rPr>
        <w:t xml:space="preserve"> </w:t>
      </w:r>
      <w:r w:rsidR="00F32B28" w:rsidRPr="00F32B28">
        <w:rPr>
          <w:rtl/>
        </w:rPr>
        <w:t>من</w:t>
      </w:r>
      <w:r w:rsidR="00F32B28">
        <w:rPr>
          <w:rtl/>
        </w:rPr>
        <w:t xml:space="preserve"> </w:t>
      </w:r>
      <w:r w:rsidR="00F32B28" w:rsidRPr="00F32B28">
        <w:rPr>
          <w:rtl/>
        </w:rPr>
        <w:t>العقاب،</w:t>
      </w:r>
      <w:r w:rsidR="00F32B28">
        <w:rPr>
          <w:rtl/>
        </w:rPr>
        <w:t xml:space="preserve"> </w:t>
      </w:r>
      <w:r w:rsidR="00F32B28" w:rsidRPr="00F32B28">
        <w:rPr>
          <w:rtl/>
        </w:rPr>
        <w:t>منها:</w:t>
      </w:r>
    </w:p>
    <w:p w:rsidR="00F32B28" w:rsidRPr="00F32B28" w:rsidRDefault="00B73D93" w:rsidP="00B73D9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cs"/>
          <w:rtl/>
        </w:rPr>
        <w:tab/>
      </w:r>
      <w:r w:rsidR="00F32B28" w:rsidRPr="00F32B28">
        <w:rPr>
          <w:rtl/>
        </w:rPr>
        <w:t>تشكيل</w:t>
      </w:r>
      <w:r w:rsidR="00F32B28">
        <w:rPr>
          <w:rtl/>
        </w:rPr>
        <w:t xml:space="preserve"> </w:t>
      </w:r>
      <w:r w:rsidR="00F32B28" w:rsidRPr="00F32B28">
        <w:rPr>
          <w:rtl/>
        </w:rPr>
        <w:t>دوائر</w:t>
      </w:r>
      <w:r w:rsidR="00F32B28">
        <w:rPr>
          <w:rtl/>
        </w:rPr>
        <w:t xml:space="preserve"> </w:t>
      </w:r>
      <w:r w:rsidR="00F32B28" w:rsidRPr="00F32B28">
        <w:rPr>
          <w:rtl/>
        </w:rPr>
        <w:t>شرطية</w:t>
      </w:r>
      <w:r w:rsidR="00F32B28">
        <w:rPr>
          <w:rtl/>
        </w:rPr>
        <w:t xml:space="preserve"> </w:t>
      </w:r>
      <w:r w:rsidR="00F32B28" w:rsidRPr="00F32B28">
        <w:rPr>
          <w:rtl/>
        </w:rPr>
        <w:t>ودائرة</w:t>
      </w:r>
      <w:r w:rsidR="00F32B28">
        <w:rPr>
          <w:rtl/>
        </w:rPr>
        <w:t xml:space="preserve"> </w:t>
      </w:r>
      <w:r w:rsidR="00F32B28" w:rsidRPr="00F32B28">
        <w:rPr>
          <w:rtl/>
        </w:rPr>
        <w:t>نيابة</w:t>
      </w:r>
      <w:r w:rsidR="00F32B28">
        <w:rPr>
          <w:rtl/>
        </w:rPr>
        <w:t xml:space="preserve"> </w:t>
      </w:r>
      <w:r w:rsidR="00F32B28" w:rsidRPr="00F32B28">
        <w:rPr>
          <w:rtl/>
        </w:rPr>
        <w:t>عامة</w:t>
      </w:r>
      <w:r w:rsidR="00F32B28">
        <w:rPr>
          <w:rtl/>
        </w:rPr>
        <w:t xml:space="preserve"> </w:t>
      </w:r>
      <w:r w:rsidR="00F32B28" w:rsidRPr="00F32B28">
        <w:rPr>
          <w:rtl/>
        </w:rPr>
        <w:t>ومحكمة</w:t>
      </w:r>
      <w:r w:rsidR="00F32B28">
        <w:rPr>
          <w:rtl/>
        </w:rPr>
        <w:t xml:space="preserve"> </w:t>
      </w:r>
      <w:r w:rsidR="00F32B28" w:rsidRPr="00F32B28">
        <w:rPr>
          <w:rtl/>
        </w:rPr>
        <w:t>خاصة</w:t>
      </w:r>
      <w:r w:rsidR="00F32B28">
        <w:rPr>
          <w:rtl/>
        </w:rPr>
        <w:t xml:space="preserve"> </w:t>
      </w:r>
      <w:r w:rsidR="00F32B28" w:rsidRPr="00F32B28">
        <w:rPr>
          <w:rtl/>
        </w:rPr>
        <w:t>بقضايا</w:t>
      </w:r>
      <w:r w:rsidR="00F32B28">
        <w:rPr>
          <w:rtl/>
        </w:rPr>
        <w:t xml:space="preserve"> </w:t>
      </w:r>
      <w:r w:rsidR="00F32B28" w:rsidRPr="00F32B28">
        <w:rPr>
          <w:rtl/>
        </w:rPr>
        <w:t>العنف</w:t>
      </w:r>
      <w:r w:rsidR="00F32B28">
        <w:rPr>
          <w:rtl/>
        </w:rPr>
        <w:t xml:space="preserve"> </w:t>
      </w:r>
      <w:r w:rsidR="00F32B28" w:rsidRPr="00F32B28">
        <w:rPr>
          <w:rtl/>
        </w:rPr>
        <w:t>الأسري؛</w:t>
      </w:r>
      <w:r w:rsidR="00F32B28">
        <w:rPr>
          <w:rtl/>
        </w:rPr>
        <w:t xml:space="preserve"> </w:t>
      </w:r>
    </w:p>
    <w:p w:rsidR="00F32B28" w:rsidRPr="00F32B28" w:rsidRDefault="00B73D93" w:rsidP="00B73D9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lastRenderedPageBreak/>
        <w:tab/>
      </w:r>
      <w:r>
        <w:rPr>
          <w:rFonts w:hint="eastAsia"/>
          <w:rtl/>
        </w:rPr>
        <w:t>•</w:t>
      </w:r>
      <w:r>
        <w:rPr>
          <w:rFonts w:hint="cs"/>
          <w:rtl/>
        </w:rPr>
        <w:tab/>
      </w:r>
      <w:r w:rsidR="00F32B28" w:rsidRPr="00F32B28">
        <w:rPr>
          <w:rtl/>
        </w:rPr>
        <w:t>تجريم</w:t>
      </w:r>
      <w:r w:rsidR="00F32B28">
        <w:rPr>
          <w:rtl/>
        </w:rPr>
        <w:t xml:space="preserve"> </w:t>
      </w:r>
      <w:r w:rsidR="00F32B28" w:rsidRPr="00F32B28">
        <w:rPr>
          <w:rtl/>
        </w:rPr>
        <w:t>جميع</w:t>
      </w:r>
      <w:r w:rsidR="00F32B28">
        <w:rPr>
          <w:rtl/>
        </w:rPr>
        <w:t xml:space="preserve"> </w:t>
      </w:r>
      <w:r w:rsidR="00F32B28" w:rsidRPr="00F32B28">
        <w:rPr>
          <w:rtl/>
        </w:rPr>
        <w:t>أشكال</w:t>
      </w:r>
      <w:r w:rsidR="00F32B28">
        <w:rPr>
          <w:rtl/>
        </w:rPr>
        <w:t xml:space="preserve"> </w:t>
      </w:r>
      <w:r w:rsidR="00F32B28" w:rsidRPr="00F32B28">
        <w:rPr>
          <w:rtl/>
        </w:rPr>
        <w:t>العنف</w:t>
      </w:r>
      <w:r w:rsidR="00F32B28">
        <w:rPr>
          <w:rtl/>
        </w:rPr>
        <w:t xml:space="preserve"> </w:t>
      </w:r>
      <w:r w:rsidR="00F32B28" w:rsidRPr="00F32B28">
        <w:rPr>
          <w:rtl/>
        </w:rPr>
        <w:t>الأسري</w:t>
      </w:r>
      <w:r w:rsidR="00F32B28">
        <w:rPr>
          <w:rtl/>
        </w:rPr>
        <w:t xml:space="preserve"> </w:t>
      </w:r>
      <w:r w:rsidR="00F32B28" w:rsidRPr="00F32B28">
        <w:rPr>
          <w:rtl/>
        </w:rPr>
        <w:t>الواردة</w:t>
      </w:r>
      <w:r w:rsidR="00F32B28">
        <w:rPr>
          <w:rtl/>
        </w:rPr>
        <w:t xml:space="preserve"> </w:t>
      </w:r>
      <w:r w:rsidR="00F32B28" w:rsidRPr="00F32B28">
        <w:rPr>
          <w:rtl/>
        </w:rPr>
        <w:t>في</w:t>
      </w:r>
      <w:r w:rsidR="00F32B28">
        <w:rPr>
          <w:rtl/>
        </w:rPr>
        <w:t xml:space="preserve"> </w:t>
      </w:r>
      <w:r w:rsidR="00F32B28" w:rsidRPr="00F32B28">
        <w:rPr>
          <w:rtl/>
        </w:rPr>
        <w:t>التعريف،</w:t>
      </w:r>
      <w:r w:rsidR="00F32B28">
        <w:rPr>
          <w:rtl/>
        </w:rPr>
        <w:t xml:space="preserve"> </w:t>
      </w:r>
      <w:r w:rsidR="00F32B28" w:rsidRPr="00F32B28">
        <w:rPr>
          <w:rtl/>
        </w:rPr>
        <w:t>وبيان</w:t>
      </w:r>
      <w:r w:rsidR="00F32B28">
        <w:rPr>
          <w:rtl/>
        </w:rPr>
        <w:t xml:space="preserve"> </w:t>
      </w:r>
      <w:r w:rsidR="00F32B28" w:rsidRPr="00F32B28">
        <w:rPr>
          <w:rtl/>
        </w:rPr>
        <w:t>العقوبات</w:t>
      </w:r>
      <w:r w:rsidR="00F32B28">
        <w:rPr>
          <w:rtl/>
        </w:rPr>
        <w:t xml:space="preserve"> </w:t>
      </w:r>
      <w:r w:rsidR="00F32B28" w:rsidRPr="00F32B28">
        <w:rPr>
          <w:rtl/>
        </w:rPr>
        <w:t>المقررة</w:t>
      </w:r>
      <w:r w:rsidR="00F32B28">
        <w:rPr>
          <w:rtl/>
        </w:rPr>
        <w:t xml:space="preserve"> </w:t>
      </w:r>
      <w:r w:rsidR="00F32B28" w:rsidRPr="00F32B28">
        <w:rPr>
          <w:rtl/>
        </w:rPr>
        <w:t>لها</w:t>
      </w:r>
      <w:r w:rsidR="00F32B28">
        <w:rPr>
          <w:rtl/>
        </w:rPr>
        <w:t xml:space="preserve"> </w:t>
      </w:r>
      <w:r w:rsidR="00F32B28" w:rsidRPr="00F32B28">
        <w:rPr>
          <w:rtl/>
        </w:rPr>
        <w:t>وتشديدها؛</w:t>
      </w:r>
    </w:p>
    <w:p w:rsidR="00F32B28" w:rsidRPr="00F32B28" w:rsidRDefault="00B73D93" w:rsidP="00B73D9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إعفاء</w:t>
      </w:r>
      <w:r w:rsidR="00F32B28">
        <w:rPr>
          <w:rtl/>
        </w:rPr>
        <w:t xml:space="preserve"> </w:t>
      </w:r>
      <w:r w:rsidR="00F32B28" w:rsidRPr="00F32B28">
        <w:rPr>
          <w:rtl/>
        </w:rPr>
        <w:t>ضحايا</w:t>
      </w:r>
      <w:r w:rsidR="00F32B28">
        <w:rPr>
          <w:rtl/>
        </w:rPr>
        <w:t xml:space="preserve"> </w:t>
      </w:r>
      <w:r w:rsidR="00F32B28" w:rsidRPr="00F32B28">
        <w:rPr>
          <w:rtl/>
        </w:rPr>
        <w:t>جرائم</w:t>
      </w:r>
      <w:r w:rsidR="00F32B28">
        <w:rPr>
          <w:rtl/>
        </w:rPr>
        <w:t xml:space="preserve"> </w:t>
      </w:r>
      <w:r w:rsidR="00F32B28" w:rsidRPr="00F32B28">
        <w:rPr>
          <w:rtl/>
        </w:rPr>
        <w:t>العنف</w:t>
      </w:r>
      <w:r w:rsidR="00F32B28">
        <w:rPr>
          <w:rtl/>
        </w:rPr>
        <w:t xml:space="preserve"> </w:t>
      </w:r>
      <w:r w:rsidR="00F32B28" w:rsidRPr="00F32B28">
        <w:rPr>
          <w:rtl/>
        </w:rPr>
        <w:t>الأسري</w:t>
      </w:r>
      <w:r w:rsidR="00F32B28">
        <w:rPr>
          <w:rtl/>
        </w:rPr>
        <w:t xml:space="preserve"> </w:t>
      </w:r>
      <w:r w:rsidR="00F32B28" w:rsidRPr="00F32B28">
        <w:rPr>
          <w:rtl/>
        </w:rPr>
        <w:t>من</w:t>
      </w:r>
      <w:r w:rsidR="00F32B28">
        <w:rPr>
          <w:rtl/>
        </w:rPr>
        <w:t xml:space="preserve"> </w:t>
      </w:r>
      <w:r w:rsidR="00F32B28" w:rsidRPr="00F32B28">
        <w:rPr>
          <w:rtl/>
        </w:rPr>
        <w:t>كافة</w:t>
      </w:r>
      <w:r w:rsidR="00F32B28">
        <w:rPr>
          <w:rtl/>
        </w:rPr>
        <w:t xml:space="preserve"> </w:t>
      </w:r>
      <w:r w:rsidR="00F32B28" w:rsidRPr="00F32B28">
        <w:rPr>
          <w:rtl/>
        </w:rPr>
        <w:t>الرسوم</w:t>
      </w:r>
      <w:r w:rsidR="00F32B28">
        <w:rPr>
          <w:rtl/>
        </w:rPr>
        <w:t xml:space="preserve"> </w:t>
      </w:r>
      <w:r w:rsidR="00F32B28" w:rsidRPr="00F32B28">
        <w:rPr>
          <w:rtl/>
        </w:rPr>
        <w:t>القضائية</w:t>
      </w:r>
      <w:r w:rsidR="00F32B28">
        <w:rPr>
          <w:rtl/>
        </w:rPr>
        <w:t xml:space="preserve"> </w:t>
      </w:r>
      <w:r w:rsidR="00F32B28" w:rsidRPr="00F32B28">
        <w:rPr>
          <w:rtl/>
        </w:rPr>
        <w:t>وتكاليف</w:t>
      </w:r>
      <w:r w:rsidR="00F32B28">
        <w:rPr>
          <w:rtl/>
        </w:rPr>
        <w:t xml:space="preserve"> </w:t>
      </w:r>
      <w:r w:rsidR="00F32B28" w:rsidRPr="00F32B28">
        <w:rPr>
          <w:rtl/>
        </w:rPr>
        <w:t>الفحوصات</w:t>
      </w:r>
      <w:r w:rsidR="00F32B28">
        <w:rPr>
          <w:rtl/>
        </w:rPr>
        <w:t xml:space="preserve"> </w:t>
      </w:r>
      <w:r w:rsidR="00F32B28" w:rsidRPr="00F32B28">
        <w:rPr>
          <w:rtl/>
        </w:rPr>
        <w:t>الطبية؛</w:t>
      </w:r>
    </w:p>
    <w:p w:rsidR="00F32B28" w:rsidRPr="00F32B28" w:rsidRDefault="00B73D93" w:rsidP="00B73D9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منح</w:t>
      </w:r>
      <w:r w:rsidR="00F32B28">
        <w:rPr>
          <w:rtl/>
        </w:rPr>
        <w:t xml:space="preserve"> </w:t>
      </w:r>
      <w:r w:rsidR="00F32B28" w:rsidRPr="00F32B28">
        <w:rPr>
          <w:rtl/>
        </w:rPr>
        <w:t>أهلية</w:t>
      </w:r>
      <w:r w:rsidR="00F32B28">
        <w:rPr>
          <w:rtl/>
        </w:rPr>
        <w:t xml:space="preserve"> </w:t>
      </w:r>
      <w:r w:rsidR="00F32B28" w:rsidRPr="00F32B28">
        <w:rPr>
          <w:rtl/>
        </w:rPr>
        <w:t>تقديم</w:t>
      </w:r>
      <w:r w:rsidR="00F32B28">
        <w:rPr>
          <w:rtl/>
        </w:rPr>
        <w:t xml:space="preserve"> </w:t>
      </w:r>
      <w:r w:rsidR="00F32B28" w:rsidRPr="00F32B28">
        <w:rPr>
          <w:rtl/>
        </w:rPr>
        <w:t>الشكاوى</w:t>
      </w:r>
      <w:r w:rsidR="00F32B28">
        <w:rPr>
          <w:rtl/>
        </w:rPr>
        <w:t xml:space="preserve"> </w:t>
      </w:r>
      <w:r w:rsidR="00F32B28" w:rsidRPr="00F32B28">
        <w:rPr>
          <w:rtl/>
        </w:rPr>
        <w:t>المتعلقة</w:t>
      </w:r>
      <w:r w:rsidR="00F32B28">
        <w:rPr>
          <w:rtl/>
        </w:rPr>
        <w:t xml:space="preserve"> </w:t>
      </w:r>
      <w:r w:rsidR="00F32B28" w:rsidRPr="00F32B28">
        <w:rPr>
          <w:rtl/>
        </w:rPr>
        <w:t>بهذه</w:t>
      </w:r>
      <w:r w:rsidR="00F32B28">
        <w:rPr>
          <w:rtl/>
        </w:rPr>
        <w:t xml:space="preserve"> </w:t>
      </w:r>
      <w:r w:rsidR="00F32B28" w:rsidRPr="00F32B28">
        <w:rPr>
          <w:rtl/>
        </w:rPr>
        <w:t>الجرائم</w:t>
      </w:r>
      <w:r w:rsidR="00F32B28">
        <w:rPr>
          <w:rtl/>
        </w:rPr>
        <w:t xml:space="preserve"> </w:t>
      </w:r>
      <w:r w:rsidR="00F32B28" w:rsidRPr="00F32B28">
        <w:rPr>
          <w:rtl/>
        </w:rPr>
        <w:t>لأي</w:t>
      </w:r>
      <w:r w:rsidR="00F32B28">
        <w:rPr>
          <w:rtl/>
        </w:rPr>
        <w:t xml:space="preserve"> </w:t>
      </w:r>
      <w:r w:rsidR="00F32B28" w:rsidRPr="00F32B28">
        <w:rPr>
          <w:rtl/>
        </w:rPr>
        <w:t>شخص</w:t>
      </w:r>
      <w:r w:rsidR="00F32B28">
        <w:rPr>
          <w:rtl/>
        </w:rPr>
        <w:t xml:space="preserve"> </w:t>
      </w:r>
      <w:r w:rsidR="00F32B28" w:rsidRPr="00F32B28">
        <w:rPr>
          <w:rtl/>
        </w:rPr>
        <w:t>كان،</w:t>
      </w:r>
      <w:r w:rsidR="00F32B28">
        <w:rPr>
          <w:rtl/>
        </w:rPr>
        <w:t xml:space="preserve"> </w:t>
      </w:r>
      <w:r w:rsidR="00F32B28" w:rsidRPr="00F32B28">
        <w:rPr>
          <w:rtl/>
        </w:rPr>
        <w:t>وبغض</w:t>
      </w:r>
      <w:r w:rsidR="00F32B28">
        <w:rPr>
          <w:rtl/>
        </w:rPr>
        <w:t xml:space="preserve"> </w:t>
      </w:r>
      <w:r w:rsidR="00F32B28" w:rsidRPr="00F32B28">
        <w:rPr>
          <w:rtl/>
        </w:rPr>
        <w:t>النظر</w:t>
      </w:r>
      <w:r w:rsidR="00F32B28">
        <w:rPr>
          <w:rtl/>
        </w:rPr>
        <w:t xml:space="preserve"> </w:t>
      </w:r>
      <w:r w:rsidR="00F32B28" w:rsidRPr="00F32B28">
        <w:rPr>
          <w:rtl/>
        </w:rPr>
        <w:t>عن</w:t>
      </w:r>
      <w:r w:rsidR="00F32B28">
        <w:rPr>
          <w:rtl/>
        </w:rPr>
        <w:t xml:space="preserve"> </w:t>
      </w:r>
      <w:r w:rsidR="00F32B28" w:rsidRPr="00F32B28">
        <w:rPr>
          <w:rtl/>
        </w:rPr>
        <w:t>صلته</w:t>
      </w:r>
      <w:r w:rsidR="00F32B28">
        <w:rPr>
          <w:rtl/>
        </w:rPr>
        <w:t xml:space="preserve"> </w:t>
      </w:r>
      <w:r w:rsidR="00F32B28" w:rsidRPr="00F32B28">
        <w:rPr>
          <w:rtl/>
        </w:rPr>
        <w:t>بالضحية</w:t>
      </w:r>
      <w:r w:rsidR="00F32B28">
        <w:rPr>
          <w:rtl/>
        </w:rPr>
        <w:t xml:space="preserve"> </w:t>
      </w:r>
      <w:r w:rsidR="00F32B28" w:rsidRPr="00F32B28">
        <w:rPr>
          <w:rtl/>
        </w:rPr>
        <w:t>أو</w:t>
      </w:r>
      <w:r w:rsidR="00F32B28">
        <w:rPr>
          <w:rtl/>
        </w:rPr>
        <w:t xml:space="preserve"> </w:t>
      </w:r>
      <w:r w:rsidR="00F32B28" w:rsidRPr="00F32B28">
        <w:rPr>
          <w:rtl/>
        </w:rPr>
        <w:t>الأسرة؛</w:t>
      </w:r>
    </w:p>
    <w:p w:rsidR="00F32B28" w:rsidRPr="00F32B28" w:rsidRDefault="00B73D93" w:rsidP="00B73D9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عدم</w:t>
      </w:r>
      <w:r w:rsidR="00F32B28">
        <w:rPr>
          <w:rtl/>
        </w:rPr>
        <w:t xml:space="preserve"> </w:t>
      </w:r>
      <w:r w:rsidR="00F32B28" w:rsidRPr="00F32B28">
        <w:rPr>
          <w:rtl/>
        </w:rPr>
        <w:t>الاعتداد</w:t>
      </w:r>
      <w:r w:rsidR="00F32B28">
        <w:rPr>
          <w:rtl/>
        </w:rPr>
        <w:t xml:space="preserve"> </w:t>
      </w:r>
      <w:r w:rsidR="00F32B28" w:rsidRPr="00F32B28">
        <w:rPr>
          <w:rtl/>
        </w:rPr>
        <w:t>بإسقاط</w:t>
      </w:r>
      <w:r w:rsidR="00F32B28">
        <w:rPr>
          <w:rtl/>
        </w:rPr>
        <w:t xml:space="preserve"> </w:t>
      </w:r>
      <w:r w:rsidR="00F32B28" w:rsidRPr="00F32B28">
        <w:rPr>
          <w:rtl/>
        </w:rPr>
        <w:t>الحق</w:t>
      </w:r>
      <w:r w:rsidR="00F32B28">
        <w:rPr>
          <w:rtl/>
        </w:rPr>
        <w:t xml:space="preserve"> </w:t>
      </w:r>
      <w:r w:rsidR="00F32B28" w:rsidRPr="00F32B28">
        <w:rPr>
          <w:rtl/>
        </w:rPr>
        <w:t>الشخصي</w:t>
      </w:r>
      <w:r w:rsidR="00F32B28">
        <w:rPr>
          <w:rtl/>
        </w:rPr>
        <w:t xml:space="preserve"> </w:t>
      </w:r>
      <w:r w:rsidR="00F32B28" w:rsidRPr="00F32B28">
        <w:rPr>
          <w:rtl/>
        </w:rPr>
        <w:t>في</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الحالات؛</w:t>
      </w:r>
    </w:p>
    <w:p w:rsidR="00F32B28" w:rsidRPr="00F32B28" w:rsidRDefault="00B73D93" w:rsidP="00B73D9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منح</w:t>
      </w:r>
      <w:r w:rsidR="00F32B28">
        <w:rPr>
          <w:rtl/>
        </w:rPr>
        <w:t xml:space="preserve"> </w:t>
      </w:r>
      <w:r w:rsidR="00F32B28" w:rsidRPr="00F32B28">
        <w:rPr>
          <w:rtl/>
        </w:rPr>
        <w:t>صلاحية</w:t>
      </w:r>
      <w:r w:rsidR="00F32B28">
        <w:rPr>
          <w:rtl/>
        </w:rPr>
        <w:t xml:space="preserve"> </w:t>
      </w:r>
      <w:r w:rsidR="00F32B28" w:rsidRPr="00F32B28">
        <w:rPr>
          <w:rtl/>
        </w:rPr>
        <w:t>كل</w:t>
      </w:r>
      <w:r w:rsidR="00F32B28">
        <w:rPr>
          <w:rtl/>
        </w:rPr>
        <w:t xml:space="preserve"> </w:t>
      </w:r>
      <w:r w:rsidR="00F32B28" w:rsidRPr="00F32B28">
        <w:rPr>
          <w:rtl/>
        </w:rPr>
        <w:t>من</w:t>
      </w:r>
      <w:r w:rsidR="00F32B28">
        <w:rPr>
          <w:rtl/>
        </w:rPr>
        <w:t xml:space="preserve"> </w:t>
      </w:r>
      <w:r w:rsidR="00F32B28" w:rsidRPr="00F32B28">
        <w:rPr>
          <w:rtl/>
        </w:rPr>
        <w:t>مرشدو</w:t>
      </w:r>
      <w:r w:rsidR="00F32B28">
        <w:rPr>
          <w:rtl/>
        </w:rPr>
        <w:t xml:space="preserve"> </w:t>
      </w:r>
      <w:r w:rsidR="00F32B28" w:rsidRPr="00F32B28">
        <w:rPr>
          <w:rtl/>
        </w:rPr>
        <w:t>الحماية</w:t>
      </w:r>
      <w:r w:rsidR="00F32B28">
        <w:rPr>
          <w:rtl/>
        </w:rPr>
        <w:t xml:space="preserve"> </w:t>
      </w:r>
      <w:r w:rsidR="00F32B28" w:rsidRPr="00F32B28">
        <w:rPr>
          <w:rtl/>
        </w:rPr>
        <w:t>لدى</w:t>
      </w:r>
      <w:r w:rsidR="00F32B28">
        <w:rPr>
          <w:rtl/>
        </w:rPr>
        <w:t xml:space="preserve"> </w:t>
      </w:r>
      <w:r w:rsidR="00F32B28" w:rsidRPr="00F32B28">
        <w:rPr>
          <w:rtl/>
        </w:rPr>
        <w:t>وزارة</w:t>
      </w:r>
      <w:r w:rsidR="00F32B28">
        <w:rPr>
          <w:rtl/>
        </w:rPr>
        <w:t xml:space="preserve"> </w:t>
      </w:r>
      <w:r w:rsidR="00F32B28" w:rsidRPr="00F32B28">
        <w:rPr>
          <w:rtl/>
        </w:rPr>
        <w:t>التنمية</w:t>
      </w:r>
      <w:r w:rsidR="00F32B28">
        <w:rPr>
          <w:rtl/>
        </w:rPr>
        <w:t xml:space="preserve"> </w:t>
      </w:r>
      <w:r w:rsidR="00F32B28" w:rsidRPr="00F32B28">
        <w:rPr>
          <w:rtl/>
        </w:rPr>
        <w:t>الاجتماعية،</w:t>
      </w:r>
      <w:r w:rsidR="00F32B28">
        <w:rPr>
          <w:rtl/>
        </w:rPr>
        <w:t xml:space="preserve"> </w:t>
      </w:r>
      <w:r w:rsidR="00F32B28" w:rsidRPr="00F32B28">
        <w:rPr>
          <w:rtl/>
        </w:rPr>
        <w:t>دائرة</w:t>
      </w:r>
      <w:r w:rsidR="00F32B28">
        <w:rPr>
          <w:rtl/>
        </w:rPr>
        <w:t xml:space="preserve"> </w:t>
      </w:r>
      <w:r w:rsidR="00F32B28" w:rsidRPr="00F32B28">
        <w:rPr>
          <w:rtl/>
        </w:rPr>
        <w:t>حماية</w:t>
      </w:r>
      <w:r w:rsidR="00F32B28">
        <w:rPr>
          <w:rtl/>
        </w:rPr>
        <w:t xml:space="preserve"> </w:t>
      </w:r>
      <w:r w:rsidR="00F32B28" w:rsidRPr="00F32B28">
        <w:rPr>
          <w:rtl/>
        </w:rPr>
        <w:t>الأسرة</w:t>
      </w:r>
      <w:r w:rsidR="00F32B28">
        <w:rPr>
          <w:rtl/>
        </w:rPr>
        <w:t xml:space="preserve"> </w:t>
      </w:r>
      <w:r w:rsidR="00F32B28" w:rsidRPr="00F32B28">
        <w:rPr>
          <w:rtl/>
        </w:rPr>
        <w:t>الشرطية،</w:t>
      </w:r>
      <w:r w:rsidR="00F32B28">
        <w:rPr>
          <w:rtl/>
        </w:rPr>
        <w:t xml:space="preserve"> </w:t>
      </w:r>
      <w:r w:rsidR="00F32B28" w:rsidRPr="00F32B28">
        <w:rPr>
          <w:rtl/>
        </w:rPr>
        <w:t>ونيابة</w:t>
      </w:r>
      <w:r w:rsidR="00F32B28">
        <w:rPr>
          <w:rtl/>
        </w:rPr>
        <w:t xml:space="preserve"> </w:t>
      </w:r>
      <w:r w:rsidR="00F32B28" w:rsidRPr="00F32B28">
        <w:rPr>
          <w:rtl/>
        </w:rPr>
        <w:t>الأسرة</w:t>
      </w:r>
      <w:r w:rsidR="00F32B28">
        <w:rPr>
          <w:rtl/>
        </w:rPr>
        <w:t xml:space="preserve"> </w:t>
      </w:r>
      <w:r w:rsidR="00F32B28" w:rsidRPr="00F32B28">
        <w:rPr>
          <w:rtl/>
        </w:rPr>
        <w:t>من</w:t>
      </w:r>
      <w:r w:rsidR="00F32B28">
        <w:rPr>
          <w:rtl/>
        </w:rPr>
        <w:t xml:space="preserve"> </w:t>
      </w:r>
      <w:r w:rsidR="00F32B28" w:rsidRPr="00F32B28">
        <w:rPr>
          <w:rtl/>
        </w:rPr>
        <w:t>العنف</w:t>
      </w:r>
      <w:r w:rsidR="00F32B28">
        <w:rPr>
          <w:rtl/>
        </w:rPr>
        <w:t xml:space="preserve"> </w:t>
      </w:r>
      <w:r w:rsidR="00F32B28" w:rsidRPr="00F32B28">
        <w:rPr>
          <w:rtl/>
        </w:rPr>
        <w:t>والمحكمة</w:t>
      </w:r>
      <w:r w:rsidR="00F32B28">
        <w:rPr>
          <w:rtl/>
        </w:rPr>
        <w:t xml:space="preserve"> </w:t>
      </w:r>
      <w:r w:rsidR="00F32B28" w:rsidRPr="00F32B28">
        <w:rPr>
          <w:rtl/>
        </w:rPr>
        <w:t>المختصة</w:t>
      </w:r>
      <w:r w:rsidR="00F32B28">
        <w:rPr>
          <w:rtl/>
        </w:rPr>
        <w:t xml:space="preserve"> </w:t>
      </w:r>
      <w:r w:rsidR="00F32B28" w:rsidRPr="00F32B28">
        <w:rPr>
          <w:rtl/>
        </w:rPr>
        <w:t>في</w:t>
      </w:r>
      <w:r w:rsidR="00F32B28">
        <w:rPr>
          <w:rtl/>
        </w:rPr>
        <w:t xml:space="preserve"> </w:t>
      </w:r>
      <w:r w:rsidR="00F32B28" w:rsidRPr="00F32B28">
        <w:rPr>
          <w:rtl/>
        </w:rPr>
        <w:t>إصدار</w:t>
      </w:r>
      <w:r w:rsidR="00F32B28">
        <w:rPr>
          <w:rtl/>
        </w:rPr>
        <w:t xml:space="preserve"> </w:t>
      </w:r>
      <w:r w:rsidR="00F32B28" w:rsidRPr="00F32B28">
        <w:rPr>
          <w:rtl/>
        </w:rPr>
        <w:t>أوامر</w:t>
      </w:r>
      <w:r w:rsidR="00F32B28">
        <w:rPr>
          <w:rtl/>
        </w:rPr>
        <w:t xml:space="preserve"> </w:t>
      </w:r>
      <w:r w:rsidR="00F32B28" w:rsidRPr="00F32B28">
        <w:rPr>
          <w:rtl/>
        </w:rPr>
        <w:t>الحماية</w:t>
      </w:r>
      <w:r w:rsidR="00F32B28">
        <w:rPr>
          <w:rtl/>
        </w:rPr>
        <w:t xml:space="preserve"> </w:t>
      </w:r>
      <w:r w:rsidR="00F32B28" w:rsidRPr="00F32B28">
        <w:rPr>
          <w:rtl/>
        </w:rPr>
        <w:t>والإبعاد</w:t>
      </w:r>
      <w:r w:rsidR="00F32B28">
        <w:rPr>
          <w:rtl/>
        </w:rPr>
        <w:t xml:space="preserve"> </w:t>
      </w:r>
      <w:r w:rsidR="00F32B28" w:rsidRPr="00F32B28">
        <w:rPr>
          <w:rtl/>
        </w:rPr>
        <w:t>ولو</w:t>
      </w:r>
      <w:r w:rsidR="00F32B28">
        <w:rPr>
          <w:rtl/>
        </w:rPr>
        <w:t xml:space="preserve"> </w:t>
      </w:r>
      <w:r w:rsidR="00F32B28" w:rsidRPr="00F32B28">
        <w:rPr>
          <w:rtl/>
        </w:rPr>
        <w:t>من</w:t>
      </w:r>
      <w:r w:rsidR="00F32B28">
        <w:rPr>
          <w:rtl/>
        </w:rPr>
        <w:t xml:space="preserve"> </w:t>
      </w:r>
      <w:r w:rsidR="00F32B28" w:rsidRPr="00F32B28">
        <w:rPr>
          <w:rtl/>
        </w:rPr>
        <w:t>تلقاء</w:t>
      </w:r>
      <w:r w:rsidR="00F32B28">
        <w:rPr>
          <w:rtl/>
        </w:rPr>
        <w:t xml:space="preserve"> </w:t>
      </w:r>
      <w:r w:rsidR="00F32B28" w:rsidRPr="00F32B28">
        <w:rPr>
          <w:rtl/>
        </w:rPr>
        <w:t>نفسها،</w:t>
      </w:r>
      <w:r w:rsidR="00F32B28">
        <w:rPr>
          <w:rtl/>
        </w:rPr>
        <w:t xml:space="preserve"> </w:t>
      </w:r>
      <w:r w:rsidR="00F32B28" w:rsidRPr="00F32B28">
        <w:rPr>
          <w:rtl/>
        </w:rPr>
        <w:t>أو</w:t>
      </w:r>
      <w:r w:rsidR="00F32B28">
        <w:rPr>
          <w:rtl/>
        </w:rPr>
        <w:t xml:space="preserve"> </w:t>
      </w:r>
      <w:r w:rsidR="00F32B28" w:rsidRPr="00F32B28">
        <w:rPr>
          <w:rtl/>
        </w:rPr>
        <w:t>بطلب</w:t>
      </w:r>
      <w:r w:rsidR="00F32B28">
        <w:rPr>
          <w:rtl/>
        </w:rPr>
        <w:t xml:space="preserve"> </w:t>
      </w:r>
      <w:r w:rsidR="00F32B28" w:rsidRPr="00F32B28">
        <w:rPr>
          <w:rtl/>
        </w:rPr>
        <w:t>من</w:t>
      </w:r>
      <w:r w:rsidR="00F32B28">
        <w:rPr>
          <w:rtl/>
        </w:rPr>
        <w:t xml:space="preserve"> </w:t>
      </w:r>
      <w:r w:rsidR="00F32B28" w:rsidRPr="00F32B28">
        <w:rPr>
          <w:rtl/>
        </w:rPr>
        <w:t>الضحية.</w:t>
      </w:r>
      <w:r w:rsidR="00F32B28">
        <w:rPr>
          <w:rtl/>
        </w:rPr>
        <w:t xml:space="preserve"> </w:t>
      </w:r>
    </w:p>
    <w:p w:rsidR="00F32B28" w:rsidRPr="00F32B28" w:rsidRDefault="00B80192" w:rsidP="00B73D93">
      <w:pPr>
        <w:pStyle w:val="SingleTxt"/>
      </w:pPr>
      <w:r>
        <w:rPr>
          <w:rFonts w:hint="cs"/>
          <w:rtl/>
        </w:rPr>
        <w:t>96 -</w:t>
      </w:r>
      <w:r>
        <w:rPr>
          <w:rFonts w:hint="cs"/>
          <w:rtl/>
        </w:rPr>
        <w:tab/>
      </w:r>
      <w:r w:rsidR="00F32B28" w:rsidRPr="00F32B28">
        <w:rPr>
          <w:rtl/>
        </w:rPr>
        <w:t>كما</w:t>
      </w:r>
      <w:r w:rsidR="00F32B28">
        <w:rPr>
          <w:rtl/>
        </w:rPr>
        <w:t xml:space="preserve"> </w:t>
      </w:r>
      <w:r w:rsidR="00F32B28" w:rsidRPr="00F32B28">
        <w:rPr>
          <w:rFonts w:hint="cs"/>
          <w:rtl/>
        </w:rPr>
        <w:t>أنشئ</w:t>
      </w:r>
      <w:r w:rsidR="00F32B28">
        <w:rPr>
          <w:rtl/>
        </w:rPr>
        <w:t xml:space="preserve"> </w:t>
      </w:r>
      <w:r w:rsidR="00F32B28" w:rsidRPr="00F32B28">
        <w:rPr>
          <w:rtl/>
        </w:rPr>
        <w:t>نظام</w:t>
      </w:r>
      <w:r w:rsidR="00F32B28">
        <w:rPr>
          <w:rtl/>
        </w:rPr>
        <w:t xml:space="preserve"> </w:t>
      </w:r>
      <w:r w:rsidR="00F32B28" w:rsidRPr="00F32B28">
        <w:rPr>
          <w:rtl/>
        </w:rPr>
        <w:t>التحويل</w:t>
      </w:r>
      <w:r w:rsidR="00F32B28">
        <w:rPr>
          <w:rtl/>
        </w:rPr>
        <w:t xml:space="preserve"> </w:t>
      </w:r>
      <w:r w:rsidR="00F32B28" w:rsidRPr="00F32B28">
        <w:rPr>
          <w:rtl/>
        </w:rPr>
        <w:t>الوطني</w:t>
      </w:r>
      <w:r w:rsidR="00F32B28">
        <w:rPr>
          <w:rtl/>
        </w:rPr>
        <w:t xml:space="preserve"> </w:t>
      </w:r>
      <w:r w:rsidR="00F32B28" w:rsidRPr="00F32B28">
        <w:rPr>
          <w:rtl/>
        </w:rPr>
        <w:t>للنساء</w:t>
      </w:r>
      <w:r w:rsidR="00F32B28">
        <w:rPr>
          <w:rtl/>
        </w:rPr>
        <w:t xml:space="preserve"> </w:t>
      </w:r>
      <w:r w:rsidR="00F32B28" w:rsidRPr="00F32B28">
        <w:rPr>
          <w:rtl/>
        </w:rPr>
        <w:t>المعنفات</w:t>
      </w:r>
      <w:r w:rsidR="00F32B28">
        <w:rPr>
          <w:rtl/>
        </w:rPr>
        <w:t xml:space="preserve"> </w:t>
      </w:r>
      <w:r w:rsidR="00F32B28" w:rsidRPr="00F32B28">
        <w:rPr>
          <w:rtl/>
        </w:rPr>
        <w:t>(تكامل)</w:t>
      </w:r>
      <w:r w:rsidR="00F32B28">
        <w:rPr>
          <w:rtl/>
        </w:rPr>
        <w:t xml:space="preserve"> </w:t>
      </w:r>
      <w:r w:rsidR="00F32B28" w:rsidRPr="00F32B28">
        <w:rPr>
          <w:rtl/>
        </w:rPr>
        <w:t>شبكة</w:t>
      </w:r>
      <w:r w:rsidR="00F32B28">
        <w:rPr>
          <w:rtl/>
        </w:rPr>
        <w:t xml:space="preserve"> </w:t>
      </w:r>
      <w:r w:rsidR="00F32B28" w:rsidRPr="00F32B28">
        <w:rPr>
          <w:rtl/>
        </w:rPr>
        <w:t>فعالة</w:t>
      </w:r>
      <w:r w:rsidR="00F32B28">
        <w:rPr>
          <w:rtl/>
        </w:rPr>
        <w:t xml:space="preserve"> </w:t>
      </w:r>
      <w:r w:rsidR="00F32B28" w:rsidRPr="00F32B28">
        <w:rPr>
          <w:rtl/>
        </w:rPr>
        <w:t>متعددة</w:t>
      </w:r>
      <w:r w:rsidR="00F32B28">
        <w:rPr>
          <w:rtl/>
        </w:rPr>
        <w:t xml:space="preserve"> </w:t>
      </w:r>
      <w:r w:rsidR="00F32B28" w:rsidRPr="00F32B28">
        <w:rPr>
          <w:rtl/>
        </w:rPr>
        <w:t>القطاعات</w:t>
      </w:r>
      <w:r w:rsidR="00F32B28">
        <w:rPr>
          <w:rtl/>
        </w:rPr>
        <w:t xml:space="preserve"> </w:t>
      </w:r>
      <w:r w:rsidR="00F32B28" w:rsidRPr="00F32B28">
        <w:rPr>
          <w:rtl/>
        </w:rPr>
        <w:t>ذات</w:t>
      </w:r>
      <w:r w:rsidR="00F32B28">
        <w:rPr>
          <w:rtl/>
        </w:rPr>
        <w:t xml:space="preserve"> </w:t>
      </w:r>
      <w:r w:rsidR="00F32B28" w:rsidRPr="00F32B28">
        <w:rPr>
          <w:rtl/>
        </w:rPr>
        <w:t>سمة</w:t>
      </w:r>
      <w:r w:rsidR="00F32B28">
        <w:rPr>
          <w:rtl/>
        </w:rPr>
        <w:t xml:space="preserve"> </w:t>
      </w:r>
      <w:r w:rsidR="00F32B28" w:rsidRPr="00F32B28">
        <w:rPr>
          <w:rtl/>
        </w:rPr>
        <w:t>شمولية</w:t>
      </w:r>
      <w:r w:rsidR="00F32B28">
        <w:rPr>
          <w:rtl/>
        </w:rPr>
        <w:t xml:space="preserve"> </w:t>
      </w:r>
      <w:r w:rsidR="00F32B28" w:rsidRPr="00F32B28">
        <w:rPr>
          <w:rtl/>
        </w:rPr>
        <w:t>لدعم</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المبني</w:t>
      </w:r>
      <w:r w:rsidR="00F32B28">
        <w:rPr>
          <w:rtl/>
        </w:rPr>
        <w:t xml:space="preserve"> </w:t>
      </w:r>
      <w:r w:rsidR="00F32B28" w:rsidRPr="00F32B28">
        <w:rPr>
          <w:rtl/>
        </w:rPr>
        <w:t>على</w:t>
      </w:r>
      <w:r w:rsidR="00F32B28">
        <w:rPr>
          <w:rtl/>
        </w:rPr>
        <w:t xml:space="preserve"> </w:t>
      </w:r>
      <w:r w:rsidR="00F32B28" w:rsidRPr="00F32B28">
        <w:rPr>
          <w:rtl/>
        </w:rPr>
        <w:t>النوع</w:t>
      </w:r>
      <w:r w:rsidR="00F32B28">
        <w:rPr>
          <w:rtl/>
        </w:rPr>
        <w:t xml:space="preserve"> </w:t>
      </w:r>
      <w:r w:rsidR="00F32B28" w:rsidRPr="00F32B28">
        <w:rPr>
          <w:rtl/>
        </w:rPr>
        <w:t>الاجتماعي،</w:t>
      </w:r>
      <w:r w:rsidR="00F32B28">
        <w:rPr>
          <w:rtl/>
        </w:rPr>
        <w:t xml:space="preserve"> </w:t>
      </w:r>
      <w:r w:rsidR="00F32B28" w:rsidRPr="00F32B28">
        <w:rPr>
          <w:rtl/>
        </w:rPr>
        <w:t>نساءً</w:t>
      </w:r>
      <w:r w:rsidR="00F32B28">
        <w:rPr>
          <w:rtl/>
        </w:rPr>
        <w:t xml:space="preserve"> </w:t>
      </w:r>
      <w:r w:rsidR="00F32B28" w:rsidRPr="00F32B28">
        <w:rPr>
          <w:rtl/>
        </w:rPr>
        <w:t>وفتيات،</w:t>
      </w:r>
      <w:r w:rsidR="00F32B28">
        <w:rPr>
          <w:rtl/>
        </w:rPr>
        <w:t xml:space="preserve"> </w:t>
      </w:r>
      <w:r w:rsidR="00F32B28" w:rsidRPr="00F32B28">
        <w:rPr>
          <w:rtl/>
        </w:rPr>
        <w:t>وتحويلهن</w:t>
      </w:r>
      <w:r w:rsidR="00F32B28">
        <w:rPr>
          <w:rtl/>
        </w:rPr>
        <w:t xml:space="preserve"> </w:t>
      </w:r>
      <w:r w:rsidR="00F32B28" w:rsidRPr="00F32B28">
        <w:rPr>
          <w:rtl/>
        </w:rPr>
        <w:t>إلى</w:t>
      </w:r>
      <w:r w:rsidR="00F32B28">
        <w:rPr>
          <w:rtl/>
        </w:rPr>
        <w:t xml:space="preserve"> </w:t>
      </w:r>
      <w:r w:rsidR="00F32B28" w:rsidRPr="00F32B28">
        <w:rPr>
          <w:rtl/>
        </w:rPr>
        <w:t>المؤسسات</w:t>
      </w:r>
      <w:r w:rsidR="00F32B28">
        <w:rPr>
          <w:rtl/>
        </w:rPr>
        <w:t xml:space="preserve"> </w:t>
      </w:r>
      <w:r w:rsidR="00F32B28" w:rsidRPr="00F32B28">
        <w:rPr>
          <w:rtl/>
        </w:rPr>
        <w:t>الأخرى</w:t>
      </w:r>
      <w:r w:rsidR="00F32B28">
        <w:rPr>
          <w:rtl/>
        </w:rPr>
        <w:t xml:space="preserve"> </w:t>
      </w:r>
      <w:r w:rsidR="00F32B28" w:rsidRPr="00F32B28">
        <w:rPr>
          <w:rtl/>
        </w:rPr>
        <w:t>المعنية،</w:t>
      </w:r>
      <w:r w:rsidR="00F32B28">
        <w:rPr>
          <w:rtl/>
        </w:rPr>
        <w:t xml:space="preserve"> </w:t>
      </w:r>
      <w:r w:rsidR="00F32B28" w:rsidRPr="00F32B28">
        <w:rPr>
          <w:rtl/>
        </w:rPr>
        <w:t>وتحقيق</w:t>
      </w:r>
      <w:r w:rsidR="00F32B28">
        <w:rPr>
          <w:rtl/>
        </w:rPr>
        <w:t xml:space="preserve"> </w:t>
      </w:r>
      <w:r w:rsidR="00F32B28" w:rsidRPr="00F32B28">
        <w:rPr>
          <w:rtl/>
        </w:rPr>
        <w:t>الحماية</w:t>
      </w:r>
      <w:r w:rsidR="00F32B28">
        <w:rPr>
          <w:rtl/>
        </w:rPr>
        <w:t xml:space="preserve"> </w:t>
      </w:r>
      <w:r w:rsidR="00F32B28" w:rsidRPr="00F32B28">
        <w:rPr>
          <w:rtl/>
        </w:rPr>
        <w:t>والرعاية</w:t>
      </w:r>
      <w:r w:rsidR="00F32B28">
        <w:rPr>
          <w:rtl/>
        </w:rPr>
        <w:t xml:space="preserve"> </w:t>
      </w:r>
      <w:r w:rsidR="00F32B28" w:rsidRPr="00F32B28">
        <w:rPr>
          <w:rtl/>
        </w:rPr>
        <w:t>والتأهيل</w:t>
      </w:r>
      <w:r w:rsidR="00F32B28">
        <w:rPr>
          <w:rtl/>
        </w:rPr>
        <w:t xml:space="preserve"> </w:t>
      </w:r>
      <w:r w:rsidR="00F32B28" w:rsidRPr="00F32B28">
        <w:rPr>
          <w:rtl/>
        </w:rPr>
        <w:t>لهن.</w:t>
      </w:r>
      <w:r w:rsidR="00F32B28">
        <w:rPr>
          <w:rtl/>
        </w:rPr>
        <w:t xml:space="preserve"> </w:t>
      </w:r>
      <w:r w:rsidR="00F32B28" w:rsidRPr="00F32B28">
        <w:rPr>
          <w:rtl/>
        </w:rPr>
        <w:t>ويتكون</w:t>
      </w:r>
      <w:r w:rsidR="00F32B28">
        <w:rPr>
          <w:rtl/>
        </w:rPr>
        <w:t xml:space="preserve"> </w:t>
      </w:r>
      <w:r w:rsidR="00F32B28" w:rsidRPr="00F32B28">
        <w:rPr>
          <w:rtl/>
        </w:rPr>
        <w:t>هذا</w:t>
      </w:r>
      <w:r w:rsidR="00F32B28">
        <w:rPr>
          <w:rtl/>
        </w:rPr>
        <w:t xml:space="preserve"> </w:t>
      </w:r>
      <w:r w:rsidR="00F32B28" w:rsidRPr="00F32B28">
        <w:rPr>
          <w:rtl/>
        </w:rPr>
        <w:t>النظام</w:t>
      </w:r>
      <w:r w:rsidR="00F32B28">
        <w:rPr>
          <w:rtl/>
        </w:rPr>
        <w:t xml:space="preserve"> </w:t>
      </w:r>
      <w:r w:rsidR="00F32B28" w:rsidRPr="00F32B28">
        <w:rPr>
          <w:rtl/>
        </w:rPr>
        <w:t>من</w:t>
      </w:r>
      <w:r w:rsidR="00F32B28">
        <w:rPr>
          <w:rtl/>
        </w:rPr>
        <w:t xml:space="preserve"> </w:t>
      </w:r>
      <w:r w:rsidR="00F32B28" w:rsidRPr="00F32B28">
        <w:rPr>
          <w:rtl/>
        </w:rPr>
        <w:t>ثلاثة</w:t>
      </w:r>
      <w:r w:rsidR="00F32B28">
        <w:rPr>
          <w:rtl/>
        </w:rPr>
        <w:t xml:space="preserve"> </w:t>
      </w:r>
      <w:r w:rsidR="00F32B28" w:rsidRPr="00F32B28">
        <w:rPr>
          <w:rtl/>
        </w:rPr>
        <w:t>بروتوكولات،</w:t>
      </w:r>
      <w:r w:rsidR="00F32B28">
        <w:rPr>
          <w:rtl/>
        </w:rPr>
        <w:t xml:space="preserve"> </w:t>
      </w:r>
      <w:r w:rsidR="00F32B28" w:rsidRPr="00F32B28">
        <w:rPr>
          <w:rtl/>
        </w:rPr>
        <w:t>وهي:</w:t>
      </w:r>
      <w:r w:rsidR="00F32B28">
        <w:rPr>
          <w:rtl/>
        </w:rPr>
        <w:t xml:space="preserve"> </w:t>
      </w:r>
      <w:r w:rsidR="00F32B28" w:rsidRPr="00F32B28">
        <w:rPr>
          <w:rtl/>
        </w:rPr>
        <w:t>أولاً،</w:t>
      </w:r>
      <w:r w:rsidR="00F32B28">
        <w:rPr>
          <w:rtl/>
        </w:rPr>
        <w:t xml:space="preserve"> </w:t>
      </w:r>
      <w:r w:rsidR="00F32B28" w:rsidRPr="00F32B28">
        <w:rPr>
          <w:rtl/>
        </w:rPr>
        <w:t>بروتوكول</w:t>
      </w:r>
      <w:r w:rsidR="00F32B28">
        <w:rPr>
          <w:rtl/>
        </w:rPr>
        <w:t xml:space="preserve"> </w:t>
      </w:r>
      <w:r w:rsidR="00F32B28" w:rsidRPr="00F32B28">
        <w:rPr>
          <w:rtl/>
        </w:rPr>
        <w:t>التعامل</w:t>
      </w:r>
      <w:r w:rsidR="00F32B28">
        <w:rPr>
          <w:rtl/>
        </w:rPr>
        <w:t xml:space="preserve"> </w:t>
      </w:r>
      <w:r w:rsidR="00F32B28" w:rsidRPr="00F32B28">
        <w:rPr>
          <w:rtl/>
        </w:rPr>
        <w:t>مع</w:t>
      </w:r>
      <w:r w:rsidR="00F32B28">
        <w:rPr>
          <w:rtl/>
        </w:rPr>
        <w:t xml:space="preserve"> </w:t>
      </w:r>
      <w:r w:rsidR="00F32B28" w:rsidRPr="00F32B28">
        <w:rPr>
          <w:rtl/>
        </w:rPr>
        <w:t>النساء</w:t>
      </w:r>
      <w:r w:rsidR="00F32B28">
        <w:rPr>
          <w:rtl/>
        </w:rPr>
        <w:t xml:space="preserve"> </w:t>
      </w:r>
      <w:r w:rsidR="00F32B28" w:rsidRPr="00F32B28">
        <w:rPr>
          <w:rtl/>
        </w:rPr>
        <w:t>المعنفات</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الصحي:</w:t>
      </w:r>
      <w:r w:rsidR="00F32B28">
        <w:rPr>
          <w:rtl/>
        </w:rPr>
        <w:t xml:space="preserve"> </w:t>
      </w:r>
      <w:r w:rsidR="00F32B28" w:rsidRPr="00F32B28">
        <w:rPr>
          <w:rtl/>
        </w:rPr>
        <w:t>الذي</w:t>
      </w:r>
      <w:r w:rsidR="00F32B28">
        <w:rPr>
          <w:rtl/>
        </w:rPr>
        <w:t xml:space="preserve"> </w:t>
      </w:r>
      <w:r w:rsidR="00F32B28" w:rsidRPr="00F32B28">
        <w:rPr>
          <w:rtl/>
        </w:rPr>
        <w:t>يبين</w:t>
      </w:r>
      <w:r w:rsidR="00F32B28">
        <w:rPr>
          <w:rtl/>
        </w:rPr>
        <w:t xml:space="preserve"> </w:t>
      </w:r>
      <w:r w:rsidR="00F32B28" w:rsidRPr="00F32B28">
        <w:rPr>
          <w:rtl/>
        </w:rPr>
        <w:t>التزامات</w:t>
      </w:r>
      <w:r w:rsidR="00F32B28">
        <w:rPr>
          <w:rtl/>
        </w:rPr>
        <w:t xml:space="preserve"> </w:t>
      </w:r>
      <w:r w:rsidR="00F32B28" w:rsidRPr="00F32B28">
        <w:rPr>
          <w:rtl/>
        </w:rPr>
        <w:t>مقدمي</w:t>
      </w:r>
      <w:r w:rsidR="00F32B28">
        <w:rPr>
          <w:rtl/>
        </w:rPr>
        <w:t xml:space="preserve"> </w:t>
      </w:r>
      <w:r w:rsidR="00F32B28" w:rsidRPr="00F32B28">
        <w:rPr>
          <w:rtl/>
        </w:rPr>
        <w:t>الخدمات</w:t>
      </w:r>
      <w:r w:rsidR="00F32B28">
        <w:rPr>
          <w:rtl/>
        </w:rPr>
        <w:t xml:space="preserve"> </w:t>
      </w:r>
      <w:r w:rsidR="00F32B28" w:rsidRPr="00F32B28">
        <w:rPr>
          <w:rtl/>
        </w:rPr>
        <w:t>الطبية،</w:t>
      </w:r>
      <w:r w:rsidR="00F32B28">
        <w:rPr>
          <w:rtl/>
        </w:rPr>
        <w:t xml:space="preserve"> </w:t>
      </w:r>
      <w:r w:rsidR="00F32B28" w:rsidRPr="00F32B28">
        <w:rPr>
          <w:rtl/>
        </w:rPr>
        <w:t>ثانياً:</w:t>
      </w:r>
      <w:r w:rsidR="00F32B28">
        <w:rPr>
          <w:rtl/>
        </w:rPr>
        <w:t xml:space="preserve"> </w:t>
      </w:r>
      <w:r w:rsidR="00F32B28" w:rsidRPr="00F32B28">
        <w:rPr>
          <w:rtl/>
        </w:rPr>
        <w:t>بروتوكول</w:t>
      </w:r>
      <w:r w:rsidR="00F32B28">
        <w:rPr>
          <w:rtl/>
        </w:rPr>
        <w:t xml:space="preserve"> </w:t>
      </w:r>
      <w:r w:rsidR="00F32B28" w:rsidRPr="00F32B28">
        <w:rPr>
          <w:rtl/>
        </w:rPr>
        <w:t>التعامل</w:t>
      </w:r>
      <w:r w:rsidR="00F32B28">
        <w:rPr>
          <w:rtl/>
        </w:rPr>
        <w:t xml:space="preserve"> </w:t>
      </w:r>
      <w:r w:rsidR="00F32B28" w:rsidRPr="00F32B28">
        <w:rPr>
          <w:rtl/>
        </w:rPr>
        <w:t>مع</w:t>
      </w:r>
      <w:r w:rsidR="00F32B28">
        <w:rPr>
          <w:rtl/>
        </w:rPr>
        <w:t xml:space="preserve"> </w:t>
      </w:r>
      <w:r w:rsidR="00F32B28" w:rsidRPr="00F32B28">
        <w:rPr>
          <w:rtl/>
        </w:rPr>
        <w:t>النساء</w:t>
      </w:r>
      <w:r w:rsidR="00F32B28">
        <w:rPr>
          <w:rtl/>
        </w:rPr>
        <w:t xml:space="preserve"> </w:t>
      </w:r>
      <w:r w:rsidR="00F32B28" w:rsidRPr="00F32B28">
        <w:rPr>
          <w:rtl/>
        </w:rPr>
        <w:t>المعنفات</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الاجتماعي:</w:t>
      </w:r>
      <w:r w:rsidR="00F32B28">
        <w:rPr>
          <w:rtl/>
        </w:rPr>
        <w:t xml:space="preserve"> </w:t>
      </w:r>
      <w:r w:rsidR="00F32B28" w:rsidRPr="00F32B28">
        <w:rPr>
          <w:rtl/>
        </w:rPr>
        <w:t>الذي</w:t>
      </w:r>
      <w:r w:rsidR="00F32B28">
        <w:rPr>
          <w:rtl/>
        </w:rPr>
        <w:t xml:space="preserve"> </w:t>
      </w:r>
      <w:r w:rsidR="00F32B28" w:rsidRPr="00F32B28">
        <w:rPr>
          <w:rtl/>
        </w:rPr>
        <w:t>يبين</w:t>
      </w:r>
      <w:r w:rsidR="00F32B28">
        <w:rPr>
          <w:rtl/>
        </w:rPr>
        <w:t xml:space="preserve"> </w:t>
      </w:r>
      <w:r w:rsidR="00F32B28" w:rsidRPr="00F32B28">
        <w:rPr>
          <w:rtl/>
        </w:rPr>
        <w:t>التزامات</w:t>
      </w:r>
      <w:r w:rsidR="00F32B28">
        <w:rPr>
          <w:rtl/>
        </w:rPr>
        <w:t xml:space="preserve"> </w:t>
      </w:r>
      <w:r w:rsidR="00F32B28" w:rsidRPr="00F32B28">
        <w:rPr>
          <w:rtl/>
        </w:rPr>
        <w:t>مقدمي</w:t>
      </w:r>
      <w:r w:rsidR="00F32B28">
        <w:rPr>
          <w:rtl/>
        </w:rPr>
        <w:t xml:space="preserve"> </w:t>
      </w:r>
      <w:r w:rsidR="00F32B28" w:rsidRPr="00F32B28">
        <w:rPr>
          <w:rtl/>
        </w:rPr>
        <w:t>الخدمات</w:t>
      </w:r>
      <w:r w:rsidR="00F32B28">
        <w:rPr>
          <w:rtl/>
        </w:rPr>
        <w:t xml:space="preserve"> </w:t>
      </w:r>
      <w:r w:rsidR="00F32B28" w:rsidRPr="00F32B28">
        <w:rPr>
          <w:rtl/>
        </w:rPr>
        <w:t>الاجتماعية</w:t>
      </w:r>
      <w:r w:rsidR="00F32B28">
        <w:rPr>
          <w:rtl/>
        </w:rPr>
        <w:t xml:space="preserve"> </w:t>
      </w:r>
      <w:r w:rsidR="00F32B28" w:rsidRPr="00F32B28">
        <w:rPr>
          <w:rtl/>
        </w:rPr>
        <w:t>للنساء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اللواتي</w:t>
      </w:r>
      <w:r w:rsidR="00F32B28">
        <w:rPr>
          <w:rtl/>
        </w:rPr>
        <w:t xml:space="preserve"> </w:t>
      </w:r>
      <w:r w:rsidR="00F32B28" w:rsidRPr="00F32B28">
        <w:rPr>
          <w:rtl/>
        </w:rPr>
        <w:t>يطلبنها</w:t>
      </w:r>
      <w:r w:rsidR="00F32B28">
        <w:rPr>
          <w:rtl/>
        </w:rPr>
        <w:t xml:space="preserve"> </w:t>
      </w:r>
      <w:r w:rsidR="00F32B28" w:rsidRPr="00F32B28">
        <w:rPr>
          <w:rtl/>
        </w:rPr>
        <w:t>لمساعدتهن</w:t>
      </w:r>
      <w:r w:rsidR="00F32B28">
        <w:rPr>
          <w:rtl/>
        </w:rPr>
        <w:t xml:space="preserve"> </w:t>
      </w:r>
      <w:r w:rsidR="00F32B28" w:rsidRPr="00F32B28">
        <w:rPr>
          <w:rtl/>
        </w:rPr>
        <w:t>على</w:t>
      </w:r>
      <w:r w:rsidR="00F32B28">
        <w:rPr>
          <w:rtl/>
        </w:rPr>
        <w:t xml:space="preserve"> </w:t>
      </w:r>
      <w:r w:rsidR="00F32B28" w:rsidRPr="00F32B28">
        <w:rPr>
          <w:rtl/>
        </w:rPr>
        <w:t>السيطرة</w:t>
      </w:r>
      <w:r w:rsidR="00F32B28">
        <w:rPr>
          <w:rtl/>
        </w:rPr>
        <w:t xml:space="preserve"> </w:t>
      </w:r>
      <w:r w:rsidR="00F32B28" w:rsidRPr="00F32B28">
        <w:rPr>
          <w:rtl/>
        </w:rPr>
        <w:t>على</w:t>
      </w:r>
      <w:r w:rsidR="00F32B28">
        <w:rPr>
          <w:rtl/>
        </w:rPr>
        <w:t xml:space="preserve"> </w:t>
      </w:r>
      <w:r w:rsidR="00F32B28" w:rsidRPr="00F32B28">
        <w:rPr>
          <w:rtl/>
        </w:rPr>
        <w:t>حياتهن،</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توفير</w:t>
      </w:r>
      <w:r w:rsidR="00F32B28">
        <w:rPr>
          <w:rtl/>
        </w:rPr>
        <w:t xml:space="preserve"> </w:t>
      </w:r>
      <w:r w:rsidR="00F32B28" w:rsidRPr="00F32B28">
        <w:rPr>
          <w:rtl/>
        </w:rPr>
        <w:t>الحماية</w:t>
      </w:r>
      <w:r w:rsidR="00F32B28">
        <w:rPr>
          <w:rtl/>
        </w:rPr>
        <w:t xml:space="preserve"> </w:t>
      </w:r>
      <w:r w:rsidR="00F32B28" w:rsidRPr="00F32B28">
        <w:rPr>
          <w:rtl/>
        </w:rPr>
        <w:t>والرعاية</w:t>
      </w:r>
      <w:r w:rsidR="00F32B28">
        <w:rPr>
          <w:rtl/>
        </w:rPr>
        <w:t xml:space="preserve"> </w:t>
      </w:r>
      <w:r w:rsidR="00F32B28" w:rsidRPr="00F32B28">
        <w:rPr>
          <w:rtl/>
        </w:rPr>
        <w:t>والتأهيل</w:t>
      </w:r>
      <w:r w:rsidR="00F32B28">
        <w:rPr>
          <w:rtl/>
        </w:rPr>
        <w:t xml:space="preserve"> </w:t>
      </w:r>
      <w:r w:rsidR="00F32B28" w:rsidRPr="00F32B28">
        <w:rPr>
          <w:rtl/>
        </w:rPr>
        <w:t>لهن</w:t>
      </w:r>
      <w:r w:rsidR="00F32B28">
        <w:rPr>
          <w:rtl/>
        </w:rPr>
        <w:t xml:space="preserve"> </w:t>
      </w:r>
      <w:r w:rsidR="00F32B28" w:rsidRPr="00F32B28">
        <w:rPr>
          <w:rtl/>
        </w:rPr>
        <w:t>على</w:t>
      </w:r>
      <w:r w:rsidR="00F32B28">
        <w:rPr>
          <w:rtl/>
        </w:rPr>
        <w:t xml:space="preserve"> </w:t>
      </w:r>
      <w:r w:rsidR="00F32B28" w:rsidRPr="00F32B28">
        <w:rPr>
          <w:rtl/>
        </w:rPr>
        <w:t>المستوى</w:t>
      </w:r>
      <w:r w:rsidR="00F32B28">
        <w:rPr>
          <w:rtl/>
        </w:rPr>
        <w:t xml:space="preserve"> </w:t>
      </w:r>
      <w:r w:rsidR="00F32B28" w:rsidRPr="00F32B28">
        <w:rPr>
          <w:rtl/>
        </w:rPr>
        <w:t>الاجتماعي</w:t>
      </w:r>
      <w:r w:rsidR="00F32B28">
        <w:rPr>
          <w:rtl/>
        </w:rPr>
        <w:t xml:space="preserve"> </w:t>
      </w:r>
      <w:r w:rsidR="00F32B28" w:rsidRPr="00F32B28">
        <w:rPr>
          <w:rtl/>
        </w:rPr>
        <w:t>والنفسي</w:t>
      </w:r>
      <w:r w:rsidR="00F32B28">
        <w:rPr>
          <w:rtl/>
        </w:rPr>
        <w:t xml:space="preserve"> </w:t>
      </w:r>
      <w:r w:rsidR="00F32B28" w:rsidRPr="00F32B28">
        <w:rPr>
          <w:rtl/>
        </w:rPr>
        <w:t>والقانوني</w:t>
      </w:r>
      <w:r w:rsidR="00F32B28">
        <w:rPr>
          <w:rtl/>
        </w:rPr>
        <w:t xml:space="preserve"> </w:t>
      </w:r>
      <w:r w:rsidR="00F32B28" w:rsidRPr="00F32B28">
        <w:rPr>
          <w:rtl/>
        </w:rPr>
        <w:t>وتقديم</w:t>
      </w:r>
      <w:r w:rsidR="00F32B28">
        <w:rPr>
          <w:rtl/>
        </w:rPr>
        <w:t xml:space="preserve"> </w:t>
      </w:r>
      <w:r w:rsidR="00F32B28" w:rsidRPr="00F32B28">
        <w:rPr>
          <w:rtl/>
        </w:rPr>
        <w:t>خدمات</w:t>
      </w:r>
      <w:r w:rsidR="00F32B28">
        <w:rPr>
          <w:rtl/>
        </w:rPr>
        <w:t xml:space="preserve"> </w:t>
      </w:r>
      <w:r w:rsidR="00F32B28" w:rsidRPr="00F32B28">
        <w:rPr>
          <w:rtl/>
        </w:rPr>
        <w:t>التمكين</w:t>
      </w:r>
      <w:r w:rsidR="00F32B28">
        <w:rPr>
          <w:rtl/>
        </w:rPr>
        <w:t xml:space="preserve"> </w:t>
      </w:r>
      <w:r w:rsidR="00F32B28" w:rsidRPr="00F32B28">
        <w:rPr>
          <w:rtl/>
        </w:rPr>
        <w:t>الذاتي</w:t>
      </w:r>
      <w:r w:rsidR="00F32B28">
        <w:rPr>
          <w:rtl/>
        </w:rPr>
        <w:t xml:space="preserve"> </w:t>
      </w:r>
      <w:r w:rsidR="00F32B28" w:rsidRPr="00F32B28">
        <w:rPr>
          <w:rtl/>
        </w:rPr>
        <w:t>والاقتصادي.</w:t>
      </w:r>
      <w:r w:rsidR="00F32B28">
        <w:rPr>
          <w:rtl/>
        </w:rPr>
        <w:t xml:space="preserve"> </w:t>
      </w:r>
      <w:r w:rsidR="00F32B28" w:rsidRPr="00F32B28">
        <w:rPr>
          <w:rtl/>
        </w:rPr>
        <w:t>ثالثاً:</w:t>
      </w:r>
      <w:r w:rsidR="00F32B28">
        <w:rPr>
          <w:rtl/>
        </w:rPr>
        <w:t xml:space="preserve"> </w:t>
      </w:r>
      <w:r w:rsidR="00F32B28" w:rsidRPr="00F32B28">
        <w:rPr>
          <w:rtl/>
        </w:rPr>
        <w:t>بروتوكول</w:t>
      </w:r>
      <w:r w:rsidR="00F32B28">
        <w:rPr>
          <w:rtl/>
        </w:rPr>
        <w:t xml:space="preserve"> </w:t>
      </w:r>
      <w:r w:rsidR="00F32B28" w:rsidRPr="00F32B28">
        <w:rPr>
          <w:rtl/>
        </w:rPr>
        <w:t>التعامل</w:t>
      </w:r>
      <w:r w:rsidR="00F32B28">
        <w:rPr>
          <w:rtl/>
        </w:rPr>
        <w:t xml:space="preserve"> </w:t>
      </w:r>
      <w:r w:rsidR="00F32B28" w:rsidRPr="00F32B28">
        <w:rPr>
          <w:rtl/>
        </w:rPr>
        <w:t>مع</w:t>
      </w:r>
      <w:r w:rsidR="00F32B28">
        <w:rPr>
          <w:rtl/>
        </w:rPr>
        <w:t xml:space="preserve"> </w:t>
      </w:r>
      <w:r w:rsidR="00F32B28" w:rsidRPr="00F32B28">
        <w:rPr>
          <w:rtl/>
        </w:rPr>
        <w:t>النساء</w:t>
      </w:r>
      <w:r w:rsidR="00F32B28">
        <w:rPr>
          <w:rtl/>
        </w:rPr>
        <w:t xml:space="preserve"> </w:t>
      </w:r>
      <w:r w:rsidR="00F32B28" w:rsidRPr="00F32B28">
        <w:rPr>
          <w:rtl/>
        </w:rPr>
        <w:t>المعنفات</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الشرطي:</w:t>
      </w:r>
      <w:r w:rsidR="00F32B28">
        <w:rPr>
          <w:rtl/>
        </w:rPr>
        <w:t xml:space="preserve"> </w:t>
      </w:r>
      <w:r w:rsidR="00F32B28" w:rsidRPr="00F32B28">
        <w:rPr>
          <w:rtl/>
        </w:rPr>
        <w:t>الذي</w:t>
      </w:r>
      <w:r w:rsidR="00F32B28">
        <w:rPr>
          <w:rtl/>
        </w:rPr>
        <w:t xml:space="preserve"> </w:t>
      </w:r>
      <w:r w:rsidR="00F32B28" w:rsidRPr="00F32B28">
        <w:rPr>
          <w:rtl/>
        </w:rPr>
        <w:t>يبين</w:t>
      </w:r>
      <w:r w:rsidR="00F32B28">
        <w:rPr>
          <w:rtl/>
        </w:rPr>
        <w:t xml:space="preserve"> </w:t>
      </w:r>
      <w:r w:rsidR="00F32B28" w:rsidRPr="00F32B28">
        <w:rPr>
          <w:rtl/>
        </w:rPr>
        <w:t>مسؤوليات</w:t>
      </w:r>
      <w:r w:rsidR="00F32B28">
        <w:rPr>
          <w:rtl/>
        </w:rPr>
        <w:t xml:space="preserve"> </w:t>
      </w:r>
      <w:r w:rsidR="00F32B28" w:rsidRPr="00F32B28">
        <w:rPr>
          <w:rtl/>
        </w:rPr>
        <w:t>العاملين</w:t>
      </w:r>
      <w:r w:rsidR="00F32B28">
        <w:rPr>
          <w:rtl/>
        </w:rPr>
        <w:t xml:space="preserve"> </w:t>
      </w:r>
      <w:r w:rsidR="00F32B28" w:rsidRPr="00F32B28">
        <w:rPr>
          <w:rtl/>
        </w:rPr>
        <w:t>في</w:t>
      </w:r>
      <w:r w:rsidR="00F32B28">
        <w:rPr>
          <w:rtl/>
        </w:rPr>
        <w:t xml:space="preserve"> </w:t>
      </w:r>
      <w:r w:rsidR="00F32B28" w:rsidRPr="00F32B28">
        <w:rPr>
          <w:rtl/>
        </w:rPr>
        <w:t>وحدات</w:t>
      </w:r>
      <w:r w:rsidR="00F32B28">
        <w:rPr>
          <w:rtl/>
        </w:rPr>
        <w:t xml:space="preserve"> </w:t>
      </w:r>
      <w:r w:rsidR="00F32B28" w:rsidRPr="00F32B28">
        <w:rPr>
          <w:rtl/>
        </w:rPr>
        <w:t>حماية</w:t>
      </w:r>
      <w:r w:rsidR="00F32B28">
        <w:rPr>
          <w:rtl/>
        </w:rPr>
        <w:t xml:space="preserve"> </w:t>
      </w:r>
      <w:r w:rsidR="00F32B28" w:rsidRPr="00F32B28">
        <w:rPr>
          <w:rtl/>
        </w:rPr>
        <w:t>الأسرة</w:t>
      </w:r>
      <w:r w:rsidR="00F32B28">
        <w:rPr>
          <w:rtl/>
        </w:rPr>
        <w:t xml:space="preserve"> </w:t>
      </w:r>
      <w:r w:rsidR="00F32B28" w:rsidRPr="00F32B28">
        <w:rPr>
          <w:rtl/>
        </w:rPr>
        <w:t>في</w:t>
      </w:r>
      <w:r w:rsidR="00F32B28">
        <w:rPr>
          <w:rtl/>
        </w:rPr>
        <w:t xml:space="preserve"> </w:t>
      </w:r>
      <w:r w:rsidR="00F32B28" w:rsidRPr="00F32B28">
        <w:rPr>
          <w:rtl/>
        </w:rPr>
        <w:t>الشرطة</w:t>
      </w:r>
      <w:r w:rsidR="00F32B28">
        <w:rPr>
          <w:rtl/>
        </w:rPr>
        <w:t xml:space="preserve"> </w:t>
      </w:r>
      <w:r w:rsidR="00F32B28" w:rsidRPr="00F32B28">
        <w:rPr>
          <w:rtl/>
        </w:rPr>
        <w:t>الفلسطينية</w:t>
      </w:r>
      <w:r w:rsidR="00F32B28">
        <w:rPr>
          <w:rtl/>
        </w:rPr>
        <w:t xml:space="preserve"> </w:t>
      </w:r>
      <w:r w:rsidR="00F32B28" w:rsidRPr="00F32B28">
        <w:rPr>
          <w:rtl/>
        </w:rPr>
        <w:t>في</w:t>
      </w:r>
      <w:r w:rsidR="00F32B28">
        <w:rPr>
          <w:rtl/>
        </w:rPr>
        <w:t xml:space="preserve"> </w:t>
      </w:r>
      <w:r w:rsidR="00F32B28" w:rsidRPr="00F32B28">
        <w:rPr>
          <w:rtl/>
        </w:rPr>
        <w:t>توفير</w:t>
      </w:r>
      <w:r w:rsidR="00F32B28">
        <w:rPr>
          <w:rtl/>
        </w:rPr>
        <w:t xml:space="preserve"> </w:t>
      </w:r>
      <w:r w:rsidR="00F32B28" w:rsidRPr="00F32B28">
        <w:rPr>
          <w:rtl/>
        </w:rPr>
        <w:t>خدمات</w:t>
      </w:r>
      <w:r w:rsidR="00F32B28">
        <w:rPr>
          <w:rtl/>
        </w:rPr>
        <w:t xml:space="preserve"> </w:t>
      </w:r>
      <w:r w:rsidR="00F32B28" w:rsidRPr="00F32B28">
        <w:rPr>
          <w:rtl/>
        </w:rPr>
        <w:t>الحماية</w:t>
      </w:r>
      <w:r w:rsidR="00F32B28">
        <w:rPr>
          <w:rtl/>
        </w:rPr>
        <w:t xml:space="preserve"> </w:t>
      </w:r>
      <w:r w:rsidR="00F32B28" w:rsidRPr="00F32B28">
        <w:rPr>
          <w:rtl/>
        </w:rPr>
        <w:t>للنساء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وإجراءات</w:t>
      </w:r>
      <w:r w:rsidR="00F32B28">
        <w:rPr>
          <w:rtl/>
        </w:rPr>
        <w:t xml:space="preserve"> </w:t>
      </w:r>
      <w:r w:rsidR="00F32B28" w:rsidRPr="00F32B28">
        <w:rPr>
          <w:rtl/>
        </w:rPr>
        <w:t>التدخل</w:t>
      </w:r>
      <w:r w:rsidR="00F32B28">
        <w:rPr>
          <w:rtl/>
        </w:rPr>
        <w:t xml:space="preserve"> </w:t>
      </w:r>
      <w:r w:rsidR="00F32B28" w:rsidRPr="00F32B28">
        <w:rPr>
          <w:rtl/>
        </w:rPr>
        <w:t>والتحويل،</w:t>
      </w:r>
      <w:r w:rsidR="00F32B28">
        <w:rPr>
          <w:rtl/>
        </w:rPr>
        <w:t xml:space="preserve"> </w:t>
      </w:r>
      <w:r w:rsidR="00F32B28" w:rsidRPr="00F32B28">
        <w:rPr>
          <w:rtl/>
        </w:rPr>
        <w:t>وآليات</w:t>
      </w:r>
      <w:r w:rsidR="00F32B28">
        <w:rPr>
          <w:rtl/>
        </w:rPr>
        <w:t xml:space="preserve"> </w:t>
      </w:r>
      <w:r w:rsidR="00F32B28" w:rsidRPr="00F32B28">
        <w:rPr>
          <w:rtl/>
        </w:rPr>
        <w:t>إفهام</w:t>
      </w:r>
      <w:r w:rsidR="00F32B28">
        <w:rPr>
          <w:rtl/>
        </w:rPr>
        <w:t xml:space="preserve"> </w:t>
      </w:r>
      <w:r w:rsidR="00F32B28" w:rsidRPr="00F32B28">
        <w:rPr>
          <w:rtl/>
        </w:rPr>
        <w:t>النساء</w:t>
      </w:r>
      <w:r w:rsidR="00F32B28">
        <w:rPr>
          <w:rtl/>
        </w:rPr>
        <w:t xml:space="preserve"> </w:t>
      </w:r>
      <w:r w:rsidR="00F32B28" w:rsidRPr="00F32B28">
        <w:rPr>
          <w:rtl/>
        </w:rPr>
        <w:t>الضحايا</w:t>
      </w:r>
      <w:r w:rsidR="00F32B28">
        <w:rPr>
          <w:rtl/>
        </w:rPr>
        <w:t xml:space="preserve"> </w:t>
      </w:r>
      <w:r w:rsidR="00F32B28" w:rsidRPr="00F32B28">
        <w:rPr>
          <w:rtl/>
        </w:rPr>
        <w:t>بالإجراءات</w:t>
      </w:r>
      <w:r w:rsidR="00F32B28">
        <w:rPr>
          <w:rtl/>
        </w:rPr>
        <w:t xml:space="preserve"> </w:t>
      </w:r>
      <w:r w:rsidR="00F32B28" w:rsidRPr="00F32B28">
        <w:rPr>
          <w:rtl/>
        </w:rPr>
        <w:t>القانونية</w:t>
      </w:r>
      <w:r w:rsidR="00F32B28">
        <w:rPr>
          <w:rtl/>
        </w:rPr>
        <w:t xml:space="preserve"> </w:t>
      </w:r>
      <w:r w:rsidR="00F32B28" w:rsidRPr="00F32B28">
        <w:rPr>
          <w:rtl/>
        </w:rPr>
        <w:t>التي</w:t>
      </w:r>
      <w:r w:rsidR="00F32B28">
        <w:rPr>
          <w:rtl/>
        </w:rPr>
        <w:t xml:space="preserve"> </w:t>
      </w:r>
      <w:r w:rsidR="00F32B28" w:rsidRPr="00F32B28">
        <w:rPr>
          <w:rtl/>
        </w:rPr>
        <w:t>توفر</w:t>
      </w:r>
      <w:r w:rsidR="00F32B28">
        <w:rPr>
          <w:rtl/>
        </w:rPr>
        <w:t xml:space="preserve"> </w:t>
      </w:r>
      <w:r w:rsidR="00F32B28" w:rsidRPr="00F32B28">
        <w:rPr>
          <w:rtl/>
        </w:rPr>
        <w:t>لهن</w:t>
      </w:r>
      <w:r w:rsidR="00F32B28">
        <w:rPr>
          <w:rtl/>
        </w:rPr>
        <w:t xml:space="preserve"> </w:t>
      </w:r>
      <w:r w:rsidR="00F32B28" w:rsidRPr="00F32B28">
        <w:rPr>
          <w:rtl/>
        </w:rPr>
        <w:t>الحماية</w:t>
      </w:r>
      <w:r w:rsidR="00F32B28">
        <w:rPr>
          <w:rtl/>
        </w:rPr>
        <w:t xml:space="preserve"> </w:t>
      </w:r>
      <w:r w:rsidR="00F32B28" w:rsidRPr="00F32B28">
        <w:rPr>
          <w:rtl/>
        </w:rPr>
        <w:t>وضمان</w:t>
      </w:r>
      <w:r w:rsidR="00F32B28">
        <w:rPr>
          <w:rtl/>
        </w:rPr>
        <w:t xml:space="preserve"> </w:t>
      </w:r>
      <w:r w:rsidR="00F32B28" w:rsidRPr="00F32B28">
        <w:rPr>
          <w:rtl/>
        </w:rPr>
        <w:t>حقهن</w:t>
      </w:r>
      <w:r w:rsidR="00F32B28">
        <w:rPr>
          <w:rtl/>
        </w:rPr>
        <w:t xml:space="preserve"> </w:t>
      </w:r>
      <w:r w:rsidR="00F32B28" w:rsidRPr="00F32B28">
        <w:rPr>
          <w:rtl/>
        </w:rPr>
        <w:t>في</w:t>
      </w:r>
      <w:r w:rsidR="00F32B28">
        <w:rPr>
          <w:rtl/>
        </w:rPr>
        <w:t xml:space="preserve"> </w:t>
      </w:r>
      <w:r w:rsidR="00F32B28" w:rsidRPr="00F32B28">
        <w:rPr>
          <w:rtl/>
        </w:rPr>
        <w:t>اتخاذ</w:t>
      </w:r>
      <w:r w:rsidR="00F32B28">
        <w:rPr>
          <w:rtl/>
        </w:rPr>
        <w:t xml:space="preserve"> </w:t>
      </w:r>
      <w:r w:rsidR="00F32B28" w:rsidRPr="00F32B28">
        <w:rPr>
          <w:rtl/>
        </w:rPr>
        <w:t>القرار</w:t>
      </w:r>
      <w:r w:rsidR="00F32B28">
        <w:rPr>
          <w:rtl/>
        </w:rPr>
        <w:t xml:space="preserve"> </w:t>
      </w:r>
      <w:r w:rsidR="00F32B28" w:rsidRPr="00F32B28">
        <w:rPr>
          <w:rtl/>
        </w:rPr>
        <w:t>المناسب</w:t>
      </w:r>
      <w:r w:rsidR="00F32B28">
        <w:rPr>
          <w:rtl/>
        </w:rPr>
        <w:t xml:space="preserve"> </w:t>
      </w:r>
      <w:r w:rsidR="00F32B28" w:rsidRPr="00F32B28">
        <w:rPr>
          <w:rtl/>
        </w:rPr>
        <w:t>من</w:t>
      </w:r>
      <w:r w:rsidR="00F32B28">
        <w:rPr>
          <w:rtl/>
        </w:rPr>
        <w:t xml:space="preserve"> </w:t>
      </w:r>
      <w:r w:rsidR="00F32B28" w:rsidRPr="00F32B28">
        <w:rPr>
          <w:rtl/>
        </w:rPr>
        <w:t>قبلهن.</w:t>
      </w:r>
      <w:r w:rsidR="00F32B28">
        <w:rPr>
          <w:rtl/>
        </w:rPr>
        <w:t xml:space="preserve"> </w:t>
      </w:r>
      <w:r w:rsidR="00F32B28" w:rsidRPr="00F32B28">
        <w:rPr>
          <w:rtl/>
        </w:rPr>
        <w:t>كما</w:t>
      </w:r>
      <w:r w:rsidR="00F32B28">
        <w:rPr>
          <w:rtl/>
        </w:rPr>
        <w:t xml:space="preserve"> </w:t>
      </w:r>
      <w:r w:rsidR="00F32B28" w:rsidRPr="00F32B28">
        <w:rPr>
          <w:rtl/>
        </w:rPr>
        <w:t>يشتمل</w:t>
      </w:r>
      <w:r w:rsidR="00F32B28">
        <w:rPr>
          <w:rtl/>
        </w:rPr>
        <w:t xml:space="preserve"> </w:t>
      </w:r>
      <w:r w:rsidR="00F32B28" w:rsidRPr="00F32B28">
        <w:rPr>
          <w:rtl/>
        </w:rPr>
        <w:t>النظام</w:t>
      </w:r>
      <w:r w:rsidR="00F32B28">
        <w:rPr>
          <w:rtl/>
        </w:rPr>
        <w:t xml:space="preserve"> </w:t>
      </w:r>
      <w:r w:rsidR="00F32B28" w:rsidRPr="00F32B28">
        <w:rPr>
          <w:rtl/>
        </w:rPr>
        <w:t>على</w:t>
      </w:r>
      <w:r w:rsidR="00F32B28">
        <w:rPr>
          <w:rtl/>
        </w:rPr>
        <w:t xml:space="preserve"> </w:t>
      </w:r>
      <w:r w:rsidR="00F32B28" w:rsidRPr="00F32B28">
        <w:rPr>
          <w:rtl/>
        </w:rPr>
        <w:t>نماذج</w:t>
      </w:r>
      <w:r w:rsidR="00F32B28">
        <w:rPr>
          <w:rtl/>
        </w:rPr>
        <w:t xml:space="preserve"> </w:t>
      </w:r>
      <w:r w:rsidR="00F32B28" w:rsidRPr="00F32B28">
        <w:rPr>
          <w:rtl/>
        </w:rPr>
        <w:t>لتوثيق</w:t>
      </w:r>
      <w:r w:rsidR="00F32B28">
        <w:rPr>
          <w:rtl/>
        </w:rPr>
        <w:t xml:space="preserve"> </w:t>
      </w:r>
      <w:r w:rsidR="00F32B28" w:rsidRPr="00F32B28">
        <w:rPr>
          <w:rtl/>
        </w:rPr>
        <w:t>حالات</w:t>
      </w:r>
      <w:r w:rsidR="00F32B28">
        <w:rPr>
          <w:rtl/>
        </w:rPr>
        <w:t xml:space="preserve"> </w:t>
      </w:r>
      <w:r w:rsidR="00F32B28" w:rsidRPr="00F32B28">
        <w:rPr>
          <w:rtl/>
        </w:rPr>
        <w:t>العنف.</w:t>
      </w:r>
      <w:r w:rsidR="00F32B28">
        <w:rPr>
          <w:rtl/>
        </w:rPr>
        <w:t xml:space="preserve"> </w:t>
      </w:r>
      <w:r w:rsidR="00F32B28" w:rsidRPr="00F32B28">
        <w:rPr>
          <w:rtl/>
        </w:rPr>
        <w:t>فضلاً</w:t>
      </w:r>
      <w:r w:rsidR="00F32B28">
        <w:rPr>
          <w:rtl/>
        </w:rPr>
        <w:t xml:space="preserve"> </w:t>
      </w:r>
      <w:r w:rsidR="00F32B28" w:rsidRPr="00F32B28">
        <w:rPr>
          <w:rtl/>
        </w:rPr>
        <w:t>عن</w:t>
      </w:r>
      <w:r w:rsidR="00F32B28">
        <w:rPr>
          <w:rtl/>
        </w:rPr>
        <w:t xml:space="preserve"> </w:t>
      </w:r>
      <w:r w:rsidR="00F32B28" w:rsidRPr="00F32B28">
        <w:rPr>
          <w:rtl/>
        </w:rPr>
        <w:t>دليل</w:t>
      </w:r>
      <w:r w:rsidR="00F32B28">
        <w:rPr>
          <w:rtl/>
        </w:rPr>
        <w:t xml:space="preserve"> </w:t>
      </w:r>
      <w:r w:rsidR="00F32B28" w:rsidRPr="00F32B28">
        <w:rPr>
          <w:rtl/>
        </w:rPr>
        <w:t>إرشادي</w:t>
      </w:r>
      <w:r w:rsidR="00F32B28">
        <w:rPr>
          <w:rtl/>
        </w:rPr>
        <w:t xml:space="preserve"> </w:t>
      </w:r>
      <w:r w:rsidR="00F32B28" w:rsidRPr="00F32B28">
        <w:rPr>
          <w:rtl/>
        </w:rPr>
        <w:t>للمؤسسات</w:t>
      </w:r>
      <w:r w:rsidR="00F32B28">
        <w:rPr>
          <w:rtl/>
        </w:rPr>
        <w:t xml:space="preserve"> </w:t>
      </w:r>
      <w:r w:rsidR="00F32B28" w:rsidRPr="00F32B28">
        <w:rPr>
          <w:rtl/>
        </w:rPr>
        <w:t>التي</w:t>
      </w:r>
      <w:r w:rsidR="00F32B28">
        <w:rPr>
          <w:rtl/>
        </w:rPr>
        <w:t xml:space="preserve"> </w:t>
      </w:r>
      <w:r w:rsidR="00F32B28" w:rsidRPr="00F32B28">
        <w:rPr>
          <w:rtl/>
        </w:rPr>
        <w:t>تقدم</w:t>
      </w:r>
      <w:r w:rsidR="00F32B28">
        <w:rPr>
          <w:rtl/>
        </w:rPr>
        <w:t xml:space="preserve"> </w:t>
      </w:r>
      <w:r w:rsidR="00F32B28" w:rsidRPr="00F32B28">
        <w:rPr>
          <w:rtl/>
        </w:rPr>
        <w:t>هذه</w:t>
      </w:r>
      <w:r w:rsidR="00F32B28">
        <w:rPr>
          <w:rtl/>
        </w:rPr>
        <w:t xml:space="preserve"> </w:t>
      </w:r>
      <w:r w:rsidR="00F32B28" w:rsidRPr="00F32B28">
        <w:rPr>
          <w:rtl/>
        </w:rPr>
        <w:t>الخدمات</w:t>
      </w:r>
      <w:r w:rsidR="00F32B28">
        <w:rPr>
          <w:rtl/>
        </w:rPr>
        <w:t xml:space="preserve"> </w:t>
      </w:r>
      <w:r w:rsidR="00F32B28" w:rsidRPr="00F32B28">
        <w:rPr>
          <w:rtl/>
        </w:rPr>
        <w:t>للنساء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تعمل</w:t>
      </w:r>
      <w:r w:rsidR="00F32B28">
        <w:rPr>
          <w:rtl/>
        </w:rPr>
        <w:t xml:space="preserve"> </w:t>
      </w:r>
      <w:r w:rsidR="00F32B28" w:rsidRPr="00F32B28">
        <w:rPr>
          <w:rtl/>
        </w:rPr>
        <w:t>وزارة</w:t>
      </w:r>
      <w:r w:rsidR="00F32B28">
        <w:rPr>
          <w:rtl/>
        </w:rPr>
        <w:t xml:space="preserve"> </w:t>
      </w:r>
      <w:r w:rsidR="00F32B28" w:rsidRPr="00F32B28">
        <w:rPr>
          <w:rtl/>
        </w:rPr>
        <w:t>شؤون</w:t>
      </w:r>
      <w:r w:rsidR="00F32B28">
        <w:rPr>
          <w:rtl/>
        </w:rPr>
        <w:t xml:space="preserve"> </w:t>
      </w:r>
      <w:r w:rsidR="00F32B28" w:rsidRPr="00F32B28">
        <w:rPr>
          <w:rtl/>
        </w:rPr>
        <w:t>المرأة</w:t>
      </w:r>
      <w:r w:rsidR="00F32B28">
        <w:rPr>
          <w:rtl/>
        </w:rPr>
        <w:t xml:space="preserve"> </w:t>
      </w:r>
      <w:r w:rsidR="00F32B28" w:rsidRPr="00F32B28">
        <w:rPr>
          <w:rtl/>
        </w:rPr>
        <w:t>على</w:t>
      </w:r>
      <w:r w:rsidR="00F32B28">
        <w:rPr>
          <w:rtl/>
        </w:rPr>
        <w:t xml:space="preserve"> </w:t>
      </w:r>
      <w:r w:rsidR="00F32B28" w:rsidRPr="00F32B28">
        <w:rPr>
          <w:rtl/>
        </w:rPr>
        <w:t>تطوير</w:t>
      </w:r>
      <w:r w:rsidR="00F32B28">
        <w:rPr>
          <w:rtl/>
        </w:rPr>
        <w:t xml:space="preserve"> </w:t>
      </w:r>
      <w:r w:rsidR="00F32B28" w:rsidRPr="00F32B28">
        <w:rPr>
          <w:rtl/>
        </w:rPr>
        <w:t>نظام</w:t>
      </w:r>
      <w:r w:rsidR="00F32B28">
        <w:rPr>
          <w:rtl/>
        </w:rPr>
        <w:t xml:space="preserve"> </w:t>
      </w:r>
      <w:r w:rsidR="00F32B28" w:rsidRPr="00F32B28">
        <w:rPr>
          <w:rtl/>
        </w:rPr>
        <w:t>إجراءات</w:t>
      </w:r>
      <w:r w:rsidR="00F32B28">
        <w:rPr>
          <w:rtl/>
        </w:rPr>
        <w:t xml:space="preserve"> </w:t>
      </w:r>
      <w:r w:rsidR="00F32B28" w:rsidRPr="00F32B28">
        <w:rPr>
          <w:rtl/>
        </w:rPr>
        <w:t>لكافة</w:t>
      </w:r>
      <w:r w:rsidR="00F32B28">
        <w:rPr>
          <w:rtl/>
        </w:rPr>
        <w:t xml:space="preserve"> </w:t>
      </w:r>
      <w:r w:rsidR="00F32B28" w:rsidRPr="00F32B28">
        <w:rPr>
          <w:rtl/>
        </w:rPr>
        <w:t>الجهات</w:t>
      </w:r>
      <w:r w:rsidR="00F32B28">
        <w:rPr>
          <w:rtl/>
        </w:rPr>
        <w:t xml:space="preserve"> </w:t>
      </w:r>
      <w:r w:rsidR="00F32B28" w:rsidRPr="00F32B28">
        <w:rPr>
          <w:rtl/>
        </w:rPr>
        <w:t>المعنية</w:t>
      </w:r>
      <w:r w:rsidR="00F32B28">
        <w:rPr>
          <w:rtl/>
        </w:rPr>
        <w:t xml:space="preserve"> </w:t>
      </w:r>
      <w:r w:rsidR="00F32B28" w:rsidRPr="00F32B28">
        <w:rPr>
          <w:rtl/>
        </w:rPr>
        <w:t>بنظام</w:t>
      </w:r>
      <w:r w:rsidR="00F32B28">
        <w:rPr>
          <w:rtl/>
        </w:rPr>
        <w:t xml:space="preserve"> </w:t>
      </w:r>
      <w:r w:rsidR="00F32B28" w:rsidRPr="00F32B28">
        <w:rPr>
          <w:rtl/>
        </w:rPr>
        <w:t>التحويل.</w:t>
      </w:r>
      <w:r w:rsidR="00F32B28">
        <w:rPr>
          <w:rtl/>
        </w:rPr>
        <w:t xml:space="preserve"> </w:t>
      </w:r>
    </w:p>
    <w:p w:rsidR="00F32B28" w:rsidRPr="00F32B28" w:rsidRDefault="00B80192" w:rsidP="00B73D93">
      <w:pPr>
        <w:pStyle w:val="SingleTxt"/>
      </w:pPr>
      <w:r>
        <w:rPr>
          <w:rFonts w:hint="cs"/>
          <w:rtl/>
        </w:rPr>
        <w:t>97 -</w:t>
      </w:r>
      <w:r>
        <w:rPr>
          <w:rFonts w:hint="cs"/>
          <w:rtl/>
        </w:rPr>
        <w:tab/>
      </w:r>
      <w:r w:rsidR="00F32B28" w:rsidRPr="00F32B28">
        <w:rPr>
          <w:rtl/>
        </w:rPr>
        <w:t>وقد</w:t>
      </w:r>
      <w:r w:rsidR="00F32B28">
        <w:rPr>
          <w:rtl/>
        </w:rPr>
        <w:t xml:space="preserve"> </w:t>
      </w:r>
      <w:r w:rsidR="00F32B28" w:rsidRPr="00F32B28">
        <w:rPr>
          <w:rtl/>
        </w:rPr>
        <w:t>تم</w:t>
      </w:r>
      <w:r w:rsidR="00F32B28">
        <w:rPr>
          <w:rtl/>
        </w:rPr>
        <w:t xml:space="preserve"> </w:t>
      </w:r>
      <w:r w:rsidR="00F32B28" w:rsidRPr="00F32B28">
        <w:rPr>
          <w:rtl/>
        </w:rPr>
        <w:t>تنظيم</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الدورات</w:t>
      </w:r>
      <w:r w:rsidR="00F32B28">
        <w:rPr>
          <w:rtl/>
        </w:rPr>
        <w:t xml:space="preserve"> </w:t>
      </w:r>
      <w:r w:rsidR="00F32B28" w:rsidRPr="00F32B28">
        <w:rPr>
          <w:rtl/>
        </w:rPr>
        <w:t>التدريبية</w:t>
      </w:r>
      <w:r w:rsidR="00F32B28">
        <w:rPr>
          <w:rtl/>
        </w:rPr>
        <w:t xml:space="preserve"> </w:t>
      </w:r>
      <w:r w:rsidR="00F32B28" w:rsidRPr="00F32B28">
        <w:rPr>
          <w:rtl/>
        </w:rPr>
        <w:t>ل</w:t>
      </w:r>
      <w:r w:rsidR="00F32B28" w:rsidRPr="00F32B28">
        <w:rPr>
          <w:rtl/>
          <w:lang w:bidi="ar-SY"/>
        </w:rPr>
        <w:t>مقدمي</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rPr>
        <w:t>بهدف</w:t>
      </w:r>
      <w:r w:rsidR="00F32B28">
        <w:rPr>
          <w:rtl/>
        </w:rPr>
        <w:t xml:space="preserve"> </w:t>
      </w:r>
      <w:r w:rsidR="00F32B28" w:rsidRPr="00F32B28">
        <w:rPr>
          <w:rtl/>
        </w:rPr>
        <w:t>توطين</w:t>
      </w:r>
      <w:r w:rsidR="00F32B28">
        <w:rPr>
          <w:rtl/>
        </w:rPr>
        <w:t xml:space="preserve"> </w:t>
      </w:r>
      <w:r w:rsidR="00F32B28" w:rsidRPr="00F32B28">
        <w:rPr>
          <w:rtl/>
        </w:rPr>
        <w:t>نظام</w:t>
      </w:r>
      <w:r w:rsidR="00F32B28">
        <w:rPr>
          <w:rtl/>
        </w:rPr>
        <w:t xml:space="preserve"> </w:t>
      </w:r>
      <w:r w:rsidR="00F32B28" w:rsidRPr="00F32B28">
        <w:rPr>
          <w:rtl/>
        </w:rPr>
        <w:t>التحويل</w:t>
      </w:r>
      <w:r w:rsidR="00F32B28">
        <w:rPr>
          <w:rtl/>
        </w:rPr>
        <w:t xml:space="preserve"> </w:t>
      </w:r>
      <w:r w:rsidR="00F32B28" w:rsidRPr="00F32B28">
        <w:rPr>
          <w:rtl/>
        </w:rPr>
        <w:t>الوطني</w:t>
      </w:r>
      <w:r w:rsidR="00F32B28">
        <w:rPr>
          <w:rtl/>
        </w:rPr>
        <w:t xml:space="preserve"> </w:t>
      </w:r>
      <w:r w:rsidR="00F32B28" w:rsidRPr="00F32B28">
        <w:rPr>
          <w:rtl/>
        </w:rPr>
        <w:t>للنساء</w:t>
      </w:r>
      <w:r w:rsidR="00F32B28">
        <w:rPr>
          <w:rtl/>
        </w:rPr>
        <w:t xml:space="preserve"> </w:t>
      </w:r>
      <w:r w:rsidR="00F32B28" w:rsidRPr="00F32B28">
        <w:rPr>
          <w:rtl/>
        </w:rPr>
        <w:t>المعنفات</w:t>
      </w:r>
      <w:r w:rsidR="00F32B28">
        <w:rPr>
          <w:rtl/>
        </w:rPr>
        <w:t xml:space="preserve"> </w:t>
      </w:r>
      <w:r w:rsidR="00F32B28" w:rsidRPr="00F32B28">
        <w:rPr>
          <w:rtl/>
        </w:rPr>
        <w:t>في</w:t>
      </w:r>
      <w:r w:rsidR="00F32B28">
        <w:rPr>
          <w:rtl/>
        </w:rPr>
        <w:t xml:space="preserve"> </w:t>
      </w:r>
      <w:r w:rsidR="00F32B28" w:rsidRPr="00F32B28">
        <w:rPr>
          <w:rtl/>
        </w:rPr>
        <w:t>نطاق</w:t>
      </w:r>
      <w:r w:rsidR="00F32B28">
        <w:rPr>
          <w:rtl/>
        </w:rPr>
        <w:t xml:space="preserve"> </w:t>
      </w:r>
      <w:r w:rsidR="00F32B28" w:rsidRPr="00F32B28">
        <w:rPr>
          <w:rtl/>
        </w:rPr>
        <w:t>الخدمات</w:t>
      </w:r>
      <w:r w:rsidR="00F32B28">
        <w:rPr>
          <w:rtl/>
        </w:rPr>
        <w:t xml:space="preserve"> </w:t>
      </w:r>
      <w:r w:rsidR="00F32B28" w:rsidRPr="00F32B28">
        <w:rPr>
          <w:rtl/>
        </w:rPr>
        <w:t>المختلفة</w:t>
      </w:r>
      <w:r w:rsidR="00F32B28">
        <w:rPr>
          <w:rtl/>
        </w:rPr>
        <w:t xml:space="preserve"> </w:t>
      </w:r>
      <w:r w:rsidR="00F32B28" w:rsidRPr="00F32B28">
        <w:rPr>
          <w:rtl/>
        </w:rPr>
        <w:t>التي</w:t>
      </w:r>
      <w:r w:rsidR="00F32B28">
        <w:rPr>
          <w:rtl/>
        </w:rPr>
        <w:t xml:space="preserve"> </w:t>
      </w:r>
      <w:r w:rsidR="00F32B28" w:rsidRPr="00F32B28">
        <w:rPr>
          <w:rtl/>
        </w:rPr>
        <w:t>تقدمها</w:t>
      </w:r>
      <w:r w:rsidR="00F32B28">
        <w:rPr>
          <w:rtl/>
        </w:rPr>
        <w:t xml:space="preserve"> </w:t>
      </w:r>
      <w:r w:rsidR="00F32B28" w:rsidRPr="00F32B28">
        <w:rPr>
          <w:rtl/>
        </w:rPr>
        <w:t>المؤسسات</w:t>
      </w:r>
      <w:r w:rsidR="00F32B28">
        <w:rPr>
          <w:rtl/>
        </w:rPr>
        <w:t xml:space="preserve"> </w:t>
      </w:r>
      <w:r w:rsidR="00F32B28" w:rsidRPr="00F32B28">
        <w:rPr>
          <w:rtl/>
        </w:rPr>
        <w:t>الصحية</w:t>
      </w:r>
      <w:r w:rsidR="00F32B28">
        <w:rPr>
          <w:rtl/>
        </w:rPr>
        <w:t xml:space="preserve"> </w:t>
      </w:r>
      <w:r w:rsidR="00F32B28" w:rsidRPr="00F32B28">
        <w:rPr>
          <w:rtl/>
        </w:rPr>
        <w:t>والشرطية</w:t>
      </w:r>
      <w:r w:rsidR="00F32B28">
        <w:rPr>
          <w:rtl/>
        </w:rPr>
        <w:t xml:space="preserve"> </w:t>
      </w:r>
      <w:r w:rsidR="00F32B28" w:rsidRPr="00F32B28">
        <w:rPr>
          <w:rtl/>
        </w:rPr>
        <w:t>والاجتماعية،</w:t>
      </w:r>
      <w:r w:rsidR="00F32B28">
        <w:rPr>
          <w:rtl/>
        </w:rPr>
        <w:t xml:space="preserve"> </w:t>
      </w:r>
      <w:r w:rsidR="00F32B28" w:rsidRPr="00F32B28">
        <w:rPr>
          <w:rtl/>
        </w:rPr>
        <w:t>وتدريبهم</w:t>
      </w:r>
      <w:r w:rsidR="00F32B28">
        <w:rPr>
          <w:rtl/>
        </w:rPr>
        <w:t xml:space="preserve"> </w:t>
      </w:r>
      <w:r w:rsidR="00F32B28" w:rsidRPr="00F32B28">
        <w:rPr>
          <w:rtl/>
        </w:rPr>
        <w:t>على</w:t>
      </w:r>
      <w:r w:rsidR="00F32B28">
        <w:rPr>
          <w:rtl/>
        </w:rPr>
        <w:t xml:space="preserve"> </w:t>
      </w:r>
      <w:r w:rsidR="00F32B28" w:rsidRPr="00F32B28">
        <w:rPr>
          <w:rtl/>
        </w:rPr>
        <w:t>كيفية</w:t>
      </w:r>
      <w:r w:rsidR="00F32B28">
        <w:rPr>
          <w:rtl/>
        </w:rPr>
        <w:t xml:space="preserve"> </w:t>
      </w:r>
      <w:r w:rsidR="00F32B28" w:rsidRPr="00F32B28">
        <w:rPr>
          <w:rtl/>
        </w:rPr>
        <w:t>وآليات</w:t>
      </w:r>
      <w:r w:rsidR="00F32B28">
        <w:rPr>
          <w:rtl/>
        </w:rPr>
        <w:t xml:space="preserve"> </w:t>
      </w:r>
      <w:r w:rsidR="00F32B28" w:rsidRPr="00F32B28">
        <w:rPr>
          <w:rtl/>
        </w:rPr>
        <w:t>استخدامه</w:t>
      </w:r>
      <w:r w:rsidR="00F32B28">
        <w:rPr>
          <w:rtl/>
        </w:rPr>
        <w:t xml:space="preserve"> </w:t>
      </w:r>
      <w:r w:rsidR="00F32B28" w:rsidRPr="00F32B28">
        <w:rPr>
          <w:rtl/>
        </w:rPr>
        <w:t>أثناء</w:t>
      </w:r>
      <w:r w:rsidR="00F32B28">
        <w:rPr>
          <w:rtl/>
        </w:rPr>
        <w:t xml:space="preserve"> </w:t>
      </w:r>
      <w:r w:rsidR="00F32B28" w:rsidRPr="00F32B28">
        <w:rPr>
          <w:rtl/>
        </w:rPr>
        <w:t>عملهم.</w:t>
      </w:r>
      <w:r w:rsidR="00F32B28">
        <w:rPr>
          <w:rtl/>
        </w:rPr>
        <w:t xml:space="preserve"> </w:t>
      </w:r>
      <w:r w:rsidR="00F32B28" w:rsidRPr="00F32B28">
        <w:rPr>
          <w:rtl/>
        </w:rPr>
        <w:t>كما</w:t>
      </w:r>
      <w:r w:rsidR="00F32B28">
        <w:rPr>
          <w:rtl/>
        </w:rPr>
        <w:t xml:space="preserve"> </w:t>
      </w:r>
      <w:r w:rsidR="00F32B28" w:rsidRPr="00F32B28">
        <w:rPr>
          <w:rtl/>
        </w:rPr>
        <w:t>تم</w:t>
      </w:r>
      <w:r w:rsidR="00F32B28">
        <w:rPr>
          <w:rtl/>
        </w:rPr>
        <w:t xml:space="preserve"> </w:t>
      </w:r>
      <w:r w:rsidR="00F32B28" w:rsidRPr="00F32B28">
        <w:rPr>
          <w:rtl/>
        </w:rPr>
        <w:t>عقد</w:t>
      </w:r>
      <w:r w:rsidR="00F32B28">
        <w:rPr>
          <w:rtl/>
        </w:rPr>
        <w:t xml:space="preserve"> </w:t>
      </w:r>
      <w:r w:rsidR="00F32B28" w:rsidRPr="00F32B28">
        <w:rPr>
          <w:rtl/>
        </w:rPr>
        <w:t>عدداً</w:t>
      </w:r>
      <w:r w:rsidR="00F32B28">
        <w:rPr>
          <w:rtl/>
        </w:rPr>
        <w:t xml:space="preserve"> </w:t>
      </w:r>
      <w:r w:rsidR="00F32B28" w:rsidRPr="00F32B28">
        <w:rPr>
          <w:rtl/>
        </w:rPr>
        <w:t>من</w:t>
      </w:r>
      <w:r w:rsidR="00F32B28">
        <w:rPr>
          <w:rtl/>
        </w:rPr>
        <w:t xml:space="preserve"> </w:t>
      </w:r>
      <w:r w:rsidR="00F32B28" w:rsidRPr="00F32B28">
        <w:rPr>
          <w:rtl/>
        </w:rPr>
        <w:t>الدورات</w:t>
      </w:r>
      <w:r w:rsidR="00F32B28">
        <w:rPr>
          <w:rtl/>
        </w:rPr>
        <w:t xml:space="preserve"> </w:t>
      </w:r>
      <w:r w:rsidR="00F32B28" w:rsidRPr="00F32B28">
        <w:rPr>
          <w:rtl/>
        </w:rPr>
        <w:t>التدريبية</w:t>
      </w:r>
      <w:r w:rsidR="00F32B28">
        <w:rPr>
          <w:rtl/>
        </w:rPr>
        <w:t xml:space="preserve"> </w:t>
      </w:r>
      <w:r w:rsidR="00F32B28" w:rsidRPr="00F32B28">
        <w:rPr>
          <w:rtl/>
        </w:rPr>
        <w:t>بهدف</w:t>
      </w:r>
      <w:r w:rsidR="00F32B28">
        <w:rPr>
          <w:rtl/>
        </w:rPr>
        <w:t xml:space="preserve"> </w:t>
      </w:r>
      <w:r w:rsidR="00F32B28" w:rsidRPr="00F32B28">
        <w:rPr>
          <w:rtl/>
        </w:rPr>
        <w:t>التعريف</w:t>
      </w:r>
      <w:r w:rsidR="00F32B28">
        <w:rPr>
          <w:rtl/>
        </w:rPr>
        <w:t xml:space="preserve"> </w:t>
      </w:r>
      <w:r w:rsidR="00F32B28" w:rsidRPr="00F32B28">
        <w:rPr>
          <w:rtl/>
        </w:rPr>
        <w:t>بنظام</w:t>
      </w:r>
      <w:r w:rsidR="00F32B28">
        <w:rPr>
          <w:rtl/>
        </w:rPr>
        <w:t xml:space="preserve"> </w:t>
      </w:r>
      <w:r w:rsidR="00F32B28" w:rsidRPr="00F32B28">
        <w:rPr>
          <w:rtl/>
        </w:rPr>
        <w:t>التحويل</w:t>
      </w:r>
      <w:r w:rsidR="00F32B28">
        <w:rPr>
          <w:rtl/>
        </w:rPr>
        <w:t xml:space="preserve"> </w:t>
      </w:r>
      <w:r w:rsidR="00F32B28" w:rsidRPr="00F32B28">
        <w:rPr>
          <w:rtl/>
        </w:rPr>
        <w:t>وإجراءاته،</w:t>
      </w:r>
      <w:r w:rsidR="00F32B28">
        <w:rPr>
          <w:rtl/>
        </w:rPr>
        <w:t xml:space="preserve"> </w:t>
      </w:r>
      <w:r w:rsidR="00F32B28" w:rsidRPr="00F32B28">
        <w:rPr>
          <w:rtl/>
        </w:rPr>
        <w:t>وتطوير</w:t>
      </w:r>
      <w:r w:rsidR="00F32B28">
        <w:rPr>
          <w:rtl/>
        </w:rPr>
        <w:t xml:space="preserve"> </w:t>
      </w:r>
      <w:r w:rsidR="00F32B28" w:rsidRPr="00F32B28">
        <w:rPr>
          <w:rtl/>
        </w:rPr>
        <w:t>آليات</w:t>
      </w:r>
      <w:r w:rsidR="00F32B28">
        <w:rPr>
          <w:rtl/>
        </w:rPr>
        <w:t xml:space="preserve"> </w:t>
      </w:r>
      <w:r w:rsidR="00F32B28" w:rsidRPr="00F32B28">
        <w:rPr>
          <w:rtl/>
        </w:rPr>
        <w:t>متابعته</w:t>
      </w:r>
      <w:r w:rsidR="00F32B28">
        <w:rPr>
          <w:rtl/>
        </w:rPr>
        <w:t xml:space="preserve"> </w:t>
      </w:r>
      <w:r w:rsidR="00F32B28" w:rsidRPr="00F32B28">
        <w:rPr>
          <w:rtl/>
        </w:rPr>
        <w:t>لتعزيز</w:t>
      </w:r>
      <w:r w:rsidR="00F32B28">
        <w:rPr>
          <w:rtl/>
        </w:rPr>
        <w:t xml:space="preserve"> </w:t>
      </w:r>
      <w:r w:rsidR="00F32B28" w:rsidRPr="00F32B28">
        <w:rPr>
          <w:rtl/>
        </w:rPr>
        <w:t>حقوق</w:t>
      </w:r>
      <w:r w:rsidR="00F32B28">
        <w:rPr>
          <w:rtl/>
        </w:rPr>
        <w:t xml:space="preserve"> </w:t>
      </w:r>
      <w:r w:rsidR="00F32B28" w:rsidRPr="00F32B28">
        <w:rPr>
          <w:rtl/>
        </w:rPr>
        <w:t>المرأة</w:t>
      </w:r>
      <w:r w:rsidR="00F32B28">
        <w:rPr>
          <w:rtl/>
        </w:rPr>
        <w:t xml:space="preserve"> </w:t>
      </w:r>
      <w:r w:rsidR="00F32B28" w:rsidRPr="00F32B28">
        <w:rPr>
          <w:rtl/>
        </w:rPr>
        <w:t>ومناهضة</w:t>
      </w:r>
      <w:r w:rsidR="00F32B28">
        <w:rPr>
          <w:rtl/>
        </w:rPr>
        <w:t xml:space="preserve"> </w:t>
      </w:r>
      <w:r w:rsidR="00F32B28" w:rsidRPr="00F32B28">
        <w:rPr>
          <w:rtl/>
        </w:rPr>
        <w:t>العنف</w:t>
      </w:r>
      <w:r w:rsidR="00F32B28">
        <w:rPr>
          <w:rtl/>
        </w:rPr>
        <w:t xml:space="preserve"> </w:t>
      </w:r>
      <w:r w:rsidR="00F32B28" w:rsidRPr="00F32B28">
        <w:rPr>
          <w:rtl/>
        </w:rPr>
        <w:t>ضدها</w:t>
      </w:r>
      <w:r w:rsidR="00F32B28">
        <w:rPr>
          <w:rtl/>
        </w:rPr>
        <w:t xml:space="preserve"> </w:t>
      </w:r>
      <w:r w:rsidR="00F32B28" w:rsidRPr="00F32B28">
        <w:rPr>
          <w:rtl/>
        </w:rPr>
        <w:t>والتي</w:t>
      </w:r>
      <w:r w:rsidR="00F32B28">
        <w:rPr>
          <w:rtl/>
        </w:rPr>
        <w:t xml:space="preserve"> </w:t>
      </w:r>
      <w:r w:rsidR="00F32B28" w:rsidRPr="00F32B28">
        <w:rPr>
          <w:rtl/>
        </w:rPr>
        <w:t>استهدفت</w:t>
      </w:r>
      <w:r w:rsidR="00F32B28">
        <w:rPr>
          <w:rtl/>
        </w:rPr>
        <w:t xml:space="preserve"> </w:t>
      </w:r>
      <w:r w:rsidR="00F32B28" w:rsidRPr="00F32B28">
        <w:rPr>
          <w:rtl/>
        </w:rPr>
        <w:t>فئات</w:t>
      </w:r>
      <w:r w:rsidR="00F32B28">
        <w:rPr>
          <w:rtl/>
        </w:rPr>
        <w:t xml:space="preserve"> </w:t>
      </w:r>
      <w:r w:rsidR="00F32B28" w:rsidRPr="00F32B28">
        <w:rPr>
          <w:rtl/>
        </w:rPr>
        <w:t>من</w:t>
      </w:r>
      <w:r w:rsidR="00F32B28">
        <w:rPr>
          <w:rtl/>
        </w:rPr>
        <w:t xml:space="preserve"> </w:t>
      </w:r>
      <w:r w:rsidR="00F32B28" w:rsidRPr="00F32B28">
        <w:rPr>
          <w:rtl/>
        </w:rPr>
        <w:t>القضاة</w:t>
      </w:r>
      <w:r w:rsidR="00F32B28">
        <w:rPr>
          <w:rtl/>
        </w:rPr>
        <w:t xml:space="preserve"> </w:t>
      </w:r>
      <w:r w:rsidR="00F32B28" w:rsidRPr="00F32B28">
        <w:rPr>
          <w:rtl/>
        </w:rPr>
        <w:t>الشرعيين،</w:t>
      </w:r>
      <w:r w:rsidR="00F32B28">
        <w:rPr>
          <w:rtl/>
        </w:rPr>
        <w:t xml:space="preserve"> </w:t>
      </w:r>
      <w:r w:rsidR="00F32B28" w:rsidRPr="00F32B28">
        <w:rPr>
          <w:rtl/>
        </w:rPr>
        <w:t>وأعضاء</w:t>
      </w:r>
      <w:r w:rsidR="00F32B28">
        <w:rPr>
          <w:rtl/>
        </w:rPr>
        <w:t xml:space="preserve"> </w:t>
      </w:r>
      <w:r w:rsidR="00F32B28" w:rsidRPr="00F32B28">
        <w:rPr>
          <w:rtl/>
        </w:rPr>
        <w:t>النيابة</w:t>
      </w:r>
      <w:r w:rsidR="00F32B28">
        <w:rPr>
          <w:rtl/>
        </w:rPr>
        <w:t xml:space="preserve"> </w:t>
      </w:r>
      <w:r w:rsidR="00F32B28" w:rsidRPr="00F32B28">
        <w:rPr>
          <w:rtl/>
        </w:rPr>
        <w:t>العامة،</w:t>
      </w:r>
      <w:r w:rsidR="00F32B28">
        <w:rPr>
          <w:rtl/>
        </w:rPr>
        <w:t xml:space="preserve"> </w:t>
      </w:r>
      <w:r w:rsidR="00F32B28" w:rsidRPr="00F32B28">
        <w:rPr>
          <w:rtl/>
        </w:rPr>
        <w:t>وكذلك</w:t>
      </w:r>
      <w:r w:rsidR="00F32B28">
        <w:rPr>
          <w:rtl/>
        </w:rPr>
        <w:t xml:space="preserve"> </w:t>
      </w:r>
      <w:r w:rsidR="00F32B28" w:rsidRPr="00F32B28">
        <w:rPr>
          <w:rtl/>
        </w:rPr>
        <w:t>أفراد</w:t>
      </w:r>
      <w:r w:rsidR="00F32B28">
        <w:rPr>
          <w:rtl/>
        </w:rPr>
        <w:t xml:space="preserve"> </w:t>
      </w:r>
      <w:r w:rsidR="00F32B28" w:rsidRPr="00F32B28">
        <w:rPr>
          <w:rtl/>
        </w:rPr>
        <w:t>من</w:t>
      </w:r>
      <w:r w:rsidR="00F32B28">
        <w:rPr>
          <w:rtl/>
        </w:rPr>
        <w:t xml:space="preserve"> </w:t>
      </w:r>
      <w:r w:rsidR="00F32B28" w:rsidRPr="00F32B28">
        <w:rPr>
          <w:rtl/>
        </w:rPr>
        <w:t>الشرطة</w:t>
      </w:r>
      <w:r w:rsidR="00F32B28">
        <w:rPr>
          <w:rtl/>
        </w:rPr>
        <w:t xml:space="preserve"> </w:t>
      </w:r>
      <w:r w:rsidR="00F32B28" w:rsidRPr="00F32B28">
        <w:rPr>
          <w:rtl/>
        </w:rPr>
        <w:t>المدنية</w:t>
      </w:r>
      <w:r w:rsidR="00F32B28">
        <w:rPr>
          <w:rtl/>
        </w:rPr>
        <w:t xml:space="preserve"> </w:t>
      </w:r>
      <w:r w:rsidR="00F32B28" w:rsidRPr="00F32B28">
        <w:rPr>
          <w:rtl/>
        </w:rPr>
        <w:t>الفلسطينية.</w:t>
      </w:r>
    </w:p>
    <w:p w:rsidR="00F32B28" w:rsidRPr="00F32B28" w:rsidRDefault="00B80192" w:rsidP="00B73D93">
      <w:pPr>
        <w:pStyle w:val="SingleTxt"/>
      </w:pPr>
      <w:r>
        <w:rPr>
          <w:rFonts w:hint="cs"/>
          <w:rtl/>
        </w:rPr>
        <w:t>98 -</w:t>
      </w:r>
      <w:r>
        <w:rPr>
          <w:rFonts w:hint="cs"/>
          <w:rtl/>
        </w:rPr>
        <w:tab/>
      </w:r>
      <w:r w:rsidR="00F32B28" w:rsidRPr="00F32B28">
        <w:rPr>
          <w:rtl/>
        </w:rPr>
        <w:t>ومنذ</w:t>
      </w:r>
      <w:r w:rsidR="00F32B28">
        <w:rPr>
          <w:rtl/>
        </w:rPr>
        <w:t xml:space="preserve"> </w:t>
      </w:r>
      <w:r w:rsidR="00846FB9">
        <w:rPr>
          <w:rFonts w:hint="cs"/>
          <w:rtl/>
        </w:rPr>
        <w:t>كانون الثاني/</w:t>
      </w:r>
      <w:r w:rsidR="00F32B28" w:rsidRPr="00F32B28">
        <w:rPr>
          <w:rtl/>
        </w:rPr>
        <w:t>يناير</w:t>
      </w:r>
      <w:r w:rsidR="00F32B28">
        <w:rPr>
          <w:rtl/>
        </w:rPr>
        <w:t xml:space="preserve"> </w:t>
      </w:r>
      <w:r w:rsidR="00F32B28" w:rsidRPr="00F32B28">
        <w:rPr>
          <w:rtl/>
        </w:rPr>
        <w:t>2017،</w:t>
      </w:r>
      <w:r w:rsidR="00F32B28">
        <w:rPr>
          <w:rtl/>
        </w:rPr>
        <w:t xml:space="preserve"> </w:t>
      </w:r>
      <w:r w:rsidR="00F32B28" w:rsidRPr="00F32B28">
        <w:rPr>
          <w:rtl/>
        </w:rPr>
        <w:t>أعفيت</w:t>
      </w:r>
      <w:r w:rsidR="00F32B28">
        <w:rPr>
          <w:rtl/>
        </w:rPr>
        <w:t xml:space="preserve"> </w:t>
      </w:r>
      <w:r w:rsidR="00F32B28" w:rsidRPr="00F32B28">
        <w:rPr>
          <w:rtl/>
        </w:rPr>
        <w:t>النساء</w:t>
      </w:r>
      <w:r w:rsidR="00F32B28">
        <w:rPr>
          <w:rtl/>
        </w:rPr>
        <w:t xml:space="preserve"> </w:t>
      </w:r>
      <w:r w:rsidR="00F32B28" w:rsidRPr="00F32B28">
        <w:rPr>
          <w:rtl/>
        </w:rPr>
        <w:t>ضحايا</w:t>
      </w:r>
      <w:r w:rsidR="00F32B28">
        <w:rPr>
          <w:rtl/>
        </w:rPr>
        <w:t xml:space="preserve"> </w:t>
      </w:r>
      <w:r w:rsidR="00F32B28" w:rsidRPr="00F32B28">
        <w:rPr>
          <w:rtl/>
        </w:rPr>
        <w:t>العنف</w:t>
      </w:r>
      <w:r w:rsidR="00F32B28">
        <w:rPr>
          <w:rtl/>
        </w:rPr>
        <w:t xml:space="preserve"> </w:t>
      </w:r>
      <w:r w:rsidR="00F32B28" w:rsidRPr="00F32B28">
        <w:rPr>
          <w:rtl/>
        </w:rPr>
        <w:t>من</w:t>
      </w:r>
      <w:r w:rsidR="00F32B28">
        <w:rPr>
          <w:rtl/>
        </w:rPr>
        <w:t xml:space="preserve"> </w:t>
      </w:r>
      <w:r w:rsidR="00F32B28" w:rsidRPr="00F32B28">
        <w:rPr>
          <w:rtl/>
        </w:rPr>
        <w:t>كافة</w:t>
      </w:r>
      <w:r w:rsidR="00F32B28">
        <w:rPr>
          <w:rtl/>
        </w:rPr>
        <w:t xml:space="preserve"> </w:t>
      </w:r>
      <w:r w:rsidR="00F32B28" w:rsidRPr="00F32B28">
        <w:rPr>
          <w:rtl/>
        </w:rPr>
        <w:t>رسوم</w:t>
      </w:r>
      <w:r w:rsidR="00F32B28">
        <w:rPr>
          <w:rtl/>
        </w:rPr>
        <w:t xml:space="preserve"> </w:t>
      </w:r>
      <w:r w:rsidR="00F32B28" w:rsidRPr="00F32B28">
        <w:rPr>
          <w:rtl/>
        </w:rPr>
        <w:t>التقارير</w:t>
      </w:r>
      <w:r w:rsidR="00F32B28">
        <w:rPr>
          <w:rtl/>
        </w:rPr>
        <w:t xml:space="preserve"> </w:t>
      </w:r>
      <w:r w:rsidR="00F32B28" w:rsidRPr="00F32B28">
        <w:rPr>
          <w:rtl/>
        </w:rPr>
        <w:t>الطبية</w:t>
      </w:r>
      <w:r w:rsidR="00F32B28">
        <w:rPr>
          <w:rtl/>
        </w:rPr>
        <w:t xml:space="preserve"> </w:t>
      </w:r>
      <w:r w:rsidR="00F32B28" w:rsidRPr="00F32B28">
        <w:rPr>
          <w:rtl/>
        </w:rPr>
        <w:t>الصادرة</w:t>
      </w:r>
      <w:r w:rsidR="00F32B28">
        <w:rPr>
          <w:rtl/>
        </w:rPr>
        <w:t xml:space="preserve"> </w:t>
      </w:r>
      <w:r w:rsidR="00F32B28" w:rsidRPr="00F32B28">
        <w:rPr>
          <w:rtl/>
        </w:rPr>
        <w:t>عن</w:t>
      </w:r>
      <w:r w:rsidR="00F32B28">
        <w:rPr>
          <w:rtl/>
        </w:rPr>
        <w:t xml:space="preserve"> </w:t>
      </w:r>
      <w:r w:rsidR="00F32B28" w:rsidRPr="00F32B28">
        <w:rPr>
          <w:rtl/>
        </w:rPr>
        <w:t>المشافي</w:t>
      </w:r>
      <w:r w:rsidR="00F32B28">
        <w:rPr>
          <w:rtl/>
        </w:rPr>
        <w:t xml:space="preserve"> </w:t>
      </w:r>
      <w:r w:rsidR="00F32B28" w:rsidRPr="00F32B28">
        <w:rPr>
          <w:rtl/>
        </w:rPr>
        <w:t>الحكومية</w:t>
      </w:r>
      <w:r w:rsidR="00F32B28">
        <w:rPr>
          <w:rtl/>
        </w:rPr>
        <w:t xml:space="preserve"> </w:t>
      </w:r>
      <w:r w:rsidR="00F32B28" w:rsidRPr="00F32B28">
        <w:rPr>
          <w:rtl/>
        </w:rPr>
        <w:t>بموجب</w:t>
      </w:r>
      <w:r w:rsidR="00F32B28">
        <w:rPr>
          <w:rtl/>
        </w:rPr>
        <w:t xml:space="preserve"> </w:t>
      </w:r>
      <w:r w:rsidR="00F32B28" w:rsidRPr="00F32B28">
        <w:rPr>
          <w:rtl/>
        </w:rPr>
        <w:t>قرار</w:t>
      </w:r>
      <w:r w:rsidR="00F32B28">
        <w:rPr>
          <w:rtl/>
        </w:rPr>
        <w:t xml:space="preserve"> </w:t>
      </w:r>
      <w:r w:rsidR="00F32B28" w:rsidRPr="00F32B28">
        <w:rPr>
          <w:rtl/>
        </w:rPr>
        <w:t>صادر</w:t>
      </w:r>
      <w:r w:rsidR="00F32B28">
        <w:rPr>
          <w:rtl/>
        </w:rPr>
        <w:t xml:space="preserve"> </w:t>
      </w:r>
      <w:r w:rsidR="00F32B28" w:rsidRPr="00F32B28">
        <w:rPr>
          <w:rtl/>
        </w:rPr>
        <w:t>عن</w:t>
      </w:r>
      <w:r w:rsidR="00F32B28">
        <w:rPr>
          <w:rtl/>
        </w:rPr>
        <w:t xml:space="preserve"> </w:t>
      </w:r>
      <w:r w:rsidR="00F32B28" w:rsidRPr="00F32B28">
        <w:rPr>
          <w:rtl/>
        </w:rPr>
        <w:t>وزير</w:t>
      </w:r>
      <w:r w:rsidR="00F32B28">
        <w:rPr>
          <w:rtl/>
        </w:rPr>
        <w:t xml:space="preserve"> </w:t>
      </w:r>
      <w:r w:rsidR="00F32B28" w:rsidRPr="00F32B28">
        <w:rPr>
          <w:rtl/>
        </w:rPr>
        <w:t>الصحة،</w:t>
      </w:r>
      <w:r w:rsidR="00F32B28" w:rsidRPr="00F32B28">
        <w:rPr>
          <w:rtl/>
          <w:lang w:bidi="ar-SY"/>
        </w:rPr>
        <w:t>وذلك</w:t>
      </w:r>
      <w:r w:rsidR="00F32B28">
        <w:rPr>
          <w:rtl/>
          <w:lang w:bidi="ar-SY"/>
        </w:rPr>
        <w:t xml:space="preserve"> </w:t>
      </w:r>
      <w:r w:rsidR="00F32B28" w:rsidRPr="00F32B28">
        <w:rPr>
          <w:rtl/>
        </w:rPr>
        <w:t>انسجاما</w:t>
      </w:r>
      <w:r w:rsidR="00F32B28">
        <w:rPr>
          <w:rtl/>
        </w:rPr>
        <w:t xml:space="preserve"> </w:t>
      </w:r>
      <w:r w:rsidR="00F32B28" w:rsidRPr="00F32B28">
        <w:rPr>
          <w:rtl/>
        </w:rPr>
        <w:t>مع</w:t>
      </w:r>
      <w:r w:rsidR="00F32B28">
        <w:rPr>
          <w:rtl/>
        </w:rPr>
        <w:t xml:space="preserve"> </w:t>
      </w:r>
      <w:r w:rsidR="00F32B28" w:rsidRPr="00F32B28">
        <w:rPr>
          <w:rtl/>
        </w:rPr>
        <w:t>السياسة</w:t>
      </w:r>
      <w:r w:rsidR="00F32B28">
        <w:rPr>
          <w:rtl/>
        </w:rPr>
        <w:t xml:space="preserve"> </w:t>
      </w:r>
      <w:r w:rsidR="00F32B28" w:rsidRPr="00F32B28">
        <w:rPr>
          <w:rtl/>
        </w:rPr>
        <w:t>العامة</w:t>
      </w:r>
      <w:r w:rsidR="00F32B28">
        <w:rPr>
          <w:rtl/>
        </w:rPr>
        <w:t xml:space="preserve"> </w:t>
      </w:r>
      <w:r w:rsidR="00F32B28" w:rsidRPr="00F32B28">
        <w:rPr>
          <w:rtl/>
        </w:rPr>
        <w:t>للحكومة</w:t>
      </w:r>
      <w:r w:rsidR="00F32B28">
        <w:rPr>
          <w:rtl/>
        </w:rPr>
        <w:t xml:space="preserve"> </w:t>
      </w:r>
      <w:r w:rsidR="00F32B28" w:rsidRPr="00F32B28">
        <w:rPr>
          <w:rtl/>
        </w:rPr>
        <w:t>الفلسطينية</w:t>
      </w:r>
      <w:r w:rsidR="00F32B28">
        <w:rPr>
          <w:rtl/>
        </w:rPr>
        <w:t xml:space="preserve"> </w:t>
      </w:r>
      <w:r w:rsidR="00F32B28" w:rsidRPr="00F32B28">
        <w:rPr>
          <w:rtl/>
        </w:rPr>
        <w:t>في</w:t>
      </w:r>
      <w:r w:rsidR="00F32B28">
        <w:rPr>
          <w:rtl/>
        </w:rPr>
        <w:t xml:space="preserve"> </w:t>
      </w:r>
      <w:r w:rsidR="00F32B28" w:rsidRPr="00F32B28">
        <w:rPr>
          <w:rtl/>
        </w:rPr>
        <w:t>دعم</w:t>
      </w:r>
      <w:r w:rsidR="00F32B28">
        <w:rPr>
          <w:rtl/>
        </w:rPr>
        <w:t xml:space="preserve"> </w:t>
      </w:r>
      <w:r w:rsidR="00F32B28" w:rsidRPr="00F32B28">
        <w:rPr>
          <w:rtl/>
        </w:rPr>
        <w:t>النساء</w:t>
      </w:r>
      <w:r w:rsidR="00F32B28">
        <w:rPr>
          <w:rtl/>
        </w:rPr>
        <w:t xml:space="preserve"> </w:t>
      </w:r>
      <w:r w:rsidR="00F32B28" w:rsidRPr="00F32B28">
        <w:rPr>
          <w:rtl/>
        </w:rPr>
        <w:t>وتمكينهن،</w:t>
      </w:r>
      <w:r w:rsidR="00F32B28">
        <w:rPr>
          <w:rtl/>
        </w:rPr>
        <w:t xml:space="preserve"> </w:t>
      </w:r>
      <w:r w:rsidR="00F32B28" w:rsidRPr="00F32B28">
        <w:rPr>
          <w:rtl/>
        </w:rPr>
        <w:t>إضافة</w:t>
      </w:r>
      <w:r w:rsidR="00F32B28">
        <w:rPr>
          <w:rtl/>
        </w:rPr>
        <w:t xml:space="preserve"> </w:t>
      </w:r>
      <w:r w:rsidR="00F32B28" w:rsidRPr="00F32B28">
        <w:rPr>
          <w:rtl/>
        </w:rPr>
        <w:t>إلى</w:t>
      </w:r>
      <w:r w:rsidR="00F32B28">
        <w:rPr>
          <w:rtl/>
        </w:rPr>
        <w:t xml:space="preserve"> </w:t>
      </w:r>
      <w:r w:rsidR="00F32B28" w:rsidRPr="00F32B28">
        <w:rPr>
          <w:rtl/>
        </w:rPr>
        <w:t>تبني</w:t>
      </w:r>
      <w:r w:rsidR="00F32B28">
        <w:rPr>
          <w:rtl/>
        </w:rPr>
        <w:t xml:space="preserve"> </w:t>
      </w:r>
      <w:r w:rsidR="00F32B28" w:rsidRPr="00F32B28">
        <w:rPr>
          <w:rtl/>
        </w:rPr>
        <w:t>وزارة</w:t>
      </w:r>
      <w:r w:rsidR="00F32B28">
        <w:rPr>
          <w:rtl/>
        </w:rPr>
        <w:t xml:space="preserve"> </w:t>
      </w:r>
      <w:r w:rsidR="00F32B28" w:rsidRPr="00F32B28">
        <w:rPr>
          <w:rtl/>
        </w:rPr>
        <w:t>الصحة</w:t>
      </w:r>
      <w:r w:rsidR="00F32B28">
        <w:rPr>
          <w:rtl/>
        </w:rPr>
        <w:t xml:space="preserve"> </w:t>
      </w:r>
      <w:r w:rsidR="00F32B28" w:rsidRPr="00F32B28">
        <w:rPr>
          <w:rtl/>
        </w:rPr>
        <w:t>لعدد</w:t>
      </w:r>
      <w:r w:rsidR="00F32B28">
        <w:rPr>
          <w:rtl/>
        </w:rPr>
        <w:t xml:space="preserve"> </w:t>
      </w:r>
      <w:r w:rsidR="00F32B28" w:rsidRPr="00F32B28">
        <w:rPr>
          <w:rtl/>
        </w:rPr>
        <w:t>من</w:t>
      </w:r>
      <w:r w:rsidR="00F32B28">
        <w:rPr>
          <w:rtl/>
        </w:rPr>
        <w:t xml:space="preserve"> </w:t>
      </w:r>
      <w:r w:rsidR="00F32B28" w:rsidRPr="00F32B28">
        <w:rPr>
          <w:rtl/>
        </w:rPr>
        <w:t>الإجراءات</w:t>
      </w:r>
      <w:r w:rsidR="00F32B28">
        <w:rPr>
          <w:rtl/>
        </w:rPr>
        <w:t xml:space="preserve"> </w:t>
      </w:r>
      <w:r w:rsidR="00F32B28" w:rsidRPr="00F32B28">
        <w:rPr>
          <w:rtl/>
        </w:rPr>
        <w:t>اللازمة</w:t>
      </w:r>
      <w:r w:rsidR="00F32B28">
        <w:rPr>
          <w:rtl/>
        </w:rPr>
        <w:t xml:space="preserve"> </w:t>
      </w:r>
      <w:r w:rsidR="00F32B28" w:rsidRPr="00F32B28">
        <w:rPr>
          <w:rtl/>
        </w:rPr>
        <w:t>لتسريع</w:t>
      </w:r>
      <w:r w:rsidR="00F32B28">
        <w:rPr>
          <w:rtl/>
        </w:rPr>
        <w:t xml:space="preserve"> </w:t>
      </w:r>
      <w:r w:rsidR="00F32B28" w:rsidRPr="00F32B28">
        <w:rPr>
          <w:rtl/>
        </w:rPr>
        <w:t>المعاملات</w:t>
      </w:r>
      <w:r w:rsidR="00F32B28">
        <w:rPr>
          <w:rtl/>
        </w:rPr>
        <w:t xml:space="preserve"> </w:t>
      </w:r>
      <w:r w:rsidR="00F32B28" w:rsidRPr="00F32B28">
        <w:rPr>
          <w:rtl/>
        </w:rPr>
        <w:t>الخاصة</w:t>
      </w:r>
      <w:r w:rsidR="00F32B28">
        <w:rPr>
          <w:rtl/>
        </w:rPr>
        <w:t xml:space="preserve"> </w:t>
      </w:r>
      <w:r w:rsidR="00F32B28" w:rsidRPr="00F32B28">
        <w:rPr>
          <w:rtl/>
        </w:rPr>
        <w:t>بهن</w:t>
      </w:r>
      <w:r w:rsidR="00F32B28">
        <w:rPr>
          <w:rtl/>
        </w:rPr>
        <w:t xml:space="preserve"> </w:t>
      </w:r>
      <w:r w:rsidR="00F32B28" w:rsidRPr="00F32B28">
        <w:rPr>
          <w:rtl/>
        </w:rPr>
        <w:t>ومتابعة</w:t>
      </w:r>
      <w:r w:rsidR="00F32B28">
        <w:rPr>
          <w:rtl/>
        </w:rPr>
        <w:t xml:space="preserve"> </w:t>
      </w:r>
      <w:r w:rsidR="00F32B28" w:rsidRPr="00F32B28">
        <w:rPr>
          <w:rtl/>
        </w:rPr>
        <w:t>كافة</w:t>
      </w:r>
      <w:r w:rsidR="00F32B28">
        <w:rPr>
          <w:rtl/>
        </w:rPr>
        <w:t xml:space="preserve"> </w:t>
      </w:r>
      <w:r w:rsidR="00F32B28" w:rsidRPr="00F32B28">
        <w:rPr>
          <w:rtl/>
        </w:rPr>
        <w:t>القضايا</w:t>
      </w:r>
      <w:r w:rsidR="00F32B28">
        <w:rPr>
          <w:rtl/>
        </w:rPr>
        <w:t xml:space="preserve"> </w:t>
      </w:r>
      <w:r w:rsidR="00F32B28" w:rsidRPr="00F32B28">
        <w:rPr>
          <w:rtl/>
        </w:rPr>
        <w:t>الصحية</w:t>
      </w:r>
      <w:r w:rsidR="00F32B28">
        <w:rPr>
          <w:rtl/>
        </w:rPr>
        <w:t xml:space="preserve"> </w:t>
      </w:r>
      <w:r w:rsidR="00F32B28" w:rsidRPr="00F32B28">
        <w:rPr>
          <w:rtl/>
        </w:rPr>
        <w:t>والنفسية</w:t>
      </w:r>
      <w:r w:rsidR="00F32B28">
        <w:rPr>
          <w:rtl/>
        </w:rPr>
        <w:t xml:space="preserve"> </w:t>
      </w:r>
      <w:r w:rsidR="00F32B28" w:rsidRPr="00F32B28">
        <w:rPr>
          <w:rtl/>
        </w:rPr>
        <w:t>والقانونية</w:t>
      </w:r>
      <w:r w:rsidR="00F32B28">
        <w:rPr>
          <w:rtl/>
        </w:rPr>
        <w:t xml:space="preserve"> </w:t>
      </w:r>
      <w:r w:rsidR="00F32B28" w:rsidRPr="00F32B28">
        <w:rPr>
          <w:rtl/>
        </w:rPr>
        <w:t>المتعلقة</w:t>
      </w:r>
      <w:r w:rsidR="00F32B28">
        <w:rPr>
          <w:rtl/>
        </w:rPr>
        <w:t xml:space="preserve"> </w:t>
      </w:r>
      <w:r w:rsidR="00F32B28" w:rsidRPr="00F32B28">
        <w:rPr>
          <w:rtl/>
        </w:rPr>
        <w:t>بصحة</w:t>
      </w:r>
      <w:r w:rsidR="00F32B28">
        <w:rPr>
          <w:rtl/>
        </w:rPr>
        <w:t xml:space="preserve"> </w:t>
      </w:r>
      <w:r w:rsidR="00F32B28" w:rsidRPr="00F32B28">
        <w:rPr>
          <w:rtl/>
        </w:rPr>
        <w:t>المرأة</w:t>
      </w:r>
      <w:r w:rsidR="00F32B28">
        <w:rPr>
          <w:rtl/>
        </w:rPr>
        <w:t xml:space="preserve"> </w:t>
      </w:r>
      <w:r w:rsidR="00F32B28" w:rsidRPr="00F32B28">
        <w:rPr>
          <w:rtl/>
        </w:rPr>
        <w:t>وسلامتها.</w:t>
      </w:r>
    </w:p>
    <w:p w:rsidR="00B73D93" w:rsidRPr="00B73D93" w:rsidRDefault="00B73D93" w:rsidP="00B73D93">
      <w:pPr>
        <w:pStyle w:val="SingleTxt"/>
        <w:spacing w:after="0" w:line="120" w:lineRule="exact"/>
        <w:rPr>
          <w:b/>
          <w:bCs/>
          <w:sz w:val="10"/>
          <w:rtl/>
        </w:rPr>
      </w:pPr>
    </w:p>
    <w:p w:rsidR="00F32B28" w:rsidRPr="00F32B28" w:rsidRDefault="00F32B28" w:rsidP="00B73D93">
      <w:pPr>
        <w:pStyle w:val="SingleTxt"/>
        <w:rPr>
          <w:b/>
          <w:bCs/>
        </w:rPr>
      </w:pPr>
      <w:r w:rsidRPr="00F32B28">
        <w:rPr>
          <w:b/>
          <w:bCs/>
          <w:rtl/>
        </w:rPr>
        <w:lastRenderedPageBreak/>
        <w:t>المادة</w:t>
      </w:r>
      <w:r>
        <w:rPr>
          <w:b/>
          <w:bCs/>
          <w:rtl/>
        </w:rPr>
        <w:t xml:space="preserve"> </w:t>
      </w:r>
      <w:r w:rsidRPr="00F32B28">
        <w:rPr>
          <w:b/>
          <w:bCs/>
          <w:rtl/>
        </w:rPr>
        <w:t>(</w:t>
      </w:r>
      <w:r w:rsidR="00B73D93">
        <w:rPr>
          <w:rFonts w:hint="cs"/>
          <w:b/>
          <w:bCs/>
          <w:rtl/>
        </w:rPr>
        <w:t>6</w:t>
      </w:r>
      <w:r w:rsidRPr="00F32B28">
        <w:rPr>
          <w:b/>
          <w:bCs/>
          <w:rtl/>
        </w:rPr>
        <w:t>)</w:t>
      </w:r>
      <w:r w:rsidR="00B73D93">
        <w:rPr>
          <w:rFonts w:hint="cs"/>
          <w:b/>
          <w:bCs/>
          <w:rtl/>
        </w:rPr>
        <w:tab/>
      </w:r>
      <w:r w:rsidR="00B73D93">
        <w:rPr>
          <w:rFonts w:hint="cs"/>
          <w:b/>
          <w:bCs/>
          <w:rtl/>
        </w:rPr>
        <w:br/>
      </w:r>
      <w:r w:rsidRPr="00F32B28">
        <w:rPr>
          <w:b/>
          <w:bCs/>
          <w:rtl/>
          <w:lang w:bidi="ar-LB"/>
        </w:rPr>
        <w:t>مكافحة</w:t>
      </w:r>
      <w:r>
        <w:rPr>
          <w:b/>
          <w:bCs/>
          <w:rtl/>
          <w:lang w:bidi="ar-LB"/>
        </w:rPr>
        <w:t xml:space="preserve"> </w:t>
      </w:r>
      <w:r w:rsidRPr="00F32B28">
        <w:rPr>
          <w:b/>
          <w:bCs/>
          <w:rtl/>
          <w:lang w:bidi="ar-LB"/>
        </w:rPr>
        <w:t>الاتجار</w:t>
      </w:r>
      <w:r>
        <w:rPr>
          <w:b/>
          <w:bCs/>
          <w:rtl/>
          <w:lang w:bidi="ar-LB"/>
        </w:rPr>
        <w:t xml:space="preserve"> </w:t>
      </w:r>
      <w:r w:rsidRPr="00F32B28">
        <w:rPr>
          <w:b/>
          <w:bCs/>
          <w:rtl/>
          <w:lang w:bidi="ar-LB"/>
        </w:rPr>
        <w:t>بالمرأة</w:t>
      </w:r>
      <w:r>
        <w:rPr>
          <w:b/>
          <w:bCs/>
          <w:rtl/>
          <w:lang w:bidi="ar-LB"/>
        </w:rPr>
        <w:t xml:space="preserve"> </w:t>
      </w:r>
      <w:r w:rsidRPr="00F32B28">
        <w:rPr>
          <w:b/>
          <w:bCs/>
          <w:rtl/>
          <w:lang w:bidi="ar-LB"/>
        </w:rPr>
        <w:t>واستغلالها</w:t>
      </w:r>
    </w:p>
    <w:p w:rsidR="00F32B28" w:rsidRPr="00F32B28" w:rsidRDefault="00B80192" w:rsidP="00B73D93">
      <w:pPr>
        <w:pStyle w:val="SingleTxt"/>
        <w:rPr>
          <w:rtl/>
        </w:rPr>
      </w:pPr>
      <w:r>
        <w:rPr>
          <w:rFonts w:hint="cs"/>
          <w:rtl/>
          <w:lang w:bidi="ar-AE"/>
        </w:rPr>
        <w:t>99 -</w:t>
      </w:r>
      <w:r>
        <w:rPr>
          <w:rFonts w:hint="cs"/>
          <w:rtl/>
          <w:lang w:bidi="ar-AE"/>
        </w:rPr>
        <w:tab/>
      </w:r>
      <w:r w:rsidR="00F32B28" w:rsidRPr="00F32B28">
        <w:rPr>
          <w:rtl/>
          <w:lang w:bidi="ar-AE"/>
        </w:rPr>
        <w:t>وفقاً</w:t>
      </w:r>
      <w:r w:rsidR="00F32B28">
        <w:rPr>
          <w:rtl/>
          <w:lang w:bidi="ar-AE"/>
        </w:rPr>
        <w:t xml:space="preserve"> </w:t>
      </w:r>
      <w:r w:rsidR="00F32B28" w:rsidRPr="00F32B28">
        <w:rPr>
          <w:rtl/>
          <w:lang w:bidi="ar-SY"/>
        </w:rPr>
        <w:t>للتشريعات</w:t>
      </w:r>
      <w:r w:rsidR="00F32B28">
        <w:rPr>
          <w:rtl/>
          <w:lang w:bidi="ar-SY"/>
        </w:rPr>
        <w:t xml:space="preserve"> </w:t>
      </w:r>
      <w:r w:rsidR="00F32B28" w:rsidRPr="00F32B28">
        <w:rPr>
          <w:rtl/>
          <w:lang w:bidi="ar-SY"/>
        </w:rPr>
        <w:t>العقابية</w:t>
      </w:r>
      <w:r w:rsidR="00F32B28">
        <w:rPr>
          <w:rtl/>
          <w:lang w:bidi="ar-SY"/>
        </w:rPr>
        <w:t xml:space="preserve"> </w:t>
      </w:r>
      <w:r w:rsidR="00F32B28" w:rsidRPr="00F32B28">
        <w:rPr>
          <w:rtl/>
          <w:lang w:bidi="ar-SY"/>
        </w:rPr>
        <w:t>السارية</w:t>
      </w:r>
      <w:r w:rsidR="00362769">
        <w:rPr>
          <w:rFonts w:hint="cs"/>
          <w:rtl/>
          <w:lang w:bidi="ar-SY"/>
        </w:rPr>
        <w:t xml:space="preserve"> </w:t>
      </w:r>
      <w:r w:rsidR="00F32B28" w:rsidRPr="00F32B28">
        <w:rPr>
          <w:rtl/>
          <w:lang w:bidi="ar-SY"/>
        </w:rPr>
        <w:t>تعتبر</w:t>
      </w:r>
      <w:r w:rsidR="00F32B28">
        <w:rPr>
          <w:rtl/>
          <w:lang w:bidi="ar-SY"/>
        </w:rPr>
        <w:t xml:space="preserve"> </w:t>
      </w:r>
      <w:r w:rsidR="00F32B28" w:rsidRPr="00F32B28">
        <w:rPr>
          <w:rtl/>
        </w:rPr>
        <w:t>الدعارة</w:t>
      </w:r>
      <w:r w:rsidR="00F32B28">
        <w:rPr>
          <w:rtl/>
        </w:rPr>
        <w:t xml:space="preserve"> </w:t>
      </w:r>
      <w:r w:rsidR="00F32B28" w:rsidRPr="00F32B28">
        <w:rPr>
          <w:rtl/>
        </w:rPr>
        <w:t>فعلاً</w:t>
      </w:r>
      <w:r w:rsidR="00F32B28">
        <w:rPr>
          <w:rtl/>
        </w:rPr>
        <w:t xml:space="preserve"> </w:t>
      </w:r>
      <w:r w:rsidR="00F32B28" w:rsidRPr="00F32B28">
        <w:rPr>
          <w:rtl/>
        </w:rPr>
        <w:t>غير</w:t>
      </w:r>
      <w:r w:rsidR="00F32B28">
        <w:rPr>
          <w:rtl/>
        </w:rPr>
        <w:t xml:space="preserve"> </w:t>
      </w:r>
      <w:r w:rsidR="00F32B28" w:rsidRPr="00F32B28">
        <w:rPr>
          <w:rtl/>
        </w:rPr>
        <w:t>قانوني،</w:t>
      </w:r>
      <w:r w:rsidR="00F32B28">
        <w:rPr>
          <w:rtl/>
        </w:rPr>
        <w:t xml:space="preserve"> </w:t>
      </w:r>
      <w:r w:rsidR="00F32B28" w:rsidRPr="00F32B28">
        <w:rPr>
          <w:rtl/>
        </w:rPr>
        <w:t>ويعاقب</w:t>
      </w:r>
      <w:r w:rsidR="00F32B28">
        <w:rPr>
          <w:rtl/>
        </w:rPr>
        <w:t xml:space="preserve"> </w:t>
      </w:r>
      <w:r w:rsidR="00F32B28" w:rsidRPr="00F32B28">
        <w:rPr>
          <w:rtl/>
        </w:rPr>
        <w:t>على</w:t>
      </w:r>
      <w:r w:rsidR="00F32B28">
        <w:rPr>
          <w:rtl/>
        </w:rPr>
        <w:t xml:space="preserve"> </w:t>
      </w:r>
      <w:r w:rsidR="00F32B28" w:rsidRPr="00F32B28">
        <w:rPr>
          <w:rtl/>
        </w:rPr>
        <w:t>أفعال</w:t>
      </w:r>
      <w:r w:rsidR="00F32B28">
        <w:rPr>
          <w:rtl/>
        </w:rPr>
        <w:t xml:space="preserve"> </w:t>
      </w:r>
      <w:r w:rsidR="00F32B28" w:rsidRPr="00F32B28">
        <w:rPr>
          <w:rtl/>
        </w:rPr>
        <w:t>التحريض</w:t>
      </w:r>
      <w:r w:rsidR="00F32B28">
        <w:rPr>
          <w:rtl/>
        </w:rPr>
        <w:t xml:space="preserve"> </w:t>
      </w:r>
      <w:r w:rsidR="00F32B28" w:rsidRPr="00F32B28">
        <w:rPr>
          <w:rtl/>
        </w:rPr>
        <w:t>عليها</w:t>
      </w:r>
      <w:r w:rsidR="00F32B28">
        <w:rPr>
          <w:rtl/>
        </w:rPr>
        <w:t xml:space="preserve"> </w:t>
      </w:r>
      <w:r w:rsidR="00F32B28" w:rsidRPr="00F32B28">
        <w:rPr>
          <w:rtl/>
        </w:rPr>
        <w:t>والإكراه</w:t>
      </w:r>
      <w:r w:rsidR="00F32B28">
        <w:rPr>
          <w:rtl/>
        </w:rPr>
        <w:t xml:space="preserve"> </w:t>
      </w:r>
      <w:r w:rsidR="00F32B28" w:rsidRPr="00F32B28">
        <w:rPr>
          <w:rtl/>
        </w:rPr>
        <w:t>عليها</w:t>
      </w:r>
      <w:r w:rsidR="00F32B28">
        <w:rPr>
          <w:rtl/>
        </w:rPr>
        <w:t xml:space="preserve"> </w:t>
      </w:r>
      <w:r w:rsidR="00F32B28" w:rsidRPr="00F32B28">
        <w:rPr>
          <w:rtl/>
        </w:rPr>
        <w:t>والاستمرار</w:t>
      </w:r>
      <w:r w:rsidR="00F32B28">
        <w:rPr>
          <w:rtl/>
        </w:rPr>
        <w:t xml:space="preserve"> </w:t>
      </w:r>
      <w:r w:rsidR="00F32B28" w:rsidRPr="00F32B28">
        <w:rPr>
          <w:rtl/>
        </w:rPr>
        <w:t>فيها</w:t>
      </w:r>
      <w:r w:rsidR="00F32B28">
        <w:rPr>
          <w:rtl/>
        </w:rPr>
        <w:t xml:space="preserve"> </w:t>
      </w:r>
      <w:r w:rsidR="00F32B28" w:rsidRPr="00F32B28">
        <w:rPr>
          <w:rtl/>
        </w:rPr>
        <w:t>والإعداد</w:t>
      </w:r>
      <w:r w:rsidR="00F32B28">
        <w:rPr>
          <w:rtl/>
        </w:rPr>
        <w:t xml:space="preserve"> </w:t>
      </w:r>
      <w:r w:rsidR="00F32B28" w:rsidRPr="00F32B28">
        <w:rPr>
          <w:rtl/>
        </w:rPr>
        <w:t>لها</w:t>
      </w:r>
      <w:r w:rsidR="00F32B28">
        <w:rPr>
          <w:rtl/>
        </w:rPr>
        <w:t xml:space="preserve"> </w:t>
      </w:r>
      <w:r w:rsidR="00F32B28" w:rsidRPr="00F32B28">
        <w:rPr>
          <w:rtl/>
        </w:rPr>
        <w:t>والتعيش</w:t>
      </w:r>
      <w:r w:rsidR="00F32B28">
        <w:rPr>
          <w:rtl/>
        </w:rPr>
        <w:t xml:space="preserve"> </w:t>
      </w:r>
      <w:r w:rsidR="00F32B28" w:rsidRPr="00F32B28">
        <w:rPr>
          <w:rtl/>
        </w:rPr>
        <w:t>على</w:t>
      </w:r>
      <w:r w:rsidR="00F32B28">
        <w:rPr>
          <w:rtl/>
        </w:rPr>
        <w:t xml:space="preserve"> </w:t>
      </w:r>
      <w:r w:rsidR="00F32B28" w:rsidRPr="00F32B28">
        <w:rPr>
          <w:rtl/>
        </w:rPr>
        <w:t>الكسب</w:t>
      </w:r>
      <w:r w:rsidR="00F32B28">
        <w:rPr>
          <w:rtl/>
        </w:rPr>
        <w:t xml:space="preserve"> </w:t>
      </w:r>
      <w:r w:rsidR="00F32B28" w:rsidRPr="00F32B28">
        <w:rPr>
          <w:rtl/>
        </w:rPr>
        <w:t>الناتج</w:t>
      </w:r>
      <w:r w:rsidR="00F32B28">
        <w:rPr>
          <w:rtl/>
        </w:rPr>
        <w:t xml:space="preserve"> </w:t>
      </w:r>
      <w:r w:rsidR="00F32B28" w:rsidRPr="00F32B28">
        <w:rPr>
          <w:rtl/>
        </w:rPr>
        <w:t>منها</w:t>
      </w:r>
      <w:r w:rsidR="00F32B28">
        <w:rPr>
          <w:rtl/>
        </w:rPr>
        <w:t xml:space="preserve"> </w:t>
      </w:r>
      <w:r w:rsidR="00F32B28" w:rsidRPr="00F32B28">
        <w:rPr>
          <w:rtl/>
          <w:lang w:bidi="ar-SY"/>
        </w:rPr>
        <w:t>بموجب</w:t>
      </w:r>
      <w:r w:rsidR="00F32B28">
        <w:rPr>
          <w:rtl/>
        </w:rPr>
        <w:t xml:space="preserve"> </w:t>
      </w:r>
      <w:r w:rsidR="00F32B28" w:rsidRPr="00F32B28">
        <w:rPr>
          <w:rtl/>
        </w:rPr>
        <w:t>المواد</w:t>
      </w:r>
      <w:r w:rsidR="00F32B28">
        <w:rPr>
          <w:rtl/>
        </w:rPr>
        <w:t xml:space="preserve"> </w:t>
      </w:r>
      <w:r w:rsidR="00F32B28" w:rsidRPr="00F32B28">
        <w:rPr>
          <w:rtl/>
        </w:rPr>
        <w:t>الواردة</w:t>
      </w:r>
      <w:r w:rsidR="00F32B28">
        <w:rPr>
          <w:rtl/>
        </w:rPr>
        <w:t xml:space="preserve"> </w:t>
      </w:r>
      <w:r w:rsidR="00F32B28" w:rsidRPr="00F32B28">
        <w:rPr>
          <w:rtl/>
          <w:lang w:bidi="ar-SY"/>
        </w:rPr>
        <w:t>في</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rPr>
        <w:t>القوانين</w:t>
      </w:r>
      <w:r w:rsidR="00F32B28">
        <w:rPr>
          <w:rtl/>
        </w:rPr>
        <w:t xml:space="preserve"> </w:t>
      </w:r>
      <w:r w:rsidR="00F32B28" w:rsidRPr="00F32B28">
        <w:rPr>
          <w:rtl/>
        </w:rPr>
        <w:t>تحت</w:t>
      </w:r>
      <w:r w:rsidR="00F32B28">
        <w:rPr>
          <w:rtl/>
        </w:rPr>
        <w:t xml:space="preserve"> </w:t>
      </w:r>
      <w:r w:rsidR="00F32B28" w:rsidRPr="00F32B28">
        <w:rPr>
          <w:rtl/>
        </w:rPr>
        <w:t>فصل</w:t>
      </w:r>
      <w:r w:rsidR="00F32B28">
        <w:rPr>
          <w:rtl/>
        </w:rPr>
        <w:t xml:space="preserve"> </w:t>
      </w:r>
      <w:r w:rsidR="00F32B28" w:rsidRPr="00F32B28">
        <w:rPr>
          <w:rtl/>
        </w:rPr>
        <w:t>الحض</w:t>
      </w:r>
      <w:r w:rsidR="00F32B28">
        <w:rPr>
          <w:rtl/>
        </w:rPr>
        <w:t xml:space="preserve"> </w:t>
      </w:r>
      <w:r w:rsidR="00F32B28" w:rsidRPr="00F32B28">
        <w:rPr>
          <w:rtl/>
        </w:rPr>
        <w:t>على</w:t>
      </w:r>
      <w:r w:rsidR="00F32B28">
        <w:rPr>
          <w:rtl/>
        </w:rPr>
        <w:t xml:space="preserve"> </w:t>
      </w:r>
      <w:r w:rsidR="00F32B28" w:rsidRPr="00F32B28">
        <w:rPr>
          <w:rtl/>
        </w:rPr>
        <w:t>الفجور</w:t>
      </w:r>
      <w:r w:rsidR="00F32B28">
        <w:rPr>
          <w:rtl/>
        </w:rPr>
        <w:t xml:space="preserve"> </w:t>
      </w:r>
      <w:r w:rsidR="00F32B28" w:rsidRPr="00F32B28">
        <w:rPr>
          <w:rtl/>
        </w:rPr>
        <w:t>والتعرض</w:t>
      </w:r>
      <w:r w:rsidR="00F32B28">
        <w:rPr>
          <w:rtl/>
        </w:rPr>
        <w:t xml:space="preserve"> </w:t>
      </w:r>
      <w:r w:rsidR="00F32B28" w:rsidRPr="00F32B28">
        <w:rPr>
          <w:rtl/>
        </w:rPr>
        <w:t>للأخلاق</w:t>
      </w:r>
      <w:r w:rsidR="00F32B28">
        <w:rPr>
          <w:rtl/>
        </w:rPr>
        <w:t xml:space="preserve"> </w:t>
      </w:r>
      <w:r w:rsidR="00F32B28" w:rsidRPr="00F32B28">
        <w:rPr>
          <w:rtl/>
        </w:rPr>
        <w:t>والآداب</w:t>
      </w:r>
      <w:r w:rsidR="00F32B28">
        <w:rPr>
          <w:rtl/>
        </w:rPr>
        <w:t xml:space="preserve"> </w:t>
      </w:r>
      <w:r w:rsidR="00F32B28" w:rsidRPr="00F32B28">
        <w:rPr>
          <w:rtl/>
        </w:rPr>
        <w:t>العامة.</w:t>
      </w:r>
      <w:r w:rsidR="00F32B28">
        <w:rPr>
          <w:rtl/>
        </w:rPr>
        <w:t xml:space="preserve"> </w:t>
      </w:r>
      <w:r w:rsidR="00F32B28" w:rsidRPr="00F32B28">
        <w:rPr>
          <w:rtl/>
        </w:rPr>
        <w:t>إذ</w:t>
      </w:r>
      <w:r w:rsidR="00F32B28">
        <w:rPr>
          <w:rtl/>
        </w:rPr>
        <w:t xml:space="preserve"> </w:t>
      </w:r>
      <w:r w:rsidR="00F32B28" w:rsidRPr="00F32B28">
        <w:rPr>
          <w:rtl/>
          <w:lang w:bidi="ar-SY"/>
        </w:rPr>
        <w:t>تعاقب</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المواد</w:t>
      </w:r>
      <w:r w:rsidR="00F32B28">
        <w:rPr>
          <w:rtl/>
          <w:lang w:bidi="ar-SY"/>
        </w:rPr>
        <w:t xml:space="preserve"> </w:t>
      </w:r>
      <w:r w:rsidR="00F32B28" w:rsidRPr="00F32B28">
        <w:rPr>
          <w:rtl/>
          <w:lang w:bidi="ar-SY"/>
        </w:rPr>
        <w:t>كل</w:t>
      </w:r>
      <w:r w:rsidR="00F32B28">
        <w:rPr>
          <w:rtl/>
        </w:rPr>
        <w:t xml:space="preserve"> </w:t>
      </w:r>
      <w:r w:rsidR="00F32B28" w:rsidRPr="00F32B28">
        <w:rPr>
          <w:rtl/>
        </w:rPr>
        <w:t>من</w:t>
      </w:r>
      <w:r w:rsidR="00F32B28">
        <w:rPr>
          <w:rtl/>
        </w:rPr>
        <w:t xml:space="preserve"> </w:t>
      </w:r>
      <w:r w:rsidR="00F32B28" w:rsidRPr="00F32B28">
        <w:rPr>
          <w:rtl/>
        </w:rPr>
        <w:t>قاد</w:t>
      </w:r>
      <w:r w:rsidR="00F32B28">
        <w:rPr>
          <w:rtl/>
        </w:rPr>
        <w:t xml:space="preserve"> </w:t>
      </w:r>
      <w:r w:rsidR="00F32B28" w:rsidRPr="00F32B28">
        <w:rPr>
          <w:rtl/>
        </w:rPr>
        <w:t>أو</w:t>
      </w:r>
      <w:r w:rsidR="00F32B28">
        <w:rPr>
          <w:rtl/>
        </w:rPr>
        <w:t xml:space="preserve"> </w:t>
      </w:r>
      <w:r w:rsidR="00F32B28" w:rsidRPr="00F32B28">
        <w:rPr>
          <w:rtl/>
        </w:rPr>
        <w:t>حاول</w:t>
      </w:r>
      <w:r w:rsidR="00F32B28">
        <w:rPr>
          <w:rtl/>
        </w:rPr>
        <w:t xml:space="preserve"> </w:t>
      </w:r>
      <w:r w:rsidR="00F32B28" w:rsidRPr="00F32B28">
        <w:rPr>
          <w:rtl/>
        </w:rPr>
        <w:t>اقتياد</w:t>
      </w:r>
      <w:r w:rsidR="00F32B28">
        <w:rPr>
          <w:rtl/>
        </w:rPr>
        <w:t xml:space="preserve"> </w:t>
      </w:r>
      <w:r w:rsidR="00F32B28" w:rsidRPr="00F32B28">
        <w:rPr>
          <w:rtl/>
        </w:rPr>
        <w:t>أنثى</w:t>
      </w:r>
      <w:r w:rsidR="00F32B28">
        <w:rPr>
          <w:rtl/>
        </w:rPr>
        <w:t xml:space="preserve"> </w:t>
      </w:r>
      <w:r w:rsidR="00F32B28" w:rsidRPr="00F32B28">
        <w:rPr>
          <w:rtl/>
        </w:rPr>
        <w:t>دون</w:t>
      </w:r>
      <w:r w:rsidR="00F32B28">
        <w:rPr>
          <w:rtl/>
        </w:rPr>
        <w:t xml:space="preserve"> </w:t>
      </w:r>
      <w:r w:rsidR="00F32B28" w:rsidRPr="00F32B28">
        <w:rPr>
          <w:rtl/>
        </w:rPr>
        <w:t>العشرين</w:t>
      </w:r>
      <w:r w:rsidR="00F32B28">
        <w:rPr>
          <w:rtl/>
        </w:rPr>
        <w:t xml:space="preserve"> </w:t>
      </w:r>
      <w:r w:rsidR="00F32B28" w:rsidRPr="00F32B28">
        <w:rPr>
          <w:rtl/>
        </w:rPr>
        <w:t>من</w:t>
      </w:r>
      <w:r w:rsidR="00F32B28">
        <w:rPr>
          <w:rtl/>
        </w:rPr>
        <w:t xml:space="preserve"> </w:t>
      </w:r>
      <w:r w:rsidR="00F32B28" w:rsidRPr="00F32B28">
        <w:rPr>
          <w:rtl/>
        </w:rPr>
        <w:t>العمر</w:t>
      </w:r>
      <w:r w:rsidR="00F32B28">
        <w:rPr>
          <w:rtl/>
        </w:rPr>
        <w:t xml:space="preserve"> </w:t>
      </w:r>
      <w:r w:rsidR="00F32B28" w:rsidRPr="00F32B28">
        <w:rPr>
          <w:rtl/>
        </w:rPr>
        <w:t>إلى</w:t>
      </w:r>
      <w:r w:rsidR="00F32B28">
        <w:rPr>
          <w:rtl/>
        </w:rPr>
        <w:t xml:space="preserve"> </w:t>
      </w:r>
      <w:r w:rsidR="00F32B28" w:rsidRPr="00F32B28">
        <w:rPr>
          <w:rtl/>
        </w:rPr>
        <w:t>ممارسة</w:t>
      </w:r>
      <w:r w:rsidR="00F32B28">
        <w:rPr>
          <w:rtl/>
        </w:rPr>
        <w:t xml:space="preserve"> </w:t>
      </w:r>
      <w:r w:rsidR="00F32B28" w:rsidRPr="00F32B28">
        <w:rPr>
          <w:rtl/>
        </w:rPr>
        <w:t>البغاء</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أو</w:t>
      </w:r>
      <w:r w:rsidR="00F32B28">
        <w:rPr>
          <w:rtl/>
        </w:rPr>
        <w:t xml:space="preserve"> </w:t>
      </w:r>
      <w:r w:rsidR="00F32B28" w:rsidRPr="00F32B28">
        <w:rPr>
          <w:rtl/>
        </w:rPr>
        <w:t>خارجها؛</w:t>
      </w:r>
      <w:r w:rsidR="00F32B28">
        <w:rPr>
          <w:rtl/>
        </w:rPr>
        <w:t xml:space="preserve"> </w:t>
      </w:r>
      <w:r w:rsidR="00F32B28" w:rsidRPr="00F32B28">
        <w:rPr>
          <w:rtl/>
        </w:rPr>
        <w:t>أو</w:t>
      </w:r>
      <w:r w:rsidR="00F32B28">
        <w:rPr>
          <w:rtl/>
        </w:rPr>
        <w:t xml:space="preserve"> </w:t>
      </w:r>
      <w:r w:rsidR="00F32B28" w:rsidRPr="00F32B28">
        <w:rPr>
          <w:rtl/>
        </w:rPr>
        <w:t>أي</w:t>
      </w:r>
      <w:r w:rsidR="00F32B28">
        <w:rPr>
          <w:rtl/>
        </w:rPr>
        <w:t xml:space="preserve"> </w:t>
      </w:r>
      <w:r w:rsidR="00F32B28" w:rsidRPr="00F32B28">
        <w:rPr>
          <w:rtl/>
        </w:rPr>
        <w:t>شخص</w:t>
      </w:r>
      <w:r w:rsidR="00F32B28">
        <w:rPr>
          <w:rtl/>
        </w:rPr>
        <w:t xml:space="preserve"> </w:t>
      </w:r>
      <w:r w:rsidR="00F32B28" w:rsidRPr="00F32B28">
        <w:rPr>
          <w:rtl/>
        </w:rPr>
        <w:t>لم</w:t>
      </w:r>
      <w:r w:rsidR="00F32B28">
        <w:rPr>
          <w:rtl/>
        </w:rPr>
        <w:t xml:space="preserve"> </w:t>
      </w:r>
      <w:r w:rsidR="00F32B28" w:rsidRPr="00F32B28">
        <w:rPr>
          <w:rtl/>
        </w:rPr>
        <w:t>يتم</w:t>
      </w:r>
      <w:r w:rsidR="00F32B28">
        <w:rPr>
          <w:rtl/>
        </w:rPr>
        <w:t xml:space="preserve"> </w:t>
      </w:r>
      <w:r w:rsidR="00F32B28" w:rsidRPr="00F32B28">
        <w:rPr>
          <w:rtl/>
        </w:rPr>
        <w:t>الخامسة</w:t>
      </w:r>
      <w:r w:rsidR="00F32B28">
        <w:rPr>
          <w:rtl/>
        </w:rPr>
        <w:t xml:space="preserve"> </w:t>
      </w:r>
      <w:r w:rsidR="00F32B28" w:rsidRPr="00F32B28">
        <w:rPr>
          <w:rtl/>
        </w:rPr>
        <w:t>عشرة</w:t>
      </w:r>
      <w:r w:rsidR="00F32B28">
        <w:rPr>
          <w:rtl/>
        </w:rPr>
        <w:t xml:space="preserve"> </w:t>
      </w:r>
      <w:r w:rsidR="00F32B28" w:rsidRPr="00F32B28">
        <w:rPr>
          <w:rtl/>
        </w:rPr>
        <w:t>من</w:t>
      </w:r>
      <w:r w:rsidR="00F32B28">
        <w:rPr>
          <w:rtl/>
        </w:rPr>
        <w:t xml:space="preserve"> </w:t>
      </w:r>
      <w:r w:rsidR="00F32B28" w:rsidRPr="00F32B28">
        <w:rPr>
          <w:rtl/>
        </w:rPr>
        <w:t>عمره</w:t>
      </w:r>
      <w:r w:rsidR="00F32B28">
        <w:rPr>
          <w:rtl/>
        </w:rPr>
        <w:t xml:space="preserve"> </w:t>
      </w:r>
      <w:r w:rsidR="00F32B28" w:rsidRPr="00F32B28">
        <w:rPr>
          <w:rtl/>
        </w:rPr>
        <w:t>لارتكاب</w:t>
      </w:r>
      <w:r w:rsidR="00F32B28">
        <w:rPr>
          <w:rtl/>
        </w:rPr>
        <w:t xml:space="preserve"> </w:t>
      </w:r>
      <w:r w:rsidR="00F32B28" w:rsidRPr="00F32B28">
        <w:rPr>
          <w:rtl/>
        </w:rPr>
        <w:t>فعل</w:t>
      </w:r>
      <w:r w:rsidR="00F32B28">
        <w:rPr>
          <w:rtl/>
        </w:rPr>
        <w:t xml:space="preserve"> </w:t>
      </w:r>
      <w:r w:rsidR="00F32B28" w:rsidRPr="00F32B28">
        <w:rPr>
          <w:rtl/>
        </w:rPr>
        <w:t>اللواط</w:t>
      </w:r>
      <w:r w:rsidR="00F32B28">
        <w:rPr>
          <w:rtl/>
        </w:rPr>
        <w:t xml:space="preserve"> </w:t>
      </w:r>
      <w:r w:rsidR="00F32B28" w:rsidRPr="00F32B28">
        <w:rPr>
          <w:rtl/>
        </w:rPr>
        <w:t>به،</w:t>
      </w:r>
      <w:r w:rsidR="00F32B28">
        <w:rPr>
          <w:rtl/>
        </w:rPr>
        <w:t xml:space="preserve"> </w:t>
      </w:r>
      <w:r w:rsidR="00F32B28" w:rsidRPr="00F32B28">
        <w:rPr>
          <w:rtl/>
        </w:rPr>
        <w:t>بالحبس</w:t>
      </w:r>
      <w:r w:rsidR="00F32B28">
        <w:rPr>
          <w:rtl/>
        </w:rPr>
        <w:t xml:space="preserve"> </w:t>
      </w:r>
      <w:r w:rsidR="00F32B28" w:rsidRPr="00F32B28">
        <w:rPr>
          <w:rtl/>
        </w:rPr>
        <w:t>من</w:t>
      </w:r>
      <w:r w:rsidR="00F32B28">
        <w:rPr>
          <w:rtl/>
        </w:rPr>
        <w:t xml:space="preserve"> </w:t>
      </w:r>
      <w:r w:rsidR="00F32B28" w:rsidRPr="00F32B28">
        <w:rPr>
          <w:rtl/>
        </w:rPr>
        <w:t>شهر</w:t>
      </w:r>
      <w:r w:rsidR="00F32B28">
        <w:rPr>
          <w:rtl/>
        </w:rPr>
        <w:t xml:space="preserve"> </w:t>
      </w:r>
      <w:r w:rsidR="00F32B28" w:rsidRPr="00F32B28">
        <w:rPr>
          <w:rtl/>
        </w:rPr>
        <w:t>إلى</w:t>
      </w:r>
      <w:r w:rsidR="00F32B28">
        <w:rPr>
          <w:rtl/>
        </w:rPr>
        <w:t xml:space="preserve"> </w:t>
      </w:r>
      <w:r w:rsidR="00F32B28" w:rsidRPr="00F32B28">
        <w:rPr>
          <w:rtl/>
        </w:rPr>
        <w:t>ثلاث</w:t>
      </w:r>
      <w:r w:rsidR="00F32B28">
        <w:rPr>
          <w:rtl/>
        </w:rPr>
        <w:t xml:space="preserve"> </w:t>
      </w:r>
      <w:r w:rsidR="00F32B28" w:rsidRPr="00F32B28">
        <w:rPr>
          <w:rtl/>
        </w:rPr>
        <w:t>سنوات،</w:t>
      </w:r>
      <w:r w:rsidR="00B73D93">
        <w:rPr>
          <w:rFonts w:hint="cs"/>
          <w:rtl/>
        </w:rPr>
        <w:t xml:space="preserve"> </w:t>
      </w:r>
      <w:r w:rsidR="00F32B28" w:rsidRPr="00F32B28">
        <w:rPr>
          <w:rtl/>
        </w:rPr>
        <w:t>وبالحبس</w:t>
      </w:r>
      <w:r w:rsidR="00F32B28">
        <w:rPr>
          <w:rtl/>
        </w:rPr>
        <w:t xml:space="preserve"> </w:t>
      </w:r>
      <w:r w:rsidR="00F32B28" w:rsidRPr="00F32B28">
        <w:rPr>
          <w:rtl/>
        </w:rPr>
        <w:t>لغاية</w:t>
      </w:r>
      <w:r w:rsidR="00F32B28">
        <w:rPr>
          <w:rtl/>
        </w:rPr>
        <w:t xml:space="preserve"> </w:t>
      </w:r>
      <w:r w:rsidR="00F32B28" w:rsidRPr="00F32B28">
        <w:rPr>
          <w:rtl/>
        </w:rPr>
        <w:t>سنتين</w:t>
      </w:r>
      <w:r w:rsidR="00F32B28">
        <w:rPr>
          <w:rtl/>
        </w:rPr>
        <w:t xml:space="preserve"> </w:t>
      </w:r>
      <w:r w:rsidR="00F32B28" w:rsidRPr="00F32B28">
        <w:rPr>
          <w:rtl/>
        </w:rPr>
        <w:t>كل</w:t>
      </w:r>
      <w:r w:rsidR="00F32B28">
        <w:rPr>
          <w:rtl/>
        </w:rPr>
        <w:t xml:space="preserve"> </w:t>
      </w:r>
      <w:r w:rsidR="00F32B28" w:rsidRPr="00F32B28">
        <w:rPr>
          <w:rtl/>
        </w:rPr>
        <w:t>شخص،</w:t>
      </w:r>
      <w:r w:rsidR="00F32B28">
        <w:rPr>
          <w:rtl/>
        </w:rPr>
        <w:t xml:space="preserve"> </w:t>
      </w:r>
      <w:r w:rsidR="00F32B28" w:rsidRPr="00F32B28">
        <w:rPr>
          <w:rtl/>
        </w:rPr>
        <w:t>ذكر</w:t>
      </w:r>
      <w:r w:rsidR="00F32B28">
        <w:rPr>
          <w:rtl/>
        </w:rPr>
        <w:t xml:space="preserve"> </w:t>
      </w:r>
      <w:r w:rsidR="00F32B28" w:rsidRPr="00F32B28">
        <w:rPr>
          <w:rtl/>
        </w:rPr>
        <w:t>أو</w:t>
      </w:r>
      <w:r w:rsidR="00F32B28">
        <w:rPr>
          <w:rtl/>
        </w:rPr>
        <w:t xml:space="preserve"> </w:t>
      </w:r>
      <w:r w:rsidR="00F32B28" w:rsidRPr="00F32B28">
        <w:rPr>
          <w:rtl/>
        </w:rPr>
        <w:t>أنثى،</w:t>
      </w:r>
      <w:r w:rsidR="00F32B28">
        <w:rPr>
          <w:rtl/>
        </w:rPr>
        <w:t xml:space="preserve"> </w:t>
      </w:r>
      <w:r w:rsidR="00F32B28" w:rsidRPr="00F32B28">
        <w:rPr>
          <w:rtl/>
        </w:rPr>
        <w:t>يكون</w:t>
      </w:r>
      <w:r w:rsidR="00F32B28">
        <w:rPr>
          <w:rtl/>
        </w:rPr>
        <w:t xml:space="preserve"> </w:t>
      </w:r>
      <w:r w:rsidR="00F32B28" w:rsidRPr="00F32B28">
        <w:rPr>
          <w:rtl/>
        </w:rPr>
        <w:t>معوله</w:t>
      </w:r>
      <w:r w:rsidR="00F32B28">
        <w:rPr>
          <w:rtl/>
        </w:rPr>
        <w:t xml:space="preserve"> </w:t>
      </w:r>
      <w:r w:rsidR="00F32B28" w:rsidRPr="00F32B28">
        <w:rPr>
          <w:rtl/>
        </w:rPr>
        <w:t>في</w:t>
      </w:r>
      <w:r w:rsidR="00F32B28">
        <w:rPr>
          <w:rtl/>
        </w:rPr>
        <w:t xml:space="preserve"> </w:t>
      </w:r>
      <w:r w:rsidR="00F32B28" w:rsidRPr="00F32B28">
        <w:rPr>
          <w:rtl/>
        </w:rPr>
        <w:t>معيشته</w:t>
      </w:r>
      <w:r w:rsidR="00F32B28">
        <w:rPr>
          <w:rtl/>
        </w:rPr>
        <w:t xml:space="preserve"> </w:t>
      </w:r>
      <w:r w:rsidR="00F32B28" w:rsidRPr="00F32B28">
        <w:rPr>
          <w:rtl/>
        </w:rPr>
        <w:t>على</w:t>
      </w:r>
      <w:r w:rsidR="00F32B28">
        <w:rPr>
          <w:rtl/>
        </w:rPr>
        <w:t xml:space="preserve"> </w:t>
      </w:r>
      <w:r w:rsidR="00F32B28" w:rsidRPr="00F32B28">
        <w:rPr>
          <w:rtl/>
        </w:rPr>
        <w:t>ما</w:t>
      </w:r>
      <w:r w:rsidR="00F32B28">
        <w:rPr>
          <w:rtl/>
        </w:rPr>
        <w:t xml:space="preserve"> </w:t>
      </w:r>
      <w:r w:rsidR="00F32B28" w:rsidRPr="00F32B28">
        <w:rPr>
          <w:rtl/>
        </w:rPr>
        <w:t>تكسبه</w:t>
      </w:r>
      <w:r w:rsidR="00F32B28">
        <w:rPr>
          <w:rtl/>
        </w:rPr>
        <w:t xml:space="preserve"> </w:t>
      </w:r>
      <w:r w:rsidR="00F32B28" w:rsidRPr="00F32B28">
        <w:rPr>
          <w:rtl/>
        </w:rPr>
        <w:t>أي</w:t>
      </w:r>
      <w:r w:rsidR="00F32B28">
        <w:rPr>
          <w:rtl/>
        </w:rPr>
        <w:t xml:space="preserve"> </w:t>
      </w:r>
      <w:r w:rsidR="00F32B28" w:rsidRPr="00F32B28">
        <w:rPr>
          <w:rtl/>
        </w:rPr>
        <w:t>أنثى</w:t>
      </w:r>
      <w:r w:rsidR="00F32B28">
        <w:rPr>
          <w:rtl/>
        </w:rPr>
        <w:t xml:space="preserve"> </w:t>
      </w:r>
      <w:r w:rsidR="00F32B28" w:rsidRPr="00F32B28">
        <w:rPr>
          <w:rtl/>
        </w:rPr>
        <w:t>من</w:t>
      </w:r>
      <w:r w:rsidR="00F32B28">
        <w:rPr>
          <w:rtl/>
        </w:rPr>
        <w:t xml:space="preserve"> </w:t>
      </w:r>
      <w:r w:rsidR="00F32B28" w:rsidRPr="00F32B28">
        <w:rPr>
          <w:rtl/>
        </w:rPr>
        <w:t>البغاء</w:t>
      </w:r>
      <w:r w:rsidR="00F32B28">
        <w:rPr>
          <w:rtl/>
        </w:rPr>
        <w:t xml:space="preserve"> </w:t>
      </w:r>
      <w:r w:rsidR="00F32B28" w:rsidRPr="00F32B28">
        <w:rPr>
          <w:rtl/>
        </w:rPr>
        <w:t>وهو</w:t>
      </w:r>
      <w:r w:rsidR="00F32B28">
        <w:rPr>
          <w:rtl/>
        </w:rPr>
        <w:t xml:space="preserve"> </w:t>
      </w:r>
      <w:r w:rsidR="00F32B28" w:rsidRPr="00F32B28">
        <w:rPr>
          <w:rtl/>
        </w:rPr>
        <w:t>عالم</w:t>
      </w:r>
      <w:r w:rsidR="00F32B28">
        <w:rPr>
          <w:rtl/>
        </w:rPr>
        <w:t xml:space="preserve"> </w:t>
      </w:r>
      <w:r w:rsidR="00F32B28" w:rsidRPr="00F32B28">
        <w:rPr>
          <w:rtl/>
        </w:rPr>
        <w:t>بذلك.</w:t>
      </w:r>
    </w:p>
    <w:p w:rsidR="00F32B28" w:rsidRPr="00F32B28" w:rsidRDefault="00B80192" w:rsidP="00B73D93">
      <w:pPr>
        <w:pStyle w:val="SingleTxt"/>
      </w:pPr>
      <w:r>
        <w:rPr>
          <w:rFonts w:hint="cs"/>
          <w:rtl/>
        </w:rPr>
        <w:t xml:space="preserve">100 - </w:t>
      </w:r>
      <w:r w:rsidR="00F32B28" w:rsidRPr="00F32B28">
        <w:rPr>
          <w:rtl/>
        </w:rPr>
        <w:t>تمنع</w:t>
      </w:r>
      <w:r w:rsidR="00F32B28">
        <w:rPr>
          <w:rtl/>
        </w:rPr>
        <w:t xml:space="preserve"> </w:t>
      </w:r>
      <w:r w:rsidR="00F32B28" w:rsidRPr="00F32B28">
        <w:rPr>
          <w:rtl/>
        </w:rPr>
        <w:t>هذه</w:t>
      </w:r>
      <w:r w:rsidR="00F32B28">
        <w:rPr>
          <w:rtl/>
        </w:rPr>
        <w:t xml:space="preserve"> </w:t>
      </w:r>
      <w:r w:rsidR="00F32B28" w:rsidRPr="00F32B28">
        <w:rPr>
          <w:rtl/>
        </w:rPr>
        <w:t>التشريعات</w:t>
      </w:r>
      <w:r w:rsidR="00F32B28">
        <w:rPr>
          <w:rtl/>
        </w:rPr>
        <w:t xml:space="preserve"> </w:t>
      </w:r>
      <w:r w:rsidR="00F32B28" w:rsidRPr="00F32B28">
        <w:rPr>
          <w:rtl/>
        </w:rPr>
        <w:t>فتح</w:t>
      </w:r>
      <w:r w:rsidR="00F32B28">
        <w:rPr>
          <w:rtl/>
        </w:rPr>
        <w:t xml:space="preserve"> </w:t>
      </w:r>
      <w:r w:rsidR="00F32B28" w:rsidRPr="00F32B28">
        <w:rPr>
          <w:rtl/>
        </w:rPr>
        <w:t>أماكن</w:t>
      </w:r>
      <w:r w:rsidR="00F32B28">
        <w:rPr>
          <w:rtl/>
        </w:rPr>
        <w:t xml:space="preserve"> </w:t>
      </w:r>
      <w:r w:rsidR="00F32B28" w:rsidRPr="00F32B28">
        <w:rPr>
          <w:rtl/>
        </w:rPr>
        <w:t>للدعارة؛</w:t>
      </w:r>
      <w:r w:rsidR="00B73D93">
        <w:rPr>
          <w:rFonts w:hint="cs"/>
          <w:rtl/>
        </w:rPr>
        <w:t xml:space="preserve"> </w:t>
      </w:r>
      <w:r w:rsidR="00F32B28" w:rsidRPr="00F32B28">
        <w:rPr>
          <w:rtl/>
        </w:rPr>
        <w:t>حيث</w:t>
      </w:r>
      <w:r w:rsidR="00F32B28">
        <w:rPr>
          <w:rtl/>
        </w:rPr>
        <w:t xml:space="preserve"> </w:t>
      </w:r>
      <w:r w:rsidR="00F32B28" w:rsidRPr="00F32B28">
        <w:rPr>
          <w:rtl/>
        </w:rPr>
        <w:t>تعاقب</w:t>
      </w:r>
      <w:r w:rsidR="00F32B28">
        <w:rPr>
          <w:rtl/>
        </w:rPr>
        <w:t xml:space="preserve"> </w:t>
      </w:r>
      <w:r w:rsidR="00F32B28" w:rsidRPr="00F32B28">
        <w:rPr>
          <w:rtl/>
        </w:rPr>
        <w:t>كل</w:t>
      </w:r>
      <w:r w:rsidR="00F32B28">
        <w:rPr>
          <w:rtl/>
        </w:rPr>
        <w:t xml:space="preserve"> </w:t>
      </w:r>
      <w:r w:rsidR="00F32B28" w:rsidRPr="00F32B28">
        <w:rPr>
          <w:rtl/>
        </w:rPr>
        <w:t>من</w:t>
      </w:r>
      <w:r w:rsidR="00F32B28">
        <w:rPr>
          <w:rtl/>
        </w:rPr>
        <w:t xml:space="preserve"> </w:t>
      </w:r>
      <w:r w:rsidR="00F32B28" w:rsidRPr="00F32B28">
        <w:rPr>
          <w:rtl/>
        </w:rPr>
        <w:t>أعد</w:t>
      </w:r>
      <w:r w:rsidR="00F32B28">
        <w:rPr>
          <w:rtl/>
        </w:rPr>
        <w:t xml:space="preserve"> </w:t>
      </w:r>
      <w:r w:rsidR="00F32B28" w:rsidRPr="00F32B28">
        <w:rPr>
          <w:rtl/>
        </w:rPr>
        <w:t>أو</w:t>
      </w:r>
      <w:r w:rsidR="00F32B28">
        <w:rPr>
          <w:rtl/>
        </w:rPr>
        <w:t xml:space="preserve"> </w:t>
      </w:r>
      <w:r w:rsidR="00F32B28" w:rsidRPr="00F32B28">
        <w:rPr>
          <w:rtl/>
        </w:rPr>
        <w:t>استأجر</w:t>
      </w:r>
      <w:r w:rsidR="00F32B28">
        <w:rPr>
          <w:rtl/>
        </w:rPr>
        <w:t xml:space="preserve"> </w:t>
      </w:r>
      <w:r w:rsidR="00F32B28" w:rsidRPr="00F32B28">
        <w:rPr>
          <w:rtl/>
        </w:rPr>
        <w:t>أو</w:t>
      </w:r>
      <w:r w:rsidR="00F32B28">
        <w:rPr>
          <w:rtl/>
        </w:rPr>
        <w:t xml:space="preserve"> </w:t>
      </w:r>
      <w:r w:rsidR="00F32B28" w:rsidRPr="00F32B28">
        <w:rPr>
          <w:rtl/>
        </w:rPr>
        <w:t>امتلك</w:t>
      </w:r>
      <w:r w:rsidR="00F32B28">
        <w:rPr>
          <w:rtl/>
        </w:rPr>
        <w:t xml:space="preserve"> </w:t>
      </w:r>
      <w:r w:rsidR="00F32B28" w:rsidRPr="00F32B28">
        <w:rPr>
          <w:rtl/>
        </w:rPr>
        <w:t>مكاناً</w:t>
      </w:r>
      <w:r w:rsidR="00F32B28">
        <w:rPr>
          <w:rtl/>
        </w:rPr>
        <w:t xml:space="preserve"> </w:t>
      </w:r>
      <w:r w:rsidR="00F32B28" w:rsidRPr="00F32B28">
        <w:rPr>
          <w:rtl/>
        </w:rPr>
        <w:t>لاستعماله</w:t>
      </w:r>
      <w:r w:rsidR="00F32B28">
        <w:rPr>
          <w:rtl/>
        </w:rPr>
        <w:t xml:space="preserve"> </w:t>
      </w:r>
      <w:r w:rsidR="00F32B28" w:rsidRPr="00F32B28">
        <w:rPr>
          <w:rtl/>
        </w:rPr>
        <w:t>في</w:t>
      </w:r>
      <w:r w:rsidR="00F32B28">
        <w:rPr>
          <w:rtl/>
        </w:rPr>
        <w:t xml:space="preserve"> </w:t>
      </w:r>
      <w:r w:rsidR="00F32B28" w:rsidRPr="00F32B28">
        <w:rPr>
          <w:rtl/>
        </w:rPr>
        <w:t>غايات</w:t>
      </w:r>
      <w:r w:rsidR="00F32B28">
        <w:rPr>
          <w:rtl/>
        </w:rPr>
        <w:t xml:space="preserve"> </w:t>
      </w:r>
      <w:r w:rsidR="00F32B28" w:rsidRPr="00F32B28">
        <w:rPr>
          <w:rtl/>
        </w:rPr>
        <w:t>البغاء</w:t>
      </w:r>
      <w:r w:rsidR="00F32B28">
        <w:rPr>
          <w:rtl/>
        </w:rPr>
        <w:t xml:space="preserve"> </w:t>
      </w:r>
      <w:r w:rsidR="00F32B28" w:rsidRPr="00F32B28">
        <w:rPr>
          <w:rtl/>
        </w:rPr>
        <w:t>أو</w:t>
      </w:r>
      <w:r w:rsidR="00F32B28">
        <w:rPr>
          <w:rtl/>
        </w:rPr>
        <w:t xml:space="preserve"> </w:t>
      </w:r>
      <w:r w:rsidR="00F32B28" w:rsidRPr="00F32B28">
        <w:rPr>
          <w:rtl/>
        </w:rPr>
        <w:t>اشترك</w:t>
      </w:r>
      <w:r w:rsidR="00F32B28">
        <w:rPr>
          <w:rtl/>
        </w:rPr>
        <w:t xml:space="preserve"> </w:t>
      </w:r>
      <w:r w:rsidR="00F32B28" w:rsidRPr="00F32B28">
        <w:rPr>
          <w:rtl/>
        </w:rPr>
        <w:t>عن</w:t>
      </w:r>
      <w:r w:rsidR="00F32B28">
        <w:rPr>
          <w:rtl/>
        </w:rPr>
        <w:t xml:space="preserve"> </w:t>
      </w:r>
      <w:r w:rsidR="00F32B28" w:rsidRPr="00F32B28">
        <w:rPr>
          <w:rtl/>
        </w:rPr>
        <w:t>استعماله</w:t>
      </w:r>
      <w:r w:rsidR="00F32B28">
        <w:rPr>
          <w:rtl/>
        </w:rPr>
        <w:t xml:space="preserve"> </w:t>
      </w:r>
      <w:r w:rsidR="00F32B28" w:rsidRPr="00F32B28">
        <w:rPr>
          <w:rtl/>
        </w:rPr>
        <w:t>المستمر</w:t>
      </w:r>
      <w:r w:rsidR="00F32B28">
        <w:rPr>
          <w:rtl/>
        </w:rPr>
        <w:t xml:space="preserve"> </w:t>
      </w:r>
      <w:r w:rsidR="00F32B28" w:rsidRPr="00F32B28">
        <w:rPr>
          <w:rtl/>
        </w:rPr>
        <w:t>كبيت</w:t>
      </w:r>
      <w:r w:rsidR="00F32B28">
        <w:rPr>
          <w:rtl/>
        </w:rPr>
        <w:t xml:space="preserve"> </w:t>
      </w:r>
      <w:r w:rsidR="00F32B28" w:rsidRPr="00F32B28">
        <w:rPr>
          <w:rtl/>
        </w:rPr>
        <w:t>للبغاء</w:t>
      </w:r>
      <w:r w:rsidR="00F32B28">
        <w:rPr>
          <w:rtl/>
        </w:rPr>
        <w:t xml:space="preserve"> </w:t>
      </w:r>
      <w:r w:rsidR="00F32B28" w:rsidRPr="00F32B28">
        <w:rPr>
          <w:rtl/>
        </w:rPr>
        <w:t>بالحبس</w:t>
      </w:r>
      <w:r w:rsidR="00F32B28">
        <w:rPr>
          <w:rtl/>
        </w:rPr>
        <w:t xml:space="preserve"> </w:t>
      </w:r>
      <w:r w:rsidR="00F32B28" w:rsidRPr="00F32B28">
        <w:rPr>
          <w:rtl/>
        </w:rPr>
        <w:t>حتى</w:t>
      </w:r>
      <w:r w:rsidR="00F32B28">
        <w:rPr>
          <w:rtl/>
        </w:rPr>
        <w:t xml:space="preserve"> </w:t>
      </w:r>
      <w:r w:rsidR="00F32B28" w:rsidRPr="00F32B28">
        <w:rPr>
          <w:rtl/>
        </w:rPr>
        <w:t>ستة</w:t>
      </w:r>
      <w:r w:rsidR="00F32B28">
        <w:rPr>
          <w:rtl/>
        </w:rPr>
        <w:t xml:space="preserve"> </w:t>
      </w:r>
      <w:r w:rsidR="00F32B28" w:rsidRPr="00F32B28">
        <w:rPr>
          <w:rtl/>
        </w:rPr>
        <w:t>أشهر.</w:t>
      </w:r>
      <w:r w:rsidR="00F32B28">
        <w:rPr>
          <w:rtl/>
        </w:rPr>
        <w:t xml:space="preserve"> </w:t>
      </w:r>
      <w:r w:rsidR="00F32B28" w:rsidRPr="00F32B28">
        <w:rPr>
          <w:rtl/>
        </w:rPr>
        <w:t>كما</w:t>
      </w:r>
      <w:r w:rsidR="00F32B28">
        <w:rPr>
          <w:rtl/>
        </w:rPr>
        <w:t xml:space="preserve"> </w:t>
      </w:r>
      <w:r w:rsidR="00F32B28" w:rsidRPr="00F32B28">
        <w:rPr>
          <w:rtl/>
        </w:rPr>
        <w:t>تعاقب</w:t>
      </w:r>
      <w:r w:rsidR="00F32B28">
        <w:rPr>
          <w:rtl/>
        </w:rPr>
        <w:t xml:space="preserve"> </w:t>
      </w:r>
      <w:r w:rsidR="00F32B28" w:rsidRPr="00F32B28">
        <w:rPr>
          <w:rtl/>
        </w:rPr>
        <w:t>هذه</w:t>
      </w:r>
      <w:r w:rsidR="00F32B28">
        <w:rPr>
          <w:rtl/>
        </w:rPr>
        <w:t xml:space="preserve"> </w:t>
      </w:r>
      <w:r w:rsidR="00F32B28" w:rsidRPr="00F32B28">
        <w:rPr>
          <w:rtl/>
        </w:rPr>
        <w:t>القوانين</w:t>
      </w:r>
      <w:r w:rsidR="00F32B28">
        <w:rPr>
          <w:rtl/>
        </w:rPr>
        <w:t xml:space="preserve"> </w:t>
      </w:r>
      <w:r w:rsidR="00F32B28" w:rsidRPr="00F32B28">
        <w:rPr>
          <w:rtl/>
        </w:rPr>
        <w:t>على</w:t>
      </w:r>
      <w:r w:rsidR="00F32B28">
        <w:rPr>
          <w:rtl/>
        </w:rPr>
        <w:t xml:space="preserve"> </w:t>
      </w:r>
      <w:r w:rsidR="00F32B28" w:rsidRPr="00F32B28">
        <w:rPr>
          <w:rtl/>
        </w:rPr>
        <w:t>جرائم</w:t>
      </w:r>
      <w:r w:rsidR="00F32B28">
        <w:rPr>
          <w:rtl/>
        </w:rPr>
        <w:t xml:space="preserve"> </w:t>
      </w:r>
      <w:r w:rsidR="00F32B28" w:rsidRPr="00F32B28">
        <w:rPr>
          <w:rtl/>
        </w:rPr>
        <w:t>الاتجار</w:t>
      </w:r>
      <w:r w:rsidR="00F32B28">
        <w:rPr>
          <w:rtl/>
        </w:rPr>
        <w:t xml:space="preserve"> </w:t>
      </w:r>
      <w:r w:rsidR="00F32B28" w:rsidRPr="00F32B28">
        <w:rPr>
          <w:rtl/>
        </w:rPr>
        <w:t>بالنساء؛</w:t>
      </w:r>
      <w:r w:rsidR="00F32B28">
        <w:rPr>
          <w:rtl/>
        </w:rPr>
        <w:t xml:space="preserve"> </w:t>
      </w:r>
      <w:r w:rsidR="00F32B28" w:rsidRPr="00F32B28">
        <w:rPr>
          <w:rtl/>
          <w:lang w:bidi="ar-SY"/>
        </w:rPr>
        <w:t>فكل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استبقى</w:t>
      </w:r>
      <w:r w:rsidR="00F32B28">
        <w:rPr>
          <w:rtl/>
          <w:lang w:bidi="ar-SY"/>
        </w:rPr>
        <w:t xml:space="preserve"> </w:t>
      </w:r>
      <w:r w:rsidR="00F32B28" w:rsidRPr="00F32B28">
        <w:rPr>
          <w:rtl/>
          <w:lang w:bidi="ar-SY"/>
        </w:rPr>
        <w:t>امرأة</w:t>
      </w:r>
      <w:r w:rsidR="00F32B28">
        <w:rPr>
          <w:rtl/>
          <w:lang w:bidi="ar-SY"/>
        </w:rPr>
        <w:t xml:space="preserve"> </w:t>
      </w:r>
      <w:r w:rsidR="00F32B28" w:rsidRPr="00F32B28">
        <w:rPr>
          <w:rtl/>
          <w:lang w:bidi="ar-SY"/>
        </w:rPr>
        <w:t>بغير</w:t>
      </w:r>
      <w:r w:rsidR="00F32B28">
        <w:rPr>
          <w:rtl/>
          <w:lang w:bidi="ar-SY"/>
        </w:rPr>
        <w:t xml:space="preserve"> </w:t>
      </w:r>
      <w:r w:rsidR="00F32B28" w:rsidRPr="00F32B28">
        <w:rPr>
          <w:rtl/>
          <w:lang w:bidi="ar-SY"/>
        </w:rPr>
        <w:t>رضاها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مكان</w:t>
      </w:r>
      <w:r w:rsidR="00F32B28">
        <w:rPr>
          <w:rtl/>
          <w:lang w:bidi="ar-SY"/>
        </w:rPr>
        <w:t xml:space="preserve"> </w:t>
      </w:r>
      <w:r w:rsidR="00F32B28" w:rsidRPr="00F32B28">
        <w:rPr>
          <w:rtl/>
          <w:lang w:bidi="ar-SY"/>
        </w:rPr>
        <w:t>للممارسة</w:t>
      </w:r>
      <w:r w:rsidR="00F32B28">
        <w:rPr>
          <w:rtl/>
          <w:lang w:bidi="ar-SY"/>
        </w:rPr>
        <w:t xml:space="preserve"> </w:t>
      </w:r>
      <w:r w:rsidR="00F32B28" w:rsidRPr="00F32B28">
        <w:rPr>
          <w:rtl/>
          <w:lang w:bidi="ar-SY"/>
        </w:rPr>
        <w:t>البغاء</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بيت</w:t>
      </w:r>
      <w:r w:rsidR="00F32B28">
        <w:rPr>
          <w:rtl/>
          <w:lang w:bidi="ar-SY"/>
        </w:rPr>
        <w:t xml:space="preserve"> </w:t>
      </w:r>
      <w:r w:rsidR="00F32B28" w:rsidRPr="00F32B28">
        <w:rPr>
          <w:rtl/>
          <w:lang w:bidi="ar-SY"/>
        </w:rPr>
        <w:t>البغاء</w:t>
      </w:r>
      <w:r w:rsidR="00F32B28">
        <w:rPr>
          <w:rtl/>
          <w:lang w:bidi="ar-SY"/>
        </w:rPr>
        <w:t xml:space="preserve"> </w:t>
      </w:r>
      <w:r w:rsidR="00F32B28" w:rsidRPr="00F32B28">
        <w:rPr>
          <w:rtl/>
          <w:lang w:bidi="ar-SY"/>
        </w:rPr>
        <w:t>يعاقب</w:t>
      </w:r>
      <w:r w:rsidR="00F32B28">
        <w:rPr>
          <w:rtl/>
          <w:lang w:bidi="ar-SY"/>
        </w:rPr>
        <w:t xml:space="preserve"> </w:t>
      </w:r>
      <w:r w:rsidR="00F32B28" w:rsidRPr="00F32B28">
        <w:rPr>
          <w:rtl/>
          <w:lang w:bidi="ar-SY"/>
        </w:rPr>
        <w:t>بالحبس</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سنتين.</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يعاقب</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ثلاث</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كل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قاد</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حاول</w:t>
      </w:r>
      <w:r w:rsidR="00F32B28">
        <w:rPr>
          <w:rtl/>
          <w:lang w:bidi="ar-SY"/>
        </w:rPr>
        <w:t xml:space="preserve"> </w:t>
      </w:r>
      <w:r w:rsidR="00F32B28" w:rsidRPr="00F32B28">
        <w:rPr>
          <w:rtl/>
          <w:lang w:bidi="ar-SY"/>
        </w:rPr>
        <w:t>قيادة</w:t>
      </w:r>
      <w:r w:rsidR="00F32B28">
        <w:rPr>
          <w:rtl/>
          <w:lang w:bidi="ar-SY"/>
        </w:rPr>
        <w:t xml:space="preserve"> </w:t>
      </w:r>
      <w:r w:rsidR="00F32B28" w:rsidRPr="00F32B28">
        <w:rPr>
          <w:rtl/>
          <w:lang w:bidi="ar-SY"/>
        </w:rPr>
        <w:t>أنثى</w:t>
      </w:r>
      <w:r w:rsidR="00F32B28">
        <w:rPr>
          <w:rtl/>
          <w:lang w:bidi="ar-SY"/>
        </w:rPr>
        <w:t xml:space="preserve"> </w:t>
      </w:r>
      <w:r w:rsidR="00F32B28" w:rsidRPr="00F32B28">
        <w:rPr>
          <w:rtl/>
          <w:lang w:bidi="ar-SY"/>
        </w:rPr>
        <w:t>بالتهديد</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التخويف</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بالخداع</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التخدير</w:t>
      </w:r>
      <w:r w:rsidR="00F32B28">
        <w:rPr>
          <w:rtl/>
          <w:lang w:bidi="ar-SY"/>
        </w:rPr>
        <w:t xml:space="preserve"> </w:t>
      </w:r>
      <w:r w:rsidR="00F32B28" w:rsidRPr="00F32B28">
        <w:rPr>
          <w:rtl/>
          <w:lang w:bidi="ar-SY"/>
        </w:rPr>
        <w:t>لارتكاب</w:t>
      </w:r>
      <w:r w:rsidR="00F32B28">
        <w:rPr>
          <w:rtl/>
          <w:lang w:bidi="ar-SY"/>
        </w:rPr>
        <w:t xml:space="preserve"> </w:t>
      </w:r>
      <w:r w:rsidR="00F32B28" w:rsidRPr="00F32B28">
        <w:rPr>
          <w:rtl/>
          <w:lang w:bidi="ar-SY"/>
        </w:rPr>
        <w:t>المواقعة</w:t>
      </w:r>
      <w:r w:rsidR="00F32B28">
        <w:rPr>
          <w:rtl/>
          <w:lang w:bidi="ar-SY"/>
        </w:rPr>
        <w:t xml:space="preserve"> </w:t>
      </w:r>
      <w:r w:rsidR="00F32B28" w:rsidRPr="00F32B28">
        <w:rPr>
          <w:rtl/>
          <w:lang w:bidi="ar-SY"/>
        </w:rPr>
        <w:t>غير</w:t>
      </w:r>
      <w:r w:rsidR="00362769">
        <w:rPr>
          <w:rFonts w:hint="cs"/>
          <w:rtl/>
          <w:lang w:bidi="ar-SY"/>
        </w:rPr>
        <w:t> </w:t>
      </w:r>
      <w:r w:rsidR="00F32B28" w:rsidRPr="00F32B28">
        <w:rPr>
          <w:rtl/>
          <w:lang w:bidi="ar-SY"/>
        </w:rPr>
        <w:t>المشروعة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الخارج.</w:t>
      </w:r>
    </w:p>
    <w:p w:rsidR="00F32B28" w:rsidRPr="00F32B28" w:rsidRDefault="00B80192" w:rsidP="00B73D93">
      <w:pPr>
        <w:pStyle w:val="SingleTxt"/>
        <w:rPr>
          <w:rtl/>
        </w:rPr>
      </w:pPr>
      <w:r>
        <w:rPr>
          <w:rFonts w:hint="cs"/>
          <w:rtl/>
        </w:rPr>
        <w:t xml:space="preserve">101 -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بغاء</w:t>
      </w:r>
      <w:r w:rsidR="00F32B28">
        <w:rPr>
          <w:rtl/>
        </w:rPr>
        <w:t xml:space="preserve"> </w:t>
      </w:r>
      <w:r w:rsidR="00F32B28" w:rsidRPr="00F32B28">
        <w:rPr>
          <w:rtl/>
        </w:rPr>
        <w:t>الأطفال،</w:t>
      </w:r>
      <w:r w:rsidR="00F32B28">
        <w:rPr>
          <w:rtl/>
        </w:rPr>
        <w:t xml:space="preserve"> </w:t>
      </w:r>
      <w:r w:rsidR="00F32B28" w:rsidRPr="00F32B28">
        <w:rPr>
          <w:rtl/>
        </w:rPr>
        <w:t>لا</w:t>
      </w:r>
      <w:r w:rsidR="00F32B28">
        <w:rPr>
          <w:rtl/>
        </w:rPr>
        <w:t xml:space="preserve"> </w:t>
      </w:r>
      <w:r w:rsidR="00F32B28" w:rsidRPr="00F32B28">
        <w:rPr>
          <w:rtl/>
        </w:rPr>
        <w:t>يوجد</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أية</w:t>
      </w:r>
      <w:r w:rsidR="00F32B28">
        <w:rPr>
          <w:rtl/>
        </w:rPr>
        <w:t xml:space="preserve"> </w:t>
      </w:r>
      <w:r w:rsidR="00F32B28" w:rsidRPr="00F32B28">
        <w:rPr>
          <w:rtl/>
        </w:rPr>
        <w:t>قوانين</w:t>
      </w:r>
      <w:r w:rsidR="00F32B28">
        <w:rPr>
          <w:rtl/>
        </w:rPr>
        <w:t xml:space="preserve"> </w:t>
      </w:r>
      <w:r w:rsidR="00F32B28" w:rsidRPr="00F32B28">
        <w:rPr>
          <w:rtl/>
        </w:rPr>
        <w:t>متعلقة</w:t>
      </w:r>
      <w:r w:rsidR="00F32B28">
        <w:rPr>
          <w:rtl/>
        </w:rPr>
        <w:t xml:space="preserve"> </w:t>
      </w:r>
      <w:r w:rsidR="00F32B28" w:rsidRPr="00F32B28">
        <w:rPr>
          <w:rtl/>
        </w:rPr>
        <w:t>به،</w:t>
      </w:r>
      <w:r w:rsidR="00F32B28">
        <w:rPr>
          <w:rtl/>
        </w:rPr>
        <w:t xml:space="preserve"> </w:t>
      </w:r>
      <w:r w:rsidR="00F32B28" w:rsidRPr="00F32B28">
        <w:rPr>
          <w:rtl/>
        </w:rPr>
        <w:t>ولكن</w:t>
      </w:r>
      <w:r w:rsidR="00F32B28">
        <w:rPr>
          <w:rtl/>
        </w:rPr>
        <w:t xml:space="preserve"> </w:t>
      </w:r>
      <w:r w:rsidR="00F32B28" w:rsidRPr="00F32B28">
        <w:rPr>
          <w:rtl/>
        </w:rPr>
        <w:t>أي</w:t>
      </w:r>
      <w:r w:rsidR="00F32B28">
        <w:rPr>
          <w:rtl/>
        </w:rPr>
        <w:t xml:space="preserve"> </w:t>
      </w:r>
      <w:r w:rsidR="00F32B28" w:rsidRPr="00F32B28">
        <w:rPr>
          <w:rtl/>
        </w:rPr>
        <w:t>اعتداء</w:t>
      </w:r>
      <w:r w:rsidR="00F32B28">
        <w:rPr>
          <w:rtl/>
        </w:rPr>
        <w:t xml:space="preserve"> </w:t>
      </w:r>
      <w:r w:rsidR="00F32B28" w:rsidRPr="00F32B28">
        <w:rPr>
          <w:rtl/>
        </w:rPr>
        <w:t>جنسي</w:t>
      </w:r>
      <w:r w:rsidR="00F32B28">
        <w:rPr>
          <w:rtl/>
        </w:rPr>
        <w:t xml:space="preserve"> </w:t>
      </w:r>
      <w:r w:rsidR="00F32B28" w:rsidRPr="00F32B28">
        <w:rPr>
          <w:rtl/>
        </w:rPr>
        <w:t>يقع</w:t>
      </w:r>
      <w:r w:rsidR="00F32B28">
        <w:rPr>
          <w:rtl/>
        </w:rPr>
        <w:t xml:space="preserve"> </w:t>
      </w:r>
      <w:r w:rsidR="00F32B28" w:rsidRPr="00F32B28">
        <w:rPr>
          <w:rtl/>
        </w:rPr>
        <w:t>عليهم</w:t>
      </w:r>
      <w:r w:rsidR="00F32B28">
        <w:rPr>
          <w:rtl/>
        </w:rPr>
        <w:t xml:space="preserve"> </w:t>
      </w:r>
      <w:r w:rsidR="00F32B28" w:rsidRPr="00F32B28">
        <w:rPr>
          <w:rtl/>
        </w:rPr>
        <w:t>معاقب</w:t>
      </w:r>
      <w:r w:rsidR="00F32B28">
        <w:rPr>
          <w:rtl/>
        </w:rPr>
        <w:t xml:space="preserve"> </w:t>
      </w:r>
      <w:r w:rsidR="00F32B28" w:rsidRPr="00F32B28">
        <w:rPr>
          <w:rtl/>
        </w:rPr>
        <w:t>عليه</w:t>
      </w:r>
      <w:r w:rsidR="00F32B28">
        <w:rPr>
          <w:rtl/>
        </w:rPr>
        <w:t xml:space="preserve"> </w:t>
      </w:r>
      <w:r w:rsidR="00F32B28" w:rsidRPr="00F32B28">
        <w:rPr>
          <w:rtl/>
        </w:rPr>
        <w:t>بعقوبة</w:t>
      </w:r>
      <w:r w:rsidR="00F32B28">
        <w:rPr>
          <w:rtl/>
        </w:rPr>
        <w:t xml:space="preserve"> </w:t>
      </w:r>
      <w:r w:rsidR="00F32B28" w:rsidRPr="00F32B28">
        <w:rPr>
          <w:rtl/>
        </w:rPr>
        <w:t>مشددة.</w:t>
      </w:r>
      <w:r w:rsidR="00F32B28">
        <w:rPr>
          <w:rtl/>
        </w:rPr>
        <w:t xml:space="preserve"> </w:t>
      </w:r>
      <w:r w:rsidR="00F32B28" w:rsidRPr="00F32B28">
        <w:rPr>
          <w:rtl/>
        </w:rPr>
        <w:t>وتعاقب</w:t>
      </w:r>
      <w:r w:rsidR="00B73D93">
        <w:rPr>
          <w:rFonts w:hint="cs"/>
          <w:rtl/>
        </w:rPr>
        <w:t xml:space="preserve"> </w:t>
      </w:r>
      <w:r w:rsidR="00F32B28" w:rsidRPr="00F32B28">
        <w:rPr>
          <w:rtl/>
        </w:rPr>
        <w:t>التشريعات</w:t>
      </w:r>
      <w:r w:rsidR="00F32B28">
        <w:rPr>
          <w:rtl/>
        </w:rPr>
        <w:t xml:space="preserve"> </w:t>
      </w:r>
      <w:r w:rsidR="00F32B28" w:rsidRPr="00F32B28">
        <w:rPr>
          <w:rtl/>
        </w:rPr>
        <w:t>السارية</w:t>
      </w:r>
      <w:r w:rsidR="00F32B28">
        <w:rPr>
          <w:rtl/>
        </w:rPr>
        <w:t xml:space="preserve"> </w:t>
      </w:r>
      <w:r w:rsidR="00F32B28" w:rsidRPr="00F32B28">
        <w:rPr>
          <w:rtl/>
        </w:rPr>
        <w:t>كل</w:t>
      </w:r>
      <w:r w:rsidR="00F32B28">
        <w:rPr>
          <w:rtl/>
        </w:rPr>
        <w:t xml:space="preserve"> </w:t>
      </w:r>
      <w:r w:rsidR="00F32B28" w:rsidRPr="00F32B28">
        <w:rPr>
          <w:rtl/>
        </w:rPr>
        <w:t>من</w:t>
      </w:r>
      <w:r w:rsidR="00F32B28">
        <w:rPr>
          <w:rtl/>
        </w:rPr>
        <w:t xml:space="preserve"> </w:t>
      </w:r>
      <w:r w:rsidR="00F32B28" w:rsidRPr="00F32B28">
        <w:rPr>
          <w:rtl/>
        </w:rPr>
        <w:t>زوج</w:t>
      </w:r>
      <w:r w:rsidR="00F32B28">
        <w:rPr>
          <w:rtl/>
        </w:rPr>
        <w:t xml:space="preserve"> </w:t>
      </w:r>
      <w:r w:rsidR="00F32B28" w:rsidRPr="00F32B28">
        <w:rPr>
          <w:rtl/>
        </w:rPr>
        <w:t>فتاة</w:t>
      </w:r>
      <w:r w:rsidR="00F32B28">
        <w:rPr>
          <w:rtl/>
        </w:rPr>
        <w:t xml:space="preserve"> </w:t>
      </w:r>
      <w:r w:rsidR="00F32B28" w:rsidRPr="00F32B28">
        <w:rPr>
          <w:rtl/>
        </w:rPr>
        <w:t>أو</w:t>
      </w:r>
      <w:r w:rsidR="00F32B28">
        <w:rPr>
          <w:rtl/>
        </w:rPr>
        <w:t xml:space="preserve"> </w:t>
      </w:r>
      <w:r w:rsidR="00F32B28" w:rsidRPr="00F32B28">
        <w:rPr>
          <w:rtl/>
        </w:rPr>
        <w:t>أجرى</w:t>
      </w:r>
      <w:r w:rsidR="00F32B28">
        <w:rPr>
          <w:rtl/>
        </w:rPr>
        <w:t xml:space="preserve"> </w:t>
      </w:r>
      <w:r w:rsidR="00F32B28" w:rsidRPr="00F32B28">
        <w:rPr>
          <w:rtl/>
        </w:rPr>
        <w:t>مراسيم</w:t>
      </w:r>
      <w:r w:rsidR="00F32B28">
        <w:rPr>
          <w:rtl/>
        </w:rPr>
        <w:t xml:space="preserve"> </w:t>
      </w:r>
      <w:r w:rsidR="00F32B28" w:rsidRPr="00F32B28">
        <w:rPr>
          <w:rtl/>
        </w:rPr>
        <w:t>الزواج</w:t>
      </w:r>
      <w:r w:rsidR="00F32B28">
        <w:rPr>
          <w:rtl/>
        </w:rPr>
        <w:t xml:space="preserve"> </w:t>
      </w:r>
      <w:r w:rsidR="00F32B28" w:rsidRPr="00F32B28">
        <w:rPr>
          <w:rtl/>
        </w:rPr>
        <w:t>لفتاة</w:t>
      </w:r>
      <w:r w:rsidR="00F32B28">
        <w:rPr>
          <w:rtl/>
        </w:rPr>
        <w:t xml:space="preserve"> </w:t>
      </w:r>
      <w:r w:rsidR="00F32B28" w:rsidRPr="00F32B28">
        <w:rPr>
          <w:rtl/>
        </w:rPr>
        <w:t>لم</w:t>
      </w:r>
      <w:r w:rsidR="00F32B28">
        <w:rPr>
          <w:rtl/>
        </w:rPr>
        <w:t xml:space="preserve"> </w:t>
      </w:r>
      <w:r w:rsidR="00F32B28" w:rsidRPr="00F32B28">
        <w:rPr>
          <w:rtl/>
        </w:rPr>
        <w:t>تتم</w:t>
      </w:r>
      <w:r w:rsidR="00F32B28">
        <w:rPr>
          <w:rtl/>
        </w:rPr>
        <w:t xml:space="preserve"> </w:t>
      </w:r>
      <w:r w:rsidR="00F32B28" w:rsidRPr="00F32B28">
        <w:rPr>
          <w:rtl/>
        </w:rPr>
        <w:t>الخامسة</w:t>
      </w:r>
      <w:r w:rsidR="00F32B28">
        <w:rPr>
          <w:rtl/>
        </w:rPr>
        <w:t xml:space="preserve"> </w:t>
      </w:r>
      <w:r w:rsidR="00F32B28" w:rsidRPr="00F32B28">
        <w:rPr>
          <w:rtl/>
        </w:rPr>
        <w:t>عشرة</w:t>
      </w:r>
      <w:r w:rsidR="00F32B28">
        <w:rPr>
          <w:rtl/>
        </w:rPr>
        <w:t xml:space="preserve"> </w:t>
      </w:r>
      <w:r w:rsidR="00F32B28" w:rsidRPr="00F32B28">
        <w:rPr>
          <w:rtl/>
        </w:rPr>
        <w:t>من</w:t>
      </w:r>
      <w:r w:rsidR="00F32B28">
        <w:rPr>
          <w:rtl/>
        </w:rPr>
        <w:t xml:space="preserve"> </w:t>
      </w:r>
      <w:r w:rsidR="00F32B28" w:rsidRPr="00F32B28">
        <w:rPr>
          <w:rtl/>
        </w:rPr>
        <w:t>عمرها</w:t>
      </w:r>
      <w:r w:rsidR="00F32B28">
        <w:rPr>
          <w:rtl/>
        </w:rPr>
        <w:t xml:space="preserve"> </w:t>
      </w:r>
      <w:r w:rsidR="00F32B28" w:rsidRPr="00F32B28">
        <w:rPr>
          <w:rtl/>
        </w:rPr>
        <w:t>أو</w:t>
      </w:r>
      <w:r w:rsidR="00F32B28">
        <w:rPr>
          <w:rtl/>
        </w:rPr>
        <w:t xml:space="preserve"> </w:t>
      </w:r>
      <w:r w:rsidR="00F32B28" w:rsidRPr="00F32B28">
        <w:rPr>
          <w:rtl/>
        </w:rPr>
        <w:t>ساعد</w:t>
      </w:r>
      <w:r w:rsidR="00F32B28">
        <w:rPr>
          <w:rtl/>
        </w:rPr>
        <w:t xml:space="preserve"> </w:t>
      </w:r>
      <w:r w:rsidR="00F32B28" w:rsidRPr="00F32B28">
        <w:rPr>
          <w:rtl/>
        </w:rPr>
        <w:t>في</w:t>
      </w:r>
      <w:r w:rsidR="00F32B28">
        <w:rPr>
          <w:rtl/>
        </w:rPr>
        <w:t xml:space="preserve"> </w:t>
      </w:r>
      <w:r w:rsidR="00F32B28" w:rsidRPr="00F32B28">
        <w:rPr>
          <w:rtl/>
        </w:rPr>
        <w:t>إجراء</w:t>
      </w:r>
      <w:r w:rsidR="00F32B28">
        <w:rPr>
          <w:rtl/>
        </w:rPr>
        <w:t xml:space="preserve"> </w:t>
      </w:r>
      <w:r w:rsidR="00F32B28" w:rsidRPr="00F32B28">
        <w:rPr>
          <w:rtl/>
        </w:rPr>
        <w:t>مراسيم</w:t>
      </w:r>
      <w:r w:rsidR="00F32B28">
        <w:rPr>
          <w:rtl/>
        </w:rPr>
        <w:t xml:space="preserve"> </w:t>
      </w:r>
      <w:r w:rsidR="00F32B28" w:rsidRPr="00F32B28">
        <w:rPr>
          <w:rtl/>
        </w:rPr>
        <w:t>زواجها</w:t>
      </w:r>
      <w:r w:rsidR="00F32B28">
        <w:rPr>
          <w:rtl/>
        </w:rPr>
        <w:t xml:space="preserve"> </w:t>
      </w:r>
      <w:r w:rsidR="00F32B28" w:rsidRPr="00F32B28">
        <w:rPr>
          <w:rtl/>
        </w:rPr>
        <w:t>بالحبس</w:t>
      </w:r>
      <w:r w:rsidR="00F32B28">
        <w:rPr>
          <w:rtl/>
        </w:rPr>
        <w:t xml:space="preserve"> </w:t>
      </w:r>
      <w:r w:rsidR="00F32B28" w:rsidRPr="00F32B28">
        <w:rPr>
          <w:rtl/>
        </w:rPr>
        <w:t>لمدة</w:t>
      </w:r>
      <w:r w:rsidR="00F32B28">
        <w:rPr>
          <w:rtl/>
        </w:rPr>
        <w:t xml:space="preserve"> </w:t>
      </w:r>
      <w:r w:rsidR="00F32B28" w:rsidRPr="00F32B28">
        <w:rPr>
          <w:rtl/>
        </w:rPr>
        <w:t>قد</w:t>
      </w:r>
      <w:r w:rsidR="00F32B28">
        <w:rPr>
          <w:rtl/>
        </w:rPr>
        <w:t xml:space="preserve"> </w:t>
      </w:r>
      <w:r w:rsidR="00F32B28" w:rsidRPr="00F32B28">
        <w:rPr>
          <w:rtl/>
        </w:rPr>
        <w:t>تصل</w:t>
      </w:r>
      <w:r w:rsidR="00F32B28">
        <w:rPr>
          <w:rtl/>
        </w:rPr>
        <w:t xml:space="preserve"> </w:t>
      </w:r>
      <w:r w:rsidR="00F32B28" w:rsidRPr="00F32B28">
        <w:rPr>
          <w:rtl/>
        </w:rPr>
        <w:t>إلى</w:t>
      </w:r>
      <w:r w:rsidR="00F32B28">
        <w:rPr>
          <w:rtl/>
        </w:rPr>
        <w:t xml:space="preserve"> </w:t>
      </w:r>
      <w:r w:rsidR="00F32B28" w:rsidRPr="00F32B28">
        <w:rPr>
          <w:rtl/>
        </w:rPr>
        <w:t>سنتين.</w:t>
      </w:r>
    </w:p>
    <w:p w:rsidR="00F32B28" w:rsidRPr="00F32B28" w:rsidRDefault="00B80192" w:rsidP="00B73D93">
      <w:pPr>
        <w:pStyle w:val="SingleTxt"/>
      </w:pPr>
      <w:r>
        <w:rPr>
          <w:rFonts w:hint="cs"/>
          <w:rtl/>
          <w:lang w:bidi="ar-SY"/>
        </w:rPr>
        <w:t xml:space="preserve">102 - </w:t>
      </w:r>
      <w:r w:rsidR="00F32B28" w:rsidRPr="00F32B28">
        <w:rPr>
          <w:rtl/>
          <w:lang w:bidi="ar-SY"/>
        </w:rPr>
        <w:t>يتجلى</w:t>
      </w:r>
      <w:r w:rsidR="00F32B28">
        <w:rPr>
          <w:rtl/>
          <w:lang w:bidi="ar-SY"/>
        </w:rPr>
        <w:t xml:space="preserve"> </w:t>
      </w:r>
      <w:r w:rsidR="00F32B28" w:rsidRPr="00F32B28">
        <w:rPr>
          <w:rtl/>
          <w:lang w:bidi="ar-SY"/>
        </w:rPr>
        <w:t>التزام</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بتعزيز</w:t>
      </w:r>
      <w:r w:rsidR="00F32B28">
        <w:rPr>
          <w:rtl/>
          <w:lang w:bidi="ar-SY"/>
        </w:rPr>
        <w:t xml:space="preserve"> </w:t>
      </w:r>
      <w:r w:rsidR="00F32B28" w:rsidRPr="00F32B28">
        <w:rPr>
          <w:rtl/>
          <w:lang w:bidi="ar-SY"/>
        </w:rPr>
        <w:t>وحماية</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وحقوق</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خاص،</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تشديدها</w:t>
      </w:r>
      <w:r w:rsidR="00F32B28">
        <w:rPr>
          <w:rtl/>
          <w:lang w:bidi="ar-SY"/>
        </w:rPr>
        <w:t xml:space="preserve"> </w:t>
      </w:r>
      <w:r w:rsidR="00F32B28" w:rsidRPr="00F32B28">
        <w:rPr>
          <w:rtl/>
          <w:lang w:bidi="ar-SY"/>
        </w:rPr>
        <w:t>للعقوبات</w:t>
      </w:r>
      <w:r w:rsidR="00F32B28">
        <w:rPr>
          <w:rtl/>
          <w:lang w:bidi="ar-SY"/>
        </w:rPr>
        <w:t xml:space="preserve"> </w:t>
      </w:r>
      <w:r w:rsidR="00F32B28" w:rsidRPr="00F32B28">
        <w:rPr>
          <w:rtl/>
          <w:lang w:bidi="ar-SY"/>
        </w:rPr>
        <w:t>المفروضة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الجرائم</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تمس</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المذكورة</w:t>
      </w:r>
      <w:r w:rsidR="00F32B28">
        <w:rPr>
          <w:rtl/>
          <w:lang w:bidi="ar-SY"/>
        </w:rPr>
        <w:t xml:space="preserve"> </w:t>
      </w:r>
      <w:r w:rsidR="00F32B28" w:rsidRPr="00F32B28">
        <w:rPr>
          <w:rtl/>
          <w:lang w:bidi="ar-SY"/>
        </w:rPr>
        <w:t>آنفاً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مشروع</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العقوبات.</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أفرد</w:t>
      </w:r>
      <w:r w:rsidR="00F32B28">
        <w:rPr>
          <w:rtl/>
          <w:lang w:bidi="ar-SY"/>
        </w:rPr>
        <w:t xml:space="preserve"> </w:t>
      </w:r>
      <w:r w:rsidR="00F32B28" w:rsidRPr="00F32B28">
        <w:rPr>
          <w:rtl/>
          <w:lang w:bidi="ar-SY"/>
        </w:rPr>
        <w:t>المشروع</w:t>
      </w:r>
      <w:r w:rsidR="00F32B28">
        <w:rPr>
          <w:rtl/>
          <w:lang w:bidi="ar-SY"/>
        </w:rPr>
        <w:t xml:space="preserve"> </w:t>
      </w:r>
      <w:r w:rsidR="00F32B28" w:rsidRPr="00F32B28">
        <w:rPr>
          <w:rtl/>
          <w:lang w:bidi="ar-SY"/>
        </w:rPr>
        <w:t>فصلا</w:t>
      </w:r>
      <w:r w:rsidR="00F32B28">
        <w:rPr>
          <w:rtl/>
          <w:lang w:bidi="ar-SY"/>
        </w:rPr>
        <w:t xml:space="preserve"> </w:t>
      </w:r>
      <w:r w:rsidR="00F32B28" w:rsidRPr="00F32B28">
        <w:rPr>
          <w:rtl/>
          <w:lang w:bidi="ar-SY"/>
        </w:rPr>
        <w:t>كاملاً</w:t>
      </w:r>
      <w:r w:rsidR="00F32B28">
        <w:rPr>
          <w:rtl/>
          <w:lang w:bidi="ar-SY"/>
        </w:rPr>
        <w:t xml:space="preserve"> </w:t>
      </w:r>
      <w:r w:rsidR="00F32B28" w:rsidRPr="00F32B28">
        <w:rPr>
          <w:rtl/>
          <w:lang w:bidi="ar-SY"/>
        </w:rPr>
        <w:t>حول</w:t>
      </w:r>
      <w:r w:rsidR="00F32B28">
        <w:rPr>
          <w:rtl/>
          <w:lang w:bidi="ar-SY"/>
        </w:rPr>
        <w:t xml:space="preserve"> </w:t>
      </w:r>
      <w:r w:rsidR="00F32B28" w:rsidRPr="00F32B28">
        <w:rPr>
          <w:rtl/>
          <w:lang w:bidi="ar-SY"/>
        </w:rPr>
        <w:t>الجرائم</w:t>
      </w:r>
      <w:r w:rsidR="00F32B28">
        <w:rPr>
          <w:rtl/>
          <w:lang w:bidi="ar-SY"/>
        </w:rPr>
        <w:t xml:space="preserve"> </w:t>
      </w:r>
      <w:r w:rsidR="00F32B28" w:rsidRPr="00F32B28">
        <w:rPr>
          <w:rtl/>
          <w:lang w:bidi="ar-SY"/>
        </w:rPr>
        <w:t>الماسة</w:t>
      </w:r>
      <w:r w:rsidR="00F32B28">
        <w:rPr>
          <w:rtl/>
          <w:lang w:bidi="ar-SY"/>
        </w:rPr>
        <w:t xml:space="preserve"> </w:t>
      </w:r>
      <w:r w:rsidR="00F32B28" w:rsidRPr="00F32B28">
        <w:rPr>
          <w:rtl/>
          <w:lang w:bidi="ar-SY"/>
        </w:rPr>
        <w:t>بالكرامة</w:t>
      </w:r>
      <w:r w:rsidR="00F32B28">
        <w:rPr>
          <w:rtl/>
          <w:lang w:bidi="ar-SY"/>
        </w:rPr>
        <w:t xml:space="preserve"> </w:t>
      </w:r>
      <w:r w:rsidR="00F32B28" w:rsidRPr="00F32B28">
        <w:rPr>
          <w:rtl/>
          <w:lang w:bidi="ar-SY"/>
        </w:rPr>
        <w:t>الإنسانية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ضمنها</w:t>
      </w:r>
      <w:r w:rsidR="00F32B28">
        <w:rPr>
          <w:rtl/>
          <w:lang w:bidi="ar-SY"/>
        </w:rPr>
        <w:t xml:space="preserve"> </w:t>
      </w:r>
      <w:r w:rsidR="00F32B28" w:rsidRPr="00F32B28">
        <w:rPr>
          <w:rtl/>
          <w:lang w:bidi="ar-SY"/>
        </w:rPr>
        <w:t>جرائم</w:t>
      </w:r>
      <w:r w:rsidR="00F32B28">
        <w:rPr>
          <w:rtl/>
          <w:lang w:bidi="ar-SY"/>
        </w:rPr>
        <w:t xml:space="preserve"> </w:t>
      </w:r>
      <w:r w:rsidR="00F32B28" w:rsidRPr="00F32B28">
        <w:rPr>
          <w:rtl/>
          <w:lang w:bidi="ar-SY"/>
        </w:rPr>
        <w:t>الاتجار</w:t>
      </w:r>
      <w:r w:rsidR="00F32B28">
        <w:rPr>
          <w:rtl/>
          <w:lang w:bidi="ar-SY"/>
        </w:rPr>
        <w:t xml:space="preserve"> </w:t>
      </w:r>
      <w:r w:rsidR="00F32B28" w:rsidRPr="00F32B28">
        <w:rPr>
          <w:rtl/>
          <w:lang w:bidi="ar-SY"/>
        </w:rPr>
        <w:t>بالبشر،</w:t>
      </w:r>
      <w:r w:rsidR="00F32B28">
        <w:rPr>
          <w:rtl/>
          <w:lang w:bidi="ar-SY"/>
        </w:rPr>
        <w:t xml:space="preserve"> </w:t>
      </w:r>
      <w:r w:rsidR="00F32B28" w:rsidRPr="00F32B28">
        <w:rPr>
          <w:rtl/>
        </w:rPr>
        <w:t>وبخاصة</w:t>
      </w:r>
      <w:r w:rsidR="00F32B28">
        <w:rPr>
          <w:rtl/>
        </w:rPr>
        <w:t xml:space="preserve"> </w:t>
      </w:r>
      <w:r w:rsidR="00F32B28" w:rsidRPr="00F32B28">
        <w:rPr>
          <w:rtl/>
        </w:rPr>
        <w:t>الإتجار</w:t>
      </w:r>
      <w:r w:rsidR="00F32B28">
        <w:rPr>
          <w:rtl/>
        </w:rPr>
        <w:t xml:space="preserve"> </w:t>
      </w:r>
      <w:r w:rsidR="00F32B28" w:rsidRPr="00F32B28">
        <w:rPr>
          <w:rtl/>
        </w:rPr>
        <w:t>بالنساء،</w:t>
      </w:r>
      <w:r w:rsidR="00F32B28">
        <w:rPr>
          <w:rtl/>
        </w:rPr>
        <w:t xml:space="preserve"> </w:t>
      </w:r>
      <w:r w:rsidR="00F32B28" w:rsidRPr="00F32B28">
        <w:rPr>
          <w:rtl/>
        </w:rPr>
        <w:t>وتعاقب</w:t>
      </w:r>
      <w:r w:rsidR="00F32B28">
        <w:rPr>
          <w:rtl/>
        </w:rPr>
        <w:t xml:space="preserve"> </w:t>
      </w:r>
      <w:r w:rsidR="00F32B28" w:rsidRPr="00F32B28">
        <w:rPr>
          <w:rtl/>
        </w:rPr>
        <w:t>كل</w:t>
      </w:r>
      <w:r w:rsidR="00F32B28">
        <w:rPr>
          <w:rtl/>
        </w:rPr>
        <w:t xml:space="preserve"> </w:t>
      </w:r>
      <w:r w:rsidR="00F32B28" w:rsidRPr="00F32B28">
        <w:rPr>
          <w:rtl/>
        </w:rPr>
        <w:t>من</w:t>
      </w:r>
      <w:r w:rsidR="00F32B28">
        <w:rPr>
          <w:rtl/>
        </w:rPr>
        <w:t xml:space="preserve"> </w:t>
      </w:r>
      <w:r w:rsidR="00F32B28" w:rsidRPr="00F32B28">
        <w:rPr>
          <w:rtl/>
        </w:rPr>
        <w:t>يرتكب</w:t>
      </w:r>
      <w:r w:rsidR="00F32B28">
        <w:rPr>
          <w:rtl/>
        </w:rPr>
        <w:t xml:space="preserve"> </w:t>
      </w:r>
      <w:r w:rsidR="00F32B28" w:rsidRPr="00F32B28">
        <w:rPr>
          <w:rtl/>
        </w:rPr>
        <w:t>فعلا</w:t>
      </w:r>
      <w:r w:rsidR="00F32B28">
        <w:rPr>
          <w:rtl/>
        </w:rPr>
        <w:t xml:space="preserve"> </w:t>
      </w:r>
      <w:r w:rsidR="00F32B28" w:rsidRPr="00F32B28">
        <w:rPr>
          <w:rtl/>
        </w:rPr>
        <w:t>منها</w:t>
      </w:r>
      <w:r w:rsidR="00F32B28">
        <w:rPr>
          <w:rtl/>
        </w:rPr>
        <w:t xml:space="preserve"> </w:t>
      </w:r>
      <w:r w:rsidR="00F32B28" w:rsidRPr="00F32B28">
        <w:rPr>
          <w:rtl/>
        </w:rPr>
        <w:t>بالسجن</w:t>
      </w:r>
      <w:r w:rsidR="00F32B28">
        <w:rPr>
          <w:rtl/>
        </w:rPr>
        <w:t xml:space="preserve"> </w:t>
      </w:r>
      <w:r w:rsidR="00F32B28" w:rsidRPr="00F32B28">
        <w:rPr>
          <w:rtl/>
        </w:rPr>
        <w:t>المؤقت</w:t>
      </w:r>
      <w:r w:rsidR="00F32B28">
        <w:rPr>
          <w:rtl/>
        </w:rPr>
        <w:t xml:space="preserve"> </w:t>
      </w:r>
      <w:r w:rsidR="00F32B28" w:rsidRPr="00F32B28">
        <w:rPr>
          <w:rtl/>
        </w:rPr>
        <w:t>أو</w:t>
      </w:r>
      <w:r w:rsidR="00F32B28">
        <w:rPr>
          <w:rtl/>
        </w:rPr>
        <w:t xml:space="preserve"> </w:t>
      </w:r>
      <w:r w:rsidR="00F32B28" w:rsidRPr="00F32B28">
        <w:rPr>
          <w:rtl/>
        </w:rPr>
        <w:t>المؤبد</w:t>
      </w:r>
      <w:r w:rsidR="00F32B28">
        <w:rPr>
          <w:rtl/>
        </w:rPr>
        <w:t xml:space="preserve"> </w:t>
      </w:r>
      <w:r w:rsidR="00F32B28" w:rsidRPr="00F32B28">
        <w:rPr>
          <w:rtl/>
        </w:rPr>
        <w:t>بحسب</w:t>
      </w:r>
      <w:r w:rsidR="00F32B28">
        <w:rPr>
          <w:rtl/>
        </w:rPr>
        <w:t xml:space="preserve"> </w:t>
      </w:r>
      <w:r w:rsidR="00F32B28" w:rsidRPr="00F32B28">
        <w:rPr>
          <w:rtl/>
        </w:rPr>
        <w:t>الحال،</w:t>
      </w:r>
      <w:r w:rsidR="00F32B28">
        <w:rPr>
          <w:rtl/>
        </w:rPr>
        <w:t xml:space="preserve"> </w:t>
      </w:r>
      <w:r w:rsidR="00F32B28" w:rsidRPr="00F32B28">
        <w:rPr>
          <w:rtl/>
        </w:rPr>
        <w:t>وبغرامة</w:t>
      </w:r>
      <w:r w:rsidR="00F32B28">
        <w:rPr>
          <w:rtl/>
        </w:rPr>
        <w:t xml:space="preserve"> </w:t>
      </w:r>
      <w:r w:rsidR="00F32B28" w:rsidRPr="00F32B28">
        <w:rPr>
          <w:rtl/>
        </w:rPr>
        <w:t>قد</w:t>
      </w:r>
      <w:r w:rsidR="00F32B28">
        <w:rPr>
          <w:rtl/>
        </w:rPr>
        <w:t xml:space="preserve"> </w:t>
      </w:r>
      <w:r w:rsidR="00F32B28" w:rsidRPr="00F32B28">
        <w:rPr>
          <w:rtl/>
        </w:rPr>
        <w:t>تصل</w:t>
      </w:r>
      <w:r w:rsidR="00F32B28">
        <w:rPr>
          <w:rtl/>
        </w:rPr>
        <w:t xml:space="preserve"> </w:t>
      </w:r>
      <w:r w:rsidR="00F32B28" w:rsidRPr="00F32B28">
        <w:rPr>
          <w:rtl/>
        </w:rPr>
        <w:t>إلى</w:t>
      </w:r>
      <w:r w:rsidR="00F32B28">
        <w:rPr>
          <w:rtl/>
        </w:rPr>
        <w:t xml:space="preserve"> </w:t>
      </w:r>
      <w:r w:rsidR="00F32B28" w:rsidRPr="00F32B28">
        <w:rPr>
          <w:rtl/>
        </w:rPr>
        <w:t>ستين</w:t>
      </w:r>
      <w:r w:rsidR="00F32B28">
        <w:rPr>
          <w:rtl/>
        </w:rPr>
        <w:t xml:space="preserve"> </w:t>
      </w:r>
      <w:r w:rsidR="00F32B28" w:rsidRPr="00F32B28">
        <w:rPr>
          <w:rtl/>
        </w:rPr>
        <w:t>ألف</w:t>
      </w:r>
      <w:r w:rsidR="00F32B28">
        <w:rPr>
          <w:rtl/>
        </w:rPr>
        <w:t xml:space="preserve"> </w:t>
      </w:r>
      <w:r w:rsidR="00F32B28" w:rsidRPr="00F32B28">
        <w:rPr>
          <w:rtl/>
        </w:rPr>
        <w:t>دولار،</w:t>
      </w:r>
      <w:r w:rsidR="00F32B28">
        <w:rPr>
          <w:rtl/>
        </w:rPr>
        <w:t xml:space="preserve"> </w:t>
      </w:r>
      <w:r w:rsidR="00F32B28" w:rsidRPr="00F32B28">
        <w:rPr>
          <w:rtl/>
        </w:rPr>
        <w:t>أو</w:t>
      </w:r>
      <w:r w:rsidR="00F32B28">
        <w:rPr>
          <w:rtl/>
        </w:rPr>
        <w:t xml:space="preserve"> </w:t>
      </w:r>
      <w:r w:rsidR="00F32B28" w:rsidRPr="00F32B28">
        <w:rPr>
          <w:rtl/>
        </w:rPr>
        <w:t>بغرامة</w:t>
      </w:r>
      <w:r w:rsidR="00F32B28">
        <w:rPr>
          <w:rtl/>
        </w:rPr>
        <w:t xml:space="preserve"> </w:t>
      </w:r>
      <w:r w:rsidR="00F32B28" w:rsidRPr="00F32B28">
        <w:rPr>
          <w:rtl/>
        </w:rPr>
        <w:t>مساوية</w:t>
      </w:r>
      <w:r w:rsidR="00F32B28">
        <w:rPr>
          <w:rtl/>
        </w:rPr>
        <w:t xml:space="preserve"> </w:t>
      </w:r>
      <w:r w:rsidR="00F32B28" w:rsidRPr="00F32B28">
        <w:rPr>
          <w:rtl/>
        </w:rPr>
        <w:t>لقيمة</w:t>
      </w:r>
      <w:r w:rsidR="00F32B28">
        <w:rPr>
          <w:rtl/>
        </w:rPr>
        <w:t xml:space="preserve"> </w:t>
      </w:r>
      <w:r w:rsidR="00F32B28" w:rsidRPr="00F32B28">
        <w:rPr>
          <w:rtl/>
        </w:rPr>
        <w:t>ما</w:t>
      </w:r>
      <w:r w:rsidR="00F32B28">
        <w:rPr>
          <w:rtl/>
        </w:rPr>
        <w:t xml:space="preserve"> </w:t>
      </w:r>
      <w:r w:rsidR="00F32B28" w:rsidRPr="00F32B28">
        <w:rPr>
          <w:rtl/>
        </w:rPr>
        <w:t>عاد</w:t>
      </w:r>
      <w:r w:rsidR="00F32B28">
        <w:rPr>
          <w:rtl/>
        </w:rPr>
        <w:t xml:space="preserve"> </w:t>
      </w:r>
      <w:r w:rsidR="00F32B28" w:rsidRPr="00F32B28">
        <w:rPr>
          <w:rtl/>
        </w:rPr>
        <w:t>عليه</w:t>
      </w:r>
      <w:r w:rsidR="00F32B28">
        <w:rPr>
          <w:rtl/>
        </w:rPr>
        <w:t xml:space="preserve"> </w:t>
      </w:r>
      <w:r w:rsidR="00F32B28" w:rsidRPr="00F32B28">
        <w:rPr>
          <w:rtl/>
        </w:rPr>
        <w:t>من</w:t>
      </w:r>
      <w:r w:rsidR="00F32B28">
        <w:rPr>
          <w:rtl/>
        </w:rPr>
        <w:t xml:space="preserve"> </w:t>
      </w:r>
      <w:r w:rsidR="00F32B28" w:rsidRPr="00F32B28">
        <w:rPr>
          <w:rtl/>
        </w:rPr>
        <w:t>نفع</w:t>
      </w:r>
      <w:r w:rsidR="00F32B28">
        <w:rPr>
          <w:rtl/>
        </w:rPr>
        <w:t xml:space="preserve"> </w:t>
      </w:r>
      <w:r w:rsidR="00F32B28" w:rsidRPr="00F32B28">
        <w:rPr>
          <w:rtl/>
        </w:rPr>
        <w:t>أيهما</w:t>
      </w:r>
      <w:r w:rsidR="00F32B28">
        <w:rPr>
          <w:rtl/>
        </w:rPr>
        <w:t xml:space="preserve"> </w:t>
      </w:r>
      <w:r w:rsidR="00F32B28" w:rsidRPr="00F32B28">
        <w:rPr>
          <w:rtl/>
        </w:rPr>
        <w:t>أكبر.</w:t>
      </w:r>
      <w:r w:rsidR="00F32B28">
        <w:rPr>
          <w:rtl/>
        </w:rPr>
        <w:t xml:space="preserve"> </w:t>
      </w:r>
      <w:r w:rsidR="00F32B28" w:rsidRPr="00F32B28">
        <w:rPr>
          <w:rtl/>
        </w:rPr>
        <w:t>وتشدد</w:t>
      </w:r>
      <w:r w:rsidR="00F32B28">
        <w:rPr>
          <w:rtl/>
        </w:rPr>
        <w:t xml:space="preserve"> </w:t>
      </w:r>
      <w:r w:rsidR="00F32B28" w:rsidRPr="00F32B28">
        <w:rPr>
          <w:rtl/>
        </w:rPr>
        <w:t>العقوبة</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إذا</w:t>
      </w:r>
      <w:r w:rsidR="00F32B28">
        <w:rPr>
          <w:rtl/>
        </w:rPr>
        <w:t xml:space="preserve"> </w:t>
      </w:r>
      <w:r w:rsidR="00F32B28" w:rsidRPr="00F32B28">
        <w:rPr>
          <w:rtl/>
        </w:rPr>
        <w:t>ما</w:t>
      </w:r>
      <w:r w:rsidR="00F32B28">
        <w:rPr>
          <w:rtl/>
        </w:rPr>
        <w:t xml:space="preserve"> </w:t>
      </w:r>
      <w:r w:rsidR="00F32B28" w:rsidRPr="00F32B28">
        <w:rPr>
          <w:rtl/>
        </w:rPr>
        <w:t>كان</w:t>
      </w:r>
      <w:r w:rsidR="00F32B28">
        <w:rPr>
          <w:rtl/>
        </w:rPr>
        <w:t xml:space="preserve"> </w:t>
      </w:r>
      <w:r w:rsidR="00F32B28" w:rsidRPr="00F32B28">
        <w:rPr>
          <w:rtl/>
        </w:rPr>
        <w:t>الجاني</w:t>
      </w:r>
      <w:r w:rsidR="00F32B28">
        <w:rPr>
          <w:rtl/>
        </w:rPr>
        <w:t xml:space="preserve"> </w:t>
      </w:r>
      <w:r w:rsidR="00F32B28" w:rsidRPr="00F32B28">
        <w:rPr>
          <w:rtl/>
        </w:rPr>
        <w:t>قد</w:t>
      </w:r>
      <w:r w:rsidR="00F32B28">
        <w:rPr>
          <w:rtl/>
        </w:rPr>
        <w:t xml:space="preserve"> </w:t>
      </w:r>
      <w:r w:rsidR="00F32B28" w:rsidRPr="00F32B28">
        <w:rPr>
          <w:rtl/>
        </w:rPr>
        <w:t>أسس</w:t>
      </w:r>
      <w:r w:rsidR="00F32B28">
        <w:rPr>
          <w:rtl/>
        </w:rPr>
        <w:t xml:space="preserve"> </w:t>
      </w:r>
      <w:r w:rsidR="00F32B28" w:rsidRPr="00F32B28">
        <w:rPr>
          <w:rtl/>
        </w:rPr>
        <w:t>جماعة</w:t>
      </w:r>
      <w:r w:rsidR="00F32B28">
        <w:rPr>
          <w:rtl/>
        </w:rPr>
        <w:t xml:space="preserve"> </w:t>
      </w:r>
      <w:r w:rsidR="00F32B28" w:rsidRPr="00F32B28">
        <w:rPr>
          <w:rtl/>
        </w:rPr>
        <w:t>إجرامية</w:t>
      </w:r>
      <w:r w:rsidR="00F32B28">
        <w:rPr>
          <w:rtl/>
        </w:rPr>
        <w:t xml:space="preserve"> </w:t>
      </w:r>
      <w:r w:rsidR="00F32B28" w:rsidRPr="00F32B28">
        <w:rPr>
          <w:rtl/>
        </w:rPr>
        <w:t>منظمة</w:t>
      </w:r>
      <w:r w:rsidR="00F32B28">
        <w:rPr>
          <w:rtl/>
        </w:rPr>
        <w:t xml:space="preserve"> </w:t>
      </w:r>
      <w:r w:rsidR="00F32B28" w:rsidRPr="00F32B28">
        <w:rPr>
          <w:rtl/>
        </w:rPr>
        <w:t>لهذه</w:t>
      </w:r>
      <w:r w:rsidR="00F32B28">
        <w:rPr>
          <w:rtl/>
        </w:rPr>
        <w:t xml:space="preserve"> </w:t>
      </w:r>
      <w:r w:rsidR="00F32B28" w:rsidRPr="00F32B28">
        <w:rPr>
          <w:rtl/>
        </w:rPr>
        <w:t>الأغراض؛</w:t>
      </w:r>
      <w:r w:rsidR="00F32B28">
        <w:rPr>
          <w:rtl/>
        </w:rPr>
        <w:t xml:space="preserve"> </w:t>
      </w:r>
      <w:r w:rsidR="00F32B28" w:rsidRPr="00F32B28">
        <w:rPr>
          <w:rtl/>
        </w:rPr>
        <w:t>أو</w:t>
      </w:r>
      <w:r w:rsidR="00F32B28">
        <w:rPr>
          <w:rtl/>
        </w:rPr>
        <w:t xml:space="preserve"> </w:t>
      </w:r>
      <w:r w:rsidR="00F32B28" w:rsidRPr="00F32B28">
        <w:rPr>
          <w:rtl/>
        </w:rPr>
        <w:t>إذا</w:t>
      </w:r>
      <w:r w:rsidR="00F32B28">
        <w:rPr>
          <w:rtl/>
        </w:rPr>
        <w:t xml:space="preserve"> </w:t>
      </w:r>
      <w:r w:rsidR="00F32B28" w:rsidRPr="00F32B28">
        <w:rPr>
          <w:rtl/>
        </w:rPr>
        <w:t>ارتكب</w:t>
      </w:r>
      <w:r w:rsidR="00F32B28">
        <w:rPr>
          <w:rtl/>
        </w:rPr>
        <w:t xml:space="preserve"> </w:t>
      </w:r>
      <w:r w:rsidR="00F32B28" w:rsidRPr="00F32B28">
        <w:rPr>
          <w:rtl/>
        </w:rPr>
        <w:t>الفعل</w:t>
      </w:r>
      <w:r w:rsidR="00F32B28">
        <w:rPr>
          <w:rtl/>
        </w:rPr>
        <w:t xml:space="preserve"> </w:t>
      </w:r>
      <w:r w:rsidR="00F32B28" w:rsidRPr="00F32B28">
        <w:rPr>
          <w:rtl/>
        </w:rPr>
        <w:t>بطريق</w:t>
      </w:r>
      <w:r w:rsidR="00F32B28">
        <w:rPr>
          <w:rtl/>
        </w:rPr>
        <w:t xml:space="preserve"> </w:t>
      </w:r>
      <w:r w:rsidR="00F32B28" w:rsidRPr="00F32B28">
        <w:rPr>
          <w:rtl/>
        </w:rPr>
        <w:t>التهديد</w:t>
      </w:r>
      <w:r w:rsidR="00F32B28">
        <w:rPr>
          <w:rtl/>
        </w:rPr>
        <w:t xml:space="preserve"> </w:t>
      </w:r>
      <w:r w:rsidR="00F32B28" w:rsidRPr="00F32B28">
        <w:rPr>
          <w:rtl/>
        </w:rPr>
        <w:t>أو</w:t>
      </w:r>
      <w:r w:rsidR="00F32B28">
        <w:rPr>
          <w:rtl/>
        </w:rPr>
        <w:t xml:space="preserve"> </w:t>
      </w:r>
      <w:r w:rsidR="00F32B28" w:rsidRPr="00F32B28">
        <w:rPr>
          <w:rtl/>
        </w:rPr>
        <w:t>الأذى؛</w:t>
      </w:r>
      <w:r w:rsidR="00F32B28">
        <w:rPr>
          <w:rtl/>
        </w:rPr>
        <w:t xml:space="preserve"> </w:t>
      </w:r>
      <w:r w:rsidR="00F32B28" w:rsidRPr="00F32B28">
        <w:rPr>
          <w:rtl/>
        </w:rPr>
        <w:t>أو</w:t>
      </w:r>
      <w:r w:rsidR="00F32B28">
        <w:rPr>
          <w:rtl/>
        </w:rPr>
        <w:t xml:space="preserve"> </w:t>
      </w:r>
      <w:r w:rsidR="00F32B28" w:rsidRPr="00F32B28">
        <w:rPr>
          <w:rtl/>
        </w:rPr>
        <w:t>إذا</w:t>
      </w:r>
      <w:r w:rsidR="00F32B28">
        <w:rPr>
          <w:rtl/>
        </w:rPr>
        <w:t xml:space="preserve"> </w:t>
      </w:r>
      <w:r w:rsidR="00F32B28" w:rsidRPr="00F32B28">
        <w:rPr>
          <w:rtl/>
        </w:rPr>
        <w:t>كان</w:t>
      </w:r>
      <w:r w:rsidR="00F32B28">
        <w:rPr>
          <w:rtl/>
        </w:rPr>
        <w:t xml:space="preserve"> </w:t>
      </w:r>
      <w:r w:rsidR="00F32B28" w:rsidRPr="00F32B28">
        <w:rPr>
          <w:rtl/>
        </w:rPr>
        <w:t>الجاني</w:t>
      </w:r>
      <w:r w:rsidR="00F32B28">
        <w:rPr>
          <w:rtl/>
        </w:rPr>
        <w:t xml:space="preserve"> </w:t>
      </w:r>
      <w:r w:rsidR="00F32B28" w:rsidRPr="00F32B28">
        <w:rPr>
          <w:rtl/>
        </w:rPr>
        <w:t>ذات</w:t>
      </w:r>
      <w:r w:rsidR="00F32B28">
        <w:rPr>
          <w:rtl/>
        </w:rPr>
        <w:t xml:space="preserve"> </w:t>
      </w:r>
      <w:r w:rsidR="00F32B28" w:rsidRPr="00F32B28">
        <w:rPr>
          <w:rtl/>
        </w:rPr>
        <w:t>قرابة</w:t>
      </w:r>
      <w:r w:rsidR="00F32B28">
        <w:rPr>
          <w:rtl/>
        </w:rPr>
        <w:t xml:space="preserve"> </w:t>
      </w:r>
      <w:r w:rsidR="00F32B28" w:rsidRPr="00F32B28">
        <w:rPr>
          <w:rtl/>
        </w:rPr>
        <w:t>للمجني</w:t>
      </w:r>
      <w:r w:rsidR="00F32B28">
        <w:rPr>
          <w:rtl/>
        </w:rPr>
        <w:t xml:space="preserve"> </w:t>
      </w:r>
      <w:r w:rsidR="00F32B28" w:rsidRPr="00F32B28">
        <w:rPr>
          <w:rtl/>
        </w:rPr>
        <w:t>عليه،</w:t>
      </w:r>
      <w:r w:rsidR="00F32B28">
        <w:rPr>
          <w:rtl/>
        </w:rPr>
        <w:t xml:space="preserve"> </w:t>
      </w:r>
      <w:r w:rsidR="00F32B28" w:rsidRPr="00F32B28">
        <w:rPr>
          <w:rtl/>
        </w:rPr>
        <w:t>أو</w:t>
      </w:r>
      <w:r w:rsidR="00F32B28">
        <w:rPr>
          <w:rtl/>
        </w:rPr>
        <w:t xml:space="preserve"> </w:t>
      </w:r>
      <w:r w:rsidR="00F32B28" w:rsidRPr="00F32B28">
        <w:rPr>
          <w:rtl/>
        </w:rPr>
        <w:t>ممن</w:t>
      </w:r>
      <w:r w:rsidR="00F32B28">
        <w:rPr>
          <w:rtl/>
        </w:rPr>
        <w:t xml:space="preserve"> </w:t>
      </w:r>
      <w:r w:rsidR="00F32B28" w:rsidRPr="00F32B28">
        <w:rPr>
          <w:rtl/>
        </w:rPr>
        <w:t>له</w:t>
      </w:r>
      <w:r w:rsidR="00F32B28">
        <w:rPr>
          <w:rtl/>
        </w:rPr>
        <w:t xml:space="preserve"> </w:t>
      </w:r>
      <w:r w:rsidR="00F32B28" w:rsidRPr="00F32B28">
        <w:rPr>
          <w:rtl/>
        </w:rPr>
        <w:t>سلطة</w:t>
      </w:r>
      <w:r w:rsidR="00F32B28">
        <w:rPr>
          <w:rtl/>
        </w:rPr>
        <w:t xml:space="preserve"> </w:t>
      </w:r>
      <w:r w:rsidR="00F32B28" w:rsidRPr="00F32B28">
        <w:rPr>
          <w:rtl/>
        </w:rPr>
        <w:t>عليه؛</w:t>
      </w:r>
      <w:r w:rsidR="00F32B28">
        <w:rPr>
          <w:rtl/>
        </w:rPr>
        <w:t xml:space="preserve"> </w:t>
      </w:r>
      <w:r w:rsidR="00F32B28" w:rsidRPr="00F32B28">
        <w:rPr>
          <w:rtl/>
        </w:rPr>
        <w:t>أو</w:t>
      </w:r>
      <w:r w:rsidR="009B107D">
        <w:rPr>
          <w:rFonts w:hint="cs"/>
          <w:rtl/>
        </w:rPr>
        <w:t> </w:t>
      </w:r>
      <w:r w:rsidR="00F32B28" w:rsidRPr="00F32B28">
        <w:rPr>
          <w:rtl/>
        </w:rPr>
        <w:t>كان</w:t>
      </w:r>
      <w:r w:rsidR="00F32B28">
        <w:rPr>
          <w:rtl/>
        </w:rPr>
        <w:t xml:space="preserve"> </w:t>
      </w:r>
      <w:r w:rsidR="00F32B28" w:rsidRPr="00F32B28">
        <w:rPr>
          <w:rtl/>
        </w:rPr>
        <w:t>الجاني</w:t>
      </w:r>
      <w:r w:rsidR="00F32B28">
        <w:rPr>
          <w:rtl/>
        </w:rPr>
        <w:t xml:space="preserve"> </w:t>
      </w:r>
      <w:r w:rsidR="00F32B28" w:rsidRPr="00F32B28">
        <w:rPr>
          <w:rtl/>
        </w:rPr>
        <w:t>موظفا</w:t>
      </w:r>
      <w:r w:rsidR="00F32B28">
        <w:rPr>
          <w:rtl/>
        </w:rPr>
        <w:t xml:space="preserve"> </w:t>
      </w:r>
      <w:r w:rsidR="00F32B28" w:rsidRPr="00F32B28">
        <w:rPr>
          <w:rtl/>
        </w:rPr>
        <w:t>عاما؛</w:t>
      </w:r>
      <w:r w:rsidR="00F32B28">
        <w:rPr>
          <w:rtl/>
        </w:rPr>
        <w:t xml:space="preserve"> </w:t>
      </w:r>
      <w:r w:rsidR="00F32B28" w:rsidRPr="00F32B28">
        <w:rPr>
          <w:rtl/>
        </w:rPr>
        <w:t>أو</w:t>
      </w:r>
      <w:r w:rsidR="00F32B28">
        <w:rPr>
          <w:rtl/>
        </w:rPr>
        <w:t xml:space="preserve"> </w:t>
      </w:r>
      <w:r w:rsidR="00F32B28" w:rsidRPr="00F32B28">
        <w:rPr>
          <w:rtl/>
        </w:rPr>
        <w:t>نتج</w:t>
      </w:r>
      <w:r w:rsidR="00F32B28">
        <w:rPr>
          <w:rtl/>
        </w:rPr>
        <w:t xml:space="preserve"> </w:t>
      </w:r>
      <w:r w:rsidR="00F32B28" w:rsidRPr="00F32B28">
        <w:rPr>
          <w:rtl/>
        </w:rPr>
        <w:t>عن</w:t>
      </w:r>
      <w:r w:rsidR="00F32B28">
        <w:rPr>
          <w:rtl/>
        </w:rPr>
        <w:t xml:space="preserve"> </w:t>
      </w:r>
      <w:r w:rsidR="00F32B28" w:rsidRPr="00F32B28">
        <w:rPr>
          <w:rtl/>
        </w:rPr>
        <w:t>الجريمة</w:t>
      </w:r>
      <w:r w:rsidR="00F32B28">
        <w:rPr>
          <w:rtl/>
        </w:rPr>
        <w:t xml:space="preserve"> </w:t>
      </w:r>
      <w:r w:rsidR="00F32B28" w:rsidRPr="00F32B28">
        <w:rPr>
          <w:rtl/>
        </w:rPr>
        <w:t>وفاة</w:t>
      </w:r>
      <w:r w:rsidR="00F32B28">
        <w:rPr>
          <w:rtl/>
        </w:rPr>
        <w:t xml:space="preserve"> </w:t>
      </w:r>
      <w:r w:rsidR="00F32B28" w:rsidRPr="00F32B28">
        <w:rPr>
          <w:rtl/>
        </w:rPr>
        <w:t>المجني</w:t>
      </w:r>
      <w:r w:rsidR="00F32B28">
        <w:rPr>
          <w:rtl/>
        </w:rPr>
        <w:t xml:space="preserve"> </w:t>
      </w:r>
      <w:r w:rsidR="00F32B28" w:rsidRPr="00F32B28">
        <w:rPr>
          <w:rtl/>
        </w:rPr>
        <w:t>عليها،</w:t>
      </w:r>
      <w:r w:rsidR="00F32B28">
        <w:rPr>
          <w:rtl/>
        </w:rPr>
        <w:t xml:space="preserve"> </w:t>
      </w:r>
      <w:r w:rsidR="00F32B28" w:rsidRPr="00F32B28">
        <w:rPr>
          <w:rtl/>
        </w:rPr>
        <w:t>أو</w:t>
      </w:r>
      <w:r w:rsidR="00F32B28">
        <w:rPr>
          <w:rtl/>
        </w:rPr>
        <w:t xml:space="preserve"> </w:t>
      </w:r>
      <w:r w:rsidR="00F32B28" w:rsidRPr="00F32B28">
        <w:rPr>
          <w:rtl/>
        </w:rPr>
        <w:t>إصابتها</w:t>
      </w:r>
      <w:r w:rsidR="00F32B28">
        <w:rPr>
          <w:rtl/>
        </w:rPr>
        <w:t xml:space="preserve"> </w:t>
      </w:r>
      <w:r w:rsidR="00F32B28" w:rsidRPr="00F32B28">
        <w:rPr>
          <w:rtl/>
        </w:rPr>
        <w:t>بعاهة</w:t>
      </w:r>
      <w:r w:rsidR="00F32B28">
        <w:rPr>
          <w:rtl/>
        </w:rPr>
        <w:t xml:space="preserve"> </w:t>
      </w:r>
      <w:r w:rsidR="00F32B28" w:rsidRPr="00F32B28">
        <w:rPr>
          <w:rtl/>
        </w:rPr>
        <w:t>أو</w:t>
      </w:r>
      <w:r w:rsidR="00F32B28">
        <w:rPr>
          <w:rtl/>
        </w:rPr>
        <w:t xml:space="preserve"> </w:t>
      </w:r>
      <w:r w:rsidR="00F32B28" w:rsidRPr="00F32B28">
        <w:rPr>
          <w:rtl/>
        </w:rPr>
        <w:t>بمرض؛</w:t>
      </w:r>
      <w:r w:rsidR="00F32B28">
        <w:rPr>
          <w:rtl/>
        </w:rPr>
        <w:t xml:space="preserve"> </w:t>
      </w:r>
      <w:r w:rsidR="00F32B28" w:rsidRPr="00F32B28">
        <w:rPr>
          <w:rtl/>
        </w:rPr>
        <w:t>أو</w:t>
      </w:r>
      <w:r w:rsidR="00F32B28">
        <w:rPr>
          <w:rtl/>
        </w:rPr>
        <w:t xml:space="preserve"> </w:t>
      </w:r>
      <w:r w:rsidR="00F32B28" w:rsidRPr="00F32B28">
        <w:rPr>
          <w:rtl/>
        </w:rPr>
        <w:t>كان</w:t>
      </w:r>
      <w:r w:rsidR="00F32B28">
        <w:rPr>
          <w:rtl/>
        </w:rPr>
        <w:t xml:space="preserve"> </w:t>
      </w:r>
      <w:r w:rsidR="00F32B28" w:rsidRPr="00F32B28">
        <w:rPr>
          <w:rtl/>
        </w:rPr>
        <w:t>المجني</w:t>
      </w:r>
      <w:r w:rsidR="00F32B28">
        <w:rPr>
          <w:rtl/>
        </w:rPr>
        <w:t xml:space="preserve"> </w:t>
      </w:r>
      <w:r w:rsidR="00F32B28" w:rsidRPr="00F32B28">
        <w:rPr>
          <w:rtl/>
        </w:rPr>
        <w:t>عليها</w:t>
      </w:r>
      <w:r w:rsidR="00F32B28">
        <w:rPr>
          <w:rtl/>
        </w:rPr>
        <w:t xml:space="preserve"> </w:t>
      </w:r>
      <w:r w:rsidR="00F32B28" w:rsidRPr="00F32B28">
        <w:rPr>
          <w:rtl/>
        </w:rPr>
        <w:t>من</w:t>
      </w:r>
      <w:r w:rsidR="00F32B28">
        <w:rPr>
          <w:rtl/>
        </w:rPr>
        <w:t xml:space="preserve"> </w:t>
      </w:r>
      <w:r w:rsidR="00F32B28" w:rsidRPr="00F32B28">
        <w:rPr>
          <w:rtl/>
        </w:rPr>
        <w:t>عديمي</w:t>
      </w:r>
      <w:r w:rsidR="00F32B28">
        <w:rPr>
          <w:rtl/>
        </w:rPr>
        <w:t xml:space="preserve"> </w:t>
      </w:r>
      <w:r w:rsidR="00F32B28" w:rsidRPr="00F32B28">
        <w:rPr>
          <w:rtl/>
        </w:rPr>
        <w:t>الأهلية،</w:t>
      </w:r>
      <w:r w:rsidR="00F32B28">
        <w:rPr>
          <w:rtl/>
        </w:rPr>
        <w:t xml:space="preserve"> </w:t>
      </w:r>
      <w:r w:rsidR="00F32B28" w:rsidRPr="00F32B28">
        <w:rPr>
          <w:rtl/>
        </w:rPr>
        <w:t>أو</w:t>
      </w:r>
      <w:r w:rsidR="00F32B28">
        <w:rPr>
          <w:rtl/>
        </w:rPr>
        <w:t xml:space="preserve"> </w:t>
      </w:r>
      <w:r w:rsidR="00F32B28" w:rsidRPr="00F32B28">
        <w:rPr>
          <w:rtl/>
        </w:rPr>
        <w:t>من</w:t>
      </w:r>
      <w:r w:rsidR="00F32B28">
        <w:rPr>
          <w:rtl/>
        </w:rPr>
        <w:t xml:space="preserve"> </w:t>
      </w:r>
      <w:r w:rsidR="00F32B28" w:rsidRPr="00F32B28">
        <w:rPr>
          <w:rtl/>
        </w:rPr>
        <w:t>ذوي</w:t>
      </w:r>
      <w:r w:rsidR="00F32B28">
        <w:rPr>
          <w:rtl/>
        </w:rPr>
        <w:t xml:space="preserve"> </w:t>
      </w:r>
      <w:r w:rsidR="00F32B28" w:rsidRPr="00F32B28">
        <w:rPr>
          <w:rtl/>
        </w:rPr>
        <w:t>الإعاقة.</w:t>
      </w:r>
    </w:p>
    <w:p w:rsidR="00F32B28" w:rsidRPr="00F32B28" w:rsidRDefault="00B80192" w:rsidP="00B73D93">
      <w:pPr>
        <w:pStyle w:val="SingleTxt"/>
        <w:rPr>
          <w:rtl/>
        </w:rPr>
      </w:pPr>
      <w:r>
        <w:rPr>
          <w:rFonts w:hint="cs"/>
          <w:rtl/>
        </w:rPr>
        <w:t xml:space="preserve">103 - </w:t>
      </w:r>
      <w:r w:rsidR="00F32B28" w:rsidRPr="00F32B28">
        <w:rPr>
          <w:rtl/>
        </w:rPr>
        <w:t>كما</w:t>
      </w:r>
      <w:r w:rsidR="00F32B28">
        <w:rPr>
          <w:rtl/>
        </w:rPr>
        <w:t xml:space="preserve"> </w:t>
      </w:r>
      <w:r w:rsidR="00F32B28" w:rsidRPr="00F32B28">
        <w:rPr>
          <w:rtl/>
        </w:rPr>
        <w:t>يعتبر</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رقم</w:t>
      </w:r>
      <w:r w:rsidR="00F32B28">
        <w:rPr>
          <w:rtl/>
        </w:rPr>
        <w:t xml:space="preserve"> </w:t>
      </w:r>
      <w:r w:rsidR="00F32B28" w:rsidRPr="00F32B28">
        <w:rPr>
          <w:rtl/>
        </w:rPr>
        <w:t>(9)</w:t>
      </w:r>
      <w:r w:rsidR="00F32B28">
        <w:rPr>
          <w:rtl/>
        </w:rPr>
        <w:t xml:space="preserve"> </w:t>
      </w:r>
      <w:r w:rsidR="00F32B28" w:rsidRPr="00F32B28">
        <w:rPr>
          <w:rtl/>
        </w:rPr>
        <w:t>لسنة</w:t>
      </w:r>
      <w:r w:rsidR="00F32B28">
        <w:rPr>
          <w:rtl/>
        </w:rPr>
        <w:t xml:space="preserve"> </w:t>
      </w:r>
      <w:r w:rsidR="00F32B28" w:rsidRPr="00F32B28">
        <w:rPr>
          <w:rtl/>
        </w:rPr>
        <w:t>2007</w:t>
      </w:r>
      <w:r w:rsidR="00846FB9">
        <w:rPr>
          <w:rFonts w:hint="cs"/>
          <w:rtl/>
        </w:rPr>
        <w:t xml:space="preserve"> </w:t>
      </w:r>
      <w:r w:rsidR="00F32B28" w:rsidRPr="00F32B28">
        <w:rPr>
          <w:rtl/>
        </w:rPr>
        <w:t>م</w:t>
      </w:r>
      <w:r w:rsidR="00F32B28">
        <w:rPr>
          <w:rtl/>
        </w:rPr>
        <w:t xml:space="preserve"> </w:t>
      </w:r>
      <w:r w:rsidR="00F32B28" w:rsidRPr="00F32B28">
        <w:rPr>
          <w:rtl/>
        </w:rPr>
        <w:t>بشأن</w:t>
      </w:r>
      <w:r w:rsidR="00F32B28">
        <w:rPr>
          <w:rtl/>
        </w:rPr>
        <w:t xml:space="preserve"> </w:t>
      </w:r>
      <w:r w:rsidR="00F32B28" w:rsidRPr="00F32B28">
        <w:rPr>
          <w:rtl/>
        </w:rPr>
        <w:t>مكافحة</w:t>
      </w:r>
      <w:r w:rsidR="00F32B28">
        <w:rPr>
          <w:rtl/>
        </w:rPr>
        <w:t xml:space="preserve"> </w:t>
      </w:r>
      <w:r w:rsidR="00F32B28" w:rsidRPr="00F32B28">
        <w:rPr>
          <w:rtl/>
        </w:rPr>
        <w:t>غسل</w:t>
      </w:r>
      <w:r w:rsidR="00F32B28">
        <w:rPr>
          <w:rtl/>
        </w:rPr>
        <w:t xml:space="preserve"> </w:t>
      </w:r>
      <w:r w:rsidR="00F32B28" w:rsidRPr="00F32B28">
        <w:rPr>
          <w:rtl/>
        </w:rPr>
        <w:t>الأموال</w:t>
      </w:r>
      <w:r w:rsidR="00F32B28">
        <w:rPr>
          <w:rtl/>
        </w:rPr>
        <w:t xml:space="preserve"> </w:t>
      </w:r>
      <w:r w:rsidR="00F32B28" w:rsidRPr="00F32B28">
        <w:rPr>
          <w:rtl/>
        </w:rPr>
        <w:t>أن</w:t>
      </w:r>
      <w:r w:rsidR="00F32B28">
        <w:rPr>
          <w:rtl/>
        </w:rPr>
        <w:t xml:space="preserve"> </w:t>
      </w:r>
      <w:r w:rsidR="00F32B28" w:rsidRPr="00F32B28">
        <w:rPr>
          <w:rtl/>
        </w:rPr>
        <w:t>الأموال</w:t>
      </w:r>
      <w:r w:rsidR="00F32B28">
        <w:rPr>
          <w:rtl/>
        </w:rPr>
        <w:t xml:space="preserve"> </w:t>
      </w:r>
      <w:r w:rsidR="00F32B28" w:rsidRPr="00F32B28">
        <w:rPr>
          <w:rtl/>
        </w:rPr>
        <w:t>المتحصلة</w:t>
      </w:r>
      <w:r w:rsidR="00F32B28">
        <w:rPr>
          <w:rtl/>
        </w:rPr>
        <w:t xml:space="preserve"> </w:t>
      </w:r>
      <w:r w:rsidR="00F32B28" w:rsidRPr="00F32B28">
        <w:rPr>
          <w:rtl/>
        </w:rPr>
        <w:t>من</w:t>
      </w:r>
      <w:r w:rsidR="00F32B28">
        <w:rPr>
          <w:rtl/>
        </w:rPr>
        <w:t xml:space="preserve"> </w:t>
      </w:r>
      <w:r w:rsidR="00F32B28" w:rsidRPr="00F32B28">
        <w:rPr>
          <w:rtl/>
        </w:rPr>
        <w:t>الاستغلال</w:t>
      </w:r>
      <w:r w:rsidR="00F32B28">
        <w:rPr>
          <w:rtl/>
        </w:rPr>
        <w:t xml:space="preserve"> </w:t>
      </w:r>
      <w:r w:rsidR="00F32B28" w:rsidRPr="00F32B28">
        <w:rPr>
          <w:rtl/>
        </w:rPr>
        <w:t>الجنسي</w:t>
      </w:r>
      <w:r w:rsidR="00F32B28">
        <w:rPr>
          <w:rtl/>
        </w:rPr>
        <w:t xml:space="preserve"> </w:t>
      </w:r>
      <w:r w:rsidR="00F32B28" w:rsidRPr="00F32B28">
        <w:rPr>
          <w:rtl/>
        </w:rPr>
        <w:t>للنساء</w:t>
      </w:r>
      <w:r w:rsidR="00F32B28">
        <w:rPr>
          <w:rtl/>
        </w:rPr>
        <w:t xml:space="preserve"> </w:t>
      </w:r>
      <w:r w:rsidR="00F32B28" w:rsidRPr="00F32B28">
        <w:rPr>
          <w:rtl/>
        </w:rPr>
        <w:t>والأطفال</w:t>
      </w:r>
      <w:r w:rsidR="00F32B28">
        <w:rPr>
          <w:rtl/>
        </w:rPr>
        <w:t xml:space="preserve"> </w:t>
      </w:r>
      <w:r w:rsidR="00F32B28" w:rsidRPr="00F32B28">
        <w:rPr>
          <w:rtl/>
        </w:rPr>
        <w:t>مالاً</w:t>
      </w:r>
      <w:r w:rsidR="00F32B28">
        <w:rPr>
          <w:rtl/>
        </w:rPr>
        <w:t xml:space="preserve"> </w:t>
      </w:r>
      <w:r w:rsidR="00F32B28" w:rsidRPr="00F32B28">
        <w:rPr>
          <w:rtl/>
        </w:rPr>
        <w:t>غير</w:t>
      </w:r>
      <w:r w:rsidR="00F32B28">
        <w:rPr>
          <w:rtl/>
        </w:rPr>
        <w:t xml:space="preserve"> </w:t>
      </w:r>
      <w:r w:rsidR="00F32B28" w:rsidRPr="00F32B28">
        <w:rPr>
          <w:rtl/>
        </w:rPr>
        <w:t>مشروع</w:t>
      </w:r>
      <w:r w:rsidR="00F32B28">
        <w:rPr>
          <w:rtl/>
        </w:rPr>
        <w:t xml:space="preserve"> </w:t>
      </w:r>
      <w:r w:rsidR="00F32B28" w:rsidRPr="00F32B28">
        <w:rPr>
          <w:rtl/>
        </w:rPr>
        <w:t>ومحلا</w:t>
      </w:r>
      <w:r w:rsidR="00F32B28">
        <w:rPr>
          <w:rtl/>
        </w:rPr>
        <w:t xml:space="preserve"> </w:t>
      </w:r>
      <w:r w:rsidR="00F32B28" w:rsidRPr="00F32B28">
        <w:rPr>
          <w:rtl/>
        </w:rPr>
        <w:t>لجريمة</w:t>
      </w:r>
      <w:r w:rsidR="00F32B28">
        <w:rPr>
          <w:rtl/>
        </w:rPr>
        <w:t xml:space="preserve"> </w:t>
      </w:r>
      <w:r w:rsidR="00F32B28" w:rsidRPr="00F32B28">
        <w:rPr>
          <w:rtl/>
        </w:rPr>
        <w:t>غسل</w:t>
      </w:r>
      <w:r w:rsidR="00F32B28">
        <w:rPr>
          <w:rtl/>
        </w:rPr>
        <w:t xml:space="preserve"> </w:t>
      </w:r>
      <w:r w:rsidR="00F32B28" w:rsidRPr="00F32B28">
        <w:rPr>
          <w:rtl/>
        </w:rPr>
        <w:t>الأموال،</w:t>
      </w:r>
      <w:r w:rsidR="00F32B28">
        <w:rPr>
          <w:rtl/>
        </w:rPr>
        <w:t xml:space="preserve"> </w:t>
      </w:r>
      <w:r w:rsidR="00F32B28" w:rsidRPr="00F32B28">
        <w:rPr>
          <w:rtl/>
        </w:rPr>
        <w:t>وعاقب</w:t>
      </w:r>
      <w:r w:rsidR="00F32B28">
        <w:rPr>
          <w:rtl/>
        </w:rPr>
        <w:t xml:space="preserve"> </w:t>
      </w:r>
      <w:r w:rsidR="00F32B28" w:rsidRPr="00F32B28">
        <w:rPr>
          <w:rtl/>
        </w:rPr>
        <w:t>مرتكبها</w:t>
      </w:r>
      <w:r w:rsidR="00F32B28">
        <w:rPr>
          <w:rtl/>
        </w:rPr>
        <w:t xml:space="preserve"> </w:t>
      </w:r>
      <w:r w:rsidR="00F32B28" w:rsidRPr="00F32B28">
        <w:rPr>
          <w:rtl/>
        </w:rPr>
        <w:t>بالحبس</w:t>
      </w:r>
      <w:r w:rsidR="00F32B28">
        <w:rPr>
          <w:rtl/>
        </w:rPr>
        <w:t xml:space="preserve"> </w:t>
      </w:r>
      <w:r w:rsidR="00F32B28" w:rsidRPr="00F32B28">
        <w:rPr>
          <w:rtl/>
        </w:rPr>
        <w:t>لغاية</w:t>
      </w:r>
      <w:r w:rsidR="00F32B28">
        <w:rPr>
          <w:rtl/>
        </w:rPr>
        <w:t xml:space="preserve"> </w:t>
      </w:r>
      <w:r w:rsidR="00F32B28" w:rsidRPr="00F32B28">
        <w:rPr>
          <w:rtl/>
        </w:rPr>
        <w:t>خمسة</w:t>
      </w:r>
      <w:r w:rsidR="00F32B28">
        <w:rPr>
          <w:rtl/>
        </w:rPr>
        <w:t xml:space="preserve"> </w:t>
      </w:r>
      <w:r w:rsidR="00F32B28" w:rsidRPr="00F32B28">
        <w:rPr>
          <w:rtl/>
        </w:rPr>
        <w:t>عشر</w:t>
      </w:r>
      <w:r w:rsidR="00F32B28">
        <w:rPr>
          <w:rtl/>
        </w:rPr>
        <w:t xml:space="preserve"> </w:t>
      </w:r>
      <w:r w:rsidR="00F32B28" w:rsidRPr="00F32B28">
        <w:rPr>
          <w:rtl/>
        </w:rPr>
        <w:t>عاماً</w:t>
      </w:r>
      <w:r w:rsidR="00F32B28">
        <w:rPr>
          <w:rtl/>
        </w:rPr>
        <w:t xml:space="preserve"> </w:t>
      </w:r>
      <w:r w:rsidR="00F32B28" w:rsidRPr="00F32B28">
        <w:rPr>
          <w:rtl/>
        </w:rPr>
        <w:t>وبدفع</w:t>
      </w:r>
      <w:r w:rsidR="00F32B28">
        <w:rPr>
          <w:rtl/>
        </w:rPr>
        <w:t xml:space="preserve"> </w:t>
      </w:r>
      <w:r w:rsidR="00F32B28" w:rsidRPr="00F32B28">
        <w:rPr>
          <w:rtl/>
        </w:rPr>
        <w:t>غرامات</w:t>
      </w:r>
      <w:r w:rsidR="00F32B28">
        <w:rPr>
          <w:rtl/>
        </w:rPr>
        <w:t xml:space="preserve"> </w:t>
      </w:r>
      <w:r w:rsidR="00F32B28" w:rsidRPr="00F32B28">
        <w:rPr>
          <w:rtl/>
        </w:rPr>
        <w:t>عالية</w:t>
      </w:r>
      <w:r w:rsidR="00F32B28">
        <w:rPr>
          <w:rtl/>
        </w:rPr>
        <w:t xml:space="preserve"> </w:t>
      </w:r>
      <w:r w:rsidR="00F32B28" w:rsidRPr="00F32B28">
        <w:rPr>
          <w:rtl/>
        </w:rPr>
        <w:t>القيمة.</w:t>
      </w:r>
      <w:r w:rsidR="00F32B28">
        <w:rPr>
          <w:rtl/>
        </w:rPr>
        <w:t xml:space="preserve"> </w:t>
      </w:r>
    </w:p>
    <w:p w:rsidR="00B73D93" w:rsidRPr="00B73D93" w:rsidRDefault="00B73D93" w:rsidP="00B73D9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F32B28" w:rsidRPr="00F32B28" w:rsidRDefault="00B80192" w:rsidP="00B73D9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sidR="00B73D93">
        <w:rPr>
          <w:rFonts w:hint="cs"/>
          <w:rtl/>
        </w:rPr>
        <w:tab/>
      </w:r>
      <w:r w:rsidR="00F32B28" w:rsidRPr="00F32B28">
        <w:rPr>
          <w:rtl/>
        </w:rPr>
        <w:t>الصعوبات</w:t>
      </w:r>
    </w:p>
    <w:p w:rsidR="00F32B28" w:rsidRPr="00F32B28" w:rsidRDefault="00B80192" w:rsidP="008A31F2">
      <w:pPr>
        <w:pStyle w:val="SingleTxt"/>
        <w:rPr>
          <w:rtl/>
        </w:rPr>
      </w:pPr>
      <w:r>
        <w:rPr>
          <w:rFonts w:hint="cs"/>
          <w:rtl/>
        </w:rPr>
        <w:t xml:space="preserve">104 - </w:t>
      </w:r>
      <w:r w:rsidR="00F32B28" w:rsidRPr="00F32B28">
        <w:rPr>
          <w:rtl/>
        </w:rPr>
        <w:t>غياب</w:t>
      </w:r>
      <w:r w:rsidR="0043161B">
        <w:rPr>
          <w:rFonts w:hint="cs"/>
          <w:rtl/>
        </w:rPr>
        <w:t xml:space="preserve"> </w:t>
      </w:r>
      <w:r w:rsidR="00F32B28" w:rsidRPr="00F32B28">
        <w:rPr>
          <w:rtl/>
        </w:rPr>
        <w:t>الدراسات</w:t>
      </w:r>
      <w:r w:rsidR="00F32B28">
        <w:rPr>
          <w:rtl/>
        </w:rPr>
        <w:t xml:space="preserve"> </w:t>
      </w:r>
      <w:r w:rsidR="00F32B28" w:rsidRPr="00F32B28">
        <w:rPr>
          <w:rtl/>
        </w:rPr>
        <w:t>التفصيلية</w:t>
      </w:r>
      <w:r w:rsidR="00F32B28">
        <w:rPr>
          <w:rtl/>
        </w:rPr>
        <w:t xml:space="preserve"> </w:t>
      </w:r>
      <w:r w:rsidR="00F32B28" w:rsidRPr="00F32B28">
        <w:rPr>
          <w:rtl/>
        </w:rPr>
        <w:t>أو</w:t>
      </w:r>
      <w:r w:rsidR="00F32B28">
        <w:rPr>
          <w:rtl/>
        </w:rPr>
        <w:t xml:space="preserve"> </w:t>
      </w:r>
      <w:r w:rsidR="00F32B28" w:rsidRPr="00F32B28">
        <w:rPr>
          <w:rtl/>
        </w:rPr>
        <w:t>الإحصائيات</w:t>
      </w:r>
      <w:r w:rsidR="00F32B28">
        <w:rPr>
          <w:rtl/>
        </w:rPr>
        <w:t xml:space="preserve"> </w:t>
      </w:r>
      <w:r w:rsidR="00F32B28" w:rsidRPr="00F32B28">
        <w:rPr>
          <w:rtl/>
        </w:rPr>
        <w:t>حول</w:t>
      </w:r>
      <w:r w:rsidR="00F32B28">
        <w:rPr>
          <w:rtl/>
        </w:rPr>
        <w:t xml:space="preserve"> </w:t>
      </w:r>
      <w:r w:rsidR="00F32B28" w:rsidRPr="00F32B28">
        <w:rPr>
          <w:rtl/>
        </w:rPr>
        <w:t>الاتجار</w:t>
      </w:r>
      <w:r w:rsidR="00F32B28">
        <w:rPr>
          <w:rtl/>
        </w:rPr>
        <w:t xml:space="preserve"> </w:t>
      </w:r>
      <w:r w:rsidR="00F32B28" w:rsidRPr="00F32B28">
        <w:rPr>
          <w:rtl/>
        </w:rPr>
        <w:t>بالنساء</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وذلك</w:t>
      </w:r>
      <w:r w:rsidR="00F32B28">
        <w:rPr>
          <w:rtl/>
        </w:rPr>
        <w:t xml:space="preserve"> </w:t>
      </w:r>
      <w:r w:rsidR="00F32B28" w:rsidRPr="00F32B28">
        <w:rPr>
          <w:rtl/>
        </w:rPr>
        <w:t>لحساسية</w:t>
      </w:r>
      <w:r w:rsidR="00F32B28">
        <w:rPr>
          <w:rtl/>
        </w:rPr>
        <w:t xml:space="preserve"> </w:t>
      </w:r>
      <w:r w:rsidR="00F32B28" w:rsidRPr="00F32B28">
        <w:rPr>
          <w:rtl/>
        </w:rPr>
        <w:t>الموضوع</w:t>
      </w:r>
      <w:r w:rsidR="00F32B28">
        <w:rPr>
          <w:rtl/>
        </w:rPr>
        <w:t xml:space="preserve"> </w:t>
      </w:r>
      <w:r w:rsidR="00F32B28" w:rsidRPr="00F32B28">
        <w:rPr>
          <w:rtl/>
        </w:rPr>
        <w:t>في</w:t>
      </w:r>
      <w:r w:rsidR="00F32B28">
        <w:rPr>
          <w:rtl/>
        </w:rPr>
        <w:t xml:space="preserve"> </w:t>
      </w:r>
      <w:r w:rsidR="00F32B28" w:rsidRPr="00F32B28">
        <w:rPr>
          <w:rtl/>
          <w:lang w:bidi="ar-SY"/>
        </w:rPr>
        <w:t>السياق</w:t>
      </w:r>
      <w:r w:rsidR="00F32B28">
        <w:rPr>
          <w:rtl/>
          <w:lang w:bidi="ar-SY"/>
        </w:rPr>
        <w:t xml:space="preserve"> </w:t>
      </w:r>
      <w:r w:rsidR="00F32B28" w:rsidRPr="00F32B28">
        <w:rPr>
          <w:rtl/>
        </w:rPr>
        <w:t>الاجتماعي</w:t>
      </w:r>
      <w:r w:rsidR="00F32B28">
        <w:rPr>
          <w:rtl/>
        </w:rPr>
        <w:t xml:space="preserve"> </w:t>
      </w:r>
      <w:r w:rsidR="00F32B28" w:rsidRPr="00F32B28">
        <w:rPr>
          <w:rtl/>
        </w:rPr>
        <w:t>الفلسطيني،</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الدراسات</w:t>
      </w:r>
      <w:r w:rsidR="00F32B28">
        <w:rPr>
          <w:rtl/>
        </w:rPr>
        <w:t xml:space="preserve"> </w:t>
      </w:r>
      <w:r w:rsidR="00F32B28" w:rsidRPr="00F32B28">
        <w:rPr>
          <w:rtl/>
        </w:rPr>
        <w:t>تشير</w:t>
      </w:r>
      <w:r w:rsidR="00F32B28">
        <w:rPr>
          <w:rtl/>
        </w:rPr>
        <w:t xml:space="preserve"> </w:t>
      </w:r>
      <w:r w:rsidR="00F32B28" w:rsidRPr="00F32B28">
        <w:rPr>
          <w:rtl/>
        </w:rPr>
        <w:t>إلى</w:t>
      </w:r>
      <w:r w:rsidR="00F32B28">
        <w:rPr>
          <w:rtl/>
        </w:rPr>
        <w:t xml:space="preserve"> </w:t>
      </w:r>
      <w:r w:rsidR="00F32B28" w:rsidRPr="00F32B28">
        <w:rPr>
          <w:rtl/>
        </w:rPr>
        <w:t>كون</w:t>
      </w:r>
      <w:r w:rsidR="00F32B28">
        <w:rPr>
          <w:rtl/>
        </w:rPr>
        <w:t xml:space="preserve"> </w:t>
      </w:r>
      <w:r w:rsidR="00F32B28" w:rsidRPr="00F32B28">
        <w:rPr>
          <w:rtl/>
        </w:rPr>
        <w:t>الأنشطة</w:t>
      </w:r>
      <w:r w:rsidR="00F32B28">
        <w:rPr>
          <w:rtl/>
        </w:rPr>
        <w:t xml:space="preserve"> </w:t>
      </w:r>
      <w:r w:rsidR="00F32B28" w:rsidRPr="00F32B28">
        <w:rPr>
          <w:rtl/>
        </w:rPr>
        <w:t>المرتبطة</w:t>
      </w:r>
      <w:r w:rsidR="00F32B28">
        <w:rPr>
          <w:rtl/>
        </w:rPr>
        <w:t xml:space="preserve"> </w:t>
      </w:r>
      <w:r w:rsidR="00F32B28" w:rsidRPr="00F32B28">
        <w:rPr>
          <w:rtl/>
        </w:rPr>
        <w:t>بالإتجار</w:t>
      </w:r>
      <w:r w:rsidR="00F32B28">
        <w:rPr>
          <w:rtl/>
        </w:rPr>
        <w:t xml:space="preserve"> </w:t>
      </w:r>
      <w:r w:rsidR="00F32B28" w:rsidRPr="00F32B28">
        <w:rPr>
          <w:rtl/>
        </w:rPr>
        <w:t>بالبشر</w:t>
      </w:r>
      <w:r w:rsidR="00F32B28">
        <w:rPr>
          <w:rtl/>
        </w:rPr>
        <w:t xml:space="preserve"> </w:t>
      </w:r>
      <w:r w:rsidR="00F32B28" w:rsidRPr="00F32B28">
        <w:rPr>
          <w:rtl/>
        </w:rPr>
        <w:t>تمارس</w:t>
      </w:r>
      <w:r w:rsidR="00F32B28">
        <w:rPr>
          <w:rtl/>
        </w:rPr>
        <w:t xml:space="preserve"> </w:t>
      </w:r>
      <w:r w:rsidR="00F32B28" w:rsidRPr="00F32B28">
        <w:rPr>
          <w:rtl/>
        </w:rPr>
        <w:t>بشكل</w:t>
      </w:r>
      <w:r w:rsidR="00F32B28">
        <w:rPr>
          <w:rtl/>
        </w:rPr>
        <w:t xml:space="preserve"> </w:t>
      </w:r>
      <w:r w:rsidR="00F32B28" w:rsidRPr="00F32B28">
        <w:rPr>
          <w:rtl/>
        </w:rPr>
        <w:t>ضيق</w:t>
      </w:r>
      <w:r w:rsidR="00F32B28">
        <w:rPr>
          <w:rtl/>
        </w:rPr>
        <w:t xml:space="preserve"> </w:t>
      </w:r>
      <w:r w:rsidR="00F32B28" w:rsidRPr="00F32B28">
        <w:rPr>
          <w:rtl/>
        </w:rPr>
        <w:t>النطاق</w:t>
      </w:r>
      <w:r w:rsidR="00F32B28">
        <w:rPr>
          <w:rtl/>
        </w:rPr>
        <w:t xml:space="preserve"> </w:t>
      </w:r>
      <w:r w:rsidR="00F32B28" w:rsidRPr="00F32B28">
        <w:rPr>
          <w:rtl/>
        </w:rPr>
        <w:t>وغير</w:t>
      </w:r>
      <w:r w:rsidR="00F32B28">
        <w:rPr>
          <w:rtl/>
        </w:rPr>
        <w:t xml:space="preserve"> </w:t>
      </w:r>
      <w:r w:rsidR="00F32B28" w:rsidRPr="00F32B28">
        <w:rPr>
          <w:rtl/>
        </w:rPr>
        <w:t>منظم.</w:t>
      </w:r>
      <w:r>
        <w:rPr>
          <w:rFonts w:hint="cs"/>
          <w:rtl/>
        </w:rPr>
        <w:t xml:space="preserve"> </w:t>
      </w:r>
      <w:r w:rsidR="008A31F2">
        <w:rPr>
          <w:rFonts w:hint="cs"/>
          <w:rtl/>
        </w:rPr>
        <w:t xml:space="preserve">وتؤدي </w:t>
      </w:r>
      <w:r w:rsidR="00F32B28" w:rsidRPr="00F32B28">
        <w:rPr>
          <w:rtl/>
        </w:rPr>
        <w:t>سيطرة</w:t>
      </w:r>
      <w:r>
        <w:rPr>
          <w:rFonts w:hint="cs"/>
          <w:rtl/>
        </w:rPr>
        <w:t xml:space="preserve"> </w:t>
      </w:r>
      <w:r w:rsidR="00F32B28" w:rsidRPr="00F32B28">
        <w:rPr>
          <w:rtl/>
        </w:rPr>
        <w:t>إسرائيل،</w:t>
      </w:r>
      <w:r w:rsidR="00F32B28">
        <w:rPr>
          <w:rtl/>
        </w:rPr>
        <w:t xml:space="preserve"> </w:t>
      </w:r>
      <w:r w:rsidR="00F32B28" w:rsidRPr="00F32B28">
        <w:rPr>
          <w:rtl/>
        </w:rPr>
        <w:t>السلطة</w:t>
      </w:r>
      <w:r w:rsidR="00F32B28">
        <w:rPr>
          <w:rtl/>
        </w:rPr>
        <w:t xml:space="preserve"> </w:t>
      </w:r>
      <w:r w:rsidR="00F32B28" w:rsidRPr="00F32B28">
        <w:rPr>
          <w:rtl/>
        </w:rPr>
        <w:t>القائمة</w:t>
      </w:r>
      <w:r w:rsidR="00F32B28">
        <w:rPr>
          <w:rtl/>
        </w:rPr>
        <w:t xml:space="preserve"> </w:t>
      </w:r>
      <w:r w:rsidR="00F32B28" w:rsidRPr="00F32B28">
        <w:rPr>
          <w:rtl/>
        </w:rPr>
        <w:t>بالاحتلال،</w:t>
      </w:r>
      <w:r w:rsidR="00F32B28">
        <w:rPr>
          <w:rtl/>
        </w:rPr>
        <w:t xml:space="preserve"> </w:t>
      </w:r>
      <w:r w:rsidR="00F32B28" w:rsidRPr="00F32B28">
        <w:rPr>
          <w:rtl/>
        </w:rPr>
        <w:t>غير</w:t>
      </w:r>
      <w:r w:rsidR="008A31F2">
        <w:rPr>
          <w:rFonts w:hint="cs"/>
          <w:rtl/>
        </w:rPr>
        <w:t> </w:t>
      </w:r>
      <w:r w:rsidR="00F32B28" w:rsidRPr="00F32B28">
        <w:rPr>
          <w:rtl/>
        </w:rPr>
        <w:t>الشرعية</w:t>
      </w:r>
      <w:r w:rsidR="00F32B28">
        <w:rPr>
          <w:rtl/>
        </w:rPr>
        <w:t xml:space="preserve"> </w:t>
      </w:r>
      <w:r w:rsidR="00F32B28" w:rsidRPr="00F32B28">
        <w:rPr>
          <w:rtl/>
        </w:rPr>
        <w:t>على</w:t>
      </w:r>
      <w:r w:rsidR="00F32B28">
        <w:rPr>
          <w:rtl/>
        </w:rPr>
        <w:t xml:space="preserve"> </w:t>
      </w:r>
      <w:r w:rsidR="00F32B28" w:rsidRPr="00F32B28">
        <w:rPr>
          <w:rtl/>
        </w:rPr>
        <w:t>الأرض</w:t>
      </w:r>
      <w:r w:rsidR="00F32B28">
        <w:rPr>
          <w:rtl/>
        </w:rPr>
        <w:t xml:space="preserve"> </w:t>
      </w:r>
      <w:r w:rsidR="00F32B28" w:rsidRPr="00F32B28">
        <w:rPr>
          <w:rtl/>
        </w:rPr>
        <w:t>الفلسطينية</w:t>
      </w:r>
      <w:r w:rsidR="00F32B28">
        <w:rPr>
          <w:rtl/>
        </w:rPr>
        <w:t xml:space="preserve"> </w:t>
      </w:r>
      <w:r w:rsidR="00F32B28" w:rsidRPr="00F32B28">
        <w:rPr>
          <w:rtl/>
        </w:rPr>
        <w:t>وحدودها،</w:t>
      </w:r>
      <w:r w:rsidR="00F32B28">
        <w:rPr>
          <w:rtl/>
        </w:rPr>
        <w:t xml:space="preserve"> </w:t>
      </w:r>
      <w:r w:rsidR="00F32B28" w:rsidRPr="00F32B28">
        <w:rPr>
          <w:rtl/>
        </w:rPr>
        <w:t>وتفتيتها</w:t>
      </w:r>
      <w:r w:rsidR="00F32B28">
        <w:rPr>
          <w:rtl/>
        </w:rPr>
        <w:t xml:space="preserve"> </w:t>
      </w:r>
      <w:r w:rsidR="00F32B28" w:rsidRPr="00F32B28">
        <w:rPr>
          <w:rtl/>
        </w:rPr>
        <w:t>للوحدة</w:t>
      </w:r>
      <w:r w:rsidR="00F32B28">
        <w:rPr>
          <w:rtl/>
        </w:rPr>
        <w:t xml:space="preserve"> </w:t>
      </w:r>
      <w:r w:rsidR="00F32B28" w:rsidRPr="00F32B28">
        <w:rPr>
          <w:rtl/>
        </w:rPr>
        <w:t>الجغرافية</w:t>
      </w:r>
      <w:r w:rsidR="00F32B28">
        <w:rPr>
          <w:rtl/>
        </w:rPr>
        <w:t xml:space="preserve"> </w:t>
      </w:r>
      <w:r w:rsidR="00F32B28" w:rsidRPr="00F32B28">
        <w:rPr>
          <w:rtl/>
        </w:rPr>
        <w:t>الفلسطينية</w:t>
      </w:r>
      <w:r w:rsidR="00F32B28">
        <w:rPr>
          <w:rtl/>
        </w:rPr>
        <w:t xml:space="preserve"> </w:t>
      </w:r>
      <w:r w:rsidR="00F32B28" w:rsidRPr="00F32B28">
        <w:rPr>
          <w:rtl/>
        </w:rPr>
        <w:t>بكافة</w:t>
      </w:r>
      <w:r w:rsidR="00F32B28">
        <w:rPr>
          <w:rtl/>
        </w:rPr>
        <w:t xml:space="preserve"> </w:t>
      </w:r>
      <w:r w:rsidR="00F32B28" w:rsidRPr="00F32B28">
        <w:rPr>
          <w:rtl/>
        </w:rPr>
        <w:t>الوسائل</w:t>
      </w:r>
      <w:r w:rsidR="00F32B28">
        <w:rPr>
          <w:rtl/>
        </w:rPr>
        <w:t xml:space="preserve"> </w:t>
      </w:r>
      <w:r w:rsidR="00F32B28" w:rsidRPr="00F32B28">
        <w:rPr>
          <w:rtl/>
        </w:rPr>
        <w:t>إلى</w:t>
      </w:r>
      <w:r w:rsidR="00F32B28">
        <w:rPr>
          <w:rtl/>
        </w:rPr>
        <w:t xml:space="preserve"> </w:t>
      </w:r>
      <w:r w:rsidR="00F32B28" w:rsidRPr="00F32B28">
        <w:rPr>
          <w:rtl/>
        </w:rPr>
        <w:t>إضعاف</w:t>
      </w:r>
      <w:r w:rsidR="00F32B28">
        <w:rPr>
          <w:rtl/>
        </w:rPr>
        <w:t xml:space="preserve"> </w:t>
      </w:r>
      <w:r w:rsidR="00F32B28" w:rsidRPr="00F32B28">
        <w:rPr>
          <w:rtl/>
        </w:rPr>
        <w:t>وحتى</w:t>
      </w:r>
      <w:r w:rsidR="00F32B28">
        <w:rPr>
          <w:rtl/>
        </w:rPr>
        <w:t xml:space="preserve"> </w:t>
      </w:r>
      <w:r w:rsidR="00F32B28" w:rsidRPr="00F32B28">
        <w:rPr>
          <w:rtl/>
        </w:rPr>
        <w:t>انعدام</w:t>
      </w:r>
      <w:r w:rsidR="00F32B28">
        <w:rPr>
          <w:rtl/>
        </w:rPr>
        <w:t xml:space="preserve"> </w:t>
      </w:r>
      <w:r w:rsidR="00F32B28" w:rsidRPr="00F32B28">
        <w:rPr>
          <w:rtl/>
        </w:rPr>
        <w:t>فاعلية</w:t>
      </w:r>
      <w:r w:rsidR="00F32B28">
        <w:rPr>
          <w:rtl/>
        </w:rPr>
        <w:t xml:space="preserve"> </w:t>
      </w:r>
      <w:r w:rsidR="00F32B28" w:rsidRPr="00F32B28">
        <w:rPr>
          <w:rtl/>
        </w:rPr>
        <w:t>الجهود</w:t>
      </w:r>
      <w:r w:rsidR="00F32B28">
        <w:rPr>
          <w:rtl/>
        </w:rPr>
        <w:t xml:space="preserve"> </w:t>
      </w:r>
      <w:r w:rsidR="00F32B28" w:rsidRPr="00F32B28">
        <w:rPr>
          <w:rtl/>
        </w:rPr>
        <w:t>الوطنية</w:t>
      </w:r>
      <w:r w:rsidR="00F32B28">
        <w:rPr>
          <w:rtl/>
        </w:rPr>
        <w:t xml:space="preserve"> </w:t>
      </w:r>
      <w:r w:rsidR="00F32B28" w:rsidRPr="00F32B28">
        <w:rPr>
          <w:rtl/>
        </w:rPr>
        <w:t>في</w:t>
      </w:r>
      <w:r w:rsidR="00F32B28">
        <w:rPr>
          <w:rtl/>
        </w:rPr>
        <w:t xml:space="preserve"> </w:t>
      </w:r>
      <w:r w:rsidR="00F32B28" w:rsidRPr="00F32B28">
        <w:rPr>
          <w:rtl/>
        </w:rPr>
        <w:t>مكافحة</w:t>
      </w:r>
      <w:r w:rsidR="00F32B28">
        <w:rPr>
          <w:rtl/>
        </w:rPr>
        <w:t xml:space="preserve"> </w:t>
      </w:r>
      <w:r w:rsidR="00F32B28" w:rsidRPr="00F32B28">
        <w:rPr>
          <w:rtl/>
        </w:rPr>
        <w:t>الاتجار</w:t>
      </w:r>
      <w:r w:rsidR="00F32B28">
        <w:rPr>
          <w:rtl/>
        </w:rPr>
        <w:t xml:space="preserve"> </w:t>
      </w:r>
      <w:r w:rsidR="00F32B28" w:rsidRPr="00F32B28">
        <w:rPr>
          <w:rtl/>
        </w:rPr>
        <w:t>بالنساء.</w:t>
      </w:r>
      <w:r w:rsidR="00F32B28">
        <w:rPr>
          <w:rtl/>
        </w:rPr>
        <w:t xml:space="preserve"> </w:t>
      </w:r>
      <w:r w:rsidR="00F32B28" w:rsidRPr="00F32B28">
        <w:rPr>
          <w:rtl/>
        </w:rPr>
        <w:t>كذلك</w:t>
      </w:r>
      <w:r w:rsidR="00F32B28">
        <w:rPr>
          <w:rtl/>
        </w:rPr>
        <w:t xml:space="preserve"> </w:t>
      </w:r>
      <w:r w:rsidR="00F32B28" w:rsidRPr="00F32B28">
        <w:rPr>
          <w:rtl/>
        </w:rPr>
        <w:t>يؤدي</w:t>
      </w:r>
      <w:r w:rsidR="00F32B28">
        <w:rPr>
          <w:rtl/>
        </w:rPr>
        <w:t xml:space="preserve"> </w:t>
      </w:r>
      <w:r w:rsidR="00F32B28" w:rsidRPr="00F32B28">
        <w:rPr>
          <w:rtl/>
        </w:rPr>
        <w:t>منع</w:t>
      </w:r>
      <w:r w:rsidR="00F32B28">
        <w:rPr>
          <w:rtl/>
        </w:rPr>
        <w:t xml:space="preserve"> </w:t>
      </w:r>
      <w:r w:rsidR="00F32B28" w:rsidRPr="00F32B28">
        <w:rPr>
          <w:rtl/>
        </w:rPr>
        <w:t>قوات</w:t>
      </w:r>
      <w:r w:rsidR="00F32B28">
        <w:rPr>
          <w:rtl/>
        </w:rPr>
        <w:t xml:space="preserve"> </w:t>
      </w:r>
      <w:r w:rsidR="00F32B28" w:rsidRPr="00F32B28">
        <w:rPr>
          <w:rtl/>
        </w:rPr>
        <w:t>الاحتلال</w:t>
      </w:r>
      <w:r w:rsidR="00F32B28">
        <w:rPr>
          <w:rtl/>
        </w:rPr>
        <w:t xml:space="preserve"> </w:t>
      </w:r>
      <w:r w:rsidR="00F32B28" w:rsidRPr="00F32B28">
        <w:rPr>
          <w:rtl/>
        </w:rPr>
        <w:t>الدائم</w:t>
      </w:r>
      <w:r w:rsidR="00F32B28">
        <w:rPr>
          <w:rtl/>
        </w:rPr>
        <w:t xml:space="preserve"> </w:t>
      </w:r>
      <w:r w:rsidR="00F32B28" w:rsidRPr="00F32B28">
        <w:rPr>
          <w:rtl/>
        </w:rPr>
        <w:t>وعرقلة</w:t>
      </w:r>
      <w:r w:rsidR="00F32B28">
        <w:rPr>
          <w:rtl/>
        </w:rPr>
        <w:t xml:space="preserve"> </w:t>
      </w:r>
      <w:r w:rsidR="00F32B28" w:rsidRPr="00F32B28">
        <w:rPr>
          <w:rtl/>
        </w:rPr>
        <w:t>حركة</w:t>
      </w:r>
      <w:r w:rsidR="00F32B28">
        <w:rPr>
          <w:rtl/>
        </w:rPr>
        <w:t xml:space="preserve"> </w:t>
      </w:r>
      <w:r w:rsidR="00F32B28" w:rsidRPr="00F32B28">
        <w:rPr>
          <w:rtl/>
        </w:rPr>
        <w:t>وتنقل</w:t>
      </w:r>
      <w:r w:rsidR="00F32B28">
        <w:rPr>
          <w:rtl/>
        </w:rPr>
        <w:t xml:space="preserve"> </w:t>
      </w:r>
      <w:r w:rsidR="00F32B28" w:rsidRPr="00F32B28">
        <w:rPr>
          <w:rtl/>
        </w:rPr>
        <w:t>الجهات</w:t>
      </w:r>
      <w:r w:rsidR="00F32B28">
        <w:rPr>
          <w:rtl/>
        </w:rPr>
        <w:t xml:space="preserve"> </w:t>
      </w:r>
      <w:r w:rsidR="00F32B28" w:rsidRPr="00F32B28">
        <w:rPr>
          <w:rtl/>
        </w:rPr>
        <w:t>الفلسطينية</w:t>
      </w:r>
      <w:r w:rsidR="00F32B28">
        <w:rPr>
          <w:rtl/>
        </w:rPr>
        <w:t xml:space="preserve"> </w:t>
      </w:r>
      <w:r w:rsidR="00F32B28" w:rsidRPr="00F32B28">
        <w:rPr>
          <w:rtl/>
        </w:rPr>
        <w:t>ذات</w:t>
      </w:r>
      <w:r w:rsidR="00F32B28">
        <w:rPr>
          <w:rtl/>
        </w:rPr>
        <w:t xml:space="preserve"> </w:t>
      </w:r>
      <w:r w:rsidR="00F32B28" w:rsidRPr="00F32B28">
        <w:rPr>
          <w:rtl/>
        </w:rPr>
        <w:t>الشأن</w:t>
      </w:r>
      <w:r w:rsidR="00F32B28">
        <w:rPr>
          <w:rtl/>
        </w:rPr>
        <w:t xml:space="preserve"> </w:t>
      </w:r>
      <w:r w:rsidR="00F32B28" w:rsidRPr="00F32B28">
        <w:rPr>
          <w:rtl/>
        </w:rPr>
        <w:t>بين</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القدس</w:t>
      </w:r>
      <w:r w:rsidR="00F32B28">
        <w:rPr>
          <w:rtl/>
        </w:rPr>
        <w:t xml:space="preserve"> </w:t>
      </w:r>
      <w:r w:rsidR="00F32B28" w:rsidRPr="00F32B28">
        <w:rPr>
          <w:rtl/>
        </w:rPr>
        <w:t>وقطاع</w:t>
      </w:r>
      <w:r w:rsidR="00F32B28">
        <w:rPr>
          <w:rtl/>
        </w:rPr>
        <w:t xml:space="preserve"> </w:t>
      </w:r>
      <w:r w:rsidR="00F32B28" w:rsidRPr="00F32B28">
        <w:rPr>
          <w:rtl/>
        </w:rPr>
        <w:t>غزة</w:t>
      </w:r>
      <w:r w:rsidR="00F32B28">
        <w:rPr>
          <w:rtl/>
        </w:rPr>
        <w:t xml:space="preserve"> </w:t>
      </w:r>
      <w:r w:rsidR="00F32B28" w:rsidRPr="00F32B28">
        <w:rPr>
          <w:rtl/>
        </w:rPr>
        <w:t>أثناء</w:t>
      </w:r>
      <w:r w:rsidR="00F32B28">
        <w:rPr>
          <w:rtl/>
        </w:rPr>
        <w:t xml:space="preserve"> </w:t>
      </w:r>
      <w:r w:rsidR="00F32B28" w:rsidRPr="00F32B28">
        <w:rPr>
          <w:rtl/>
        </w:rPr>
        <w:t>أدائهم</w:t>
      </w:r>
      <w:r w:rsidR="00F32B28">
        <w:rPr>
          <w:rtl/>
        </w:rPr>
        <w:t xml:space="preserve"> </w:t>
      </w:r>
      <w:r w:rsidR="00F32B28" w:rsidRPr="00F32B28">
        <w:rPr>
          <w:rtl/>
        </w:rPr>
        <w:t>لمهام</w:t>
      </w:r>
      <w:r w:rsidR="00F32B28">
        <w:rPr>
          <w:rtl/>
        </w:rPr>
        <w:t xml:space="preserve"> </w:t>
      </w:r>
      <w:r w:rsidR="00F32B28" w:rsidRPr="00F32B28">
        <w:rPr>
          <w:rtl/>
        </w:rPr>
        <w:t>عملهم</w:t>
      </w:r>
      <w:r w:rsidR="00F32B28">
        <w:rPr>
          <w:rtl/>
        </w:rPr>
        <w:t xml:space="preserve"> </w:t>
      </w:r>
      <w:r w:rsidR="00F32B28" w:rsidRPr="00F32B28">
        <w:rPr>
          <w:rtl/>
        </w:rPr>
        <w:t>والوصول</w:t>
      </w:r>
      <w:r w:rsidR="00F32B28">
        <w:rPr>
          <w:rtl/>
        </w:rPr>
        <w:t xml:space="preserve"> </w:t>
      </w:r>
      <w:r w:rsidR="00F32B28" w:rsidRPr="00F32B28">
        <w:rPr>
          <w:rtl/>
        </w:rPr>
        <w:t>إلى</w:t>
      </w:r>
      <w:r w:rsidR="00F32B28">
        <w:rPr>
          <w:rtl/>
        </w:rPr>
        <w:t xml:space="preserve"> </w:t>
      </w:r>
      <w:r w:rsidR="00F32B28" w:rsidRPr="00F32B28">
        <w:rPr>
          <w:rtl/>
        </w:rPr>
        <w:t>النساء</w:t>
      </w:r>
      <w:r w:rsidR="00F32B28">
        <w:rPr>
          <w:rtl/>
        </w:rPr>
        <w:t xml:space="preserve"> </w:t>
      </w:r>
      <w:r w:rsidR="00F32B28" w:rsidRPr="00F32B28">
        <w:rPr>
          <w:rtl/>
        </w:rPr>
        <w:t>الضحايا.</w:t>
      </w:r>
      <w:r w:rsidR="00F32B28">
        <w:rPr>
          <w:rtl/>
        </w:rPr>
        <w:t xml:space="preserve"> </w:t>
      </w:r>
      <w:r w:rsidR="00F32B28" w:rsidRPr="00F32B28">
        <w:rPr>
          <w:rtl/>
        </w:rPr>
        <w:t>وكذلك</w:t>
      </w:r>
      <w:r w:rsidR="00F32B28">
        <w:rPr>
          <w:rtl/>
        </w:rPr>
        <w:t xml:space="preserve"> </w:t>
      </w:r>
      <w:r w:rsidR="00F32B28" w:rsidRPr="00F32B28">
        <w:rPr>
          <w:rtl/>
        </w:rPr>
        <w:t>انعدام</w:t>
      </w:r>
      <w:r w:rsidR="00F32B28">
        <w:rPr>
          <w:rtl/>
        </w:rPr>
        <w:t xml:space="preserve"> </w:t>
      </w:r>
      <w:r w:rsidR="00F32B28" w:rsidRPr="00F32B28">
        <w:rPr>
          <w:rtl/>
        </w:rPr>
        <w:t>رقابة</w:t>
      </w:r>
      <w:r w:rsidR="00F32B28">
        <w:rPr>
          <w:rtl/>
        </w:rPr>
        <w:t xml:space="preserve"> </w:t>
      </w:r>
      <w:r w:rsidR="00F32B28" w:rsidRPr="00F32B28">
        <w:rPr>
          <w:rtl/>
        </w:rPr>
        <w:t>سلطات</w:t>
      </w:r>
      <w:r w:rsidR="00F32B28">
        <w:rPr>
          <w:rtl/>
        </w:rPr>
        <w:t xml:space="preserve"> </w:t>
      </w:r>
      <w:r w:rsidR="00F32B28" w:rsidRPr="00F32B28">
        <w:rPr>
          <w:rtl/>
        </w:rPr>
        <w:t>الاحتلال</w:t>
      </w:r>
      <w:r w:rsidR="00F32B28">
        <w:rPr>
          <w:rtl/>
        </w:rPr>
        <w:t xml:space="preserve"> </w:t>
      </w:r>
      <w:r w:rsidR="00F32B28" w:rsidRPr="00F32B28">
        <w:rPr>
          <w:rtl/>
        </w:rPr>
        <w:t>على</w:t>
      </w:r>
      <w:r w:rsidR="00F32B28">
        <w:rPr>
          <w:rtl/>
        </w:rPr>
        <w:t xml:space="preserve"> </w:t>
      </w:r>
      <w:r w:rsidR="00F32B28" w:rsidRPr="00F32B28">
        <w:rPr>
          <w:rtl/>
        </w:rPr>
        <w:t>المنشآت</w:t>
      </w:r>
      <w:r w:rsidR="00F32B28">
        <w:rPr>
          <w:rtl/>
        </w:rPr>
        <w:t xml:space="preserve"> </w:t>
      </w:r>
      <w:r w:rsidR="00F32B28" w:rsidRPr="00F32B28">
        <w:rPr>
          <w:rtl/>
        </w:rPr>
        <w:t>وأرباب</w:t>
      </w:r>
      <w:r w:rsidR="00F32B28">
        <w:rPr>
          <w:rtl/>
        </w:rPr>
        <w:t xml:space="preserve"> </w:t>
      </w:r>
      <w:r w:rsidR="00F32B28" w:rsidRPr="00F32B28">
        <w:rPr>
          <w:rtl/>
        </w:rPr>
        <w:t>العمل</w:t>
      </w:r>
      <w:r w:rsidR="00F32B28">
        <w:rPr>
          <w:rtl/>
        </w:rPr>
        <w:t xml:space="preserve"> </w:t>
      </w:r>
      <w:r w:rsidR="00F32B28" w:rsidRPr="00F32B28">
        <w:rPr>
          <w:rtl/>
        </w:rPr>
        <w:t>المشغلين</w:t>
      </w:r>
      <w:r w:rsidR="00F32B28">
        <w:rPr>
          <w:rtl/>
        </w:rPr>
        <w:t xml:space="preserve"> </w:t>
      </w:r>
      <w:r w:rsidR="00F32B28" w:rsidRPr="00F32B28">
        <w:rPr>
          <w:rtl/>
        </w:rPr>
        <w:t>للعمال</w:t>
      </w:r>
      <w:r w:rsidR="00F32B28">
        <w:rPr>
          <w:rtl/>
        </w:rPr>
        <w:t xml:space="preserve"> </w:t>
      </w:r>
      <w:r w:rsidR="00F32B28" w:rsidRPr="00F32B28">
        <w:rPr>
          <w:rtl/>
        </w:rPr>
        <w:t>الفلسطينيين،</w:t>
      </w:r>
      <w:r w:rsidR="00F32B28">
        <w:rPr>
          <w:rtl/>
        </w:rPr>
        <w:t xml:space="preserve"> </w:t>
      </w:r>
      <w:r w:rsidR="00F32B28" w:rsidRPr="00F32B28">
        <w:rPr>
          <w:rtl/>
        </w:rPr>
        <w:t>رجالاً</w:t>
      </w:r>
      <w:r w:rsidR="00F32B28">
        <w:rPr>
          <w:rtl/>
        </w:rPr>
        <w:t xml:space="preserve"> </w:t>
      </w:r>
      <w:r w:rsidR="00F32B28" w:rsidRPr="00F32B28">
        <w:rPr>
          <w:rtl/>
        </w:rPr>
        <w:t>ونساءً،</w:t>
      </w:r>
      <w:r w:rsidR="00F32B28">
        <w:rPr>
          <w:rtl/>
        </w:rPr>
        <w:t xml:space="preserve"> </w:t>
      </w:r>
      <w:r w:rsidR="00F32B28" w:rsidRPr="00F32B28">
        <w:rPr>
          <w:rtl/>
        </w:rPr>
        <w:t>داخل</w:t>
      </w:r>
      <w:r w:rsidR="00F32B28">
        <w:rPr>
          <w:rtl/>
        </w:rPr>
        <w:t xml:space="preserve"> </w:t>
      </w:r>
      <w:r w:rsidR="00F32B28" w:rsidRPr="00F32B28">
        <w:rPr>
          <w:rtl/>
        </w:rPr>
        <w:t>الخط</w:t>
      </w:r>
      <w:r w:rsidR="00F32B28">
        <w:rPr>
          <w:rtl/>
        </w:rPr>
        <w:t xml:space="preserve"> </w:t>
      </w:r>
      <w:r w:rsidR="00F32B28" w:rsidRPr="00F32B28">
        <w:rPr>
          <w:rtl/>
        </w:rPr>
        <w:t>الأخضر</w:t>
      </w:r>
      <w:r w:rsidR="00F32B28">
        <w:rPr>
          <w:rtl/>
        </w:rPr>
        <w:t xml:space="preserve"> </w:t>
      </w:r>
      <w:r w:rsidR="00F32B28" w:rsidRPr="00F32B28">
        <w:rPr>
          <w:rtl/>
        </w:rPr>
        <w:t>وفي</w:t>
      </w:r>
      <w:r w:rsidR="00F32B28">
        <w:rPr>
          <w:rtl/>
        </w:rPr>
        <w:t xml:space="preserve"> </w:t>
      </w:r>
      <w:r w:rsidR="00F32B28" w:rsidRPr="00F32B28">
        <w:rPr>
          <w:rtl/>
        </w:rPr>
        <w:t>المستوطنات</w:t>
      </w:r>
      <w:r w:rsidR="00F32B28">
        <w:rPr>
          <w:rtl/>
        </w:rPr>
        <w:t xml:space="preserve"> </w:t>
      </w:r>
      <w:r w:rsidR="00F32B28" w:rsidRPr="00F32B28">
        <w:rPr>
          <w:rFonts w:hint="cs"/>
          <w:rtl/>
        </w:rPr>
        <w:t>غير</w:t>
      </w:r>
      <w:r w:rsidR="00F32B28">
        <w:rPr>
          <w:rFonts w:hint="cs"/>
          <w:rtl/>
        </w:rPr>
        <w:t xml:space="preserve"> </w:t>
      </w:r>
      <w:r w:rsidR="00F32B28" w:rsidRPr="00F32B28">
        <w:rPr>
          <w:rFonts w:hint="cs"/>
          <w:rtl/>
        </w:rPr>
        <w:t>القانونية</w:t>
      </w:r>
      <w:r w:rsidR="00F32B28">
        <w:rPr>
          <w:rFonts w:hint="cs"/>
          <w:rtl/>
        </w:rPr>
        <w:t xml:space="preserve"> </w:t>
      </w:r>
      <w:r w:rsidR="00F32B28" w:rsidRPr="00F32B28">
        <w:rPr>
          <w:rtl/>
        </w:rPr>
        <w:t>وضبط</w:t>
      </w:r>
      <w:r w:rsidR="00F32B28">
        <w:rPr>
          <w:rtl/>
        </w:rPr>
        <w:t xml:space="preserve"> </w:t>
      </w:r>
      <w:r w:rsidR="00F32B28" w:rsidRPr="00F32B28">
        <w:rPr>
          <w:rtl/>
        </w:rPr>
        <w:t>ظروف</w:t>
      </w:r>
      <w:r w:rsidR="00F32B28">
        <w:rPr>
          <w:rtl/>
        </w:rPr>
        <w:t xml:space="preserve"> </w:t>
      </w:r>
      <w:r w:rsidR="00F32B28" w:rsidRPr="00F32B28">
        <w:rPr>
          <w:rtl/>
        </w:rPr>
        <w:t>العمل</w:t>
      </w:r>
      <w:r w:rsidR="00F32B28">
        <w:rPr>
          <w:rtl/>
        </w:rPr>
        <w:t xml:space="preserve"> </w:t>
      </w:r>
      <w:r w:rsidR="00F32B28" w:rsidRPr="00F32B28">
        <w:rPr>
          <w:rtl/>
        </w:rPr>
        <w:t>وشروطه</w:t>
      </w:r>
      <w:r w:rsidR="00F32B28">
        <w:rPr>
          <w:rtl/>
        </w:rPr>
        <w:t xml:space="preserve"> </w:t>
      </w:r>
      <w:r w:rsidR="00F32B28" w:rsidRPr="00F32B28">
        <w:rPr>
          <w:rtl/>
        </w:rPr>
        <w:t>الخاضعين</w:t>
      </w:r>
      <w:r w:rsidR="00F32B28">
        <w:rPr>
          <w:rtl/>
        </w:rPr>
        <w:t xml:space="preserve"> </w:t>
      </w:r>
      <w:r w:rsidR="00F32B28" w:rsidRPr="00F32B28">
        <w:rPr>
          <w:rtl/>
        </w:rPr>
        <w:t>لها</w:t>
      </w:r>
      <w:r w:rsidR="00F32B28" w:rsidRPr="00F32B28">
        <w:rPr>
          <w:rFonts w:hint="cs"/>
          <w:rtl/>
        </w:rPr>
        <w:t>.</w:t>
      </w:r>
    </w:p>
    <w:p w:rsidR="00B80192" w:rsidRPr="00B80192" w:rsidRDefault="00B80192" w:rsidP="00B80192">
      <w:pPr>
        <w:pStyle w:val="SingleTxt"/>
        <w:spacing w:after="0" w:line="120" w:lineRule="exact"/>
        <w:rPr>
          <w:b/>
          <w:bCs/>
          <w:sz w:val="10"/>
          <w:rtl/>
          <w:lang w:bidi="ar-LB"/>
        </w:rPr>
      </w:pPr>
    </w:p>
    <w:p w:rsidR="00F32B28" w:rsidRPr="00F32B28" w:rsidRDefault="00F32B28" w:rsidP="00F32B28">
      <w:pPr>
        <w:pStyle w:val="SingleTxt"/>
        <w:rPr>
          <w:b/>
          <w:bCs/>
        </w:rPr>
      </w:pPr>
      <w:r w:rsidRPr="00F32B28">
        <w:rPr>
          <w:rFonts w:hint="cs"/>
          <w:b/>
          <w:bCs/>
          <w:rtl/>
          <w:lang w:bidi="ar-LB"/>
        </w:rPr>
        <w:t>ال</w:t>
      </w:r>
      <w:r w:rsidRPr="00F32B28">
        <w:rPr>
          <w:b/>
          <w:bCs/>
          <w:rtl/>
          <w:lang w:bidi="ar-LB"/>
        </w:rPr>
        <w:t>تقدم</w:t>
      </w:r>
      <w:r>
        <w:rPr>
          <w:b/>
          <w:bCs/>
          <w:rtl/>
          <w:lang w:bidi="ar-LB"/>
        </w:rPr>
        <w:t xml:space="preserve"> </w:t>
      </w:r>
      <w:r w:rsidRPr="00F32B28">
        <w:rPr>
          <w:rFonts w:hint="cs"/>
          <w:b/>
          <w:bCs/>
          <w:rtl/>
          <w:lang w:bidi="ar-LB"/>
        </w:rPr>
        <w:t>ال</w:t>
      </w:r>
      <w:r w:rsidRPr="00F32B28">
        <w:rPr>
          <w:b/>
          <w:bCs/>
          <w:rtl/>
          <w:lang w:bidi="ar-LB"/>
        </w:rPr>
        <w:t>محرز</w:t>
      </w:r>
    </w:p>
    <w:p w:rsidR="00F32B28" w:rsidRPr="00F32B28" w:rsidRDefault="00B80192" w:rsidP="00B80192">
      <w:pPr>
        <w:pStyle w:val="SingleTxt"/>
        <w:rPr>
          <w:rtl/>
        </w:rPr>
      </w:pPr>
      <w:r>
        <w:rPr>
          <w:rFonts w:hint="cs"/>
          <w:rtl/>
        </w:rPr>
        <w:t xml:space="preserve">105 - </w:t>
      </w:r>
      <w:r w:rsidR="00F32B28" w:rsidRPr="00F32B28">
        <w:rPr>
          <w:rtl/>
        </w:rPr>
        <w:t>انضمت</w:t>
      </w:r>
      <w:r w:rsidR="00846FB9">
        <w:rPr>
          <w:rFonts w:hint="cs"/>
          <w:rtl/>
        </w:rPr>
        <w:t xml:space="preserve"> </w:t>
      </w:r>
      <w:r w:rsidR="00F32B28" w:rsidRPr="00F32B28">
        <w:rPr>
          <w:rtl/>
        </w:rPr>
        <w:t>فلسطين</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2014</w:t>
      </w:r>
      <w:r w:rsidR="00F32B28">
        <w:rPr>
          <w:rtl/>
        </w:rPr>
        <w:t xml:space="preserve"> </w:t>
      </w:r>
      <w:r w:rsidR="00F32B28" w:rsidRPr="00F32B28">
        <w:rPr>
          <w:rtl/>
        </w:rPr>
        <w:t>إلى</w:t>
      </w:r>
      <w:r w:rsidR="00F32B28">
        <w:rPr>
          <w:rtl/>
        </w:rPr>
        <w:t xml:space="preserve"> </w:t>
      </w:r>
      <w:r w:rsidR="00F32B28" w:rsidRPr="00F32B28">
        <w:rPr>
          <w:rtl/>
        </w:rPr>
        <w:t>عدد</w:t>
      </w:r>
      <w:r w:rsidR="00F32B28">
        <w:rPr>
          <w:rtl/>
        </w:rPr>
        <w:t xml:space="preserve"> </w:t>
      </w:r>
      <w:r w:rsidR="00F32B28" w:rsidRPr="00F32B28">
        <w:rPr>
          <w:rtl/>
        </w:rPr>
        <w:t>من</w:t>
      </w:r>
      <w:r w:rsidR="00F32B28">
        <w:rPr>
          <w:rtl/>
        </w:rPr>
        <w:t xml:space="preserve"> </w:t>
      </w:r>
      <w:r w:rsidR="00F32B28" w:rsidRPr="00F32B28">
        <w:rPr>
          <w:rtl/>
        </w:rPr>
        <w:t>الاتفاقيات</w:t>
      </w:r>
      <w:r w:rsidR="00F32B28">
        <w:rPr>
          <w:rtl/>
        </w:rPr>
        <w:t xml:space="preserve"> </w:t>
      </w:r>
      <w:r w:rsidR="00F32B28" w:rsidRPr="00F32B28">
        <w:rPr>
          <w:rtl/>
        </w:rPr>
        <w:t>الدولية</w:t>
      </w:r>
      <w:r w:rsidR="00F32B28">
        <w:rPr>
          <w:rtl/>
        </w:rPr>
        <w:t xml:space="preserve"> </w:t>
      </w:r>
      <w:r w:rsidR="00F32B28" w:rsidRPr="00F32B28">
        <w:rPr>
          <w:rtl/>
        </w:rPr>
        <w:t>ذات</w:t>
      </w:r>
      <w:r w:rsidR="00F32B28">
        <w:rPr>
          <w:rtl/>
        </w:rPr>
        <w:t xml:space="preserve"> </w:t>
      </w:r>
      <w:r w:rsidR="00F32B28" w:rsidRPr="00F32B28">
        <w:rPr>
          <w:rtl/>
        </w:rPr>
        <w:t>الصلة،</w:t>
      </w:r>
      <w:r w:rsidR="00F32B28">
        <w:rPr>
          <w:rtl/>
        </w:rPr>
        <w:t xml:space="preserve"> </w:t>
      </w:r>
      <w:r w:rsidR="00F32B28" w:rsidRPr="00F32B28">
        <w:rPr>
          <w:rtl/>
        </w:rPr>
        <w:t>كاتفاقية</w:t>
      </w:r>
      <w:r w:rsidR="00F32B28">
        <w:rPr>
          <w:rtl/>
        </w:rPr>
        <w:t xml:space="preserve"> </w:t>
      </w:r>
      <w:r w:rsidR="00F32B28" w:rsidRPr="00F32B28">
        <w:rPr>
          <w:rtl/>
        </w:rPr>
        <w:t>حقوق</w:t>
      </w:r>
      <w:r w:rsidR="00F32B28">
        <w:rPr>
          <w:rtl/>
        </w:rPr>
        <w:t xml:space="preserve"> </w:t>
      </w:r>
      <w:r w:rsidR="00F32B28" w:rsidRPr="00F32B28">
        <w:rPr>
          <w:rtl/>
        </w:rPr>
        <w:t>الطفل،</w:t>
      </w:r>
      <w:r w:rsidR="00F32B28">
        <w:rPr>
          <w:rtl/>
        </w:rPr>
        <w:t xml:space="preserve"> </w:t>
      </w:r>
      <w:r w:rsidR="00F32B28" w:rsidRPr="00F32B28">
        <w:rPr>
          <w:rtl/>
        </w:rPr>
        <w:t>واتفاقية</w:t>
      </w:r>
      <w:r w:rsidR="00F32B28">
        <w:rPr>
          <w:rtl/>
        </w:rPr>
        <w:t xml:space="preserve"> </w:t>
      </w:r>
      <w:r w:rsidR="00F32B28" w:rsidRPr="00F32B28">
        <w:rPr>
          <w:rtl/>
        </w:rPr>
        <w:t>الأمم</w:t>
      </w:r>
      <w:r w:rsidR="00F32B28">
        <w:rPr>
          <w:rtl/>
        </w:rPr>
        <w:t xml:space="preserve"> </w:t>
      </w:r>
      <w:r w:rsidR="00F32B28" w:rsidRPr="00F32B28">
        <w:rPr>
          <w:rtl/>
        </w:rPr>
        <w:t>المتحدة</w:t>
      </w:r>
      <w:r w:rsidR="00F32B28">
        <w:rPr>
          <w:rtl/>
        </w:rPr>
        <w:t xml:space="preserve"> </w:t>
      </w:r>
      <w:r w:rsidR="00F32B28" w:rsidRPr="00F32B28">
        <w:rPr>
          <w:rtl/>
        </w:rPr>
        <w:t>لمكافحة</w:t>
      </w:r>
      <w:r w:rsidR="00F32B28">
        <w:rPr>
          <w:rtl/>
        </w:rPr>
        <w:t xml:space="preserve"> </w:t>
      </w:r>
      <w:r w:rsidR="00F32B28" w:rsidRPr="00F32B28">
        <w:rPr>
          <w:rtl/>
        </w:rPr>
        <w:t>الجريمة</w:t>
      </w:r>
      <w:r w:rsidR="00F32B28">
        <w:rPr>
          <w:rtl/>
        </w:rPr>
        <w:t xml:space="preserve"> </w:t>
      </w:r>
      <w:r w:rsidR="00F32B28" w:rsidRPr="00F32B28">
        <w:rPr>
          <w:rtl/>
        </w:rPr>
        <w:t>المنظّمة</w:t>
      </w:r>
      <w:r w:rsidR="00F32B28">
        <w:rPr>
          <w:rtl/>
        </w:rPr>
        <w:t xml:space="preserve"> </w:t>
      </w:r>
      <w:r w:rsidR="00F32B28" w:rsidRPr="00F32B28">
        <w:rPr>
          <w:rtl/>
        </w:rPr>
        <w:t>عبر</w:t>
      </w:r>
      <w:r w:rsidR="00F32B28">
        <w:rPr>
          <w:rtl/>
        </w:rPr>
        <w:t xml:space="preserve"> </w:t>
      </w:r>
      <w:r w:rsidR="00F32B28" w:rsidRPr="00F32B28">
        <w:rPr>
          <w:rtl/>
        </w:rPr>
        <w:t>الوطنية.</w:t>
      </w:r>
      <w:r w:rsidR="00846FB9">
        <w:rPr>
          <w:rFonts w:hint="cs"/>
          <w:rtl/>
        </w:rPr>
        <w:t xml:space="preserve"> </w:t>
      </w:r>
      <w:r w:rsidR="00F32B28" w:rsidRPr="00F32B28">
        <w:rPr>
          <w:rtl/>
        </w:rPr>
        <w:t>كما</w:t>
      </w:r>
      <w:r w:rsidR="00F32B28">
        <w:rPr>
          <w:rtl/>
        </w:rPr>
        <w:t xml:space="preserve"> </w:t>
      </w:r>
      <w:r w:rsidR="00F32B28" w:rsidRPr="00F32B28">
        <w:rPr>
          <w:rtl/>
        </w:rPr>
        <w:t>أن</w:t>
      </w:r>
      <w:r w:rsidR="00F32B28">
        <w:rPr>
          <w:rtl/>
        </w:rPr>
        <w:t xml:space="preserve"> </w:t>
      </w:r>
      <w:r w:rsidR="00F32B28" w:rsidRPr="00F32B28">
        <w:rPr>
          <w:rtl/>
        </w:rPr>
        <w:t>فلسطين</w:t>
      </w:r>
      <w:r w:rsidR="00F32B28">
        <w:rPr>
          <w:rtl/>
        </w:rPr>
        <w:t xml:space="preserve"> </w:t>
      </w:r>
      <w:r w:rsidR="00F32B28" w:rsidRPr="00F32B28">
        <w:rPr>
          <w:rtl/>
        </w:rPr>
        <w:t>هي</w:t>
      </w:r>
      <w:r w:rsidR="00F32B28">
        <w:rPr>
          <w:rtl/>
        </w:rPr>
        <w:t xml:space="preserve"> </w:t>
      </w:r>
      <w:r w:rsidR="00F32B28" w:rsidRPr="00F32B28">
        <w:rPr>
          <w:rtl/>
        </w:rPr>
        <w:t>دولة</w:t>
      </w:r>
      <w:r w:rsidR="00F32B28">
        <w:rPr>
          <w:rtl/>
        </w:rPr>
        <w:t xml:space="preserve"> </w:t>
      </w:r>
      <w:r w:rsidR="00F32B28" w:rsidRPr="00F32B28">
        <w:rPr>
          <w:rtl/>
        </w:rPr>
        <w:t>طرف</w:t>
      </w:r>
      <w:r w:rsidR="00F32B28">
        <w:rPr>
          <w:rtl/>
        </w:rPr>
        <w:t xml:space="preserve"> </w:t>
      </w:r>
      <w:r w:rsidR="00F32B28" w:rsidRPr="00F32B28">
        <w:rPr>
          <w:rtl/>
        </w:rPr>
        <w:t>في</w:t>
      </w:r>
      <w:r w:rsidR="00F32B28">
        <w:rPr>
          <w:rtl/>
        </w:rPr>
        <w:t xml:space="preserve"> </w:t>
      </w:r>
      <w:r w:rsidR="00F32B28" w:rsidRPr="00F32B28">
        <w:rPr>
          <w:rtl/>
        </w:rPr>
        <w:t>المعاهدة</w:t>
      </w:r>
      <w:r w:rsidR="00F32B28">
        <w:rPr>
          <w:rtl/>
        </w:rPr>
        <w:t xml:space="preserve"> </w:t>
      </w:r>
      <w:r w:rsidR="00F32B28" w:rsidRPr="00F32B28">
        <w:rPr>
          <w:rtl/>
        </w:rPr>
        <w:t>الدولية</w:t>
      </w:r>
      <w:r w:rsidR="00F32B28">
        <w:rPr>
          <w:rtl/>
        </w:rPr>
        <w:t xml:space="preserve"> </w:t>
      </w:r>
      <w:r w:rsidR="00F32B28" w:rsidRPr="00F32B28">
        <w:rPr>
          <w:rtl/>
        </w:rPr>
        <w:t>لمنع</w:t>
      </w:r>
      <w:r w:rsidR="00F32B28">
        <w:rPr>
          <w:rtl/>
        </w:rPr>
        <w:t xml:space="preserve"> </w:t>
      </w:r>
      <w:r w:rsidR="00F32B28" w:rsidRPr="00F32B28">
        <w:rPr>
          <w:rtl/>
        </w:rPr>
        <w:t>الاتجار</w:t>
      </w:r>
      <w:r w:rsidR="00F32B28">
        <w:rPr>
          <w:rtl/>
        </w:rPr>
        <w:t xml:space="preserve"> </w:t>
      </w:r>
      <w:r w:rsidR="00F32B28" w:rsidRPr="00F32B28">
        <w:rPr>
          <w:rtl/>
        </w:rPr>
        <w:t>بالرقيق</w:t>
      </w:r>
      <w:r w:rsidR="00F32B28">
        <w:rPr>
          <w:rtl/>
        </w:rPr>
        <w:t xml:space="preserve"> </w:t>
      </w:r>
      <w:r w:rsidR="00F32B28" w:rsidRPr="00F32B28">
        <w:rPr>
          <w:rtl/>
        </w:rPr>
        <w:t>الأبيض</w:t>
      </w:r>
      <w:r w:rsidR="00F32B28">
        <w:rPr>
          <w:rtl/>
        </w:rPr>
        <w:t xml:space="preserve"> </w:t>
      </w:r>
      <w:r w:rsidR="00F32B28" w:rsidRPr="00F32B28">
        <w:rPr>
          <w:rtl/>
        </w:rPr>
        <w:t>لسنة</w:t>
      </w:r>
      <w:r w:rsidR="00F32B28">
        <w:rPr>
          <w:rtl/>
        </w:rPr>
        <w:t xml:space="preserve"> </w:t>
      </w:r>
      <w:r w:rsidR="00F32B28" w:rsidRPr="00F32B28">
        <w:rPr>
          <w:rtl/>
        </w:rPr>
        <w:t>1904،</w:t>
      </w:r>
      <w:r w:rsidR="00F32B28">
        <w:rPr>
          <w:rtl/>
        </w:rPr>
        <w:t xml:space="preserve"> </w:t>
      </w:r>
      <w:r w:rsidR="00F32B28" w:rsidRPr="00F32B28">
        <w:rPr>
          <w:rtl/>
        </w:rPr>
        <w:t>والمعاهدة</w:t>
      </w:r>
      <w:r w:rsidR="00F32B28">
        <w:rPr>
          <w:rtl/>
        </w:rPr>
        <w:t xml:space="preserve"> </w:t>
      </w:r>
      <w:r w:rsidR="00F32B28" w:rsidRPr="00F32B28">
        <w:rPr>
          <w:rtl/>
        </w:rPr>
        <w:t>الدولية</w:t>
      </w:r>
      <w:r w:rsidR="00F32B28">
        <w:rPr>
          <w:rtl/>
        </w:rPr>
        <w:t xml:space="preserve"> </w:t>
      </w:r>
      <w:r w:rsidR="00F32B28" w:rsidRPr="00F32B28">
        <w:rPr>
          <w:rtl/>
        </w:rPr>
        <w:t>لمنع</w:t>
      </w:r>
      <w:r w:rsidR="00F32B28">
        <w:rPr>
          <w:rtl/>
        </w:rPr>
        <w:t xml:space="preserve"> </w:t>
      </w:r>
      <w:r w:rsidR="00F32B28" w:rsidRPr="00F32B28">
        <w:rPr>
          <w:rtl/>
        </w:rPr>
        <w:t>الاتجار</w:t>
      </w:r>
      <w:r w:rsidR="00F32B28">
        <w:rPr>
          <w:rtl/>
        </w:rPr>
        <w:t xml:space="preserve"> </w:t>
      </w:r>
      <w:r w:rsidR="00F32B28" w:rsidRPr="00F32B28">
        <w:rPr>
          <w:rtl/>
        </w:rPr>
        <w:t>بالنساء</w:t>
      </w:r>
      <w:r w:rsidR="00F32B28">
        <w:rPr>
          <w:rtl/>
        </w:rPr>
        <w:t xml:space="preserve"> </w:t>
      </w:r>
      <w:r w:rsidR="00F32B28" w:rsidRPr="00F32B28">
        <w:rPr>
          <w:rtl/>
        </w:rPr>
        <w:t>والأولاد</w:t>
      </w:r>
      <w:r w:rsidR="00F32B28">
        <w:rPr>
          <w:rtl/>
        </w:rPr>
        <w:t xml:space="preserve"> </w:t>
      </w:r>
      <w:r w:rsidR="00F32B28" w:rsidRPr="00F32B28">
        <w:rPr>
          <w:rtl/>
        </w:rPr>
        <w:t>لسنة</w:t>
      </w:r>
      <w:r w:rsidR="00F32B28">
        <w:rPr>
          <w:rtl/>
        </w:rPr>
        <w:t xml:space="preserve"> </w:t>
      </w:r>
      <w:r w:rsidR="00F32B28" w:rsidRPr="00F32B28">
        <w:rPr>
          <w:rtl/>
        </w:rPr>
        <w:t>1921.</w:t>
      </w:r>
    </w:p>
    <w:p w:rsidR="00F32B28" w:rsidRPr="00F32B28" w:rsidRDefault="00B80192" w:rsidP="00B80192">
      <w:pPr>
        <w:pStyle w:val="SingleTxt"/>
        <w:rPr>
          <w:rtl/>
        </w:rPr>
      </w:pPr>
      <w:r>
        <w:rPr>
          <w:rFonts w:hint="cs"/>
          <w:rtl/>
        </w:rPr>
        <w:t xml:space="preserve">106 - </w:t>
      </w:r>
      <w:r w:rsidR="00F32B28" w:rsidRPr="00F32B28">
        <w:rPr>
          <w:rtl/>
        </w:rPr>
        <w:t>أصدر</w:t>
      </w:r>
      <w:r w:rsidR="00F32B28">
        <w:rPr>
          <w:rtl/>
        </w:rPr>
        <w:t xml:space="preserve"> </w:t>
      </w:r>
      <w:r w:rsidR="00F32B28" w:rsidRPr="00F32B28">
        <w:rPr>
          <w:rtl/>
        </w:rPr>
        <w:t>وزير</w:t>
      </w:r>
      <w:r w:rsidR="00F32B28">
        <w:rPr>
          <w:rtl/>
        </w:rPr>
        <w:t xml:space="preserve"> </w:t>
      </w:r>
      <w:r w:rsidR="00F32B28" w:rsidRPr="00F32B28">
        <w:rPr>
          <w:rtl/>
        </w:rPr>
        <w:t>العمل</w:t>
      </w:r>
      <w:r w:rsidR="00F32B28">
        <w:rPr>
          <w:rtl/>
        </w:rPr>
        <w:t xml:space="preserve"> </w:t>
      </w:r>
      <w:r w:rsidR="00F32B28" w:rsidRPr="00F32B28">
        <w:rPr>
          <w:rtl/>
        </w:rPr>
        <w:t>قراراً</w:t>
      </w:r>
      <w:r w:rsidR="00F32B28">
        <w:rPr>
          <w:rtl/>
        </w:rPr>
        <w:t xml:space="preserve"> </w:t>
      </w:r>
      <w:r w:rsidR="00F32B28" w:rsidRPr="00F32B28">
        <w:rPr>
          <w:rtl/>
        </w:rPr>
        <w:t>بشأن</w:t>
      </w:r>
      <w:r w:rsidR="00F32B28">
        <w:rPr>
          <w:rtl/>
        </w:rPr>
        <w:t xml:space="preserve"> </w:t>
      </w:r>
      <w:r w:rsidR="00F32B28" w:rsidRPr="00F32B28">
        <w:rPr>
          <w:rFonts w:hint="cs"/>
          <w:rtl/>
        </w:rPr>
        <w:t>عاملي</w:t>
      </w:r>
      <w:r w:rsidR="00F32B28">
        <w:rPr>
          <w:rtl/>
        </w:rPr>
        <w:t xml:space="preserve"> </w:t>
      </w:r>
      <w:r w:rsidR="00F32B28" w:rsidRPr="00F32B28">
        <w:rPr>
          <w:rtl/>
        </w:rPr>
        <w:t>المنازل،</w:t>
      </w:r>
      <w:r w:rsidR="00F32B28">
        <w:rPr>
          <w:rtl/>
        </w:rPr>
        <w:t xml:space="preserve"> </w:t>
      </w:r>
      <w:r w:rsidR="00F32B28" w:rsidRPr="00F32B28">
        <w:rPr>
          <w:rtl/>
        </w:rPr>
        <w:t>ينظم</w:t>
      </w:r>
      <w:r w:rsidR="00F32B28">
        <w:rPr>
          <w:rtl/>
        </w:rPr>
        <w:t xml:space="preserve"> </w:t>
      </w:r>
      <w:r w:rsidR="00F32B28" w:rsidRPr="00F32B28">
        <w:rPr>
          <w:rtl/>
        </w:rPr>
        <w:t>فيه</w:t>
      </w:r>
      <w:r w:rsidR="00F32B28">
        <w:rPr>
          <w:rtl/>
        </w:rPr>
        <w:t xml:space="preserve"> </w:t>
      </w:r>
      <w:r w:rsidR="00F32B28" w:rsidRPr="00F32B28">
        <w:rPr>
          <w:rtl/>
        </w:rPr>
        <w:t>العمل</w:t>
      </w:r>
      <w:r w:rsidR="00F32B28">
        <w:rPr>
          <w:rtl/>
        </w:rPr>
        <w:t xml:space="preserve"> </w:t>
      </w:r>
      <w:r w:rsidR="00F32B28" w:rsidRPr="00F32B28">
        <w:rPr>
          <w:rtl/>
        </w:rPr>
        <w:t>المنزلي</w:t>
      </w:r>
      <w:r w:rsidR="00F32B28">
        <w:rPr>
          <w:rtl/>
        </w:rPr>
        <w:t xml:space="preserve"> </w:t>
      </w:r>
      <w:r w:rsidR="00F32B28" w:rsidRPr="00F32B28">
        <w:rPr>
          <w:rtl/>
        </w:rPr>
        <w:t>وطبيعته</w:t>
      </w:r>
      <w:r w:rsidR="00F32B28">
        <w:rPr>
          <w:rtl/>
        </w:rPr>
        <w:t xml:space="preserve"> </w:t>
      </w:r>
      <w:r w:rsidR="00F32B28" w:rsidRPr="00F32B28">
        <w:rPr>
          <w:rtl/>
        </w:rPr>
        <w:t>وساعات</w:t>
      </w:r>
      <w:r w:rsidR="00F32B28">
        <w:rPr>
          <w:rtl/>
        </w:rPr>
        <w:t xml:space="preserve"> </w:t>
      </w:r>
      <w:r w:rsidR="00F32B28" w:rsidRPr="00F32B28">
        <w:rPr>
          <w:rtl/>
        </w:rPr>
        <w:t>العمل</w:t>
      </w:r>
      <w:r w:rsidR="00F32B28">
        <w:rPr>
          <w:rtl/>
        </w:rPr>
        <w:t xml:space="preserve"> </w:t>
      </w:r>
      <w:r w:rsidR="00F32B28" w:rsidRPr="00F32B28">
        <w:rPr>
          <w:rtl/>
        </w:rPr>
        <w:t>والتزامات</w:t>
      </w:r>
      <w:r w:rsidR="00F32B28">
        <w:rPr>
          <w:rtl/>
        </w:rPr>
        <w:t xml:space="preserve"> </w:t>
      </w:r>
      <w:r w:rsidR="00F32B28" w:rsidRPr="00F32B28">
        <w:rPr>
          <w:rtl/>
        </w:rPr>
        <w:t>صاحب</w:t>
      </w:r>
      <w:r w:rsidR="00F32B28">
        <w:rPr>
          <w:rtl/>
        </w:rPr>
        <w:t xml:space="preserve"> </w:t>
      </w:r>
      <w:r w:rsidR="00F32B28" w:rsidRPr="00F32B28">
        <w:rPr>
          <w:rtl/>
        </w:rPr>
        <w:t>العمل،</w:t>
      </w:r>
      <w:r w:rsidR="00F32B28">
        <w:rPr>
          <w:rtl/>
        </w:rPr>
        <w:t xml:space="preserve"> </w:t>
      </w:r>
      <w:r w:rsidR="00F32B28" w:rsidRPr="00F32B28">
        <w:rPr>
          <w:rtl/>
        </w:rPr>
        <w:t>لا</w:t>
      </w:r>
      <w:r w:rsidR="00F32B28">
        <w:rPr>
          <w:rtl/>
        </w:rPr>
        <w:t xml:space="preserve"> </w:t>
      </w:r>
      <w:r w:rsidR="00F32B28" w:rsidRPr="00F32B28">
        <w:rPr>
          <w:rtl/>
        </w:rPr>
        <w:t>سيما</w:t>
      </w:r>
      <w:r w:rsidR="00F32B28">
        <w:rPr>
          <w:rtl/>
        </w:rPr>
        <w:t xml:space="preserve"> </w:t>
      </w:r>
      <w:r w:rsidR="00F32B28" w:rsidRPr="00F32B28">
        <w:rPr>
          <w:rtl/>
        </w:rPr>
        <w:t>معاملة</w:t>
      </w:r>
      <w:r w:rsidR="00F32B28">
        <w:rPr>
          <w:rtl/>
        </w:rPr>
        <w:t xml:space="preserve"> </w:t>
      </w:r>
      <w:r w:rsidR="00F32B28" w:rsidRPr="00F32B28">
        <w:rPr>
          <w:rFonts w:hint="cs"/>
          <w:rtl/>
        </w:rPr>
        <w:t>العامل</w:t>
      </w:r>
      <w:r w:rsidR="00F32B28">
        <w:rPr>
          <w:rtl/>
        </w:rPr>
        <w:t xml:space="preserve"> </w:t>
      </w:r>
      <w:r w:rsidR="00F32B28" w:rsidRPr="00F32B28">
        <w:rPr>
          <w:rtl/>
        </w:rPr>
        <w:t>المنزلي</w:t>
      </w:r>
      <w:r w:rsidR="00F32B28">
        <w:rPr>
          <w:rtl/>
        </w:rPr>
        <w:t xml:space="preserve"> </w:t>
      </w:r>
      <w:r w:rsidR="00F32B28" w:rsidRPr="00F32B28">
        <w:rPr>
          <w:rtl/>
        </w:rPr>
        <w:t>باحترام</w:t>
      </w:r>
      <w:r w:rsidR="00F32B28">
        <w:rPr>
          <w:rtl/>
        </w:rPr>
        <w:t xml:space="preserve"> </w:t>
      </w:r>
      <w:r w:rsidR="00F32B28" w:rsidRPr="00F32B28">
        <w:rPr>
          <w:rtl/>
        </w:rPr>
        <w:t>وتوفير</w:t>
      </w:r>
      <w:r w:rsidR="00F32B28">
        <w:rPr>
          <w:rtl/>
        </w:rPr>
        <w:t xml:space="preserve"> </w:t>
      </w:r>
      <w:r w:rsidR="00F32B28" w:rsidRPr="00F32B28">
        <w:rPr>
          <w:rtl/>
        </w:rPr>
        <w:t>جميع</w:t>
      </w:r>
      <w:r w:rsidR="00F32B28">
        <w:rPr>
          <w:rtl/>
        </w:rPr>
        <w:t xml:space="preserve"> </w:t>
      </w:r>
      <w:r w:rsidR="00F32B28" w:rsidRPr="00F32B28">
        <w:rPr>
          <w:rtl/>
        </w:rPr>
        <w:t>شروط</w:t>
      </w:r>
      <w:r w:rsidR="00F32B28">
        <w:rPr>
          <w:rtl/>
        </w:rPr>
        <w:t xml:space="preserve"> </w:t>
      </w:r>
      <w:r w:rsidR="00F32B28" w:rsidRPr="00F32B28">
        <w:rPr>
          <w:rtl/>
        </w:rPr>
        <w:t>العمل</w:t>
      </w:r>
      <w:r w:rsidR="00F32B28">
        <w:rPr>
          <w:rtl/>
        </w:rPr>
        <w:t xml:space="preserve"> </w:t>
      </w:r>
      <w:r w:rsidR="00F32B28" w:rsidRPr="00F32B28">
        <w:rPr>
          <w:rtl/>
        </w:rPr>
        <w:t>اللائق</w:t>
      </w:r>
      <w:r w:rsidR="00F32B28">
        <w:rPr>
          <w:rtl/>
        </w:rPr>
        <w:t xml:space="preserve"> </w:t>
      </w:r>
      <w:r w:rsidR="00F32B28" w:rsidRPr="00F32B28">
        <w:rPr>
          <w:rtl/>
        </w:rPr>
        <w:t>وحقه</w:t>
      </w:r>
      <w:r w:rsidR="00F32B28">
        <w:rPr>
          <w:rtl/>
        </w:rPr>
        <w:t xml:space="preserve"> </w:t>
      </w:r>
      <w:r w:rsidR="00F32B28" w:rsidRPr="00F32B28">
        <w:rPr>
          <w:rtl/>
        </w:rPr>
        <w:t>بالخصوصية،</w:t>
      </w:r>
      <w:r w:rsidR="00F32B28">
        <w:rPr>
          <w:rtl/>
        </w:rPr>
        <w:t xml:space="preserve"> </w:t>
      </w:r>
      <w:r w:rsidR="00F32B28" w:rsidRPr="00F32B28">
        <w:rPr>
          <w:rtl/>
        </w:rPr>
        <w:t>وكذلك</w:t>
      </w:r>
      <w:r w:rsidR="00F32B28">
        <w:rPr>
          <w:rtl/>
        </w:rPr>
        <w:t xml:space="preserve"> </w:t>
      </w:r>
      <w:r w:rsidR="00F32B28" w:rsidRPr="00F32B28">
        <w:rPr>
          <w:rtl/>
        </w:rPr>
        <w:t>التزام</w:t>
      </w:r>
      <w:r w:rsidR="00F32B28">
        <w:rPr>
          <w:rtl/>
        </w:rPr>
        <w:t xml:space="preserve"> </w:t>
      </w:r>
      <w:r w:rsidR="00F32B28" w:rsidRPr="00F32B28">
        <w:rPr>
          <w:rtl/>
        </w:rPr>
        <w:t>رب</w:t>
      </w:r>
      <w:r w:rsidR="00F32B28">
        <w:rPr>
          <w:rtl/>
        </w:rPr>
        <w:t xml:space="preserve"> </w:t>
      </w:r>
      <w:r w:rsidR="00F32B28" w:rsidRPr="00F32B28">
        <w:rPr>
          <w:rtl/>
        </w:rPr>
        <w:t>العمل</w:t>
      </w:r>
      <w:r w:rsidR="00F32B28">
        <w:rPr>
          <w:rtl/>
        </w:rPr>
        <w:t xml:space="preserve"> </w:t>
      </w:r>
      <w:r w:rsidR="00F32B28" w:rsidRPr="00F32B28">
        <w:rPr>
          <w:rtl/>
        </w:rPr>
        <w:t>بدفع</w:t>
      </w:r>
      <w:r w:rsidR="00F32B28">
        <w:rPr>
          <w:rtl/>
        </w:rPr>
        <w:t xml:space="preserve"> </w:t>
      </w:r>
      <w:r w:rsidR="00F32B28" w:rsidRPr="00F32B28">
        <w:rPr>
          <w:rtl/>
        </w:rPr>
        <w:t>الأجر</w:t>
      </w:r>
      <w:r w:rsidR="00F32B28">
        <w:rPr>
          <w:rtl/>
        </w:rPr>
        <w:t xml:space="preserve"> </w:t>
      </w:r>
      <w:r w:rsidR="00F32B28" w:rsidRPr="00F32B28">
        <w:rPr>
          <w:rtl/>
        </w:rPr>
        <w:t>نقداً</w:t>
      </w:r>
      <w:r w:rsidR="00F32B28">
        <w:rPr>
          <w:rtl/>
        </w:rPr>
        <w:t xml:space="preserve"> </w:t>
      </w:r>
      <w:r w:rsidR="00F32B28" w:rsidRPr="00F32B28">
        <w:rPr>
          <w:rtl/>
        </w:rPr>
        <w:t>للعامل</w:t>
      </w:r>
      <w:r w:rsidR="00F32B28">
        <w:rPr>
          <w:rtl/>
        </w:rPr>
        <w:t xml:space="preserve"> </w:t>
      </w:r>
      <w:r w:rsidR="00F32B28" w:rsidRPr="00F32B28">
        <w:rPr>
          <w:rtl/>
        </w:rPr>
        <w:t>المنزلي</w:t>
      </w:r>
      <w:r w:rsidR="00F32B28">
        <w:rPr>
          <w:rtl/>
        </w:rPr>
        <w:t xml:space="preserve"> </w:t>
      </w:r>
      <w:r w:rsidR="00F32B28" w:rsidRPr="00F32B28">
        <w:rPr>
          <w:rtl/>
        </w:rPr>
        <w:t>بما</w:t>
      </w:r>
      <w:r w:rsidR="00F32B28">
        <w:rPr>
          <w:rtl/>
        </w:rPr>
        <w:t xml:space="preserve"> </w:t>
      </w:r>
      <w:r w:rsidR="00F32B28" w:rsidRPr="00F32B28">
        <w:rPr>
          <w:rtl/>
        </w:rPr>
        <w:t>لا</w:t>
      </w:r>
      <w:r w:rsidR="00F32B28">
        <w:rPr>
          <w:rtl/>
        </w:rPr>
        <w:t xml:space="preserve"> </w:t>
      </w:r>
      <w:r w:rsidR="00F32B28" w:rsidRPr="00F32B28">
        <w:rPr>
          <w:rtl/>
        </w:rPr>
        <w:t>يقل</w:t>
      </w:r>
      <w:r w:rsidR="00F32B28">
        <w:rPr>
          <w:rtl/>
        </w:rPr>
        <w:t xml:space="preserve"> </w:t>
      </w:r>
      <w:r w:rsidR="00F32B28" w:rsidRPr="00F32B28">
        <w:rPr>
          <w:rtl/>
        </w:rPr>
        <w:t>عن</w:t>
      </w:r>
      <w:r w:rsidR="00F32B28">
        <w:rPr>
          <w:rtl/>
        </w:rPr>
        <w:t xml:space="preserve"> </w:t>
      </w:r>
      <w:r w:rsidR="00F32B28" w:rsidRPr="00F32B28">
        <w:rPr>
          <w:rtl/>
        </w:rPr>
        <w:t>الحد</w:t>
      </w:r>
      <w:r w:rsidR="00F32B28">
        <w:rPr>
          <w:rtl/>
        </w:rPr>
        <w:t xml:space="preserve"> </w:t>
      </w:r>
      <w:r w:rsidR="00F32B28" w:rsidRPr="00F32B28">
        <w:rPr>
          <w:rtl/>
        </w:rPr>
        <w:t>الأدنى</w:t>
      </w:r>
      <w:r w:rsidR="00F32B28">
        <w:rPr>
          <w:rtl/>
        </w:rPr>
        <w:t xml:space="preserve"> </w:t>
      </w:r>
      <w:r w:rsidR="00F32B28" w:rsidRPr="00F32B28">
        <w:rPr>
          <w:rtl/>
        </w:rPr>
        <w:t>للأجر</w:t>
      </w:r>
      <w:r w:rsidR="00F32B28">
        <w:rPr>
          <w:rtl/>
        </w:rPr>
        <w:t xml:space="preserve"> </w:t>
      </w:r>
      <w:r w:rsidR="00F32B28" w:rsidRPr="00F32B28">
        <w:rPr>
          <w:rtl/>
        </w:rPr>
        <w:t>المعمول</w:t>
      </w:r>
      <w:r w:rsidR="00F32B28">
        <w:rPr>
          <w:rtl/>
        </w:rPr>
        <w:t xml:space="preserve"> </w:t>
      </w:r>
      <w:r w:rsidR="00F32B28" w:rsidRPr="00F32B28">
        <w:rPr>
          <w:rtl/>
        </w:rPr>
        <w:t>به.</w:t>
      </w:r>
      <w:r w:rsidR="00F32B28">
        <w:rPr>
          <w:rtl/>
        </w:rPr>
        <w:t xml:space="preserve"> </w:t>
      </w:r>
      <w:r w:rsidR="00F32B28" w:rsidRPr="00F32B28">
        <w:rPr>
          <w:rtl/>
        </w:rPr>
        <w:t>وتتولى</w:t>
      </w:r>
      <w:r w:rsidR="00F32B28">
        <w:rPr>
          <w:rtl/>
        </w:rPr>
        <w:t xml:space="preserve"> </w:t>
      </w:r>
      <w:r w:rsidR="00F32B28" w:rsidRPr="00F32B28">
        <w:rPr>
          <w:rtl/>
        </w:rPr>
        <w:t>وزارة</w:t>
      </w:r>
      <w:r w:rsidR="00F32B28">
        <w:rPr>
          <w:rtl/>
        </w:rPr>
        <w:t xml:space="preserve"> </w:t>
      </w:r>
      <w:r w:rsidR="00F32B28" w:rsidRPr="00F32B28">
        <w:rPr>
          <w:rtl/>
        </w:rPr>
        <w:t>العمل</w:t>
      </w:r>
      <w:r w:rsidR="00F32B28">
        <w:rPr>
          <w:rtl/>
        </w:rPr>
        <w:t xml:space="preserve"> </w:t>
      </w:r>
      <w:r w:rsidR="00F32B28" w:rsidRPr="00F32B28">
        <w:rPr>
          <w:rtl/>
        </w:rPr>
        <w:t>الإشراف</w:t>
      </w:r>
      <w:r w:rsidR="00F32B28">
        <w:rPr>
          <w:rtl/>
        </w:rPr>
        <w:t xml:space="preserve"> </w:t>
      </w:r>
      <w:r w:rsidR="00F32B28" w:rsidRPr="00F32B28">
        <w:rPr>
          <w:rtl/>
        </w:rPr>
        <w:t>على</w:t>
      </w:r>
      <w:r w:rsidR="00F32B28">
        <w:rPr>
          <w:rtl/>
        </w:rPr>
        <w:t xml:space="preserve"> </w:t>
      </w:r>
      <w:r w:rsidR="00F32B28" w:rsidRPr="00F32B28">
        <w:rPr>
          <w:rtl/>
        </w:rPr>
        <w:t>عقود</w:t>
      </w:r>
      <w:r w:rsidR="00F32B28">
        <w:rPr>
          <w:rtl/>
        </w:rPr>
        <w:t xml:space="preserve"> </w:t>
      </w:r>
      <w:r w:rsidR="00F32B28" w:rsidRPr="00F32B28">
        <w:rPr>
          <w:rtl/>
        </w:rPr>
        <w:t>العمل</w:t>
      </w:r>
      <w:r w:rsidR="00F32B28">
        <w:rPr>
          <w:rtl/>
        </w:rPr>
        <w:t xml:space="preserve"> </w:t>
      </w:r>
      <w:r w:rsidR="00F32B28" w:rsidRPr="00F32B28">
        <w:rPr>
          <w:rtl/>
        </w:rPr>
        <w:t>المنزلي،</w:t>
      </w:r>
      <w:r w:rsidR="00F32B28">
        <w:rPr>
          <w:rtl/>
        </w:rPr>
        <w:t xml:space="preserve"> </w:t>
      </w:r>
      <w:r w:rsidR="00F32B28" w:rsidRPr="00F32B28">
        <w:rPr>
          <w:rtl/>
        </w:rPr>
        <w:t>ولها</w:t>
      </w:r>
      <w:r w:rsidR="00F32B28">
        <w:rPr>
          <w:rtl/>
        </w:rPr>
        <w:t xml:space="preserve"> </w:t>
      </w:r>
      <w:r w:rsidR="00F32B28" w:rsidRPr="00F32B28">
        <w:rPr>
          <w:rtl/>
        </w:rPr>
        <w:t>صلاحية</w:t>
      </w:r>
      <w:r w:rsidR="00F32B28">
        <w:rPr>
          <w:rtl/>
        </w:rPr>
        <w:t xml:space="preserve"> </w:t>
      </w:r>
      <w:r w:rsidR="00F32B28" w:rsidRPr="00F32B28">
        <w:rPr>
          <w:rtl/>
        </w:rPr>
        <w:t>اتخاذ</w:t>
      </w:r>
      <w:r w:rsidR="00F32B28">
        <w:rPr>
          <w:rtl/>
        </w:rPr>
        <w:t xml:space="preserve"> </w:t>
      </w:r>
      <w:r w:rsidR="00F32B28" w:rsidRPr="00F32B28">
        <w:rPr>
          <w:rtl/>
        </w:rPr>
        <w:t>الإجراءات</w:t>
      </w:r>
      <w:r w:rsidR="00F32B28">
        <w:rPr>
          <w:rtl/>
        </w:rPr>
        <w:t xml:space="preserve"> </w:t>
      </w:r>
      <w:r w:rsidR="00F32B28" w:rsidRPr="00F32B28">
        <w:rPr>
          <w:rtl/>
        </w:rPr>
        <w:t>الضرورية</w:t>
      </w:r>
      <w:r w:rsidR="00F32B28">
        <w:rPr>
          <w:rtl/>
        </w:rPr>
        <w:t xml:space="preserve"> </w:t>
      </w:r>
      <w:r w:rsidR="00F32B28" w:rsidRPr="00F32B28">
        <w:rPr>
          <w:rtl/>
        </w:rPr>
        <w:t>وفرض</w:t>
      </w:r>
      <w:r w:rsidR="00F32B28">
        <w:rPr>
          <w:rtl/>
        </w:rPr>
        <w:t xml:space="preserve"> </w:t>
      </w:r>
      <w:r w:rsidR="00F32B28" w:rsidRPr="00F32B28">
        <w:rPr>
          <w:rtl/>
        </w:rPr>
        <w:t>العقوبات</w:t>
      </w:r>
      <w:r w:rsidR="00F32B28">
        <w:rPr>
          <w:rtl/>
        </w:rPr>
        <w:t xml:space="preserve"> </w:t>
      </w:r>
      <w:r w:rsidR="00F32B28" w:rsidRPr="00F32B28">
        <w:rPr>
          <w:rtl/>
        </w:rPr>
        <w:t>على</w:t>
      </w:r>
      <w:r w:rsidR="00F32B28">
        <w:rPr>
          <w:rtl/>
        </w:rPr>
        <w:t xml:space="preserve"> </w:t>
      </w:r>
      <w:r w:rsidR="00F32B28" w:rsidRPr="00F32B28">
        <w:rPr>
          <w:rtl/>
        </w:rPr>
        <w:t>أرباب</w:t>
      </w:r>
      <w:r w:rsidR="00F32B28">
        <w:rPr>
          <w:rtl/>
        </w:rPr>
        <w:t xml:space="preserve"> </w:t>
      </w:r>
      <w:r w:rsidR="00F32B28" w:rsidRPr="00F32B28">
        <w:rPr>
          <w:rtl/>
        </w:rPr>
        <w:t>العمل</w:t>
      </w:r>
      <w:r w:rsidR="00F32B28">
        <w:rPr>
          <w:rtl/>
        </w:rPr>
        <w:t xml:space="preserve"> </w:t>
      </w:r>
      <w:r w:rsidR="00F32B28" w:rsidRPr="00F32B28">
        <w:rPr>
          <w:rtl/>
        </w:rPr>
        <w:t>المخالفين.</w:t>
      </w:r>
    </w:p>
    <w:p w:rsidR="00F32B28" w:rsidRPr="00F32B28" w:rsidRDefault="00B80192" w:rsidP="00B80192">
      <w:pPr>
        <w:pStyle w:val="SingleTxt"/>
        <w:rPr>
          <w:rtl/>
        </w:rPr>
      </w:pPr>
      <w:r>
        <w:rPr>
          <w:rFonts w:hint="cs"/>
          <w:rtl/>
          <w:lang w:bidi="ar-SY"/>
        </w:rPr>
        <w:t xml:space="preserve">107 - </w:t>
      </w:r>
      <w:r w:rsidR="00F32B28" w:rsidRPr="00F32B28">
        <w:rPr>
          <w:rtl/>
          <w:lang w:bidi="ar-SY"/>
        </w:rPr>
        <w:t>تبذل</w:t>
      </w:r>
      <w:r w:rsidR="00F32B28">
        <w:rPr>
          <w:rtl/>
          <w:lang w:bidi="ar-SY"/>
        </w:rPr>
        <w:t xml:space="preserve"> </w:t>
      </w:r>
      <w:r w:rsidR="00F32B28" w:rsidRPr="00F32B28">
        <w:rPr>
          <w:rtl/>
          <w:lang w:bidi="ar-SY"/>
        </w:rPr>
        <w:t>الحكومة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LB"/>
        </w:rPr>
        <w:t>جهوداً</w:t>
      </w:r>
      <w:r w:rsidR="00F32B28">
        <w:rPr>
          <w:rtl/>
          <w:lang w:bidi="ar-LB"/>
        </w:rPr>
        <w:t xml:space="preserve"> </w:t>
      </w:r>
      <w:r w:rsidR="00F32B28" w:rsidRPr="00F32B28">
        <w:rPr>
          <w:rtl/>
          <w:lang w:bidi="ar-LB"/>
        </w:rPr>
        <w:t>لتأمين</w:t>
      </w:r>
      <w:r w:rsidR="00F32B28">
        <w:rPr>
          <w:rtl/>
          <w:lang w:bidi="ar-LB"/>
        </w:rPr>
        <w:t xml:space="preserve"> </w:t>
      </w:r>
      <w:r w:rsidR="00F32B28" w:rsidRPr="00F32B28">
        <w:rPr>
          <w:rtl/>
          <w:lang w:bidi="ar-LB"/>
        </w:rPr>
        <w:t>الحماية</w:t>
      </w:r>
      <w:r w:rsidR="00F32B28">
        <w:rPr>
          <w:rtl/>
          <w:lang w:bidi="ar-LB"/>
        </w:rPr>
        <w:t xml:space="preserve"> </w:t>
      </w:r>
      <w:r w:rsidR="00F32B28" w:rsidRPr="00F32B28">
        <w:rPr>
          <w:rtl/>
          <w:lang w:bidi="ar-LB"/>
        </w:rPr>
        <w:t>لضحايا</w:t>
      </w:r>
      <w:r w:rsidR="00F32B28">
        <w:rPr>
          <w:rtl/>
          <w:lang w:bidi="ar-LB"/>
        </w:rPr>
        <w:t xml:space="preserve"> </w:t>
      </w:r>
      <w:r w:rsidR="00F32B28" w:rsidRPr="00F32B28">
        <w:rPr>
          <w:rtl/>
          <w:lang w:bidi="ar-LB"/>
        </w:rPr>
        <w:t>الاتجار</w:t>
      </w:r>
      <w:r w:rsidR="00F32B28">
        <w:rPr>
          <w:rtl/>
          <w:lang w:bidi="ar-LB"/>
        </w:rPr>
        <w:t xml:space="preserve"> </w:t>
      </w:r>
      <w:r w:rsidR="00F32B28" w:rsidRPr="00F32B28">
        <w:rPr>
          <w:rtl/>
          <w:lang w:bidi="ar-LB"/>
        </w:rPr>
        <w:t>بالبشر</w:t>
      </w:r>
      <w:r w:rsidR="00F32B28">
        <w:rPr>
          <w:rtl/>
          <w:lang w:bidi="ar-LB"/>
        </w:rPr>
        <w:t xml:space="preserve"> </w:t>
      </w:r>
      <w:r w:rsidR="00F32B28" w:rsidRPr="00F32B28">
        <w:rPr>
          <w:rtl/>
          <w:lang w:bidi="ar-LB"/>
        </w:rPr>
        <w:t>عبر</w:t>
      </w:r>
      <w:r w:rsidR="00F32B28">
        <w:rPr>
          <w:rtl/>
          <w:lang w:bidi="ar-LB"/>
        </w:rPr>
        <w:t xml:space="preserve"> </w:t>
      </w:r>
      <w:r w:rsidR="00F32B28" w:rsidRPr="00F32B28">
        <w:rPr>
          <w:rtl/>
        </w:rPr>
        <w:t>نظام</w:t>
      </w:r>
      <w:r w:rsidR="00F32B28">
        <w:rPr>
          <w:rtl/>
        </w:rPr>
        <w:t xml:space="preserve"> </w:t>
      </w:r>
      <w:r w:rsidR="00F32B28" w:rsidRPr="00F32B28">
        <w:rPr>
          <w:rtl/>
        </w:rPr>
        <w:t>تحويل</w:t>
      </w:r>
      <w:r w:rsidR="00F32B28">
        <w:rPr>
          <w:rtl/>
        </w:rPr>
        <w:t xml:space="preserve"> </w:t>
      </w:r>
      <w:r w:rsidR="00F32B28" w:rsidRPr="00F32B28">
        <w:rPr>
          <w:rtl/>
        </w:rPr>
        <w:t>النساء</w:t>
      </w:r>
      <w:r w:rsidR="00F32B28">
        <w:rPr>
          <w:rtl/>
        </w:rPr>
        <w:t xml:space="preserve"> </w:t>
      </w:r>
      <w:r w:rsidR="00F32B28" w:rsidRPr="00F32B28">
        <w:rPr>
          <w:rtl/>
        </w:rPr>
        <w:t>المعنفات،</w:t>
      </w:r>
      <w:r w:rsidR="00F32B28">
        <w:rPr>
          <w:rtl/>
        </w:rPr>
        <w:t xml:space="preserve"> </w:t>
      </w:r>
      <w:r w:rsidR="00F32B28" w:rsidRPr="00F32B28">
        <w:rPr>
          <w:rtl/>
          <w:lang w:bidi="ar-LB"/>
        </w:rPr>
        <w:t>ذكرت</w:t>
      </w:r>
      <w:r w:rsidR="00F32B28">
        <w:rPr>
          <w:rtl/>
          <w:lang w:bidi="ar-LB"/>
        </w:rPr>
        <w:t xml:space="preserve"> </w:t>
      </w:r>
      <w:r w:rsidR="00F32B28" w:rsidRPr="00F32B28">
        <w:rPr>
          <w:rtl/>
          <w:lang w:bidi="ar-LB"/>
        </w:rPr>
        <w:t>تفاصيله</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الفقرات</w:t>
      </w:r>
      <w:r w:rsidR="00F32B28">
        <w:rPr>
          <w:rtl/>
          <w:lang w:bidi="ar-LB"/>
        </w:rPr>
        <w:t xml:space="preserve"> </w:t>
      </w:r>
      <w:r w:rsidR="00F32B28" w:rsidRPr="00F32B28">
        <w:rPr>
          <w:rtl/>
          <w:lang w:bidi="ar-LB"/>
        </w:rPr>
        <w:t>السابقة.</w:t>
      </w:r>
      <w:r w:rsidR="00F32B28">
        <w:rPr>
          <w:rtl/>
          <w:lang w:bidi="ar-LB"/>
        </w:rPr>
        <w:t xml:space="preserve"> </w:t>
      </w:r>
      <w:r w:rsidR="00F32B28" w:rsidRPr="00F32B28">
        <w:rPr>
          <w:rtl/>
          <w:lang w:bidi="ar-LB"/>
        </w:rPr>
        <w:t>وتعمل</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التنمية</w:t>
      </w:r>
      <w:r w:rsidR="00F32B28">
        <w:rPr>
          <w:rtl/>
          <w:lang w:bidi="ar-LB"/>
        </w:rPr>
        <w:t xml:space="preserve"> </w:t>
      </w:r>
      <w:r w:rsidR="00F32B28" w:rsidRPr="00F32B28">
        <w:rPr>
          <w:rtl/>
          <w:lang w:bidi="ar-LB"/>
        </w:rPr>
        <w:t>الاجتماعية،</w:t>
      </w:r>
      <w:r w:rsidR="00F32B28">
        <w:rPr>
          <w:rtl/>
          <w:lang w:bidi="ar-LB"/>
        </w:rPr>
        <w:t xml:space="preserve"> </w:t>
      </w:r>
      <w:r w:rsidR="00F32B28" w:rsidRPr="00F32B28">
        <w:rPr>
          <w:rtl/>
          <w:lang w:bidi="ar-LB"/>
        </w:rPr>
        <w:t>وإن</w:t>
      </w:r>
      <w:r w:rsidR="00F32B28">
        <w:rPr>
          <w:rtl/>
          <w:lang w:bidi="ar-LB"/>
        </w:rPr>
        <w:t xml:space="preserve"> </w:t>
      </w:r>
      <w:r w:rsidR="00F32B28" w:rsidRPr="00F32B28">
        <w:rPr>
          <w:rtl/>
          <w:lang w:bidi="ar-LB"/>
        </w:rPr>
        <w:t>كانت</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تتدخل</w:t>
      </w:r>
      <w:r w:rsidR="00F32B28">
        <w:rPr>
          <w:rtl/>
          <w:lang w:bidi="ar-LB"/>
        </w:rPr>
        <w:t xml:space="preserve"> </w:t>
      </w:r>
      <w:r w:rsidR="00F32B28" w:rsidRPr="00F32B28">
        <w:rPr>
          <w:rtl/>
          <w:lang w:bidi="ar-LB"/>
        </w:rPr>
        <w:t>مباشرة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مساعدة</w:t>
      </w:r>
      <w:r w:rsidR="00F32B28">
        <w:rPr>
          <w:rtl/>
          <w:lang w:bidi="ar-LB"/>
        </w:rPr>
        <w:t xml:space="preserve"> </w:t>
      </w:r>
      <w:r w:rsidR="00F32B28" w:rsidRPr="00F32B28">
        <w:rPr>
          <w:rtl/>
          <w:lang w:bidi="ar-LB"/>
        </w:rPr>
        <w:t>ضحايا</w:t>
      </w:r>
      <w:r w:rsidR="00F32B28">
        <w:rPr>
          <w:rtl/>
          <w:lang w:bidi="ar-LB"/>
        </w:rPr>
        <w:t xml:space="preserve"> </w:t>
      </w:r>
      <w:r w:rsidR="00F32B28" w:rsidRPr="00F32B28">
        <w:rPr>
          <w:rtl/>
          <w:lang w:bidi="ar-LB"/>
        </w:rPr>
        <w:t>الاتجار</w:t>
      </w:r>
      <w:r w:rsidR="00F32B28">
        <w:rPr>
          <w:rtl/>
          <w:lang w:bidi="ar-LB"/>
        </w:rPr>
        <w:t xml:space="preserve"> </w:t>
      </w:r>
      <w:r w:rsidR="00F32B28" w:rsidRPr="00F32B28">
        <w:rPr>
          <w:rtl/>
          <w:lang w:bidi="ar-LB"/>
        </w:rPr>
        <w:t>والدعارة</w:t>
      </w:r>
      <w:r w:rsidR="00F32B28">
        <w:rPr>
          <w:rtl/>
          <w:lang w:bidi="ar-LB"/>
        </w:rPr>
        <w:t xml:space="preserve"> </w:t>
      </w:r>
      <w:r w:rsidR="00F32B28" w:rsidRPr="00F32B28">
        <w:rPr>
          <w:rtl/>
          <w:lang w:bidi="ar-LB"/>
        </w:rPr>
        <w:t>تحديداً،</w:t>
      </w:r>
      <w:r w:rsidR="00F32B28">
        <w:rPr>
          <w:rtl/>
          <w:lang w:bidi="ar-LB"/>
        </w:rPr>
        <w:t xml:space="preserve"> </w:t>
      </w:r>
      <w:r w:rsidR="00F32B28" w:rsidRPr="00F32B28">
        <w:rPr>
          <w:rtl/>
          <w:lang w:bidi="ar-LB"/>
        </w:rPr>
        <w:t>إلا</w:t>
      </w:r>
      <w:r w:rsidR="00F32B28">
        <w:rPr>
          <w:rtl/>
          <w:lang w:bidi="ar-LB"/>
        </w:rPr>
        <w:t xml:space="preserve"> </w:t>
      </w:r>
      <w:r w:rsidR="00F32B28" w:rsidRPr="00F32B28">
        <w:rPr>
          <w:rtl/>
          <w:lang w:bidi="ar-LB"/>
        </w:rPr>
        <w:t>أنها</w:t>
      </w:r>
      <w:r w:rsidR="00F32B28">
        <w:rPr>
          <w:rtl/>
          <w:lang w:bidi="ar-LB"/>
        </w:rPr>
        <w:t xml:space="preserve"> </w:t>
      </w:r>
      <w:r w:rsidR="00F32B28" w:rsidRPr="00F32B28">
        <w:rPr>
          <w:rtl/>
          <w:lang w:bidi="ar-LB"/>
        </w:rPr>
        <w:t>تساهم</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ذلك</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خلال</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تؤمنه</w:t>
      </w:r>
      <w:r w:rsidR="00F32B28">
        <w:rPr>
          <w:rtl/>
          <w:lang w:bidi="ar-LB"/>
        </w:rPr>
        <w:t xml:space="preserve"> </w:t>
      </w:r>
      <w:r w:rsidR="00F32B28" w:rsidRPr="00F32B28">
        <w:rPr>
          <w:rtl/>
          <w:lang w:bidi="ar-LB"/>
        </w:rPr>
        <w:t>للنساء</w:t>
      </w:r>
      <w:r w:rsidR="00F32B28">
        <w:rPr>
          <w:rtl/>
          <w:lang w:bidi="ar-LB"/>
        </w:rPr>
        <w:t xml:space="preserve"> </w:t>
      </w:r>
      <w:r w:rsidR="00F32B28" w:rsidRPr="00F32B28">
        <w:rPr>
          <w:rtl/>
          <w:lang w:bidi="ar-LB"/>
        </w:rPr>
        <w:t>ضحايا</w:t>
      </w:r>
      <w:r w:rsidR="00F32B28">
        <w:rPr>
          <w:rtl/>
          <w:lang w:bidi="ar-LB"/>
        </w:rPr>
        <w:t xml:space="preserve"> </w:t>
      </w:r>
      <w:r w:rsidR="00F32B28" w:rsidRPr="00F32B28">
        <w:rPr>
          <w:rtl/>
          <w:lang w:bidi="ar-LB"/>
        </w:rPr>
        <w:t>العنف</w:t>
      </w:r>
      <w:r w:rsidR="00F32B28">
        <w:rPr>
          <w:rtl/>
          <w:lang w:bidi="ar-LB"/>
        </w:rPr>
        <w:t xml:space="preserve"> </w:t>
      </w:r>
      <w:r w:rsidR="00F32B28" w:rsidRPr="00F32B28">
        <w:rPr>
          <w:rtl/>
          <w:lang w:bidi="ar-LB"/>
        </w:rPr>
        <w:t>ولغيرهن</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خدمات</w:t>
      </w:r>
      <w:r w:rsidR="00F32B28">
        <w:rPr>
          <w:rtl/>
          <w:lang w:bidi="ar-LB"/>
        </w:rPr>
        <w:t xml:space="preserve"> </w:t>
      </w:r>
      <w:r w:rsidR="00F32B28" w:rsidRPr="00F32B28">
        <w:rPr>
          <w:rtl/>
          <w:lang w:bidi="ar-LB"/>
        </w:rPr>
        <w:t>واستشارات</w:t>
      </w:r>
      <w:r w:rsidR="00F32B28">
        <w:rPr>
          <w:rtl/>
          <w:lang w:bidi="ar-LB"/>
        </w:rPr>
        <w:t xml:space="preserve"> </w:t>
      </w:r>
      <w:r w:rsidR="00F32B28" w:rsidRPr="00F32B28">
        <w:rPr>
          <w:rtl/>
          <w:lang w:bidi="ar-LB"/>
        </w:rPr>
        <w:t>والإيواء</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مراكز</w:t>
      </w:r>
      <w:r w:rsidR="00F32B28">
        <w:rPr>
          <w:rtl/>
          <w:lang w:bidi="ar-LB"/>
        </w:rPr>
        <w:t xml:space="preserve"> </w:t>
      </w:r>
      <w:r w:rsidR="00F32B28" w:rsidRPr="00F32B28">
        <w:rPr>
          <w:rtl/>
          <w:lang w:bidi="ar-LB"/>
        </w:rPr>
        <w:t>الحماية</w:t>
      </w:r>
      <w:r w:rsidR="00F32B28">
        <w:rPr>
          <w:rtl/>
          <w:lang w:bidi="ar-LB"/>
        </w:rPr>
        <w:t xml:space="preserve"> </w:t>
      </w:r>
      <w:r w:rsidR="00F32B28" w:rsidRPr="00F32B28">
        <w:rPr>
          <w:rtl/>
          <w:lang w:bidi="ar-LB"/>
        </w:rPr>
        <w:t>مجاناً.</w:t>
      </w:r>
      <w:r w:rsidR="00F32B28">
        <w:rPr>
          <w:rtl/>
          <w:lang w:bidi="ar-LB"/>
        </w:rPr>
        <w:t xml:space="preserve"> </w:t>
      </w:r>
      <w:r w:rsidR="00F32B28" w:rsidRPr="00F32B28">
        <w:rPr>
          <w:rtl/>
          <w:lang w:bidi="ar-LB"/>
        </w:rPr>
        <w:t>وبحسب</w:t>
      </w:r>
      <w:r w:rsidR="00F32B28">
        <w:rPr>
          <w:rtl/>
          <w:lang w:bidi="ar-LB"/>
        </w:rPr>
        <w:t xml:space="preserve"> </w:t>
      </w:r>
      <w:r w:rsidR="00F32B28" w:rsidRPr="00F32B28">
        <w:rPr>
          <w:rtl/>
          <w:lang w:bidi="ar-LB"/>
        </w:rPr>
        <w:t>مشروع</w:t>
      </w:r>
      <w:r w:rsidR="00F32B28">
        <w:rPr>
          <w:rtl/>
          <w:lang w:bidi="ar-LB"/>
        </w:rPr>
        <w:t xml:space="preserve"> </w:t>
      </w:r>
      <w:r w:rsidR="00F32B28" w:rsidRPr="00F32B28">
        <w:rPr>
          <w:rtl/>
          <w:lang w:bidi="ar-LB"/>
        </w:rPr>
        <w:t>قانون</w:t>
      </w:r>
      <w:r w:rsidR="00F32B28">
        <w:rPr>
          <w:rtl/>
          <w:lang w:bidi="ar-LB"/>
        </w:rPr>
        <w:t xml:space="preserve"> </w:t>
      </w:r>
      <w:r w:rsidR="00F32B28" w:rsidRPr="00F32B28">
        <w:rPr>
          <w:rtl/>
          <w:lang w:bidi="ar-LB"/>
        </w:rPr>
        <w:t>العقوبات،</w:t>
      </w:r>
      <w:r w:rsidR="00F32B28">
        <w:rPr>
          <w:rtl/>
          <w:lang w:bidi="ar-LB"/>
        </w:rPr>
        <w:t xml:space="preserve"> </w:t>
      </w:r>
      <w:r w:rsidR="00F32B28" w:rsidRPr="00F32B28">
        <w:rPr>
          <w:rtl/>
          <w:lang w:bidi="ar-LB"/>
        </w:rPr>
        <w:t>تستحدث</w:t>
      </w:r>
      <w:r w:rsidR="00F32B28">
        <w:rPr>
          <w:rtl/>
          <w:lang w:bidi="ar-LB"/>
        </w:rPr>
        <w:t xml:space="preserve"> </w:t>
      </w:r>
      <w:r w:rsidR="00F32B28" w:rsidRPr="00F32B28">
        <w:rPr>
          <w:rtl/>
          <w:lang w:bidi="ar-LB"/>
        </w:rPr>
        <w:t>لدى</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التنمية</w:t>
      </w:r>
      <w:r w:rsidR="00F32B28">
        <w:rPr>
          <w:rtl/>
          <w:lang w:bidi="ar-LB"/>
        </w:rPr>
        <w:t xml:space="preserve"> </w:t>
      </w:r>
      <w:r w:rsidR="00F32B28" w:rsidRPr="00F32B28">
        <w:rPr>
          <w:rtl/>
          <w:lang w:bidi="ar-LB"/>
        </w:rPr>
        <w:t>الاجتماعية</w:t>
      </w:r>
      <w:r w:rsidR="00F32B28">
        <w:rPr>
          <w:rtl/>
          <w:lang w:bidi="ar-LB"/>
        </w:rPr>
        <w:t xml:space="preserve"> </w:t>
      </w:r>
      <w:r w:rsidR="00F32B28" w:rsidRPr="00F32B28">
        <w:rPr>
          <w:rtl/>
          <w:lang w:bidi="ar-LB"/>
        </w:rPr>
        <w:t>دور</w:t>
      </w:r>
      <w:r w:rsidR="00F32B28">
        <w:rPr>
          <w:rtl/>
          <w:lang w:bidi="ar-LB"/>
        </w:rPr>
        <w:t xml:space="preserve"> </w:t>
      </w:r>
      <w:r w:rsidR="00F32B28" w:rsidRPr="00F32B28">
        <w:rPr>
          <w:rtl/>
          <w:lang w:bidi="ar-LB"/>
        </w:rPr>
        <w:t>خاصة</w:t>
      </w:r>
      <w:r w:rsidR="00F32B28">
        <w:rPr>
          <w:rtl/>
          <w:lang w:bidi="ar-LB"/>
        </w:rPr>
        <w:t xml:space="preserve"> </w:t>
      </w:r>
      <w:r w:rsidR="00F32B28" w:rsidRPr="00F32B28">
        <w:rPr>
          <w:rtl/>
          <w:lang w:bidi="ar-LB"/>
        </w:rPr>
        <w:t>لرعاية</w:t>
      </w:r>
      <w:r w:rsidR="00F32B28">
        <w:rPr>
          <w:rtl/>
          <w:lang w:bidi="ar-LB"/>
        </w:rPr>
        <w:t xml:space="preserve"> </w:t>
      </w:r>
      <w:r w:rsidR="00F32B28" w:rsidRPr="00F32B28">
        <w:rPr>
          <w:rtl/>
          <w:lang w:bidi="ar-LB"/>
        </w:rPr>
        <w:t>ضحايا</w:t>
      </w:r>
      <w:r w:rsidR="00F32B28">
        <w:rPr>
          <w:rtl/>
          <w:lang w:bidi="ar-LB"/>
        </w:rPr>
        <w:t xml:space="preserve"> </w:t>
      </w:r>
      <w:r w:rsidR="00F32B28" w:rsidRPr="00F32B28">
        <w:rPr>
          <w:rtl/>
          <w:lang w:bidi="ar-LB"/>
        </w:rPr>
        <w:t>الاتجار</w:t>
      </w:r>
      <w:r w:rsidR="00F32B28">
        <w:rPr>
          <w:rtl/>
          <w:lang w:bidi="ar-LB"/>
        </w:rPr>
        <w:t xml:space="preserve"> </w:t>
      </w:r>
      <w:r w:rsidR="00F32B28" w:rsidRPr="00F32B28">
        <w:rPr>
          <w:rtl/>
          <w:lang w:bidi="ar-LB"/>
        </w:rPr>
        <w:t>بالبشر</w:t>
      </w:r>
      <w:r w:rsidR="00F32B28">
        <w:rPr>
          <w:rtl/>
          <w:lang w:bidi="ar-LB"/>
        </w:rPr>
        <w:t xml:space="preserve"> </w:t>
      </w:r>
      <w:r w:rsidR="00F32B28" w:rsidRPr="00F32B28">
        <w:rPr>
          <w:rtl/>
          <w:lang w:bidi="ar-LB"/>
        </w:rPr>
        <w:t>وترصد</w:t>
      </w:r>
      <w:r w:rsidR="00F32B28">
        <w:rPr>
          <w:rtl/>
          <w:lang w:bidi="ar-LB"/>
        </w:rPr>
        <w:t xml:space="preserve"> </w:t>
      </w:r>
      <w:r w:rsidR="00F32B28" w:rsidRPr="00F32B28">
        <w:rPr>
          <w:rtl/>
          <w:lang w:bidi="ar-LB"/>
        </w:rPr>
        <w:t>الاعتمادات</w:t>
      </w:r>
      <w:r w:rsidR="00F32B28">
        <w:rPr>
          <w:rtl/>
          <w:lang w:bidi="ar-LB"/>
        </w:rPr>
        <w:t xml:space="preserve"> </w:t>
      </w:r>
      <w:r w:rsidR="00F32B28" w:rsidRPr="00F32B28">
        <w:rPr>
          <w:rtl/>
          <w:lang w:bidi="ar-LB"/>
        </w:rPr>
        <w:t>اللازمة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موازنة</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التنمية</w:t>
      </w:r>
      <w:r w:rsidR="00F32B28">
        <w:rPr>
          <w:rtl/>
          <w:lang w:bidi="ar-LB"/>
        </w:rPr>
        <w:t xml:space="preserve"> </w:t>
      </w:r>
      <w:r w:rsidR="00F32B28" w:rsidRPr="00F32B28">
        <w:rPr>
          <w:rtl/>
          <w:lang w:bidi="ar-LB"/>
        </w:rPr>
        <w:t>الاجتماعية.</w:t>
      </w:r>
    </w:p>
    <w:p w:rsidR="00F32B28" w:rsidRPr="00F32B28" w:rsidRDefault="00B80192" w:rsidP="00B80192">
      <w:pPr>
        <w:pStyle w:val="SingleTxt"/>
      </w:pPr>
      <w:r>
        <w:rPr>
          <w:rFonts w:hint="cs"/>
          <w:rtl/>
        </w:rPr>
        <w:t xml:space="preserve">108 - </w:t>
      </w:r>
      <w:r w:rsidR="00F32B28" w:rsidRPr="00F32B28">
        <w:rPr>
          <w:rtl/>
        </w:rPr>
        <w:t>اتخذ</w:t>
      </w:r>
      <w:r w:rsidR="00F32B28">
        <w:rPr>
          <w:rtl/>
        </w:rPr>
        <w:t xml:space="preserve"> </w:t>
      </w:r>
      <w:r w:rsidR="00F32B28" w:rsidRPr="00F32B28">
        <w:rPr>
          <w:rtl/>
        </w:rPr>
        <w:t>القضاء</w:t>
      </w:r>
      <w:r w:rsidR="00F32B28">
        <w:rPr>
          <w:rtl/>
        </w:rPr>
        <w:t xml:space="preserve"> </w:t>
      </w:r>
      <w:r w:rsidR="00F32B28" w:rsidRPr="00F32B28">
        <w:rPr>
          <w:rtl/>
        </w:rPr>
        <w:t>الشرعي</w:t>
      </w:r>
      <w:r w:rsidR="00F32B28">
        <w:rPr>
          <w:rtl/>
        </w:rPr>
        <w:t xml:space="preserve"> </w:t>
      </w:r>
      <w:r w:rsidR="00F32B28" w:rsidRPr="00F32B28">
        <w:rPr>
          <w:rtl/>
        </w:rPr>
        <w:t>عدداً</w:t>
      </w:r>
      <w:r w:rsidR="00F32B28">
        <w:rPr>
          <w:rtl/>
        </w:rPr>
        <w:t xml:space="preserve"> </w:t>
      </w:r>
      <w:r w:rsidR="00F32B28" w:rsidRPr="00F32B28">
        <w:rPr>
          <w:rtl/>
        </w:rPr>
        <w:t>من</w:t>
      </w:r>
      <w:r w:rsidR="00F32B28">
        <w:rPr>
          <w:rtl/>
        </w:rPr>
        <w:t xml:space="preserve"> </w:t>
      </w:r>
      <w:r w:rsidR="00F32B28" w:rsidRPr="00F32B28">
        <w:rPr>
          <w:rtl/>
        </w:rPr>
        <w:t>التدابير</w:t>
      </w:r>
      <w:r w:rsidR="00F32B28">
        <w:rPr>
          <w:rtl/>
        </w:rPr>
        <w:t xml:space="preserve"> </w:t>
      </w:r>
      <w:r w:rsidR="00F32B28" w:rsidRPr="00F32B28">
        <w:rPr>
          <w:rtl/>
        </w:rPr>
        <w:t>الوقائية</w:t>
      </w:r>
      <w:r w:rsidR="00F32B28">
        <w:rPr>
          <w:rtl/>
        </w:rPr>
        <w:t xml:space="preserve"> </w:t>
      </w:r>
      <w:r w:rsidR="00F32B28" w:rsidRPr="00F32B28">
        <w:rPr>
          <w:rtl/>
          <w:lang w:bidi="ar-SY"/>
        </w:rPr>
        <w:t>لمنع</w:t>
      </w:r>
      <w:r w:rsidR="00F32B28">
        <w:rPr>
          <w:rtl/>
          <w:lang w:bidi="ar-SY"/>
        </w:rPr>
        <w:t xml:space="preserve"> </w:t>
      </w:r>
      <w:r w:rsidR="00F32B28" w:rsidRPr="00F32B28">
        <w:rPr>
          <w:rtl/>
          <w:lang w:bidi="ar-SY"/>
        </w:rPr>
        <w:t>استغلال</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البغاء</w:t>
      </w:r>
      <w:r w:rsidR="00F32B28" w:rsidRPr="00F32B28">
        <w:rPr>
          <w:rtl/>
        </w:rPr>
        <w:t>،</w:t>
      </w:r>
      <w:r w:rsidR="00F32B28">
        <w:rPr>
          <w:rtl/>
        </w:rPr>
        <w:t xml:space="preserve"> </w:t>
      </w:r>
      <w:r w:rsidR="00F32B28" w:rsidRPr="00F32B28">
        <w:rPr>
          <w:rtl/>
        </w:rPr>
        <w:t>منها</w:t>
      </w:r>
      <w:r w:rsidR="00F32B28">
        <w:rPr>
          <w:rtl/>
        </w:rPr>
        <w:t xml:space="preserve"> </w:t>
      </w:r>
      <w:r w:rsidR="00F32B28" w:rsidRPr="00F32B28">
        <w:rPr>
          <w:rtl/>
        </w:rPr>
        <w:t>التعميم</w:t>
      </w:r>
      <w:r w:rsidR="00F32B28">
        <w:rPr>
          <w:rtl/>
        </w:rPr>
        <w:t xml:space="preserve"> </w:t>
      </w:r>
      <w:r w:rsidR="00F32B28" w:rsidRPr="00F32B28">
        <w:rPr>
          <w:rtl/>
        </w:rPr>
        <w:t>رقم</w:t>
      </w:r>
      <w:r w:rsidR="00F32B28">
        <w:rPr>
          <w:rtl/>
        </w:rPr>
        <w:t xml:space="preserve"> </w:t>
      </w:r>
      <w:r w:rsidR="00F32B28" w:rsidRPr="00F32B28">
        <w:rPr>
          <w:rtl/>
        </w:rPr>
        <w:t>(40/2004)</w:t>
      </w:r>
      <w:r w:rsidR="00F32B28">
        <w:rPr>
          <w:rtl/>
        </w:rPr>
        <w:t xml:space="preserve"> </w:t>
      </w:r>
      <w:r w:rsidR="00F32B28" w:rsidRPr="00F32B28">
        <w:rPr>
          <w:rtl/>
        </w:rPr>
        <w:t>بهدف</w:t>
      </w:r>
      <w:r w:rsidR="00F32B28">
        <w:rPr>
          <w:rtl/>
        </w:rPr>
        <w:t xml:space="preserve"> </w:t>
      </w:r>
      <w:r w:rsidR="00F32B28" w:rsidRPr="00F32B28">
        <w:rPr>
          <w:rtl/>
        </w:rPr>
        <w:t>حماية</w:t>
      </w:r>
      <w:r w:rsidR="00F32B28">
        <w:rPr>
          <w:rtl/>
        </w:rPr>
        <w:t xml:space="preserve"> </w:t>
      </w:r>
      <w:r w:rsidR="00F32B28" w:rsidRPr="00F32B28">
        <w:rPr>
          <w:rtl/>
        </w:rPr>
        <w:t>النساء</w:t>
      </w:r>
      <w:r w:rsidR="00F32B28">
        <w:rPr>
          <w:rtl/>
        </w:rPr>
        <w:t xml:space="preserve"> </w:t>
      </w:r>
      <w:r w:rsidR="00F32B28" w:rsidRPr="00F32B28">
        <w:rPr>
          <w:rtl/>
          <w:lang w:bidi="ar-SY"/>
        </w:rPr>
        <w:t>اللواتي</w:t>
      </w:r>
      <w:r w:rsidR="00F32B28">
        <w:rPr>
          <w:rtl/>
          <w:lang w:bidi="ar-SY"/>
        </w:rPr>
        <w:t xml:space="preserve"> </w:t>
      </w:r>
      <w:r w:rsidR="00F32B28" w:rsidRPr="00F32B28">
        <w:rPr>
          <w:rtl/>
          <w:lang w:bidi="ar-SY"/>
        </w:rPr>
        <w:t>يتزوجن</w:t>
      </w:r>
      <w:r w:rsidR="00F32B28">
        <w:rPr>
          <w:rtl/>
          <w:lang w:bidi="ar-SY"/>
        </w:rPr>
        <w:t xml:space="preserve"> </w:t>
      </w:r>
      <w:r w:rsidR="00F32B28" w:rsidRPr="00F32B28">
        <w:rPr>
          <w:rtl/>
          <w:lang w:bidi="ar-SY"/>
        </w:rPr>
        <w:t>رجالاً</w:t>
      </w:r>
      <w:r w:rsidR="00F32B28">
        <w:rPr>
          <w:rtl/>
          <w:lang w:bidi="ar-SY"/>
        </w:rPr>
        <w:t xml:space="preserve"> </w:t>
      </w:r>
      <w:r w:rsidR="00F32B28" w:rsidRPr="00F32B28">
        <w:rPr>
          <w:rtl/>
          <w:lang w:bidi="ar-SY"/>
        </w:rPr>
        <w:t>مقيمين</w:t>
      </w:r>
      <w:r w:rsidR="00F32B28">
        <w:rPr>
          <w:rtl/>
          <w:lang w:bidi="ar-SY"/>
        </w:rPr>
        <w:t xml:space="preserve"> </w:t>
      </w:r>
      <w:r w:rsidR="00F32B28" w:rsidRPr="00F32B28">
        <w:rPr>
          <w:rtl/>
          <w:lang w:bidi="ar-SY"/>
        </w:rPr>
        <w:t>خارج</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واللواتي</w:t>
      </w:r>
      <w:r w:rsidR="00F32B28">
        <w:rPr>
          <w:rtl/>
          <w:lang w:bidi="ar-SY"/>
        </w:rPr>
        <w:t xml:space="preserve"> </w:t>
      </w:r>
      <w:r w:rsidR="00F32B28" w:rsidRPr="00F32B28">
        <w:rPr>
          <w:rtl/>
          <w:lang w:bidi="ar-SY"/>
        </w:rPr>
        <w:t>قد</w:t>
      </w:r>
      <w:r w:rsidR="00F32B28">
        <w:rPr>
          <w:rtl/>
          <w:lang w:bidi="ar-SY"/>
        </w:rPr>
        <w:t xml:space="preserve"> </w:t>
      </w:r>
      <w:r w:rsidR="00F32B28" w:rsidRPr="00F32B28">
        <w:rPr>
          <w:rtl/>
          <w:lang w:bidi="ar-SY"/>
        </w:rPr>
        <w:t>يقعن</w:t>
      </w:r>
      <w:r w:rsidR="00F32B28">
        <w:rPr>
          <w:rtl/>
          <w:lang w:bidi="ar-SY"/>
        </w:rPr>
        <w:t xml:space="preserve"> </w:t>
      </w:r>
      <w:r w:rsidR="00F32B28" w:rsidRPr="00F32B28">
        <w:rPr>
          <w:rtl/>
          <w:lang w:bidi="ar-SY"/>
        </w:rPr>
        <w:t>ضحايا</w:t>
      </w:r>
      <w:r w:rsidR="00F32B28">
        <w:rPr>
          <w:rtl/>
          <w:lang w:bidi="ar-SY"/>
        </w:rPr>
        <w:t xml:space="preserve"> </w:t>
      </w:r>
      <w:r w:rsidR="00F32B28" w:rsidRPr="00F32B28">
        <w:rPr>
          <w:rtl/>
          <w:lang w:bidi="ar-SY"/>
        </w:rPr>
        <w:t>للاستغلال</w:t>
      </w:r>
      <w:r w:rsidR="00F32B28">
        <w:rPr>
          <w:rtl/>
          <w:lang w:bidi="ar-SY"/>
        </w:rPr>
        <w:t xml:space="preserve"> </w:t>
      </w:r>
      <w:r w:rsidR="00F32B28" w:rsidRPr="00F32B28">
        <w:rPr>
          <w:rtl/>
          <w:lang w:bidi="ar-SY"/>
        </w:rPr>
        <w:t>الجنسي.</w:t>
      </w:r>
      <w:r w:rsidR="0043161B">
        <w:rPr>
          <w:rFonts w:hint="cs"/>
          <w:rtl/>
          <w:lang w:bidi="ar-SY"/>
        </w:rPr>
        <w:t xml:space="preserve"> </w:t>
      </w:r>
      <w:r w:rsidR="00F32B28" w:rsidRPr="00F32B28">
        <w:rPr>
          <w:rtl/>
          <w:lang w:bidi="ar-SY"/>
        </w:rPr>
        <w:t>و</w:t>
      </w:r>
      <w:r w:rsidR="00F32B28" w:rsidRPr="00F32B28">
        <w:rPr>
          <w:rtl/>
        </w:rPr>
        <w:t>في</w:t>
      </w:r>
      <w:r w:rsidR="00F32B28">
        <w:rPr>
          <w:rtl/>
        </w:rPr>
        <w:t xml:space="preserve"> </w:t>
      </w:r>
      <w:r w:rsidR="00F32B28" w:rsidRPr="00F32B28">
        <w:rPr>
          <w:rtl/>
        </w:rPr>
        <w:t>هذه</w:t>
      </w:r>
      <w:r w:rsidR="00F32B28">
        <w:rPr>
          <w:rtl/>
        </w:rPr>
        <w:t xml:space="preserve"> </w:t>
      </w:r>
      <w:r w:rsidR="00F32B28" w:rsidRPr="00F32B28">
        <w:rPr>
          <w:rtl/>
        </w:rPr>
        <w:t>الحالات،</w:t>
      </w:r>
      <w:r w:rsidR="00F32B28">
        <w:rPr>
          <w:rtl/>
        </w:rPr>
        <w:t xml:space="preserve"> </w:t>
      </w:r>
      <w:r w:rsidR="00F32B28" w:rsidRPr="00F32B28">
        <w:rPr>
          <w:rtl/>
          <w:lang w:bidi="ar-SY"/>
        </w:rPr>
        <w:t>يلتزم</w:t>
      </w:r>
      <w:r w:rsidR="00F32B28">
        <w:rPr>
          <w:rtl/>
          <w:lang w:bidi="ar-SY"/>
        </w:rPr>
        <w:t xml:space="preserve"> </w:t>
      </w:r>
      <w:r w:rsidR="00F32B28" w:rsidRPr="00F32B28">
        <w:rPr>
          <w:rtl/>
        </w:rPr>
        <w:t>القضاة</w:t>
      </w:r>
      <w:r w:rsidR="00F32B28">
        <w:rPr>
          <w:rtl/>
        </w:rPr>
        <w:t xml:space="preserve"> </w:t>
      </w:r>
      <w:r w:rsidR="00F32B28" w:rsidRPr="00F32B28">
        <w:rPr>
          <w:rtl/>
        </w:rPr>
        <w:t>والمأذونين</w:t>
      </w:r>
      <w:r w:rsidR="00F32B28">
        <w:rPr>
          <w:rtl/>
        </w:rPr>
        <w:t xml:space="preserve"> </w:t>
      </w:r>
      <w:r w:rsidR="00F32B28" w:rsidRPr="00F32B28">
        <w:rPr>
          <w:rtl/>
        </w:rPr>
        <w:t>الشرعيين</w:t>
      </w:r>
      <w:r w:rsidR="00F32B28">
        <w:rPr>
          <w:rtl/>
        </w:rPr>
        <w:t xml:space="preserve"> </w:t>
      </w:r>
      <w:r w:rsidR="00F32B28" w:rsidRPr="00F32B28">
        <w:rPr>
          <w:rtl/>
        </w:rPr>
        <w:t>بالتثبت</w:t>
      </w:r>
      <w:r w:rsidR="00F32B28">
        <w:rPr>
          <w:rtl/>
        </w:rPr>
        <w:t xml:space="preserve"> </w:t>
      </w:r>
      <w:r w:rsidR="00F32B28" w:rsidRPr="00F32B28">
        <w:rPr>
          <w:rtl/>
        </w:rPr>
        <w:t>من</w:t>
      </w:r>
      <w:r w:rsidR="00F32B28">
        <w:rPr>
          <w:rtl/>
        </w:rPr>
        <w:t xml:space="preserve"> </w:t>
      </w:r>
      <w:r w:rsidR="00F32B28" w:rsidRPr="00F32B28">
        <w:rPr>
          <w:rtl/>
        </w:rPr>
        <w:t>موافقة</w:t>
      </w:r>
      <w:r w:rsidR="00F32B28">
        <w:rPr>
          <w:rtl/>
        </w:rPr>
        <w:t xml:space="preserve"> </w:t>
      </w:r>
      <w:r w:rsidR="00F32B28" w:rsidRPr="00F32B28">
        <w:rPr>
          <w:rtl/>
        </w:rPr>
        <w:t>المخطوبة</w:t>
      </w:r>
      <w:r w:rsidR="00F32B28">
        <w:rPr>
          <w:rtl/>
        </w:rPr>
        <w:t xml:space="preserve"> </w:t>
      </w:r>
      <w:r w:rsidR="00F32B28" w:rsidRPr="00F32B28">
        <w:rPr>
          <w:rtl/>
        </w:rPr>
        <w:t>دون</w:t>
      </w:r>
      <w:r w:rsidR="00F32B28">
        <w:rPr>
          <w:rtl/>
        </w:rPr>
        <w:t xml:space="preserve"> </w:t>
      </w:r>
      <w:r w:rsidR="00F32B28" w:rsidRPr="00F32B28">
        <w:rPr>
          <w:rtl/>
        </w:rPr>
        <w:t>إكراه،</w:t>
      </w:r>
      <w:r w:rsidR="00F32B28">
        <w:rPr>
          <w:rtl/>
        </w:rPr>
        <w:t xml:space="preserve"> </w:t>
      </w:r>
      <w:r w:rsidR="00F32B28" w:rsidRPr="00F32B28">
        <w:rPr>
          <w:rtl/>
        </w:rPr>
        <w:t>ومن</w:t>
      </w:r>
      <w:r w:rsidR="00F32B28">
        <w:rPr>
          <w:rtl/>
        </w:rPr>
        <w:t xml:space="preserve"> </w:t>
      </w:r>
      <w:r w:rsidR="00F32B28" w:rsidRPr="00F32B28">
        <w:rPr>
          <w:rtl/>
        </w:rPr>
        <w:t>تجاوزها</w:t>
      </w:r>
      <w:r w:rsidR="00F32B28">
        <w:rPr>
          <w:rtl/>
        </w:rPr>
        <w:t xml:space="preserve"> </w:t>
      </w:r>
      <w:r w:rsidR="00F32B28" w:rsidRPr="00F32B28">
        <w:rPr>
          <w:rtl/>
        </w:rPr>
        <w:t>الثامنة</w:t>
      </w:r>
      <w:r w:rsidR="00F32B28">
        <w:rPr>
          <w:rtl/>
        </w:rPr>
        <w:t xml:space="preserve"> </w:t>
      </w:r>
      <w:r w:rsidR="00F32B28" w:rsidRPr="00F32B28">
        <w:rPr>
          <w:rtl/>
        </w:rPr>
        <w:t>عشرة</w:t>
      </w:r>
      <w:r w:rsidR="00F32B28">
        <w:rPr>
          <w:rtl/>
        </w:rPr>
        <w:t xml:space="preserve"> </w:t>
      </w:r>
      <w:r w:rsidR="00F32B28" w:rsidRPr="00F32B28">
        <w:rPr>
          <w:rtl/>
        </w:rPr>
        <w:t>من</w:t>
      </w:r>
      <w:r w:rsidR="00F32B28">
        <w:rPr>
          <w:rtl/>
        </w:rPr>
        <w:t xml:space="preserve"> </w:t>
      </w:r>
      <w:r w:rsidR="00F32B28" w:rsidRPr="00F32B28">
        <w:rPr>
          <w:rtl/>
        </w:rPr>
        <w:t>عمرها،</w:t>
      </w:r>
      <w:r w:rsidR="00F32B28">
        <w:rPr>
          <w:rtl/>
        </w:rPr>
        <w:t xml:space="preserve"> </w:t>
      </w:r>
      <w:r w:rsidR="00F32B28" w:rsidRPr="00F32B28">
        <w:rPr>
          <w:rtl/>
        </w:rPr>
        <w:t>وحصول</w:t>
      </w:r>
      <w:r w:rsidR="00F32B28">
        <w:rPr>
          <w:rtl/>
        </w:rPr>
        <w:t xml:space="preserve"> </w:t>
      </w:r>
      <w:r w:rsidR="00F32B28" w:rsidRPr="00F32B28">
        <w:rPr>
          <w:rtl/>
        </w:rPr>
        <w:t>الخاطب</w:t>
      </w:r>
      <w:r w:rsidR="00F32B28">
        <w:rPr>
          <w:rtl/>
        </w:rPr>
        <w:t xml:space="preserve"> </w:t>
      </w:r>
      <w:r w:rsidR="00F32B28" w:rsidRPr="00F32B28">
        <w:rPr>
          <w:rtl/>
        </w:rPr>
        <w:t>على</w:t>
      </w:r>
      <w:r w:rsidR="00F32B28">
        <w:rPr>
          <w:rtl/>
        </w:rPr>
        <w:t xml:space="preserve"> </w:t>
      </w:r>
      <w:r w:rsidR="00F32B28" w:rsidRPr="00F32B28">
        <w:rPr>
          <w:rtl/>
        </w:rPr>
        <w:t>شهادة</w:t>
      </w:r>
      <w:r w:rsidR="00F32B28">
        <w:rPr>
          <w:rtl/>
        </w:rPr>
        <w:t xml:space="preserve"> </w:t>
      </w:r>
      <w:r w:rsidR="00F32B28" w:rsidRPr="00F32B28">
        <w:rPr>
          <w:rtl/>
        </w:rPr>
        <w:t>حسن</w:t>
      </w:r>
      <w:r w:rsidR="00F32B28">
        <w:rPr>
          <w:rtl/>
        </w:rPr>
        <w:t xml:space="preserve"> </w:t>
      </w:r>
      <w:r w:rsidR="00F32B28" w:rsidRPr="00F32B28">
        <w:rPr>
          <w:rtl/>
        </w:rPr>
        <w:t>سير</w:t>
      </w:r>
      <w:r w:rsidR="00F32B28">
        <w:rPr>
          <w:rtl/>
        </w:rPr>
        <w:t xml:space="preserve"> </w:t>
      </w:r>
      <w:r w:rsidR="00F32B28" w:rsidRPr="00F32B28">
        <w:rPr>
          <w:rtl/>
        </w:rPr>
        <w:t>وسلوك</w:t>
      </w:r>
      <w:r w:rsidR="00F32B28">
        <w:rPr>
          <w:rtl/>
        </w:rPr>
        <w:t xml:space="preserve"> </w:t>
      </w:r>
      <w:r w:rsidR="00F32B28" w:rsidRPr="00F32B28">
        <w:rPr>
          <w:rtl/>
        </w:rPr>
        <w:t>من</w:t>
      </w:r>
      <w:r w:rsidR="00F32B28">
        <w:rPr>
          <w:rtl/>
        </w:rPr>
        <w:t xml:space="preserve"> </w:t>
      </w:r>
      <w:r w:rsidR="00F32B28" w:rsidRPr="00F32B28">
        <w:rPr>
          <w:rtl/>
        </w:rPr>
        <w:t>المنطقة</w:t>
      </w:r>
      <w:r w:rsidR="00F32B28">
        <w:rPr>
          <w:rtl/>
        </w:rPr>
        <w:t xml:space="preserve"> </w:t>
      </w:r>
      <w:r w:rsidR="00F32B28" w:rsidRPr="00F32B28">
        <w:rPr>
          <w:rtl/>
        </w:rPr>
        <w:t>التي</w:t>
      </w:r>
      <w:r w:rsidR="00F32B28">
        <w:rPr>
          <w:rtl/>
        </w:rPr>
        <w:t xml:space="preserve"> </w:t>
      </w:r>
      <w:r w:rsidR="00F32B28" w:rsidRPr="00F32B28">
        <w:rPr>
          <w:rtl/>
        </w:rPr>
        <w:t>يقيم</w:t>
      </w:r>
      <w:r w:rsidR="00F32B28">
        <w:rPr>
          <w:rtl/>
        </w:rPr>
        <w:t xml:space="preserve"> </w:t>
      </w:r>
      <w:r w:rsidR="00F32B28" w:rsidRPr="00F32B28">
        <w:rPr>
          <w:rtl/>
        </w:rPr>
        <w:t>فيها،</w:t>
      </w:r>
      <w:r w:rsidR="00F32B28">
        <w:rPr>
          <w:rtl/>
        </w:rPr>
        <w:t xml:space="preserve"> </w:t>
      </w:r>
      <w:r w:rsidR="00F32B28" w:rsidRPr="00F32B28">
        <w:rPr>
          <w:rtl/>
        </w:rPr>
        <w:t>وكذلك</w:t>
      </w:r>
      <w:r w:rsidR="00F32B28">
        <w:rPr>
          <w:rtl/>
        </w:rPr>
        <w:t xml:space="preserve"> </w:t>
      </w:r>
      <w:r w:rsidR="00F32B28" w:rsidRPr="00F32B28">
        <w:rPr>
          <w:rtl/>
        </w:rPr>
        <w:t>التأكد</w:t>
      </w:r>
      <w:r w:rsidR="00F32B28">
        <w:rPr>
          <w:rtl/>
        </w:rPr>
        <w:t xml:space="preserve"> </w:t>
      </w:r>
      <w:r w:rsidR="00F32B28" w:rsidRPr="00F32B28">
        <w:rPr>
          <w:rtl/>
        </w:rPr>
        <w:t>من</w:t>
      </w:r>
      <w:r w:rsidR="00F32B28">
        <w:rPr>
          <w:rtl/>
        </w:rPr>
        <w:t xml:space="preserve"> </w:t>
      </w:r>
      <w:r w:rsidR="00F32B28" w:rsidRPr="00F32B28">
        <w:rPr>
          <w:rtl/>
        </w:rPr>
        <w:t>محل</w:t>
      </w:r>
      <w:r w:rsidR="00F32B28">
        <w:rPr>
          <w:rtl/>
        </w:rPr>
        <w:t xml:space="preserve"> </w:t>
      </w:r>
      <w:r w:rsidR="00F32B28" w:rsidRPr="00F32B28">
        <w:rPr>
          <w:rtl/>
        </w:rPr>
        <w:t>الإقامة</w:t>
      </w:r>
      <w:r w:rsidR="00F32B28">
        <w:rPr>
          <w:rtl/>
        </w:rPr>
        <w:t xml:space="preserve"> </w:t>
      </w:r>
      <w:r w:rsidR="00F32B28" w:rsidRPr="00F32B28">
        <w:rPr>
          <w:rtl/>
        </w:rPr>
        <w:t>الذي</w:t>
      </w:r>
      <w:r w:rsidR="00F32B28">
        <w:rPr>
          <w:rtl/>
        </w:rPr>
        <w:t xml:space="preserve"> </w:t>
      </w:r>
      <w:r w:rsidR="00F32B28" w:rsidRPr="00F32B28">
        <w:rPr>
          <w:rtl/>
        </w:rPr>
        <w:t>سيقيم</w:t>
      </w:r>
      <w:r w:rsidR="00F32B28">
        <w:rPr>
          <w:rtl/>
        </w:rPr>
        <w:t xml:space="preserve"> </w:t>
      </w:r>
      <w:r w:rsidR="00F32B28" w:rsidRPr="00F32B28">
        <w:rPr>
          <w:rtl/>
        </w:rPr>
        <w:t>فيه</w:t>
      </w:r>
      <w:r w:rsidR="00F32B28">
        <w:rPr>
          <w:rtl/>
        </w:rPr>
        <w:t xml:space="preserve"> </w:t>
      </w:r>
      <w:r w:rsidR="00F32B28" w:rsidRPr="00F32B28">
        <w:rPr>
          <w:rtl/>
        </w:rPr>
        <w:t>الزوجان</w:t>
      </w:r>
      <w:r w:rsidR="00F32B28">
        <w:rPr>
          <w:rtl/>
        </w:rPr>
        <w:t xml:space="preserve"> </w:t>
      </w:r>
      <w:r w:rsidR="00F32B28" w:rsidRPr="00F32B28">
        <w:rPr>
          <w:rtl/>
        </w:rPr>
        <w:t>بعد</w:t>
      </w:r>
      <w:r w:rsidR="00F32B28">
        <w:rPr>
          <w:rtl/>
        </w:rPr>
        <w:t xml:space="preserve"> </w:t>
      </w:r>
      <w:r w:rsidR="00F32B28" w:rsidRPr="00F32B28">
        <w:rPr>
          <w:rtl/>
        </w:rPr>
        <w:t>الزواج،</w:t>
      </w:r>
      <w:r w:rsidR="00F32B28">
        <w:rPr>
          <w:rtl/>
        </w:rPr>
        <w:t xml:space="preserve"> </w:t>
      </w:r>
      <w:r w:rsidR="00F32B28" w:rsidRPr="00F32B28">
        <w:rPr>
          <w:rtl/>
        </w:rPr>
        <w:t>والتأكد</w:t>
      </w:r>
      <w:r w:rsidR="00F32B28">
        <w:rPr>
          <w:rtl/>
        </w:rPr>
        <w:t xml:space="preserve"> </w:t>
      </w:r>
      <w:r w:rsidR="00F32B28" w:rsidRPr="00F32B28">
        <w:rPr>
          <w:rtl/>
        </w:rPr>
        <w:t>من</w:t>
      </w:r>
      <w:r w:rsidR="00F32B28">
        <w:rPr>
          <w:rtl/>
        </w:rPr>
        <w:t xml:space="preserve"> </w:t>
      </w:r>
      <w:r w:rsidR="00F32B28" w:rsidRPr="00F32B28">
        <w:rPr>
          <w:rtl/>
        </w:rPr>
        <w:t>إجراء</w:t>
      </w:r>
      <w:r w:rsidR="00F32B28">
        <w:rPr>
          <w:rtl/>
        </w:rPr>
        <w:t xml:space="preserve"> </w:t>
      </w:r>
      <w:r w:rsidR="00F32B28" w:rsidRPr="00F32B28">
        <w:rPr>
          <w:rtl/>
        </w:rPr>
        <w:t>الفحوص</w:t>
      </w:r>
      <w:r w:rsidR="00F32B28">
        <w:rPr>
          <w:rtl/>
        </w:rPr>
        <w:t xml:space="preserve"> </w:t>
      </w:r>
      <w:r w:rsidR="00F32B28" w:rsidRPr="00F32B28">
        <w:rPr>
          <w:rtl/>
        </w:rPr>
        <w:t>الطبية</w:t>
      </w:r>
      <w:r w:rsidR="00F32B28">
        <w:rPr>
          <w:rtl/>
        </w:rPr>
        <w:t xml:space="preserve"> </w:t>
      </w:r>
      <w:r w:rsidR="00F32B28" w:rsidRPr="00F32B28">
        <w:rPr>
          <w:rtl/>
        </w:rPr>
        <w:t>اللازمة</w:t>
      </w:r>
      <w:r w:rsidR="00F32B28">
        <w:rPr>
          <w:rtl/>
        </w:rPr>
        <w:t xml:space="preserve"> </w:t>
      </w:r>
      <w:r w:rsidR="00F32B28" w:rsidRPr="00F32B28">
        <w:rPr>
          <w:rtl/>
        </w:rPr>
        <w:t>قبل</w:t>
      </w:r>
      <w:r w:rsidR="00F32B28">
        <w:rPr>
          <w:rtl/>
        </w:rPr>
        <w:t xml:space="preserve"> </w:t>
      </w:r>
      <w:r w:rsidR="00F32B28" w:rsidRPr="00F32B28">
        <w:rPr>
          <w:rtl/>
        </w:rPr>
        <w:t>الزواج</w:t>
      </w:r>
      <w:r w:rsidR="00F32B28">
        <w:rPr>
          <w:rtl/>
        </w:rPr>
        <w:t xml:space="preserve"> </w:t>
      </w:r>
      <w:r w:rsidR="00F32B28" w:rsidRPr="00F32B28">
        <w:rPr>
          <w:rtl/>
        </w:rPr>
        <w:t>وخلو</w:t>
      </w:r>
      <w:r w:rsidR="00F32B28">
        <w:rPr>
          <w:rtl/>
        </w:rPr>
        <w:t xml:space="preserve"> </w:t>
      </w:r>
      <w:r w:rsidR="00F32B28" w:rsidRPr="00F32B28">
        <w:rPr>
          <w:rtl/>
        </w:rPr>
        <w:t>الرجل</w:t>
      </w:r>
      <w:r w:rsidR="00F32B28">
        <w:rPr>
          <w:rtl/>
        </w:rPr>
        <w:t xml:space="preserve"> </w:t>
      </w:r>
      <w:r w:rsidR="00F32B28" w:rsidRPr="00F32B28">
        <w:rPr>
          <w:rtl/>
        </w:rPr>
        <w:t>من</w:t>
      </w:r>
      <w:r w:rsidR="00F32B28">
        <w:rPr>
          <w:rtl/>
        </w:rPr>
        <w:t xml:space="preserve"> </w:t>
      </w:r>
      <w:r w:rsidR="00F32B28" w:rsidRPr="00F32B28">
        <w:rPr>
          <w:rtl/>
        </w:rPr>
        <w:t>الأمراض</w:t>
      </w:r>
      <w:r w:rsidR="00F32B28">
        <w:rPr>
          <w:rtl/>
        </w:rPr>
        <w:t xml:space="preserve"> </w:t>
      </w:r>
      <w:r w:rsidR="00F32B28" w:rsidRPr="00F32B28">
        <w:rPr>
          <w:rtl/>
        </w:rPr>
        <w:t>السارية</w:t>
      </w:r>
      <w:r w:rsidR="00F32B28">
        <w:rPr>
          <w:rtl/>
        </w:rPr>
        <w:t xml:space="preserve"> </w:t>
      </w:r>
      <w:r w:rsidR="00F32B28" w:rsidRPr="00F32B28">
        <w:rPr>
          <w:rtl/>
        </w:rPr>
        <w:t>أو</w:t>
      </w:r>
      <w:r w:rsidR="00F32B28">
        <w:rPr>
          <w:rtl/>
        </w:rPr>
        <w:t xml:space="preserve"> </w:t>
      </w:r>
      <w:r w:rsidR="00F32B28" w:rsidRPr="00F32B28">
        <w:rPr>
          <w:rtl/>
        </w:rPr>
        <w:t>المعدية،</w:t>
      </w:r>
      <w:r w:rsidR="00F32B28">
        <w:rPr>
          <w:rtl/>
        </w:rPr>
        <w:t xml:space="preserve"> </w:t>
      </w:r>
      <w:r w:rsidR="00F32B28" w:rsidRPr="00F32B28">
        <w:rPr>
          <w:rtl/>
        </w:rPr>
        <w:t>خاصة</w:t>
      </w:r>
      <w:r w:rsidR="00F32B28">
        <w:rPr>
          <w:rtl/>
        </w:rPr>
        <w:t xml:space="preserve"> </w:t>
      </w:r>
      <w:r w:rsidR="00F32B28" w:rsidRPr="00F32B28">
        <w:rPr>
          <w:rtl/>
        </w:rPr>
        <w:t>الإيدز،</w:t>
      </w:r>
      <w:r w:rsidR="00F32B28">
        <w:rPr>
          <w:rtl/>
        </w:rPr>
        <w:t xml:space="preserve"> </w:t>
      </w:r>
      <w:r w:rsidR="00F32B28" w:rsidRPr="00F32B28">
        <w:rPr>
          <w:rtl/>
        </w:rPr>
        <w:t>ويعاقب</w:t>
      </w:r>
      <w:r w:rsidR="00F32B28">
        <w:rPr>
          <w:rtl/>
        </w:rPr>
        <w:t xml:space="preserve"> </w:t>
      </w:r>
      <w:r w:rsidR="00F32B28" w:rsidRPr="00F32B28">
        <w:rPr>
          <w:rtl/>
        </w:rPr>
        <w:t>كل</w:t>
      </w:r>
      <w:r w:rsidR="00F32B28">
        <w:rPr>
          <w:rtl/>
        </w:rPr>
        <w:t xml:space="preserve"> </w:t>
      </w:r>
      <w:r w:rsidR="00F32B28" w:rsidRPr="00F32B28">
        <w:rPr>
          <w:rtl/>
        </w:rPr>
        <w:t>من</w:t>
      </w:r>
      <w:r w:rsidR="00F32B28">
        <w:rPr>
          <w:rtl/>
        </w:rPr>
        <w:t xml:space="preserve"> </w:t>
      </w:r>
      <w:r w:rsidR="00F32B28" w:rsidRPr="00F32B28">
        <w:rPr>
          <w:rtl/>
        </w:rPr>
        <w:t>أتم</w:t>
      </w:r>
      <w:r w:rsidR="00F32B28">
        <w:rPr>
          <w:rtl/>
        </w:rPr>
        <w:t xml:space="preserve"> </w:t>
      </w:r>
      <w:r w:rsidR="00F32B28" w:rsidRPr="00F32B28">
        <w:rPr>
          <w:rtl/>
        </w:rPr>
        <w:t>الزواج</w:t>
      </w:r>
      <w:r w:rsidR="00F32B28">
        <w:rPr>
          <w:rtl/>
        </w:rPr>
        <w:t xml:space="preserve"> </w:t>
      </w:r>
      <w:r w:rsidR="00F32B28" w:rsidRPr="00F32B28">
        <w:rPr>
          <w:rtl/>
        </w:rPr>
        <w:t>دون</w:t>
      </w:r>
      <w:r w:rsidR="00F32B28">
        <w:rPr>
          <w:rtl/>
        </w:rPr>
        <w:t xml:space="preserve"> </w:t>
      </w:r>
      <w:r w:rsidR="00F32B28" w:rsidRPr="00F32B28">
        <w:rPr>
          <w:rtl/>
        </w:rPr>
        <w:t>التقيد</w:t>
      </w:r>
      <w:r w:rsidR="00F32B28">
        <w:rPr>
          <w:rtl/>
        </w:rPr>
        <w:t xml:space="preserve"> </w:t>
      </w:r>
      <w:r w:rsidR="00F32B28" w:rsidRPr="00F32B28">
        <w:rPr>
          <w:rtl/>
        </w:rPr>
        <w:t>بما</w:t>
      </w:r>
      <w:r w:rsidR="00F32B28">
        <w:rPr>
          <w:rtl/>
        </w:rPr>
        <w:t xml:space="preserve"> </w:t>
      </w:r>
      <w:r w:rsidR="00F32B28" w:rsidRPr="00F32B28">
        <w:rPr>
          <w:rtl/>
        </w:rPr>
        <w:t>ورد</w:t>
      </w:r>
      <w:r w:rsidR="00F32B28">
        <w:rPr>
          <w:rtl/>
        </w:rPr>
        <w:t xml:space="preserve"> </w:t>
      </w:r>
      <w:r w:rsidR="00F32B28" w:rsidRPr="00F32B28">
        <w:rPr>
          <w:rtl/>
        </w:rPr>
        <w:t>أعلاه</w:t>
      </w:r>
      <w:r w:rsidR="00F32B28">
        <w:rPr>
          <w:rtl/>
        </w:rPr>
        <w:t xml:space="preserve"> </w:t>
      </w:r>
      <w:r w:rsidR="00F32B28" w:rsidRPr="00F32B28">
        <w:rPr>
          <w:rtl/>
        </w:rPr>
        <w:t>بأقصى</w:t>
      </w:r>
      <w:r w:rsidR="00F32B28">
        <w:rPr>
          <w:rtl/>
        </w:rPr>
        <w:t xml:space="preserve"> </w:t>
      </w:r>
      <w:r w:rsidR="00F32B28" w:rsidRPr="00F32B28">
        <w:rPr>
          <w:rtl/>
        </w:rPr>
        <w:t>العقوبات.</w:t>
      </w:r>
    </w:p>
    <w:p w:rsidR="00F32B28" w:rsidRPr="00F32B28" w:rsidRDefault="008A31F2" w:rsidP="008A31F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ab/>
      </w:r>
      <w:r>
        <w:rPr>
          <w:rFonts w:hint="cs"/>
          <w:rtl/>
        </w:rPr>
        <w:tab/>
      </w:r>
      <w:r w:rsidR="00F32B28" w:rsidRPr="00F32B28">
        <w:rPr>
          <w:rtl/>
        </w:rPr>
        <w:t>الجزء</w:t>
      </w:r>
      <w:r w:rsidR="00F32B28">
        <w:rPr>
          <w:rtl/>
        </w:rPr>
        <w:t xml:space="preserve"> </w:t>
      </w:r>
      <w:r w:rsidR="00F32B28" w:rsidRPr="00F32B28">
        <w:rPr>
          <w:rtl/>
        </w:rPr>
        <w:t>الثاني</w:t>
      </w:r>
    </w:p>
    <w:p w:rsidR="00F32B28" w:rsidRPr="00F32B28" w:rsidRDefault="00F32B28" w:rsidP="008A31F2">
      <w:pPr>
        <w:pStyle w:val="SingleTxt"/>
        <w:rPr>
          <w:b/>
          <w:bCs/>
        </w:rPr>
      </w:pPr>
      <w:r w:rsidRPr="00F32B28">
        <w:rPr>
          <w:b/>
          <w:bCs/>
          <w:rtl/>
        </w:rPr>
        <w:t>المادتين</w:t>
      </w:r>
      <w:r>
        <w:rPr>
          <w:b/>
          <w:bCs/>
          <w:rtl/>
        </w:rPr>
        <w:t xml:space="preserve"> </w:t>
      </w:r>
      <w:r w:rsidRPr="00F32B28">
        <w:rPr>
          <w:b/>
          <w:bCs/>
          <w:rtl/>
        </w:rPr>
        <w:t>(7)</w:t>
      </w:r>
      <w:r>
        <w:rPr>
          <w:b/>
          <w:bCs/>
          <w:rtl/>
        </w:rPr>
        <w:t xml:space="preserve"> </w:t>
      </w:r>
      <w:r w:rsidRPr="00F32B28">
        <w:rPr>
          <w:b/>
          <w:bCs/>
          <w:rtl/>
        </w:rPr>
        <w:t>و</w:t>
      </w:r>
      <w:r w:rsidR="004B33D7">
        <w:rPr>
          <w:rFonts w:hint="cs"/>
          <w:b/>
          <w:bCs/>
          <w:rtl/>
        </w:rPr>
        <w:t xml:space="preserve"> </w:t>
      </w:r>
      <w:r w:rsidRPr="00F32B28">
        <w:rPr>
          <w:b/>
          <w:bCs/>
          <w:rtl/>
        </w:rPr>
        <w:t>(8)</w:t>
      </w:r>
      <w:r w:rsidR="008A31F2">
        <w:rPr>
          <w:rFonts w:hint="cs"/>
          <w:b/>
          <w:bCs/>
          <w:rtl/>
        </w:rPr>
        <w:tab/>
      </w:r>
      <w:r w:rsidR="008A31F2">
        <w:rPr>
          <w:rFonts w:hint="cs"/>
          <w:b/>
          <w:bCs/>
          <w:rtl/>
        </w:rPr>
        <w:br/>
      </w:r>
      <w:r w:rsidRPr="00F32B28">
        <w:rPr>
          <w:b/>
          <w:bCs/>
          <w:rtl/>
        </w:rPr>
        <w:t>المساواة</w:t>
      </w:r>
      <w:r>
        <w:rPr>
          <w:b/>
          <w:bCs/>
          <w:rtl/>
        </w:rPr>
        <w:t xml:space="preserve"> </w:t>
      </w:r>
      <w:r w:rsidRPr="00F32B28">
        <w:rPr>
          <w:b/>
          <w:bCs/>
          <w:rtl/>
        </w:rPr>
        <w:t>في</w:t>
      </w:r>
      <w:r>
        <w:rPr>
          <w:b/>
          <w:bCs/>
          <w:rtl/>
        </w:rPr>
        <w:t xml:space="preserve"> </w:t>
      </w:r>
      <w:r w:rsidRPr="00F32B28">
        <w:rPr>
          <w:b/>
          <w:bCs/>
          <w:rtl/>
        </w:rPr>
        <w:t>المشاركة</w:t>
      </w:r>
      <w:r>
        <w:rPr>
          <w:b/>
          <w:bCs/>
          <w:rtl/>
        </w:rPr>
        <w:t xml:space="preserve"> </w:t>
      </w:r>
      <w:r w:rsidRPr="00F32B28">
        <w:rPr>
          <w:b/>
          <w:bCs/>
          <w:rtl/>
        </w:rPr>
        <w:t>في</w:t>
      </w:r>
      <w:r>
        <w:rPr>
          <w:b/>
          <w:bCs/>
          <w:rtl/>
        </w:rPr>
        <w:t xml:space="preserve"> </w:t>
      </w:r>
      <w:r w:rsidRPr="00F32B28">
        <w:rPr>
          <w:b/>
          <w:bCs/>
          <w:rtl/>
        </w:rPr>
        <w:t>الحياة</w:t>
      </w:r>
      <w:r>
        <w:rPr>
          <w:b/>
          <w:bCs/>
          <w:rtl/>
        </w:rPr>
        <w:t xml:space="preserve"> </w:t>
      </w:r>
      <w:r w:rsidRPr="00F32B28">
        <w:rPr>
          <w:b/>
          <w:bCs/>
          <w:rtl/>
        </w:rPr>
        <w:t>العامة</w:t>
      </w:r>
    </w:p>
    <w:p w:rsidR="00F32B28" w:rsidRPr="00F32B28" w:rsidRDefault="008A31F2" w:rsidP="008A31F2">
      <w:pPr>
        <w:pStyle w:val="SingleTxt"/>
        <w:rPr>
          <w:b/>
          <w:bCs/>
          <w:rtl/>
        </w:rPr>
      </w:pPr>
      <w:r>
        <w:rPr>
          <w:rFonts w:hint="cs"/>
          <w:rtl/>
        </w:rPr>
        <w:t xml:space="preserve">109 - </w:t>
      </w:r>
      <w:r w:rsidR="00F32B28" w:rsidRPr="00F32B28">
        <w:rPr>
          <w:rtl/>
        </w:rPr>
        <w:t>انضمت</w:t>
      </w:r>
      <w:r w:rsidR="00F32B28">
        <w:rPr>
          <w:rtl/>
        </w:rPr>
        <w:t xml:space="preserve"> </w:t>
      </w:r>
      <w:r w:rsidR="00F32B28" w:rsidRPr="00F32B28">
        <w:rPr>
          <w:rtl/>
        </w:rPr>
        <w:t>فلسطين</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2014</w:t>
      </w:r>
      <w:r w:rsidR="00F32B28">
        <w:rPr>
          <w:rtl/>
        </w:rPr>
        <w:t xml:space="preserve"> </w:t>
      </w:r>
      <w:r w:rsidR="00F32B28" w:rsidRPr="00F32B28">
        <w:rPr>
          <w:rtl/>
        </w:rPr>
        <w:t>إلى</w:t>
      </w:r>
      <w:r w:rsidR="00F32B28">
        <w:rPr>
          <w:rtl/>
        </w:rPr>
        <w:t xml:space="preserve"> </w:t>
      </w:r>
      <w:r w:rsidR="00F32B28" w:rsidRPr="00F32B28">
        <w:rPr>
          <w:rtl/>
        </w:rPr>
        <w:t>اتفاقية</w:t>
      </w:r>
      <w:r w:rsidR="00F32B28">
        <w:rPr>
          <w:rtl/>
        </w:rPr>
        <w:t xml:space="preserve"> </w:t>
      </w:r>
      <w:r w:rsidR="00F32B28" w:rsidRPr="00F32B28">
        <w:rPr>
          <w:rtl/>
        </w:rPr>
        <w:t>بشأن</w:t>
      </w:r>
      <w:r w:rsidR="00F32B28">
        <w:rPr>
          <w:rtl/>
        </w:rPr>
        <w:t xml:space="preserve"> </w:t>
      </w:r>
      <w:r w:rsidR="00F32B28" w:rsidRPr="00F32B28">
        <w:rPr>
          <w:rtl/>
        </w:rPr>
        <w:t>الحقوق</w:t>
      </w:r>
      <w:r w:rsidR="00F32B28">
        <w:rPr>
          <w:rtl/>
        </w:rPr>
        <w:t xml:space="preserve"> </w:t>
      </w:r>
      <w:r w:rsidR="00F32B28" w:rsidRPr="00F32B28">
        <w:rPr>
          <w:rtl/>
        </w:rPr>
        <w:t>السياسية</w:t>
      </w:r>
      <w:r w:rsidR="00F32B28">
        <w:rPr>
          <w:rtl/>
        </w:rPr>
        <w:t xml:space="preserve"> </w:t>
      </w:r>
      <w:r w:rsidR="00F32B28" w:rsidRPr="00F32B28">
        <w:rPr>
          <w:rtl/>
        </w:rPr>
        <w:t>للمرأة</w:t>
      </w:r>
      <w:r w:rsidR="00F32B28">
        <w:rPr>
          <w:rtl/>
        </w:rPr>
        <w:t xml:space="preserve"> </w:t>
      </w:r>
      <w:r w:rsidR="00F32B28" w:rsidRPr="00F32B28">
        <w:rPr>
          <w:rtl/>
        </w:rPr>
        <w:t>لسنة</w:t>
      </w:r>
      <w:r w:rsidR="00F32B28">
        <w:rPr>
          <w:rtl/>
        </w:rPr>
        <w:t xml:space="preserve"> </w:t>
      </w:r>
      <w:r w:rsidR="00F32B28" w:rsidRPr="00F32B28">
        <w:rPr>
          <w:rtl/>
        </w:rPr>
        <w:t>1954</w:t>
      </w:r>
      <w:r w:rsidR="00F32B28">
        <w:rPr>
          <w:rtl/>
        </w:rPr>
        <w:t xml:space="preserve"> </w:t>
      </w:r>
      <w:r w:rsidR="00F32B28" w:rsidRPr="00F32B28">
        <w:rPr>
          <w:rtl/>
        </w:rPr>
        <w:t>بدون</w:t>
      </w:r>
      <w:r w:rsidR="008974F6">
        <w:rPr>
          <w:rFonts w:hint="cs"/>
          <w:rtl/>
        </w:rPr>
        <w:t> </w:t>
      </w:r>
      <w:r w:rsidR="00F32B28" w:rsidRPr="00F32B28">
        <w:rPr>
          <w:rtl/>
        </w:rPr>
        <w:t>تحفظ.</w:t>
      </w:r>
      <w:r w:rsidR="00F32B28">
        <w:rPr>
          <w:rtl/>
        </w:rPr>
        <w:t xml:space="preserve"> </w:t>
      </w:r>
      <w:r w:rsidR="00F32B28" w:rsidRPr="00F32B28">
        <w:rPr>
          <w:rtl/>
        </w:rPr>
        <w:t>وينص</w:t>
      </w:r>
      <w:r w:rsidR="00F32B28">
        <w:rPr>
          <w:rtl/>
        </w:rPr>
        <w:t xml:space="preserve"> </w:t>
      </w:r>
      <w:r w:rsidR="00F32B28" w:rsidRPr="00F32B28">
        <w:rPr>
          <w:rtl/>
        </w:rPr>
        <w:t>القانون</w:t>
      </w:r>
      <w:r w:rsidR="00F32B28">
        <w:rPr>
          <w:rtl/>
        </w:rPr>
        <w:t xml:space="preserve"> </w:t>
      </w:r>
      <w:r w:rsidR="00F32B28" w:rsidRPr="00F32B28">
        <w:rPr>
          <w:rtl/>
        </w:rPr>
        <w:t>الأساسي</w:t>
      </w:r>
      <w:r w:rsidR="00F32B28">
        <w:rPr>
          <w:rtl/>
        </w:rPr>
        <w:t xml:space="preserve"> </w:t>
      </w:r>
      <w:r w:rsidR="00F32B28" w:rsidRPr="00F32B28">
        <w:rPr>
          <w:rtl/>
        </w:rPr>
        <w:t>المعدل</w:t>
      </w:r>
      <w:r w:rsidR="00F32B28">
        <w:rPr>
          <w:rtl/>
        </w:rPr>
        <w:t xml:space="preserve"> </w:t>
      </w:r>
      <w:r w:rsidR="00F32B28" w:rsidRPr="00F32B28">
        <w:rPr>
          <w:rtl/>
        </w:rPr>
        <w:t>في</w:t>
      </w:r>
      <w:r w:rsidR="00F32B28">
        <w:rPr>
          <w:rtl/>
        </w:rPr>
        <w:t xml:space="preserve"> </w:t>
      </w:r>
      <w:r w:rsidR="00F32B28" w:rsidRPr="00F32B28">
        <w:rPr>
          <w:rtl/>
        </w:rPr>
        <w:t>مقدمته</w:t>
      </w:r>
      <w:r w:rsidR="00F32B28">
        <w:rPr>
          <w:rtl/>
        </w:rPr>
        <w:t xml:space="preserve"> </w:t>
      </w:r>
      <w:r w:rsidR="00F32B28" w:rsidRPr="00F32B28">
        <w:rPr>
          <w:rtl/>
        </w:rPr>
        <w:t>وفي</w:t>
      </w:r>
      <w:r w:rsidR="00F32B28">
        <w:rPr>
          <w:rtl/>
        </w:rPr>
        <w:t xml:space="preserve"> </w:t>
      </w:r>
      <w:r w:rsidR="00F32B28" w:rsidRPr="00F32B28">
        <w:rPr>
          <w:rtl/>
        </w:rPr>
        <w:t>المادتين</w:t>
      </w:r>
      <w:r w:rsidR="00F32B28">
        <w:rPr>
          <w:rtl/>
        </w:rPr>
        <w:t xml:space="preserve"> </w:t>
      </w:r>
      <w:r w:rsidR="00F32B28" w:rsidRPr="00F32B28">
        <w:rPr>
          <w:rtl/>
        </w:rPr>
        <w:t>(9)</w:t>
      </w:r>
      <w:r w:rsidR="00F32B28">
        <w:rPr>
          <w:rtl/>
        </w:rPr>
        <w:t xml:space="preserve"> </w:t>
      </w:r>
      <w:r w:rsidR="00F32B28" w:rsidRPr="00F32B28">
        <w:rPr>
          <w:rtl/>
        </w:rPr>
        <w:t>و</w:t>
      </w:r>
      <w:r w:rsidR="004B33D7">
        <w:rPr>
          <w:rFonts w:hint="cs"/>
          <w:rtl/>
        </w:rPr>
        <w:t xml:space="preserve"> </w:t>
      </w:r>
      <w:r w:rsidR="00F32B28" w:rsidRPr="00F32B28">
        <w:rPr>
          <w:rtl/>
        </w:rPr>
        <w:t>(26)</w:t>
      </w:r>
      <w:r w:rsidR="00F32B28">
        <w:rPr>
          <w:rtl/>
        </w:rPr>
        <w:t xml:space="preserve"> </w:t>
      </w:r>
      <w:r w:rsidR="00F32B28" w:rsidRPr="00F32B28">
        <w:rPr>
          <w:rtl/>
        </w:rPr>
        <w:t>على</w:t>
      </w:r>
      <w:r w:rsidR="00F32B28">
        <w:rPr>
          <w:rtl/>
        </w:rPr>
        <w:t xml:space="preserve"> </w:t>
      </w:r>
      <w:r w:rsidR="00F32B28" w:rsidRPr="00F32B28">
        <w:rPr>
          <w:rtl/>
        </w:rPr>
        <w:t>المساواة</w:t>
      </w:r>
      <w:r w:rsidR="00F32B28">
        <w:rPr>
          <w:rtl/>
        </w:rPr>
        <w:t xml:space="preserve"> </w:t>
      </w:r>
      <w:r w:rsidR="00F32B28" w:rsidRPr="00F32B28">
        <w:rPr>
          <w:rtl/>
        </w:rPr>
        <w:t>التامة</w:t>
      </w:r>
      <w:r w:rsidR="00F32B28">
        <w:rPr>
          <w:rtl/>
        </w:rPr>
        <w:t xml:space="preserve"> </w:t>
      </w:r>
      <w:r w:rsidR="00F32B28" w:rsidRPr="00F32B28">
        <w:rPr>
          <w:rtl/>
        </w:rPr>
        <w:t>بين</w:t>
      </w:r>
      <w:r w:rsidR="00F32B28">
        <w:rPr>
          <w:rtl/>
        </w:rPr>
        <w:t xml:space="preserve"> </w:t>
      </w:r>
      <w:r w:rsidR="00F32B28" w:rsidRPr="00F32B28">
        <w:rPr>
          <w:rtl/>
        </w:rPr>
        <w:t>جميع</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الحقوق</w:t>
      </w:r>
      <w:r w:rsidR="00F32B28">
        <w:rPr>
          <w:rtl/>
        </w:rPr>
        <w:t xml:space="preserve"> </w:t>
      </w:r>
      <w:r w:rsidR="00F32B28" w:rsidRPr="00F32B28">
        <w:rPr>
          <w:rtl/>
        </w:rPr>
        <w:t>والواجبات</w:t>
      </w:r>
      <w:r w:rsidR="00F32B28">
        <w:rPr>
          <w:rtl/>
        </w:rPr>
        <w:t xml:space="preserve"> </w:t>
      </w:r>
      <w:r w:rsidR="00F32B28" w:rsidRPr="00F32B28">
        <w:rPr>
          <w:rtl/>
        </w:rPr>
        <w:t>بما</w:t>
      </w:r>
      <w:r w:rsidR="00F32B28">
        <w:rPr>
          <w:rtl/>
        </w:rPr>
        <w:t xml:space="preserve"> </w:t>
      </w:r>
      <w:r w:rsidR="00F32B28" w:rsidRPr="00F32B28">
        <w:rPr>
          <w:rtl/>
        </w:rPr>
        <w:t>فيها</w:t>
      </w:r>
      <w:r w:rsidR="00F32B28">
        <w:rPr>
          <w:rtl/>
        </w:rPr>
        <w:t xml:space="preserve"> </w:t>
      </w:r>
      <w:r w:rsidR="00F32B28" w:rsidRPr="00F32B28">
        <w:rPr>
          <w:rtl/>
        </w:rPr>
        <w:t>الحقوق</w:t>
      </w:r>
      <w:r w:rsidR="00F32B28">
        <w:rPr>
          <w:rtl/>
        </w:rPr>
        <w:t xml:space="preserve"> </w:t>
      </w:r>
      <w:r w:rsidR="00F32B28" w:rsidRPr="00F32B28">
        <w:rPr>
          <w:rtl/>
        </w:rPr>
        <w:t>السياسية</w:t>
      </w:r>
      <w:r w:rsidR="00F32B28">
        <w:rPr>
          <w:rtl/>
        </w:rPr>
        <w:t xml:space="preserve"> </w:t>
      </w:r>
      <w:r w:rsidR="00F32B28" w:rsidRPr="00F32B28">
        <w:rPr>
          <w:rtl/>
        </w:rPr>
        <w:t>الكاملة</w:t>
      </w:r>
      <w:r w:rsidR="00F32B28">
        <w:rPr>
          <w:rtl/>
        </w:rPr>
        <w:t xml:space="preserve"> </w:t>
      </w:r>
      <w:r w:rsidR="00F32B28" w:rsidRPr="00F32B28">
        <w:rPr>
          <w:rtl/>
        </w:rPr>
        <w:t>وحق</w:t>
      </w:r>
      <w:r w:rsidR="00F32B28">
        <w:rPr>
          <w:rtl/>
        </w:rPr>
        <w:t xml:space="preserve"> </w:t>
      </w:r>
      <w:r w:rsidR="00F32B28" w:rsidRPr="00F32B28">
        <w:rPr>
          <w:rtl/>
        </w:rPr>
        <w:t>تولي</w:t>
      </w:r>
      <w:r w:rsidR="00F32B28">
        <w:rPr>
          <w:rtl/>
        </w:rPr>
        <w:t xml:space="preserve"> </w:t>
      </w:r>
      <w:r w:rsidR="00F32B28" w:rsidRPr="00F32B28">
        <w:rPr>
          <w:rtl/>
        </w:rPr>
        <w:t>الوظائف</w:t>
      </w:r>
      <w:r w:rsidR="00F32B28">
        <w:rPr>
          <w:rtl/>
        </w:rPr>
        <w:t xml:space="preserve"> </w:t>
      </w:r>
      <w:r w:rsidR="00F32B28" w:rsidRPr="00F32B28">
        <w:rPr>
          <w:rtl/>
        </w:rPr>
        <w:t>العامة.</w:t>
      </w:r>
      <w:r w:rsidR="00F32B28">
        <w:rPr>
          <w:rtl/>
        </w:rPr>
        <w:t xml:space="preserve"> </w:t>
      </w:r>
      <w:r w:rsidR="00F32B28" w:rsidRPr="00F32B28">
        <w:rPr>
          <w:rtl/>
        </w:rPr>
        <w:t>فقد</w:t>
      </w:r>
      <w:r w:rsidR="00F32B28">
        <w:rPr>
          <w:rtl/>
        </w:rPr>
        <w:t xml:space="preserve"> </w:t>
      </w:r>
      <w:r w:rsidR="00F32B28" w:rsidRPr="00F32B28">
        <w:rPr>
          <w:rtl/>
        </w:rPr>
        <w:t>أشارت</w:t>
      </w:r>
      <w:r w:rsidR="00F32B28">
        <w:rPr>
          <w:rtl/>
        </w:rPr>
        <w:t xml:space="preserve"> </w:t>
      </w:r>
      <w:r w:rsidR="00F32B28" w:rsidRPr="00F32B28">
        <w:rPr>
          <w:rtl/>
        </w:rPr>
        <w:t>المادة</w:t>
      </w:r>
      <w:r w:rsidR="00F32B28">
        <w:rPr>
          <w:rtl/>
        </w:rPr>
        <w:t xml:space="preserve"> </w:t>
      </w:r>
      <w:r w:rsidR="00F32B28" w:rsidRPr="00F32B28">
        <w:rPr>
          <w:rtl/>
        </w:rPr>
        <w:t>الأخيرة</w:t>
      </w:r>
      <w:r w:rsidR="00F32B28">
        <w:rPr>
          <w:rtl/>
        </w:rPr>
        <w:t xml:space="preserve"> </w:t>
      </w:r>
      <w:r w:rsidR="00F32B28" w:rsidRPr="00F32B28">
        <w:rPr>
          <w:rtl/>
        </w:rPr>
        <w:t>بأن</w:t>
      </w:r>
      <w:r w:rsidR="00F32B28">
        <w:rPr>
          <w:rtl/>
        </w:rPr>
        <w:t xml:space="preserve"> </w:t>
      </w:r>
      <w:r w:rsidR="00F32B28" w:rsidRPr="00F32B28">
        <w:rPr>
          <w:rtl/>
        </w:rPr>
        <w:t>للفلسطينيين</w:t>
      </w:r>
      <w:r w:rsidR="00F32B28">
        <w:rPr>
          <w:rtl/>
        </w:rPr>
        <w:t xml:space="preserve"> </w:t>
      </w:r>
      <w:r w:rsidR="00F32B28" w:rsidRPr="00F32B28">
        <w:rPr>
          <w:rtl/>
        </w:rPr>
        <w:t>حق</w:t>
      </w:r>
      <w:r w:rsidR="00F32B28">
        <w:rPr>
          <w:rtl/>
        </w:rPr>
        <w:t xml:space="preserve"> </w:t>
      </w:r>
      <w:r w:rsidR="00F32B28" w:rsidRPr="00F32B28">
        <w:rPr>
          <w:rtl/>
        </w:rPr>
        <w:t>المشاركة</w:t>
      </w:r>
      <w:r w:rsidR="00F32B28">
        <w:rPr>
          <w:rtl/>
        </w:rPr>
        <w:t xml:space="preserve"> </w:t>
      </w:r>
      <w:r w:rsidR="00F32B28" w:rsidRPr="00F32B28">
        <w:rPr>
          <w:rtl/>
        </w:rPr>
        <w:t>في</w:t>
      </w:r>
      <w:r w:rsidR="00F32B28">
        <w:rPr>
          <w:rtl/>
        </w:rPr>
        <w:t xml:space="preserve"> </w:t>
      </w:r>
      <w:r w:rsidR="00F32B28" w:rsidRPr="00F32B28">
        <w:rPr>
          <w:rtl/>
        </w:rPr>
        <w:t>الحياة</w:t>
      </w:r>
      <w:r w:rsidR="00F32B28">
        <w:rPr>
          <w:rtl/>
        </w:rPr>
        <w:t xml:space="preserve"> </w:t>
      </w:r>
      <w:r w:rsidR="00F32B28" w:rsidRPr="00F32B28">
        <w:rPr>
          <w:rtl/>
        </w:rPr>
        <w:t>السياسية</w:t>
      </w:r>
      <w:r w:rsidR="00F32B28">
        <w:rPr>
          <w:rtl/>
        </w:rPr>
        <w:t xml:space="preserve"> </w:t>
      </w:r>
      <w:r w:rsidR="00F32B28" w:rsidRPr="00F32B28">
        <w:rPr>
          <w:rtl/>
        </w:rPr>
        <w:t>أفراداً</w:t>
      </w:r>
      <w:r w:rsidR="00F32B28">
        <w:rPr>
          <w:rtl/>
        </w:rPr>
        <w:t xml:space="preserve"> </w:t>
      </w:r>
      <w:r w:rsidR="00F32B28" w:rsidRPr="00F32B28">
        <w:rPr>
          <w:rtl/>
        </w:rPr>
        <w:t>وجماعات،</w:t>
      </w:r>
      <w:r w:rsidR="00F32B28">
        <w:rPr>
          <w:rtl/>
        </w:rPr>
        <w:t xml:space="preserve"> </w:t>
      </w:r>
      <w:r w:rsidR="00F32B28" w:rsidRPr="00F32B28">
        <w:rPr>
          <w:rtl/>
        </w:rPr>
        <w:t>وتشكيل</w:t>
      </w:r>
      <w:r w:rsidR="00F32B28">
        <w:rPr>
          <w:rtl/>
        </w:rPr>
        <w:t xml:space="preserve"> </w:t>
      </w:r>
      <w:r w:rsidR="00F32B28" w:rsidRPr="00F32B28">
        <w:rPr>
          <w:rtl/>
        </w:rPr>
        <w:t>الأحزاب</w:t>
      </w:r>
      <w:r w:rsidR="00F32B28">
        <w:rPr>
          <w:rtl/>
        </w:rPr>
        <w:t xml:space="preserve"> </w:t>
      </w:r>
      <w:r w:rsidR="00F32B28" w:rsidRPr="00F32B28">
        <w:rPr>
          <w:rtl/>
        </w:rPr>
        <w:t>السياسية</w:t>
      </w:r>
      <w:r w:rsidR="00F32B28">
        <w:rPr>
          <w:rtl/>
        </w:rPr>
        <w:t xml:space="preserve"> </w:t>
      </w:r>
      <w:r w:rsidR="00F32B28" w:rsidRPr="00F32B28">
        <w:rPr>
          <w:rtl/>
        </w:rPr>
        <w:t>والانضمام</w:t>
      </w:r>
      <w:r w:rsidR="00F32B28">
        <w:rPr>
          <w:rtl/>
        </w:rPr>
        <w:t xml:space="preserve"> </w:t>
      </w:r>
      <w:r w:rsidR="00F32B28" w:rsidRPr="00F32B28">
        <w:rPr>
          <w:rtl/>
        </w:rPr>
        <w:t>إليها،</w:t>
      </w:r>
      <w:r w:rsidR="00F32B28">
        <w:rPr>
          <w:rtl/>
        </w:rPr>
        <w:t xml:space="preserve"> </w:t>
      </w:r>
      <w:r w:rsidR="00F32B28" w:rsidRPr="00F32B28">
        <w:rPr>
          <w:rtl/>
        </w:rPr>
        <w:t>وتشكيل</w:t>
      </w:r>
      <w:r w:rsidR="00F32B28">
        <w:rPr>
          <w:rtl/>
        </w:rPr>
        <w:t xml:space="preserve"> </w:t>
      </w:r>
      <w:r w:rsidR="00F32B28" w:rsidRPr="00F32B28">
        <w:rPr>
          <w:rtl/>
        </w:rPr>
        <w:t>النقابات</w:t>
      </w:r>
      <w:r w:rsidR="00F32B28">
        <w:rPr>
          <w:rtl/>
        </w:rPr>
        <w:t xml:space="preserve"> </w:t>
      </w:r>
      <w:r w:rsidR="00F32B28" w:rsidRPr="00F32B28">
        <w:rPr>
          <w:rtl/>
        </w:rPr>
        <w:t>والجمعيات</w:t>
      </w:r>
      <w:r w:rsidR="00F32B28">
        <w:rPr>
          <w:rtl/>
        </w:rPr>
        <w:t xml:space="preserve"> </w:t>
      </w:r>
      <w:r w:rsidR="00F32B28" w:rsidRPr="00F32B28">
        <w:rPr>
          <w:rtl/>
        </w:rPr>
        <w:t>والاتحادات</w:t>
      </w:r>
      <w:r w:rsidR="00F32B28">
        <w:rPr>
          <w:rtl/>
        </w:rPr>
        <w:t xml:space="preserve"> </w:t>
      </w:r>
      <w:r w:rsidR="00F32B28" w:rsidRPr="00F32B28">
        <w:rPr>
          <w:rtl/>
        </w:rPr>
        <w:t>والمؤسسات</w:t>
      </w:r>
      <w:r w:rsidR="00F32B28">
        <w:rPr>
          <w:rtl/>
        </w:rPr>
        <w:t xml:space="preserve"> </w:t>
      </w:r>
      <w:r w:rsidR="00F32B28" w:rsidRPr="00F32B28">
        <w:rPr>
          <w:rtl/>
        </w:rPr>
        <w:t>الشعبية،</w:t>
      </w:r>
      <w:r w:rsidR="00F32B28">
        <w:rPr>
          <w:rtl/>
        </w:rPr>
        <w:t xml:space="preserve"> </w:t>
      </w:r>
      <w:r w:rsidR="00F32B28" w:rsidRPr="00F32B28">
        <w:rPr>
          <w:rtl/>
        </w:rPr>
        <w:t>والتصويت</w:t>
      </w:r>
      <w:r w:rsidR="00F32B28">
        <w:rPr>
          <w:rtl/>
        </w:rPr>
        <w:t xml:space="preserve"> </w:t>
      </w:r>
      <w:r w:rsidR="00F32B28" w:rsidRPr="00F32B28">
        <w:rPr>
          <w:rtl/>
        </w:rPr>
        <w:t>والترشيح</w:t>
      </w:r>
      <w:r w:rsidR="00F32B28">
        <w:rPr>
          <w:rtl/>
        </w:rPr>
        <w:t xml:space="preserve"> </w:t>
      </w:r>
      <w:r w:rsidR="00F32B28" w:rsidRPr="00F32B28">
        <w:rPr>
          <w:rtl/>
        </w:rPr>
        <w:t>في</w:t>
      </w:r>
      <w:r w:rsidR="00F32B28">
        <w:rPr>
          <w:rtl/>
        </w:rPr>
        <w:t xml:space="preserve"> </w:t>
      </w:r>
      <w:r w:rsidR="00F32B28" w:rsidRPr="00F32B28">
        <w:rPr>
          <w:rtl/>
        </w:rPr>
        <w:t>الانتخابات</w:t>
      </w:r>
      <w:r w:rsidR="00F32B28">
        <w:rPr>
          <w:rtl/>
        </w:rPr>
        <w:t xml:space="preserve"> </w:t>
      </w:r>
      <w:r w:rsidR="00F32B28" w:rsidRPr="00F32B28">
        <w:rPr>
          <w:rtl/>
        </w:rPr>
        <w:t>لاختيار</w:t>
      </w:r>
      <w:r w:rsidR="00F32B28">
        <w:rPr>
          <w:rtl/>
        </w:rPr>
        <w:t xml:space="preserve"> </w:t>
      </w:r>
      <w:r w:rsidR="00F32B28" w:rsidRPr="00F32B28">
        <w:rPr>
          <w:rtl/>
        </w:rPr>
        <w:t>ممثلين</w:t>
      </w:r>
      <w:r w:rsidR="00F32B28">
        <w:rPr>
          <w:rtl/>
        </w:rPr>
        <w:t xml:space="preserve"> </w:t>
      </w:r>
      <w:r w:rsidR="00F32B28" w:rsidRPr="00F32B28">
        <w:rPr>
          <w:rtl/>
        </w:rPr>
        <w:t>منهم</w:t>
      </w:r>
      <w:r w:rsidR="00F32B28">
        <w:rPr>
          <w:rtl/>
        </w:rPr>
        <w:t xml:space="preserve"> </w:t>
      </w:r>
      <w:r w:rsidR="00F32B28" w:rsidRPr="00F32B28">
        <w:rPr>
          <w:rtl/>
        </w:rPr>
        <w:t>يتم</w:t>
      </w:r>
      <w:r w:rsidR="00F32B28">
        <w:rPr>
          <w:rtl/>
        </w:rPr>
        <w:t xml:space="preserve"> </w:t>
      </w:r>
      <w:r w:rsidR="00F32B28" w:rsidRPr="00F32B28">
        <w:rPr>
          <w:rtl/>
        </w:rPr>
        <w:t>انتخابهم</w:t>
      </w:r>
      <w:r w:rsidR="00F32B28">
        <w:rPr>
          <w:rtl/>
        </w:rPr>
        <w:t xml:space="preserve"> </w:t>
      </w:r>
      <w:r w:rsidR="00F32B28" w:rsidRPr="00F32B28">
        <w:rPr>
          <w:rtl/>
        </w:rPr>
        <w:t>بالاقتراع</w:t>
      </w:r>
      <w:r w:rsidR="00F32B28">
        <w:rPr>
          <w:rtl/>
        </w:rPr>
        <w:t xml:space="preserve"> </w:t>
      </w:r>
      <w:r w:rsidR="00F32B28" w:rsidRPr="00F32B28">
        <w:rPr>
          <w:rtl/>
        </w:rPr>
        <w:t>العام،</w:t>
      </w:r>
      <w:r w:rsidR="00F32B28">
        <w:rPr>
          <w:rtl/>
        </w:rPr>
        <w:t xml:space="preserve"> </w:t>
      </w:r>
      <w:r w:rsidR="00F32B28" w:rsidRPr="00F32B28">
        <w:rPr>
          <w:rtl/>
        </w:rPr>
        <w:t>وتقلد</w:t>
      </w:r>
      <w:r w:rsidR="00F32B28">
        <w:rPr>
          <w:rtl/>
        </w:rPr>
        <w:t xml:space="preserve"> </w:t>
      </w:r>
      <w:r w:rsidR="00F32B28" w:rsidRPr="00F32B28">
        <w:rPr>
          <w:rtl/>
        </w:rPr>
        <w:t>الوظائف</w:t>
      </w:r>
      <w:r w:rsidR="00F32B28">
        <w:rPr>
          <w:rtl/>
        </w:rPr>
        <w:t xml:space="preserve"> </w:t>
      </w:r>
      <w:r w:rsidR="00F32B28" w:rsidRPr="00F32B28">
        <w:rPr>
          <w:rtl/>
        </w:rPr>
        <w:t>العامة</w:t>
      </w:r>
      <w:r w:rsidR="00F32B28">
        <w:rPr>
          <w:rtl/>
        </w:rPr>
        <w:t xml:space="preserve"> </w:t>
      </w:r>
      <w:r w:rsidR="00F32B28" w:rsidRPr="00F32B28">
        <w:rPr>
          <w:rtl/>
        </w:rPr>
        <w:t>على</w:t>
      </w:r>
      <w:r w:rsidR="00F32B28">
        <w:rPr>
          <w:rtl/>
        </w:rPr>
        <w:t xml:space="preserve"> </w:t>
      </w:r>
      <w:r w:rsidR="00F32B28" w:rsidRPr="00F32B28">
        <w:rPr>
          <w:rtl/>
        </w:rPr>
        <w:t>قاعدة</w:t>
      </w:r>
      <w:r w:rsidR="00F32B28">
        <w:rPr>
          <w:rtl/>
        </w:rPr>
        <w:t xml:space="preserve"> </w:t>
      </w:r>
      <w:r w:rsidR="00F32B28" w:rsidRPr="00F32B28">
        <w:rPr>
          <w:rtl/>
        </w:rPr>
        <w:t>تكافؤ</w:t>
      </w:r>
      <w:r w:rsidR="00F32B28">
        <w:rPr>
          <w:rtl/>
        </w:rPr>
        <w:t xml:space="preserve"> </w:t>
      </w:r>
      <w:r w:rsidR="00F32B28" w:rsidRPr="00F32B28">
        <w:rPr>
          <w:rtl/>
        </w:rPr>
        <w:t>الفرص،</w:t>
      </w:r>
      <w:r w:rsidR="00F32B28">
        <w:rPr>
          <w:rtl/>
        </w:rPr>
        <w:t xml:space="preserve"> </w:t>
      </w:r>
      <w:r w:rsidR="00F32B28" w:rsidRPr="00F32B28">
        <w:rPr>
          <w:rtl/>
        </w:rPr>
        <w:t>وعقد</w:t>
      </w:r>
      <w:r w:rsidR="00F32B28">
        <w:rPr>
          <w:rtl/>
        </w:rPr>
        <w:t xml:space="preserve"> </w:t>
      </w:r>
      <w:r w:rsidR="00F32B28" w:rsidRPr="00F32B28">
        <w:rPr>
          <w:rtl/>
        </w:rPr>
        <w:t>الاجتماعات</w:t>
      </w:r>
      <w:r w:rsidR="00F32B28">
        <w:rPr>
          <w:rtl/>
        </w:rPr>
        <w:t xml:space="preserve"> </w:t>
      </w:r>
      <w:r w:rsidR="00F32B28" w:rsidRPr="00F32B28">
        <w:rPr>
          <w:rtl/>
        </w:rPr>
        <w:t>الخاصة</w:t>
      </w:r>
      <w:r w:rsidR="00F32B28">
        <w:rPr>
          <w:rtl/>
        </w:rPr>
        <w:t xml:space="preserve"> </w:t>
      </w:r>
      <w:r w:rsidR="00F32B28" w:rsidRPr="00F32B28">
        <w:rPr>
          <w:rtl/>
        </w:rPr>
        <w:t>دون</w:t>
      </w:r>
      <w:r w:rsidR="00F32B28">
        <w:rPr>
          <w:rtl/>
        </w:rPr>
        <w:t xml:space="preserve"> </w:t>
      </w:r>
      <w:r w:rsidR="00F32B28" w:rsidRPr="00F32B28">
        <w:rPr>
          <w:rtl/>
        </w:rPr>
        <w:t>حضور</w:t>
      </w:r>
      <w:r w:rsidR="00F32B28">
        <w:rPr>
          <w:rtl/>
        </w:rPr>
        <w:t xml:space="preserve"> </w:t>
      </w:r>
      <w:r w:rsidR="00F32B28" w:rsidRPr="00F32B28">
        <w:rPr>
          <w:rtl/>
        </w:rPr>
        <w:t>أفراد</w:t>
      </w:r>
      <w:r w:rsidR="00F32B28">
        <w:rPr>
          <w:rtl/>
        </w:rPr>
        <w:t xml:space="preserve"> </w:t>
      </w:r>
      <w:r w:rsidR="00F32B28" w:rsidRPr="00F32B28">
        <w:rPr>
          <w:rtl/>
        </w:rPr>
        <w:t>الشرطة،</w:t>
      </w:r>
      <w:r w:rsidR="00F32B28">
        <w:rPr>
          <w:rtl/>
        </w:rPr>
        <w:t xml:space="preserve"> </w:t>
      </w:r>
      <w:r w:rsidR="00F32B28" w:rsidRPr="00F32B28">
        <w:rPr>
          <w:rtl/>
        </w:rPr>
        <w:t>وعقد</w:t>
      </w:r>
      <w:r w:rsidR="00F32B28">
        <w:rPr>
          <w:rtl/>
        </w:rPr>
        <w:t xml:space="preserve"> </w:t>
      </w:r>
      <w:r w:rsidR="00F32B28" w:rsidRPr="00F32B28">
        <w:rPr>
          <w:rtl/>
        </w:rPr>
        <w:t>الاجتماعات</w:t>
      </w:r>
      <w:r w:rsidR="00F32B28">
        <w:rPr>
          <w:rtl/>
        </w:rPr>
        <w:t xml:space="preserve"> </w:t>
      </w:r>
      <w:r w:rsidR="00F32B28" w:rsidRPr="00F32B28">
        <w:rPr>
          <w:rtl/>
        </w:rPr>
        <w:t>العامة</w:t>
      </w:r>
      <w:r w:rsidR="00F32B28">
        <w:rPr>
          <w:rtl/>
        </w:rPr>
        <w:t xml:space="preserve"> </w:t>
      </w:r>
      <w:r w:rsidR="00F32B28" w:rsidRPr="00F32B28">
        <w:rPr>
          <w:rtl/>
        </w:rPr>
        <w:t>والتجمعات</w:t>
      </w:r>
      <w:r w:rsidR="00F32B28">
        <w:rPr>
          <w:rtl/>
        </w:rPr>
        <w:t xml:space="preserve"> </w:t>
      </w:r>
      <w:r w:rsidR="00F32B28" w:rsidRPr="00F32B28">
        <w:rPr>
          <w:rtl/>
        </w:rPr>
        <w:t>في</w:t>
      </w:r>
      <w:r w:rsidR="00F32B28">
        <w:rPr>
          <w:rtl/>
        </w:rPr>
        <w:t xml:space="preserve"> </w:t>
      </w:r>
      <w:r w:rsidR="00F32B28" w:rsidRPr="00F32B28">
        <w:rPr>
          <w:rtl/>
        </w:rPr>
        <w:t>حدود</w:t>
      </w:r>
      <w:r w:rsidR="00F32B28">
        <w:rPr>
          <w:rtl/>
        </w:rPr>
        <w:t xml:space="preserve"> </w:t>
      </w:r>
      <w:r w:rsidR="00F32B28" w:rsidRPr="00F32B28">
        <w:rPr>
          <w:rtl/>
        </w:rPr>
        <w:t>القانون.</w:t>
      </w:r>
      <w:r w:rsidR="00F32B28">
        <w:rPr>
          <w:rtl/>
        </w:rPr>
        <w:t xml:space="preserve"> </w:t>
      </w:r>
      <w:r w:rsidR="00F32B28" w:rsidRPr="00F32B28">
        <w:rPr>
          <w:rtl/>
        </w:rPr>
        <w:t>كما</w:t>
      </w:r>
      <w:r w:rsidR="00F32B28">
        <w:rPr>
          <w:rtl/>
        </w:rPr>
        <w:t xml:space="preserve"> </w:t>
      </w:r>
      <w:r w:rsidR="00F32B28" w:rsidRPr="00F32B28">
        <w:rPr>
          <w:rtl/>
        </w:rPr>
        <w:t>وينص</w:t>
      </w:r>
      <w:r w:rsidR="00F32B28">
        <w:rPr>
          <w:rtl/>
        </w:rPr>
        <w:t xml:space="preserve"> </w:t>
      </w:r>
      <w:r w:rsidR="00F32B28" w:rsidRPr="00F32B28">
        <w:rPr>
          <w:rtl/>
        </w:rPr>
        <w:t>قانون</w:t>
      </w:r>
      <w:r w:rsidR="00F32B28">
        <w:rPr>
          <w:rtl/>
        </w:rPr>
        <w:t xml:space="preserve"> </w:t>
      </w:r>
      <w:r w:rsidR="00F32B28" w:rsidRPr="00F32B28">
        <w:rPr>
          <w:rtl/>
        </w:rPr>
        <w:t>حقوق</w:t>
      </w:r>
      <w:r w:rsidR="00F32B28">
        <w:rPr>
          <w:rtl/>
        </w:rPr>
        <w:t xml:space="preserve"> </w:t>
      </w:r>
      <w:r w:rsidR="00F32B28" w:rsidRPr="00F32B28">
        <w:rPr>
          <w:rtl/>
        </w:rPr>
        <w:t>المعوقين</w:t>
      </w:r>
      <w:r w:rsidR="00F32B28">
        <w:rPr>
          <w:rtl/>
        </w:rPr>
        <w:t xml:space="preserve"> </w:t>
      </w:r>
      <w:r w:rsidR="00F32B28" w:rsidRPr="00F32B28">
        <w:rPr>
          <w:rtl/>
        </w:rPr>
        <w:t>على</w:t>
      </w:r>
      <w:r w:rsidR="00F32B28">
        <w:rPr>
          <w:rtl/>
        </w:rPr>
        <w:t xml:space="preserve"> </w:t>
      </w:r>
      <w:r w:rsidR="00F32B28" w:rsidRPr="00F32B28">
        <w:rPr>
          <w:rtl/>
        </w:rPr>
        <w:t>حقهم</w:t>
      </w:r>
      <w:r w:rsidR="00F32B28">
        <w:rPr>
          <w:rtl/>
        </w:rPr>
        <w:t xml:space="preserve"> </w:t>
      </w:r>
      <w:r w:rsidR="00F32B28" w:rsidRPr="00F32B28">
        <w:rPr>
          <w:rtl/>
        </w:rPr>
        <w:t>في</w:t>
      </w:r>
      <w:r w:rsidR="00F32B28">
        <w:rPr>
          <w:rtl/>
        </w:rPr>
        <w:t xml:space="preserve"> </w:t>
      </w:r>
      <w:r w:rsidR="00F32B28" w:rsidRPr="00F32B28">
        <w:rPr>
          <w:rtl/>
        </w:rPr>
        <w:t>تكوين</w:t>
      </w:r>
      <w:r w:rsidR="00F32B28">
        <w:rPr>
          <w:rtl/>
        </w:rPr>
        <w:t xml:space="preserve"> </w:t>
      </w:r>
      <w:r w:rsidR="00F32B28" w:rsidRPr="00F32B28">
        <w:rPr>
          <w:rtl/>
        </w:rPr>
        <w:t>جمعيات</w:t>
      </w:r>
      <w:r w:rsidR="00F32B28">
        <w:rPr>
          <w:rtl/>
        </w:rPr>
        <w:t xml:space="preserve"> </w:t>
      </w:r>
      <w:r w:rsidR="00F32B28" w:rsidRPr="00F32B28">
        <w:rPr>
          <w:rtl/>
        </w:rPr>
        <w:t>ومنظمات</w:t>
      </w:r>
      <w:r w:rsidR="00F32B28">
        <w:rPr>
          <w:rtl/>
        </w:rPr>
        <w:t xml:space="preserve"> </w:t>
      </w:r>
      <w:r w:rsidR="00F32B28" w:rsidRPr="00F32B28">
        <w:rPr>
          <w:rtl/>
        </w:rPr>
        <w:t>واتحادات</w:t>
      </w:r>
      <w:r w:rsidR="00F32B28">
        <w:rPr>
          <w:rtl/>
        </w:rPr>
        <w:t xml:space="preserve"> </w:t>
      </w:r>
      <w:r w:rsidR="00F32B28" w:rsidRPr="00F32B28">
        <w:rPr>
          <w:rtl/>
        </w:rPr>
        <w:t>خاصة</w:t>
      </w:r>
      <w:r w:rsidR="00F32B28">
        <w:rPr>
          <w:rtl/>
        </w:rPr>
        <w:t xml:space="preserve"> </w:t>
      </w:r>
      <w:r w:rsidR="00F32B28" w:rsidRPr="00F32B28">
        <w:rPr>
          <w:rtl/>
        </w:rPr>
        <w:t>لتلبية</w:t>
      </w:r>
      <w:r w:rsidR="00F32B28">
        <w:rPr>
          <w:rtl/>
        </w:rPr>
        <w:t xml:space="preserve"> </w:t>
      </w:r>
      <w:r w:rsidR="00F32B28" w:rsidRPr="00F32B28">
        <w:rPr>
          <w:rtl/>
        </w:rPr>
        <w:t>احتياجاتهم.</w:t>
      </w:r>
    </w:p>
    <w:p w:rsidR="00F32B28" w:rsidRPr="00F32B28" w:rsidRDefault="008A31F2" w:rsidP="008A31F2">
      <w:pPr>
        <w:pStyle w:val="SingleTxt"/>
      </w:pPr>
      <w:r>
        <w:rPr>
          <w:rFonts w:hint="cs"/>
          <w:rtl/>
        </w:rPr>
        <w:t xml:space="preserve">110 - </w:t>
      </w:r>
      <w:r w:rsidR="00F32B28" w:rsidRPr="00F32B28">
        <w:rPr>
          <w:rtl/>
        </w:rPr>
        <w:t>وينص</w:t>
      </w:r>
      <w:r w:rsidR="00F32B28">
        <w:rPr>
          <w:rtl/>
        </w:rPr>
        <w:t xml:space="preserve"> </w:t>
      </w:r>
      <w:r w:rsidR="00F32B28" w:rsidRPr="00F32B28">
        <w:rPr>
          <w:rtl/>
        </w:rPr>
        <w:t>كل</w:t>
      </w:r>
      <w:r w:rsidR="00F32B28">
        <w:rPr>
          <w:rtl/>
        </w:rPr>
        <w:t xml:space="preserve"> </w:t>
      </w:r>
      <w:r w:rsidR="00F32B28" w:rsidRPr="00F32B28">
        <w:rPr>
          <w:rtl/>
        </w:rPr>
        <w:t>من</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رقم</w:t>
      </w:r>
      <w:r w:rsidR="00F32B28">
        <w:rPr>
          <w:rtl/>
        </w:rPr>
        <w:t xml:space="preserve"> </w:t>
      </w:r>
      <w:r w:rsidR="00F32B28" w:rsidRPr="00F32B28">
        <w:rPr>
          <w:rtl/>
        </w:rPr>
        <w:t>(1)</w:t>
      </w:r>
      <w:r w:rsidR="00F32B28">
        <w:rPr>
          <w:rtl/>
        </w:rPr>
        <w:t xml:space="preserve"> </w:t>
      </w:r>
      <w:r w:rsidR="00F32B28" w:rsidRPr="00F32B28">
        <w:rPr>
          <w:rtl/>
        </w:rPr>
        <w:t>لسنة</w:t>
      </w:r>
      <w:r w:rsidR="00F32B28">
        <w:rPr>
          <w:rtl/>
        </w:rPr>
        <w:t xml:space="preserve"> </w:t>
      </w:r>
      <w:r w:rsidR="00F32B28" w:rsidRPr="00F32B28">
        <w:rPr>
          <w:rtl/>
        </w:rPr>
        <w:t>2007</w:t>
      </w:r>
      <w:r w:rsidR="00F32B28">
        <w:rPr>
          <w:rtl/>
        </w:rPr>
        <w:t xml:space="preserve"> </w:t>
      </w:r>
      <w:r w:rsidR="00F32B28" w:rsidRPr="00F32B28">
        <w:rPr>
          <w:rtl/>
        </w:rPr>
        <w:t>بشأن</w:t>
      </w:r>
      <w:r w:rsidR="00F32B28">
        <w:rPr>
          <w:rtl/>
        </w:rPr>
        <w:t xml:space="preserve"> </w:t>
      </w:r>
      <w:r w:rsidR="00F32B28" w:rsidRPr="00F32B28">
        <w:rPr>
          <w:rtl/>
        </w:rPr>
        <w:t>الانتخابات</w:t>
      </w:r>
      <w:r w:rsidR="00F32B28">
        <w:rPr>
          <w:rtl/>
        </w:rPr>
        <w:t xml:space="preserve"> </w:t>
      </w:r>
      <w:r w:rsidR="00F32B28" w:rsidRPr="00F32B28">
        <w:rPr>
          <w:rtl/>
        </w:rPr>
        <w:t>العامة</w:t>
      </w:r>
      <w:r w:rsidR="00F32B28">
        <w:rPr>
          <w:rtl/>
        </w:rPr>
        <w:t xml:space="preserve"> </w:t>
      </w:r>
      <w:r w:rsidR="00F32B28" w:rsidRPr="00F32B28">
        <w:rPr>
          <w:rtl/>
        </w:rPr>
        <w:t>على</w:t>
      </w:r>
      <w:r w:rsidR="00F32B28">
        <w:rPr>
          <w:rtl/>
        </w:rPr>
        <w:t xml:space="preserve"> </w:t>
      </w:r>
      <w:r w:rsidR="00F32B28" w:rsidRPr="00F32B28">
        <w:rPr>
          <w:rtl/>
        </w:rPr>
        <w:t>حق</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الانتخاب</w:t>
      </w:r>
      <w:r w:rsidR="00F32B28">
        <w:rPr>
          <w:rtl/>
        </w:rPr>
        <w:t xml:space="preserve"> </w:t>
      </w:r>
      <w:r w:rsidR="00F32B28" w:rsidRPr="00F32B28">
        <w:rPr>
          <w:rtl/>
        </w:rPr>
        <w:t>بشروط</w:t>
      </w:r>
      <w:r w:rsidR="00F32B28">
        <w:rPr>
          <w:rtl/>
        </w:rPr>
        <w:t xml:space="preserve"> </w:t>
      </w:r>
      <w:r w:rsidR="00F32B28" w:rsidRPr="00F32B28">
        <w:rPr>
          <w:rtl/>
        </w:rPr>
        <w:t>تساوت</w:t>
      </w:r>
      <w:r w:rsidR="00F32B28">
        <w:rPr>
          <w:rtl/>
        </w:rPr>
        <w:t xml:space="preserve"> </w:t>
      </w:r>
      <w:r w:rsidR="00F32B28" w:rsidRPr="00F32B28">
        <w:rPr>
          <w:rtl/>
        </w:rPr>
        <w:t>فيها</w:t>
      </w:r>
      <w:r w:rsidR="00F32B28">
        <w:rPr>
          <w:rtl/>
        </w:rPr>
        <w:t xml:space="preserve"> </w:t>
      </w:r>
      <w:r w:rsidR="00F32B28" w:rsidRPr="00F32B28">
        <w:rPr>
          <w:rtl/>
        </w:rPr>
        <w:t>مع</w:t>
      </w:r>
      <w:r w:rsidR="00F32B28">
        <w:rPr>
          <w:rtl/>
        </w:rPr>
        <w:t xml:space="preserve"> </w:t>
      </w:r>
      <w:r w:rsidR="00F32B28" w:rsidRPr="00F32B28">
        <w:rPr>
          <w:rtl/>
        </w:rPr>
        <w:t>الرجل،</w:t>
      </w:r>
      <w:r w:rsidR="00F32B28">
        <w:rPr>
          <w:rtl/>
        </w:rPr>
        <w:t xml:space="preserve"> </w:t>
      </w:r>
      <w:r w:rsidR="00F32B28" w:rsidRPr="00F32B28">
        <w:rPr>
          <w:rtl/>
        </w:rPr>
        <w:t>دون</w:t>
      </w:r>
      <w:r w:rsidR="00F32B28">
        <w:rPr>
          <w:rtl/>
        </w:rPr>
        <w:t xml:space="preserve"> </w:t>
      </w:r>
      <w:r w:rsidR="00F32B28" w:rsidRPr="00F32B28">
        <w:rPr>
          <w:rtl/>
        </w:rPr>
        <w:t>أي</w:t>
      </w:r>
      <w:r w:rsidR="00F32B28">
        <w:rPr>
          <w:rtl/>
        </w:rPr>
        <w:t xml:space="preserve"> </w:t>
      </w:r>
      <w:r w:rsidR="00F32B28" w:rsidRPr="00F32B28">
        <w:rPr>
          <w:rtl/>
        </w:rPr>
        <w:t>تمييز.</w:t>
      </w:r>
      <w:r w:rsidR="00F32B28">
        <w:rPr>
          <w:rtl/>
        </w:rPr>
        <w:t xml:space="preserve"> </w:t>
      </w:r>
      <w:r w:rsidR="00F32B28" w:rsidRPr="00F32B28">
        <w:rPr>
          <w:rtl/>
        </w:rPr>
        <w:t>وكذلك</w:t>
      </w:r>
      <w:r w:rsidR="00F32B28">
        <w:rPr>
          <w:rtl/>
        </w:rPr>
        <w:t xml:space="preserve"> </w:t>
      </w:r>
      <w:r w:rsidR="00F32B28" w:rsidRPr="00F32B28">
        <w:rPr>
          <w:rtl/>
        </w:rPr>
        <w:t>الأمر</w:t>
      </w:r>
      <w:r w:rsidR="00F32B28">
        <w:rPr>
          <w:rtl/>
        </w:rPr>
        <w:t xml:space="preserve"> </w:t>
      </w:r>
      <w:r w:rsidR="00F32B28" w:rsidRPr="00F32B28">
        <w:rPr>
          <w:rtl/>
        </w:rPr>
        <w:t>بالنسبة</w:t>
      </w:r>
      <w:r w:rsidR="00F32B28">
        <w:rPr>
          <w:rtl/>
        </w:rPr>
        <w:t xml:space="preserve"> </w:t>
      </w:r>
      <w:r w:rsidR="00F32B28" w:rsidRPr="00F32B28">
        <w:rPr>
          <w:rtl/>
        </w:rPr>
        <w:t>لقانون</w:t>
      </w:r>
      <w:r w:rsidR="00F32B28">
        <w:rPr>
          <w:rtl/>
        </w:rPr>
        <w:t xml:space="preserve"> </w:t>
      </w:r>
      <w:r w:rsidR="00F32B28" w:rsidRPr="00F32B28">
        <w:rPr>
          <w:rtl/>
        </w:rPr>
        <w:t>انتخاب</w:t>
      </w:r>
      <w:r w:rsidR="00F32B28">
        <w:rPr>
          <w:rtl/>
        </w:rPr>
        <w:t xml:space="preserve"> </w:t>
      </w:r>
      <w:r w:rsidR="00F32B28" w:rsidRPr="00F32B28">
        <w:rPr>
          <w:rtl/>
        </w:rPr>
        <w:t>مجالس</w:t>
      </w:r>
      <w:r w:rsidR="00F32B28">
        <w:rPr>
          <w:rtl/>
        </w:rPr>
        <w:t xml:space="preserve"> </w:t>
      </w:r>
      <w:r w:rsidR="00F32B28" w:rsidRPr="00F32B28">
        <w:rPr>
          <w:rtl/>
        </w:rPr>
        <w:t>الهيئات</w:t>
      </w:r>
      <w:r w:rsidR="00F32B28">
        <w:rPr>
          <w:rtl/>
        </w:rPr>
        <w:t xml:space="preserve"> </w:t>
      </w:r>
      <w:r w:rsidR="00F32B28" w:rsidRPr="00F32B28">
        <w:rPr>
          <w:rtl/>
        </w:rPr>
        <w:t>المحلية</w:t>
      </w:r>
      <w:r w:rsidR="00F32B28">
        <w:rPr>
          <w:rtl/>
        </w:rPr>
        <w:t xml:space="preserve"> </w:t>
      </w:r>
      <w:r w:rsidR="00F32B28" w:rsidRPr="00F32B28">
        <w:rPr>
          <w:rtl/>
        </w:rPr>
        <w:t>رقم</w:t>
      </w:r>
      <w:r w:rsidR="00F32B28">
        <w:rPr>
          <w:rtl/>
        </w:rPr>
        <w:t xml:space="preserve"> </w:t>
      </w:r>
      <w:r w:rsidR="00F32B28" w:rsidRPr="00F32B28">
        <w:rPr>
          <w:rtl/>
        </w:rPr>
        <w:t>(10)</w:t>
      </w:r>
      <w:r w:rsidR="00F32B28">
        <w:rPr>
          <w:rtl/>
        </w:rPr>
        <w:t xml:space="preserve"> </w:t>
      </w:r>
      <w:r w:rsidR="00F32B28" w:rsidRPr="00F32B28">
        <w:rPr>
          <w:rtl/>
        </w:rPr>
        <w:t>لسنة</w:t>
      </w:r>
      <w:r w:rsidR="00F32B28">
        <w:rPr>
          <w:rtl/>
        </w:rPr>
        <w:t xml:space="preserve"> </w:t>
      </w:r>
      <w:r w:rsidR="00F32B28" w:rsidRPr="00F32B28">
        <w:rPr>
          <w:rtl/>
        </w:rPr>
        <w:t>2005.</w:t>
      </w:r>
      <w:r w:rsidR="00F32B28">
        <w:rPr>
          <w:rtl/>
        </w:rPr>
        <w:t xml:space="preserve"> </w:t>
      </w:r>
      <w:r w:rsidR="00F32B28" w:rsidRPr="00F32B28">
        <w:rPr>
          <w:rtl/>
        </w:rPr>
        <w:t>كما</w:t>
      </w:r>
      <w:r w:rsidR="00F32B28">
        <w:rPr>
          <w:rtl/>
        </w:rPr>
        <w:t xml:space="preserve"> </w:t>
      </w:r>
      <w:r w:rsidR="00F32B28" w:rsidRPr="00F32B28">
        <w:rPr>
          <w:rtl/>
        </w:rPr>
        <w:t>كفلت</w:t>
      </w:r>
      <w:r w:rsidR="00F32B28">
        <w:rPr>
          <w:rtl/>
        </w:rPr>
        <w:t xml:space="preserve"> </w:t>
      </w:r>
      <w:r w:rsidR="00F32B28" w:rsidRPr="00F32B28">
        <w:rPr>
          <w:rtl/>
        </w:rPr>
        <w:t>هذه</w:t>
      </w:r>
      <w:r w:rsidR="00F32B28">
        <w:rPr>
          <w:rtl/>
        </w:rPr>
        <w:t xml:space="preserve"> </w:t>
      </w:r>
      <w:r w:rsidR="00F32B28" w:rsidRPr="00F32B28">
        <w:rPr>
          <w:rtl/>
        </w:rPr>
        <w:t>القوانين</w:t>
      </w:r>
      <w:r w:rsidR="00F32B28">
        <w:rPr>
          <w:rtl/>
        </w:rPr>
        <w:t xml:space="preserve"> </w:t>
      </w:r>
      <w:r w:rsidR="00F32B28" w:rsidRPr="00F32B28">
        <w:rPr>
          <w:rtl/>
        </w:rPr>
        <w:t>جميعها</w:t>
      </w:r>
      <w:r w:rsidR="00F32B28">
        <w:rPr>
          <w:rtl/>
        </w:rPr>
        <w:t xml:space="preserve"> </w:t>
      </w:r>
      <w:r w:rsidR="00F32B28" w:rsidRPr="00F32B28">
        <w:rPr>
          <w:rtl/>
        </w:rPr>
        <w:t>حق</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الترشح</w:t>
      </w:r>
      <w:r w:rsidR="00F32B28">
        <w:rPr>
          <w:rtl/>
        </w:rPr>
        <w:t xml:space="preserve"> </w:t>
      </w:r>
      <w:r w:rsidR="00F32B28" w:rsidRPr="00F32B28">
        <w:rPr>
          <w:rtl/>
        </w:rPr>
        <w:t>لمنصب</w:t>
      </w:r>
      <w:r w:rsidR="00F32B28">
        <w:rPr>
          <w:rtl/>
        </w:rPr>
        <w:t xml:space="preserve"> </w:t>
      </w:r>
      <w:r w:rsidR="00F32B28" w:rsidRPr="00F32B28">
        <w:rPr>
          <w:rtl/>
        </w:rPr>
        <w:t>الرئاسة</w:t>
      </w:r>
      <w:r w:rsidR="00F32B28">
        <w:rPr>
          <w:rtl/>
        </w:rPr>
        <w:t xml:space="preserve"> </w:t>
      </w:r>
      <w:r w:rsidR="00F32B28" w:rsidRPr="00F32B28">
        <w:rPr>
          <w:rtl/>
        </w:rPr>
        <w:t>وعضوية</w:t>
      </w:r>
      <w:r w:rsidR="00F32B28">
        <w:rPr>
          <w:rtl/>
        </w:rPr>
        <w:t xml:space="preserve"> </w:t>
      </w:r>
      <w:r w:rsidR="00F32B28" w:rsidRPr="00F32B28">
        <w:rPr>
          <w:rtl/>
        </w:rPr>
        <w:t>المجلس</w:t>
      </w:r>
      <w:r w:rsidR="00F32B28">
        <w:rPr>
          <w:rtl/>
        </w:rPr>
        <w:t xml:space="preserve"> </w:t>
      </w:r>
      <w:r w:rsidR="00F32B28" w:rsidRPr="00F32B28">
        <w:rPr>
          <w:rtl/>
        </w:rPr>
        <w:t>التشريعي</w:t>
      </w:r>
      <w:r w:rsidR="00F32B28">
        <w:rPr>
          <w:rtl/>
        </w:rPr>
        <w:t xml:space="preserve"> </w:t>
      </w:r>
      <w:r w:rsidR="00F32B28" w:rsidRPr="00F32B28">
        <w:rPr>
          <w:rtl/>
        </w:rPr>
        <w:t>الفلسطيني</w:t>
      </w:r>
      <w:r w:rsidR="00F32B28">
        <w:rPr>
          <w:rtl/>
        </w:rPr>
        <w:t xml:space="preserve"> </w:t>
      </w:r>
      <w:r w:rsidR="00F32B28" w:rsidRPr="00F32B28">
        <w:rPr>
          <w:rtl/>
        </w:rPr>
        <w:t>والمجالس</w:t>
      </w:r>
      <w:r w:rsidR="00F32B28">
        <w:rPr>
          <w:rtl/>
        </w:rPr>
        <w:t xml:space="preserve"> </w:t>
      </w:r>
      <w:r w:rsidR="00F32B28" w:rsidRPr="00F32B28">
        <w:rPr>
          <w:rtl/>
        </w:rPr>
        <w:t>المحلية</w:t>
      </w:r>
      <w:r w:rsidR="00F32B28">
        <w:rPr>
          <w:rtl/>
        </w:rPr>
        <w:t xml:space="preserve"> </w:t>
      </w:r>
      <w:r w:rsidR="00F32B28" w:rsidRPr="00F32B28">
        <w:rPr>
          <w:rtl/>
        </w:rPr>
        <w:t>بذات</w:t>
      </w:r>
      <w:r w:rsidR="00F32B28">
        <w:rPr>
          <w:rtl/>
        </w:rPr>
        <w:t xml:space="preserve"> </w:t>
      </w:r>
      <w:r w:rsidR="00F32B28" w:rsidRPr="00F32B28">
        <w:rPr>
          <w:rtl/>
        </w:rPr>
        <w:t>الشروط</w:t>
      </w:r>
      <w:r w:rsidR="00F32B28">
        <w:rPr>
          <w:rtl/>
        </w:rPr>
        <w:t xml:space="preserve"> </w:t>
      </w:r>
      <w:r w:rsidR="00F32B28" w:rsidRPr="00F32B28">
        <w:rPr>
          <w:rtl/>
        </w:rPr>
        <w:t>وعلى</w:t>
      </w:r>
      <w:r w:rsidR="00F32B28">
        <w:rPr>
          <w:rtl/>
        </w:rPr>
        <w:t xml:space="preserve"> </w:t>
      </w:r>
      <w:r w:rsidR="00F32B28" w:rsidRPr="00F32B28">
        <w:rPr>
          <w:rtl/>
        </w:rPr>
        <w:t>قدم</w:t>
      </w:r>
      <w:r w:rsidR="00F32B28">
        <w:rPr>
          <w:rtl/>
        </w:rPr>
        <w:t xml:space="preserve"> </w:t>
      </w:r>
      <w:r w:rsidR="00F32B28" w:rsidRPr="00F32B28">
        <w:rPr>
          <w:rtl/>
        </w:rPr>
        <w:t>المساواة</w:t>
      </w:r>
      <w:r w:rsidR="00F32B28">
        <w:rPr>
          <w:rtl/>
        </w:rPr>
        <w:t xml:space="preserve"> </w:t>
      </w:r>
      <w:r w:rsidR="00F32B28" w:rsidRPr="00F32B28">
        <w:rPr>
          <w:rtl/>
        </w:rPr>
        <w:t>مع</w:t>
      </w:r>
      <w:r w:rsidR="00F32B28">
        <w:rPr>
          <w:rtl/>
        </w:rPr>
        <w:t xml:space="preserve"> </w:t>
      </w:r>
      <w:r w:rsidR="00F32B28" w:rsidRPr="00F32B28">
        <w:rPr>
          <w:rtl/>
        </w:rPr>
        <w:t>الرجل.</w:t>
      </w:r>
      <w:r w:rsidR="00F32B28">
        <w:rPr>
          <w:rtl/>
        </w:rPr>
        <w:t xml:space="preserve"> </w:t>
      </w:r>
      <w:r w:rsidR="00F32B28" w:rsidRPr="00F32B28">
        <w:rPr>
          <w:rtl/>
        </w:rPr>
        <w:t>وقد</w:t>
      </w:r>
      <w:r w:rsidR="00F32B28">
        <w:rPr>
          <w:rtl/>
        </w:rPr>
        <w:t xml:space="preserve"> </w:t>
      </w:r>
      <w:r w:rsidR="00F32B28" w:rsidRPr="00F32B28">
        <w:rPr>
          <w:rtl/>
        </w:rPr>
        <w:t>اعتمدت</w:t>
      </w:r>
      <w:r w:rsidR="00F32B28">
        <w:rPr>
          <w:rtl/>
        </w:rPr>
        <w:t xml:space="preserve"> </w:t>
      </w:r>
      <w:r w:rsidR="00F32B28" w:rsidRPr="00F32B28">
        <w:rPr>
          <w:rtl/>
        </w:rPr>
        <w:t>هذه</w:t>
      </w:r>
      <w:r w:rsidR="00F32B28">
        <w:rPr>
          <w:rtl/>
        </w:rPr>
        <w:t xml:space="preserve"> </w:t>
      </w:r>
      <w:r w:rsidR="00F32B28" w:rsidRPr="00F32B28">
        <w:rPr>
          <w:rtl/>
        </w:rPr>
        <w:t>القوانين</w:t>
      </w:r>
      <w:r w:rsidR="00F32B28">
        <w:rPr>
          <w:rtl/>
        </w:rPr>
        <w:t xml:space="preserve"> </w:t>
      </w:r>
      <w:r w:rsidR="00F32B28" w:rsidRPr="00F32B28">
        <w:rPr>
          <w:rtl/>
        </w:rPr>
        <w:t>نظام</w:t>
      </w:r>
      <w:r w:rsidR="00F32B28">
        <w:rPr>
          <w:rtl/>
        </w:rPr>
        <w:t xml:space="preserve"> </w:t>
      </w:r>
      <w:r w:rsidR="001D253C">
        <w:rPr>
          <w:rFonts w:hint="cs"/>
          <w:rtl/>
        </w:rPr>
        <w:t>”</w:t>
      </w:r>
      <w:r w:rsidR="00F32B28" w:rsidRPr="00F32B28">
        <w:rPr>
          <w:rtl/>
        </w:rPr>
        <w:t>الكوتا</w:t>
      </w:r>
      <w:r w:rsidR="00F32B28">
        <w:rPr>
          <w:rtl/>
        </w:rPr>
        <w:t xml:space="preserve"> </w:t>
      </w:r>
      <w:r w:rsidR="00F32B28" w:rsidRPr="00F32B28">
        <w:rPr>
          <w:rtl/>
        </w:rPr>
        <w:t>النسائية</w:t>
      </w:r>
      <w:r w:rsidR="001D253C">
        <w:rPr>
          <w:rFonts w:hint="cs"/>
          <w:rtl/>
        </w:rPr>
        <w:t>“</w:t>
      </w:r>
      <w:r w:rsidR="00F32B28">
        <w:rPr>
          <w:rtl/>
        </w:rPr>
        <w:t xml:space="preserve"> </w:t>
      </w:r>
      <w:r w:rsidR="00F32B28" w:rsidRPr="00F32B28">
        <w:rPr>
          <w:rtl/>
        </w:rPr>
        <w:t>كتدبير</w:t>
      </w:r>
      <w:r w:rsidR="00F32B28">
        <w:rPr>
          <w:rtl/>
        </w:rPr>
        <w:t xml:space="preserve"> </w:t>
      </w:r>
      <w:r w:rsidR="00F32B28" w:rsidRPr="00F32B28">
        <w:rPr>
          <w:rtl/>
        </w:rPr>
        <w:t>إيجابي</w:t>
      </w:r>
      <w:r w:rsidR="00F32B28">
        <w:rPr>
          <w:rtl/>
        </w:rPr>
        <w:t xml:space="preserve"> </w:t>
      </w:r>
      <w:r w:rsidR="00F32B28" w:rsidRPr="00F32B28">
        <w:rPr>
          <w:rtl/>
        </w:rPr>
        <w:t>مؤقت</w:t>
      </w:r>
      <w:r w:rsidR="00F32B28">
        <w:rPr>
          <w:rtl/>
        </w:rPr>
        <w:t xml:space="preserve"> </w:t>
      </w:r>
      <w:r w:rsidR="00F32B28" w:rsidRPr="00F32B28">
        <w:rPr>
          <w:rtl/>
        </w:rPr>
        <w:t>لضمان</w:t>
      </w:r>
      <w:r w:rsidR="00F32B28">
        <w:rPr>
          <w:rtl/>
        </w:rPr>
        <w:t xml:space="preserve"> </w:t>
      </w:r>
      <w:r w:rsidR="00F32B28" w:rsidRPr="00F32B28">
        <w:rPr>
          <w:rtl/>
        </w:rPr>
        <w:t>وصول</w:t>
      </w:r>
      <w:r w:rsidR="00F32B28">
        <w:rPr>
          <w:rtl/>
        </w:rPr>
        <w:t xml:space="preserve"> </w:t>
      </w:r>
      <w:r w:rsidR="00F32B28" w:rsidRPr="00F32B28">
        <w:rPr>
          <w:rtl/>
        </w:rPr>
        <w:t>المرأة</w:t>
      </w:r>
      <w:r w:rsidR="00F32B28">
        <w:rPr>
          <w:rtl/>
        </w:rPr>
        <w:t xml:space="preserve"> </w:t>
      </w:r>
      <w:r w:rsidR="00F32B28" w:rsidRPr="00F32B28">
        <w:rPr>
          <w:rtl/>
        </w:rPr>
        <w:t>إلى</w:t>
      </w:r>
      <w:r w:rsidR="00F32B28">
        <w:rPr>
          <w:rtl/>
        </w:rPr>
        <w:t xml:space="preserve"> </w:t>
      </w:r>
      <w:r w:rsidR="00F32B28" w:rsidRPr="00F32B28">
        <w:rPr>
          <w:rtl/>
        </w:rPr>
        <w:t>مراكز</w:t>
      </w:r>
      <w:r w:rsidR="00F32B28">
        <w:rPr>
          <w:rtl/>
        </w:rPr>
        <w:t xml:space="preserve"> </w:t>
      </w:r>
      <w:r w:rsidR="00F32B28" w:rsidRPr="00F32B28">
        <w:rPr>
          <w:rtl/>
        </w:rPr>
        <w:t>صنع</w:t>
      </w:r>
      <w:r w:rsidR="00F32B28">
        <w:rPr>
          <w:rtl/>
        </w:rPr>
        <w:t xml:space="preserve"> </w:t>
      </w:r>
      <w:r w:rsidR="00F32B28" w:rsidRPr="00F32B28">
        <w:rPr>
          <w:rtl/>
        </w:rPr>
        <w:t>القرار</w:t>
      </w:r>
      <w:r w:rsidR="00F32B28">
        <w:rPr>
          <w:rtl/>
        </w:rPr>
        <w:t xml:space="preserve"> </w:t>
      </w:r>
      <w:r w:rsidR="00F32B28" w:rsidRPr="00F32B28">
        <w:rPr>
          <w:rtl/>
        </w:rPr>
        <w:t>على</w:t>
      </w:r>
      <w:r w:rsidR="00F32B28">
        <w:rPr>
          <w:rtl/>
        </w:rPr>
        <w:t xml:space="preserve"> </w:t>
      </w:r>
      <w:r w:rsidR="00F32B28" w:rsidRPr="00F32B28">
        <w:rPr>
          <w:rtl/>
        </w:rPr>
        <w:t>الصعيدين</w:t>
      </w:r>
      <w:r w:rsidR="00F32B28">
        <w:rPr>
          <w:rtl/>
        </w:rPr>
        <w:t xml:space="preserve"> </w:t>
      </w:r>
      <w:r w:rsidR="00F32B28" w:rsidRPr="00F32B28">
        <w:rPr>
          <w:rtl/>
        </w:rPr>
        <w:t>الوطني</w:t>
      </w:r>
      <w:r w:rsidR="00F32B28">
        <w:rPr>
          <w:rtl/>
        </w:rPr>
        <w:t xml:space="preserve"> </w:t>
      </w:r>
      <w:r w:rsidR="00F32B28" w:rsidRPr="00F32B28">
        <w:rPr>
          <w:rtl/>
        </w:rPr>
        <w:t>والمحلي؛</w:t>
      </w:r>
      <w:r w:rsidR="00F32B28">
        <w:rPr>
          <w:rtl/>
        </w:rPr>
        <w:t xml:space="preserve"> </w:t>
      </w:r>
      <w:r w:rsidR="00F32B28" w:rsidRPr="00F32B28">
        <w:rPr>
          <w:rtl/>
        </w:rPr>
        <w:t>وذلك</w:t>
      </w:r>
      <w:r w:rsidR="00F32B28">
        <w:rPr>
          <w:rtl/>
        </w:rPr>
        <w:t xml:space="preserve"> </w:t>
      </w:r>
      <w:r w:rsidR="00F32B28" w:rsidRPr="00F32B28">
        <w:rPr>
          <w:rtl/>
        </w:rPr>
        <w:t>على</w:t>
      </w:r>
      <w:r w:rsidR="00F32B28">
        <w:rPr>
          <w:rtl/>
        </w:rPr>
        <w:t xml:space="preserve"> </w:t>
      </w:r>
      <w:r w:rsidR="00F32B28" w:rsidRPr="00F32B28">
        <w:rPr>
          <w:rtl/>
        </w:rPr>
        <w:t>النحو</w:t>
      </w:r>
      <w:r w:rsidR="00F32B28">
        <w:rPr>
          <w:rtl/>
        </w:rPr>
        <w:t xml:space="preserve"> </w:t>
      </w:r>
      <w:r w:rsidR="00F32B28" w:rsidRPr="00F32B28">
        <w:rPr>
          <w:rtl/>
        </w:rPr>
        <w:t>المبين</w:t>
      </w:r>
      <w:r w:rsidR="00F32B28">
        <w:rPr>
          <w:rtl/>
        </w:rPr>
        <w:t xml:space="preserve"> </w:t>
      </w:r>
      <w:r w:rsidR="00F32B28" w:rsidRPr="00F32B28">
        <w:rPr>
          <w:rtl/>
        </w:rPr>
        <w:t>في</w:t>
      </w:r>
      <w:r w:rsidR="00F32B28">
        <w:rPr>
          <w:rtl/>
        </w:rPr>
        <w:t xml:space="preserve"> </w:t>
      </w:r>
      <w:r w:rsidR="00F32B28" w:rsidRPr="00F32B28">
        <w:rPr>
          <w:rtl/>
        </w:rPr>
        <w:t>المادة</w:t>
      </w:r>
      <w:r w:rsidR="00F32B28">
        <w:rPr>
          <w:rtl/>
        </w:rPr>
        <w:t xml:space="preserve"> </w:t>
      </w:r>
      <w:r w:rsidR="00F32B28" w:rsidRPr="00F32B28">
        <w:rPr>
          <w:rtl/>
        </w:rPr>
        <w:t>(4)</w:t>
      </w:r>
      <w:r w:rsidR="00F32B28">
        <w:rPr>
          <w:rtl/>
        </w:rPr>
        <w:t xml:space="preserve"> </w:t>
      </w:r>
      <w:r w:rsidR="00F32B28" w:rsidRPr="00F32B28">
        <w:rPr>
          <w:rtl/>
        </w:rPr>
        <w:t>من</w:t>
      </w:r>
      <w:r w:rsidR="00F32B28">
        <w:rPr>
          <w:rtl/>
        </w:rPr>
        <w:t xml:space="preserve"> </w:t>
      </w:r>
      <w:r w:rsidR="00F32B28" w:rsidRPr="00F32B28">
        <w:rPr>
          <w:rtl/>
        </w:rPr>
        <w:t>هذا</w:t>
      </w:r>
      <w:r w:rsidR="008974F6">
        <w:rPr>
          <w:rFonts w:hint="cs"/>
          <w:rtl/>
        </w:rPr>
        <w:t> </w:t>
      </w:r>
      <w:r w:rsidR="00F32B28" w:rsidRPr="00F32B28">
        <w:rPr>
          <w:rtl/>
        </w:rPr>
        <w:t>التقرير.</w:t>
      </w:r>
    </w:p>
    <w:p w:rsidR="00F32B28" w:rsidRPr="00F32B28" w:rsidRDefault="008A31F2" w:rsidP="008A31F2">
      <w:pPr>
        <w:pStyle w:val="SingleTxt"/>
        <w:rPr>
          <w:rtl/>
          <w:lang w:bidi="ar-SY"/>
        </w:rPr>
      </w:pPr>
      <w:r>
        <w:rPr>
          <w:rFonts w:hint="cs"/>
          <w:rtl/>
        </w:rPr>
        <w:t xml:space="preserve">111 - </w:t>
      </w:r>
      <w:r w:rsidR="00F32B28" w:rsidRPr="00F32B28">
        <w:rPr>
          <w:rtl/>
        </w:rPr>
        <w:t>كما</w:t>
      </w:r>
      <w:r w:rsidR="00F32B28">
        <w:rPr>
          <w:rtl/>
        </w:rPr>
        <w:t xml:space="preserve"> </w:t>
      </w:r>
      <w:r w:rsidR="00F32B28" w:rsidRPr="00F32B28">
        <w:rPr>
          <w:rtl/>
        </w:rPr>
        <w:t>يمنح</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بشأن</w:t>
      </w:r>
      <w:r w:rsidR="00F32B28">
        <w:rPr>
          <w:rtl/>
        </w:rPr>
        <w:t xml:space="preserve"> </w:t>
      </w:r>
      <w:r w:rsidR="00F32B28" w:rsidRPr="00F32B28">
        <w:rPr>
          <w:rtl/>
        </w:rPr>
        <w:t>الانتخابات</w:t>
      </w:r>
      <w:r w:rsidR="00F32B28">
        <w:rPr>
          <w:rtl/>
        </w:rPr>
        <w:t xml:space="preserve"> </w:t>
      </w:r>
      <w:r w:rsidR="00F32B28" w:rsidRPr="00F32B28">
        <w:rPr>
          <w:rtl/>
        </w:rPr>
        <w:t>العامة</w:t>
      </w:r>
      <w:r w:rsidR="00F32B28">
        <w:rPr>
          <w:rtl/>
        </w:rPr>
        <w:t xml:space="preserve"> </w:t>
      </w:r>
      <w:r w:rsidR="00F32B28" w:rsidRPr="00F32B28">
        <w:rPr>
          <w:rtl/>
        </w:rPr>
        <w:t>الأجانب</w:t>
      </w:r>
      <w:r w:rsidR="00F32B28">
        <w:rPr>
          <w:rtl/>
        </w:rPr>
        <w:t xml:space="preserve"> </w:t>
      </w:r>
      <w:r w:rsidR="00F32B28" w:rsidRPr="00F32B28">
        <w:rPr>
          <w:rtl/>
        </w:rPr>
        <w:t>(ما</w:t>
      </w:r>
      <w:r w:rsidR="00F32B28">
        <w:rPr>
          <w:rtl/>
        </w:rPr>
        <w:t xml:space="preserve"> </w:t>
      </w:r>
      <w:r w:rsidR="00F32B28" w:rsidRPr="00F32B28">
        <w:rPr>
          <w:rtl/>
        </w:rPr>
        <w:t>عدا</w:t>
      </w:r>
      <w:r w:rsidR="00F32B28">
        <w:rPr>
          <w:rtl/>
        </w:rPr>
        <w:t xml:space="preserve"> </w:t>
      </w:r>
      <w:r w:rsidR="00F32B28" w:rsidRPr="00F32B28">
        <w:rPr>
          <w:rtl/>
        </w:rPr>
        <w:t>حملة</w:t>
      </w:r>
      <w:r w:rsidR="00F32B28">
        <w:rPr>
          <w:rtl/>
        </w:rPr>
        <w:t xml:space="preserve"> </w:t>
      </w:r>
      <w:r w:rsidR="00F32B28" w:rsidRPr="00F32B28">
        <w:rPr>
          <w:rtl/>
        </w:rPr>
        <w:t>الجنسية</w:t>
      </w:r>
      <w:r w:rsidR="00F32B28">
        <w:rPr>
          <w:rtl/>
        </w:rPr>
        <w:t xml:space="preserve"> </w:t>
      </w:r>
      <w:r w:rsidR="00F32B28" w:rsidRPr="00F32B28">
        <w:rPr>
          <w:rtl/>
        </w:rPr>
        <w:t>الإسرائيلية)</w:t>
      </w:r>
      <w:r w:rsidR="00F32B28">
        <w:rPr>
          <w:rtl/>
        </w:rPr>
        <w:t xml:space="preserve"> </w:t>
      </w:r>
      <w:r w:rsidR="00F32B28" w:rsidRPr="00F32B28">
        <w:rPr>
          <w:rtl/>
        </w:rPr>
        <w:t>المتزوجون</w:t>
      </w:r>
      <w:r w:rsidR="00F32B28">
        <w:rPr>
          <w:rtl/>
        </w:rPr>
        <w:t xml:space="preserve"> </w:t>
      </w:r>
      <w:r w:rsidR="00F32B28" w:rsidRPr="00F32B28">
        <w:rPr>
          <w:rtl/>
        </w:rPr>
        <w:t>من</w:t>
      </w:r>
      <w:r w:rsidR="00F32B28">
        <w:rPr>
          <w:rtl/>
        </w:rPr>
        <w:t xml:space="preserve"> </w:t>
      </w:r>
      <w:r w:rsidR="00F32B28" w:rsidRPr="00F32B28">
        <w:rPr>
          <w:rtl/>
        </w:rPr>
        <w:t>فلسطينيين،</w:t>
      </w:r>
      <w:r w:rsidR="00F32B28">
        <w:rPr>
          <w:rtl/>
        </w:rPr>
        <w:t xml:space="preserve"> </w:t>
      </w:r>
      <w:r w:rsidR="00F32B28" w:rsidRPr="00F32B28">
        <w:rPr>
          <w:rtl/>
        </w:rPr>
        <w:t>سواء</w:t>
      </w:r>
      <w:r w:rsidR="00E12813">
        <w:rPr>
          <w:rFonts w:hint="cs"/>
          <w:rtl/>
        </w:rPr>
        <w:t xml:space="preserve"> </w:t>
      </w:r>
      <w:r w:rsidR="00F32B28" w:rsidRPr="00F32B28">
        <w:rPr>
          <w:rtl/>
        </w:rPr>
        <w:t>كانوا</w:t>
      </w:r>
      <w:r w:rsidR="00F32B28">
        <w:rPr>
          <w:rtl/>
        </w:rPr>
        <w:t xml:space="preserve"> </w:t>
      </w:r>
      <w:r w:rsidR="00F32B28" w:rsidRPr="00F32B28">
        <w:rPr>
          <w:rtl/>
        </w:rPr>
        <w:t>أزواج</w:t>
      </w:r>
      <w:r w:rsidR="00F32B28">
        <w:rPr>
          <w:rtl/>
        </w:rPr>
        <w:t xml:space="preserve"> </w:t>
      </w:r>
      <w:r w:rsidR="00F32B28" w:rsidRPr="00F32B28">
        <w:rPr>
          <w:rtl/>
        </w:rPr>
        <w:t>فلسطينيات</w:t>
      </w:r>
      <w:r w:rsidR="00F32B28">
        <w:rPr>
          <w:rtl/>
        </w:rPr>
        <w:t xml:space="preserve"> </w:t>
      </w:r>
      <w:r w:rsidR="00F32B28" w:rsidRPr="00F32B28">
        <w:rPr>
          <w:rtl/>
        </w:rPr>
        <w:t>أو</w:t>
      </w:r>
      <w:r w:rsidR="00F32B28">
        <w:rPr>
          <w:rtl/>
        </w:rPr>
        <w:t xml:space="preserve"> </w:t>
      </w:r>
      <w:r w:rsidR="00F32B28" w:rsidRPr="00F32B28">
        <w:rPr>
          <w:rtl/>
        </w:rPr>
        <w:t>زوجات</w:t>
      </w:r>
      <w:r w:rsidR="001D253C">
        <w:rPr>
          <w:rFonts w:hint="cs"/>
          <w:rtl/>
        </w:rPr>
        <w:t xml:space="preserve"> </w:t>
      </w:r>
      <w:r w:rsidR="00F32B28" w:rsidRPr="00F32B28">
        <w:rPr>
          <w:rtl/>
        </w:rPr>
        <w:t>فلسطينيين،</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ممارسة</w:t>
      </w:r>
      <w:r w:rsidR="00F32B28">
        <w:rPr>
          <w:rtl/>
        </w:rPr>
        <w:t xml:space="preserve"> </w:t>
      </w:r>
      <w:r w:rsidR="00F32B28" w:rsidRPr="00F32B28">
        <w:rPr>
          <w:rtl/>
        </w:rPr>
        <w:t>حق</w:t>
      </w:r>
      <w:r w:rsidR="00F32B28">
        <w:rPr>
          <w:rtl/>
        </w:rPr>
        <w:t xml:space="preserve"> </w:t>
      </w:r>
      <w:r w:rsidR="00F32B28" w:rsidRPr="00F32B28">
        <w:rPr>
          <w:rtl/>
        </w:rPr>
        <w:t>الانتخاب</w:t>
      </w:r>
      <w:r w:rsidR="00F32B28">
        <w:rPr>
          <w:rtl/>
        </w:rPr>
        <w:t xml:space="preserve"> </w:t>
      </w:r>
      <w:r w:rsidR="00F32B28" w:rsidRPr="00F32B28">
        <w:rPr>
          <w:rtl/>
        </w:rPr>
        <w:t>في</w:t>
      </w:r>
      <w:r w:rsidR="00F32B28">
        <w:rPr>
          <w:rtl/>
        </w:rPr>
        <w:t xml:space="preserve"> </w:t>
      </w:r>
      <w:r w:rsidR="00F32B28" w:rsidRPr="00F32B28">
        <w:rPr>
          <w:rtl/>
        </w:rPr>
        <w:t>الانتخابات</w:t>
      </w:r>
      <w:r w:rsidR="00F32B28">
        <w:rPr>
          <w:rtl/>
        </w:rPr>
        <w:t xml:space="preserve"> </w:t>
      </w:r>
      <w:r w:rsidR="00F32B28" w:rsidRPr="00F32B28">
        <w:rPr>
          <w:rtl/>
        </w:rPr>
        <w:t>العامة</w:t>
      </w:r>
      <w:r w:rsidR="00F32B28">
        <w:rPr>
          <w:rtl/>
        </w:rPr>
        <w:t xml:space="preserve"> </w:t>
      </w:r>
      <w:r w:rsidR="00F32B28" w:rsidRPr="00F32B28">
        <w:rPr>
          <w:rtl/>
        </w:rPr>
        <w:t>حتى</w:t>
      </w:r>
      <w:r w:rsidR="00F32B28">
        <w:rPr>
          <w:rtl/>
        </w:rPr>
        <w:t xml:space="preserve"> </w:t>
      </w:r>
      <w:r w:rsidR="00F32B28" w:rsidRPr="00F32B28">
        <w:rPr>
          <w:rtl/>
        </w:rPr>
        <w:t>وإن</w:t>
      </w:r>
      <w:r w:rsidR="00F32B28">
        <w:rPr>
          <w:rtl/>
        </w:rPr>
        <w:t xml:space="preserve"> </w:t>
      </w:r>
      <w:r w:rsidR="00F32B28" w:rsidRPr="00F32B28">
        <w:rPr>
          <w:rtl/>
        </w:rPr>
        <w:t>لم</w:t>
      </w:r>
      <w:r w:rsidR="00F32B28">
        <w:rPr>
          <w:rtl/>
        </w:rPr>
        <w:t xml:space="preserve"> </w:t>
      </w:r>
      <w:r w:rsidR="00F32B28" w:rsidRPr="00F32B28">
        <w:rPr>
          <w:rtl/>
        </w:rPr>
        <w:t>يكن</w:t>
      </w:r>
      <w:r w:rsidR="00F32B28">
        <w:rPr>
          <w:rtl/>
        </w:rPr>
        <w:t xml:space="preserve"> </w:t>
      </w:r>
      <w:r w:rsidR="00F32B28" w:rsidRPr="00F32B28">
        <w:rPr>
          <w:rtl/>
        </w:rPr>
        <w:t>هؤلاء</w:t>
      </w:r>
      <w:r w:rsidR="00F32B28">
        <w:rPr>
          <w:rtl/>
        </w:rPr>
        <w:t xml:space="preserve"> </w:t>
      </w:r>
      <w:r w:rsidR="00F32B28" w:rsidRPr="00F32B28">
        <w:rPr>
          <w:rtl/>
        </w:rPr>
        <w:t>حائزين</w:t>
      </w:r>
      <w:r w:rsidR="00F32B28">
        <w:rPr>
          <w:rtl/>
        </w:rPr>
        <w:t xml:space="preserve"> </w:t>
      </w:r>
      <w:r w:rsidR="00F32B28" w:rsidRPr="00F32B28">
        <w:rPr>
          <w:rtl/>
        </w:rPr>
        <w:t>على</w:t>
      </w:r>
      <w:r w:rsidR="00F32B28">
        <w:rPr>
          <w:rtl/>
        </w:rPr>
        <w:t xml:space="preserve"> </w:t>
      </w:r>
      <w:r w:rsidR="00F32B28" w:rsidRPr="00F32B28">
        <w:rPr>
          <w:rtl/>
        </w:rPr>
        <w:t>الهوية</w:t>
      </w:r>
      <w:r w:rsidR="00F32B28">
        <w:rPr>
          <w:rtl/>
        </w:rPr>
        <w:t xml:space="preserve"> </w:t>
      </w:r>
      <w:r w:rsidR="00F32B28" w:rsidRPr="00F32B28">
        <w:rPr>
          <w:rtl/>
        </w:rPr>
        <w:t>الفلسطينية</w:t>
      </w:r>
      <w:r w:rsidR="00F32B28">
        <w:rPr>
          <w:rtl/>
        </w:rPr>
        <w:t xml:space="preserve"> </w:t>
      </w:r>
      <w:r w:rsidR="00F32B28" w:rsidRPr="00F32B28">
        <w:rPr>
          <w:rtl/>
        </w:rPr>
        <w:t>وقت</w:t>
      </w:r>
      <w:r w:rsidR="00F32B28">
        <w:rPr>
          <w:rtl/>
        </w:rPr>
        <w:t xml:space="preserve"> </w:t>
      </w:r>
      <w:r w:rsidR="00F32B28" w:rsidRPr="00F32B28">
        <w:rPr>
          <w:rtl/>
        </w:rPr>
        <w:t>التسجيل</w:t>
      </w:r>
      <w:r w:rsidR="00F32B28">
        <w:rPr>
          <w:rtl/>
        </w:rPr>
        <w:t xml:space="preserve"> </w:t>
      </w:r>
      <w:r w:rsidR="00F32B28" w:rsidRPr="00F32B28">
        <w:rPr>
          <w:rtl/>
        </w:rPr>
        <w:t>في</w:t>
      </w:r>
      <w:r w:rsidR="00F32B28">
        <w:rPr>
          <w:rtl/>
        </w:rPr>
        <w:t xml:space="preserve"> </w:t>
      </w:r>
      <w:r w:rsidR="00F32B28" w:rsidRPr="00F32B28">
        <w:rPr>
          <w:rtl/>
        </w:rPr>
        <w:t>سجل</w:t>
      </w:r>
      <w:r w:rsidR="00F32B28">
        <w:rPr>
          <w:rtl/>
        </w:rPr>
        <w:t xml:space="preserve"> </w:t>
      </w:r>
      <w:r w:rsidR="00F32B28" w:rsidRPr="00F32B28">
        <w:rPr>
          <w:rtl/>
        </w:rPr>
        <w:t>الناخبين</w:t>
      </w:r>
      <w:r w:rsidR="00F32B28">
        <w:rPr>
          <w:rtl/>
        </w:rPr>
        <w:t xml:space="preserve"> </w:t>
      </w:r>
      <w:r w:rsidR="00F32B28" w:rsidRPr="00F32B28">
        <w:rPr>
          <w:rtl/>
        </w:rPr>
        <w:t>أو</w:t>
      </w:r>
      <w:r w:rsidR="00F32B28">
        <w:rPr>
          <w:rtl/>
        </w:rPr>
        <w:t xml:space="preserve"> </w:t>
      </w:r>
      <w:r w:rsidR="00F32B28" w:rsidRPr="00F32B28">
        <w:rPr>
          <w:rtl/>
        </w:rPr>
        <w:t>الاقتراع.</w:t>
      </w:r>
      <w:r w:rsidR="00F32B28">
        <w:rPr>
          <w:rtl/>
        </w:rPr>
        <w:t xml:space="preserve"> </w:t>
      </w:r>
    </w:p>
    <w:p w:rsidR="00F32B28" w:rsidRPr="00F32B28" w:rsidRDefault="008A31F2" w:rsidP="008A31F2">
      <w:pPr>
        <w:pStyle w:val="SingleTxt"/>
        <w:rPr>
          <w:rtl/>
        </w:rPr>
      </w:pPr>
      <w:r>
        <w:rPr>
          <w:rFonts w:hint="cs"/>
          <w:rtl/>
          <w:lang w:bidi="ar-LB"/>
        </w:rPr>
        <w:t xml:space="preserve">112 - </w:t>
      </w:r>
      <w:r w:rsidR="00F32B28" w:rsidRPr="00F32B28">
        <w:rPr>
          <w:rtl/>
          <w:lang w:bidi="ar-LB"/>
        </w:rPr>
        <w:t>وفي</w:t>
      </w:r>
      <w:r w:rsidR="00F32B28">
        <w:rPr>
          <w:rtl/>
          <w:lang w:bidi="ar-LB"/>
        </w:rPr>
        <w:t xml:space="preserve"> </w:t>
      </w:r>
      <w:r w:rsidR="00F32B28" w:rsidRPr="00F32B28">
        <w:rPr>
          <w:rtl/>
          <w:lang w:bidi="ar-LB"/>
        </w:rPr>
        <w:t>منظمة</w:t>
      </w:r>
      <w:r w:rsidR="00F32B28">
        <w:rPr>
          <w:rtl/>
          <w:lang w:bidi="ar-LB"/>
        </w:rPr>
        <w:t xml:space="preserve"> </w:t>
      </w:r>
      <w:r w:rsidR="00F32B28" w:rsidRPr="00F32B28">
        <w:rPr>
          <w:rtl/>
          <w:lang w:bidi="ar-LB"/>
        </w:rPr>
        <w:t>التحرير</w:t>
      </w:r>
      <w:r w:rsidR="00F32B28">
        <w:rPr>
          <w:rtl/>
          <w:lang w:bidi="ar-LB"/>
        </w:rPr>
        <w:t xml:space="preserve"> </w:t>
      </w:r>
      <w:r w:rsidR="00F32B28" w:rsidRPr="00F32B28">
        <w:rPr>
          <w:rtl/>
          <w:lang w:bidi="ar-LB"/>
        </w:rPr>
        <w:t>الفلسطينية</w:t>
      </w:r>
      <w:r w:rsidR="00F32B28" w:rsidRPr="00F32B28">
        <w:rPr>
          <w:rtl/>
        </w:rPr>
        <w:t>؛</w:t>
      </w:r>
      <w:r w:rsidR="00F32B28">
        <w:rPr>
          <w:rtl/>
        </w:rPr>
        <w:t xml:space="preserve"> </w:t>
      </w:r>
      <w:r w:rsidR="00F32B28" w:rsidRPr="00F32B28">
        <w:rPr>
          <w:rtl/>
        </w:rPr>
        <w:t>الممثل</w:t>
      </w:r>
      <w:r w:rsidR="00F32B28">
        <w:rPr>
          <w:rtl/>
        </w:rPr>
        <w:t xml:space="preserve"> </w:t>
      </w:r>
      <w:r w:rsidR="00F32B28" w:rsidRPr="00F32B28">
        <w:rPr>
          <w:rtl/>
        </w:rPr>
        <w:t>الشرعي</w:t>
      </w:r>
      <w:r w:rsidR="00F32B28">
        <w:rPr>
          <w:rtl/>
        </w:rPr>
        <w:t xml:space="preserve"> </w:t>
      </w:r>
      <w:r w:rsidR="00F32B28" w:rsidRPr="00F32B28">
        <w:rPr>
          <w:rtl/>
        </w:rPr>
        <w:t>والوحيد</w:t>
      </w:r>
      <w:r w:rsidR="00F32B28">
        <w:rPr>
          <w:rtl/>
        </w:rPr>
        <w:t xml:space="preserve"> </w:t>
      </w:r>
      <w:r w:rsidR="00F32B28" w:rsidRPr="00F32B28">
        <w:rPr>
          <w:rtl/>
        </w:rPr>
        <w:t>للشعب</w:t>
      </w:r>
      <w:r w:rsidR="00F32B28">
        <w:rPr>
          <w:rtl/>
        </w:rPr>
        <w:t xml:space="preserve"> </w:t>
      </w:r>
      <w:r w:rsidR="00F32B28" w:rsidRPr="00F32B28">
        <w:rPr>
          <w:rtl/>
        </w:rPr>
        <w:t>الفلسطيني،</w:t>
      </w:r>
      <w:r w:rsidR="00F32B28">
        <w:rPr>
          <w:rtl/>
        </w:rPr>
        <w:t xml:space="preserve"> </w:t>
      </w:r>
      <w:r w:rsidR="00F32B28" w:rsidRPr="00F32B28">
        <w:rPr>
          <w:rtl/>
        </w:rPr>
        <w:t>تبلغ</w:t>
      </w:r>
      <w:r w:rsidR="00F32B28">
        <w:rPr>
          <w:rtl/>
        </w:rPr>
        <w:t xml:space="preserve"> </w:t>
      </w:r>
      <w:r w:rsidR="00F32B28" w:rsidRPr="00F32B28">
        <w:rPr>
          <w:rtl/>
        </w:rPr>
        <w:t>نسبة</w:t>
      </w:r>
      <w:r w:rsidR="00F32B28">
        <w:rPr>
          <w:rtl/>
        </w:rPr>
        <w:t xml:space="preserve"> </w:t>
      </w:r>
      <w:r w:rsidR="00F32B28" w:rsidRPr="00F32B28">
        <w:rPr>
          <w:rtl/>
        </w:rPr>
        <w:t>مشاركة</w:t>
      </w:r>
      <w:r w:rsidR="00F32B28">
        <w:rPr>
          <w:rtl/>
        </w:rPr>
        <w:t xml:space="preserve"> </w:t>
      </w:r>
      <w:r w:rsidR="00F32B28" w:rsidRPr="00F32B28">
        <w:rPr>
          <w:rtl/>
        </w:rPr>
        <w:t>المرأة</w:t>
      </w:r>
      <w:r w:rsidR="00F32B28">
        <w:rPr>
          <w:rtl/>
        </w:rPr>
        <w:t xml:space="preserve"> </w:t>
      </w:r>
      <w:r w:rsidR="00F32B28" w:rsidRPr="00F32B28">
        <w:rPr>
          <w:rtl/>
        </w:rPr>
        <w:t>حوالي</w:t>
      </w:r>
      <w:r w:rsidR="00F32B28">
        <w:rPr>
          <w:rtl/>
        </w:rPr>
        <w:t xml:space="preserve"> </w:t>
      </w:r>
      <w:r w:rsidR="00F32B28" w:rsidRPr="00F32B28">
        <w:rPr>
          <w:rtl/>
        </w:rPr>
        <w:t>8</w:t>
      </w:r>
      <w:r w:rsidR="004C698D">
        <w:rPr>
          <w:rFonts w:hint="cs"/>
          <w:rtl/>
        </w:rPr>
        <w:t xml:space="preserve"> </w:t>
      </w:r>
      <w:r w:rsidR="00600C43">
        <w:rPr>
          <w:rtl/>
        </w:rPr>
        <w:t>في المائة</w:t>
      </w:r>
      <w:r w:rsidR="00F32B28">
        <w:rPr>
          <w:rtl/>
        </w:rPr>
        <w:t xml:space="preserve"> </w:t>
      </w:r>
      <w:r w:rsidR="00F32B28" w:rsidRPr="00F32B28">
        <w:rPr>
          <w:rtl/>
        </w:rPr>
        <w:t>في</w:t>
      </w:r>
      <w:r w:rsidR="00F32B28">
        <w:rPr>
          <w:rtl/>
        </w:rPr>
        <w:t xml:space="preserve"> </w:t>
      </w:r>
      <w:r w:rsidR="00F32B28" w:rsidRPr="00F32B28">
        <w:rPr>
          <w:rtl/>
        </w:rPr>
        <w:t>عضوية</w:t>
      </w:r>
      <w:r w:rsidR="00F32B28">
        <w:rPr>
          <w:rtl/>
        </w:rPr>
        <w:t xml:space="preserve"> </w:t>
      </w:r>
      <w:r w:rsidR="00F32B28" w:rsidRPr="00F32B28">
        <w:rPr>
          <w:rtl/>
        </w:rPr>
        <w:t>المجلس</w:t>
      </w:r>
      <w:r w:rsidR="00F32B28">
        <w:rPr>
          <w:rtl/>
        </w:rPr>
        <w:t xml:space="preserve"> </w:t>
      </w:r>
      <w:r w:rsidR="00F32B28" w:rsidRPr="00F32B28">
        <w:rPr>
          <w:rtl/>
        </w:rPr>
        <w:t>الوطني</w:t>
      </w:r>
      <w:r w:rsidR="00F32B28">
        <w:rPr>
          <w:rtl/>
        </w:rPr>
        <w:t xml:space="preserve"> </w:t>
      </w:r>
      <w:r w:rsidR="00F32B28" w:rsidRPr="00F32B28">
        <w:rPr>
          <w:rtl/>
        </w:rPr>
        <w:t>الفلسطيني،</w:t>
      </w:r>
      <w:r w:rsidR="00F32B28">
        <w:rPr>
          <w:rtl/>
        </w:rPr>
        <w:t xml:space="preserve"> </w:t>
      </w:r>
      <w:r w:rsidR="00F32B28" w:rsidRPr="00F32B28">
        <w:rPr>
          <w:rtl/>
        </w:rPr>
        <w:t>وهو</w:t>
      </w:r>
      <w:r w:rsidR="00F32B28">
        <w:rPr>
          <w:rtl/>
        </w:rPr>
        <w:t xml:space="preserve"> </w:t>
      </w:r>
      <w:r w:rsidR="00F32B28" w:rsidRPr="00F32B28">
        <w:rPr>
          <w:rtl/>
        </w:rPr>
        <w:t>أعلى</w:t>
      </w:r>
      <w:r w:rsidR="00F32B28">
        <w:rPr>
          <w:rtl/>
        </w:rPr>
        <w:t xml:space="preserve"> </w:t>
      </w:r>
      <w:r w:rsidR="00F32B28" w:rsidRPr="00F32B28">
        <w:rPr>
          <w:rtl/>
        </w:rPr>
        <w:t>هيئة</w:t>
      </w:r>
      <w:r w:rsidR="00F32B28">
        <w:rPr>
          <w:rtl/>
        </w:rPr>
        <w:t xml:space="preserve"> </w:t>
      </w:r>
      <w:r w:rsidR="00F32B28" w:rsidRPr="00F32B28">
        <w:rPr>
          <w:rtl/>
        </w:rPr>
        <w:t>في</w:t>
      </w:r>
      <w:r w:rsidR="00F32B28">
        <w:rPr>
          <w:rtl/>
        </w:rPr>
        <w:t xml:space="preserve"> </w:t>
      </w:r>
      <w:r w:rsidR="00F32B28" w:rsidRPr="00F32B28">
        <w:rPr>
          <w:rtl/>
        </w:rPr>
        <w:t>المنظمة</w:t>
      </w:r>
      <w:r w:rsidR="00F32B28">
        <w:rPr>
          <w:rtl/>
        </w:rPr>
        <w:t xml:space="preserve"> </w:t>
      </w:r>
      <w:r w:rsidR="00F32B28" w:rsidRPr="00F32B28">
        <w:rPr>
          <w:rtl/>
        </w:rPr>
        <w:t>ويعتبر</w:t>
      </w:r>
      <w:r w:rsidR="00F32B28">
        <w:rPr>
          <w:rtl/>
        </w:rPr>
        <w:t xml:space="preserve"> </w:t>
      </w:r>
      <w:r w:rsidR="00F32B28" w:rsidRPr="00F32B28">
        <w:rPr>
          <w:rtl/>
        </w:rPr>
        <w:t>برلمان</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أي</w:t>
      </w:r>
      <w:r w:rsidR="00F32B28">
        <w:rPr>
          <w:rtl/>
        </w:rPr>
        <w:t xml:space="preserve"> </w:t>
      </w:r>
      <w:r w:rsidR="00F32B28" w:rsidRPr="00F32B28">
        <w:rPr>
          <w:rtl/>
        </w:rPr>
        <w:t>أن</w:t>
      </w:r>
      <w:r w:rsidR="00F32B28">
        <w:rPr>
          <w:rtl/>
        </w:rPr>
        <w:t xml:space="preserve"> </w:t>
      </w:r>
      <w:r w:rsidR="00F32B28" w:rsidRPr="00F32B28">
        <w:rPr>
          <w:rtl/>
        </w:rPr>
        <w:t>هنالك</w:t>
      </w:r>
      <w:r w:rsidR="00F32B28">
        <w:rPr>
          <w:rtl/>
        </w:rPr>
        <w:t xml:space="preserve"> </w:t>
      </w:r>
      <w:r w:rsidR="00F32B28" w:rsidRPr="00F32B28">
        <w:rPr>
          <w:rtl/>
        </w:rPr>
        <w:t>(56)</w:t>
      </w:r>
      <w:r w:rsidR="00F32B28">
        <w:rPr>
          <w:rtl/>
        </w:rPr>
        <w:t xml:space="preserve"> </w:t>
      </w:r>
      <w:r w:rsidR="00F32B28" w:rsidRPr="00F32B28">
        <w:rPr>
          <w:rtl/>
        </w:rPr>
        <w:t>امرأة</w:t>
      </w:r>
      <w:r w:rsidR="00F32B28">
        <w:rPr>
          <w:rtl/>
        </w:rPr>
        <w:t xml:space="preserve"> </w:t>
      </w:r>
      <w:r w:rsidR="00F32B28" w:rsidRPr="00F32B28">
        <w:rPr>
          <w:rtl/>
        </w:rPr>
        <w:t>عضو</w:t>
      </w:r>
      <w:r w:rsidR="00F32B28">
        <w:rPr>
          <w:rtl/>
        </w:rPr>
        <w:t xml:space="preserve"> </w:t>
      </w:r>
      <w:r w:rsidR="00F32B28" w:rsidRPr="00F32B28">
        <w:rPr>
          <w:rtl/>
        </w:rPr>
        <w:t>من</w:t>
      </w:r>
      <w:r w:rsidR="00F32B28">
        <w:rPr>
          <w:rtl/>
        </w:rPr>
        <w:t xml:space="preserve"> </w:t>
      </w:r>
      <w:r w:rsidR="00F32B28" w:rsidRPr="00F32B28">
        <w:rPr>
          <w:rtl/>
        </w:rPr>
        <w:t>أصل</w:t>
      </w:r>
      <w:r w:rsidR="00F32B28">
        <w:rPr>
          <w:rtl/>
        </w:rPr>
        <w:t xml:space="preserve"> </w:t>
      </w:r>
      <w:r w:rsidR="00F32B28" w:rsidRPr="00F32B28">
        <w:rPr>
          <w:rtl/>
        </w:rPr>
        <w:t>(744)</w:t>
      </w:r>
      <w:r w:rsidR="00F32B28">
        <w:rPr>
          <w:rtl/>
        </w:rPr>
        <w:t xml:space="preserve"> </w:t>
      </w:r>
      <w:r w:rsidR="00F32B28" w:rsidRPr="00F32B28">
        <w:rPr>
          <w:rtl/>
        </w:rPr>
        <w:t>عضواً.</w:t>
      </w:r>
      <w:r w:rsidR="00F32B28">
        <w:rPr>
          <w:rtl/>
        </w:rPr>
        <w:t xml:space="preserve"> </w:t>
      </w:r>
      <w:r w:rsidR="00F32B28" w:rsidRPr="00F32B28">
        <w:rPr>
          <w:rtl/>
        </w:rPr>
        <w:t>وأما</w:t>
      </w:r>
      <w:r w:rsidR="00F32B28">
        <w:rPr>
          <w:rtl/>
        </w:rPr>
        <w:t xml:space="preserve"> </w:t>
      </w:r>
      <w:r w:rsidR="00F32B28" w:rsidRPr="00F32B28">
        <w:rPr>
          <w:rtl/>
        </w:rPr>
        <w:t>في</w:t>
      </w:r>
      <w:r w:rsidR="00F32B28">
        <w:rPr>
          <w:rtl/>
        </w:rPr>
        <w:t xml:space="preserve"> </w:t>
      </w:r>
      <w:r w:rsidR="00F32B28" w:rsidRPr="00F32B28">
        <w:rPr>
          <w:rtl/>
        </w:rPr>
        <w:t>المجلس</w:t>
      </w:r>
      <w:r w:rsidR="00F32B28">
        <w:rPr>
          <w:rtl/>
        </w:rPr>
        <w:t xml:space="preserve"> </w:t>
      </w:r>
      <w:r w:rsidR="00F32B28" w:rsidRPr="00F32B28">
        <w:rPr>
          <w:rtl/>
        </w:rPr>
        <w:t>المركزي،</w:t>
      </w:r>
      <w:r w:rsidR="00F32B28">
        <w:rPr>
          <w:rtl/>
        </w:rPr>
        <w:t xml:space="preserve"> </w:t>
      </w:r>
      <w:r w:rsidR="00F32B28" w:rsidRPr="00F32B28">
        <w:rPr>
          <w:rtl/>
        </w:rPr>
        <w:t>الذي</w:t>
      </w:r>
      <w:r w:rsidR="00F32B28">
        <w:rPr>
          <w:rtl/>
        </w:rPr>
        <w:t xml:space="preserve"> </w:t>
      </w:r>
      <w:r w:rsidR="00F32B28" w:rsidRPr="00F32B28">
        <w:rPr>
          <w:rtl/>
        </w:rPr>
        <w:t>يعتبر</w:t>
      </w:r>
      <w:r w:rsidR="00F32B28">
        <w:rPr>
          <w:rtl/>
        </w:rPr>
        <w:t xml:space="preserve"> </w:t>
      </w:r>
      <w:r w:rsidR="00F32B28" w:rsidRPr="00F32B28">
        <w:rPr>
          <w:rtl/>
        </w:rPr>
        <w:t>حلقة</w:t>
      </w:r>
      <w:r w:rsidR="00F32B28">
        <w:rPr>
          <w:rtl/>
        </w:rPr>
        <w:t xml:space="preserve"> </w:t>
      </w:r>
      <w:r w:rsidR="00F32B28" w:rsidRPr="00F32B28">
        <w:rPr>
          <w:rtl/>
        </w:rPr>
        <w:t>وصل</w:t>
      </w:r>
      <w:r w:rsidR="00F32B28">
        <w:rPr>
          <w:rtl/>
        </w:rPr>
        <w:t xml:space="preserve"> </w:t>
      </w:r>
      <w:r w:rsidR="00F32B28" w:rsidRPr="00F32B28">
        <w:rPr>
          <w:rtl/>
        </w:rPr>
        <w:t>بين</w:t>
      </w:r>
      <w:r w:rsidR="00F32B28">
        <w:rPr>
          <w:rtl/>
        </w:rPr>
        <w:t xml:space="preserve"> </w:t>
      </w:r>
      <w:r w:rsidR="00F32B28" w:rsidRPr="00F32B28">
        <w:rPr>
          <w:rtl/>
        </w:rPr>
        <w:t>المجلس</w:t>
      </w:r>
      <w:r w:rsidR="00F32B28">
        <w:rPr>
          <w:rtl/>
        </w:rPr>
        <w:t xml:space="preserve"> </w:t>
      </w:r>
      <w:r w:rsidR="00F32B28" w:rsidRPr="00F32B28">
        <w:rPr>
          <w:rtl/>
        </w:rPr>
        <w:t>الوطني</w:t>
      </w:r>
      <w:r w:rsidR="00F32B28">
        <w:rPr>
          <w:rtl/>
        </w:rPr>
        <w:t xml:space="preserve"> </w:t>
      </w:r>
      <w:r w:rsidR="00F32B28" w:rsidRPr="00F32B28">
        <w:rPr>
          <w:rtl/>
        </w:rPr>
        <w:t>الفلسطيني</w:t>
      </w:r>
      <w:r w:rsidR="00F32B28">
        <w:rPr>
          <w:rtl/>
        </w:rPr>
        <w:t xml:space="preserve"> </w:t>
      </w:r>
      <w:r w:rsidR="00F32B28" w:rsidRPr="00F32B28">
        <w:rPr>
          <w:rtl/>
        </w:rPr>
        <w:t>واللجنة</w:t>
      </w:r>
      <w:r w:rsidR="00F32B28">
        <w:rPr>
          <w:rtl/>
        </w:rPr>
        <w:t xml:space="preserve"> </w:t>
      </w:r>
      <w:r w:rsidR="00F32B28" w:rsidRPr="00F32B28">
        <w:rPr>
          <w:rtl/>
        </w:rPr>
        <w:t>التنفيذية،</w:t>
      </w:r>
      <w:r w:rsidR="00F32B28">
        <w:rPr>
          <w:rtl/>
        </w:rPr>
        <w:t xml:space="preserve"> </w:t>
      </w:r>
      <w:r w:rsidR="00F32B28" w:rsidRPr="00F32B28">
        <w:rPr>
          <w:rtl/>
        </w:rPr>
        <w:t>فهنالك</w:t>
      </w:r>
      <w:r w:rsidR="00F32B28">
        <w:rPr>
          <w:rtl/>
        </w:rPr>
        <w:t xml:space="preserve"> </w:t>
      </w:r>
      <w:r w:rsidR="00F32B28" w:rsidRPr="00F32B28">
        <w:rPr>
          <w:rtl/>
        </w:rPr>
        <w:t>هنالك</w:t>
      </w:r>
      <w:r w:rsidR="00F32B28">
        <w:rPr>
          <w:rtl/>
        </w:rPr>
        <w:t xml:space="preserve"> </w:t>
      </w:r>
      <w:r w:rsidR="00F32B28" w:rsidRPr="00F32B28">
        <w:rPr>
          <w:rtl/>
        </w:rPr>
        <w:t>عشرة</w:t>
      </w:r>
      <w:r w:rsidR="00F32B28">
        <w:rPr>
          <w:rtl/>
        </w:rPr>
        <w:t xml:space="preserve"> </w:t>
      </w:r>
      <w:r w:rsidR="00F32B28" w:rsidRPr="00F32B28">
        <w:rPr>
          <w:rtl/>
        </w:rPr>
        <w:t>نساء</w:t>
      </w:r>
      <w:r w:rsidR="00F32B28">
        <w:rPr>
          <w:rtl/>
        </w:rPr>
        <w:t xml:space="preserve"> </w:t>
      </w:r>
      <w:r w:rsidR="00F32B28" w:rsidRPr="00F32B28">
        <w:rPr>
          <w:rtl/>
        </w:rPr>
        <w:t>من</w:t>
      </w:r>
      <w:r w:rsidR="00F32B28">
        <w:rPr>
          <w:rtl/>
        </w:rPr>
        <w:t xml:space="preserve"> </w:t>
      </w:r>
      <w:r w:rsidR="00F32B28" w:rsidRPr="00F32B28">
        <w:rPr>
          <w:rtl/>
        </w:rPr>
        <w:t>أصل</w:t>
      </w:r>
      <w:r w:rsidR="00F32B28">
        <w:rPr>
          <w:rtl/>
        </w:rPr>
        <w:t xml:space="preserve"> </w:t>
      </w:r>
      <w:r w:rsidR="00F32B28" w:rsidRPr="00F32B28">
        <w:rPr>
          <w:rtl/>
        </w:rPr>
        <w:t>(124)</w:t>
      </w:r>
      <w:r w:rsidR="00F32B28">
        <w:rPr>
          <w:rtl/>
        </w:rPr>
        <w:t xml:space="preserve"> </w:t>
      </w:r>
      <w:r w:rsidR="00F32B28" w:rsidRPr="00F32B28">
        <w:rPr>
          <w:rtl/>
        </w:rPr>
        <w:t>عضواً.</w:t>
      </w:r>
      <w:r w:rsidR="00F32B28">
        <w:rPr>
          <w:rtl/>
        </w:rPr>
        <w:t xml:space="preserve"> </w:t>
      </w:r>
      <w:r w:rsidR="00F32B28" w:rsidRPr="00F32B28">
        <w:rPr>
          <w:rtl/>
        </w:rPr>
        <w:t>وأما</w:t>
      </w:r>
      <w:r w:rsidR="00F32B28">
        <w:rPr>
          <w:rtl/>
        </w:rPr>
        <w:t xml:space="preserve"> </w:t>
      </w:r>
      <w:r w:rsidR="00F32B28" w:rsidRPr="00F32B28">
        <w:rPr>
          <w:rtl/>
        </w:rPr>
        <w:t>في</w:t>
      </w:r>
      <w:r w:rsidR="00F32B28">
        <w:rPr>
          <w:rtl/>
        </w:rPr>
        <w:t xml:space="preserve"> </w:t>
      </w:r>
      <w:r w:rsidR="00F32B28" w:rsidRPr="00F32B28">
        <w:rPr>
          <w:rtl/>
        </w:rPr>
        <w:t>اللجنة</w:t>
      </w:r>
      <w:r w:rsidR="00F32B28">
        <w:rPr>
          <w:rtl/>
        </w:rPr>
        <w:t xml:space="preserve"> </w:t>
      </w:r>
      <w:r w:rsidR="00F32B28" w:rsidRPr="00F32B28">
        <w:rPr>
          <w:rtl/>
        </w:rPr>
        <w:t>التنفيذية،</w:t>
      </w:r>
      <w:r w:rsidR="00F32B28">
        <w:rPr>
          <w:rtl/>
        </w:rPr>
        <w:t xml:space="preserve"> </w:t>
      </w:r>
      <w:r w:rsidR="00F32B28" w:rsidRPr="00F32B28">
        <w:rPr>
          <w:rtl/>
        </w:rPr>
        <w:t>وهي</w:t>
      </w:r>
      <w:r w:rsidR="00F32B28">
        <w:rPr>
          <w:rtl/>
        </w:rPr>
        <w:t xml:space="preserve"> </w:t>
      </w:r>
      <w:r w:rsidR="00F32B28" w:rsidRPr="00F32B28">
        <w:rPr>
          <w:rtl/>
        </w:rPr>
        <w:t>أعلى</w:t>
      </w:r>
      <w:r w:rsidR="00F32B28">
        <w:rPr>
          <w:rtl/>
        </w:rPr>
        <w:t xml:space="preserve"> </w:t>
      </w:r>
      <w:r w:rsidR="00F32B28" w:rsidRPr="00F32B28">
        <w:rPr>
          <w:rtl/>
        </w:rPr>
        <w:t>سلطة</w:t>
      </w:r>
      <w:r w:rsidR="00F32B28">
        <w:rPr>
          <w:rtl/>
        </w:rPr>
        <w:t xml:space="preserve"> </w:t>
      </w:r>
      <w:r w:rsidR="00F32B28" w:rsidRPr="00F32B28">
        <w:rPr>
          <w:rtl/>
        </w:rPr>
        <w:t>تنفيذية</w:t>
      </w:r>
      <w:r w:rsidR="00F32B28">
        <w:rPr>
          <w:rtl/>
        </w:rPr>
        <w:t xml:space="preserve"> </w:t>
      </w:r>
      <w:r w:rsidR="00F32B28" w:rsidRPr="00F32B28">
        <w:rPr>
          <w:rtl/>
        </w:rPr>
        <w:t>للمنظمة،</w:t>
      </w:r>
      <w:r w:rsidR="00F32B28">
        <w:rPr>
          <w:rtl/>
        </w:rPr>
        <w:t xml:space="preserve"> </w:t>
      </w:r>
      <w:r w:rsidR="00F32B28" w:rsidRPr="00F32B28">
        <w:rPr>
          <w:rtl/>
        </w:rPr>
        <w:t>هنالك</w:t>
      </w:r>
      <w:r w:rsidR="00F32B28">
        <w:rPr>
          <w:rtl/>
        </w:rPr>
        <w:t xml:space="preserve"> </w:t>
      </w:r>
      <w:r w:rsidR="00F32B28" w:rsidRPr="00F32B28">
        <w:rPr>
          <w:rtl/>
        </w:rPr>
        <w:t>امرأة</w:t>
      </w:r>
      <w:r w:rsidR="00F32B28">
        <w:rPr>
          <w:rtl/>
        </w:rPr>
        <w:t xml:space="preserve"> </w:t>
      </w:r>
      <w:r w:rsidR="00F32B28" w:rsidRPr="00F32B28">
        <w:rPr>
          <w:rtl/>
        </w:rPr>
        <w:t>واحدة</w:t>
      </w:r>
      <w:r w:rsidR="00F32B28">
        <w:rPr>
          <w:rtl/>
        </w:rPr>
        <w:t xml:space="preserve"> </w:t>
      </w:r>
      <w:r w:rsidR="00F32B28" w:rsidRPr="00F32B28">
        <w:rPr>
          <w:rtl/>
        </w:rPr>
        <w:t>من</w:t>
      </w:r>
      <w:r w:rsidR="00F32B28">
        <w:rPr>
          <w:rtl/>
        </w:rPr>
        <w:t xml:space="preserve"> </w:t>
      </w:r>
      <w:r w:rsidR="00F32B28" w:rsidRPr="00F32B28">
        <w:rPr>
          <w:rtl/>
        </w:rPr>
        <w:t>أصل</w:t>
      </w:r>
      <w:r w:rsidR="00F32B28">
        <w:rPr>
          <w:rtl/>
        </w:rPr>
        <w:t xml:space="preserve"> </w:t>
      </w:r>
      <w:r w:rsidR="00F32B28" w:rsidRPr="00F32B28">
        <w:rPr>
          <w:rtl/>
        </w:rPr>
        <w:t>18</w:t>
      </w:r>
      <w:r w:rsidR="00F32B28">
        <w:rPr>
          <w:rtl/>
        </w:rPr>
        <w:t xml:space="preserve"> </w:t>
      </w:r>
      <w:r w:rsidR="00F32B28" w:rsidRPr="00F32B28">
        <w:rPr>
          <w:rtl/>
        </w:rPr>
        <w:t>عضو</w:t>
      </w:r>
      <w:r w:rsidR="00F32B28">
        <w:rPr>
          <w:rtl/>
        </w:rPr>
        <w:t xml:space="preserve"> </w:t>
      </w:r>
      <w:r w:rsidR="00F32B28" w:rsidRPr="00F32B28">
        <w:rPr>
          <w:rtl/>
        </w:rPr>
        <w:t>وهي</w:t>
      </w:r>
      <w:r w:rsidR="00F32B28">
        <w:rPr>
          <w:rtl/>
        </w:rPr>
        <w:t xml:space="preserve"> </w:t>
      </w:r>
      <w:r w:rsidR="00F32B28" w:rsidRPr="00F32B28">
        <w:rPr>
          <w:rtl/>
        </w:rPr>
        <w:t>أول</w:t>
      </w:r>
      <w:r w:rsidR="00F32B28">
        <w:rPr>
          <w:rtl/>
        </w:rPr>
        <w:t xml:space="preserve"> </w:t>
      </w:r>
      <w:r w:rsidR="00F32B28" w:rsidRPr="00F32B28">
        <w:rPr>
          <w:rtl/>
        </w:rPr>
        <w:t>امرأة</w:t>
      </w:r>
      <w:r w:rsidR="00F32B28">
        <w:rPr>
          <w:rtl/>
        </w:rPr>
        <w:t xml:space="preserve"> </w:t>
      </w:r>
      <w:r w:rsidR="00F32B28" w:rsidRPr="00F32B28">
        <w:rPr>
          <w:rtl/>
        </w:rPr>
        <w:t>تنتخب</w:t>
      </w:r>
      <w:r w:rsidR="00F32B28">
        <w:rPr>
          <w:rtl/>
        </w:rPr>
        <w:t xml:space="preserve"> </w:t>
      </w:r>
      <w:r w:rsidR="00F32B28" w:rsidRPr="00F32B28">
        <w:rPr>
          <w:rtl/>
        </w:rPr>
        <w:t>لعضوية</w:t>
      </w:r>
      <w:r w:rsidR="00F32B28">
        <w:rPr>
          <w:rtl/>
        </w:rPr>
        <w:t xml:space="preserve"> </w:t>
      </w:r>
      <w:r w:rsidR="00F32B28" w:rsidRPr="00F32B28">
        <w:rPr>
          <w:rtl/>
        </w:rPr>
        <w:t>اللجنة</w:t>
      </w:r>
      <w:r w:rsidR="00F32B28">
        <w:rPr>
          <w:rtl/>
        </w:rPr>
        <w:t xml:space="preserve"> </w:t>
      </w:r>
      <w:r w:rsidR="00F32B28" w:rsidRPr="00F32B28">
        <w:rPr>
          <w:rtl/>
        </w:rPr>
        <w:t>منذ</w:t>
      </w:r>
      <w:r w:rsidR="00F32B28">
        <w:rPr>
          <w:rtl/>
        </w:rPr>
        <w:t xml:space="preserve"> </w:t>
      </w:r>
      <w:r w:rsidR="00F32B28" w:rsidRPr="00F32B28">
        <w:rPr>
          <w:rtl/>
        </w:rPr>
        <w:t>تأسيس</w:t>
      </w:r>
      <w:r w:rsidR="00F32B28">
        <w:rPr>
          <w:rtl/>
        </w:rPr>
        <w:t xml:space="preserve"> </w:t>
      </w:r>
      <w:r w:rsidR="00F32B28" w:rsidRPr="00F32B28">
        <w:rPr>
          <w:rtl/>
        </w:rPr>
        <w:t>منظمة</w:t>
      </w:r>
      <w:r w:rsidR="00F32B28">
        <w:rPr>
          <w:rtl/>
        </w:rPr>
        <w:t xml:space="preserve"> </w:t>
      </w:r>
      <w:r w:rsidR="00F32B28" w:rsidRPr="00F32B28">
        <w:rPr>
          <w:rtl/>
        </w:rPr>
        <w:t>التحرير</w:t>
      </w:r>
      <w:r w:rsidR="00F32B28">
        <w:rPr>
          <w:rtl/>
        </w:rPr>
        <w:t xml:space="preserve"> </w:t>
      </w:r>
      <w:r w:rsidR="00F32B28" w:rsidRPr="00F32B28">
        <w:rPr>
          <w:rtl/>
        </w:rPr>
        <w:t>الفلسطينية.</w:t>
      </w:r>
    </w:p>
    <w:p w:rsidR="00F32B28" w:rsidRPr="00F32B28" w:rsidRDefault="008A31F2" w:rsidP="008A31F2">
      <w:pPr>
        <w:pStyle w:val="SingleTxt"/>
        <w:rPr>
          <w:rtl/>
        </w:rPr>
      </w:pPr>
      <w:r>
        <w:rPr>
          <w:rFonts w:hint="cs"/>
          <w:rtl/>
        </w:rPr>
        <w:t xml:space="preserve">113 - </w:t>
      </w:r>
      <w:r w:rsidR="00F32B28" w:rsidRPr="00F32B28">
        <w:rPr>
          <w:rtl/>
        </w:rPr>
        <w:t>شاركت</w:t>
      </w:r>
      <w:r w:rsidR="00F32B28">
        <w:rPr>
          <w:rtl/>
        </w:rPr>
        <w:t xml:space="preserve"> </w:t>
      </w:r>
      <w:r w:rsidR="00F32B28" w:rsidRPr="00F32B28">
        <w:rPr>
          <w:rtl/>
        </w:rPr>
        <w:t>النساء</w:t>
      </w:r>
      <w:r w:rsidR="00F32B28">
        <w:rPr>
          <w:rtl/>
        </w:rPr>
        <w:t xml:space="preserve"> </w:t>
      </w:r>
      <w:r w:rsidR="00F32B28" w:rsidRPr="00F32B28">
        <w:rPr>
          <w:rtl/>
        </w:rPr>
        <w:t>الفلسطينيات</w:t>
      </w:r>
      <w:r w:rsidR="00F32B28">
        <w:rPr>
          <w:rtl/>
        </w:rPr>
        <w:t xml:space="preserve"> </w:t>
      </w:r>
      <w:r w:rsidR="00F32B28" w:rsidRPr="00F32B28">
        <w:rPr>
          <w:rtl/>
        </w:rPr>
        <w:t>في</w:t>
      </w:r>
      <w:r w:rsidR="00F32B28">
        <w:rPr>
          <w:rtl/>
        </w:rPr>
        <w:t xml:space="preserve"> </w:t>
      </w:r>
      <w:r w:rsidR="00F32B28" w:rsidRPr="00F32B28">
        <w:rPr>
          <w:rtl/>
        </w:rPr>
        <w:t>الانتخابات</w:t>
      </w:r>
      <w:r w:rsidR="00F32B28">
        <w:rPr>
          <w:rtl/>
        </w:rPr>
        <w:t xml:space="preserve"> </w:t>
      </w:r>
      <w:r w:rsidR="00F32B28" w:rsidRPr="00F32B28">
        <w:rPr>
          <w:rtl/>
        </w:rPr>
        <w:t>الفلسطينية</w:t>
      </w:r>
      <w:r w:rsidR="00F32B28">
        <w:rPr>
          <w:rtl/>
        </w:rPr>
        <w:t xml:space="preserve"> </w:t>
      </w:r>
      <w:r w:rsidR="00F32B28" w:rsidRPr="00F32B28">
        <w:rPr>
          <w:rtl/>
        </w:rPr>
        <w:t>التشريعية</w:t>
      </w:r>
      <w:r w:rsidR="00F32B28">
        <w:rPr>
          <w:rtl/>
        </w:rPr>
        <w:t xml:space="preserve"> </w:t>
      </w:r>
      <w:r w:rsidR="00F32B28" w:rsidRPr="00F32B28">
        <w:rPr>
          <w:rtl/>
        </w:rPr>
        <w:t>والرئاسية</w:t>
      </w:r>
      <w:r w:rsidR="00F32B28">
        <w:rPr>
          <w:rtl/>
        </w:rPr>
        <w:t xml:space="preserve"> </w:t>
      </w:r>
      <w:r w:rsidR="00F32B28" w:rsidRPr="00F32B28">
        <w:rPr>
          <w:rtl/>
        </w:rPr>
        <w:t>الأولى</w:t>
      </w:r>
      <w:r w:rsidR="00F32B28">
        <w:rPr>
          <w:rtl/>
        </w:rPr>
        <w:t xml:space="preserve"> </w:t>
      </w:r>
      <w:r w:rsidR="00F32B28" w:rsidRPr="00F32B28">
        <w:rPr>
          <w:rtl/>
        </w:rPr>
        <w:t>التي</w:t>
      </w:r>
      <w:r w:rsidR="00F32B28">
        <w:rPr>
          <w:rtl/>
        </w:rPr>
        <w:t xml:space="preserve"> </w:t>
      </w:r>
      <w:r w:rsidR="00F32B28" w:rsidRPr="00F32B28">
        <w:rPr>
          <w:rtl/>
        </w:rPr>
        <w:t>أجريت</w:t>
      </w:r>
      <w:r w:rsidR="00F32B28">
        <w:rPr>
          <w:rtl/>
        </w:rPr>
        <w:t xml:space="preserve"> </w:t>
      </w:r>
      <w:r w:rsidR="00F32B28" w:rsidRPr="00F32B28">
        <w:rPr>
          <w:rtl/>
        </w:rPr>
        <w:t>عام</w:t>
      </w:r>
      <w:r w:rsidR="00F32B28">
        <w:rPr>
          <w:rtl/>
        </w:rPr>
        <w:t xml:space="preserve"> </w:t>
      </w:r>
      <w:r w:rsidR="00F32B28" w:rsidRPr="00F32B28">
        <w:rPr>
          <w:rtl/>
        </w:rPr>
        <w:t>1996،</w:t>
      </w:r>
      <w:r w:rsidR="00F32B28">
        <w:rPr>
          <w:rtl/>
        </w:rPr>
        <w:t xml:space="preserve"> </w:t>
      </w:r>
      <w:r w:rsidR="00F32B28" w:rsidRPr="00F32B28">
        <w:rPr>
          <w:rtl/>
        </w:rPr>
        <w:t>حيث</w:t>
      </w:r>
      <w:r w:rsidR="00F32B28">
        <w:rPr>
          <w:rtl/>
        </w:rPr>
        <w:t xml:space="preserve"> </w:t>
      </w:r>
      <w:r w:rsidR="00F32B28" w:rsidRPr="00F32B28">
        <w:rPr>
          <w:rtl/>
        </w:rPr>
        <w:t>بلغت</w:t>
      </w:r>
      <w:r w:rsidR="00F32B28">
        <w:rPr>
          <w:rtl/>
        </w:rPr>
        <w:t xml:space="preserve"> </w:t>
      </w:r>
      <w:r w:rsidR="00F32B28" w:rsidRPr="00F32B28">
        <w:rPr>
          <w:rtl/>
        </w:rPr>
        <w:t>نسبة</w:t>
      </w:r>
      <w:r w:rsidR="00F32B28">
        <w:rPr>
          <w:rtl/>
        </w:rPr>
        <w:t xml:space="preserve"> </w:t>
      </w:r>
      <w:r w:rsidR="00F32B28" w:rsidRPr="00F32B28">
        <w:rPr>
          <w:rtl/>
        </w:rPr>
        <w:t>النساء</w:t>
      </w:r>
      <w:r w:rsidR="00F32B28">
        <w:rPr>
          <w:rtl/>
        </w:rPr>
        <w:t xml:space="preserve"> </w:t>
      </w:r>
      <w:r w:rsidR="00F32B28" w:rsidRPr="00F32B28">
        <w:rPr>
          <w:rtl/>
        </w:rPr>
        <w:t>المسجلات</w:t>
      </w:r>
      <w:r w:rsidR="00F32B28">
        <w:rPr>
          <w:rtl/>
        </w:rPr>
        <w:t xml:space="preserve"> </w:t>
      </w:r>
      <w:r w:rsidR="00F32B28" w:rsidRPr="00F32B28">
        <w:rPr>
          <w:rtl/>
        </w:rPr>
        <w:t>في</w:t>
      </w:r>
      <w:r w:rsidR="00F32B28">
        <w:rPr>
          <w:rtl/>
        </w:rPr>
        <w:t xml:space="preserve"> </w:t>
      </w:r>
      <w:r w:rsidR="00F32B28" w:rsidRPr="00F32B28">
        <w:rPr>
          <w:rtl/>
        </w:rPr>
        <w:t>القوائم</w:t>
      </w:r>
      <w:r w:rsidR="00F32B28">
        <w:rPr>
          <w:rtl/>
        </w:rPr>
        <w:t xml:space="preserve"> </w:t>
      </w:r>
      <w:r w:rsidR="00F32B28" w:rsidRPr="00F32B28">
        <w:rPr>
          <w:rtl/>
        </w:rPr>
        <w:t>الانتخابية</w:t>
      </w:r>
      <w:r w:rsidR="00F32B28">
        <w:rPr>
          <w:rtl/>
        </w:rPr>
        <w:t xml:space="preserve"> </w:t>
      </w:r>
      <w:r w:rsidR="00F32B28" w:rsidRPr="00F32B28">
        <w:rPr>
          <w:rtl/>
        </w:rPr>
        <w:t>حوالي</w:t>
      </w:r>
      <w:r w:rsidR="00F32B28">
        <w:rPr>
          <w:rtl/>
        </w:rPr>
        <w:t xml:space="preserve"> </w:t>
      </w:r>
      <w:r w:rsidR="00F32B28" w:rsidRPr="00F32B28">
        <w:rPr>
          <w:rtl/>
        </w:rPr>
        <w:t>49</w:t>
      </w:r>
      <w:r w:rsidR="004C698D">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إجمالي</w:t>
      </w:r>
      <w:r w:rsidR="00362769">
        <w:rPr>
          <w:rFonts w:hint="cs"/>
          <w:rtl/>
        </w:rPr>
        <w:t> </w:t>
      </w:r>
      <w:r w:rsidR="00F32B28" w:rsidRPr="00F32B28">
        <w:rPr>
          <w:rtl/>
        </w:rPr>
        <w:t>عدد</w:t>
      </w:r>
      <w:r w:rsidR="00F32B28">
        <w:rPr>
          <w:rtl/>
        </w:rPr>
        <w:t xml:space="preserve"> </w:t>
      </w:r>
      <w:r w:rsidR="00F32B28" w:rsidRPr="00F32B28">
        <w:rPr>
          <w:rtl/>
        </w:rPr>
        <w:t>المسجلين،</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هذه</w:t>
      </w:r>
      <w:r w:rsidR="00F32B28">
        <w:rPr>
          <w:rtl/>
        </w:rPr>
        <w:t xml:space="preserve"> </w:t>
      </w:r>
      <w:r w:rsidR="00F32B28" w:rsidRPr="00F32B28">
        <w:rPr>
          <w:rtl/>
        </w:rPr>
        <w:t>النسبة</w:t>
      </w:r>
      <w:r w:rsidR="00F32B28">
        <w:rPr>
          <w:rtl/>
        </w:rPr>
        <w:t xml:space="preserve"> </w:t>
      </w:r>
      <w:r w:rsidR="00F32B28" w:rsidRPr="00F32B28">
        <w:rPr>
          <w:rtl/>
        </w:rPr>
        <w:t>تدنت</w:t>
      </w:r>
      <w:r w:rsidR="00F32B28">
        <w:rPr>
          <w:rtl/>
        </w:rPr>
        <w:t xml:space="preserve"> </w:t>
      </w:r>
      <w:r w:rsidR="00F32B28" w:rsidRPr="00F32B28">
        <w:rPr>
          <w:rtl/>
        </w:rPr>
        <w:t>عند</w:t>
      </w:r>
      <w:r w:rsidR="00F32B28">
        <w:rPr>
          <w:rtl/>
        </w:rPr>
        <w:t xml:space="preserve"> </w:t>
      </w:r>
      <w:r w:rsidR="00F32B28" w:rsidRPr="00F32B28">
        <w:rPr>
          <w:rtl/>
        </w:rPr>
        <w:t>عملية</w:t>
      </w:r>
      <w:r w:rsidR="00F32B28">
        <w:rPr>
          <w:rtl/>
        </w:rPr>
        <w:t xml:space="preserve"> </w:t>
      </w:r>
      <w:r w:rsidR="00F32B28" w:rsidRPr="00F32B28">
        <w:rPr>
          <w:rtl/>
        </w:rPr>
        <w:t>الاقتراع</w:t>
      </w:r>
      <w:r w:rsidR="00F32B28">
        <w:rPr>
          <w:rtl/>
        </w:rPr>
        <w:t xml:space="preserve"> </w:t>
      </w:r>
      <w:r w:rsidR="00F32B28" w:rsidRPr="00F32B28">
        <w:rPr>
          <w:rtl/>
        </w:rPr>
        <w:t>الفعلي</w:t>
      </w:r>
      <w:r w:rsidR="00F32B28">
        <w:rPr>
          <w:rtl/>
        </w:rPr>
        <w:t xml:space="preserve"> </w:t>
      </w:r>
      <w:r w:rsidR="00F32B28" w:rsidRPr="00F32B28">
        <w:rPr>
          <w:rtl/>
        </w:rPr>
        <w:t>لتصبح</w:t>
      </w:r>
      <w:r w:rsidR="00F32B28">
        <w:rPr>
          <w:rtl/>
        </w:rPr>
        <w:t xml:space="preserve"> </w:t>
      </w:r>
      <w:r w:rsidR="00F32B28" w:rsidRPr="00F32B28">
        <w:rPr>
          <w:rtl/>
        </w:rPr>
        <w:t>32</w:t>
      </w:r>
      <w:r w:rsidR="007D58C4">
        <w:rPr>
          <w:rFonts w:hint="cs"/>
          <w:rtl/>
        </w:rPr>
        <w:t xml:space="preserve"> </w:t>
      </w:r>
      <w:r w:rsidR="00600C43">
        <w:rPr>
          <w:rtl/>
        </w:rPr>
        <w:t>في المائة</w:t>
      </w:r>
      <w:r w:rsidR="00F32B28">
        <w:rPr>
          <w:rtl/>
        </w:rPr>
        <w:t xml:space="preserve"> </w:t>
      </w:r>
      <w:r w:rsidR="00F32B28" w:rsidRPr="00F32B28">
        <w:rPr>
          <w:rtl/>
        </w:rPr>
        <w:t>مقابل</w:t>
      </w:r>
      <w:r w:rsidR="00F32B28">
        <w:rPr>
          <w:rtl/>
        </w:rPr>
        <w:t xml:space="preserve"> </w:t>
      </w:r>
      <w:r w:rsidR="00F32B28" w:rsidRPr="00F32B28">
        <w:rPr>
          <w:rtl/>
        </w:rPr>
        <w:t>58</w:t>
      </w:r>
      <w:r w:rsidR="004C698D">
        <w:rPr>
          <w:rFonts w:hint="cs"/>
          <w:rtl/>
        </w:rPr>
        <w:t xml:space="preserve"> </w:t>
      </w:r>
      <w:r w:rsidR="00600C43">
        <w:rPr>
          <w:rtl/>
        </w:rPr>
        <w:t>في المائة</w:t>
      </w:r>
      <w:r w:rsidR="00F32B28">
        <w:rPr>
          <w:rtl/>
        </w:rPr>
        <w:t xml:space="preserve"> </w:t>
      </w:r>
      <w:r w:rsidR="00F32B28" w:rsidRPr="00F32B28">
        <w:rPr>
          <w:rtl/>
        </w:rPr>
        <w:t>ذكور.</w:t>
      </w:r>
      <w:r w:rsidR="00F32B28">
        <w:rPr>
          <w:rtl/>
        </w:rPr>
        <w:t xml:space="preserve"> </w:t>
      </w:r>
      <w:r w:rsidR="00F32B28" w:rsidRPr="00F32B28">
        <w:rPr>
          <w:rtl/>
        </w:rPr>
        <w:t>وكانت</w:t>
      </w:r>
      <w:r w:rsidR="00F32B28">
        <w:rPr>
          <w:rtl/>
        </w:rPr>
        <w:t xml:space="preserve"> </w:t>
      </w:r>
      <w:r w:rsidR="00F32B28" w:rsidRPr="00F32B28">
        <w:rPr>
          <w:rtl/>
        </w:rPr>
        <w:t>هذه</w:t>
      </w:r>
      <w:r w:rsidR="00F32B28">
        <w:rPr>
          <w:rtl/>
        </w:rPr>
        <w:t xml:space="preserve"> </w:t>
      </w:r>
      <w:r w:rsidR="00F32B28" w:rsidRPr="00F32B28">
        <w:rPr>
          <w:rtl/>
        </w:rPr>
        <w:t>الانتخابات</w:t>
      </w:r>
      <w:r w:rsidR="00F32B28">
        <w:rPr>
          <w:rtl/>
        </w:rPr>
        <w:t xml:space="preserve"> </w:t>
      </w:r>
      <w:r w:rsidR="00F32B28" w:rsidRPr="00F32B28">
        <w:rPr>
          <w:rtl/>
        </w:rPr>
        <w:t>قد</w:t>
      </w:r>
      <w:r w:rsidR="00F32B28">
        <w:rPr>
          <w:rtl/>
        </w:rPr>
        <w:t xml:space="preserve"> </w:t>
      </w:r>
      <w:r w:rsidR="00F32B28" w:rsidRPr="00F32B28">
        <w:rPr>
          <w:rtl/>
        </w:rPr>
        <w:t>أجريت</w:t>
      </w:r>
      <w:r w:rsidR="00F32B28">
        <w:rPr>
          <w:rtl/>
        </w:rPr>
        <w:t xml:space="preserve"> </w:t>
      </w:r>
      <w:r w:rsidR="00F32B28" w:rsidRPr="00F32B28">
        <w:rPr>
          <w:rtl/>
        </w:rPr>
        <w:t>على</w:t>
      </w:r>
      <w:r w:rsidR="00F32B28">
        <w:rPr>
          <w:rtl/>
        </w:rPr>
        <w:t xml:space="preserve"> </w:t>
      </w:r>
      <w:r w:rsidR="00F32B28" w:rsidRPr="00F32B28">
        <w:rPr>
          <w:rtl/>
        </w:rPr>
        <w:t>أساس</w:t>
      </w:r>
      <w:r w:rsidR="00F32B28">
        <w:rPr>
          <w:rtl/>
        </w:rPr>
        <w:t xml:space="preserve"> </w:t>
      </w:r>
      <w:r w:rsidR="00F32B28" w:rsidRPr="00F32B28">
        <w:rPr>
          <w:rtl/>
        </w:rPr>
        <w:t>نظام</w:t>
      </w:r>
      <w:r w:rsidR="00F32B28">
        <w:rPr>
          <w:rtl/>
        </w:rPr>
        <w:t xml:space="preserve"> </w:t>
      </w:r>
      <w:r w:rsidR="00F32B28" w:rsidRPr="00F32B28">
        <w:rPr>
          <w:rtl/>
        </w:rPr>
        <w:t>الأغلبية؛</w:t>
      </w:r>
      <w:r w:rsidR="00F32B28">
        <w:rPr>
          <w:rtl/>
        </w:rPr>
        <w:t xml:space="preserve"> </w:t>
      </w:r>
      <w:r w:rsidR="00F32B28" w:rsidRPr="00F32B28">
        <w:rPr>
          <w:rtl/>
        </w:rPr>
        <w:t>الأمر</w:t>
      </w:r>
      <w:r w:rsidR="00F32B28">
        <w:rPr>
          <w:rtl/>
        </w:rPr>
        <w:t xml:space="preserve"> </w:t>
      </w:r>
      <w:r w:rsidR="00F32B28" w:rsidRPr="00F32B28">
        <w:rPr>
          <w:rtl/>
        </w:rPr>
        <w:t>الذي</w:t>
      </w:r>
      <w:r w:rsidR="00F32B28">
        <w:rPr>
          <w:rtl/>
        </w:rPr>
        <w:t xml:space="preserve"> </w:t>
      </w:r>
      <w:r w:rsidR="00F32B28" w:rsidRPr="00F32B28">
        <w:rPr>
          <w:rtl/>
          <w:lang w:bidi="ar-SY"/>
        </w:rPr>
        <w:t>أحبط</w:t>
      </w:r>
      <w:r w:rsidR="00F32B28">
        <w:rPr>
          <w:rtl/>
        </w:rPr>
        <w:t xml:space="preserve"> </w:t>
      </w:r>
      <w:r w:rsidR="00F32B28" w:rsidRPr="00F32B28">
        <w:rPr>
          <w:rtl/>
        </w:rPr>
        <w:t>بطبيعة</w:t>
      </w:r>
      <w:r w:rsidR="00F32B28">
        <w:rPr>
          <w:rtl/>
        </w:rPr>
        <w:t xml:space="preserve"> </w:t>
      </w:r>
      <w:r w:rsidR="00F32B28" w:rsidRPr="00F32B28">
        <w:rPr>
          <w:rtl/>
        </w:rPr>
        <w:t>الحال</w:t>
      </w:r>
      <w:r w:rsidR="00F32B28">
        <w:rPr>
          <w:rtl/>
        </w:rPr>
        <w:t xml:space="preserve"> </w:t>
      </w:r>
      <w:r w:rsidR="00F32B28" w:rsidRPr="00F32B28">
        <w:rPr>
          <w:rtl/>
        </w:rPr>
        <w:t>فرص</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الترشح</w:t>
      </w:r>
      <w:r w:rsidR="00F32B28">
        <w:rPr>
          <w:rtl/>
        </w:rPr>
        <w:t xml:space="preserve"> </w:t>
      </w:r>
      <w:r w:rsidR="00F32B28" w:rsidRPr="00F32B28">
        <w:rPr>
          <w:rtl/>
        </w:rPr>
        <w:t>والوصول</w:t>
      </w:r>
      <w:r w:rsidR="00F32B28">
        <w:rPr>
          <w:rtl/>
        </w:rPr>
        <w:t xml:space="preserve"> </w:t>
      </w:r>
      <w:r w:rsidR="00F32B28" w:rsidRPr="00F32B28">
        <w:rPr>
          <w:rtl/>
        </w:rPr>
        <w:t>إلى</w:t>
      </w:r>
      <w:r w:rsidR="00F32B28">
        <w:rPr>
          <w:rtl/>
        </w:rPr>
        <w:t xml:space="preserve"> </w:t>
      </w:r>
      <w:r w:rsidR="00F32B28" w:rsidRPr="00F32B28">
        <w:rPr>
          <w:rtl/>
        </w:rPr>
        <w:t>مقاعد</w:t>
      </w:r>
      <w:r w:rsidR="00F32B28">
        <w:rPr>
          <w:rtl/>
        </w:rPr>
        <w:t xml:space="preserve"> </w:t>
      </w:r>
      <w:r w:rsidR="00F32B28" w:rsidRPr="00F32B28">
        <w:rPr>
          <w:rtl/>
        </w:rPr>
        <w:t>المجلس</w:t>
      </w:r>
      <w:r w:rsidR="00F32B28">
        <w:rPr>
          <w:rtl/>
        </w:rPr>
        <w:t xml:space="preserve"> </w:t>
      </w:r>
      <w:r w:rsidR="00F32B28" w:rsidRPr="00F32B28">
        <w:rPr>
          <w:rtl/>
        </w:rPr>
        <w:t>التشريعي؛</w:t>
      </w:r>
      <w:r w:rsidR="00F32B28">
        <w:rPr>
          <w:rtl/>
        </w:rPr>
        <w:t xml:space="preserve"> </w:t>
      </w:r>
      <w:r w:rsidR="00F32B28" w:rsidRPr="00F32B28">
        <w:rPr>
          <w:rtl/>
        </w:rPr>
        <w:t>فقد</w:t>
      </w:r>
      <w:r w:rsidR="00F32B28">
        <w:rPr>
          <w:rtl/>
        </w:rPr>
        <w:t xml:space="preserve"> </w:t>
      </w:r>
      <w:r w:rsidR="00F32B28" w:rsidRPr="00F32B28">
        <w:rPr>
          <w:rtl/>
        </w:rPr>
        <w:t>ترشحت</w:t>
      </w:r>
      <w:r w:rsidR="00F32B28">
        <w:rPr>
          <w:rtl/>
        </w:rPr>
        <w:t xml:space="preserve"> </w:t>
      </w:r>
      <w:r w:rsidR="00F32B28" w:rsidRPr="00F32B28">
        <w:rPr>
          <w:rtl/>
        </w:rPr>
        <w:t>(28)</w:t>
      </w:r>
      <w:r w:rsidR="00F32B28">
        <w:rPr>
          <w:rtl/>
        </w:rPr>
        <w:t xml:space="preserve"> </w:t>
      </w:r>
      <w:r w:rsidR="00F32B28" w:rsidRPr="00F32B28">
        <w:rPr>
          <w:rtl/>
        </w:rPr>
        <w:t>امرأة</w:t>
      </w:r>
      <w:r w:rsidR="00F32B28">
        <w:rPr>
          <w:rtl/>
        </w:rPr>
        <w:t xml:space="preserve"> </w:t>
      </w:r>
      <w:r w:rsidR="00F32B28" w:rsidRPr="00F32B28">
        <w:rPr>
          <w:rtl/>
        </w:rPr>
        <w:lastRenderedPageBreak/>
        <w:t>لعضوية</w:t>
      </w:r>
      <w:r w:rsidR="00F32B28">
        <w:rPr>
          <w:rtl/>
        </w:rPr>
        <w:t xml:space="preserve"> </w:t>
      </w:r>
      <w:r w:rsidR="00F32B28" w:rsidRPr="00F32B28">
        <w:rPr>
          <w:rtl/>
        </w:rPr>
        <w:t>المجلس</w:t>
      </w:r>
      <w:r w:rsidR="00F32B28">
        <w:rPr>
          <w:rtl/>
        </w:rPr>
        <w:t xml:space="preserve"> </w:t>
      </w:r>
      <w:r w:rsidR="00F32B28" w:rsidRPr="00F32B28">
        <w:rPr>
          <w:rtl/>
        </w:rPr>
        <w:t>التشريعي</w:t>
      </w:r>
      <w:r w:rsidR="00F32B28">
        <w:rPr>
          <w:rtl/>
        </w:rPr>
        <w:t xml:space="preserve"> </w:t>
      </w:r>
      <w:r w:rsidR="00F32B28" w:rsidRPr="00F32B28">
        <w:rPr>
          <w:rtl/>
        </w:rPr>
        <w:t>مقابل</w:t>
      </w:r>
      <w:r w:rsidR="00F32B28">
        <w:rPr>
          <w:rtl/>
        </w:rPr>
        <w:t xml:space="preserve"> </w:t>
      </w:r>
      <w:r w:rsidR="00F32B28" w:rsidRPr="00F32B28">
        <w:rPr>
          <w:rtl/>
        </w:rPr>
        <w:t>(676)</w:t>
      </w:r>
      <w:r w:rsidR="00F32B28">
        <w:rPr>
          <w:rtl/>
        </w:rPr>
        <w:t xml:space="preserve"> </w:t>
      </w:r>
      <w:r w:rsidR="00F32B28" w:rsidRPr="00F32B28">
        <w:rPr>
          <w:rtl/>
        </w:rPr>
        <w:t>رجل،</w:t>
      </w:r>
      <w:r w:rsidR="00F32B28">
        <w:rPr>
          <w:rtl/>
        </w:rPr>
        <w:t xml:space="preserve"> </w:t>
      </w:r>
      <w:r w:rsidR="00F32B28" w:rsidRPr="00F32B28">
        <w:rPr>
          <w:rtl/>
        </w:rPr>
        <w:t>وفازت</w:t>
      </w:r>
      <w:r w:rsidR="00F32B28">
        <w:rPr>
          <w:rtl/>
        </w:rPr>
        <w:t xml:space="preserve"> </w:t>
      </w:r>
      <w:r w:rsidR="00F32B28" w:rsidRPr="00F32B28">
        <w:rPr>
          <w:rtl/>
        </w:rPr>
        <w:t>منهن</w:t>
      </w:r>
      <w:r w:rsidR="00F32B28">
        <w:rPr>
          <w:rtl/>
        </w:rPr>
        <w:t xml:space="preserve"> </w:t>
      </w:r>
      <w:r w:rsidR="00F32B28" w:rsidRPr="00F32B28">
        <w:rPr>
          <w:rtl/>
        </w:rPr>
        <w:t>(5)</w:t>
      </w:r>
      <w:r w:rsidR="00F32B28">
        <w:rPr>
          <w:rtl/>
        </w:rPr>
        <w:t xml:space="preserve"> </w:t>
      </w:r>
      <w:r w:rsidR="00F32B28" w:rsidRPr="00F32B28">
        <w:rPr>
          <w:rtl/>
        </w:rPr>
        <w:t>نساء</w:t>
      </w:r>
      <w:r w:rsidR="00F32B28">
        <w:rPr>
          <w:rtl/>
        </w:rPr>
        <w:t xml:space="preserve"> </w:t>
      </w:r>
      <w:r w:rsidR="00F32B28" w:rsidRPr="00F32B28">
        <w:rPr>
          <w:rtl/>
        </w:rPr>
        <w:t>فقط</w:t>
      </w:r>
      <w:r w:rsidR="00F32B28">
        <w:rPr>
          <w:rtl/>
        </w:rPr>
        <w:t xml:space="preserve"> </w:t>
      </w:r>
      <w:r w:rsidR="00F32B28" w:rsidRPr="00F32B28">
        <w:rPr>
          <w:rtl/>
        </w:rPr>
        <w:t>مقابل</w:t>
      </w:r>
      <w:r w:rsidR="00F32B28">
        <w:rPr>
          <w:rtl/>
        </w:rPr>
        <w:t xml:space="preserve"> </w:t>
      </w:r>
      <w:r w:rsidR="00F32B28" w:rsidRPr="00F32B28">
        <w:rPr>
          <w:rtl/>
        </w:rPr>
        <w:t>(83)</w:t>
      </w:r>
      <w:r w:rsidR="00F32B28">
        <w:rPr>
          <w:rtl/>
        </w:rPr>
        <w:t xml:space="preserve"> </w:t>
      </w:r>
      <w:r w:rsidR="00F32B28" w:rsidRPr="00F32B28">
        <w:rPr>
          <w:rtl/>
        </w:rPr>
        <w:t>رجل.</w:t>
      </w:r>
      <w:r w:rsidR="00F32B28">
        <w:rPr>
          <w:rtl/>
        </w:rPr>
        <w:t xml:space="preserve"> </w:t>
      </w:r>
      <w:r w:rsidR="00F32B28" w:rsidRPr="00F32B28">
        <w:rPr>
          <w:rtl/>
        </w:rPr>
        <w:t>وقد</w:t>
      </w:r>
      <w:r w:rsidR="00F32B28">
        <w:rPr>
          <w:rtl/>
        </w:rPr>
        <w:t xml:space="preserve"> </w:t>
      </w:r>
      <w:r w:rsidR="00F32B28" w:rsidRPr="00F32B28">
        <w:rPr>
          <w:rtl/>
        </w:rPr>
        <w:t>ترشحت</w:t>
      </w:r>
      <w:r w:rsidR="00F32B28">
        <w:rPr>
          <w:rtl/>
        </w:rPr>
        <w:t xml:space="preserve"> </w:t>
      </w:r>
      <w:r w:rsidR="00F32B28" w:rsidRPr="00F32B28">
        <w:rPr>
          <w:rtl/>
        </w:rPr>
        <w:t>في</w:t>
      </w:r>
      <w:r w:rsidR="00F32B28">
        <w:rPr>
          <w:rtl/>
        </w:rPr>
        <w:t xml:space="preserve"> </w:t>
      </w:r>
      <w:r w:rsidR="00F32B28" w:rsidRPr="00F32B28">
        <w:rPr>
          <w:rtl/>
        </w:rPr>
        <w:t>هذه</w:t>
      </w:r>
      <w:r w:rsidR="00F32B28">
        <w:rPr>
          <w:rtl/>
        </w:rPr>
        <w:t xml:space="preserve"> </w:t>
      </w:r>
      <w:r w:rsidR="00F32B28" w:rsidRPr="00F32B28">
        <w:rPr>
          <w:rtl/>
        </w:rPr>
        <w:t>الانتخابات</w:t>
      </w:r>
      <w:r w:rsidR="00F32B28">
        <w:rPr>
          <w:rtl/>
        </w:rPr>
        <w:t xml:space="preserve"> </w:t>
      </w:r>
      <w:r w:rsidR="00F32B28" w:rsidRPr="00F32B28">
        <w:rPr>
          <w:rtl/>
        </w:rPr>
        <w:t>امرأة</w:t>
      </w:r>
      <w:r w:rsidR="00F32B28">
        <w:rPr>
          <w:rtl/>
        </w:rPr>
        <w:t xml:space="preserve"> </w:t>
      </w:r>
      <w:r w:rsidR="00F32B28" w:rsidRPr="00F32B28">
        <w:rPr>
          <w:rtl/>
        </w:rPr>
        <w:t>واحدة</w:t>
      </w:r>
      <w:r w:rsidR="00F32B28">
        <w:rPr>
          <w:rtl/>
        </w:rPr>
        <w:t xml:space="preserve"> </w:t>
      </w:r>
      <w:r w:rsidR="00F32B28" w:rsidRPr="00F32B28">
        <w:rPr>
          <w:rtl/>
        </w:rPr>
        <w:t>لمنصب</w:t>
      </w:r>
      <w:r w:rsidR="00F32B28">
        <w:rPr>
          <w:rtl/>
        </w:rPr>
        <w:t xml:space="preserve"> </w:t>
      </w:r>
      <w:r w:rsidR="00F32B28" w:rsidRPr="00F32B28">
        <w:rPr>
          <w:rtl/>
        </w:rPr>
        <w:t>الرئاسة.</w:t>
      </w:r>
      <w:r w:rsidR="00F32B28">
        <w:rPr>
          <w:rtl/>
        </w:rPr>
        <w:t xml:space="preserve"> </w:t>
      </w:r>
    </w:p>
    <w:p w:rsidR="00F32B28" w:rsidRPr="00F32B28" w:rsidRDefault="008A31F2" w:rsidP="008A31F2">
      <w:pPr>
        <w:pStyle w:val="SingleTxt"/>
        <w:rPr>
          <w:rtl/>
        </w:rPr>
      </w:pPr>
      <w:r>
        <w:rPr>
          <w:rFonts w:hint="cs"/>
          <w:rtl/>
        </w:rPr>
        <w:t xml:space="preserve">114 -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الانتخابات</w:t>
      </w:r>
      <w:r w:rsidR="00F32B28">
        <w:rPr>
          <w:rtl/>
        </w:rPr>
        <w:t xml:space="preserve"> </w:t>
      </w:r>
      <w:r w:rsidR="00F32B28" w:rsidRPr="00F32B28">
        <w:rPr>
          <w:rtl/>
        </w:rPr>
        <w:t>التشريعية</w:t>
      </w:r>
      <w:r w:rsidR="00F32B28">
        <w:rPr>
          <w:rtl/>
        </w:rPr>
        <w:t xml:space="preserve"> </w:t>
      </w:r>
      <w:r w:rsidR="00F32B28" w:rsidRPr="00F32B28">
        <w:rPr>
          <w:rtl/>
        </w:rPr>
        <w:t>الثانية</w:t>
      </w:r>
      <w:r w:rsidR="00F32B28">
        <w:rPr>
          <w:rtl/>
        </w:rPr>
        <w:t xml:space="preserve"> </w:t>
      </w:r>
      <w:r w:rsidR="00F32B28" w:rsidRPr="00F32B28">
        <w:rPr>
          <w:rtl/>
        </w:rPr>
        <w:t>التي</w:t>
      </w:r>
      <w:r w:rsidR="00F32B28">
        <w:rPr>
          <w:rtl/>
        </w:rPr>
        <w:t xml:space="preserve"> </w:t>
      </w:r>
      <w:r w:rsidR="00F32B28" w:rsidRPr="00F32B28">
        <w:rPr>
          <w:rtl/>
        </w:rPr>
        <w:t>أجريت</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2006،</w:t>
      </w:r>
      <w:r w:rsidR="00F32B28">
        <w:rPr>
          <w:rtl/>
        </w:rPr>
        <w:t xml:space="preserve"> </w:t>
      </w:r>
      <w:r w:rsidR="00F32B28" w:rsidRPr="00F32B28">
        <w:rPr>
          <w:rtl/>
        </w:rPr>
        <w:t>كان</w:t>
      </w:r>
      <w:r w:rsidR="00F32B28">
        <w:rPr>
          <w:rtl/>
        </w:rPr>
        <w:t xml:space="preserve"> </w:t>
      </w:r>
      <w:r w:rsidR="00F32B28" w:rsidRPr="00F32B28">
        <w:rPr>
          <w:rtl/>
        </w:rPr>
        <w:t>المشرع</w:t>
      </w:r>
      <w:r w:rsidR="00F32B28">
        <w:rPr>
          <w:rtl/>
        </w:rPr>
        <w:t xml:space="preserve"> </w:t>
      </w:r>
      <w:r w:rsidR="00F32B28" w:rsidRPr="00F32B28">
        <w:rPr>
          <w:rtl/>
        </w:rPr>
        <w:t>الفلسطيني</w:t>
      </w:r>
      <w:r w:rsidR="00F32B28">
        <w:rPr>
          <w:rtl/>
        </w:rPr>
        <w:t xml:space="preserve"> </w:t>
      </w:r>
      <w:r w:rsidR="00F32B28" w:rsidRPr="00F32B28">
        <w:rPr>
          <w:rtl/>
        </w:rPr>
        <w:t>قد</w:t>
      </w:r>
      <w:r w:rsidR="00F32B28">
        <w:rPr>
          <w:rtl/>
        </w:rPr>
        <w:t xml:space="preserve"> </w:t>
      </w:r>
      <w:r w:rsidR="00F32B28" w:rsidRPr="00F32B28">
        <w:rPr>
          <w:rtl/>
        </w:rPr>
        <w:t>استدرك</w:t>
      </w:r>
      <w:r w:rsidR="00F32B28">
        <w:rPr>
          <w:rtl/>
        </w:rPr>
        <w:t xml:space="preserve"> </w:t>
      </w:r>
      <w:r w:rsidR="00F32B28" w:rsidRPr="00F32B28">
        <w:rPr>
          <w:rtl/>
        </w:rPr>
        <w:t>هوة</w:t>
      </w:r>
      <w:r w:rsidR="00F32B28">
        <w:rPr>
          <w:rtl/>
        </w:rPr>
        <w:t xml:space="preserve"> </w:t>
      </w:r>
      <w:r w:rsidR="00F32B28" w:rsidRPr="00F32B28">
        <w:rPr>
          <w:rtl/>
        </w:rPr>
        <w:t>مشاركة</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الانتخابات</w:t>
      </w:r>
      <w:r w:rsidR="00F32B28">
        <w:rPr>
          <w:rtl/>
        </w:rPr>
        <w:t xml:space="preserve"> </w:t>
      </w:r>
      <w:r w:rsidR="00F32B28" w:rsidRPr="00F32B28">
        <w:rPr>
          <w:rtl/>
        </w:rPr>
        <w:t>الأولى،</w:t>
      </w:r>
      <w:r w:rsidR="00F32B28">
        <w:rPr>
          <w:rtl/>
        </w:rPr>
        <w:t xml:space="preserve"> </w:t>
      </w:r>
      <w:r w:rsidR="00F32B28" w:rsidRPr="00F32B28">
        <w:rPr>
          <w:rtl/>
        </w:rPr>
        <w:t>فأقر</w:t>
      </w:r>
      <w:r w:rsidR="00F32B28">
        <w:rPr>
          <w:rtl/>
        </w:rPr>
        <w:t xml:space="preserve"> </w:t>
      </w:r>
      <w:r w:rsidR="00F32B28" w:rsidRPr="00F32B28">
        <w:rPr>
          <w:rtl/>
        </w:rPr>
        <w:t>في</w:t>
      </w:r>
      <w:r w:rsidR="00F32B28">
        <w:rPr>
          <w:rtl/>
        </w:rPr>
        <w:t xml:space="preserve"> </w:t>
      </w:r>
      <w:r w:rsidR="00F32B28" w:rsidRPr="00F32B28">
        <w:rPr>
          <w:rtl/>
        </w:rPr>
        <w:t>قانون</w:t>
      </w:r>
      <w:r w:rsidR="00F32B28">
        <w:rPr>
          <w:rtl/>
        </w:rPr>
        <w:t xml:space="preserve"> </w:t>
      </w:r>
      <w:r w:rsidR="00F32B28" w:rsidRPr="00F32B28">
        <w:rPr>
          <w:rtl/>
        </w:rPr>
        <w:t>الانتخابات</w:t>
      </w:r>
      <w:r w:rsidR="00F32B28">
        <w:rPr>
          <w:rtl/>
        </w:rPr>
        <w:t xml:space="preserve"> </w:t>
      </w:r>
      <w:r w:rsidR="00F32B28" w:rsidRPr="00F32B28">
        <w:rPr>
          <w:rtl/>
        </w:rPr>
        <w:t>العامة</w:t>
      </w:r>
      <w:r w:rsidR="00F32B28">
        <w:rPr>
          <w:rtl/>
        </w:rPr>
        <w:t xml:space="preserve"> </w:t>
      </w:r>
      <w:r w:rsidR="00F32B28" w:rsidRPr="00F32B28">
        <w:rPr>
          <w:rtl/>
        </w:rPr>
        <w:t>لسنة</w:t>
      </w:r>
      <w:r w:rsidR="00F32B28">
        <w:rPr>
          <w:rtl/>
        </w:rPr>
        <w:t xml:space="preserve"> </w:t>
      </w:r>
      <w:r w:rsidR="00F32B28" w:rsidRPr="00F32B28">
        <w:rPr>
          <w:rtl/>
        </w:rPr>
        <w:t>2005</w:t>
      </w:r>
      <w:r w:rsidR="00F32B28">
        <w:rPr>
          <w:rtl/>
        </w:rPr>
        <w:t xml:space="preserve"> </w:t>
      </w:r>
      <w:r w:rsidR="00F32B28" w:rsidRPr="00F32B28">
        <w:rPr>
          <w:rtl/>
        </w:rPr>
        <w:t>نظام</w:t>
      </w:r>
      <w:r w:rsidR="00F32B28">
        <w:rPr>
          <w:rtl/>
        </w:rPr>
        <w:t xml:space="preserve"> </w:t>
      </w:r>
      <w:r w:rsidR="00F32B28" w:rsidRPr="00F32B28">
        <w:rPr>
          <w:rtl/>
        </w:rPr>
        <w:t>انتخابي</w:t>
      </w:r>
      <w:r w:rsidR="00F32B28">
        <w:rPr>
          <w:rtl/>
        </w:rPr>
        <w:t xml:space="preserve"> </w:t>
      </w:r>
      <w:r w:rsidR="00F32B28" w:rsidRPr="00F32B28">
        <w:rPr>
          <w:rtl/>
        </w:rPr>
        <w:t>مختلط</w:t>
      </w:r>
      <w:r w:rsidR="00F32B28">
        <w:rPr>
          <w:rtl/>
        </w:rPr>
        <w:t xml:space="preserve"> </w:t>
      </w:r>
      <w:r w:rsidR="00F32B28" w:rsidRPr="00F32B28">
        <w:rPr>
          <w:rtl/>
        </w:rPr>
        <w:t>يجمع</w:t>
      </w:r>
      <w:r w:rsidR="00F32B28">
        <w:rPr>
          <w:rtl/>
        </w:rPr>
        <w:t xml:space="preserve"> </w:t>
      </w:r>
      <w:r w:rsidR="00F32B28" w:rsidRPr="00F32B28">
        <w:rPr>
          <w:rtl/>
        </w:rPr>
        <w:t>فيما</w:t>
      </w:r>
      <w:r w:rsidR="00F32B28">
        <w:rPr>
          <w:rtl/>
        </w:rPr>
        <w:t xml:space="preserve"> </w:t>
      </w:r>
      <w:r w:rsidR="00F32B28" w:rsidRPr="00F32B28">
        <w:rPr>
          <w:rtl/>
        </w:rPr>
        <w:t>بين</w:t>
      </w:r>
      <w:r w:rsidR="00F32B28">
        <w:rPr>
          <w:rtl/>
        </w:rPr>
        <w:t xml:space="preserve"> </w:t>
      </w:r>
      <w:r w:rsidR="00F32B28" w:rsidRPr="00F32B28">
        <w:rPr>
          <w:rtl/>
        </w:rPr>
        <w:t>نظام</w:t>
      </w:r>
      <w:r w:rsidR="00F32B28">
        <w:rPr>
          <w:rtl/>
        </w:rPr>
        <w:t xml:space="preserve"> </w:t>
      </w:r>
      <w:r w:rsidR="00F32B28" w:rsidRPr="00F32B28">
        <w:rPr>
          <w:rtl/>
        </w:rPr>
        <w:t>الأغلبية</w:t>
      </w:r>
      <w:r w:rsidR="00F32B28">
        <w:rPr>
          <w:rtl/>
        </w:rPr>
        <w:t xml:space="preserve"> </w:t>
      </w:r>
      <w:r w:rsidR="00F32B28" w:rsidRPr="00F32B28">
        <w:rPr>
          <w:rtl/>
        </w:rPr>
        <w:t>ونظام</w:t>
      </w:r>
      <w:r w:rsidR="00F32B28">
        <w:rPr>
          <w:rtl/>
        </w:rPr>
        <w:t xml:space="preserve"> </w:t>
      </w:r>
      <w:r w:rsidR="00F32B28" w:rsidRPr="00F32B28">
        <w:rPr>
          <w:rtl/>
        </w:rPr>
        <w:t>التمثيل</w:t>
      </w:r>
      <w:r w:rsidR="00F32B28">
        <w:rPr>
          <w:rtl/>
        </w:rPr>
        <w:t xml:space="preserve"> </w:t>
      </w:r>
      <w:r w:rsidR="00F32B28" w:rsidRPr="00F32B28">
        <w:rPr>
          <w:rtl/>
        </w:rPr>
        <w:t>النسبي</w:t>
      </w:r>
      <w:r w:rsidR="00F32B28">
        <w:rPr>
          <w:rtl/>
        </w:rPr>
        <w:t xml:space="preserve"> </w:t>
      </w:r>
      <w:r w:rsidR="00F32B28" w:rsidRPr="00F32B28">
        <w:rPr>
          <w:rtl/>
        </w:rPr>
        <w:t>مناصفة،</w:t>
      </w:r>
      <w:r w:rsidR="00F32B28">
        <w:rPr>
          <w:rtl/>
        </w:rPr>
        <w:t xml:space="preserve"> </w:t>
      </w:r>
      <w:r w:rsidR="00F32B28" w:rsidRPr="00F32B28">
        <w:rPr>
          <w:rtl/>
        </w:rPr>
        <w:t>كما</w:t>
      </w:r>
      <w:r w:rsidR="00F32B28">
        <w:rPr>
          <w:rtl/>
        </w:rPr>
        <w:t xml:space="preserve"> </w:t>
      </w:r>
      <w:r w:rsidR="00F32B28" w:rsidRPr="00F32B28">
        <w:rPr>
          <w:rtl/>
        </w:rPr>
        <w:t>اعتمد</w:t>
      </w:r>
      <w:r w:rsidR="00F32B28">
        <w:rPr>
          <w:rtl/>
        </w:rPr>
        <w:t xml:space="preserve"> </w:t>
      </w:r>
      <w:r w:rsidR="00F32B28" w:rsidRPr="00F32B28">
        <w:rPr>
          <w:rtl/>
        </w:rPr>
        <w:t>نظام</w:t>
      </w:r>
      <w:r w:rsidR="00F32B28">
        <w:rPr>
          <w:rtl/>
        </w:rPr>
        <w:t xml:space="preserve"> </w:t>
      </w:r>
      <w:r w:rsidR="00E12813">
        <w:rPr>
          <w:rFonts w:hint="cs"/>
          <w:rtl/>
        </w:rPr>
        <w:t>”</w:t>
      </w:r>
      <w:r w:rsidR="00F32B28" w:rsidRPr="00F32B28">
        <w:rPr>
          <w:rtl/>
        </w:rPr>
        <w:t>الكوتا</w:t>
      </w:r>
      <w:r w:rsidR="00F32B28">
        <w:rPr>
          <w:rtl/>
        </w:rPr>
        <w:t xml:space="preserve"> </w:t>
      </w:r>
      <w:r w:rsidR="00F32B28" w:rsidRPr="00F32B28">
        <w:rPr>
          <w:rtl/>
        </w:rPr>
        <w:t>النسائية</w:t>
      </w:r>
      <w:r w:rsidR="00E12813">
        <w:rPr>
          <w:rFonts w:hint="cs"/>
          <w:rtl/>
        </w:rPr>
        <w:t>“</w:t>
      </w:r>
      <w:r w:rsidR="00F32B28" w:rsidRPr="00F32B28">
        <w:rPr>
          <w:rtl/>
        </w:rPr>
        <w:t>.</w:t>
      </w:r>
      <w:r w:rsidR="00F32B28">
        <w:rPr>
          <w:rtl/>
        </w:rPr>
        <w:t xml:space="preserve"> </w:t>
      </w:r>
      <w:r w:rsidR="00F32B28" w:rsidRPr="00F32B28">
        <w:rPr>
          <w:rtl/>
        </w:rPr>
        <w:t>وكان</w:t>
      </w:r>
      <w:r w:rsidR="00F32B28">
        <w:rPr>
          <w:rtl/>
        </w:rPr>
        <w:t xml:space="preserve"> </w:t>
      </w:r>
      <w:r w:rsidR="00F32B28" w:rsidRPr="00F32B28">
        <w:rPr>
          <w:rtl/>
        </w:rPr>
        <w:t>هذا</w:t>
      </w:r>
      <w:r w:rsidR="00F32B28">
        <w:rPr>
          <w:rtl/>
        </w:rPr>
        <w:t xml:space="preserve"> </w:t>
      </w:r>
      <w:r w:rsidR="00F32B28" w:rsidRPr="00F32B28">
        <w:rPr>
          <w:rtl/>
        </w:rPr>
        <w:t>القانون</w:t>
      </w:r>
      <w:r w:rsidR="00F32B28">
        <w:rPr>
          <w:rtl/>
        </w:rPr>
        <w:t xml:space="preserve"> </w:t>
      </w:r>
      <w:r w:rsidR="00F32B28" w:rsidRPr="00F32B28">
        <w:rPr>
          <w:rtl/>
        </w:rPr>
        <w:t>قد</w:t>
      </w:r>
      <w:r w:rsidR="00F32B28">
        <w:rPr>
          <w:rtl/>
        </w:rPr>
        <w:t xml:space="preserve"> </w:t>
      </w:r>
      <w:r w:rsidR="00F32B28" w:rsidRPr="00F32B28">
        <w:rPr>
          <w:rtl/>
        </w:rPr>
        <w:t>ألغي</w:t>
      </w:r>
      <w:r w:rsidR="00F32B28">
        <w:rPr>
          <w:rtl/>
        </w:rPr>
        <w:t xml:space="preserve"> </w:t>
      </w:r>
      <w:r w:rsidR="00F32B28" w:rsidRPr="00F32B28">
        <w:rPr>
          <w:rtl/>
        </w:rPr>
        <w:t>فيما</w:t>
      </w:r>
      <w:r w:rsidR="00F32B28">
        <w:rPr>
          <w:rtl/>
        </w:rPr>
        <w:t xml:space="preserve"> </w:t>
      </w:r>
      <w:r w:rsidR="00F32B28" w:rsidRPr="00F32B28">
        <w:rPr>
          <w:rtl/>
        </w:rPr>
        <w:t>بعد</w:t>
      </w:r>
      <w:r w:rsidR="00F32B28">
        <w:rPr>
          <w:rtl/>
        </w:rPr>
        <w:t xml:space="preserve"> </w:t>
      </w:r>
      <w:r w:rsidR="00F32B28" w:rsidRPr="00F32B28">
        <w:rPr>
          <w:rtl/>
        </w:rPr>
        <w:t>بموجب</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رقم</w:t>
      </w:r>
      <w:r w:rsidR="00F32B28">
        <w:rPr>
          <w:rtl/>
        </w:rPr>
        <w:t xml:space="preserve"> </w:t>
      </w:r>
      <w:r w:rsidR="00F32B28" w:rsidRPr="00F32B28">
        <w:rPr>
          <w:rtl/>
        </w:rPr>
        <w:t>(1)</w:t>
      </w:r>
      <w:r w:rsidR="00F32B28">
        <w:rPr>
          <w:rtl/>
        </w:rPr>
        <w:t xml:space="preserve"> </w:t>
      </w:r>
      <w:r w:rsidR="00F32B28" w:rsidRPr="00F32B28">
        <w:rPr>
          <w:rtl/>
        </w:rPr>
        <w:t>لسنة</w:t>
      </w:r>
      <w:r w:rsidR="00F32B28">
        <w:rPr>
          <w:rtl/>
        </w:rPr>
        <w:t xml:space="preserve"> </w:t>
      </w:r>
      <w:r w:rsidR="00F32B28" w:rsidRPr="00F32B28">
        <w:rPr>
          <w:rtl/>
        </w:rPr>
        <w:t>2007</w:t>
      </w:r>
      <w:r w:rsidR="00F32B28">
        <w:rPr>
          <w:rtl/>
        </w:rPr>
        <w:t xml:space="preserve"> </w:t>
      </w:r>
      <w:r w:rsidR="00F32B28" w:rsidRPr="00F32B28">
        <w:rPr>
          <w:rtl/>
        </w:rPr>
        <w:t>بشأن</w:t>
      </w:r>
      <w:r w:rsidR="00F32B28">
        <w:rPr>
          <w:rtl/>
        </w:rPr>
        <w:t xml:space="preserve"> </w:t>
      </w:r>
      <w:r w:rsidR="00F32B28" w:rsidRPr="00F32B28">
        <w:rPr>
          <w:rtl/>
        </w:rPr>
        <w:t>الانتخابات</w:t>
      </w:r>
      <w:r w:rsidR="00F32B28">
        <w:rPr>
          <w:rtl/>
        </w:rPr>
        <w:t xml:space="preserve"> </w:t>
      </w:r>
      <w:r w:rsidR="00F32B28" w:rsidRPr="00F32B28">
        <w:rPr>
          <w:rtl/>
        </w:rPr>
        <w:t>العامة</w:t>
      </w:r>
      <w:r w:rsidR="00F32B28">
        <w:rPr>
          <w:rtl/>
        </w:rPr>
        <w:t xml:space="preserve"> </w:t>
      </w:r>
      <w:r w:rsidR="00F32B28" w:rsidRPr="00F32B28">
        <w:rPr>
          <w:rtl/>
        </w:rPr>
        <w:t>الذي</w:t>
      </w:r>
      <w:r w:rsidR="00F32B28">
        <w:rPr>
          <w:rtl/>
        </w:rPr>
        <w:t xml:space="preserve"> </w:t>
      </w:r>
      <w:r w:rsidR="00F32B28" w:rsidRPr="00F32B28">
        <w:rPr>
          <w:rtl/>
        </w:rPr>
        <w:t>أبقى</w:t>
      </w:r>
      <w:r w:rsidR="00F32B28">
        <w:rPr>
          <w:rtl/>
        </w:rPr>
        <w:t xml:space="preserve"> </w:t>
      </w:r>
      <w:r w:rsidR="00F32B28" w:rsidRPr="00F32B28">
        <w:rPr>
          <w:rtl/>
        </w:rPr>
        <w:t>على</w:t>
      </w:r>
      <w:r w:rsidR="00F32B28">
        <w:rPr>
          <w:rtl/>
        </w:rPr>
        <w:t xml:space="preserve"> </w:t>
      </w:r>
      <w:r w:rsidR="00F32B28" w:rsidRPr="00F32B28">
        <w:rPr>
          <w:rtl/>
        </w:rPr>
        <w:t>الكوتا</w:t>
      </w:r>
      <w:r w:rsidR="00F32B28">
        <w:rPr>
          <w:rtl/>
        </w:rPr>
        <w:t xml:space="preserve"> </w:t>
      </w:r>
      <w:r w:rsidR="00F32B28" w:rsidRPr="00F32B28">
        <w:rPr>
          <w:rtl/>
        </w:rPr>
        <w:t>النسائية،</w:t>
      </w:r>
      <w:r w:rsidR="00F32B28">
        <w:rPr>
          <w:rtl/>
        </w:rPr>
        <w:t xml:space="preserve"> </w:t>
      </w:r>
      <w:r w:rsidR="00F32B28" w:rsidRPr="00F32B28">
        <w:rPr>
          <w:rtl/>
        </w:rPr>
        <w:t>كما</w:t>
      </w:r>
      <w:r w:rsidR="00F32B28">
        <w:rPr>
          <w:rtl/>
        </w:rPr>
        <w:t xml:space="preserve"> </w:t>
      </w:r>
      <w:r w:rsidR="00F32B28" w:rsidRPr="00F32B28">
        <w:rPr>
          <w:rtl/>
        </w:rPr>
        <w:t>ورد</w:t>
      </w:r>
      <w:r w:rsidR="00F32B28">
        <w:rPr>
          <w:rtl/>
        </w:rPr>
        <w:t xml:space="preserve"> </w:t>
      </w:r>
      <w:r w:rsidR="00F32B28" w:rsidRPr="00F32B28">
        <w:rPr>
          <w:rtl/>
        </w:rPr>
        <w:t>أعلاه.</w:t>
      </w:r>
      <w:r w:rsidR="00F32B28">
        <w:rPr>
          <w:rtl/>
        </w:rPr>
        <w:t xml:space="preserve"> </w:t>
      </w:r>
      <w:r w:rsidR="00F32B28" w:rsidRPr="00F32B28">
        <w:rPr>
          <w:rtl/>
        </w:rPr>
        <w:t>وكان</w:t>
      </w:r>
      <w:r w:rsidR="00F32B28">
        <w:rPr>
          <w:rtl/>
        </w:rPr>
        <w:t xml:space="preserve"> </w:t>
      </w:r>
      <w:r w:rsidR="00F32B28" w:rsidRPr="00F32B28">
        <w:rPr>
          <w:rtl/>
        </w:rPr>
        <w:t>هذا</w:t>
      </w:r>
      <w:r w:rsidR="00F32B28">
        <w:rPr>
          <w:rtl/>
        </w:rPr>
        <w:t xml:space="preserve"> </w:t>
      </w:r>
      <w:r w:rsidR="00F32B28" w:rsidRPr="00F32B28">
        <w:rPr>
          <w:rtl/>
        </w:rPr>
        <w:t>التغيير</w:t>
      </w:r>
      <w:r w:rsidR="00F32B28">
        <w:rPr>
          <w:rtl/>
        </w:rPr>
        <w:t xml:space="preserve"> </w:t>
      </w:r>
      <w:r w:rsidR="00F32B28" w:rsidRPr="00F32B28">
        <w:rPr>
          <w:rtl/>
        </w:rPr>
        <w:t>التشريعي</w:t>
      </w:r>
      <w:r w:rsidR="00F32B28">
        <w:rPr>
          <w:rtl/>
        </w:rPr>
        <w:t xml:space="preserve"> </w:t>
      </w:r>
      <w:r w:rsidR="00F32B28" w:rsidRPr="00F32B28">
        <w:rPr>
          <w:rtl/>
        </w:rPr>
        <w:t>قد</w:t>
      </w:r>
      <w:r w:rsidR="00F32B28">
        <w:rPr>
          <w:rtl/>
        </w:rPr>
        <w:t xml:space="preserve"> </w:t>
      </w:r>
      <w:r w:rsidR="00F32B28" w:rsidRPr="00F32B28">
        <w:rPr>
          <w:rtl/>
        </w:rPr>
        <w:t>انعكست</w:t>
      </w:r>
      <w:r w:rsidR="00F32B28">
        <w:rPr>
          <w:rtl/>
        </w:rPr>
        <w:t xml:space="preserve"> </w:t>
      </w:r>
      <w:r w:rsidR="00F32B28" w:rsidRPr="00F32B28">
        <w:rPr>
          <w:rtl/>
        </w:rPr>
        <w:t>آثاره</w:t>
      </w:r>
      <w:r w:rsidR="00F32B28">
        <w:rPr>
          <w:rtl/>
        </w:rPr>
        <w:t xml:space="preserve"> </w:t>
      </w:r>
      <w:r w:rsidR="00F32B28" w:rsidRPr="00F32B28">
        <w:rPr>
          <w:rtl/>
        </w:rPr>
        <w:t>في</w:t>
      </w:r>
      <w:r w:rsidR="00F32B28">
        <w:rPr>
          <w:rtl/>
        </w:rPr>
        <w:t xml:space="preserve"> </w:t>
      </w:r>
      <w:r w:rsidR="00F32B28" w:rsidRPr="00F32B28">
        <w:rPr>
          <w:rtl/>
        </w:rPr>
        <w:t>انتخابات</w:t>
      </w:r>
      <w:r w:rsidR="00F32B28">
        <w:rPr>
          <w:rtl/>
        </w:rPr>
        <w:t xml:space="preserve"> </w:t>
      </w:r>
      <w:r w:rsidR="00F32B28" w:rsidRPr="00F32B28">
        <w:rPr>
          <w:rtl/>
        </w:rPr>
        <w:t>المجلس</w:t>
      </w:r>
      <w:r w:rsidR="00F32B28">
        <w:rPr>
          <w:rtl/>
        </w:rPr>
        <w:t xml:space="preserve"> </w:t>
      </w:r>
      <w:r w:rsidR="00F32B28" w:rsidRPr="00F32B28">
        <w:rPr>
          <w:rtl/>
        </w:rPr>
        <w:t>التشريعي</w:t>
      </w:r>
      <w:r w:rsidR="00F32B28">
        <w:rPr>
          <w:rtl/>
        </w:rPr>
        <w:t xml:space="preserve"> </w:t>
      </w:r>
      <w:r w:rsidR="00F32B28" w:rsidRPr="00F32B28">
        <w:rPr>
          <w:rtl/>
        </w:rPr>
        <w:t>الأخيرة،</w:t>
      </w:r>
      <w:r w:rsidR="00F32B28">
        <w:rPr>
          <w:rtl/>
        </w:rPr>
        <w:t xml:space="preserve"> </w:t>
      </w:r>
      <w:r w:rsidR="00F32B28" w:rsidRPr="00F32B28">
        <w:rPr>
          <w:rtl/>
        </w:rPr>
        <w:t>حيث</w:t>
      </w:r>
      <w:r w:rsidR="00F32B28">
        <w:rPr>
          <w:rtl/>
        </w:rPr>
        <w:t xml:space="preserve"> </w:t>
      </w:r>
      <w:r w:rsidR="00F32B28" w:rsidRPr="00F32B28">
        <w:rPr>
          <w:rtl/>
        </w:rPr>
        <w:t>حصلت</w:t>
      </w:r>
      <w:r w:rsidR="00F32B28">
        <w:rPr>
          <w:rtl/>
        </w:rPr>
        <w:t xml:space="preserve"> </w:t>
      </w:r>
      <w:r w:rsidR="00F32B28" w:rsidRPr="00F32B28">
        <w:rPr>
          <w:rtl/>
        </w:rPr>
        <w:t>النساء</w:t>
      </w:r>
      <w:r w:rsidR="00F32B28">
        <w:rPr>
          <w:rtl/>
        </w:rPr>
        <w:t xml:space="preserve"> </w:t>
      </w:r>
      <w:r w:rsidR="00F32B28" w:rsidRPr="00F32B28">
        <w:rPr>
          <w:rtl/>
        </w:rPr>
        <w:t>على</w:t>
      </w:r>
      <w:r w:rsidR="00F32B28">
        <w:rPr>
          <w:rtl/>
        </w:rPr>
        <w:t xml:space="preserve"> </w:t>
      </w:r>
      <w:r w:rsidR="00F32B28" w:rsidRPr="00F32B28">
        <w:rPr>
          <w:rtl/>
        </w:rPr>
        <w:t>(17)</w:t>
      </w:r>
      <w:r w:rsidR="00F32B28">
        <w:rPr>
          <w:rtl/>
        </w:rPr>
        <w:t xml:space="preserve"> </w:t>
      </w:r>
      <w:r w:rsidR="00F32B28" w:rsidRPr="00F32B28">
        <w:rPr>
          <w:rtl/>
        </w:rPr>
        <w:t>مقعداً</w:t>
      </w:r>
      <w:r w:rsidR="00F32B28">
        <w:rPr>
          <w:rtl/>
        </w:rPr>
        <w:t xml:space="preserve"> </w:t>
      </w:r>
      <w:r w:rsidR="00F32B28" w:rsidRPr="00F32B28">
        <w:rPr>
          <w:rtl/>
        </w:rPr>
        <w:t>من</w:t>
      </w:r>
      <w:r w:rsidR="00F32B28">
        <w:rPr>
          <w:rtl/>
        </w:rPr>
        <w:t xml:space="preserve"> </w:t>
      </w:r>
      <w:r w:rsidR="00F32B28" w:rsidRPr="00F32B28">
        <w:rPr>
          <w:rtl/>
        </w:rPr>
        <w:t>أصل</w:t>
      </w:r>
      <w:r w:rsidR="00F32B28">
        <w:rPr>
          <w:rtl/>
        </w:rPr>
        <w:t xml:space="preserve"> </w:t>
      </w:r>
      <w:r w:rsidR="00F32B28" w:rsidRPr="00F32B28">
        <w:rPr>
          <w:rtl/>
        </w:rPr>
        <w:t>(132)</w:t>
      </w:r>
      <w:r w:rsidR="00F32B28">
        <w:rPr>
          <w:rtl/>
        </w:rPr>
        <w:t xml:space="preserve"> </w:t>
      </w:r>
      <w:r w:rsidR="00F32B28" w:rsidRPr="00F32B28">
        <w:rPr>
          <w:rtl/>
        </w:rPr>
        <w:t>مقعداً.</w:t>
      </w:r>
      <w:r w:rsidR="00F32B28">
        <w:rPr>
          <w:rtl/>
        </w:rPr>
        <w:t xml:space="preserve"> </w:t>
      </w:r>
      <w:r w:rsidR="00F32B28" w:rsidRPr="00F32B28">
        <w:rPr>
          <w:rtl/>
        </w:rPr>
        <w:t>ورغم</w:t>
      </w:r>
      <w:r w:rsidR="00F32B28">
        <w:rPr>
          <w:rtl/>
        </w:rPr>
        <w:t xml:space="preserve"> </w:t>
      </w:r>
      <w:r w:rsidR="00F32B28" w:rsidRPr="00F32B28">
        <w:rPr>
          <w:rtl/>
        </w:rPr>
        <w:t>أن</w:t>
      </w:r>
      <w:r w:rsidR="00F32B28">
        <w:rPr>
          <w:rtl/>
        </w:rPr>
        <w:t xml:space="preserve"> </w:t>
      </w:r>
      <w:r w:rsidR="00F32B28" w:rsidRPr="00F32B28">
        <w:rPr>
          <w:rtl/>
        </w:rPr>
        <w:t>هذه</w:t>
      </w:r>
      <w:r w:rsidR="00F32B28">
        <w:rPr>
          <w:rtl/>
        </w:rPr>
        <w:t xml:space="preserve"> </w:t>
      </w:r>
      <w:r w:rsidR="00F32B28" w:rsidRPr="00F32B28">
        <w:rPr>
          <w:rtl/>
        </w:rPr>
        <w:t>النسبة</w:t>
      </w:r>
      <w:r w:rsidR="00F32B28">
        <w:rPr>
          <w:rtl/>
        </w:rPr>
        <w:t xml:space="preserve"> </w:t>
      </w:r>
      <w:r w:rsidR="00F32B28" w:rsidRPr="00F32B28">
        <w:rPr>
          <w:rtl/>
        </w:rPr>
        <w:t>لا</w:t>
      </w:r>
      <w:r w:rsidR="00F32B28">
        <w:rPr>
          <w:rtl/>
        </w:rPr>
        <w:t xml:space="preserve"> </w:t>
      </w:r>
      <w:r w:rsidR="00F32B28" w:rsidRPr="00F32B28">
        <w:rPr>
          <w:rtl/>
        </w:rPr>
        <w:t>تزال</w:t>
      </w:r>
      <w:r w:rsidR="00F32B28">
        <w:rPr>
          <w:rtl/>
        </w:rPr>
        <w:t xml:space="preserve"> </w:t>
      </w:r>
      <w:r w:rsidR="00F32B28" w:rsidRPr="00F32B28">
        <w:rPr>
          <w:rtl/>
        </w:rPr>
        <w:t>غير</w:t>
      </w:r>
      <w:r w:rsidR="00F32B28">
        <w:rPr>
          <w:rtl/>
        </w:rPr>
        <w:t xml:space="preserve"> </w:t>
      </w:r>
      <w:r w:rsidR="00F32B28" w:rsidRPr="00F32B28">
        <w:rPr>
          <w:rtl/>
        </w:rPr>
        <w:t>منصفة</w:t>
      </w:r>
      <w:r w:rsidR="00F32B28">
        <w:rPr>
          <w:rtl/>
        </w:rPr>
        <w:t xml:space="preserve"> </w:t>
      </w:r>
      <w:r w:rsidR="00F32B28" w:rsidRPr="00F32B28">
        <w:rPr>
          <w:rtl/>
        </w:rPr>
        <w:t>للمرأة</w:t>
      </w:r>
      <w:r w:rsidR="00F32B28">
        <w:rPr>
          <w:rtl/>
        </w:rPr>
        <w:t xml:space="preserve"> </w:t>
      </w:r>
      <w:r w:rsidR="00F32B28" w:rsidRPr="00F32B28">
        <w:rPr>
          <w:rtl/>
        </w:rPr>
        <w:t>إلا</w:t>
      </w:r>
      <w:r w:rsidR="00F32B28">
        <w:rPr>
          <w:rtl/>
        </w:rPr>
        <w:t xml:space="preserve"> </w:t>
      </w:r>
      <w:r w:rsidR="00F32B28" w:rsidRPr="00F32B28">
        <w:rPr>
          <w:rtl/>
        </w:rPr>
        <w:t>أنها</w:t>
      </w:r>
      <w:r w:rsidR="00F32B28">
        <w:rPr>
          <w:rtl/>
        </w:rPr>
        <w:t xml:space="preserve"> </w:t>
      </w:r>
      <w:r w:rsidR="00F32B28" w:rsidRPr="00F32B28">
        <w:rPr>
          <w:rtl/>
        </w:rPr>
        <w:t>تعكس</w:t>
      </w:r>
      <w:r w:rsidR="00F32B28">
        <w:rPr>
          <w:rtl/>
        </w:rPr>
        <w:t xml:space="preserve"> </w:t>
      </w:r>
      <w:r w:rsidR="00F32B28" w:rsidRPr="00F32B28">
        <w:rPr>
          <w:rtl/>
        </w:rPr>
        <w:t>تغير</w:t>
      </w:r>
      <w:r w:rsidR="00F32B28">
        <w:rPr>
          <w:rtl/>
        </w:rPr>
        <w:t xml:space="preserve"> </w:t>
      </w:r>
      <w:r w:rsidR="00F32B28" w:rsidRPr="00F32B28">
        <w:rPr>
          <w:rtl/>
        </w:rPr>
        <w:t>داعٍ</w:t>
      </w:r>
      <w:r w:rsidR="00F32B28">
        <w:rPr>
          <w:rtl/>
        </w:rPr>
        <w:t xml:space="preserve"> </w:t>
      </w:r>
      <w:r w:rsidR="00F32B28" w:rsidRPr="00F32B28">
        <w:rPr>
          <w:rtl/>
        </w:rPr>
        <w:t>للتفاؤل</w:t>
      </w:r>
      <w:r w:rsidR="00F32B28">
        <w:rPr>
          <w:rtl/>
        </w:rPr>
        <w:t xml:space="preserve"> </w:t>
      </w:r>
      <w:r w:rsidR="00F32B28" w:rsidRPr="00F32B28">
        <w:rPr>
          <w:rtl/>
        </w:rPr>
        <w:t>في</w:t>
      </w:r>
      <w:r w:rsidR="00F32B28">
        <w:rPr>
          <w:rtl/>
        </w:rPr>
        <w:t xml:space="preserve"> </w:t>
      </w:r>
      <w:r w:rsidR="00F32B28" w:rsidRPr="00F32B28">
        <w:rPr>
          <w:rtl/>
        </w:rPr>
        <w:t>أنماط</w:t>
      </w:r>
      <w:r w:rsidR="00F32B28">
        <w:rPr>
          <w:rtl/>
        </w:rPr>
        <w:t xml:space="preserve"> </w:t>
      </w:r>
      <w:r w:rsidR="00F32B28" w:rsidRPr="00F32B28">
        <w:rPr>
          <w:rtl/>
        </w:rPr>
        <w:t>السلوك</w:t>
      </w:r>
      <w:r w:rsidR="00F32B28">
        <w:rPr>
          <w:rtl/>
        </w:rPr>
        <w:t xml:space="preserve"> </w:t>
      </w:r>
      <w:r w:rsidR="00F32B28" w:rsidRPr="00F32B28">
        <w:rPr>
          <w:rtl/>
        </w:rPr>
        <w:t>الانتخابي</w:t>
      </w:r>
      <w:r w:rsidR="00F32B28">
        <w:rPr>
          <w:rtl/>
        </w:rPr>
        <w:t xml:space="preserve"> </w:t>
      </w:r>
      <w:r w:rsidR="00F32B28" w:rsidRPr="00F32B28">
        <w:rPr>
          <w:rtl/>
        </w:rPr>
        <w:t>تجاه</w:t>
      </w:r>
      <w:r w:rsidR="00F32B28">
        <w:rPr>
          <w:rtl/>
        </w:rPr>
        <w:t xml:space="preserve"> </w:t>
      </w:r>
      <w:r w:rsidR="00F32B28" w:rsidRPr="00F32B28">
        <w:rPr>
          <w:rtl/>
        </w:rPr>
        <w:t>النساء</w:t>
      </w:r>
      <w:r w:rsidR="00F32B28">
        <w:rPr>
          <w:rtl/>
        </w:rPr>
        <w:t xml:space="preserve"> </w:t>
      </w:r>
      <w:r w:rsidR="00F32B28" w:rsidRPr="00F32B28">
        <w:rPr>
          <w:rtl/>
        </w:rPr>
        <w:t>بشكل</w:t>
      </w:r>
      <w:r w:rsidR="00F32B28">
        <w:rPr>
          <w:rtl/>
        </w:rPr>
        <w:t xml:space="preserve"> </w:t>
      </w:r>
      <w:r w:rsidR="00F32B28" w:rsidRPr="00F32B28">
        <w:rPr>
          <w:rtl/>
        </w:rPr>
        <w:t>عام.</w:t>
      </w:r>
    </w:p>
    <w:p w:rsidR="00F32B28" w:rsidRDefault="008A31F2" w:rsidP="008A31F2">
      <w:pPr>
        <w:pStyle w:val="SingleTxt"/>
        <w:rPr>
          <w:rtl/>
        </w:rPr>
      </w:pPr>
      <w:r>
        <w:rPr>
          <w:rFonts w:hint="cs"/>
          <w:rtl/>
        </w:rPr>
        <w:t xml:space="preserve">115 -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مجالس</w:t>
      </w:r>
      <w:r w:rsidR="00F32B28">
        <w:rPr>
          <w:rtl/>
        </w:rPr>
        <w:t xml:space="preserve"> </w:t>
      </w:r>
      <w:r w:rsidR="00F32B28" w:rsidRPr="00F32B28">
        <w:rPr>
          <w:rtl/>
        </w:rPr>
        <w:t>الهيئات</w:t>
      </w:r>
      <w:r w:rsidR="00F32B28">
        <w:rPr>
          <w:rtl/>
        </w:rPr>
        <w:t xml:space="preserve"> </w:t>
      </w:r>
      <w:r w:rsidR="00F32B28" w:rsidRPr="00F32B28">
        <w:rPr>
          <w:rtl/>
        </w:rPr>
        <w:t>المحلية،</w:t>
      </w:r>
      <w:r w:rsidR="00F32B28">
        <w:rPr>
          <w:rtl/>
        </w:rPr>
        <w:t xml:space="preserve"> </w:t>
      </w:r>
      <w:r w:rsidR="00F32B28" w:rsidRPr="00F32B28">
        <w:rPr>
          <w:rtl/>
        </w:rPr>
        <w:t>تشير</w:t>
      </w:r>
      <w:r w:rsidR="00F32B28">
        <w:rPr>
          <w:rtl/>
        </w:rPr>
        <w:t xml:space="preserve"> </w:t>
      </w:r>
      <w:r w:rsidR="00F32B28" w:rsidRPr="00F32B28">
        <w:rPr>
          <w:rtl/>
        </w:rPr>
        <w:t>البيانات</w:t>
      </w:r>
      <w:r w:rsidR="00F32B28">
        <w:rPr>
          <w:rtl/>
        </w:rPr>
        <w:t xml:space="preserve"> </w:t>
      </w:r>
      <w:r w:rsidR="00F32B28" w:rsidRPr="00F32B28">
        <w:rPr>
          <w:rtl/>
        </w:rPr>
        <w:t>بأن</w:t>
      </w:r>
      <w:r w:rsidR="00F32B28">
        <w:rPr>
          <w:rtl/>
        </w:rPr>
        <w:t xml:space="preserve"> </w:t>
      </w:r>
      <w:r w:rsidR="00F32B28" w:rsidRPr="00F32B28">
        <w:rPr>
          <w:rtl/>
        </w:rPr>
        <w:t>نسب</w:t>
      </w:r>
      <w:r w:rsidR="00F32B28">
        <w:rPr>
          <w:rtl/>
        </w:rPr>
        <w:t xml:space="preserve"> </w:t>
      </w:r>
      <w:r w:rsidR="00F32B28" w:rsidRPr="00F32B28">
        <w:rPr>
          <w:rtl/>
        </w:rPr>
        <w:t>الترشيح</w:t>
      </w:r>
      <w:r w:rsidR="00F32B28">
        <w:rPr>
          <w:rtl/>
        </w:rPr>
        <w:t xml:space="preserve"> </w:t>
      </w:r>
      <w:r w:rsidR="00F32B28" w:rsidRPr="00F32B28">
        <w:rPr>
          <w:rtl/>
        </w:rPr>
        <w:t>لدى</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انتخابات</w:t>
      </w:r>
      <w:r w:rsidR="00F32B28">
        <w:rPr>
          <w:rtl/>
        </w:rPr>
        <w:t xml:space="preserve"> </w:t>
      </w:r>
      <w:r w:rsidR="00F32B28" w:rsidRPr="00F32B28">
        <w:rPr>
          <w:rtl/>
        </w:rPr>
        <w:t>عام</w:t>
      </w:r>
      <w:r w:rsidR="00F32B28">
        <w:rPr>
          <w:rtl/>
        </w:rPr>
        <w:t xml:space="preserve"> </w:t>
      </w:r>
      <w:r w:rsidR="00F32B28" w:rsidRPr="00F32B28">
        <w:rPr>
          <w:rtl/>
        </w:rPr>
        <w:t>2012</w:t>
      </w:r>
      <w:r w:rsidR="00F32B28">
        <w:rPr>
          <w:rtl/>
        </w:rPr>
        <w:t xml:space="preserve"> </w:t>
      </w:r>
      <w:r w:rsidR="00F32B28" w:rsidRPr="00F32B28">
        <w:rPr>
          <w:rtl/>
        </w:rPr>
        <w:t>قد</w:t>
      </w:r>
      <w:r w:rsidR="00F32B28">
        <w:rPr>
          <w:rtl/>
        </w:rPr>
        <w:t xml:space="preserve"> </w:t>
      </w:r>
      <w:r w:rsidR="00F32B28" w:rsidRPr="00F32B28">
        <w:rPr>
          <w:rtl/>
        </w:rPr>
        <w:t>زادت</w:t>
      </w:r>
      <w:r w:rsidR="00F32B28">
        <w:rPr>
          <w:rtl/>
        </w:rPr>
        <w:t xml:space="preserve"> </w:t>
      </w:r>
      <w:r w:rsidR="00F32B28" w:rsidRPr="00F32B28">
        <w:rPr>
          <w:rtl/>
        </w:rPr>
        <w:t>عن</w:t>
      </w:r>
      <w:r w:rsidR="00F32B28">
        <w:rPr>
          <w:rtl/>
        </w:rPr>
        <w:t xml:space="preserve"> </w:t>
      </w:r>
      <w:r w:rsidR="00F32B28" w:rsidRPr="00F32B28">
        <w:rPr>
          <w:rtl/>
        </w:rPr>
        <w:t>سابقتها</w:t>
      </w:r>
      <w:r w:rsidR="00F32B28">
        <w:rPr>
          <w:rtl/>
        </w:rPr>
        <w:t xml:space="preserve"> </w:t>
      </w:r>
      <w:r w:rsidR="00F32B28" w:rsidRPr="00F32B28">
        <w:rPr>
          <w:rtl/>
        </w:rPr>
        <w:t>التي</w:t>
      </w:r>
      <w:r w:rsidR="00F32B28">
        <w:rPr>
          <w:rtl/>
        </w:rPr>
        <w:t xml:space="preserve"> </w:t>
      </w:r>
      <w:r w:rsidR="00F32B28" w:rsidRPr="00F32B28">
        <w:rPr>
          <w:rtl/>
        </w:rPr>
        <w:t>أجريت</w:t>
      </w:r>
      <w:r w:rsidR="00F32B28">
        <w:rPr>
          <w:rtl/>
        </w:rPr>
        <w:t xml:space="preserve"> </w:t>
      </w:r>
      <w:r w:rsidR="00F32B28" w:rsidRPr="00F32B28">
        <w:rPr>
          <w:rtl/>
        </w:rPr>
        <w:t>في</w:t>
      </w:r>
      <w:r w:rsidR="00F32B28">
        <w:rPr>
          <w:rtl/>
        </w:rPr>
        <w:t xml:space="preserve"> </w:t>
      </w:r>
      <w:r w:rsidR="00F32B28" w:rsidRPr="00F32B28">
        <w:rPr>
          <w:rtl/>
        </w:rPr>
        <w:t>2004-2005؛</w:t>
      </w:r>
      <w:r w:rsidR="00F32B28">
        <w:rPr>
          <w:rtl/>
        </w:rPr>
        <w:t xml:space="preserve"> </w:t>
      </w:r>
      <w:r w:rsidR="00F32B28" w:rsidRPr="00F32B28">
        <w:rPr>
          <w:rtl/>
        </w:rPr>
        <w:t>ويعود</w:t>
      </w:r>
      <w:r w:rsidR="00F32B28">
        <w:rPr>
          <w:rtl/>
        </w:rPr>
        <w:t xml:space="preserve"> </w:t>
      </w:r>
      <w:r w:rsidR="00F32B28" w:rsidRPr="00F32B28">
        <w:rPr>
          <w:rtl/>
        </w:rPr>
        <w:t>ذلك</w:t>
      </w:r>
      <w:r w:rsidR="00F32B28">
        <w:rPr>
          <w:rtl/>
        </w:rPr>
        <w:t xml:space="preserve"> </w:t>
      </w:r>
      <w:r w:rsidR="00F32B28" w:rsidRPr="00F32B28">
        <w:rPr>
          <w:rtl/>
        </w:rPr>
        <w:t>أيضاً</w:t>
      </w:r>
      <w:r w:rsidR="00F32B28">
        <w:rPr>
          <w:rtl/>
        </w:rPr>
        <w:t xml:space="preserve"> </w:t>
      </w:r>
      <w:r w:rsidR="00F32B28" w:rsidRPr="00F32B28">
        <w:rPr>
          <w:rtl/>
        </w:rPr>
        <w:t>إلى</w:t>
      </w:r>
      <w:r w:rsidR="00F32B28">
        <w:rPr>
          <w:rtl/>
        </w:rPr>
        <w:t xml:space="preserve"> </w:t>
      </w:r>
      <w:r w:rsidR="00F32B28" w:rsidRPr="00F32B28">
        <w:rPr>
          <w:rtl/>
        </w:rPr>
        <w:t>إقرار</w:t>
      </w:r>
      <w:r w:rsidR="00F32B28">
        <w:rPr>
          <w:rtl/>
        </w:rPr>
        <w:t xml:space="preserve"> </w:t>
      </w:r>
      <w:r w:rsidR="00F32B28" w:rsidRPr="00F32B28">
        <w:rPr>
          <w:rtl/>
        </w:rPr>
        <w:t>نظامي</w:t>
      </w:r>
      <w:r w:rsidR="00F32B28">
        <w:rPr>
          <w:rtl/>
        </w:rPr>
        <w:t xml:space="preserve"> </w:t>
      </w:r>
      <w:r w:rsidR="00F32B28" w:rsidRPr="00F32B28">
        <w:rPr>
          <w:rtl/>
        </w:rPr>
        <w:t>التمثيل</w:t>
      </w:r>
      <w:r w:rsidR="00F32B28">
        <w:rPr>
          <w:rtl/>
        </w:rPr>
        <w:t xml:space="preserve"> </w:t>
      </w:r>
      <w:r w:rsidR="00F32B28" w:rsidRPr="00F32B28">
        <w:rPr>
          <w:rtl/>
        </w:rPr>
        <w:t>النسبي</w:t>
      </w:r>
      <w:r w:rsidR="00F32B28">
        <w:rPr>
          <w:rtl/>
        </w:rPr>
        <w:t xml:space="preserve"> </w:t>
      </w:r>
      <w:r w:rsidR="00F32B28" w:rsidRPr="00F32B28">
        <w:rPr>
          <w:rtl/>
        </w:rPr>
        <w:t>والكوتا</w:t>
      </w:r>
      <w:r w:rsidR="00F32B28">
        <w:rPr>
          <w:rtl/>
        </w:rPr>
        <w:t xml:space="preserve"> </w:t>
      </w:r>
      <w:r w:rsidR="00F32B28" w:rsidRPr="00F32B28">
        <w:rPr>
          <w:rtl/>
        </w:rPr>
        <w:t>في</w:t>
      </w:r>
      <w:r w:rsidR="00F32B28">
        <w:rPr>
          <w:rtl/>
        </w:rPr>
        <w:t xml:space="preserve"> </w:t>
      </w:r>
      <w:r w:rsidR="00F32B28" w:rsidRPr="00F32B28">
        <w:rPr>
          <w:rtl/>
        </w:rPr>
        <w:t>قانون</w:t>
      </w:r>
      <w:r w:rsidR="00F32B28">
        <w:rPr>
          <w:rtl/>
        </w:rPr>
        <w:t xml:space="preserve"> </w:t>
      </w:r>
      <w:r w:rsidR="00F32B28" w:rsidRPr="00F32B28">
        <w:rPr>
          <w:rtl/>
        </w:rPr>
        <w:t>انتخاب</w:t>
      </w:r>
      <w:r w:rsidR="00F32B28">
        <w:rPr>
          <w:rtl/>
        </w:rPr>
        <w:t xml:space="preserve"> </w:t>
      </w:r>
      <w:r w:rsidR="00F32B28" w:rsidRPr="00F32B28">
        <w:rPr>
          <w:rtl/>
        </w:rPr>
        <w:t>مجالس</w:t>
      </w:r>
      <w:r w:rsidR="00F32B28">
        <w:rPr>
          <w:rtl/>
        </w:rPr>
        <w:t xml:space="preserve"> </w:t>
      </w:r>
      <w:r w:rsidR="00F32B28" w:rsidRPr="00F32B28">
        <w:rPr>
          <w:rtl/>
        </w:rPr>
        <w:t>الهيئات</w:t>
      </w:r>
      <w:r w:rsidR="00F32B28">
        <w:rPr>
          <w:rtl/>
        </w:rPr>
        <w:t xml:space="preserve"> </w:t>
      </w:r>
      <w:r w:rsidR="00F32B28" w:rsidRPr="00F32B28">
        <w:rPr>
          <w:rtl/>
        </w:rPr>
        <w:t>المحلية</w:t>
      </w:r>
      <w:r w:rsidR="00F32B28">
        <w:rPr>
          <w:rtl/>
        </w:rPr>
        <w:t xml:space="preserve"> </w:t>
      </w:r>
      <w:r w:rsidR="00F32B28" w:rsidRPr="00F32B28">
        <w:rPr>
          <w:rtl/>
        </w:rPr>
        <w:t>لسنة</w:t>
      </w:r>
      <w:r w:rsidR="00F32B28">
        <w:rPr>
          <w:rtl/>
        </w:rPr>
        <w:t xml:space="preserve"> </w:t>
      </w:r>
      <w:r w:rsidR="00F32B28" w:rsidRPr="00F32B28">
        <w:rPr>
          <w:rtl/>
        </w:rPr>
        <w:t>2005،</w:t>
      </w:r>
      <w:r w:rsidR="00F32B28">
        <w:rPr>
          <w:rtl/>
        </w:rPr>
        <w:t xml:space="preserve"> </w:t>
      </w:r>
      <w:r w:rsidR="00F32B28" w:rsidRPr="00F32B28">
        <w:rPr>
          <w:rtl/>
        </w:rPr>
        <w:t>حيث</w:t>
      </w:r>
      <w:r w:rsidR="00F32B28">
        <w:rPr>
          <w:rtl/>
        </w:rPr>
        <w:t xml:space="preserve"> </w:t>
      </w:r>
      <w:r w:rsidR="00F32B28" w:rsidRPr="00F32B28">
        <w:rPr>
          <w:rtl/>
        </w:rPr>
        <w:t>حصلت</w:t>
      </w:r>
      <w:r w:rsidR="00F32B28">
        <w:rPr>
          <w:rtl/>
        </w:rPr>
        <w:t xml:space="preserve"> </w:t>
      </w:r>
      <w:r w:rsidR="00F32B28" w:rsidRPr="00F32B28">
        <w:rPr>
          <w:rtl/>
        </w:rPr>
        <w:t>(738</w:t>
      </w:r>
      <w:r w:rsidR="00F32B28" w:rsidRPr="00F32B28">
        <w:rPr>
          <w:rtl/>
          <w:lang w:bidi="ar-SY"/>
        </w:rPr>
        <w:t>)</w:t>
      </w:r>
      <w:r w:rsidR="00F32B28">
        <w:rPr>
          <w:rtl/>
        </w:rPr>
        <w:t xml:space="preserve"> </w:t>
      </w:r>
      <w:r w:rsidR="00F32B28" w:rsidRPr="00F32B28">
        <w:rPr>
          <w:rtl/>
        </w:rPr>
        <w:t>امرأة</w:t>
      </w:r>
      <w:r w:rsidR="00F32B28">
        <w:rPr>
          <w:rtl/>
        </w:rPr>
        <w:t xml:space="preserve"> </w:t>
      </w:r>
      <w:r w:rsidR="00F32B28" w:rsidRPr="00F32B28">
        <w:rPr>
          <w:rtl/>
        </w:rPr>
        <w:t>على</w:t>
      </w:r>
      <w:r w:rsidR="00F32B28">
        <w:rPr>
          <w:rtl/>
        </w:rPr>
        <w:t xml:space="preserve"> </w:t>
      </w:r>
      <w:r w:rsidR="00F32B28" w:rsidRPr="00F32B28">
        <w:rPr>
          <w:rtl/>
        </w:rPr>
        <w:t>عضوية</w:t>
      </w:r>
      <w:r w:rsidR="00F32B28">
        <w:rPr>
          <w:rtl/>
        </w:rPr>
        <w:t xml:space="preserve"> </w:t>
      </w:r>
      <w:r w:rsidR="00F32B28" w:rsidRPr="00F32B28">
        <w:rPr>
          <w:rtl/>
        </w:rPr>
        <w:t>مجالس</w:t>
      </w:r>
      <w:r w:rsidR="00F32B28">
        <w:rPr>
          <w:rtl/>
        </w:rPr>
        <w:t xml:space="preserve"> </w:t>
      </w:r>
      <w:r w:rsidR="00F32B28" w:rsidRPr="00F32B28">
        <w:rPr>
          <w:rtl/>
        </w:rPr>
        <w:t>الهيئات</w:t>
      </w:r>
      <w:r w:rsidR="00F32B28">
        <w:rPr>
          <w:rtl/>
        </w:rPr>
        <w:t xml:space="preserve"> </w:t>
      </w:r>
      <w:r w:rsidR="00F32B28" w:rsidRPr="00F32B28">
        <w:rPr>
          <w:rtl/>
        </w:rPr>
        <w:t>المحلية</w:t>
      </w:r>
      <w:r w:rsidR="00F32B28">
        <w:rPr>
          <w:rtl/>
        </w:rPr>
        <w:t xml:space="preserve"> </w:t>
      </w:r>
      <w:r w:rsidR="00F32B28" w:rsidRPr="00F32B28">
        <w:rPr>
          <w:rtl/>
        </w:rPr>
        <w:t>مما</w:t>
      </w:r>
      <w:r w:rsidR="00F32B28">
        <w:rPr>
          <w:rtl/>
        </w:rPr>
        <w:t xml:space="preserve"> </w:t>
      </w:r>
      <w:r w:rsidR="00F32B28" w:rsidRPr="00F32B28">
        <w:rPr>
          <w:rtl/>
        </w:rPr>
        <w:t>مجموعه</w:t>
      </w:r>
      <w:r w:rsidR="00F32B28">
        <w:rPr>
          <w:rtl/>
        </w:rPr>
        <w:t xml:space="preserve"> </w:t>
      </w:r>
      <w:r w:rsidR="00F32B28" w:rsidRPr="00F32B28">
        <w:rPr>
          <w:rtl/>
        </w:rPr>
        <w:t>(</w:t>
      </w:r>
      <w:r w:rsidR="0043161B">
        <w:rPr>
          <w:rFonts w:hint="cs"/>
          <w:rtl/>
        </w:rPr>
        <w:t>505 3</w:t>
      </w:r>
      <w:r w:rsidR="00F32B28" w:rsidRPr="00F32B28">
        <w:rPr>
          <w:rtl/>
        </w:rPr>
        <w:t>)</w:t>
      </w:r>
      <w:r w:rsidR="00F32B28">
        <w:rPr>
          <w:rtl/>
        </w:rPr>
        <w:t xml:space="preserve"> </w:t>
      </w:r>
      <w:r w:rsidR="00F32B28" w:rsidRPr="00F32B28">
        <w:rPr>
          <w:rtl/>
        </w:rPr>
        <w:t>عضوية.</w:t>
      </w:r>
      <w:r w:rsidR="00F32B28">
        <w:rPr>
          <w:rtl/>
        </w:rPr>
        <w:t xml:space="preserve"> </w:t>
      </w:r>
      <w:r w:rsidR="00F32B28" w:rsidRPr="00F32B28">
        <w:rPr>
          <w:rtl/>
        </w:rPr>
        <w:t>غير</w:t>
      </w:r>
      <w:r w:rsidR="00F32B28">
        <w:rPr>
          <w:rtl/>
        </w:rPr>
        <w:t xml:space="preserve"> </w:t>
      </w:r>
      <w:r w:rsidR="00F32B28" w:rsidRPr="00F32B28">
        <w:rPr>
          <w:rtl/>
        </w:rPr>
        <w:t>أن</w:t>
      </w:r>
      <w:r w:rsidR="00F32B28">
        <w:rPr>
          <w:rtl/>
        </w:rPr>
        <w:t xml:space="preserve"> </w:t>
      </w:r>
      <w:r w:rsidR="00F32B28" w:rsidRPr="00F32B28">
        <w:rPr>
          <w:rtl/>
        </w:rPr>
        <w:t>نسبة</w:t>
      </w:r>
      <w:r w:rsidR="00F32B28">
        <w:rPr>
          <w:rtl/>
        </w:rPr>
        <w:t xml:space="preserve"> </w:t>
      </w:r>
      <w:r w:rsidR="00F32B28" w:rsidRPr="00F32B28">
        <w:rPr>
          <w:rtl/>
        </w:rPr>
        <w:t>مشاركة</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الاقتراع</w:t>
      </w:r>
      <w:r w:rsidR="00F32B28">
        <w:rPr>
          <w:rtl/>
        </w:rPr>
        <w:t xml:space="preserve"> </w:t>
      </w:r>
      <w:r w:rsidR="00F32B28" w:rsidRPr="00F32B28">
        <w:rPr>
          <w:rtl/>
        </w:rPr>
        <w:t>في</w:t>
      </w:r>
      <w:r w:rsidR="00F32B28">
        <w:rPr>
          <w:rtl/>
        </w:rPr>
        <w:t xml:space="preserve"> </w:t>
      </w:r>
      <w:r w:rsidR="00F32B28" w:rsidRPr="00F32B28">
        <w:rPr>
          <w:rtl/>
        </w:rPr>
        <w:t>الانتخابات</w:t>
      </w:r>
      <w:r w:rsidR="00F32B28">
        <w:rPr>
          <w:rtl/>
        </w:rPr>
        <w:t xml:space="preserve"> </w:t>
      </w:r>
      <w:r w:rsidR="00F32B28" w:rsidRPr="00F32B28">
        <w:rPr>
          <w:rtl/>
        </w:rPr>
        <w:t>السابقة</w:t>
      </w:r>
      <w:r w:rsidR="00F32B28">
        <w:rPr>
          <w:rtl/>
        </w:rPr>
        <w:t xml:space="preserve"> </w:t>
      </w:r>
      <w:r w:rsidR="00F32B28" w:rsidRPr="00F32B28">
        <w:rPr>
          <w:rtl/>
        </w:rPr>
        <w:t>كانت</w:t>
      </w:r>
      <w:r w:rsidR="00F32B28">
        <w:rPr>
          <w:rtl/>
        </w:rPr>
        <w:t xml:space="preserve"> </w:t>
      </w:r>
      <w:r w:rsidR="00F32B28" w:rsidRPr="00F32B28">
        <w:rPr>
          <w:rtl/>
        </w:rPr>
        <w:t>أكبر</w:t>
      </w:r>
      <w:r w:rsidR="00F32B28">
        <w:rPr>
          <w:rtl/>
        </w:rPr>
        <w:t xml:space="preserve"> </w:t>
      </w:r>
      <w:r w:rsidR="00F32B28" w:rsidRPr="00F32B28">
        <w:rPr>
          <w:rtl/>
        </w:rPr>
        <w:t>من</w:t>
      </w:r>
      <w:r w:rsidR="00F32B28">
        <w:rPr>
          <w:rtl/>
        </w:rPr>
        <w:t xml:space="preserve"> </w:t>
      </w:r>
      <w:r w:rsidR="00F32B28" w:rsidRPr="00F32B28">
        <w:rPr>
          <w:rtl/>
        </w:rPr>
        <w:t>الأخيرة؛</w:t>
      </w:r>
      <w:r w:rsidR="00F32B28">
        <w:rPr>
          <w:rtl/>
        </w:rPr>
        <w:t xml:space="preserve"> </w:t>
      </w:r>
      <w:r w:rsidR="00F32B28" w:rsidRPr="00F32B28">
        <w:rPr>
          <w:rtl/>
        </w:rPr>
        <w:t>وذلك</w:t>
      </w:r>
      <w:r w:rsidR="00F32B28">
        <w:rPr>
          <w:rtl/>
        </w:rPr>
        <w:t xml:space="preserve"> </w:t>
      </w:r>
      <w:r w:rsidR="00F32B28" w:rsidRPr="00F32B28">
        <w:rPr>
          <w:rtl/>
        </w:rPr>
        <w:t>كله</w:t>
      </w:r>
      <w:r w:rsidR="00F32B28">
        <w:rPr>
          <w:rtl/>
        </w:rPr>
        <w:t xml:space="preserve"> </w:t>
      </w:r>
      <w:r w:rsidR="00F32B28" w:rsidRPr="00F32B28">
        <w:rPr>
          <w:rtl/>
        </w:rPr>
        <w:t>على</w:t>
      </w:r>
      <w:r w:rsidR="00F32B28">
        <w:rPr>
          <w:rtl/>
        </w:rPr>
        <w:t xml:space="preserve"> </w:t>
      </w:r>
      <w:r w:rsidR="00F32B28" w:rsidRPr="00F32B28">
        <w:rPr>
          <w:rtl/>
        </w:rPr>
        <w:t>النحو</w:t>
      </w:r>
      <w:r>
        <w:rPr>
          <w:rFonts w:hint="cs"/>
          <w:rtl/>
        </w:rPr>
        <w:t> </w:t>
      </w:r>
      <w:r w:rsidR="00F32B28" w:rsidRPr="00F32B28">
        <w:rPr>
          <w:rtl/>
        </w:rPr>
        <w:t>التالي:</w:t>
      </w:r>
      <w:r w:rsidR="00F32B28">
        <w:rPr>
          <w:rtl/>
        </w:rPr>
        <w:t xml:space="preserve"> </w:t>
      </w:r>
    </w:p>
    <w:p w:rsidR="008A31F2" w:rsidRPr="008A31F2" w:rsidRDefault="008A31F2" w:rsidP="008A31F2">
      <w:pPr>
        <w:pStyle w:val="SingleTxt"/>
        <w:spacing w:after="0" w:line="120" w:lineRule="exact"/>
        <w:rPr>
          <w:sz w:val="10"/>
          <w:rtl/>
        </w:rPr>
      </w:pPr>
    </w:p>
    <w:p w:rsidR="008A31F2" w:rsidRPr="008A31F2" w:rsidRDefault="008A31F2" w:rsidP="00EB128F">
      <w:pPr>
        <w:pStyle w:val="SingleTxt"/>
        <w:rPr>
          <w:szCs w:val="30"/>
          <w:vertAlign w:val="superscript"/>
        </w:rPr>
      </w:pPr>
      <w:r w:rsidRPr="00846FB9">
        <w:rPr>
          <w:rtl/>
        </w:rPr>
        <w:t xml:space="preserve">جدول رقم </w:t>
      </w:r>
      <w:r>
        <w:rPr>
          <w:rtl/>
        </w:rPr>
        <w:t>(1)</w:t>
      </w:r>
      <w:r>
        <w:rPr>
          <w:rFonts w:hint="cs"/>
          <w:rtl/>
        </w:rPr>
        <w:tab/>
      </w:r>
      <w:r>
        <w:rPr>
          <w:rFonts w:hint="cs"/>
          <w:rtl/>
        </w:rPr>
        <w:br/>
      </w:r>
      <w:r w:rsidRPr="00F32B28">
        <w:rPr>
          <w:b/>
          <w:bCs/>
          <w:rtl/>
        </w:rPr>
        <w:t>نسبة</w:t>
      </w:r>
      <w:r>
        <w:rPr>
          <w:b/>
          <w:bCs/>
          <w:rtl/>
        </w:rPr>
        <w:t xml:space="preserve"> </w:t>
      </w:r>
      <w:r w:rsidRPr="00F32B28">
        <w:rPr>
          <w:b/>
          <w:bCs/>
          <w:rtl/>
        </w:rPr>
        <w:t>مشاركة</w:t>
      </w:r>
      <w:r>
        <w:rPr>
          <w:b/>
          <w:bCs/>
          <w:rtl/>
        </w:rPr>
        <w:t xml:space="preserve"> </w:t>
      </w:r>
      <w:r w:rsidRPr="00F32B28">
        <w:rPr>
          <w:b/>
          <w:bCs/>
          <w:rtl/>
        </w:rPr>
        <w:t>النساء</w:t>
      </w:r>
      <w:r>
        <w:rPr>
          <w:b/>
          <w:bCs/>
          <w:rtl/>
        </w:rPr>
        <w:t xml:space="preserve"> </w:t>
      </w:r>
      <w:r w:rsidRPr="00F32B28">
        <w:rPr>
          <w:b/>
          <w:bCs/>
          <w:rtl/>
        </w:rPr>
        <w:t>في</w:t>
      </w:r>
      <w:r>
        <w:rPr>
          <w:b/>
          <w:bCs/>
          <w:rtl/>
        </w:rPr>
        <w:t xml:space="preserve"> </w:t>
      </w:r>
      <w:r w:rsidRPr="00F32B28">
        <w:rPr>
          <w:b/>
          <w:bCs/>
          <w:rtl/>
        </w:rPr>
        <w:t>انتخابات</w:t>
      </w:r>
      <w:r>
        <w:rPr>
          <w:b/>
          <w:bCs/>
          <w:rtl/>
        </w:rPr>
        <w:t xml:space="preserve"> </w:t>
      </w:r>
      <w:r w:rsidRPr="00F32B28">
        <w:rPr>
          <w:b/>
          <w:bCs/>
          <w:rtl/>
        </w:rPr>
        <w:t>مجالس</w:t>
      </w:r>
      <w:r>
        <w:rPr>
          <w:b/>
          <w:bCs/>
          <w:rtl/>
        </w:rPr>
        <w:t xml:space="preserve"> </w:t>
      </w:r>
      <w:r w:rsidRPr="00F32B28">
        <w:rPr>
          <w:b/>
          <w:bCs/>
          <w:rtl/>
        </w:rPr>
        <w:t>الهيئات</w:t>
      </w:r>
      <w:r>
        <w:rPr>
          <w:b/>
          <w:bCs/>
          <w:rtl/>
        </w:rPr>
        <w:t xml:space="preserve"> </w:t>
      </w:r>
      <w:r w:rsidRPr="00F32B28">
        <w:rPr>
          <w:b/>
          <w:bCs/>
          <w:rtl/>
        </w:rPr>
        <w:t>المحلية</w:t>
      </w:r>
      <w:r>
        <w:rPr>
          <w:b/>
          <w:bCs/>
          <w:rtl/>
        </w:rPr>
        <w:t xml:space="preserve"> </w:t>
      </w:r>
      <w:r w:rsidRPr="00F32B28">
        <w:rPr>
          <w:b/>
          <w:bCs/>
          <w:rtl/>
        </w:rPr>
        <w:t>للأعوام</w:t>
      </w:r>
      <w:r>
        <w:rPr>
          <w:b/>
          <w:bCs/>
          <w:rtl/>
        </w:rPr>
        <w:t xml:space="preserve"> </w:t>
      </w:r>
      <w:r w:rsidRPr="00F32B28">
        <w:rPr>
          <w:b/>
          <w:bCs/>
          <w:rtl/>
        </w:rPr>
        <w:t>2004-2005</w:t>
      </w:r>
      <w:r w:rsidR="00EB128F">
        <w:rPr>
          <w:rFonts w:hint="cs"/>
          <w:b/>
          <w:bCs/>
          <w:rtl/>
        </w:rPr>
        <w:br/>
      </w:r>
      <w:r w:rsidRPr="00F32B28">
        <w:rPr>
          <w:b/>
          <w:bCs/>
          <w:rtl/>
        </w:rPr>
        <w:t>و</w:t>
      </w:r>
      <w:r>
        <w:rPr>
          <w:rFonts w:hint="cs"/>
          <w:b/>
          <w:bCs/>
          <w:rtl/>
        </w:rPr>
        <w:t xml:space="preserve"> </w:t>
      </w:r>
      <w:r w:rsidRPr="00F32B28">
        <w:rPr>
          <w:b/>
          <w:bCs/>
          <w:rtl/>
        </w:rPr>
        <w:t>2012-2013</w:t>
      </w:r>
      <w:r w:rsidRPr="00846FB9">
        <w:rPr>
          <w:szCs w:val="30"/>
          <w:vertAlign w:val="superscript"/>
          <w:rtl/>
        </w:rPr>
        <w:t>(</w:t>
      </w:r>
      <w:r w:rsidRPr="00846FB9">
        <w:rPr>
          <w:rStyle w:val="FootnoteReference"/>
          <w:szCs w:val="30"/>
          <w:rtl/>
        </w:rPr>
        <w:footnoteReference w:id="1"/>
      </w:r>
      <w:r w:rsidRPr="00846FB9">
        <w:rPr>
          <w:szCs w:val="30"/>
          <w:vertAlign w:val="superscript"/>
          <w:rtl/>
        </w:rPr>
        <w:t>)</w:t>
      </w:r>
    </w:p>
    <w:tbl>
      <w:tblPr>
        <w:bidiVisual/>
        <w:tblW w:w="7320" w:type="dxa"/>
        <w:tblInd w:w="1267" w:type="dxa"/>
        <w:tblLayout w:type="fixed"/>
        <w:tblCellMar>
          <w:left w:w="0" w:type="dxa"/>
          <w:right w:w="0" w:type="dxa"/>
        </w:tblCellMar>
        <w:tblLook w:val="0000" w:firstRow="0" w:lastRow="0" w:firstColumn="0" w:lastColumn="0" w:noHBand="0" w:noVBand="0"/>
      </w:tblPr>
      <w:tblGrid>
        <w:gridCol w:w="4730"/>
        <w:gridCol w:w="1359"/>
        <w:gridCol w:w="1231"/>
      </w:tblGrid>
      <w:tr w:rsidR="008A31F2" w:rsidRPr="008A31F2" w:rsidTr="008A31F2">
        <w:trPr>
          <w:cantSplit/>
          <w:tblHeader/>
        </w:trPr>
        <w:tc>
          <w:tcPr>
            <w:tcW w:w="4730" w:type="dxa"/>
            <w:tcBorders>
              <w:top w:val="single" w:sz="4" w:space="0" w:color="auto"/>
              <w:bottom w:val="single" w:sz="12" w:space="0" w:color="auto"/>
            </w:tcBorders>
            <w:shd w:val="clear" w:color="auto" w:fill="auto"/>
            <w:vAlign w:val="bottom"/>
          </w:tcPr>
          <w:p w:rsidR="008A31F2" w:rsidRPr="008A31F2" w:rsidRDefault="008A31F2" w:rsidP="008A31F2">
            <w:pPr>
              <w:pStyle w:val="DualTxt"/>
              <w:spacing w:before="80" w:after="80" w:line="240" w:lineRule="exact"/>
              <w:ind w:left="43"/>
              <w:rPr>
                <w:i/>
                <w:iCs/>
                <w:sz w:val="16"/>
                <w:szCs w:val="24"/>
                <w:rtl/>
              </w:rPr>
            </w:pPr>
          </w:p>
        </w:tc>
        <w:tc>
          <w:tcPr>
            <w:tcW w:w="1359" w:type="dxa"/>
            <w:tcBorders>
              <w:top w:val="single" w:sz="4" w:space="0" w:color="auto"/>
              <w:bottom w:val="single" w:sz="12" w:space="0" w:color="auto"/>
            </w:tcBorders>
            <w:shd w:val="clear" w:color="auto" w:fill="auto"/>
            <w:vAlign w:val="bottom"/>
          </w:tcPr>
          <w:p w:rsidR="008A31F2" w:rsidRPr="008A31F2" w:rsidRDefault="008A31F2" w:rsidP="008A31F2">
            <w:pPr>
              <w:pStyle w:val="DualTxt"/>
              <w:spacing w:before="80" w:after="80" w:line="240" w:lineRule="exact"/>
              <w:ind w:left="43"/>
              <w:rPr>
                <w:i/>
                <w:iCs/>
                <w:sz w:val="16"/>
                <w:szCs w:val="24"/>
                <w:rtl/>
              </w:rPr>
            </w:pPr>
            <w:r w:rsidRPr="008A31F2">
              <w:rPr>
                <w:i/>
                <w:iCs/>
                <w:sz w:val="16"/>
                <w:szCs w:val="24"/>
                <w:rtl/>
              </w:rPr>
              <w:t>2004-2005</w:t>
            </w:r>
          </w:p>
        </w:tc>
        <w:tc>
          <w:tcPr>
            <w:tcW w:w="1231" w:type="dxa"/>
            <w:tcBorders>
              <w:top w:val="single" w:sz="4" w:space="0" w:color="auto"/>
              <w:bottom w:val="single" w:sz="12" w:space="0" w:color="auto"/>
            </w:tcBorders>
            <w:shd w:val="clear" w:color="auto" w:fill="auto"/>
            <w:vAlign w:val="bottom"/>
          </w:tcPr>
          <w:p w:rsidR="008A31F2" w:rsidRPr="008A31F2" w:rsidRDefault="008A31F2" w:rsidP="008A31F2">
            <w:pPr>
              <w:pStyle w:val="DualTxt"/>
              <w:spacing w:before="80" w:after="80" w:line="240" w:lineRule="exact"/>
              <w:ind w:left="43"/>
              <w:rPr>
                <w:i/>
                <w:iCs/>
                <w:sz w:val="16"/>
                <w:szCs w:val="24"/>
                <w:rtl/>
              </w:rPr>
            </w:pPr>
            <w:r w:rsidRPr="008A31F2">
              <w:rPr>
                <w:i/>
                <w:iCs/>
                <w:sz w:val="16"/>
                <w:szCs w:val="24"/>
                <w:rtl/>
              </w:rPr>
              <w:t>2012-2013</w:t>
            </w:r>
          </w:p>
        </w:tc>
      </w:tr>
      <w:tr w:rsidR="008A31F2" w:rsidRPr="008A31F2" w:rsidTr="008A31F2">
        <w:trPr>
          <w:cantSplit/>
          <w:trHeight w:hRule="exact" w:val="115"/>
          <w:tblHeader/>
        </w:trPr>
        <w:tc>
          <w:tcPr>
            <w:tcW w:w="4730" w:type="dxa"/>
            <w:tcBorders>
              <w:top w:val="single" w:sz="12" w:space="0" w:color="auto"/>
            </w:tcBorders>
            <w:shd w:val="clear" w:color="auto" w:fill="auto"/>
            <w:vAlign w:val="bottom"/>
          </w:tcPr>
          <w:p w:rsidR="008A31F2" w:rsidRPr="008A31F2" w:rsidRDefault="008A31F2" w:rsidP="008A31F2">
            <w:pPr>
              <w:pStyle w:val="DualTxt"/>
              <w:spacing w:before="40" w:after="80" w:line="240" w:lineRule="exact"/>
              <w:ind w:left="43"/>
              <w:rPr>
                <w:sz w:val="16"/>
                <w:szCs w:val="24"/>
                <w:rtl/>
              </w:rPr>
            </w:pPr>
          </w:p>
        </w:tc>
        <w:tc>
          <w:tcPr>
            <w:tcW w:w="1359" w:type="dxa"/>
            <w:tcBorders>
              <w:top w:val="single" w:sz="12" w:space="0" w:color="auto"/>
            </w:tcBorders>
            <w:shd w:val="clear" w:color="auto" w:fill="auto"/>
            <w:vAlign w:val="bottom"/>
          </w:tcPr>
          <w:p w:rsidR="008A31F2" w:rsidRPr="008A31F2" w:rsidRDefault="008A31F2" w:rsidP="008A31F2">
            <w:pPr>
              <w:pStyle w:val="DualTxt"/>
              <w:spacing w:before="40" w:after="80" w:line="240" w:lineRule="exact"/>
              <w:ind w:left="43"/>
              <w:rPr>
                <w:sz w:val="16"/>
                <w:szCs w:val="24"/>
                <w:rtl/>
              </w:rPr>
            </w:pPr>
          </w:p>
        </w:tc>
        <w:tc>
          <w:tcPr>
            <w:tcW w:w="1231" w:type="dxa"/>
            <w:tcBorders>
              <w:top w:val="single" w:sz="12" w:space="0" w:color="auto"/>
            </w:tcBorders>
            <w:shd w:val="clear" w:color="auto" w:fill="auto"/>
            <w:vAlign w:val="bottom"/>
          </w:tcPr>
          <w:p w:rsidR="008A31F2" w:rsidRPr="008A31F2" w:rsidRDefault="008A31F2" w:rsidP="008A31F2">
            <w:pPr>
              <w:pStyle w:val="DualTxt"/>
              <w:spacing w:before="40" w:after="80" w:line="240" w:lineRule="exact"/>
              <w:ind w:left="43"/>
              <w:rPr>
                <w:sz w:val="16"/>
                <w:szCs w:val="24"/>
                <w:rtl/>
              </w:rPr>
            </w:pPr>
          </w:p>
        </w:tc>
      </w:tr>
      <w:tr w:rsidR="008A31F2" w:rsidRPr="008A31F2" w:rsidTr="008A31F2">
        <w:trPr>
          <w:cantSplit/>
        </w:trPr>
        <w:tc>
          <w:tcPr>
            <w:tcW w:w="4730" w:type="dxa"/>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نسبة ترشح النساء</w:t>
            </w:r>
          </w:p>
        </w:tc>
        <w:tc>
          <w:tcPr>
            <w:tcW w:w="1359" w:type="dxa"/>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19.2</w:t>
            </w:r>
            <w:r w:rsidRPr="008A31F2">
              <w:rPr>
                <w:rFonts w:hint="cs"/>
                <w:sz w:val="16"/>
                <w:szCs w:val="24"/>
                <w:rtl/>
              </w:rPr>
              <w:t xml:space="preserve"> </w:t>
            </w:r>
            <w:r w:rsidRPr="008A31F2">
              <w:rPr>
                <w:sz w:val="16"/>
                <w:szCs w:val="24"/>
                <w:rtl/>
              </w:rPr>
              <w:t>في المائة</w:t>
            </w:r>
          </w:p>
        </w:tc>
        <w:tc>
          <w:tcPr>
            <w:tcW w:w="1231" w:type="dxa"/>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24.8</w:t>
            </w:r>
            <w:r w:rsidRPr="008A31F2">
              <w:rPr>
                <w:rFonts w:hint="cs"/>
                <w:sz w:val="16"/>
                <w:szCs w:val="24"/>
                <w:rtl/>
              </w:rPr>
              <w:t xml:space="preserve"> </w:t>
            </w:r>
            <w:r w:rsidRPr="008A31F2">
              <w:rPr>
                <w:sz w:val="16"/>
                <w:szCs w:val="24"/>
                <w:rtl/>
              </w:rPr>
              <w:t>في المائة</w:t>
            </w:r>
          </w:p>
        </w:tc>
      </w:tr>
      <w:tr w:rsidR="008A31F2" w:rsidRPr="008A31F2" w:rsidTr="008A31F2">
        <w:trPr>
          <w:cantSplit/>
        </w:trPr>
        <w:tc>
          <w:tcPr>
            <w:tcW w:w="4730" w:type="dxa"/>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نسبة المجلات للاقتراع</w:t>
            </w:r>
          </w:p>
        </w:tc>
        <w:tc>
          <w:tcPr>
            <w:tcW w:w="1359" w:type="dxa"/>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48.7</w:t>
            </w:r>
            <w:r w:rsidRPr="008A31F2">
              <w:rPr>
                <w:rFonts w:hint="cs"/>
                <w:sz w:val="16"/>
                <w:szCs w:val="24"/>
                <w:rtl/>
              </w:rPr>
              <w:t xml:space="preserve"> </w:t>
            </w:r>
            <w:r w:rsidRPr="008A31F2">
              <w:rPr>
                <w:sz w:val="16"/>
                <w:szCs w:val="24"/>
                <w:rtl/>
              </w:rPr>
              <w:t>في المائة</w:t>
            </w:r>
          </w:p>
        </w:tc>
        <w:tc>
          <w:tcPr>
            <w:tcW w:w="1231" w:type="dxa"/>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47.8</w:t>
            </w:r>
            <w:r w:rsidRPr="008A31F2">
              <w:rPr>
                <w:rFonts w:hint="cs"/>
                <w:sz w:val="16"/>
                <w:szCs w:val="24"/>
                <w:rtl/>
              </w:rPr>
              <w:t xml:space="preserve"> </w:t>
            </w:r>
            <w:r w:rsidRPr="008A31F2">
              <w:rPr>
                <w:sz w:val="16"/>
                <w:szCs w:val="24"/>
                <w:rtl/>
              </w:rPr>
              <w:t>في المائة</w:t>
            </w:r>
          </w:p>
        </w:tc>
      </w:tr>
      <w:tr w:rsidR="008A31F2" w:rsidRPr="008A31F2" w:rsidTr="008A31F2">
        <w:trPr>
          <w:cantSplit/>
        </w:trPr>
        <w:tc>
          <w:tcPr>
            <w:tcW w:w="4730" w:type="dxa"/>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نسبة العضوات النساء في المجالس</w:t>
            </w:r>
          </w:p>
        </w:tc>
        <w:tc>
          <w:tcPr>
            <w:tcW w:w="1359" w:type="dxa"/>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13.7</w:t>
            </w:r>
            <w:r w:rsidRPr="008A31F2">
              <w:rPr>
                <w:rFonts w:hint="cs"/>
                <w:sz w:val="16"/>
                <w:szCs w:val="24"/>
                <w:rtl/>
              </w:rPr>
              <w:t xml:space="preserve"> </w:t>
            </w:r>
            <w:r w:rsidRPr="008A31F2">
              <w:rPr>
                <w:sz w:val="16"/>
                <w:szCs w:val="24"/>
                <w:rtl/>
              </w:rPr>
              <w:t>في المائة</w:t>
            </w:r>
          </w:p>
        </w:tc>
        <w:tc>
          <w:tcPr>
            <w:tcW w:w="1231" w:type="dxa"/>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21</w:t>
            </w:r>
            <w:r w:rsidRPr="008A31F2">
              <w:rPr>
                <w:rFonts w:hint="cs"/>
                <w:sz w:val="16"/>
                <w:szCs w:val="24"/>
                <w:rtl/>
              </w:rPr>
              <w:t xml:space="preserve"> </w:t>
            </w:r>
            <w:r w:rsidRPr="008A31F2">
              <w:rPr>
                <w:sz w:val="16"/>
                <w:szCs w:val="24"/>
                <w:rtl/>
              </w:rPr>
              <w:t>في المائة</w:t>
            </w:r>
          </w:p>
        </w:tc>
      </w:tr>
      <w:tr w:rsidR="008A31F2" w:rsidRPr="008A31F2" w:rsidTr="008A31F2">
        <w:trPr>
          <w:cantSplit/>
        </w:trPr>
        <w:tc>
          <w:tcPr>
            <w:tcW w:w="4730" w:type="dxa"/>
            <w:tcBorders>
              <w:bottom w:val="single" w:sz="12" w:space="0" w:color="auto"/>
            </w:tcBorders>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نسبة المقترعات</w:t>
            </w:r>
          </w:p>
        </w:tc>
        <w:tc>
          <w:tcPr>
            <w:tcW w:w="1359" w:type="dxa"/>
            <w:tcBorders>
              <w:bottom w:val="single" w:sz="12" w:space="0" w:color="auto"/>
            </w:tcBorders>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47.8</w:t>
            </w:r>
            <w:r w:rsidRPr="008A31F2">
              <w:rPr>
                <w:rFonts w:hint="cs"/>
                <w:sz w:val="16"/>
                <w:szCs w:val="24"/>
                <w:rtl/>
              </w:rPr>
              <w:t xml:space="preserve"> </w:t>
            </w:r>
            <w:r w:rsidRPr="008A31F2">
              <w:rPr>
                <w:sz w:val="16"/>
                <w:szCs w:val="24"/>
                <w:rtl/>
              </w:rPr>
              <w:t>في المائة</w:t>
            </w:r>
          </w:p>
        </w:tc>
        <w:tc>
          <w:tcPr>
            <w:tcW w:w="1231" w:type="dxa"/>
            <w:tcBorders>
              <w:bottom w:val="single" w:sz="12" w:space="0" w:color="auto"/>
            </w:tcBorders>
            <w:shd w:val="clear" w:color="auto" w:fill="auto"/>
            <w:vAlign w:val="bottom"/>
          </w:tcPr>
          <w:p w:rsidR="008A31F2" w:rsidRPr="008A31F2" w:rsidRDefault="008A31F2" w:rsidP="008A31F2">
            <w:pPr>
              <w:pStyle w:val="DualTxt"/>
              <w:spacing w:before="40" w:after="80" w:line="240" w:lineRule="exact"/>
              <w:ind w:left="43"/>
              <w:rPr>
                <w:sz w:val="16"/>
                <w:szCs w:val="24"/>
                <w:rtl/>
              </w:rPr>
            </w:pPr>
            <w:r w:rsidRPr="008A31F2">
              <w:rPr>
                <w:sz w:val="16"/>
                <w:szCs w:val="24"/>
                <w:rtl/>
              </w:rPr>
              <w:t>42</w:t>
            </w:r>
            <w:r w:rsidRPr="008A31F2">
              <w:rPr>
                <w:rFonts w:hint="cs"/>
                <w:sz w:val="16"/>
                <w:szCs w:val="24"/>
                <w:rtl/>
              </w:rPr>
              <w:t xml:space="preserve"> </w:t>
            </w:r>
            <w:r w:rsidRPr="008A31F2">
              <w:rPr>
                <w:sz w:val="16"/>
                <w:szCs w:val="24"/>
                <w:rtl/>
              </w:rPr>
              <w:t>في المائة</w:t>
            </w:r>
          </w:p>
        </w:tc>
      </w:tr>
    </w:tbl>
    <w:p w:rsidR="008A31F2" w:rsidRPr="008A31F2" w:rsidRDefault="008A31F2" w:rsidP="008A31F2">
      <w:pPr>
        <w:pStyle w:val="SingleTxt"/>
        <w:spacing w:after="0" w:line="120" w:lineRule="exact"/>
        <w:rPr>
          <w:sz w:val="10"/>
          <w:rtl/>
        </w:rPr>
      </w:pPr>
    </w:p>
    <w:p w:rsidR="008A31F2" w:rsidRPr="008A31F2" w:rsidRDefault="008A31F2" w:rsidP="008A31F2">
      <w:pPr>
        <w:pStyle w:val="SingleTxt"/>
        <w:spacing w:after="0" w:line="120" w:lineRule="exact"/>
        <w:rPr>
          <w:sz w:val="10"/>
          <w:rtl/>
        </w:rPr>
      </w:pPr>
    </w:p>
    <w:p w:rsidR="00F32B28" w:rsidRPr="00F32B28" w:rsidRDefault="008A31F2" w:rsidP="008A31F2">
      <w:pPr>
        <w:pStyle w:val="SingleTxt"/>
        <w:rPr>
          <w:rtl/>
          <w:lang w:bidi="ar-LB"/>
        </w:rPr>
      </w:pPr>
      <w:r>
        <w:rPr>
          <w:rFonts w:hint="cs"/>
          <w:rtl/>
        </w:rPr>
        <w:t xml:space="preserve">116 -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الأحزاب</w:t>
      </w:r>
      <w:r w:rsidR="00F32B28">
        <w:rPr>
          <w:rtl/>
        </w:rPr>
        <w:t xml:space="preserve"> </w:t>
      </w:r>
      <w:r w:rsidR="00F32B28" w:rsidRPr="00F32B28">
        <w:rPr>
          <w:rtl/>
        </w:rPr>
        <w:t>السياسية،</w:t>
      </w:r>
      <w:r w:rsidR="00F32B28">
        <w:rPr>
          <w:rtl/>
        </w:rPr>
        <w:t xml:space="preserve"> </w:t>
      </w:r>
      <w:r w:rsidR="00F32B28" w:rsidRPr="00F32B28">
        <w:rPr>
          <w:rtl/>
        </w:rPr>
        <w:t>ف</w:t>
      </w:r>
      <w:r w:rsidR="00F32B28" w:rsidRPr="00F32B28">
        <w:rPr>
          <w:rtl/>
          <w:lang w:bidi="ar-LB"/>
        </w:rPr>
        <w:t>إن</w:t>
      </w:r>
      <w:r w:rsidR="00F32B28">
        <w:rPr>
          <w:rtl/>
          <w:lang w:bidi="ar-LB"/>
        </w:rPr>
        <w:t xml:space="preserve"> </w:t>
      </w:r>
      <w:r w:rsidR="00F32B28" w:rsidRPr="00F32B28">
        <w:rPr>
          <w:rtl/>
        </w:rPr>
        <w:t>عدد</w:t>
      </w:r>
      <w:r w:rsidR="00F32B28">
        <w:rPr>
          <w:rtl/>
        </w:rPr>
        <w:t xml:space="preserve"> </w:t>
      </w:r>
      <w:r w:rsidR="00F32B28" w:rsidRPr="00F32B28">
        <w:rPr>
          <w:rtl/>
        </w:rPr>
        <w:t>النساء</w:t>
      </w:r>
      <w:r w:rsidR="00F32B28">
        <w:rPr>
          <w:rtl/>
        </w:rPr>
        <w:t xml:space="preserve"> </w:t>
      </w:r>
      <w:r w:rsidR="00F32B28" w:rsidRPr="00F32B28">
        <w:rPr>
          <w:rtl/>
        </w:rPr>
        <w:t>يقل</w:t>
      </w:r>
      <w:r w:rsidR="00F32B28">
        <w:rPr>
          <w:rtl/>
        </w:rPr>
        <w:t xml:space="preserve"> </w:t>
      </w:r>
      <w:r w:rsidR="00F32B28" w:rsidRPr="00F32B28">
        <w:rPr>
          <w:rtl/>
        </w:rPr>
        <w:t>كلما</w:t>
      </w:r>
      <w:r w:rsidR="00F32B28">
        <w:rPr>
          <w:rtl/>
        </w:rPr>
        <w:t xml:space="preserve"> </w:t>
      </w:r>
      <w:r w:rsidR="00F32B28" w:rsidRPr="00F32B28">
        <w:rPr>
          <w:rtl/>
        </w:rPr>
        <w:t>ارتفعنا</w:t>
      </w:r>
      <w:r w:rsidR="00F32B28">
        <w:rPr>
          <w:rtl/>
        </w:rPr>
        <w:t xml:space="preserve"> </w:t>
      </w:r>
      <w:r w:rsidR="00F32B28" w:rsidRPr="00F32B28">
        <w:rPr>
          <w:rtl/>
        </w:rPr>
        <w:t>في</w:t>
      </w:r>
      <w:r w:rsidR="00F32B28">
        <w:rPr>
          <w:rtl/>
        </w:rPr>
        <w:t xml:space="preserve"> </w:t>
      </w:r>
      <w:r w:rsidR="00F32B28" w:rsidRPr="00F32B28">
        <w:rPr>
          <w:rtl/>
        </w:rPr>
        <w:t>سلم</w:t>
      </w:r>
      <w:r w:rsidR="00F32B28">
        <w:rPr>
          <w:rtl/>
        </w:rPr>
        <w:t xml:space="preserve"> </w:t>
      </w:r>
      <w:r w:rsidR="00F32B28" w:rsidRPr="00F32B28">
        <w:rPr>
          <w:rtl/>
        </w:rPr>
        <w:t>الهرم</w:t>
      </w:r>
      <w:r w:rsidR="00F32B28">
        <w:rPr>
          <w:rtl/>
        </w:rPr>
        <w:t xml:space="preserve"> </w:t>
      </w:r>
      <w:r w:rsidR="00F32B28" w:rsidRPr="00F32B28">
        <w:rPr>
          <w:rtl/>
        </w:rPr>
        <w:t>الحزبي؛</w:t>
      </w:r>
      <w:r w:rsidR="00F32B28">
        <w:rPr>
          <w:rtl/>
        </w:rPr>
        <w:t xml:space="preserve"> </w:t>
      </w:r>
      <w:r w:rsidR="00F32B28" w:rsidRPr="00F32B28">
        <w:rPr>
          <w:rtl/>
        </w:rPr>
        <w:t>إذ</w:t>
      </w:r>
      <w:r w:rsidR="009B107D">
        <w:rPr>
          <w:rFonts w:hint="cs"/>
          <w:rtl/>
        </w:rPr>
        <w:t> </w:t>
      </w:r>
      <w:r w:rsidR="00F32B28" w:rsidRPr="00F32B28">
        <w:rPr>
          <w:rtl/>
        </w:rPr>
        <w:t>قلما</w:t>
      </w:r>
      <w:r w:rsidR="00F32B28">
        <w:rPr>
          <w:rtl/>
        </w:rPr>
        <w:t xml:space="preserve"> </w:t>
      </w:r>
      <w:r w:rsidR="00F32B28" w:rsidRPr="00F32B28">
        <w:rPr>
          <w:rtl/>
        </w:rPr>
        <w:t>ما</w:t>
      </w:r>
      <w:r w:rsidR="00F32B28">
        <w:rPr>
          <w:rtl/>
        </w:rPr>
        <w:t xml:space="preserve"> </w:t>
      </w:r>
      <w:r w:rsidR="00F32B28" w:rsidRPr="00F32B28">
        <w:rPr>
          <w:rtl/>
        </w:rPr>
        <w:t>نجد</w:t>
      </w:r>
      <w:r w:rsidR="00F32B28">
        <w:rPr>
          <w:rtl/>
        </w:rPr>
        <w:t xml:space="preserve"> </w:t>
      </w:r>
      <w:r w:rsidR="00F32B28" w:rsidRPr="00F32B28">
        <w:rPr>
          <w:rtl/>
        </w:rPr>
        <w:t>نساء</w:t>
      </w:r>
      <w:r w:rsidR="00F32B28">
        <w:rPr>
          <w:rtl/>
        </w:rPr>
        <w:t xml:space="preserve"> </w:t>
      </w:r>
      <w:r w:rsidR="00F32B28" w:rsidRPr="00F32B28">
        <w:rPr>
          <w:rtl/>
        </w:rPr>
        <w:t>في</w:t>
      </w:r>
      <w:r w:rsidR="00F32B28">
        <w:rPr>
          <w:rtl/>
        </w:rPr>
        <w:t xml:space="preserve"> </w:t>
      </w:r>
      <w:r w:rsidR="00F32B28" w:rsidRPr="00F32B28">
        <w:rPr>
          <w:rtl/>
        </w:rPr>
        <w:t>مناصب</w:t>
      </w:r>
      <w:r w:rsidR="00F32B28">
        <w:rPr>
          <w:rtl/>
        </w:rPr>
        <w:t xml:space="preserve"> </w:t>
      </w:r>
      <w:r w:rsidR="00F32B28" w:rsidRPr="00F32B28">
        <w:rPr>
          <w:rtl/>
        </w:rPr>
        <w:t>الهيئات</w:t>
      </w:r>
      <w:r w:rsidR="00F32B28">
        <w:rPr>
          <w:rtl/>
        </w:rPr>
        <w:t xml:space="preserve"> </w:t>
      </w:r>
      <w:r w:rsidR="00F32B28" w:rsidRPr="00F32B28">
        <w:rPr>
          <w:rtl/>
        </w:rPr>
        <w:t>القيادية</w:t>
      </w:r>
      <w:r w:rsidR="00F32B28">
        <w:rPr>
          <w:rtl/>
        </w:rPr>
        <w:t xml:space="preserve"> </w:t>
      </w:r>
      <w:r w:rsidR="00F32B28" w:rsidRPr="00F32B28">
        <w:rPr>
          <w:rtl/>
        </w:rPr>
        <w:t>العليا،</w:t>
      </w:r>
      <w:r w:rsidR="0043161B">
        <w:rPr>
          <w:rFonts w:hint="cs"/>
          <w:rtl/>
        </w:rPr>
        <w:t xml:space="preserve"> </w:t>
      </w:r>
      <w:r w:rsidR="00F32B28" w:rsidRPr="00F32B28">
        <w:rPr>
          <w:rtl/>
        </w:rPr>
        <w:t>خاصة</w:t>
      </w:r>
      <w:r w:rsidR="00F32B28">
        <w:rPr>
          <w:rtl/>
        </w:rPr>
        <w:t xml:space="preserve"> </w:t>
      </w:r>
      <w:r w:rsidR="00F32B28" w:rsidRPr="00F32B28">
        <w:rPr>
          <w:rtl/>
        </w:rPr>
        <w:t>في</w:t>
      </w:r>
      <w:r w:rsidR="00F32B28">
        <w:rPr>
          <w:rtl/>
        </w:rPr>
        <w:t xml:space="preserve"> </w:t>
      </w:r>
      <w:r w:rsidR="00F32B28" w:rsidRPr="00F32B28">
        <w:rPr>
          <w:rtl/>
        </w:rPr>
        <w:t>الأحزاب</w:t>
      </w:r>
      <w:r w:rsidR="00F32B28">
        <w:rPr>
          <w:rtl/>
        </w:rPr>
        <w:t xml:space="preserve"> </w:t>
      </w:r>
      <w:r w:rsidR="00F32B28" w:rsidRPr="00F32B28">
        <w:rPr>
          <w:rtl/>
        </w:rPr>
        <w:t>الكبرى</w:t>
      </w:r>
      <w:r w:rsidR="00F32B28">
        <w:rPr>
          <w:rtl/>
        </w:rPr>
        <w:t xml:space="preserve"> </w:t>
      </w:r>
      <w:r w:rsidR="00F32B28" w:rsidRPr="00F32B28">
        <w:rPr>
          <w:rtl/>
        </w:rPr>
        <w:t>والفاعلة</w:t>
      </w:r>
      <w:r w:rsidR="00F32B28">
        <w:rPr>
          <w:rtl/>
        </w:rPr>
        <w:t xml:space="preserve"> </w:t>
      </w:r>
      <w:r w:rsidR="00F32B28" w:rsidRPr="00F32B28">
        <w:rPr>
          <w:rtl/>
        </w:rPr>
        <w:t>في</w:t>
      </w:r>
      <w:r w:rsidR="00F32B28">
        <w:rPr>
          <w:rtl/>
        </w:rPr>
        <w:t xml:space="preserve"> </w:t>
      </w:r>
      <w:r w:rsidR="00F32B28" w:rsidRPr="00F32B28">
        <w:rPr>
          <w:rtl/>
        </w:rPr>
        <w:t>السياق</w:t>
      </w:r>
      <w:r w:rsidR="00F32B28">
        <w:rPr>
          <w:rtl/>
        </w:rPr>
        <w:t xml:space="preserve"> </w:t>
      </w:r>
      <w:r w:rsidR="00F32B28" w:rsidRPr="00F32B28">
        <w:rPr>
          <w:rtl/>
        </w:rPr>
        <w:t>السياسي</w:t>
      </w:r>
      <w:r w:rsidR="00F32B28">
        <w:rPr>
          <w:rtl/>
        </w:rPr>
        <w:t xml:space="preserve"> </w:t>
      </w:r>
      <w:r w:rsidR="00F32B28" w:rsidRPr="00F32B28">
        <w:rPr>
          <w:rtl/>
        </w:rPr>
        <w:t>الفلسطيني؛</w:t>
      </w:r>
      <w:r w:rsidR="00F32B28">
        <w:rPr>
          <w:rtl/>
        </w:rPr>
        <w:t xml:space="preserve"> </w:t>
      </w:r>
      <w:r w:rsidR="00F32B28" w:rsidRPr="00F32B28">
        <w:rPr>
          <w:rtl/>
        </w:rPr>
        <w:t>حيث</w:t>
      </w:r>
      <w:r w:rsidR="00F32B28">
        <w:rPr>
          <w:rtl/>
        </w:rPr>
        <w:t xml:space="preserve"> </w:t>
      </w:r>
      <w:r w:rsidR="00F32B28" w:rsidRPr="00F32B28">
        <w:rPr>
          <w:rtl/>
          <w:lang w:bidi="ar-LB"/>
        </w:rPr>
        <w:t>تنحصر</w:t>
      </w:r>
      <w:r w:rsidR="00F32B28">
        <w:rPr>
          <w:rtl/>
          <w:lang w:bidi="ar-LB"/>
        </w:rPr>
        <w:t xml:space="preserve"> </w:t>
      </w:r>
      <w:r w:rsidR="00F32B28" w:rsidRPr="00F32B28">
        <w:rPr>
          <w:rtl/>
          <w:lang w:bidi="ar-LB"/>
        </w:rPr>
        <w:t>مشاركتهن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العمل</w:t>
      </w:r>
      <w:r w:rsidR="00F32B28">
        <w:rPr>
          <w:rtl/>
          <w:lang w:bidi="ar-LB"/>
        </w:rPr>
        <w:t xml:space="preserve"> </w:t>
      </w:r>
      <w:r w:rsidR="00F32B28" w:rsidRPr="00F32B28">
        <w:rPr>
          <w:rtl/>
          <w:lang w:bidi="ar-LB"/>
        </w:rPr>
        <w:t>الحزبي</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الغالب</w:t>
      </w:r>
      <w:r w:rsidR="00F32B28">
        <w:rPr>
          <w:rtl/>
          <w:lang w:bidi="ar-LB"/>
        </w:rPr>
        <w:t xml:space="preserve"> </w:t>
      </w:r>
      <w:r w:rsidR="00F32B28" w:rsidRPr="00F32B28">
        <w:rPr>
          <w:rtl/>
          <w:lang w:bidi="ar-LB"/>
        </w:rPr>
        <w:t>الأعم</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الأعمال</w:t>
      </w:r>
      <w:r w:rsidR="00F32B28">
        <w:rPr>
          <w:rtl/>
          <w:lang w:bidi="ar-LB"/>
        </w:rPr>
        <w:t xml:space="preserve"> </w:t>
      </w:r>
      <w:r w:rsidR="00F32B28" w:rsidRPr="00F32B28">
        <w:rPr>
          <w:rtl/>
          <w:lang w:bidi="ar-LB"/>
        </w:rPr>
        <w:t>النمطية</w:t>
      </w:r>
      <w:r w:rsidR="00F32B28">
        <w:rPr>
          <w:rtl/>
          <w:lang w:bidi="ar-LB"/>
        </w:rPr>
        <w:t xml:space="preserve"> </w:t>
      </w:r>
      <w:r w:rsidR="00F32B28" w:rsidRPr="00F32B28">
        <w:rPr>
          <w:rtl/>
          <w:lang w:bidi="ar-LB"/>
        </w:rPr>
        <w:t>ذات</w:t>
      </w:r>
      <w:r w:rsidR="00F32B28">
        <w:rPr>
          <w:rtl/>
          <w:lang w:bidi="ar-LB"/>
        </w:rPr>
        <w:t xml:space="preserve"> </w:t>
      </w:r>
      <w:r w:rsidR="00F32B28" w:rsidRPr="00F32B28">
        <w:rPr>
          <w:rtl/>
          <w:lang w:bidi="ar-LB"/>
        </w:rPr>
        <w:t>الطابع</w:t>
      </w:r>
      <w:r w:rsidR="00F32B28">
        <w:rPr>
          <w:rtl/>
          <w:lang w:bidi="ar-LB"/>
        </w:rPr>
        <w:t xml:space="preserve"> </w:t>
      </w:r>
      <w:r w:rsidR="00F32B28" w:rsidRPr="00F32B28">
        <w:rPr>
          <w:rtl/>
          <w:lang w:bidi="ar-LB"/>
        </w:rPr>
        <w:t>الاجتماعي</w:t>
      </w:r>
      <w:r w:rsidR="00F32B28">
        <w:rPr>
          <w:rtl/>
          <w:lang w:bidi="ar-LB"/>
        </w:rPr>
        <w:t xml:space="preserve"> </w:t>
      </w:r>
      <w:r w:rsidR="00F32B28" w:rsidRPr="00F32B28">
        <w:rPr>
          <w:rtl/>
          <w:lang w:bidi="ar-LB"/>
        </w:rPr>
        <w:t>والإنساني؛</w:t>
      </w:r>
      <w:r w:rsidR="00600C43">
        <w:rPr>
          <w:rtl/>
          <w:lang w:bidi="ar-LB"/>
        </w:rPr>
        <w:t xml:space="preserve"> </w:t>
      </w:r>
      <w:r w:rsidR="00F32B28" w:rsidRPr="00F32B28">
        <w:rPr>
          <w:rtl/>
          <w:lang w:bidi="ar-LB"/>
        </w:rPr>
        <w:t>وذلك</w:t>
      </w:r>
      <w:r w:rsidR="00F32B28">
        <w:rPr>
          <w:rtl/>
          <w:lang w:bidi="ar-LB"/>
        </w:rPr>
        <w:t xml:space="preserve"> </w:t>
      </w:r>
      <w:r w:rsidR="00F32B28" w:rsidRPr="00F32B28">
        <w:rPr>
          <w:rtl/>
          <w:lang w:bidi="ar-LB"/>
        </w:rPr>
        <w:t>يعود</w:t>
      </w:r>
      <w:r w:rsidR="00F32B28">
        <w:rPr>
          <w:rtl/>
          <w:lang w:bidi="ar-LB"/>
        </w:rPr>
        <w:t xml:space="preserve"> </w:t>
      </w:r>
      <w:r w:rsidR="00F32B28" w:rsidRPr="00F32B28">
        <w:rPr>
          <w:rtl/>
          <w:lang w:bidi="ar-LB"/>
        </w:rPr>
        <w:t>لعدم</w:t>
      </w:r>
      <w:r w:rsidR="00F32B28">
        <w:rPr>
          <w:rtl/>
          <w:lang w:bidi="ar-LB"/>
        </w:rPr>
        <w:t xml:space="preserve"> </w:t>
      </w:r>
      <w:r w:rsidR="00F32B28" w:rsidRPr="00F32B28">
        <w:rPr>
          <w:rtl/>
          <w:lang w:bidi="ar-LB"/>
        </w:rPr>
        <w:t>وجود</w:t>
      </w:r>
      <w:r w:rsidR="00F32B28">
        <w:rPr>
          <w:rtl/>
          <w:lang w:bidi="ar-LB"/>
        </w:rPr>
        <w:t xml:space="preserve"> </w:t>
      </w:r>
      <w:r w:rsidR="00F32B28" w:rsidRPr="00F32B28">
        <w:rPr>
          <w:rtl/>
          <w:lang w:bidi="ar-LB"/>
        </w:rPr>
        <w:t>سياسات</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آليات</w:t>
      </w:r>
      <w:r w:rsidR="00F32B28">
        <w:rPr>
          <w:rtl/>
          <w:lang w:bidi="ar-LB"/>
        </w:rPr>
        <w:t xml:space="preserve"> </w:t>
      </w:r>
      <w:r w:rsidR="00F32B28" w:rsidRPr="00F32B28">
        <w:rPr>
          <w:rtl/>
          <w:lang w:bidi="ar-LB"/>
        </w:rPr>
        <w:t>واضحة</w:t>
      </w:r>
      <w:r w:rsidR="00F32B28">
        <w:rPr>
          <w:rtl/>
          <w:lang w:bidi="ar-LB"/>
        </w:rPr>
        <w:t xml:space="preserve"> </w:t>
      </w:r>
      <w:r w:rsidR="00F32B28" w:rsidRPr="00F32B28">
        <w:rPr>
          <w:rtl/>
          <w:lang w:bidi="ar-LB"/>
        </w:rPr>
        <w:t>لدى</w:t>
      </w:r>
      <w:r w:rsidR="00F32B28">
        <w:rPr>
          <w:rtl/>
          <w:lang w:bidi="ar-LB"/>
        </w:rPr>
        <w:t xml:space="preserve"> </w:t>
      </w:r>
      <w:r w:rsidR="00F32B28" w:rsidRPr="00F32B28">
        <w:rPr>
          <w:rtl/>
          <w:lang w:bidi="ar-LB"/>
        </w:rPr>
        <w:t>الأحزاب</w:t>
      </w:r>
      <w:r w:rsidR="00F32B28">
        <w:rPr>
          <w:rtl/>
          <w:lang w:bidi="ar-LB"/>
        </w:rPr>
        <w:t xml:space="preserve"> </w:t>
      </w:r>
      <w:r w:rsidR="00F32B28" w:rsidRPr="00F32B28">
        <w:rPr>
          <w:rtl/>
          <w:lang w:bidi="ar-LB"/>
        </w:rPr>
        <w:t>لتشجيع</w:t>
      </w:r>
      <w:r w:rsidR="00F32B28">
        <w:rPr>
          <w:rtl/>
          <w:lang w:bidi="ar-LB"/>
        </w:rPr>
        <w:t xml:space="preserve"> </w:t>
      </w:r>
      <w:r w:rsidR="00F32B28" w:rsidRPr="00F32B28">
        <w:rPr>
          <w:rtl/>
          <w:lang w:bidi="ar-LB"/>
        </w:rPr>
        <w:t>مشاركة</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فيها،</w:t>
      </w:r>
      <w:r w:rsidR="00F32B28">
        <w:rPr>
          <w:rtl/>
          <w:lang w:bidi="ar-LB"/>
        </w:rPr>
        <w:t xml:space="preserve"> </w:t>
      </w:r>
      <w:r w:rsidR="00F32B28" w:rsidRPr="00F32B28">
        <w:rPr>
          <w:rtl/>
          <w:lang w:bidi="ar-LB"/>
        </w:rPr>
        <w:t>رغم</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rPr>
        <w:t>قانون</w:t>
      </w:r>
      <w:r w:rsidR="00F32B28">
        <w:rPr>
          <w:rtl/>
        </w:rPr>
        <w:t xml:space="preserve"> </w:t>
      </w:r>
      <w:r w:rsidR="00F32B28" w:rsidRPr="00F32B28">
        <w:rPr>
          <w:rtl/>
        </w:rPr>
        <w:t>الأحزاب</w:t>
      </w:r>
      <w:r w:rsidR="00F32B28">
        <w:rPr>
          <w:rtl/>
        </w:rPr>
        <w:t xml:space="preserve"> </w:t>
      </w:r>
      <w:r w:rsidR="00F32B28" w:rsidRPr="00F32B28">
        <w:rPr>
          <w:rtl/>
        </w:rPr>
        <w:t>السياسية</w:t>
      </w:r>
      <w:r w:rsidR="00F32B28">
        <w:rPr>
          <w:rtl/>
        </w:rPr>
        <w:t xml:space="preserve"> </w:t>
      </w:r>
      <w:r w:rsidR="00F32B28" w:rsidRPr="00F32B28">
        <w:rPr>
          <w:rtl/>
        </w:rPr>
        <w:t>رقم</w:t>
      </w:r>
      <w:r w:rsidR="00F32B28">
        <w:rPr>
          <w:rtl/>
        </w:rPr>
        <w:t xml:space="preserve"> </w:t>
      </w:r>
      <w:r w:rsidR="00F32B28" w:rsidRPr="00F32B28">
        <w:rPr>
          <w:rtl/>
        </w:rPr>
        <w:t>(15)</w:t>
      </w:r>
      <w:r w:rsidR="00F32B28">
        <w:rPr>
          <w:rtl/>
        </w:rPr>
        <w:t xml:space="preserve"> </w:t>
      </w:r>
      <w:r w:rsidR="00F32B28" w:rsidRPr="00F32B28">
        <w:rPr>
          <w:rtl/>
        </w:rPr>
        <w:t>لسنة</w:t>
      </w:r>
      <w:r w:rsidR="00F32B28">
        <w:rPr>
          <w:rtl/>
        </w:rPr>
        <w:t xml:space="preserve"> </w:t>
      </w:r>
      <w:r w:rsidR="00F32B28" w:rsidRPr="00F32B28">
        <w:rPr>
          <w:rtl/>
        </w:rPr>
        <w:t>1955</w:t>
      </w:r>
      <w:r w:rsidR="00F32B28">
        <w:rPr>
          <w:rtl/>
        </w:rPr>
        <w:t xml:space="preserve"> </w:t>
      </w:r>
      <w:r w:rsidR="00F32B28" w:rsidRPr="00F32B28">
        <w:rPr>
          <w:rtl/>
        </w:rPr>
        <w:t>الساري</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قد</w:t>
      </w:r>
      <w:r w:rsidR="00F32B28">
        <w:rPr>
          <w:rtl/>
        </w:rPr>
        <w:t xml:space="preserve"> </w:t>
      </w:r>
      <w:r w:rsidR="00F32B28" w:rsidRPr="00F32B28">
        <w:rPr>
          <w:rtl/>
        </w:rPr>
        <w:t>كفل</w:t>
      </w:r>
      <w:r w:rsidR="00F32B28">
        <w:rPr>
          <w:rtl/>
        </w:rPr>
        <w:t xml:space="preserve"> </w:t>
      </w:r>
      <w:r w:rsidR="00F32B28" w:rsidRPr="00F32B28">
        <w:rPr>
          <w:rtl/>
        </w:rPr>
        <w:t>حق</w:t>
      </w:r>
      <w:r w:rsidR="00F32B28">
        <w:rPr>
          <w:rtl/>
        </w:rPr>
        <w:t xml:space="preserve"> </w:t>
      </w:r>
      <w:r w:rsidR="00F32B28" w:rsidRPr="00F32B28">
        <w:rPr>
          <w:rtl/>
        </w:rPr>
        <w:t>المواطنين</w:t>
      </w:r>
      <w:r w:rsidR="00F32B28">
        <w:rPr>
          <w:rtl/>
        </w:rPr>
        <w:t xml:space="preserve"> </w:t>
      </w:r>
      <w:r w:rsidR="00F32B28" w:rsidRPr="00F32B28">
        <w:rPr>
          <w:rtl/>
        </w:rPr>
        <w:t>في</w:t>
      </w:r>
      <w:r w:rsidR="00F32B28">
        <w:rPr>
          <w:rtl/>
        </w:rPr>
        <w:t xml:space="preserve"> </w:t>
      </w:r>
      <w:r w:rsidR="00F32B28" w:rsidRPr="00F32B28">
        <w:rPr>
          <w:rtl/>
        </w:rPr>
        <w:t>تأليف</w:t>
      </w:r>
      <w:r w:rsidR="00F32B28">
        <w:rPr>
          <w:rtl/>
        </w:rPr>
        <w:t xml:space="preserve"> </w:t>
      </w:r>
      <w:r w:rsidR="00F32B28" w:rsidRPr="00F32B28">
        <w:rPr>
          <w:rtl/>
        </w:rPr>
        <w:t>الأحزاب</w:t>
      </w:r>
      <w:r w:rsidR="00F32B28">
        <w:rPr>
          <w:rtl/>
        </w:rPr>
        <w:t xml:space="preserve"> </w:t>
      </w:r>
      <w:r w:rsidR="00F32B28" w:rsidRPr="00F32B28">
        <w:rPr>
          <w:rtl/>
        </w:rPr>
        <w:t>السياسية،</w:t>
      </w:r>
      <w:r w:rsidR="00F32B28">
        <w:rPr>
          <w:rtl/>
        </w:rPr>
        <w:t xml:space="preserve"> </w:t>
      </w:r>
      <w:r w:rsidR="00F32B28" w:rsidRPr="00F32B28">
        <w:rPr>
          <w:rtl/>
        </w:rPr>
        <w:t>وخلت</w:t>
      </w:r>
      <w:r w:rsidR="00F32B28">
        <w:rPr>
          <w:rtl/>
        </w:rPr>
        <w:t xml:space="preserve"> </w:t>
      </w:r>
      <w:r w:rsidR="00F32B28" w:rsidRPr="00F32B28">
        <w:rPr>
          <w:rtl/>
        </w:rPr>
        <w:t>نصوصه</w:t>
      </w:r>
      <w:r w:rsidR="00F32B28">
        <w:rPr>
          <w:rtl/>
        </w:rPr>
        <w:t xml:space="preserve"> </w:t>
      </w:r>
      <w:r w:rsidR="00F32B28" w:rsidRPr="00F32B28">
        <w:rPr>
          <w:rtl/>
        </w:rPr>
        <w:t>من</w:t>
      </w:r>
      <w:r w:rsidR="00F32B28">
        <w:rPr>
          <w:rtl/>
        </w:rPr>
        <w:t xml:space="preserve"> </w:t>
      </w:r>
      <w:r w:rsidR="00F32B28" w:rsidRPr="00F32B28">
        <w:rPr>
          <w:rtl/>
        </w:rPr>
        <w:t>أي</w:t>
      </w:r>
      <w:r w:rsidR="00F32B28">
        <w:rPr>
          <w:rtl/>
        </w:rPr>
        <w:t xml:space="preserve"> </w:t>
      </w:r>
      <w:r w:rsidR="00F32B28" w:rsidRPr="00F32B28">
        <w:rPr>
          <w:rtl/>
        </w:rPr>
        <w:t>حكم</w:t>
      </w:r>
      <w:r w:rsidR="00F32B28">
        <w:rPr>
          <w:rtl/>
        </w:rPr>
        <w:t xml:space="preserve"> </w:t>
      </w:r>
      <w:r w:rsidR="00F32B28" w:rsidRPr="00F32B28">
        <w:rPr>
          <w:rtl/>
        </w:rPr>
        <w:t>يستبعد</w:t>
      </w:r>
      <w:r w:rsidR="00F32B28">
        <w:rPr>
          <w:rtl/>
        </w:rPr>
        <w:t xml:space="preserve"> </w:t>
      </w:r>
      <w:r w:rsidR="00F32B28" w:rsidRPr="00F32B28">
        <w:rPr>
          <w:rtl/>
        </w:rPr>
        <w:t>المرأة</w:t>
      </w:r>
      <w:r w:rsidR="00F32B28">
        <w:rPr>
          <w:rtl/>
        </w:rPr>
        <w:t xml:space="preserve"> </w:t>
      </w:r>
      <w:r w:rsidR="00F32B28" w:rsidRPr="00F32B28">
        <w:rPr>
          <w:rtl/>
        </w:rPr>
        <w:t>أو</w:t>
      </w:r>
      <w:r w:rsidR="00F32B28">
        <w:rPr>
          <w:rtl/>
        </w:rPr>
        <w:t xml:space="preserve"> </w:t>
      </w:r>
      <w:r w:rsidR="00F32B28" w:rsidRPr="00F32B28">
        <w:rPr>
          <w:rtl/>
        </w:rPr>
        <w:t>يقيدها</w:t>
      </w:r>
      <w:r w:rsidR="00F32B28">
        <w:rPr>
          <w:rtl/>
        </w:rPr>
        <w:t xml:space="preserve"> </w:t>
      </w:r>
      <w:r w:rsidR="00F32B28" w:rsidRPr="00F32B28">
        <w:rPr>
          <w:rtl/>
        </w:rPr>
        <w:t>أو</w:t>
      </w:r>
      <w:r w:rsidR="00F32B28">
        <w:rPr>
          <w:rtl/>
        </w:rPr>
        <w:t xml:space="preserve"> </w:t>
      </w:r>
      <w:r w:rsidR="00F32B28" w:rsidRPr="00F32B28">
        <w:rPr>
          <w:rtl/>
        </w:rPr>
        <w:t>يفرق</w:t>
      </w:r>
      <w:r w:rsidR="00F32B28">
        <w:rPr>
          <w:rtl/>
        </w:rPr>
        <w:t xml:space="preserve"> </w:t>
      </w:r>
      <w:r w:rsidR="00F32B28" w:rsidRPr="00F32B28">
        <w:rPr>
          <w:rtl/>
        </w:rPr>
        <w:t>بينها</w:t>
      </w:r>
      <w:r w:rsidR="00F32B28">
        <w:rPr>
          <w:rtl/>
        </w:rPr>
        <w:t xml:space="preserve"> </w:t>
      </w:r>
      <w:r w:rsidR="00F32B28" w:rsidRPr="00F32B28">
        <w:rPr>
          <w:rtl/>
        </w:rPr>
        <w:t>وبين</w:t>
      </w:r>
      <w:r w:rsidR="00F32B28">
        <w:rPr>
          <w:rtl/>
        </w:rPr>
        <w:t xml:space="preserve"> </w:t>
      </w:r>
      <w:r w:rsidR="00F32B28" w:rsidRPr="00F32B28">
        <w:rPr>
          <w:rtl/>
        </w:rPr>
        <w:t>الرجل</w:t>
      </w:r>
      <w:r w:rsidR="00F32B28">
        <w:rPr>
          <w:rtl/>
        </w:rPr>
        <w:t xml:space="preserve"> </w:t>
      </w:r>
      <w:r w:rsidR="00F32B28" w:rsidRPr="00F32B28">
        <w:rPr>
          <w:rtl/>
        </w:rPr>
        <w:t>في</w:t>
      </w:r>
      <w:r w:rsidR="00F32B28">
        <w:rPr>
          <w:rtl/>
        </w:rPr>
        <w:t xml:space="preserve"> </w:t>
      </w:r>
      <w:r w:rsidR="00F32B28" w:rsidRPr="00F32B28">
        <w:rPr>
          <w:rtl/>
        </w:rPr>
        <w:t>ممارسة</w:t>
      </w:r>
      <w:r w:rsidR="00F32B28">
        <w:rPr>
          <w:rtl/>
        </w:rPr>
        <w:t xml:space="preserve"> </w:t>
      </w:r>
      <w:r w:rsidR="00F32B28" w:rsidRPr="00F32B28">
        <w:rPr>
          <w:rtl/>
        </w:rPr>
        <w:t>هذه</w:t>
      </w:r>
      <w:r w:rsidR="00F32B28">
        <w:rPr>
          <w:rtl/>
        </w:rPr>
        <w:t xml:space="preserve"> </w:t>
      </w:r>
      <w:r w:rsidR="00F32B28" w:rsidRPr="00F32B28">
        <w:rPr>
          <w:rtl/>
        </w:rPr>
        <w:t>الحقوق</w:t>
      </w:r>
      <w:r w:rsidR="00F32B28">
        <w:rPr>
          <w:rtl/>
        </w:rPr>
        <w:t xml:space="preserve"> </w:t>
      </w:r>
      <w:r w:rsidR="00F32B28" w:rsidRPr="00F32B28">
        <w:rPr>
          <w:rtl/>
        </w:rPr>
        <w:t>ونطاق</w:t>
      </w:r>
      <w:r w:rsidR="00F32B28">
        <w:rPr>
          <w:rtl/>
        </w:rPr>
        <w:t xml:space="preserve"> </w:t>
      </w:r>
      <w:r w:rsidR="00F32B28" w:rsidRPr="00F32B28">
        <w:rPr>
          <w:rtl/>
        </w:rPr>
        <w:t>المشاركة</w:t>
      </w:r>
      <w:r w:rsidR="00F32B28">
        <w:rPr>
          <w:rtl/>
        </w:rPr>
        <w:t xml:space="preserve"> </w:t>
      </w:r>
      <w:r w:rsidR="00F32B28" w:rsidRPr="00F32B28">
        <w:rPr>
          <w:rtl/>
        </w:rPr>
        <w:t>الحزبية.</w:t>
      </w:r>
    </w:p>
    <w:p w:rsidR="00F32B28" w:rsidRPr="00F32B28" w:rsidRDefault="008A31F2" w:rsidP="008A31F2">
      <w:pPr>
        <w:pStyle w:val="SingleTxt"/>
        <w:rPr>
          <w:rtl/>
          <w:lang w:bidi="ar-LB"/>
        </w:rPr>
      </w:pPr>
      <w:r>
        <w:rPr>
          <w:rFonts w:hint="cs"/>
          <w:rtl/>
          <w:lang w:bidi="ar-LB"/>
        </w:rPr>
        <w:lastRenderedPageBreak/>
        <w:t xml:space="preserve">117 - </w:t>
      </w:r>
      <w:r w:rsidR="00F32B28" w:rsidRPr="00F32B28">
        <w:rPr>
          <w:rtl/>
          <w:lang w:bidi="ar-LB"/>
        </w:rPr>
        <w:t>وبحسب</w:t>
      </w:r>
      <w:r w:rsidR="00F32B28">
        <w:rPr>
          <w:rtl/>
          <w:lang w:bidi="ar-LB"/>
        </w:rPr>
        <w:t xml:space="preserve"> </w:t>
      </w:r>
      <w:r w:rsidR="00F32B28" w:rsidRPr="00F32B28">
        <w:rPr>
          <w:rtl/>
          <w:lang w:bidi="ar-LB"/>
        </w:rPr>
        <w:t>آخر</w:t>
      </w:r>
      <w:r w:rsidR="00F32B28">
        <w:rPr>
          <w:rtl/>
          <w:lang w:bidi="ar-LB"/>
        </w:rPr>
        <w:t xml:space="preserve"> </w:t>
      </w:r>
      <w:r w:rsidR="00F32B28" w:rsidRPr="00F32B28">
        <w:rPr>
          <w:rtl/>
          <w:lang w:bidi="ar-LB"/>
        </w:rPr>
        <w:t>الإحصاءات</w:t>
      </w:r>
      <w:r w:rsidR="00F32B28">
        <w:rPr>
          <w:rtl/>
          <w:lang w:bidi="ar-LB"/>
        </w:rPr>
        <w:t xml:space="preserve"> </w:t>
      </w:r>
      <w:r w:rsidR="00F32B28" w:rsidRPr="00F32B28">
        <w:rPr>
          <w:rtl/>
          <w:lang w:bidi="ar-LB"/>
        </w:rPr>
        <w:t>الصادرة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2011،</w:t>
      </w:r>
      <w:r w:rsidR="00F32B28">
        <w:rPr>
          <w:rtl/>
          <w:lang w:bidi="ar-LB"/>
        </w:rPr>
        <w:t xml:space="preserve"> </w:t>
      </w:r>
      <w:r w:rsidR="00F32B28" w:rsidRPr="00F32B28">
        <w:rPr>
          <w:rtl/>
          <w:lang w:bidi="ar-LB"/>
        </w:rPr>
        <w:t>بلغت</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مشاركة</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الأحزاب</w:t>
      </w:r>
      <w:r w:rsidR="00F32B28">
        <w:rPr>
          <w:rtl/>
          <w:lang w:bidi="ar-LB"/>
        </w:rPr>
        <w:t xml:space="preserve"> </w:t>
      </w:r>
      <w:r w:rsidR="00F32B28" w:rsidRPr="00F32B28">
        <w:rPr>
          <w:rtl/>
          <w:lang w:bidi="ar-LB"/>
        </w:rPr>
        <w:t>السياسية</w:t>
      </w:r>
      <w:r w:rsidR="00F32B28">
        <w:rPr>
          <w:rtl/>
          <w:lang w:bidi="ar-LB"/>
        </w:rPr>
        <w:t xml:space="preserve"> </w:t>
      </w:r>
      <w:r w:rsidR="00F32B28" w:rsidRPr="00F32B28">
        <w:rPr>
          <w:rtl/>
          <w:lang w:bidi="ar-LB"/>
        </w:rPr>
        <w:t>الفلسطينية،</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يلي:</w:t>
      </w:r>
      <w:r w:rsidR="00F32B28">
        <w:rPr>
          <w:rtl/>
          <w:lang w:bidi="ar-LB"/>
        </w:rPr>
        <w:t xml:space="preserve"> </w:t>
      </w:r>
    </w:p>
    <w:p w:rsidR="00F32B28" w:rsidRPr="00C22320" w:rsidRDefault="00C22320" w:rsidP="00C2232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rPr>
      </w:pPr>
      <w:r>
        <w:rPr>
          <w:rFonts w:hint="cs"/>
          <w:i/>
          <w:iCs/>
          <w:rtl/>
        </w:rPr>
        <w:tab/>
      </w:r>
      <w:r>
        <w:rPr>
          <w:rFonts w:hint="eastAsia"/>
          <w:i/>
          <w:iCs/>
          <w:rtl/>
        </w:rPr>
        <w:t>•</w:t>
      </w:r>
      <w:r>
        <w:rPr>
          <w:rFonts w:hint="cs"/>
          <w:i/>
          <w:iCs/>
          <w:rtl/>
        </w:rPr>
        <w:tab/>
      </w:r>
      <w:r w:rsidR="00F32B28" w:rsidRPr="00C22320">
        <w:rPr>
          <w:i/>
          <w:iCs/>
          <w:rtl/>
        </w:rPr>
        <w:t xml:space="preserve">حركة التحرير الوطني الفلسطيني </w:t>
      </w:r>
      <w:r w:rsidR="00E12813" w:rsidRPr="00C22320">
        <w:rPr>
          <w:rFonts w:hint="cs"/>
          <w:i/>
          <w:iCs/>
          <w:rtl/>
        </w:rPr>
        <w:t>”</w:t>
      </w:r>
      <w:r w:rsidR="00F32B28" w:rsidRPr="00C22320">
        <w:rPr>
          <w:i/>
          <w:iCs/>
          <w:rtl/>
        </w:rPr>
        <w:t>فتح</w:t>
      </w:r>
      <w:r w:rsidR="00E12813" w:rsidRPr="00C22320">
        <w:rPr>
          <w:rFonts w:hint="cs"/>
          <w:i/>
          <w:iCs/>
          <w:rtl/>
        </w:rPr>
        <w:t>“</w:t>
      </w:r>
      <w:r w:rsidR="00F32B28" w:rsidRPr="00C22320">
        <w:rPr>
          <w:i/>
          <w:iCs/>
          <w:rtl/>
        </w:rPr>
        <w:t>: بلغت نسبة مشاركتها في عضوية اللجنة المركزية حوالي 5</w:t>
      </w:r>
      <w:r w:rsidR="007D58C4" w:rsidRPr="00C22320">
        <w:rPr>
          <w:rFonts w:hint="cs"/>
          <w:i/>
          <w:iCs/>
          <w:rtl/>
        </w:rPr>
        <w:t xml:space="preserve"> </w:t>
      </w:r>
      <w:r w:rsidR="00600C43" w:rsidRPr="00C22320">
        <w:rPr>
          <w:i/>
          <w:iCs/>
          <w:rtl/>
        </w:rPr>
        <w:t>في المائة</w:t>
      </w:r>
      <w:r w:rsidR="00F32B28" w:rsidRPr="00C22320">
        <w:rPr>
          <w:i/>
          <w:iCs/>
          <w:rtl/>
        </w:rPr>
        <w:t xml:space="preserve"> من مجموع أعضاء اللجنة المركزية (عضوة واحدة)، و</w:t>
      </w:r>
      <w:r w:rsidR="00407D55" w:rsidRPr="00C22320">
        <w:rPr>
          <w:rFonts w:hint="cs"/>
          <w:i/>
          <w:iCs/>
          <w:rtl/>
        </w:rPr>
        <w:t xml:space="preserve"> </w:t>
      </w:r>
      <w:r w:rsidR="00F32B28" w:rsidRPr="00C22320">
        <w:rPr>
          <w:i/>
          <w:iCs/>
          <w:rtl/>
        </w:rPr>
        <w:t>9.2</w:t>
      </w:r>
      <w:r w:rsidR="007D58C4" w:rsidRPr="00C22320">
        <w:rPr>
          <w:rFonts w:hint="cs"/>
          <w:i/>
          <w:iCs/>
          <w:rtl/>
        </w:rPr>
        <w:t xml:space="preserve"> </w:t>
      </w:r>
      <w:r w:rsidR="00600C43" w:rsidRPr="00C22320">
        <w:rPr>
          <w:i/>
          <w:iCs/>
          <w:rtl/>
        </w:rPr>
        <w:t>في المائة</w:t>
      </w:r>
      <w:r w:rsidR="00F32B28" w:rsidRPr="00C22320">
        <w:rPr>
          <w:i/>
          <w:iCs/>
          <w:rtl/>
        </w:rPr>
        <w:t xml:space="preserve"> في المجلس الثوري.</w:t>
      </w:r>
    </w:p>
    <w:p w:rsidR="00F32B28" w:rsidRPr="00C22320" w:rsidRDefault="00C22320" w:rsidP="00C2232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rPr>
      </w:pPr>
      <w:r>
        <w:rPr>
          <w:rFonts w:hint="cs"/>
          <w:i/>
          <w:iCs/>
          <w:rtl/>
        </w:rPr>
        <w:tab/>
      </w:r>
      <w:r>
        <w:rPr>
          <w:rFonts w:hint="eastAsia"/>
          <w:i/>
          <w:iCs/>
          <w:rtl/>
        </w:rPr>
        <w:t>•</w:t>
      </w:r>
      <w:r>
        <w:rPr>
          <w:rFonts w:hint="cs"/>
          <w:i/>
          <w:iCs/>
          <w:rtl/>
        </w:rPr>
        <w:tab/>
      </w:r>
      <w:r w:rsidR="00F32B28" w:rsidRPr="00C22320">
        <w:rPr>
          <w:i/>
          <w:iCs/>
          <w:rtl/>
        </w:rPr>
        <w:t>الجبهة الشعبية لتحرير فلسطين: تشكل عضوية المرأة حوالي 20</w:t>
      </w:r>
      <w:r w:rsidR="007D58C4" w:rsidRPr="00C22320">
        <w:rPr>
          <w:rFonts w:hint="cs"/>
          <w:i/>
          <w:iCs/>
          <w:rtl/>
        </w:rPr>
        <w:t xml:space="preserve"> </w:t>
      </w:r>
      <w:r w:rsidR="00600C43" w:rsidRPr="00C22320">
        <w:rPr>
          <w:i/>
          <w:iCs/>
          <w:rtl/>
        </w:rPr>
        <w:t>في المائة</w:t>
      </w:r>
      <w:r w:rsidR="00F32B28" w:rsidRPr="00C22320">
        <w:rPr>
          <w:i/>
          <w:iCs/>
          <w:rtl/>
        </w:rPr>
        <w:t xml:space="preserve"> في الهيئات القيادية، و</w:t>
      </w:r>
      <w:r w:rsidR="00407D55" w:rsidRPr="00C22320">
        <w:rPr>
          <w:rFonts w:hint="cs"/>
          <w:i/>
          <w:iCs/>
          <w:rtl/>
        </w:rPr>
        <w:t> </w:t>
      </w:r>
      <w:r w:rsidR="00F32B28" w:rsidRPr="00C22320">
        <w:rPr>
          <w:i/>
          <w:iCs/>
          <w:rtl/>
        </w:rPr>
        <w:t>15</w:t>
      </w:r>
      <w:r w:rsidR="007D58C4" w:rsidRPr="00C22320">
        <w:rPr>
          <w:rFonts w:hint="cs"/>
          <w:i/>
          <w:iCs/>
          <w:rtl/>
        </w:rPr>
        <w:t xml:space="preserve"> </w:t>
      </w:r>
      <w:r w:rsidR="00600C43" w:rsidRPr="00C22320">
        <w:rPr>
          <w:i/>
          <w:iCs/>
          <w:rtl/>
        </w:rPr>
        <w:t>في المائة</w:t>
      </w:r>
      <w:r w:rsidR="00F32B28" w:rsidRPr="00C22320">
        <w:rPr>
          <w:i/>
          <w:iCs/>
          <w:rtl/>
        </w:rPr>
        <w:t xml:space="preserve"> من إجمالي العضوية الحزبية. </w:t>
      </w:r>
    </w:p>
    <w:p w:rsidR="00F32B28" w:rsidRPr="00C22320" w:rsidRDefault="00C22320" w:rsidP="00C2232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rPr>
      </w:pPr>
      <w:r>
        <w:rPr>
          <w:rFonts w:hint="cs"/>
          <w:i/>
          <w:iCs/>
          <w:rtl/>
        </w:rPr>
        <w:tab/>
      </w:r>
      <w:r>
        <w:rPr>
          <w:rFonts w:hint="eastAsia"/>
          <w:i/>
          <w:iCs/>
          <w:rtl/>
        </w:rPr>
        <w:t>•</w:t>
      </w:r>
      <w:r>
        <w:rPr>
          <w:rFonts w:hint="cs"/>
          <w:i/>
          <w:iCs/>
          <w:rtl/>
        </w:rPr>
        <w:tab/>
      </w:r>
      <w:r w:rsidR="00F32B28" w:rsidRPr="00C22320">
        <w:rPr>
          <w:i/>
          <w:iCs/>
          <w:rtl/>
        </w:rPr>
        <w:t>جبهة الديمقراطية لتحرير فلسطين: تشكل عضوية المرأة حوالي 20</w:t>
      </w:r>
      <w:r w:rsidR="007D58C4" w:rsidRPr="00C22320">
        <w:rPr>
          <w:rFonts w:hint="cs"/>
          <w:i/>
          <w:iCs/>
          <w:rtl/>
        </w:rPr>
        <w:t xml:space="preserve"> </w:t>
      </w:r>
      <w:r w:rsidR="00600C43" w:rsidRPr="00C22320">
        <w:rPr>
          <w:i/>
          <w:iCs/>
          <w:rtl/>
        </w:rPr>
        <w:t>في المائة</w:t>
      </w:r>
      <w:r w:rsidR="00F32B28" w:rsidRPr="00C22320">
        <w:rPr>
          <w:i/>
          <w:iCs/>
          <w:rtl/>
        </w:rPr>
        <w:t xml:space="preserve"> في الهيئات القيادية، و</w:t>
      </w:r>
      <w:r w:rsidR="00407D55" w:rsidRPr="00C22320">
        <w:rPr>
          <w:rFonts w:hint="cs"/>
          <w:i/>
          <w:iCs/>
          <w:rtl/>
        </w:rPr>
        <w:t xml:space="preserve"> </w:t>
      </w:r>
      <w:r w:rsidR="00F32B28" w:rsidRPr="00C22320">
        <w:rPr>
          <w:i/>
          <w:iCs/>
          <w:rtl/>
        </w:rPr>
        <w:t>25</w:t>
      </w:r>
      <w:r w:rsidR="007D58C4" w:rsidRPr="00C22320">
        <w:rPr>
          <w:rFonts w:hint="cs"/>
          <w:i/>
          <w:iCs/>
          <w:rtl/>
        </w:rPr>
        <w:t xml:space="preserve"> </w:t>
      </w:r>
      <w:r w:rsidR="00600C43" w:rsidRPr="00C22320">
        <w:rPr>
          <w:i/>
          <w:iCs/>
          <w:rtl/>
        </w:rPr>
        <w:t>في المائة</w:t>
      </w:r>
      <w:r w:rsidR="00F32B28" w:rsidRPr="00C22320">
        <w:rPr>
          <w:i/>
          <w:iCs/>
          <w:rtl/>
        </w:rPr>
        <w:t xml:space="preserve"> إجمالي العضوية الحزبية.</w:t>
      </w:r>
    </w:p>
    <w:p w:rsidR="00F32B28" w:rsidRPr="00C22320" w:rsidRDefault="00C22320" w:rsidP="00C2232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rPr>
      </w:pPr>
      <w:r>
        <w:rPr>
          <w:rFonts w:hint="cs"/>
          <w:i/>
          <w:iCs/>
          <w:rtl/>
        </w:rPr>
        <w:tab/>
      </w:r>
      <w:r>
        <w:rPr>
          <w:rFonts w:hint="eastAsia"/>
          <w:i/>
          <w:iCs/>
          <w:rtl/>
        </w:rPr>
        <w:t>•</w:t>
      </w:r>
      <w:r>
        <w:rPr>
          <w:rFonts w:hint="cs"/>
          <w:i/>
          <w:iCs/>
          <w:rtl/>
        </w:rPr>
        <w:tab/>
      </w:r>
      <w:r w:rsidR="00F32B28" w:rsidRPr="00C22320">
        <w:rPr>
          <w:i/>
          <w:iCs/>
          <w:rtl/>
        </w:rPr>
        <w:t xml:space="preserve">الاتحاد الديموقراطي الفلسطيني </w:t>
      </w:r>
      <w:r w:rsidR="00E12813" w:rsidRPr="00C22320">
        <w:rPr>
          <w:rFonts w:hint="cs"/>
          <w:i/>
          <w:iCs/>
          <w:rtl/>
        </w:rPr>
        <w:t>”</w:t>
      </w:r>
      <w:r w:rsidR="00F32B28" w:rsidRPr="00C22320">
        <w:rPr>
          <w:i/>
          <w:iCs/>
          <w:rtl/>
        </w:rPr>
        <w:t>فدا</w:t>
      </w:r>
      <w:r w:rsidR="00E12813" w:rsidRPr="00C22320">
        <w:rPr>
          <w:rFonts w:hint="cs"/>
          <w:i/>
          <w:iCs/>
          <w:rtl/>
        </w:rPr>
        <w:t>“</w:t>
      </w:r>
      <w:r w:rsidR="00F32B28" w:rsidRPr="00C22320">
        <w:rPr>
          <w:i/>
          <w:iCs/>
          <w:rtl/>
        </w:rPr>
        <w:t>: تتبوأ الأمانة العامة امرأة، وتمثل المرأة حوالي 39</w:t>
      </w:r>
      <w:r w:rsidR="007D58C4" w:rsidRPr="00C22320">
        <w:rPr>
          <w:rFonts w:hint="cs"/>
          <w:i/>
          <w:iCs/>
          <w:rtl/>
        </w:rPr>
        <w:t xml:space="preserve"> </w:t>
      </w:r>
      <w:r w:rsidR="00600C43" w:rsidRPr="00C22320">
        <w:rPr>
          <w:i/>
          <w:iCs/>
          <w:rtl/>
        </w:rPr>
        <w:t>في المائة</w:t>
      </w:r>
      <w:r w:rsidR="00F32B28" w:rsidRPr="00C22320">
        <w:rPr>
          <w:i/>
          <w:iCs/>
          <w:rtl/>
        </w:rPr>
        <w:t xml:space="preserve"> من عضوية الهيئات القيادية. </w:t>
      </w:r>
    </w:p>
    <w:p w:rsidR="00F32B28" w:rsidRPr="00C22320" w:rsidRDefault="00C22320" w:rsidP="00C2232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rPr>
      </w:pPr>
      <w:r>
        <w:rPr>
          <w:rFonts w:hint="cs"/>
          <w:i/>
          <w:iCs/>
          <w:rtl/>
        </w:rPr>
        <w:tab/>
      </w:r>
      <w:r>
        <w:rPr>
          <w:rFonts w:hint="eastAsia"/>
          <w:i/>
          <w:iCs/>
          <w:rtl/>
        </w:rPr>
        <w:t>•</w:t>
      </w:r>
      <w:r>
        <w:rPr>
          <w:rFonts w:hint="cs"/>
          <w:i/>
          <w:iCs/>
          <w:rtl/>
        </w:rPr>
        <w:tab/>
      </w:r>
      <w:r w:rsidR="00F32B28" w:rsidRPr="00C22320">
        <w:rPr>
          <w:i/>
          <w:iCs/>
          <w:rtl/>
        </w:rPr>
        <w:t>حزب الشعب الفلسطيني: تشكل عضوية المرأة حوالي 25-30</w:t>
      </w:r>
      <w:r w:rsidR="007D58C4" w:rsidRPr="00C22320">
        <w:rPr>
          <w:rFonts w:hint="cs"/>
          <w:i/>
          <w:iCs/>
          <w:rtl/>
        </w:rPr>
        <w:t xml:space="preserve"> </w:t>
      </w:r>
      <w:r w:rsidR="00600C43" w:rsidRPr="00C22320">
        <w:rPr>
          <w:i/>
          <w:iCs/>
          <w:rtl/>
        </w:rPr>
        <w:t>في المائة</w:t>
      </w:r>
      <w:r w:rsidR="00F32B28" w:rsidRPr="00C22320">
        <w:rPr>
          <w:i/>
          <w:iCs/>
          <w:rtl/>
        </w:rPr>
        <w:t xml:space="preserve"> من الهيئات القيادية، وكذلك بالنسبة لعضوية الحزب بشكل عام. </w:t>
      </w:r>
    </w:p>
    <w:p w:rsidR="00F32B28" w:rsidRPr="00C22320" w:rsidRDefault="00C22320" w:rsidP="00C2232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rPr>
      </w:pPr>
      <w:r>
        <w:rPr>
          <w:rFonts w:hint="cs"/>
          <w:i/>
          <w:iCs/>
          <w:rtl/>
        </w:rPr>
        <w:tab/>
      </w:r>
      <w:r>
        <w:rPr>
          <w:rFonts w:hint="eastAsia"/>
          <w:i/>
          <w:iCs/>
          <w:rtl/>
        </w:rPr>
        <w:t>•</w:t>
      </w:r>
      <w:r>
        <w:rPr>
          <w:rFonts w:hint="cs"/>
          <w:i/>
          <w:iCs/>
          <w:rtl/>
        </w:rPr>
        <w:tab/>
      </w:r>
      <w:r w:rsidR="00F32B28" w:rsidRPr="00C22320">
        <w:rPr>
          <w:i/>
          <w:iCs/>
          <w:rtl/>
        </w:rPr>
        <w:t>جبهة النضال الشعبي: تمثل مشاركة المرأة ما نسبته 20</w:t>
      </w:r>
      <w:r w:rsidR="007D58C4" w:rsidRPr="00C22320">
        <w:rPr>
          <w:rFonts w:hint="cs"/>
          <w:i/>
          <w:iCs/>
          <w:rtl/>
        </w:rPr>
        <w:t xml:space="preserve"> </w:t>
      </w:r>
      <w:r w:rsidR="00600C43" w:rsidRPr="00C22320">
        <w:rPr>
          <w:i/>
          <w:iCs/>
          <w:rtl/>
        </w:rPr>
        <w:t>في المائة</w:t>
      </w:r>
      <w:r w:rsidR="00F32B28" w:rsidRPr="00C22320">
        <w:rPr>
          <w:i/>
          <w:iCs/>
          <w:rtl/>
        </w:rPr>
        <w:t xml:space="preserve"> من عضوية الهيئات القيادية والقاعدية. </w:t>
      </w:r>
    </w:p>
    <w:p w:rsidR="00F32B28" w:rsidRPr="00C22320" w:rsidRDefault="00C22320" w:rsidP="00C2232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rPr>
      </w:pPr>
      <w:r>
        <w:rPr>
          <w:rFonts w:hint="cs"/>
          <w:i/>
          <w:iCs/>
          <w:rtl/>
        </w:rPr>
        <w:tab/>
      </w:r>
      <w:r>
        <w:rPr>
          <w:rFonts w:hint="eastAsia"/>
          <w:i/>
          <w:iCs/>
          <w:rtl/>
        </w:rPr>
        <w:t>•</w:t>
      </w:r>
      <w:r>
        <w:rPr>
          <w:rFonts w:hint="cs"/>
          <w:i/>
          <w:iCs/>
          <w:rtl/>
        </w:rPr>
        <w:tab/>
      </w:r>
      <w:r w:rsidR="00F32B28" w:rsidRPr="00C22320">
        <w:rPr>
          <w:i/>
          <w:iCs/>
          <w:rtl/>
        </w:rPr>
        <w:t xml:space="preserve">الجبهة العربية الفلسطينية: تشكل عضوية المرأة </w:t>
      </w:r>
      <w:r>
        <w:rPr>
          <w:rFonts w:hint="cs"/>
          <w:i/>
          <w:iCs/>
          <w:rtl/>
        </w:rPr>
        <w:t>20-25</w:t>
      </w:r>
      <w:r w:rsidR="007D58C4" w:rsidRPr="00C22320">
        <w:rPr>
          <w:rFonts w:hint="cs"/>
          <w:i/>
          <w:iCs/>
          <w:rtl/>
        </w:rPr>
        <w:t xml:space="preserve"> </w:t>
      </w:r>
      <w:r w:rsidR="00600C43" w:rsidRPr="00C22320">
        <w:rPr>
          <w:i/>
          <w:iCs/>
          <w:rtl/>
        </w:rPr>
        <w:t>في المائة</w:t>
      </w:r>
      <w:r w:rsidR="00F32B28" w:rsidRPr="00C22320">
        <w:rPr>
          <w:i/>
          <w:iCs/>
          <w:rtl/>
        </w:rPr>
        <w:t xml:space="preserve"> من الهيئات القيادية، وحوالي 50</w:t>
      </w:r>
      <w:r w:rsidR="007D58C4" w:rsidRPr="00C22320">
        <w:rPr>
          <w:rFonts w:hint="cs"/>
          <w:i/>
          <w:iCs/>
          <w:rtl/>
        </w:rPr>
        <w:t xml:space="preserve"> </w:t>
      </w:r>
      <w:r w:rsidR="00600C43" w:rsidRPr="00C22320">
        <w:rPr>
          <w:i/>
          <w:iCs/>
          <w:rtl/>
        </w:rPr>
        <w:t>في المائة</w:t>
      </w:r>
      <w:r w:rsidR="00F32B28" w:rsidRPr="00C22320">
        <w:rPr>
          <w:i/>
          <w:iCs/>
          <w:rtl/>
        </w:rPr>
        <w:t xml:space="preserve"> من القاعدة. </w:t>
      </w:r>
    </w:p>
    <w:p w:rsidR="00F32B28" w:rsidRPr="00F32B28" w:rsidRDefault="00F32B28" w:rsidP="008A31F2">
      <w:pPr>
        <w:pStyle w:val="SingleTxt"/>
      </w:pPr>
      <w:r w:rsidRPr="00F32B28">
        <w:rPr>
          <w:rtl/>
        </w:rPr>
        <w:t>أما</w:t>
      </w:r>
      <w:r>
        <w:rPr>
          <w:rtl/>
        </w:rPr>
        <w:t xml:space="preserve"> </w:t>
      </w:r>
      <w:r w:rsidRPr="00F32B28">
        <w:rPr>
          <w:rtl/>
        </w:rPr>
        <w:t>بالنسبة</w:t>
      </w:r>
      <w:r>
        <w:rPr>
          <w:rtl/>
        </w:rPr>
        <w:t xml:space="preserve"> </w:t>
      </w:r>
      <w:r w:rsidRPr="00F32B28">
        <w:rPr>
          <w:rtl/>
        </w:rPr>
        <w:t>لحركتي</w:t>
      </w:r>
      <w:r>
        <w:rPr>
          <w:rtl/>
        </w:rPr>
        <w:t xml:space="preserve"> </w:t>
      </w:r>
      <w:r w:rsidRPr="00F32B28">
        <w:rPr>
          <w:rtl/>
        </w:rPr>
        <w:t>المقاومة</w:t>
      </w:r>
      <w:r>
        <w:rPr>
          <w:rtl/>
        </w:rPr>
        <w:t xml:space="preserve"> </w:t>
      </w:r>
      <w:r w:rsidRPr="00F32B28">
        <w:rPr>
          <w:rtl/>
        </w:rPr>
        <w:t>الإسلامية</w:t>
      </w:r>
      <w:r>
        <w:rPr>
          <w:rtl/>
        </w:rPr>
        <w:t xml:space="preserve"> </w:t>
      </w:r>
      <w:r w:rsidR="00E12813">
        <w:rPr>
          <w:rFonts w:hint="cs"/>
          <w:rtl/>
        </w:rPr>
        <w:t>”</w:t>
      </w:r>
      <w:r w:rsidRPr="00F32B28">
        <w:rPr>
          <w:rtl/>
        </w:rPr>
        <w:t>حماس</w:t>
      </w:r>
      <w:r w:rsidR="00E12813">
        <w:rPr>
          <w:rFonts w:hint="cs"/>
          <w:rtl/>
        </w:rPr>
        <w:t>“</w:t>
      </w:r>
      <w:r>
        <w:rPr>
          <w:rtl/>
        </w:rPr>
        <w:t xml:space="preserve"> </w:t>
      </w:r>
      <w:r w:rsidRPr="00F32B28">
        <w:rPr>
          <w:rtl/>
        </w:rPr>
        <w:t>والجهاد</w:t>
      </w:r>
      <w:r>
        <w:rPr>
          <w:rtl/>
        </w:rPr>
        <w:t xml:space="preserve"> </w:t>
      </w:r>
      <w:r w:rsidRPr="00F32B28">
        <w:rPr>
          <w:rtl/>
        </w:rPr>
        <w:t>الإسلامي</w:t>
      </w:r>
      <w:r>
        <w:rPr>
          <w:rtl/>
        </w:rPr>
        <w:t xml:space="preserve"> </w:t>
      </w:r>
      <w:r w:rsidRPr="00F32B28">
        <w:rPr>
          <w:rtl/>
        </w:rPr>
        <w:t>فلم</w:t>
      </w:r>
      <w:r>
        <w:rPr>
          <w:rtl/>
        </w:rPr>
        <w:t xml:space="preserve"> </w:t>
      </w:r>
      <w:r w:rsidRPr="00F32B28">
        <w:rPr>
          <w:rtl/>
        </w:rPr>
        <w:t>تتوافر</w:t>
      </w:r>
      <w:r>
        <w:rPr>
          <w:rtl/>
        </w:rPr>
        <w:t xml:space="preserve"> </w:t>
      </w:r>
      <w:r w:rsidRPr="00F32B28">
        <w:rPr>
          <w:rtl/>
        </w:rPr>
        <w:t>معلومات</w:t>
      </w:r>
      <w:r>
        <w:rPr>
          <w:rtl/>
        </w:rPr>
        <w:t xml:space="preserve"> </w:t>
      </w:r>
      <w:r w:rsidRPr="00F32B28">
        <w:rPr>
          <w:rtl/>
        </w:rPr>
        <w:t>حول</w:t>
      </w:r>
      <w:r>
        <w:rPr>
          <w:rtl/>
        </w:rPr>
        <w:t xml:space="preserve"> </w:t>
      </w:r>
      <w:r w:rsidRPr="00F32B28">
        <w:rPr>
          <w:rtl/>
        </w:rPr>
        <w:t>أعداد</w:t>
      </w:r>
      <w:r>
        <w:rPr>
          <w:rtl/>
        </w:rPr>
        <w:t xml:space="preserve"> </w:t>
      </w:r>
      <w:r w:rsidRPr="00F32B28">
        <w:rPr>
          <w:rtl/>
        </w:rPr>
        <w:t>النساء</w:t>
      </w:r>
      <w:r>
        <w:rPr>
          <w:rtl/>
        </w:rPr>
        <w:t xml:space="preserve"> </w:t>
      </w:r>
      <w:r w:rsidRPr="00F32B28">
        <w:rPr>
          <w:rtl/>
        </w:rPr>
        <w:t>فيهما</w:t>
      </w:r>
      <w:r>
        <w:rPr>
          <w:rtl/>
        </w:rPr>
        <w:t xml:space="preserve"> </w:t>
      </w:r>
      <w:r w:rsidRPr="00F32B28">
        <w:rPr>
          <w:rtl/>
        </w:rPr>
        <w:t>أو</w:t>
      </w:r>
      <w:r>
        <w:rPr>
          <w:rtl/>
        </w:rPr>
        <w:t xml:space="preserve"> </w:t>
      </w:r>
      <w:r w:rsidRPr="00F32B28">
        <w:rPr>
          <w:rtl/>
        </w:rPr>
        <w:t>واقع</w:t>
      </w:r>
      <w:r>
        <w:rPr>
          <w:rtl/>
        </w:rPr>
        <w:t xml:space="preserve"> </w:t>
      </w:r>
      <w:r w:rsidRPr="00F32B28">
        <w:rPr>
          <w:rtl/>
        </w:rPr>
        <w:t>اندماج</w:t>
      </w:r>
      <w:r>
        <w:rPr>
          <w:rtl/>
        </w:rPr>
        <w:t xml:space="preserve"> </w:t>
      </w:r>
      <w:r w:rsidRPr="00F32B28">
        <w:rPr>
          <w:rtl/>
        </w:rPr>
        <w:t>الكادر</w:t>
      </w:r>
      <w:r>
        <w:rPr>
          <w:rtl/>
        </w:rPr>
        <w:t xml:space="preserve"> </w:t>
      </w:r>
      <w:r w:rsidRPr="00F32B28">
        <w:rPr>
          <w:rtl/>
        </w:rPr>
        <w:t>النسوي</w:t>
      </w:r>
      <w:r>
        <w:rPr>
          <w:rtl/>
        </w:rPr>
        <w:t xml:space="preserve"> </w:t>
      </w:r>
      <w:r w:rsidRPr="00F32B28">
        <w:rPr>
          <w:rtl/>
        </w:rPr>
        <w:t>في</w:t>
      </w:r>
      <w:r>
        <w:rPr>
          <w:rtl/>
        </w:rPr>
        <w:t xml:space="preserve"> </w:t>
      </w:r>
      <w:r w:rsidRPr="00F32B28">
        <w:rPr>
          <w:rtl/>
        </w:rPr>
        <w:t>المستويات</w:t>
      </w:r>
      <w:r>
        <w:rPr>
          <w:rtl/>
        </w:rPr>
        <w:t xml:space="preserve"> </w:t>
      </w:r>
      <w:r w:rsidRPr="00F32B28">
        <w:rPr>
          <w:rtl/>
        </w:rPr>
        <w:t>القيادية</w:t>
      </w:r>
      <w:r>
        <w:rPr>
          <w:rtl/>
        </w:rPr>
        <w:t xml:space="preserve"> </w:t>
      </w:r>
      <w:r w:rsidRPr="00F32B28">
        <w:rPr>
          <w:rtl/>
        </w:rPr>
        <w:t>لهتين</w:t>
      </w:r>
      <w:r>
        <w:rPr>
          <w:rtl/>
        </w:rPr>
        <w:t xml:space="preserve"> </w:t>
      </w:r>
      <w:r w:rsidRPr="00F32B28">
        <w:rPr>
          <w:rtl/>
        </w:rPr>
        <w:t>الحركتين.</w:t>
      </w:r>
    </w:p>
    <w:p w:rsidR="00F32B28" w:rsidRPr="00F32B28" w:rsidRDefault="00C22320" w:rsidP="00C22320">
      <w:pPr>
        <w:pStyle w:val="SingleTxt"/>
      </w:pPr>
      <w:r>
        <w:rPr>
          <w:rFonts w:hint="cs"/>
          <w:rtl/>
          <w:lang w:bidi="ar-LB"/>
        </w:rPr>
        <w:t xml:space="preserve">118 - </w:t>
      </w:r>
      <w:r w:rsidR="00F32B28" w:rsidRPr="00F32B28">
        <w:rPr>
          <w:rtl/>
          <w:lang w:bidi="ar-LB"/>
        </w:rPr>
        <w:t>أصدر</w:t>
      </w:r>
      <w:r w:rsidR="00F32B28">
        <w:rPr>
          <w:rtl/>
          <w:lang w:bidi="ar-LB"/>
        </w:rPr>
        <w:t xml:space="preserve"> </w:t>
      </w:r>
      <w:r w:rsidR="00F32B28" w:rsidRPr="00F32B28">
        <w:rPr>
          <w:rtl/>
          <w:lang w:bidi="ar-LB"/>
        </w:rPr>
        <w:t>المجلس</w:t>
      </w:r>
      <w:r w:rsidR="00F32B28">
        <w:rPr>
          <w:rtl/>
          <w:lang w:bidi="ar-LB"/>
        </w:rPr>
        <w:t xml:space="preserve"> </w:t>
      </w:r>
      <w:r w:rsidR="00F32B28" w:rsidRPr="00F32B28">
        <w:rPr>
          <w:rtl/>
          <w:lang w:bidi="ar-LB"/>
        </w:rPr>
        <w:t>المركزي</w:t>
      </w:r>
      <w:r w:rsidR="00F32B28">
        <w:rPr>
          <w:rtl/>
          <w:lang w:bidi="ar-LB"/>
        </w:rPr>
        <w:t xml:space="preserve"> </w:t>
      </w:r>
      <w:r w:rsidR="00F32B28" w:rsidRPr="00F32B28">
        <w:rPr>
          <w:rtl/>
          <w:lang w:bidi="ar-LB"/>
        </w:rPr>
        <w:t>لمنظمة</w:t>
      </w:r>
      <w:r w:rsidR="00F32B28">
        <w:rPr>
          <w:rtl/>
          <w:lang w:bidi="ar-LB"/>
        </w:rPr>
        <w:t xml:space="preserve"> </w:t>
      </w:r>
      <w:r w:rsidR="00F32B28" w:rsidRPr="00F32B28">
        <w:rPr>
          <w:rtl/>
          <w:lang w:bidi="ar-LB"/>
        </w:rPr>
        <w:t>التحرير</w:t>
      </w:r>
      <w:r w:rsidR="00F32B28">
        <w:rPr>
          <w:rtl/>
          <w:lang w:bidi="ar-LB"/>
        </w:rPr>
        <w:t xml:space="preserve"> </w:t>
      </w:r>
      <w:r w:rsidR="00F32B28" w:rsidRPr="00F32B28">
        <w:rPr>
          <w:rtl/>
          <w:lang w:bidi="ar-LB"/>
        </w:rPr>
        <w:t>الفلسطينية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شهر</w:t>
      </w:r>
      <w:r w:rsidR="00F32B28">
        <w:rPr>
          <w:rtl/>
          <w:lang w:bidi="ar-LB"/>
        </w:rPr>
        <w:t xml:space="preserve"> </w:t>
      </w:r>
      <w:r w:rsidR="00F32B28" w:rsidRPr="00F32B28">
        <w:rPr>
          <w:rtl/>
          <w:lang w:bidi="ar-LB"/>
        </w:rPr>
        <w:t>آذار</w:t>
      </w:r>
      <w:r w:rsidR="00846FB9">
        <w:rPr>
          <w:rFonts w:hint="cs"/>
          <w:rtl/>
          <w:lang w:bidi="ar-LB"/>
        </w:rPr>
        <w:t>/مارس</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2015</w:t>
      </w:r>
      <w:r w:rsidR="00F32B28">
        <w:rPr>
          <w:rtl/>
          <w:lang w:bidi="ar-LB"/>
        </w:rPr>
        <w:t xml:space="preserve"> </w:t>
      </w:r>
      <w:r w:rsidR="00F32B28" w:rsidRPr="00F32B28">
        <w:rPr>
          <w:rtl/>
          <w:lang w:bidi="ar-LB"/>
        </w:rPr>
        <w:t>قراراً</w:t>
      </w:r>
      <w:r w:rsidR="00F32B28">
        <w:rPr>
          <w:rtl/>
          <w:lang w:bidi="ar-LB"/>
        </w:rPr>
        <w:t xml:space="preserve"> </w:t>
      </w:r>
      <w:r w:rsidR="00F32B28" w:rsidRPr="00F32B28">
        <w:rPr>
          <w:rtl/>
          <w:lang w:bidi="ar-LB"/>
        </w:rPr>
        <w:t>يقضي</w:t>
      </w:r>
      <w:r w:rsidR="00F32B28">
        <w:rPr>
          <w:rtl/>
          <w:lang w:bidi="ar-LB"/>
        </w:rPr>
        <w:t xml:space="preserve"> </w:t>
      </w:r>
      <w:r w:rsidR="00F32B28" w:rsidRPr="00F32B28">
        <w:rPr>
          <w:rtl/>
          <w:lang w:bidi="ar-LB"/>
        </w:rPr>
        <w:t>بتحقيق</w:t>
      </w:r>
      <w:r w:rsidR="00F32B28">
        <w:rPr>
          <w:rtl/>
          <w:lang w:bidi="ar-LB"/>
        </w:rPr>
        <w:t xml:space="preserve"> </w:t>
      </w:r>
      <w:r w:rsidR="00F32B28" w:rsidRPr="00F32B28">
        <w:rPr>
          <w:rtl/>
          <w:lang w:bidi="ar-LB"/>
        </w:rPr>
        <w:t>المساواة</w:t>
      </w:r>
      <w:r w:rsidR="00F32B28">
        <w:rPr>
          <w:rtl/>
          <w:lang w:bidi="ar-LB"/>
        </w:rPr>
        <w:t xml:space="preserve"> </w:t>
      </w:r>
      <w:r w:rsidR="00F32B28" w:rsidRPr="00F32B28">
        <w:rPr>
          <w:rtl/>
          <w:lang w:bidi="ar-LB"/>
        </w:rPr>
        <w:t>الكاملة</w:t>
      </w:r>
      <w:r w:rsidR="00F32B28">
        <w:rPr>
          <w:rtl/>
          <w:lang w:bidi="ar-LB"/>
        </w:rPr>
        <w:t xml:space="preserve"> </w:t>
      </w:r>
      <w:r w:rsidR="00F32B28" w:rsidRPr="00F32B28">
        <w:rPr>
          <w:rtl/>
          <w:lang w:bidi="ar-LB"/>
        </w:rPr>
        <w:t>للمرأة</w:t>
      </w:r>
      <w:r w:rsidR="00F32B28">
        <w:rPr>
          <w:rtl/>
          <w:lang w:bidi="ar-LB"/>
        </w:rPr>
        <w:t xml:space="preserve"> </w:t>
      </w:r>
      <w:r w:rsidR="00F32B28" w:rsidRPr="00F32B28">
        <w:rPr>
          <w:rtl/>
          <w:lang w:bidi="ar-LB"/>
        </w:rPr>
        <w:t>وتعزيز</w:t>
      </w:r>
      <w:r w:rsidR="00F32B28">
        <w:rPr>
          <w:rtl/>
          <w:lang w:bidi="ar-LB"/>
        </w:rPr>
        <w:t xml:space="preserve"> </w:t>
      </w:r>
      <w:r w:rsidR="00F32B28" w:rsidRPr="00F32B28">
        <w:rPr>
          <w:rtl/>
          <w:lang w:bidi="ar-LB"/>
        </w:rPr>
        <w:t>مشاركتها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المنظمة</w:t>
      </w:r>
      <w:r w:rsidR="00F32B28">
        <w:rPr>
          <w:rtl/>
          <w:lang w:bidi="ar-LB"/>
        </w:rPr>
        <w:t xml:space="preserve"> </w:t>
      </w:r>
      <w:r w:rsidR="00F32B28" w:rsidRPr="00F32B28">
        <w:rPr>
          <w:rtl/>
          <w:lang w:bidi="ar-LB"/>
        </w:rPr>
        <w:t>وكافة</w:t>
      </w:r>
      <w:r w:rsidR="00F32B28">
        <w:rPr>
          <w:rtl/>
          <w:lang w:bidi="ar-LB"/>
        </w:rPr>
        <w:t xml:space="preserve"> </w:t>
      </w:r>
      <w:r w:rsidR="00F32B28" w:rsidRPr="00F32B28">
        <w:rPr>
          <w:rtl/>
          <w:lang w:bidi="ar-LB"/>
        </w:rPr>
        <w:t>مؤسسات</w:t>
      </w:r>
      <w:r w:rsidR="00F32B28">
        <w:rPr>
          <w:rtl/>
          <w:lang w:bidi="ar-LB"/>
        </w:rPr>
        <w:t xml:space="preserve"> </w:t>
      </w:r>
      <w:r w:rsidR="00F32B28" w:rsidRPr="00F32B28">
        <w:rPr>
          <w:rtl/>
          <w:lang w:bidi="ar-LB"/>
        </w:rPr>
        <w:t>دولة</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بحد</w:t>
      </w:r>
      <w:r w:rsidR="00F32B28">
        <w:rPr>
          <w:rtl/>
          <w:lang w:bidi="ar-LB"/>
        </w:rPr>
        <w:t xml:space="preserve"> </w:t>
      </w:r>
      <w:r w:rsidR="00F32B28" w:rsidRPr="00F32B28">
        <w:rPr>
          <w:rtl/>
          <w:lang w:bidi="ar-LB"/>
        </w:rPr>
        <w:t>مشاركة</w:t>
      </w:r>
      <w:r w:rsidR="00F32B28">
        <w:rPr>
          <w:rtl/>
          <w:lang w:bidi="ar-LB"/>
        </w:rPr>
        <w:t xml:space="preserve"> </w:t>
      </w:r>
      <w:r w:rsidR="00F32B28" w:rsidRPr="00F32B28">
        <w:rPr>
          <w:rtl/>
          <w:lang w:bidi="ar-LB"/>
        </w:rPr>
        <w:t>أدنى</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يقل</w:t>
      </w:r>
      <w:r w:rsidR="00F32B28">
        <w:rPr>
          <w:rtl/>
          <w:lang w:bidi="ar-LB"/>
        </w:rPr>
        <w:t xml:space="preserve"> </w:t>
      </w:r>
      <w:r w:rsidR="00F32B28" w:rsidRPr="00F32B28">
        <w:rPr>
          <w:rtl/>
          <w:lang w:bidi="ar-LB"/>
        </w:rPr>
        <w:t>عن</w:t>
      </w:r>
      <w:r w:rsidR="00F32B28">
        <w:rPr>
          <w:rtl/>
          <w:lang w:bidi="ar-LB"/>
        </w:rPr>
        <w:t xml:space="preserve"> </w:t>
      </w:r>
      <w:r w:rsidR="00F32B28" w:rsidRPr="00F32B28">
        <w:rPr>
          <w:rtl/>
          <w:lang w:bidi="ar-LB"/>
        </w:rPr>
        <w:t>30</w:t>
      </w:r>
      <w:r w:rsidR="007D58C4">
        <w:rPr>
          <w:rFonts w:hint="cs"/>
          <w:rtl/>
          <w:lang w:bidi="ar-LB"/>
        </w:rPr>
        <w:t xml:space="preserve"> </w:t>
      </w:r>
      <w:r w:rsidR="00600C43">
        <w:rPr>
          <w:rtl/>
          <w:lang w:bidi="ar-LB"/>
        </w:rPr>
        <w:t>في المائة</w:t>
      </w:r>
      <w:r w:rsidR="00F32B28" w:rsidRPr="00F32B28">
        <w:rPr>
          <w:rtl/>
          <w:lang w:bidi="ar-LB"/>
        </w:rPr>
        <w:t>.</w:t>
      </w:r>
    </w:p>
    <w:p w:rsidR="00F32B28" w:rsidRPr="00F32B28" w:rsidRDefault="00C22320" w:rsidP="00C22320">
      <w:pPr>
        <w:pStyle w:val="SingleTxt"/>
        <w:rPr>
          <w:rtl/>
          <w:lang w:bidi="ar-LB"/>
        </w:rPr>
      </w:pPr>
      <w:r>
        <w:rPr>
          <w:rFonts w:hint="cs"/>
          <w:rtl/>
          <w:lang w:bidi="ar-LB"/>
        </w:rPr>
        <w:t xml:space="preserve">119 - </w:t>
      </w:r>
      <w:r w:rsidR="00F32B28" w:rsidRPr="00F32B28">
        <w:rPr>
          <w:rtl/>
          <w:lang w:bidi="ar-LB"/>
        </w:rPr>
        <w:t>تبقى</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مشاركة</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الاتحادات</w:t>
      </w:r>
      <w:r w:rsidR="00F32B28">
        <w:rPr>
          <w:rtl/>
          <w:lang w:bidi="ar-LB"/>
        </w:rPr>
        <w:t xml:space="preserve"> </w:t>
      </w:r>
      <w:r w:rsidR="00F32B28" w:rsidRPr="00F32B28">
        <w:rPr>
          <w:rtl/>
          <w:lang w:bidi="ar-LB"/>
        </w:rPr>
        <w:t>النقابية</w:t>
      </w:r>
      <w:r w:rsidR="00F32B28">
        <w:rPr>
          <w:rtl/>
          <w:lang w:bidi="ar-LB"/>
        </w:rPr>
        <w:t xml:space="preserve"> </w:t>
      </w:r>
      <w:r w:rsidR="00F32B28" w:rsidRPr="00F32B28">
        <w:rPr>
          <w:rtl/>
          <w:lang w:bidi="ar-LB"/>
        </w:rPr>
        <w:t>ومجالسها</w:t>
      </w:r>
      <w:r w:rsidR="00F32B28">
        <w:rPr>
          <w:rtl/>
          <w:lang w:bidi="ar-LB"/>
        </w:rPr>
        <w:t xml:space="preserve"> </w:t>
      </w:r>
      <w:r w:rsidR="00F32B28" w:rsidRPr="00F32B28">
        <w:rPr>
          <w:rtl/>
          <w:lang w:bidi="ar-LB"/>
        </w:rPr>
        <w:t>واللجان</w:t>
      </w:r>
      <w:r w:rsidR="00F32B28">
        <w:rPr>
          <w:rtl/>
          <w:lang w:bidi="ar-LB"/>
        </w:rPr>
        <w:t xml:space="preserve"> </w:t>
      </w:r>
      <w:r w:rsidR="00F32B28" w:rsidRPr="00F32B28">
        <w:rPr>
          <w:rtl/>
          <w:lang w:bidi="ar-LB"/>
        </w:rPr>
        <w:t>الفرعية</w:t>
      </w:r>
      <w:r w:rsidR="00F32B28">
        <w:rPr>
          <w:rtl/>
          <w:lang w:bidi="ar-LB"/>
        </w:rPr>
        <w:t xml:space="preserve"> </w:t>
      </w:r>
      <w:r w:rsidR="00F32B28" w:rsidRPr="00F32B28">
        <w:rPr>
          <w:rtl/>
          <w:lang w:bidi="ar-LB"/>
        </w:rPr>
        <w:t>والمتخصصة</w:t>
      </w:r>
      <w:r w:rsidR="00F32B28">
        <w:rPr>
          <w:rtl/>
          <w:lang w:bidi="ar-LB"/>
        </w:rPr>
        <w:t xml:space="preserve"> </w:t>
      </w:r>
      <w:r w:rsidR="00F32B28" w:rsidRPr="00F32B28">
        <w:rPr>
          <w:rtl/>
          <w:lang w:bidi="ar-LB"/>
        </w:rPr>
        <w:t>ضئيلة؛</w:t>
      </w:r>
      <w:r w:rsidR="00F32B28">
        <w:rPr>
          <w:rtl/>
          <w:lang w:bidi="ar-LB"/>
        </w:rPr>
        <w:t xml:space="preserve"> </w:t>
      </w:r>
      <w:r w:rsidR="00F32B28" w:rsidRPr="00F32B28">
        <w:rPr>
          <w:rtl/>
          <w:lang w:bidi="ar-LB"/>
        </w:rPr>
        <w:t>وذلك</w:t>
      </w:r>
      <w:r w:rsidR="00F32B28">
        <w:rPr>
          <w:rtl/>
          <w:lang w:bidi="ar-LB"/>
        </w:rPr>
        <w:t xml:space="preserve"> </w:t>
      </w:r>
      <w:r w:rsidR="00F32B28" w:rsidRPr="00F32B28">
        <w:rPr>
          <w:rtl/>
          <w:lang w:bidi="ar-LB"/>
        </w:rPr>
        <w:t>باستثناء</w:t>
      </w:r>
      <w:r w:rsidR="00F32B28">
        <w:rPr>
          <w:rtl/>
          <w:lang w:bidi="ar-LB"/>
        </w:rPr>
        <w:t xml:space="preserve"> </w:t>
      </w:r>
      <w:r w:rsidR="00F32B28" w:rsidRPr="00F32B28">
        <w:rPr>
          <w:rtl/>
          <w:lang w:bidi="ar-LB"/>
        </w:rPr>
        <w:t>الهيئات</w:t>
      </w:r>
      <w:r w:rsidR="00F32B28">
        <w:rPr>
          <w:rtl/>
          <w:lang w:bidi="ar-LB"/>
        </w:rPr>
        <w:t xml:space="preserve"> </w:t>
      </w:r>
      <w:r w:rsidR="00F32B28" w:rsidRPr="00F32B28">
        <w:rPr>
          <w:rtl/>
          <w:lang w:bidi="ar-LB"/>
        </w:rPr>
        <w:t>العامة</w:t>
      </w:r>
      <w:r w:rsidR="00F32B28">
        <w:rPr>
          <w:rtl/>
          <w:lang w:bidi="ar-LB"/>
        </w:rPr>
        <w:t xml:space="preserve"> </w:t>
      </w:r>
      <w:r w:rsidR="00F32B28" w:rsidRPr="00F32B28">
        <w:rPr>
          <w:rtl/>
          <w:lang w:bidi="ar-LB"/>
        </w:rPr>
        <w:t>للنقابات</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يعتبر</w:t>
      </w:r>
      <w:r w:rsidR="00F32B28">
        <w:rPr>
          <w:rtl/>
          <w:lang w:bidi="ar-LB"/>
        </w:rPr>
        <w:t xml:space="preserve"> </w:t>
      </w:r>
      <w:r w:rsidR="00F32B28" w:rsidRPr="00F32B28">
        <w:rPr>
          <w:rtl/>
          <w:lang w:bidi="ar-LB"/>
        </w:rPr>
        <w:t>الانتساب</w:t>
      </w:r>
      <w:r w:rsidR="00F32B28">
        <w:rPr>
          <w:rtl/>
          <w:lang w:bidi="ar-LB"/>
        </w:rPr>
        <w:t xml:space="preserve"> </w:t>
      </w:r>
      <w:r w:rsidR="00F32B28" w:rsidRPr="00F32B28">
        <w:rPr>
          <w:rtl/>
          <w:lang w:bidi="ar-LB"/>
        </w:rPr>
        <w:t>إليها</w:t>
      </w:r>
      <w:r w:rsidR="00F32B28">
        <w:rPr>
          <w:rtl/>
          <w:lang w:bidi="ar-LB"/>
        </w:rPr>
        <w:t xml:space="preserve"> </w:t>
      </w:r>
      <w:r w:rsidR="00F32B28" w:rsidRPr="00F32B28">
        <w:rPr>
          <w:rtl/>
          <w:lang w:bidi="ar-LB"/>
        </w:rPr>
        <w:t>شرطاً</w:t>
      </w:r>
      <w:r w:rsidR="00F32B28">
        <w:rPr>
          <w:rtl/>
          <w:lang w:bidi="ar-LB"/>
        </w:rPr>
        <w:t xml:space="preserve"> </w:t>
      </w:r>
      <w:r w:rsidR="00F32B28" w:rsidRPr="00F32B28">
        <w:rPr>
          <w:rtl/>
          <w:lang w:bidi="ar-LB"/>
        </w:rPr>
        <w:t>لمزاولة</w:t>
      </w:r>
      <w:r w:rsidR="00F32B28">
        <w:rPr>
          <w:rtl/>
          <w:lang w:bidi="ar-LB"/>
        </w:rPr>
        <w:t xml:space="preserve"> </w:t>
      </w:r>
      <w:r w:rsidR="00F32B28" w:rsidRPr="00F32B28">
        <w:rPr>
          <w:rtl/>
          <w:lang w:bidi="ar-LB"/>
        </w:rPr>
        <w:t>المهنة</w:t>
      </w:r>
      <w:r w:rsidR="00F32B28">
        <w:rPr>
          <w:rtl/>
          <w:lang w:bidi="ar-LB"/>
        </w:rPr>
        <w:t xml:space="preserve"> </w:t>
      </w:r>
      <w:r w:rsidR="00F32B28" w:rsidRPr="00F32B28">
        <w:rPr>
          <w:rtl/>
          <w:lang w:bidi="ar-LB"/>
        </w:rPr>
        <w:t>(كالطب</w:t>
      </w:r>
      <w:r w:rsidR="00F32B28">
        <w:rPr>
          <w:rtl/>
          <w:lang w:bidi="ar-LB"/>
        </w:rPr>
        <w:t xml:space="preserve"> </w:t>
      </w:r>
      <w:r w:rsidR="00F32B28" w:rsidRPr="00F32B28">
        <w:rPr>
          <w:rtl/>
          <w:lang w:bidi="ar-LB"/>
        </w:rPr>
        <w:t>والمحاماة)</w:t>
      </w:r>
      <w:r w:rsidR="00F32B28">
        <w:rPr>
          <w:rtl/>
          <w:lang w:bidi="ar-LB"/>
        </w:rPr>
        <w:t xml:space="preserve"> </w:t>
      </w:r>
      <w:r w:rsidR="00F32B28" w:rsidRPr="00F32B28">
        <w:rPr>
          <w:rtl/>
          <w:lang w:bidi="ar-LB"/>
        </w:rPr>
        <w:t>والتي</w:t>
      </w:r>
      <w:r w:rsidR="00F32B28">
        <w:rPr>
          <w:rtl/>
          <w:lang w:bidi="ar-LB"/>
        </w:rPr>
        <w:t xml:space="preserve"> </w:t>
      </w:r>
      <w:r w:rsidR="00F32B28" w:rsidRPr="00F32B28">
        <w:rPr>
          <w:rtl/>
          <w:lang w:bidi="ar-LB"/>
        </w:rPr>
        <w:t>تضم</w:t>
      </w:r>
      <w:r w:rsidR="00F32B28">
        <w:rPr>
          <w:rtl/>
          <w:lang w:bidi="ar-LB"/>
        </w:rPr>
        <w:t xml:space="preserve"> </w:t>
      </w:r>
      <w:r w:rsidR="00F32B28" w:rsidRPr="00F32B28">
        <w:rPr>
          <w:rtl/>
          <w:lang w:bidi="ar-LB"/>
        </w:rPr>
        <w:t>جميع</w:t>
      </w:r>
      <w:r w:rsidR="00F32B28">
        <w:rPr>
          <w:rtl/>
          <w:lang w:bidi="ar-LB"/>
        </w:rPr>
        <w:t xml:space="preserve"> </w:t>
      </w:r>
      <w:r w:rsidR="00F32B28" w:rsidRPr="00F32B28">
        <w:rPr>
          <w:rtl/>
          <w:lang w:bidi="ar-LB"/>
        </w:rPr>
        <w:t>المزاولين</w:t>
      </w:r>
      <w:r w:rsidR="00F32B28">
        <w:rPr>
          <w:rtl/>
          <w:lang w:bidi="ar-LB"/>
        </w:rPr>
        <w:t xml:space="preserve"> </w:t>
      </w:r>
      <w:r w:rsidR="00F32B28" w:rsidRPr="00F32B28">
        <w:rPr>
          <w:rtl/>
          <w:lang w:bidi="ar-LB"/>
        </w:rPr>
        <w:t>للمهنة</w:t>
      </w:r>
      <w:r w:rsidR="00F32B28">
        <w:rPr>
          <w:rtl/>
          <w:lang w:bidi="ar-LB"/>
        </w:rPr>
        <w:t xml:space="preserve"> </w:t>
      </w:r>
      <w:r w:rsidR="00F32B28" w:rsidRPr="00F32B28">
        <w:rPr>
          <w:rtl/>
          <w:lang w:bidi="ar-LB"/>
        </w:rPr>
        <w:t>ممن</w:t>
      </w:r>
      <w:r w:rsidR="00F32B28">
        <w:rPr>
          <w:rtl/>
          <w:lang w:bidi="ar-LB"/>
        </w:rPr>
        <w:t xml:space="preserve"> </w:t>
      </w:r>
      <w:r w:rsidR="00F32B28" w:rsidRPr="00F32B28">
        <w:rPr>
          <w:rtl/>
          <w:lang w:bidi="ar-LB"/>
        </w:rPr>
        <w:t>أدوا</w:t>
      </w:r>
      <w:r w:rsidR="00F32B28">
        <w:rPr>
          <w:rtl/>
          <w:lang w:bidi="ar-LB"/>
        </w:rPr>
        <w:t xml:space="preserve"> </w:t>
      </w:r>
      <w:r w:rsidR="00F32B28" w:rsidRPr="00F32B28">
        <w:rPr>
          <w:rtl/>
          <w:lang w:bidi="ar-LB"/>
        </w:rPr>
        <w:t>الرسوم</w:t>
      </w:r>
      <w:r w:rsidR="00F32B28">
        <w:rPr>
          <w:rtl/>
          <w:lang w:bidi="ar-LB"/>
        </w:rPr>
        <w:t xml:space="preserve"> </w:t>
      </w:r>
      <w:r w:rsidR="00F32B28" w:rsidRPr="00F32B28">
        <w:rPr>
          <w:rtl/>
          <w:lang w:bidi="ar-LB"/>
        </w:rPr>
        <w:t>السنوية</w:t>
      </w:r>
      <w:r w:rsidR="00F32B28">
        <w:rPr>
          <w:rtl/>
          <w:lang w:bidi="ar-LB"/>
        </w:rPr>
        <w:t xml:space="preserve"> </w:t>
      </w:r>
      <w:r w:rsidR="00F32B28" w:rsidRPr="00F32B28">
        <w:rPr>
          <w:rtl/>
          <w:lang w:bidi="ar-LB"/>
        </w:rPr>
        <w:t>المقررة.</w:t>
      </w:r>
      <w:r w:rsidR="00F32B28">
        <w:rPr>
          <w:rtl/>
          <w:lang w:bidi="ar-LB"/>
        </w:rPr>
        <w:t xml:space="preserve"> </w:t>
      </w:r>
      <w:r w:rsidR="00F32B28" w:rsidRPr="00F32B28">
        <w:rPr>
          <w:rtl/>
          <w:lang w:bidi="ar-LB"/>
        </w:rPr>
        <w:t>فقد</w:t>
      </w:r>
      <w:r w:rsidR="00F32B28">
        <w:rPr>
          <w:rtl/>
          <w:lang w:bidi="ar-LB"/>
        </w:rPr>
        <w:t xml:space="preserve"> </w:t>
      </w:r>
      <w:r w:rsidR="00F32B28" w:rsidRPr="00F32B28">
        <w:rPr>
          <w:rtl/>
          <w:lang w:bidi="ar-LB"/>
        </w:rPr>
        <w:t>أشارت</w:t>
      </w:r>
      <w:r w:rsidR="00F32B28">
        <w:rPr>
          <w:rtl/>
          <w:lang w:bidi="ar-LB"/>
        </w:rPr>
        <w:t xml:space="preserve"> </w:t>
      </w:r>
      <w:r w:rsidR="00F32B28" w:rsidRPr="00F32B28">
        <w:rPr>
          <w:rtl/>
          <w:lang w:bidi="ar-LB"/>
        </w:rPr>
        <w:t>إحصائيات</w:t>
      </w:r>
      <w:r w:rsidR="00F32B28">
        <w:rPr>
          <w:rtl/>
          <w:lang w:bidi="ar-LB"/>
        </w:rPr>
        <w:t xml:space="preserve"> </w:t>
      </w:r>
      <w:r w:rsidR="00F32B28" w:rsidRPr="00F32B28">
        <w:rPr>
          <w:rtl/>
          <w:lang w:bidi="ar-LB"/>
        </w:rPr>
        <w:t>اتحاد</w:t>
      </w:r>
      <w:r w:rsidR="00F32B28">
        <w:rPr>
          <w:rtl/>
          <w:lang w:bidi="ar-LB"/>
        </w:rPr>
        <w:t xml:space="preserve"> </w:t>
      </w:r>
      <w:r w:rsidR="00F32B28" w:rsidRPr="00F32B28">
        <w:rPr>
          <w:rtl/>
          <w:lang w:bidi="ar-LB"/>
        </w:rPr>
        <w:t>نقابات</w:t>
      </w:r>
      <w:r w:rsidR="00F32B28">
        <w:rPr>
          <w:rtl/>
          <w:lang w:bidi="ar-LB"/>
        </w:rPr>
        <w:t xml:space="preserve"> </w:t>
      </w:r>
      <w:r w:rsidR="00F32B28" w:rsidRPr="00F32B28">
        <w:rPr>
          <w:rtl/>
          <w:lang w:bidi="ar-LB"/>
        </w:rPr>
        <w:t>عمال</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لعام</w:t>
      </w:r>
      <w:r w:rsidR="00F32B28">
        <w:rPr>
          <w:rtl/>
          <w:lang w:bidi="ar-LB"/>
        </w:rPr>
        <w:t xml:space="preserve"> </w:t>
      </w:r>
      <w:r w:rsidR="00F32B28" w:rsidRPr="00F32B28">
        <w:rPr>
          <w:rtl/>
          <w:lang w:bidi="ar-LB"/>
        </w:rPr>
        <w:t>2013،</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rPr>
        <w:t>نسبة</w:t>
      </w:r>
      <w:r w:rsidR="00F32B28">
        <w:rPr>
          <w:rtl/>
        </w:rPr>
        <w:t xml:space="preserve"> </w:t>
      </w:r>
      <w:r w:rsidR="00F32B28" w:rsidRPr="00F32B28">
        <w:rPr>
          <w:rtl/>
        </w:rPr>
        <w:t>تمثيل</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النقابات</w:t>
      </w:r>
      <w:r w:rsidR="00F32B28">
        <w:rPr>
          <w:rtl/>
        </w:rPr>
        <w:t xml:space="preserve"> </w:t>
      </w:r>
      <w:r w:rsidR="00F32B28" w:rsidRPr="00F32B28">
        <w:rPr>
          <w:rtl/>
        </w:rPr>
        <w:t>العمالية</w:t>
      </w:r>
      <w:r w:rsidR="00F32B28">
        <w:rPr>
          <w:rtl/>
        </w:rPr>
        <w:t xml:space="preserve"> </w:t>
      </w:r>
      <w:r w:rsidR="00F32B28" w:rsidRPr="00F32B28">
        <w:rPr>
          <w:rtl/>
        </w:rPr>
        <w:t>لا</w:t>
      </w:r>
      <w:r w:rsidR="00F32B28">
        <w:rPr>
          <w:rtl/>
        </w:rPr>
        <w:t xml:space="preserve"> </w:t>
      </w:r>
      <w:r w:rsidR="00F32B28" w:rsidRPr="00F32B28">
        <w:rPr>
          <w:rtl/>
        </w:rPr>
        <w:t>تتجاوز</w:t>
      </w:r>
      <w:r w:rsidR="00F32B28">
        <w:rPr>
          <w:rtl/>
        </w:rPr>
        <w:t xml:space="preserve"> </w:t>
      </w:r>
      <w:r w:rsidR="00F32B28" w:rsidRPr="00F32B28">
        <w:rPr>
          <w:rtl/>
        </w:rPr>
        <w:t>8.5</w:t>
      </w:r>
      <w:r w:rsidR="007D58C4">
        <w:rPr>
          <w:rFonts w:hint="cs"/>
          <w:rtl/>
        </w:rPr>
        <w:t xml:space="preserve"> </w:t>
      </w:r>
      <w:r w:rsidR="00600C43">
        <w:rPr>
          <w:rtl/>
        </w:rPr>
        <w:t>في المائة</w:t>
      </w:r>
      <w:r w:rsidR="00F32B28" w:rsidRPr="00F32B28">
        <w:rPr>
          <w:rtl/>
        </w:rPr>
        <w:t>.</w:t>
      </w:r>
      <w:r w:rsidR="00F32B28">
        <w:rPr>
          <w:rtl/>
          <w:lang w:bidi="ar-LB"/>
        </w:rPr>
        <w:t xml:space="preserve"> </w:t>
      </w:r>
      <w:r w:rsidR="00F32B28" w:rsidRPr="00F32B28">
        <w:rPr>
          <w:rtl/>
          <w:lang w:bidi="ar-LB"/>
        </w:rPr>
        <w:t>وقد</w:t>
      </w:r>
      <w:r w:rsidR="00F32B28">
        <w:rPr>
          <w:rtl/>
          <w:lang w:bidi="ar-LB"/>
        </w:rPr>
        <w:t xml:space="preserve"> </w:t>
      </w:r>
      <w:r w:rsidR="00F32B28" w:rsidRPr="00F32B28">
        <w:rPr>
          <w:rtl/>
          <w:lang w:bidi="ar-LB"/>
        </w:rPr>
        <w:t>قام</w:t>
      </w:r>
      <w:r w:rsidR="00F32B28">
        <w:rPr>
          <w:rtl/>
          <w:lang w:bidi="ar-LB"/>
        </w:rPr>
        <w:t xml:space="preserve"> </w:t>
      </w:r>
      <w:r w:rsidR="00F32B28" w:rsidRPr="00F32B28">
        <w:rPr>
          <w:rtl/>
          <w:lang w:bidi="ar-LB"/>
        </w:rPr>
        <w:t>الاتحاد</w:t>
      </w:r>
      <w:r w:rsidR="00F32B28">
        <w:rPr>
          <w:rtl/>
          <w:lang w:bidi="ar-LB"/>
        </w:rPr>
        <w:t xml:space="preserve"> </w:t>
      </w:r>
      <w:r w:rsidR="00F32B28" w:rsidRPr="00F32B28">
        <w:rPr>
          <w:rtl/>
          <w:lang w:bidi="ar-LB"/>
        </w:rPr>
        <w:t>العام</w:t>
      </w:r>
      <w:r w:rsidR="00F32B28">
        <w:rPr>
          <w:rtl/>
          <w:lang w:bidi="ar-LB"/>
        </w:rPr>
        <w:t xml:space="preserve"> </w:t>
      </w:r>
      <w:r w:rsidR="00F32B28" w:rsidRPr="00F32B28">
        <w:rPr>
          <w:rtl/>
          <w:lang w:bidi="ar-LB"/>
        </w:rPr>
        <w:t>لنقابات</w:t>
      </w:r>
      <w:r w:rsidR="00F32B28">
        <w:rPr>
          <w:rtl/>
          <w:lang w:bidi="ar-LB"/>
        </w:rPr>
        <w:t xml:space="preserve"> </w:t>
      </w:r>
      <w:r w:rsidR="00F32B28" w:rsidRPr="00F32B28">
        <w:rPr>
          <w:rtl/>
          <w:lang w:bidi="ar-LB"/>
        </w:rPr>
        <w:t>عمال</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بتشكيل</w:t>
      </w:r>
      <w:r w:rsidR="00F32B28">
        <w:rPr>
          <w:rtl/>
          <w:lang w:bidi="ar-LB"/>
        </w:rPr>
        <w:t xml:space="preserve"> </w:t>
      </w:r>
      <w:r w:rsidR="00F32B28" w:rsidRPr="00F32B28">
        <w:rPr>
          <w:rtl/>
          <w:lang w:bidi="ar-LB"/>
        </w:rPr>
        <w:t>دائرة</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ضمن</w:t>
      </w:r>
      <w:r w:rsidR="00F32B28">
        <w:rPr>
          <w:rtl/>
          <w:lang w:bidi="ar-LB"/>
        </w:rPr>
        <w:t xml:space="preserve"> </w:t>
      </w:r>
      <w:r w:rsidR="00F32B28" w:rsidRPr="00F32B28">
        <w:rPr>
          <w:rtl/>
          <w:lang w:bidi="ar-LB"/>
        </w:rPr>
        <w:t>هيكليته</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أجل</w:t>
      </w:r>
      <w:r w:rsidR="00F32B28">
        <w:rPr>
          <w:rtl/>
          <w:lang w:bidi="ar-LB"/>
        </w:rPr>
        <w:t xml:space="preserve"> </w:t>
      </w:r>
      <w:r w:rsidR="00F32B28" w:rsidRPr="00F32B28">
        <w:rPr>
          <w:rtl/>
          <w:lang w:bidi="ar-LB"/>
        </w:rPr>
        <w:t>تعزيز</w:t>
      </w:r>
      <w:r w:rsidR="00F32B28">
        <w:rPr>
          <w:rtl/>
          <w:lang w:bidi="ar-LB"/>
        </w:rPr>
        <w:t xml:space="preserve"> </w:t>
      </w:r>
      <w:r w:rsidR="00F32B28" w:rsidRPr="00F32B28">
        <w:rPr>
          <w:rtl/>
          <w:lang w:bidi="ar-LB"/>
        </w:rPr>
        <w:t>وتطوير</w:t>
      </w:r>
      <w:r w:rsidR="00F32B28">
        <w:rPr>
          <w:rtl/>
          <w:lang w:bidi="ar-LB"/>
        </w:rPr>
        <w:t xml:space="preserve"> </w:t>
      </w:r>
      <w:r w:rsidR="00F32B28" w:rsidRPr="00F32B28">
        <w:rPr>
          <w:rtl/>
          <w:lang w:bidi="ar-LB"/>
        </w:rPr>
        <w:t>مشاركة</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الحركة</w:t>
      </w:r>
      <w:r w:rsidR="00F32B28">
        <w:rPr>
          <w:rtl/>
          <w:lang w:bidi="ar-LB"/>
        </w:rPr>
        <w:t xml:space="preserve"> </w:t>
      </w:r>
      <w:r w:rsidR="00F32B28" w:rsidRPr="00F32B28">
        <w:rPr>
          <w:rtl/>
          <w:lang w:bidi="ar-LB"/>
        </w:rPr>
        <w:t>النقابية.</w:t>
      </w:r>
    </w:p>
    <w:p w:rsidR="00F32B28" w:rsidRPr="00F32B28" w:rsidRDefault="00C22320" w:rsidP="00C22320">
      <w:pPr>
        <w:pStyle w:val="SingleTxt"/>
      </w:pPr>
      <w:r>
        <w:rPr>
          <w:rFonts w:hint="cs"/>
          <w:rtl/>
          <w:lang w:bidi="ar-LB"/>
        </w:rPr>
        <w:t xml:space="preserve">120 - </w:t>
      </w:r>
      <w:r w:rsidR="00F32B28" w:rsidRPr="00F32B28">
        <w:rPr>
          <w:rtl/>
          <w:lang w:bidi="ar-LB"/>
        </w:rPr>
        <w:t>ولعل</w:t>
      </w:r>
      <w:r w:rsidR="00F32B28">
        <w:rPr>
          <w:rtl/>
          <w:lang w:bidi="ar-LB"/>
        </w:rPr>
        <w:t xml:space="preserve"> </w:t>
      </w:r>
      <w:r w:rsidR="00F32B28" w:rsidRPr="00F32B28">
        <w:rPr>
          <w:rtl/>
          <w:lang w:bidi="ar-LB"/>
        </w:rPr>
        <w:t>أحد</w:t>
      </w:r>
      <w:r w:rsidR="00F32B28">
        <w:rPr>
          <w:rtl/>
          <w:lang w:bidi="ar-LB"/>
        </w:rPr>
        <w:t xml:space="preserve"> </w:t>
      </w:r>
      <w:r w:rsidR="00F32B28" w:rsidRPr="00F32B28">
        <w:rPr>
          <w:rtl/>
          <w:lang w:bidi="ar-LB"/>
        </w:rPr>
        <w:t>أهم</w:t>
      </w:r>
      <w:r w:rsidR="00F32B28">
        <w:rPr>
          <w:rtl/>
          <w:lang w:bidi="ar-LB"/>
        </w:rPr>
        <w:t xml:space="preserve"> </w:t>
      </w:r>
      <w:r w:rsidR="00F32B28" w:rsidRPr="00F32B28">
        <w:rPr>
          <w:rtl/>
          <w:lang w:bidi="ar-LB"/>
        </w:rPr>
        <w:t>عوامل</w:t>
      </w:r>
      <w:r w:rsidR="00F32B28">
        <w:rPr>
          <w:rtl/>
          <w:lang w:bidi="ar-LB"/>
        </w:rPr>
        <w:t xml:space="preserve"> </w:t>
      </w:r>
      <w:r w:rsidR="00F32B28" w:rsidRPr="00F32B28">
        <w:rPr>
          <w:rtl/>
          <w:lang w:bidi="ar-LB"/>
        </w:rPr>
        <w:t>ضعف</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مشاركة</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النقابات،</w:t>
      </w:r>
      <w:r w:rsidR="00F32B28">
        <w:rPr>
          <w:rtl/>
          <w:lang w:bidi="ar-LB"/>
        </w:rPr>
        <w:t xml:space="preserve"> </w:t>
      </w:r>
      <w:r w:rsidR="00F32B28" w:rsidRPr="00F32B28">
        <w:rPr>
          <w:rtl/>
          <w:lang w:bidi="ar-LB"/>
        </w:rPr>
        <w:t>وخاصة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المراكز</w:t>
      </w:r>
      <w:r w:rsidR="00F32B28">
        <w:rPr>
          <w:rtl/>
          <w:lang w:bidi="ar-LB"/>
        </w:rPr>
        <w:t xml:space="preserve"> </w:t>
      </w:r>
      <w:r w:rsidR="00F32B28" w:rsidRPr="00F32B28">
        <w:rPr>
          <w:rtl/>
          <w:lang w:bidi="ar-LB"/>
        </w:rPr>
        <w:t>القيادية</w:t>
      </w:r>
      <w:r w:rsidR="00F32B28">
        <w:rPr>
          <w:rtl/>
          <w:lang w:bidi="ar-LB"/>
        </w:rPr>
        <w:t xml:space="preserve"> </w:t>
      </w:r>
      <w:r w:rsidR="00F32B28" w:rsidRPr="00F32B28">
        <w:rPr>
          <w:rtl/>
          <w:lang w:bidi="ar-LB"/>
        </w:rPr>
        <w:t>فيها،</w:t>
      </w:r>
      <w:r w:rsidR="00F32B28">
        <w:rPr>
          <w:rtl/>
          <w:lang w:bidi="ar-LB"/>
        </w:rPr>
        <w:t xml:space="preserve"> </w:t>
      </w:r>
      <w:r w:rsidR="00F32B28" w:rsidRPr="00F32B28">
        <w:rPr>
          <w:rtl/>
          <w:lang w:bidi="ar-LB"/>
        </w:rPr>
        <w:t>هو</w:t>
      </w:r>
      <w:r w:rsidR="00F32B28">
        <w:rPr>
          <w:rtl/>
          <w:lang w:bidi="ar-LB"/>
        </w:rPr>
        <w:t xml:space="preserve"> </w:t>
      </w:r>
      <w:r w:rsidR="00F32B28" w:rsidRPr="00F32B28">
        <w:rPr>
          <w:rtl/>
          <w:lang w:bidi="ar-LB"/>
        </w:rPr>
        <w:t>تسييسها</w:t>
      </w:r>
      <w:r w:rsidR="00F32B28">
        <w:rPr>
          <w:rtl/>
          <w:lang w:bidi="ar-LB"/>
        </w:rPr>
        <w:t xml:space="preserve"> </w:t>
      </w:r>
      <w:r w:rsidR="00F32B28" w:rsidRPr="00F32B28">
        <w:rPr>
          <w:rtl/>
          <w:lang w:bidi="ar-LB"/>
        </w:rPr>
        <w:t>وسيطرة</w:t>
      </w:r>
      <w:r w:rsidR="00F32B28">
        <w:rPr>
          <w:rtl/>
          <w:lang w:bidi="ar-LB"/>
        </w:rPr>
        <w:t xml:space="preserve"> </w:t>
      </w:r>
      <w:r w:rsidR="00F32B28" w:rsidRPr="00F32B28">
        <w:rPr>
          <w:rtl/>
          <w:lang w:bidi="ar-LB"/>
        </w:rPr>
        <w:t>الأحزاب</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عملها</w:t>
      </w:r>
      <w:r w:rsidR="00F32B28">
        <w:rPr>
          <w:rtl/>
          <w:lang w:bidi="ar-LB"/>
        </w:rPr>
        <w:t xml:space="preserve"> </w:t>
      </w:r>
      <w:r w:rsidR="00F32B28" w:rsidRPr="00F32B28">
        <w:rPr>
          <w:rtl/>
          <w:lang w:bidi="ar-LB"/>
        </w:rPr>
        <w:t>وهيئاتها</w:t>
      </w:r>
      <w:r w:rsidR="00F32B28" w:rsidRPr="00F32B28">
        <w:rPr>
          <w:rtl/>
        </w:rPr>
        <w:t>،</w:t>
      </w:r>
      <w:r w:rsidR="00F32B28">
        <w:rPr>
          <w:rtl/>
        </w:rPr>
        <w:t xml:space="preserve"> </w:t>
      </w:r>
      <w:r w:rsidR="00F32B28" w:rsidRPr="00F32B28">
        <w:rPr>
          <w:rtl/>
        </w:rPr>
        <w:t>إذ</w:t>
      </w:r>
      <w:r w:rsidR="00F32B28">
        <w:rPr>
          <w:rtl/>
        </w:rPr>
        <w:t xml:space="preserve"> </w:t>
      </w:r>
      <w:r w:rsidR="00F32B28" w:rsidRPr="00F32B28">
        <w:rPr>
          <w:rtl/>
        </w:rPr>
        <w:t>أصبحت</w:t>
      </w:r>
      <w:r w:rsidR="00F32B28">
        <w:rPr>
          <w:rtl/>
        </w:rPr>
        <w:t xml:space="preserve"> </w:t>
      </w:r>
      <w:r w:rsidR="00F32B28" w:rsidRPr="00F32B28">
        <w:rPr>
          <w:rtl/>
        </w:rPr>
        <w:t>المنافسات</w:t>
      </w:r>
      <w:r w:rsidR="00F32B28">
        <w:rPr>
          <w:rtl/>
        </w:rPr>
        <w:t xml:space="preserve"> </w:t>
      </w:r>
      <w:r w:rsidR="00F32B28" w:rsidRPr="00F32B28">
        <w:rPr>
          <w:rtl/>
        </w:rPr>
        <w:t>السياسية</w:t>
      </w:r>
      <w:r w:rsidR="00F32B28">
        <w:rPr>
          <w:rtl/>
        </w:rPr>
        <w:t xml:space="preserve"> </w:t>
      </w:r>
      <w:r w:rsidR="00F32B28" w:rsidRPr="00F32B28">
        <w:rPr>
          <w:rtl/>
        </w:rPr>
        <w:t>الحاصلة</w:t>
      </w:r>
      <w:r w:rsidR="00F32B28">
        <w:rPr>
          <w:rtl/>
        </w:rPr>
        <w:t xml:space="preserve"> </w:t>
      </w:r>
      <w:r w:rsidR="00F32B28" w:rsidRPr="00F32B28">
        <w:rPr>
          <w:rtl/>
        </w:rPr>
        <w:t>في</w:t>
      </w:r>
      <w:r w:rsidR="00F32B28">
        <w:rPr>
          <w:rtl/>
        </w:rPr>
        <w:t xml:space="preserve"> </w:t>
      </w:r>
      <w:r w:rsidR="00F32B28" w:rsidRPr="00F32B28">
        <w:rPr>
          <w:rtl/>
        </w:rPr>
        <w:t>الانتخابات</w:t>
      </w:r>
      <w:r w:rsidR="00F32B28">
        <w:rPr>
          <w:rtl/>
        </w:rPr>
        <w:t xml:space="preserve"> </w:t>
      </w:r>
      <w:r w:rsidR="00F32B28" w:rsidRPr="00F32B28">
        <w:rPr>
          <w:rtl/>
        </w:rPr>
        <w:t>النقابية</w:t>
      </w:r>
      <w:r w:rsidR="00F32B28">
        <w:rPr>
          <w:rtl/>
        </w:rPr>
        <w:t xml:space="preserve"> </w:t>
      </w:r>
      <w:r w:rsidR="00F32B28" w:rsidRPr="00F32B28">
        <w:rPr>
          <w:rtl/>
        </w:rPr>
        <w:t>ما</w:t>
      </w:r>
      <w:r w:rsidR="00F32B28">
        <w:rPr>
          <w:rtl/>
        </w:rPr>
        <w:t xml:space="preserve"> </w:t>
      </w:r>
      <w:r w:rsidR="00F32B28" w:rsidRPr="00F32B28">
        <w:rPr>
          <w:rtl/>
        </w:rPr>
        <w:t>هي</w:t>
      </w:r>
      <w:r w:rsidR="00F32B28">
        <w:rPr>
          <w:rtl/>
        </w:rPr>
        <w:t xml:space="preserve"> </w:t>
      </w:r>
      <w:r w:rsidR="00F32B28" w:rsidRPr="00F32B28">
        <w:rPr>
          <w:rtl/>
        </w:rPr>
        <w:t>إلا</w:t>
      </w:r>
      <w:r w:rsidR="00F32B28">
        <w:rPr>
          <w:rtl/>
        </w:rPr>
        <w:t xml:space="preserve"> </w:t>
      </w:r>
      <w:r w:rsidR="00F32B28" w:rsidRPr="00F32B28">
        <w:rPr>
          <w:rtl/>
        </w:rPr>
        <w:t>صورة</w:t>
      </w:r>
      <w:r w:rsidR="00F32B28">
        <w:rPr>
          <w:rtl/>
        </w:rPr>
        <w:t xml:space="preserve"> </w:t>
      </w:r>
      <w:r w:rsidR="00F32B28" w:rsidRPr="00F32B28">
        <w:rPr>
          <w:rtl/>
        </w:rPr>
        <w:t>مصغرة</w:t>
      </w:r>
      <w:r w:rsidR="00F32B28">
        <w:rPr>
          <w:rtl/>
        </w:rPr>
        <w:t xml:space="preserve"> </w:t>
      </w:r>
      <w:r w:rsidR="00F32B28" w:rsidRPr="00F32B28">
        <w:rPr>
          <w:rtl/>
        </w:rPr>
        <w:t>عن</w:t>
      </w:r>
      <w:r w:rsidR="00F32B28">
        <w:rPr>
          <w:rtl/>
        </w:rPr>
        <w:t xml:space="preserve"> </w:t>
      </w:r>
      <w:r w:rsidR="00F32B28" w:rsidRPr="00F32B28">
        <w:rPr>
          <w:rtl/>
        </w:rPr>
        <w:t>الانتخابات</w:t>
      </w:r>
      <w:r w:rsidR="00F32B28">
        <w:rPr>
          <w:rtl/>
        </w:rPr>
        <w:t xml:space="preserve"> </w:t>
      </w:r>
      <w:r w:rsidR="00F32B28" w:rsidRPr="00F32B28">
        <w:rPr>
          <w:rtl/>
        </w:rPr>
        <w:t>التشريعية</w:t>
      </w:r>
      <w:r w:rsidR="00F32B28">
        <w:rPr>
          <w:rtl/>
        </w:rPr>
        <w:t xml:space="preserve"> </w:t>
      </w:r>
      <w:r w:rsidR="00F32B28" w:rsidRPr="00F32B28">
        <w:rPr>
          <w:rtl/>
        </w:rPr>
        <w:t>التي</w:t>
      </w:r>
      <w:r w:rsidR="00F32B28">
        <w:rPr>
          <w:rtl/>
        </w:rPr>
        <w:t xml:space="preserve"> </w:t>
      </w:r>
      <w:r w:rsidR="00F32B28" w:rsidRPr="00F32B28">
        <w:rPr>
          <w:rtl/>
        </w:rPr>
        <w:t>لا</w:t>
      </w:r>
      <w:r w:rsidR="00F32B28">
        <w:rPr>
          <w:rtl/>
        </w:rPr>
        <w:t xml:space="preserve"> </w:t>
      </w:r>
      <w:r w:rsidR="00F32B28" w:rsidRPr="00F32B28">
        <w:rPr>
          <w:rtl/>
        </w:rPr>
        <w:t>تحظى</w:t>
      </w:r>
      <w:r w:rsidR="00F32B28">
        <w:rPr>
          <w:rtl/>
        </w:rPr>
        <w:t xml:space="preserve"> </w:t>
      </w:r>
      <w:r w:rsidR="00F32B28" w:rsidRPr="00F32B28">
        <w:rPr>
          <w:rtl/>
        </w:rPr>
        <w:t>فيها</w:t>
      </w:r>
      <w:r w:rsidR="00F32B28">
        <w:rPr>
          <w:rtl/>
        </w:rPr>
        <w:t xml:space="preserve"> </w:t>
      </w:r>
      <w:r w:rsidR="00F32B28" w:rsidRPr="00F32B28">
        <w:rPr>
          <w:rtl/>
        </w:rPr>
        <w:t>المرأة</w:t>
      </w:r>
      <w:r w:rsidR="00F32B28">
        <w:rPr>
          <w:rtl/>
        </w:rPr>
        <w:t xml:space="preserve"> </w:t>
      </w:r>
      <w:r w:rsidR="00F32B28" w:rsidRPr="00F32B28">
        <w:rPr>
          <w:rtl/>
        </w:rPr>
        <w:t>على</w:t>
      </w:r>
      <w:r w:rsidR="00F32B28">
        <w:rPr>
          <w:rtl/>
        </w:rPr>
        <w:t xml:space="preserve"> </w:t>
      </w:r>
      <w:r w:rsidR="00F32B28" w:rsidRPr="00F32B28">
        <w:rPr>
          <w:rtl/>
        </w:rPr>
        <w:t>فرص</w:t>
      </w:r>
      <w:r w:rsidR="00F32B28">
        <w:rPr>
          <w:rtl/>
        </w:rPr>
        <w:t xml:space="preserve"> </w:t>
      </w:r>
      <w:r w:rsidR="00F32B28" w:rsidRPr="00F32B28">
        <w:rPr>
          <w:rtl/>
        </w:rPr>
        <w:t>متكافئة</w:t>
      </w:r>
      <w:r w:rsidR="00F32B28">
        <w:rPr>
          <w:rtl/>
        </w:rPr>
        <w:t xml:space="preserve"> </w:t>
      </w:r>
      <w:r w:rsidR="00F32B28" w:rsidRPr="00F32B28">
        <w:rPr>
          <w:rtl/>
        </w:rPr>
        <w:t>مقارنةً</w:t>
      </w:r>
      <w:r w:rsidR="00F32B28">
        <w:rPr>
          <w:rtl/>
        </w:rPr>
        <w:t xml:space="preserve"> </w:t>
      </w:r>
      <w:r w:rsidR="00F32B28" w:rsidRPr="00F32B28">
        <w:rPr>
          <w:rtl/>
        </w:rPr>
        <w:t>بالرجل.</w:t>
      </w:r>
      <w:r w:rsidR="00F32B28">
        <w:rPr>
          <w:rtl/>
        </w:rPr>
        <w:t xml:space="preserve"> </w:t>
      </w:r>
    </w:p>
    <w:p w:rsidR="00F32B28" w:rsidRPr="00F32B28" w:rsidRDefault="00C22320" w:rsidP="00C22320">
      <w:pPr>
        <w:pStyle w:val="SingleTxt"/>
      </w:pPr>
      <w:r>
        <w:rPr>
          <w:rFonts w:hint="cs"/>
          <w:rtl/>
          <w:lang w:bidi="ar-LB"/>
        </w:rPr>
        <w:lastRenderedPageBreak/>
        <w:t xml:space="preserve">121 - </w:t>
      </w:r>
      <w:r w:rsidR="00F32B28" w:rsidRPr="00F32B28">
        <w:rPr>
          <w:rtl/>
          <w:lang w:bidi="ar-LB"/>
        </w:rPr>
        <w:t>وفي</w:t>
      </w:r>
      <w:r w:rsidR="00F32B28">
        <w:rPr>
          <w:rtl/>
          <w:lang w:bidi="ar-LB"/>
        </w:rPr>
        <w:t xml:space="preserve"> </w:t>
      </w:r>
      <w:r w:rsidR="00F32B28" w:rsidRPr="00F32B28">
        <w:rPr>
          <w:rtl/>
          <w:lang w:bidi="ar-LB"/>
        </w:rPr>
        <w:t>الوظائف</w:t>
      </w:r>
      <w:r w:rsidR="00F32B28">
        <w:rPr>
          <w:rtl/>
          <w:lang w:bidi="ar-LB"/>
        </w:rPr>
        <w:t xml:space="preserve"> </w:t>
      </w:r>
      <w:r w:rsidR="00F32B28" w:rsidRPr="00F32B28">
        <w:rPr>
          <w:rtl/>
          <w:lang w:bidi="ar-LB"/>
        </w:rPr>
        <w:t>العامة،</w:t>
      </w:r>
      <w:r w:rsidR="00F32B28">
        <w:rPr>
          <w:rtl/>
          <w:lang w:bidi="ar-LB"/>
        </w:rPr>
        <w:t xml:space="preserve"> </w:t>
      </w:r>
      <w:r w:rsidR="00F32B28" w:rsidRPr="00F32B28">
        <w:rPr>
          <w:rtl/>
          <w:lang w:bidi="ar-LB"/>
        </w:rPr>
        <w:t>شهدت</w:t>
      </w:r>
      <w:r w:rsidR="00F32B28">
        <w:rPr>
          <w:rtl/>
          <w:lang w:bidi="ar-LB"/>
        </w:rPr>
        <w:t xml:space="preserve"> </w:t>
      </w:r>
      <w:r w:rsidR="00F32B28" w:rsidRPr="00F32B28">
        <w:rPr>
          <w:rtl/>
          <w:lang w:bidi="ar-LB"/>
        </w:rPr>
        <w:t>السنوات</w:t>
      </w:r>
      <w:r w:rsidR="00F32B28">
        <w:rPr>
          <w:rtl/>
          <w:lang w:bidi="ar-LB"/>
        </w:rPr>
        <w:t xml:space="preserve"> </w:t>
      </w:r>
      <w:r w:rsidR="00F32B28" w:rsidRPr="00F32B28">
        <w:rPr>
          <w:rtl/>
          <w:lang w:bidi="ar-LB"/>
        </w:rPr>
        <w:t>الأخيرة</w:t>
      </w:r>
      <w:r w:rsidR="00F32B28">
        <w:rPr>
          <w:rtl/>
          <w:lang w:bidi="ar-LB"/>
        </w:rPr>
        <w:t xml:space="preserve"> </w:t>
      </w:r>
      <w:r w:rsidR="00F32B28" w:rsidRPr="00F32B28">
        <w:rPr>
          <w:rtl/>
          <w:lang w:bidi="ar-LB"/>
        </w:rPr>
        <w:t>زيادة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العاملات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الوزارات</w:t>
      </w:r>
      <w:r w:rsidR="00F32B28">
        <w:rPr>
          <w:rtl/>
          <w:lang w:bidi="ar-LB"/>
        </w:rPr>
        <w:t xml:space="preserve"> </w:t>
      </w:r>
      <w:r w:rsidR="00F32B28" w:rsidRPr="00F32B28">
        <w:rPr>
          <w:rtl/>
          <w:lang w:bidi="ar-LB"/>
        </w:rPr>
        <w:t>والمؤسسات</w:t>
      </w:r>
      <w:r w:rsidR="00F32B28">
        <w:rPr>
          <w:rtl/>
          <w:lang w:bidi="ar-LB"/>
        </w:rPr>
        <w:t xml:space="preserve"> </w:t>
      </w:r>
      <w:r w:rsidR="00F32B28" w:rsidRPr="00F32B28">
        <w:rPr>
          <w:rtl/>
          <w:lang w:bidi="ar-LB"/>
        </w:rPr>
        <w:t>الحكومية؛</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بلغت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2010</w:t>
      </w:r>
      <w:r w:rsidR="00F32B28">
        <w:rPr>
          <w:rtl/>
          <w:lang w:bidi="ar-LB"/>
        </w:rPr>
        <w:t xml:space="preserve"> </w:t>
      </w:r>
      <w:r w:rsidR="00F32B28" w:rsidRPr="00F32B28">
        <w:rPr>
          <w:rtl/>
          <w:lang w:bidi="ar-LB"/>
        </w:rPr>
        <w:t>حوالي</w:t>
      </w:r>
      <w:r w:rsidR="00F32B28">
        <w:rPr>
          <w:rtl/>
          <w:lang w:bidi="ar-LB"/>
        </w:rPr>
        <w:t xml:space="preserve"> </w:t>
      </w:r>
      <w:r w:rsidR="00F32B28" w:rsidRPr="00F32B28">
        <w:rPr>
          <w:rtl/>
          <w:lang w:bidi="ar-LB"/>
        </w:rPr>
        <w:t>37</w:t>
      </w:r>
      <w:r w:rsidR="0043161B">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مقابل</w:t>
      </w:r>
      <w:r w:rsidR="00F32B28">
        <w:rPr>
          <w:rtl/>
          <w:lang w:bidi="ar-LB"/>
        </w:rPr>
        <w:t xml:space="preserve"> </w:t>
      </w:r>
      <w:r w:rsidR="00F32B28" w:rsidRPr="00F32B28">
        <w:rPr>
          <w:rtl/>
          <w:lang w:bidi="ar-LB"/>
        </w:rPr>
        <w:t>63</w:t>
      </w:r>
      <w:r w:rsidR="0043161B">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الرجال،</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حين</w:t>
      </w:r>
      <w:r w:rsidR="00F32B28">
        <w:rPr>
          <w:rtl/>
          <w:lang w:bidi="ar-LB"/>
        </w:rPr>
        <w:t xml:space="preserve"> </w:t>
      </w:r>
      <w:r w:rsidR="00F32B28" w:rsidRPr="00F32B28">
        <w:rPr>
          <w:rtl/>
          <w:lang w:bidi="ar-LB"/>
        </w:rPr>
        <w:t>تشير</w:t>
      </w:r>
      <w:r w:rsidR="00F32B28">
        <w:rPr>
          <w:rtl/>
          <w:lang w:bidi="ar-LB"/>
        </w:rPr>
        <w:t xml:space="preserve"> </w:t>
      </w:r>
      <w:r w:rsidR="00F32B28" w:rsidRPr="00F32B28">
        <w:rPr>
          <w:rtl/>
          <w:lang w:bidi="ar-LB"/>
        </w:rPr>
        <w:t>الإحصاءات</w:t>
      </w:r>
      <w:r w:rsidR="00F32B28">
        <w:rPr>
          <w:rtl/>
          <w:lang w:bidi="ar-LB"/>
        </w:rPr>
        <w:t xml:space="preserve"> </w:t>
      </w:r>
      <w:r w:rsidR="00F32B28" w:rsidRPr="00F32B28">
        <w:rPr>
          <w:rtl/>
          <w:lang w:bidi="ar-LB"/>
        </w:rPr>
        <w:t>لعام</w:t>
      </w:r>
      <w:r w:rsidR="00F32B28">
        <w:rPr>
          <w:rtl/>
          <w:lang w:bidi="ar-LB"/>
        </w:rPr>
        <w:t xml:space="preserve"> </w:t>
      </w:r>
      <w:r w:rsidR="00846FB9">
        <w:rPr>
          <w:rFonts w:hint="cs"/>
          <w:rtl/>
        </w:rPr>
        <w:t>2015</w:t>
      </w:r>
      <w:r w:rsidR="00F32B28">
        <w:rPr>
          <w:rtl/>
          <w:lang w:bidi="ar-LB"/>
        </w:rPr>
        <w:t xml:space="preserve"> </w:t>
      </w:r>
      <w:r w:rsidR="00F32B28" w:rsidRPr="00F32B28">
        <w:rPr>
          <w:rtl/>
          <w:lang w:bidi="ar-LB"/>
        </w:rPr>
        <w:t>بأن</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تشكل</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نسبته</w:t>
      </w:r>
      <w:r w:rsidR="00F32B28">
        <w:rPr>
          <w:rtl/>
          <w:lang w:bidi="ar-LB"/>
        </w:rPr>
        <w:t xml:space="preserve"> </w:t>
      </w:r>
      <w:r w:rsidR="00846FB9">
        <w:rPr>
          <w:rFonts w:hint="cs"/>
          <w:rtl/>
        </w:rPr>
        <w:t xml:space="preserve">42.6 </w:t>
      </w:r>
      <w:r w:rsidR="00600C43">
        <w:rPr>
          <w:rtl/>
          <w:lang w:bidi="ar-LB"/>
        </w:rPr>
        <w:t>في المائة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الموظفين</w:t>
      </w:r>
      <w:r w:rsidR="00F32B28">
        <w:rPr>
          <w:rtl/>
          <w:lang w:bidi="ar-LB"/>
        </w:rPr>
        <w:t xml:space="preserve"> </w:t>
      </w:r>
      <w:r w:rsidR="00F32B28" w:rsidRPr="00F32B28">
        <w:rPr>
          <w:rtl/>
          <w:lang w:bidi="ar-LB"/>
        </w:rPr>
        <w:t>العاملين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القطاع</w:t>
      </w:r>
      <w:r w:rsidR="00F32B28">
        <w:rPr>
          <w:rtl/>
          <w:lang w:bidi="ar-LB"/>
        </w:rPr>
        <w:t xml:space="preserve"> </w:t>
      </w:r>
      <w:r w:rsidR="00F32B28" w:rsidRPr="00F32B28">
        <w:rPr>
          <w:rtl/>
          <w:lang w:bidi="ar-LB"/>
        </w:rPr>
        <w:t>العام،</w:t>
      </w:r>
      <w:r w:rsidR="00F32B28">
        <w:rPr>
          <w:rtl/>
          <w:lang w:bidi="ar-LB"/>
        </w:rPr>
        <w:t xml:space="preserve"> </w:t>
      </w:r>
      <w:r w:rsidR="00F32B28" w:rsidRPr="00F32B28">
        <w:rPr>
          <w:rtl/>
          <w:lang w:bidi="ar-LB"/>
        </w:rPr>
        <w:t>مقابل</w:t>
      </w:r>
      <w:r w:rsidR="00F32B28">
        <w:rPr>
          <w:rtl/>
          <w:lang w:bidi="ar-LB"/>
        </w:rPr>
        <w:t xml:space="preserve"> </w:t>
      </w:r>
      <w:r w:rsidR="00846FB9">
        <w:rPr>
          <w:rFonts w:hint="cs"/>
          <w:rtl/>
        </w:rPr>
        <w:t xml:space="preserve">57.4 </w:t>
      </w:r>
      <w:r w:rsidR="00600C43">
        <w:rPr>
          <w:rtl/>
          <w:lang w:bidi="ar-LB"/>
        </w:rPr>
        <w:t>في المائة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الرجال.</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بلغت</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ذوات</w:t>
      </w:r>
      <w:r w:rsidR="00F32B28">
        <w:rPr>
          <w:rtl/>
          <w:lang w:bidi="ar-LB"/>
        </w:rPr>
        <w:t xml:space="preserve"> </w:t>
      </w:r>
      <w:r w:rsidR="00F32B28" w:rsidRPr="00F32B28">
        <w:rPr>
          <w:rtl/>
          <w:lang w:bidi="ar-LB"/>
        </w:rPr>
        <w:t>الإعاقة</w:t>
      </w:r>
      <w:r w:rsidR="00F32B28">
        <w:rPr>
          <w:rtl/>
          <w:lang w:bidi="ar-LB"/>
        </w:rPr>
        <w:t xml:space="preserve"> </w:t>
      </w:r>
      <w:r w:rsidR="00F32B28" w:rsidRPr="00F32B28">
        <w:rPr>
          <w:rtl/>
          <w:lang w:bidi="ar-LB"/>
        </w:rPr>
        <w:t>اللواتي</w:t>
      </w:r>
      <w:r w:rsidR="00F32B28">
        <w:rPr>
          <w:rtl/>
          <w:lang w:bidi="ar-LB"/>
        </w:rPr>
        <w:t xml:space="preserve"> </w:t>
      </w:r>
      <w:r w:rsidR="00F32B28" w:rsidRPr="00F32B28">
        <w:rPr>
          <w:rtl/>
          <w:lang w:bidi="ar-LB"/>
        </w:rPr>
        <w:t>تم</w:t>
      </w:r>
      <w:r w:rsidR="00F32B28">
        <w:rPr>
          <w:rtl/>
          <w:lang w:bidi="ar-LB"/>
        </w:rPr>
        <w:t xml:space="preserve"> </w:t>
      </w:r>
      <w:r w:rsidR="00F32B28" w:rsidRPr="00F32B28">
        <w:rPr>
          <w:rtl/>
          <w:lang w:bidi="ar-LB"/>
        </w:rPr>
        <w:t>توظيفهن،</w:t>
      </w:r>
      <w:r w:rsidR="00F32B28">
        <w:rPr>
          <w:rtl/>
          <w:lang w:bidi="ar-LB"/>
        </w:rPr>
        <w:t xml:space="preserve"> </w:t>
      </w:r>
      <w:r w:rsidR="00F32B28" w:rsidRPr="00F32B28">
        <w:rPr>
          <w:rtl/>
          <w:lang w:bidi="ar-LB"/>
        </w:rPr>
        <w:t>ضمن</w:t>
      </w:r>
      <w:r w:rsidR="00846FB9">
        <w:rPr>
          <w:rFonts w:hint="cs"/>
          <w:rtl/>
          <w:lang w:bidi="ar-LB"/>
        </w:rPr>
        <w:t xml:space="preserve"> </w:t>
      </w:r>
      <w:r w:rsidR="00F32B28" w:rsidRPr="00F32B28">
        <w:rPr>
          <w:rtl/>
          <w:lang w:bidi="ar-LB"/>
        </w:rPr>
        <w:t>نسبة</w:t>
      </w:r>
      <w:r w:rsidR="00AA7F71">
        <w:rPr>
          <w:rFonts w:hint="cs"/>
          <w:rtl/>
          <w:lang w:bidi="ar-LB"/>
        </w:rPr>
        <w:t xml:space="preserve"> </w:t>
      </w:r>
      <w:r w:rsidR="00F32B28" w:rsidRPr="00F32B28">
        <w:rPr>
          <w:rtl/>
          <w:lang w:bidi="ar-LB"/>
        </w:rPr>
        <w:t>التوظيف</w:t>
      </w:r>
      <w:r w:rsidR="00F32B28">
        <w:rPr>
          <w:rtl/>
          <w:lang w:bidi="ar-LB"/>
        </w:rPr>
        <w:t xml:space="preserve"> </w:t>
      </w:r>
      <w:r w:rsidR="00F32B28" w:rsidRPr="00F32B28">
        <w:rPr>
          <w:rtl/>
          <w:lang w:bidi="ar-LB"/>
        </w:rPr>
        <w:t>المخصصة</w:t>
      </w:r>
      <w:r w:rsidR="00AA7F71">
        <w:rPr>
          <w:rFonts w:hint="cs"/>
          <w:rtl/>
          <w:lang w:bidi="ar-LB"/>
        </w:rPr>
        <w:t xml:space="preserve"> </w:t>
      </w:r>
      <w:r w:rsidR="00F32B28" w:rsidRPr="00F32B28">
        <w:rPr>
          <w:rtl/>
          <w:lang w:bidi="ar-LB"/>
        </w:rPr>
        <w:t>لذوي</w:t>
      </w:r>
      <w:r w:rsidR="00F32B28">
        <w:rPr>
          <w:rtl/>
          <w:lang w:bidi="ar-LB"/>
        </w:rPr>
        <w:t xml:space="preserve"> </w:t>
      </w:r>
      <w:r w:rsidR="00F32B28" w:rsidRPr="00F32B28">
        <w:rPr>
          <w:rtl/>
          <w:lang w:bidi="ar-LB"/>
        </w:rPr>
        <w:t>الإعاقة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القطاع</w:t>
      </w:r>
      <w:r w:rsidR="00F32B28">
        <w:rPr>
          <w:rtl/>
          <w:lang w:bidi="ar-LB"/>
        </w:rPr>
        <w:t xml:space="preserve"> </w:t>
      </w:r>
      <w:r w:rsidR="00F32B28" w:rsidRPr="00F32B28">
        <w:rPr>
          <w:rtl/>
          <w:lang w:bidi="ar-LB"/>
        </w:rPr>
        <w:t>العام،</w:t>
      </w:r>
      <w:r>
        <w:rPr>
          <w:rFonts w:hint="cs"/>
          <w:rtl/>
          <w:lang w:bidi="ar-LB"/>
        </w:rPr>
        <w:t xml:space="preserve"> </w:t>
      </w:r>
      <w:r w:rsidR="00F32B28" w:rsidRPr="00F32B28">
        <w:rPr>
          <w:rtl/>
          <w:lang w:bidi="ar-LB"/>
        </w:rPr>
        <w:t>46</w:t>
      </w:r>
      <w:r w:rsidR="00AA7F71">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مقابل</w:t>
      </w:r>
      <w:r w:rsidR="00F32B28">
        <w:rPr>
          <w:rtl/>
          <w:lang w:bidi="ar-LB"/>
        </w:rPr>
        <w:t xml:space="preserve"> </w:t>
      </w:r>
      <w:r w:rsidR="00F32B28" w:rsidRPr="00F32B28">
        <w:rPr>
          <w:rtl/>
          <w:lang w:bidi="ar-LB"/>
        </w:rPr>
        <w:t>54</w:t>
      </w:r>
      <w:r w:rsidR="00AA7F71">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الذكور</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2014.</w:t>
      </w:r>
    </w:p>
    <w:p w:rsidR="00F32B28" w:rsidRPr="00F32B28" w:rsidRDefault="0012717F" w:rsidP="00F32B28">
      <w:pPr>
        <w:pStyle w:val="SingleTxt"/>
        <w:rPr>
          <w:lang w:val="en-GB"/>
        </w:rPr>
      </w:pPr>
      <w:r>
        <w:rPr>
          <w:noProof/>
        </w:rPr>
        <mc:AlternateContent>
          <mc:Choice Requires="wpg">
            <w:drawing>
              <wp:anchor distT="0" distB="0" distL="114300" distR="114300" simplePos="0" relativeHeight="251674624" behindDoc="0" locked="0" layoutInCell="1" allowOverlap="1">
                <wp:simplePos x="0" y="0"/>
                <wp:positionH relativeFrom="column">
                  <wp:posOffset>834736</wp:posOffset>
                </wp:positionH>
                <wp:positionV relativeFrom="paragraph">
                  <wp:posOffset>-1270</wp:posOffset>
                </wp:positionV>
                <wp:extent cx="4610100" cy="2022764"/>
                <wp:effectExtent l="0" t="0" r="0" b="0"/>
                <wp:wrapNone/>
                <wp:docPr id="13" name="Group 13"/>
                <wp:cNvGraphicFramePr/>
                <a:graphic xmlns:a="http://schemas.openxmlformats.org/drawingml/2006/main">
                  <a:graphicData uri="http://schemas.microsoft.com/office/word/2010/wordprocessingGroup">
                    <wpg:wgp>
                      <wpg:cNvGrpSpPr/>
                      <wpg:grpSpPr>
                        <a:xfrm>
                          <a:off x="0" y="0"/>
                          <a:ext cx="4610100" cy="2022764"/>
                          <a:chOff x="0" y="0"/>
                          <a:chExt cx="4610100" cy="2022764"/>
                        </a:xfrm>
                      </wpg:grpSpPr>
                      <pic:pic xmlns:pic="http://schemas.openxmlformats.org/drawingml/2006/picture">
                        <pic:nvPicPr>
                          <pic:cNvPr id="15" name="Picture 1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610100" cy="2022764"/>
                          </a:xfrm>
                          <a:prstGeom prst="rect">
                            <a:avLst/>
                          </a:prstGeom>
                        </pic:spPr>
                      </pic:pic>
                      <wps:wsp>
                        <wps:cNvPr id="4" name="Text Box 4"/>
                        <wps:cNvSpPr txBox="1"/>
                        <wps:spPr>
                          <a:xfrm>
                            <a:off x="1818409" y="69273"/>
                            <a:ext cx="498763" cy="166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48" w:rsidRPr="00F92724" w:rsidRDefault="00E22C48" w:rsidP="00C81706">
                              <w:pPr>
                                <w:spacing w:line="240" w:lineRule="exact"/>
                                <w:jc w:val="right"/>
                                <w:rPr>
                                  <w:sz w:val="16"/>
                                  <w:szCs w:val="24"/>
                                </w:rPr>
                              </w:pPr>
                              <w:r w:rsidRPr="00F92724">
                                <w:rPr>
                                  <w:rFonts w:hint="cs"/>
                                  <w:sz w:val="16"/>
                                  <w:szCs w:val="24"/>
                                  <w:rtl/>
                                </w:rPr>
                                <w:t>نساء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2757055" y="93518"/>
                            <a:ext cx="498763" cy="166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48" w:rsidRPr="00F92724" w:rsidRDefault="00E22C48" w:rsidP="00C81706">
                              <w:pPr>
                                <w:spacing w:line="240" w:lineRule="exact"/>
                                <w:jc w:val="right"/>
                                <w:rPr>
                                  <w:sz w:val="16"/>
                                  <w:szCs w:val="24"/>
                                </w:rPr>
                              </w:pPr>
                              <w:r>
                                <w:rPr>
                                  <w:rFonts w:hint="cs"/>
                                  <w:sz w:val="16"/>
                                  <w:szCs w:val="24"/>
                                  <w:rtl/>
                                </w:rPr>
                                <w:t>رجال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337955" y="1662545"/>
                            <a:ext cx="592282" cy="165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48" w:rsidRPr="00F92724" w:rsidRDefault="00E22C48" w:rsidP="00C81706">
                              <w:pPr>
                                <w:spacing w:line="240" w:lineRule="exact"/>
                                <w:jc w:val="center"/>
                                <w:rPr>
                                  <w:sz w:val="16"/>
                                  <w:szCs w:val="24"/>
                                </w:rPr>
                              </w:pPr>
                              <w:r>
                                <w:rPr>
                                  <w:rFonts w:hint="cs"/>
                                  <w:sz w:val="16"/>
                                  <w:szCs w:val="24"/>
                                  <w:rtl/>
                                </w:rPr>
                                <w:t>الضفة الغربية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3577937" y="1686791"/>
                            <a:ext cx="591820" cy="165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48" w:rsidRPr="00F92724" w:rsidRDefault="00E22C48" w:rsidP="00C81706">
                              <w:pPr>
                                <w:spacing w:line="240" w:lineRule="exact"/>
                                <w:jc w:val="center"/>
                                <w:rPr>
                                  <w:sz w:val="16"/>
                                  <w:szCs w:val="24"/>
                                </w:rPr>
                              </w:pPr>
                              <w:r>
                                <w:rPr>
                                  <w:rFonts w:hint="cs"/>
                                  <w:sz w:val="16"/>
                                  <w:szCs w:val="24"/>
                                  <w:rtl/>
                                </w:rPr>
                                <w:t>فلسطين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1063337" y="1669473"/>
                            <a:ext cx="591820" cy="165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48" w:rsidRPr="00F92724" w:rsidRDefault="00E22C48" w:rsidP="00C81706">
                              <w:pPr>
                                <w:spacing w:line="240" w:lineRule="exact"/>
                                <w:jc w:val="center"/>
                                <w:rPr>
                                  <w:sz w:val="16"/>
                                  <w:szCs w:val="24"/>
                                </w:rPr>
                              </w:pPr>
                              <w:r>
                                <w:rPr>
                                  <w:rFonts w:hint="cs"/>
                                  <w:sz w:val="16"/>
                                  <w:szCs w:val="24"/>
                                  <w:rtl/>
                                </w:rPr>
                                <w:t>قطاع غزة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110837" y="574964"/>
                            <a:ext cx="235527" cy="751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48" w:rsidRPr="00F92724" w:rsidRDefault="00E22C48" w:rsidP="00C81706">
                              <w:pPr>
                                <w:spacing w:line="240" w:lineRule="exact"/>
                                <w:jc w:val="center"/>
                                <w:rPr>
                                  <w:sz w:val="16"/>
                                  <w:szCs w:val="24"/>
                                </w:rPr>
                              </w:pPr>
                              <w:r>
                                <w:rPr>
                                  <w:rFonts w:hint="cs"/>
                                  <w:sz w:val="16"/>
                                  <w:szCs w:val="24"/>
                                  <w:rtl/>
                                </w:rPr>
                                <w:t>النسبة المئوية</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26" style="position:absolute;left:0;text-align:left;margin-left:65.75pt;margin-top:-.1pt;width:363pt;height:159.25pt;z-index:251674624" coordsize="46101,2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46101;height:20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kgmjEAAAA2wAAAA8AAABkcnMvZG93bnJldi54bWxET01rwkAQvQv+h2WE3nSjoC3RTZBCRRAr&#10;phX0NmSnSWp2NmS3Me2v7wqF3ubxPmeV9qYWHbWusqxgOolAEOdWV1woeH97GT+BcB5ZY22ZFHyT&#10;gzQZDlYYa3vjI3WZL0QIYRejgtL7JpbS5SUZdBPbEAfuw7YGfYBtIXWLtxBuajmLooU0WHFoKLGh&#10;55Lya/ZlFCzq123UXdazZvf5czrvH012yDdKPYz69RKEp97/i//cWx3mz+H+SzhAJ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kgmjEAAAA2wAAAA8AAAAAAAAAAAAAAAAA&#10;nwIAAGRycy9kb3ducmV2LnhtbFBLBQYAAAAABAAEAPcAAACQAwAAAAA=&#10;">
                  <v:imagedata r:id="rId17" o:title=""/>
                  <v:path arrowok="t"/>
                </v:shape>
                <v:shapetype id="_x0000_t202" coordsize="21600,21600" o:spt="202" path="m,l,21600r21600,l21600,xe">
                  <v:stroke joinstyle="miter"/>
                  <v:path gradientshapeok="t" o:connecttype="rect"/>
                </v:shapetype>
                <v:shape id="Text Box 4" o:spid="_x0000_s1028" type="#_x0000_t202" style="position:absolute;left:18184;top:692;width:4987;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yisUA&#10;AADaAAAADwAAAGRycy9kb3ducmV2LnhtbESPQWvCQBSE74L/YXlCL6VuWkQlugYVBAstohXPj+xr&#10;Nk32bZpdNfbXdwsFj8PMfMPMs87W4kKtLx0reB4mIIhzp0suFBw/Nk9TED4ga6wdk4IbecgW/d4c&#10;U+2uvKfLIRQiQtinqMCE0KRS+tyQRT90DXH0Pl1rMUTZFlK3eI1wW8uXJBlLiyXHBYMNrQ3l1eFs&#10;FUxvo/fH03hy+qp3ryvzU3zzW4VKPQy65QxEoC7cw//trVYwgr8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3KKxQAAANoAAAAPAAAAAAAAAAAAAAAAAJgCAABkcnMv&#10;ZG93bnJldi54bWxQSwUGAAAAAAQABAD1AAAAigMAAAAA&#10;" fillcolor="white [3201]" stroked="f" strokeweight=".5pt">
                  <v:textbox inset="0,0,0,0">
                    <w:txbxContent>
                      <w:p w:rsidR="00E22C48" w:rsidRPr="00F92724" w:rsidRDefault="00E22C48" w:rsidP="00C81706">
                        <w:pPr>
                          <w:spacing w:line="240" w:lineRule="exact"/>
                          <w:jc w:val="right"/>
                          <w:rPr>
                            <w:sz w:val="16"/>
                            <w:szCs w:val="24"/>
                          </w:rPr>
                        </w:pPr>
                        <w:r w:rsidRPr="00F92724">
                          <w:rPr>
                            <w:rFonts w:hint="cs"/>
                            <w:sz w:val="16"/>
                            <w:szCs w:val="24"/>
                            <w:rtl/>
                          </w:rPr>
                          <w:t>نساء</w:t>
                        </w:r>
                      </w:p>
                    </w:txbxContent>
                  </v:textbox>
                </v:shape>
                <v:shape id="Text Box 5" o:spid="_x0000_s1029" type="#_x0000_t202" style="position:absolute;left:27570;top:935;width:4988;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EcUA&#10;AADaAAAADwAAAGRycy9kb3ducmV2LnhtbESP3WoCMRSE7wt9h3AK3ohmlfrDahQVhBYqxVW8PmxO&#10;N1s3J+sm1bVP3xQKvRxm5htmvmxtJa7U+NKxgkE/AUGcO11yoeB42PamIHxA1lg5JgV38rBcPD7M&#10;MdXuxnu6ZqEQEcI+RQUmhDqV0ueGLPq+q4mj9+EaiyHKppC6wVuE20oOk2QsLZYcFwzWtDGUn7Mv&#10;q2B6f951T+PJ6bN6f12b7+LCb2dUqvPUrmYgArXhP/zXftEKRvB7Jd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9cRxQAAANoAAAAPAAAAAAAAAAAAAAAAAJgCAABkcnMv&#10;ZG93bnJldi54bWxQSwUGAAAAAAQABAD1AAAAigMAAAAA&#10;" fillcolor="white [3201]" stroked="f" strokeweight=".5pt">
                  <v:textbox inset="0,0,0,0">
                    <w:txbxContent>
                      <w:p w:rsidR="00E22C48" w:rsidRPr="00F92724" w:rsidRDefault="00E22C48" w:rsidP="00C81706">
                        <w:pPr>
                          <w:spacing w:line="240" w:lineRule="exact"/>
                          <w:jc w:val="right"/>
                          <w:rPr>
                            <w:sz w:val="16"/>
                            <w:szCs w:val="24"/>
                          </w:rPr>
                        </w:pPr>
                        <w:r>
                          <w:rPr>
                            <w:rFonts w:hint="cs"/>
                            <w:sz w:val="16"/>
                            <w:szCs w:val="24"/>
                            <w:rtl/>
                          </w:rPr>
                          <w:t>رجال</w:t>
                        </w:r>
                      </w:p>
                    </w:txbxContent>
                  </v:textbox>
                </v:shape>
                <v:shape id="Text Box 9" o:spid="_x0000_s1030" type="#_x0000_t202" style="position:absolute;left:23379;top:16625;width:5923;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FMUA&#10;AADaAAAADwAAAGRycy9kb3ducmV2LnhtbESPQWsCMRSE7wX/Q3iFXopmLaJ2NYoWCgqKdC2eH5vn&#10;ZuvmZbtJde2vNwWhx2FmvmGm89ZW4kyNLx0r6PcSEMS50yUXCj73790xCB+QNVaOScGVPMxnnYcp&#10;ptpd+IPOWShEhLBPUYEJoU6l9Lkhi77nauLoHV1jMUTZFFI3eIlwW8mXJBlKiyXHBYM1vRnKT9mP&#10;VTC+DrbPh+Ho8FXt1kvzW3zz5oRKPT22iwmIQG34D9/bK63gFf6u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t0UxQAAANoAAAAPAAAAAAAAAAAAAAAAAJgCAABkcnMv&#10;ZG93bnJldi54bWxQSwUGAAAAAAQABAD1AAAAigMAAAAA&#10;" fillcolor="white [3201]" stroked="f" strokeweight=".5pt">
                  <v:textbox inset="0,0,0,0">
                    <w:txbxContent>
                      <w:p w:rsidR="00E22C48" w:rsidRPr="00F92724" w:rsidRDefault="00E22C48" w:rsidP="00C81706">
                        <w:pPr>
                          <w:spacing w:line="240" w:lineRule="exact"/>
                          <w:jc w:val="center"/>
                          <w:rPr>
                            <w:sz w:val="16"/>
                            <w:szCs w:val="24"/>
                          </w:rPr>
                        </w:pPr>
                        <w:r>
                          <w:rPr>
                            <w:rFonts w:hint="cs"/>
                            <w:sz w:val="16"/>
                            <w:szCs w:val="24"/>
                            <w:rtl/>
                          </w:rPr>
                          <w:t>الضفة الغربية</w:t>
                        </w:r>
                      </w:p>
                    </w:txbxContent>
                  </v:textbox>
                </v:shape>
                <v:shape id="Text Box 10" o:spid="_x0000_s1031" type="#_x0000_t202" style="position:absolute;left:35779;top:16867;width:5918;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bMYA&#10;AADbAAAADwAAAGRycy9kb3ducmV2LnhtbESPQWsCQQyF7wX/wxDBS6mzSrGydRQVhBYqUls8h510&#10;Z+tOZt2Z6tpfbw6F3hLey3tfZovO1+pMbawCGxgNM1DERbAVlwY+PzYPU1AxIVusA5OBK0VYzHt3&#10;M8xtuPA7nfepVBLCMUcDLqUm1zoWjjzGYWiIRfsKrccka1tq2+JFwn2tx1k20R4rlgaHDa0dFcf9&#10;jzcwvT5u7w+Tp8N3vXtdud/yxG9HNGbQ75bPoBJ16d/8d/1iBV/o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nbMYAAADbAAAADwAAAAAAAAAAAAAAAACYAgAAZHJz&#10;L2Rvd25yZXYueG1sUEsFBgAAAAAEAAQA9QAAAIsDAAAAAA==&#10;" fillcolor="white [3201]" stroked="f" strokeweight=".5pt">
                  <v:textbox inset="0,0,0,0">
                    <w:txbxContent>
                      <w:p w:rsidR="00E22C48" w:rsidRPr="00F92724" w:rsidRDefault="00E22C48" w:rsidP="00C81706">
                        <w:pPr>
                          <w:spacing w:line="240" w:lineRule="exact"/>
                          <w:jc w:val="center"/>
                          <w:rPr>
                            <w:sz w:val="16"/>
                            <w:szCs w:val="24"/>
                          </w:rPr>
                        </w:pPr>
                        <w:r>
                          <w:rPr>
                            <w:rFonts w:hint="cs"/>
                            <w:sz w:val="16"/>
                            <w:szCs w:val="24"/>
                            <w:rtl/>
                          </w:rPr>
                          <w:t>فلسطين</w:t>
                        </w:r>
                      </w:p>
                    </w:txbxContent>
                  </v:textbox>
                </v:shape>
                <v:shape id="Text Box 11" o:spid="_x0000_s1032" type="#_x0000_t202" style="position:absolute;left:10633;top:16694;width:5918;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C98MA&#10;AADbAAAADwAAAGRycy9kb3ducmV2LnhtbERP22oCMRB9L/gPYYS+FM0qRWU1igpCCy3iBZ+HzbhZ&#10;3UzWTaqrX28Khb7N4VxnMmtsKa5U+8Kxgl43AUGcOV1wrmC/W3VGIHxA1lg6JgV38jCbtl4mmGp3&#10;4w1dtyEXMYR9igpMCFUqpc8MWfRdVxFH7uhqiyHCOpe6xlsMt6XsJ8lAWiw4NhisaGkoO29/rILR&#10;/f377TAYHk7l+nNhHvmFv86o1Gu7mY9BBGrCv/jP/aHj/B78/h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SC98MAAADbAAAADwAAAAAAAAAAAAAAAACYAgAAZHJzL2Rv&#10;d25yZXYueG1sUEsFBgAAAAAEAAQA9QAAAIgDAAAAAA==&#10;" fillcolor="white [3201]" stroked="f" strokeweight=".5pt">
                  <v:textbox inset="0,0,0,0">
                    <w:txbxContent>
                      <w:p w:rsidR="00E22C48" w:rsidRPr="00F92724" w:rsidRDefault="00E22C48" w:rsidP="00C81706">
                        <w:pPr>
                          <w:spacing w:line="240" w:lineRule="exact"/>
                          <w:jc w:val="center"/>
                          <w:rPr>
                            <w:sz w:val="16"/>
                            <w:szCs w:val="24"/>
                          </w:rPr>
                        </w:pPr>
                        <w:r>
                          <w:rPr>
                            <w:rFonts w:hint="cs"/>
                            <w:sz w:val="16"/>
                            <w:szCs w:val="24"/>
                            <w:rtl/>
                          </w:rPr>
                          <w:t>قطاع غزة</w:t>
                        </w:r>
                      </w:p>
                    </w:txbxContent>
                  </v:textbox>
                </v:shape>
                <v:shape id="Text Box 12" o:spid="_x0000_s1033" type="#_x0000_t202" style="position:absolute;left:1108;top:5749;width:2355;height:7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zM78A&#10;AADbAAAADwAAAGRycy9kb3ducmV2LnhtbERPzYrCMBC+C75DGMGLaLrCitam4uoqXqs+wNCMbW0z&#10;KU3U7tubhYW9zcf3O8mmN414Uucqywo+ZhEI4tzqigsF18thugThPLLGxjIp+CEHm3Q4SDDW9sUZ&#10;Pc++ECGEXYwKSu/bWEqXl2TQzWxLHLib7Qz6ALtC6g5fIdw0ch5FC2mw4tBQYku7kvL6/DAKJtlX&#10;7e9HW+dcrFZy/xktj/23UuNRv12D8NT7f/Gf+6TD/Dn8/hIOk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LDMzvwAAANsAAAAPAAAAAAAAAAAAAAAAAJgCAABkcnMvZG93bnJl&#10;di54bWxQSwUGAAAAAAQABAD1AAAAhAMAAAAA&#10;" fillcolor="white [3201]" stroked="f" strokeweight=".5pt">
                  <v:textbox style="layout-flow:vertical;mso-layout-flow-alt:bottom-to-top" inset="0,0,0,0">
                    <w:txbxContent>
                      <w:p w:rsidR="00E22C48" w:rsidRPr="00F92724" w:rsidRDefault="00E22C48" w:rsidP="00C81706">
                        <w:pPr>
                          <w:spacing w:line="240" w:lineRule="exact"/>
                          <w:jc w:val="center"/>
                          <w:rPr>
                            <w:sz w:val="16"/>
                            <w:szCs w:val="24"/>
                          </w:rPr>
                        </w:pPr>
                        <w:r>
                          <w:rPr>
                            <w:rFonts w:hint="cs"/>
                            <w:sz w:val="16"/>
                            <w:szCs w:val="24"/>
                            <w:rtl/>
                          </w:rPr>
                          <w:t>النسبة المئوية</w:t>
                        </w:r>
                      </w:p>
                    </w:txbxContent>
                  </v:textbox>
                </v:shape>
              </v:group>
            </w:pict>
          </mc:Fallback>
        </mc:AlternateContent>
      </w:r>
    </w:p>
    <w:p w:rsidR="00F32B28" w:rsidRDefault="00F32B28" w:rsidP="00F32B28">
      <w:pPr>
        <w:pStyle w:val="SingleTxt"/>
        <w:rPr>
          <w:rtl/>
          <w:lang w:val="en-GB"/>
        </w:rPr>
      </w:pPr>
    </w:p>
    <w:p w:rsidR="00C22320" w:rsidRDefault="00C22320" w:rsidP="00F32B28">
      <w:pPr>
        <w:pStyle w:val="SingleTxt"/>
        <w:rPr>
          <w:rtl/>
          <w:lang w:val="en-GB"/>
        </w:rPr>
      </w:pPr>
    </w:p>
    <w:p w:rsidR="00C22320" w:rsidRPr="00F32B28" w:rsidRDefault="00C22320" w:rsidP="00F32B28">
      <w:pPr>
        <w:pStyle w:val="SingleTxt"/>
        <w:rPr>
          <w:lang w:val="en-GB"/>
        </w:rPr>
      </w:pPr>
    </w:p>
    <w:p w:rsidR="00F32B28" w:rsidRPr="00F32B28" w:rsidRDefault="00F32B28" w:rsidP="00F32B28">
      <w:pPr>
        <w:pStyle w:val="SingleTxt"/>
        <w:rPr>
          <w:rtl/>
          <w:lang w:bidi="ar-LB"/>
        </w:rPr>
      </w:pPr>
    </w:p>
    <w:p w:rsidR="00F32B28" w:rsidRPr="00C36420" w:rsidRDefault="00F32B28" w:rsidP="00C36420">
      <w:pPr>
        <w:pStyle w:val="SingleTxt"/>
        <w:spacing w:after="0" w:line="120" w:lineRule="exact"/>
        <w:rPr>
          <w:b/>
          <w:bCs/>
          <w:sz w:val="10"/>
          <w:rtl/>
          <w:lang w:val="en-GB"/>
        </w:rPr>
      </w:pPr>
    </w:p>
    <w:p w:rsidR="00C36420" w:rsidRPr="00C36420" w:rsidRDefault="00C36420" w:rsidP="00C36420">
      <w:pPr>
        <w:pStyle w:val="SingleTxt"/>
        <w:spacing w:after="0" w:line="120" w:lineRule="exact"/>
        <w:rPr>
          <w:b/>
          <w:bCs/>
          <w:sz w:val="10"/>
          <w:rtl/>
          <w:lang w:val="en-GB"/>
        </w:rPr>
      </w:pPr>
    </w:p>
    <w:p w:rsidR="00C22320" w:rsidRDefault="00C22320" w:rsidP="004316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p>
    <w:p w:rsidR="0012717F" w:rsidRPr="00272090" w:rsidRDefault="0012717F" w:rsidP="002720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272090" w:rsidRPr="00272090" w:rsidRDefault="00272090" w:rsidP="00272090">
      <w:pPr>
        <w:pStyle w:val="SingleTxt"/>
        <w:spacing w:after="0" w:line="120" w:lineRule="exact"/>
        <w:rPr>
          <w:sz w:val="10"/>
          <w:rtl/>
        </w:rPr>
      </w:pPr>
    </w:p>
    <w:p w:rsidR="00F32B28" w:rsidRPr="00F32B28" w:rsidRDefault="00C36420" w:rsidP="004316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F32B28" w:rsidRPr="00F32B28">
        <w:rPr>
          <w:rtl/>
        </w:rPr>
        <w:t>النساء</w:t>
      </w:r>
      <w:r w:rsidR="00F32B28">
        <w:rPr>
          <w:rtl/>
        </w:rPr>
        <w:t xml:space="preserve"> </w:t>
      </w:r>
      <w:r w:rsidR="00F32B28" w:rsidRPr="00F32B28">
        <w:rPr>
          <w:rtl/>
        </w:rPr>
        <w:t>والرجال</w:t>
      </w:r>
      <w:r>
        <w:rPr>
          <w:rFonts w:hint="cs"/>
          <w:rtl/>
        </w:rPr>
        <w:t xml:space="preserve"> </w:t>
      </w:r>
      <w:r w:rsidR="00F32B28" w:rsidRPr="00F32B28">
        <w:rPr>
          <w:rtl/>
        </w:rPr>
        <w:t>العاملون</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العام</w:t>
      </w:r>
      <w:r w:rsidR="00F32B28">
        <w:rPr>
          <w:rtl/>
        </w:rPr>
        <w:t xml:space="preserve"> </w:t>
      </w:r>
      <w:r w:rsidR="00F32B28" w:rsidRPr="00F32B28">
        <w:rPr>
          <w:rtl/>
        </w:rPr>
        <w:t>حسب</w:t>
      </w:r>
      <w:r w:rsidR="00F32B28">
        <w:rPr>
          <w:rtl/>
        </w:rPr>
        <w:t xml:space="preserve"> </w:t>
      </w:r>
      <w:r w:rsidR="00F32B28" w:rsidRPr="00F32B28">
        <w:rPr>
          <w:rtl/>
        </w:rPr>
        <w:t>المنطقة،</w:t>
      </w:r>
      <w:r w:rsidR="00F32B28">
        <w:rPr>
          <w:rtl/>
        </w:rPr>
        <w:t xml:space="preserve"> </w:t>
      </w:r>
      <w:r w:rsidR="0043161B">
        <w:rPr>
          <w:rFonts w:hint="cs"/>
          <w:rtl/>
        </w:rPr>
        <w:t>2015</w:t>
      </w:r>
    </w:p>
    <w:p w:rsidR="00F32B28" w:rsidRPr="00F32B28" w:rsidRDefault="00272090" w:rsidP="00272090">
      <w:pPr>
        <w:pStyle w:val="SingleTxt"/>
      </w:pPr>
      <w:r>
        <w:rPr>
          <w:rFonts w:hint="cs"/>
          <w:rtl/>
          <w:lang w:bidi="ar-LB"/>
        </w:rPr>
        <w:t xml:space="preserve">122 - </w:t>
      </w:r>
      <w:r w:rsidR="00F32B28" w:rsidRPr="00F32B28">
        <w:rPr>
          <w:rtl/>
          <w:lang w:bidi="ar-LB"/>
        </w:rPr>
        <w:t>أما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rPr>
        <w:t>مواقع</w:t>
      </w:r>
      <w:r w:rsidR="00F32B28">
        <w:rPr>
          <w:rtl/>
        </w:rPr>
        <w:t xml:space="preserve"> </w:t>
      </w:r>
      <w:r w:rsidR="00F32B28" w:rsidRPr="00F32B28">
        <w:rPr>
          <w:rtl/>
        </w:rPr>
        <w:t>صنع</w:t>
      </w:r>
      <w:r w:rsidR="00F32B28">
        <w:rPr>
          <w:rtl/>
        </w:rPr>
        <w:t xml:space="preserve"> </w:t>
      </w:r>
      <w:r w:rsidR="00F32B28" w:rsidRPr="00F32B28">
        <w:rPr>
          <w:rtl/>
        </w:rPr>
        <w:t>القرار،</w:t>
      </w:r>
      <w:r w:rsidR="00F32B28">
        <w:rPr>
          <w:rtl/>
        </w:rPr>
        <w:t xml:space="preserve"> </w:t>
      </w:r>
      <w:r w:rsidR="00F32B28" w:rsidRPr="00F32B28">
        <w:rPr>
          <w:rtl/>
        </w:rPr>
        <w:t>تم</w:t>
      </w:r>
      <w:r w:rsidR="00F32B28">
        <w:rPr>
          <w:rtl/>
        </w:rPr>
        <w:t xml:space="preserve"> </w:t>
      </w:r>
      <w:r w:rsidR="00F32B28" w:rsidRPr="00F32B28">
        <w:rPr>
          <w:rtl/>
        </w:rPr>
        <w:t>تكليف</w:t>
      </w:r>
      <w:r w:rsidR="00F32B28">
        <w:rPr>
          <w:rtl/>
        </w:rPr>
        <w:t xml:space="preserve"> </w:t>
      </w:r>
      <w:r w:rsidR="00F32B28" w:rsidRPr="00F32B28">
        <w:rPr>
          <w:rtl/>
        </w:rPr>
        <w:t>(4)</w:t>
      </w:r>
      <w:r w:rsidR="00F32B28">
        <w:rPr>
          <w:rtl/>
        </w:rPr>
        <w:t xml:space="preserve"> </w:t>
      </w:r>
      <w:r w:rsidR="00F32B28" w:rsidRPr="00F32B28">
        <w:rPr>
          <w:rtl/>
        </w:rPr>
        <w:t>نساء</w:t>
      </w:r>
      <w:r w:rsidR="00F32B28">
        <w:rPr>
          <w:rtl/>
        </w:rPr>
        <w:t xml:space="preserve"> </w:t>
      </w:r>
      <w:r w:rsidR="00F32B28" w:rsidRPr="00F32B28">
        <w:rPr>
          <w:rtl/>
        </w:rPr>
        <w:t>لتولي</w:t>
      </w:r>
      <w:r w:rsidR="00F32B28">
        <w:rPr>
          <w:rtl/>
        </w:rPr>
        <w:t xml:space="preserve"> </w:t>
      </w:r>
      <w:r w:rsidR="00F32B28" w:rsidRPr="00F32B28">
        <w:rPr>
          <w:rtl/>
        </w:rPr>
        <w:t>مناصب</w:t>
      </w:r>
      <w:r w:rsidR="00F32B28">
        <w:rPr>
          <w:rtl/>
        </w:rPr>
        <w:t xml:space="preserve"> </w:t>
      </w:r>
      <w:r w:rsidR="00F32B28" w:rsidRPr="00F32B28">
        <w:rPr>
          <w:rtl/>
        </w:rPr>
        <w:t>وزيرات</w:t>
      </w:r>
      <w:r w:rsidR="00F32B28">
        <w:rPr>
          <w:rtl/>
        </w:rPr>
        <w:t xml:space="preserve"> </w:t>
      </w:r>
      <w:r w:rsidR="00F32B28" w:rsidRPr="00F32B28">
        <w:rPr>
          <w:rtl/>
        </w:rPr>
        <w:t>لوزارة</w:t>
      </w:r>
      <w:r w:rsidR="00F32B28">
        <w:rPr>
          <w:rtl/>
        </w:rPr>
        <w:t xml:space="preserve"> </w:t>
      </w:r>
      <w:r w:rsidR="00F32B28" w:rsidRPr="00F32B28">
        <w:rPr>
          <w:rtl/>
        </w:rPr>
        <w:t>الاقتصاد</w:t>
      </w:r>
      <w:r w:rsidR="00F32B28">
        <w:rPr>
          <w:rtl/>
        </w:rPr>
        <w:t xml:space="preserve"> </w:t>
      </w:r>
      <w:r w:rsidR="00F32B28" w:rsidRPr="00F32B28">
        <w:rPr>
          <w:rtl/>
        </w:rPr>
        <w:t>الوطني</w:t>
      </w:r>
      <w:r w:rsidR="00F32B28">
        <w:rPr>
          <w:rtl/>
        </w:rPr>
        <w:t xml:space="preserve"> </w:t>
      </w:r>
      <w:r w:rsidR="00F32B28" w:rsidRPr="00F32B28">
        <w:rPr>
          <w:rtl/>
        </w:rPr>
        <w:t>ووزارة</w:t>
      </w:r>
      <w:r w:rsidR="00F32B28">
        <w:rPr>
          <w:rtl/>
        </w:rPr>
        <w:t xml:space="preserve"> </w:t>
      </w:r>
      <w:r w:rsidR="00F32B28" w:rsidRPr="00F32B28">
        <w:rPr>
          <w:rtl/>
        </w:rPr>
        <w:t>شؤون</w:t>
      </w:r>
      <w:r w:rsidR="00F32B28">
        <w:rPr>
          <w:rtl/>
        </w:rPr>
        <w:t xml:space="preserve"> </w:t>
      </w:r>
      <w:r w:rsidR="00F32B28" w:rsidRPr="00F32B28">
        <w:rPr>
          <w:rtl/>
        </w:rPr>
        <w:t>المرأة،</w:t>
      </w:r>
      <w:r w:rsidR="00F32B28">
        <w:rPr>
          <w:rtl/>
        </w:rPr>
        <w:t xml:space="preserve"> </w:t>
      </w:r>
      <w:r w:rsidR="00F32B28" w:rsidRPr="00F32B28">
        <w:rPr>
          <w:rtl/>
        </w:rPr>
        <w:t>ووزارة</w:t>
      </w:r>
      <w:r w:rsidR="00F32B28">
        <w:rPr>
          <w:rtl/>
        </w:rPr>
        <w:t xml:space="preserve"> </w:t>
      </w:r>
      <w:r w:rsidR="00F32B28" w:rsidRPr="00F32B28">
        <w:rPr>
          <w:rtl/>
        </w:rPr>
        <w:t>السياحة</w:t>
      </w:r>
      <w:r w:rsidR="00F32B28">
        <w:rPr>
          <w:rtl/>
        </w:rPr>
        <w:t xml:space="preserve"> </w:t>
      </w:r>
      <w:r w:rsidR="00F32B28" w:rsidRPr="00F32B28">
        <w:rPr>
          <w:rtl/>
        </w:rPr>
        <w:t>والآثار،</w:t>
      </w:r>
      <w:r w:rsidR="00F32B28">
        <w:rPr>
          <w:rtl/>
        </w:rPr>
        <w:t xml:space="preserve"> </w:t>
      </w:r>
      <w:r w:rsidR="00F32B28" w:rsidRPr="00F32B28">
        <w:rPr>
          <w:rtl/>
        </w:rPr>
        <w:t>وسلطة</w:t>
      </w:r>
      <w:r w:rsidR="00F32B28">
        <w:rPr>
          <w:rtl/>
        </w:rPr>
        <w:t xml:space="preserve"> </w:t>
      </w:r>
      <w:r w:rsidR="00F32B28" w:rsidRPr="00F32B28">
        <w:rPr>
          <w:rtl/>
        </w:rPr>
        <w:t>جودة</w:t>
      </w:r>
      <w:r w:rsidR="00F32B28">
        <w:rPr>
          <w:rtl/>
        </w:rPr>
        <w:t xml:space="preserve"> </w:t>
      </w:r>
      <w:r w:rsidR="00F32B28" w:rsidRPr="00F32B28">
        <w:rPr>
          <w:rtl/>
        </w:rPr>
        <w:t>البيئة،</w:t>
      </w:r>
      <w:r w:rsidR="00F32B28">
        <w:rPr>
          <w:rtl/>
        </w:rPr>
        <w:t xml:space="preserve"> </w:t>
      </w:r>
      <w:r w:rsidR="00F32B28" w:rsidRPr="00F32B28">
        <w:rPr>
          <w:rtl/>
        </w:rPr>
        <w:t>وذلك</w:t>
      </w:r>
      <w:r w:rsidR="00F32B28">
        <w:rPr>
          <w:rtl/>
        </w:rPr>
        <w:t xml:space="preserve"> </w:t>
      </w:r>
      <w:r w:rsidR="00F32B28" w:rsidRPr="00F32B28">
        <w:rPr>
          <w:rtl/>
        </w:rPr>
        <w:t>ضمن</w:t>
      </w:r>
      <w:r w:rsidR="00F32B28">
        <w:rPr>
          <w:rtl/>
        </w:rPr>
        <w:t xml:space="preserve"> </w:t>
      </w:r>
      <w:r w:rsidR="00F32B28" w:rsidRPr="00F32B28">
        <w:rPr>
          <w:rtl/>
        </w:rPr>
        <w:t>حكومة</w:t>
      </w:r>
      <w:r w:rsidR="00F32B28">
        <w:rPr>
          <w:rtl/>
        </w:rPr>
        <w:t xml:space="preserve"> </w:t>
      </w:r>
      <w:r w:rsidR="00F32B28" w:rsidRPr="00F32B28">
        <w:rPr>
          <w:rtl/>
        </w:rPr>
        <w:t>الوفاق</w:t>
      </w:r>
      <w:r w:rsidR="00F32B28">
        <w:rPr>
          <w:rtl/>
        </w:rPr>
        <w:t xml:space="preserve"> </w:t>
      </w:r>
      <w:r w:rsidR="00F32B28" w:rsidRPr="00F32B28">
        <w:rPr>
          <w:rtl/>
        </w:rPr>
        <w:t>الوطني</w:t>
      </w:r>
      <w:r w:rsidR="00F32B28">
        <w:rPr>
          <w:rtl/>
        </w:rPr>
        <w:t xml:space="preserve"> </w:t>
      </w:r>
      <w:r w:rsidR="00F32B28" w:rsidRPr="00F32B28">
        <w:rPr>
          <w:rtl/>
        </w:rPr>
        <w:t>لعام</w:t>
      </w:r>
      <w:r w:rsidR="00F32B28">
        <w:rPr>
          <w:rtl/>
        </w:rPr>
        <w:t xml:space="preserve"> </w:t>
      </w:r>
      <w:r w:rsidR="00F32B28" w:rsidRPr="00F32B28">
        <w:rPr>
          <w:rtl/>
        </w:rPr>
        <w:t>2014</w:t>
      </w:r>
      <w:r w:rsidR="00F32B28">
        <w:rPr>
          <w:rtl/>
        </w:rPr>
        <w:t xml:space="preserve"> </w:t>
      </w:r>
      <w:r w:rsidR="00F32B28" w:rsidRPr="00F32B28">
        <w:rPr>
          <w:rtl/>
        </w:rPr>
        <w:t>والتعديلات</w:t>
      </w:r>
      <w:r w:rsidR="00F32B28">
        <w:rPr>
          <w:rtl/>
        </w:rPr>
        <w:t xml:space="preserve"> </w:t>
      </w:r>
      <w:r w:rsidR="00F32B28" w:rsidRPr="00F32B28">
        <w:rPr>
          <w:rtl/>
        </w:rPr>
        <w:t>التي</w:t>
      </w:r>
      <w:r w:rsidR="00F32B28">
        <w:rPr>
          <w:rtl/>
        </w:rPr>
        <w:t xml:space="preserve"> </w:t>
      </w:r>
      <w:r w:rsidR="00F32B28" w:rsidRPr="00F32B28">
        <w:rPr>
          <w:rtl/>
        </w:rPr>
        <w:t>جرت</w:t>
      </w:r>
      <w:r w:rsidR="00F32B28">
        <w:rPr>
          <w:rtl/>
        </w:rPr>
        <w:t xml:space="preserve"> </w:t>
      </w:r>
      <w:r w:rsidR="00F32B28" w:rsidRPr="00F32B28">
        <w:rPr>
          <w:rtl/>
        </w:rPr>
        <w:t>عليها</w:t>
      </w:r>
      <w:r w:rsidR="00F32B28">
        <w:rPr>
          <w:rtl/>
        </w:rPr>
        <w:t xml:space="preserve"> </w:t>
      </w:r>
      <w:r w:rsidR="00F32B28" w:rsidRPr="00F32B28">
        <w:rPr>
          <w:rtl/>
        </w:rPr>
        <w:t>مؤخراً</w:t>
      </w:r>
      <w:r w:rsidR="00F32B28">
        <w:rPr>
          <w:rtl/>
        </w:rPr>
        <w:t xml:space="preserve"> </w:t>
      </w:r>
      <w:r w:rsidR="00F32B28" w:rsidRPr="00F32B28">
        <w:rPr>
          <w:rtl/>
        </w:rPr>
        <w:t>التي</w:t>
      </w:r>
      <w:r w:rsidR="00F32B28">
        <w:rPr>
          <w:rtl/>
        </w:rPr>
        <w:t xml:space="preserve"> </w:t>
      </w:r>
      <w:r w:rsidR="00F32B28" w:rsidRPr="00F32B28">
        <w:rPr>
          <w:rtl/>
        </w:rPr>
        <w:t>تتكون</w:t>
      </w:r>
      <w:r w:rsidR="00F32B28">
        <w:rPr>
          <w:rtl/>
        </w:rPr>
        <w:t xml:space="preserve"> </w:t>
      </w:r>
      <w:r w:rsidR="00F32B28" w:rsidRPr="00F32B28">
        <w:rPr>
          <w:rtl/>
        </w:rPr>
        <w:t>من</w:t>
      </w:r>
      <w:r w:rsidR="00F32B28">
        <w:rPr>
          <w:rtl/>
        </w:rPr>
        <w:t xml:space="preserve"> </w:t>
      </w:r>
      <w:r w:rsidR="00F32B28" w:rsidRPr="00F32B28">
        <w:rPr>
          <w:rtl/>
        </w:rPr>
        <w:t>(24)</w:t>
      </w:r>
      <w:r w:rsidR="00F32B28">
        <w:rPr>
          <w:rtl/>
        </w:rPr>
        <w:t xml:space="preserve"> </w:t>
      </w:r>
      <w:r w:rsidR="00F32B28" w:rsidRPr="00F32B28">
        <w:rPr>
          <w:rtl/>
        </w:rPr>
        <w:t>وزير،</w:t>
      </w:r>
      <w:r w:rsidR="00F32B28">
        <w:rPr>
          <w:rtl/>
        </w:rPr>
        <w:t xml:space="preserve"> </w:t>
      </w:r>
      <w:r w:rsidR="00F32B28" w:rsidRPr="00F32B28">
        <w:rPr>
          <w:rtl/>
        </w:rPr>
        <w:t>كما</w:t>
      </w:r>
      <w:r w:rsidR="00F32B28">
        <w:rPr>
          <w:rtl/>
        </w:rPr>
        <w:t xml:space="preserve"> </w:t>
      </w:r>
      <w:r w:rsidR="00F32B28" w:rsidRPr="00F32B28">
        <w:rPr>
          <w:rtl/>
        </w:rPr>
        <w:t>تتولى</w:t>
      </w:r>
      <w:r w:rsidR="00F32B28">
        <w:rPr>
          <w:rtl/>
        </w:rPr>
        <w:t xml:space="preserve"> </w:t>
      </w:r>
      <w:r w:rsidR="00F32B28" w:rsidRPr="00F32B28">
        <w:rPr>
          <w:rtl/>
        </w:rPr>
        <w:t>رئاسة</w:t>
      </w:r>
      <w:r w:rsidR="00F32B28">
        <w:rPr>
          <w:rtl/>
        </w:rPr>
        <w:t xml:space="preserve"> </w:t>
      </w:r>
      <w:r w:rsidR="00F32B28" w:rsidRPr="00F32B28">
        <w:rPr>
          <w:rtl/>
        </w:rPr>
        <w:t>الجهاز</w:t>
      </w:r>
      <w:r w:rsidR="00F32B28">
        <w:rPr>
          <w:rtl/>
        </w:rPr>
        <w:t xml:space="preserve"> </w:t>
      </w:r>
      <w:r w:rsidR="00F32B28" w:rsidRPr="00F32B28">
        <w:rPr>
          <w:rtl/>
        </w:rPr>
        <w:t>المركزي</w:t>
      </w:r>
      <w:r w:rsidR="00F32B28">
        <w:rPr>
          <w:rtl/>
        </w:rPr>
        <w:t xml:space="preserve"> </w:t>
      </w:r>
      <w:r w:rsidR="00F32B28" w:rsidRPr="00F32B28">
        <w:rPr>
          <w:rtl/>
        </w:rPr>
        <w:t>للإحصاء</w:t>
      </w:r>
      <w:r w:rsidR="00F32B28">
        <w:rPr>
          <w:rtl/>
        </w:rPr>
        <w:t xml:space="preserve"> </w:t>
      </w:r>
      <w:r w:rsidR="00F32B28" w:rsidRPr="00F32B28">
        <w:rPr>
          <w:rtl/>
        </w:rPr>
        <w:t>الفلسطيني</w:t>
      </w:r>
      <w:r w:rsidR="00F32B28">
        <w:rPr>
          <w:rtl/>
        </w:rPr>
        <w:t xml:space="preserve"> </w:t>
      </w:r>
      <w:r w:rsidR="00F32B28" w:rsidRPr="00F32B28">
        <w:rPr>
          <w:rtl/>
        </w:rPr>
        <w:t>امرأة</w:t>
      </w:r>
      <w:r w:rsidR="00F32B28">
        <w:rPr>
          <w:rtl/>
        </w:rPr>
        <w:t xml:space="preserve"> </w:t>
      </w:r>
      <w:r w:rsidR="00F32B28" w:rsidRPr="00F32B28">
        <w:rPr>
          <w:rtl/>
        </w:rPr>
        <w:t>وهي</w:t>
      </w:r>
      <w:r w:rsidR="00F32B28">
        <w:rPr>
          <w:rtl/>
        </w:rPr>
        <w:t xml:space="preserve"> </w:t>
      </w:r>
      <w:r w:rsidR="00F32B28" w:rsidRPr="00F32B28">
        <w:rPr>
          <w:rtl/>
        </w:rPr>
        <w:t>برتبة</w:t>
      </w:r>
      <w:r w:rsidR="00F32B28">
        <w:rPr>
          <w:rtl/>
        </w:rPr>
        <w:t xml:space="preserve"> </w:t>
      </w:r>
      <w:r w:rsidR="00F32B28" w:rsidRPr="00F32B28">
        <w:rPr>
          <w:rtl/>
        </w:rPr>
        <w:t>وزيرة.</w:t>
      </w:r>
      <w:r w:rsidR="00F32B28">
        <w:rPr>
          <w:rtl/>
        </w:rPr>
        <w:t xml:space="preserve"> </w:t>
      </w:r>
    </w:p>
    <w:p w:rsidR="00F32B28" w:rsidRPr="00F32B28" w:rsidRDefault="00272090" w:rsidP="00272090">
      <w:pPr>
        <w:pStyle w:val="SingleTxt"/>
        <w:rPr>
          <w:rtl/>
        </w:rPr>
      </w:pPr>
      <w:r>
        <w:rPr>
          <w:rFonts w:hint="cs"/>
          <w:rtl/>
        </w:rPr>
        <w:t xml:space="preserve">123 - </w:t>
      </w:r>
      <w:r w:rsidR="00F32B28" w:rsidRPr="00F32B28">
        <w:rPr>
          <w:rtl/>
        </w:rPr>
        <w:t>و</w:t>
      </w:r>
      <w:r w:rsidR="00F32B28" w:rsidRPr="00F32B28">
        <w:rPr>
          <w:rtl/>
          <w:lang w:bidi="ar-LB"/>
        </w:rPr>
        <w:t>على</w:t>
      </w:r>
      <w:r w:rsidR="00F32B28">
        <w:rPr>
          <w:rtl/>
          <w:lang w:bidi="ar-LB"/>
        </w:rPr>
        <w:t xml:space="preserve"> </w:t>
      </w:r>
      <w:r w:rsidR="00F32B28" w:rsidRPr="00F32B28">
        <w:rPr>
          <w:rtl/>
          <w:lang w:bidi="ar-LB"/>
        </w:rPr>
        <w:t>الرغم</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التشريعات</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تميز</w:t>
      </w:r>
      <w:r w:rsidR="00F32B28">
        <w:rPr>
          <w:rtl/>
          <w:lang w:bidi="ar-LB"/>
        </w:rPr>
        <w:t xml:space="preserve"> </w:t>
      </w:r>
      <w:r w:rsidR="00F32B28" w:rsidRPr="00F32B28">
        <w:rPr>
          <w:rtl/>
          <w:lang w:bidi="ar-LB"/>
        </w:rPr>
        <w:t>بين</w:t>
      </w:r>
      <w:r w:rsidR="00F32B28">
        <w:rPr>
          <w:rtl/>
          <w:lang w:bidi="ar-LB"/>
        </w:rPr>
        <w:t xml:space="preserve"> </w:t>
      </w:r>
      <w:r w:rsidR="00F32B28" w:rsidRPr="00F32B28">
        <w:rPr>
          <w:rtl/>
          <w:lang w:bidi="ar-LB"/>
        </w:rPr>
        <w:t>الرجل</w:t>
      </w:r>
      <w:r w:rsidR="00F32B28">
        <w:rPr>
          <w:rtl/>
          <w:lang w:bidi="ar-LB"/>
        </w:rPr>
        <w:t xml:space="preserve"> </w:t>
      </w:r>
      <w:r w:rsidR="00F32B28" w:rsidRPr="00F32B28">
        <w:rPr>
          <w:rtl/>
          <w:lang w:bidi="ar-LB"/>
        </w:rPr>
        <w:t>والمرأة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تولي</w:t>
      </w:r>
      <w:r w:rsidR="00F32B28">
        <w:rPr>
          <w:rtl/>
          <w:lang w:bidi="ar-LB"/>
        </w:rPr>
        <w:t xml:space="preserve"> </w:t>
      </w:r>
      <w:r w:rsidR="00F32B28" w:rsidRPr="00F32B28">
        <w:rPr>
          <w:rtl/>
          <w:lang w:bidi="ar-LB"/>
        </w:rPr>
        <w:t>الوظائف</w:t>
      </w:r>
      <w:r w:rsidR="00F32B28">
        <w:rPr>
          <w:rtl/>
          <w:lang w:bidi="ar-LB"/>
        </w:rPr>
        <w:t xml:space="preserve"> </w:t>
      </w:r>
      <w:r w:rsidR="00F32B28" w:rsidRPr="00F32B28">
        <w:rPr>
          <w:rtl/>
          <w:lang w:bidi="ar-LB"/>
        </w:rPr>
        <w:t>العامة،</w:t>
      </w:r>
      <w:r w:rsidR="00F32B28">
        <w:rPr>
          <w:rtl/>
          <w:lang w:bidi="ar-LB"/>
        </w:rPr>
        <w:t xml:space="preserve"> </w:t>
      </w:r>
      <w:r w:rsidR="00F32B28" w:rsidRPr="00F32B28">
        <w:rPr>
          <w:rtl/>
          <w:lang w:bidi="ar-LB"/>
        </w:rPr>
        <w:t>إلا</w:t>
      </w:r>
      <w:r w:rsidR="00F32B28">
        <w:rPr>
          <w:rtl/>
          <w:lang w:bidi="ar-LB"/>
        </w:rPr>
        <w:t xml:space="preserve"> </w:t>
      </w:r>
      <w:r w:rsidR="00F32B28" w:rsidRPr="00F32B28">
        <w:rPr>
          <w:rtl/>
          <w:lang w:bidi="ar-LB"/>
        </w:rPr>
        <w:t>أنه</w:t>
      </w:r>
      <w:r w:rsidR="00F32B28">
        <w:rPr>
          <w:rtl/>
          <w:lang w:bidi="ar-LB"/>
        </w:rPr>
        <w:t xml:space="preserve"> </w:t>
      </w:r>
      <w:r w:rsidR="00F32B28" w:rsidRPr="00F32B28">
        <w:rPr>
          <w:rtl/>
          <w:lang w:bidi="ar-LB"/>
        </w:rPr>
        <w:t>وبالصورة</w:t>
      </w:r>
      <w:r w:rsidR="00F32B28">
        <w:rPr>
          <w:rtl/>
          <w:lang w:bidi="ar-LB"/>
        </w:rPr>
        <w:t xml:space="preserve"> </w:t>
      </w:r>
      <w:r w:rsidR="00F32B28" w:rsidRPr="00F32B28">
        <w:rPr>
          <w:rtl/>
          <w:lang w:bidi="ar-LB"/>
        </w:rPr>
        <w:t>الأعم،</w:t>
      </w:r>
      <w:r w:rsidR="00F32B28">
        <w:rPr>
          <w:rtl/>
          <w:lang w:bidi="ar-LB"/>
        </w:rPr>
        <w:t xml:space="preserve"> </w:t>
      </w:r>
      <w:r w:rsidR="00F32B28" w:rsidRPr="00F32B28">
        <w:rPr>
          <w:rtl/>
          <w:lang w:bidi="ar-LB"/>
        </w:rPr>
        <w:t>تتدنى</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تولي</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مع</w:t>
      </w:r>
      <w:r w:rsidR="00F32B28">
        <w:rPr>
          <w:rtl/>
          <w:lang w:bidi="ar-LB"/>
        </w:rPr>
        <w:t xml:space="preserve"> </w:t>
      </w:r>
      <w:r w:rsidR="00F32B28" w:rsidRPr="00F32B28">
        <w:rPr>
          <w:rtl/>
          <w:lang w:bidi="ar-LB"/>
        </w:rPr>
        <w:t>ارتفاع</w:t>
      </w:r>
      <w:r w:rsidR="00F32B28">
        <w:rPr>
          <w:rtl/>
          <w:lang w:bidi="ar-LB"/>
        </w:rPr>
        <w:t xml:space="preserve"> </w:t>
      </w:r>
      <w:r w:rsidR="00F32B28" w:rsidRPr="00F32B28">
        <w:rPr>
          <w:rtl/>
          <w:lang w:bidi="ar-LB"/>
        </w:rPr>
        <w:t>السلم</w:t>
      </w:r>
      <w:r w:rsidR="00F32B28">
        <w:rPr>
          <w:rtl/>
          <w:lang w:bidi="ar-LB"/>
        </w:rPr>
        <w:t xml:space="preserve"> </w:t>
      </w:r>
      <w:r w:rsidR="00F32B28" w:rsidRPr="00F32B28">
        <w:rPr>
          <w:rtl/>
          <w:lang w:bidi="ar-LB"/>
        </w:rPr>
        <w:t>الإداري</w:t>
      </w:r>
      <w:r w:rsidR="00F32B28">
        <w:rPr>
          <w:rtl/>
          <w:lang w:bidi="ar-LB"/>
        </w:rPr>
        <w:t xml:space="preserve"> </w:t>
      </w:r>
      <w:r w:rsidR="00F32B28" w:rsidRPr="00F32B28">
        <w:rPr>
          <w:rtl/>
          <w:lang w:bidi="ar-LB"/>
        </w:rPr>
        <w:t>خاصة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الوظائف</w:t>
      </w:r>
      <w:r w:rsidR="00F32B28" w:rsidRPr="00F32B28">
        <w:rPr>
          <w:rtl/>
          <w:lang w:bidi="ar-SY"/>
        </w:rPr>
        <w:t>العليا</w:t>
      </w:r>
      <w:r w:rsidR="00F32B28" w:rsidRPr="00F32B28">
        <w:rPr>
          <w:rtl/>
          <w:lang w:bidi="ar-LB"/>
        </w:rPr>
        <w:t>،</w:t>
      </w:r>
      <w:r w:rsidR="00F32B28">
        <w:rPr>
          <w:rtl/>
          <w:lang w:bidi="ar-LB"/>
        </w:rPr>
        <w:t xml:space="preserve"> </w:t>
      </w:r>
      <w:r w:rsidR="00F32B28" w:rsidRPr="00F32B28">
        <w:rPr>
          <w:rtl/>
          <w:lang w:bidi="ar-LB"/>
        </w:rPr>
        <w:t>إذ</w:t>
      </w:r>
      <w:r w:rsidR="00F32B28">
        <w:rPr>
          <w:rtl/>
          <w:lang w:bidi="ar-LB"/>
        </w:rPr>
        <w:t xml:space="preserve"> </w:t>
      </w:r>
      <w:r w:rsidR="00F32B28" w:rsidRPr="00F32B28">
        <w:rPr>
          <w:rtl/>
          <w:lang w:bidi="ar-LB"/>
        </w:rPr>
        <w:t>تشكل</w:t>
      </w:r>
      <w:r w:rsidR="00F32B28">
        <w:rPr>
          <w:rtl/>
          <w:lang w:bidi="ar-LB"/>
        </w:rPr>
        <w:t xml:space="preserve"> </w:t>
      </w:r>
      <w:r w:rsidR="00F32B28" w:rsidRPr="00F32B28">
        <w:rPr>
          <w:rtl/>
          <w:lang w:bidi="ar-LB"/>
        </w:rPr>
        <w:t>النساء</w:t>
      </w:r>
      <w:r w:rsidR="00F32B28">
        <w:rPr>
          <w:rtl/>
          <w:lang w:bidi="ar-LB"/>
        </w:rPr>
        <w:t xml:space="preserve"> </w:t>
      </w:r>
      <w:r w:rsidR="0043161B">
        <w:rPr>
          <w:rFonts w:hint="cs"/>
          <w:rtl/>
        </w:rPr>
        <w:t xml:space="preserve">11.7 </w:t>
      </w:r>
      <w:r w:rsidR="00600C43">
        <w:rPr>
          <w:rtl/>
          <w:lang w:bidi="ar-LB"/>
        </w:rPr>
        <w:t>في المائة</w:t>
      </w:r>
      <w:r w:rsidR="00F32B28">
        <w:rPr>
          <w:rtl/>
          <w:lang w:bidi="ar-LB"/>
        </w:rPr>
        <w:t xml:space="preserve"> </w:t>
      </w:r>
      <w:r w:rsidR="00F32B28" w:rsidRPr="00F32B28">
        <w:rPr>
          <w:rtl/>
          <w:lang w:bidi="ar-LB"/>
        </w:rPr>
        <w:t>فقط</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مجموع</w:t>
      </w:r>
      <w:r w:rsidR="00F32B28">
        <w:rPr>
          <w:rtl/>
          <w:lang w:bidi="ar-LB"/>
        </w:rPr>
        <w:t xml:space="preserve"> </w:t>
      </w:r>
      <w:r w:rsidR="00F32B28" w:rsidRPr="00F32B28">
        <w:rPr>
          <w:rtl/>
          <w:lang w:bidi="ar-LB"/>
        </w:rPr>
        <w:t>العاملين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القطاع</w:t>
      </w:r>
      <w:r w:rsidR="00F32B28">
        <w:rPr>
          <w:rtl/>
          <w:lang w:bidi="ar-LB"/>
        </w:rPr>
        <w:t xml:space="preserve"> </w:t>
      </w:r>
      <w:r w:rsidR="00F32B28" w:rsidRPr="00F32B28">
        <w:rPr>
          <w:rtl/>
          <w:lang w:bidi="ar-LB"/>
        </w:rPr>
        <w:t>العام</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درجة</w:t>
      </w:r>
      <w:r w:rsidR="00F32B28">
        <w:rPr>
          <w:rtl/>
          <w:lang w:bidi="ar-LB"/>
        </w:rPr>
        <w:t xml:space="preserve"> </w:t>
      </w:r>
      <w:r w:rsidR="00F32B28" w:rsidRPr="00F32B28">
        <w:rPr>
          <w:rtl/>
          <w:lang w:bidi="ar-LB"/>
        </w:rPr>
        <w:t>مدير</w:t>
      </w:r>
      <w:r w:rsidR="00F32B28">
        <w:rPr>
          <w:rtl/>
          <w:lang w:bidi="ar-LB"/>
        </w:rPr>
        <w:t xml:space="preserve"> </w:t>
      </w:r>
      <w:r w:rsidR="00F32B28" w:rsidRPr="00F32B28">
        <w:rPr>
          <w:rtl/>
          <w:lang w:bidi="ar-LB"/>
        </w:rPr>
        <w:t>عام</w:t>
      </w:r>
      <w:r w:rsidR="00F32B28">
        <w:rPr>
          <w:rtl/>
          <w:lang w:bidi="ar-LB"/>
        </w:rPr>
        <w:t xml:space="preserve"> </w:t>
      </w:r>
      <w:r w:rsidR="00F32B28" w:rsidRPr="00F32B28">
        <w:t>A4</w:t>
      </w:r>
      <w:r w:rsidR="00F32B28">
        <w:rPr>
          <w:rtl/>
          <w:lang w:bidi="ar-LB"/>
        </w:rPr>
        <w:t xml:space="preserve"> </w:t>
      </w:r>
      <w:r w:rsidR="00F32B28" w:rsidRPr="00F32B28">
        <w:rPr>
          <w:rtl/>
          <w:lang w:bidi="ar-LB"/>
        </w:rPr>
        <w:t>فأعلى،</w:t>
      </w:r>
      <w:r w:rsidR="00F32B28">
        <w:rPr>
          <w:rtl/>
          <w:lang w:bidi="ar-LB"/>
        </w:rPr>
        <w:t xml:space="preserve"> </w:t>
      </w:r>
      <w:r w:rsidR="00F32B28" w:rsidRPr="00F32B28">
        <w:rPr>
          <w:rtl/>
          <w:lang w:bidi="ar-LB"/>
        </w:rPr>
        <w:t>مقابل</w:t>
      </w:r>
      <w:r w:rsidR="00F32B28">
        <w:rPr>
          <w:rtl/>
          <w:lang w:bidi="ar-LB"/>
        </w:rPr>
        <w:t xml:space="preserve"> </w:t>
      </w:r>
      <w:r w:rsidR="0043161B">
        <w:rPr>
          <w:rFonts w:hint="cs"/>
          <w:rtl/>
        </w:rPr>
        <w:t xml:space="preserve">88.3 </w:t>
      </w:r>
      <w:r w:rsidR="00600C43">
        <w:rPr>
          <w:rtl/>
          <w:lang w:bidi="ar-LB"/>
        </w:rPr>
        <w:t>في المائة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الرجال</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نفس</w:t>
      </w:r>
      <w:r w:rsidR="00F32B28">
        <w:rPr>
          <w:rtl/>
          <w:lang w:bidi="ar-LB"/>
        </w:rPr>
        <w:t xml:space="preserve"> </w:t>
      </w:r>
      <w:r w:rsidR="00F32B28" w:rsidRPr="00F32B28">
        <w:rPr>
          <w:rtl/>
          <w:lang w:bidi="ar-LB"/>
        </w:rPr>
        <w:t>الدرجة</w:t>
      </w:r>
      <w:r w:rsidR="00F32B28">
        <w:rPr>
          <w:rtl/>
          <w:lang w:bidi="ar-LB"/>
        </w:rPr>
        <w:t xml:space="preserve"> </w:t>
      </w:r>
      <w:r w:rsidR="00F32B28" w:rsidRPr="00F32B28">
        <w:rPr>
          <w:rtl/>
          <w:lang w:bidi="ar-LB"/>
        </w:rPr>
        <w:t>وذلك</w:t>
      </w:r>
      <w:r w:rsidR="00F32B28">
        <w:rPr>
          <w:rtl/>
          <w:lang w:bidi="ar-LB"/>
        </w:rPr>
        <w:t xml:space="preserve"> </w:t>
      </w:r>
      <w:r w:rsidR="00F32B28" w:rsidRPr="00F32B28">
        <w:rPr>
          <w:rtl/>
          <w:lang w:bidi="ar-LB"/>
        </w:rPr>
        <w:t>للعام</w:t>
      </w:r>
      <w:r w:rsidR="00F32B28">
        <w:rPr>
          <w:rtl/>
          <w:lang w:bidi="ar-LB"/>
        </w:rPr>
        <w:t xml:space="preserve"> </w:t>
      </w:r>
      <w:r w:rsidR="00C36420">
        <w:rPr>
          <w:rFonts w:hint="cs"/>
          <w:rtl/>
        </w:rPr>
        <w:t>2015</w:t>
      </w:r>
      <w:r w:rsidR="00F32B28" w:rsidRPr="00F32B28">
        <w:rPr>
          <w:rtl/>
          <w:lang w:bidi="ar-LB"/>
        </w:rPr>
        <w:t>.</w:t>
      </w:r>
    </w:p>
    <w:p w:rsidR="00F32B28" w:rsidRPr="00F32B28" w:rsidRDefault="00272090" w:rsidP="00272090">
      <w:pPr>
        <w:pStyle w:val="SingleTxt"/>
        <w:rPr>
          <w:rtl/>
          <w:lang w:bidi="ar-LB"/>
        </w:rPr>
      </w:pPr>
      <w:r>
        <w:rPr>
          <w:rFonts w:hint="cs"/>
          <w:rtl/>
          <w:lang w:bidi="ar-LB"/>
        </w:rPr>
        <w:t xml:space="preserve">124 - </w:t>
      </w:r>
      <w:r w:rsidR="00F32B28" w:rsidRPr="00F32B28">
        <w:rPr>
          <w:rtl/>
          <w:lang w:bidi="ar-LB"/>
        </w:rPr>
        <w:t>شهدت</w:t>
      </w:r>
      <w:r w:rsidR="00F32B28">
        <w:rPr>
          <w:rtl/>
          <w:lang w:bidi="ar-LB"/>
        </w:rPr>
        <w:t xml:space="preserve"> </w:t>
      </w:r>
      <w:r w:rsidR="00F32B28" w:rsidRPr="00F32B28">
        <w:rPr>
          <w:rtl/>
          <w:lang w:bidi="ar-LB"/>
        </w:rPr>
        <w:t>السلطة</w:t>
      </w:r>
      <w:r w:rsidR="00F32B28">
        <w:rPr>
          <w:rtl/>
          <w:lang w:bidi="ar-LB"/>
        </w:rPr>
        <w:t xml:space="preserve"> </w:t>
      </w:r>
      <w:r w:rsidR="00F32B28" w:rsidRPr="00F32B28">
        <w:rPr>
          <w:rtl/>
          <w:lang w:bidi="ar-LB"/>
        </w:rPr>
        <w:t>القضائية</w:t>
      </w:r>
      <w:r w:rsidR="00F32B28">
        <w:rPr>
          <w:rtl/>
          <w:lang w:bidi="ar-LB"/>
        </w:rPr>
        <w:t xml:space="preserve"> </w:t>
      </w:r>
      <w:r w:rsidR="00F32B28" w:rsidRPr="00F32B28">
        <w:rPr>
          <w:rtl/>
          <w:lang w:bidi="ar-LB"/>
        </w:rPr>
        <w:t>تطوراً</w:t>
      </w:r>
      <w:r w:rsidR="00F32B28">
        <w:rPr>
          <w:rtl/>
          <w:lang w:bidi="ar-LB"/>
        </w:rPr>
        <w:t xml:space="preserve"> </w:t>
      </w:r>
      <w:r w:rsidR="00F32B28" w:rsidRPr="00F32B28">
        <w:rPr>
          <w:rtl/>
          <w:lang w:bidi="ar-LB"/>
        </w:rPr>
        <w:t>نسبياً</w:t>
      </w:r>
      <w:r w:rsidR="00F32B28">
        <w:rPr>
          <w:rtl/>
          <w:lang w:bidi="ar-LB"/>
        </w:rPr>
        <w:t xml:space="preserve"> </w:t>
      </w:r>
      <w:r w:rsidR="00F32B28" w:rsidRPr="00F32B28">
        <w:rPr>
          <w:rtl/>
          <w:lang w:bidi="ar-LB"/>
        </w:rPr>
        <w:t>فيما</w:t>
      </w:r>
      <w:r w:rsidR="00F32B28">
        <w:rPr>
          <w:rtl/>
          <w:lang w:bidi="ar-LB"/>
        </w:rPr>
        <w:t xml:space="preserve"> </w:t>
      </w:r>
      <w:r w:rsidR="00F32B28" w:rsidRPr="00F32B28">
        <w:rPr>
          <w:rtl/>
          <w:lang w:bidi="ar-LB"/>
        </w:rPr>
        <w:t>يتعلق</w:t>
      </w:r>
      <w:r w:rsidR="00F32B28">
        <w:rPr>
          <w:rtl/>
          <w:lang w:bidi="ar-LB"/>
        </w:rPr>
        <w:t xml:space="preserve"> </w:t>
      </w:r>
      <w:r w:rsidR="00F32B28" w:rsidRPr="00F32B28">
        <w:rPr>
          <w:rtl/>
          <w:lang w:bidi="ar-LB"/>
        </w:rPr>
        <w:t>بنسبة</w:t>
      </w:r>
      <w:r w:rsidR="00F32B28">
        <w:rPr>
          <w:rtl/>
          <w:lang w:bidi="ar-LB"/>
        </w:rPr>
        <w:t xml:space="preserve"> </w:t>
      </w:r>
      <w:r w:rsidR="00F32B28" w:rsidRPr="00F32B28">
        <w:rPr>
          <w:rtl/>
          <w:lang w:bidi="ar-LB"/>
        </w:rPr>
        <w:t>مشاركة</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فيها</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عدد</w:t>
      </w:r>
      <w:r w:rsidR="00F32B28">
        <w:rPr>
          <w:rtl/>
          <w:lang w:bidi="ar-LB"/>
        </w:rPr>
        <w:t xml:space="preserve"> </w:t>
      </w:r>
      <w:r w:rsidR="00F32B28" w:rsidRPr="00F32B28">
        <w:rPr>
          <w:rtl/>
          <w:lang w:bidi="ar-LB"/>
        </w:rPr>
        <w:t>قاضيات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المحاكم</w:t>
      </w:r>
      <w:r w:rsidR="00F32B28">
        <w:rPr>
          <w:rtl/>
          <w:lang w:bidi="ar-LB"/>
        </w:rPr>
        <w:t xml:space="preserve"> </w:t>
      </w:r>
      <w:r w:rsidR="00F32B28" w:rsidRPr="00F32B28">
        <w:rPr>
          <w:rtl/>
          <w:lang w:bidi="ar-LB"/>
        </w:rPr>
        <w:t>الشرعية</w:t>
      </w:r>
      <w:r w:rsidR="00F32B28">
        <w:rPr>
          <w:rtl/>
          <w:lang w:bidi="ar-LB"/>
        </w:rPr>
        <w:t xml:space="preserve"> </w:t>
      </w:r>
      <w:r w:rsidR="00F32B28" w:rsidRPr="00F32B28">
        <w:rPr>
          <w:rtl/>
          <w:lang w:bidi="ar-LB"/>
        </w:rPr>
        <w:t>والنظامية</w:t>
      </w:r>
      <w:r w:rsidR="00F32B28">
        <w:rPr>
          <w:rtl/>
          <w:lang w:bidi="ar-LB"/>
        </w:rPr>
        <w:t xml:space="preserve"> </w:t>
      </w:r>
      <w:r w:rsidR="00F32B28" w:rsidRPr="00F32B28">
        <w:rPr>
          <w:rtl/>
          <w:lang w:bidi="ar-LB"/>
        </w:rPr>
        <w:t>وكاتبات</w:t>
      </w:r>
      <w:r w:rsidR="00F32B28">
        <w:rPr>
          <w:rtl/>
          <w:lang w:bidi="ar-LB"/>
        </w:rPr>
        <w:t xml:space="preserve"> </w:t>
      </w:r>
      <w:r w:rsidR="00F32B28" w:rsidRPr="00F32B28">
        <w:rPr>
          <w:rtl/>
          <w:lang w:bidi="ar-LB"/>
        </w:rPr>
        <w:t>العدل؛</w:t>
      </w:r>
      <w:r w:rsidR="0043161B">
        <w:rPr>
          <w:rFonts w:hint="cs"/>
          <w:rtl/>
          <w:lang w:bidi="ar-LB"/>
        </w:rPr>
        <w:t xml:space="preserve"> </w:t>
      </w:r>
      <w:r w:rsidR="00F32B28" w:rsidRPr="00F32B28">
        <w:rPr>
          <w:rtl/>
          <w:lang w:bidi="ar-LB"/>
        </w:rPr>
        <w:t>ففي</w:t>
      </w:r>
      <w:r w:rsidR="00F32B28">
        <w:rPr>
          <w:rtl/>
          <w:lang w:bidi="ar-LB"/>
        </w:rPr>
        <w:t xml:space="preserve"> </w:t>
      </w:r>
      <w:r w:rsidR="00F32B28" w:rsidRPr="00F32B28">
        <w:rPr>
          <w:rtl/>
          <w:lang w:bidi="ar-LB"/>
        </w:rPr>
        <w:t>حين</w:t>
      </w:r>
      <w:r w:rsidR="00F32B28">
        <w:rPr>
          <w:rtl/>
          <w:lang w:bidi="ar-LB"/>
        </w:rPr>
        <w:t xml:space="preserve"> </w:t>
      </w:r>
      <w:r w:rsidR="00F32B28" w:rsidRPr="00F32B28">
        <w:rPr>
          <w:rtl/>
          <w:lang w:bidi="ar-LB"/>
        </w:rPr>
        <w:t>بلغت</w:t>
      </w:r>
      <w:r w:rsidR="00F32B28">
        <w:rPr>
          <w:rtl/>
          <w:lang w:bidi="ar-LB"/>
        </w:rPr>
        <w:t xml:space="preserve"> </w:t>
      </w:r>
      <w:r w:rsidR="00F32B28" w:rsidRPr="00F32B28">
        <w:rPr>
          <w:rtl/>
          <w:lang w:bidi="ar-LB"/>
        </w:rPr>
        <w:t>نسبتهن</w:t>
      </w:r>
      <w:r w:rsidR="00F32B28">
        <w:rPr>
          <w:rtl/>
          <w:lang w:bidi="ar-LB"/>
        </w:rPr>
        <w:t xml:space="preserve"> </w:t>
      </w:r>
      <w:r w:rsidR="00F32B28" w:rsidRPr="00F32B28">
        <w:rPr>
          <w:rtl/>
          <w:lang w:bidi="ar-LB"/>
        </w:rPr>
        <w:t>الإجمالية</w:t>
      </w:r>
      <w:r w:rsidR="00F32B28">
        <w:rPr>
          <w:rtl/>
          <w:lang w:bidi="ar-LB"/>
        </w:rPr>
        <w:t xml:space="preserve"> </w:t>
      </w:r>
      <w:r w:rsidR="00F32B28" w:rsidRPr="00F32B28">
        <w:rPr>
          <w:rtl/>
          <w:lang w:bidi="ar-LB"/>
        </w:rPr>
        <w:t>11.7</w:t>
      </w:r>
      <w:r w:rsidR="0043161B">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2008،</w:t>
      </w:r>
      <w:r w:rsidR="00F32B28">
        <w:rPr>
          <w:rtl/>
          <w:lang w:bidi="ar-LB"/>
        </w:rPr>
        <w:t xml:space="preserve"> </w:t>
      </w:r>
      <w:r w:rsidR="00F32B28" w:rsidRPr="00F32B28">
        <w:rPr>
          <w:rtl/>
          <w:lang w:bidi="ar-LB"/>
        </w:rPr>
        <w:t>ارتفعت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2014</w:t>
      </w:r>
      <w:r w:rsidR="00F32B28">
        <w:rPr>
          <w:rtl/>
          <w:lang w:bidi="ar-LB"/>
        </w:rPr>
        <w:t xml:space="preserve"> </w:t>
      </w:r>
      <w:r w:rsidR="00F32B28" w:rsidRPr="00F32B28">
        <w:rPr>
          <w:rtl/>
          <w:lang w:bidi="ar-LB"/>
        </w:rPr>
        <w:t>لتصبح</w:t>
      </w:r>
      <w:r w:rsidR="00C36420">
        <w:rPr>
          <w:rFonts w:hint="cs"/>
          <w:rtl/>
          <w:lang w:bidi="ar-LB"/>
        </w:rPr>
        <w:t xml:space="preserve"> </w:t>
      </w:r>
      <w:r w:rsidR="00F32B28" w:rsidRPr="00F32B28">
        <w:rPr>
          <w:rtl/>
          <w:lang w:bidi="ar-LB"/>
        </w:rPr>
        <w:t>16.7</w:t>
      </w:r>
      <w:r w:rsidR="0043161B">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مجموع</w:t>
      </w:r>
      <w:r w:rsidR="00F32B28">
        <w:rPr>
          <w:rtl/>
          <w:lang w:bidi="ar-LB"/>
        </w:rPr>
        <w:t xml:space="preserve"> </w:t>
      </w:r>
      <w:r w:rsidR="00F32B28" w:rsidRPr="00F32B28">
        <w:rPr>
          <w:rtl/>
          <w:lang w:bidi="ar-LB"/>
        </w:rPr>
        <w:t>القضاة.</w:t>
      </w:r>
      <w:r w:rsidR="00C36420">
        <w:rPr>
          <w:rFonts w:hint="cs"/>
          <w:rtl/>
          <w:lang w:bidi="ar-LB"/>
        </w:rPr>
        <w:t xml:space="preserve"> </w:t>
      </w:r>
      <w:r w:rsidR="00F32B28" w:rsidRPr="00F32B28">
        <w:rPr>
          <w:rtl/>
          <w:lang w:bidi="ar-LB"/>
        </w:rPr>
        <w:t>ويزداد</w:t>
      </w:r>
      <w:r w:rsidR="00F32B28">
        <w:rPr>
          <w:rtl/>
          <w:lang w:bidi="ar-LB"/>
        </w:rPr>
        <w:t xml:space="preserve"> </w:t>
      </w:r>
      <w:r w:rsidR="00F32B28" w:rsidRPr="00F32B28">
        <w:rPr>
          <w:rtl/>
          <w:lang w:bidi="ar-LB"/>
        </w:rPr>
        <w:t>عدد</w:t>
      </w:r>
      <w:r w:rsidR="00F32B28">
        <w:rPr>
          <w:rtl/>
          <w:lang w:bidi="ar-LB"/>
        </w:rPr>
        <w:t xml:space="preserve"> </w:t>
      </w:r>
      <w:r w:rsidR="00F32B28" w:rsidRPr="00F32B28">
        <w:rPr>
          <w:rtl/>
          <w:lang w:bidi="ar-LB"/>
        </w:rPr>
        <w:t>القاضيات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محكمة</w:t>
      </w:r>
      <w:r w:rsidR="00F32B28">
        <w:rPr>
          <w:rtl/>
          <w:lang w:bidi="ar-LB"/>
        </w:rPr>
        <w:t xml:space="preserve"> </w:t>
      </w:r>
      <w:r w:rsidR="00F32B28" w:rsidRPr="00F32B28">
        <w:rPr>
          <w:rtl/>
          <w:lang w:bidi="ar-LB"/>
        </w:rPr>
        <w:t>الصلح</w:t>
      </w:r>
      <w:r w:rsidR="00F32B28">
        <w:rPr>
          <w:rtl/>
          <w:lang w:bidi="ar-LB"/>
        </w:rPr>
        <w:t xml:space="preserve"> </w:t>
      </w:r>
      <w:r w:rsidR="00F32B28" w:rsidRPr="00F32B28">
        <w:rPr>
          <w:rtl/>
          <w:lang w:bidi="ar-LB"/>
        </w:rPr>
        <w:t>ومحكمة</w:t>
      </w:r>
      <w:r w:rsidR="00F32B28">
        <w:rPr>
          <w:rtl/>
          <w:lang w:bidi="ar-LB"/>
        </w:rPr>
        <w:t xml:space="preserve"> </w:t>
      </w:r>
      <w:r w:rsidR="00F32B28" w:rsidRPr="00F32B28">
        <w:rPr>
          <w:rtl/>
          <w:lang w:bidi="ar-LB"/>
        </w:rPr>
        <w:t>البداية</w:t>
      </w:r>
      <w:r w:rsidR="00F32B28">
        <w:rPr>
          <w:rtl/>
          <w:lang w:bidi="ar-LB"/>
        </w:rPr>
        <w:t xml:space="preserve"> </w:t>
      </w:r>
      <w:r w:rsidR="00F32B28" w:rsidRPr="00F32B28">
        <w:rPr>
          <w:rtl/>
          <w:lang w:bidi="ar-LB"/>
        </w:rPr>
        <w:t>عنه</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المحاكم</w:t>
      </w:r>
      <w:r w:rsidR="00F32B28">
        <w:rPr>
          <w:rtl/>
          <w:lang w:bidi="ar-LB"/>
        </w:rPr>
        <w:t xml:space="preserve"> </w:t>
      </w:r>
      <w:r w:rsidR="00F32B28" w:rsidRPr="00F32B28">
        <w:rPr>
          <w:rtl/>
          <w:lang w:bidi="ar-LB"/>
        </w:rPr>
        <w:t>العليا؛</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توجد</w:t>
      </w:r>
      <w:r w:rsidR="00F32B28">
        <w:rPr>
          <w:rtl/>
          <w:lang w:bidi="ar-LB"/>
        </w:rPr>
        <w:t xml:space="preserve"> </w:t>
      </w:r>
      <w:r w:rsidR="00F32B28" w:rsidRPr="00F32B28">
        <w:rPr>
          <w:rtl/>
          <w:lang w:bidi="ar-LB"/>
        </w:rPr>
        <w:t>قاضية</w:t>
      </w:r>
      <w:r w:rsidR="00F32B28">
        <w:rPr>
          <w:rtl/>
          <w:lang w:bidi="ar-LB"/>
        </w:rPr>
        <w:t xml:space="preserve"> </w:t>
      </w:r>
      <w:r w:rsidR="00F32B28" w:rsidRPr="00F32B28">
        <w:rPr>
          <w:rtl/>
          <w:lang w:bidi="ar-LB"/>
        </w:rPr>
        <w:t>واحدة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المحكمة</w:t>
      </w:r>
      <w:r w:rsidR="00F32B28">
        <w:rPr>
          <w:rtl/>
          <w:lang w:bidi="ar-LB"/>
        </w:rPr>
        <w:t xml:space="preserve"> </w:t>
      </w:r>
      <w:r w:rsidR="00F32B28" w:rsidRPr="00F32B28">
        <w:rPr>
          <w:rtl/>
          <w:lang w:bidi="ar-LB"/>
        </w:rPr>
        <w:t>العليا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الضفة</w:t>
      </w:r>
      <w:r w:rsidR="00F32B28">
        <w:rPr>
          <w:rtl/>
          <w:lang w:bidi="ar-LB"/>
        </w:rPr>
        <w:t xml:space="preserve"> </w:t>
      </w:r>
      <w:r w:rsidR="00F32B28" w:rsidRPr="00F32B28">
        <w:rPr>
          <w:rtl/>
          <w:lang w:bidi="ar-LB"/>
        </w:rPr>
        <w:t>الغربية</w:t>
      </w:r>
      <w:r w:rsidR="00F32B28">
        <w:rPr>
          <w:rtl/>
          <w:lang w:bidi="ar-LB"/>
        </w:rPr>
        <w:t xml:space="preserve"> </w:t>
      </w:r>
      <w:r w:rsidR="00F32B28" w:rsidRPr="00F32B28">
        <w:rPr>
          <w:rtl/>
          <w:lang w:bidi="ar-LB"/>
        </w:rPr>
        <w:t>واثنتان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المحكمة</w:t>
      </w:r>
      <w:r w:rsidR="00F32B28">
        <w:rPr>
          <w:rtl/>
          <w:lang w:bidi="ar-LB"/>
        </w:rPr>
        <w:t xml:space="preserve"> </w:t>
      </w:r>
      <w:r w:rsidR="00F32B28" w:rsidRPr="00F32B28">
        <w:rPr>
          <w:rtl/>
          <w:lang w:bidi="ar-LB"/>
        </w:rPr>
        <w:t>العليا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قطاع</w:t>
      </w:r>
      <w:r w:rsidR="00F32B28">
        <w:rPr>
          <w:rtl/>
          <w:lang w:bidi="ar-LB"/>
        </w:rPr>
        <w:t xml:space="preserve"> </w:t>
      </w:r>
      <w:r w:rsidR="00F32B28" w:rsidRPr="00F32B28">
        <w:rPr>
          <w:rtl/>
          <w:lang w:bidi="ar-LB"/>
        </w:rPr>
        <w:t>غزة.</w:t>
      </w:r>
      <w:r w:rsidR="00F32B28">
        <w:rPr>
          <w:rtl/>
          <w:lang w:bidi="ar-LB"/>
        </w:rPr>
        <w:t xml:space="preserve"> </w:t>
      </w:r>
      <w:r w:rsidR="00F32B28" w:rsidRPr="00F32B28">
        <w:rPr>
          <w:rtl/>
          <w:lang w:bidi="ar-LB"/>
        </w:rPr>
        <w:t>وعلى</w:t>
      </w:r>
      <w:r w:rsidR="00F32B28">
        <w:rPr>
          <w:rtl/>
          <w:lang w:bidi="ar-LB"/>
        </w:rPr>
        <w:t xml:space="preserve"> </w:t>
      </w:r>
      <w:r w:rsidR="00F32B28" w:rsidRPr="00F32B28">
        <w:rPr>
          <w:rtl/>
          <w:lang w:bidi="ar-LB"/>
        </w:rPr>
        <w:t>رغم</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زيادة</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مشاركة</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القضاء،</w:t>
      </w:r>
      <w:r w:rsidR="00F32B28">
        <w:rPr>
          <w:rtl/>
          <w:lang w:bidi="ar-LB"/>
        </w:rPr>
        <w:t xml:space="preserve"> </w:t>
      </w:r>
      <w:r w:rsidR="00F32B28" w:rsidRPr="00F32B28">
        <w:rPr>
          <w:rtl/>
          <w:lang w:bidi="ar-LB"/>
        </w:rPr>
        <w:t>إلا</w:t>
      </w:r>
      <w:r w:rsidR="00F32B28">
        <w:rPr>
          <w:rtl/>
          <w:lang w:bidi="ar-LB"/>
        </w:rPr>
        <w:t xml:space="preserve"> </w:t>
      </w:r>
      <w:r w:rsidR="00F32B28" w:rsidRPr="00F32B28">
        <w:rPr>
          <w:rtl/>
          <w:lang w:bidi="ar-LB"/>
        </w:rPr>
        <w:t>إنها</w:t>
      </w:r>
      <w:r w:rsidR="00F32B28">
        <w:rPr>
          <w:rtl/>
          <w:lang w:bidi="ar-LB"/>
        </w:rPr>
        <w:t xml:space="preserve"> </w:t>
      </w:r>
      <w:r w:rsidR="00F32B28" w:rsidRPr="00F32B28">
        <w:rPr>
          <w:rtl/>
          <w:lang w:bidi="ar-LB"/>
        </w:rPr>
        <w:t>لا</w:t>
      </w:r>
      <w:r w:rsidR="00600C43">
        <w:rPr>
          <w:rFonts w:hint="cs"/>
          <w:rtl/>
          <w:lang w:bidi="ar-LB"/>
        </w:rPr>
        <w:t> </w:t>
      </w:r>
      <w:r w:rsidR="00F32B28" w:rsidRPr="00F32B28">
        <w:rPr>
          <w:rtl/>
          <w:lang w:bidi="ar-LB"/>
        </w:rPr>
        <w:t>تزال</w:t>
      </w:r>
      <w:r w:rsidR="00F32B28">
        <w:rPr>
          <w:rtl/>
          <w:lang w:bidi="ar-LB"/>
        </w:rPr>
        <w:t xml:space="preserve"> </w:t>
      </w:r>
      <w:r w:rsidR="00F32B28" w:rsidRPr="00F32B28">
        <w:rPr>
          <w:rtl/>
          <w:lang w:bidi="ar-LB"/>
        </w:rPr>
        <w:t>بمجملها</w:t>
      </w:r>
      <w:r w:rsidR="00F32B28">
        <w:rPr>
          <w:rtl/>
          <w:lang w:bidi="ar-LB"/>
        </w:rPr>
        <w:t xml:space="preserve"> </w:t>
      </w:r>
      <w:r w:rsidR="00F32B28" w:rsidRPr="00F32B28">
        <w:rPr>
          <w:rtl/>
          <w:lang w:bidi="ar-LB"/>
        </w:rPr>
        <w:t>تدل</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تردد</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تشجيع</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إعطائها</w:t>
      </w:r>
      <w:r w:rsidR="00F32B28">
        <w:rPr>
          <w:rtl/>
          <w:lang w:bidi="ar-LB"/>
        </w:rPr>
        <w:t xml:space="preserve"> </w:t>
      </w:r>
      <w:r w:rsidR="00F32B28" w:rsidRPr="00F32B28">
        <w:rPr>
          <w:rtl/>
          <w:lang w:bidi="ar-LB"/>
        </w:rPr>
        <w:t>فرصاً</w:t>
      </w:r>
      <w:r w:rsidR="00F32B28">
        <w:rPr>
          <w:rtl/>
          <w:lang w:bidi="ar-LB"/>
        </w:rPr>
        <w:t xml:space="preserve"> </w:t>
      </w:r>
      <w:r w:rsidR="00F32B28" w:rsidRPr="00F32B28">
        <w:rPr>
          <w:rtl/>
          <w:lang w:bidi="ar-LB"/>
        </w:rPr>
        <w:t>لتولي</w:t>
      </w:r>
      <w:r w:rsidR="00F32B28">
        <w:rPr>
          <w:rtl/>
          <w:lang w:bidi="ar-LB"/>
        </w:rPr>
        <w:t xml:space="preserve"> </w:t>
      </w:r>
      <w:r w:rsidR="00F32B28" w:rsidRPr="00F32B28">
        <w:rPr>
          <w:rtl/>
          <w:lang w:bidi="ar-LB"/>
        </w:rPr>
        <w:t>مراكز</w:t>
      </w:r>
      <w:r w:rsidR="00600C43">
        <w:rPr>
          <w:rFonts w:hint="cs"/>
          <w:rtl/>
          <w:lang w:bidi="ar-LB"/>
        </w:rPr>
        <w:t xml:space="preserve"> </w:t>
      </w:r>
      <w:r w:rsidR="00F32B28" w:rsidRPr="00F32B28">
        <w:rPr>
          <w:rtl/>
          <w:lang w:bidi="ar-LB"/>
        </w:rPr>
        <w:t>اتخاذ</w:t>
      </w:r>
      <w:r w:rsidR="00F32B28">
        <w:rPr>
          <w:rtl/>
          <w:lang w:bidi="ar-LB"/>
        </w:rPr>
        <w:t xml:space="preserve"> </w:t>
      </w:r>
      <w:r w:rsidR="00F32B28" w:rsidRPr="00F32B28">
        <w:rPr>
          <w:rtl/>
          <w:lang w:bidi="ar-LB"/>
        </w:rPr>
        <w:t>القرارات</w:t>
      </w:r>
      <w:r w:rsidR="00F32B28" w:rsidRPr="00F32B28">
        <w:rPr>
          <w:rFonts w:hint="cs"/>
          <w:rtl/>
          <w:lang w:bidi="ar-LB"/>
        </w:rPr>
        <w:t>.</w:t>
      </w:r>
      <w:r w:rsidR="00F32B28">
        <w:rPr>
          <w:rFonts w:hint="cs"/>
          <w:rtl/>
          <w:lang w:bidi="ar-LB"/>
        </w:rPr>
        <w:t xml:space="preserve"> </w:t>
      </w:r>
    </w:p>
    <w:p w:rsidR="00F32B28" w:rsidRPr="00F32B28" w:rsidRDefault="00272090" w:rsidP="00272090">
      <w:pPr>
        <w:pStyle w:val="SingleTxt"/>
        <w:rPr>
          <w:rtl/>
          <w:lang w:bidi="ar-LB"/>
        </w:rPr>
      </w:pPr>
      <w:r>
        <w:rPr>
          <w:rFonts w:hint="cs"/>
          <w:rtl/>
          <w:lang w:bidi="ar-LB"/>
        </w:rPr>
        <w:t xml:space="preserve">125 - </w:t>
      </w:r>
      <w:r w:rsidR="00F32B28" w:rsidRPr="00F32B28">
        <w:rPr>
          <w:rtl/>
          <w:lang w:bidi="ar-LB"/>
        </w:rPr>
        <w:t>تخلو</w:t>
      </w:r>
      <w:r>
        <w:rPr>
          <w:rFonts w:hint="cs"/>
          <w:rtl/>
          <w:lang w:bidi="ar-LB"/>
        </w:rPr>
        <w:t xml:space="preserve"> </w:t>
      </w:r>
      <w:r w:rsidR="00F32B28" w:rsidRPr="00F32B28">
        <w:rPr>
          <w:rtl/>
          <w:lang w:bidi="ar-SY"/>
        </w:rPr>
        <w:t>التشريعات</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أية</w:t>
      </w:r>
      <w:r w:rsidR="00F32B28">
        <w:rPr>
          <w:rtl/>
          <w:lang w:bidi="ar-SY"/>
        </w:rPr>
        <w:t xml:space="preserve"> </w:t>
      </w:r>
      <w:r w:rsidR="00F32B28" w:rsidRPr="00F32B28">
        <w:rPr>
          <w:rtl/>
          <w:lang w:bidi="ar-SY"/>
        </w:rPr>
        <w:t>أحكام</w:t>
      </w:r>
      <w:r w:rsidR="00F32B28">
        <w:rPr>
          <w:rtl/>
          <w:lang w:bidi="ar-SY"/>
        </w:rPr>
        <w:t xml:space="preserve"> </w:t>
      </w:r>
      <w:r w:rsidR="00F32B28" w:rsidRPr="00F32B28">
        <w:rPr>
          <w:rtl/>
          <w:lang w:bidi="ar-SY"/>
        </w:rPr>
        <w:t>تمييزية</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حقهن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تقلد</w:t>
      </w:r>
      <w:r w:rsidR="00F32B28">
        <w:rPr>
          <w:rtl/>
          <w:lang w:bidi="ar-SY"/>
        </w:rPr>
        <w:t xml:space="preserve"> </w:t>
      </w:r>
      <w:r w:rsidR="00F32B28" w:rsidRPr="00F32B28">
        <w:rPr>
          <w:rtl/>
          <w:lang w:bidi="ar-SY"/>
        </w:rPr>
        <w:t>وظيفة</w:t>
      </w:r>
      <w:r w:rsidR="00F32B28">
        <w:rPr>
          <w:rtl/>
          <w:lang w:bidi="ar-SY"/>
        </w:rPr>
        <w:t xml:space="preserve"> </w:t>
      </w:r>
      <w:r w:rsidR="00F32B28" w:rsidRPr="00F32B28">
        <w:rPr>
          <w:rtl/>
          <w:lang w:bidi="ar-SY"/>
        </w:rPr>
        <w:t>القضاء</w:t>
      </w:r>
      <w:r w:rsidR="00F32B28">
        <w:rPr>
          <w:rtl/>
          <w:lang w:bidi="ar-SY"/>
        </w:rPr>
        <w:t xml:space="preserve"> </w:t>
      </w:r>
      <w:r w:rsidR="00F32B28" w:rsidRPr="00F32B28">
        <w:rPr>
          <w:rtl/>
          <w:lang w:bidi="ar-SY"/>
        </w:rPr>
        <w:t>الشرعي،</w:t>
      </w:r>
      <w:r w:rsidR="00F32B28">
        <w:rPr>
          <w:rtl/>
          <w:lang w:bidi="ar-SY"/>
        </w:rPr>
        <w:t xml:space="preserve"> </w:t>
      </w:r>
      <w:r w:rsidR="00F32B28" w:rsidRPr="00F32B28">
        <w:rPr>
          <w:rtl/>
          <w:lang w:bidi="ar-SY"/>
        </w:rPr>
        <w:t>وهنالك</w:t>
      </w:r>
      <w:r w:rsidR="00F32B28">
        <w:rPr>
          <w:rtl/>
          <w:lang w:bidi="ar-LB"/>
        </w:rPr>
        <w:t xml:space="preserve"> </w:t>
      </w:r>
      <w:r w:rsidR="00F32B28" w:rsidRPr="00F32B28">
        <w:rPr>
          <w:rtl/>
          <w:lang w:bidi="ar-LB"/>
        </w:rPr>
        <w:t>ثلاث</w:t>
      </w:r>
      <w:r w:rsidR="00F32B28">
        <w:rPr>
          <w:rtl/>
          <w:lang w:bidi="ar-LB"/>
        </w:rPr>
        <w:t xml:space="preserve"> </w:t>
      </w:r>
      <w:r w:rsidR="00F32B28" w:rsidRPr="00F32B28">
        <w:rPr>
          <w:rtl/>
          <w:lang w:bidi="ar-LB"/>
        </w:rPr>
        <w:t>نساء</w:t>
      </w:r>
      <w:r w:rsidR="00F32B28">
        <w:rPr>
          <w:rtl/>
          <w:lang w:bidi="ar-LB"/>
        </w:rPr>
        <w:t xml:space="preserve"> </w:t>
      </w:r>
      <w:r w:rsidR="00F32B28" w:rsidRPr="00F32B28">
        <w:rPr>
          <w:rtl/>
          <w:lang w:bidi="ar-LB"/>
        </w:rPr>
        <w:t>قاضيات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المحاكم</w:t>
      </w:r>
      <w:r w:rsidR="00F32B28">
        <w:rPr>
          <w:rtl/>
          <w:lang w:bidi="ar-LB"/>
        </w:rPr>
        <w:t xml:space="preserve"> </w:t>
      </w:r>
      <w:r w:rsidR="00F32B28" w:rsidRPr="00F32B28">
        <w:rPr>
          <w:rtl/>
          <w:lang w:bidi="ar-LB"/>
        </w:rPr>
        <w:t>الشرعية</w:t>
      </w:r>
      <w:r w:rsidR="00F32B28">
        <w:rPr>
          <w:rtl/>
          <w:lang w:bidi="ar-LB"/>
        </w:rPr>
        <w:t xml:space="preserve"> </w:t>
      </w:r>
      <w:r w:rsidR="00F32B28" w:rsidRPr="00F32B28">
        <w:rPr>
          <w:rtl/>
          <w:lang w:bidi="ar-LB"/>
        </w:rPr>
        <w:t>الفلسطينية.</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شهد</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2015</w:t>
      </w:r>
      <w:r w:rsidR="00F32B28">
        <w:rPr>
          <w:rtl/>
          <w:lang w:bidi="ar-LB"/>
        </w:rPr>
        <w:t xml:space="preserve"> </w:t>
      </w:r>
      <w:r w:rsidR="00F32B28" w:rsidRPr="00F32B28">
        <w:rPr>
          <w:rtl/>
          <w:lang w:bidi="ar-LB"/>
        </w:rPr>
        <w:t>تعيين</w:t>
      </w:r>
      <w:r w:rsidR="00F32B28">
        <w:rPr>
          <w:rtl/>
          <w:lang w:bidi="ar-LB"/>
        </w:rPr>
        <w:t xml:space="preserve"> </w:t>
      </w:r>
      <w:r w:rsidR="00F32B28" w:rsidRPr="00F32B28">
        <w:rPr>
          <w:rtl/>
          <w:lang w:bidi="ar-LB"/>
        </w:rPr>
        <w:lastRenderedPageBreak/>
        <w:t>أول</w:t>
      </w:r>
      <w:r w:rsidR="00F32B28">
        <w:rPr>
          <w:rtl/>
          <w:lang w:bidi="ar-LB"/>
        </w:rPr>
        <w:t xml:space="preserve"> </w:t>
      </w:r>
      <w:r w:rsidR="00F32B28" w:rsidRPr="00F32B28">
        <w:rPr>
          <w:rtl/>
          <w:lang w:bidi="ar-LB"/>
        </w:rPr>
        <w:t>مأذونتين</w:t>
      </w:r>
      <w:r w:rsidR="00F32B28">
        <w:rPr>
          <w:rtl/>
          <w:lang w:bidi="ar-LB"/>
        </w:rPr>
        <w:t xml:space="preserve"> </w:t>
      </w:r>
      <w:r w:rsidR="00F32B28" w:rsidRPr="00F32B28">
        <w:rPr>
          <w:rtl/>
          <w:lang w:bidi="ar-LB"/>
        </w:rPr>
        <w:t>شرعيتين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اللتان</w:t>
      </w:r>
      <w:r w:rsidR="00F32B28">
        <w:rPr>
          <w:rtl/>
          <w:lang w:bidi="ar-LB"/>
        </w:rPr>
        <w:t xml:space="preserve"> </w:t>
      </w:r>
      <w:r w:rsidR="00F32B28" w:rsidRPr="00F32B28">
        <w:rPr>
          <w:rtl/>
          <w:lang w:bidi="ar-LB"/>
        </w:rPr>
        <w:t>لهما</w:t>
      </w:r>
      <w:r w:rsidR="00F32B28">
        <w:rPr>
          <w:rtl/>
          <w:lang w:bidi="ar-LB"/>
        </w:rPr>
        <w:t xml:space="preserve"> </w:t>
      </w:r>
      <w:r w:rsidR="00F32B28" w:rsidRPr="00F32B28">
        <w:rPr>
          <w:rtl/>
          <w:lang w:bidi="ar-LB"/>
        </w:rPr>
        <w:t>كافة</w:t>
      </w:r>
      <w:r w:rsidR="00F32B28">
        <w:rPr>
          <w:rtl/>
          <w:lang w:bidi="ar-LB"/>
        </w:rPr>
        <w:t xml:space="preserve"> </w:t>
      </w:r>
      <w:r w:rsidR="00F32B28" w:rsidRPr="00F32B28">
        <w:rPr>
          <w:rtl/>
          <w:lang w:bidi="ar-LB"/>
        </w:rPr>
        <w:t>الصلاحيات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إبرام</w:t>
      </w:r>
      <w:r w:rsidR="00F32B28">
        <w:rPr>
          <w:rtl/>
          <w:lang w:bidi="ar-LB"/>
        </w:rPr>
        <w:t xml:space="preserve"> </w:t>
      </w:r>
      <w:r w:rsidR="00F32B28" w:rsidRPr="00F32B28">
        <w:rPr>
          <w:rtl/>
          <w:lang w:bidi="ar-LB"/>
        </w:rPr>
        <w:t>عقود</w:t>
      </w:r>
      <w:r w:rsidR="00F32B28">
        <w:rPr>
          <w:rtl/>
          <w:lang w:bidi="ar-LB"/>
        </w:rPr>
        <w:t xml:space="preserve"> </w:t>
      </w:r>
      <w:r w:rsidR="00F32B28" w:rsidRPr="00F32B28">
        <w:rPr>
          <w:rtl/>
          <w:lang w:bidi="ar-LB"/>
        </w:rPr>
        <w:t>الزواج</w:t>
      </w:r>
      <w:r w:rsidR="00F32B28">
        <w:rPr>
          <w:rtl/>
          <w:lang w:bidi="ar-LB"/>
        </w:rPr>
        <w:t xml:space="preserve"> </w:t>
      </w:r>
      <w:r w:rsidR="00F32B28" w:rsidRPr="00F32B28">
        <w:rPr>
          <w:rtl/>
          <w:lang w:bidi="ar-LB"/>
        </w:rPr>
        <w:t>وعلى</w:t>
      </w:r>
      <w:r w:rsidR="00F32B28">
        <w:rPr>
          <w:rtl/>
          <w:lang w:bidi="ar-LB"/>
        </w:rPr>
        <w:t xml:space="preserve"> </w:t>
      </w:r>
      <w:r w:rsidR="00F32B28" w:rsidRPr="00F32B28">
        <w:rPr>
          <w:rtl/>
          <w:lang w:bidi="ar-LB"/>
        </w:rPr>
        <w:t>قدم</w:t>
      </w:r>
      <w:r w:rsidR="00F32B28">
        <w:rPr>
          <w:rtl/>
          <w:lang w:bidi="ar-LB"/>
        </w:rPr>
        <w:t xml:space="preserve"> </w:t>
      </w:r>
      <w:r w:rsidR="00F32B28" w:rsidRPr="00F32B28">
        <w:rPr>
          <w:rtl/>
          <w:lang w:bidi="ar-LB"/>
        </w:rPr>
        <w:t>المساواة</w:t>
      </w:r>
      <w:r w:rsidR="00F32B28">
        <w:rPr>
          <w:rtl/>
          <w:lang w:bidi="ar-LB"/>
        </w:rPr>
        <w:t xml:space="preserve"> </w:t>
      </w:r>
      <w:r w:rsidR="00F32B28" w:rsidRPr="00F32B28">
        <w:rPr>
          <w:rtl/>
          <w:lang w:bidi="ar-LB"/>
        </w:rPr>
        <w:t>مع</w:t>
      </w:r>
      <w:r w:rsidR="00F32B28">
        <w:rPr>
          <w:rtl/>
          <w:lang w:bidi="ar-LB"/>
        </w:rPr>
        <w:t xml:space="preserve"> </w:t>
      </w:r>
      <w:r w:rsidR="00F32B28" w:rsidRPr="00F32B28">
        <w:rPr>
          <w:rtl/>
          <w:lang w:bidi="ar-LB"/>
        </w:rPr>
        <w:t>المأذونين</w:t>
      </w:r>
      <w:r w:rsidR="00F32B28">
        <w:rPr>
          <w:rtl/>
          <w:lang w:bidi="ar-LB"/>
        </w:rPr>
        <w:t xml:space="preserve"> </w:t>
      </w:r>
      <w:r w:rsidR="00F32B28" w:rsidRPr="00F32B28">
        <w:rPr>
          <w:rtl/>
          <w:lang w:bidi="ar-LB"/>
        </w:rPr>
        <w:t>الشرعيين</w:t>
      </w:r>
      <w:r w:rsidR="00F32B28">
        <w:rPr>
          <w:rtl/>
          <w:lang w:bidi="ar-LB"/>
        </w:rPr>
        <w:t xml:space="preserve"> </w:t>
      </w:r>
      <w:r w:rsidR="00F32B28" w:rsidRPr="00F32B28">
        <w:rPr>
          <w:rtl/>
          <w:lang w:bidi="ar-LB"/>
        </w:rPr>
        <w:t>الرجال.</w:t>
      </w:r>
      <w:r w:rsidR="00F32B28">
        <w:rPr>
          <w:rtl/>
          <w:lang w:bidi="ar-LB"/>
        </w:rPr>
        <w:t xml:space="preserve"> </w:t>
      </w:r>
    </w:p>
    <w:p w:rsidR="00F32B28" w:rsidRPr="00F32B28" w:rsidRDefault="00272090" w:rsidP="00272090">
      <w:pPr>
        <w:pStyle w:val="SingleTxt"/>
      </w:pPr>
      <w:r>
        <w:rPr>
          <w:rFonts w:hint="cs"/>
          <w:rtl/>
        </w:rPr>
        <w:t xml:space="preserve">126 - </w:t>
      </w:r>
      <w:r w:rsidR="00F32B28" w:rsidRPr="00F32B28">
        <w:rPr>
          <w:rtl/>
        </w:rPr>
        <w:t>وفي</w:t>
      </w:r>
      <w:r w:rsidR="00F32B28">
        <w:rPr>
          <w:rtl/>
        </w:rPr>
        <w:t xml:space="preserve"> </w:t>
      </w:r>
      <w:r w:rsidR="00F32B28" w:rsidRPr="00F32B28">
        <w:rPr>
          <w:rtl/>
        </w:rPr>
        <w:t>إطار</w:t>
      </w:r>
      <w:r w:rsidR="00F32B28">
        <w:rPr>
          <w:rtl/>
        </w:rPr>
        <w:t xml:space="preserve"> </w:t>
      </w:r>
      <w:r w:rsidR="00F32B28" w:rsidRPr="00F32B28">
        <w:rPr>
          <w:rtl/>
        </w:rPr>
        <w:t>أركان</w:t>
      </w:r>
      <w:r w:rsidR="00F32B28">
        <w:rPr>
          <w:rtl/>
        </w:rPr>
        <w:t xml:space="preserve"> </w:t>
      </w:r>
      <w:r w:rsidR="00F32B28" w:rsidRPr="00F32B28">
        <w:rPr>
          <w:rtl/>
        </w:rPr>
        <w:t>العدالة</w:t>
      </w:r>
      <w:r w:rsidR="00F32B28">
        <w:rPr>
          <w:rtl/>
        </w:rPr>
        <w:t xml:space="preserve"> </w:t>
      </w:r>
      <w:r w:rsidR="00F32B28" w:rsidRPr="00F32B28">
        <w:rPr>
          <w:rtl/>
        </w:rPr>
        <w:t>الأخرى</w:t>
      </w:r>
      <w:r w:rsidR="00F32B28">
        <w:rPr>
          <w:rtl/>
        </w:rPr>
        <w:t xml:space="preserve"> </w:t>
      </w:r>
      <w:r w:rsidR="00F32B28" w:rsidRPr="00F32B28">
        <w:rPr>
          <w:rtl/>
        </w:rPr>
        <w:t>المتصلة،</w:t>
      </w:r>
      <w:r w:rsidR="00F32B28">
        <w:rPr>
          <w:rtl/>
        </w:rPr>
        <w:t xml:space="preserve"> </w:t>
      </w:r>
      <w:r w:rsidR="00F32B28" w:rsidRPr="00F32B28">
        <w:rPr>
          <w:rtl/>
        </w:rPr>
        <w:t>شهدت</w:t>
      </w:r>
      <w:r w:rsidR="00F32B28">
        <w:rPr>
          <w:rtl/>
        </w:rPr>
        <w:t xml:space="preserve"> </w:t>
      </w:r>
      <w:r w:rsidR="00F32B28" w:rsidRPr="00F32B28">
        <w:rPr>
          <w:rtl/>
        </w:rPr>
        <w:t>النيابة</w:t>
      </w:r>
      <w:r w:rsidR="00F32B28">
        <w:rPr>
          <w:rtl/>
        </w:rPr>
        <w:t xml:space="preserve"> </w:t>
      </w:r>
      <w:r w:rsidR="00F32B28" w:rsidRPr="00F32B28">
        <w:rPr>
          <w:rtl/>
        </w:rPr>
        <w:t>العامة</w:t>
      </w:r>
      <w:r w:rsidR="00F32B28">
        <w:rPr>
          <w:rtl/>
        </w:rPr>
        <w:t xml:space="preserve"> </w:t>
      </w:r>
      <w:r w:rsidR="00F32B28" w:rsidRPr="00F32B28">
        <w:rPr>
          <w:rtl/>
        </w:rPr>
        <w:t>أيضاً</w:t>
      </w:r>
      <w:r w:rsidR="00F32B28">
        <w:rPr>
          <w:rtl/>
        </w:rPr>
        <w:t xml:space="preserve"> </w:t>
      </w:r>
      <w:r w:rsidR="00F32B28" w:rsidRPr="00F32B28">
        <w:rPr>
          <w:rtl/>
        </w:rPr>
        <w:t>ارتفاعاً</w:t>
      </w:r>
      <w:r w:rsidR="00F32B28">
        <w:rPr>
          <w:rtl/>
        </w:rPr>
        <w:t xml:space="preserve"> </w:t>
      </w:r>
      <w:r w:rsidR="00F32B28" w:rsidRPr="00F32B28">
        <w:rPr>
          <w:rtl/>
        </w:rPr>
        <w:t>نسبياً</w:t>
      </w:r>
      <w:r w:rsidR="00F32B28">
        <w:rPr>
          <w:rtl/>
        </w:rPr>
        <w:t xml:space="preserve"> </w:t>
      </w:r>
      <w:r w:rsidR="00F32B28" w:rsidRPr="00F32B28">
        <w:rPr>
          <w:rtl/>
        </w:rPr>
        <w:t>مقارنة</w:t>
      </w:r>
      <w:r w:rsidR="00F32B28">
        <w:rPr>
          <w:rtl/>
        </w:rPr>
        <w:t xml:space="preserve"> </w:t>
      </w:r>
      <w:r w:rsidR="00F32B28" w:rsidRPr="00F32B28">
        <w:rPr>
          <w:rtl/>
        </w:rPr>
        <w:t>بالقطاعات</w:t>
      </w:r>
      <w:r w:rsidR="00F32B28">
        <w:rPr>
          <w:rtl/>
        </w:rPr>
        <w:t xml:space="preserve"> </w:t>
      </w:r>
      <w:r w:rsidR="00F32B28" w:rsidRPr="00F32B28">
        <w:rPr>
          <w:rtl/>
        </w:rPr>
        <w:t>الأخرى</w:t>
      </w:r>
      <w:r w:rsidR="00F32B28">
        <w:rPr>
          <w:rtl/>
        </w:rPr>
        <w:t xml:space="preserve"> </w:t>
      </w:r>
      <w:r w:rsidR="00F32B28" w:rsidRPr="00F32B28">
        <w:rPr>
          <w:rtl/>
        </w:rPr>
        <w:t>فيما</w:t>
      </w:r>
      <w:r w:rsidR="00F32B28">
        <w:rPr>
          <w:rtl/>
        </w:rPr>
        <w:t xml:space="preserve"> </w:t>
      </w:r>
      <w:r w:rsidR="00F32B28" w:rsidRPr="00F32B28">
        <w:rPr>
          <w:rtl/>
        </w:rPr>
        <w:t>يخص</w:t>
      </w:r>
      <w:r w:rsidR="00F32B28">
        <w:rPr>
          <w:rtl/>
        </w:rPr>
        <w:t xml:space="preserve"> </w:t>
      </w:r>
      <w:r w:rsidR="00F32B28" w:rsidRPr="00F32B28">
        <w:rPr>
          <w:rtl/>
        </w:rPr>
        <w:t>بنسب</w:t>
      </w:r>
      <w:r w:rsidR="00F32B28">
        <w:rPr>
          <w:rtl/>
        </w:rPr>
        <w:t xml:space="preserve"> </w:t>
      </w:r>
      <w:r w:rsidR="00F32B28" w:rsidRPr="00F32B28">
        <w:rPr>
          <w:rtl/>
        </w:rPr>
        <w:t>ومستويات</w:t>
      </w:r>
      <w:r w:rsidR="00F32B28">
        <w:rPr>
          <w:rtl/>
        </w:rPr>
        <w:t xml:space="preserve"> </w:t>
      </w:r>
      <w:r w:rsidR="00F32B28" w:rsidRPr="00F32B28">
        <w:rPr>
          <w:rtl/>
        </w:rPr>
        <w:t>مشاركة</w:t>
      </w:r>
      <w:r w:rsidR="00F32B28">
        <w:rPr>
          <w:rtl/>
        </w:rPr>
        <w:t xml:space="preserve"> </w:t>
      </w:r>
      <w:r w:rsidR="00F32B28" w:rsidRPr="00F32B28">
        <w:rPr>
          <w:rtl/>
        </w:rPr>
        <w:t>النساء</w:t>
      </w:r>
      <w:r w:rsidR="00F32B28">
        <w:rPr>
          <w:rtl/>
        </w:rPr>
        <w:t xml:space="preserve"> </w:t>
      </w:r>
      <w:r w:rsidR="00F32B28" w:rsidRPr="00F32B28">
        <w:rPr>
          <w:rtl/>
        </w:rPr>
        <w:t>فيها،</w:t>
      </w:r>
      <w:r w:rsidR="00F32B28">
        <w:rPr>
          <w:rtl/>
        </w:rPr>
        <w:t xml:space="preserve"> </w:t>
      </w:r>
      <w:r w:rsidR="00F32B28" w:rsidRPr="00F32B28">
        <w:rPr>
          <w:rtl/>
        </w:rPr>
        <w:t>خاصة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إذ</w:t>
      </w:r>
      <w:r w:rsidR="009B107D">
        <w:rPr>
          <w:rFonts w:hint="cs"/>
          <w:rtl/>
        </w:rPr>
        <w:t> </w:t>
      </w:r>
      <w:r w:rsidR="00F32B28" w:rsidRPr="00F32B28">
        <w:rPr>
          <w:rtl/>
        </w:rPr>
        <w:t>بلغت</w:t>
      </w:r>
      <w:r w:rsidR="00F32B28">
        <w:rPr>
          <w:rtl/>
        </w:rPr>
        <w:t xml:space="preserve"> </w:t>
      </w:r>
      <w:r w:rsidR="00F32B28" w:rsidRPr="00F32B28">
        <w:rPr>
          <w:rtl/>
        </w:rPr>
        <w:t>لعام</w:t>
      </w:r>
      <w:r w:rsidR="00F32B28">
        <w:rPr>
          <w:rtl/>
        </w:rPr>
        <w:t xml:space="preserve"> </w:t>
      </w:r>
      <w:r w:rsidR="00F32B28" w:rsidRPr="00F32B28">
        <w:rPr>
          <w:rtl/>
        </w:rPr>
        <w:t>2013</w:t>
      </w:r>
      <w:r w:rsidR="00C36420">
        <w:rPr>
          <w:rFonts w:hint="cs"/>
          <w:rtl/>
        </w:rPr>
        <w:t xml:space="preserve"> </w:t>
      </w:r>
      <w:r w:rsidR="00F32B28" w:rsidRPr="00F32B28">
        <w:rPr>
          <w:rtl/>
        </w:rPr>
        <w:t>حوالي</w:t>
      </w:r>
      <w:r w:rsidR="00F32B28">
        <w:rPr>
          <w:rtl/>
        </w:rPr>
        <w:t xml:space="preserve"> </w:t>
      </w:r>
      <w:r w:rsidR="00F32B28" w:rsidRPr="00F32B28">
        <w:rPr>
          <w:rtl/>
        </w:rPr>
        <w:t>16.4</w:t>
      </w:r>
      <w:r w:rsidR="0043161B">
        <w:rPr>
          <w:rFonts w:hint="cs"/>
          <w:rtl/>
        </w:rPr>
        <w:t xml:space="preserve"> </w:t>
      </w:r>
      <w:r w:rsidR="00600C43">
        <w:rPr>
          <w:rtl/>
        </w:rPr>
        <w:t>في المائة</w:t>
      </w:r>
      <w:r w:rsidR="00F32B28">
        <w:rPr>
          <w:rtl/>
        </w:rPr>
        <w:t xml:space="preserve"> </w:t>
      </w:r>
      <w:r w:rsidR="00F32B28" w:rsidRPr="00F32B28">
        <w:rPr>
          <w:rtl/>
        </w:rPr>
        <w:t>مقارنة</w:t>
      </w:r>
      <w:r w:rsidR="00F32B28">
        <w:rPr>
          <w:rtl/>
        </w:rPr>
        <w:t xml:space="preserve"> </w:t>
      </w:r>
      <w:r w:rsidR="00F32B28" w:rsidRPr="00F32B28">
        <w:rPr>
          <w:rtl/>
        </w:rPr>
        <w:t>بنسبة</w:t>
      </w:r>
      <w:r w:rsidR="00F32B28">
        <w:rPr>
          <w:rtl/>
        </w:rPr>
        <w:t xml:space="preserve"> </w:t>
      </w:r>
      <w:r w:rsidR="00F32B28" w:rsidRPr="00F32B28">
        <w:rPr>
          <w:rtl/>
        </w:rPr>
        <w:t>83.6</w:t>
      </w:r>
      <w:r w:rsidR="00C36420">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الرجال</w:t>
      </w:r>
      <w:r w:rsidR="00F32B28">
        <w:rPr>
          <w:rtl/>
        </w:rPr>
        <w:t xml:space="preserve"> </w:t>
      </w:r>
      <w:r w:rsidR="00F32B28" w:rsidRPr="00F32B28">
        <w:rPr>
          <w:rtl/>
        </w:rPr>
        <w:t>وكلاء</w:t>
      </w:r>
      <w:r w:rsidR="00F32B28">
        <w:rPr>
          <w:rtl/>
        </w:rPr>
        <w:t xml:space="preserve"> </w:t>
      </w:r>
      <w:r w:rsidR="00F32B28" w:rsidRPr="00F32B28">
        <w:rPr>
          <w:rtl/>
        </w:rPr>
        <w:t>النيابة</w:t>
      </w:r>
      <w:r w:rsidR="00F32B28">
        <w:rPr>
          <w:rtl/>
        </w:rPr>
        <w:t xml:space="preserve"> </w:t>
      </w:r>
      <w:r w:rsidR="00F32B28" w:rsidRPr="00F32B28">
        <w:rPr>
          <w:rtl/>
        </w:rPr>
        <w:t>العامة،</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كانت</w:t>
      </w:r>
      <w:r w:rsidR="00F32B28">
        <w:rPr>
          <w:rtl/>
        </w:rPr>
        <w:t xml:space="preserve"> </w:t>
      </w:r>
      <w:r w:rsidR="00F32B28" w:rsidRPr="00F32B28">
        <w:rPr>
          <w:rtl/>
        </w:rPr>
        <w:t>هذه</w:t>
      </w:r>
      <w:r w:rsidR="00F32B28">
        <w:rPr>
          <w:rtl/>
        </w:rPr>
        <w:t xml:space="preserve"> </w:t>
      </w:r>
      <w:r w:rsidR="00F32B28" w:rsidRPr="00F32B28">
        <w:rPr>
          <w:rtl/>
        </w:rPr>
        <w:t>النسبة</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2008</w:t>
      </w:r>
      <w:r w:rsidR="00F32B28">
        <w:rPr>
          <w:rtl/>
        </w:rPr>
        <w:t xml:space="preserve"> </w:t>
      </w:r>
      <w:r w:rsidR="00F32B28" w:rsidRPr="00F32B28">
        <w:rPr>
          <w:rtl/>
        </w:rPr>
        <w:t>حوالي</w:t>
      </w:r>
      <w:r w:rsidR="00F32B28">
        <w:rPr>
          <w:rtl/>
        </w:rPr>
        <w:t xml:space="preserve"> </w:t>
      </w:r>
      <w:r w:rsidR="00F32B28" w:rsidRPr="00F32B28">
        <w:rPr>
          <w:rtl/>
        </w:rPr>
        <w:t>5</w:t>
      </w:r>
      <w:r w:rsidR="00AA7F71">
        <w:rPr>
          <w:rFonts w:hint="cs"/>
          <w:rtl/>
        </w:rPr>
        <w:t xml:space="preserve"> </w:t>
      </w:r>
      <w:r w:rsidR="00600C43">
        <w:rPr>
          <w:rtl/>
        </w:rPr>
        <w:t>في المائة</w:t>
      </w:r>
      <w:r w:rsidR="00F32B28">
        <w:rPr>
          <w:rtl/>
        </w:rPr>
        <w:t xml:space="preserve"> </w:t>
      </w:r>
      <w:r w:rsidR="00F32B28" w:rsidRPr="00F32B28">
        <w:rPr>
          <w:rtl/>
        </w:rPr>
        <w:t>مقابل</w:t>
      </w:r>
      <w:r w:rsidR="00F32B28">
        <w:rPr>
          <w:rtl/>
        </w:rPr>
        <w:t xml:space="preserve"> </w:t>
      </w:r>
      <w:r w:rsidR="00F32B28" w:rsidRPr="00F32B28">
        <w:rPr>
          <w:rtl/>
        </w:rPr>
        <w:t>95</w:t>
      </w:r>
      <w:r w:rsidR="00C36420">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الرجال.</w:t>
      </w:r>
    </w:p>
    <w:p w:rsidR="00F32B28" w:rsidRPr="00F32B28" w:rsidRDefault="00A43875" w:rsidP="00A43875">
      <w:pPr>
        <w:pStyle w:val="SingleTxt"/>
      </w:pPr>
      <w:r>
        <w:rPr>
          <w:rFonts w:hint="cs"/>
          <w:rtl/>
        </w:rPr>
        <w:t xml:space="preserve">127 - </w:t>
      </w:r>
      <w:r w:rsidR="00F32B28" w:rsidRPr="00F32B28">
        <w:rPr>
          <w:rtl/>
        </w:rPr>
        <w:t>أما</w:t>
      </w:r>
      <w:r w:rsidR="00F32B28">
        <w:rPr>
          <w:rtl/>
        </w:rPr>
        <w:t xml:space="preserve"> </w:t>
      </w:r>
      <w:r w:rsidR="00F32B28" w:rsidRPr="00F32B28">
        <w:rPr>
          <w:rtl/>
        </w:rPr>
        <w:t>عن</w:t>
      </w:r>
      <w:r w:rsidR="00F32B28">
        <w:rPr>
          <w:rtl/>
        </w:rPr>
        <w:t xml:space="preserve"> </w:t>
      </w:r>
      <w:r w:rsidR="00F32B28" w:rsidRPr="00F32B28">
        <w:rPr>
          <w:rtl/>
        </w:rPr>
        <w:t>عدد</w:t>
      </w:r>
      <w:r w:rsidR="00F32B28">
        <w:rPr>
          <w:rtl/>
        </w:rPr>
        <w:t xml:space="preserve"> </w:t>
      </w:r>
      <w:r w:rsidR="00F32B28" w:rsidRPr="00F32B28">
        <w:rPr>
          <w:rtl/>
        </w:rPr>
        <w:t>النساء</w:t>
      </w:r>
      <w:r w:rsidR="00F32B28">
        <w:rPr>
          <w:rtl/>
        </w:rPr>
        <w:t xml:space="preserve"> </w:t>
      </w:r>
      <w:r w:rsidR="00F32B28" w:rsidRPr="00F32B28">
        <w:rPr>
          <w:rtl/>
        </w:rPr>
        <w:t>العاملات</w:t>
      </w:r>
      <w:r w:rsidR="00F32B28">
        <w:rPr>
          <w:rtl/>
        </w:rPr>
        <w:t xml:space="preserve"> </w:t>
      </w:r>
      <w:r w:rsidR="00F32B28" w:rsidRPr="00F32B28">
        <w:rPr>
          <w:rtl/>
        </w:rPr>
        <w:t>في</w:t>
      </w:r>
      <w:r w:rsidR="00F32B28">
        <w:rPr>
          <w:rtl/>
        </w:rPr>
        <w:t xml:space="preserve"> </w:t>
      </w:r>
      <w:r w:rsidR="00F32B28" w:rsidRPr="00F32B28">
        <w:rPr>
          <w:rtl/>
        </w:rPr>
        <w:t>كوادر</w:t>
      </w:r>
      <w:r w:rsidR="00F32B28">
        <w:rPr>
          <w:rtl/>
        </w:rPr>
        <w:t xml:space="preserve"> </w:t>
      </w:r>
      <w:r w:rsidR="00F32B28" w:rsidRPr="00F32B28">
        <w:rPr>
          <w:rtl/>
        </w:rPr>
        <w:t>الشرطة</w:t>
      </w:r>
      <w:r w:rsidR="00F32B28">
        <w:rPr>
          <w:rtl/>
        </w:rPr>
        <w:t xml:space="preserve"> </w:t>
      </w:r>
      <w:r w:rsidR="00F32B28" w:rsidRPr="00F32B28">
        <w:rPr>
          <w:rtl/>
        </w:rPr>
        <w:t>الفلسطينية</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2014</w:t>
      </w:r>
      <w:r w:rsidR="00F32B28">
        <w:rPr>
          <w:rtl/>
        </w:rPr>
        <w:t xml:space="preserve"> </w:t>
      </w:r>
      <w:r w:rsidR="00F32B28" w:rsidRPr="00F32B28">
        <w:rPr>
          <w:rtl/>
        </w:rPr>
        <w:t>فقد</w:t>
      </w:r>
      <w:r w:rsidR="00F32B28">
        <w:rPr>
          <w:rtl/>
        </w:rPr>
        <w:t xml:space="preserve"> </w:t>
      </w:r>
      <w:r w:rsidR="00F32B28" w:rsidRPr="00F32B28">
        <w:rPr>
          <w:rtl/>
        </w:rPr>
        <w:t>بلغ</w:t>
      </w:r>
      <w:r w:rsidR="00F32B28">
        <w:rPr>
          <w:rtl/>
        </w:rPr>
        <w:t xml:space="preserve"> </w:t>
      </w:r>
      <w:r w:rsidR="00F32B28" w:rsidRPr="00F32B28">
        <w:rPr>
          <w:rtl/>
        </w:rPr>
        <w:t>(306)</w:t>
      </w:r>
      <w:r w:rsidR="00F32B28">
        <w:rPr>
          <w:rtl/>
        </w:rPr>
        <w:t xml:space="preserve"> </w:t>
      </w:r>
      <w:r w:rsidR="00F32B28" w:rsidRPr="00F32B28">
        <w:rPr>
          <w:rtl/>
        </w:rPr>
        <w:t>امرأة</w:t>
      </w:r>
      <w:r w:rsidR="00887A70">
        <w:rPr>
          <w:rFonts w:hint="cs"/>
          <w:rtl/>
        </w:rPr>
        <w:t xml:space="preserve"> </w:t>
      </w:r>
      <w:r w:rsidR="00F32B28" w:rsidRPr="00F32B28">
        <w:rPr>
          <w:rtl/>
        </w:rPr>
        <w:t>مقابل</w:t>
      </w:r>
      <w:r w:rsidR="00F32B28">
        <w:rPr>
          <w:rtl/>
        </w:rPr>
        <w:t xml:space="preserve"> </w:t>
      </w:r>
      <w:r w:rsidR="00F32B28" w:rsidRPr="00F32B28">
        <w:rPr>
          <w:rtl/>
        </w:rPr>
        <w:t>(</w:t>
      </w:r>
      <w:r w:rsidR="00887A70">
        <w:rPr>
          <w:rFonts w:hint="cs"/>
          <w:rtl/>
        </w:rPr>
        <w:t>660 7</w:t>
      </w:r>
      <w:r w:rsidR="00F32B28" w:rsidRPr="00F32B28">
        <w:rPr>
          <w:rtl/>
        </w:rPr>
        <w:t>)</w:t>
      </w:r>
      <w:r w:rsidR="00F32B28">
        <w:rPr>
          <w:rtl/>
        </w:rPr>
        <w:t xml:space="preserve"> </w:t>
      </w:r>
      <w:r w:rsidR="00F32B28" w:rsidRPr="00F32B28">
        <w:rPr>
          <w:rtl/>
        </w:rPr>
        <w:t>رجل،</w:t>
      </w:r>
      <w:r w:rsidR="00F32B28">
        <w:rPr>
          <w:rtl/>
        </w:rPr>
        <w:t xml:space="preserve"> </w:t>
      </w:r>
      <w:r w:rsidR="00F32B28" w:rsidRPr="00F32B28">
        <w:rPr>
          <w:rtl/>
        </w:rPr>
        <w:t>أي</w:t>
      </w:r>
      <w:r w:rsidR="00F32B28">
        <w:rPr>
          <w:rtl/>
        </w:rPr>
        <w:t xml:space="preserve"> </w:t>
      </w:r>
      <w:r w:rsidR="00F32B28" w:rsidRPr="00F32B28">
        <w:rPr>
          <w:rtl/>
        </w:rPr>
        <w:t>حوالي</w:t>
      </w:r>
      <w:r w:rsidR="00F32B28">
        <w:rPr>
          <w:rtl/>
        </w:rPr>
        <w:t xml:space="preserve"> </w:t>
      </w:r>
      <w:r w:rsidR="00F32B28" w:rsidRPr="00F32B28">
        <w:rPr>
          <w:rtl/>
        </w:rPr>
        <w:t>4</w:t>
      </w:r>
      <w:r w:rsidR="00AA7F71">
        <w:rPr>
          <w:rFonts w:hint="cs"/>
          <w:rtl/>
        </w:rPr>
        <w:t xml:space="preserve"> </w:t>
      </w:r>
      <w:r w:rsidR="00600C43">
        <w:rPr>
          <w:rtl/>
        </w:rPr>
        <w:t>في المائة</w:t>
      </w:r>
      <w:r w:rsidR="00F32B28" w:rsidRPr="00F32B28">
        <w:rPr>
          <w:rtl/>
        </w:rPr>
        <w:t>،</w:t>
      </w:r>
      <w:r w:rsidR="00F32B28">
        <w:rPr>
          <w:rtl/>
        </w:rPr>
        <w:t xml:space="preserve"> </w:t>
      </w:r>
      <w:r w:rsidR="00F32B28" w:rsidRPr="00F32B28">
        <w:rPr>
          <w:rtl/>
        </w:rPr>
        <w:t>ورغم</w:t>
      </w:r>
      <w:r w:rsidR="00F32B28">
        <w:rPr>
          <w:rtl/>
        </w:rPr>
        <w:t xml:space="preserve"> </w:t>
      </w:r>
      <w:r w:rsidR="00F32B28" w:rsidRPr="00F32B28">
        <w:rPr>
          <w:rtl/>
        </w:rPr>
        <w:t>هذا</w:t>
      </w:r>
      <w:r w:rsidR="00F32B28">
        <w:rPr>
          <w:rtl/>
        </w:rPr>
        <w:t xml:space="preserve"> </w:t>
      </w:r>
      <w:r w:rsidR="00F32B28" w:rsidRPr="00F32B28">
        <w:rPr>
          <w:rtl/>
        </w:rPr>
        <w:t>الازدياد</w:t>
      </w:r>
      <w:r w:rsidR="00F32B28">
        <w:rPr>
          <w:rtl/>
        </w:rPr>
        <w:t xml:space="preserve"> </w:t>
      </w:r>
      <w:r w:rsidR="00F32B28" w:rsidRPr="00F32B28">
        <w:rPr>
          <w:rtl/>
        </w:rPr>
        <w:t>عما</w:t>
      </w:r>
      <w:r w:rsidR="00F32B28">
        <w:rPr>
          <w:rtl/>
        </w:rPr>
        <w:t xml:space="preserve"> </w:t>
      </w:r>
      <w:r w:rsidR="00F32B28" w:rsidRPr="00F32B28">
        <w:rPr>
          <w:rtl/>
        </w:rPr>
        <w:t>كان</w:t>
      </w:r>
      <w:r w:rsidR="00F32B28">
        <w:rPr>
          <w:rtl/>
        </w:rPr>
        <w:t xml:space="preserve"> </w:t>
      </w:r>
      <w:r w:rsidR="00F32B28" w:rsidRPr="00F32B28">
        <w:rPr>
          <w:rtl/>
        </w:rPr>
        <w:t>عليه</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2011</w:t>
      </w:r>
      <w:r w:rsidR="00F32B28">
        <w:rPr>
          <w:rtl/>
        </w:rPr>
        <w:t xml:space="preserve"> </w:t>
      </w:r>
      <w:r w:rsidR="00F32B28" w:rsidRPr="00F32B28">
        <w:rPr>
          <w:rtl/>
        </w:rPr>
        <w:t>حيث</w:t>
      </w:r>
      <w:r w:rsidR="00F32B28">
        <w:rPr>
          <w:rtl/>
        </w:rPr>
        <w:t xml:space="preserve"> </w:t>
      </w:r>
      <w:r w:rsidR="00F32B28" w:rsidRPr="00F32B28">
        <w:rPr>
          <w:rtl/>
        </w:rPr>
        <w:t>بلغ</w:t>
      </w:r>
      <w:r w:rsidR="00F32B28">
        <w:rPr>
          <w:rtl/>
        </w:rPr>
        <w:t xml:space="preserve"> </w:t>
      </w:r>
      <w:r w:rsidR="00F32B28" w:rsidRPr="00F32B28">
        <w:rPr>
          <w:rtl/>
        </w:rPr>
        <w:t>عددهن</w:t>
      </w:r>
      <w:r w:rsidR="00F32B28">
        <w:rPr>
          <w:rtl/>
        </w:rPr>
        <w:t xml:space="preserve"> </w:t>
      </w:r>
      <w:r w:rsidR="00F32B28" w:rsidRPr="00F32B28">
        <w:rPr>
          <w:rtl/>
        </w:rPr>
        <w:t>آنذاك</w:t>
      </w:r>
      <w:r w:rsidR="00F32B28">
        <w:rPr>
          <w:rtl/>
        </w:rPr>
        <w:t xml:space="preserve"> </w:t>
      </w:r>
      <w:r w:rsidR="00F32B28" w:rsidRPr="00F32B28">
        <w:rPr>
          <w:rtl/>
        </w:rPr>
        <w:t>(256)</w:t>
      </w:r>
      <w:r w:rsidR="00F32B28">
        <w:rPr>
          <w:rtl/>
        </w:rPr>
        <w:t xml:space="preserve"> </w:t>
      </w:r>
      <w:r w:rsidR="00F32B28" w:rsidRPr="00F32B28">
        <w:rPr>
          <w:rtl/>
        </w:rPr>
        <w:t>امرأة،</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ذلك</w:t>
      </w:r>
      <w:r w:rsidR="00F32B28">
        <w:rPr>
          <w:rtl/>
        </w:rPr>
        <w:t xml:space="preserve"> </w:t>
      </w:r>
      <w:r w:rsidR="00F32B28" w:rsidRPr="00F32B28">
        <w:rPr>
          <w:rtl/>
        </w:rPr>
        <w:t>يبقى</w:t>
      </w:r>
      <w:r w:rsidR="00F32B28">
        <w:rPr>
          <w:rtl/>
        </w:rPr>
        <w:t xml:space="preserve"> </w:t>
      </w:r>
      <w:r w:rsidR="00F32B28" w:rsidRPr="00F32B28">
        <w:rPr>
          <w:rtl/>
        </w:rPr>
        <w:t>دون</w:t>
      </w:r>
      <w:r w:rsidR="00F32B28">
        <w:rPr>
          <w:rtl/>
        </w:rPr>
        <w:t xml:space="preserve"> </w:t>
      </w:r>
      <w:r w:rsidR="00F32B28" w:rsidRPr="00F32B28">
        <w:rPr>
          <w:rtl/>
        </w:rPr>
        <w:t>المستوى</w:t>
      </w:r>
      <w:r w:rsidR="00F32B28">
        <w:rPr>
          <w:rtl/>
        </w:rPr>
        <w:t xml:space="preserve"> </w:t>
      </w:r>
      <w:r w:rsidR="00F32B28" w:rsidRPr="00F32B28">
        <w:rPr>
          <w:rtl/>
        </w:rPr>
        <w:t>المأمول.</w:t>
      </w:r>
      <w:r w:rsidR="00F32B28">
        <w:rPr>
          <w:rtl/>
        </w:rPr>
        <w:t xml:space="preserve"> </w:t>
      </w:r>
    </w:p>
    <w:p w:rsidR="00F32B28" w:rsidRPr="00F32B28" w:rsidRDefault="00A43875" w:rsidP="00EB128F">
      <w:pPr>
        <w:pStyle w:val="SingleTxt"/>
        <w:rPr>
          <w:rtl/>
        </w:rPr>
      </w:pPr>
      <w:r>
        <w:rPr>
          <w:rFonts w:hint="cs"/>
          <w:rtl/>
        </w:rPr>
        <w:t xml:space="preserve">128 - </w:t>
      </w:r>
      <w:r w:rsidR="00F32B28" w:rsidRPr="00F32B28">
        <w:rPr>
          <w:rtl/>
        </w:rPr>
        <w:t>وبلغت</w:t>
      </w:r>
      <w:r w:rsidR="00F32B28">
        <w:rPr>
          <w:rtl/>
        </w:rPr>
        <w:t xml:space="preserve"> </w:t>
      </w:r>
      <w:r w:rsidR="00F32B28" w:rsidRPr="00F32B28">
        <w:rPr>
          <w:rtl/>
        </w:rPr>
        <w:t>نسبة</w:t>
      </w:r>
      <w:r w:rsidR="00F32B28">
        <w:rPr>
          <w:rtl/>
        </w:rPr>
        <w:t xml:space="preserve"> </w:t>
      </w:r>
      <w:r w:rsidR="00F32B28" w:rsidRPr="00F32B28">
        <w:rPr>
          <w:rtl/>
        </w:rPr>
        <w:t>المحاميات</w:t>
      </w:r>
      <w:r w:rsidR="00F32B28">
        <w:rPr>
          <w:rtl/>
        </w:rPr>
        <w:t xml:space="preserve"> </w:t>
      </w:r>
      <w:r w:rsidR="00F32B28" w:rsidRPr="00F32B28">
        <w:rPr>
          <w:rtl/>
        </w:rPr>
        <w:t>20.9</w:t>
      </w:r>
      <w:r w:rsidR="00AA7F71">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المحامين</w:t>
      </w:r>
      <w:r w:rsidR="00F32B28">
        <w:rPr>
          <w:rtl/>
        </w:rPr>
        <w:t xml:space="preserve"> </w:t>
      </w:r>
      <w:r w:rsidR="00F32B28" w:rsidRPr="00F32B28">
        <w:rPr>
          <w:rtl/>
        </w:rPr>
        <w:t>المزاولين</w:t>
      </w:r>
      <w:r w:rsidR="00F32B28">
        <w:rPr>
          <w:rtl/>
        </w:rPr>
        <w:t xml:space="preserve"> </w:t>
      </w:r>
      <w:r w:rsidR="00F32B28" w:rsidRPr="00F32B28">
        <w:rPr>
          <w:rtl/>
        </w:rPr>
        <w:t>للمهنة،</w:t>
      </w:r>
      <w:r w:rsidR="00F32B28">
        <w:rPr>
          <w:rtl/>
        </w:rPr>
        <w:t xml:space="preserve"> </w:t>
      </w:r>
      <w:r w:rsidR="00F32B28" w:rsidRPr="00F32B28">
        <w:rPr>
          <w:rtl/>
        </w:rPr>
        <w:t>وتزيد</w:t>
      </w:r>
      <w:r w:rsidR="00F32B28">
        <w:rPr>
          <w:rtl/>
        </w:rPr>
        <w:t xml:space="preserve"> </w:t>
      </w:r>
      <w:r w:rsidR="00F32B28" w:rsidRPr="00F32B28">
        <w:rPr>
          <w:rtl/>
        </w:rPr>
        <w:t>الفجوة</w:t>
      </w:r>
      <w:r w:rsidR="00F32B28">
        <w:rPr>
          <w:rtl/>
        </w:rPr>
        <w:t xml:space="preserve"> </w:t>
      </w:r>
      <w:r w:rsidR="00F32B28" w:rsidRPr="00F32B28">
        <w:rPr>
          <w:rtl/>
        </w:rPr>
        <w:t>في</w:t>
      </w:r>
      <w:r w:rsidR="00F32B28">
        <w:rPr>
          <w:rtl/>
        </w:rPr>
        <w:t xml:space="preserve"> </w:t>
      </w:r>
      <w:r w:rsidR="00F32B28" w:rsidRPr="00F32B28">
        <w:rPr>
          <w:rtl/>
        </w:rPr>
        <w:t>المحاميات</w:t>
      </w:r>
      <w:r w:rsidR="00F32B28">
        <w:rPr>
          <w:rtl/>
        </w:rPr>
        <w:t xml:space="preserve"> </w:t>
      </w:r>
      <w:r w:rsidR="00F32B28" w:rsidRPr="00F32B28">
        <w:rPr>
          <w:rtl/>
        </w:rPr>
        <w:t>بين</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وقطاع</w:t>
      </w:r>
      <w:r w:rsidR="00F32B28">
        <w:rPr>
          <w:rtl/>
        </w:rPr>
        <w:t xml:space="preserve"> </w:t>
      </w:r>
      <w:r w:rsidR="00F32B28" w:rsidRPr="00F32B28">
        <w:rPr>
          <w:rtl/>
        </w:rPr>
        <w:t>غزة؛</w:t>
      </w:r>
      <w:r w:rsidR="00F32B28">
        <w:rPr>
          <w:rtl/>
        </w:rPr>
        <w:t xml:space="preserve"> </w:t>
      </w:r>
      <w:r w:rsidR="00F32B28" w:rsidRPr="00F32B28">
        <w:rPr>
          <w:rtl/>
        </w:rPr>
        <w:t>حيث</w:t>
      </w:r>
      <w:r w:rsidR="00F32B28">
        <w:rPr>
          <w:rtl/>
        </w:rPr>
        <w:t xml:space="preserve"> </w:t>
      </w:r>
      <w:r w:rsidR="00F32B28" w:rsidRPr="00F32B28">
        <w:rPr>
          <w:rtl/>
        </w:rPr>
        <w:t>بلغت</w:t>
      </w:r>
      <w:r w:rsidR="00F32B28">
        <w:rPr>
          <w:rtl/>
        </w:rPr>
        <w:t xml:space="preserve"> </w:t>
      </w:r>
      <w:r w:rsidR="00F32B28" w:rsidRPr="00F32B28">
        <w:rPr>
          <w:rtl/>
        </w:rPr>
        <w:t>24.5</w:t>
      </w:r>
      <w:r w:rsidR="00887A70">
        <w:rPr>
          <w:rFonts w:hint="cs"/>
          <w:rtl/>
        </w:rPr>
        <w:t xml:space="preserve"> </w:t>
      </w:r>
      <w:r w:rsidR="00600C43">
        <w:rPr>
          <w:rtl/>
        </w:rPr>
        <w:t>في المائة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وحوالي</w:t>
      </w:r>
      <w:r w:rsidR="00F32B28">
        <w:rPr>
          <w:rtl/>
        </w:rPr>
        <w:t xml:space="preserve"> </w:t>
      </w:r>
      <w:r w:rsidR="00F32B28" w:rsidRPr="00F32B28">
        <w:rPr>
          <w:rtl/>
        </w:rPr>
        <w:t>18.2</w:t>
      </w:r>
      <w:r w:rsidR="00AA7F71">
        <w:rPr>
          <w:rFonts w:hint="cs"/>
          <w:rtl/>
        </w:rPr>
        <w:t xml:space="preserve"> </w:t>
      </w:r>
      <w:r w:rsidR="00600C43">
        <w:rPr>
          <w:rtl/>
        </w:rPr>
        <w:t>في المائة</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وذلك</w:t>
      </w:r>
      <w:r w:rsidR="00F32B28">
        <w:rPr>
          <w:rtl/>
        </w:rPr>
        <w:t xml:space="preserve"> </w:t>
      </w:r>
      <w:r w:rsidR="00F32B28" w:rsidRPr="00F32B28">
        <w:rPr>
          <w:rtl/>
        </w:rPr>
        <w:t>للعام</w:t>
      </w:r>
      <w:r w:rsidR="00F32B28">
        <w:rPr>
          <w:rtl/>
        </w:rPr>
        <w:t xml:space="preserve"> </w:t>
      </w:r>
      <w:r w:rsidR="00F32B28" w:rsidRPr="00F32B28">
        <w:rPr>
          <w:rtl/>
        </w:rPr>
        <w:t>2014.</w:t>
      </w:r>
    </w:p>
    <w:p w:rsidR="00F32B28" w:rsidRPr="00F32B28" w:rsidRDefault="00A43875" w:rsidP="00A43875">
      <w:pPr>
        <w:pStyle w:val="SingleTxt"/>
        <w:rPr>
          <w:rtl/>
        </w:rPr>
      </w:pPr>
      <w:r>
        <w:rPr>
          <w:rFonts w:hint="cs"/>
          <w:rtl/>
          <w:lang w:bidi="ar-LB"/>
        </w:rPr>
        <w:t xml:space="preserve">129 - </w:t>
      </w:r>
      <w:r w:rsidR="00F32B28" w:rsidRPr="00F32B28">
        <w:rPr>
          <w:rtl/>
          <w:lang w:bidi="ar-LB"/>
        </w:rPr>
        <w:t>وتتمتع</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الفلسطينية</w:t>
      </w:r>
      <w:r w:rsidR="00F32B28">
        <w:rPr>
          <w:rtl/>
          <w:lang w:bidi="ar-LB"/>
        </w:rPr>
        <w:t xml:space="preserve"> </w:t>
      </w:r>
      <w:r w:rsidR="00F32B28" w:rsidRPr="00F32B28">
        <w:rPr>
          <w:rtl/>
          <w:lang w:bidi="ar-LB"/>
        </w:rPr>
        <w:t>بالحق</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تمثيل</w:t>
      </w:r>
      <w:r w:rsidR="00F32B28">
        <w:rPr>
          <w:rtl/>
          <w:lang w:bidi="ar-LB"/>
        </w:rPr>
        <w:t xml:space="preserve"> </w:t>
      </w:r>
      <w:r w:rsidR="00F32B28" w:rsidRPr="00F32B28">
        <w:rPr>
          <w:rtl/>
          <w:lang w:bidi="ar-LB"/>
        </w:rPr>
        <w:t>الحكومة</w:t>
      </w:r>
      <w:r w:rsidR="00F32B28">
        <w:rPr>
          <w:rtl/>
          <w:lang w:bidi="ar-LB"/>
        </w:rPr>
        <w:t xml:space="preserve"> </w:t>
      </w:r>
      <w:r w:rsidR="00F32B28" w:rsidRPr="00F32B28">
        <w:rPr>
          <w:rtl/>
          <w:lang w:bidi="ar-LB"/>
        </w:rPr>
        <w:t>الفلسطينية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المستوى</w:t>
      </w:r>
      <w:r w:rsidR="00F32B28">
        <w:rPr>
          <w:rtl/>
          <w:lang w:bidi="ar-LB"/>
        </w:rPr>
        <w:t xml:space="preserve"> </w:t>
      </w:r>
      <w:r w:rsidR="00F32B28" w:rsidRPr="00F32B28">
        <w:rPr>
          <w:rtl/>
          <w:lang w:bidi="ar-LB"/>
        </w:rPr>
        <w:t>الدولي،</w:t>
      </w:r>
      <w:r w:rsidR="00F32B28">
        <w:rPr>
          <w:rtl/>
          <w:lang w:bidi="ar-LB"/>
        </w:rPr>
        <w:t xml:space="preserve"> </w:t>
      </w:r>
      <w:r w:rsidR="00F32B28" w:rsidRPr="00F32B28">
        <w:rPr>
          <w:rtl/>
          <w:lang w:bidi="ar-LB"/>
        </w:rPr>
        <w:t>والاضطلاع</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أعمال</w:t>
      </w:r>
      <w:r w:rsidR="00F32B28">
        <w:rPr>
          <w:rtl/>
          <w:lang w:bidi="ar-LB"/>
        </w:rPr>
        <w:t xml:space="preserve"> </w:t>
      </w:r>
      <w:r w:rsidR="00F32B28" w:rsidRPr="00F32B28">
        <w:rPr>
          <w:rtl/>
          <w:lang w:bidi="ar-LB"/>
        </w:rPr>
        <w:t>المنظمات</w:t>
      </w:r>
      <w:r w:rsidR="00F32B28">
        <w:rPr>
          <w:rtl/>
          <w:lang w:bidi="ar-LB"/>
        </w:rPr>
        <w:t xml:space="preserve"> </w:t>
      </w:r>
      <w:r w:rsidR="00F32B28" w:rsidRPr="00F32B28">
        <w:rPr>
          <w:rtl/>
          <w:lang w:bidi="ar-LB"/>
        </w:rPr>
        <w:t>الدولية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قدم</w:t>
      </w:r>
      <w:r w:rsidR="00F32B28">
        <w:rPr>
          <w:rtl/>
          <w:lang w:bidi="ar-LB"/>
        </w:rPr>
        <w:t xml:space="preserve"> </w:t>
      </w:r>
      <w:r w:rsidR="00F32B28" w:rsidRPr="00F32B28">
        <w:rPr>
          <w:rtl/>
          <w:lang w:bidi="ar-LB"/>
        </w:rPr>
        <w:t>المساواة</w:t>
      </w:r>
      <w:r w:rsidR="00F32B28">
        <w:rPr>
          <w:rtl/>
          <w:lang w:bidi="ar-LB"/>
        </w:rPr>
        <w:t xml:space="preserve"> </w:t>
      </w:r>
      <w:r w:rsidR="00F32B28" w:rsidRPr="00F32B28">
        <w:rPr>
          <w:rtl/>
          <w:lang w:bidi="ar-LB"/>
        </w:rPr>
        <w:t>مع</w:t>
      </w:r>
      <w:r w:rsidR="00F32B28">
        <w:rPr>
          <w:rtl/>
          <w:lang w:bidi="ar-LB"/>
        </w:rPr>
        <w:t xml:space="preserve"> </w:t>
      </w:r>
      <w:r w:rsidR="00F32B28" w:rsidRPr="00F32B28">
        <w:rPr>
          <w:rtl/>
          <w:lang w:bidi="ar-LB"/>
        </w:rPr>
        <w:t>الرجل،</w:t>
      </w:r>
      <w:r w:rsidR="00F32B28">
        <w:rPr>
          <w:rtl/>
          <w:lang w:bidi="ar-LB"/>
        </w:rPr>
        <w:t xml:space="preserve"> </w:t>
      </w:r>
      <w:r w:rsidR="00F32B28" w:rsidRPr="00F32B28">
        <w:rPr>
          <w:rtl/>
          <w:lang w:bidi="ar-LB"/>
        </w:rPr>
        <w:t>وذلك</w:t>
      </w:r>
      <w:r w:rsidR="00F32B28">
        <w:rPr>
          <w:rtl/>
          <w:lang w:bidi="ar-LB"/>
        </w:rPr>
        <w:t xml:space="preserve"> </w:t>
      </w:r>
      <w:r w:rsidR="00F32B28" w:rsidRPr="00F32B28">
        <w:rPr>
          <w:rtl/>
          <w:lang w:bidi="ar-LB"/>
        </w:rPr>
        <w:t>بالاستناد</w:t>
      </w:r>
      <w:r w:rsidR="00F32B28">
        <w:rPr>
          <w:rtl/>
          <w:lang w:bidi="ar-LB"/>
        </w:rPr>
        <w:t xml:space="preserve"> </w:t>
      </w:r>
      <w:r w:rsidR="00F32B28" w:rsidRPr="00F32B28">
        <w:rPr>
          <w:rtl/>
          <w:lang w:bidi="ar-LB"/>
        </w:rPr>
        <w:t>للقانون</w:t>
      </w:r>
      <w:r w:rsidR="00F32B28">
        <w:rPr>
          <w:rtl/>
          <w:lang w:bidi="ar-LB"/>
        </w:rPr>
        <w:t xml:space="preserve"> </w:t>
      </w:r>
      <w:r w:rsidR="00F32B28" w:rsidRPr="00F32B28">
        <w:rPr>
          <w:rtl/>
          <w:lang w:bidi="ar-LB"/>
        </w:rPr>
        <w:t>الأساسي</w:t>
      </w:r>
      <w:r w:rsidR="00F32B28">
        <w:rPr>
          <w:rtl/>
          <w:lang w:bidi="ar-LB"/>
        </w:rPr>
        <w:t xml:space="preserve"> </w:t>
      </w:r>
      <w:r w:rsidR="00F32B28" w:rsidRPr="00F32B28">
        <w:rPr>
          <w:rtl/>
          <w:lang w:bidi="ar-LB"/>
        </w:rPr>
        <w:t>الفلسطيني</w:t>
      </w:r>
      <w:r w:rsidR="00F32B28">
        <w:rPr>
          <w:rtl/>
          <w:lang w:bidi="ar-LB"/>
        </w:rPr>
        <w:t xml:space="preserve"> </w:t>
      </w:r>
      <w:r w:rsidR="00F32B28" w:rsidRPr="00F32B28">
        <w:rPr>
          <w:rtl/>
          <w:lang w:bidi="ar-LB"/>
        </w:rPr>
        <w:t>وحق</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المساواة.</w:t>
      </w:r>
      <w:r w:rsidR="00F32B28">
        <w:rPr>
          <w:rtl/>
          <w:lang w:bidi="ar-LB"/>
        </w:rPr>
        <w:t xml:space="preserve"> </w:t>
      </w:r>
      <w:r w:rsidR="00F32B28" w:rsidRPr="00F32B28">
        <w:rPr>
          <w:rtl/>
        </w:rPr>
        <w:t>وقد</w:t>
      </w:r>
      <w:r w:rsidR="00F32B28">
        <w:rPr>
          <w:rtl/>
        </w:rPr>
        <w:t xml:space="preserve"> </w:t>
      </w:r>
      <w:r w:rsidR="00F32B28" w:rsidRPr="00F32B28">
        <w:rPr>
          <w:rtl/>
        </w:rPr>
        <w:t>شاركت</w:t>
      </w:r>
      <w:r w:rsidR="00F32B28">
        <w:rPr>
          <w:rtl/>
        </w:rPr>
        <w:t xml:space="preserve"> </w:t>
      </w:r>
      <w:r w:rsidR="00F32B28" w:rsidRPr="00F32B28">
        <w:rPr>
          <w:rtl/>
        </w:rPr>
        <w:t>(66)</w:t>
      </w:r>
      <w:r w:rsidR="00F32B28">
        <w:rPr>
          <w:rtl/>
        </w:rPr>
        <w:t xml:space="preserve"> </w:t>
      </w:r>
      <w:r w:rsidR="00F32B28" w:rsidRPr="00F32B28">
        <w:rPr>
          <w:rtl/>
        </w:rPr>
        <w:t>امرأة</w:t>
      </w:r>
      <w:r w:rsidR="00F32B28">
        <w:rPr>
          <w:rtl/>
        </w:rPr>
        <w:t xml:space="preserve"> </w:t>
      </w:r>
      <w:r w:rsidR="00F32B28" w:rsidRPr="00F32B28">
        <w:rPr>
          <w:rtl/>
        </w:rPr>
        <w:t>فلسطينية،</w:t>
      </w:r>
      <w:r w:rsidR="00F32B28">
        <w:rPr>
          <w:rtl/>
        </w:rPr>
        <w:t xml:space="preserve"> </w:t>
      </w:r>
      <w:r w:rsidR="00F32B28" w:rsidRPr="00F32B28">
        <w:rPr>
          <w:rtl/>
        </w:rPr>
        <w:t>من</w:t>
      </w:r>
      <w:r w:rsidR="00F32B28">
        <w:rPr>
          <w:rtl/>
        </w:rPr>
        <w:t xml:space="preserve"> </w:t>
      </w:r>
      <w:r w:rsidR="00F32B28" w:rsidRPr="00F32B28">
        <w:rPr>
          <w:rtl/>
        </w:rPr>
        <w:t>أصل</w:t>
      </w:r>
      <w:r w:rsidR="00F32B28">
        <w:rPr>
          <w:rtl/>
        </w:rPr>
        <w:t xml:space="preserve"> </w:t>
      </w:r>
      <w:r w:rsidR="00F32B28" w:rsidRPr="00F32B28">
        <w:rPr>
          <w:rtl/>
        </w:rPr>
        <w:t>366</w:t>
      </w:r>
      <w:r w:rsidR="00F32B28">
        <w:rPr>
          <w:rtl/>
        </w:rPr>
        <w:t xml:space="preserve"> </w:t>
      </w:r>
      <w:r w:rsidR="00F32B28" w:rsidRPr="00F32B28">
        <w:rPr>
          <w:rtl/>
        </w:rPr>
        <w:t>مشاركاً،</w:t>
      </w:r>
      <w:r w:rsidR="00F32B28">
        <w:rPr>
          <w:rtl/>
        </w:rPr>
        <w:t xml:space="preserve"> </w:t>
      </w:r>
      <w:r w:rsidR="00F32B28" w:rsidRPr="00F32B28">
        <w:rPr>
          <w:rtl/>
        </w:rPr>
        <w:t>في</w:t>
      </w:r>
      <w:r w:rsidR="00F32B28">
        <w:rPr>
          <w:rtl/>
        </w:rPr>
        <w:t xml:space="preserve"> </w:t>
      </w:r>
      <w:r w:rsidR="00F32B28" w:rsidRPr="00F32B28">
        <w:rPr>
          <w:rtl/>
        </w:rPr>
        <w:t>عضوية</w:t>
      </w:r>
      <w:r w:rsidR="00F32B28">
        <w:rPr>
          <w:rtl/>
        </w:rPr>
        <w:t xml:space="preserve"> </w:t>
      </w:r>
      <w:r w:rsidR="00F32B28" w:rsidRPr="00F32B28">
        <w:rPr>
          <w:rtl/>
        </w:rPr>
        <w:t>طاقم</w:t>
      </w:r>
      <w:r w:rsidR="00F32B28">
        <w:rPr>
          <w:rtl/>
        </w:rPr>
        <w:t xml:space="preserve"> </w:t>
      </w:r>
      <w:r w:rsidR="00F32B28" w:rsidRPr="00F32B28">
        <w:rPr>
          <w:rtl/>
        </w:rPr>
        <w:t>شؤون</w:t>
      </w:r>
      <w:r w:rsidR="00F32B28">
        <w:rPr>
          <w:rtl/>
        </w:rPr>
        <w:t xml:space="preserve"> </w:t>
      </w:r>
      <w:r w:rsidR="00F32B28" w:rsidRPr="00F32B28">
        <w:rPr>
          <w:rtl/>
        </w:rPr>
        <w:t>المفاوضات</w:t>
      </w:r>
      <w:r w:rsidR="00F32B28">
        <w:rPr>
          <w:rtl/>
        </w:rPr>
        <w:t xml:space="preserve"> </w:t>
      </w:r>
      <w:r w:rsidR="00F32B28" w:rsidRPr="00F32B28">
        <w:rPr>
          <w:rtl/>
        </w:rPr>
        <w:t>في</w:t>
      </w:r>
      <w:r w:rsidR="00F32B28">
        <w:rPr>
          <w:rtl/>
        </w:rPr>
        <w:t xml:space="preserve"> </w:t>
      </w:r>
      <w:r w:rsidR="00F32B28" w:rsidRPr="00F32B28">
        <w:rPr>
          <w:rtl/>
        </w:rPr>
        <w:t>مؤتمر</w:t>
      </w:r>
      <w:r w:rsidR="00F32B28">
        <w:rPr>
          <w:rtl/>
        </w:rPr>
        <w:t xml:space="preserve"> </w:t>
      </w:r>
      <w:r w:rsidR="00F32B28" w:rsidRPr="00F32B28">
        <w:rPr>
          <w:rtl/>
        </w:rPr>
        <w:t>مدريد</w:t>
      </w:r>
      <w:r w:rsidR="00F32B28">
        <w:rPr>
          <w:rtl/>
        </w:rPr>
        <w:t xml:space="preserve"> </w:t>
      </w:r>
      <w:r w:rsidR="00F32B28" w:rsidRPr="00F32B28">
        <w:rPr>
          <w:rtl/>
        </w:rPr>
        <w:t>في</w:t>
      </w:r>
      <w:r w:rsidR="00F32B28">
        <w:rPr>
          <w:rtl/>
        </w:rPr>
        <w:t xml:space="preserve"> </w:t>
      </w:r>
      <w:r w:rsidR="00F32B28" w:rsidRPr="00F32B28">
        <w:rPr>
          <w:rtl/>
        </w:rPr>
        <w:t>سنة</w:t>
      </w:r>
      <w:r w:rsidR="00F32B28">
        <w:rPr>
          <w:rtl/>
        </w:rPr>
        <w:t xml:space="preserve"> </w:t>
      </w:r>
      <w:r w:rsidR="00F32B28" w:rsidRPr="00F32B28">
        <w:rPr>
          <w:rtl/>
        </w:rPr>
        <w:t>1996.</w:t>
      </w:r>
      <w:r w:rsidR="00F32B28">
        <w:rPr>
          <w:rtl/>
        </w:rPr>
        <w:t xml:space="preserve"> </w:t>
      </w:r>
    </w:p>
    <w:p w:rsidR="00F32B28" w:rsidRPr="00F32B28" w:rsidRDefault="00A43875" w:rsidP="00A43875">
      <w:pPr>
        <w:pStyle w:val="SingleTxt"/>
        <w:rPr>
          <w:rtl/>
        </w:rPr>
      </w:pPr>
      <w:r>
        <w:rPr>
          <w:rFonts w:hint="cs"/>
          <w:rtl/>
          <w:lang w:bidi="ar-LB"/>
        </w:rPr>
        <w:t xml:space="preserve">130 - </w:t>
      </w:r>
      <w:r w:rsidR="00F32B28" w:rsidRPr="00F32B28">
        <w:rPr>
          <w:rtl/>
          <w:lang w:bidi="ar-LB"/>
        </w:rPr>
        <w:t>وقد</w:t>
      </w:r>
      <w:r w:rsidR="00F32B28">
        <w:rPr>
          <w:rtl/>
          <w:lang w:bidi="ar-LB"/>
        </w:rPr>
        <w:t xml:space="preserve"> </w:t>
      </w:r>
      <w:r w:rsidR="00F32B28" w:rsidRPr="00F32B28">
        <w:rPr>
          <w:rtl/>
          <w:lang w:bidi="ar-LB"/>
        </w:rPr>
        <w:t>لوحظ</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الآونة</w:t>
      </w:r>
      <w:r w:rsidR="00F32B28">
        <w:rPr>
          <w:rtl/>
          <w:lang w:bidi="ar-LB"/>
        </w:rPr>
        <w:t xml:space="preserve"> </w:t>
      </w:r>
      <w:r w:rsidR="00F32B28" w:rsidRPr="00F32B28">
        <w:rPr>
          <w:rtl/>
          <w:lang w:bidi="ar-LB"/>
        </w:rPr>
        <w:t>الأخيرة</w:t>
      </w:r>
      <w:r w:rsidR="00F32B28">
        <w:rPr>
          <w:rtl/>
          <w:lang w:bidi="ar-LB"/>
        </w:rPr>
        <w:t xml:space="preserve"> </w:t>
      </w:r>
      <w:r w:rsidR="00F32B28" w:rsidRPr="00F32B28">
        <w:rPr>
          <w:rtl/>
          <w:lang w:bidi="ar-LB"/>
        </w:rPr>
        <w:t>ازدياد</w:t>
      </w:r>
      <w:r w:rsidR="00F32B28">
        <w:rPr>
          <w:rtl/>
          <w:lang w:bidi="ar-LB"/>
        </w:rPr>
        <w:t xml:space="preserve"> </w:t>
      </w:r>
      <w:r w:rsidR="00F32B28" w:rsidRPr="00F32B28">
        <w:rPr>
          <w:rtl/>
          <w:lang w:bidi="ar-LB"/>
        </w:rPr>
        <w:t>دخول</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السلك</w:t>
      </w:r>
      <w:r w:rsidR="00F32B28">
        <w:rPr>
          <w:rtl/>
          <w:lang w:bidi="ar-LB"/>
        </w:rPr>
        <w:t xml:space="preserve"> </w:t>
      </w:r>
      <w:r w:rsidR="00F32B28" w:rsidRPr="00F32B28">
        <w:rPr>
          <w:rtl/>
          <w:lang w:bidi="ar-LB"/>
        </w:rPr>
        <w:t>الدبلوماسي</w:t>
      </w:r>
      <w:r w:rsidR="00F32B28">
        <w:rPr>
          <w:rtl/>
          <w:lang w:bidi="ar-LB"/>
        </w:rPr>
        <w:t xml:space="preserve"> </w:t>
      </w:r>
      <w:r w:rsidR="00F32B28" w:rsidRPr="00F32B28">
        <w:rPr>
          <w:rtl/>
          <w:lang w:bidi="ar-LB"/>
        </w:rPr>
        <w:t>والقنصلي،</w:t>
      </w:r>
      <w:r w:rsidR="00F32B28">
        <w:rPr>
          <w:rtl/>
          <w:lang w:bidi="ar-LB"/>
        </w:rPr>
        <w:t xml:space="preserve"> </w:t>
      </w:r>
      <w:r w:rsidR="00F32B28" w:rsidRPr="00F32B28">
        <w:rPr>
          <w:rtl/>
          <w:lang w:bidi="ar-LB"/>
        </w:rPr>
        <w:t>والعمل</w:t>
      </w:r>
      <w:r w:rsidR="00F32B28">
        <w:rPr>
          <w:rtl/>
          <w:lang w:bidi="ar-LB"/>
        </w:rPr>
        <w:t xml:space="preserve"> </w:t>
      </w:r>
      <w:r w:rsidR="00F32B28" w:rsidRPr="00F32B28">
        <w:rPr>
          <w:rtl/>
          <w:lang w:bidi="ar-LB"/>
        </w:rPr>
        <w:t>الدولي</w:t>
      </w:r>
      <w:r w:rsidR="00F32B28">
        <w:rPr>
          <w:rtl/>
          <w:lang w:bidi="ar-LB"/>
        </w:rPr>
        <w:t xml:space="preserve"> </w:t>
      </w:r>
      <w:r w:rsidR="00F32B28" w:rsidRPr="00F32B28">
        <w:rPr>
          <w:rtl/>
          <w:lang w:bidi="ar-LB"/>
        </w:rPr>
        <w:t>بشكل</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فقد</w:t>
      </w:r>
      <w:r w:rsidR="00F32B28">
        <w:rPr>
          <w:rtl/>
          <w:lang w:bidi="ar-LB"/>
        </w:rPr>
        <w:t xml:space="preserve"> </w:t>
      </w:r>
      <w:r w:rsidR="00F32B28" w:rsidRPr="00F32B28">
        <w:rPr>
          <w:rtl/>
          <w:lang w:bidi="ar-LB"/>
        </w:rPr>
        <w:t>بلغت</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الإناث</w:t>
      </w:r>
      <w:r w:rsidR="00F32B28">
        <w:rPr>
          <w:rtl/>
          <w:lang w:bidi="ar-LB"/>
        </w:rPr>
        <w:t xml:space="preserve"> </w:t>
      </w:r>
      <w:r w:rsidR="00F32B28" w:rsidRPr="00F32B28">
        <w:rPr>
          <w:rtl/>
          <w:lang w:bidi="ar-LB"/>
        </w:rPr>
        <w:t>العاملات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الخارجية</w:t>
      </w:r>
      <w:r w:rsidR="00F32B28">
        <w:rPr>
          <w:rtl/>
          <w:lang w:bidi="ar-LB"/>
        </w:rPr>
        <w:t xml:space="preserve"> </w:t>
      </w:r>
      <w:r w:rsidR="00F32B28" w:rsidRPr="00F32B28">
        <w:rPr>
          <w:rtl/>
          <w:lang w:bidi="ar-LB"/>
        </w:rPr>
        <w:t>للعام</w:t>
      </w:r>
      <w:r w:rsidR="00F32B28">
        <w:rPr>
          <w:rtl/>
          <w:lang w:bidi="ar-LB"/>
        </w:rPr>
        <w:t xml:space="preserve"> </w:t>
      </w:r>
      <w:r w:rsidR="00F32B28" w:rsidRPr="00F32B28">
        <w:rPr>
          <w:rtl/>
          <w:lang w:bidi="ar-LB"/>
        </w:rPr>
        <w:t>2013</w:t>
      </w:r>
      <w:r w:rsidR="00F32B28">
        <w:rPr>
          <w:rtl/>
          <w:lang w:bidi="ar-LB"/>
        </w:rPr>
        <w:t xml:space="preserve"> </w:t>
      </w:r>
      <w:r w:rsidR="00F32B28" w:rsidRPr="00F32B28">
        <w:rPr>
          <w:rtl/>
          <w:lang w:bidi="ar-LB"/>
        </w:rPr>
        <w:t>(28</w:t>
      </w:r>
      <w:r w:rsidR="00851F93">
        <w:rPr>
          <w:rFonts w:hint="cs"/>
          <w:rtl/>
          <w:lang w:bidi="ar-LB"/>
        </w:rPr>
        <w:t xml:space="preserve"> </w:t>
      </w:r>
      <w:r w:rsidR="00600C43">
        <w:rPr>
          <w:rtl/>
          <w:lang w:bidi="ar-LB"/>
        </w:rPr>
        <w:t>في المائة</w:t>
      </w:r>
      <w:r w:rsidR="00F32B28" w:rsidRPr="00F32B28">
        <w:rPr>
          <w:rtl/>
          <w:lang w:bidi="ar-LB"/>
        </w:rPr>
        <w:t>)</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مجموع</w:t>
      </w:r>
      <w:r w:rsidR="00F32B28">
        <w:rPr>
          <w:rtl/>
          <w:lang w:bidi="ar-LB"/>
        </w:rPr>
        <w:t xml:space="preserve"> </w:t>
      </w:r>
      <w:r w:rsidR="00F32B28" w:rsidRPr="00F32B28">
        <w:rPr>
          <w:rtl/>
          <w:lang w:bidi="ar-LB"/>
        </w:rPr>
        <w:t>العاملين،</w:t>
      </w:r>
      <w:r w:rsidR="00F32B28">
        <w:rPr>
          <w:rtl/>
          <w:lang w:bidi="ar-LB"/>
        </w:rPr>
        <w:t xml:space="preserve"> </w:t>
      </w:r>
      <w:r w:rsidR="00F32B28" w:rsidRPr="00F32B28">
        <w:rPr>
          <w:rtl/>
          <w:lang w:bidi="ar-LB"/>
        </w:rPr>
        <w:t>وتبلغ</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الدبلوماسيات</w:t>
      </w:r>
      <w:r w:rsidR="00F32B28">
        <w:rPr>
          <w:rtl/>
          <w:lang w:bidi="ar-LB"/>
        </w:rPr>
        <w:t xml:space="preserve"> </w:t>
      </w:r>
      <w:r w:rsidR="00F32B28" w:rsidRPr="00F32B28">
        <w:rPr>
          <w:rtl/>
          <w:lang w:bidi="ar-LB"/>
        </w:rPr>
        <w:t>منهن</w:t>
      </w:r>
      <w:r w:rsidR="00F32B28">
        <w:rPr>
          <w:rtl/>
          <w:lang w:bidi="ar-LB"/>
        </w:rPr>
        <w:t xml:space="preserve"> </w:t>
      </w:r>
      <w:r w:rsidR="00F32B28" w:rsidRPr="00F32B28">
        <w:rPr>
          <w:rtl/>
          <w:lang w:bidi="ar-LB"/>
        </w:rPr>
        <w:t>(4</w:t>
      </w:r>
      <w:r w:rsidR="00851F93">
        <w:rPr>
          <w:rFonts w:hint="cs"/>
          <w:rtl/>
          <w:lang w:bidi="ar-LB"/>
        </w:rPr>
        <w:t xml:space="preserve"> </w:t>
      </w:r>
      <w:r w:rsidR="00600C43">
        <w:rPr>
          <w:rtl/>
          <w:lang w:bidi="ar-LB"/>
        </w:rPr>
        <w:t>في المائة</w:t>
      </w:r>
      <w:r w:rsidR="00F32B28" w:rsidRPr="00F32B28">
        <w:rPr>
          <w:rtl/>
          <w:lang w:bidi="ar-LB"/>
        </w:rPr>
        <w:t>)</w:t>
      </w:r>
      <w:r w:rsidR="00F32B28">
        <w:rPr>
          <w:rtl/>
          <w:lang w:bidi="ar-LB"/>
        </w:rPr>
        <w:t xml:space="preserve"> </w:t>
      </w:r>
      <w:r w:rsidR="00F32B28" w:rsidRPr="00F32B28">
        <w:rPr>
          <w:rtl/>
          <w:lang w:bidi="ar-LB"/>
        </w:rPr>
        <w:t>لنفس</w:t>
      </w:r>
      <w:r w:rsidR="00F32B28">
        <w:rPr>
          <w:rtl/>
          <w:lang w:bidi="ar-LB"/>
        </w:rPr>
        <w:t xml:space="preserve"> </w:t>
      </w:r>
      <w:r w:rsidR="00F32B28" w:rsidRPr="00F32B28">
        <w:rPr>
          <w:rtl/>
          <w:lang w:bidi="ar-LB"/>
        </w:rPr>
        <w:t>العام.</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بلغ</w:t>
      </w:r>
      <w:r w:rsidR="00F32B28">
        <w:rPr>
          <w:rtl/>
          <w:lang w:bidi="ar-LB"/>
        </w:rPr>
        <w:t xml:space="preserve"> </w:t>
      </w:r>
      <w:r w:rsidR="00F32B28" w:rsidRPr="00F32B28">
        <w:rPr>
          <w:rtl/>
          <w:lang w:bidi="ar-LB"/>
        </w:rPr>
        <w:t>عدد</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العاملات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السفارات</w:t>
      </w:r>
      <w:r w:rsidR="00F32B28">
        <w:rPr>
          <w:rtl/>
          <w:lang w:bidi="ar-LB"/>
        </w:rPr>
        <w:t xml:space="preserve"> </w:t>
      </w:r>
      <w:r w:rsidR="00F32B28" w:rsidRPr="00F32B28">
        <w:rPr>
          <w:rtl/>
          <w:lang w:bidi="ar-LB"/>
        </w:rPr>
        <w:t>والممثليات</w:t>
      </w:r>
      <w:r w:rsidR="00F32B28">
        <w:rPr>
          <w:rtl/>
          <w:lang w:bidi="ar-LB"/>
        </w:rPr>
        <w:t xml:space="preserve"> </w:t>
      </w:r>
      <w:r w:rsidR="00F32B28" w:rsidRPr="00F32B28">
        <w:rPr>
          <w:rtl/>
          <w:lang w:bidi="ar-LB"/>
        </w:rPr>
        <w:t>التابعة</w:t>
      </w:r>
      <w:r w:rsidR="00F32B28">
        <w:rPr>
          <w:rtl/>
          <w:lang w:bidi="ar-LB"/>
        </w:rPr>
        <w:t xml:space="preserve"> </w:t>
      </w:r>
      <w:r w:rsidR="00F32B28" w:rsidRPr="00F32B28">
        <w:rPr>
          <w:rtl/>
          <w:lang w:bidi="ar-LB"/>
        </w:rPr>
        <w:t>لدولة</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(44)</w:t>
      </w:r>
      <w:r w:rsidR="00F32B28">
        <w:rPr>
          <w:rtl/>
          <w:lang w:bidi="ar-LB"/>
        </w:rPr>
        <w:t xml:space="preserve"> </w:t>
      </w:r>
      <w:r w:rsidR="00F32B28" w:rsidRPr="00F32B28">
        <w:rPr>
          <w:rtl/>
          <w:lang w:bidi="ar-LB"/>
        </w:rPr>
        <w:t>امرأة،</w:t>
      </w:r>
      <w:r w:rsidR="00F32B28">
        <w:rPr>
          <w:rtl/>
          <w:lang w:bidi="ar-LB"/>
        </w:rPr>
        <w:t xml:space="preserve"> </w:t>
      </w:r>
      <w:r w:rsidR="00F32B28" w:rsidRPr="00F32B28">
        <w:rPr>
          <w:rtl/>
          <w:lang w:bidi="ar-LB"/>
        </w:rPr>
        <w:t>وسفيرتان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مقر</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الخارجية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و</w:t>
      </w:r>
      <w:r w:rsidR="004B33D7">
        <w:rPr>
          <w:rFonts w:hint="cs"/>
          <w:rtl/>
          <w:lang w:bidi="ar-LB"/>
        </w:rPr>
        <w:t xml:space="preserve"> </w:t>
      </w:r>
      <w:r w:rsidR="00F32B28" w:rsidRPr="00F32B28">
        <w:rPr>
          <w:rtl/>
          <w:lang w:bidi="ar-LB"/>
        </w:rPr>
        <w:t>(4)</w:t>
      </w:r>
      <w:r w:rsidR="00F32B28">
        <w:rPr>
          <w:rtl/>
          <w:lang w:bidi="ar-LB"/>
        </w:rPr>
        <w:t xml:space="preserve"> </w:t>
      </w:r>
      <w:r w:rsidR="00F32B28" w:rsidRPr="00F32B28">
        <w:rPr>
          <w:rtl/>
          <w:lang w:bidi="ar-LB"/>
        </w:rPr>
        <w:t>سفيرات</w:t>
      </w:r>
      <w:r w:rsidR="00F32B28">
        <w:rPr>
          <w:rtl/>
          <w:lang w:bidi="ar-LB"/>
        </w:rPr>
        <w:t xml:space="preserve"> </w:t>
      </w:r>
      <w:r w:rsidR="00F32B28" w:rsidRPr="00F32B28">
        <w:rPr>
          <w:rtl/>
          <w:lang w:bidi="ar-LB"/>
        </w:rPr>
        <w:t>فلسطينيات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الخارج،</w:t>
      </w:r>
      <w:r w:rsidR="00F32B28">
        <w:rPr>
          <w:rtl/>
          <w:lang w:bidi="ar-LB"/>
        </w:rPr>
        <w:t xml:space="preserve"> </w:t>
      </w:r>
      <w:r w:rsidR="00F32B28" w:rsidRPr="00F32B28">
        <w:rPr>
          <w:rtl/>
          <w:lang w:bidi="ar-LB"/>
        </w:rPr>
        <w:t>وتقوم</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الخارجية</w:t>
      </w:r>
      <w:r w:rsidR="00F32B28">
        <w:rPr>
          <w:rtl/>
          <w:lang w:bidi="ar-LB"/>
        </w:rPr>
        <w:t xml:space="preserve"> </w:t>
      </w:r>
      <w:r w:rsidR="00F32B28" w:rsidRPr="00F32B28">
        <w:rPr>
          <w:rtl/>
          <w:lang w:bidi="ar-LB"/>
        </w:rPr>
        <w:t>بتنظيم</w:t>
      </w:r>
      <w:r w:rsidR="00F32B28">
        <w:rPr>
          <w:rtl/>
          <w:lang w:bidi="ar-LB"/>
        </w:rPr>
        <w:t xml:space="preserve"> </w:t>
      </w:r>
      <w:r w:rsidR="00F32B28" w:rsidRPr="00F32B28">
        <w:rPr>
          <w:rtl/>
          <w:lang w:bidi="ar-LB"/>
        </w:rPr>
        <w:t>وتنفيذ</w:t>
      </w:r>
      <w:r w:rsidR="00F32B28">
        <w:rPr>
          <w:rtl/>
          <w:lang w:bidi="ar-LB"/>
        </w:rPr>
        <w:t xml:space="preserve"> </w:t>
      </w:r>
      <w:r w:rsidR="00F32B28" w:rsidRPr="00F32B28">
        <w:rPr>
          <w:rtl/>
          <w:lang w:bidi="ar-LB"/>
        </w:rPr>
        <w:t>العديد</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برامج</w:t>
      </w:r>
      <w:r w:rsidR="00F32B28">
        <w:rPr>
          <w:rtl/>
          <w:lang w:bidi="ar-LB"/>
        </w:rPr>
        <w:t xml:space="preserve"> </w:t>
      </w:r>
      <w:r w:rsidR="00F32B28" w:rsidRPr="00F32B28">
        <w:rPr>
          <w:rtl/>
          <w:lang w:bidi="ar-LB"/>
        </w:rPr>
        <w:t>التدريب</w:t>
      </w:r>
      <w:r w:rsidR="00F32B28">
        <w:rPr>
          <w:rtl/>
          <w:lang w:bidi="ar-LB"/>
        </w:rPr>
        <w:t xml:space="preserve"> </w:t>
      </w:r>
      <w:r w:rsidR="00F32B28" w:rsidRPr="00F32B28">
        <w:rPr>
          <w:rtl/>
          <w:lang w:bidi="ar-LB"/>
        </w:rPr>
        <w:t>والتأهيل</w:t>
      </w:r>
      <w:r w:rsidR="00F32B28">
        <w:rPr>
          <w:rtl/>
          <w:lang w:bidi="ar-LB"/>
        </w:rPr>
        <w:t xml:space="preserve"> </w:t>
      </w:r>
      <w:r w:rsidR="00F32B28" w:rsidRPr="00F32B28">
        <w:rPr>
          <w:rtl/>
          <w:lang w:bidi="ar-LB"/>
        </w:rPr>
        <w:t>للعمل</w:t>
      </w:r>
      <w:r w:rsidR="00F32B28">
        <w:rPr>
          <w:rtl/>
          <w:lang w:bidi="ar-LB"/>
        </w:rPr>
        <w:t xml:space="preserve"> </w:t>
      </w:r>
      <w:r w:rsidR="00F32B28" w:rsidRPr="00F32B28">
        <w:rPr>
          <w:rtl/>
          <w:lang w:bidi="ar-LB"/>
        </w:rPr>
        <w:t>الدبلوماسي</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تستهدف</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وعلى</w:t>
      </w:r>
      <w:r w:rsidR="00F32B28">
        <w:rPr>
          <w:rtl/>
          <w:lang w:bidi="ar-LB"/>
        </w:rPr>
        <w:t xml:space="preserve"> </w:t>
      </w:r>
      <w:r w:rsidR="00F32B28" w:rsidRPr="00F32B28">
        <w:rPr>
          <w:rtl/>
          <w:lang w:bidi="ar-LB"/>
        </w:rPr>
        <w:t>قدم</w:t>
      </w:r>
      <w:r w:rsidR="00F32B28">
        <w:rPr>
          <w:rtl/>
          <w:lang w:bidi="ar-LB"/>
        </w:rPr>
        <w:t xml:space="preserve"> </w:t>
      </w:r>
      <w:r w:rsidR="00F32B28" w:rsidRPr="00F32B28">
        <w:rPr>
          <w:rtl/>
          <w:lang w:bidi="ar-LB"/>
        </w:rPr>
        <w:t>المساواة</w:t>
      </w:r>
      <w:r w:rsidR="00F32B28">
        <w:rPr>
          <w:rtl/>
          <w:lang w:bidi="ar-LB"/>
        </w:rPr>
        <w:t xml:space="preserve"> </w:t>
      </w:r>
      <w:r w:rsidR="00F32B28" w:rsidRPr="00F32B28">
        <w:rPr>
          <w:rtl/>
          <w:lang w:bidi="ar-LB"/>
        </w:rPr>
        <w:t>مع</w:t>
      </w:r>
      <w:r w:rsidR="00F32B28">
        <w:rPr>
          <w:rtl/>
          <w:lang w:bidi="ar-LB"/>
        </w:rPr>
        <w:t xml:space="preserve"> </w:t>
      </w:r>
      <w:r w:rsidR="00F32B28" w:rsidRPr="00F32B28">
        <w:rPr>
          <w:rtl/>
          <w:lang w:bidi="ar-LB"/>
        </w:rPr>
        <w:t>الرجل</w:t>
      </w:r>
      <w:r w:rsidR="00F32B28">
        <w:rPr>
          <w:rtl/>
          <w:lang w:bidi="ar-LB"/>
        </w:rPr>
        <w:t xml:space="preserve"> </w:t>
      </w:r>
      <w:r w:rsidR="00F32B28" w:rsidRPr="00F32B28">
        <w:rPr>
          <w:rtl/>
          <w:lang w:bidi="ar-LB"/>
        </w:rPr>
        <w:t>وتشجيعهن</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الانضمام</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السلك</w:t>
      </w:r>
      <w:r w:rsidR="00F32B28">
        <w:rPr>
          <w:rtl/>
          <w:lang w:bidi="ar-LB"/>
        </w:rPr>
        <w:t xml:space="preserve"> </w:t>
      </w:r>
      <w:r w:rsidR="00F32B28" w:rsidRPr="00F32B28">
        <w:rPr>
          <w:rtl/>
          <w:lang w:bidi="ar-LB"/>
        </w:rPr>
        <w:t>والالتحاق</w:t>
      </w:r>
      <w:r w:rsidR="00F32B28">
        <w:rPr>
          <w:rtl/>
          <w:lang w:bidi="ar-LB"/>
        </w:rPr>
        <w:t xml:space="preserve"> </w:t>
      </w:r>
      <w:r w:rsidR="00F32B28" w:rsidRPr="00F32B28">
        <w:rPr>
          <w:rtl/>
          <w:lang w:bidi="ar-LB"/>
        </w:rPr>
        <w:t>بوظائف</w:t>
      </w:r>
      <w:r w:rsidR="00F32B28">
        <w:rPr>
          <w:rtl/>
          <w:lang w:bidi="ar-LB"/>
        </w:rPr>
        <w:t xml:space="preserve"> </w:t>
      </w:r>
      <w:r w:rsidR="00F32B28" w:rsidRPr="00F32B28">
        <w:rPr>
          <w:rtl/>
          <w:lang w:bidi="ar-LB"/>
        </w:rPr>
        <w:t>الهيئات</w:t>
      </w:r>
      <w:r w:rsidR="00F32B28">
        <w:rPr>
          <w:rtl/>
          <w:lang w:bidi="ar-LB"/>
        </w:rPr>
        <w:t xml:space="preserve"> </w:t>
      </w:r>
      <w:r w:rsidR="00F32B28" w:rsidRPr="00F32B28">
        <w:rPr>
          <w:rtl/>
          <w:lang w:bidi="ar-LB"/>
        </w:rPr>
        <w:t>الدولية.</w:t>
      </w:r>
      <w:r w:rsidR="00F32B28">
        <w:rPr>
          <w:rtl/>
          <w:lang w:bidi="ar-LB"/>
        </w:rPr>
        <w:t xml:space="preserve"> </w:t>
      </w:r>
    </w:p>
    <w:p w:rsidR="00F32B28" w:rsidRPr="00F32B28" w:rsidRDefault="00A43875" w:rsidP="00A43875">
      <w:pPr>
        <w:pStyle w:val="SingleTxt"/>
        <w:rPr>
          <w:rtl/>
        </w:rPr>
      </w:pPr>
      <w:r>
        <w:rPr>
          <w:rFonts w:hint="cs"/>
          <w:rtl/>
        </w:rPr>
        <w:t xml:space="preserve">131 - </w:t>
      </w:r>
      <w:r w:rsidR="00F32B28" w:rsidRPr="00F32B28">
        <w:rPr>
          <w:rtl/>
        </w:rPr>
        <w:t>كما</w:t>
      </w:r>
      <w:r w:rsidR="00F32B28">
        <w:rPr>
          <w:rtl/>
        </w:rPr>
        <w:t xml:space="preserve"> </w:t>
      </w:r>
      <w:r w:rsidR="00F32B28" w:rsidRPr="00F32B28">
        <w:rPr>
          <w:rtl/>
        </w:rPr>
        <w:t>بلغت</w:t>
      </w:r>
      <w:r w:rsidR="00F32B28">
        <w:rPr>
          <w:rtl/>
        </w:rPr>
        <w:t xml:space="preserve"> </w:t>
      </w:r>
      <w:r w:rsidR="00F32B28" w:rsidRPr="00F32B28">
        <w:rPr>
          <w:rtl/>
        </w:rPr>
        <w:t>نسبة</w:t>
      </w:r>
      <w:r w:rsidR="00F32B28">
        <w:rPr>
          <w:rtl/>
        </w:rPr>
        <w:t xml:space="preserve"> </w:t>
      </w:r>
      <w:r w:rsidR="00F32B28" w:rsidRPr="00F32B28">
        <w:rPr>
          <w:rtl/>
        </w:rPr>
        <w:t>تمثيل</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الأهلي</w:t>
      </w:r>
      <w:r w:rsidR="00F32B28">
        <w:rPr>
          <w:rtl/>
        </w:rPr>
        <w:t xml:space="preserve"> </w:t>
      </w:r>
      <w:r w:rsidR="00F32B28" w:rsidRPr="00F32B28">
        <w:rPr>
          <w:rtl/>
        </w:rPr>
        <w:t>42</w:t>
      </w:r>
      <w:r w:rsidR="00851F93">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إجمالي</w:t>
      </w:r>
      <w:r w:rsidR="00F32B28">
        <w:rPr>
          <w:rtl/>
        </w:rPr>
        <w:t xml:space="preserve"> </w:t>
      </w:r>
      <w:r w:rsidR="00F32B28" w:rsidRPr="00F32B28">
        <w:rPr>
          <w:rtl/>
        </w:rPr>
        <w:t>عدد</w:t>
      </w:r>
      <w:r w:rsidR="00F32B28">
        <w:rPr>
          <w:rtl/>
        </w:rPr>
        <w:t xml:space="preserve"> </w:t>
      </w:r>
      <w:r w:rsidR="00F32B28" w:rsidRPr="00F32B28">
        <w:rPr>
          <w:rtl/>
        </w:rPr>
        <w:t>العاملين</w:t>
      </w:r>
      <w:r w:rsidR="00F32B28">
        <w:rPr>
          <w:rtl/>
        </w:rPr>
        <w:t xml:space="preserve"> </w:t>
      </w:r>
      <w:r w:rsidR="00F32B28" w:rsidRPr="00F32B28">
        <w:rPr>
          <w:rtl/>
        </w:rPr>
        <w:t>في</w:t>
      </w:r>
      <w:r w:rsidR="00F32B28">
        <w:rPr>
          <w:rtl/>
        </w:rPr>
        <w:t xml:space="preserve"> </w:t>
      </w:r>
      <w:r w:rsidR="00F32B28" w:rsidRPr="00F32B28">
        <w:rPr>
          <w:rtl/>
        </w:rPr>
        <w:t>هذا</w:t>
      </w:r>
      <w:r w:rsidR="00F32B28">
        <w:rPr>
          <w:rtl/>
        </w:rPr>
        <w:t xml:space="preserve"> </w:t>
      </w:r>
      <w:r w:rsidR="00F32B28" w:rsidRPr="00F32B28">
        <w:rPr>
          <w:rtl/>
        </w:rPr>
        <w:t>القطاع،</w:t>
      </w:r>
      <w:r w:rsidR="00F32B28">
        <w:rPr>
          <w:rtl/>
        </w:rPr>
        <w:t xml:space="preserve"> </w:t>
      </w:r>
      <w:r w:rsidR="00F32B28" w:rsidRPr="00F32B28">
        <w:rPr>
          <w:rtl/>
        </w:rPr>
        <w:t>النسبة</w:t>
      </w:r>
      <w:r w:rsidR="00F32B28">
        <w:rPr>
          <w:rtl/>
        </w:rPr>
        <w:t xml:space="preserve"> </w:t>
      </w:r>
      <w:r w:rsidR="00F32B28" w:rsidRPr="00F32B28">
        <w:rPr>
          <w:rtl/>
        </w:rPr>
        <w:t>التي</w:t>
      </w:r>
      <w:r w:rsidR="00F32B28">
        <w:rPr>
          <w:rtl/>
        </w:rPr>
        <w:t xml:space="preserve"> </w:t>
      </w:r>
      <w:r w:rsidR="00F32B28" w:rsidRPr="00F32B28">
        <w:rPr>
          <w:rtl/>
        </w:rPr>
        <w:t>تصل</w:t>
      </w:r>
      <w:r w:rsidR="00F32B28">
        <w:rPr>
          <w:rtl/>
        </w:rPr>
        <w:t xml:space="preserve"> </w:t>
      </w:r>
      <w:r w:rsidR="00F32B28" w:rsidRPr="00F32B28">
        <w:rPr>
          <w:rtl/>
        </w:rPr>
        <w:t>تقريباً</w:t>
      </w:r>
      <w:r w:rsidR="00F32B28">
        <w:rPr>
          <w:rtl/>
        </w:rPr>
        <w:t xml:space="preserve"> </w:t>
      </w:r>
      <w:r w:rsidR="00F32B28" w:rsidRPr="00F32B28">
        <w:rPr>
          <w:rtl/>
        </w:rPr>
        <w:t>إلى</w:t>
      </w:r>
      <w:r w:rsidR="00F32B28">
        <w:rPr>
          <w:rtl/>
        </w:rPr>
        <w:t xml:space="preserve"> </w:t>
      </w:r>
      <w:r w:rsidR="00F32B28" w:rsidRPr="00F32B28">
        <w:rPr>
          <w:rtl/>
        </w:rPr>
        <w:t>ضعف</w:t>
      </w:r>
      <w:r w:rsidR="00F32B28">
        <w:rPr>
          <w:rtl/>
        </w:rPr>
        <w:t xml:space="preserve"> </w:t>
      </w:r>
      <w:r w:rsidR="00F32B28" w:rsidRPr="00F32B28">
        <w:rPr>
          <w:rtl/>
        </w:rPr>
        <w:t>مشاركتها</w:t>
      </w:r>
      <w:r w:rsidR="00F32B28">
        <w:rPr>
          <w:rtl/>
        </w:rPr>
        <w:t xml:space="preserve"> </w:t>
      </w:r>
      <w:r w:rsidR="00F32B28" w:rsidRPr="00F32B28">
        <w:rPr>
          <w:rtl/>
        </w:rPr>
        <w:t>في</w:t>
      </w:r>
      <w:r w:rsidR="00F32B28">
        <w:rPr>
          <w:rtl/>
        </w:rPr>
        <w:t xml:space="preserve"> </w:t>
      </w:r>
      <w:r w:rsidR="00F32B28" w:rsidRPr="00F32B28">
        <w:rPr>
          <w:rtl/>
        </w:rPr>
        <w:t>سوق</w:t>
      </w:r>
      <w:r w:rsidR="00F32B28">
        <w:rPr>
          <w:rtl/>
        </w:rPr>
        <w:t xml:space="preserve"> </w:t>
      </w:r>
      <w:r w:rsidR="00F32B28" w:rsidRPr="00F32B28">
        <w:rPr>
          <w:rtl/>
        </w:rPr>
        <w:t>العمل</w:t>
      </w:r>
      <w:r w:rsidR="00F32B28">
        <w:rPr>
          <w:rtl/>
        </w:rPr>
        <w:t xml:space="preserve"> </w:t>
      </w:r>
      <w:r w:rsidR="00F32B28" w:rsidRPr="00F32B28">
        <w:rPr>
          <w:rtl/>
        </w:rPr>
        <w:t>بشكل</w:t>
      </w:r>
      <w:r w:rsidR="00F32B28">
        <w:rPr>
          <w:rtl/>
        </w:rPr>
        <w:t xml:space="preserve"> </w:t>
      </w:r>
      <w:r w:rsidR="00F32B28" w:rsidRPr="00F32B28">
        <w:rPr>
          <w:rtl/>
        </w:rPr>
        <w:t>عام،</w:t>
      </w:r>
      <w:r w:rsidR="00F32B28">
        <w:rPr>
          <w:rtl/>
        </w:rPr>
        <w:t xml:space="preserve"> </w:t>
      </w:r>
      <w:r w:rsidR="00F32B28" w:rsidRPr="00F32B28">
        <w:rPr>
          <w:rtl/>
        </w:rPr>
        <w:t>ولعل</w:t>
      </w:r>
      <w:r w:rsidR="00F32B28">
        <w:rPr>
          <w:rtl/>
        </w:rPr>
        <w:t xml:space="preserve"> </w:t>
      </w:r>
      <w:r w:rsidR="00F32B28" w:rsidRPr="00F32B28">
        <w:rPr>
          <w:rtl/>
        </w:rPr>
        <w:t>ذلك</w:t>
      </w:r>
      <w:r w:rsidR="00F32B28">
        <w:rPr>
          <w:rtl/>
        </w:rPr>
        <w:t xml:space="preserve"> </w:t>
      </w:r>
      <w:r w:rsidR="00F32B28" w:rsidRPr="00F32B28">
        <w:rPr>
          <w:rtl/>
        </w:rPr>
        <w:t>مرده</w:t>
      </w:r>
      <w:r w:rsidR="00F32B28">
        <w:rPr>
          <w:rtl/>
        </w:rPr>
        <w:t xml:space="preserve"> </w:t>
      </w:r>
      <w:r w:rsidR="00F32B28" w:rsidRPr="00F32B28">
        <w:rPr>
          <w:rtl/>
        </w:rPr>
        <w:t>إلى</w:t>
      </w:r>
      <w:r w:rsidR="00F32B28">
        <w:rPr>
          <w:rtl/>
        </w:rPr>
        <w:t xml:space="preserve"> </w:t>
      </w:r>
      <w:r w:rsidR="00F32B28" w:rsidRPr="00F32B28">
        <w:rPr>
          <w:rtl/>
        </w:rPr>
        <w:t>طبيعة</w:t>
      </w:r>
      <w:r w:rsidR="00F32B28">
        <w:rPr>
          <w:rtl/>
        </w:rPr>
        <w:t xml:space="preserve"> </w:t>
      </w:r>
      <w:r w:rsidR="00F32B28" w:rsidRPr="00F32B28">
        <w:rPr>
          <w:rtl/>
        </w:rPr>
        <w:t>عمل</w:t>
      </w:r>
      <w:r w:rsidR="00F32B28">
        <w:rPr>
          <w:rtl/>
        </w:rPr>
        <w:t xml:space="preserve"> </w:t>
      </w:r>
      <w:r w:rsidR="00F32B28" w:rsidRPr="00F32B28">
        <w:rPr>
          <w:rtl/>
        </w:rPr>
        <w:t>هذا</w:t>
      </w:r>
      <w:r w:rsidR="00F32B28">
        <w:rPr>
          <w:rtl/>
        </w:rPr>
        <w:t xml:space="preserve"> </w:t>
      </w:r>
      <w:r w:rsidR="00F32B28" w:rsidRPr="00F32B28">
        <w:rPr>
          <w:rtl/>
        </w:rPr>
        <w:t>القطاع</w:t>
      </w:r>
      <w:r w:rsidR="00F32B28">
        <w:rPr>
          <w:rtl/>
        </w:rPr>
        <w:t xml:space="preserve"> </w:t>
      </w:r>
      <w:r w:rsidR="00F32B28" w:rsidRPr="00F32B28">
        <w:rPr>
          <w:rtl/>
        </w:rPr>
        <w:t>كونه</w:t>
      </w:r>
      <w:r w:rsidR="00F32B28">
        <w:rPr>
          <w:rtl/>
        </w:rPr>
        <w:t xml:space="preserve"> </w:t>
      </w:r>
      <w:r w:rsidR="00F32B28" w:rsidRPr="00F32B28">
        <w:rPr>
          <w:rtl/>
        </w:rPr>
        <w:t>الأكثر</w:t>
      </w:r>
      <w:r w:rsidR="00F32B28">
        <w:rPr>
          <w:rtl/>
        </w:rPr>
        <w:t xml:space="preserve"> </w:t>
      </w:r>
      <w:r w:rsidR="00F32B28" w:rsidRPr="00F32B28">
        <w:rPr>
          <w:rtl/>
        </w:rPr>
        <w:t>التصاقاً</w:t>
      </w:r>
      <w:r w:rsidR="00F32B28">
        <w:rPr>
          <w:rtl/>
        </w:rPr>
        <w:t xml:space="preserve"> </w:t>
      </w:r>
      <w:r w:rsidR="00F32B28" w:rsidRPr="00F32B28">
        <w:rPr>
          <w:rtl/>
        </w:rPr>
        <w:t>بحاجات</w:t>
      </w:r>
      <w:r w:rsidR="00F32B28">
        <w:rPr>
          <w:rtl/>
        </w:rPr>
        <w:t xml:space="preserve"> </w:t>
      </w:r>
      <w:r w:rsidR="00F32B28" w:rsidRPr="00F32B28">
        <w:rPr>
          <w:rtl/>
        </w:rPr>
        <w:t>المجتمع.</w:t>
      </w:r>
      <w:r w:rsidR="00F32B28">
        <w:rPr>
          <w:rtl/>
        </w:rPr>
        <w:t xml:space="preserve"> </w:t>
      </w:r>
      <w:r w:rsidR="00F32B28" w:rsidRPr="00F32B28">
        <w:rPr>
          <w:rtl/>
        </w:rPr>
        <w:t>وتشير</w:t>
      </w:r>
      <w:r w:rsidR="00F32B28">
        <w:rPr>
          <w:rtl/>
        </w:rPr>
        <w:t xml:space="preserve"> </w:t>
      </w:r>
      <w:r w:rsidR="00F32B28" w:rsidRPr="00F32B28">
        <w:rPr>
          <w:rtl/>
        </w:rPr>
        <w:t>الإحصائيات</w:t>
      </w:r>
      <w:r w:rsidR="00F32B28">
        <w:rPr>
          <w:rtl/>
        </w:rPr>
        <w:t xml:space="preserve"> </w:t>
      </w:r>
      <w:r w:rsidR="00F32B28" w:rsidRPr="00F32B28">
        <w:rPr>
          <w:rtl/>
        </w:rPr>
        <w:t>لسنة</w:t>
      </w:r>
      <w:r w:rsidR="00F32B28">
        <w:rPr>
          <w:rtl/>
        </w:rPr>
        <w:t xml:space="preserve"> </w:t>
      </w:r>
      <w:r w:rsidR="00F32B28" w:rsidRPr="00F32B28">
        <w:rPr>
          <w:rtl/>
        </w:rPr>
        <w:t>2011</w:t>
      </w:r>
      <w:r w:rsidR="00F32B28">
        <w:rPr>
          <w:rtl/>
        </w:rPr>
        <w:t xml:space="preserve"> </w:t>
      </w:r>
      <w:r w:rsidR="00F32B28" w:rsidRPr="00F32B28">
        <w:rPr>
          <w:rtl/>
        </w:rPr>
        <w:t>بأن</w:t>
      </w:r>
      <w:r w:rsidR="00F32B28">
        <w:rPr>
          <w:rtl/>
        </w:rPr>
        <w:t xml:space="preserve"> </w:t>
      </w:r>
      <w:r w:rsidR="00F32B28" w:rsidRPr="00F32B28">
        <w:rPr>
          <w:rtl/>
        </w:rPr>
        <w:t>نسبة</w:t>
      </w:r>
      <w:r w:rsidR="00F32B28">
        <w:rPr>
          <w:rtl/>
        </w:rPr>
        <w:t xml:space="preserve"> </w:t>
      </w:r>
      <w:r w:rsidR="00F32B28" w:rsidRPr="00F32B28">
        <w:rPr>
          <w:rtl/>
        </w:rPr>
        <w:t>مشاركة</w:t>
      </w:r>
      <w:r w:rsidR="00F32B28">
        <w:rPr>
          <w:rtl/>
        </w:rPr>
        <w:t xml:space="preserve"> </w:t>
      </w:r>
      <w:r w:rsidR="00F32B28" w:rsidRPr="00F32B28">
        <w:rPr>
          <w:rtl/>
        </w:rPr>
        <w:t>النساء</w:t>
      </w:r>
      <w:r w:rsidR="00F32B28">
        <w:rPr>
          <w:rtl/>
        </w:rPr>
        <w:t xml:space="preserve"> </w:t>
      </w:r>
      <w:r w:rsidR="00F32B28" w:rsidRPr="00F32B28">
        <w:rPr>
          <w:rtl/>
        </w:rPr>
        <w:t>بلغت</w:t>
      </w:r>
      <w:r>
        <w:rPr>
          <w:rFonts w:hint="cs"/>
          <w:rtl/>
        </w:rPr>
        <w:t xml:space="preserve"> </w:t>
      </w:r>
      <w:r w:rsidR="00F32B28" w:rsidRPr="00F32B28">
        <w:rPr>
          <w:rtl/>
        </w:rPr>
        <w:t>حوالي</w:t>
      </w:r>
      <w:r w:rsidR="00F32B28">
        <w:rPr>
          <w:rtl/>
        </w:rPr>
        <w:t xml:space="preserve"> </w:t>
      </w:r>
      <w:r w:rsidR="00F32B28" w:rsidRPr="00F32B28">
        <w:rPr>
          <w:rtl/>
        </w:rPr>
        <w:t>26.8</w:t>
      </w:r>
      <w:r>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مجموع</w:t>
      </w:r>
      <w:r w:rsidR="00F32B28">
        <w:rPr>
          <w:rtl/>
        </w:rPr>
        <w:t xml:space="preserve"> </w:t>
      </w:r>
      <w:r w:rsidR="00F32B28" w:rsidRPr="00F32B28">
        <w:rPr>
          <w:rtl/>
        </w:rPr>
        <w:t>أعضاء</w:t>
      </w:r>
      <w:r w:rsidR="00F32B28">
        <w:rPr>
          <w:rtl/>
        </w:rPr>
        <w:t xml:space="preserve"> </w:t>
      </w:r>
      <w:r w:rsidR="00F32B28" w:rsidRPr="00F32B28">
        <w:rPr>
          <w:rtl/>
        </w:rPr>
        <w:t>مجالس</w:t>
      </w:r>
      <w:r w:rsidR="00F32B28">
        <w:rPr>
          <w:rtl/>
        </w:rPr>
        <w:t xml:space="preserve"> </w:t>
      </w:r>
      <w:r w:rsidR="00F32B28" w:rsidRPr="00F32B28">
        <w:rPr>
          <w:rtl/>
        </w:rPr>
        <w:t>الطلبة</w:t>
      </w:r>
      <w:r w:rsidR="00F32B28">
        <w:rPr>
          <w:rtl/>
        </w:rPr>
        <w:t xml:space="preserve"> </w:t>
      </w:r>
      <w:r w:rsidR="00F32B28" w:rsidRPr="00F32B28">
        <w:rPr>
          <w:rtl/>
        </w:rPr>
        <w:t>في</w:t>
      </w:r>
      <w:r w:rsidR="00F32B28">
        <w:rPr>
          <w:rtl/>
        </w:rPr>
        <w:t xml:space="preserve"> </w:t>
      </w:r>
      <w:r w:rsidR="00F32B28" w:rsidRPr="00F32B28">
        <w:rPr>
          <w:rtl/>
        </w:rPr>
        <w:t>الجامعات</w:t>
      </w:r>
      <w:r w:rsidR="00F32B28">
        <w:rPr>
          <w:rtl/>
        </w:rPr>
        <w:t xml:space="preserve"> </w:t>
      </w:r>
      <w:r w:rsidR="00F32B28" w:rsidRPr="00F32B28">
        <w:rPr>
          <w:rtl/>
        </w:rPr>
        <w:t>الفلسطينية.</w:t>
      </w:r>
    </w:p>
    <w:p w:rsidR="00F32B28" w:rsidRPr="00F32B28" w:rsidRDefault="00A43875" w:rsidP="00A43875">
      <w:pPr>
        <w:pStyle w:val="SingleTxt"/>
        <w:rPr>
          <w:rtl/>
          <w:lang w:bidi="ar-LB"/>
        </w:rPr>
      </w:pPr>
      <w:r>
        <w:rPr>
          <w:rFonts w:hint="cs"/>
          <w:rtl/>
        </w:rPr>
        <w:t xml:space="preserve">132 - </w:t>
      </w:r>
      <w:r w:rsidR="00F32B28" w:rsidRPr="00F32B28">
        <w:rPr>
          <w:rtl/>
        </w:rPr>
        <w:t>تبنت</w:t>
      </w:r>
      <w:r w:rsidR="00F32B28">
        <w:rPr>
          <w:rtl/>
        </w:rPr>
        <w:t xml:space="preserve"> </w:t>
      </w:r>
      <w:r w:rsidR="00F32B28" w:rsidRPr="00F32B28">
        <w:rPr>
          <w:rtl/>
        </w:rPr>
        <w:t>فلسطين</w:t>
      </w:r>
      <w:r w:rsidR="00F32B28">
        <w:rPr>
          <w:rtl/>
        </w:rPr>
        <w:t xml:space="preserve"> </w:t>
      </w:r>
      <w:r w:rsidR="00F32B28" w:rsidRPr="00F32B28">
        <w:rPr>
          <w:rtl/>
        </w:rPr>
        <w:t>قرار</w:t>
      </w:r>
      <w:r w:rsidR="00F32B28">
        <w:rPr>
          <w:rtl/>
        </w:rPr>
        <w:t xml:space="preserve"> </w:t>
      </w:r>
      <w:r w:rsidR="00F32B28" w:rsidRPr="00F32B28">
        <w:rPr>
          <w:rtl/>
        </w:rPr>
        <w:t>مجلس</w:t>
      </w:r>
      <w:r w:rsidR="00F32B28">
        <w:rPr>
          <w:rtl/>
        </w:rPr>
        <w:t xml:space="preserve"> </w:t>
      </w:r>
      <w:r w:rsidR="00F32B28" w:rsidRPr="00F32B28">
        <w:rPr>
          <w:rtl/>
        </w:rPr>
        <w:t>الأمن</w:t>
      </w:r>
      <w:r w:rsidR="00F32B28">
        <w:rPr>
          <w:rtl/>
        </w:rPr>
        <w:t xml:space="preserve"> </w:t>
      </w:r>
      <w:r w:rsidR="00F32B28" w:rsidRPr="00F32B28">
        <w:rPr>
          <w:rtl/>
        </w:rPr>
        <w:t>رقم</w:t>
      </w:r>
      <w:r w:rsidR="00F32B28">
        <w:rPr>
          <w:rtl/>
        </w:rPr>
        <w:t xml:space="preserve"> </w:t>
      </w:r>
      <w:r w:rsidR="00F32B28" w:rsidRPr="00F32B28">
        <w:rPr>
          <w:rtl/>
        </w:rPr>
        <w:t>(1325)</w:t>
      </w:r>
      <w:r w:rsidR="00F32B28">
        <w:rPr>
          <w:rtl/>
        </w:rPr>
        <w:t xml:space="preserve"> </w:t>
      </w:r>
      <w:r w:rsidR="00F32B28" w:rsidRPr="00F32B28">
        <w:rPr>
          <w:rtl/>
        </w:rPr>
        <w:t>لسنة</w:t>
      </w:r>
      <w:r w:rsidR="00F32B28">
        <w:rPr>
          <w:rtl/>
        </w:rPr>
        <w:t xml:space="preserve"> </w:t>
      </w:r>
      <w:r w:rsidR="00F32B28" w:rsidRPr="00F32B28">
        <w:rPr>
          <w:rtl/>
        </w:rPr>
        <w:t>2000</w:t>
      </w:r>
      <w:r w:rsidR="00F32B28" w:rsidRPr="00F32B28">
        <w:rPr>
          <w:rtl/>
          <w:lang w:bidi="ar-SY"/>
        </w:rPr>
        <w:t>،</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خلال</w:t>
      </w:r>
      <w:r w:rsidR="00F32B28" w:rsidRPr="00F32B28">
        <w:rPr>
          <w:rtl/>
          <w:lang w:bidi="ar-LB"/>
        </w:rPr>
        <w:t>المرسوم</w:t>
      </w:r>
      <w:r w:rsidR="00F32B28">
        <w:rPr>
          <w:rtl/>
          <w:lang w:bidi="ar-LB"/>
        </w:rPr>
        <w:t xml:space="preserve"> </w:t>
      </w:r>
      <w:r w:rsidR="00F32B28" w:rsidRPr="00F32B28">
        <w:rPr>
          <w:rtl/>
          <w:lang w:bidi="ar-LB"/>
        </w:rPr>
        <w:t>الرئاسي</w:t>
      </w:r>
      <w:r w:rsidR="00F32B28">
        <w:rPr>
          <w:rtl/>
          <w:lang w:bidi="ar-LB"/>
        </w:rPr>
        <w:t xml:space="preserve"> </w:t>
      </w:r>
      <w:r w:rsidR="00F32B28" w:rsidRPr="00F32B28">
        <w:rPr>
          <w:rtl/>
          <w:lang w:bidi="ar-LB"/>
        </w:rPr>
        <w:t>رقم</w:t>
      </w:r>
      <w:r w:rsidR="00F32B28">
        <w:rPr>
          <w:rtl/>
          <w:lang w:bidi="ar-LB"/>
        </w:rPr>
        <w:t xml:space="preserve"> </w:t>
      </w:r>
      <w:r w:rsidR="00F32B28" w:rsidRPr="00F32B28">
        <w:rPr>
          <w:rtl/>
          <w:lang w:bidi="ar-LB"/>
        </w:rPr>
        <w:t>(24)</w:t>
      </w:r>
      <w:r w:rsidR="00F32B28">
        <w:rPr>
          <w:rtl/>
          <w:lang w:bidi="ar-LB"/>
        </w:rPr>
        <w:t xml:space="preserve"> </w:t>
      </w:r>
      <w:r w:rsidR="00F32B28" w:rsidRPr="00F32B28">
        <w:rPr>
          <w:rtl/>
          <w:lang w:bidi="ar-LB"/>
        </w:rPr>
        <w:t>لسنة</w:t>
      </w:r>
      <w:r w:rsidR="00F32B28">
        <w:rPr>
          <w:rtl/>
          <w:lang w:bidi="ar-LB"/>
        </w:rPr>
        <w:t xml:space="preserve"> </w:t>
      </w:r>
      <w:r w:rsidR="00F32B28" w:rsidRPr="00F32B28">
        <w:rPr>
          <w:rtl/>
          <w:lang w:bidi="ar-LB"/>
        </w:rPr>
        <w:t>2005</w:t>
      </w:r>
      <w:r w:rsidR="00F32B28">
        <w:rPr>
          <w:rtl/>
          <w:lang w:bidi="ar-LB"/>
        </w:rPr>
        <w:t xml:space="preserve"> </w:t>
      </w:r>
      <w:r w:rsidR="00F32B28" w:rsidRPr="00F32B28">
        <w:rPr>
          <w:rtl/>
          <w:lang w:bidi="ar-LB"/>
        </w:rPr>
        <w:t>الذي</w:t>
      </w:r>
      <w:r w:rsidR="00F32B28">
        <w:rPr>
          <w:rtl/>
          <w:lang w:bidi="ar-LB"/>
        </w:rPr>
        <w:t xml:space="preserve"> </w:t>
      </w:r>
      <w:r w:rsidR="00F32B28" w:rsidRPr="00F32B28">
        <w:rPr>
          <w:rtl/>
          <w:lang w:bidi="ar-SY"/>
        </w:rPr>
        <w:t>ألزم</w:t>
      </w:r>
      <w:r w:rsidR="00F32B28">
        <w:rPr>
          <w:rtl/>
          <w:lang w:bidi="ar-SY"/>
        </w:rPr>
        <w:t xml:space="preserve"> </w:t>
      </w:r>
      <w:r w:rsidR="00F32B28" w:rsidRPr="00F32B28">
        <w:rPr>
          <w:rtl/>
          <w:lang w:bidi="ar-LB"/>
        </w:rPr>
        <w:t>الحكومة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دعم</w:t>
      </w:r>
      <w:r w:rsidR="00F32B28">
        <w:rPr>
          <w:rtl/>
          <w:lang w:bidi="ar-LB"/>
        </w:rPr>
        <w:t xml:space="preserve"> </w:t>
      </w:r>
      <w:r w:rsidR="00F32B28" w:rsidRPr="00F32B28">
        <w:rPr>
          <w:rtl/>
          <w:lang w:bidi="ar-LB"/>
        </w:rPr>
        <w:t>المشاركة</w:t>
      </w:r>
      <w:r w:rsidR="00F32B28">
        <w:rPr>
          <w:rtl/>
          <w:lang w:bidi="ar-LB"/>
        </w:rPr>
        <w:t xml:space="preserve"> </w:t>
      </w:r>
      <w:r w:rsidR="00F32B28" w:rsidRPr="00F32B28">
        <w:rPr>
          <w:rtl/>
          <w:lang w:bidi="ar-LB"/>
        </w:rPr>
        <w:t>الكاملة</w:t>
      </w:r>
      <w:r w:rsidR="00F32B28">
        <w:rPr>
          <w:rtl/>
          <w:lang w:bidi="ar-LB"/>
        </w:rPr>
        <w:t xml:space="preserve"> </w:t>
      </w:r>
      <w:r w:rsidR="00F32B28" w:rsidRPr="00F32B28">
        <w:rPr>
          <w:rtl/>
          <w:lang w:bidi="ar-LB"/>
        </w:rPr>
        <w:t>والمتكافئة</w:t>
      </w:r>
      <w:r w:rsidR="00F32B28">
        <w:rPr>
          <w:rtl/>
          <w:lang w:bidi="ar-LB"/>
        </w:rPr>
        <w:t xml:space="preserve"> </w:t>
      </w:r>
      <w:r w:rsidR="00F32B28" w:rsidRPr="00F32B28">
        <w:rPr>
          <w:rtl/>
          <w:lang w:bidi="ar-LB"/>
        </w:rPr>
        <w:t>للمرأة</w:t>
      </w:r>
      <w:r w:rsidR="00F32B28">
        <w:rPr>
          <w:rtl/>
          <w:lang w:bidi="ar-LB"/>
        </w:rPr>
        <w:t xml:space="preserve"> </w:t>
      </w:r>
      <w:r w:rsidR="00F32B28" w:rsidRPr="00F32B28">
        <w:rPr>
          <w:rtl/>
          <w:lang w:bidi="ar-LB"/>
        </w:rPr>
        <w:t>الفلسطينية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جميع</w:t>
      </w:r>
      <w:r w:rsidR="00F32B28">
        <w:rPr>
          <w:rtl/>
          <w:lang w:bidi="ar-LB"/>
        </w:rPr>
        <w:t xml:space="preserve"> </w:t>
      </w:r>
      <w:r w:rsidR="00F32B28" w:rsidRPr="00F32B28">
        <w:rPr>
          <w:rtl/>
          <w:lang w:bidi="ar-LB"/>
        </w:rPr>
        <w:t>الجهود</w:t>
      </w:r>
      <w:r w:rsidR="00F32B28">
        <w:rPr>
          <w:rtl/>
          <w:lang w:bidi="ar-LB"/>
        </w:rPr>
        <w:t xml:space="preserve"> </w:t>
      </w:r>
      <w:r w:rsidR="00F32B28" w:rsidRPr="00F32B28">
        <w:rPr>
          <w:rtl/>
          <w:lang w:bidi="ar-LB"/>
        </w:rPr>
        <w:t>الرامية</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حفظ</w:t>
      </w:r>
      <w:r w:rsidR="00F32B28">
        <w:rPr>
          <w:rtl/>
          <w:lang w:bidi="ar-LB"/>
        </w:rPr>
        <w:t xml:space="preserve"> </w:t>
      </w:r>
      <w:r w:rsidR="00F32B28" w:rsidRPr="00F32B28">
        <w:rPr>
          <w:rtl/>
          <w:lang w:bidi="ar-LB"/>
        </w:rPr>
        <w:t>السلام</w:t>
      </w:r>
      <w:r w:rsidR="00F32B28">
        <w:rPr>
          <w:rtl/>
          <w:lang w:bidi="ar-LB"/>
        </w:rPr>
        <w:t xml:space="preserve"> </w:t>
      </w:r>
      <w:r w:rsidR="00F32B28" w:rsidRPr="00F32B28">
        <w:rPr>
          <w:rtl/>
          <w:lang w:bidi="ar-LB"/>
        </w:rPr>
        <w:t>والأمن</w:t>
      </w:r>
      <w:r w:rsidR="00F32B28">
        <w:rPr>
          <w:rtl/>
          <w:lang w:bidi="ar-LB"/>
        </w:rPr>
        <w:t xml:space="preserve"> </w:t>
      </w:r>
      <w:r w:rsidR="00F32B28" w:rsidRPr="00F32B28">
        <w:rPr>
          <w:rtl/>
          <w:lang w:bidi="ar-LB"/>
        </w:rPr>
        <w:t>وتعزيزهما،</w:t>
      </w:r>
      <w:r w:rsidR="00F32B28">
        <w:rPr>
          <w:rtl/>
          <w:lang w:bidi="ar-LB"/>
        </w:rPr>
        <w:t xml:space="preserve"> </w:t>
      </w:r>
      <w:r w:rsidR="00F32B28" w:rsidRPr="00F32B28">
        <w:rPr>
          <w:rtl/>
          <w:lang w:bidi="ar-LB"/>
        </w:rPr>
        <w:t>وتعزيز</w:t>
      </w:r>
      <w:r w:rsidR="00F32B28">
        <w:rPr>
          <w:rtl/>
          <w:lang w:bidi="ar-LB"/>
        </w:rPr>
        <w:t xml:space="preserve"> </w:t>
      </w:r>
      <w:r w:rsidR="00F32B28" w:rsidRPr="00F32B28">
        <w:rPr>
          <w:rtl/>
          <w:lang w:bidi="ar-LB"/>
        </w:rPr>
        <w:t>دورها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المشاركة</w:t>
      </w:r>
      <w:r w:rsidR="00F32B28">
        <w:rPr>
          <w:rtl/>
          <w:lang w:bidi="ar-LB"/>
        </w:rPr>
        <w:t xml:space="preserve"> </w:t>
      </w:r>
      <w:r w:rsidR="00F32B28" w:rsidRPr="00F32B28">
        <w:rPr>
          <w:rtl/>
          <w:lang w:bidi="ar-LB"/>
        </w:rPr>
        <w:t>بالمساعي</w:t>
      </w:r>
      <w:r w:rsidR="00F32B28">
        <w:rPr>
          <w:rtl/>
          <w:lang w:bidi="ar-LB"/>
        </w:rPr>
        <w:t xml:space="preserve"> </w:t>
      </w:r>
      <w:r w:rsidR="00F32B28" w:rsidRPr="00F32B28">
        <w:rPr>
          <w:rtl/>
          <w:lang w:bidi="ar-LB"/>
        </w:rPr>
        <w:t>الحميدة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إطار</w:t>
      </w:r>
      <w:r w:rsidR="00F32B28">
        <w:rPr>
          <w:rtl/>
          <w:lang w:bidi="ar-LB"/>
        </w:rPr>
        <w:t xml:space="preserve"> </w:t>
      </w:r>
      <w:r w:rsidR="00F32B28" w:rsidRPr="00F32B28">
        <w:rPr>
          <w:rtl/>
          <w:lang w:bidi="ar-LB"/>
        </w:rPr>
        <w:t>الأمم</w:t>
      </w:r>
      <w:r w:rsidR="00F32B28">
        <w:rPr>
          <w:rtl/>
          <w:lang w:bidi="ar-LB"/>
        </w:rPr>
        <w:t xml:space="preserve"> </w:t>
      </w:r>
      <w:r w:rsidR="00F32B28" w:rsidRPr="00F32B28">
        <w:rPr>
          <w:rtl/>
          <w:lang w:bidi="ar-LB"/>
        </w:rPr>
        <w:t>المتحدة</w:t>
      </w:r>
      <w:r w:rsidR="00F32B28">
        <w:rPr>
          <w:rtl/>
          <w:lang w:bidi="ar-LB"/>
        </w:rPr>
        <w:t xml:space="preserve"> </w:t>
      </w:r>
      <w:r w:rsidR="00F32B28" w:rsidRPr="00F32B28">
        <w:rPr>
          <w:rtl/>
          <w:lang w:bidi="ar-LB"/>
        </w:rPr>
        <w:t>والمفاوضات</w:t>
      </w:r>
      <w:r w:rsidR="00F32B28">
        <w:rPr>
          <w:rtl/>
          <w:lang w:bidi="ar-LB"/>
        </w:rPr>
        <w:t xml:space="preserve"> </w:t>
      </w:r>
      <w:r w:rsidR="00F32B28" w:rsidRPr="00F32B28">
        <w:rPr>
          <w:rtl/>
          <w:lang w:bidi="ar-LB"/>
        </w:rPr>
        <w:t>وصنع</w:t>
      </w:r>
      <w:r w:rsidR="00F32B28">
        <w:rPr>
          <w:rtl/>
          <w:lang w:bidi="ar-LB"/>
        </w:rPr>
        <w:t xml:space="preserve"> </w:t>
      </w:r>
      <w:r w:rsidR="00F32B28" w:rsidRPr="00F32B28">
        <w:rPr>
          <w:rtl/>
          <w:lang w:bidi="ar-LB"/>
        </w:rPr>
        <w:t>السلام</w:t>
      </w:r>
      <w:r w:rsidR="00F32B28">
        <w:rPr>
          <w:rtl/>
          <w:lang w:bidi="ar-LB"/>
        </w:rPr>
        <w:t xml:space="preserve"> </w:t>
      </w:r>
      <w:r w:rsidR="00F32B28" w:rsidRPr="00F32B28">
        <w:rPr>
          <w:rtl/>
          <w:lang w:bidi="ar-LB"/>
        </w:rPr>
        <w:t>الحقيقي</w:t>
      </w:r>
      <w:r w:rsidR="00F32B28">
        <w:rPr>
          <w:rtl/>
          <w:lang w:bidi="ar-LB"/>
        </w:rPr>
        <w:t xml:space="preserve"> </w:t>
      </w:r>
      <w:r w:rsidR="00F32B28" w:rsidRPr="00F32B28">
        <w:rPr>
          <w:rtl/>
          <w:lang w:bidi="ar-LB"/>
        </w:rPr>
        <w:t>العادل</w:t>
      </w:r>
      <w:r w:rsidR="00F32B28">
        <w:rPr>
          <w:rtl/>
          <w:lang w:bidi="ar-LB"/>
        </w:rPr>
        <w:t xml:space="preserve"> </w:t>
      </w:r>
      <w:r w:rsidR="00F32B28" w:rsidRPr="00F32B28">
        <w:rPr>
          <w:rtl/>
          <w:lang w:bidi="ar-LB"/>
        </w:rPr>
        <w:t>والدائم</w:t>
      </w:r>
      <w:r w:rsidR="00F32B28">
        <w:rPr>
          <w:rtl/>
          <w:lang w:bidi="ar-LB"/>
        </w:rPr>
        <w:t xml:space="preserve"> </w:t>
      </w:r>
      <w:r w:rsidR="00F32B28" w:rsidRPr="00F32B28">
        <w:rPr>
          <w:rtl/>
          <w:lang w:bidi="ar-LB"/>
        </w:rPr>
        <w:t>بخصوص</w:t>
      </w:r>
      <w:r w:rsidR="00F32B28">
        <w:rPr>
          <w:rtl/>
          <w:lang w:bidi="ar-LB"/>
        </w:rPr>
        <w:t xml:space="preserve"> </w:t>
      </w:r>
      <w:r w:rsidR="00F32B28" w:rsidRPr="00F32B28">
        <w:rPr>
          <w:rtl/>
          <w:lang w:bidi="ar-LB"/>
        </w:rPr>
        <w:t>قضايا</w:t>
      </w:r>
      <w:r w:rsidR="00F32B28">
        <w:rPr>
          <w:rtl/>
          <w:lang w:bidi="ar-LB"/>
        </w:rPr>
        <w:t xml:space="preserve"> </w:t>
      </w:r>
      <w:r w:rsidR="00F32B28" w:rsidRPr="00F32B28">
        <w:rPr>
          <w:rtl/>
          <w:lang w:bidi="ar-LB"/>
        </w:rPr>
        <w:t>الاحتلال</w:t>
      </w:r>
      <w:r w:rsidR="00F32B28">
        <w:rPr>
          <w:rtl/>
          <w:lang w:bidi="ar-LB"/>
        </w:rPr>
        <w:t xml:space="preserve"> </w:t>
      </w:r>
      <w:r w:rsidR="00F32B28" w:rsidRPr="00F32B28">
        <w:rPr>
          <w:rtl/>
          <w:lang w:bidi="ar-LB"/>
        </w:rPr>
        <w:t>الإسرائيلي.</w:t>
      </w:r>
      <w:r w:rsidR="00F32B28" w:rsidRPr="00F32B28">
        <w:rPr>
          <w:rtl/>
        </w:rPr>
        <w:t>وقد</w:t>
      </w:r>
      <w:r w:rsidR="00F32B28">
        <w:rPr>
          <w:rtl/>
        </w:rPr>
        <w:t xml:space="preserve"> </w:t>
      </w:r>
      <w:r w:rsidR="00F32B28" w:rsidRPr="00F32B28">
        <w:rPr>
          <w:rtl/>
        </w:rPr>
        <w:t>صادق</w:t>
      </w:r>
      <w:r w:rsidR="00F32B28">
        <w:rPr>
          <w:rtl/>
        </w:rPr>
        <w:t xml:space="preserve"> </w:t>
      </w:r>
      <w:r w:rsidR="00F32B28" w:rsidRPr="00F32B28">
        <w:rPr>
          <w:rtl/>
        </w:rPr>
        <w:t>مجلس</w:t>
      </w:r>
      <w:r w:rsidR="00F32B28">
        <w:rPr>
          <w:rtl/>
        </w:rPr>
        <w:t xml:space="preserve"> </w:t>
      </w:r>
      <w:r w:rsidR="00F32B28" w:rsidRPr="00F32B28">
        <w:rPr>
          <w:rtl/>
        </w:rPr>
        <w:t>الوزراء</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2012</w:t>
      </w:r>
      <w:r w:rsidR="00F32B28">
        <w:rPr>
          <w:rtl/>
        </w:rPr>
        <w:t xml:space="preserve"> </w:t>
      </w:r>
      <w:r w:rsidR="00F32B28" w:rsidRPr="00F32B28">
        <w:rPr>
          <w:rtl/>
        </w:rPr>
        <w:t>على</w:t>
      </w:r>
      <w:r w:rsidR="00F32B28">
        <w:rPr>
          <w:rtl/>
        </w:rPr>
        <w:t xml:space="preserve"> </w:t>
      </w:r>
      <w:r w:rsidR="00F32B28" w:rsidRPr="00F32B28">
        <w:rPr>
          <w:rtl/>
        </w:rPr>
        <w:t>تشكيل</w:t>
      </w:r>
      <w:r w:rsidR="00F32B28">
        <w:rPr>
          <w:rtl/>
        </w:rPr>
        <w:t xml:space="preserve"> </w:t>
      </w:r>
      <w:r w:rsidR="00F32B28" w:rsidRPr="00F32B28">
        <w:rPr>
          <w:rtl/>
        </w:rPr>
        <w:t>اللجنة</w:t>
      </w:r>
      <w:r w:rsidR="00F32B28">
        <w:rPr>
          <w:rtl/>
        </w:rPr>
        <w:t xml:space="preserve"> </w:t>
      </w:r>
      <w:r w:rsidR="00F32B28" w:rsidRPr="00F32B28">
        <w:rPr>
          <w:rtl/>
        </w:rPr>
        <w:t>الوطنية</w:t>
      </w:r>
      <w:r w:rsidR="00F32B28">
        <w:rPr>
          <w:rtl/>
        </w:rPr>
        <w:t xml:space="preserve"> </w:t>
      </w:r>
      <w:r w:rsidR="00F32B28" w:rsidRPr="00F32B28">
        <w:rPr>
          <w:rtl/>
        </w:rPr>
        <w:t>العليا</w:t>
      </w:r>
      <w:r w:rsidR="00F32B28">
        <w:rPr>
          <w:rtl/>
        </w:rPr>
        <w:t xml:space="preserve"> </w:t>
      </w:r>
      <w:r w:rsidR="00F32B28" w:rsidRPr="00F32B28">
        <w:rPr>
          <w:rtl/>
        </w:rPr>
        <w:t>لتطبيق</w:t>
      </w:r>
      <w:r w:rsidR="00F32B28">
        <w:rPr>
          <w:rtl/>
        </w:rPr>
        <w:t xml:space="preserve"> </w:t>
      </w:r>
      <w:r w:rsidR="00F32B28" w:rsidRPr="00F32B28">
        <w:rPr>
          <w:rtl/>
        </w:rPr>
        <w:t>قرار</w:t>
      </w:r>
      <w:r w:rsidR="00F32B28">
        <w:rPr>
          <w:rtl/>
        </w:rPr>
        <w:t xml:space="preserve"> </w:t>
      </w:r>
      <w:r w:rsidR="00F32B28" w:rsidRPr="00F32B28">
        <w:rPr>
          <w:rtl/>
        </w:rPr>
        <w:t>مجلس</w:t>
      </w:r>
      <w:r w:rsidR="00F32B28">
        <w:rPr>
          <w:rtl/>
        </w:rPr>
        <w:t xml:space="preserve"> </w:t>
      </w:r>
      <w:r w:rsidR="00F32B28" w:rsidRPr="00F32B28">
        <w:rPr>
          <w:rtl/>
        </w:rPr>
        <w:t>الأمن</w:t>
      </w:r>
      <w:r w:rsidR="00F32B28">
        <w:rPr>
          <w:rtl/>
        </w:rPr>
        <w:t xml:space="preserve"> </w:t>
      </w:r>
      <w:r w:rsidR="00F32B28" w:rsidRPr="00F32B28">
        <w:rPr>
          <w:rtl/>
        </w:rPr>
        <w:t>1325؛</w:t>
      </w:r>
      <w:r w:rsidR="00F32B28">
        <w:rPr>
          <w:rtl/>
        </w:rPr>
        <w:t xml:space="preserve"> </w:t>
      </w:r>
      <w:r w:rsidR="00F32B28" w:rsidRPr="00F32B28">
        <w:rPr>
          <w:rtl/>
        </w:rPr>
        <w:t>اللجنة</w:t>
      </w:r>
      <w:r w:rsidR="00F32B28">
        <w:rPr>
          <w:rtl/>
        </w:rPr>
        <w:t xml:space="preserve"> </w:t>
      </w:r>
      <w:r w:rsidR="00F32B28" w:rsidRPr="00F32B28">
        <w:rPr>
          <w:rtl/>
        </w:rPr>
        <w:t>التي</w:t>
      </w:r>
      <w:r w:rsidR="00F32B28">
        <w:rPr>
          <w:rtl/>
        </w:rPr>
        <w:t xml:space="preserve"> </w:t>
      </w:r>
      <w:r w:rsidR="00F32B28" w:rsidRPr="00F32B28">
        <w:rPr>
          <w:rtl/>
        </w:rPr>
        <w:t>تضطلع</w:t>
      </w:r>
      <w:r w:rsidR="00F32B28">
        <w:rPr>
          <w:rtl/>
        </w:rPr>
        <w:t xml:space="preserve"> </w:t>
      </w:r>
      <w:r w:rsidR="00F32B28" w:rsidRPr="00F32B28">
        <w:rPr>
          <w:rtl/>
        </w:rPr>
        <w:t>بمهمة</w:t>
      </w:r>
      <w:r w:rsidR="00F32B28">
        <w:rPr>
          <w:rtl/>
        </w:rPr>
        <w:t xml:space="preserve"> </w:t>
      </w:r>
      <w:r w:rsidR="00F32B28" w:rsidRPr="00F32B28">
        <w:rPr>
          <w:rtl/>
        </w:rPr>
        <w:t>تحديد</w:t>
      </w:r>
      <w:r w:rsidR="00F32B28">
        <w:rPr>
          <w:rtl/>
        </w:rPr>
        <w:t xml:space="preserve"> </w:t>
      </w:r>
      <w:r w:rsidR="00F32B28" w:rsidRPr="00F32B28">
        <w:rPr>
          <w:rtl/>
        </w:rPr>
        <w:t>آليات</w:t>
      </w:r>
      <w:r w:rsidR="00F32B28">
        <w:rPr>
          <w:rtl/>
        </w:rPr>
        <w:t xml:space="preserve"> </w:t>
      </w:r>
      <w:r w:rsidR="00F32B28" w:rsidRPr="00F32B28">
        <w:rPr>
          <w:rtl/>
        </w:rPr>
        <w:t>العمل</w:t>
      </w:r>
      <w:r w:rsidR="00F32B28">
        <w:rPr>
          <w:rtl/>
        </w:rPr>
        <w:t xml:space="preserve"> </w:t>
      </w:r>
      <w:r w:rsidR="00F32B28" w:rsidRPr="00F32B28">
        <w:rPr>
          <w:rtl/>
        </w:rPr>
        <w:t>اللازمة</w:t>
      </w:r>
      <w:r w:rsidR="00F32B28">
        <w:rPr>
          <w:rtl/>
        </w:rPr>
        <w:t xml:space="preserve"> </w:t>
      </w:r>
      <w:r w:rsidR="00F32B28" w:rsidRPr="00F32B28">
        <w:rPr>
          <w:rtl/>
        </w:rPr>
        <w:t>لتنفيذ</w:t>
      </w:r>
      <w:r w:rsidR="00F32B28">
        <w:rPr>
          <w:rtl/>
        </w:rPr>
        <w:t xml:space="preserve"> </w:t>
      </w:r>
      <w:r w:rsidR="00F32B28" w:rsidRPr="00F32B28">
        <w:rPr>
          <w:rtl/>
        </w:rPr>
        <w:t>القرار،</w:t>
      </w:r>
      <w:r w:rsidR="00F32B28">
        <w:rPr>
          <w:rtl/>
        </w:rPr>
        <w:t xml:space="preserve"> </w:t>
      </w:r>
      <w:r w:rsidR="00F32B28" w:rsidRPr="00F32B28">
        <w:rPr>
          <w:rtl/>
        </w:rPr>
        <w:t>خاصة</w:t>
      </w:r>
      <w:r w:rsidR="00F32B28">
        <w:rPr>
          <w:rtl/>
        </w:rPr>
        <w:t xml:space="preserve"> </w:t>
      </w:r>
      <w:r w:rsidR="00F32B28" w:rsidRPr="00F32B28">
        <w:rPr>
          <w:rtl/>
        </w:rPr>
        <w:t>بأنه</w:t>
      </w:r>
      <w:r w:rsidR="00F32B28">
        <w:rPr>
          <w:rtl/>
        </w:rPr>
        <w:t xml:space="preserve"> </w:t>
      </w:r>
      <w:r w:rsidR="00F32B28" w:rsidRPr="00F32B28">
        <w:rPr>
          <w:rtl/>
        </w:rPr>
        <w:lastRenderedPageBreak/>
        <w:t>جاء</w:t>
      </w:r>
      <w:r w:rsidR="00F32B28">
        <w:rPr>
          <w:rtl/>
        </w:rPr>
        <w:t xml:space="preserve"> </w:t>
      </w:r>
      <w:r w:rsidR="00F32B28" w:rsidRPr="00F32B28">
        <w:rPr>
          <w:rtl/>
        </w:rPr>
        <w:t>لحماية</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ظل</w:t>
      </w:r>
      <w:r w:rsidR="00F32B28">
        <w:rPr>
          <w:rtl/>
        </w:rPr>
        <w:t xml:space="preserve"> </w:t>
      </w:r>
      <w:r w:rsidR="00F32B28" w:rsidRPr="00F32B28">
        <w:rPr>
          <w:rtl/>
        </w:rPr>
        <w:t>النزاعات</w:t>
      </w:r>
      <w:r w:rsidR="00F32B28">
        <w:rPr>
          <w:rtl/>
        </w:rPr>
        <w:t xml:space="preserve"> </w:t>
      </w:r>
      <w:r w:rsidR="00F32B28" w:rsidRPr="00F32B28">
        <w:rPr>
          <w:rtl/>
        </w:rPr>
        <w:t>المسلحة</w:t>
      </w:r>
      <w:r w:rsidR="00F32B28">
        <w:rPr>
          <w:rtl/>
        </w:rPr>
        <w:t xml:space="preserve"> </w:t>
      </w:r>
      <w:r w:rsidR="00F32B28" w:rsidRPr="00F32B28">
        <w:rPr>
          <w:rtl/>
        </w:rPr>
        <w:t>وأماكن</w:t>
      </w:r>
      <w:r w:rsidR="00F32B28">
        <w:rPr>
          <w:rtl/>
        </w:rPr>
        <w:t xml:space="preserve"> </w:t>
      </w:r>
      <w:r w:rsidR="00F32B28" w:rsidRPr="00F32B28">
        <w:rPr>
          <w:rtl/>
        </w:rPr>
        <w:t>الاحتلال،</w:t>
      </w:r>
      <w:r w:rsidR="00F32B28">
        <w:rPr>
          <w:rtl/>
        </w:rPr>
        <w:t xml:space="preserve"> </w:t>
      </w:r>
      <w:r w:rsidR="00F32B28" w:rsidRPr="00F32B28">
        <w:rPr>
          <w:rtl/>
        </w:rPr>
        <w:t>الحالة</w:t>
      </w:r>
      <w:r w:rsidR="00F32B28">
        <w:rPr>
          <w:rtl/>
        </w:rPr>
        <w:t xml:space="preserve"> </w:t>
      </w:r>
      <w:r w:rsidR="00F32B28" w:rsidRPr="00F32B28">
        <w:rPr>
          <w:rtl/>
        </w:rPr>
        <w:t>التي</w:t>
      </w:r>
      <w:r w:rsidR="00F32B28">
        <w:rPr>
          <w:rtl/>
        </w:rPr>
        <w:t xml:space="preserve"> </w:t>
      </w:r>
      <w:r w:rsidR="00F32B28" w:rsidRPr="00F32B28">
        <w:rPr>
          <w:rtl/>
        </w:rPr>
        <w:t>تنطبق</w:t>
      </w:r>
      <w:r w:rsidR="00F32B28">
        <w:rPr>
          <w:rtl/>
        </w:rPr>
        <w:t xml:space="preserve"> </w:t>
      </w:r>
      <w:r w:rsidR="00F32B28" w:rsidRPr="00F32B28">
        <w:rPr>
          <w:rtl/>
        </w:rPr>
        <w:t>بشكل</w:t>
      </w:r>
      <w:r w:rsidR="00F32B28">
        <w:rPr>
          <w:rtl/>
        </w:rPr>
        <w:t xml:space="preserve"> </w:t>
      </w:r>
      <w:r w:rsidR="00F32B28" w:rsidRPr="00F32B28">
        <w:rPr>
          <w:rtl/>
        </w:rPr>
        <w:t>مباشر</w:t>
      </w:r>
      <w:r w:rsidR="00F32B28">
        <w:rPr>
          <w:rtl/>
        </w:rPr>
        <w:t xml:space="preserve"> </w:t>
      </w:r>
      <w:r w:rsidR="00F32B28" w:rsidRPr="00F32B28">
        <w:rPr>
          <w:rtl/>
        </w:rPr>
        <w:t>على</w:t>
      </w:r>
      <w:r w:rsidR="00F32B28">
        <w:rPr>
          <w:rtl/>
        </w:rPr>
        <w:t xml:space="preserve"> </w:t>
      </w:r>
      <w:r w:rsidR="00F32B28" w:rsidRPr="00F32B28">
        <w:rPr>
          <w:rtl/>
        </w:rPr>
        <w:t>النساء</w:t>
      </w:r>
      <w:r w:rsidR="00F32B28">
        <w:rPr>
          <w:rtl/>
        </w:rPr>
        <w:t xml:space="preserve"> </w:t>
      </w:r>
      <w:r w:rsidR="00F32B28" w:rsidRPr="00F32B28">
        <w:rPr>
          <w:rtl/>
        </w:rPr>
        <w:t>والفتيات</w:t>
      </w:r>
      <w:r w:rsidR="00F32B28">
        <w:rPr>
          <w:rtl/>
        </w:rPr>
        <w:t xml:space="preserve"> </w:t>
      </w:r>
      <w:r w:rsidR="00F32B28" w:rsidRPr="00F32B28">
        <w:rPr>
          <w:rtl/>
        </w:rPr>
        <w:t>الفلسطينيات</w:t>
      </w:r>
      <w:r w:rsidR="00F32B28">
        <w:rPr>
          <w:rtl/>
        </w:rPr>
        <w:t xml:space="preserve"> </w:t>
      </w:r>
      <w:r w:rsidR="00F32B28" w:rsidRPr="00F32B28">
        <w:rPr>
          <w:rtl/>
        </w:rPr>
        <w:t>في</w:t>
      </w:r>
      <w:r w:rsidR="00F32B28">
        <w:rPr>
          <w:rtl/>
        </w:rPr>
        <w:t xml:space="preserve"> </w:t>
      </w:r>
      <w:r w:rsidR="00F32B28" w:rsidRPr="00F32B28">
        <w:rPr>
          <w:rtl/>
        </w:rPr>
        <w:t>ظل</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وتتشكل</w:t>
      </w:r>
      <w:r w:rsidR="00F32B28">
        <w:rPr>
          <w:rtl/>
        </w:rPr>
        <w:t xml:space="preserve"> </w:t>
      </w:r>
      <w:r w:rsidR="00F32B28" w:rsidRPr="00F32B28">
        <w:rPr>
          <w:rtl/>
        </w:rPr>
        <w:t>عضوية</w:t>
      </w:r>
      <w:r w:rsidR="00F32B28">
        <w:rPr>
          <w:rtl/>
        </w:rPr>
        <w:t xml:space="preserve"> </w:t>
      </w:r>
      <w:r w:rsidR="00F32B28" w:rsidRPr="00F32B28">
        <w:rPr>
          <w:rtl/>
        </w:rPr>
        <w:t>هذه</w:t>
      </w:r>
      <w:r w:rsidR="00F32B28">
        <w:rPr>
          <w:rtl/>
        </w:rPr>
        <w:t xml:space="preserve"> </w:t>
      </w:r>
      <w:r w:rsidR="00F32B28" w:rsidRPr="00F32B28">
        <w:rPr>
          <w:rtl/>
        </w:rPr>
        <w:t>اللجنة</w:t>
      </w:r>
      <w:r w:rsidR="00F32B28">
        <w:rPr>
          <w:rtl/>
        </w:rPr>
        <w:t xml:space="preserve"> </w:t>
      </w:r>
      <w:r w:rsidR="00F32B28" w:rsidRPr="00F32B28">
        <w:rPr>
          <w:rtl/>
        </w:rPr>
        <w:t>من</w:t>
      </w:r>
      <w:r w:rsidR="00F32B28">
        <w:rPr>
          <w:rtl/>
        </w:rPr>
        <w:t xml:space="preserve"> </w:t>
      </w:r>
      <w:r w:rsidR="00F32B28" w:rsidRPr="00F32B28">
        <w:rPr>
          <w:rtl/>
        </w:rPr>
        <w:t>وزارة</w:t>
      </w:r>
      <w:r w:rsidR="00F32B28">
        <w:rPr>
          <w:rtl/>
        </w:rPr>
        <w:t xml:space="preserve"> </w:t>
      </w:r>
      <w:r w:rsidR="00F32B28" w:rsidRPr="00F32B28">
        <w:rPr>
          <w:rtl/>
        </w:rPr>
        <w:t>شؤون</w:t>
      </w:r>
      <w:r w:rsidR="00F32B28">
        <w:rPr>
          <w:rtl/>
        </w:rPr>
        <w:t xml:space="preserve"> </w:t>
      </w:r>
      <w:r w:rsidR="00F32B28" w:rsidRPr="00F32B28">
        <w:rPr>
          <w:rtl/>
        </w:rPr>
        <w:t>المرأة</w:t>
      </w:r>
      <w:r w:rsidR="00F32B28">
        <w:rPr>
          <w:rtl/>
        </w:rPr>
        <w:t xml:space="preserve"> </w:t>
      </w:r>
      <w:r w:rsidR="00F32B28" w:rsidRPr="00F32B28">
        <w:rPr>
          <w:rtl/>
        </w:rPr>
        <w:t>(رئيساً)</w:t>
      </w:r>
      <w:r w:rsidR="00F32B28">
        <w:rPr>
          <w:rtl/>
        </w:rPr>
        <w:t xml:space="preserve"> </w:t>
      </w:r>
      <w:r w:rsidR="00F32B28" w:rsidRPr="00F32B28">
        <w:rPr>
          <w:rtl/>
        </w:rPr>
        <w:t>وعضوية</w:t>
      </w:r>
      <w:r w:rsidR="00F32B28">
        <w:rPr>
          <w:rtl/>
        </w:rPr>
        <w:t xml:space="preserve"> </w:t>
      </w:r>
      <w:r w:rsidR="00F32B28" w:rsidRPr="00F32B28">
        <w:rPr>
          <w:rtl/>
        </w:rPr>
        <w:t>الوزارات</w:t>
      </w:r>
      <w:r w:rsidR="00F32B28">
        <w:rPr>
          <w:rtl/>
        </w:rPr>
        <w:t xml:space="preserve"> </w:t>
      </w:r>
      <w:r w:rsidR="00F32B28" w:rsidRPr="00F32B28">
        <w:rPr>
          <w:rtl/>
        </w:rPr>
        <w:t>والهيئات</w:t>
      </w:r>
      <w:r w:rsidR="00F32B28">
        <w:rPr>
          <w:rtl/>
        </w:rPr>
        <w:t xml:space="preserve"> </w:t>
      </w:r>
      <w:r w:rsidR="00F32B28" w:rsidRPr="00F32B28">
        <w:rPr>
          <w:rtl/>
        </w:rPr>
        <w:t>الحكومية</w:t>
      </w:r>
      <w:r w:rsidR="00F32B28">
        <w:rPr>
          <w:rtl/>
        </w:rPr>
        <w:t xml:space="preserve"> </w:t>
      </w:r>
      <w:r w:rsidR="00F32B28" w:rsidRPr="00F32B28">
        <w:rPr>
          <w:rtl/>
        </w:rPr>
        <w:t>ذات</w:t>
      </w:r>
      <w:r w:rsidR="00F32B28">
        <w:rPr>
          <w:rtl/>
        </w:rPr>
        <w:t xml:space="preserve"> </w:t>
      </w:r>
      <w:r w:rsidR="00F32B28" w:rsidRPr="00F32B28">
        <w:rPr>
          <w:rtl/>
        </w:rPr>
        <w:t>العلاقة</w:t>
      </w:r>
      <w:r w:rsidR="00F32B28">
        <w:rPr>
          <w:rtl/>
        </w:rPr>
        <w:t xml:space="preserve"> </w:t>
      </w:r>
      <w:r w:rsidR="00F32B28" w:rsidRPr="00F32B28">
        <w:rPr>
          <w:rtl/>
        </w:rPr>
        <w:t>ومؤسسات</w:t>
      </w:r>
      <w:r w:rsidR="00F32B28">
        <w:rPr>
          <w:rtl/>
        </w:rPr>
        <w:t xml:space="preserve"> </w:t>
      </w:r>
      <w:r w:rsidR="00F32B28" w:rsidRPr="00F32B28">
        <w:rPr>
          <w:rtl/>
        </w:rPr>
        <w:t>المجتمع</w:t>
      </w:r>
      <w:r w:rsidR="00F32B28">
        <w:rPr>
          <w:rtl/>
        </w:rPr>
        <w:t xml:space="preserve"> </w:t>
      </w:r>
      <w:r w:rsidR="00F32B28" w:rsidRPr="00F32B28">
        <w:rPr>
          <w:rtl/>
        </w:rPr>
        <w:t>المدني</w:t>
      </w:r>
      <w:r w:rsidR="00F32B28">
        <w:rPr>
          <w:rtl/>
        </w:rPr>
        <w:t xml:space="preserve"> </w:t>
      </w:r>
      <w:r w:rsidR="00F32B28" w:rsidRPr="00F32B28">
        <w:rPr>
          <w:rtl/>
        </w:rPr>
        <w:t>والأهلي</w:t>
      </w:r>
      <w:r w:rsidR="00F32B28" w:rsidRPr="00F32B28">
        <w:t>.</w:t>
      </w:r>
    </w:p>
    <w:p w:rsidR="00F32B28" w:rsidRPr="00F32B28" w:rsidRDefault="00A43875" w:rsidP="00A43875">
      <w:pPr>
        <w:pStyle w:val="SingleTxt"/>
        <w:rPr>
          <w:b/>
          <w:bCs/>
        </w:rPr>
      </w:pPr>
      <w:r>
        <w:rPr>
          <w:rFonts w:hint="cs"/>
          <w:rtl/>
        </w:rPr>
        <w:t xml:space="preserve">133 - </w:t>
      </w:r>
      <w:r w:rsidR="00F32B28" w:rsidRPr="00F32B28">
        <w:rPr>
          <w:rtl/>
        </w:rPr>
        <w:t>وفي</w:t>
      </w:r>
      <w:r w:rsidR="00F32B28">
        <w:rPr>
          <w:rtl/>
        </w:rPr>
        <w:t xml:space="preserve"> </w:t>
      </w:r>
      <w:r w:rsidR="00F32B28" w:rsidRPr="00F32B28">
        <w:rPr>
          <w:rtl/>
        </w:rPr>
        <w:t>عام</w:t>
      </w:r>
      <w:r w:rsidR="00F32B28">
        <w:rPr>
          <w:rtl/>
        </w:rPr>
        <w:t xml:space="preserve"> </w:t>
      </w:r>
      <w:r w:rsidR="00F32B28" w:rsidRPr="00F32B28">
        <w:rPr>
          <w:rtl/>
        </w:rPr>
        <w:t>2014،</w:t>
      </w:r>
      <w:r w:rsidR="00F32B28">
        <w:rPr>
          <w:rtl/>
        </w:rPr>
        <w:t xml:space="preserve"> </w:t>
      </w:r>
      <w:r w:rsidR="00F32B28" w:rsidRPr="00F32B28">
        <w:rPr>
          <w:rtl/>
        </w:rPr>
        <w:t>أقرت</w:t>
      </w:r>
      <w:r w:rsidR="00F32B28">
        <w:rPr>
          <w:rtl/>
        </w:rPr>
        <w:t xml:space="preserve"> </w:t>
      </w:r>
      <w:r w:rsidR="00F32B28" w:rsidRPr="00F32B28">
        <w:rPr>
          <w:rtl/>
        </w:rPr>
        <w:t>هذه</w:t>
      </w:r>
      <w:r w:rsidR="00F32B28">
        <w:rPr>
          <w:rtl/>
        </w:rPr>
        <w:t xml:space="preserve"> </w:t>
      </w:r>
      <w:r w:rsidR="00F32B28" w:rsidRPr="00F32B28">
        <w:rPr>
          <w:rtl/>
        </w:rPr>
        <w:t>اللجنة</w:t>
      </w:r>
      <w:r w:rsidR="00F32B28">
        <w:rPr>
          <w:rtl/>
        </w:rPr>
        <w:t xml:space="preserve"> </w:t>
      </w:r>
      <w:r w:rsidR="00F32B28" w:rsidRPr="00F32B28">
        <w:rPr>
          <w:rtl/>
        </w:rPr>
        <w:t>الإطار</w:t>
      </w:r>
      <w:r w:rsidR="00F32B28">
        <w:rPr>
          <w:rtl/>
        </w:rPr>
        <w:t xml:space="preserve"> </w:t>
      </w:r>
      <w:r w:rsidR="00F32B28" w:rsidRPr="00F32B28">
        <w:rPr>
          <w:rtl/>
        </w:rPr>
        <w:t>الوطني</w:t>
      </w:r>
      <w:r w:rsidR="00F32B28">
        <w:rPr>
          <w:rtl/>
        </w:rPr>
        <w:t xml:space="preserve"> </w:t>
      </w:r>
      <w:r w:rsidR="00F32B28" w:rsidRPr="00F32B28">
        <w:rPr>
          <w:rtl/>
        </w:rPr>
        <w:t>الاستراتيجي</w:t>
      </w:r>
      <w:r w:rsidR="00F32B28">
        <w:rPr>
          <w:rtl/>
        </w:rPr>
        <w:t xml:space="preserve"> </w:t>
      </w:r>
      <w:r w:rsidR="00F32B28" w:rsidRPr="00F32B28">
        <w:rPr>
          <w:rtl/>
        </w:rPr>
        <w:t>لقرار</w:t>
      </w:r>
      <w:r w:rsidR="00F32B28">
        <w:rPr>
          <w:rtl/>
        </w:rPr>
        <w:t xml:space="preserve"> </w:t>
      </w:r>
      <w:r w:rsidR="00F32B28" w:rsidRPr="00F32B28">
        <w:rPr>
          <w:rtl/>
        </w:rPr>
        <w:t>1325</w:t>
      </w:r>
      <w:r w:rsidR="00F32B28">
        <w:rPr>
          <w:rtl/>
        </w:rPr>
        <w:t xml:space="preserve"> </w:t>
      </w:r>
      <w:r w:rsidR="00F32B28" w:rsidRPr="00F32B28">
        <w:rPr>
          <w:rtl/>
        </w:rPr>
        <w:t>الذي</w:t>
      </w:r>
      <w:r w:rsidR="00F32B28">
        <w:rPr>
          <w:rtl/>
        </w:rPr>
        <w:t xml:space="preserve"> </w:t>
      </w:r>
      <w:r w:rsidR="00F32B28" w:rsidRPr="00F32B28">
        <w:rPr>
          <w:rtl/>
        </w:rPr>
        <w:t>يهدف</w:t>
      </w:r>
      <w:r w:rsidR="00F32B28">
        <w:rPr>
          <w:rtl/>
        </w:rPr>
        <w:t xml:space="preserve"> </w:t>
      </w:r>
      <w:r w:rsidR="00F32B28" w:rsidRPr="00F32B28">
        <w:rPr>
          <w:rtl/>
        </w:rPr>
        <w:t>توفير</w:t>
      </w:r>
      <w:r w:rsidR="00F32B28">
        <w:rPr>
          <w:rtl/>
        </w:rPr>
        <w:t xml:space="preserve"> </w:t>
      </w:r>
      <w:r w:rsidR="00F32B28" w:rsidRPr="00F32B28">
        <w:rPr>
          <w:rtl/>
        </w:rPr>
        <w:t>الأمن</w:t>
      </w:r>
      <w:r w:rsidR="00F32B28">
        <w:rPr>
          <w:rtl/>
        </w:rPr>
        <w:t xml:space="preserve"> </w:t>
      </w:r>
      <w:r w:rsidR="00F32B28" w:rsidRPr="00F32B28">
        <w:rPr>
          <w:rtl/>
        </w:rPr>
        <w:t>والحماية</w:t>
      </w:r>
      <w:r w:rsidR="00F32B28">
        <w:rPr>
          <w:rtl/>
        </w:rPr>
        <w:t xml:space="preserve"> </w:t>
      </w:r>
      <w:r w:rsidR="00F32B28" w:rsidRPr="00F32B28">
        <w:rPr>
          <w:rtl/>
        </w:rPr>
        <w:t>للنساء</w:t>
      </w:r>
      <w:r w:rsidR="00F32B28">
        <w:rPr>
          <w:rtl/>
        </w:rPr>
        <w:t xml:space="preserve"> </w:t>
      </w:r>
      <w:r w:rsidR="00F32B28" w:rsidRPr="00F32B28">
        <w:rPr>
          <w:rtl/>
        </w:rPr>
        <w:t>والفتيات</w:t>
      </w:r>
      <w:r w:rsidR="00F32B28">
        <w:rPr>
          <w:rtl/>
        </w:rPr>
        <w:t xml:space="preserve"> </w:t>
      </w:r>
      <w:r w:rsidR="00F32B28" w:rsidRPr="00F32B28">
        <w:rPr>
          <w:rtl/>
        </w:rPr>
        <w:t>الفلسطينيات</w:t>
      </w:r>
      <w:r w:rsidR="00F32B28">
        <w:rPr>
          <w:rtl/>
        </w:rPr>
        <w:t xml:space="preserve"> </w:t>
      </w:r>
      <w:r w:rsidR="00F32B28" w:rsidRPr="00F32B28">
        <w:rPr>
          <w:rtl/>
        </w:rPr>
        <w:t>من</w:t>
      </w:r>
      <w:r w:rsidR="00F32B28">
        <w:rPr>
          <w:rtl/>
        </w:rPr>
        <w:t xml:space="preserve"> </w:t>
      </w:r>
      <w:r w:rsidR="00F32B28" w:rsidRPr="00F32B28">
        <w:rPr>
          <w:rtl/>
        </w:rPr>
        <w:t>جرائم</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وفي</w:t>
      </w:r>
      <w:r w:rsidR="00F32B28">
        <w:rPr>
          <w:rtl/>
        </w:rPr>
        <w:t xml:space="preserve"> </w:t>
      </w:r>
      <w:r w:rsidR="00F32B28" w:rsidRPr="00F32B28">
        <w:rPr>
          <w:rtl/>
        </w:rPr>
        <w:t>شهر</w:t>
      </w:r>
      <w:r w:rsidR="00F32B28">
        <w:rPr>
          <w:rtl/>
        </w:rPr>
        <w:t xml:space="preserve"> </w:t>
      </w:r>
      <w:r w:rsidR="00F32B28" w:rsidRPr="00F32B28">
        <w:rPr>
          <w:rtl/>
        </w:rPr>
        <w:t>آب/أغسطس</w:t>
      </w:r>
      <w:r w:rsidR="00F32B28">
        <w:rPr>
          <w:rtl/>
        </w:rPr>
        <w:t xml:space="preserve"> </w:t>
      </w:r>
      <w:r w:rsidR="00F32B28" w:rsidRPr="00F32B28">
        <w:rPr>
          <w:rtl/>
        </w:rPr>
        <w:t>2016،</w:t>
      </w:r>
      <w:r w:rsidR="00F32B28">
        <w:rPr>
          <w:rtl/>
        </w:rPr>
        <w:t xml:space="preserve"> </w:t>
      </w:r>
      <w:r w:rsidR="00F32B28" w:rsidRPr="00F32B28">
        <w:rPr>
          <w:rtl/>
        </w:rPr>
        <w:t>أقرت</w:t>
      </w:r>
      <w:r w:rsidR="00F32B28">
        <w:rPr>
          <w:rtl/>
        </w:rPr>
        <w:t xml:space="preserve"> </w:t>
      </w:r>
      <w:r w:rsidR="00F32B28" w:rsidRPr="00F32B28">
        <w:rPr>
          <w:rtl/>
        </w:rPr>
        <w:t>اللجنة</w:t>
      </w:r>
      <w:r w:rsidR="00F32B28">
        <w:rPr>
          <w:rtl/>
        </w:rPr>
        <w:t xml:space="preserve"> </w:t>
      </w:r>
      <w:r w:rsidR="00F32B28" w:rsidRPr="00F32B28">
        <w:rPr>
          <w:rtl/>
        </w:rPr>
        <w:t>الوطنية</w:t>
      </w:r>
      <w:r w:rsidR="00F32B28">
        <w:rPr>
          <w:rtl/>
        </w:rPr>
        <w:t xml:space="preserve"> </w:t>
      </w:r>
      <w:r w:rsidR="00F32B28" w:rsidRPr="00F32B28">
        <w:rPr>
          <w:rtl/>
        </w:rPr>
        <w:t>العليا</w:t>
      </w:r>
      <w:r w:rsidR="00F32B28">
        <w:rPr>
          <w:rtl/>
        </w:rPr>
        <w:t xml:space="preserve"> </w:t>
      </w:r>
      <w:r w:rsidR="00F32B28" w:rsidRPr="00F32B28">
        <w:rPr>
          <w:rtl/>
        </w:rPr>
        <w:t>لتطبيق</w:t>
      </w:r>
      <w:r w:rsidR="00F32B28">
        <w:rPr>
          <w:rtl/>
        </w:rPr>
        <w:t xml:space="preserve"> </w:t>
      </w:r>
      <w:r w:rsidR="00F32B28" w:rsidRPr="00F32B28">
        <w:rPr>
          <w:rtl/>
        </w:rPr>
        <w:t>قرار</w:t>
      </w:r>
      <w:r w:rsidR="00F32B28">
        <w:rPr>
          <w:rtl/>
        </w:rPr>
        <w:t xml:space="preserve"> </w:t>
      </w:r>
      <w:r w:rsidR="00F32B28" w:rsidRPr="00F32B28">
        <w:rPr>
          <w:rtl/>
        </w:rPr>
        <w:t>مجلس</w:t>
      </w:r>
      <w:r w:rsidR="00F32B28">
        <w:rPr>
          <w:rtl/>
        </w:rPr>
        <w:t xml:space="preserve"> </w:t>
      </w:r>
      <w:r w:rsidR="00F32B28" w:rsidRPr="00F32B28">
        <w:rPr>
          <w:rtl/>
        </w:rPr>
        <w:t>الأمن</w:t>
      </w:r>
      <w:r w:rsidR="00F32B28">
        <w:rPr>
          <w:rtl/>
        </w:rPr>
        <w:t xml:space="preserve"> </w:t>
      </w:r>
      <w:r w:rsidR="00F32B28" w:rsidRPr="00F32B28">
        <w:rPr>
          <w:rtl/>
        </w:rPr>
        <w:t>1325</w:t>
      </w:r>
      <w:r w:rsidR="00F32B28">
        <w:rPr>
          <w:rtl/>
        </w:rPr>
        <w:t xml:space="preserve"> </w:t>
      </w:r>
      <w:r w:rsidR="00F32B28" w:rsidRPr="00F32B28">
        <w:rPr>
          <w:rtl/>
        </w:rPr>
        <w:t>الخطة</w:t>
      </w:r>
      <w:r w:rsidR="00F32B28">
        <w:rPr>
          <w:rtl/>
        </w:rPr>
        <w:t xml:space="preserve"> </w:t>
      </w:r>
      <w:r w:rsidR="00F32B28" w:rsidRPr="00F32B28">
        <w:rPr>
          <w:rtl/>
        </w:rPr>
        <w:t>الوطنية</w:t>
      </w:r>
      <w:r w:rsidR="00F32B28">
        <w:rPr>
          <w:rtl/>
        </w:rPr>
        <w:t xml:space="preserve"> </w:t>
      </w:r>
      <w:r w:rsidR="00F32B28" w:rsidRPr="00F32B28">
        <w:rPr>
          <w:rtl/>
        </w:rPr>
        <w:t>التنفيذية</w:t>
      </w:r>
      <w:r w:rsidR="00F32B28">
        <w:rPr>
          <w:rtl/>
        </w:rPr>
        <w:t xml:space="preserve"> </w:t>
      </w:r>
      <w:r w:rsidR="00F32B28" w:rsidRPr="00F32B28">
        <w:rPr>
          <w:rtl/>
        </w:rPr>
        <w:t>للقرار؛</w:t>
      </w:r>
      <w:r w:rsidR="00F32B28">
        <w:rPr>
          <w:rtl/>
        </w:rPr>
        <w:t xml:space="preserve"> </w:t>
      </w:r>
      <w:r w:rsidR="00F32B28" w:rsidRPr="00F32B28">
        <w:rPr>
          <w:rtl/>
        </w:rPr>
        <w:t>التي</w:t>
      </w:r>
      <w:r w:rsidR="00F32B28">
        <w:rPr>
          <w:rtl/>
        </w:rPr>
        <w:t xml:space="preserve"> </w:t>
      </w:r>
      <w:r w:rsidR="00F32B28" w:rsidRPr="00F32B28">
        <w:rPr>
          <w:rtl/>
        </w:rPr>
        <w:t>جاءت</w:t>
      </w:r>
      <w:r w:rsidR="00F32B28">
        <w:rPr>
          <w:rtl/>
        </w:rPr>
        <w:t xml:space="preserve"> </w:t>
      </w:r>
      <w:r w:rsidR="00F32B28" w:rsidRPr="00F32B28">
        <w:rPr>
          <w:rtl/>
        </w:rPr>
        <w:t>لتضع</w:t>
      </w:r>
      <w:r w:rsidR="00F32B28">
        <w:rPr>
          <w:rtl/>
        </w:rPr>
        <w:t xml:space="preserve"> </w:t>
      </w:r>
      <w:r w:rsidR="00F32B28" w:rsidRPr="00F32B28">
        <w:rPr>
          <w:rtl/>
        </w:rPr>
        <w:t>الإطار</w:t>
      </w:r>
      <w:r w:rsidR="00F32B28">
        <w:rPr>
          <w:rtl/>
        </w:rPr>
        <w:t xml:space="preserve"> </w:t>
      </w:r>
      <w:r w:rsidR="00F32B28" w:rsidRPr="00F32B28">
        <w:rPr>
          <w:rtl/>
        </w:rPr>
        <w:t>الوطني</w:t>
      </w:r>
      <w:r w:rsidR="00F32B28">
        <w:rPr>
          <w:rtl/>
        </w:rPr>
        <w:t xml:space="preserve"> </w:t>
      </w:r>
      <w:r w:rsidR="00F32B28" w:rsidRPr="00F32B28">
        <w:rPr>
          <w:rtl/>
        </w:rPr>
        <w:t>الاستراتيجي</w:t>
      </w:r>
      <w:r w:rsidR="00F32B28">
        <w:rPr>
          <w:rtl/>
        </w:rPr>
        <w:t xml:space="preserve"> </w:t>
      </w:r>
      <w:r w:rsidR="00F32B28" w:rsidRPr="00F32B28">
        <w:rPr>
          <w:rtl/>
        </w:rPr>
        <w:t>للقرار</w:t>
      </w:r>
      <w:r w:rsidR="00F32B28">
        <w:rPr>
          <w:rtl/>
        </w:rPr>
        <w:t xml:space="preserve"> </w:t>
      </w:r>
      <w:r w:rsidR="00F32B28" w:rsidRPr="00F32B28">
        <w:rPr>
          <w:rtl/>
        </w:rPr>
        <w:t>موضع</w:t>
      </w:r>
      <w:r w:rsidR="00F32B28">
        <w:rPr>
          <w:rtl/>
        </w:rPr>
        <w:t xml:space="preserve"> </w:t>
      </w:r>
      <w:r w:rsidR="00F32B28" w:rsidRPr="00F32B28">
        <w:rPr>
          <w:rtl/>
        </w:rPr>
        <w:t>التنفيذ،</w:t>
      </w:r>
      <w:r w:rsidR="00F32B28">
        <w:rPr>
          <w:rtl/>
        </w:rPr>
        <w:t xml:space="preserve"> </w:t>
      </w:r>
      <w:r w:rsidR="00F32B28" w:rsidRPr="00F32B28">
        <w:rPr>
          <w:rtl/>
        </w:rPr>
        <w:t>وتسعى</w:t>
      </w:r>
      <w:r w:rsidR="00F32B28">
        <w:rPr>
          <w:rtl/>
        </w:rPr>
        <w:t xml:space="preserve"> </w:t>
      </w:r>
      <w:r w:rsidR="00F32B28" w:rsidRPr="00F32B28">
        <w:rPr>
          <w:rtl/>
        </w:rPr>
        <w:t>إلى</w:t>
      </w:r>
      <w:r w:rsidR="00F32B28">
        <w:rPr>
          <w:rtl/>
        </w:rPr>
        <w:t xml:space="preserve"> </w:t>
      </w:r>
      <w:r w:rsidR="00F32B28" w:rsidRPr="00F32B28">
        <w:rPr>
          <w:rtl/>
        </w:rPr>
        <w:t>تحقيق</w:t>
      </w:r>
      <w:r w:rsidR="00F32B28">
        <w:rPr>
          <w:rtl/>
        </w:rPr>
        <w:t xml:space="preserve"> </w:t>
      </w:r>
      <w:r w:rsidR="00F32B28" w:rsidRPr="00F32B28">
        <w:rPr>
          <w:rtl/>
        </w:rPr>
        <w:t>ثلاثة</w:t>
      </w:r>
      <w:r w:rsidR="00F32B28">
        <w:rPr>
          <w:rtl/>
        </w:rPr>
        <w:t xml:space="preserve"> </w:t>
      </w:r>
      <w:r w:rsidR="00F32B28" w:rsidRPr="00F32B28">
        <w:rPr>
          <w:rtl/>
        </w:rPr>
        <w:t>أهداف</w:t>
      </w:r>
      <w:r w:rsidR="00F32B28">
        <w:rPr>
          <w:rtl/>
        </w:rPr>
        <w:t xml:space="preserve"> </w:t>
      </w:r>
      <w:r w:rsidR="00F32B28" w:rsidRPr="00F32B28">
        <w:rPr>
          <w:rtl/>
        </w:rPr>
        <w:t>استراتيجية</w:t>
      </w:r>
      <w:r w:rsidR="00F32B28">
        <w:rPr>
          <w:rtl/>
        </w:rPr>
        <w:t xml:space="preserve"> </w:t>
      </w:r>
      <w:r w:rsidR="00F32B28" w:rsidRPr="00F32B28">
        <w:rPr>
          <w:rtl/>
        </w:rPr>
        <w:t>خلال</w:t>
      </w:r>
      <w:r w:rsidR="00F32B28">
        <w:rPr>
          <w:rtl/>
        </w:rPr>
        <w:t xml:space="preserve"> </w:t>
      </w:r>
      <w:r w:rsidR="00F32B28" w:rsidRPr="00F32B28">
        <w:rPr>
          <w:rtl/>
        </w:rPr>
        <w:t>إطارها</w:t>
      </w:r>
      <w:r w:rsidR="00F32B28">
        <w:rPr>
          <w:rtl/>
        </w:rPr>
        <w:t xml:space="preserve"> </w:t>
      </w:r>
      <w:r w:rsidR="00F32B28" w:rsidRPr="00F32B28">
        <w:rPr>
          <w:rtl/>
        </w:rPr>
        <w:t>الزمني</w:t>
      </w:r>
      <w:r w:rsidR="00F32B28">
        <w:rPr>
          <w:rtl/>
        </w:rPr>
        <w:t xml:space="preserve"> </w:t>
      </w:r>
      <w:r w:rsidR="00F32B28" w:rsidRPr="00F32B28">
        <w:rPr>
          <w:rtl/>
        </w:rPr>
        <w:t>الأول</w:t>
      </w:r>
      <w:r w:rsidR="00F32B28">
        <w:rPr>
          <w:rtl/>
        </w:rPr>
        <w:t xml:space="preserve"> </w:t>
      </w:r>
      <w:r w:rsidR="00F32B28" w:rsidRPr="00F32B28">
        <w:rPr>
          <w:rtl/>
        </w:rPr>
        <w:t>2017-2019،</w:t>
      </w:r>
      <w:r w:rsidR="00F32B28">
        <w:rPr>
          <w:rtl/>
        </w:rPr>
        <w:t xml:space="preserve"> </w:t>
      </w:r>
      <w:r w:rsidR="00F32B28" w:rsidRPr="00F32B28">
        <w:rPr>
          <w:rtl/>
        </w:rPr>
        <w:t>وهي:</w:t>
      </w:r>
      <w:r w:rsidR="00F32B28">
        <w:rPr>
          <w:rtl/>
        </w:rPr>
        <w:t xml:space="preserve"> </w:t>
      </w:r>
      <w:r w:rsidR="00F32B28" w:rsidRPr="00F32B28">
        <w:rPr>
          <w:rtl/>
        </w:rPr>
        <w:t>تعزيز</w:t>
      </w:r>
      <w:r w:rsidR="00F32B28">
        <w:rPr>
          <w:rtl/>
        </w:rPr>
        <w:t xml:space="preserve"> </w:t>
      </w:r>
      <w:r w:rsidR="00F32B28" w:rsidRPr="00F32B28">
        <w:rPr>
          <w:rtl/>
        </w:rPr>
        <w:t>حماية</w:t>
      </w:r>
      <w:r w:rsidR="00F32B28">
        <w:rPr>
          <w:rtl/>
        </w:rPr>
        <w:t xml:space="preserve"> </w:t>
      </w:r>
      <w:r w:rsidR="00F32B28" w:rsidRPr="00F32B28">
        <w:rPr>
          <w:rtl/>
        </w:rPr>
        <w:t>النساء</w:t>
      </w:r>
      <w:r w:rsidR="00F32B28">
        <w:rPr>
          <w:rtl/>
        </w:rPr>
        <w:t xml:space="preserve"> </w:t>
      </w:r>
      <w:r w:rsidR="00F32B28" w:rsidRPr="00F32B28">
        <w:rPr>
          <w:rtl/>
        </w:rPr>
        <w:t>والفتيات</w:t>
      </w:r>
      <w:r w:rsidR="00F32B28">
        <w:rPr>
          <w:rtl/>
        </w:rPr>
        <w:t xml:space="preserve"> </w:t>
      </w:r>
      <w:r w:rsidR="00F32B28" w:rsidRPr="00F32B28">
        <w:rPr>
          <w:rtl/>
        </w:rPr>
        <w:t>الفلسطينيات</w:t>
      </w:r>
      <w:r w:rsidR="00F32B28">
        <w:rPr>
          <w:rtl/>
        </w:rPr>
        <w:t xml:space="preserve"> </w:t>
      </w:r>
      <w:r w:rsidR="00F32B28" w:rsidRPr="00F32B28">
        <w:rPr>
          <w:rtl/>
        </w:rPr>
        <w:t>في</w:t>
      </w:r>
      <w:r w:rsidR="00F32B28">
        <w:rPr>
          <w:rtl/>
        </w:rPr>
        <w:t xml:space="preserve"> </w:t>
      </w:r>
      <w:r w:rsidR="00F32B28" w:rsidRPr="00F32B28">
        <w:rPr>
          <w:rtl/>
        </w:rPr>
        <w:t>مواجهة</w:t>
      </w:r>
      <w:r w:rsidR="00F32B28">
        <w:rPr>
          <w:rtl/>
        </w:rPr>
        <w:t xml:space="preserve"> </w:t>
      </w:r>
      <w:r w:rsidR="00F32B28" w:rsidRPr="00F32B28">
        <w:rPr>
          <w:rtl/>
        </w:rPr>
        <w:t>انتهاكات</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ومساءلة</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ومنع</w:t>
      </w:r>
      <w:r w:rsidR="00F32B28">
        <w:rPr>
          <w:rtl/>
        </w:rPr>
        <w:t xml:space="preserve"> </w:t>
      </w:r>
      <w:r w:rsidR="00F32B28" w:rsidRPr="00F32B28">
        <w:rPr>
          <w:rtl/>
        </w:rPr>
        <w:t>الإفلات</w:t>
      </w:r>
      <w:r w:rsidR="00F32B28">
        <w:rPr>
          <w:rtl/>
        </w:rPr>
        <w:t xml:space="preserve"> </w:t>
      </w:r>
      <w:r w:rsidR="00F32B28" w:rsidRPr="00F32B28">
        <w:rPr>
          <w:rtl/>
        </w:rPr>
        <w:t>من</w:t>
      </w:r>
      <w:r w:rsidR="00F32B28">
        <w:rPr>
          <w:rtl/>
        </w:rPr>
        <w:t xml:space="preserve"> </w:t>
      </w:r>
      <w:r w:rsidR="00F32B28" w:rsidRPr="00F32B28">
        <w:rPr>
          <w:rtl/>
        </w:rPr>
        <w:t>العقاب،</w:t>
      </w:r>
      <w:r w:rsidR="00F32B28">
        <w:rPr>
          <w:rtl/>
        </w:rPr>
        <w:t xml:space="preserve"> </w:t>
      </w:r>
      <w:r w:rsidR="00F32B28" w:rsidRPr="00F32B28">
        <w:rPr>
          <w:rtl/>
        </w:rPr>
        <w:t>إلى</w:t>
      </w:r>
      <w:r w:rsidR="00F32B28">
        <w:rPr>
          <w:rtl/>
        </w:rPr>
        <w:t xml:space="preserve"> </w:t>
      </w:r>
      <w:r w:rsidR="00F32B28" w:rsidRPr="00F32B28">
        <w:rPr>
          <w:rtl/>
        </w:rPr>
        <w:t>جانب</w:t>
      </w:r>
      <w:r w:rsidR="00F32B28">
        <w:rPr>
          <w:rtl/>
        </w:rPr>
        <w:t xml:space="preserve"> </w:t>
      </w:r>
      <w:r w:rsidR="00F32B28" w:rsidRPr="00F32B28">
        <w:rPr>
          <w:rtl/>
        </w:rPr>
        <w:t>جبر</w:t>
      </w:r>
      <w:r w:rsidR="00F32B28">
        <w:rPr>
          <w:rtl/>
        </w:rPr>
        <w:t xml:space="preserve"> </w:t>
      </w:r>
      <w:r w:rsidR="00F32B28" w:rsidRPr="00F32B28">
        <w:rPr>
          <w:rtl/>
        </w:rPr>
        <w:t>الضرر</w:t>
      </w:r>
      <w:r w:rsidR="00F32B28">
        <w:rPr>
          <w:rtl/>
        </w:rPr>
        <w:t xml:space="preserve"> </w:t>
      </w:r>
      <w:r w:rsidR="00F32B28" w:rsidRPr="00F32B28">
        <w:rPr>
          <w:rtl/>
        </w:rPr>
        <w:t>الواقع</w:t>
      </w:r>
      <w:r w:rsidR="00F32B28">
        <w:rPr>
          <w:rtl/>
        </w:rPr>
        <w:t xml:space="preserve"> </w:t>
      </w:r>
      <w:r w:rsidR="00F32B28" w:rsidRPr="00F32B28">
        <w:rPr>
          <w:rtl/>
        </w:rPr>
        <w:t>على</w:t>
      </w:r>
      <w:r w:rsidR="00F32B28">
        <w:rPr>
          <w:rtl/>
        </w:rPr>
        <w:t xml:space="preserve"> </w:t>
      </w:r>
      <w:r w:rsidR="00F32B28" w:rsidRPr="00F32B28">
        <w:rPr>
          <w:rtl/>
        </w:rPr>
        <w:t>النساء</w:t>
      </w:r>
      <w:r w:rsidR="00F32B28">
        <w:rPr>
          <w:rtl/>
        </w:rPr>
        <w:t xml:space="preserve"> </w:t>
      </w:r>
      <w:r w:rsidR="00F32B28" w:rsidRPr="00F32B28">
        <w:rPr>
          <w:rtl/>
        </w:rPr>
        <w:t>والفتيات</w:t>
      </w:r>
      <w:r w:rsidR="00F32B28">
        <w:rPr>
          <w:rtl/>
        </w:rPr>
        <w:t xml:space="preserve"> </w:t>
      </w:r>
      <w:r w:rsidR="00F32B28" w:rsidRPr="00F32B28">
        <w:rPr>
          <w:rtl/>
        </w:rPr>
        <w:t>الفلسطينيات</w:t>
      </w:r>
      <w:r w:rsidR="00F32B28">
        <w:rPr>
          <w:rtl/>
        </w:rPr>
        <w:t xml:space="preserve"> </w:t>
      </w:r>
      <w:r w:rsidR="00F32B28" w:rsidRPr="00F32B28">
        <w:rPr>
          <w:rtl/>
        </w:rPr>
        <w:t>بموجب</w:t>
      </w:r>
      <w:r w:rsidR="00F32B28">
        <w:rPr>
          <w:rtl/>
        </w:rPr>
        <w:t xml:space="preserve"> </w:t>
      </w:r>
      <w:r w:rsidR="00F32B28" w:rsidRPr="00F32B28">
        <w:rPr>
          <w:rtl/>
        </w:rPr>
        <w:t>الآليات</w:t>
      </w:r>
      <w:r w:rsidR="00F32B28">
        <w:rPr>
          <w:rtl/>
        </w:rPr>
        <w:t xml:space="preserve"> </w:t>
      </w:r>
      <w:r w:rsidR="00F32B28" w:rsidRPr="00F32B28">
        <w:rPr>
          <w:rtl/>
        </w:rPr>
        <w:t>الدولية</w:t>
      </w:r>
      <w:r w:rsidR="00F32B28">
        <w:rPr>
          <w:rtl/>
        </w:rPr>
        <w:t xml:space="preserve"> </w:t>
      </w:r>
      <w:r w:rsidR="00F32B28" w:rsidRPr="00F32B28">
        <w:rPr>
          <w:rtl/>
        </w:rPr>
        <w:t>والوطنية،</w:t>
      </w:r>
      <w:r w:rsidR="00F32B28">
        <w:rPr>
          <w:rtl/>
        </w:rPr>
        <w:t xml:space="preserve"> </w:t>
      </w:r>
      <w:r w:rsidR="00F32B28" w:rsidRPr="00F32B28">
        <w:rPr>
          <w:rtl/>
        </w:rPr>
        <w:t>وتعزيز</w:t>
      </w:r>
      <w:r w:rsidR="00F32B28">
        <w:rPr>
          <w:rtl/>
        </w:rPr>
        <w:t xml:space="preserve"> </w:t>
      </w:r>
      <w:r w:rsidR="00F32B28" w:rsidRPr="00F32B28">
        <w:rPr>
          <w:rtl/>
        </w:rPr>
        <w:t>مشاركة</w:t>
      </w:r>
      <w:r w:rsidR="00F32B28">
        <w:rPr>
          <w:rtl/>
        </w:rPr>
        <w:t xml:space="preserve"> </w:t>
      </w:r>
      <w:r w:rsidR="00F32B28" w:rsidRPr="00F32B28">
        <w:rPr>
          <w:rtl/>
        </w:rPr>
        <w:t>النساء</w:t>
      </w:r>
      <w:r w:rsidR="00F32B28">
        <w:rPr>
          <w:rtl/>
        </w:rPr>
        <w:t xml:space="preserve"> </w:t>
      </w:r>
      <w:r w:rsidR="00F32B28" w:rsidRPr="00F32B28">
        <w:rPr>
          <w:rtl/>
        </w:rPr>
        <w:t>الفلسطينيات</w:t>
      </w:r>
      <w:r w:rsidR="00F32B28">
        <w:rPr>
          <w:rtl/>
        </w:rPr>
        <w:t xml:space="preserve"> </w:t>
      </w:r>
      <w:r w:rsidR="00F32B28" w:rsidRPr="00F32B28">
        <w:rPr>
          <w:rtl/>
        </w:rPr>
        <w:t>في</w:t>
      </w:r>
      <w:r w:rsidR="00F32B28">
        <w:rPr>
          <w:rtl/>
        </w:rPr>
        <w:t xml:space="preserve"> </w:t>
      </w:r>
      <w:r w:rsidR="00F32B28" w:rsidRPr="00F32B28">
        <w:rPr>
          <w:rtl/>
        </w:rPr>
        <w:t>عمليات</w:t>
      </w:r>
      <w:r w:rsidR="00F32B28">
        <w:rPr>
          <w:rtl/>
        </w:rPr>
        <w:t xml:space="preserve"> </w:t>
      </w:r>
      <w:r w:rsidR="00F32B28" w:rsidRPr="00F32B28">
        <w:rPr>
          <w:rtl/>
        </w:rPr>
        <w:t>صنع</w:t>
      </w:r>
      <w:r w:rsidR="00F32B28">
        <w:rPr>
          <w:rtl/>
        </w:rPr>
        <w:t xml:space="preserve"> </w:t>
      </w:r>
      <w:r w:rsidR="00F32B28" w:rsidRPr="00F32B28">
        <w:rPr>
          <w:rtl/>
        </w:rPr>
        <w:t>القرار</w:t>
      </w:r>
      <w:r w:rsidR="00F32B28">
        <w:rPr>
          <w:rtl/>
        </w:rPr>
        <w:t xml:space="preserve"> </w:t>
      </w:r>
      <w:r w:rsidR="00F32B28" w:rsidRPr="00F32B28">
        <w:rPr>
          <w:rtl/>
        </w:rPr>
        <w:t>على</w:t>
      </w:r>
      <w:r w:rsidR="00F32B28">
        <w:rPr>
          <w:rtl/>
        </w:rPr>
        <w:t xml:space="preserve"> </w:t>
      </w:r>
      <w:r w:rsidR="00F32B28" w:rsidRPr="00F32B28">
        <w:rPr>
          <w:rtl/>
        </w:rPr>
        <w:t>المستوى</w:t>
      </w:r>
      <w:r w:rsidR="00F32B28">
        <w:rPr>
          <w:rtl/>
        </w:rPr>
        <w:t xml:space="preserve"> </w:t>
      </w:r>
      <w:r w:rsidR="00F32B28" w:rsidRPr="00F32B28">
        <w:rPr>
          <w:rtl/>
        </w:rPr>
        <w:t>المحلي</w:t>
      </w:r>
      <w:r w:rsidR="00362769">
        <w:rPr>
          <w:rFonts w:hint="cs"/>
          <w:rtl/>
        </w:rPr>
        <w:t> </w:t>
      </w:r>
      <w:r w:rsidR="00F32B28" w:rsidRPr="00F32B28">
        <w:rPr>
          <w:rtl/>
        </w:rPr>
        <w:t>والدولي.</w:t>
      </w:r>
    </w:p>
    <w:p w:rsidR="00A43875" w:rsidRPr="00A43875" w:rsidRDefault="00A43875" w:rsidP="00A43875">
      <w:pPr>
        <w:pStyle w:val="SingleTxt"/>
        <w:spacing w:after="0" w:line="120" w:lineRule="exact"/>
        <w:rPr>
          <w:b/>
          <w:bCs/>
          <w:sz w:val="10"/>
          <w:rtl/>
        </w:rPr>
      </w:pPr>
    </w:p>
    <w:p w:rsidR="00F32B28" w:rsidRPr="00F32B28" w:rsidRDefault="00F32B28" w:rsidP="00F32B28">
      <w:pPr>
        <w:pStyle w:val="SingleTxt"/>
        <w:rPr>
          <w:b/>
          <w:bCs/>
          <w:rtl/>
        </w:rPr>
      </w:pPr>
      <w:r w:rsidRPr="00F32B28">
        <w:rPr>
          <w:b/>
          <w:bCs/>
          <w:rtl/>
        </w:rPr>
        <w:t>التحديات</w:t>
      </w:r>
    </w:p>
    <w:p w:rsidR="00F32B28" w:rsidRPr="00F32B28" w:rsidRDefault="00A43875" w:rsidP="00A43875">
      <w:pPr>
        <w:pStyle w:val="SingleTxt"/>
      </w:pPr>
      <w:r>
        <w:rPr>
          <w:rFonts w:hint="cs"/>
          <w:rtl/>
        </w:rPr>
        <w:t xml:space="preserve">134 - </w:t>
      </w:r>
      <w:r w:rsidR="00F32B28" w:rsidRPr="00F32B28">
        <w:rPr>
          <w:rtl/>
        </w:rPr>
        <w:t>رغم</w:t>
      </w:r>
      <w:r w:rsidR="00F32B28">
        <w:rPr>
          <w:rtl/>
        </w:rPr>
        <w:t xml:space="preserve"> </w:t>
      </w:r>
      <w:r w:rsidR="00F32B28" w:rsidRPr="00F32B28">
        <w:rPr>
          <w:rtl/>
        </w:rPr>
        <w:t>اتخاذ</w:t>
      </w:r>
      <w:r w:rsidR="00F32B28">
        <w:rPr>
          <w:rtl/>
        </w:rPr>
        <w:t xml:space="preserve"> </w:t>
      </w:r>
      <w:r w:rsidR="00F32B28" w:rsidRPr="00F32B28">
        <w:rPr>
          <w:rtl/>
        </w:rPr>
        <w:t>التشريعات</w:t>
      </w:r>
      <w:r w:rsidR="00F32B28">
        <w:rPr>
          <w:rtl/>
        </w:rPr>
        <w:t xml:space="preserve"> </w:t>
      </w:r>
      <w:r w:rsidR="00F32B28" w:rsidRPr="00F32B28">
        <w:rPr>
          <w:rtl/>
        </w:rPr>
        <w:t>ذات</w:t>
      </w:r>
      <w:r w:rsidR="00F32B28">
        <w:rPr>
          <w:rtl/>
        </w:rPr>
        <w:t xml:space="preserve"> </w:t>
      </w:r>
      <w:r w:rsidR="00F32B28" w:rsidRPr="00F32B28">
        <w:rPr>
          <w:rtl/>
        </w:rPr>
        <w:t>العلاقة</w:t>
      </w:r>
      <w:r w:rsidR="00F32B28">
        <w:rPr>
          <w:rtl/>
        </w:rPr>
        <w:t xml:space="preserve"> </w:t>
      </w:r>
      <w:r w:rsidR="00F32B28" w:rsidRPr="00F32B28">
        <w:rPr>
          <w:rtl/>
        </w:rPr>
        <w:t>لعدد</w:t>
      </w:r>
      <w:r w:rsidR="00F32B28">
        <w:rPr>
          <w:rtl/>
        </w:rPr>
        <w:t xml:space="preserve"> </w:t>
      </w:r>
      <w:r w:rsidR="00F32B28" w:rsidRPr="00F32B28">
        <w:rPr>
          <w:rtl/>
        </w:rPr>
        <w:t>من</w:t>
      </w:r>
      <w:r w:rsidR="00F32B28">
        <w:rPr>
          <w:rtl/>
        </w:rPr>
        <w:t xml:space="preserve"> </w:t>
      </w:r>
      <w:r w:rsidR="00F32B28" w:rsidRPr="00F32B28">
        <w:rPr>
          <w:rtl/>
        </w:rPr>
        <w:t>التدابير</w:t>
      </w:r>
      <w:r w:rsidR="00F32B28">
        <w:rPr>
          <w:rtl/>
        </w:rPr>
        <w:t xml:space="preserve"> </w:t>
      </w:r>
      <w:r w:rsidR="00F32B28" w:rsidRPr="00F32B28">
        <w:rPr>
          <w:rtl/>
        </w:rPr>
        <w:t>الإيجابية</w:t>
      </w:r>
      <w:r w:rsidR="00F32B28">
        <w:rPr>
          <w:rtl/>
        </w:rPr>
        <w:t xml:space="preserve"> </w:t>
      </w:r>
      <w:r w:rsidR="00F32B28" w:rsidRPr="00F32B28">
        <w:rPr>
          <w:rtl/>
        </w:rPr>
        <w:t>المؤقتة</w:t>
      </w:r>
      <w:r w:rsidR="00F32B28">
        <w:rPr>
          <w:rtl/>
        </w:rPr>
        <w:t xml:space="preserve"> </w:t>
      </w:r>
      <w:r w:rsidR="00F32B28" w:rsidRPr="00F32B28">
        <w:rPr>
          <w:rtl/>
        </w:rPr>
        <w:t>لتعجيل</w:t>
      </w:r>
      <w:r w:rsidR="00F32B28">
        <w:rPr>
          <w:rtl/>
        </w:rPr>
        <w:t xml:space="preserve"> </w:t>
      </w:r>
      <w:r w:rsidR="00F32B28" w:rsidRPr="00F32B28">
        <w:rPr>
          <w:rtl/>
        </w:rPr>
        <w:t>المساواة</w:t>
      </w:r>
      <w:r w:rsidR="00F32B28">
        <w:rPr>
          <w:rtl/>
        </w:rPr>
        <w:t xml:space="preserve"> </w:t>
      </w:r>
      <w:r w:rsidR="00F32B28" w:rsidRPr="00F32B28">
        <w:rPr>
          <w:rtl/>
        </w:rPr>
        <w:t>الفعلية</w:t>
      </w:r>
      <w:r w:rsidR="00F32B28">
        <w:rPr>
          <w:rtl/>
        </w:rPr>
        <w:t xml:space="preserve"> </w:t>
      </w:r>
      <w:r w:rsidR="00F32B28" w:rsidRPr="00F32B28">
        <w:rPr>
          <w:rtl/>
        </w:rPr>
        <w:t>بين</w:t>
      </w:r>
      <w:r w:rsidR="00F32B28">
        <w:rPr>
          <w:rtl/>
        </w:rPr>
        <w:t xml:space="preserve"> </w:t>
      </w:r>
      <w:r w:rsidR="00F32B28" w:rsidRPr="00F32B28">
        <w:rPr>
          <w:rtl/>
        </w:rPr>
        <w:t>الجنسين</w:t>
      </w:r>
      <w:r w:rsidR="00F32B28">
        <w:rPr>
          <w:rtl/>
        </w:rPr>
        <w:t xml:space="preserve"> </w:t>
      </w:r>
      <w:r w:rsidR="00F32B28" w:rsidRPr="00F32B28">
        <w:rPr>
          <w:rtl/>
        </w:rPr>
        <w:t>وضمان</w:t>
      </w:r>
      <w:r w:rsidR="00F32B28">
        <w:rPr>
          <w:rtl/>
        </w:rPr>
        <w:t xml:space="preserve"> </w:t>
      </w:r>
      <w:r w:rsidR="00F32B28" w:rsidRPr="00F32B28">
        <w:rPr>
          <w:rtl/>
        </w:rPr>
        <w:t>مشاركة</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الحياة</w:t>
      </w:r>
      <w:r w:rsidR="00F32B28">
        <w:rPr>
          <w:rtl/>
        </w:rPr>
        <w:t xml:space="preserve"> </w:t>
      </w:r>
      <w:r w:rsidR="00F32B28" w:rsidRPr="00F32B28">
        <w:rPr>
          <w:rtl/>
        </w:rPr>
        <w:t>العامة،</w:t>
      </w:r>
      <w:r w:rsidR="00F32B28">
        <w:rPr>
          <w:rtl/>
        </w:rPr>
        <w:t xml:space="preserve"> </w:t>
      </w:r>
      <w:r w:rsidR="00F32B28" w:rsidRPr="00F32B28">
        <w:rPr>
          <w:rtl/>
        </w:rPr>
        <w:t>إلا</w:t>
      </w:r>
      <w:r w:rsidR="00F32B28">
        <w:rPr>
          <w:rtl/>
        </w:rPr>
        <w:t xml:space="preserve"> </w:t>
      </w:r>
      <w:r w:rsidR="00F32B28" w:rsidRPr="00F32B28">
        <w:rPr>
          <w:rtl/>
        </w:rPr>
        <w:t>أنها</w:t>
      </w:r>
      <w:r w:rsidR="00F32B28">
        <w:rPr>
          <w:rtl/>
        </w:rPr>
        <w:t xml:space="preserve"> </w:t>
      </w:r>
      <w:r w:rsidR="00F32B28" w:rsidRPr="00F32B28">
        <w:rPr>
          <w:rtl/>
        </w:rPr>
        <w:t>تبقى</w:t>
      </w:r>
      <w:r w:rsidR="00F32B28">
        <w:rPr>
          <w:rtl/>
        </w:rPr>
        <w:t xml:space="preserve"> </w:t>
      </w:r>
      <w:r w:rsidR="00F32B28" w:rsidRPr="00F32B28">
        <w:rPr>
          <w:rtl/>
        </w:rPr>
        <w:t>دون</w:t>
      </w:r>
      <w:r w:rsidR="00F32B28">
        <w:rPr>
          <w:rtl/>
        </w:rPr>
        <w:t xml:space="preserve"> </w:t>
      </w:r>
      <w:r w:rsidR="00F32B28" w:rsidRPr="00F32B28">
        <w:rPr>
          <w:rtl/>
        </w:rPr>
        <w:t>الحد</w:t>
      </w:r>
      <w:r w:rsidR="00F32B28">
        <w:rPr>
          <w:rtl/>
        </w:rPr>
        <w:t xml:space="preserve"> </w:t>
      </w:r>
      <w:r w:rsidR="00F32B28" w:rsidRPr="00F32B28">
        <w:rPr>
          <w:rtl/>
        </w:rPr>
        <w:t>الأدنى</w:t>
      </w:r>
      <w:r w:rsidR="00F32B28">
        <w:rPr>
          <w:rtl/>
        </w:rPr>
        <w:t xml:space="preserve"> </w:t>
      </w:r>
      <w:r w:rsidR="00F32B28" w:rsidRPr="00F32B28">
        <w:rPr>
          <w:rtl/>
        </w:rPr>
        <w:t>للمعايير</w:t>
      </w:r>
      <w:r w:rsidR="00F32B28">
        <w:rPr>
          <w:rtl/>
        </w:rPr>
        <w:t xml:space="preserve"> </w:t>
      </w:r>
      <w:r w:rsidR="00F32B28" w:rsidRPr="00F32B28">
        <w:rPr>
          <w:rtl/>
        </w:rPr>
        <w:t>الدولية</w:t>
      </w:r>
      <w:r w:rsidR="00F32B28">
        <w:rPr>
          <w:rtl/>
        </w:rPr>
        <w:t xml:space="preserve"> </w:t>
      </w:r>
      <w:r w:rsidR="00F32B28" w:rsidRPr="00F32B28">
        <w:rPr>
          <w:rtl/>
        </w:rPr>
        <w:t>بهذا</w:t>
      </w:r>
      <w:r w:rsidR="00F32B28">
        <w:rPr>
          <w:rtl/>
        </w:rPr>
        <w:t xml:space="preserve"> </w:t>
      </w:r>
      <w:r w:rsidR="00F32B28" w:rsidRPr="00F32B28">
        <w:rPr>
          <w:rtl/>
        </w:rPr>
        <w:t>الشأن،</w:t>
      </w:r>
      <w:r w:rsidR="00F32B28">
        <w:rPr>
          <w:rtl/>
        </w:rPr>
        <w:t xml:space="preserve"> </w:t>
      </w:r>
      <w:r w:rsidR="00F32B28" w:rsidRPr="00F32B28">
        <w:rPr>
          <w:rtl/>
        </w:rPr>
        <w:t>خاصة</w:t>
      </w:r>
      <w:r w:rsidR="00F32B28">
        <w:rPr>
          <w:rtl/>
        </w:rPr>
        <w:t xml:space="preserve"> </w:t>
      </w:r>
      <w:r w:rsidR="00F32B28" w:rsidRPr="00F32B28">
        <w:rPr>
          <w:rtl/>
        </w:rPr>
        <w:t>فيما</w:t>
      </w:r>
      <w:r w:rsidR="00F32B28">
        <w:rPr>
          <w:rtl/>
        </w:rPr>
        <w:t xml:space="preserve"> </w:t>
      </w:r>
      <w:r w:rsidR="00F32B28" w:rsidRPr="00F32B28">
        <w:rPr>
          <w:rtl/>
        </w:rPr>
        <w:t>يتعلق</w:t>
      </w:r>
      <w:r w:rsidR="00F32B28">
        <w:rPr>
          <w:rtl/>
        </w:rPr>
        <w:t xml:space="preserve"> </w:t>
      </w:r>
      <w:r w:rsidR="00F32B28" w:rsidRPr="00F32B28">
        <w:rPr>
          <w:rtl/>
        </w:rPr>
        <w:t>بالنقابات</w:t>
      </w:r>
      <w:r w:rsidR="00F32B28">
        <w:rPr>
          <w:rtl/>
        </w:rPr>
        <w:t xml:space="preserve"> </w:t>
      </w:r>
      <w:r w:rsidR="00F32B28" w:rsidRPr="00F32B28">
        <w:rPr>
          <w:rtl/>
        </w:rPr>
        <w:t>والاتحادات؛</w:t>
      </w:r>
      <w:r w:rsidR="00F32B28">
        <w:rPr>
          <w:rtl/>
        </w:rPr>
        <w:t xml:space="preserve"> </w:t>
      </w:r>
      <w:r w:rsidR="00F32B28" w:rsidRPr="00F32B28">
        <w:rPr>
          <w:rtl/>
        </w:rPr>
        <w:t>إذ</w:t>
      </w:r>
      <w:r w:rsidR="009C23E0">
        <w:rPr>
          <w:rFonts w:hint="cs"/>
          <w:rtl/>
        </w:rPr>
        <w:t xml:space="preserve"> </w:t>
      </w:r>
      <w:r w:rsidR="00F32B28" w:rsidRPr="00F32B28">
        <w:rPr>
          <w:rtl/>
        </w:rPr>
        <w:t>إن</w:t>
      </w:r>
      <w:r w:rsidR="00F32B28">
        <w:rPr>
          <w:rtl/>
        </w:rPr>
        <w:t xml:space="preserve"> </w:t>
      </w:r>
      <w:r w:rsidR="00F32B28" w:rsidRPr="00F32B28">
        <w:rPr>
          <w:rtl/>
        </w:rPr>
        <w:t>العادات</w:t>
      </w:r>
      <w:r w:rsidR="00F32B28">
        <w:rPr>
          <w:rtl/>
        </w:rPr>
        <w:t xml:space="preserve"> </w:t>
      </w:r>
      <w:r w:rsidR="00F32B28" w:rsidRPr="00F32B28">
        <w:rPr>
          <w:rtl/>
        </w:rPr>
        <w:t>والتقاليد</w:t>
      </w:r>
      <w:r w:rsidR="00F32B28">
        <w:rPr>
          <w:rtl/>
        </w:rPr>
        <w:t xml:space="preserve"> </w:t>
      </w:r>
      <w:r w:rsidR="00F32B28" w:rsidRPr="00F32B28">
        <w:rPr>
          <w:rtl/>
        </w:rPr>
        <w:t>القائمة</w:t>
      </w:r>
      <w:r w:rsidR="00F32B28">
        <w:rPr>
          <w:rtl/>
        </w:rPr>
        <w:t xml:space="preserve"> </w:t>
      </w:r>
      <w:r w:rsidR="00F32B28" w:rsidRPr="00F32B28">
        <w:rPr>
          <w:rtl/>
        </w:rPr>
        <w:t>على</w:t>
      </w:r>
      <w:r w:rsidR="00F32B28">
        <w:rPr>
          <w:rtl/>
        </w:rPr>
        <w:t xml:space="preserve"> </w:t>
      </w:r>
      <w:r w:rsidR="00F32B28" w:rsidRPr="00F32B28">
        <w:rPr>
          <w:rtl/>
        </w:rPr>
        <w:t>الذهنية</w:t>
      </w:r>
      <w:r w:rsidR="00F32B28">
        <w:rPr>
          <w:rtl/>
        </w:rPr>
        <w:t xml:space="preserve"> </w:t>
      </w:r>
      <w:r w:rsidR="00F32B28" w:rsidRPr="00F32B28">
        <w:rPr>
          <w:rtl/>
        </w:rPr>
        <w:t>الذكورية</w:t>
      </w:r>
      <w:r w:rsidR="00F32B28">
        <w:rPr>
          <w:rtl/>
        </w:rPr>
        <w:t xml:space="preserve"> </w:t>
      </w:r>
      <w:r w:rsidR="00F32B28" w:rsidRPr="00F32B28">
        <w:rPr>
          <w:rtl/>
        </w:rPr>
        <w:t>الأبوية</w:t>
      </w:r>
      <w:r w:rsidR="00F32B28">
        <w:rPr>
          <w:rtl/>
        </w:rPr>
        <w:t xml:space="preserve"> </w:t>
      </w:r>
      <w:r w:rsidR="00F32B28" w:rsidRPr="00F32B28">
        <w:rPr>
          <w:rtl/>
        </w:rPr>
        <w:t>هي</w:t>
      </w:r>
      <w:r w:rsidR="00F32B28">
        <w:rPr>
          <w:rtl/>
        </w:rPr>
        <w:t xml:space="preserve"> </w:t>
      </w:r>
      <w:r w:rsidR="00F32B28" w:rsidRPr="00F32B28">
        <w:rPr>
          <w:rtl/>
        </w:rPr>
        <w:t>العقبة</w:t>
      </w:r>
      <w:r w:rsidR="00F32B28">
        <w:rPr>
          <w:rtl/>
        </w:rPr>
        <w:t xml:space="preserve"> </w:t>
      </w:r>
      <w:r w:rsidR="00F32B28" w:rsidRPr="00F32B28">
        <w:rPr>
          <w:rtl/>
        </w:rPr>
        <w:t>الأساس</w:t>
      </w:r>
      <w:r w:rsidR="00F32B28">
        <w:rPr>
          <w:rtl/>
        </w:rPr>
        <w:t xml:space="preserve"> </w:t>
      </w:r>
      <w:r w:rsidR="00F32B28" w:rsidRPr="00F32B28">
        <w:rPr>
          <w:rtl/>
        </w:rPr>
        <w:t>أمام</w:t>
      </w:r>
      <w:r w:rsidR="00F32B28">
        <w:rPr>
          <w:rtl/>
        </w:rPr>
        <w:t xml:space="preserve"> </w:t>
      </w:r>
      <w:r w:rsidR="00F32B28" w:rsidRPr="00F32B28">
        <w:rPr>
          <w:rtl/>
        </w:rPr>
        <w:t>تمتع</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حقوقها،</w:t>
      </w:r>
      <w:r w:rsidR="00F32B28">
        <w:rPr>
          <w:rtl/>
        </w:rPr>
        <w:t xml:space="preserve"> </w:t>
      </w:r>
      <w:r w:rsidR="00F32B28" w:rsidRPr="00F32B28">
        <w:rPr>
          <w:rtl/>
        </w:rPr>
        <w:t>وخاصة</w:t>
      </w:r>
      <w:r w:rsidR="00F32B28">
        <w:rPr>
          <w:rtl/>
        </w:rPr>
        <w:t xml:space="preserve"> </w:t>
      </w:r>
      <w:r w:rsidR="00F32B28" w:rsidRPr="00F32B28">
        <w:rPr>
          <w:rtl/>
        </w:rPr>
        <w:t>الحقوق</w:t>
      </w:r>
      <w:r w:rsidR="00F32B28">
        <w:rPr>
          <w:rtl/>
        </w:rPr>
        <w:t xml:space="preserve"> </w:t>
      </w:r>
      <w:r w:rsidR="00F32B28" w:rsidRPr="00F32B28">
        <w:rPr>
          <w:rtl/>
        </w:rPr>
        <w:t>السياسية،</w:t>
      </w:r>
      <w:r w:rsidR="00F32B28">
        <w:rPr>
          <w:rtl/>
        </w:rPr>
        <w:t xml:space="preserve"> </w:t>
      </w:r>
      <w:r w:rsidR="00F32B28" w:rsidRPr="00F32B28">
        <w:rPr>
          <w:rtl/>
        </w:rPr>
        <w:t>ويضاف</w:t>
      </w:r>
      <w:r w:rsidR="00F32B28">
        <w:rPr>
          <w:rtl/>
        </w:rPr>
        <w:t xml:space="preserve"> </w:t>
      </w:r>
      <w:r w:rsidR="00F32B28" w:rsidRPr="00F32B28">
        <w:rPr>
          <w:rtl/>
        </w:rPr>
        <w:t>إليها</w:t>
      </w:r>
      <w:r w:rsidR="00F32B28">
        <w:rPr>
          <w:rtl/>
        </w:rPr>
        <w:t xml:space="preserve"> </w:t>
      </w:r>
      <w:r w:rsidR="00F32B28" w:rsidRPr="00F32B28">
        <w:rPr>
          <w:rtl/>
          <w:lang w:bidi="ar-SY"/>
        </w:rPr>
        <w:t>هذه</w:t>
      </w:r>
      <w:r w:rsidR="009C23E0">
        <w:rPr>
          <w:rFonts w:hint="cs"/>
          <w:rtl/>
          <w:lang w:bidi="ar-SY"/>
        </w:rPr>
        <w:t> </w:t>
      </w:r>
      <w:r w:rsidR="00F32B28" w:rsidRPr="00F32B28">
        <w:rPr>
          <w:rtl/>
          <w:lang w:bidi="ar-SY"/>
        </w:rPr>
        <w:t>العقبات</w:t>
      </w:r>
      <w:r w:rsidR="00F32B28" w:rsidRPr="00F32B28">
        <w:rPr>
          <w:rtl/>
        </w:rPr>
        <w:t>:</w:t>
      </w:r>
      <w:r w:rsidR="00F32B28">
        <w:rPr>
          <w:rtl/>
        </w:rPr>
        <w:t xml:space="preserve"> </w:t>
      </w:r>
    </w:p>
    <w:p w:rsidR="00F32B28" w:rsidRPr="00F32B28" w:rsidRDefault="00A43875" w:rsidP="00A4387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عدم</w:t>
      </w:r>
      <w:r w:rsidR="00F32B28">
        <w:rPr>
          <w:rtl/>
        </w:rPr>
        <w:t xml:space="preserve"> </w:t>
      </w:r>
      <w:r w:rsidR="00F32B28" w:rsidRPr="00F32B28">
        <w:rPr>
          <w:rtl/>
        </w:rPr>
        <w:t>انتظام</w:t>
      </w:r>
      <w:r w:rsidR="00F32B28">
        <w:rPr>
          <w:rtl/>
        </w:rPr>
        <w:t xml:space="preserve"> </w:t>
      </w:r>
      <w:r w:rsidR="00F32B28" w:rsidRPr="00F32B28">
        <w:rPr>
          <w:rtl/>
        </w:rPr>
        <w:t>الحياة</w:t>
      </w:r>
      <w:r w:rsidR="00F32B28">
        <w:rPr>
          <w:rtl/>
        </w:rPr>
        <w:t xml:space="preserve"> </w:t>
      </w:r>
      <w:r w:rsidR="00F32B28" w:rsidRPr="00F32B28">
        <w:rPr>
          <w:rtl/>
        </w:rPr>
        <w:t>الانتخابية</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على</w:t>
      </w:r>
      <w:r w:rsidR="00F32B28">
        <w:rPr>
          <w:rtl/>
        </w:rPr>
        <w:t xml:space="preserve"> </w:t>
      </w:r>
      <w:r w:rsidR="00F32B28" w:rsidRPr="00F32B28">
        <w:rPr>
          <w:rtl/>
        </w:rPr>
        <w:t>المستويات</w:t>
      </w:r>
      <w:r w:rsidR="00F32B28">
        <w:rPr>
          <w:rtl/>
        </w:rPr>
        <w:t xml:space="preserve"> </w:t>
      </w:r>
      <w:r w:rsidR="00F32B28" w:rsidRPr="00F32B28">
        <w:rPr>
          <w:rtl/>
        </w:rPr>
        <w:t>العامة</w:t>
      </w:r>
      <w:r w:rsidR="00F32B28">
        <w:rPr>
          <w:rtl/>
        </w:rPr>
        <w:t xml:space="preserve"> </w:t>
      </w:r>
      <w:r w:rsidR="00F32B28" w:rsidRPr="00F32B28">
        <w:rPr>
          <w:rtl/>
        </w:rPr>
        <w:t>والمحلية</w:t>
      </w:r>
      <w:r w:rsidR="00F32B28">
        <w:rPr>
          <w:rtl/>
        </w:rPr>
        <w:t xml:space="preserve"> </w:t>
      </w:r>
      <w:r w:rsidR="00F32B28" w:rsidRPr="00F32B28">
        <w:rPr>
          <w:rtl/>
        </w:rPr>
        <w:t>والنقابية</w:t>
      </w:r>
      <w:r w:rsidR="00F32B28">
        <w:rPr>
          <w:rtl/>
        </w:rPr>
        <w:t xml:space="preserve"> </w:t>
      </w:r>
      <w:r w:rsidR="00F32B28" w:rsidRPr="00F32B28">
        <w:rPr>
          <w:rtl/>
        </w:rPr>
        <w:t>والحزبية</w:t>
      </w:r>
      <w:r w:rsidR="00F32B28">
        <w:rPr>
          <w:rtl/>
        </w:rPr>
        <w:t xml:space="preserve"> </w:t>
      </w:r>
      <w:r w:rsidR="00F32B28" w:rsidRPr="00F32B28">
        <w:rPr>
          <w:rtl/>
        </w:rPr>
        <w:t>والاتحادية؛</w:t>
      </w:r>
      <w:r w:rsidR="00F32B28">
        <w:rPr>
          <w:rtl/>
        </w:rPr>
        <w:t xml:space="preserve"> </w:t>
      </w:r>
    </w:p>
    <w:p w:rsidR="00F32B28" w:rsidRPr="00F32B28" w:rsidRDefault="00A43875" w:rsidP="00A4387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cs"/>
          <w:rtl/>
        </w:rPr>
        <w:tab/>
      </w:r>
      <w:r w:rsidR="00F32B28" w:rsidRPr="00F32B28">
        <w:rPr>
          <w:rtl/>
        </w:rPr>
        <w:t>تدني</w:t>
      </w:r>
      <w:r w:rsidR="00F32B28">
        <w:rPr>
          <w:rtl/>
        </w:rPr>
        <w:t xml:space="preserve"> </w:t>
      </w:r>
      <w:r w:rsidR="00F32B28" w:rsidRPr="00F32B28">
        <w:rPr>
          <w:rtl/>
        </w:rPr>
        <w:t>نسبة</w:t>
      </w:r>
      <w:r w:rsidR="00F32B28">
        <w:rPr>
          <w:rtl/>
        </w:rPr>
        <w:t xml:space="preserve"> </w:t>
      </w:r>
      <w:r w:rsidR="00F32B28" w:rsidRPr="00F32B28">
        <w:rPr>
          <w:rtl/>
        </w:rPr>
        <w:t>الوعي</w:t>
      </w:r>
      <w:r w:rsidR="00F32B28">
        <w:rPr>
          <w:rtl/>
        </w:rPr>
        <w:t xml:space="preserve"> </w:t>
      </w:r>
      <w:r w:rsidR="00F32B28" w:rsidRPr="00F32B28">
        <w:rPr>
          <w:rtl/>
        </w:rPr>
        <w:t>المجتمعي</w:t>
      </w:r>
      <w:r w:rsidR="00F32B28">
        <w:rPr>
          <w:rtl/>
        </w:rPr>
        <w:t xml:space="preserve"> </w:t>
      </w:r>
      <w:r w:rsidR="00F32B28" w:rsidRPr="00F32B28">
        <w:rPr>
          <w:rtl/>
        </w:rPr>
        <w:t>لدور</w:t>
      </w:r>
      <w:r w:rsidR="00F32B28">
        <w:rPr>
          <w:rtl/>
        </w:rPr>
        <w:t xml:space="preserve"> </w:t>
      </w:r>
      <w:r w:rsidR="00F32B28" w:rsidRPr="00F32B28">
        <w:rPr>
          <w:rtl/>
        </w:rPr>
        <w:t>المرأة،</w:t>
      </w:r>
      <w:r w:rsidR="00F32B28">
        <w:rPr>
          <w:rtl/>
        </w:rPr>
        <w:t xml:space="preserve"> </w:t>
      </w:r>
      <w:r w:rsidR="00F32B28" w:rsidRPr="00F32B28">
        <w:rPr>
          <w:rtl/>
        </w:rPr>
        <w:t>لا</w:t>
      </w:r>
      <w:r w:rsidR="00F32B28">
        <w:rPr>
          <w:rtl/>
        </w:rPr>
        <w:t xml:space="preserve"> </w:t>
      </w:r>
      <w:r w:rsidR="00F32B28" w:rsidRPr="00F32B28">
        <w:rPr>
          <w:rtl/>
        </w:rPr>
        <w:t>سيما</w:t>
      </w:r>
      <w:r w:rsidR="00F32B28">
        <w:rPr>
          <w:rtl/>
        </w:rPr>
        <w:t xml:space="preserve"> </w:t>
      </w:r>
      <w:r w:rsidR="00F32B28" w:rsidRPr="00F32B28">
        <w:rPr>
          <w:rtl/>
        </w:rPr>
        <w:t>في</w:t>
      </w:r>
      <w:r w:rsidR="00F32B28">
        <w:rPr>
          <w:rtl/>
        </w:rPr>
        <w:t xml:space="preserve"> </w:t>
      </w:r>
      <w:r w:rsidR="00F32B28" w:rsidRPr="00F32B28">
        <w:rPr>
          <w:rtl/>
        </w:rPr>
        <w:t>الحياة</w:t>
      </w:r>
      <w:r w:rsidR="00F32B28">
        <w:rPr>
          <w:rtl/>
        </w:rPr>
        <w:t xml:space="preserve"> </w:t>
      </w:r>
      <w:r w:rsidR="00F32B28" w:rsidRPr="00F32B28">
        <w:rPr>
          <w:rtl/>
        </w:rPr>
        <w:t>السياسية؛</w:t>
      </w:r>
    </w:p>
    <w:p w:rsidR="00F32B28" w:rsidRPr="00F32B28" w:rsidRDefault="00A43875" w:rsidP="00A4387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عدم</w:t>
      </w:r>
      <w:r w:rsidR="00F32B28">
        <w:rPr>
          <w:rtl/>
        </w:rPr>
        <w:t xml:space="preserve"> </w:t>
      </w:r>
      <w:r w:rsidR="00F32B28" w:rsidRPr="00F32B28">
        <w:rPr>
          <w:rtl/>
        </w:rPr>
        <w:t>اعتماد</w:t>
      </w:r>
      <w:r w:rsidR="00F32B28">
        <w:rPr>
          <w:rtl/>
        </w:rPr>
        <w:t xml:space="preserve"> </w:t>
      </w:r>
      <w:r w:rsidR="00F32B28" w:rsidRPr="00F32B28">
        <w:rPr>
          <w:rtl/>
        </w:rPr>
        <w:t>الكفاءة</w:t>
      </w:r>
      <w:r w:rsidR="00F32B28">
        <w:rPr>
          <w:rtl/>
        </w:rPr>
        <w:t xml:space="preserve"> </w:t>
      </w:r>
      <w:r w:rsidR="00F32B28" w:rsidRPr="00F32B28">
        <w:rPr>
          <w:rtl/>
        </w:rPr>
        <w:t>والمهنية</w:t>
      </w:r>
      <w:r w:rsidR="00F32B28">
        <w:rPr>
          <w:rtl/>
        </w:rPr>
        <w:t xml:space="preserve"> </w:t>
      </w:r>
      <w:r w:rsidR="00F32B28" w:rsidRPr="00F32B28">
        <w:rPr>
          <w:rtl/>
        </w:rPr>
        <w:t>كمعايير</w:t>
      </w:r>
      <w:r w:rsidR="00F32B28">
        <w:rPr>
          <w:rtl/>
        </w:rPr>
        <w:t xml:space="preserve"> </w:t>
      </w:r>
      <w:r w:rsidR="00F32B28" w:rsidRPr="00F32B28">
        <w:rPr>
          <w:rtl/>
        </w:rPr>
        <w:t>قبول</w:t>
      </w:r>
      <w:r w:rsidR="00F32B28">
        <w:rPr>
          <w:rtl/>
        </w:rPr>
        <w:t xml:space="preserve"> </w:t>
      </w:r>
      <w:r w:rsidR="00F32B28" w:rsidRPr="00F32B28">
        <w:rPr>
          <w:rtl/>
        </w:rPr>
        <w:t>واختيار</w:t>
      </w:r>
      <w:r w:rsidR="00F32B28">
        <w:rPr>
          <w:rtl/>
        </w:rPr>
        <w:t xml:space="preserve"> </w:t>
      </w:r>
      <w:r w:rsidR="00F32B28" w:rsidRPr="00F32B28">
        <w:rPr>
          <w:rtl/>
        </w:rPr>
        <w:t>في</w:t>
      </w:r>
      <w:r w:rsidR="00F32B28">
        <w:rPr>
          <w:rtl/>
        </w:rPr>
        <w:t xml:space="preserve"> </w:t>
      </w:r>
      <w:r w:rsidR="00F32B28" w:rsidRPr="00F32B28">
        <w:rPr>
          <w:rtl/>
        </w:rPr>
        <w:t>المعترك</w:t>
      </w:r>
      <w:r w:rsidR="00F32B28">
        <w:rPr>
          <w:rtl/>
        </w:rPr>
        <w:t xml:space="preserve"> </w:t>
      </w:r>
      <w:r w:rsidR="00F32B28" w:rsidRPr="00F32B28">
        <w:rPr>
          <w:rtl/>
        </w:rPr>
        <w:t>السياسي،</w:t>
      </w:r>
      <w:r w:rsidR="00F32B28">
        <w:rPr>
          <w:rtl/>
        </w:rPr>
        <w:t xml:space="preserve"> </w:t>
      </w:r>
      <w:r w:rsidR="00F32B28" w:rsidRPr="00F32B28">
        <w:rPr>
          <w:rtl/>
        </w:rPr>
        <w:t>وبخاصة</w:t>
      </w:r>
      <w:r w:rsidR="00F32B28">
        <w:rPr>
          <w:rtl/>
        </w:rPr>
        <w:t xml:space="preserve"> </w:t>
      </w:r>
      <w:r w:rsidR="00F32B28" w:rsidRPr="00F32B28">
        <w:rPr>
          <w:rtl/>
        </w:rPr>
        <w:t>الانتخابات؛</w:t>
      </w:r>
    </w:p>
    <w:p w:rsidR="00F32B28" w:rsidRPr="00F32B28" w:rsidRDefault="00A43875" w:rsidP="00A4387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عدم</w:t>
      </w:r>
      <w:r w:rsidR="00F32B28">
        <w:rPr>
          <w:rtl/>
        </w:rPr>
        <w:t xml:space="preserve"> </w:t>
      </w:r>
      <w:r w:rsidR="00F32B28" w:rsidRPr="00F32B28">
        <w:rPr>
          <w:rtl/>
        </w:rPr>
        <w:t>قدرة</w:t>
      </w:r>
      <w:r w:rsidR="00F32B28">
        <w:rPr>
          <w:rtl/>
        </w:rPr>
        <w:t xml:space="preserve"> </w:t>
      </w:r>
      <w:r w:rsidR="00F32B28" w:rsidRPr="00F32B28">
        <w:rPr>
          <w:rtl/>
        </w:rPr>
        <w:t>غالبية</w:t>
      </w:r>
      <w:r w:rsidR="00F32B28">
        <w:rPr>
          <w:rtl/>
        </w:rPr>
        <w:t xml:space="preserve"> </w:t>
      </w:r>
      <w:r w:rsidR="00F32B28" w:rsidRPr="00F32B28">
        <w:rPr>
          <w:rtl/>
        </w:rPr>
        <w:t>النساء</w:t>
      </w:r>
      <w:r w:rsidR="00F32B28">
        <w:rPr>
          <w:rtl/>
        </w:rPr>
        <w:t xml:space="preserve"> </w:t>
      </w:r>
      <w:r w:rsidR="00F32B28" w:rsidRPr="00F32B28">
        <w:rPr>
          <w:rtl/>
        </w:rPr>
        <w:t>على</w:t>
      </w:r>
      <w:r w:rsidR="00F32B28">
        <w:rPr>
          <w:rtl/>
        </w:rPr>
        <w:t xml:space="preserve"> </w:t>
      </w:r>
      <w:r w:rsidR="00F32B28" w:rsidRPr="00F32B28">
        <w:rPr>
          <w:rtl/>
        </w:rPr>
        <w:t>تحمل</w:t>
      </w:r>
      <w:r w:rsidR="00F32B28">
        <w:rPr>
          <w:rtl/>
        </w:rPr>
        <w:t xml:space="preserve"> </w:t>
      </w:r>
      <w:r w:rsidR="00F32B28" w:rsidRPr="00F32B28">
        <w:rPr>
          <w:rtl/>
        </w:rPr>
        <w:t>نفقات</w:t>
      </w:r>
      <w:r w:rsidR="00F32B28">
        <w:rPr>
          <w:rtl/>
        </w:rPr>
        <w:t xml:space="preserve"> </w:t>
      </w:r>
      <w:r w:rsidR="00F32B28" w:rsidRPr="00F32B28">
        <w:rPr>
          <w:rtl/>
        </w:rPr>
        <w:t>الحملات</w:t>
      </w:r>
      <w:r w:rsidR="00F32B28">
        <w:rPr>
          <w:rtl/>
        </w:rPr>
        <w:t xml:space="preserve"> </w:t>
      </w:r>
      <w:r w:rsidR="00F32B28" w:rsidRPr="00F32B28">
        <w:rPr>
          <w:rtl/>
        </w:rPr>
        <w:t>الانتخابية،</w:t>
      </w:r>
      <w:r w:rsidR="00F32B28">
        <w:rPr>
          <w:rtl/>
        </w:rPr>
        <w:t xml:space="preserve"> </w:t>
      </w:r>
      <w:r w:rsidR="00F32B28" w:rsidRPr="00F32B28">
        <w:rPr>
          <w:rtl/>
        </w:rPr>
        <w:t>وقلة</w:t>
      </w:r>
      <w:r w:rsidR="00F32B28">
        <w:rPr>
          <w:rtl/>
        </w:rPr>
        <w:t xml:space="preserve"> </w:t>
      </w:r>
      <w:r w:rsidR="00F32B28" w:rsidRPr="00F32B28">
        <w:rPr>
          <w:rtl/>
        </w:rPr>
        <w:t>اهتمام</w:t>
      </w:r>
      <w:r w:rsidR="00F32B28">
        <w:rPr>
          <w:rtl/>
        </w:rPr>
        <w:t xml:space="preserve"> </w:t>
      </w:r>
      <w:r w:rsidR="00F32B28" w:rsidRPr="00F32B28">
        <w:rPr>
          <w:rtl/>
        </w:rPr>
        <w:t>ممولي</w:t>
      </w:r>
      <w:r w:rsidR="00F32B28">
        <w:rPr>
          <w:rtl/>
        </w:rPr>
        <w:t xml:space="preserve"> </w:t>
      </w:r>
      <w:r w:rsidR="00F32B28" w:rsidRPr="00F32B28">
        <w:rPr>
          <w:rtl/>
        </w:rPr>
        <w:t>المرشحين</w:t>
      </w:r>
      <w:r w:rsidR="00F32B28">
        <w:rPr>
          <w:rtl/>
        </w:rPr>
        <w:t xml:space="preserve"> </w:t>
      </w:r>
      <w:r w:rsidR="00F32B28" w:rsidRPr="00F32B28">
        <w:rPr>
          <w:rtl/>
        </w:rPr>
        <w:t>في</w:t>
      </w:r>
      <w:r w:rsidR="00F32B28">
        <w:rPr>
          <w:rtl/>
        </w:rPr>
        <w:t xml:space="preserve"> </w:t>
      </w:r>
      <w:r w:rsidR="00F32B28" w:rsidRPr="00F32B28">
        <w:rPr>
          <w:rtl/>
        </w:rPr>
        <w:t>دعم</w:t>
      </w:r>
      <w:r w:rsidR="00F32B28">
        <w:rPr>
          <w:rtl/>
        </w:rPr>
        <w:t xml:space="preserve"> </w:t>
      </w:r>
      <w:r w:rsidR="00F32B28" w:rsidRPr="00F32B28">
        <w:rPr>
          <w:rtl/>
        </w:rPr>
        <w:t>النساء؛</w:t>
      </w:r>
    </w:p>
    <w:p w:rsidR="00F32B28" w:rsidRPr="00F32B28" w:rsidRDefault="00A43875" w:rsidP="00A4387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عدم</w:t>
      </w:r>
      <w:r w:rsidR="00F32B28">
        <w:rPr>
          <w:rtl/>
        </w:rPr>
        <w:t xml:space="preserve"> </w:t>
      </w:r>
      <w:r w:rsidR="00F32B28" w:rsidRPr="00F32B28">
        <w:rPr>
          <w:rtl/>
        </w:rPr>
        <w:t>إعطاء</w:t>
      </w:r>
      <w:r w:rsidR="00F32B28">
        <w:rPr>
          <w:rtl/>
        </w:rPr>
        <w:t xml:space="preserve"> </w:t>
      </w:r>
      <w:r w:rsidR="00F32B28" w:rsidRPr="00F32B28">
        <w:rPr>
          <w:rtl/>
        </w:rPr>
        <w:t>النساء</w:t>
      </w:r>
      <w:r w:rsidR="00F32B28">
        <w:rPr>
          <w:rtl/>
        </w:rPr>
        <w:t xml:space="preserve"> </w:t>
      </w:r>
      <w:r w:rsidR="00F32B28" w:rsidRPr="00F32B28">
        <w:rPr>
          <w:rtl/>
        </w:rPr>
        <w:t>الثقة</w:t>
      </w:r>
      <w:r w:rsidR="00F32B28">
        <w:rPr>
          <w:rtl/>
        </w:rPr>
        <w:t xml:space="preserve"> </w:t>
      </w:r>
      <w:r w:rsidR="00F32B28" w:rsidRPr="00F32B28">
        <w:rPr>
          <w:rtl/>
        </w:rPr>
        <w:t>وحقها</w:t>
      </w:r>
      <w:r w:rsidR="00F32B28">
        <w:rPr>
          <w:rtl/>
        </w:rPr>
        <w:t xml:space="preserve"> </w:t>
      </w:r>
      <w:r w:rsidR="00F32B28" w:rsidRPr="00F32B28">
        <w:rPr>
          <w:rtl/>
        </w:rPr>
        <w:t>في</w:t>
      </w:r>
      <w:r w:rsidR="00F32B28">
        <w:rPr>
          <w:rtl/>
        </w:rPr>
        <w:t xml:space="preserve"> </w:t>
      </w:r>
      <w:r w:rsidR="00F32B28" w:rsidRPr="00F32B28">
        <w:rPr>
          <w:rtl/>
        </w:rPr>
        <w:t>الترقي</w:t>
      </w:r>
      <w:r w:rsidR="00F32B28">
        <w:rPr>
          <w:rtl/>
        </w:rPr>
        <w:t xml:space="preserve"> </w:t>
      </w:r>
      <w:r w:rsidR="00F32B28" w:rsidRPr="00F32B28">
        <w:rPr>
          <w:rtl/>
        </w:rPr>
        <w:t>والتطور</w:t>
      </w:r>
      <w:r w:rsidR="00F32B28">
        <w:rPr>
          <w:rtl/>
        </w:rPr>
        <w:t xml:space="preserve"> </w:t>
      </w:r>
      <w:r w:rsidR="00F32B28" w:rsidRPr="00F32B28">
        <w:rPr>
          <w:rtl/>
        </w:rPr>
        <w:t>وغياب</w:t>
      </w:r>
      <w:r w:rsidR="00F32B28">
        <w:rPr>
          <w:rtl/>
          <w:lang w:bidi="ar-LB"/>
        </w:rPr>
        <w:t xml:space="preserve"> </w:t>
      </w:r>
      <w:r w:rsidR="00F32B28" w:rsidRPr="00F32B28">
        <w:rPr>
          <w:rtl/>
          <w:lang w:bidi="ar-LB"/>
        </w:rPr>
        <w:t>التضامن</w:t>
      </w:r>
      <w:r w:rsidR="00F32B28">
        <w:rPr>
          <w:rtl/>
          <w:lang w:bidi="ar-LB"/>
        </w:rPr>
        <w:t xml:space="preserve"> </w:t>
      </w:r>
      <w:r w:rsidR="00F32B28" w:rsidRPr="00F32B28">
        <w:rPr>
          <w:rtl/>
          <w:lang w:bidi="ar-LB"/>
        </w:rPr>
        <w:t>بين</w:t>
      </w:r>
      <w:r w:rsidR="00F32B28">
        <w:rPr>
          <w:rtl/>
          <w:lang w:bidi="ar-LB"/>
        </w:rPr>
        <w:t xml:space="preserve"> </w:t>
      </w:r>
      <w:r w:rsidR="00F32B28" w:rsidRPr="00F32B28">
        <w:rPr>
          <w:rtl/>
          <w:lang w:bidi="ar-LB"/>
        </w:rPr>
        <w:t>النساء؛</w:t>
      </w:r>
      <w:r w:rsidR="00F32B28">
        <w:rPr>
          <w:rtl/>
          <w:lang w:bidi="ar-LB"/>
        </w:rPr>
        <w:t xml:space="preserve"> </w:t>
      </w:r>
    </w:p>
    <w:p w:rsidR="00F32B28" w:rsidRPr="00F32B28" w:rsidRDefault="009C23E0" w:rsidP="009C23E0">
      <w:pPr>
        <w:pStyle w:val="SingleTxt"/>
      </w:pPr>
      <w:r>
        <w:rPr>
          <w:rFonts w:hint="cs"/>
          <w:rtl/>
          <w:lang w:bidi="ar-SY"/>
        </w:rPr>
        <w:t xml:space="preserve">135 - </w:t>
      </w:r>
      <w:r w:rsidR="00F32B28" w:rsidRPr="00F32B28">
        <w:rPr>
          <w:rtl/>
          <w:lang w:bidi="ar-SY"/>
        </w:rPr>
        <w:t>وقد</w:t>
      </w:r>
      <w:r w:rsidR="00F32B28">
        <w:rPr>
          <w:rtl/>
          <w:lang w:bidi="ar-SY"/>
        </w:rPr>
        <w:t xml:space="preserve"> </w:t>
      </w:r>
      <w:r w:rsidR="00F32B28" w:rsidRPr="00F32B28">
        <w:rPr>
          <w:rtl/>
          <w:lang w:bidi="ar-SY"/>
        </w:rPr>
        <w:t>قامت</w:t>
      </w:r>
      <w:r w:rsidR="00F32B28">
        <w:rPr>
          <w:rtl/>
          <w:lang w:bidi="ar-SY"/>
        </w:rPr>
        <w:t xml:space="preserve"> </w:t>
      </w:r>
      <w:r w:rsidR="00F32B28" w:rsidRPr="00F32B28">
        <w:rPr>
          <w:rtl/>
          <w:lang w:bidi="ar-LB"/>
        </w:rPr>
        <w:t>مختلف</w:t>
      </w:r>
      <w:r w:rsidR="00F32B28">
        <w:rPr>
          <w:rtl/>
          <w:lang w:bidi="ar-LB"/>
        </w:rPr>
        <w:t xml:space="preserve"> </w:t>
      </w:r>
      <w:r w:rsidR="00F32B28" w:rsidRPr="00F32B28">
        <w:rPr>
          <w:rtl/>
          <w:lang w:bidi="ar-LB"/>
        </w:rPr>
        <w:t>الجهات</w:t>
      </w:r>
      <w:r w:rsidR="00F32B28">
        <w:rPr>
          <w:rtl/>
          <w:lang w:bidi="ar-LB"/>
        </w:rPr>
        <w:t xml:space="preserve"> </w:t>
      </w:r>
      <w:r w:rsidR="00F32B28" w:rsidRPr="00F32B28">
        <w:rPr>
          <w:rtl/>
          <w:lang w:bidi="ar-LB"/>
        </w:rPr>
        <w:t>الحكومية</w:t>
      </w:r>
      <w:r w:rsidR="00F32B28">
        <w:rPr>
          <w:rtl/>
          <w:lang w:bidi="ar-LB"/>
        </w:rPr>
        <w:t xml:space="preserve"> </w:t>
      </w:r>
      <w:r w:rsidR="00F32B28" w:rsidRPr="00F32B28">
        <w:rPr>
          <w:rtl/>
          <w:lang w:bidi="ar-LB"/>
        </w:rPr>
        <w:t>والأهلية،</w:t>
      </w:r>
      <w:r w:rsidR="00F32B28">
        <w:rPr>
          <w:rtl/>
          <w:lang w:bidi="ar-LB"/>
        </w:rPr>
        <w:t xml:space="preserve"> </w:t>
      </w:r>
      <w:r w:rsidR="00F32B28" w:rsidRPr="00F32B28">
        <w:rPr>
          <w:rtl/>
          <w:lang w:bidi="ar-LB"/>
        </w:rPr>
        <w:t>خاصة</w:t>
      </w:r>
      <w:r w:rsidR="00F32B28">
        <w:rPr>
          <w:rtl/>
          <w:lang w:bidi="ar-LB"/>
        </w:rPr>
        <w:t xml:space="preserve"> </w:t>
      </w:r>
      <w:r w:rsidR="00F32B28" w:rsidRPr="00F32B28">
        <w:rPr>
          <w:rtl/>
          <w:lang w:bidi="ar-LB"/>
        </w:rPr>
        <w:t>النسوية،</w:t>
      </w:r>
      <w:r w:rsidR="00F32B28">
        <w:rPr>
          <w:rtl/>
          <w:lang w:bidi="ar-LB"/>
        </w:rPr>
        <w:t xml:space="preserve"> </w:t>
      </w:r>
      <w:r w:rsidR="00F32B28" w:rsidRPr="00F32B28">
        <w:rPr>
          <w:rtl/>
          <w:lang w:bidi="ar-LB"/>
        </w:rPr>
        <w:t>باتخاذ</w:t>
      </w:r>
      <w:r w:rsidR="00F32B28">
        <w:rPr>
          <w:rtl/>
          <w:lang w:bidi="ar-LB"/>
        </w:rPr>
        <w:t xml:space="preserve"> </w:t>
      </w:r>
      <w:r w:rsidR="00F32B28" w:rsidRPr="00F32B28">
        <w:rPr>
          <w:rtl/>
          <w:lang w:bidi="ar-LB"/>
        </w:rPr>
        <w:t>العديد</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التدابير</w:t>
      </w:r>
      <w:r w:rsidR="00F32B28">
        <w:rPr>
          <w:rtl/>
          <w:lang w:bidi="ar-LB"/>
        </w:rPr>
        <w:t xml:space="preserve"> </w:t>
      </w:r>
      <w:r w:rsidR="00F32B28" w:rsidRPr="00F32B28">
        <w:rPr>
          <w:rtl/>
          <w:lang w:bidi="ar-LB"/>
        </w:rPr>
        <w:t>لمواجهة</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العقبات</w:t>
      </w:r>
      <w:r w:rsidR="00F32B28">
        <w:rPr>
          <w:rtl/>
          <w:lang w:bidi="ar-LB"/>
        </w:rPr>
        <w:t xml:space="preserve"> </w:t>
      </w:r>
      <w:r w:rsidR="00F32B28" w:rsidRPr="00F32B28">
        <w:rPr>
          <w:rtl/>
          <w:lang w:bidi="ar-LB"/>
        </w:rPr>
        <w:t>والحد</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آثارها</w:t>
      </w:r>
      <w:r w:rsidR="00F32B28">
        <w:rPr>
          <w:rtl/>
          <w:lang w:bidi="ar-LB"/>
        </w:rPr>
        <w:t xml:space="preserve"> </w:t>
      </w:r>
      <w:r w:rsidR="00F32B28" w:rsidRPr="00F32B28">
        <w:rPr>
          <w:rtl/>
          <w:lang w:bidi="ar-LB"/>
        </w:rPr>
        <w:t>منها؛</w:t>
      </w:r>
      <w:r w:rsidR="00F32B28">
        <w:rPr>
          <w:rtl/>
          <w:lang w:bidi="ar-LB"/>
        </w:rPr>
        <w:t xml:space="preserve"> </w:t>
      </w:r>
      <w:r w:rsidR="00F32B28" w:rsidRPr="00F32B28">
        <w:rPr>
          <w:rtl/>
          <w:lang w:bidi="ar-LB"/>
        </w:rPr>
        <w:t>عقد</w:t>
      </w:r>
      <w:r w:rsidR="00F32B28">
        <w:rPr>
          <w:rtl/>
          <w:lang w:bidi="ar-LB"/>
        </w:rPr>
        <w:t xml:space="preserve"> </w:t>
      </w:r>
      <w:r w:rsidR="00F32B28" w:rsidRPr="00F32B28">
        <w:rPr>
          <w:rtl/>
          <w:lang w:bidi="ar-LB"/>
        </w:rPr>
        <w:t>تدريبات</w:t>
      </w:r>
      <w:r w:rsidR="00F32B28">
        <w:rPr>
          <w:rtl/>
          <w:lang w:bidi="ar-LB"/>
        </w:rPr>
        <w:t xml:space="preserve"> </w:t>
      </w:r>
      <w:r w:rsidR="00F32B28" w:rsidRPr="00F32B28">
        <w:rPr>
          <w:rtl/>
          <w:lang w:bidi="ar-LB"/>
        </w:rPr>
        <w:t>وورش</w:t>
      </w:r>
      <w:r w:rsidR="00F32B28">
        <w:rPr>
          <w:rtl/>
          <w:lang w:bidi="ar-LB"/>
        </w:rPr>
        <w:t xml:space="preserve"> </w:t>
      </w:r>
      <w:r w:rsidR="00F32B28" w:rsidRPr="00F32B28">
        <w:rPr>
          <w:rtl/>
          <w:lang w:bidi="ar-LB"/>
        </w:rPr>
        <w:t>عمل</w:t>
      </w:r>
      <w:r w:rsidR="00F32B28">
        <w:rPr>
          <w:rtl/>
          <w:lang w:bidi="ar-LB"/>
        </w:rPr>
        <w:t xml:space="preserve"> </w:t>
      </w:r>
      <w:r w:rsidR="00F32B28" w:rsidRPr="00F32B28">
        <w:rPr>
          <w:rtl/>
          <w:lang w:bidi="ar-LB"/>
        </w:rPr>
        <w:t>استهدفت</w:t>
      </w:r>
      <w:r w:rsidR="00F32B28">
        <w:rPr>
          <w:rtl/>
          <w:lang w:bidi="ar-LB"/>
        </w:rPr>
        <w:t xml:space="preserve"> </w:t>
      </w:r>
      <w:r w:rsidR="00F32B28" w:rsidRPr="00F32B28">
        <w:rPr>
          <w:rtl/>
          <w:lang w:bidi="ar-LB"/>
        </w:rPr>
        <w:t>كافة</w:t>
      </w:r>
      <w:r w:rsidR="00F32B28">
        <w:rPr>
          <w:rtl/>
          <w:lang w:bidi="ar-LB"/>
        </w:rPr>
        <w:t xml:space="preserve"> </w:t>
      </w:r>
      <w:r w:rsidR="00F32B28" w:rsidRPr="00F32B28">
        <w:rPr>
          <w:rtl/>
          <w:lang w:bidi="ar-LB"/>
        </w:rPr>
        <w:t>فئات</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وتوزيع</w:t>
      </w:r>
      <w:r w:rsidR="00F32B28">
        <w:rPr>
          <w:rtl/>
          <w:lang w:bidi="ar-LB"/>
        </w:rPr>
        <w:t xml:space="preserve"> </w:t>
      </w:r>
      <w:r w:rsidR="00F32B28" w:rsidRPr="00F32B28">
        <w:rPr>
          <w:rtl/>
          <w:lang w:bidi="ar-LB"/>
        </w:rPr>
        <w:t>الكتيبات</w:t>
      </w:r>
      <w:r w:rsidR="00F32B28">
        <w:rPr>
          <w:rtl/>
          <w:lang w:bidi="ar-LB"/>
        </w:rPr>
        <w:t xml:space="preserve"> </w:t>
      </w:r>
      <w:r w:rsidR="00F32B28" w:rsidRPr="00F32B28">
        <w:rPr>
          <w:rtl/>
          <w:lang w:bidi="ar-LB"/>
        </w:rPr>
        <w:t>بهدف</w:t>
      </w:r>
      <w:r w:rsidR="00F32B28">
        <w:rPr>
          <w:rtl/>
          <w:lang w:bidi="ar-LB"/>
        </w:rPr>
        <w:t xml:space="preserve"> </w:t>
      </w:r>
      <w:r w:rsidR="00F32B28" w:rsidRPr="00F32B28">
        <w:rPr>
          <w:rtl/>
          <w:lang w:bidi="ar-LB"/>
        </w:rPr>
        <w:t>زيادة</w:t>
      </w:r>
      <w:r w:rsidR="00F32B28">
        <w:rPr>
          <w:rtl/>
          <w:lang w:bidi="ar-LB"/>
        </w:rPr>
        <w:t xml:space="preserve"> </w:t>
      </w:r>
      <w:r w:rsidR="00F32B28" w:rsidRPr="00F32B28">
        <w:rPr>
          <w:rtl/>
          <w:lang w:bidi="ar-LB"/>
        </w:rPr>
        <w:t>وعي</w:t>
      </w:r>
      <w:r w:rsidR="00F32B28">
        <w:rPr>
          <w:rtl/>
          <w:lang w:bidi="ar-LB"/>
        </w:rPr>
        <w:t xml:space="preserve"> </w:t>
      </w:r>
      <w:r w:rsidR="00F32B28" w:rsidRPr="00F32B28">
        <w:rPr>
          <w:rtl/>
          <w:lang w:bidi="ar-LB"/>
        </w:rPr>
        <w:t>المجتمع</w:t>
      </w:r>
      <w:r w:rsidR="00F32B28">
        <w:rPr>
          <w:rtl/>
          <w:lang w:bidi="ar-LB"/>
        </w:rPr>
        <w:t xml:space="preserve"> </w:t>
      </w:r>
      <w:r w:rsidR="00F32B28" w:rsidRPr="00F32B28">
        <w:rPr>
          <w:rtl/>
          <w:lang w:bidi="ar-LB"/>
        </w:rPr>
        <w:t>والمرأة</w:t>
      </w:r>
      <w:r w:rsidR="00F32B28">
        <w:rPr>
          <w:rtl/>
          <w:lang w:bidi="ar-LB"/>
        </w:rPr>
        <w:t xml:space="preserve"> </w:t>
      </w:r>
      <w:r w:rsidR="00F32B28" w:rsidRPr="00F32B28">
        <w:rPr>
          <w:rtl/>
          <w:lang w:bidi="ar-LB"/>
        </w:rPr>
        <w:t>بحقوقها</w:t>
      </w:r>
      <w:r w:rsidR="00F32B28">
        <w:rPr>
          <w:rtl/>
          <w:lang w:bidi="ar-LB"/>
        </w:rPr>
        <w:t xml:space="preserve"> </w:t>
      </w:r>
      <w:r w:rsidR="00F32B28" w:rsidRPr="00F32B28">
        <w:rPr>
          <w:rtl/>
          <w:lang w:bidi="ar-LB"/>
        </w:rPr>
        <w:t>ومكانتها</w:t>
      </w:r>
      <w:r w:rsidR="00F32B28">
        <w:rPr>
          <w:rtl/>
          <w:lang w:bidi="ar-LB"/>
        </w:rPr>
        <w:t xml:space="preserve"> </w:t>
      </w:r>
      <w:r w:rsidR="00F32B28" w:rsidRPr="00F32B28">
        <w:rPr>
          <w:rtl/>
          <w:lang w:bidi="ar-LB"/>
        </w:rPr>
        <w:t>ودورها</w:t>
      </w:r>
      <w:r w:rsidR="00F32B28">
        <w:rPr>
          <w:rtl/>
          <w:lang w:bidi="ar-LB"/>
        </w:rPr>
        <w:t xml:space="preserve"> </w:t>
      </w:r>
      <w:r w:rsidR="00F32B28" w:rsidRPr="00F32B28">
        <w:rPr>
          <w:rtl/>
          <w:lang w:bidi="ar-LB"/>
        </w:rPr>
        <w:t>الفعال</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الحياة</w:t>
      </w:r>
      <w:r w:rsidR="00F32B28">
        <w:rPr>
          <w:rtl/>
          <w:lang w:bidi="ar-LB"/>
        </w:rPr>
        <w:t xml:space="preserve"> </w:t>
      </w:r>
      <w:r w:rsidR="00F32B28" w:rsidRPr="00F32B28">
        <w:rPr>
          <w:rtl/>
          <w:lang w:bidi="ar-LB"/>
        </w:rPr>
        <w:t>السياسية</w:t>
      </w:r>
      <w:r>
        <w:rPr>
          <w:rFonts w:hint="cs"/>
          <w:rtl/>
          <w:lang w:bidi="ar-LB"/>
        </w:rPr>
        <w:t> </w:t>
      </w:r>
      <w:r w:rsidR="00F32B28" w:rsidRPr="00F32B28">
        <w:rPr>
          <w:rtl/>
          <w:lang w:bidi="ar-LB"/>
        </w:rPr>
        <w:t>وأهميته.</w:t>
      </w:r>
    </w:p>
    <w:p w:rsidR="009C23E0" w:rsidRPr="009C23E0" w:rsidRDefault="009C23E0" w:rsidP="009C23E0">
      <w:pPr>
        <w:pStyle w:val="SingleTxt"/>
        <w:spacing w:after="0" w:line="120" w:lineRule="exact"/>
        <w:rPr>
          <w:b/>
          <w:bCs/>
          <w:sz w:val="10"/>
          <w:rtl/>
          <w:lang w:bidi="ar-SY"/>
        </w:rPr>
      </w:pPr>
    </w:p>
    <w:p w:rsidR="00F32B28" w:rsidRPr="00F32B28" w:rsidRDefault="00F32B28" w:rsidP="00F32B28">
      <w:pPr>
        <w:pStyle w:val="SingleTxt"/>
        <w:rPr>
          <w:b/>
          <w:bCs/>
        </w:rPr>
      </w:pPr>
      <w:r w:rsidRPr="00F32B28">
        <w:rPr>
          <w:b/>
          <w:bCs/>
          <w:rtl/>
          <w:lang w:bidi="ar-SY"/>
        </w:rPr>
        <w:t>النساء</w:t>
      </w:r>
      <w:r>
        <w:rPr>
          <w:b/>
          <w:bCs/>
          <w:rtl/>
          <w:lang w:bidi="ar-SY"/>
        </w:rPr>
        <w:t xml:space="preserve"> </w:t>
      </w:r>
      <w:r w:rsidRPr="00F32B28">
        <w:rPr>
          <w:b/>
          <w:bCs/>
          <w:rtl/>
          <w:lang w:bidi="ar-SY"/>
        </w:rPr>
        <w:t>الأسيرات</w:t>
      </w:r>
      <w:r>
        <w:rPr>
          <w:b/>
          <w:bCs/>
          <w:rtl/>
          <w:lang w:bidi="ar-SY"/>
        </w:rPr>
        <w:t xml:space="preserve"> </w:t>
      </w:r>
      <w:r w:rsidRPr="00F32B28">
        <w:rPr>
          <w:b/>
          <w:bCs/>
          <w:rtl/>
          <w:lang w:bidi="ar-SY"/>
        </w:rPr>
        <w:t>الفلسطينيات</w:t>
      </w:r>
      <w:r>
        <w:rPr>
          <w:b/>
          <w:bCs/>
          <w:rtl/>
          <w:lang w:bidi="ar-SY"/>
        </w:rPr>
        <w:t xml:space="preserve"> </w:t>
      </w:r>
      <w:r w:rsidRPr="00F32B28">
        <w:rPr>
          <w:b/>
          <w:bCs/>
          <w:rtl/>
          <w:lang w:bidi="ar-SY"/>
        </w:rPr>
        <w:t>في</w:t>
      </w:r>
      <w:r>
        <w:rPr>
          <w:b/>
          <w:bCs/>
          <w:rtl/>
          <w:lang w:bidi="ar-SY"/>
        </w:rPr>
        <w:t xml:space="preserve"> </w:t>
      </w:r>
      <w:r w:rsidRPr="00F32B28">
        <w:rPr>
          <w:b/>
          <w:bCs/>
          <w:rtl/>
          <w:lang w:bidi="ar-SY"/>
        </w:rPr>
        <w:t>سجون</w:t>
      </w:r>
      <w:r>
        <w:rPr>
          <w:b/>
          <w:bCs/>
          <w:rtl/>
          <w:lang w:bidi="ar-SY"/>
        </w:rPr>
        <w:t xml:space="preserve"> </w:t>
      </w:r>
      <w:r w:rsidRPr="00F32B28">
        <w:rPr>
          <w:b/>
          <w:bCs/>
          <w:rtl/>
          <w:lang w:bidi="ar-SY"/>
        </w:rPr>
        <w:t>الاحتلال</w:t>
      </w:r>
      <w:r>
        <w:rPr>
          <w:b/>
          <w:bCs/>
          <w:rtl/>
          <w:lang w:bidi="ar-SY"/>
        </w:rPr>
        <w:t xml:space="preserve"> </w:t>
      </w:r>
      <w:r w:rsidRPr="00F32B28">
        <w:rPr>
          <w:b/>
          <w:bCs/>
          <w:rtl/>
          <w:lang w:bidi="ar-SY"/>
        </w:rPr>
        <w:t>الإسرائيلي</w:t>
      </w:r>
      <w:r w:rsidR="009C23E0">
        <w:rPr>
          <w:rFonts w:hint="cs"/>
          <w:b/>
          <w:bCs/>
          <w:rtl/>
          <w:lang w:bidi="ar-SY"/>
        </w:rPr>
        <w:t xml:space="preserve"> </w:t>
      </w:r>
      <w:r w:rsidRPr="00F32B28">
        <w:rPr>
          <w:b/>
          <w:bCs/>
          <w:rtl/>
          <w:lang w:bidi="ar-SY"/>
        </w:rPr>
        <w:t>وعائلات</w:t>
      </w:r>
      <w:r>
        <w:rPr>
          <w:b/>
          <w:bCs/>
          <w:rtl/>
          <w:lang w:bidi="ar-SY"/>
        </w:rPr>
        <w:t xml:space="preserve"> </w:t>
      </w:r>
      <w:r w:rsidRPr="00F32B28">
        <w:rPr>
          <w:b/>
          <w:bCs/>
          <w:rtl/>
          <w:lang w:bidi="ar-SY"/>
        </w:rPr>
        <w:t>الأسرى</w:t>
      </w:r>
      <w:r>
        <w:rPr>
          <w:b/>
          <w:bCs/>
          <w:rtl/>
          <w:lang w:bidi="ar-SY"/>
        </w:rPr>
        <w:t xml:space="preserve"> </w:t>
      </w:r>
      <w:r w:rsidRPr="00F32B28">
        <w:rPr>
          <w:b/>
          <w:bCs/>
          <w:rtl/>
          <w:lang w:bidi="ar-SY"/>
        </w:rPr>
        <w:t>الفلسطينيون</w:t>
      </w:r>
    </w:p>
    <w:p w:rsidR="00F32B28" w:rsidRPr="00F32B28" w:rsidRDefault="009C23E0" w:rsidP="009C23E0">
      <w:pPr>
        <w:pStyle w:val="SingleTxt"/>
      </w:pPr>
      <w:r>
        <w:rPr>
          <w:rFonts w:hint="cs"/>
          <w:rtl/>
          <w:lang w:bidi="ar-SY"/>
        </w:rPr>
        <w:t xml:space="preserve">136 - </w:t>
      </w:r>
      <w:r w:rsidR="00F32B28" w:rsidRPr="00F32B28">
        <w:rPr>
          <w:rtl/>
          <w:lang w:bidi="ar-SY"/>
        </w:rPr>
        <w:t>تلعب</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دوراً</w:t>
      </w:r>
      <w:r w:rsidR="00F32B28">
        <w:rPr>
          <w:rtl/>
          <w:lang w:bidi="ar-SY"/>
        </w:rPr>
        <w:t xml:space="preserve"> </w:t>
      </w:r>
      <w:r w:rsidR="00F32B28" w:rsidRPr="00F32B28">
        <w:rPr>
          <w:rtl/>
          <w:lang w:bidi="ar-SY"/>
        </w:rPr>
        <w:t>مهماً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عملية</w:t>
      </w:r>
      <w:r w:rsidR="00F32B28">
        <w:rPr>
          <w:rtl/>
          <w:lang w:bidi="ar-SY"/>
        </w:rPr>
        <w:t xml:space="preserve"> </w:t>
      </w:r>
      <w:r w:rsidR="00F32B28" w:rsidRPr="00F32B28">
        <w:rPr>
          <w:rtl/>
          <w:lang w:bidi="ar-SY"/>
        </w:rPr>
        <w:t>التحرر</w:t>
      </w:r>
      <w:r w:rsidR="00F32B28">
        <w:rPr>
          <w:rtl/>
          <w:lang w:bidi="ar-SY"/>
        </w:rPr>
        <w:t xml:space="preserve"> </w:t>
      </w:r>
      <w:r w:rsidR="00F32B28" w:rsidRPr="00F32B28">
        <w:rPr>
          <w:rtl/>
          <w:lang w:bidi="ar-SY"/>
        </w:rPr>
        <w:t>والنضال</w:t>
      </w:r>
      <w:r w:rsidR="00F32B28">
        <w:rPr>
          <w:rtl/>
          <w:lang w:bidi="ar-SY"/>
        </w:rPr>
        <w:t xml:space="preserve"> </w:t>
      </w:r>
      <w:r w:rsidR="00F32B28" w:rsidRPr="00F32B28">
        <w:rPr>
          <w:rtl/>
          <w:lang w:bidi="ar-SY"/>
        </w:rPr>
        <w:t>الوطني</w:t>
      </w:r>
      <w:r w:rsidR="00F32B28">
        <w:rPr>
          <w:rtl/>
          <w:lang w:bidi="ar-SY"/>
        </w:rPr>
        <w:t xml:space="preserve"> </w:t>
      </w:r>
      <w:r w:rsidR="00F32B28" w:rsidRPr="00F32B28">
        <w:rPr>
          <w:rtl/>
          <w:lang w:bidi="ar-SY"/>
        </w:rPr>
        <w:t>لإنهاء</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واستقلال</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وحق</w:t>
      </w:r>
      <w:r w:rsidR="00F32B28">
        <w:rPr>
          <w:rtl/>
          <w:lang w:bidi="ar-SY"/>
        </w:rPr>
        <w:t xml:space="preserve"> </w:t>
      </w:r>
      <w:r w:rsidR="00F32B28" w:rsidRPr="00F32B28">
        <w:rPr>
          <w:rtl/>
          <w:lang w:bidi="ar-SY"/>
        </w:rPr>
        <w:t>الشعب</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تقرير</w:t>
      </w:r>
      <w:r w:rsidR="00F32B28">
        <w:rPr>
          <w:rtl/>
          <w:lang w:bidi="ar-SY"/>
        </w:rPr>
        <w:t xml:space="preserve"> </w:t>
      </w:r>
      <w:r w:rsidR="00F32B28" w:rsidRPr="00F32B28">
        <w:rPr>
          <w:rtl/>
          <w:lang w:bidi="ar-SY"/>
        </w:rPr>
        <w:t>المصير.</w:t>
      </w:r>
      <w:r w:rsidR="00F32B28">
        <w:rPr>
          <w:rtl/>
          <w:lang w:bidi="ar-SY"/>
        </w:rPr>
        <w:t xml:space="preserve"> </w:t>
      </w:r>
      <w:r w:rsidR="00F32B28" w:rsidRPr="00F32B28">
        <w:rPr>
          <w:rtl/>
          <w:lang w:bidi="ar-SY"/>
        </w:rPr>
        <w:t>ومنذ</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lastRenderedPageBreak/>
        <w:t>1967،</w:t>
      </w:r>
      <w:r w:rsidR="00F32B28">
        <w:rPr>
          <w:rtl/>
          <w:lang w:bidi="ar-SY"/>
        </w:rPr>
        <w:t xml:space="preserve"> </w:t>
      </w:r>
      <w:r w:rsidR="00F32B28" w:rsidRPr="00F32B28">
        <w:rPr>
          <w:rtl/>
          <w:lang w:bidi="ar-SY"/>
        </w:rPr>
        <w:t>قامت</w:t>
      </w:r>
      <w:r w:rsidR="00F32B28">
        <w:rPr>
          <w:rtl/>
          <w:lang w:bidi="ar-SY"/>
        </w:rPr>
        <w:t xml:space="preserve"> </w:t>
      </w:r>
      <w:r w:rsidR="00F32B28" w:rsidRPr="00F32B28">
        <w:rPr>
          <w:rtl/>
          <w:lang w:bidi="ar-SY"/>
        </w:rPr>
        <w:t>إسرائيل،</w:t>
      </w:r>
      <w:r w:rsidR="00F32B28">
        <w:rPr>
          <w:rtl/>
          <w:lang w:bidi="ar-SY"/>
        </w:rPr>
        <w:t xml:space="preserve"> </w:t>
      </w:r>
      <w:r w:rsidR="00F32B28" w:rsidRPr="00F32B28">
        <w:rPr>
          <w:rtl/>
          <w:lang w:bidi="ar-SY"/>
        </w:rPr>
        <w:t>السلطة</w:t>
      </w:r>
      <w:r w:rsidR="00F32B28">
        <w:rPr>
          <w:rtl/>
          <w:lang w:bidi="ar-SY"/>
        </w:rPr>
        <w:t xml:space="preserve"> </w:t>
      </w:r>
      <w:r w:rsidR="00F32B28" w:rsidRPr="00F32B28">
        <w:rPr>
          <w:rtl/>
          <w:lang w:bidi="ar-SY"/>
        </w:rPr>
        <w:t>القائمة</w:t>
      </w:r>
      <w:r w:rsidR="00F32B28">
        <w:rPr>
          <w:rtl/>
          <w:lang w:bidi="ar-SY"/>
        </w:rPr>
        <w:t xml:space="preserve"> </w:t>
      </w:r>
      <w:r w:rsidR="00F32B28" w:rsidRPr="00F32B28">
        <w:rPr>
          <w:rtl/>
          <w:lang w:bidi="ar-SY"/>
        </w:rPr>
        <w:t>بالاحتلال،</w:t>
      </w:r>
      <w:r w:rsidR="00F32B28">
        <w:rPr>
          <w:rtl/>
          <w:lang w:bidi="ar-SY"/>
        </w:rPr>
        <w:t xml:space="preserve"> </w:t>
      </w:r>
      <w:r w:rsidR="00F32B28" w:rsidRPr="00F32B28">
        <w:rPr>
          <w:rtl/>
          <w:lang w:bidi="ar-SY"/>
        </w:rPr>
        <w:t>باعتقال</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مليون</w:t>
      </w:r>
      <w:r w:rsidR="00F32B28">
        <w:rPr>
          <w:rtl/>
          <w:lang w:bidi="ar-SY"/>
        </w:rPr>
        <w:t xml:space="preserve"> </w:t>
      </w:r>
      <w:r w:rsidR="00F32B28" w:rsidRPr="00F32B28">
        <w:rPr>
          <w:rtl/>
          <w:lang w:bidi="ar-SY"/>
        </w:rPr>
        <w:t>فلسطيني،</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(22</w:t>
      </w:r>
      <w:r w:rsidR="00851F93">
        <w:rPr>
          <w:rFonts w:hint="eastAsia"/>
          <w:rtl/>
          <w:lang w:bidi="ar-SY"/>
        </w:rPr>
        <w:t> </w:t>
      </w:r>
      <w:r w:rsidR="00600C43">
        <w:rPr>
          <w:rtl/>
          <w:lang w:bidi="ar-SY"/>
        </w:rPr>
        <w:t>في المائة</w:t>
      </w:r>
      <w:r w:rsidR="00F32B28" w:rsidRPr="00F32B28">
        <w:rPr>
          <w:rtl/>
          <w:lang w:bidi="ar-SY"/>
        </w:rPr>
        <w:t>)</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السكان</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استنادا</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تشريعات</w:t>
      </w:r>
      <w:r w:rsidR="00F32B28">
        <w:rPr>
          <w:rtl/>
          <w:lang w:bidi="ar-SY"/>
        </w:rPr>
        <w:t xml:space="preserve"> </w:t>
      </w:r>
      <w:r w:rsidR="00F32B28" w:rsidRPr="00F32B28">
        <w:rPr>
          <w:rtl/>
          <w:lang w:bidi="ar-SY"/>
        </w:rPr>
        <w:t>وأوامر</w:t>
      </w:r>
      <w:r w:rsidR="00F32B28">
        <w:rPr>
          <w:rtl/>
          <w:lang w:bidi="ar-SY"/>
        </w:rPr>
        <w:t xml:space="preserve"> </w:t>
      </w:r>
      <w:r w:rsidR="00F32B28" w:rsidRPr="00F32B28">
        <w:rPr>
          <w:rtl/>
          <w:lang w:bidi="ar-SY"/>
        </w:rPr>
        <w:t>وإجراءات</w:t>
      </w:r>
      <w:r w:rsidR="00F32B28">
        <w:rPr>
          <w:rtl/>
          <w:lang w:bidi="ar-SY"/>
        </w:rPr>
        <w:t xml:space="preserve"> </w:t>
      </w:r>
      <w:r w:rsidR="00F32B28" w:rsidRPr="00F32B28">
        <w:rPr>
          <w:rtl/>
          <w:lang w:bidi="ar-SY"/>
        </w:rPr>
        <w:t>تعسفية</w:t>
      </w:r>
      <w:r w:rsidR="00F32B28">
        <w:rPr>
          <w:rtl/>
          <w:lang w:bidi="ar-SY"/>
        </w:rPr>
        <w:t xml:space="preserve"> </w:t>
      </w:r>
      <w:r w:rsidR="00F32B28" w:rsidRPr="00F32B28">
        <w:rPr>
          <w:rtl/>
          <w:lang w:bidi="ar-SY"/>
        </w:rPr>
        <w:t>تنتهك</w:t>
      </w:r>
      <w:r w:rsidR="00F32B28">
        <w:rPr>
          <w:rtl/>
          <w:lang w:bidi="ar-SY"/>
        </w:rPr>
        <w:t xml:space="preserve"> </w:t>
      </w:r>
      <w:r w:rsidR="00F32B28" w:rsidRPr="00F32B28">
        <w:rPr>
          <w:rtl/>
          <w:lang w:bidi="ar-SY"/>
        </w:rPr>
        <w:t>صراحةً</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القواعد</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الصلة،</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تلك</w:t>
      </w:r>
      <w:r w:rsidR="00F32B28">
        <w:rPr>
          <w:rtl/>
          <w:lang w:bidi="ar-SY"/>
        </w:rPr>
        <w:t xml:space="preserve"> </w:t>
      </w:r>
      <w:r w:rsidR="00F32B28" w:rsidRPr="00F32B28">
        <w:rPr>
          <w:rtl/>
          <w:lang w:bidi="ar-SY"/>
        </w:rPr>
        <w:t>المتعلقة</w:t>
      </w:r>
      <w:r w:rsidR="00F32B28">
        <w:rPr>
          <w:rtl/>
          <w:lang w:bidi="ar-SY"/>
        </w:rPr>
        <w:t xml:space="preserve"> </w:t>
      </w:r>
      <w:r w:rsidR="00F32B28" w:rsidRPr="00F32B28">
        <w:rPr>
          <w:rtl/>
          <w:lang w:bidi="ar-SY"/>
        </w:rPr>
        <w:t>بعدم</w:t>
      </w:r>
      <w:r w:rsidR="00F32B28">
        <w:rPr>
          <w:rtl/>
          <w:lang w:bidi="ar-SY"/>
        </w:rPr>
        <w:t xml:space="preserve"> </w:t>
      </w:r>
      <w:r w:rsidR="00F32B28" w:rsidRPr="00F32B28">
        <w:rPr>
          <w:rtl/>
          <w:lang w:bidi="ar-SY"/>
        </w:rPr>
        <w:t>التعرض</w:t>
      </w:r>
      <w:r w:rsidR="00F32B28">
        <w:rPr>
          <w:rtl/>
          <w:lang w:bidi="ar-SY"/>
        </w:rPr>
        <w:t xml:space="preserve"> </w:t>
      </w:r>
      <w:r w:rsidR="00F32B28" w:rsidRPr="00F32B28">
        <w:rPr>
          <w:rtl/>
          <w:lang w:bidi="ar-SY"/>
        </w:rPr>
        <w:t>للاحتجاز</w:t>
      </w:r>
      <w:r w:rsidR="00F32B28">
        <w:rPr>
          <w:rtl/>
          <w:lang w:bidi="ar-SY"/>
        </w:rPr>
        <w:t xml:space="preserve"> </w:t>
      </w:r>
      <w:r w:rsidR="00F32B28" w:rsidRPr="00F32B28">
        <w:rPr>
          <w:rtl/>
          <w:lang w:bidi="ar-SY"/>
        </w:rPr>
        <w:t>التعسفي.</w:t>
      </w:r>
      <w:r w:rsidR="00F32B28">
        <w:rPr>
          <w:rtl/>
          <w:lang w:bidi="ar-SY"/>
        </w:rPr>
        <w:t xml:space="preserve"> </w:t>
      </w:r>
      <w:r w:rsidR="00F32B28" w:rsidRPr="00F32B28">
        <w:rPr>
          <w:rtl/>
          <w:lang w:bidi="ar-SY"/>
        </w:rPr>
        <w:t>كان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ضمن</w:t>
      </w:r>
      <w:r w:rsidR="00F32B28">
        <w:rPr>
          <w:rtl/>
          <w:lang w:bidi="ar-SY"/>
        </w:rPr>
        <w:t xml:space="preserve"> </w:t>
      </w:r>
      <w:r w:rsidR="00F32B28" w:rsidRPr="00F32B28">
        <w:rPr>
          <w:rtl/>
          <w:lang w:bidi="ar-SY"/>
        </w:rPr>
        <w:t>مجموع</w:t>
      </w:r>
      <w:r w:rsidR="00F32B28">
        <w:rPr>
          <w:rtl/>
          <w:lang w:bidi="ar-SY"/>
        </w:rPr>
        <w:t xml:space="preserve"> </w:t>
      </w:r>
      <w:r w:rsidR="00F32B28" w:rsidRPr="00F32B28">
        <w:rPr>
          <w:rtl/>
          <w:lang w:bidi="ar-SY"/>
        </w:rPr>
        <w:t>هؤلاء</w:t>
      </w:r>
      <w:r w:rsidR="00F32B28">
        <w:rPr>
          <w:rtl/>
          <w:lang w:bidi="ar-SY"/>
        </w:rPr>
        <w:t xml:space="preserve"> </w:t>
      </w:r>
      <w:r w:rsidR="00F32B28" w:rsidRPr="00F32B28">
        <w:rPr>
          <w:rtl/>
          <w:lang w:bidi="ar-SY"/>
        </w:rPr>
        <w:t>الأسرى</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w:t>
      </w:r>
      <w:r w:rsidR="00887A70">
        <w:rPr>
          <w:rFonts w:hint="cs"/>
          <w:rtl/>
          <w:lang w:bidi="ar-SY"/>
        </w:rPr>
        <w:t>000 10</w:t>
      </w:r>
      <w:r w:rsidR="00F32B28" w:rsidRPr="00F32B28">
        <w:rPr>
          <w:rtl/>
          <w:lang w:bidi="ar-SY"/>
        </w:rPr>
        <w:t>)</w:t>
      </w:r>
      <w:r w:rsidR="00F32B28">
        <w:rPr>
          <w:rtl/>
          <w:lang w:bidi="ar-SY"/>
        </w:rPr>
        <w:t xml:space="preserve"> </w:t>
      </w:r>
      <w:r w:rsidR="00F32B28" w:rsidRPr="00F32B28">
        <w:rPr>
          <w:rtl/>
          <w:lang w:bidi="ar-SY"/>
        </w:rPr>
        <w:t>امرأة</w:t>
      </w:r>
      <w:r w:rsidR="00F32B28">
        <w:rPr>
          <w:rtl/>
          <w:lang w:bidi="ar-SY"/>
        </w:rPr>
        <w:t xml:space="preserve"> </w:t>
      </w:r>
      <w:r w:rsidR="00F32B28" w:rsidRPr="00F32B28">
        <w:rPr>
          <w:rtl/>
          <w:lang w:bidi="ar-SY"/>
        </w:rPr>
        <w:t>فلسطينية،</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تزال</w:t>
      </w:r>
      <w:r w:rsidR="00F32B28">
        <w:rPr>
          <w:rtl/>
          <w:lang w:bidi="ar-SY"/>
        </w:rPr>
        <w:t xml:space="preserve"> </w:t>
      </w:r>
      <w:r w:rsidR="00F32B28" w:rsidRPr="00F32B28">
        <w:rPr>
          <w:rtl/>
          <w:lang w:bidi="ar-SY"/>
        </w:rPr>
        <w:t>(68)</w:t>
      </w:r>
      <w:r w:rsidR="00F32B28">
        <w:rPr>
          <w:rtl/>
          <w:lang w:bidi="ar-SY"/>
        </w:rPr>
        <w:t xml:space="preserve"> </w:t>
      </w:r>
      <w:r w:rsidR="00F32B28" w:rsidRPr="00F32B28">
        <w:rPr>
          <w:rtl/>
          <w:lang w:bidi="ar-SY"/>
        </w:rPr>
        <w:t>أسيرة</w:t>
      </w:r>
      <w:r w:rsidR="00F32B28">
        <w:rPr>
          <w:rtl/>
          <w:lang w:bidi="ar-SY"/>
        </w:rPr>
        <w:t xml:space="preserve"> </w:t>
      </w:r>
      <w:r w:rsidR="00F32B28" w:rsidRPr="00F32B28">
        <w:rPr>
          <w:rtl/>
          <w:lang w:bidi="ar-SY"/>
        </w:rPr>
        <w:t>منهن</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يومنا</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أيار</w:t>
      </w:r>
      <w:r w:rsidR="00887A70">
        <w:rPr>
          <w:rFonts w:hint="cs"/>
          <w:rtl/>
          <w:lang w:bidi="ar-SY"/>
        </w:rPr>
        <w:t>/مايو</w:t>
      </w:r>
      <w:r w:rsidR="00F32B28">
        <w:rPr>
          <w:rtl/>
          <w:lang w:bidi="ar-SY"/>
        </w:rPr>
        <w:t xml:space="preserve"> </w:t>
      </w:r>
      <w:r w:rsidR="00F32B28" w:rsidRPr="00F32B28">
        <w:rPr>
          <w:rtl/>
          <w:lang w:bidi="ar-SY"/>
        </w:rPr>
        <w:t>2016،</w:t>
      </w:r>
      <w:r w:rsidR="00F32B28">
        <w:rPr>
          <w:rtl/>
          <w:lang w:bidi="ar-SY"/>
        </w:rPr>
        <w:t xml:space="preserve"> </w:t>
      </w:r>
      <w:r w:rsidR="00F32B28" w:rsidRPr="00F32B28">
        <w:rPr>
          <w:rtl/>
          <w:lang w:bidi="ar-SY"/>
        </w:rPr>
        <w:t>محتجزات</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قانوني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سجون</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تقع</w:t>
      </w:r>
      <w:r w:rsidR="00F32B28">
        <w:rPr>
          <w:rtl/>
          <w:lang w:bidi="ar-SY"/>
        </w:rPr>
        <w:t xml:space="preserve"> </w:t>
      </w:r>
      <w:r w:rsidR="00F32B28" w:rsidRPr="00F32B28">
        <w:rPr>
          <w:rtl/>
          <w:lang w:bidi="ar-SY"/>
        </w:rPr>
        <w:t>جميعها</w:t>
      </w:r>
      <w:r w:rsidR="00F32B28">
        <w:rPr>
          <w:rtl/>
          <w:lang w:bidi="ar-SY"/>
        </w:rPr>
        <w:t xml:space="preserve"> </w:t>
      </w:r>
      <w:r w:rsidR="00F32B28" w:rsidRPr="00F32B28">
        <w:rPr>
          <w:rtl/>
          <w:lang w:bidi="ar-SY"/>
        </w:rPr>
        <w:t>خارج</w:t>
      </w:r>
      <w:r w:rsidR="00F32B28">
        <w:rPr>
          <w:rtl/>
          <w:lang w:bidi="ar-SY"/>
        </w:rPr>
        <w:t xml:space="preserve"> </w:t>
      </w:r>
      <w:r w:rsidR="00F32B28" w:rsidRPr="00F32B28">
        <w:rPr>
          <w:rtl/>
          <w:lang w:bidi="ar-SY"/>
        </w:rPr>
        <w:t>أرض</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المحتلة</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عدا</w:t>
      </w:r>
      <w:r w:rsidR="00F32B28">
        <w:rPr>
          <w:rtl/>
          <w:lang w:bidi="ar-SY"/>
        </w:rPr>
        <w:t xml:space="preserve"> </w:t>
      </w:r>
      <w:r w:rsidR="00F32B28" w:rsidRPr="00F32B28">
        <w:rPr>
          <w:rtl/>
          <w:lang w:bidi="ar-SY"/>
        </w:rPr>
        <w:t>سجن</w:t>
      </w:r>
      <w:r w:rsidR="00F32B28">
        <w:rPr>
          <w:rtl/>
          <w:lang w:bidi="ar-SY"/>
        </w:rPr>
        <w:t xml:space="preserve"> </w:t>
      </w:r>
      <w:r w:rsidR="00F32B28" w:rsidRPr="00F32B28">
        <w:rPr>
          <w:rtl/>
          <w:lang w:bidi="ar-SY"/>
        </w:rPr>
        <w:t>واحد)،</w:t>
      </w:r>
      <w:r w:rsidR="00F32B28">
        <w:rPr>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تفتقد</w:t>
      </w:r>
      <w:r w:rsidR="00F32B28">
        <w:rPr>
          <w:rtl/>
          <w:lang w:bidi="ar-SY"/>
        </w:rPr>
        <w:t xml:space="preserve"> </w:t>
      </w:r>
      <w:r w:rsidR="00F32B28" w:rsidRPr="00F32B28">
        <w:rPr>
          <w:rtl/>
          <w:lang w:bidi="ar-SY"/>
        </w:rPr>
        <w:t>أيضاً</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أدنى</w:t>
      </w:r>
      <w:r w:rsidR="00F32B28">
        <w:rPr>
          <w:rtl/>
          <w:lang w:bidi="ar-SY"/>
        </w:rPr>
        <w:t xml:space="preserve"> </w:t>
      </w:r>
      <w:r w:rsidR="00F32B28" w:rsidRPr="00F32B28">
        <w:rPr>
          <w:rtl/>
          <w:lang w:bidi="ar-SY"/>
        </w:rPr>
        <w:t>معايير</w:t>
      </w:r>
      <w:r w:rsidR="00F32B28">
        <w:rPr>
          <w:rtl/>
          <w:lang w:bidi="ar-SY"/>
        </w:rPr>
        <w:t xml:space="preserve"> </w:t>
      </w:r>
      <w:r w:rsidR="00F32B28" w:rsidRPr="00F32B28">
        <w:rPr>
          <w:rtl/>
          <w:lang w:bidi="ar-SY"/>
        </w:rPr>
        <w:t>مراعاة</w:t>
      </w:r>
      <w:r w:rsidR="00F32B28">
        <w:rPr>
          <w:rtl/>
          <w:lang w:bidi="ar-SY"/>
        </w:rPr>
        <w:t xml:space="preserve"> </w:t>
      </w:r>
      <w:r w:rsidR="00F32B28" w:rsidRPr="00F32B28">
        <w:rPr>
          <w:rtl/>
          <w:lang w:bidi="ar-SY"/>
        </w:rPr>
        <w:t>النوع</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الإنسانية.</w:t>
      </w:r>
    </w:p>
    <w:p w:rsidR="00F32B28" w:rsidRPr="00F32B28" w:rsidRDefault="009C23E0" w:rsidP="009C23E0">
      <w:pPr>
        <w:pStyle w:val="SingleTxt"/>
      </w:pPr>
      <w:r>
        <w:rPr>
          <w:rFonts w:hint="cs"/>
          <w:rtl/>
          <w:lang w:bidi="ar-SY"/>
        </w:rPr>
        <w:t xml:space="preserve">137 - </w:t>
      </w:r>
      <w:r w:rsidR="00F32B28" w:rsidRPr="00F32B28">
        <w:rPr>
          <w:rtl/>
          <w:lang w:bidi="ar-SY"/>
        </w:rPr>
        <w:t>وفي</w:t>
      </w:r>
      <w:r w:rsidR="00F32B28">
        <w:rPr>
          <w:rtl/>
          <w:lang w:bidi="ar-SY"/>
        </w:rPr>
        <w:t xml:space="preserve"> </w:t>
      </w:r>
      <w:r w:rsidR="00F32B28" w:rsidRPr="00F32B28">
        <w:rPr>
          <w:rtl/>
          <w:lang w:bidi="ar-SY"/>
        </w:rPr>
        <w:t>إمعانها</w:t>
      </w:r>
      <w:r w:rsidR="00F32B28">
        <w:rPr>
          <w:rtl/>
          <w:lang w:bidi="ar-SY"/>
        </w:rPr>
        <w:t xml:space="preserve"> </w:t>
      </w:r>
      <w:r w:rsidR="00F32B28" w:rsidRPr="00F32B28">
        <w:rPr>
          <w:rtl/>
          <w:lang w:bidi="ar-SY"/>
        </w:rPr>
        <w:t>بانتهاك</w:t>
      </w:r>
      <w:r w:rsidR="00F32B28">
        <w:rPr>
          <w:rtl/>
          <w:lang w:bidi="ar-SY"/>
        </w:rPr>
        <w:t xml:space="preserve"> </w:t>
      </w:r>
      <w:r w:rsidR="00F32B28" w:rsidRPr="00F32B28">
        <w:rPr>
          <w:rtl/>
          <w:lang w:bidi="ar-SY"/>
        </w:rPr>
        <w:t>مناحي</w:t>
      </w:r>
      <w:r w:rsidR="00F32B28">
        <w:rPr>
          <w:rtl/>
          <w:lang w:bidi="ar-SY"/>
        </w:rPr>
        <w:t xml:space="preserve"> </w:t>
      </w:r>
      <w:r w:rsidR="00F32B28" w:rsidRPr="00F32B28">
        <w:rPr>
          <w:rtl/>
          <w:lang w:bidi="ar-SY"/>
        </w:rPr>
        <w:t>الحياة</w:t>
      </w:r>
      <w:r w:rsidR="00F32B28">
        <w:rPr>
          <w:rtl/>
          <w:lang w:bidi="ar-SY"/>
        </w:rPr>
        <w:t xml:space="preserve"> </w:t>
      </w:r>
      <w:r w:rsidR="00F32B28" w:rsidRPr="00F32B28">
        <w:rPr>
          <w:rtl/>
          <w:lang w:bidi="ar-SY"/>
        </w:rPr>
        <w:t>السياسية</w:t>
      </w:r>
      <w:r w:rsidR="00F32B28">
        <w:rPr>
          <w:rtl/>
          <w:lang w:bidi="ar-SY"/>
        </w:rPr>
        <w:t xml:space="preserve"> </w:t>
      </w:r>
      <w:r w:rsidR="00F32B28" w:rsidRPr="00F32B28">
        <w:rPr>
          <w:rtl/>
          <w:lang w:bidi="ar-SY"/>
        </w:rPr>
        <w:t>والعامة</w:t>
      </w:r>
      <w:r w:rsidR="00F32B28">
        <w:rPr>
          <w:rtl/>
          <w:lang w:bidi="ar-SY"/>
        </w:rPr>
        <w:t xml:space="preserve"> </w:t>
      </w:r>
      <w:r w:rsidR="00F32B28" w:rsidRPr="00F32B28">
        <w:rPr>
          <w:rtl/>
          <w:lang w:bidi="ar-SY"/>
        </w:rPr>
        <w:t>للشعب</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وقمع</w:t>
      </w:r>
      <w:r w:rsidR="00F32B28">
        <w:rPr>
          <w:rtl/>
          <w:lang w:bidi="ar-SY"/>
        </w:rPr>
        <w:t xml:space="preserve"> </w:t>
      </w:r>
      <w:r w:rsidR="00F32B28" w:rsidRPr="00F32B28">
        <w:rPr>
          <w:rtl/>
          <w:lang w:bidi="ar-SY"/>
        </w:rPr>
        <w:t>المدنيين</w:t>
      </w:r>
      <w:r w:rsidR="00F32B28">
        <w:rPr>
          <w:rtl/>
          <w:lang w:bidi="ar-SY"/>
        </w:rPr>
        <w:t xml:space="preserve"> </w:t>
      </w:r>
      <w:r w:rsidR="00F32B28" w:rsidRPr="00F32B28">
        <w:rPr>
          <w:rtl/>
          <w:lang w:bidi="ar-SY"/>
        </w:rPr>
        <w:t>وقادتهم</w:t>
      </w:r>
      <w:r w:rsidR="00F32B28">
        <w:rPr>
          <w:rtl/>
          <w:lang w:bidi="ar-SY"/>
        </w:rPr>
        <w:t xml:space="preserve"> </w:t>
      </w:r>
      <w:r w:rsidR="00F32B28" w:rsidRPr="00F32B28">
        <w:rPr>
          <w:rtl/>
          <w:lang w:bidi="ar-SY"/>
        </w:rPr>
        <w:t>السياسيين</w:t>
      </w:r>
      <w:r w:rsidR="00F32B28">
        <w:rPr>
          <w:rtl/>
          <w:lang w:bidi="ar-SY"/>
        </w:rPr>
        <w:t xml:space="preserve"> </w:t>
      </w:r>
      <w:r w:rsidR="00F32B28" w:rsidRPr="00F32B28">
        <w:rPr>
          <w:rtl/>
          <w:lang w:bidi="ar-SY"/>
        </w:rPr>
        <w:t>بطريقة</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شرعية،</w:t>
      </w:r>
      <w:r w:rsidR="00F32B28">
        <w:rPr>
          <w:rtl/>
          <w:lang w:bidi="ar-SY"/>
        </w:rPr>
        <w:t xml:space="preserve"> </w:t>
      </w:r>
      <w:r w:rsidR="00F32B28" w:rsidRPr="00F32B28">
        <w:rPr>
          <w:rtl/>
          <w:lang w:bidi="ar-SY"/>
        </w:rPr>
        <w:t>اعتقلت</w:t>
      </w:r>
      <w:r w:rsidR="00F32B28">
        <w:rPr>
          <w:rtl/>
          <w:lang w:bidi="ar-SY"/>
        </w:rPr>
        <w:t xml:space="preserve"> </w:t>
      </w:r>
      <w:r w:rsidR="00F32B28" w:rsidRPr="00F32B28">
        <w:rPr>
          <w:rtl/>
          <w:lang w:bidi="ar-SY"/>
        </w:rPr>
        <w:t>قوات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(16)</w:t>
      </w:r>
      <w:r w:rsidR="00F32B28">
        <w:rPr>
          <w:rtl/>
          <w:lang w:bidi="ar-SY"/>
        </w:rPr>
        <w:t xml:space="preserve"> </w:t>
      </w:r>
      <w:r w:rsidR="00F32B28" w:rsidRPr="00F32B28">
        <w:rPr>
          <w:rtl/>
          <w:lang w:bidi="ar-SY"/>
        </w:rPr>
        <w:t>نائباً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نواب</w:t>
      </w:r>
      <w:r w:rsidR="00F32B28">
        <w:rPr>
          <w:rtl/>
          <w:lang w:bidi="ar-SY"/>
        </w:rPr>
        <w:t xml:space="preserve"> </w:t>
      </w:r>
      <w:r w:rsidR="00F32B28" w:rsidRPr="00F32B28">
        <w:rPr>
          <w:rtl/>
          <w:lang w:bidi="ar-SY"/>
        </w:rPr>
        <w:t>المجلس</w:t>
      </w:r>
      <w:r w:rsidR="00F32B28">
        <w:rPr>
          <w:rtl/>
          <w:lang w:bidi="ar-SY"/>
        </w:rPr>
        <w:t xml:space="preserve"> </w:t>
      </w:r>
      <w:r w:rsidR="00F32B28" w:rsidRPr="00F32B28">
        <w:rPr>
          <w:rtl/>
          <w:lang w:bidi="ar-SY"/>
        </w:rPr>
        <w:t>التشريعي</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المنتخب؛</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بينهم</w:t>
      </w:r>
      <w:r w:rsidR="00F32B28">
        <w:rPr>
          <w:rtl/>
          <w:lang w:bidi="ar-SY"/>
        </w:rPr>
        <w:t xml:space="preserve"> </w:t>
      </w:r>
      <w:r w:rsidR="00F32B28" w:rsidRPr="00F32B28">
        <w:rPr>
          <w:rtl/>
          <w:lang w:bidi="ar-SY"/>
        </w:rPr>
        <w:t>امرأة</w:t>
      </w:r>
      <w:r w:rsidR="00F32B28">
        <w:rPr>
          <w:rtl/>
          <w:lang w:bidi="ar-SY"/>
        </w:rPr>
        <w:t xml:space="preserve"> </w:t>
      </w:r>
      <w:r w:rsidR="00F32B28" w:rsidRPr="00F32B28">
        <w:rPr>
          <w:rtl/>
          <w:lang w:bidi="ar-SY"/>
        </w:rPr>
        <w:t>واحدة</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خالدة</w:t>
      </w:r>
      <w:r w:rsidR="00F32B28">
        <w:rPr>
          <w:rtl/>
          <w:lang w:bidi="ar-SY"/>
        </w:rPr>
        <w:t xml:space="preserve"> </w:t>
      </w:r>
      <w:r w:rsidR="00F32B28" w:rsidRPr="00F32B28">
        <w:rPr>
          <w:rtl/>
          <w:lang w:bidi="ar-SY"/>
        </w:rPr>
        <w:t>جرار،</w:t>
      </w:r>
      <w:r w:rsidR="00F32B28">
        <w:rPr>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حكم</w:t>
      </w:r>
      <w:r w:rsidR="00F32B28">
        <w:rPr>
          <w:rtl/>
          <w:lang w:bidi="ar-SY"/>
        </w:rPr>
        <w:t xml:space="preserve"> </w:t>
      </w:r>
      <w:r w:rsidR="00F32B28" w:rsidRPr="00F32B28">
        <w:rPr>
          <w:rtl/>
          <w:lang w:bidi="ar-SY"/>
        </w:rPr>
        <w:t>عليها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محكمة</w:t>
      </w:r>
      <w:r w:rsidR="00F32B28">
        <w:rPr>
          <w:rtl/>
          <w:lang w:bidi="ar-SY"/>
        </w:rPr>
        <w:t xml:space="preserve"> </w:t>
      </w:r>
      <w:r w:rsidR="00F32B28" w:rsidRPr="00F32B28">
        <w:rPr>
          <w:rtl/>
          <w:lang w:bidi="ar-SY"/>
        </w:rPr>
        <w:t>إسرائيلية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كانون</w:t>
      </w:r>
      <w:r w:rsidR="00F32B28">
        <w:rPr>
          <w:rtl/>
          <w:lang w:bidi="ar-SY"/>
        </w:rPr>
        <w:t xml:space="preserve"> </w:t>
      </w:r>
      <w:r w:rsidR="00D225D0">
        <w:rPr>
          <w:rFonts w:hint="cs"/>
          <w:rtl/>
          <w:lang w:bidi="ar-SY"/>
        </w:rPr>
        <w:t>ال</w:t>
      </w:r>
      <w:r w:rsidR="00F32B28" w:rsidRPr="00F32B28">
        <w:rPr>
          <w:rtl/>
          <w:lang w:bidi="ar-SY"/>
        </w:rPr>
        <w:t>أول</w:t>
      </w:r>
      <w:r w:rsidR="00D225D0">
        <w:rPr>
          <w:rFonts w:hint="cs"/>
          <w:rtl/>
          <w:lang w:bidi="ar-SY"/>
        </w:rPr>
        <w:t>/ديسمبر</w:t>
      </w:r>
      <w:r w:rsidR="00F32B28">
        <w:rPr>
          <w:rtl/>
          <w:lang w:bidi="ar-SY"/>
        </w:rPr>
        <w:t xml:space="preserve"> </w:t>
      </w:r>
      <w:r w:rsidR="00F32B28" w:rsidRPr="00F32B28">
        <w:rPr>
          <w:rtl/>
          <w:lang w:bidi="ar-SY"/>
        </w:rPr>
        <w:t>2015</w:t>
      </w:r>
      <w:r w:rsidR="00F32B28">
        <w:rPr>
          <w:rtl/>
          <w:lang w:bidi="ar-SY"/>
        </w:rPr>
        <w:t xml:space="preserve"> </w:t>
      </w:r>
      <w:r w:rsidR="00F32B28" w:rsidRPr="00F32B28">
        <w:rPr>
          <w:rtl/>
          <w:lang w:bidi="ar-SY"/>
        </w:rPr>
        <w:t>بالحبس</w:t>
      </w:r>
      <w:r w:rsidR="00F32B28">
        <w:rPr>
          <w:rtl/>
          <w:lang w:bidi="ar-SY"/>
        </w:rPr>
        <w:t xml:space="preserve"> </w:t>
      </w:r>
      <w:r w:rsidR="00F32B28" w:rsidRPr="00F32B28">
        <w:rPr>
          <w:rtl/>
          <w:lang w:bidi="ar-SY"/>
        </w:rPr>
        <w:t>15</w:t>
      </w:r>
      <w:r w:rsidR="00F32B28">
        <w:rPr>
          <w:rtl/>
          <w:lang w:bidi="ar-SY"/>
        </w:rPr>
        <w:t xml:space="preserve"> </w:t>
      </w:r>
      <w:r w:rsidR="00F32B28" w:rsidRPr="00F32B28">
        <w:rPr>
          <w:rtl/>
          <w:lang w:bidi="ar-SY"/>
        </w:rPr>
        <w:t>شهراً</w:t>
      </w:r>
      <w:r w:rsidR="00F32B28">
        <w:rPr>
          <w:rtl/>
          <w:lang w:bidi="ar-SY"/>
        </w:rPr>
        <w:t xml:space="preserve"> </w:t>
      </w:r>
      <w:r w:rsidR="00F32B28" w:rsidRPr="00F32B28">
        <w:rPr>
          <w:rtl/>
          <w:lang w:bidi="ar-SY"/>
        </w:rPr>
        <w:t>وغرامة</w:t>
      </w:r>
      <w:r w:rsidR="00F32B28">
        <w:rPr>
          <w:rtl/>
          <w:lang w:bidi="ar-SY"/>
        </w:rPr>
        <w:t xml:space="preserve"> </w:t>
      </w:r>
      <w:r w:rsidR="00F32B28" w:rsidRPr="00F32B28">
        <w:rPr>
          <w:rtl/>
          <w:lang w:bidi="ar-SY"/>
        </w:rPr>
        <w:t>تقدر</w:t>
      </w:r>
      <w:r w:rsidR="00F32B28">
        <w:rPr>
          <w:rtl/>
          <w:lang w:bidi="ar-SY"/>
        </w:rPr>
        <w:t xml:space="preserve"> </w:t>
      </w:r>
      <w:r w:rsidR="00F32B28" w:rsidRPr="00F32B28">
        <w:rPr>
          <w:rtl/>
          <w:lang w:bidi="ar-SY"/>
        </w:rPr>
        <w:t>بحوالي</w:t>
      </w:r>
      <w:r w:rsidR="00F32B28">
        <w:rPr>
          <w:rtl/>
          <w:lang w:bidi="ar-SY"/>
        </w:rPr>
        <w:t xml:space="preserve"> </w:t>
      </w:r>
      <w:r w:rsidR="00F32B28" w:rsidRPr="00F32B28">
        <w:rPr>
          <w:rtl/>
          <w:lang w:bidi="ar-SY"/>
        </w:rPr>
        <w:t>(</w:t>
      </w:r>
      <w:r w:rsidR="00887A70">
        <w:rPr>
          <w:rFonts w:hint="cs"/>
          <w:rtl/>
          <w:lang w:bidi="ar-SY"/>
        </w:rPr>
        <w:t>800 2</w:t>
      </w:r>
      <w:r w:rsidR="00F32B28" w:rsidRPr="00F32B28">
        <w:rPr>
          <w:rtl/>
          <w:lang w:bidi="ar-SY"/>
        </w:rPr>
        <w:t>)</w:t>
      </w:r>
      <w:r w:rsidR="00F32B28">
        <w:rPr>
          <w:rtl/>
          <w:lang w:bidi="ar-SY"/>
        </w:rPr>
        <w:t xml:space="preserve"> </w:t>
      </w:r>
      <w:r w:rsidR="00F32B28" w:rsidRPr="00F32B28">
        <w:rPr>
          <w:rtl/>
          <w:lang w:bidi="ar-SY"/>
        </w:rPr>
        <w:t>دولار</w:t>
      </w:r>
      <w:r w:rsidR="00F32B28">
        <w:rPr>
          <w:rtl/>
          <w:lang w:bidi="ar-SY"/>
        </w:rPr>
        <w:t xml:space="preserve"> </w:t>
      </w:r>
      <w:r w:rsidR="00F32B28" w:rsidRPr="00F32B28">
        <w:rPr>
          <w:rtl/>
          <w:lang w:bidi="ar-SY"/>
        </w:rPr>
        <w:t>أمريكي</w:t>
      </w:r>
      <w:r w:rsidR="00F32B28">
        <w:rPr>
          <w:rtl/>
          <w:lang w:bidi="ar-SY"/>
        </w:rPr>
        <w:t xml:space="preserve"> </w:t>
      </w:r>
      <w:r w:rsidR="00F32B28" w:rsidRPr="00F32B28">
        <w:rPr>
          <w:rtl/>
          <w:lang w:bidi="ar-SY"/>
        </w:rPr>
        <w:t>و</w:t>
      </w:r>
      <w:r w:rsidR="00D225D0">
        <w:rPr>
          <w:rFonts w:hint="eastAsia"/>
          <w:rtl/>
          <w:lang w:bidi="ar-SY"/>
        </w:rPr>
        <w:t> </w:t>
      </w:r>
      <w:r w:rsidR="00F32B28" w:rsidRPr="00F32B28">
        <w:rPr>
          <w:rtl/>
          <w:lang w:bidi="ar-SY"/>
        </w:rPr>
        <w:t>(12)</w:t>
      </w:r>
      <w:r w:rsidR="00F32B28">
        <w:rPr>
          <w:rtl/>
          <w:lang w:bidi="ar-SY"/>
        </w:rPr>
        <w:t xml:space="preserve"> </w:t>
      </w:r>
      <w:r w:rsidR="00F32B28" w:rsidRPr="00F32B28">
        <w:rPr>
          <w:rtl/>
          <w:lang w:bidi="ar-SY"/>
        </w:rPr>
        <w:t>شهراً</w:t>
      </w:r>
      <w:r w:rsidR="00F32B28">
        <w:rPr>
          <w:rtl/>
          <w:lang w:bidi="ar-SY"/>
        </w:rPr>
        <w:t xml:space="preserve"> </w:t>
      </w:r>
      <w:r w:rsidR="00F32B28" w:rsidRPr="00F32B28">
        <w:rPr>
          <w:rtl/>
          <w:lang w:bidi="ar-SY"/>
        </w:rPr>
        <w:t>وقف</w:t>
      </w:r>
      <w:r w:rsidR="00F32B28">
        <w:rPr>
          <w:rtl/>
          <w:lang w:bidi="ar-SY"/>
        </w:rPr>
        <w:t xml:space="preserve"> </w:t>
      </w:r>
      <w:r w:rsidR="00F32B28" w:rsidRPr="00F32B28">
        <w:rPr>
          <w:rtl/>
          <w:lang w:bidi="ar-SY"/>
        </w:rPr>
        <w:t>تنفيذ</w:t>
      </w:r>
      <w:r w:rsidR="00F32B28">
        <w:rPr>
          <w:rtl/>
          <w:lang w:bidi="ar-SY"/>
        </w:rPr>
        <w:t xml:space="preserve"> </w:t>
      </w:r>
      <w:r w:rsidR="00F32B28" w:rsidRPr="00F32B28">
        <w:rPr>
          <w:rtl/>
          <w:lang w:bidi="ar-SY"/>
        </w:rPr>
        <w:t>لمدة</w:t>
      </w:r>
      <w:r w:rsidR="00F32B28">
        <w:rPr>
          <w:rtl/>
          <w:lang w:bidi="ar-SY"/>
        </w:rPr>
        <w:t xml:space="preserve"> </w:t>
      </w:r>
      <w:r w:rsidR="00F32B28" w:rsidRPr="00F32B28">
        <w:rPr>
          <w:rtl/>
          <w:lang w:bidi="ar-SY"/>
        </w:rPr>
        <w:t>5</w:t>
      </w:r>
      <w:r w:rsidR="00F32B28">
        <w:rPr>
          <w:rtl/>
          <w:lang w:bidi="ar-SY"/>
        </w:rPr>
        <w:t xml:space="preserve"> </w:t>
      </w:r>
      <w:r w:rsidR="00F32B28" w:rsidRPr="00F32B28">
        <w:rPr>
          <w:rtl/>
          <w:lang w:bidi="ar-SY"/>
        </w:rPr>
        <w:t>سنوات.</w:t>
      </w:r>
    </w:p>
    <w:p w:rsidR="00F32B28" w:rsidRPr="00F32B28" w:rsidRDefault="009C23E0" w:rsidP="009C23E0">
      <w:pPr>
        <w:pStyle w:val="SingleTxt"/>
        <w:rPr>
          <w:rtl/>
          <w:lang w:bidi="ar-SY"/>
        </w:rPr>
      </w:pPr>
      <w:r>
        <w:rPr>
          <w:rFonts w:hint="cs"/>
          <w:rtl/>
          <w:lang w:bidi="ar-SY"/>
        </w:rPr>
        <w:t xml:space="preserve">138 - </w:t>
      </w:r>
      <w:r w:rsidR="00F32B28" w:rsidRPr="00F32B28">
        <w:rPr>
          <w:rtl/>
          <w:lang w:bidi="ar-SY"/>
        </w:rPr>
        <w:t>وتتعرض</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سواء</w:t>
      </w:r>
      <w:r w:rsidR="00F32B28">
        <w:rPr>
          <w:rtl/>
          <w:lang w:bidi="ar-SY"/>
        </w:rPr>
        <w:t xml:space="preserve"> </w:t>
      </w:r>
      <w:r w:rsidR="00F32B28" w:rsidRPr="00F32B28">
        <w:rPr>
          <w:rtl/>
          <w:lang w:bidi="ar-SY"/>
        </w:rPr>
        <w:t>أثناء</w:t>
      </w:r>
      <w:r w:rsidR="00F32B28">
        <w:rPr>
          <w:rtl/>
          <w:lang w:bidi="ar-SY"/>
        </w:rPr>
        <w:t xml:space="preserve"> </w:t>
      </w:r>
      <w:r w:rsidR="00F32B28" w:rsidRPr="00F32B28">
        <w:rPr>
          <w:rtl/>
          <w:lang w:bidi="ar-SY"/>
        </w:rPr>
        <w:t>عملية</w:t>
      </w:r>
      <w:r w:rsidR="00F32B28">
        <w:rPr>
          <w:rtl/>
          <w:lang w:bidi="ar-SY"/>
        </w:rPr>
        <w:t xml:space="preserve"> </w:t>
      </w:r>
      <w:r w:rsidR="00F32B28" w:rsidRPr="00F32B28">
        <w:rPr>
          <w:rtl/>
          <w:lang w:bidi="ar-SY"/>
        </w:rPr>
        <w:t>الأسر</w:t>
      </w:r>
      <w:r w:rsidR="00F32B28">
        <w:rPr>
          <w:rtl/>
          <w:lang w:bidi="ar-SY"/>
        </w:rPr>
        <w:t xml:space="preserve"> </w:t>
      </w:r>
      <w:r w:rsidR="00F32B28" w:rsidRPr="00F32B28">
        <w:rPr>
          <w:rtl/>
          <w:lang w:bidi="ar-SY"/>
        </w:rPr>
        <w:t>والاعتقال،</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تتم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وقت</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أي</w:t>
      </w:r>
      <w:r w:rsidR="009B107D">
        <w:rPr>
          <w:rFonts w:hint="cs"/>
          <w:rtl/>
          <w:lang w:bidi="ar-SY"/>
        </w:rPr>
        <w:t> </w:t>
      </w:r>
      <w:r w:rsidR="00F32B28" w:rsidRPr="00F32B28">
        <w:rPr>
          <w:rtl/>
          <w:lang w:bidi="ar-SY"/>
        </w:rPr>
        <w:t>مكان</w:t>
      </w:r>
      <w:r w:rsidR="00F32B28">
        <w:rPr>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غالباً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تترافق</w:t>
      </w:r>
      <w:r w:rsidR="00F32B28">
        <w:rPr>
          <w:rtl/>
          <w:lang w:bidi="ar-SY"/>
        </w:rPr>
        <w:t xml:space="preserve"> </w:t>
      </w:r>
      <w:r w:rsidR="00F32B28" w:rsidRPr="00F32B28">
        <w:rPr>
          <w:rtl/>
          <w:lang w:bidi="ar-SY"/>
        </w:rPr>
        <w:t>بربط</w:t>
      </w:r>
      <w:r w:rsidR="00F32B28">
        <w:rPr>
          <w:rtl/>
          <w:lang w:bidi="ar-SY"/>
        </w:rPr>
        <w:t xml:space="preserve"> </w:t>
      </w:r>
      <w:r w:rsidR="00F32B28" w:rsidRPr="00F32B28">
        <w:rPr>
          <w:rtl/>
          <w:lang w:bidi="ar-SY"/>
        </w:rPr>
        <w:t>الأيدي</w:t>
      </w:r>
      <w:r w:rsidR="00F32B28">
        <w:rPr>
          <w:rtl/>
          <w:lang w:bidi="ar-SY"/>
        </w:rPr>
        <w:t xml:space="preserve"> </w:t>
      </w:r>
      <w:r w:rsidR="00F32B28" w:rsidRPr="00F32B28">
        <w:rPr>
          <w:rtl/>
          <w:lang w:bidi="ar-SY"/>
        </w:rPr>
        <w:t>بقيود</w:t>
      </w:r>
      <w:r w:rsidR="00F32B28">
        <w:rPr>
          <w:rtl/>
          <w:lang w:bidi="ar-SY"/>
        </w:rPr>
        <w:t xml:space="preserve"> </w:t>
      </w:r>
      <w:r w:rsidR="00F32B28" w:rsidRPr="00F32B28">
        <w:rPr>
          <w:rtl/>
          <w:lang w:bidi="ar-SY"/>
        </w:rPr>
        <w:t>بلاستيكية</w:t>
      </w:r>
      <w:r w:rsidR="00F32B28">
        <w:rPr>
          <w:rtl/>
          <w:lang w:bidi="ar-SY"/>
        </w:rPr>
        <w:t xml:space="preserve"> </w:t>
      </w:r>
      <w:r w:rsidR="00F32B28" w:rsidRPr="00F32B28">
        <w:rPr>
          <w:rtl/>
          <w:lang w:bidi="ar-SY"/>
        </w:rPr>
        <w:t>وتعصيب</w:t>
      </w:r>
      <w:r w:rsidR="00F32B28">
        <w:rPr>
          <w:rtl/>
          <w:lang w:bidi="ar-SY"/>
        </w:rPr>
        <w:t xml:space="preserve"> </w:t>
      </w:r>
      <w:r w:rsidR="00F32B28" w:rsidRPr="00F32B28">
        <w:rPr>
          <w:rtl/>
          <w:lang w:bidi="ar-SY"/>
        </w:rPr>
        <w:t>العينين،</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التحقيق،</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الأقسام</w:t>
      </w:r>
      <w:r w:rsidR="00F32B28">
        <w:rPr>
          <w:rtl/>
          <w:lang w:bidi="ar-SY"/>
        </w:rPr>
        <w:t xml:space="preserve"> </w:t>
      </w:r>
      <w:r w:rsidR="00F32B28" w:rsidRPr="00F32B28">
        <w:rPr>
          <w:rtl/>
          <w:lang w:bidi="ar-SY"/>
        </w:rPr>
        <w:t>والسجون،</w:t>
      </w:r>
      <w:r w:rsidR="00F32B28">
        <w:rPr>
          <w:rtl/>
          <w:lang w:bidi="ar-SY"/>
        </w:rPr>
        <w:t xml:space="preserve"> </w:t>
      </w:r>
      <w:r w:rsidR="00F32B28" w:rsidRPr="00F32B28">
        <w:rPr>
          <w:rtl/>
          <w:lang w:bidi="ar-SY"/>
        </w:rPr>
        <w:t>وأثناء</w:t>
      </w:r>
      <w:r w:rsidR="00F32B28">
        <w:rPr>
          <w:rtl/>
          <w:lang w:bidi="ar-SY"/>
        </w:rPr>
        <w:t xml:space="preserve"> </w:t>
      </w:r>
      <w:r w:rsidR="00F32B28" w:rsidRPr="00F32B28">
        <w:rPr>
          <w:rtl/>
          <w:lang w:bidi="ar-SY"/>
        </w:rPr>
        <w:t>عمليات</w:t>
      </w:r>
      <w:r w:rsidR="00F32B28">
        <w:rPr>
          <w:rtl/>
          <w:lang w:bidi="ar-SY"/>
        </w:rPr>
        <w:t xml:space="preserve"> </w:t>
      </w:r>
      <w:r w:rsidR="00F32B28" w:rsidRPr="00F32B28">
        <w:rPr>
          <w:rtl/>
          <w:lang w:bidi="ar-SY"/>
        </w:rPr>
        <w:t>النقل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الباصات،</w:t>
      </w:r>
      <w:r w:rsidR="00F32B28">
        <w:rPr>
          <w:rtl/>
          <w:lang w:bidi="ar-SY"/>
        </w:rPr>
        <w:t xml:space="preserve"> </w:t>
      </w:r>
      <w:r w:rsidR="00F32B28" w:rsidRPr="00F32B28">
        <w:rPr>
          <w:rtl/>
          <w:lang w:bidi="ar-SY"/>
        </w:rPr>
        <w:t>لمختلف</w:t>
      </w:r>
      <w:r w:rsidR="00F32B28">
        <w:rPr>
          <w:rtl/>
          <w:lang w:bidi="ar-SY"/>
        </w:rPr>
        <w:t xml:space="preserve"> </w:t>
      </w:r>
      <w:r w:rsidR="00F32B28" w:rsidRPr="00F32B28">
        <w:rPr>
          <w:rtl/>
          <w:lang w:bidi="ar-SY"/>
        </w:rPr>
        <w:t>أشكال</w:t>
      </w:r>
      <w:r w:rsidR="00F32B28">
        <w:rPr>
          <w:rtl/>
          <w:lang w:bidi="ar-SY"/>
        </w:rPr>
        <w:t xml:space="preserve"> </w:t>
      </w:r>
      <w:r w:rsidR="00F32B28" w:rsidRPr="00F32B28">
        <w:rPr>
          <w:rtl/>
          <w:lang w:bidi="ar-SY"/>
        </w:rPr>
        <w:t>التعذيب</w:t>
      </w:r>
      <w:r w:rsidR="00F32B28">
        <w:rPr>
          <w:rtl/>
          <w:lang w:bidi="ar-SY"/>
        </w:rPr>
        <w:t xml:space="preserve"> </w:t>
      </w:r>
      <w:r w:rsidR="00F32B28" w:rsidRPr="00F32B28">
        <w:rPr>
          <w:rtl/>
          <w:lang w:bidi="ar-SY"/>
        </w:rPr>
        <w:t>والمعاملة</w:t>
      </w:r>
      <w:r w:rsidR="00F32B28">
        <w:rPr>
          <w:rtl/>
          <w:lang w:bidi="ar-SY"/>
        </w:rPr>
        <w:t xml:space="preserve"> </w:t>
      </w:r>
      <w:r w:rsidR="00F32B28" w:rsidRPr="00F32B28">
        <w:rPr>
          <w:rtl/>
          <w:lang w:bidi="ar-SY"/>
        </w:rPr>
        <w:t>اللاإنسانية</w:t>
      </w:r>
      <w:r w:rsidR="00F32B28">
        <w:rPr>
          <w:rtl/>
          <w:lang w:bidi="ar-SY"/>
        </w:rPr>
        <w:t xml:space="preserve"> </w:t>
      </w:r>
      <w:r w:rsidR="00F32B28" w:rsidRPr="00F32B28">
        <w:rPr>
          <w:rtl/>
          <w:lang w:bidi="ar-SY"/>
        </w:rPr>
        <w:t>والمهينة</w:t>
      </w:r>
      <w:r w:rsidR="00F32B28">
        <w:rPr>
          <w:rtl/>
          <w:lang w:bidi="ar-SY"/>
        </w:rPr>
        <w:t xml:space="preserve"> </w:t>
      </w:r>
      <w:r w:rsidR="00F32B28" w:rsidRPr="00F32B28">
        <w:rPr>
          <w:rtl/>
          <w:lang w:bidi="ar-SY"/>
        </w:rPr>
        <w:t>والممارسة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قوات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العنف</w:t>
      </w:r>
      <w:r w:rsidR="00F32B28">
        <w:rPr>
          <w:rtl/>
          <w:lang w:bidi="ar-SY"/>
        </w:rPr>
        <w:t xml:space="preserve"> </w:t>
      </w:r>
      <w:r w:rsidR="00F32B28" w:rsidRPr="00F32B28">
        <w:rPr>
          <w:rtl/>
          <w:lang w:bidi="ar-SY"/>
        </w:rPr>
        <w:t>الجسدي</w:t>
      </w:r>
      <w:r w:rsidR="00F32B28">
        <w:rPr>
          <w:rtl/>
          <w:lang w:bidi="ar-SY"/>
        </w:rPr>
        <w:t xml:space="preserve"> </w:t>
      </w:r>
      <w:r w:rsidR="00F32B28" w:rsidRPr="00F32B28">
        <w:rPr>
          <w:rtl/>
          <w:lang w:bidi="ar-SY"/>
        </w:rPr>
        <w:t>والنفسي</w:t>
      </w:r>
      <w:r w:rsidR="00F32B28">
        <w:rPr>
          <w:rtl/>
          <w:lang w:bidi="ar-SY"/>
        </w:rPr>
        <w:t xml:space="preserve"> </w:t>
      </w:r>
      <w:r w:rsidR="00F32B28" w:rsidRPr="00F32B28">
        <w:rPr>
          <w:rtl/>
          <w:lang w:bidi="ar-SY"/>
        </w:rPr>
        <w:t>كالضرب</w:t>
      </w:r>
      <w:r w:rsidR="00F32B28">
        <w:rPr>
          <w:rtl/>
          <w:lang w:bidi="ar-SY"/>
        </w:rPr>
        <w:t xml:space="preserve"> </w:t>
      </w:r>
      <w:r w:rsidR="00F32B28" w:rsidRPr="00F32B28">
        <w:rPr>
          <w:rtl/>
          <w:lang w:bidi="ar-SY"/>
        </w:rPr>
        <w:t>والركل</w:t>
      </w:r>
      <w:r w:rsidR="00F32B28">
        <w:rPr>
          <w:rtl/>
          <w:lang w:bidi="ar-SY"/>
        </w:rPr>
        <w:t xml:space="preserve"> </w:t>
      </w:r>
      <w:r w:rsidR="00F32B28" w:rsidRPr="00F32B28">
        <w:rPr>
          <w:rtl/>
          <w:lang w:bidi="ar-SY"/>
        </w:rPr>
        <w:t>والصفع</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الوجه</w:t>
      </w:r>
      <w:r w:rsidR="00F32B28">
        <w:rPr>
          <w:rtl/>
          <w:lang w:bidi="ar-SY"/>
        </w:rPr>
        <w:t xml:space="preserve"> </w:t>
      </w:r>
      <w:r w:rsidR="00F32B28" w:rsidRPr="00F32B28">
        <w:rPr>
          <w:rtl/>
          <w:lang w:bidi="ar-SY"/>
        </w:rPr>
        <w:t>والشتم</w:t>
      </w:r>
      <w:r w:rsidR="00F32B28">
        <w:rPr>
          <w:rtl/>
          <w:lang w:bidi="ar-SY"/>
        </w:rPr>
        <w:t xml:space="preserve"> </w:t>
      </w:r>
      <w:r w:rsidR="00F32B28" w:rsidRPr="00F32B28">
        <w:rPr>
          <w:rtl/>
          <w:lang w:bidi="ar-SY"/>
        </w:rPr>
        <w:t>والتهديد</w:t>
      </w:r>
      <w:r w:rsidR="00F32B28">
        <w:rPr>
          <w:rtl/>
          <w:lang w:bidi="ar-SY"/>
        </w:rPr>
        <w:t xml:space="preserve"> </w:t>
      </w:r>
      <w:r w:rsidR="00F32B28" w:rsidRPr="00F32B28">
        <w:rPr>
          <w:rtl/>
          <w:lang w:bidi="ar-SY"/>
        </w:rPr>
        <w:t>والإيذاء</w:t>
      </w:r>
      <w:r w:rsidR="00F32B28">
        <w:rPr>
          <w:rtl/>
          <w:lang w:bidi="ar-SY"/>
        </w:rPr>
        <w:t xml:space="preserve"> </w:t>
      </w:r>
      <w:r w:rsidR="00F32B28" w:rsidRPr="00F32B28">
        <w:rPr>
          <w:rtl/>
          <w:lang w:bidi="ar-SY"/>
        </w:rPr>
        <w:t>النفسي.</w:t>
      </w:r>
      <w:r w:rsidR="00F32B28">
        <w:rPr>
          <w:rtl/>
          <w:lang w:bidi="ar-SY"/>
        </w:rPr>
        <w:t xml:space="preserve"> </w:t>
      </w:r>
      <w:r w:rsidR="00F32B28" w:rsidRPr="00F32B28">
        <w:rPr>
          <w:rtl/>
          <w:lang w:bidi="ar-SY"/>
        </w:rPr>
        <w:t>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الاعتداءات</w:t>
      </w:r>
      <w:r w:rsidR="00F32B28">
        <w:rPr>
          <w:rtl/>
          <w:lang w:bidi="ar-SY"/>
        </w:rPr>
        <w:t xml:space="preserve"> </w:t>
      </w:r>
      <w:r w:rsidR="00F32B28" w:rsidRPr="00F32B28">
        <w:rPr>
          <w:rtl/>
          <w:lang w:bidi="ar-SY"/>
        </w:rPr>
        <w:t>الجنسية</w:t>
      </w:r>
      <w:r w:rsidR="00F32B28">
        <w:rPr>
          <w:rtl/>
          <w:lang w:bidi="ar-SY"/>
        </w:rPr>
        <w:t xml:space="preserve"> </w:t>
      </w:r>
      <w:r w:rsidR="00F32B28" w:rsidRPr="00F32B28">
        <w:rPr>
          <w:rtl/>
          <w:lang w:bidi="ar-SY"/>
        </w:rPr>
        <w:t>الصريحة</w:t>
      </w:r>
      <w:r w:rsidR="00362769">
        <w:rPr>
          <w:rFonts w:hint="cs"/>
          <w:rtl/>
          <w:lang w:bidi="ar-SY"/>
        </w:rPr>
        <w:t xml:space="preserve"> </w:t>
      </w:r>
      <w:r w:rsidR="00F32B28" w:rsidRPr="00F32B28">
        <w:rPr>
          <w:rtl/>
          <w:lang w:bidi="ar-SY"/>
        </w:rPr>
        <w:t>الموجهة</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كالتهديد</w:t>
      </w:r>
      <w:r w:rsidR="00F32B28">
        <w:rPr>
          <w:rtl/>
          <w:lang w:bidi="ar-SY"/>
        </w:rPr>
        <w:t xml:space="preserve"> </w:t>
      </w:r>
      <w:r w:rsidR="00F32B28" w:rsidRPr="00F32B28">
        <w:rPr>
          <w:rtl/>
          <w:lang w:bidi="ar-SY"/>
        </w:rPr>
        <w:t>باغتصابهن</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اغتصاب</w:t>
      </w:r>
      <w:r w:rsidR="00F32B28">
        <w:rPr>
          <w:rtl/>
          <w:lang w:bidi="ar-SY"/>
        </w:rPr>
        <w:t xml:space="preserve"> </w:t>
      </w:r>
      <w:r w:rsidR="00F32B28" w:rsidRPr="00F32B28">
        <w:rPr>
          <w:rtl/>
          <w:lang w:bidi="ar-SY"/>
        </w:rPr>
        <w:t>إحدى</w:t>
      </w:r>
      <w:r w:rsidR="00F32B28">
        <w:rPr>
          <w:rtl/>
          <w:lang w:bidi="ar-SY"/>
        </w:rPr>
        <w:t xml:space="preserve"> </w:t>
      </w:r>
      <w:r w:rsidR="00F32B28" w:rsidRPr="00F32B28">
        <w:rPr>
          <w:rtl/>
          <w:lang w:bidi="ar-SY"/>
        </w:rPr>
        <w:t>إناث</w:t>
      </w:r>
      <w:r w:rsidR="00F32B28">
        <w:rPr>
          <w:rtl/>
          <w:lang w:bidi="ar-SY"/>
        </w:rPr>
        <w:t xml:space="preserve"> </w:t>
      </w:r>
      <w:r w:rsidR="00F32B28" w:rsidRPr="00F32B28">
        <w:rPr>
          <w:rtl/>
          <w:lang w:bidi="ar-SY"/>
        </w:rPr>
        <w:t>أسرهن،</w:t>
      </w:r>
      <w:r w:rsidR="00F32B28">
        <w:rPr>
          <w:rtl/>
          <w:lang w:bidi="ar-SY"/>
        </w:rPr>
        <w:t xml:space="preserve"> </w:t>
      </w:r>
      <w:r w:rsidR="00F32B28" w:rsidRPr="00F32B28">
        <w:rPr>
          <w:rtl/>
          <w:lang w:bidi="ar-SY"/>
        </w:rPr>
        <w:t>والتفتيش</w:t>
      </w:r>
      <w:r w:rsidR="00F32B28">
        <w:rPr>
          <w:rtl/>
          <w:lang w:bidi="ar-SY"/>
        </w:rPr>
        <w:t xml:space="preserve"> </w:t>
      </w:r>
      <w:r w:rsidR="00F32B28" w:rsidRPr="00F32B28">
        <w:rPr>
          <w:rtl/>
          <w:lang w:bidi="ar-SY"/>
        </w:rPr>
        <w:t>الجسدي</w:t>
      </w:r>
      <w:r w:rsidR="00F32B28">
        <w:rPr>
          <w:rtl/>
          <w:lang w:bidi="ar-SY"/>
        </w:rPr>
        <w:t xml:space="preserve"> </w:t>
      </w:r>
      <w:r w:rsidR="00F32B28" w:rsidRPr="00F32B28">
        <w:rPr>
          <w:rtl/>
          <w:lang w:bidi="ar-SY"/>
        </w:rPr>
        <w:t>العاري</w:t>
      </w:r>
      <w:r w:rsidR="00F32B28">
        <w:rPr>
          <w:rtl/>
          <w:lang w:bidi="ar-SY"/>
        </w:rPr>
        <w:t xml:space="preserve"> </w:t>
      </w:r>
      <w:r w:rsidR="00F32B28" w:rsidRPr="00F32B28">
        <w:rPr>
          <w:rtl/>
          <w:lang w:bidi="ar-SY"/>
        </w:rPr>
        <w:t>للأسيرات؛</w:t>
      </w:r>
      <w:r w:rsidR="00F32B28">
        <w:rPr>
          <w:rtl/>
          <w:lang w:bidi="ar-SY"/>
        </w:rPr>
        <w:t xml:space="preserve"> </w:t>
      </w:r>
      <w:r w:rsidR="00F32B28" w:rsidRPr="00F32B28">
        <w:rPr>
          <w:rtl/>
          <w:lang w:bidi="ar-SY"/>
        </w:rPr>
        <w:t>وهو</w:t>
      </w:r>
      <w:r w:rsidR="00F32B28">
        <w:rPr>
          <w:rtl/>
          <w:lang w:bidi="ar-SY"/>
        </w:rPr>
        <w:t xml:space="preserve"> </w:t>
      </w:r>
      <w:r w:rsidR="00F32B28" w:rsidRPr="00F32B28">
        <w:rPr>
          <w:rtl/>
          <w:lang w:bidi="ar-SY"/>
        </w:rPr>
        <w:t>إجراء</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قانوني</w:t>
      </w:r>
      <w:r w:rsidR="00F32B28">
        <w:rPr>
          <w:rtl/>
          <w:lang w:bidi="ar-SY"/>
        </w:rPr>
        <w:t xml:space="preserve"> </w:t>
      </w:r>
      <w:r w:rsidR="00F32B28" w:rsidRPr="00F32B28">
        <w:rPr>
          <w:rtl/>
          <w:lang w:bidi="ar-SY"/>
        </w:rPr>
        <w:t>يمارسه</w:t>
      </w:r>
      <w:r w:rsidR="00F32B28">
        <w:rPr>
          <w:rtl/>
          <w:lang w:bidi="ar-SY"/>
        </w:rPr>
        <w:t xml:space="preserve"> </w:t>
      </w:r>
      <w:r w:rsidR="00F32B28" w:rsidRPr="00F32B28">
        <w:rPr>
          <w:rtl/>
          <w:lang w:bidi="ar-SY"/>
        </w:rPr>
        <w:t>الجنود</w:t>
      </w:r>
      <w:r w:rsidR="00F32B28">
        <w:rPr>
          <w:rtl/>
          <w:lang w:bidi="ar-SY"/>
        </w:rPr>
        <w:t xml:space="preserve"> </w:t>
      </w:r>
      <w:r w:rsidR="00F32B28" w:rsidRPr="00F32B28">
        <w:rPr>
          <w:rtl/>
          <w:lang w:bidi="ar-SY"/>
        </w:rPr>
        <w:t>وعناصر</w:t>
      </w:r>
      <w:r w:rsidR="00F32B28">
        <w:rPr>
          <w:rtl/>
          <w:lang w:bidi="ar-SY"/>
        </w:rPr>
        <w:t xml:space="preserve"> </w:t>
      </w:r>
      <w:r w:rsidR="00F32B28" w:rsidRPr="00F32B28">
        <w:rPr>
          <w:rtl/>
          <w:lang w:bidi="ar-SY"/>
        </w:rPr>
        <w:t>مصلحة</w:t>
      </w:r>
      <w:r w:rsidR="00F32B28">
        <w:rPr>
          <w:rtl/>
          <w:lang w:bidi="ar-SY"/>
        </w:rPr>
        <w:t xml:space="preserve"> </w:t>
      </w:r>
      <w:r w:rsidR="00F32B28" w:rsidRPr="00F32B28">
        <w:rPr>
          <w:rtl/>
          <w:lang w:bidi="ar-SY"/>
        </w:rPr>
        <w:t>السجون</w:t>
      </w:r>
      <w:r w:rsidR="00F32B28">
        <w:rPr>
          <w:rtl/>
          <w:lang w:bidi="ar-SY"/>
        </w:rPr>
        <w:t xml:space="preserve"> </w:t>
      </w:r>
      <w:r w:rsidR="00F32B28" w:rsidRPr="00F32B28">
        <w:rPr>
          <w:rtl/>
          <w:lang w:bidi="ar-SY"/>
        </w:rPr>
        <w:t>للاحتلال</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مستمر</w:t>
      </w:r>
      <w:r w:rsidR="00F32B28">
        <w:rPr>
          <w:rtl/>
          <w:lang w:bidi="ar-SY"/>
        </w:rPr>
        <w:t xml:space="preserve"> </w:t>
      </w:r>
      <w:r w:rsidR="00F32B28" w:rsidRPr="00F32B28">
        <w:rPr>
          <w:rtl/>
          <w:lang w:bidi="ar-SY"/>
        </w:rPr>
        <w:t>طوال</w:t>
      </w:r>
      <w:r w:rsidR="00F32B28">
        <w:rPr>
          <w:rtl/>
          <w:lang w:bidi="ar-SY"/>
        </w:rPr>
        <w:t xml:space="preserve"> </w:t>
      </w:r>
      <w:r w:rsidR="00F32B28" w:rsidRPr="00F32B28">
        <w:rPr>
          <w:rtl/>
          <w:lang w:bidi="ar-SY"/>
        </w:rPr>
        <w:t>فترة</w:t>
      </w:r>
      <w:r w:rsidR="00F32B28">
        <w:rPr>
          <w:rtl/>
          <w:lang w:bidi="ar-SY"/>
        </w:rPr>
        <w:t xml:space="preserve"> </w:t>
      </w:r>
      <w:r w:rsidR="00F32B28" w:rsidRPr="00F32B28">
        <w:rPr>
          <w:rtl/>
          <w:lang w:bidi="ar-SY"/>
        </w:rPr>
        <w:t>اعتقال</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وغالباً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يتم</w:t>
      </w:r>
      <w:r w:rsidR="00F32B28">
        <w:rPr>
          <w:rtl/>
          <w:lang w:bidi="ar-SY"/>
        </w:rPr>
        <w:t xml:space="preserve"> </w:t>
      </w:r>
      <w:r w:rsidR="00F32B28" w:rsidRPr="00F32B28">
        <w:rPr>
          <w:rtl/>
          <w:lang w:bidi="ar-SY"/>
        </w:rPr>
        <w:t>استخدامه</w:t>
      </w:r>
      <w:r w:rsidR="00F32B28">
        <w:rPr>
          <w:rtl/>
          <w:lang w:bidi="ar-SY"/>
        </w:rPr>
        <w:t xml:space="preserve"> </w:t>
      </w:r>
      <w:r w:rsidR="00F32B28" w:rsidRPr="00F32B28">
        <w:rPr>
          <w:rtl/>
          <w:lang w:bidi="ar-SY"/>
        </w:rPr>
        <w:t>كعقوبة،</w:t>
      </w:r>
      <w:r w:rsidR="00F32B28">
        <w:rPr>
          <w:rtl/>
          <w:lang w:bidi="ar-SY"/>
        </w:rPr>
        <w:t xml:space="preserve"> </w:t>
      </w:r>
      <w:r w:rsidR="00F32B28" w:rsidRPr="00F32B28">
        <w:rPr>
          <w:rtl/>
          <w:lang w:bidi="ar-SY"/>
        </w:rPr>
        <w:t>والذي</w:t>
      </w:r>
      <w:r w:rsidR="00F32B28">
        <w:rPr>
          <w:rtl/>
          <w:lang w:bidi="ar-SY"/>
        </w:rPr>
        <w:t xml:space="preserve"> </w:t>
      </w:r>
      <w:r w:rsidR="00F32B28" w:rsidRPr="00F32B28">
        <w:rPr>
          <w:rtl/>
          <w:lang w:bidi="ar-SY"/>
        </w:rPr>
        <w:t>يتم</w:t>
      </w:r>
      <w:r w:rsidR="00F32B28">
        <w:rPr>
          <w:rtl/>
          <w:lang w:bidi="ar-SY"/>
        </w:rPr>
        <w:t xml:space="preserve"> </w:t>
      </w:r>
      <w:r w:rsidR="00F32B28" w:rsidRPr="00F32B28">
        <w:rPr>
          <w:rtl/>
          <w:lang w:bidi="ar-SY"/>
        </w:rPr>
        <w:t>بموجبه</w:t>
      </w:r>
      <w:r w:rsidR="00F32B28">
        <w:rPr>
          <w:rtl/>
          <w:lang w:bidi="ar-SY"/>
        </w:rPr>
        <w:t xml:space="preserve"> </w:t>
      </w:r>
      <w:r w:rsidR="00F32B28" w:rsidRPr="00F32B28">
        <w:rPr>
          <w:rtl/>
          <w:lang w:bidi="ar-SY"/>
        </w:rPr>
        <w:t>تجريد</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معظم</w:t>
      </w:r>
      <w:r w:rsidR="00F32B28">
        <w:rPr>
          <w:rtl/>
          <w:lang w:bidi="ar-SY"/>
        </w:rPr>
        <w:t xml:space="preserve"> </w:t>
      </w:r>
      <w:r w:rsidR="00F32B28" w:rsidRPr="00F32B28">
        <w:rPr>
          <w:rtl/>
          <w:lang w:bidi="ar-SY"/>
        </w:rPr>
        <w:t>ملابسهن،</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الأحيان</w:t>
      </w:r>
      <w:r w:rsidR="00F32B28">
        <w:rPr>
          <w:rtl/>
          <w:lang w:bidi="ar-SY"/>
        </w:rPr>
        <w:t xml:space="preserve"> </w:t>
      </w:r>
      <w:r w:rsidR="00F32B28" w:rsidRPr="00F32B28">
        <w:rPr>
          <w:rtl/>
          <w:lang w:bidi="ar-SY"/>
        </w:rPr>
        <w:t>يجردن</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ملابسهن</w:t>
      </w:r>
      <w:r w:rsidR="00F32B28">
        <w:rPr>
          <w:rtl/>
          <w:lang w:bidi="ar-SY"/>
        </w:rPr>
        <w:t xml:space="preserve"> </w:t>
      </w:r>
      <w:r w:rsidR="00F32B28" w:rsidRPr="00F32B28">
        <w:rPr>
          <w:rtl/>
          <w:lang w:bidi="ar-SY"/>
        </w:rPr>
        <w:t>الداخلية،</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يترك</w:t>
      </w:r>
      <w:r w:rsidR="00F32B28">
        <w:rPr>
          <w:rtl/>
          <w:lang w:bidi="ar-SY"/>
        </w:rPr>
        <w:t xml:space="preserve"> </w:t>
      </w:r>
      <w:r w:rsidR="00F32B28" w:rsidRPr="00F32B28">
        <w:rPr>
          <w:rtl/>
          <w:lang w:bidi="ar-SY"/>
        </w:rPr>
        <w:t>أشد</w:t>
      </w:r>
      <w:r w:rsidR="00F32B28">
        <w:rPr>
          <w:rtl/>
          <w:lang w:bidi="ar-SY"/>
        </w:rPr>
        <w:t xml:space="preserve"> </w:t>
      </w:r>
      <w:r w:rsidR="00F32B28" w:rsidRPr="00F32B28">
        <w:rPr>
          <w:rtl/>
          <w:lang w:bidi="ar-SY"/>
        </w:rPr>
        <w:t>التأثير</w:t>
      </w:r>
      <w:r w:rsidR="00F32B28">
        <w:rPr>
          <w:rtl/>
          <w:lang w:bidi="ar-SY"/>
        </w:rPr>
        <w:t xml:space="preserve"> </w:t>
      </w:r>
      <w:r w:rsidR="00F32B28" w:rsidRPr="00F32B28">
        <w:rPr>
          <w:rtl/>
          <w:lang w:bidi="ar-SY"/>
        </w:rPr>
        <w:t>النفسي</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الأسيرات.</w:t>
      </w:r>
    </w:p>
    <w:p w:rsidR="00F32B28" w:rsidRPr="00F32B28" w:rsidRDefault="009C23E0" w:rsidP="009C23E0">
      <w:pPr>
        <w:pStyle w:val="SingleTxt"/>
        <w:rPr>
          <w:rtl/>
          <w:lang w:bidi="ar-SY"/>
        </w:rPr>
      </w:pPr>
      <w:r>
        <w:rPr>
          <w:rFonts w:hint="cs"/>
          <w:rtl/>
          <w:lang w:bidi="ar-SY"/>
        </w:rPr>
        <w:t xml:space="preserve">139 - </w:t>
      </w:r>
      <w:r w:rsidR="00F32B28" w:rsidRPr="00F32B28">
        <w:rPr>
          <w:rtl/>
          <w:lang w:bidi="ar-SY"/>
        </w:rPr>
        <w:t>كذلك</w:t>
      </w:r>
      <w:r w:rsidR="00F32B28">
        <w:rPr>
          <w:rtl/>
          <w:lang w:bidi="ar-SY"/>
        </w:rPr>
        <w:t xml:space="preserve"> </w:t>
      </w:r>
      <w:r w:rsidR="00F32B28" w:rsidRPr="00F32B28">
        <w:rPr>
          <w:rtl/>
          <w:lang w:bidi="ar-SY"/>
        </w:rPr>
        <w:t>تترافق</w:t>
      </w:r>
      <w:r w:rsidR="00F32B28">
        <w:rPr>
          <w:rtl/>
          <w:lang w:bidi="ar-SY"/>
        </w:rPr>
        <w:t xml:space="preserve"> </w:t>
      </w:r>
      <w:r w:rsidR="00F32B28" w:rsidRPr="00F32B28">
        <w:rPr>
          <w:rtl/>
          <w:lang w:bidi="ar-SY"/>
        </w:rPr>
        <w:t>فترة</w:t>
      </w:r>
      <w:r w:rsidR="00F32B28">
        <w:rPr>
          <w:rtl/>
          <w:lang w:bidi="ar-SY"/>
        </w:rPr>
        <w:t xml:space="preserve"> </w:t>
      </w:r>
      <w:r w:rsidR="00F32B28" w:rsidRPr="00F32B28">
        <w:rPr>
          <w:rtl/>
          <w:lang w:bidi="ar-SY"/>
        </w:rPr>
        <w:t>الأسر،</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مرحلة</w:t>
      </w:r>
      <w:r w:rsidR="00F32B28">
        <w:rPr>
          <w:rtl/>
          <w:lang w:bidi="ar-SY"/>
        </w:rPr>
        <w:t xml:space="preserve"> </w:t>
      </w:r>
      <w:r w:rsidR="00F32B28" w:rsidRPr="00F32B28">
        <w:rPr>
          <w:rtl/>
          <w:lang w:bidi="ar-SY"/>
        </w:rPr>
        <w:t>الاستجواب</w:t>
      </w:r>
      <w:r w:rsidR="00F32B28">
        <w:rPr>
          <w:rtl/>
          <w:lang w:bidi="ar-SY"/>
        </w:rPr>
        <w:t xml:space="preserve"> </w:t>
      </w:r>
      <w:r w:rsidR="00F32B28" w:rsidRPr="00F32B28">
        <w:rPr>
          <w:rtl/>
          <w:lang w:bidi="ar-SY"/>
        </w:rPr>
        <w:t>والتحقيق،</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مختلف</w:t>
      </w:r>
      <w:r w:rsidR="00F32B28">
        <w:rPr>
          <w:rtl/>
          <w:lang w:bidi="ar-SY"/>
        </w:rPr>
        <w:t xml:space="preserve"> </w:t>
      </w:r>
      <w:r w:rsidR="00F32B28" w:rsidRPr="00F32B28">
        <w:rPr>
          <w:rtl/>
          <w:lang w:bidi="ar-SY"/>
        </w:rPr>
        <w:t>أشكال</w:t>
      </w:r>
      <w:r w:rsidR="00F32B28">
        <w:rPr>
          <w:rtl/>
          <w:lang w:bidi="ar-SY"/>
        </w:rPr>
        <w:t xml:space="preserve"> </w:t>
      </w:r>
      <w:r w:rsidR="00F32B28" w:rsidRPr="00F32B28">
        <w:rPr>
          <w:rtl/>
          <w:lang w:bidi="ar-SY"/>
        </w:rPr>
        <w:t>الإضعاف</w:t>
      </w:r>
      <w:r w:rsidR="00F32B28">
        <w:rPr>
          <w:rtl/>
          <w:lang w:bidi="ar-SY"/>
        </w:rPr>
        <w:t xml:space="preserve"> </w:t>
      </w:r>
      <w:r w:rsidR="00F32B28" w:rsidRPr="00F32B28">
        <w:rPr>
          <w:rtl/>
          <w:lang w:bidi="ar-SY"/>
        </w:rPr>
        <w:t>والضغط</w:t>
      </w:r>
      <w:r w:rsidR="00F32B28">
        <w:rPr>
          <w:rtl/>
          <w:lang w:bidi="ar-SY"/>
        </w:rPr>
        <w:t xml:space="preserve"> </w:t>
      </w:r>
      <w:r w:rsidR="00F32B28" w:rsidRPr="00F32B28">
        <w:rPr>
          <w:rtl/>
          <w:lang w:bidi="ar-SY"/>
        </w:rPr>
        <w:t>النفسي</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وتهديدهن</w:t>
      </w:r>
      <w:r w:rsidR="00F32B28">
        <w:rPr>
          <w:rtl/>
          <w:lang w:bidi="ar-SY"/>
        </w:rPr>
        <w:t xml:space="preserve"> </w:t>
      </w:r>
      <w:r w:rsidR="00F32B28" w:rsidRPr="00F32B28">
        <w:rPr>
          <w:rtl/>
          <w:lang w:bidi="ar-SY"/>
        </w:rPr>
        <w:t>بالقتل</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باعتقال</w:t>
      </w:r>
      <w:r w:rsidR="00F32B28">
        <w:rPr>
          <w:rtl/>
          <w:lang w:bidi="ar-SY"/>
        </w:rPr>
        <w:t xml:space="preserve"> </w:t>
      </w:r>
      <w:r w:rsidR="00F32B28" w:rsidRPr="00F32B28">
        <w:rPr>
          <w:rtl/>
          <w:lang w:bidi="ar-SY"/>
        </w:rPr>
        <w:t>أسرهن</w:t>
      </w:r>
      <w:r w:rsidR="00F32B28">
        <w:rPr>
          <w:rtl/>
          <w:lang w:bidi="ar-SY"/>
        </w:rPr>
        <w:t xml:space="preserve"> </w:t>
      </w:r>
      <w:r w:rsidR="00F32B28" w:rsidRPr="00F32B28">
        <w:rPr>
          <w:rtl/>
          <w:lang w:bidi="ar-SY"/>
        </w:rPr>
        <w:t>وأزواجهن</w:t>
      </w:r>
      <w:r w:rsidR="00F32B28">
        <w:rPr>
          <w:rtl/>
          <w:lang w:bidi="ar-SY"/>
        </w:rPr>
        <w:t xml:space="preserve"> </w:t>
      </w:r>
      <w:r w:rsidR="00F32B28" w:rsidRPr="00F32B28">
        <w:rPr>
          <w:rtl/>
          <w:lang w:bidi="ar-SY"/>
        </w:rPr>
        <w:t>وأولادهن،</w:t>
      </w:r>
      <w:r w:rsidR="00F32B28">
        <w:rPr>
          <w:rtl/>
          <w:lang w:bidi="ar-SY"/>
        </w:rPr>
        <w:t xml:space="preserve"> </w:t>
      </w:r>
      <w:r w:rsidR="00F32B28" w:rsidRPr="00F32B28">
        <w:rPr>
          <w:rtl/>
          <w:lang w:bidi="ar-SY"/>
        </w:rPr>
        <w:t>وحرمانهن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النوم،</w:t>
      </w:r>
      <w:r w:rsidR="00F32B28">
        <w:rPr>
          <w:rtl/>
          <w:lang w:bidi="ar-SY"/>
        </w:rPr>
        <w:t xml:space="preserve"> </w:t>
      </w:r>
      <w:r w:rsidR="00F32B28" w:rsidRPr="00F32B28">
        <w:rPr>
          <w:rtl/>
          <w:lang w:bidi="ar-SY"/>
        </w:rPr>
        <w:t>وحرمانهن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زيارة</w:t>
      </w:r>
      <w:r w:rsidR="00F32B28">
        <w:rPr>
          <w:rtl/>
          <w:lang w:bidi="ar-SY"/>
        </w:rPr>
        <w:t xml:space="preserve"> </w:t>
      </w:r>
      <w:r w:rsidR="00F32B28" w:rsidRPr="00F32B28">
        <w:rPr>
          <w:rtl/>
          <w:lang w:bidi="ar-SY"/>
        </w:rPr>
        <w:t>المحامي</w:t>
      </w:r>
      <w:r w:rsidR="00F32B28">
        <w:rPr>
          <w:rtl/>
          <w:lang w:bidi="ar-SY"/>
        </w:rPr>
        <w:t xml:space="preserve"> </w:t>
      </w:r>
      <w:r w:rsidR="00F32B28" w:rsidRPr="00F32B28">
        <w:rPr>
          <w:rtl/>
          <w:lang w:bidi="ar-SY"/>
        </w:rPr>
        <w:t>والالتقاء</w:t>
      </w:r>
      <w:r w:rsidR="00F32B28">
        <w:rPr>
          <w:rtl/>
          <w:lang w:bidi="ar-SY"/>
        </w:rPr>
        <w:t xml:space="preserve"> </w:t>
      </w:r>
      <w:r w:rsidR="00F32B28" w:rsidRPr="00F32B28">
        <w:rPr>
          <w:rtl/>
          <w:lang w:bidi="ar-SY"/>
        </w:rPr>
        <w:t>به</w:t>
      </w:r>
      <w:r w:rsidR="00F32B28">
        <w:rPr>
          <w:rtl/>
          <w:lang w:bidi="ar-SY"/>
        </w:rPr>
        <w:t xml:space="preserve"> </w:t>
      </w:r>
      <w:r w:rsidR="00F32B28" w:rsidRPr="00F32B28">
        <w:rPr>
          <w:rtl/>
          <w:lang w:bidi="ar-SY"/>
        </w:rPr>
        <w:t>لفترة</w:t>
      </w:r>
      <w:r w:rsidR="00F32B28">
        <w:rPr>
          <w:rtl/>
          <w:lang w:bidi="ar-SY"/>
        </w:rPr>
        <w:t xml:space="preserve"> </w:t>
      </w:r>
      <w:r w:rsidR="00F32B28" w:rsidRPr="00F32B28">
        <w:rPr>
          <w:rtl/>
          <w:lang w:bidi="ar-SY"/>
        </w:rPr>
        <w:t>قد</w:t>
      </w:r>
      <w:r w:rsidR="00F32B28">
        <w:rPr>
          <w:rtl/>
          <w:lang w:bidi="ar-SY"/>
        </w:rPr>
        <w:t xml:space="preserve"> </w:t>
      </w:r>
      <w:r w:rsidR="00F32B28" w:rsidRPr="00F32B28">
        <w:rPr>
          <w:rtl/>
          <w:lang w:bidi="ar-SY"/>
        </w:rPr>
        <w:t>تصل</w:t>
      </w:r>
      <w:r w:rsidR="00F32B28">
        <w:rPr>
          <w:rtl/>
          <w:lang w:bidi="ar-SY"/>
        </w:rPr>
        <w:t xml:space="preserve"> </w:t>
      </w:r>
      <w:r w:rsidR="00F32B28" w:rsidRPr="00F32B28">
        <w:rPr>
          <w:rtl/>
          <w:lang w:bidi="ar-SY"/>
        </w:rPr>
        <w:t>لأشهر،</w:t>
      </w:r>
      <w:r w:rsidR="00F32B28">
        <w:rPr>
          <w:rtl/>
          <w:lang w:bidi="ar-SY"/>
        </w:rPr>
        <w:t xml:space="preserve"> </w:t>
      </w:r>
      <w:r w:rsidR="00F32B28" w:rsidRPr="00F32B28">
        <w:rPr>
          <w:rtl/>
          <w:lang w:bidi="ar-SY"/>
        </w:rPr>
        <w:t>وإنكار</w:t>
      </w:r>
      <w:r w:rsidR="00F32B28">
        <w:rPr>
          <w:rtl/>
          <w:lang w:bidi="ar-SY"/>
        </w:rPr>
        <w:t xml:space="preserve"> </w:t>
      </w:r>
      <w:r w:rsidR="00F32B28" w:rsidRPr="00F32B28">
        <w:rPr>
          <w:rtl/>
          <w:lang w:bidi="ar-SY"/>
        </w:rPr>
        <w:t>حقهن</w:t>
      </w:r>
      <w:r w:rsidR="00F32B28">
        <w:rPr>
          <w:rtl/>
          <w:lang w:bidi="ar-SY"/>
        </w:rPr>
        <w:t xml:space="preserve"> </w:t>
      </w:r>
      <w:r w:rsidR="00F32B28" w:rsidRPr="00F32B28">
        <w:rPr>
          <w:rtl/>
          <w:lang w:bidi="ar-SY"/>
        </w:rPr>
        <w:t>بالاتصال</w:t>
      </w:r>
      <w:r w:rsidR="00F32B28">
        <w:rPr>
          <w:rtl/>
          <w:lang w:bidi="ar-SY"/>
        </w:rPr>
        <w:t xml:space="preserve"> </w:t>
      </w:r>
      <w:r w:rsidR="00F32B28" w:rsidRPr="00F32B28">
        <w:rPr>
          <w:rtl/>
          <w:lang w:bidi="ar-SY"/>
        </w:rPr>
        <w:t>بالأهل</w:t>
      </w:r>
      <w:r w:rsidR="00F32B28">
        <w:rPr>
          <w:rtl/>
          <w:lang w:bidi="ar-SY"/>
        </w:rPr>
        <w:t xml:space="preserve"> </w:t>
      </w:r>
      <w:r w:rsidR="00F32B28" w:rsidRPr="00F32B28">
        <w:rPr>
          <w:rtl/>
          <w:lang w:bidi="ar-SY"/>
        </w:rPr>
        <w:t>وإبلاغهم</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الاعتقال</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النقل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مركز</w:t>
      </w:r>
      <w:r w:rsidR="00F32B28">
        <w:rPr>
          <w:rtl/>
          <w:lang w:bidi="ar-SY"/>
        </w:rPr>
        <w:t xml:space="preserve"> </w:t>
      </w:r>
      <w:r w:rsidR="00F32B28" w:rsidRPr="00F32B28">
        <w:rPr>
          <w:rtl/>
          <w:lang w:bidi="ar-SY"/>
        </w:rPr>
        <w:t>تحقيق</w:t>
      </w:r>
      <w:r w:rsidR="00F32B28">
        <w:rPr>
          <w:rtl/>
          <w:lang w:bidi="ar-SY"/>
        </w:rPr>
        <w:t xml:space="preserve"> </w:t>
      </w:r>
      <w:r w:rsidR="00F32B28" w:rsidRPr="00F32B28">
        <w:rPr>
          <w:rtl/>
          <w:lang w:bidi="ar-SY"/>
        </w:rPr>
        <w:t>لآخر</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سجن</w:t>
      </w:r>
      <w:r w:rsidR="009B107D">
        <w:rPr>
          <w:rFonts w:hint="cs"/>
          <w:rtl/>
          <w:lang w:bidi="ar-SY"/>
        </w:rPr>
        <w:t> </w:t>
      </w:r>
      <w:r w:rsidR="00F32B28" w:rsidRPr="00F32B28">
        <w:rPr>
          <w:rtl/>
          <w:lang w:bidi="ar-SY"/>
        </w:rPr>
        <w:t>لآخر.</w:t>
      </w:r>
    </w:p>
    <w:p w:rsidR="00F32B28" w:rsidRPr="00F32B28" w:rsidRDefault="009C23E0" w:rsidP="009C23E0">
      <w:pPr>
        <w:pStyle w:val="SingleTxt"/>
        <w:rPr>
          <w:rtl/>
          <w:lang w:bidi="ar-SY"/>
        </w:rPr>
      </w:pPr>
      <w:r>
        <w:rPr>
          <w:rFonts w:hint="cs"/>
          <w:rtl/>
          <w:lang w:bidi="ar-SY"/>
        </w:rPr>
        <w:t xml:space="preserve">140 - </w:t>
      </w:r>
      <w:r w:rsidR="00F32B28" w:rsidRPr="00F32B28">
        <w:rPr>
          <w:rtl/>
          <w:lang w:bidi="ar-SY"/>
        </w:rPr>
        <w:t>كما</w:t>
      </w:r>
      <w:r w:rsidR="00F32B28">
        <w:rPr>
          <w:rtl/>
          <w:lang w:bidi="ar-SY"/>
        </w:rPr>
        <w:t xml:space="preserve"> </w:t>
      </w:r>
      <w:r w:rsidR="00F32B28" w:rsidRPr="00F32B28">
        <w:rPr>
          <w:rtl/>
          <w:lang w:bidi="ar-SY"/>
        </w:rPr>
        <w:t>تحرم</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زيارة</w:t>
      </w:r>
      <w:r w:rsidR="00F32B28">
        <w:rPr>
          <w:rtl/>
          <w:lang w:bidi="ar-SY"/>
        </w:rPr>
        <w:t xml:space="preserve"> </w:t>
      </w:r>
      <w:r w:rsidR="00F32B28" w:rsidRPr="00F32B28">
        <w:rPr>
          <w:rtl/>
          <w:lang w:bidi="ar-SY"/>
        </w:rPr>
        <w:t>الأهالي</w:t>
      </w:r>
      <w:r w:rsidR="00F32B28">
        <w:rPr>
          <w:rtl/>
          <w:lang w:bidi="ar-SY"/>
        </w:rPr>
        <w:t xml:space="preserve"> </w:t>
      </w:r>
      <w:r w:rsidR="00F32B28" w:rsidRPr="00F32B28">
        <w:rPr>
          <w:rtl/>
          <w:lang w:bidi="ar-SY"/>
        </w:rPr>
        <w:t>لهن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سجون</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الاتصال</w:t>
      </w:r>
      <w:r w:rsidR="00F32B28">
        <w:rPr>
          <w:rtl/>
          <w:lang w:bidi="ar-SY"/>
        </w:rPr>
        <w:t xml:space="preserve"> </w:t>
      </w:r>
      <w:r w:rsidR="00F32B28" w:rsidRPr="00F32B28">
        <w:rPr>
          <w:rtl/>
          <w:lang w:bidi="ar-SY"/>
        </w:rPr>
        <w:t>التلفوني</w:t>
      </w:r>
      <w:r w:rsidR="00F32B28">
        <w:rPr>
          <w:rtl/>
          <w:lang w:bidi="ar-SY"/>
        </w:rPr>
        <w:t xml:space="preserve"> </w:t>
      </w:r>
      <w:r w:rsidR="00F32B28" w:rsidRPr="00F32B28">
        <w:rPr>
          <w:rtl/>
          <w:lang w:bidi="ar-SY"/>
        </w:rPr>
        <w:t>بهم</w:t>
      </w:r>
      <w:r w:rsidR="00F32B28">
        <w:rPr>
          <w:rtl/>
          <w:lang w:bidi="ar-SY"/>
        </w:rPr>
        <w:t xml:space="preserve"> </w:t>
      </w:r>
      <w:r w:rsidR="00F32B28" w:rsidRPr="00F32B28">
        <w:rPr>
          <w:rtl/>
          <w:lang w:bidi="ar-SY"/>
        </w:rPr>
        <w:t>للاطمئنان</w:t>
      </w:r>
      <w:r w:rsidR="00F32B28">
        <w:rPr>
          <w:rtl/>
          <w:lang w:bidi="ar-SY"/>
        </w:rPr>
        <w:t xml:space="preserve"> </w:t>
      </w:r>
      <w:r w:rsidR="00F32B28" w:rsidRPr="00F32B28">
        <w:rPr>
          <w:rtl/>
          <w:lang w:bidi="ar-SY"/>
        </w:rPr>
        <w:t>عليهم</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طمأنتهم</w:t>
      </w:r>
      <w:r w:rsidR="00F32B28">
        <w:rPr>
          <w:rtl/>
          <w:lang w:bidi="ar-SY"/>
        </w:rPr>
        <w:t xml:space="preserve"> </w:t>
      </w:r>
      <w:r w:rsidR="00F32B28" w:rsidRPr="00F32B28">
        <w:rPr>
          <w:rtl/>
          <w:lang w:bidi="ar-SY"/>
        </w:rPr>
        <w:t>عليهن،</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يشكل</w:t>
      </w:r>
      <w:r w:rsidR="00F32B28">
        <w:rPr>
          <w:rtl/>
          <w:lang w:bidi="ar-SY"/>
        </w:rPr>
        <w:t xml:space="preserve"> </w:t>
      </w:r>
      <w:r w:rsidR="00F32B28" w:rsidRPr="00F32B28">
        <w:rPr>
          <w:rtl/>
          <w:lang w:bidi="ar-SY"/>
        </w:rPr>
        <w:t>عقوبة</w:t>
      </w:r>
      <w:r w:rsidR="00F32B28">
        <w:rPr>
          <w:rtl/>
          <w:lang w:bidi="ar-SY"/>
        </w:rPr>
        <w:t xml:space="preserve"> </w:t>
      </w:r>
      <w:r w:rsidR="00F32B28" w:rsidRPr="00F32B28">
        <w:rPr>
          <w:rtl/>
          <w:lang w:bidi="ar-SY"/>
        </w:rPr>
        <w:t>جماعية</w:t>
      </w:r>
      <w:r w:rsidR="00F32B28">
        <w:rPr>
          <w:rtl/>
          <w:lang w:bidi="ar-SY"/>
        </w:rPr>
        <w:t xml:space="preserve"> </w:t>
      </w:r>
      <w:r w:rsidR="00F32B28" w:rsidRPr="00F32B28">
        <w:rPr>
          <w:rtl/>
          <w:lang w:bidi="ar-SY"/>
        </w:rPr>
        <w:t>تمس</w:t>
      </w:r>
      <w:r w:rsidR="00F32B28">
        <w:rPr>
          <w:rtl/>
          <w:lang w:bidi="ar-SY"/>
        </w:rPr>
        <w:t xml:space="preserve"> </w:t>
      </w:r>
      <w:r w:rsidR="00F32B28" w:rsidRPr="00F32B28">
        <w:rPr>
          <w:rtl/>
          <w:lang w:bidi="ar-SY"/>
        </w:rPr>
        <w:t>مباشرة</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هؤلاء</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وأسرهن،</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وأن</w:t>
      </w:r>
      <w:r w:rsidR="00F32B28">
        <w:rPr>
          <w:rtl/>
          <w:lang w:bidi="ar-SY"/>
        </w:rPr>
        <w:t xml:space="preserve"> </w:t>
      </w:r>
      <w:r w:rsidR="00F32B28" w:rsidRPr="00F32B28">
        <w:rPr>
          <w:rtl/>
          <w:lang w:bidi="ar-SY"/>
        </w:rPr>
        <w:t>السلطات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تتحكم</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تعسفي</w:t>
      </w:r>
      <w:r w:rsidR="00F32B28">
        <w:rPr>
          <w:rtl/>
          <w:lang w:bidi="ar-SY"/>
        </w:rPr>
        <w:t xml:space="preserve"> </w:t>
      </w:r>
      <w:r w:rsidR="00F32B28" w:rsidRPr="00F32B28">
        <w:rPr>
          <w:rtl/>
          <w:lang w:bidi="ar-SY"/>
        </w:rPr>
        <w:t>بزيارات</w:t>
      </w:r>
      <w:r w:rsidR="00F32B28">
        <w:rPr>
          <w:rtl/>
          <w:lang w:bidi="ar-SY"/>
        </w:rPr>
        <w:t xml:space="preserve"> </w:t>
      </w:r>
      <w:r w:rsidR="00F32B28" w:rsidRPr="00F32B28">
        <w:rPr>
          <w:rtl/>
          <w:lang w:bidi="ar-SY"/>
        </w:rPr>
        <w:t>الأهل</w:t>
      </w:r>
      <w:r w:rsidR="00F32B28">
        <w:rPr>
          <w:rtl/>
          <w:lang w:bidi="ar-SY"/>
        </w:rPr>
        <w:t xml:space="preserve"> </w:t>
      </w:r>
      <w:r w:rsidR="00F32B28" w:rsidRPr="00F32B28">
        <w:rPr>
          <w:rtl/>
          <w:lang w:bidi="ar-SY"/>
        </w:rPr>
        <w:t>عبر</w:t>
      </w:r>
      <w:r w:rsidR="00F32B28">
        <w:rPr>
          <w:rtl/>
          <w:lang w:bidi="ar-SY"/>
        </w:rPr>
        <w:t xml:space="preserve"> </w:t>
      </w:r>
      <w:r w:rsidR="00F32B28" w:rsidRPr="00F32B28">
        <w:rPr>
          <w:rtl/>
          <w:lang w:bidi="ar-SY"/>
        </w:rPr>
        <w:t>نظام</w:t>
      </w:r>
      <w:r w:rsidR="00F32B28">
        <w:rPr>
          <w:rtl/>
          <w:lang w:bidi="ar-SY"/>
        </w:rPr>
        <w:t xml:space="preserve"> </w:t>
      </w:r>
      <w:r w:rsidR="00F32B28" w:rsidRPr="00F32B28">
        <w:rPr>
          <w:rtl/>
          <w:lang w:bidi="ar-SY"/>
        </w:rPr>
        <w:t>التصاريح</w:t>
      </w:r>
      <w:r w:rsidR="00F32B28">
        <w:rPr>
          <w:rtl/>
          <w:lang w:bidi="ar-SY"/>
        </w:rPr>
        <w:t xml:space="preserve"> </w:t>
      </w:r>
      <w:r w:rsidR="00F32B28" w:rsidRPr="00F32B28">
        <w:rPr>
          <w:rtl/>
          <w:lang w:bidi="ar-SY"/>
        </w:rPr>
        <w:t>العنصري</w:t>
      </w:r>
      <w:r w:rsidR="00F32B28">
        <w:rPr>
          <w:rtl/>
          <w:lang w:bidi="ar-SY"/>
        </w:rPr>
        <w:t xml:space="preserve"> </w:t>
      </w:r>
      <w:r w:rsidR="00F32B28" w:rsidRPr="00F32B28">
        <w:rPr>
          <w:rtl/>
          <w:lang w:bidi="ar-SY"/>
        </w:rPr>
        <w:t>الخاص</w:t>
      </w:r>
      <w:r w:rsidR="00F32B28">
        <w:rPr>
          <w:rtl/>
          <w:lang w:bidi="ar-SY"/>
        </w:rPr>
        <w:t xml:space="preserve"> </w:t>
      </w:r>
      <w:r w:rsidR="00F32B28" w:rsidRPr="00F32B28">
        <w:rPr>
          <w:rtl/>
          <w:lang w:bidi="ar-SY"/>
        </w:rPr>
        <w:t>لدخول</w:t>
      </w:r>
      <w:r w:rsidR="00F32B28">
        <w:rPr>
          <w:rtl/>
          <w:lang w:bidi="ar-SY"/>
        </w:rPr>
        <w:t xml:space="preserve"> </w:t>
      </w:r>
      <w:r w:rsidR="00F32B28" w:rsidRPr="00F32B28">
        <w:rPr>
          <w:rtl/>
          <w:lang w:bidi="ar-SY"/>
        </w:rPr>
        <w:t>إسرائيل</w:t>
      </w:r>
      <w:r w:rsidR="00F32B28">
        <w:rPr>
          <w:rtl/>
          <w:lang w:bidi="ar-SY"/>
        </w:rPr>
        <w:t xml:space="preserve"> </w:t>
      </w:r>
      <w:r w:rsidR="00F32B28" w:rsidRPr="00F32B28">
        <w:rPr>
          <w:rtl/>
          <w:lang w:bidi="ar-SY"/>
        </w:rPr>
        <w:t>(أينما</w:t>
      </w:r>
      <w:r w:rsidR="00F32B28">
        <w:rPr>
          <w:rtl/>
          <w:lang w:bidi="ar-SY"/>
        </w:rPr>
        <w:t xml:space="preserve"> </w:t>
      </w:r>
      <w:r w:rsidR="00F32B28" w:rsidRPr="00F32B28">
        <w:rPr>
          <w:rtl/>
          <w:lang w:bidi="ar-SY"/>
        </w:rPr>
        <w:t>توجد</w:t>
      </w:r>
      <w:r w:rsidR="00F32B28">
        <w:rPr>
          <w:rtl/>
          <w:lang w:bidi="ar-SY"/>
        </w:rPr>
        <w:t xml:space="preserve"> </w:t>
      </w:r>
      <w:r w:rsidR="00F32B28" w:rsidRPr="00F32B28">
        <w:rPr>
          <w:rtl/>
          <w:lang w:bidi="ar-SY"/>
        </w:rPr>
        <w:t>السجون)</w:t>
      </w:r>
      <w:r w:rsidR="00F32B28">
        <w:rPr>
          <w:rtl/>
          <w:lang w:bidi="ar-SY"/>
        </w:rPr>
        <w:t xml:space="preserve"> </w:t>
      </w:r>
      <w:r w:rsidR="00F32B28" w:rsidRPr="00F32B28">
        <w:rPr>
          <w:rtl/>
          <w:lang w:bidi="ar-SY"/>
        </w:rPr>
        <w:t>والإجراءات</w:t>
      </w:r>
      <w:r w:rsidR="00F32B28">
        <w:rPr>
          <w:rtl/>
          <w:lang w:bidi="ar-SY"/>
        </w:rPr>
        <w:t xml:space="preserve"> </w:t>
      </w:r>
      <w:r w:rsidR="00F32B28" w:rsidRPr="00F32B28">
        <w:rPr>
          <w:rtl/>
          <w:lang w:bidi="ar-SY"/>
        </w:rPr>
        <w:t>الأمنية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تفرضها،</w:t>
      </w:r>
      <w:r w:rsidR="00F32B28">
        <w:rPr>
          <w:rtl/>
          <w:lang w:bidi="ar-SY"/>
        </w:rPr>
        <w:t xml:space="preserve"> </w:t>
      </w:r>
      <w:r w:rsidR="00F32B28" w:rsidRPr="00F32B28">
        <w:rPr>
          <w:rtl/>
          <w:lang w:bidi="ar-SY"/>
        </w:rPr>
        <w:t>ما</w:t>
      </w:r>
      <w:r w:rsidR="009B107D">
        <w:rPr>
          <w:rFonts w:hint="cs"/>
          <w:rtl/>
          <w:lang w:bidi="ar-SY"/>
        </w:rPr>
        <w:t> </w:t>
      </w:r>
      <w:r w:rsidR="00F32B28" w:rsidRPr="00F32B28">
        <w:rPr>
          <w:rtl/>
          <w:lang w:bidi="ar-SY"/>
        </w:rPr>
        <w:t>يحرم</w:t>
      </w:r>
      <w:r w:rsidR="00F32B28">
        <w:rPr>
          <w:rtl/>
          <w:lang w:bidi="ar-SY"/>
        </w:rPr>
        <w:t xml:space="preserve"> </w:t>
      </w:r>
      <w:r w:rsidR="00F32B28" w:rsidRPr="00F32B28">
        <w:rPr>
          <w:rtl/>
          <w:lang w:bidi="ar-SY"/>
        </w:rPr>
        <w:t>المئات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العائلات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الزيارة</w:t>
      </w:r>
      <w:r w:rsidR="00F32B28">
        <w:rPr>
          <w:rtl/>
          <w:lang w:bidi="ar-SY"/>
        </w:rPr>
        <w:t xml:space="preserve"> </w:t>
      </w:r>
      <w:r w:rsidR="00F32B28" w:rsidRPr="00F32B28">
        <w:rPr>
          <w:rtl/>
          <w:lang w:bidi="ar-SY"/>
        </w:rPr>
        <w:t>بحجج</w:t>
      </w:r>
      <w:r w:rsidR="00F32B28">
        <w:rPr>
          <w:rtl/>
          <w:lang w:bidi="ar-SY"/>
        </w:rPr>
        <w:t xml:space="preserve"> </w:t>
      </w:r>
      <w:r w:rsidR="00F32B28" w:rsidRPr="00F32B28">
        <w:rPr>
          <w:rtl/>
          <w:lang w:bidi="ar-SY"/>
        </w:rPr>
        <w:t>أمنية،</w:t>
      </w:r>
      <w:r w:rsidR="00362769">
        <w:rPr>
          <w:rFonts w:hint="cs"/>
          <w:rtl/>
          <w:lang w:bidi="ar-SY"/>
        </w:rPr>
        <w:t xml:space="preserve"> </w:t>
      </w:r>
      <w:r w:rsidR="00F32B28" w:rsidRPr="00F32B28">
        <w:rPr>
          <w:rtl/>
          <w:lang w:bidi="ar-SY"/>
        </w:rPr>
        <w:t>أو</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بدون</w:t>
      </w:r>
      <w:r w:rsidR="00F32B28">
        <w:rPr>
          <w:rtl/>
          <w:lang w:bidi="ar-SY"/>
        </w:rPr>
        <w:t xml:space="preserve"> </w:t>
      </w:r>
      <w:r w:rsidR="00F32B28" w:rsidRPr="00F32B28">
        <w:rPr>
          <w:rtl/>
          <w:lang w:bidi="ar-SY"/>
        </w:rPr>
        <w:t>حجج.</w:t>
      </w:r>
      <w:r w:rsidR="00F32B28">
        <w:rPr>
          <w:rtl/>
          <w:lang w:bidi="ar-SY"/>
        </w:rPr>
        <w:t xml:space="preserve"> </w:t>
      </w:r>
      <w:r w:rsidR="00F32B28" w:rsidRPr="00F32B28">
        <w:rPr>
          <w:rtl/>
          <w:lang w:bidi="ar-SY"/>
        </w:rPr>
        <w:t>وغالباً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تقوم</w:t>
      </w:r>
      <w:r w:rsidR="00F32B28">
        <w:rPr>
          <w:rtl/>
          <w:lang w:bidi="ar-SY"/>
        </w:rPr>
        <w:t xml:space="preserve"> </w:t>
      </w:r>
      <w:r w:rsidR="00F32B28" w:rsidRPr="00F32B28">
        <w:rPr>
          <w:rtl/>
          <w:lang w:bidi="ar-SY"/>
        </w:rPr>
        <w:t>سلطات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بإلغاء</w:t>
      </w:r>
      <w:r w:rsidR="00F32B28">
        <w:rPr>
          <w:rtl/>
          <w:lang w:bidi="ar-SY"/>
        </w:rPr>
        <w:t xml:space="preserve"> </w:t>
      </w:r>
      <w:r w:rsidR="00F32B28" w:rsidRPr="00F32B28">
        <w:rPr>
          <w:rtl/>
          <w:lang w:bidi="ar-SY"/>
        </w:rPr>
        <w:t>الزيارات</w:t>
      </w:r>
      <w:r w:rsidR="00F32B28">
        <w:rPr>
          <w:rtl/>
          <w:lang w:bidi="ar-SY"/>
        </w:rPr>
        <w:t xml:space="preserve"> </w:t>
      </w:r>
      <w:r w:rsidR="00F32B28" w:rsidRPr="00F32B28">
        <w:rPr>
          <w:rtl/>
          <w:lang w:bidi="ar-SY"/>
        </w:rPr>
        <w:t>العائلية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تحديد</w:t>
      </w:r>
      <w:r w:rsidR="00F32B28">
        <w:rPr>
          <w:rtl/>
          <w:lang w:bidi="ar-SY"/>
        </w:rPr>
        <w:t xml:space="preserve"> </w:t>
      </w:r>
      <w:r w:rsidR="00F32B28" w:rsidRPr="00F32B28">
        <w:rPr>
          <w:rtl/>
          <w:lang w:bidi="ar-SY"/>
        </w:rPr>
        <w:t>مدتها</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تعسفي،</w:t>
      </w:r>
      <w:r w:rsidR="00F32B28">
        <w:rPr>
          <w:rtl/>
          <w:lang w:bidi="ar-SY"/>
        </w:rPr>
        <w:t xml:space="preserve"> </w:t>
      </w:r>
      <w:r w:rsidR="00F32B28" w:rsidRPr="00F32B28">
        <w:rPr>
          <w:rtl/>
          <w:lang w:bidi="ar-SY"/>
        </w:rPr>
        <w:t>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قيامها</w:t>
      </w:r>
      <w:r w:rsidR="00F32B28">
        <w:rPr>
          <w:rtl/>
          <w:lang w:bidi="ar-SY"/>
        </w:rPr>
        <w:t xml:space="preserve"> </w:t>
      </w:r>
      <w:r w:rsidR="00F32B28" w:rsidRPr="00F32B28">
        <w:rPr>
          <w:rtl/>
          <w:lang w:bidi="ar-SY"/>
        </w:rPr>
        <w:t>بحرمان</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كلياً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الزيارات</w:t>
      </w:r>
      <w:r w:rsidR="00F32B28">
        <w:rPr>
          <w:rtl/>
          <w:lang w:bidi="ar-SY"/>
        </w:rPr>
        <w:t xml:space="preserve"> </w:t>
      </w:r>
      <w:r w:rsidR="00F32B28" w:rsidRPr="00F32B28">
        <w:rPr>
          <w:rtl/>
          <w:lang w:bidi="ar-SY"/>
        </w:rPr>
        <w:t>العائلية.</w:t>
      </w:r>
      <w:r w:rsidR="00F32B28">
        <w:rPr>
          <w:rtl/>
          <w:lang w:bidi="ar-SY"/>
        </w:rPr>
        <w:t xml:space="preserve"> </w:t>
      </w:r>
    </w:p>
    <w:p w:rsidR="00F32B28" w:rsidRPr="00F32B28" w:rsidRDefault="009C23E0" w:rsidP="009C23E0">
      <w:pPr>
        <w:pStyle w:val="SingleTxt"/>
        <w:rPr>
          <w:rtl/>
          <w:lang w:bidi="ar-SY"/>
        </w:rPr>
      </w:pPr>
      <w:r>
        <w:rPr>
          <w:rFonts w:hint="cs"/>
          <w:rtl/>
          <w:lang w:bidi="ar-SY"/>
        </w:rPr>
        <w:lastRenderedPageBreak/>
        <w:t xml:space="preserve">141 - </w:t>
      </w:r>
      <w:r w:rsidR="00F32B28" w:rsidRPr="00F32B28">
        <w:rPr>
          <w:rtl/>
          <w:lang w:bidi="ar-SY"/>
        </w:rPr>
        <w:t>وعلى</w:t>
      </w:r>
      <w:r w:rsidR="00F32B28">
        <w:rPr>
          <w:rtl/>
          <w:lang w:bidi="ar-SY"/>
        </w:rPr>
        <w:t xml:space="preserve"> </w:t>
      </w:r>
      <w:r w:rsidR="00F32B28" w:rsidRPr="00F32B28">
        <w:rPr>
          <w:rtl/>
          <w:lang w:bidi="ar-SY"/>
        </w:rPr>
        <w:t>صعيد</w:t>
      </w:r>
      <w:r w:rsidR="00F32B28">
        <w:rPr>
          <w:rtl/>
          <w:lang w:bidi="ar-SY"/>
        </w:rPr>
        <w:t xml:space="preserve"> </w:t>
      </w:r>
      <w:r w:rsidR="00F32B28" w:rsidRPr="00F32B28">
        <w:rPr>
          <w:rtl/>
          <w:lang w:bidi="ar-SY"/>
        </w:rPr>
        <w:t>آخر،</w:t>
      </w:r>
      <w:r w:rsidR="00F32B28">
        <w:rPr>
          <w:rtl/>
          <w:lang w:bidi="ar-SY"/>
        </w:rPr>
        <w:t xml:space="preserve"> </w:t>
      </w:r>
      <w:r w:rsidR="00F32B28" w:rsidRPr="00F32B28">
        <w:rPr>
          <w:rtl/>
          <w:lang w:bidi="ar-SY"/>
        </w:rPr>
        <w:t>تعرقل</w:t>
      </w:r>
      <w:r w:rsidR="00F32B28">
        <w:rPr>
          <w:rtl/>
          <w:lang w:bidi="ar-SY"/>
        </w:rPr>
        <w:t xml:space="preserve"> </w:t>
      </w:r>
      <w:r w:rsidR="00F32B28" w:rsidRPr="00F32B28">
        <w:rPr>
          <w:rtl/>
          <w:lang w:bidi="ar-SY"/>
        </w:rPr>
        <w:t>قوات</w:t>
      </w:r>
      <w:r w:rsidR="00F32B28">
        <w:rPr>
          <w:rtl/>
          <w:lang w:bidi="ar-SY"/>
        </w:rPr>
        <w:t xml:space="preserve"> </w:t>
      </w:r>
      <w:r w:rsidR="00F32B28" w:rsidRPr="00F32B28">
        <w:rPr>
          <w:rtl/>
          <w:lang w:bidi="ar-SY"/>
        </w:rPr>
        <w:t>مصلحة</w:t>
      </w:r>
      <w:r w:rsidR="00F32B28">
        <w:rPr>
          <w:rtl/>
          <w:lang w:bidi="ar-SY"/>
        </w:rPr>
        <w:t xml:space="preserve"> </w:t>
      </w:r>
      <w:r w:rsidR="00F32B28" w:rsidRPr="00F32B28">
        <w:rPr>
          <w:rtl/>
          <w:lang w:bidi="ar-SY"/>
        </w:rPr>
        <w:t>السجون</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التعليم</w:t>
      </w:r>
      <w:r w:rsidR="00F32B28">
        <w:rPr>
          <w:rtl/>
          <w:lang w:bidi="ar-SY"/>
        </w:rPr>
        <w:t xml:space="preserve"> </w:t>
      </w:r>
      <w:r w:rsidR="00F32B28" w:rsidRPr="00F32B28">
        <w:rPr>
          <w:rtl/>
          <w:lang w:bidi="ar-SY"/>
        </w:rPr>
        <w:t>والمطالعة</w:t>
      </w:r>
      <w:r w:rsidR="00F32B28">
        <w:rPr>
          <w:rtl/>
          <w:lang w:bidi="ar-SY"/>
        </w:rPr>
        <w:t xml:space="preserve"> </w:t>
      </w:r>
      <w:r w:rsidR="00F32B28" w:rsidRPr="00F32B28">
        <w:rPr>
          <w:rtl/>
          <w:lang w:bidi="ar-SY"/>
        </w:rPr>
        <w:t>وممارسة</w:t>
      </w:r>
      <w:r w:rsidR="00F32B28">
        <w:rPr>
          <w:rtl/>
          <w:lang w:bidi="ar-SY"/>
        </w:rPr>
        <w:t xml:space="preserve"> </w:t>
      </w:r>
      <w:r w:rsidR="00F32B28" w:rsidRPr="00F32B28">
        <w:rPr>
          <w:rtl/>
          <w:lang w:bidi="ar-SY"/>
        </w:rPr>
        <w:t>النشاطات</w:t>
      </w:r>
      <w:r w:rsidR="00F32B28">
        <w:rPr>
          <w:rtl/>
          <w:lang w:bidi="ar-SY"/>
        </w:rPr>
        <w:t xml:space="preserve"> </w:t>
      </w:r>
      <w:r w:rsidR="00F32B28" w:rsidRPr="00F32B28">
        <w:rPr>
          <w:rtl/>
          <w:lang w:bidi="ar-SY"/>
        </w:rPr>
        <w:t>الترفيهية</w:t>
      </w:r>
      <w:r w:rsidR="00F32B28">
        <w:rPr>
          <w:rtl/>
          <w:lang w:bidi="ar-SY"/>
        </w:rPr>
        <w:t xml:space="preserve"> </w:t>
      </w:r>
      <w:r w:rsidR="00F32B28" w:rsidRPr="00F32B28">
        <w:rPr>
          <w:rtl/>
          <w:lang w:bidi="ar-SY"/>
        </w:rPr>
        <w:t>والذهنية،</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الرغم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انتزاع</w:t>
      </w:r>
      <w:r w:rsidR="00F32B28">
        <w:rPr>
          <w:rtl/>
          <w:lang w:bidi="ar-SY"/>
        </w:rPr>
        <w:t xml:space="preserve"> </w:t>
      </w:r>
      <w:r w:rsidR="00F32B28" w:rsidRPr="00F32B28">
        <w:rPr>
          <w:rtl/>
          <w:lang w:bidi="ar-SY"/>
        </w:rPr>
        <w:t>الأسرى</w:t>
      </w:r>
      <w:r w:rsidR="00F32B28">
        <w:rPr>
          <w:rtl/>
          <w:lang w:bidi="ar-SY"/>
        </w:rPr>
        <w:t xml:space="preserve"> </w:t>
      </w:r>
      <w:r w:rsidR="00F32B28" w:rsidRPr="00F32B28">
        <w:rPr>
          <w:rtl/>
          <w:lang w:bidi="ar-SY"/>
        </w:rPr>
        <w:t>والأسيرات</w:t>
      </w:r>
      <w:r w:rsidR="00F32B28">
        <w:rPr>
          <w:rtl/>
          <w:lang w:bidi="ar-SY"/>
        </w:rPr>
        <w:t xml:space="preserve"> </w:t>
      </w:r>
      <w:r w:rsidR="00F32B28" w:rsidRPr="00F32B28">
        <w:rPr>
          <w:rtl/>
          <w:lang w:bidi="ar-SY"/>
        </w:rPr>
        <w:t>الفلسطينيون</w:t>
      </w:r>
      <w:r w:rsidR="00F32B28">
        <w:rPr>
          <w:rtl/>
          <w:lang w:bidi="ar-SY"/>
        </w:rPr>
        <w:t xml:space="preserve"> </w:t>
      </w:r>
      <w:r w:rsidR="00F32B28" w:rsidRPr="00F32B28">
        <w:rPr>
          <w:rtl/>
          <w:lang w:bidi="ar-SY"/>
        </w:rPr>
        <w:t>لحقهم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تقديم</w:t>
      </w:r>
      <w:r w:rsidR="00F32B28">
        <w:rPr>
          <w:rtl/>
          <w:lang w:bidi="ar-SY"/>
        </w:rPr>
        <w:t xml:space="preserve"> </w:t>
      </w:r>
      <w:r w:rsidR="00F32B28" w:rsidRPr="00F32B28">
        <w:rPr>
          <w:rtl/>
          <w:lang w:bidi="ar-SY"/>
        </w:rPr>
        <w:t>امتحان</w:t>
      </w:r>
      <w:r w:rsidR="00F32B28">
        <w:rPr>
          <w:rtl/>
          <w:lang w:bidi="ar-SY"/>
        </w:rPr>
        <w:t xml:space="preserve"> </w:t>
      </w:r>
      <w:r w:rsidR="00F32B28" w:rsidRPr="00F32B28">
        <w:rPr>
          <w:rtl/>
          <w:lang w:bidi="ar-SY"/>
        </w:rPr>
        <w:t>الثانوية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2014</w:t>
      </w:r>
      <w:r w:rsidR="00F32B28">
        <w:rPr>
          <w:rtl/>
          <w:lang w:bidi="ar-SY"/>
        </w:rPr>
        <w:t xml:space="preserve"> </w:t>
      </w:r>
      <w:r w:rsidR="00F32B28" w:rsidRPr="00F32B28">
        <w:rPr>
          <w:rtl/>
          <w:lang w:bidi="ar-SY"/>
        </w:rPr>
        <w:t>بعد</w:t>
      </w:r>
      <w:r w:rsidR="00F32B28">
        <w:rPr>
          <w:rtl/>
          <w:lang w:bidi="ar-SY"/>
        </w:rPr>
        <w:t xml:space="preserve"> </w:t>
      </w:r>
      <w:r w:rsidR="00F32B28" w:rsidRPr="00F32B28">
        <w:rPr>
          <w:rtl/>
          <w:lang w:bidi="ar-SY"/>
        </w:rPr>
        <w:t>منع</w:t>
      </w:r>
      <w:r w:rsidR="00F32B28">
        <w:rPr>
          <w:rtl/>
          <w:lang w:bidi="ar-SY"/>
        </w:rPr>
        <w:t xml:space="preserve"> </w:t>
      </w:r>
      <w:r w:rsidR="00F32B28" w:rsidRPr="00F32B28">
        <w:rPr>
          <w:rtl/>
          <w:lang w:bidi="ar-SY"/>
        </w:rPr>
        <w:t>استمر</w:t>
      </w:r>
      <w:r w:rsidR="00F32B28">
        <w:rPr>
          <w:rtl/>
          <w:lang w:bidi="ar-SY"/>
        </w:rPr>
        <w:t xml:space="preserve"> </w:t>
      </w:r>
      <w:r w:rsidR="00F32B28" w:rsidRPr="00F32B28">
        <w:rPr>
          <w:rtl/>
          <w:lang w:bidi="ar-SY"/>
        </w:rPr>
        <w:t>خمس</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إلا</w:t>
      </w:r>
      <w:r w:rsidR="009B107D">
        <w:rPr>
          <w:rFonts w:hint="cs"/>
          <w:rtl/>
          <w:lang w:bidi="ar-SY"/>
        </w:rPr>
        <w:t> </w:t>
      </w:r>
      <w:r w:rsidR="00F32B28" w:rsidRPr="00F32B28">
        <w:rPr>
          <w:rtl/>
          <w:lang w:bidi="ar-SY"/>
        </w:rPr>
        <w:t>أن</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القوات</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تزال</w:t>
      </w:r>
      <w:r w:rsidR="00F32B28">
        <w:rPr>
          <w:rtl/>
          <w:lang w:bidi="ar-SY"/>
        </w:rPr>
        <w:t xml:space="preserve"> </w:t>
      </w:r>
      <w:r w:rsidR="00F32B28" w:rsidRPr="00F32B28">
        <w:rPr>
          <w:rtl/>
          <w:lang w:bidi="ar-SY"/>
        </w:rPr>
        <w:t>تحرمهم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حقهم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إكمال</w:t>
      </w:r>
      <w:r w:rsidR="00F32B28">
        <w:rPr>
          <w:rtl/>
          <w:lang w:bidi="ar-SY"/>
        </w:rPr>
        <w:t xml:space="preserve"> </w:t>
      </w:r>
      <w:r w:rsidR="00F32B28" w:rsidRPr="00F32B28">
        <w:rPr>
          <w:rtl/>
          <w:lang w:bidi="ar-SY"/>
        </w:rPr>
        <w:t>الدراسة</w:t>
      </w:r>
      <w:r w:rsidR="00F32B28">
        <w:rPr>
          <w:rtl/>
          <w:lang w:bidi="ar-SY"/>
        </w:rPr>
        <w:t xml:space="preserve"> </w:t>
      </w:r>
      <w:r w:rsidR="00F32B28" w:rsidRPr="00F32B28">
        <w:rPr>
          <w:rtl/>
          <w:lang w:bidi="ar-SY"/>
        </w:rPr>
        <w:t>الجامعية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طريق</w:t>
      </w:r>
      <w:r w:rsidR="00F32B28">
        <w:rPr>
          <w:rtl/>
          <w:lang w:bidi="ar-SY"/>
        </w:rPr>
        <w:t xml:space="preserve"> </w:t>
      </w:r>
      <w:r w:rsidR="00F32B28" w:rsidRPr="00F32B28">
        <w:rPr>
          <w:rtl/>
          <w:lang w:bidi="ar-SY"/>
        </w:rPr>
        <w:t>المراسلة</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للسنة</w:t>
      </w:r>
      <w:r w:rsidR="00F32B28">
        <w:rPr>
          <w:rtl/>
          <w:lang w:bidi="ar-SY"/>
        </w:rPr>
        <w:t xml:space="preserve"> </w:t>
      </w:r>
      <w:r w:rsidR="00F32B28" w:rsidRPr="00F32B28">
        <w:rPr>
          <w:rtl/>
          <w:lang w:bidi="ar-SY"/>
        </w:rPr>
        <w:t>الخامسة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التوالي،</w:t>
      </w:r>
      <w:r w:rsidR="00600C43">
        <w:rPr>
          <w:rFonts w:hint="cs"/>
          <w:rtl/>
          <w:lang w:bidi="ar-SY"/>
        </w:rPr>
        <w:t xml:space="preserve"> </w:t>
      </w:r>
      <w:r w:rsidR="00F32B28" w:rsidRPr="00F32B28">
        <w:rPr>
          <w:rtl/>
          <w:lang w:bidi="ar-SY"/>
        </w:rPr>
        <w:t>كما</w:t>
      </w:r>
      <w:r w:rsidR="00F32B28">
        <w:rPr>
          <w:rtl/>
          <w:lang w:bidi="ar-SY"/>
        </w:rPr>
        <w:t xml:space="preserve"> </w:t>
      </w:r>
      <w:r w:rsidR="00F32B28" w:rsidRPr="00F32B28">
        <w:rPr>
          <w:rtl/>
          <w:lang w:bidi="ar-SY"/>
        </w:rPr>
        <w:t>وتفرض</w:t>
      </w:r>
      <w:r w:rsidR="00F32B28">
        <w:rPr>
          <w:rtl/>
          <w:lang w:bidi="ar-SY"/>
        </w:rPr>
        <w:t xml:space="preserve"> </w:t>
      </w:r>
      <w:r w:rsidR="00F32B28" w:rsidRPr="00F32B28">
        <w:rPr>
          <w:rtl/>
          <w:lang w:bidi="ar-SY"/>
        </w:rPr>
        <w:t>عليهم</w:t>
      </w:r>
      <w:r w:rsidR="00F32B28">
        <w:rPr>
          <w:rtl/>
          <w:lang w:bidi="ar-SY"/>
        </w:rPr>
        <w:t xml:space="preserve"> </w:t>
      </w:r>
      <w:r w:rsidR="00F32B28" w:rsidRPr="00F32B28">
        <w:rPr>
          <w:rtl/>
          <w:lang w:bidi="ar-SY"/>
        </w:rPr>
        <w:t>قيوداً</w:t>
      </w:r>
      <w:r w:rsidR="00F32B28">
        <w:rPr>
          <w:rtl/>
          <w:lang w:bidi="ar-SY"/>
        </w:rPr>
        <w:t xml:space="preserve"> </w:t>
      </w:r>
      <w:r w:rsidR="00F32B28" w:rsidRPr="00F32B28">
        <w:rPr>
          <w:rtl/>
          <w:lang w:bidi="ar-SY"/>
        </w:rPr>
        <w:t>مشددة</w:t>
      </w:r>
      <w:r w:rsidR="00F32B28">
        <w:rPr>
          <w:rtl/>
          <w:lang w:bidi="ar-SY"/>
        </w:rPr>
        <w:t xml:space="preserve"> </w:t>
      </w:r>
      <w:r w:rsidR="00F32B28" w:rsidRPr="00F32B28">
        <w:rPr>
          <w:rtl/>
          <w:lang w:bidi="ar-SY"/>
        </w:rPr>
        <w:t>لإدخال</w:t>
      </w:r>
      <w:r w:rsidR="00F32B28">
        <w:rPr>
          <w:rtl/>
          <w:lang w:bidi="ar-SY"/>
        </w:rPr>
        <w:t xml:space="preserve"> </w:t>
      </w:r>
      <w:r w:rsidR="00F32B28" w:rsidRPr="00F32B28">
        <w:rPr>
          <w:rtl/>
          <w:lang w:bidi="ar-SY"/>
        </w:rPr>
        <w:t>الكتب</w:t>
      </w:r>
      <w:r w:rsidR="00F32B28">
        <w:rPr>
          <w:rtl/>
          <w:lang w:bidi="ar-SY"/>
        </w:rPr>
        <w:t xml:space="preserve"> </w:t>
      </w:r>
      <w:r w:rsidR="00F32B28" w:rsidRPr="00F32B28">
        <w:rPr>
          <w:rtl/>
          <w:lang w:bidi="ar-SY"/>
        </w:rPr>
        <w:t>والصحف.</w:t>
      </w:r>
    </w:p>
    <w:p w:rsidR="00F32B28" w:rsidRPr="00F32B28" w:rsidRDefault="009C23E0" w:rsidP="009C23E0">
      <w:pPr>
        <w:pStyle w:val="SingleTxt"/>
        <w:rPr>
          <w:rtl/>
          <w:lang w:bidi="ar-SY"/>
        </w:rPr>
      </w:pPr>
      <w:r>
        <w:rPr>
          <w:rFonts w:hint="cs"/>
          <w:rtl/>
          <w:lang w:bidi="ar-SY"/>
        </w:rPr>
        <w:t xml:space="preserve">142 - </w:t>
      </w:r>
      <w:r w:rsidR="00F32B28" w:rsidRPr="00F32B28">
        <w:rPr>
          <w:rtl/>
          <w:lang w:bidi="ar-SY"/>
        </w:rPr>
        <w:t>كما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شأنها</w:t>
      </w:r>
      <w:r w:rsidR="00F32B28">
        <w:rPr>
          <w:rtl/>
          <w:lang w:bidi="ar-SY"/>
        </w:rPr>
        <w:t xml:space="preserve"> </w:t>
      </w:r>
      <w:r w:rsidR="00F32B28" w:rsidRPr="00F32B28">
        <w:rPr>
          <w:rtl/>
          <w:lang w:bidi="ar-SY"/>
        </w:rPr>
        <w:t>شأن</w:t>
      </w:r>
      <w:r w:rsidR="00F32B28">
        <w:rPr>
          <w:rtl/>
          <w:lang w:bidi="ar-SY"/>
        </w:rPr>
        <w:t xml:space="preserve"> </w:t>
      </w:r>
      <w:r w:rsidR="00F32B28" w:rsidRPr="00F32B28">
        <w:rPr>
          <w:rtl/>
          <w:lang w:bidi="ar-SY"/>
        </w:rPr>
        <w:t>سائر</w:t>
      </w:r>
      <w:r w:rsidR="00F32B28">
        <w:rPr>
          <w:rtl/>
          <w:lang w:bidi="ar-SY"/>
        </w:rPr>
        <w:t xml:space="preserve"> </w:t>
      </w:r>
      <w:r w:rsidR="00F32B28" w:rsidRPr="00F32B28">
        <w:rPr>
          <w:rtl/>
          <w:lang w:bidi="ar-SY"/>
        </w:rPr>
        <w:t>فئات</w:t>
      </w:r>
      <w:r w:rsidR="00F32B28">
        <w:rPr>
          <w:rtl/>
          <w:lang w:bidi="ar-SY"/>
        </w:rPr>
        <w:t xml:space="preserve"> </w:t>
      </w:r>
      <w:r w:rsidR="00F32B28" w:rsidRPr="00F32B28">
        <w:rPr>
          <w:rtl/>
          <w:lang w:bidi="ar-SY"/>
        </w:rPr>
        <w:t>الشعب</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عرضة</w:t>
      </w:r>
      <w:r w:rsidR="00F32B28">
        <w:rPr>
          <w:rtl/>
          <w:lang w:bidi="ar-SY"/>
        </w:rPr>
        <w:t xml:space="preserve"> </w:t>
      </w:r>
      <w:r w:rsidR="00F32B28" w:rsidRPr="00F32B28">
        <w:rPr>
          <w:rtl/>
          <w:lang w:bidi="ar-SY"/>
        </w:rPr>
        <w:t>للاعتقال</w:t>
      </w:r>
      <w:r w:rsidR="00F32B28">
        <w:rPr>
          <w:rtl/>
          <w:lang w:bidi="ar-SY"/>
        </w:rPr>
        <w:t xml:space="preserve"> </w:t>
      </w:r>
      <w:r w:rsidR="00F32B28" w:rsidRPr="00F32B28">
        <w:rPr>
          <w:rtl/>
          <w:lang w:bidi="ar-SY"/>
        </w:rPr>
        <w:t>الإداري</w:t>
      </w:r>
      <w:r w:rsidR="00F32B28">
        <w:rPr>
          <w:rtl/>
          <w:lang w:bidi="ar-SY"/>
        </w:rPr>
        <w:t xml:space="preserve"> </w:t>
      </w:r>
      <w:r w:rsidR="00F32B28" w:rsidRPr="00F32B28">
        <w:rPr>
          <w:rtl/>
          <w:lang w:bidi="ar-SY"/>
        </w:rPr>
        <w:t>التعسفي</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تمارسه</w:t>
      </w:r>
      <w:r w:rsidR="00F32B28">
        <w:rPr>
          <w:rtl/>
          <w:lang w:bidi="ar-SY"/>
        </w:rPr>
        <w:t xml:space="preserve"> </w:t>
      </w:r>
      <w:r w:rsidR="00F32B28" w:rsidRPr="00F32B28">
        <w:rPr>
          <w:rtl/>
          <w:lang w:bidi="ar-SY"/>
        </w:rPr>
        <w:t>قوات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600C43">
        <w:rPr>
          <w:rFonts w:hint="cs"/>
          <w:rtl/>
          <w:lang w:bidi="ar-SY"/>
        </w:rPr>
        <w:t xml:space="preserve"> </w:t>
      </w:r>
      <w:r w:rsidR="00F32B28" w:rsidRPr="00F32B28">
        <w:rPr>
          <w:rtl/>
          <w:lang w:bidi="ar-SY"/>
        </w:rPr>
        <w:t>وحالياً</w:t>
      </w:r>
      <w:r w:rsidR="00F32B28">
        <w:rPr>
          <w:rtl/>
          <w:lang w:bidi="ar-SY"/>
        </w:rPr>
        <w:t xml:space="preserve"> </w:t>
      </w:r>
      <w:r w:rsidR="00F32B28" w:rsidRPr="00F32B28">
        <w:rPr>
          <w:rtl/>
          <w:lang w:bidi="ar-SY"/>
        </w:rPr>
        <w:t>تحتجز</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سجون</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تحت</w:t>
      </w:r>
      <w:r w:rsidR="00F32B28">
        <w:rPr>
          <w:rtl/>
          <w:lang w:bidi="ar-SY"/>
        </w:rPr>
        <w:t xml:space="preserve"> </w:t>
      </w:r>
      <w:r w:rsidR="00F32B28" w:rsidRPr="00F32B28">
        <w:rPr>
          <w:rtl/>
          <w:lang w:bidi="ar-SY"/>
        </w:rPr>
        <w:t>أوامر</w:t>
      </w:r>
      <w:r w:rsidR="00F32B28">
        <w:rPr>
          <w:rtl/>
          <w:lang w:bidi="ar-SY"/>
        </w:rPr>
        <w:t xml:space="preserve"> </w:t>
      </w:r>
      <w:r w:rsidR="00F32B28" w:rsidRPr="00F32B28">
        <w:rPr>
          <w:rtl/>
          <w:lang w:bidi="ar-SY"/>
        </w:rPr>
        <w:t>الاعتقال</w:t>
      </w:r>
      <w:r w:rsidR="00F32B28">
        <w:rPr>
          <w:rtl/>
          <w:lang w:bidi="ar-SY"/>
        </w:rPr>
        <w:t xml:space="preserve"> </w:t>
      </w:r>
      <w:r w:rsidR="00F32B28" w:rsidRPr="00F32B28">
        <w:rPr>
          <w:rtl/>
          <w:lang w:bidi="ar-SY"/>
        </w:rPr>
        <w:t>الإداري</w:t>
      </w:r>
      <w:r w:rsidR="00F32B28">
        <w:rPr>
          <w:rtl/>
          <w:lang w:bidi="ar-SY"/>
        </w:rPr>
        <w:t xml:space="preserve"> </w:t>
      </w:r>
      <w:r w:rsidR="00F32B28" w:rsidRPr="00F32B28">
        <w:rPr>
          <w:rtl/>
          <w:lang w:bidi="ar-SY"/>
        </w:rPr>
        <w:t>التعسفية؛</w:t>
      </w:r>
      <w:r w:rsidR="00F32B28">
        <w:rPr>
          <w:rtl/>
          <w:lang w:bidi="ar-SY"/>
        </w:rPr>
        <w:t xml:space="preserve"> </w:t>
      </w:r>
      <w:r w:rsidR="00F32B28" w:rsidRPr="00F32B28">
        <w:rPr>
          <w:rtl/>
          <w:lang w:bidi="ar-SY"/>
        </w:rPr>
        <w:t>الاعتقال</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يتم</w:t>
      </w:r>
      <w:r w:rsidR="00F32B28">
        <w:rPr>
          <w:rtl/>
          <w:lang w:bidi="ar-SY"/>
        </w:rPr>
        <w:t xml:space="preserve"> </w:t>
      </w:r>
      <w:r w:rsidR="00F32B28" w:rsidRPr="00F32B28">
        <w:rPr>
          <w:rtl/>
          <w:lang w:bidi="ar-SY"/>
        </w:rPr>
        <w:t>بدون</w:t>
      </w:r>
      <w:r w:rsidR="00F32B28">
        <w:rPr>
          <w:rtl/>
          <w:lang w:bidi="ar-SY"/>
        </w:rPr>
        <w:t xml:space="preserve"> </w:t>
      </w:r>
      <w:r w:rsidR="00F32B28" w:rsidRPr="00F32B28">
        <w:rPr>
          <w:rtl/>
          <w:lang w:bidi="ar-SY"/>
        </w:rPr>
        <w:t>تهمه</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محاكمة،</w:t>
      </w:r>
      <w:r w:rsidR="00F32B28">
        <w:rPr>
          <w:rtl/>
          <w:lang w:bidi="ar-SY"/>
        </w:rPr>
        <w:t xml:space="preserve"> </w:t>
      </w:r>
      <w:r w:rsidR="00F32B28" w:rsidRPr="00F32B28">
        <w:rPr>
          <w:rtl/>
          <w:lang w:bidi="ar-SY"/>
        </w:rPr>
        <w:t>يحتج</w:t>
      </w:r>
      <w:r w:rsidR="00F32B28">
        <w:rPr>
          <w:rtl/>
          <w:lang w:bidi="ar-SY"/>
        </w:rPr>
        <w:t xml:space="preserve"> </w:t>
      </w:r>
      <w:r w:rsidR="00F32B28" w:rsidRPr="00F32B28">
        <w:rPr>
          <w:rtl/>
          <w:lang w:bidi="ar-SY"/>
        </w:rPr>
        <w:t>فيه</w:t>
      </w:r>
      <w:r w:rsidR="00F32B28">
        <w:rPr>
          <w:rtl/>
          <w:lang w:bidi="ar-SY"/>
        </w:rPr>
        <w:t xml:space="preserve"> </w:t>
      </w:r>
      <w:r w:rsidR="00F32B28" w:rsidRPr="00F32B28">
        <w:rPr>
          <w:rtl/>
          <w:lang w:bidi="ar-SY"/>
        </w:rPr>
        <w:t>بملف</w:t>
      </w:r>
      <w:r w:rsidR="00F32B28">
        <w:rPr>
          <w:rtl/>
          <w:lang w:bidi="ar-SY"/>
        </w:rPr>
        <w:t xml:space="preserve"> </w:t>
      </w:r>
      <w:r w:rsidR="00F32B28" w:rsidRPr="00F32B28">
        <w:rPr>
          <w:rtl/>
          <w:lang w:bidi="ar-SY"/>
        </w:rPr>
        <w:t>سري</w:t>
      </w:r>
      <w:r w:rsidR="00F32B28">
        <w:rPr>
          <w:rtl/>
          <w:lang w:bidi="ar-SY"/>
        </w:rPr>
        <w:t xml:space="preserve"> </w:t>
      </w:r>
      <w:r w:rsidR="00F32B28" w:rsidRPr="00F32B28">
        <w:rPr>
          <w:rtl/>
          <w:lang w:bidi="ar-SY"/>
        </w:rPr>
        <w:t>وأدلة</w:t>
      </w:r>
      <w:r w:rsidR="00F32B28">
        <w:rPr>
          <w:rtl/>
          <w:lang w:bidi="ar-SY"/>
        </w:rPr>
        <w:t xml:space="preserve"> </w:t>
      </w:r>
      <w:r w:rsidR="00F32B28" w:rsidRPr="00F32B28">
        <w:rPr>
          <w:rtl/>
          <w:lang w:bidi="ar-SY"/>
        </w:rPr>
        <w:t>سرية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يمكن</w:t>
      </w:r>
      <w:r w:rsidR="00F32B28">
        <w:rPr>
          <w:rtl/>
          <w:lang w:bidi="ar-SY"/>
        </w:rPr>
        <w:t xml:space="preserve"> </w:t>
      </w:r>
      <w:r w:rsidR="00F32B28" w:rsidRPr="00F32B28">
        <w:rPr>
          <w:rtl/>
          <w:lang w:bidi="ar-SY"/>
        </w:rPr>
        <w:t>للأسير</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المحامي</w:t>
      </w:r>
      <w:r w:rsidR="00F32B28">
        <w:rPr>
          <w:rtl/>
          <w:lang w:bidi="ar-SY"/>
        </w:rPr>
        <w:t xml:space="preserve"> </w:t>
      </w:r>
      <w:r w:rsidR="00F32B28" w:rsidRPr="00F32B28">
        <w:rPr>
          <w:rtl/>
          <w:lang w:bidi="ar-SY"/>
        </w:rPr>
        <w:t>الاطلاع</w:t>
      </w:r>
      <w:r w:rsidR="00F32B28">
        <w:rPr>
          <w:rtl/>
          <w:lang w:bidi="ar-SY"/>
        </w:rPr>
        <w:t xml:space="preserve"> </w:t>
      </w:r>
      <w:r w:rsidR="00F32B28" w:rsidRPr="00F32B28">
        <w:rPr>
          <w:rtl/>
          <w:lang w:bidi="ar-SY"/>
        </w:rPr>
        <w:t>عليهم،</w:t>
      </w:r>
      <w:r w:rsidR="00F32B28">
        <w:rPr>
          <w:rtl/>
          <w:lang w:bidi="ar-SY"/>
        </w:rPr>
        <w:t xml:space="preserve"> </w:t>
      </w:r>
      <w:r w:rsidR="00F32B28" w:rsidRPr="00F32B28">
        <w:rPr>
          <w:rtl/>
          <w:lang w:bidi="ar-SY"/>
        </w:rPr>
        <w:t>ويمكن</w:t>
      </w:r>
      <w:r w:rsidR="00F32B28">
        <w:rPr>
          <w:rtl/>
          <w:lang w:bidi="ar-SY"/>
        </w:rPr>
        <w:t xml:space="preserve"> </w:t>
      </w:r>
      <w:r w:rsidR="00F32B28" w:rsidRPr="00F32B28">
        <w:rPr>
          <w:rtl/>
          <w:lang w:bidi="ar-SY"/>
        </w:rPr>
        <w:t>حسب</w:t>
      </w:r>
      <w:r w:rsidR="00F32B28">
        <w:rPr>
          <w:rtl/>
          <w:lang w:bidi="ar-SY"/>
        </w:rPr>
        <w:t xml:space="preserve"> </w:t>
      </w:r>
      <w:r w:rsidR="00F32B28" w:rsidRPr="00F32B28">
        <w:rPr>
          <w:rtl/>
          <w:lang w:bidi="ar-SY"/>
        </w:rPr>
        <w:t>الأوامر</w:t>
      </w:r>
      <w:r w:rsidR="00F32B28">
        <w:rPr>
          <w:rtl/>
          <w:lang w:bidi="ar-SY"/>
        </w:rPr>
        <w:t xml:space="preserve"> </w:t>
      </w:r>
      <w:r w:rsidR="00F32B28" w:rsidRPr="00F32B28">
        <w:rPr>
          <w:rtl/>
          <w:lang w:bidi="ar-SY"/>
        </w:rPr>
        <w:t>العسكرية</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الشرعية</w:t>
      </w:r>
      <w:r w:rsidR="00F32B28">
        <w:rPr>
          <w:rtl/>
          <w:lang w:bidi="ar-SY"/>
        </w:rPr>
        <w:t xml:space="preserve"> </w:t>
      </w:r>
      <w:r w:rsidR="00F32B28" w:rsidRPr="00F32B28">
        <w:rPr>
          <w:rtl/>
          <w:lang w:bidi="ar-SY"/>
        </w:rPr>
        <w:t>تجديد</w:t>
      </w:r>
      <w:r w:rsidR="00F32B28">
        <w:rPr>
          <w:rtl/>
          <w:lang w:bidi="ar-SY"/>
        </w:rPr>
        <w:t xml:space="preserve"> </w:t>
      </w:r>
      <w:r w:rsidR="00F32B28" w:rsidRPr="00F32B28">
        <w:rPr>
          <w:rtl/>
          <w:lang w:bidi="ar-SY"/>
        </w:rPr>
        <w:t>أمر</w:t>
      </w:r>
      <w:r w:rsidR="00F32B28">
        <w:rPr>
          <w:rtl/>
          <w:lang w:bidi="ar-SY"/>
        </w:rPr>
        <w:t xml:space="preserve"> </w:t>
      </w:r>
      <w:r w:rsidR="00F32B28" w:rsidRPr="00F32B28">
        <w:rPr>
          <w:rtl/>
          <w:lang w:bidi="ar-SY"/>
        </w:rPr>
        <w:t>الاعتقال</w:t>
      </w:r>
      <w:r w:rsidR="00F32B28">
        <w:rPr>
          <w:rtl/>
          <w:lang w:bidi="ar-SY"/>
        </w:rPr>
        <w:t xml:space="preserve"> </w:t>
      </w:r>
      <w:r w:rsidR="00F32B28" w:rsidRPr="00F32B28">
        <w:rPr>
          <w:rtl/>
          <w:lang w:bidi="ar-SY"/>
        </w:rPr>
        <w:t>الإداري</w:t>
      </w:r>
      <w:r w:rsidR="00F32B28">
        <w:rPr>
          <w:rtl/>
          <w:lang w:bidi="ar-SY"/>
        </w:rPr>
        <w:t xml:space="preserve"> </w:t>
      </w:r>
      <w:r w:rsidR="00F32B28" w:rsidRPr="00F32B28">
        <w:rPr>
          <w:rtl/>
          <w:lang w:bidi="ar-SY"/>
        </w:rPr>
        <w:t>مرات</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محدودة</w:t>
      </w:r>
      <w:r w:rsidR="00F32B28">
        <w:rPr>
          <w:rtl/>
          <w:lang w:bidi="ar-SY"/>
        </w:rPr>
        <w:t xml:space="preserve"> </w:t>
      </w:r>
      <w:r w:rsidR="00F32B28" w:rsidRPr="00F32B28">
        <w:rPr>
          <w:rtl/>
          <w:lang w:bidi="ar-SY"/>
        </w:rPr>
        <w:t>قابلة</w:t>
      </w:r>
      <w:r w:rsidR="00F32B28">
        <w:rPr>
          <w:rtl/>
          <w:lang w:bidi="ar-SY"/>
        </w:rPr>
        <w:t xml:space="preserve"> </w:t>
      </w:r>
      <w:r w:rsidR="00F32B28" w:rsidRPr="00F32B28">
        <w:rPr>
          <w:rtl/>
          <w:lang w:bidi="ar-SY"/>
        </w:rPr>
        <w:t>للتجديد.</w:t>
      </w:r>
      <w:r w:rsidR="00F32B28">
        <w:rPr>
          <w:rtl/>
          <w:lang w:bidi="ar-SY"/>
        </w:rPr>
        <w:t xml:space="preserve"> </w:t>
      </w:r>
    </w:p>
    <w:p w:rsidR="00F32B28" w:rsidRPr="00F32B28" w:rsidRDefault="009C23E0" w:rsidP="009C23E0">
      <w:pPr>
        <w:pStyle w:val="SingleTxt"/>
      </w:pPr>
      <w:r>
        <w:rPr>
          <w:rFonts w:hint="cs"/>
          <w:rtl/>
          <w:lang w:bidi="ar-SY"/>
        </w:rPr>
        <w:t xml:space="preserve">143 - </w:t>
      </w:r>
      <w:r w:rsidR="00F32B28" w:rsidRPr="00F32B28">
        <w:rPr>
          <w:rtl/>
          <w:lang w:bidi="ar-SY"/>
        </w:rPr>
        <w:t>وفي</w:t>
      </w:r>
      <w:r w:rsidR="00F32B28">
        <w:rPr>
          <w:rtl/>
          <w:lang w:bidi="ar-SY"/>
        </w:rPr>
        <w:t xml:space="preserve"> </w:t>
      </w:r>
      <w:r w:rsidR="00F32B28" w:rsidRPr="00F32B28">
        <w:rPr>
          <w:rtl/>
          <w:lang w:bidi="ar-SY"/>
        </w:rPr>
        <w:t>الحالات</w:t>
      </w:r>
      <w:r w:rsidR="00F32B28">
        <w:rPr>
          <w:rtl/>
          <w:lang w:bidi="ar-SY"/>
        </w:rPr>
        <w:t xml:space="preserve"> </w:t>
      </w:r>
      <w:r w:rsidR="00F32B28" w:rsidRPr="00F32B28">
        <w:rPr>
          <w:rtl/>
          <w:lang w:bidi="ar-SY"/>
        </w:rPr>
        <w:t>الأخرى،</w:t>
      </w:r>
      <w:r w:rsidR="00F32B28">
        <w:rPr>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تطال</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سياسات</w:t>
      </w:r>
      <w:r w:rsidR="00F32B28">
        <w:rPr>
          <w:rtl/>
          <w:lang w:bidi="ar-SY"/>
        </w:rPr>
        <w:t xml:space="preserve"> </w:t>
      </w:r>
      <w:r w:rsidR="00F32B28" w:rsidRPr="00F32B28">
        <w:rPr>
          <w:rtl/>
          <w:lang w:bidi="ar-SY"/>
        </w:rPr>
        <w:t>الاعتقال</w:t>
      </w:r>
      <w:r w:rsidR="00F32B28">
        <w:rPr>
          <w:rtl/>
          <w:lang w:bidi="ar-SY"/>
        </w:rPr>
        <w:t xml:space="preserve"> </w:t>
      </w:r>
      <w:r w:rsidR="00F32B28" w:rsidRPr="00F32B28">
        <w:rPr>
          <w:rtl/>
          <w:lang w:bidi="ar-SY"/>
        </w:rPr>
        <w:t>التعسفي</w:t>
      </w:r>
      <w:r w:rsidR="00F32B28">
        <w:rPr>
          <w:rtl/>
          <w:lang w:bidi="ar-SY"/>
        </w:rPr>
        <w:t xml:space="preserve"> </w:t>
      </w:r>
      <w:r w:rsidR="00F32B28" w:rsidRPr="00F32B28">
        <w:rPr>
          <w:rtl/>
          <w:lang w:bidi="ar-SY"/>
        </w:rPr>
        <w:t>وممارساته</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مباشر،</w:t>
      </w:r>
      <w:r w:rsidR="00F32B28">
        <w:rPr>
          <w:rtl/>
          <w:lang w:bidi="ar-SY"/>
        </w:rPr>
        <w:t xml:space="preserve"> </w:t>
      </w:r>
      <w:r w:rsidR="00F32B28" w:rsidRPr="00F32B28">
        <w:rPr>
          <w:rtl/>
          <w:lang w:bidi="ar-SY"/>
        </w:rPr>
        <w:t>فإن</w:t>
      </w:r>
      <w:r w:rsidR="00F32B28">
        <w:rPr>
          <w:rtl/>
          <w:lang w:bidi="ar-SY"/>
        </w:rPr>
        <w:t xml:space="preserve"> </w:t>
      </w:r>
      <w:r w:rsidR="00F32B28" w:rsidRPr="00F32B28">
        <w:rPr>
          <w:rtl/>
          <w:lang w:bidi="ar-SY"/>
        </w:rPr>
        <w:t>تعرض</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خُمس</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يعيشون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المحتلة</w:t>
      </w:r>
      <w:r w:rsidR="00F32B28">
        <w:rPr>
          <w:rtl/>
          <w:lang w:bidi="ar-SY"/>
        </w:rPr>
        <w:t xml:space="preserve"> </w:t>
      </w:r>
      <w:r w:rsidR="00F32B28" w:rsidRPr="00F32B28">
        <w:rPr>
          <w:rtl/>
          <w:lang w:bidi="ar-SY"/>
        </w:rPr>
        <w:t>للاعتقال</w:t>
      </w:r>
      <w:r w:rsidR="00F32B28">
        <w:rPr>
          <w:rtl/>
          <w:lang w:bidi="ar-SY"/>
        </w:rPr>
        <w:t xml:space="preserve"> </w:t>
      </w:r>
      <w:r w:rsidR="00F32B28" w:rsidRPr="00F32B28">
        <w:rPr>
          <w:rtl/>
          <w:lang w:bidi="ar-SY"/>
        </w:rPr>
        <w:t>التعسفي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مرحلة</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حياتهم،</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يشكل</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40</w:t>
      </w:r>
      <w:r w:rsidR="00600C43">
        <w:rPr>
          <w:rFonts w:hint="cs"/>
          <w:rtl/>
          <w:lang w:bidi="ar-SY"/>
        </w:rPr>
        <w:t xml:space="preserve"> 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مجموع</w:t>
      </w:r>
      <w:r w:rsidR="00F32B28">
        <w:rPr>
          <w:rtl/>
          <w:lang w:bidi="ar-SY"/>
        </w:rPr>
        <w:t xml:space="preserve"> </w:t>
      </w:r>
      <w:r w:rsidR="00F32B28" w:rsidRPr="00F32B28">
        <w:rPr>
          <w:rtl/>
          <w:lang w:bidi="ar-SY"/>
        </w:rPr>
        <w:t>السكان</w:t>
      </w:r>
      <w:r w:rsidR="00F32B28">
        <w:rPr>
          <w:rtl/>
          <w:lang w:bidi="ar-SY"/>
        </w:rPr>
        <w:t xml:space="preserve"> </w:t>
      </w:r>
      <w:r w:rsidR="00F32B28" w:rsidRPr="00F32B28">
        <w:rPr>
          <w:rtl/>
          <w:lang w:bidi="ar-SY"/>
        </w:rPr>
        <w:t>الذكور،</w:t>
      </w:r>
      <w:r w:rsidR="00F32B28">
        <w:rPr>
          <w:rtl/>
          <w:lang w:bidi="ar-SY"/>
        </w:rPr>
        <w:t xml:space="preserve"> </w:t>
      </w:r>
      <w:r w:rsidR="00F32B28" w:rsidRPr="00F32B28">
        <w:rPr>
          <w:rtl/>
          <w:lang w:bidi="ar-SY"/>
        </w:rPr>
        <w:t>يؤدي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أغلب</w:t>
      </w:r>
      <w:r w:rsidR="00F32B28">
        <w:rPr>
          <w:rtl/>
          <w:lang w:bidi="ar-SY"/>
        </w:rPr>
        <w:t xml:space="preserve"> </w:t>
      </w:r>
      <w:r w:rsidR="00F32B28" w:rsidRPr="00F32B28">
        <w:rPr>
          <w:rtl/>
          <w:lang w:bidi="ar-SY"/>
        </w:rPr>
        <w:t>الأحيان</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تحميل</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أعباء</w:t>
      </w:r>
      <w:r w:rsidR="00F32B28">
        <w:rPr>
          <w:rtl/>
          <w:lang w:bidi="ar-SY"/>
        </w:rPr>
        <w:t xml:space="preserve"> </w:t>
      </w:r>
      <w:r w:rsidR="00F32B28" w:rsidRPr="00F32B28">
        <w:rPr>
          <w:rtl/>
          <w:lang w:bidi="ar-SY"/>
        </w:rPr>
        <w:t>إعالة</w:t>
      </w:r>
      <w:r w:rsidR="00F32B28">
        <w:rPr>
          <w:rtl/>
          <w:lang w:bidi="ar-SY"/>
        </w:rPr>
        <w:t xml:space="preserve"> </w:t>
      </w:r>
      <w:r w:rsidR="00F32B28" w:rsidRPr="00F32B28">
        <w:rPr>
          <w:rtl/>
          <w:lang w:bidi="ar-SY"/>
        </w:rPr>
        <w:t>وتربية</w:t>
      </w:r>
      <w:r w:rsidR="00F32B28">
        <w:rPr>
          <w:rtl/>
          <w:lang w:bidi="ar-SY"/>
        </w:rPr>
        <w:t xml:space="preserve"> </w:t>
      </w:r>
      <w:r w:rsidR="00F32B28" w:rsidRPr="00F32B28">
        <w:rPr>
          <w:rtl/>
          <w:lang w:bidi="ar-SY"/>
        </w:rPr>
        <w:t>الأبناء</w:t>
      </w:r>
      <w:r w:rsidR="00F32B28">
        <w:rPr>
          <w:rtl/>
          <w:lang w:bidi="ar-SY"/>
        </w:rPr>
        <w:t xml:space="preserve"> </w:t>
      </w:r>
      <w:r w:rsidR="00F32B28" w:rsidRPr="00F32B28">
        <w:rPr>
          <w:rtl/>
          <w:lang w:bidi="ar-SY"/>
        </w:rPr>
        <w:t>بعد</w:t>
      </w:r>
      <w:r w:rsidR="00F32B28">
        <w:rPr>
          <w:rtl/>
          <w:lang w:bidi="ar-SY"/>
        </w:rPr>
        <w:t xml:space="preserve"> </w:t>
      </w:r>
      <w:r w:rsidR="00F32B28" w:rsidRPr="00F32B28">
        <w:rPr>
          <w:rtl/>
          <w:lang w:bidi="ar-SY"/>
        </w:rPr>
        <w:t>اعتقال</w:t>
      </w:r>
      <w:r w:rsidR="00F32B28">
        <w:rPr>
          <w:rtl/>
          <w:lang w:bidi="ar-SY"/>
        </w:rPr>
        <w:t xml:space="preserve"> </w:t>
      </w:r>
      <w:r w:rsidR="00F32B28" w:rsidRPr="00F32B28">
        <w:rPr>
          <w:rtl/>
          <w:lang w:bidi="ar-SY"/>
        </w:rPr>
        <w:t>أزواجهن</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أخوتهم،</w:t>
      </w:r>
      <w:r w:rsidR="00F32B28">
        <w:rPr>
          <w:rtl/>
          <w:lang w:bidi="ar-SY"/>
        </w:rPr>
        <w:t xml:space="preserve"> </w:t>
      </w:r>
      <w:r w:rsidR="00F32B28" w:rsidRPr="00F32B28">
        <w:rPr>
          <w:rtl/>
          <w:lang w:bidi="ar-SY"/>
        </w:rPr>
        <w:t>وما</w:t>
      </w:r>
      <w:r w:rsidR="00F32B28">
        <w:rPr>
          <w:rtl/>
          <w:lang w:bidi="ar-SY"/>
        </w:rPr>
        <w:t xml:space="preserve"> </w:t>
      </w:r>
      <w:r w:rsidR="00F32B28" w:rsidRPr="00F32B28">
        <w:rPr>
          <w:rtl/>
          <w:lang w:bidi="ar-SY"/>
        </w:rPr>
        <w:t>يرافق</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أيضاً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المعاناة</w:t>
      </w:r>
      <w:r w:rsidR="00F32B28">
        <w:rPr>
          <w:rtl/>
          <w:lang w:bidi="ar-SY"/>
        </w:rPr>
        <w:t xml:space="preserve"> </w:t>
      </w:r>
      <w:r w:rsidR="00F32B28" w:rsidRPr="00F32B28">
        <w:rPr>
          <w:rtl/>
          <w:lang w:bidi="ar-SY"/>
        </w:rPr>
        <w:t>النفسية</w:t>
      </w:r>
      <w:r w:rsidR="00F32B28">
        <w:rPr>
          <w:rtl/>
          <w:lang w:bidi="ar-SY"/>
        </w:rPr>
        <w:t xml:space="preserve"> </w:t>
      </w:r>
      <w:r w:rsidR="00F32B28" w:rsidRPr="00F32B28">
        <w:rPr>
          <w:rtl/>
          <w:lang w:bidi="ar-SY"/>
        </w:rPr>
        <w:t>الأخرى</w:t>
      </w:r>
      <w:r w:rsidR="00F32B28">
        <w:rPr>
          <w:rtl/>
          <w:lang w:bidi="ar-SY"/>
        </w:rPr>
        <w:t xml:space="preserve"> </w:t>
      </w:r>
      <w:r w:rsidR="00F32B28" w:rsidRPr="00F32B28">
        <w:rPr>
          <w:rtl/>
          <w:lang w:bidi="ar-SY"/>
        </w:rPr>
        <w:t>المرافقة</w:t>
      </w:r>
      <w:r w:rsidR="00F32B28">
        <w:rPr>
          <w:rtl/>
          <w:lang w:bidi="ar-SY"/>
        </w:rPr>
        <w:t xml:space="preserve"> </w:t>
      </w:r>
      <w:r w:rsidR="00F32B28" w:rsidRPr="00F32B28">
        <w:rPr>
          <w:rtl/>
          <w:lang w:bidi="ar-SY"/>
        </w:rPr>
        <w:t>لاعتقال</w:t>
      </w:r>
      <w:r w:rsidR="00F32B28">
        <w:rPr>
          <w:rtl/>
          <w:lang w:bidi="ar-SY"/>
        </w:rPr>
        <w:t xml:space="preserve"> </w:t>
      </w:r>
      <w:r w:rsidR="00F32B28" w:rsidRPr="00F32B28">
        <w:rPr>
          <w:rtl/>
          <w:lang w:bidi="ar-SY"/>
        </w:rPr>
        <w:t>أحد</w:t>
      </w:r>
      <w:r w:rsidR="00F32B28">
        <w:rPr>
          <w:rtl/>
          <w:lang w:bidi="ar-SY"/>
        </w:rPr>
        <w:t xml:space="preserve"> </w:t>
      </w:r>
      <w:r w:rsidR="00F32B28" w:rsidRPr="00F32B28">
        <w:rPr>
          <w:rtl/>
          <w:lang w:bidi="ar-SY"/>
        </w:rPr>
        <w:t>أفراد</w:t>
      </w:r>
      <w:r w:rsidR="00F32B28">
        <w:rPr>
          <w:rtl/>
          <w:lang w:bidi="ar-SY"/>
        </w:rPr>
        <w:t xml:space="preserve"> </w:t>
      </w:r>
      <w:r w:rsidR="00F32B28" w:rsidRPr="00F32B28">
        <w:rPr>
          <w:rtl/>
          <w:lang w:bidi="ar-SY"/>
        </w:rPr>
        <w:t>العائلة،</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النظام</w:t>
      </w:r>
      <w:r w:rsidR="00F32B28">
        <w:rPr>
          <w:rtl/>
          <w:lang w:bidi="ar-SY"/>
        </w:rPr>
        <w:t xml:space="preserve"> </w:t>
      </w:r>
      <w:r w:rsidR="00F32B28" w:rsidRPr="00F32B28">
        <w:rPr>
          <w:rtl/>
          <w:lang w:bidi="ar-SY"/>
        </w:rPr>
        <w:t>الإسرائيلي</w:t>
      </w:r>
      <w:r w:rsidR="00AA7F71">
        <w:rPr>
          <w:rFonts w:hint="cs"/>
          <w:rtl/>
          <w:lang w:bidi="ar-SY"/>
        </w:rPr>
        <w:t xml:space="preserve"> </w:t>
      </w:r>
      <w:r w:rsidR="00F32B28" w:rsidRPr="00F32B28">
        <w:rPr>
          <w:rtl/>
          <w:lang w:bidi="ar-SY"/>
        </w:rPr>
        <w:t>المنهجي</w:t>
      </w:r>
      <w:r w:rsidR="00F32B28">
        <w:rPr>
          <w:rtl/>
          <w:lang w:bidi="ar-SY"/>
        </w:rPr>
        <w:t xml:space="preserve"> </w:t>
      </w:r>
      <w:r w:rsidR="00F32B28" w:rsidRPr="00F32B28">
        <w:rPr>
          <w:rtl/>
          <w:lang w:bidi="ar-SY"/>
        </w:rPr>
        <w:t>التعسفي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اعتقال</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وكما</w:t>
      </w:r>
      <w:r w:rsidR="00F32B28">
        <w:rPr>
          <w:rtl/>
          <w:lang w:bidi="ar-SY"/>
        </w:rPr>
        <w:t xml:space="preserve"> </w:t>
      </w:r>
      <w:r w:rsidR="00F32B28" w:rsidRPr="00F32B28">
        <w:rPr>
          <w:rtl/>
          <w:lang w:bidi="ar-SY"/>
        </w:rPr>
        <w:t>عبر</w:t>
      </w:r>
      <w:r w:rsidR="00F32B28">
        <w:rPr>
          <w:rtl/>
          <w:lang w:bidi="ar-SY"/>
        </w:rPr>
        <w:t xml:space="preserve"> </w:t>
      </w:r>
      <w:r w:rsidR="00F32B28" w:rsidRPr="00F32B28">
        <w:rPr>
          <w:rtl/>
          <w:lang w:bidi="ar-SY"/>
        </w:rPr>
        <w:t>عنه</w:t>
      </w:r>
      <w:r w:rsidR="00F32B28">
        <w:rPr>
          <w:rtl/>
          <w:lang w:bidi="ar-SY"/>
        </w:rPr>
        <w:t xml:space="preserve"> </w:t>
      </w:r>
      <w:r w:rsidR="00F32B28" w:rsidRPr="00F32B28">
        <w:rPr>
          <w:rtl/>
          <w:lang w:bidi="ar-SY"/>
        </w:rPr>
        <w:t>المقرر</w:t>
      </w:r>
      <w:r w:rsidR="00F32B28">
        <w:rPr>
          <w:rtl/>
          <w:lang w:bidi="ar-SY"/>
        </w:rPr>
        <w:t xml:space="preserve"> </w:t>
      </w:r>
      <w:r w:rsidR="00F32B28" w:rsidRPr="00F32B28">
        <w:rPr>
          <w:rtl/>
          <w:lang w:bidi="ar-SY"/>
        </w:rPr>
        <w:t>الخاص</w:t>
      </w:r>
      <w:r w:rsidR="00F32B28">
        <w:rPr>
          <w:rtl/>
          <w:lang w:bidi="ar-SY"/>
        </w:rPr>
        <w:t xml:space="preserve"> </w:t>
      </w:r>
      <w:r w:rsidR="00F32B28" w:rsidRPr="00F32B28">
        <w:rPr>
          <w:rtl/>
          <w:lang w:bidi="ar-SY"/>
        </w:rPr>
        <w:t>المعني</w:t>
      </w:r>
      <w:r w:rsidR="00F32B28">
        <w:rPr>
          <w:rtl/>
          <w:lang w:bidi="ar-SY"/>
        </w:rPr>
        <w:t xml:space="preserve"> </w:t>
      </w:r>
      <w:r w:rsidR="00F32B28" w:rsidRPr="00F32B28">
        <w:rPr>
          <w:rtl/>
          <w:lang w:bidi="ar-SY"/>
        </w:rPr>
        <w:t>بحالة</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الأراضي</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المحتلة</w:t>
      </w:r>
      <w:r w:rsidR="00F32B28">
        <w:rPr>
          <w:rtl/>
          <w:lang w:bidi="ar-SY"/>
        </w:rPr>
        <w:t xml:space="preserve"> </w:t>
      </w:r>
      <w:r w:rsidR="00F32B28" w:rsidRPr="00F32B28">
        <w:rPr>
          <w:rtl/>
          <w:lang w:bidi="ar-SY"/>
        </w:rPr>
        <w:t>منذ</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1967</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تقريره</w:t>
      </w:r>
      <w:r w:rsidR="00F32B28">
        <w:rPr>
          <w:rtl/>
          <w:lang w:bidi="ar-SY"/>
        </w:rPr>
        <w:t xml:space="preserve"> </w:t>
      </w:r>
      <w:r w:rsidR="00F32B28" w:rsidRPr="00F32B28">
        <w:rPr>
          <w:rtl/>
          <w:lang w:bidi="ar-SY"/>
        </w:rPr>
        <w:t>لعام</w:t>
      </w:r>
      <w:r w:rsidR="00F32B28">
        <w:rPr>
          <w:rtl/>
          <w:lang w:bidi="ar-SY"/>
        </w:rPr>
        <w:t xml:space="preserve"> </w:t>
      </w:r>
      <w:r w:rsidR="00F32B28" w:rsidRPr="00F32B28">
        <w:rPr>
          <w:rtl/>
          <w:lang w:bidi="ar-SY"/>
        </w:rPr>
        <w:t>2013</w:t>
      </w:r>
      <w:r w:rsidR="00F32B28">
        <w:rPr>
          <w:rtl/>
          <w:lang w:bidi="ar-SY"/>
        </w:rPr>
        <w:t xml:space="preserve"> </w:t>
      </w:r>
      <w:r w:rsidR="00F32B28" w:rsidRPr="00F32B28">
        <w:rPr>
          <w:rtl/>
          <w:lang w:bidi="ar-SY"/>
        </w:rPr>
        <w:t>بأنه</w:t>
      </w:r>
      <w:r w:rsidR="00F32B28">
        <w:rPr>
          <w:rtl/>
          <w:lang w:bidi="ar-SY"/>
        </w:rPr>
        <w:t xml:space="preserve"> </w:t>
      </w:r>
      <w:r w:rsidR="00E12813">
        <w:rPr>
          <w:rFonts w:hint="cs"/>
          <w:rtl/>
          <w:lang w:bidi="ar-SY"/>
        </w:rPr>
        <w:t>”</w:t>
      </w:r>
      <w:r w:rsidR="00F32B28" w:rsidRPr="00F32B28">
        <w:rPr>
          <w:i/>
          <w:iCs/>
          <w:rtl/>
        </w:rPr>
        <w:t>مصمم</w:t>
      </w:r>
      <w:r w:rsidR="00F32B28">
        <w:rPr>
          <w:i/>
          <w:iCs/>
          <w:rtl/>
        </w:rPr>
        <w:t xml:space="preserve"> </w:t>
      </w:r>
      <w:r w:rsidR="00F32B28" w:rsidRPr="00F32B28">
        <w:rPr>
          <w:i/>
          <w:iCs/>
          <w:rtl/>
        </w:rPr>
        <w:t>بالخصوص</w:t>
      </w:r>
      <w:r w:rsidR="00F32B28">
        <w:rPr>
          <w:i/>
          <w:iCs/>
          <w:rtl/>
        </w:rPr>
        <w:t xml:space="preserve"> </w:t>
      </w:r>
      <w:r w:rsidR="00F32B28" w:rsidRPr="00F32B28">
        <w:rPr>
          <w:i/>
          <w:iCs/>
          <w:rtl/>
        </w:rPr>
        <w:t>لتمزيق</w:t>
      </w:r>
      <w:r w:rsidR="00F32B28">
        <w:rPr>
          <w:i/>
          <w:iCs/>
          <w:rtl/>
        </w:rPr>
        <w:t xml:space="preserve"> </w:t>
      </w:r>
      <w:r w:rsidR="00F32B28" w:rsidRPr="00F32B28">
        <w:rPr>
          <w:i/>
          <w:iCs/>
          <w:rtl/>
        </w:rPr>
        <w:t>المجتمع</w:t>
      </w:r>
      <w:r w:rsidR="00F32B28">
        <w:rPr>
          <w:i/>
          <w:iCs/>
          <w:rtl/>
        </w:rPr>
        <w:t xml:space="preserve"> </w:t>
      </w:r>
      <w:r w:rsidR="00F32B28" w:rsidRPr="00F32B28">
        <w:rPr>
          <w:i/>
          <w:iCs/>
          <w:rtl/>
        </w:rPr>
        <w:t>الفلسطيني،</w:t>
      </w:r>
      <w:r w:rsidR="00F32B28">
        <w:rPr>
          <w:i/>
          <w:iCs/>
          <w:rtl/>
        </w:rPr>
        <w:t xml:space="preserve"> </w:t>
      </w:r>
      <w:r w:rsidR="00F32B28" w:rsidRPr="00F32B28">
        <w:rPr>
          <w:i/>
          <w:iCs/>
          <w:rtl/>
        </w:rPr>
        <w:t>بإيجاد</w:t>
      </w:r>
      <w:r w:rsidR="00F32B28">
        <w:rPr>
          <w:i/>
          <w:iCs/>
          <w:rtl/>
        </w:rPr>
        <w:t xml:space="preserve"> </w:t>
      </w:r>
      <w:r w:rsidR="00F32B28" w:rsidRPr="00F32B28">
        <w:rPr>
          <w:i/>
          <w:iCs/>
          <w:rtl/>
        </w:rPr>
        <w:t>مناخ</w:t>
      </w:r>
      <w:r w:rsidR="00F32B28">
        <w:rPr>
          <w:i/>
          <w:iCs/>
          <w:rtl/>
        </w:rPr>
        <w:t xml:space="preserve"> </w:t>
      </w:r>
      <w:r w:rsidR="00F32B28" w:rsidRPr="00F32B28">
        <w:rPr>
          <w:i/>
          <w:iCs/>
          <w:rtl/>
        </w:rPr>
        <w:t>من</w:t>
      </w:r>
      <w:r w:rsidR="00F32B28">
        <w:rPr>
          <w:i/>
          <w:iCs/>
          <w:rtl/>
        </w:rPr>
        <w:t xml:space="preserve"> </w:t>
      </w:r>
      <w:r w:rsidR="00F32B28" w:rsidRPr="00F32B28">
        <w:rPr>
          <w:i/>
          <w:iCs/>
          <w:rtl/>
        </w:rPr>
        <w:t>التعسف</w:t>
      </w:r>
      <w:r w:rsidR="00F32B28">
        <w:rPr>
          <w:i/>
          <w:iCs/>
          <w:rtl/>
        </w:rPr>
        <w:t xml:space="preserve"> </w:t>
      </w:r>
      <w:r w:rsidR="00F32B28" w:rsidRPr="00F32B28">
        <w:rPr>
          <w:i/>
          <w:iCs/>
          <w:rtl/>
        </w:rPr>
        <w:t>وعدم</w:t>
      </w:r>
      <w:r w:rsidR="00F32B28">
        <w:rPr>
          <w:i/>
          <w:iCs/>
          <w:rtl/>
        </w:rPr>
        <w:t xml:space="preserve"> </w:t>
      </w:r>
      <w:r w:rsidR="00F32B28" w:rsidRPr="00F32B28">
        <w:rPr>
          <w:i/>
          <w:iCs/>
          <w:rtl/>
        </w:rPr>
        <w:t>الاستقرار</w:t>
      </w:r>
      <w:r w:rsidR="00F32B28">
        <w:rPr>
          <w:i/>
          <w:iCs/>
          <w:rtl/>
        </w:rPr>
        <w:t xml:space="preserve"> </w:t>
      </w:r>
      <w:r w:rsidR="00F32B28" w:rsidRPr="00F32B28">
        <w:rPr>
          <w:i/>
          <w:iCs/>
          <w:rtl/>
        </w:rPr>
        <w:t>والضعف</w:t>
      </w:r>
      <w:r w:rsidR="00E12813">
        <w:rPr>
          <w:rFonts w:hint="cs"/>
          <w:rtl/>
          <w:lang w:bidi="ar-SY"/>
        </w:rPr>
        <w:t>“</w:t>
      </w:r>
      <w:r w:rsidR="00F32B28" w:rsidRPr="00F32B28">
        <w:rPr>
          <w:rtl/>
          <w:lang w:bidi="ar-SY"/>
        </w:rPr>
        <w:t>.</w:t>
      </w:r>
    </w:p>
    <w:p w:rsidR="00F32B28" w:rsidRPr="00F32B28" w:rsidRDefault="009C23E0" w:rsidP="009C23E0">
      <w:pPr>
        <w:pStyle w:val="SingleTxt"/>
      </w:pPr>
      <w:r>
        <w:rPr>
          <w:rFonts w:hint="cs"/>
          <w:rtl/>
          <w:lang w:bidi="ar-SY"/>
        </w:rPr>
        <w:t xml:space="preserve">144 - </w:t>
      </w:r>
      <w:r w:rsidR="00F32B28" w:rsidRPr="00F32B28">
        <w:rPr>
          <w:rtl/>
          <w:lang w:bidi="ar-SY"/>
        </w:rPr>
        <w:t>وقد</w:t>
      </w:r>
      <w:r w:rsidR="00F32B28">
        <w:rPr>
          <w:rtl/>
          <w:lang w:bidi="ar-SY"/>
        </w:rPr>
        <w:t xml:space="preserve"> </w:t>
      </w:r>
      <w:r w:rsidR="00F32B28" w:rsidRPr="00F32B28">
        <w:rPr>
          <w:rtl/>
          <w:lang w:bidi="ar-SY"/>
        </w:rPr>
        <w:t>أشارت</w:t>
      </w:r>
      <w:r w:rsidR="00F32B28">
        <w:rPr>
          <w:rtl/>
          <w:lang w:bidi="ar-SY"/>
        </w:rPr>
        <w:t xml:space="preserve"> </w:t>
      </w:r>
      <w:r w:rsidR="00F32B28" w:rsidRPr="00F32B28">
        <w:rPr>
          <w:rtl/>
          <w:lang w:bidi="ar-SY"/>
        </w:rPr>
        <w:t>نتائج</w:t>
      </w:r>
      <w:r w:rsidR="00F32B28">
        <w:rPr>
          <w:rtl/>
          <w:lang w:bidi="ar-SY"/>
        </w:rPr>
        <w:t xml:space="preserve"> </w:t>
      </w:r>
      <w:r w:rsidR="00F32B28" w:rsidRPr="00F32B28">
        <w:rPr>
          <w:rtl/>
          <w:lang w:bidi="ar-SY"/>
        </w:rPr>
        <w:t>دراسة</w:t>
      </w:r>
      <w:r w:rsidR="00F32B28">
        <w:rPr>
          <w:rtl/>
          <w:lang w:bidi="ar-SY"/>
        </w:rPr>
        <w:t xml:space="preserve"> </w:t>
      </w:r>
      <w:r w:rsidR="00F32B28" w:rsidRPr="00F32B28">
        <w:rPr>
          <w:rtl/>
          <w:lang w:bidi="ar-SY"/>
        </w:rPr>
        <w:t>أعدها</w:t>
      </w:r>
      <w:r w:rsidR="00F32B28">
        <w:rPr>
          <w:rtl/>
          <w:lang w:bidi="ar-SY"/>
        </w:rPr>
        <w:t xml:space="preserve"> </w:t>
      </w:r>
      <w:r w:rsidR="00F32B28" w:rsidRPr="00F32B28">
        <w:rPr>
          <w:rtl/>
          <w:lang w:bidi="ar-SY"/>
        </w:rPr>
        <w:t>مركز</w:t>
      </w:r>
      <w:r w:rsidR="00F32B28">
        <w:rPr>
          <w:rtl/>
          <w:lang w:bidi="ar-SY"/>
        </w:rPr>
        <w:t xml:space="preserve"> </w:t>
      </w:r>
      <w:r w:rsidR="00F32B28" w:rsidRPr="00F32B28">
        <w:rPr>
          <w:rtl/>
          <w:lang w:bidi="ar-SY"/>
        </w:rPr>
        <w:t>علاج</w:t>
      </w:r>
      <w:r w:rsidR="00F32B28">
        <w:rPr>
          <w:rtl/>
          <w:lang w:bidi="ar-SY"/>
        </w:rPr>
        <w:t xml:space="preserve"> </w:t>
      </w:r>
      <w:r w:rsidR="00F32B28" w:rsidRPr="00F32B28">
        <w:rPr>
          <w:rtl/>
          <w:lang w:bidi="ar-SY"/>
        </w:rPr>
        <w:t>وتأهيل</w:t>
      </w:r>
      <w:r w:rsidR="00F32B28">
        <w:rPr>
          <w:rtl/>
          <w:lang w:bidi="ar-SY"/>
        </w:rPr>
        <w:t xml:space="preserve"> </w:t>
      </w:r>
      <w:r w:rsidR="00F32B28" w:rsidRPr="00F32B28">
        <w:rPr>
          <w:rtl/>
          <w:lang w:bidi="ar-SY"/>
        </w:rPr>
        <w:t>ضحايا</w:t>
      </w:r>
      <w:r w:rsidR="00F32B28">
        <w:rPr>
          <w:rtl/>
          <w:lang w:bidi="ar-SY"/>
        </w:rPr>
        <w:t xml:space="preserve"> </w:t>
      </w:r>
      <w:r w:rsidR="00F32B28" w:rsidRPr="00F32B28">
        <w:rPr>
          <w:rtl/>
          <w:lang w:bidi="ar-SY"/>
        </w:rPr>
        <w:t>التعذيب</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2011،</w:t>
      </w:r>
      <w:r w:rsidR="00F32B28">
        <w:rPr>
          <w:rtl/>
          <w:lang w:bidi="ar-SY"/>
        </w:rPr>
        <w:t xml:space="preserve"> </w:t>
      </w:r>
      <w:r w:rsidR="00F32B28" w:rsidRPr="00F32B28">
        <w:rPr>
          <w:rtl/>
          <w:lang w:bidi="ar-SY"/>
        </w:rPr>
        <w:t>بأن</w:t>
      </w:r>
      <w:r w:rsidR="00F32B28" w:rsidRPr="00F32B28">
        <w:rPr>
          <w:rtl/>
        </w:rPr>
        <w:t>أكثر</w:t>
      </w:r>
      <w:r w:rsidR="00F32B28">
        <w:rPr>
          <w:rtl/>
        </w:rPr>
        <w:t xml:space="preserve"> </w:t>
      </w:r>
      <w:r w:rsidR="00F32B28" w:rsidRPr="00F32B28">
        <w:rPr>
          <w:rtl/>
        </w:rPr>
        <w:t>من</w:t>
      </w:r>
      <w:r w:rsidR="00F32B28">
        <w:rPr>
          <w:rtl/>
        </w:rPr>
        <w:t xml:space="preserve"> </w:t>
      </w:r>
      <w:r w:rsidR="00F32B28" w:rsidRPr="00F32B28">
        <w:rPr>
          <w:rtl/>
        </w:rPr>
        <w:t>70</w:t>
      </w:r>
      <w:r w:rsidR="00600C43">
        <w:rPr>
          <w:rFonts w:hint="cs"/>
          <w:rtl/>
        </w:rPr>
        <w:t xml:space="preserve"> في المائة</w:t>
      </w:r>
      <w:r w:rsidR="00F32B28">
        <w:rPr>
          <w:rtl/>
        </w:rPr>
        <w:t xml:space="preserve"> </w:t>
      </w:r>
      <w:r w:rsidR="00F32B28" w:rsidRPr="00F32B28">
        <w:rPr>
          <w:rtl/>
        </w:rPr>
        <w:t>من</w:t>
      </w:r>
      <w:r w:rsidR="00F32B28">
        <w:rPr>
          <w:rtl/>
        </w:rPr>
        <w:t xml:space="preserve"> </w:t>
      </w:r>
      <w:r w:rsidR="00F32B28" w:rsidRPr="00F32B28">
        <w:rPr>
          <w:rtl/>
        </w:rPr>
        <w:t>عائلات</w:t>
      </w:r>
      <w:r w:rsidR="00F32B28">
        <w:rPr>
          <w:rtl/>
        </w:rPr>
        <w:t xml:space="preserve"> </w:t>
      </w:r>
      <w:r w:rsidR="00F32B28" w:rsidRPr="00F32B28">
        <w:rPr>
          <w:rtl/>
        </w:rPr>
        <w:t>المعتقلين</w:t>
      </w:r>
      <w:r w:rsidR="00F32B28">
        <w:rPr>
          <w:rtl/>
        </w:rPr>
        <w:t xml:space="preserve"> </w:t>
      </w:r>
      <w:r w:rsidR="00F32B28" w:rsidRPr="00F32B28">
        <w:rPr>
          <w:rtl/>
        </w:rPr>
        <w:t>والأسرى</w:t>
      </w:r>
      <w:r w:rsidR="00F32B28">
        <w:rPr>
          <w:rtl/>
        </w:rPr>
        <w:t xml:space="preserve"> </w:t>
      </w:r>
      <w:r w:rsidR="00F32B28" w:rsidRPr="00F32B28">
        <w:rPr>
          <w:rtl/>
        </w:rPr>
        <w:t>الفلسطينيين</w:t>
      </w:r>
      <w:r w:rsidR="00D225D0">
        <w:rPr>
          <w:rFonts w:hint="cs"/>
          <w:rtl/>
        </w:rPr>
        <w:t xml:space="preserve"> </w:t>
      </w:r>
      <w:r w:rsidR="00F32B28" w:rsidRPr="00F32B28">
        <w:rPr>
          <w:rtl/>
        </w:rPr>
        <w:t>قد</w:t>
      </w:r>
      <w:r w:rsidR="00F32B28">
        <w:rPr>
          <w:rtl/>
        </w:rPr>
        <w:t xml:space="preserve"> </w:t>
      </w:r>
      <w:r w:rsidR="00F32B28" w:rsidRPr="00F32B28">
        <w:rPr>
          <w:rtl/>
        </w:rPr>
        <w:t>فقدوا</w:t>
      </w:r>
      <w:r w:rsidR="00F32B28">
        <w:rPr>
          <w:rtl/>
        </w:rPr>
        <w:t xml:space="preserve"> </w:t>
      </w:r>
      <w:r w:rsidR="00F32B28" w:rsidRPr="00F32B28">
        <w:rPr>
          <w:rtl/>
        </w:rPr>
        <w:t>مصدر</w:t>
      </w:r>
      <w:r w:rsidR="00F32B28">
        <w:rPr>
          <w:rtl/>
        </w:rPr>
        <w:t xml:space="preserve"> </w:t>
      </w:r>
      <w:r w:rsidR="00F32B28" w:rsidRPr="00F32B28">
        <w:rPr>
          <w:rtl/>
        </w:rPr>
        <w:t>الدخل</w:t>
      </w:r>
      <w:r w:rsidR="00F32B28">
        <w:rPr>
          <w:rtl/>
        </w:rPr>
        <w:t xml:space="preserve"> </w:t>
      </w:r>
      <w:r w:rsidR="00F32B28" w:rsidRPr="00F32B28">
        <w:rPr>
          <w:rtl/>
        </w:rPr>
        <w:t>باعتبار</w:t>
      </w:r>
      <w:r w:rsidR="00F32B28">
        <w:rPr>
          <w:rtl/>
        </w:rPr>
        <w:t xml:space="preserve"> </w:t>
      </w:r>
      <w:r w:rsidR="00F32B28" w:rsidRPr="00F32B28">
        <w:rPr>
          <w:rtl/>
        </w:rPr>
        <w:t>أن</w:t>
      </w:r>
      <w:r w:rsidR="00F32B28">
        <w:rPr>
          <w:rtl/>
        </w:rPr>
        <w:t xml:space="preserve"> </w:t>
      </w:r>
      <w:r w:rsidR="00F32B28" w:rsidRPr="00F32B28">
        <w:rPr>
          <w:rtl/>
        </w:rPr>
        <w:t>الأسير</w:t>
      </w:r>
      <w:r w:rsidR="00F32B28">
        <w:rPr>
          <w:rtl/>
        </w:rPr>
        <w:t xml:space="preserve"> </w:t>
      </w:r>
      <w:r w:rsidR="00F32B28" w:rsidRPr="00F32B28">
        <w:rPr>
          <w:rtl/>
        </w:rPr>
        <w:t>هو</w:t>
      </w:r>
      <w:r w:rsidR="00F32B28">
        <w:rPr>
          <w:rtl/>
        </w:rPr>
        <w:t xml:space="preserve"> </w:t>
      </w:r>
      <w:r w:rsidR="00F32B28" w:rsidRPr="00F32B28">
        <w:rPr>
          <w:rtl/>
        </w:rPr>
        <w:t>المعيل</w:t>
      </w:r>
      <w:r w:rsidR="00F32B28">
        <w:rPr>
          <w:rtl/>
        </w:rPr>
        <w:t xml:space="preserve"> </w:t>
      </w:r>
      <w:r w:rsidR="00F32B28" w:rsidRPr="00F32B28">
        <w:rPr>
          <w:rtl/>
        </w:rPr>
        <w:t>الأساسي</w:t>
      </w:r>
      <w:r w:rsidR="00F32B28">
        <w:rPr>
          <w:rtl/>
        </w:rPr>
        <w:t xml:space="preserve"> </w:t>
      </w:r>
      <w:r w:rsidR="00F32B28" w:rsidRPr="00F32B28">
        <w:rPr>
          <w:rtl/>
        </w:rPr>
        <w:t>والوحيد</w:t>
      </w:r>
      <w:r w:rsidR="00F32B28">
        <w:rPr>
          <w:rtl/>
        </w:rPr>
        <w:t xml:space="preserve"> </w:t>
      </w:r>
      <w:r w:rsidR="00F32B28" w:rsidRPr="00F32B28">
        <w:rPr>
          <w:rtl/>
        </w:rPr>
        <w:t>لعائلته،</w:t>
      </w:r>
      <w:r w:rsidR="00F32B28">
        <w:rPr>
          <w:rtl/>
        </w:rPr>
        <w:t xml:space="preserve"> </w:t>
      </w:r>
      <w:r w:rsidR="00F32B28" w:rsidRPr="00F32B28">
        <w:rPr>
          <w:rtl/>
        </w:rPr>
        <w:t>وأن</w:t>
      </w:r>
      <w:r w:rsidR="00F32B28">
        <w:rPr>
          <w:rtl/>
        </w:rPr>
        <w:t xml:space="preserve"> </w:t>
      </w:r>
      <w:r w:rsidR="00F32B28" w:rsidRPr="00F32B28">
        <w:rPr>
          <w:rtl/>
        </w:rPr>
        <w:t>50</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من</w:t>
      </w:r>
      <w:r w:rsidR="00F32B28">
        <w:rPr>
          <w:rtl/>
        </w:rPr>
        <w:t xml:space="preserve"> </w:t>
      </w:r>
      <w:r w:rsidR="00F32B28" w:rsidRPr="00F32B28">
        <w:rPr>
          <w:rtl/>
        </w:rPr>
        <w:t>هذه</w:t>
      </w:r>
      <w:r w:rsidR="00F32B28">
        <w:rPr>
          <w:rtl/>
        </w:rPr>
        <w:t xml:space="preserve"> </w:t>
      </w:r>
      <w:r w:rsidR="00F32B28" w:rsidRPr="00F32B28">
        <w:rPr>
          <w:rtl/>
        </w:rPr>
        <w:t>عائلات</w:t>
      </w:r>
      <w:r w:rsidR="00F32B28">
        <w:rPr>
          <w:rtl/>
        </w:rPr>
        <w:t xml:space="preserve"> </w:t>
      </w:r>
      <w:r w:rsidR="00F32B28" w:rsidRPr="00F32B28">
        <w:rPr>
          <w:rtl/>
        </w:rPr>
        <w:t>الأسرى</w:t>
      </w:r>
      <w:r w:rsidR="00F32B28">
        <w:rPr>
          <w:rtl/>
        </w:rPr>
        <w:t xml:space="preserve"> </w:t>
      </w:r>
      <w:r w:rsidR="00F32B28" w:rsidRPr="00F32B28">
        <w:rPr>
          <w:rtl/>
        </w:rPr>
        <w:t>تعاني</w:t>
      </w:r>
      <w:r w:rsidR="00F32B28">
        <w:rPr>
          <w:rtl/>
        </w:rPr>
        <w:t xml:space="preserve"> </w:t>
      </w:r>
      <w:r w:rsidR="00F32B28" w:rsidRPr="00F32B28">
        <w:rPr>
          <w:rtl/>
        </w:rPr>
        <w:t>من</w:t>
      </w:r>
      <w:r w:rsidR="00F32B28">
        <w:rPr>
          <w:rtl/>
        </w:rPr>
        <w:t xml:space="preserve"> </w:t>
      </w:r>
      <w:r w:rsidR="00F32B28" w:rsidRPr="00F32B28">
        <w:rPr>
          <w:rtl/>
        </w:rPr>
        <w:t>أوضاع</w:t>
      </w:r>
      <w:r w:rsidR="00F32B28">
        <w:rPr>
          <w:rtl/>
        </w:rPr>
        <w:t xml:space="preserve"> </w:t>
      </w:r>
      <w:r w:rsidR="00F32B28" w:rsidRPr="00F32B28">
        <w:rPr>
          <w:rtl/>
        </w:rPr>
        <w:t>اقتصادية</w:t>
      </w:r>
      <w:r w:rsidR="00F32B28">
        <w:rPr>
          <w:rtl/>
        </w:rPr>
        <w:t xml:space="preserve"> </w:t>
      </w:r>
      <w:r w:rsidR="00F32B28" w:rsidRPr="00F32B28">
        <w:rPr>
          <w:rtl/>
        </w:rPr>
        <w:t>سيئة</w:t>
      </w:r>
      <w:r w:rsidR="00F32B28">
        <w:rPr>
          <w:rtl/>
        </w:rPr>
        <w:t xml:space="preserve"> </w:t>
      </w:r>
      <w:r w:rsidR="00F32B28" w:rsidRPr="00F32B28">
        <w:rPr>
          <w:rtl/>
        </w:rPr>
        <w:t>جداً،</w:t>
      </w:r>
      <w:r w:rsidR="00F32B28">
        <w:rPr>
          <w:rtl/>
        </w:rPr>
        <w:t xml:space="preserve"> </w:t>
      </w:r>
      <w:r w:rsidR="00F32B28" w:rsidRPr="00F32B28">
        <w:rPr>
          <w:rtl/>
        </w:rPr>
        <w:t>وأن</w:t>
      </w:r>
      <w:r w:rsidR="00F32B28">
        <w:rPr>
          <w:rtl/>
        </w:rPr>
        <w:t xml:space="preserve"> </w:t>
      </w:r>
      <w:r w:rsidR="00F32B28" w:rsidRPr="00F32B28">
        <w:rPr>
          <w:rtl/>
        </w:rPr>
        <w:t>هنالك</w:t>
      </w:r>
      <w:r w:rsidR="00F32B28">
        <w:rPr>
          <w:rtl/>
        </w:rPr>
        <w:t xml:space="preserve"> </w:t>
      </w:r>
      <w:r w:rsidR="00F32B28" w:rsidRPr="00F32B28">
        <w:rPr>
          <w:rtl/>
        </w:rPr>
        <w:t>حوالي</w:t>
      </w:r>
      <w:r w:rsidR="00F32B28">
        <w:rPr>
          <w:rtl/>
        </w:rPr>
        <w:t xml:space="preserve"> </w:t>
      </w:r>
      <w:r w:rsidR="00F32B28" w:rsidRPr="00F32B28">
        <w:rPr>
          <w:rtl/>
        </w:rPr>
        <w:t>88.8</w:t>
      </w:r>
      <w:r w:rsidR="00600C43" w:rsidRPr="00600C43">
        <w:rPr>
          <w:rFonts w:hint="cs"/>
          <w:rtl/>
        </w:rPr>
        <w:t xml:space="preserve"> </w:t>
      </w:r>
      <w:r w:rsidR="00600C43">
        <w:rPr>
          <w:rFonts w:hint="cs"/>
          <w:rtl/>
        </w:rPr>
        <w:t>في المائة</w:t>
      </w:r>
      <w:r w:rsidR="00F32B28">
        <w:rPr>
          <w:rtl/>
        </w:rPr>
        <w:t xml:space="preserve"> </w:t>
      </w:r>
      <w:r w:rsidR="00F32B28" w:rsidRPr="00F32B28">
        <w:rPr>
          <w:rtl/>
        </w:rPr>
        <w:t>من</w:t>
      </w:r>
      <w:r w:rsidR="00F32B28">
        <w:rPr>
          <w:rtl/>
        </w:rPr>
        <w:t xml:space="preserve"> </w:t>
      </w:r>
      <w:r w:rsidR="00F32B28" w:rsidRPr="00F32B28">
        <w:rPr>
          <w:rtl/>
        </w:rPr>
        <w:t>مجموع</w:t>
      </w:r>
      <w:r w:rsidR="00F32B28">
        <w:rPr>
          <w:rtl/>
        </w:rPr>
        <w:t xml:space="preserve"> </w:t>
      </w:r>
      <w:r w:rsidR="00F32B28" w:rsidRPr="00F32B28">
        <w:rPr>
          <w:rtl/>
        </w:rPr>
        <w:t>هذه</w:t>
      </w:r>
      <w:r w:rsidR="00F32B28">
        <w:rPr>
          <w:rtl/>
        </w:rPr>
        <w:t xml:space="preserve"> </w:t>
      </w:r>
      <w:r w:rsidR="00F32B28" w:rsidRPr="00F32B28">
        <w:rPr>
          <w:rtl/>
        </w:rPr>
        <w:t>العائلات</w:t>
      </w:r>
      <w:r w:rsidR="00D225D0">
        <w:rPr>
          <w:rFonts w:hint="cs"/>
          <w:rtl/>
        </w:rPr>
        <w:t xml:space="preserve"> </w:t>
      </w:r>
      <w:r w:rsidR="00F32B28" w:rsidRPr="00F32B28">
        <w:rPr>
          <w:rtl/>
        </w:rPr>
        <w:t>أصبحت</w:t>
      </w:r>
      <w:r w:rsidR="00D225D0">
        <w:rPr>
          <w:rFonts w:hint="cs"/>
          <w:rtl/>
        </w:rPr>
        <w:t xml:space="preserve"> </w:t>
      </w:r>
      <w:r w:rsidR="00F32B28" w:rsidRPr="00F32B28">
        <w:rPr>
          <w:rtl/>
        </w:rPr>
        <w:t>تعتمد</w:t>
      </w:r>
      <w:r w:rsidR="00F32B28">
        <w:rPr>
          <w:rtl/>
        </w:rPr>
        <w:t xml:space="preserve"> </w:t>
      </w:r>
      <w:r w:rsidR="00F32B28" w:rsidRPr="00F32B28">
        <w:rPr>
          <w:rtl/>
        </w:rPr>
        <w:t>بشكل</w:t>
      </w:r>
      <w:r w:rsidR="00F32B28">
        <w:rPr>
          <w:rtl/>
        </w:rPr>
        <w:t xml:space="preserve"> </w:t>
      </w:r>
      <w:r w:rsidR="00F32B28" w:rsidRPr="00F32B28">
        <w:rPr>
          <w:rtl/>
        </w:rPr>
        <w:t>أساسي</w:t>
      </w:r>
      <w:r w:rsidR="00F32B28">
        <w:rPr>
          <w:rtl/>
        </w:rPr>
        <w:t xml:space="preserve"> </w:t>
      </w:r>
      <w:r w:rsidR="00F32B28" w:rsidRPr="00F32B28">
        <w:rPr>
          <w:rtl/>
        </w:rPr>
        <w:t>على</w:t>
      </w:r>
      <w:r w:rsidR="00F32B28">
        <w:rPr>
          <w:rtl/>
        </w:rPr>
        <w:t xml:space="preserve"> </w:t>
      </w:r>
      <w:r w:rsidR="00F32B28" w:rsidRPr="00F32B28">
        <w:rPr>
          <w:rtl/>
        </w:rPr>
        <w:t>الرواتب</w:t>
      </w:r>
      <w:r w:rsidR="00F32B28">
        <w:rPr>
          <w:rtl/>
          <w:lang w:bidi="ar-SY"/>
        </w:rPr>
        <w:t xml:space="preserve"> </w:t>
      </w:r>
      <w:r w:rsidR="00F32B28" w:rsidRPr="00F32B28">
        <w:rPr>
          <w:rtl/>
          <w:lang w:bidi="ar-SY"/>
        </w:rPr>
        <w:t>الشهرية</w:t>
      </w:r>
      <w:r w:rsidR="00D225D0">
        <w:rPr>
          <w:rFonts w:hint="cs"/>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تخصصها</w:t>
      </w:r>
      <w:r w:rsidR="00F32B28">
        <w:rPr>
          <w:rtl/>
          <w:lang w:bidi="ar-SY"/>
        </w:rPr>
        <w:t xml:space="preserve"> </w:t>
      </w:r>
      <w:r w:rsidR="00F32B28" w:rsidRPr="00F32B28">
        <w:rPr>
          <w:rtl/>
          <w:lang w:bidi="ar-SY"/>
        </w:rPr>
        <w:t>الحكومة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لجميع</w:t>
      </w:r>
      <w:r w:rsidR="00F32B28">
        <w:rPr>
          <w:rtl/>
          <w:lang w:bidi="ar-SY"/>
        </w:rPr>
        <w:t xml:space="preserve"> </w:t>
      </w:r>
      <w:r w:rsidR="00F32B28" w:rsidRPr="00F32B28">
        <w:rPr>
          <w:rtl/>
          <w:lang w:bidi="ar-SY"/>
        </w:rPr>
        <w:t>الأسرى</w:t>
      </w:r>
      <w:r w:rsidR="00F32B28">
        <w:rPr>
          <w:rtl/>
          <w:lang w:bidi="ar-SY"/>
        </w:rPr>
        <w:t xml:space="preserve"> </w:t>
      </w:r>
      <w:r w:rsidR="00F32B28" w:rsidRPr="00F32B28">
        <w:rPr>
          <w:rtl/>
          <w:lang w:bidi="ar-SY"/>
        </w:rPr>
        <w:t>والأسيرات</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وعائلاتهم</w:t>
      </w:r>
      <w:r w:rsidR="00F32B28">
        <w:rPr>
          <w:rtl/>
          <w:lang w:bidi="ar-SY"/>
        </w:rPr>
        <w:t xml:space="preserve"> </w:t>
      </w:r>
      <w:r w:rsidR="00F32B28" w:rsidRPr="00F32B28">
        <w:rPr>
          <w:rtl/>
          <w:lang w:bidi="ar-SY"/>
        </w:rPr>
        <w:t>منذ</w:t>
      </w:r>
      <w:r w:rsidR="00F32B28">
        <w:rPr>
          <w:rtl/>
          <w:lang w:bidi="ar-SY"/>
        </w:rPr>
        <w:t xml:space="preserve"> </w:t>
      </w:r>
      <w:r w:rsidR="00F32B28" w:rsidRPr="00F32B28">
        <w:rPr>
          <w:rtl/>
          <w:lang w:bidi="ar-SY"/>
        </w:rPr>
        <w:t>لحظة</w:t>
      </w:r>
      <w:r w:rsidR="00F32B28">
        <w:rPr>
          <w:rtl/>
          <w:lang w:bidi="ar-SY"/>
        </w:rPr>
        <w:t xml:space="preserve"> </w:t>
      </w:r>
      <w:r w:rsidR="00F32B28" w:rsidRPr="00F32B28">
        <w:rPr>
          <w:rtl/>
          <w:lang w:bidi="ar-SY"/>
        </w:rPr>
        <w:t>الأسر.</w:t>
      </w:r>
      <w:r w:rsidR="00F32B28">
        <w:rPr>
          <w:rtl/>
          <w:lang w:bidi="ar-SY"/>
        </w:rPr>
        <w:t xml:space="preserve"> </w:t>
      </w:r>
    </w:p>
    <w:p w:rsidR="00F32B28" w:rsidRPr="00F32B28" w:rsidRDefault="009C23E0" w:rsidP="009C23E0">
      <w:pPr>
        <w:pStyle w:val="SingleTxt"/>
        <w:rPr>
          <w:rtl/>
          <w:lang w:bidi="ar-SY"/>
        </w:rPr>
      </w:pPr>
      <w:r>
        <w:rPr>
          <w:rFonts w:hint="cs"/>
          <w:rtl/>
          <w:lang w:bidi="ar-SY"/>
        </w:rPr>
        <w:t xml:space="preserve">145 - </w:t>
      </w:r>
      <w:r w:rsidR="00F32B28" w:rsidRPr="00F32B28">
        <w:rPr>
          <w:rtl/>
          <w:lang w:bidi="ar-SY"/>
        </w:rPr>
        <w:t>وفي</w:t>
      </w:r>
      <w:r w:rsidR="00F32B28">
        <w:rPr>
          <w:rtl/>
          <w:lang w:bidi="ar-SY"/>
        </w:rPr>
        <w:t xml:space="preserve"> </w:t>
      </w:r>
      <w:r w:rsidR="00F32B28" w:rsidRPr="00F32B28">
        <w:rPr>
          <w:rtl/>
          <w:lang w:bidi="ar-SY"/>
        </w:rPr>
        <w:t>محاولة</w:t>
      </w:r>
      <w:r w:rsidR="00F32B28">
        <w:rPr>
          <w:rtl/>
          <w:lang w:bidi="ar-SY"/>
        </w:rPr>
        <w:t xml:space="preserve"> </w:t>
      </w:r>
      <w:r w:rsidR="00F32B28" w:rsidRPr="00F32B28">
        <w:rPr>
          <w:rtl/>
          <w:lang w:bidi="ar-SY"/>
        </w:rPr>
        <w:t>منها</w:t>
      </w:r>
      <w:r w:rsidR="00F32B28">
        <w:rPr>
          <w:rtl/>
          <w:lang w:bidi="ar-SY"/>
        </w:rPr>
        <w:t xml:space="preserve"> </w:t>
      </w:r>
      <w:r w:rsidR="00F32B28" w:rsidRPr="00F32B28">
        <w:rPr>
          <w:rtl/>
          <w:lang w:bidi="ar-SY"/>
        </w:rPr>
        <w:t>لتخفيف</w:t>
      </w:r>
      <w:r w:rsidR="00F32B28">
        <w:rPr>
          <w:rtl/>
          <w:lang w:bidi="ar-SY"/>
        </w:rPr>
        <w:t xml:space="preserve"> </w:t>
      </w:r>
      <w:r w:rsidR="00F32B28" w:rsidRPr="00F32B28">
        <w:rPr>
          <w:rtl/>
          <w:lang w:bidi="ar-SY"/>
        </w:rPr>
        <w:t>وطأة</w:t>
      </w:r>
      <w:r w:rsidR="00F32B28">
        <w:rPr>
          <w:rtl/>
          <w:lang w:bidi="ar-SY"/>
        </w:rPr>
        <w:t xml:space="preserve"> </w:t>
      </w:r>
      <w:r w:rsidR="00F32B28" w:rsidRPr="00F32B28">
        <w:rPr>
          <w:rtl/>
          <w:lang w:bidi="ar-SY"/>
        </w:rPr>
        <w:t>جرائم</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وتكريماً</w:t>
      </w:r>
      <w:r w:rsidR="00F32B28">
        <w:rPr>
          <w:rtl/>
          <w:lang w:bidi="ar-SY"/>
        </w:rPr>
        <w:t xml:space="preserve"> </w:t>
      </w:r>
      <w:r w:rsidR="00F32B28" w:rsidRPr="00F32B28">
        <w:rPr>
          <w:rtl/>
          <w:lang w:bidi="ar-SY"/>
        </w:rPr>
        <w:t>للأسرى،</w:t>
      </w:r>
      <w:r w:rsidR="00F32B28">
        <w:rPr>
          <w:rtl/>
          <w:lang w:bidi="ar-SY"/>
        </w:rPr>
        <w:t xml:space="preserve"> </w:t>
      </w:r>
      <w:r w:rsidR="00F32B28" w:rsidRPr="00F32B28">
        <w:rPr>
          <w:rtl/>
          <w:lang w:bidi="ar-SY"/>
        </w:rPr>
        <w:t>تقدم</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وبموجب</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الأسرى</w:t>
      </w:r>
      <w:r w:rsidR="00F32B28">
        <w:rPr>
          <w:rtl/>
          <w:lang w:bidi="ar-SY"/>
        </w:rPr>
        <w:t xml:space="preserve"> </w:t>
      </w:r>
      <w:r w:rsidR="00F32B28" w:rsidRPr="00F32B28">
        <w:rPr>
          <w:rtl/>
          <w:lang w:bidi="ar-SY"/>
        </w:rPr>
        <w:t>والمحررين</w:t>
      </w:r>
      <w:r w:rsidR="00F32B28">
        <w:rPr>
          <w:rtl/>
          <w:lang w:bidi="ar-SY"/>
        </w:rPr>
        <w:t xml:space="preserve"> </w:t>
      </w:r>
      <w:r w:rsidR="00F32B28" w:rsidRPr="00F32B28">
        <w:rPr>
          <w:rtl/>
          <w:lang w:bidi="ar-SY"/>
        </w:rPr>
        <w:t>رقم</w:t>
      </w:r>
      <w:r w:rsidR="00F32B28">
        <w:rPr>
          <w:rtl/>
          <w:lang w:bidi="ar-SY"/>
        </w:rPr>
        <w:t xml:space="preserve"> </w:t>
      </w:r>
      <w:r w:rsidR="00F32B28" w:rsidRPr="00F32B28">
        <w:rPr>
          <w:rtl/>
          <w:lang w:bidi="ar-SY"/>
        </w:rPr>
        <w:t>(19)</w:t>
      </w:r>
      <w:r w:rsidR="00F32B28">
        <w:rPr>
          <w:rtl/>
          <w:lang w:bidi="ar-SY"/>
        </w:rPr>
        <w:t xml:space="preserve"> </w:t>
      </w:r>
      <w:r w:rsidR="00F32B28" w:rsidRPr="00F32B28">
        <w:rPr>
          <w:rtl/>
          <w:lang w:bidi="ar-SY"/>
        </w:rPr>
        <w:t>لسنة</w:t>
      </w:r>
      <w:r w:rsidR="00F32B28">
        <w:rPr>
          <w:rtl/>
          <w:lang w:bidi="ar-SY"/>
        </w:rPr>
        <w:t xml:space="preserve"> </w:t>
      </w:r>
      <w:r w:rsidR="00F32B28" w:rsidRPr="00F32B28">
        <w:rPr>
          <w:rtl/>
          <w:lang w:bidi="ar-SY"/>
        </w:rPr>
        <w:t>2004</w:t>
      </w:r>
      <w:r w:rsidR="00F32B28">
        <w:rPr>
          <w:rtl/>
          <w:lang w:bidi="ar-SY"/>
        </w:rPr>
        <w:t xml:space="preserve"> </w:t>
      </w:r>
      <w:r w:rsidR="00F32B28" w:rsidRPr="00F32B28">
        <w:rPr>
          <w:rtl/>
          <w:lang w:bidi="ar-SY"/>
        </w:rPr>
        <w:t>وتعديلاته،</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المتطلبات</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للأسرى</w:t>
      </w:r>
      <w:r w:rsidR="00F32B28">
        <w:rPr>
          <w:rtl/>
          <w:lang w:bidi="ar-SY"/>
        </w:rPr>
        <w:t xml:space="preserve"> </w:t>
      </w:r>
      <w:r w:rsidR="00F32B28" w:rsidRPr="00F32B28">
        <w:rPr>
          <w:rtl/>
          <w:lang w:bidi="ar-SY"/>
        </w:rPr>
        <w:t>والأسيرات</w:t>
      </w:r>
      <w:r w:rsidR="00F32B28">
        <w:rPr>
          <w:rtl/>
          <w:lang w:bidi="ar-SY"/>
        </w:rPr>
        <w:t xml:space="preserve"> </w:t>
      </w:r>
      <w:r w:rsidR="00F32B28" w:rsidRPr="00F32B28">
        <w:rPr>
          <w:rtl/>
          <w:lang w:bidi="ar-SY"/>
        </w:rPr>
        <w:t>أثناء</w:t>
      </w:r>
      <w:r w:rsidR="00F32B28">
        <w:rPr>
          <w:rtl/>
          <w:lang w:bidi="ar-SY"/>
        </w:rPr>
        <w:t xml:space="preserve"> </w:t>
      </w:r>
      <w:r w:rsidR="00F32B28" w:rsidRPr="00F32B28">
        <w:rPr>
          <w:rtl/>
          <w:lang w:bidi="ar-SY"/>
        </w:rPr>
        <w:t>أسرهم،</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الإعفاءات،</w:t>
      </w:r>
      <w:r w:rsidR="00F32B28">
        <w:rPr>
          <w:rtl/>
          <w:lang w:bidi="ar-SY"/>
        </w:rPr>
        <w:t xml:space="preserve"> </w:t>
      </w:r>
      <w:r w:rsidR="00F32B28" w:rsidRPr="00F32B28">
        <w:rPr>
          <w:rtl/>
          <w:lang w:bidi="ar-SY"/>
        </w:rPr>
        <w:t>الكلية</w:t>
      </w:r>
      <w:r w:rsidR="00F32B28">
        <w:rPr>
          <w:rtl/>
          <w:lang w:bidi="ar-SY"/>
        </w:rPr>
        <w:t xml:space="preserve"> </w:t>
      </w:r>
      <w:r w:rsidR="00F32B28" w:rsidRPr="00F32B28">
        <w:rPr>
          <w:rtl/>
          <w:lang w:bidi="ar-SY"/>
        </w:rPr>
        <w:t>والجزئية،</w:t>
      </w:r>
      <w:r w:rsidR="00F32B28">
        <w:rPr>
          <w:rtl/>
          <w:lang w:bidi="ar-SY"/>
        </w:rPr>
        <w:t xml:space="preserve"> </w:t>
      </w:r>
      <w:r w:rsidR="00F32B28" w:rsidRPr="00F32B28">
        <w:rPr>
          <w:rtl/>
          <w:lang w:bidi="ar-SY"/>
        </w:rPr>
        <w:t>للأسرى</w:t>
      </w:r>
      <w:r w:rsidR="00F32B28">
        <w:rPr>
          <w:rtl/>
          <w:lang w:bidi="ar-SY"/>
        </w:rPr>
        <w:t xml:space="preserve"> </w:t>
      </w:r>
      <w:r w:rsidR="00F32B28" w:rsidRPr="00F32B28">
        <w:rPr>
          <w:rtl/>
          <w:lang w:bidi="ar-SY"/>
        </w:rPr>
        <w:t>والأسيرات</w:t>
      </w:r>
      <w:r w:rsidR="00F32B28">
        <w:rPr>
          <w:rtl/>
          <w:lang w:bidi="ar-SY"/>
        </w:rPr>
        <w:t xml:space="preserve"> </w:t>
      </w:r>
      <w:r w:rsidR="00F32B28" w:rsidRPr="00F32B28">
        <w:rPr>
          <w:rtl/>
          <w:lang w:bidi="ar-SY"/>
        </w:rPr>
        <w:t>وأزواجهم</w:t>
      </w:r>
      <w:r w:rsidR="00F32B28">
        <w:rPr>
          <w:rtl/>
          <w:lang w:bidi="ar-SY"/>
        </w:rPr>
        <w:t xml:space="preserve"> </w:t>
      </w:r>
      <w:r w:rsidR="00F32B28" w:rsidRPr="00F32B28">
        <w:rPr>
          <w:rtl/>
          <w:lang w:bidi="ar-SY"/>
        </w:rPr>
        <w:t>وأبنائهم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رسوم</w:t>
      </w:r>
      <w:r w:rsidR="00F32B28">
        <w:rPr>
          <w:rtl/>
          <w:lang w:bidi="ar-SY"/>
        </w:rPr>
        <w:t xml:space="preserve"> </w:t>
      </w:r>
      <w:r w:rsidR="00F32B28" w:rsidRPr="00F32B28">
        <w:rPr>
          <w:rtl/>
          <w:lang w:bidi="ar-SY"/>
        </w:rPr>
        <w:t>التعليم</w:t>
      </w:r>
      <w:r w:rsidR="00F32B28">
        <w:rPr>
          <w:rtl/>
          <w:lang w:bidi="ar-SY"/>
        </w:rPr>
        <w:t xml:space="preserve"> </w:t>
      </w:r>
      <w:r w:rsidR="00F32B28" w:rsidRPr="00F32B28">
        <w:rPr>
          <w:rtl/>
          <w:lang w:bidi="ar-SY"/>
        </w:rPr>
        <w:t>المدرسي،</w:t>
      </w:r>
      <w:r w:rsidR="00F32B28">
        <w:rPr>
          <w:rtl/>
          <w:lang w:bidi="ar-SY"/>
        </w:rPr>
        <w:t xml:space="preserve"> </w:t>
      </w:r>
      <w:r w:rsidR="00F32B28" w:rsidRPr="00F32B28">
        <w:rPr>
          <w:rtl/>
          <w:lang w:bidi="ar-SY"/>
        </w:rPr>
        <w:t>والتعليم</w:t>
      </w:r>
      <w:r w:rsidR="00F32B28">
        <w:rPr>
          <w:rtl/>
          <w:lang w:bidi="ar-SY"/>
        </w:rPr>
        <w:t xml:space="preserve"> </w:t>
      </w:r>
      <w:r w:rsidR="00F32B28" w:rsidRPr="00F32B28">
        <w:rPr>
          <w:rtl/>
          <w:lang w:bidi="ar-SY"/>
        </w:rPr>
        <w:t>الجامعي،</w:t>
      </w:r>
      <w:r w:rsidR="00F32B28">
        <w:rPr>
          <w:rtl/>
          <w:lang w:bidi="ar-SY"/>
        </w:rPr>
        <w:t xml:space="preserve"> </w:t>
      </w:r>
      <w:r w:rsidR="00F32B28" w:rsidRPr="00F32B28">
        <w:rPr>
          <w:rtl/>
          <w:lang w:bidi="ar-SY"/>
        </w:rPr>
        <w:t>والتأمين</w:t>
      </w:r>
      <w:r w:rsidR="00F32B28">
        <w:rPr>
          <w:rtl/>
          <w:lang w:bidi="ar-SY"/>
        </w:rPr>
        <w:t xml:space="preserve"> </w:t>
      </w:r>
      <w:r w:rsidR="00F32B28" w:rsidRPr="00F32B28">
        <w:rPr>
          <w:rtl/>
          <w:lang w:bidi="ar-SY"/>
        </w:rPr>
        <w:t>الصحي،</w:t>
      </w:r>
      <w:r w:rsidR="00F32B28">
        <w:rPr>
          <w:rtl/>
          <w:lang w:bidi="ar-SY"/>
        </w:rPr>
        <w:t xml:space="preserve"> </w:t>
      </w:r>
      <w:r w:rsidR="00F32B28" w:rsidRPr="00F32B28">
        <w:rPr>
          <w:rtl/>
          <w:lang w:bidi="ar-SY"/>
        </w:rPr>
        <w:t>والدورات</w:t>
      </w:r>
      <w:r w:rsidR="00F32B28">
        <w:rPr>
          <w:rtl/>
          <w:lang w:bidi="ar-SY"/>
        </w:rPr>
        <w:t xml:space="preserve"> </w:t>
      </w:r>
      <w:r w:rsidR="00F32B28" w:rsidRPr="00F32B28">
        <w:rPr>
          <w:rtl/>
          <w:lang w:bidi="ar-SY"/>
        </w:rPr>
        <w:t>التأهيلية.</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وتعمل</w:t>
      </w:r>
      <w:r w:rsidR="00F32B28">
        <w:rPr>
          <w:rtl/>
          <w:lang w:bidi="ar-SY"/>
        </w:rPr>
        <w:t xml:space="preserve"> </w:t>
      </w:r>
      <w:r w:rsidR="00F32B28" w:rsidRPr="00F32B28">
        <w:rPr>
          <w:rtl/>
          <w:lang w:bidi="ar-SY"/>
        </w:rPr>
        <w:t>الدولة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تأمين</w:t>
      </w:r>
      <w:r w:rsidR="00F32B28">
        <w:rPr>
          <w:rtl/>
          <w:lang w:bidi="ar-SY"/>
        </w:rPr>
        <w:t xml:space="preserve"> </w:t>
      </w:r>
      <w:r w:rsidR="00F32B28" w:rsidRPr="00F32B28">
        <w:rPr>
          <w:rtl/>
          <w:lang w:bidi="ar-SY"/>
        </w:rPr>
        <w:t>الوظائف</w:t>
      </w:r>
      <w:r w:rsidR="00F32B28">
        <w:rPr>
          <w:rtl/>
          <w:lang w:bidi="ar-SY"/>
        </w:rPr>
        <w:t xml:space="preserve"> </w:t>
      </w:r>
      <w:r w:rsidR="00F32B28" w:rsidRPr="00F32B28">
        <w:rPr>
          <w:rtl/>
          <w:lang w:bidi="ar-SY"/>
        </w:rPr>
        <w:t>للأسرى</w:t>
      </w:r>
      <w:r w:rsidR="00F32B28">
        <w:rPr>
          <w:rtl/>
          <w:lang w:bidi="ar-SY"/>
        </w:rPr>
        <w:t xml:space="preserve"> </w:t>
      </w:r>
      <w:r w:rsidR="00F32B28" w:rsidRPr="00F32B28">
        <w:rPr>
          <w:rtl/>
          <w:lang w:bidi="ar-SY"/>
        </w:rPr>
        <w:t>والأسيرات</w:t>
      </w:r>
      <w:r w:rsidR="00F32B28">
        <w:rPr>
          <w:rtl/>
          <w:lang w:bidi="ar-SY"/>
        </w:rPr>
        <w:t xml:space="preserve"> </w:t>
      </w:r>
      <w:r w:rsidR="00F32B28" w:rsidRPr="00F32B28">
        <w:rPr>
          <w:rtl/>
          <w:lang w:bidi="ar-SY"/>
        </w:rPr>
        <w:t>المحررين</w:t>
      </w:r>
      <w:r w:rsidR="00F32B28">
        <w:rPr>
          <w:rtl/>
          <w:lang w:bidi="ar-SY"/>
        </w:rPr>
        <w:t xml:space="preserve"> </w:t>
      </w:r>
      <w:r w:rsidR="00F32B28" w:rsidRPr="00F32B28">
        <w:rPr>
          <w:rtl/>
          <w:lang w:bidi="ar-SY"/>
        </w:rPr>
        <w:t>وإعطائهم</w:t>
      </w:r>
      <w:r w:rsidR="00F32B28">
        <w:rPr>
          <w:rtl/>
          <w:lang w:bidi="ar-SY"/>
        </w:rPr>
        <w:t xml:space="preserve"> </w:t>
      </w:r>
      <w:r w:rsidR="00F32B28" w:rsidRPr="00F32B28">
        <w:rPr>
          <w:rtl/>
          <w:lang w:bidi="ar-SY"/>
        </w:rPr>
        <w:t>أولوية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التعيينات</w:t>
      </w:r>
      <w:r w:rsidR="00F32B28">
        <w:rPr>
          <w:rtl/>
          <w:lang w:bidi="ar-SY"/>
        </w:rPr>
        <w:t xml:space="preserve"> </w:t>
      </w:r>
      <w:r w:rsidR="00F32B28" w:rsidRPr="00F32B28">
        <w:rPr>
          <w:rtl/>
          <w:lang w:bidi="ar-SY"/>
        </w:rPr>
        <w:t>السنوية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مؤسسات</w:t>
      </w:r>
      <w:r w:rsidR="00F32B28">
        <w:rPr>
          <w:rtl/>
          <w:lang w:bidi="ar-SY"/>
        </w:rPr>
        <w:t xml:space="preserve"> </w:t>
      </w:r>
      <w:r w:rsidR="00F32B28" w:rsidRPr="00F32B28">
        <w:rPr>
          <w:rtl/>
          <w:lang w:bidi="ar-SY"/>
        </w:rPr>
        <w:t>الدولة.</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يساوي</w:t>
      </w:r>
      <w:r w:rsidR="00F32B28">
        <w:rPr>
          <w:rtl/>
          <w:lang w:bidi="ar-SY"/>
        </w:rPr>
        <w:t xml:space="preserve"> </w:t>
      </w:r>
      <w:r w:rsidR="00F32B28" w:rsidRPr="00F32B28">
        <w:rPr>
          <w:rtl/>
          <w:lang w:bidi="ar-SY"/>
        </w:rPr>
        <w:t>نظام</w:t>
      </w:r>
      <w:r w:rsidR="00F32B28">
        <w:rPr>
          <w:rtl/>
          <w:lang w:bidi="ar-SY"/>
        </w:rPr>
        <w:t xml:space="preserve"> </w:t>
      </w:r>
      <w:r w:rsidR="00F32B28" w:rsidRPr="00F32B28">
        <w:rPr>
          <w:rtl/>
          <w:lang w:bidi="ar-SY"/>
        </w:rPr>
        <w:t>الصرف</w:t>
      </w:r>
      <w:r w:rsidR="00F32B28">
        <w:rPr>
          <w:rtl/>
          <w:lang w:bidi="ar-SY"/>
        </w:rPr>
        <w:t xml:space="preserve"> </w:t>
      </w:r>
      <w:r w:rsidR="00F32B28" w:rsidRPr="00F32B28">
        <w:rPr>
          <w:rtl/>
          <w:lang w:bidi="ar-SY"/>
        </w:rPr>
        <w:t>صراحةً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الأسرى</w:t>
      </w:r>
      <w:r w:rsidR="00F32B28">
        <w:rPr>
          <w:rtl/>
          <w:lang w:bidi="ar-SY"/>
        </w:rPr>
        <w:t xml:space="preserve"> </w:t>
      </w:r>
      <w:r w:rsidR="00F32B28" w:rsidRPr="00F32B28">
        <w:rPr>
          <w:rtl/>
          <w:lang w:bidi="ar-SY"/>
        </w:rPr>
        <w:t>والأسيرات</w:t>
      </w:r>
      <w:r w:rsidR="00F32B28">
        <w:rPr>
          <w:rtl/>
          <w:lang w:bidi="ar-SY"/>
        </w:rPr>
        <w:t xml:space="preserve"> </w:t>
      </w:r>
      <w:r w:rsidR="00F32B28" w:rsidRPr="00F32B28">
        <w:rPr>
          <w:rtl/>
          <w:lang w:bidi="ar-SY"/>
        </w:rPr>
        <w:t>داخل</w:t>
      </w:r>
      <w:r w:rsidR="00F32B28">
        <w:rPr>
          <w:rtl/>
          <w:lang w:bidi="ar-SY"/>
        </w:rPr>
        <w:t xml:space="preserve"> </w:t>
      </w:r>
      <w:r w:rsidR="00F32B28" w:rsidRPr="00F32B28">
        <w:rPr>
          <w:rtl/>
          <w:lang w:bidi="ar-SY"/>
        </w:rPr>
        <w:t>سجون</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يخص</w:t>
      </w:r>
      <w:r w:rsidR="00F32B28">
        <w:rPr>
          <w:rtl/>
          <w:lang w:bidi="ar-SY"/>
        </w:rPr>
        <w:t xml:space="preserve"> </w:t>
      </w:r>
      <w:r w:rsidR="00F32B28" w:rsidRPr="00F32B28">
        <w:rPr>
          <w:rtl/>
          <w:lang w:bidi="ar-SY"/>
        </w:rPr>
        <w:t>الرواتب</w:t>
      </w:r>
      <w:r w:rsidR="00F32B28">
        <w:rPr>
          <w:rtl/>
          <w:lang w:bidi="ar-SY"/>
        </w:rPr>
        <w:t xml:space="preserve"> </w:t>
      </w:r>
      <w:r w:rsidR="00F32B28" w:rsidRPr="00F32B28">
        <w:rPr>
          <w:rtl/>
          <w:lang w:bidi="ar-SY"/>
        </w:rPr>
        <w:t>الشهرية</w:t>
      </w:r>
      <w:r w:rsidR="00F32B28">
        <w:rPr>
          <w:rtl/>
          <w:lang w:bidi="ar-SY"/>
        </w:rPr>
        <w:t xml:space="preserve"> </w:t>
      </w:r>
      <w:r w:rsidR="00F32B28" w:rsidRPr="00F32B28">
        <w:rPr>
          <w:rtl/>
          <w:lang w:bidi="ar-SY"/>
        </w:rPr>
        <w:t>والعلاوات</w:t>
      </w:r>
      <w:r w:rsidR="00F32B28">
        <w:rPr>
          <w:rtl/>
          <w:lang w:bidi="ar-SY"/>
        </w:rPr>
        <w:t xml:space="preserve"> </w:t>
      </w:r>
      <w:r w:rsidR="00F32B28" w:rsidRPr="00F32B28">
        <w:rPr>
          <w:rtl/>
          <w:lang w:bidi="ar-SY"/>
        </w:rPr>
        <w:t>والبدلات.</w:t>
      </w:r>
      <w:r w:rsidR="00F32B28">
        <w:rPr>
          <w:rtl/>
          <w:lang w:bidi="ar-SY"/>
        </w:rPr>
        <w:t xml:space="preserve"> </w:t>
      </w:r>
    </w:p>
    <w:p w:rsidR="009C23E0" w:rsidRPr="009C23E0" w:rsidRDefault="009C23E0" w:rsidP="009C23E0">
      <w:pPr>
        <w:pStyle w:val="SingleTxt"/>
        <w:spacing w:after="0" w:line="120" w:lineRule="exact"/>
        <w:rPr>
          <w:b/>
          <w:bCs/>
          <w:sz w:val="10"/>
          <w:rtl/>
          <w:lang w:bidi="ar-LB"/>
        </w:rPr>
      </w:pPr>
    </w:p>
    <w:p w:rsidR="009B107D" w:rsidRDefault="009B107D">
      <w:pPr>
        <w:bidi w:val="0"/>
        <w:spacing w:line="240" w:lineRule="auto"/>
        <w:jc w:val="left"/>
        <w:rPr>
          <w:b/>
          <w:bCs/>
          <w:rtl/>
          <w:lang w:bidi="ar-LB"/>
        </w:rPr>
      </w:pPr>
      <w:r>
        <w:rPr>
          <w:b/>
          <w:bCs/>
          <w:rtl/>
          <w:lang w:bidi="ar-LB"/>
        </w:rPr>
        <w:br w:type="page"/>
      </w:r>
    </w:p>
    <w:p w:rsidR="00F32B28" w:rsidRPr="00F32B28" w:rsidRDefault="00F32B28" w:rsidP="009C23E0">
      <w:pPr>
        <w:pStyle w:val="SingleTxt"/>
        <w:rPr>
          <w:b/>
          <w:bCs/>
          <w:rtl/>
          <w:lang w:bidi="ar-LB"/>
        </w:rPr>
      </w:pPr>
      <w:r w:rsidRPr="00F32B28">
        <w:rPr>
          <w:b/>
          <w:bCs/>
          <w:rtl/>
          <w:lang w:bidi="ar-LB"/>
        </w:rPr>
        <w:lastRenderedPageBreak/>
        <w:t>المادة</w:t>
      </w:r>
      <w:r>
        <w:rPr>
          <w:b/>
          <w:bCs/>
          <w:rtl/>
          <w:lang w:bidi="ar-LB"/>
        </w:rPr>
        <w:t xml:space="preserve"> </w:t>
      </w:r>
      <w:r w:rsidRPr="00F32B28">
        <w:rPr>
          <w:b/>
          <w:bCs/>
          <w:rtl/>
          <w:lang w:bidi="ar-LB"/>
        </w:rPr>
        <w:t>(9)</w:t>
      </w:r>
      <w:r w:rsidR="009C23E0">
        <w:rPr>
          <w:rFonts w:hint="cs"/>
          <w:b/>
          <w:bCs/>
          <w:rtl/>
          <w:lang w:bidi="ar-LB"/>
        </w:rPr>
        <w:tab/>
      </w:r>
      <w:r w:rsidR="009C23E0">
        <w:rPr>
          <w:rFonts w:hint="cs"/>
          <w:b/>
          <w:bCs/>
          <w:rtl/>
          <w:lang w:bidi="ar-LB"/>
        </w:rPr>
        <w:br/>
      </w:r>
      <w:r w:rsidRPr="00F32B28">
        <w:rPr>
          <w:b/>
          <w:bCs/>
          <w:rtl/>
          <w:lang w:bidi="ar-LB"/>
        </w:rPr>
        <w:t>المساواة</w:t>
      </w:r>
      <w:r>
        <w:rPr>
          <w:b/>
          <w:bCs/>
          <w:rtl/>
          <w:lang w:bidi="ar-LB"/>
        </w:rPr>
        <w:t xml:space="preserve"> </w:t>
      </w:r>
      <w:r w:rsidRPr="00F32B28">
        <w:rPr>
          <w:b/>
          <w:bCs/>
          <w:rtl/>
          <w:lang w:bidi="ar-LB"/>
        </w:rPr>
        <w:t>في</w:t>
      </w:r>
      <w:r>
        <w:rPr>
          <w:b/>
          <w:bCs/>
          <w:rtl/>
          <w:lang w:bidi="ar-LB"/>
        </w:rPr>
        <w:t xml:space="preserve"> </w:t>
      </w:r>
      <w:r w:rsidRPr="00F32B28">
        <w:rPr>
          <w:b/>
          <w:bCs/>
          <w:rtl/>
          <w:lang w:bidi="ar-LB"/>
        </w:rPr>
        <w:t>الجنسية</w:t>
      </w:r>
    </w:p>
    <w:p w:rsidR="00F32B28" w:rsidRPr="00F32B28" w:rsidRDefault="009C23E0" w:rsidP="009C23E0">
      <w:pPr>
        <w:pStyle w:val="SingleTxt"/>
        <w:rPr>
          <w:rtl/>
        </w:rPr>
      </w:pPr>
      <w:r>
        <w:rPr>
          <w:rFonts w:hint="cs"/>
          <w:rtl/>
        </w:rPr>
        <w:t xml:space="preserve">146 - </w:t>
      </w:r>
      <w:r w:rsidR="00F32B28" w:rsidRPr="00F32B28">
        <w:rPr>
          <w:rtl/>
        </w:rPr>
        <w:t>ترتبط</w:t>
      </w:r>
      <w:r w:rsidR="00F32B28">
        <w:rPr>
          <w:rtl/>
        </w:rPr>
        <w:t xml:space="preserve"> </w:t>
      </w:r>
      <w:r w:rsidR="00F32B28" w:rsidRPr="00F32B28">
        <w:rPr>
          <w:rtl/>
        </w:rPr>
        <w:t>ممارسة</w:t>
      </w:r>
      <w:r w:rsidR="00F32B28">
        <w:rPr>
          <w:rtl/>
        </w:rPr>
        <w:t xml:space="preserve"> </w:t>
      </w:r>
      <w:r w:rsidR="00F32B28" w:rsidRPr="00F32B28">
        <w:rPr>
          <w:rtl/>
        </w:rPr>
        <w:t>الحقوق</w:t>
      </w:r>
      <w:r w:rsidR="00F32B28">
        <w:rPr>
          <w:rtl/>
        </w:rPr>
        <w:t xml:space="preserve"> </w:t>
      </w:r>
      <w:r w:rsidR="00F32B28" w:rsidRPr="00F32B28">
        <w:rPr>
          <w:rtl/>
        </w:rPr>
        <w:t>المترتبة</w:t>
      </w:r>
      <w:r w:rsidR="00F32B28">
        <w:rPr>
          <w:rtl/>
        </w:rPr>
        <w:t xml:space="preserve"> </w:t>
      </w:r>
      <w:r w:rsidR="00F32B28" w:rsidRPr="00F32B28">
        <w:rPr>
          <w:rtl/>
        </w:rPr>
        <w:t>على</w:t>
      </w:r>
      <w:r w:rsidR="00F32B28">
        <w:rPr>
          <w:rtl/>
        </w:rPr>
        <w:t xml:space="preserve"> </w:t>
      </w:r>
      <w:r w:rsidR="00F32B28" w:rsidRPr="00F32B28">
        <w:rPr>
          <w:rtl/>
        </w:rPr>
        <w:t>الجنسية</w:t>
      </w:r>
      <w:r w:rsidR="00F32B28">
        <w:rPr>
          <w:rtl/>
        </w:rPr>
        <w:t xml:space="preserve"> </w:t>
      </w:r>
      <w:r w:rsidR="00F32B28" w:rsidRPr="00F32B28">
        <w:rPr>
          <w:rtl/>
        </w:rPr>
        <w:t>الفلسطينية</w:t>
      </w:r>
      <w:r w:rsidR="00F32B28">
        <w:rPr>
          <w:rtl/>
        </w:rPr>
        <w:t xml:space="preserve"> </w:t>
      </w:r>
      <w:r w:rsidR="00F32B28" w:rsidRPr="00F32B28">
        <w:rPr>
          <w:rtl/>
        </w:rPr>
        <w:t>ارتباطاً</w:t>
      </w:r>
      <w:r w:rsidR="00F32B28">
        <w:rPr>
          <w:rtl/>
        </w:rPr>
        <w:t xml:space="preserve"> </w:t>
      </w:r>
      <w:r w:rsidR="00F32B28" w:rsidRPr="00F32B28">
        <w:rPr>
          <w:rtl/>
        </w:rPr>
        <w:t>وثيقاً</w:t>
      </w:r>
      <w:r w:rsidR="00F32B28">
        <w:rPr>
          <w:rtl/>
        </w:rPr>
        <w:t xml:space="preserve"> </w:t>
      </w:r>
      <w:r w:rsidR="00F32B28" w:rsidRPr="00F32B28">
        <w:rPr>
          <w:rtl/>
        </w:rPr>
        <w:t>بإنهاء</w:t>
      </w:r>
      <w:r w:rsidR="00F32B28">
        <w:rPr>
          <w:rtl/>
        </w:rPr>
        <w:t xml:space="preserve"> </w:t>
      </w:r>
      <w:r w:rsidR="00F32B28" w:rsidRPr="00F32B28">
        <w:rPr>
          <w:rtl/>
        </w:rPr>
        <w:t>الاحتلال،</w:t>
      </w:r>
      <w:r w:rsidR="00F32B28">
        <w:rPr>
          <w:rtl/>
        </w:rPr>
        <w:t xml:space="preserve"> </w:t>
      </w:r>
      <w:r w:rsidR="00F32B28" w:rsidRPr="00F32B28">
        <w:rPr>
          <w:rtl/>
        </w:rPr>
        <w:t>وقد</w:t>
      </w:r>
      <w:r w:rsidR="00F32B28">
        <w:rPr>
          <w:rtl/>
        </w:rPr>
        <w:t xml:space="preserve"> </w:t>
      </w:r>
      <w:r w:rsidR="00F32B28" w:rsidRPr="00F32B28">
        <w:rPr>
          <w:rtl/>
        </w:rPr>
        <w:t>نصت</w:t>
      </w:r>
      <w:r w:rsidR="00F32B28">
        <w:rPr>
          <w:rtl/>
          <w:lang w:bidi="ar-LB"/>
        </w:rPr>
        <w:t xml:space="preserve"> </w:t>
      </w:r>
      <w:r w:rsidR="00F32B28" w:rsidRPr="00F32B28">
        <w:rPr>
          <w:rtl/>
          <w:lang w:bidi="ar-LB"/>
        </w:rPr>
        <w:t>المادة</w:t>
      </w:r>
      <w:r w:rsidR="00F32B28">
        <w:rPr>
          <w:rtl/>
          <w:lang w:bidi="ar-LB"/>
        </w:rPr>
        <w:t xml:space="preserve"> </w:t>
      </w:r>
      <w:r w:rsidR="00F32B28" w:rsidRPr="00F32B28">
        <w:rPr>
          <w:rtl/>
          <w:lang w:bidi="ar-LB"/>
        </w:rPr>
        <w:t>السابعة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القانون</w:t>
      </w:r>
      <w:r w:rsidR="00F32B28">
        <w:rPr>
          <w:rtl/>
          <w:lang w:bidi="ar-LB"/>
        </w:rPr>
        <w:t xml:space="preserve"> </w:t>
      </w:r>
      <w:r w:rsidR="00F32B28" w:rsidRPr="00F32B28">
        <w:rPr>
          <w:rtl/>
          <w:lang w:bidi="ar-LB"/>
        </w:rPr>
        <w:t>الأساسي</w:t>
      </w:r>
      <w:r w:rsidR="00F32B28">
        <w:rPr>
          <w:rtl/>
          <w:lang w:bidi="ar-LB"/>
        </w:rPr>
        <w:t xml:space="preserve"> </w:t>
      </w:r>
      <w:r w:rsidR="00F32B28" w:rsidRPr="00F32B28">
        <w:rPr>
          <w:rtl/>
          <w:lang w:bidi="ar-LB"/>
        </w:rPr>
        <w:t>المعدل</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الجنسية</w:t>
      </w:r>
      <w:r w:rsidR="00F32B28">
        <w:rPr>
          <w:rtl/>
          <w:lang w:bidi="ar-LB"/>
        </w:rPr>
        <w:t xml:space="preserve"> </w:t>
      </w:r>
      <w:r w:rsidR="00F32B28" w:rsidRPr="00F32B28">
        <w:rPr>
          <w:rtl/>
          <w:lang w:bidi="ar-LB"/>
        </w:rPr>
        <w:t>الفلسطينية</w:t>
      </w:r>
      <w:r w:rsidR="00F32B28">
        <w:rPr>
          <w:rtl/>
          <w:lang w:bidi="ar-LB"/>
        </w:rPr>
        <w:t xml:space="preserve"> </w:t>
      </w:r>
      <w:r w:rsidR="00F32B28" w:rsidRPr="00F32B28">
        <w:rPr>
          <w:rtl/>
          <w:lang w:bidi="ar-LB"/>
        </w:rPr>
        <w:t>تنظم</w:t>
      </w:r>
      <w:r w:rsidR="00F32B28">
        <w:rPr>
          <w:rtl/>
          <w:lang w:bidi="ar-LB"/>
        </w:rPr>
        <w:t xml:space="preserve"> </w:t>
      </w:r>
      <w:r w:rsidR="00F32B28" w:rsidRPr="00F32B28">
        <w:rPr>
          <w:rtl/>
          <w:lang w:bidi="ar-LB"/>
        </w:rPr>
        <w:t>بالقانون؛</w:t>
      </w:r>
      <w:r w:rsidR="00F32B28">
        <w:rPr>
          <w:rtl/>
          <w:lang w:bidi="ar-LB"/>
        </w:rPr>
        <w:t xml:space="preserve"> </w:t>
      </w:r>
      <w:r w:rsidR="00F32B28" w:rsidRPr="00F32B28">
        <w:rPr>
          <w:rtl/>
          <w:lang w:bidi="ar-SY"/>
        </w:rPr>
        <w:t>وبسبب</w:t>
      </w:r>
      <w:r w:rsidR="00F32B28">
        <w:rPr>
          <w:rtl/>
          <w:lang w:bidi="ar-SY"/>
        </w:rPr>
        <w:t xml:space="preserve"> </w:t>
      </w:r>
      <w:r w:rsidR="00F32B28" w:rsidRPr="00F32B28">
        <w:rPr>
          <w:rtl/>
          <w:lang w:bidi="ar-SY"/>
        </w:rPr>
        <w:t>عدم</w:t>
      </w:r>
      <w:r w:rsidR="00F32B28">
        <w:rPr>
          <w:rtl/>
          <w:lang w:bidi="ar-SY"/>
        </w:rPr>
        <w:t xml:space="preserve"> </w:t>
      </w:r>
      <w:r w:rsidR="00F32B28" w:rsidRPr="00F32B28">
        <w:rPr>
          <w:rtl/>
          <w:lang w:bidi="ar-SY"/>
        </w:rPr>
        <w:t>تبني</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بعد،</w:t>
      </w:r>
      <w:r w:rsidR="00F32B28">
        <w:rPr>
          <w:rtl/>
          <w:lang w:bidi="ar-SY"/>
        </w:rPr>
        <w:t xml:space="preserve"> </w:t>
      </w:r>
      <w:r w:rsidR="00F32B28" w:rsidRPr="00F32B28">
        <w:rPr>
          <w:rtl/>
        </w:rPr>
        <w:t>وكما</w:t>
      </w:r>
      <w:r w:rsidR="00F32B28">
        <w:rPr>
          <w:rtl/>
        </w:rPr>
        <w:t xml:space="preserve"> </w:t>
      </w:r>
      <w:r w:rsidR="00F32B28" w:rsidRPr="00F32B28">
        <w:rPr>
          <w:rtl/>
        </w:rPr>
        <w:t>تم</w:t>
      </w:r>
      <w:r w:rsidR="00F32B28">
        <w:rPr>
          <w:rtl/>
        </w:rPr>
        <w:t xml:space="preserve"> </w:t>
      </w:r>
      <w:r w:rsidR="00F32B28" w:rsidRPr="00F32B28">
        <w:rPr>
          <w:rtl/>
        </w:rPr>
        <w:t>بيانه</w:t>
      </w:r>
      <w:r w:rsidR="00F32B28">
        <w:rPr>
          <w:rtl/>
        </w:rPr>
        <w:t xml:space="preserve"> </w:t>
      </w:r>
      <w:r w:rsidR="00F32B28" w:rsidRPr="00F32B28">
        <w:rPr>
          <w:rtl/>
        </w:rPr>
        <w:t>في</w:t>
      </w:r>
      <w:r w:rsidR="00F32B28">
        <w:rPr>
          <w:rtl/>
        </w:rPr>
        <w:t xml:space="preserve"> </w:t>
      </w:r>
      <w:r w:rsidR="00F32B28" w:rsidRPr="00F32B28">
        <w:rPr>
          <w:rtl/>
        </w:rPr>
        <w:t>الوثيقة</w:t>
      </w:r>
      <w:r w:rsidR="00F32B28">
        <w:rPr>
          <w:rtl/>
        </w:rPr>
        <w:t xml:space="preserve"> </w:t>
      </w:r>
      <w:r w:rsidR="00F32B28" w:rsidRPr="00F32B28">
        <w:rPr>
          <w:rtl/>
        </w:rPr>
        <w:t>الأساسية</w:t>
      </w:r>
      <w:r w:rsidR="00F32B28">
        <w:rPr>
          <w:rtl/>
        </w:rPr>
        <w:t xml:space="preserve"> </w:t>
      </w:r>
      <w:r w:rsidR="00F32B28" w:rsidRPr="00F32B28">
        <w:rPr>
          <w:rtl/>
        </w:rPr>
        <w:t>المشتركة،</w:t>
      </w:r>
      <w:r w:rsidR="00F32B28" w:rsidRPr="00F32B28">
        <w:rPr>
          <w:rtl/>
          <w:lang w:bidi="ar-SY"/>
        </w:rPr>
        <w:t>ما</w:t>
      </w:r>
      <w:r w:rsidR="00F32B28">
        <w:rPr>
          <w:rtl/>
          <w:lang w:bidi="ar-SY"/>
        </w:rPr>
        <w:t xml:space="preserve"> </w:t>
      </w:r>
      <w:r w:rsidR="00F32B28" w:rsidRPr="00F32B28">
        <w:rPr>
          <w:rtl/>
          <w:lang w:bidi="ar-SY"/>
        </w:rPr>
        <w:t>يزال</w:t>
      </w:r>
      <w:r w:rsidR="00F32B28">
        <w:rPr>
          <w:rtl/>
          <w:lang w:bidi="ar-SY"/>
        </w:rPr>
        <w:t xml:space="preserve"> </w:t>
      </w:r>
      <w:r w:rsidR="00F32B28" w:rsidRPr="00F32B28">
        <w:rPr>
          <w:rtl/>
          <w:lang w:bidi="ar-SY"/>
        </w:rPr>
        <w:t>موضوع</w:t>
      </w:r>
      <w:r w:rsidR="00F32B28">
        <w:rPr>
          <w:rtl/>
          <w:lang w:bidi="ar-SY"/>
        </w:rPr>
        <w:t xml:space="preserve"> </w:t>
      </w:r>
      <w:r w:rsidR="00F32B28" w:rsidRPr="00F32B28">
        <w:rPr>
          <w:rtl/>
          <w:lang w:bidi="ar-SY"/>
        </w:rPr>
        <w:t>الجنسية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يُنظم</w:t>
      </w:r>
      <w:r w:rsidR="00F32B28">
        <w:rPr>
          <w:rtl/>
          <w:lang w:bidi="ar-SY"/>
        </w:rPr>
        <w:t xml:space="preserve"> </w:t>
      </w:r>
      <w:r w:rsidR="00F32B28" w:rsidRPr="00F32B28">
        <w:rPr>
          <w:rtl/>
          <w:lang w:bidi="ar-LB"/>
        </w:rPr>
        <w:t>بموجب</w:t>
      </w:r>
      <w:r w:rsidR="00F32B28">
        <w:rPr>
          <w:rtl/>
          <w:lang w:bidi="ar-LB"/>
        </w:rPr>
        <w:t xml:space="preserve"> </w:t>
      </w:r>
      <w:r w:rsidR="00F32B28" w:rsidRPr="00F32B28">
        <w:rPr>
          <w:rtl/>
          <w:lang w:bidi="ar-LB"/>
        </w:rPr>
        <w:t>جملة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التشريعات،</w:t>
      </w:r>
      <w:r w:rsidR="00F32B28">
        <w:rPr>
          <w:rtl/>
          <w:lang w:bidi="ar-LB"/>
        </w:rPr>
        <w:t xml:space="preserve"> </w:t>
      </w:r>
      <w:r w:rsidR="00F32B28" w:rsidRPr="00F32B28">
        <w:rPr>
          <w:rtl/>
          <w:lang w:bidi="ar-LB"/>
        </w:rPr>
        <w:t>هي؛</w:t>
      </w:r>
      <w:r w:rsidR="00F32B28">
        <w:rPr>
          <w:rtl/>
          <w:lang w:bidi="ar-LB"/>
        </w:rPr>
        <w:t xml:space="preserve"> </w:t>
      </w:r>
      <w:r w:rsidR="00F32B28" w:rsidRPr="00F32B28">
        <w:rPr>
          <w:rtl/>
          <w:lang w:bidi="ar-LB"/>
        </w:rPr>
        <w:t>قانون</w:t>
      </w:r>
      <w:r w:rsidR="00F32B28">
        <w:rPr>
          <w:rtl/>
          <w:lang w:bidi="ar-LB"/>
        </w:rPr>
        <w:t xml:space="preserve"> </w:t>
      </w:r>
      <w:r w:rsidR="00F32B28" w:rsidRPr="00F32B28">
        <w:rPr>
          <w:rtl/>
          <w:lang w:bidi="ar-LB"/>
        </w:rPr>
        <w:t>الأحوال</w:t>
      </w:r>
      <w:r w:rsidR="00F32B28">
        <w:rPr>
          <w:rtl/>
          <w:lang w:bidi="ar-LB"/>
        </w:rPr>
        <w:t xml:space="preserve"> </w:t>
      </w:r>
      <w:r w:rsidR="00F32B28" w:rsidRPr="00F32B28">
        <w:rPr>
          <w:rtl/>
          <w:lang w:bidi="ar-LB"/>
        </w:rPr>
        <w:t>المدنية</w:t>
      </w:r>
      <w:r w:rsidR="00F32B28">
        <w:rPr>
          <w:rtl/>
          <w:lang w:bidi="ar-LB"/>
        </w:rPr>
        <w:t xml:space="preserve"> </w:t>
      </w:r>
      <w:r w:rsidR="00F32B28" w:rsidRPr="00F32B28">
        <w:rPr>
          <w:rtl/>
          <w:lang w:bidi="ar-LB"/>
        </w:rPr>
        <w:t>الفلسطيني</w:t>
      </w:r>
      <w:r w:rsidR="00F32B28">
        <w:rPr>
          <w:rtl/>
          <w:lang w:bidi="ar-LB"/>
        </w:rPr>
        <w:t xml:space="preserve"> </w:t>
      </w:r>
      <w:r w:rsidR="00F32B28" w:rsidRPr="00F32B28">
        <w:rPr>
          <w:rtl/>
          <w:lang w:bidi="ar-LB"/>
        </w:rPr>
        <w:t>لسنة</w:t>
      </w:r>
      <w:r w:rsidR="00F32B28">
        <w:rPr>
          <w:rtl/>
          <w:lang w:bidi="ar-LB"/>
        </w:rPr>
        <w:t xml:space="preserve"> </w:t>
      </w:r>
      <w:r w:rsidR="00F32B28" w:rsidRPr="00F32B28">
        <w:rPr>
          <w:rtl/>
          <w:lang w:bidi="ar-LB"/>
        </w:rPr>
        <w:t>1999،</w:t>
      </w:r>
      <w:r w:rsidR="00F32B28">
        <w:rPr>
          <w:rtl/>
          <w:lang w:bidi="ar-LB"/>
        </w:rPr>
        <w:t xml:space="preserve"> </w:t>
      </w:r>
      <w:r w:rsidR="00F32B28" w:rsidRPr="00F32B28">
        <w:rPr>
          <w:rtl/>
          <w:lang w:bidi="ar-LB"/>
        </w:rPr>
        <w:t>و</w:t>
      </w:r>
      <w:r w:rsidR="00F32B28" w:rsidRPr="00F32B28">
        <w:rPr>
          <w:rtl/>
        </w:rPr>
        <w:t>الأوامر</w:t>
      </w:r>
      <w:r w:rsidR="00F32B28">
        <w:rPr>
          <w:rtl/>
        </w:rPr>
        <w:t xml:space="preserve"> </w:t>
      </w:r>
      <w:r w:rsidR="00F32B28" w:rsidRPr="00F32B28">
        <w:rPr>
          <w:rtl/>
        </w:rPr>
        <w:t>العسكرية</w:t>
      </w:r>
      <w:r w:rsidR="00F32B28">
        <w:rPr>
          <w:rtl/>
        </w:rPr>
        <w:t xml:space="preserve"> </w:t>
      </w:r>
      <w:r w:rsidR="00F32B28" w:rsidRPr="00F32B28">
        <w:rPr>
          <w:rtl/>
        </w:rPr>
        <w:t>التي</w:t>
      </w:r>
      <w:r w:rsidR="00F32B28">
        <w:rPr>
          <w:rtl/>
        </w:rPr>
        <w:t xml:space="preserve"> </w:t>
      </w:r>
      <w:r w:rsidR="00F32B28" w:rsidRPr="00F32B28">
        <w:rPr>
          <w:rtl/>
        </w:rPr>
        <w:t>أصدرتها</w:t>
      </w:r>
      <w:r w:rsidR="00F32B28">
        <w:rPr>
          <w:rtl/>
        </w:rPr>
        <w:t xml:space="preserve"> </w:t>
      </w:r>
      <w:r w:rsidR="00F32B28" w:rsidRPr="00F32B28">
        <w:rPr>
          <w:rtl/>
        </w:rPr>
        <w:t>سلطات</w:t>
      </w:r>
      <w:r w:rsidR="00F32B28">
        <w:rPr>
          <w:rtl/>
        </w:rPr>
        <w:t xml:space="preserve"> </w:t>
      </w:r>
      <w:r w:rsidR="00F32B28" w:rsidRPr="00F32B28">
        <w:rPr>
          <w:rtl/>
        </w:rPr>
        <w:t>الاحـتلال</w:t>
      </w:r>
      <w:r w:rsidR="00F32B28">
        <w:rPr>
          <w:rtl/>
        </w:rPr>
        <w:t xml:space="preserve"> </w:t>
      </w:r>
      <w:r w:rsidR="00F32B28" w:rsidRPr="00F32B28">
        <w:rPr>
          <w:rtl/>
        </w:rPr>
        <w:t>العسـكري،</w:t>
      </w:r>
      <w:r w:rsidR="00F32B28">
        <w:rPr>
          <w:rtl/>
        </w:rPr>
        <w:t xml:space="preserve"> </w:t>
      </w:r>
      <w:r w:rsidR="00F32B28" w:rsidRPr="00F32B28">
        <w:rPr>
          <w:rtl/>
        </w:rPr>
        <w:t>وبعض</w:t>
      </w:r>
      <w:r w:rsidR="00F32B28">
        <w:rPr>
          <w:rtl/>
        </w:rPr>
        <w:t xml:space="preserve"> </w:t>
      </w:r>
      <w:r w:rsidR="00F32B28" w:rsidRPr="00F32B28">
        <w:rPr>
          <w:rtl/>
        </w:rPr>
        <w:t>أحكام</w:t>
      </w:r>
      <w:r w:rsidR="00F32B28">
        <w:rPr>
          <w:rtl/>
        </w:rPr>
        <w:t xml:space="preserve"> </w:t>
      </w:r>
      <w:r w:rsidR="00F32B28" w:rsidRPr="00F32B28">
        <w:rPr>
          <w:rtl/>
        </w:rPr>
        <w:t>مراسيم</w:t>
      </w:r>
      <w:r w:rsidR="00F32B28">
        <w:rPr>
          <w:rtl/>
        </w:rPr>
        <w:t xml:space="preserve"> </w:t>
      </w:r>
      <w:r w:rsidR="00F32B28" w:rsidRPr="00F32B28">
        <w:rPr>
          <w:rtl/>
        </w:rPr>
        <w:t>الجنسية</w:t>
      </w:r>
      <w:r w:rsidR="00F32B28">
        <w:rPr>
          <w:rtl/>
        </w:rPr>
        <w:t xml:space="preserve"> </w:t>
      </w:r>
      <w:r w:rsidR="00F32B28" w:rsidRPr="00F32B28">
        <w:rPr>
          <w:rtl/>
        </w:rPr>
        <w:t>الفلسطينية</w:t>
      </w:r>
      <w:r w:rsidR="00F32B28">
        <w:rPr>
          <w:rtl/>
        </w:rPr>
        <w:t xml:space="preserve"> </w:t>
      </w:r>
      <w:r w:rsidR="00F32B28" w:rsidRPr="00F32B28">
        <w:rPr>
          <w:rtl/>
        </w:rPr>
        <w:t>الموحدة</w:t>
      </w:r>
      <w:r w:rsidR="00F32B28">
        <w:rPr>
          <w:rtl/>
        </w:rPr>
        <w:t xml:space="preserve"> </w:t>
      </w:r>
      <w:r w:rsidR="00F32B28" w:rsidRPr="00F32B28">
        <w:rPr>
          <w:rtl/>
        </w:rPr>
        <w:t>الصادرة</w:t>
      </w:r>
      <w:r w:rsidR="00F32B28">
        <w:rPr>
          <w:rtl/>
        </w:rPr>
        <w:t xml:space="preserve"> </w:t>
      </w:r>
      <w:r w:rsidR="00F32B28" w:rsidRPr="00F32B28">
        <w:rPr>
          <w:rtl/>
        </w:rPr>
        <w:t>في</w:t>
      </w:r>
      <w:r w:rsidR="00F32B28">
        <w:rPr>
          <w:rtl/>
        </w:rPr>
        <w:t xml:space="preserve"> </w:t>
      </w:r>
      <w:r w:rsidR="00F32B28" w:rsidRPr="00F32B28">
        <w:rPr>
          <w:rtl/>
        </w:rPr>
        <w:t>زمن</w:t>
      </w:r>
      <w:r w:rsidR="00F32B28">
        <w:rPr>
          <w:rtl/>
        </w:rPr>
        <w:t xml:space="preserve"> </w:t>
      </w:r>
      <w:r w:rsidR="00F32B28" w:rsidRPr="00F32B28">
        <w:rPr>
          <w:rtl/>
        </w:rPr>
        <w:t>الانتداب</w:t>
      </w:r>
      <w:r w:rsidR="00F32B28">
        <w:rPr>
          <w:rtl/>
        </w:rPr>
        <w:t xml:space="preserve"> </w:t>
      </w:r>
      <w:r w:rsidR="00F32B28" w:rsidRPr="00F32B28">
        <w:rPr>
          <w:rtl/>
        </w:rPr>
        <w:t>البريطاني</w:t>
      </w:r>
      <w:r w:rsidR="00F32B28">
        <w:rPr>
          <w:rtl/>
        </w:rPr>
        <w:t xml:space="preserve"> </w:t>
      </w:r>
      <w:r w:rsidR="00F32B28" w:rsidRPr="00F32B28">
        <w:rPr>
          <w:rtl/>
        </w:rPr>
        <w:t>لعام</w:t>
      </w:r>
      <w:r w:rsidR="00F32B28">
        <w:rPr>
          <w:rtl/>
        </w:rPr>
        <w:t xml:space="preserve"> </w:t>
      </w:r>
      <w:r w:rsidR="00F32B28" w:rsidRPr="00F32B28">
        <w:rPr>
          <w:rtl/>
        </w:rPr>
        <w:t>1925</w:t>
      </w:r>
      <w:r w:rsidR="00F32B28">
        <w:rPr>
          <w:rtl/>
        </w:rPr>
        <w:t xml:space="preserve"> </w:t>
      </w:r>
      <w:r w:rsidR="00F32B28" w:rsidRPr="00F32B28">
        <w:rPr>
          <w:rtl/>
        </w:rPr>
        <w:t>وقانون</w:t>
      </w:r>
      <w:r w:rsidR="00F32B28">
        <w:rPr>
          <w:rtl/>
        </w:rPr>
        <w:t xml:space="preserve"> </w:t>
      </w:r>
      <w:r w:rsidR="00F32B28" w:rsidRPr="00F32B28">
        <w:rPr>
          <w:rtl/>
        </w:rPr>
        <w:t>الجنسية</w:t>
      </w:r>
      <w:r w:rsidR="00F32B28">
        <w:rPr>
          <w:rtl/>
        </w:rPr>
        <w:t xml:space="preserve"> </w:t>
      </w:r>
      <w:r w:rsidR="00F32B28" w:rsidRPr="00F32B28">
        <w:rPr>
          <w:rtl/>
        </w:rPr>
        <w:t>الأردني</w:t>
      </w:r>
      <w:r w:rsidR="00F32B28">
        <w:rPr>
          <w:rtl/>
        </w:rPr>
        <w:t xml:space="preserve"> </w:t>
      </w:r>
      <w:r w:rsidR="00F32B28" w:rsidRPr="00F32B28">
        <w:rPr>
          <w:rtl/>
        </w:rPr>
        <w:t>لسنة</w:t>
      </w:r>
      <w:r w:rsidR="00F32B28">
        <w:rPr>
          <w:rtl/>
        </w:rPr>
        <w:t xml:space="preserve"> </w:t>
      </w:r>
      <w:r w:rsidR="00F32B28" w:rsidRPr="00F32B28">
        <w:rPr>
          <w:rtl/>
        </w:rPr>
        <w:t>1954</w:t>
      </w:r>
      <w:r w:rsidR="00F32B28">
        <w:rPr>
          <w:rtl/>
        </w:rPr>
        <w:t xml:space="preserve"> </w:t>
      </w:r>
      <w:r w:rsidR="00F32B28" w:rsidRPr="00F32B28">
        <w:rPr>
          <w:rtl/>
        </w:rPr>
        <w:t>وتعديلاته،</w:t>
      </w:r>
      <w:r w:rsidR="00F32B28">
        <w:rPr>
          <w:rtl/>
        </w:rPr>
        <w:t xml:space="preserve"> </w:t>
      </w:r>
      <w:r w:rsidR="00F32B28" w:rsidRPr="00F32B28">
        <w:rPr>
          <w:rtl/>
        </w:rPr>
        <w:t>وبعض</w:t>
      </w:r>
      <w:r w:rsidR="00F32B28">
        <w:rPr>
          <w:rtl/>
        </w:rPr>
        <w:t xml:space="preserve"> </w:t>
      </w:r>
      <w:r w:rsidR="00F32B28" w:rsidRPr="00F32B28">
        <w:rPr>
          <w:rtl/>
        </w:rPr>
        <w:t>التعميمات</w:t>
      </w:r>
      <w:r w:rsidR="00F32B28">
        <w:rPr>
          <w:rtl/>
        </w:rPr>
        <w:t xml:space="preserve"> </w:t>
      </w:r>
      <w:r w:rsidR="00F32B28" w:rsidRPr="00F32B28">
        <w:rPr>
          <w:rtl/>
        </w:rPr>
        <w:t>ذات</w:t>
      </w:r>
      <w:r w:rsidR="00F32B28">
        <w:rPr>
          <w:rtl/>
        </w:rPr>
        <w:t xml:space="preserve"> </w:t>
      </w:r>
      <w:r w:rsidR="00F32B28" w:rsidRPr="00F32B28">
        <w:rPr>
          <w:rtl/>
        </w:rPr>
        <w:t>العلاقة</w:t>
      </w:r>
      <w:r w:rsidR="00F32B28">
        <w:rPr>
          <w:rtl/>
        </w:rPr>
        <w:t xml:space="preserve"> </w:t>
      </w:r>
      <w:r w:rsidR="00F32B28" w:rsidRPr="00F32B28">
        <w:rPr>
          <w:rtl/>
        </w:rPr>
        <w:t>التي</w:t>
      </w:r>
      <w:r w:rsidR="00F32B28">
        <w:rPr>
          <w:rtl/>
        </w:rPr>
        <w:t xml:space="preserve"> </w:t>
      </w:r>
      <w:r w:rsidR="00F32B28" w:rsidRPr="00F32B28">
        <w:rPr>
          <w:rtl/>
        </w:rPr>
        <w:t>صدرت</w:t>
      </w:r>
      <w:r w:rsidR="00F32B28">
        <w:rPr>
          <w:rtl/>
        </w:rPr>
        <w:t xml:space="preserve"> </w:t>
      </w:r>
      <w:r w:rsidR="00F32B28" w:rsidRPr="00F32B28">
        <w:rPr>
          <w:rtl/>
        </w:rPr>
        <w:t>مؤخراً</w:t>
      </w:r>
      <w:r w:rsidR="00F32B28">
        <w:rPr>
          <w:rtl/>
        </w:rPr>
        <w:t xml:space="preserve"> </w:t>
      </w:r>
      <w:r w:rsidR="00F32B28" w:rsidRPr="00F32B28">
        <w:rPr>
          <w:rtl/>
        </w:rPr>
        <w:t>عن</w:t>
      </w:r>
      <w:r w:rsidR="00F32B28">
        <w:rPr>
          <w:rtl/>
        </w:rPr>
        <w:t xml:space="preserve"> </w:t>
      </w:r>
      <w:r w:rsidR="00F32B28" w:rsidRPr="00F32B28">
        <w:rPr>
          <w:rtl/>
        </w:rPr>
        <w:t>وزارة</w:t>
      </w:r>
      <w:r w:rsidR="00F32B28">
        <w:rPr>
          <w:rtl/>
        </w:rPr>
        <w:t xml:space="preserve"> </w:t>
      </w:r>
      <w:r w:rsidR="00F32B28" w:rsidRPr="00F32B28">
        <w:rPr>
          <w:rtl/>
        </w:rPr>
        <w:t>الداخلية</w:t>
      </w:r>
      <w:r w:rsidR="00F32B28">
        <w:rPr>
          <w:rtl/>
        </w:rPr>
        <w:t xml:space="preserve"> </w:t>
      </w:r>
      <w:r w:rsidR="00F32B28" w:rsidRPr="00F32B28">
        <w:rPr>
          <w:rtl/>
        </w:rPr>
        <w:t>الفلسطينية،</w:t>
      </w:r>
      <w:r w:rsidR="00F32B28">
        <w:rPr>
          <w:rtl/>
        </w:rPr>
        <w:t xml:space="preserve"> </w:t>
      </w:r>
      <w:r w:rsidR="00F32B28" w:rsidRPr="00F32B28">
        <w:rPr>
          <w:rtl/>
        </w:rPr>
        <w:t>وذلك</w:t>
      </w:r>
      <w:r w:rsidR="00F32B28">
        <w:rPr>
          <w:rtl/>
        </w:rPr>
        <w:t xml:space="preserve"> </w:t>
      </w:r>
      <w:r w:rsidR="00F32B28" w:rsidRPr="00F32B28">
        <w:rPr>
          <w:rtl/>
        </w:rPr>
        <w:t>فيما</w:t>
      </w:r>
      <w:r w:rsidR="00F32B28">
        <w:rPr>
          <w:rtl/>
        </w:rPr>
        <w:t xml:space="preserve"> </w:t>
      </w:r>
      <w:r w:rsidR="00F32B28" w:rsidRPr="00F32B28">
        <w:rPr>
          <w:rtl/>
        </w:rPr>
        <w:t>يخص</w:t>
      </w:r>
      <w:r w:rsidR="00F32B28">
        <w:rPr>
          <w:rtl/>
        </w:rPr>
        <w:t xml:space="preserve"> </w:t>
      </w:r>
      <w:r w:rsidR="00F32B28" w:rsidRPr="00F32B28">
        <w:rPr>
          <w:rtl/>
        </w:rPr>
        <w:t>النساء</w:t>
      </w:r>
      <w:r w:rsidR="00F32B28">
        <w:rPr>
          <w:rtl/>
        </w:rPr>
        <w:t xml:space="preserve"> </w:t>
      </w:r>
      <w:r w:rsidR="00F32B28" w:rsidRPr="00F32B28">
        <w:rPr>
          <w:rtl/>
        </w:rPr>
        <w:t>الفلسطينيات</w:t>
      </w:r>
      <w:r w:rsidR="00F32B28">
        <w:rPr>
          <w:rtl/>
        </w:rPr>
        <w:t xml:space="preserve"> </w:t>
      </w:r>
      <w:r w:rsidR="00F32B28" w:rsidRPr="00F32B28">
        <w:rPr>
          <w:rtl/>
        </w:rPr>
        <w:t>المقيمات</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المحتلة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وقطاع</w:t>
      </w:r>
      <w:r w:rsidR="00F32B28">
        <w:rPr>
          <w:rtl/>
        </w:rPr>
        <w:t xml:space="preserve"> </w:t>
      </w:r>
      <w:r w:rsidR="00F32B28" w:rsidRPr="00F32B28">
        <w:rPr>
          <w:rtl/>
        </w:rPr>
        <w:t>غزة</w:t>
      </w:r>
      <w:r w:rsidR="00F32B28">
        <w:rPr>
          <w:rtl/>
        </w:rPr>
        <w:t xml:space="preserve"> </w:t>
      </w:r>
      <w:r w:rsidR="00F32B28" w:rsidRPr="00F32B28">
        <w:rPr>
          <w:rtl/>
        </w:rPr>
        <w:t>أو</w:t>
      </w:r>
      <w:r w:rsidR="00F32B28">
        <w:rPr>
          <w:rtl/>
        </w:rPr>
        <w:t xml:space="preserve"> </w:t>
      </w:r>
      <w:r w:rsidR="00F32B28" w:rsidRPr="00F32B28">
        <w:rPr>
          <w:rtl/>
        </w:rPr>
        <w:t>اللواتي</w:t>
      </w:r>
      <w:r w:rsidR="00F32B28">
        <w:rPr>
          <w:rtl/>
        </w:rPr>
        <w:t xml:space="preserve"> </w:t>
      </w:r>
      <w:r w:rsidR="00F32B28" w:rsidRPr="00F32B28">
        <w:rPr>
          <w:rtl/>
        </w:rPr>
        <w:t>لهن</w:t>
      </w:r>
      <w:r w:rsidR="00F32B28">
        <w:rPr>
          <w:rtl/>
        </w:rPr>
        <w:t xml:space="preserve"> </w:t>
      </w:r>
      <w:r w:rsidR="00F32B28" w:rsidRPr="00F32B28">
        <w:rPr>
          <w:rtl/>
        </w:rPr>
        <w:t>حق</w:t>
      </w:r>
      <w:r w:rsidR="00F32B28">
        <w:rPr>
          <w:rtl/>
        </w:rPr>
        <w:t xml:space="preserve"> </w:t>
      </w:r>
      <w:r w:rsidR="00F32B28" w:rsidRPr="00F32B28">
        <w:rPr>
          <w:rtl/>
        </w:rPr>
        <w:t>الإقامة</w:t>
      </w:r>
      <w:r w:rsidR="00F32B28">
        <w:rPr>
          <w:rtl/>
        </w:rPr>
        <w:t xml:space="preserve"> </w:t>
      </w:r>
      <w:r w:rsidR="00F32B28" w:rsidRPr="00F32B28">
        <w:rPr>
          <w:rtl/>
        </w:rPr>
        <w:t>فيها،</w:t>
      </w:r>
      <w:r w:rsidR="00F32B28">
        <w:rPr>
          <w:rtl/>
        </w:rPr>
        <w:t xml:space="preserve"> </w:t>
      </w:r>
      <w:r w:rsidR="00F32B28" w:rsidRPr="00F32B28">
        <w:rPr>
          <w:rtl/>
        </w:rPr>
        <w:t>والقوانين</w:t>
      </w:r>
      <w:r w:rsidR="00F32B28">
        <w:rPr>
          <w:rtl/>
        </w:rPr>
        <w:t xml:space="preserve"> </w:t>
      </w:r>
      <w:r w:rsidR="00F32B28" w:rsidRPr="00F32B28">
        <w:rPr>
          <w:rtl/>
        </w:rPr>
        <w:t>الإسرائيلية</w:t>
      </w:r>
      <w:r w:rsidR="00F32B28">
        <w:rPr>
          <w:rtl/>
        </w:rPr>
        <w:t xml:space="preserve"> </w:t>
      </w:r>
      <w:r w:rsidR="00F32B28" w:rsidRPr="00F32B28">
        <w:rPr>
          <w:rtl/>
        </w:rPr>
        <w:t>العنصرية</w:t>
      </w:r>
      <w:r w:rsidR="00F32B28">
        <w:rPr>
          <w:rtl/>
        </w:rPr>
        <w:t xml:space="preserve"> </w:t>
      </w:r>
      <w:r w:rsidR="00F32B28" w:rsidRPr="00F32B28">
        <w:rPr>
          <w:rtl/>
        </w:rPr>
        <w:t>فيما</w:t>
      </w:r>
      <w:r w:rsidR="00F32B28">
        <w:rPr>
          <w:rtl/>
        </w:rPr>
        <w:t xml:space="preserve"> </w:t>
      </w:r>
      <w:r w:rsidR="00F32B28" w:rsidRPr="00F32B28">
        <w:rPr>
          <w:rtl/>
        </w:rPr>
        <w:t>يخص</w:t>
      </w:r>
      <w:r w:rsidR="00F32B28">
        <w:rPr>
          <w:rtl/>
        </w:rPr>
        <w:t xml:space="preserve"> </w:t>
      </w:r>
      <w:r w:rsidR="00F32B28" w:rsidRPr="00F32B28">
        <w:rPr>
          <w:rtl/>
        </w:rPr>
        <w:t>النساء</w:t>
      </w:r>
      <w:r w:rsidR="00F32B28">
        <w:rPr>
          <w:rtl/>
        </w:rPr>
        <w:t xml:space="preserve"> </w:t>
      </w:r>
      <w:r w:rsidR="00F32B28" w:rsidRPr="00F32B28">
        <w:rPr>
          <w:rtl/>
        </w:rPr>
        <w:t>المقيمات</w:t>
      </w:r>
      <w:r w:rsidR="00F32B28">
        <w:rPr>
          <w:rtl/>
        </w:rPr>
        <w:t xml:space="preserve"> </w:t>
      </w:r>
      <w:r w:rsidR="00F32B28" w:rsidRPr="00F32B28">
        <w:rPr>
          <w:rtl/>
        </w:rPr>
        <w:t>في</w:t>
      </w:r>
      <w:r w:rsidR="00F32B28">
        <w:rPr>
          <w:rtl/>
        </w:rPr>
        <w:t xml:space="preserve"> </w:t>
      </w:r>
      <w:r w:rsidR="00F32B28" w:rsidRPr="00F32B28">
        <w:rPr>
          <w:rtl/>
        </w:rPr>
        <w:t>القدس</w:t>
      </w:r>
      <w:r w:rsidR="00F32B28">
        <w:rPr>
          <w:rtl/>
        </w:rPr>
        <w:t xml:space="preserve"> </w:t>
      </w:r>
      <w:r w:rsidR="00F32B28" w:rsidRPr="00F32B28">
        <w:rPr>
          <w:rtl/>
        </w:rPr>
        <w:t>الشرقية.</w:t>
      </w:r>
      <w:r w:rsidR="00F32B28">
        <w:rPr>
          <w:rtl/>
        </w:rPr>
        <w:t xml:space="preserve"> </w:t>
      </w:r>
    </w:p>
    <w:p w:rsidR="009C23E0" w:rsidRPr="009C23E0" w:rsidRDefault="009C23E0" w:rsidP="009C23E0">
      <w:pPr>
        <w:pStyle w:val="SingleTxt"/>
        <w:spacing w:after="0" w:line="120" w:lineRule="exact"/>
        <w:rPr>
          <w:b/>
          <w:bCs/>
          <w:sz w:val="10"/>
          <w:rtl/>
        </w:rPr>
      </w:pPr>
    </w:p>
    <w:p w:rsidR="00F32B28" w:rsidRPr="00D225D0" w:rsidRDefault="00F32B28" w:rsidP="00D225D0">
      <w:pPr>
        <w:pStyle w:val="SingleTxt"/>
        <w:rPr>
          <w:b/>
          <w:bCs/>
          <w:rtl/>
        </w:rPr>
      </w:pPr>
      <w:r w:rsidRPr="00D225D0">
        <w:rPr>
          <w:b/>
          <w:bCs/>
          <w:rtl/>
        </w:rPr>
        <w:t>النساء الفلسطينيات المقيمات في دولة فلسطين المحتلة باستثناء القدس الشرقية</w:t>
      </w:r>
    </w:p>
    <w:p w:rsidR="00F32B28" w:rsidRPr="00F32B28" w:rsidRDefault="009C23E0" w:rsidP="009C23E0">
      <w:pPr>
        <w:pStyle w:val="SingleTxt"/>
        <w:rPr>
          <w:rtl/>
          <w:lang w:bidi="ar-LB"/>
        </w:rPr>
      </w:pPr>
      <w:r>
        <w:rPr>
          <w:rFonts w:hint="cs"/>
          <w:rtl/>
          <w:lang w:bidi="ar-LB"/>
        </w:rPr>
        <w:t xml:space="preserve">147 - </w:t>
      </w:r>
      <w:r w:rsidR="00F32B28" w:rsidRPr="00F32B28">
        <w:rPr>
          <w:rtl/>
          <w:lang w:bidi="ar-LB"/>
        </w:rPr>
        <w:t>تتمتع</w:t>
      </w:r>
      <w:r w:rsidR="00F32B28">
        <w:rPr>
          <w:rtl/>
          <w:lang w:bidi="ar-LB"/>
        </w:rPr>
        <w:t xml:space="preserve"> </w:t>
      </w:r>
      <w:r w:rsidR="00F32B28" w:rsidRPr="00F32B28">
        <w:rPr>
          <w:rtl/>
          <w:lang w:bidi="ar-LB"/>
        </w:rPr>
        <w:t>هؤلاء</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بموجب</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هو</w:t>
      </w:r>
      <w:r w:rsidR="00F32B28">
        <w:rPr>
          <w:rtl/>
          <w:lang w:bidi="ar-LB"/>
        </w:rPr>
        <w:t xml:space="preserve"> </w:t>
      </w:r>
      <w:r w:rsidR="00F32B28" w:rsidRPr="00F32B28">
        <w:rPr>
          <w:rtl/>
          <w:lang w:bidi="ar-LB"/>
        </w:rPr>
        <w:t>ساري</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المنظومة</w:t>
      </w:r>
      <w:r w:rsidR="00F32B28">
        <w:rPr>
          <w:rtl/>
          <w:lang w:bidi="ar-LB"/>
        </w:rPr>
        <w:t xml:space="preserve"> </w:t>
      </w:r>
      <w:r w:rsidR="00F32B28" w:rsidRPr="00F32B28">
        <w:rPr>
          <w:rtl/>
          <w:lang w:bidi="ar-LB"/>
        </w:rPr>
        <w:t>التشريعية</w:t>
      </w:r>
      <w:r w:rsidR="00F32B28">
        <w:rPr>
          <w:rtl/>
          <w:lang w:bidi="ar-LB"/>
        </w:rPr>
        <w:t xml:space="preserve"> </w:t>
      </w:r>
      <w:r w:rsidR="00F32B28" w:rsidRPr="00F32B28">
        <w:rPr>
          <w:rtl/>
          <w:lang w:bidi="ar-LB"/>
        </w:rPr>
        <w:t>المذكورة،</w:t>
      </w:r>
      <w:r w:rsidR="00F32B28">
        <w:rPr>
          <w:rtl/>
          <w:lang w:bidi="ar-LB"/>
        </w:rPr>
        <w:t xml:space="preserve"> </w:t>
      </w:r>
      <w:r w:rsidR="00F32B28" w:rsidRPr="00F32B28">
        <w:rPr>
          <w:rtl/>
          <w:lang w:bidi="ar-LB"/>
        </w:rPr>
        <w:t>بحق</w:t>
      </w:r>
      <w:r w:rsidR="00F32B28">
        <w:rPr>
          <w:rtl/>
          <w:lang w:bidi="ar-LB"/>
        </w:rPr>
        <w:t xml:space="preserve"> </w:t>
      </w:r>
      <w:r w:rsidR="00F32B28" w:rsidRPr="00F32B28">
        <w:rPr>
          <w:rtl/>
          <w:lang w:bidi="ar-LB"/>
        </w:rPr>
        <w:t>متساوٍ</w:t>
      </w:r>
      <w:r w:rsidR="00F32B28">
        <w:rPr>
          <w:rtl/>
          <w:lang w:bidi="ar-LB"/>
        </w:rPr>
        <w:t xml:space="preserve"> </w:t>
      </w:r>
      <w:r w:rsidR="00F32B28" w:rsidRPr="00F32B28">
        <w:rPr>
          <w:rtl/>
          <w:lang w:bidi="ar-LB"/>
        </w:rPr>
        <w:t>مع</w:t>
      </w:r>
      <w:r w:rsidR="00F32B28">
        <w:rPr>
          <w:rtl/>
          <w:lang w:bidi="ar-LB"/>
        </w:rPr>
        <w:t xml:space="preserve"> </w:t>
      </w:r>
      <w:r w:rsidR="00F32B28" w:rsidRPr="00F32B28">
        <w:rPr>
          <w:rtl/>
          <w:lang w:bidi="ar-LB"/>
        </w:rPr>
        <w:t>الرجل</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اكتساب</w:t>
      </w:r>
      <w:r w:rsidR="00F32B28">
        <w:rPr>
          <w:rtl/>
          <w:lang w:bidi="ar-LB"/>
        </w:rPr>
        <w:t xml:space="preserve"> </w:t>
      </w:r>
      <w:r w:rsidR="00F32B28" w:rsidRPr="00F32B28">
        <w:rPr>
          <w:rtl/>
          <w:lang w:bidi="ar-LB"/>
        </w:rPr>
        <w:t>حق</w:t>
      </w:r>
      <w:r w:rsidR="00F32B28">
        <w:rPr>
          <w:rtl/>
          <w:lang w:bidi="ar-LB"/>
        </w:rPr>
        <w:t xml:space="preserve"> </w:t>
      </w:r>
      <w:r w:rsidR="00F32B28" w:rsidRPr="00F32B28">
        <w:rPr>
          <w:rtl/>
          <w:lang w:bidi="ar-LB"/>
        </w:rPr>
        <w:t>الإقامة</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الاحتفاظ</w:t>
      </w:r>
      <w:r w:rsidR="00F32B28">
        <w:rPr>
          <w:rtl/>
          <w:lang w:bidi="ar-LB"/>
        </w:rPr>
        <w:t xml:space="preserve"> </w:t>
      </w:r>
      <w:r w:rsidR="00F32B28" w:rsidRPr="00F32B28">
        <w:rPr>
          <w:rtl/>
          <w:lang w:bidi="ar-LB"/>
        </w:rPr>
        <w:t>بها</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تغييرها،</w:t>
      </w:r>
      <w:r w:rsidR="00F32B28">
        <w:rPr>
          <w:rtl/>
          <w:lang w:bidi="ar-LB"/>
        </w:rPr>
        <w:t xml:space="preserve"> </w:t>
      </w:r>
      <w:r w:rsidR="00F32B28" w:rsidRPr="00F32B28">
        <w:rPr>
          <w:rtl/>
          <w:lang w:bidi="ar-LB"/>
        </w:rPr>
        <w:t>وبغض</w:t>
      </w:r>
      <w:r w:rsidR="00F32B28">
        <w:rPr>
          <w:rtl/>
          <w:lang w:bidi="ar-LB"/>
        </w:rPr>
        <w:t xml:space="preserve"> </w:t>
      </w:r>
      <w:r w:rsidR="00F32B28" w:rsidRPr="00F32B28">
        <w:rPr>
          <w:rtl/>
          <w:lang w:bidi="ar-LB"/>
        </w:rPr>
        <w:t>النظر</w:t>
      </w:r>
      <w:r w:rsidR="00F32B28">
        <w:rPr>
          <w:rtl/>
          <w:lang w:bidi="ar-LB"/>
        </w:rPr>
        <w:t xml:space="preserve"> </w:t>
      </w:r>
      <w:r w:rsidR="00F32B28" w:rsidRPr="00F32B28">
        <w:rPr>
          <w:rtl/>
          <w:lang w:bidi="ar-LB"/>
        </w:rPr>
        <w:t>عن</w:t>
      </w:r>
      <w:r w:rsidR="00F32B28">
        <w:rPr>
          <w:rtl/>
          <w:lang w:bidi="ar-LB"/>
        </w:rPr>
        <w:t xml:space="preserve"> </w:t>
      </w:r>
      <w:r w:rsidR="00F32B28" w:rsidRPr="00F32B28">
        <w:rPr>
          <w:rtl/>
          <w:lang w:bidi="ar-LB"/>
        </w:rPr>
        <w:t>حالتها</w:t>
      </w:r>
      <w:r w:rsidR="00F32B28">
        <w:rPr>
          <w:rtl/>
          <w:lang w:bidi="ar-LB"/>
        </w:rPr>
        <w:t xml:space="preserve"> </w:t>
      </w:r>
      <w:r w:rsidR="00F32B28" w:rsidRPr="00F32B28">
        <w:rPr>
          <w:rtl/>
          <w:lang w:bidi="ar-LB"/>
        </w:rPr>
        <w:t>الزوجية.</w:t>
      </w:r>
      <w:r w:rsidR="00F32B28">
        <w:rPr>
          <w:rtl/>
          <w:lang w:bidi="ar-LB"/>
        </w:rPr>
        <w:t xml:space="preserve"> </w:t>
      </w:r>
      <w:r w:rsidR="00F32B28" w:rsidRPr="00F32B28">
        <w:rPr>
          <w:rtl/>
          <w:lang w:bidi="ar-LB"/>
        </w:rPr>
        <w:t>وجاءت</w:t>
      </w:r>
      <w:r w:rsidR="00F32B28">
        <w:rPr>
          <w:rtl/>
          <w:lang w:bidi="ar-LB"/>
        </w:rPr>
        <w:t xml:space="preserve"> </w:t>
      </w:r>
      <w:r w:rsidR="00F32B28" w:rsidRPr="00F32B28">
        <w:rPr>
          <w:rtl/>
          <w:lang w:bidi="ar-LB"/>
        </w:rPr>
        <w:t>التعميمات</w:t>
      </w:r>
      <w:r w:rsidR="00F32B28">
        <w:rPr>
          <w:rtl/>
          <w:lang w:bidi="ar-LB"/>
        </w:rPr>
        <w:t xml:space="preserve"> </w:t>
      </w:r>
      <w:r w:rsidR="00F32B28" w:rsidRPr="00F32B28">
        <w:rPr>
          <w:rtl/>
          <w:lang w:bidi="ar-LB"/>
        </w:rPr>
        <w:t>الصادرة</w:t>
      </w:r>
      <w:r w:rsidR="00F32B28">
        <w:rPr>
          <w:rtl/>
          <w:lang w:bidi="ar-LB"/>
        </w:rPr>
        <w:t xml:space="preserve"> </w:t>
      </w:r>
      <w:r w:rsidR="00F32B28" w:rsidRPr="00F32B28">
        <w:rPr>
          <w:rtl/>
          <w:lang w:bidi="ar-LB"/>
        </w:rPr>
        <w:t>عن</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الداخلية</w:t>
      </w:r>
      <w:r w:rsidR="00F32B28">
        <w:rPr>
          <w:rtl/>
          <w:lang w:bidi="ar-LB"/>
        </w:rPr>
        <w:t xml:space="preserve"> </w:t>
      </w:r>
      <w:r w:rsidR="00F32B28" w:rsidRPr="00F32B28">
        <w:rPr>
          <w:rtl/>
          <w:lang w:bidi="ar-LB"/>
        </w:rPr>
        <w:t>رقم</w:t>
      </w:r>
      <w:r w:rsidR="00F32B28">
        <w:rPr>
          <w:rtl/>
          <w:lang w:bidi="ar-LB"/>
        </w:rPr>
        <w:t xml:space="preserve"> </w:t>
      </w:r>
      <w:r w:rsidR="00F32B28" w:rsidRPr="00F32B28">
        <w:rPr>
          <w:rtl/>
          <w:lang w:bidi="ar-LB"/>
        </w:rPr>
        <w:t>(42)</w:t>
      </w:r>
      <w:r w:rsidR="00F32B28">
        <w:rPr>
          <w:rtl/>
          <w:lang w:bidi="ar-LB"/>
        </w:rPr>
        <w:t xml:space="preserve"> </w:t>
      </w:r>
      <w:r w:rsidR="00F32B28" w:rsidRPr="00F32B28">
        <w:rPr>
          <w:rtl/>
          <w:lang w:bidi="ar-LB"/>
        </w:rPr>
        <w:t>لعام</w:t>
      </w:r>
      <w:r w:rsidR="00F32B28">
        <w:rPr>
          <w:rtl/>
          <w:lang w:bidi="ar-LB"/>
        </w:rPr>
        <w:t xml:space="preserve"> </w:t>
      </w:r>
      <w:r w:rsidR="00F32B28" w:rsidRPr="00F32B28">
        <w:rPr>
          <w:rtl/>
          <w:lang w:bidi="ar-LB"/>
        </w:rPr>
        <w:t>2010،</w:t>
      </w:r>
      <w:r w:rsidR="00F32B28">
        <w:rPr>
          <w:rtl/>
          <w:lang w:bidi="ar-LB"/>
        </w:rPr>
        <w:t xml:space="preserve"> </w:t>
      </w:r>
      <w:r w:rsidR="00F32B28" w:rsidRPr="00F32B28">
        <w:rPr>
          <w:rtl/>
          <w:lang w:bidi="ar-LB"/>
        </w:rPr>
        <w:t>لتؤكد</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الحقوق</w:t>
      </w:r>
      <w:r w:rsidR="00F32B28">
        <w:rPr>
          <w:rtl/>
          <w:lang w:bidi="ar-LB"/>
        </w:rPr>
        <w:t xml:space="preserve"> </w:t>
      </w:r>
      <w:r w:rsidR="00F32B28" w:rsidRPr="00F32B28">
        <w:rPr>
          <w:rtl/>
          <w:lang w:bidi="ar-LB"/>
        </w:rPr>
        <w:t>وتتجاوز</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قد</w:t>
      </w:r>
      <w:r w:rsidR="00F32B28">
        <w:rPr>
          <w:rtl/>
          <w:lang w:bidi="ar-LB"/>
        </w:rPr>
        <w:t xml:space="preserve"> </w:t>
      </w:r>
      <w:r w:rsidR="00F32B28" w:rsidRPr="00F32B28">
        <w:rPr>
          <w:rtl/>
          <w:lang w:bidi="ar-LB"/>
        </w:rPr>
        <w:t>يتعارض</w:t>
      </w:r>
      <w:r w:rsidR="00F32B28">
        <w:rPr>
          <w:rtl/>
          <w:lang w:bidi="ar-LB"/>
        </w:rPr>
        <w:t xml:space="preserve"> </w:t>
      </w:r>
      <w:r w:rsidR="00F32B28" w:rsidRPr="00F32B28">
        <w:rPr>
          <w:rtl/>
          <w:lang w:bidi="ar-LB"/>
        </w:rPr>
        <w:t>معها</w:t>
      </w:r>
      <w:r w:rsidR="00F32B28" w:rsidRPr="00F32B28">
        <w:rPr>
          <w:rtl/>
        </w:rPr>
        <w:t>؛</w:t>
      </w:r>
      <w:r w:rsidR="00F32B28">
        <w:rPr>
          <w:rtl/>
        </w:rPr>
        <w:t xml:space="preserve"> </w:t>
      </w:r>
      <w:r w:rsidR="00F32B28" w:rsidRPr="00F32B28">
        <w:rPr>
          <w:rtl/>
          <w:lang w:bidi="ar-LB"/>
        </w:rPr>
        <w:t>فالمولودة</w:t>
      </w:r>
      <w:r w:rsidR="00F32B28">
        <w:rPr>
          <w:rtl/>
          <w:lang w:bidi="ar-LB"/>
        </w:rPr>
        <w:t xml:space="preserve"> </w:t>
      </w:r>
      <w:r w:rsidR="00F32B28" w:rsidRPr="00F32B28">
        <w:rPr>
          <w:rtl/>
          <w:lang w:bidi="ar-LB"/>
        </w:rPr>
        <w:t>الأنثى</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المحتلة</w:t>
      </w:r>
      <w:r w:rsidR="00F32B28">
        <w:rPr>
          <w:rtl/>
          <w:lang w:bidi="ar-LB"/>
        </w:rPr>
        <w:t xml:space="preserve"> </w:t>
      </w:r>
      <w:r w:rsidR="00F32B28" w:rsidRPr="00F32B28">
        <w:rPr>
          <w:rtl/>
          <w:lang w:bidi="ar-LB"/>
        </w:rPr>
        <w:t>لها</w:t>
      </w:r>
      <w:r w:rsidR="00F32B28">
        <w:rPr>
          <w:rtl/>
          <w:lang w:bidi="ar-LB"/>
        </w:rPr>
        <w:t xml:space="preserve"> </w:t>
      </w:r>
      <w:r w:rsidR="00F32B28" w:rsidRPr="00F32B28">
        <w:rPr>
          <w:rtl/>
          <w:lang w:bidi="ar-LB"/>
        </w:rPr>
        <w:t>تكتسب</w:t>
      </w:r>
      <w:r w:rsidR="00F32B28">
        <w:rPr>
          <w:rtl/>
          <w:lang w:bidi="ar-LB"/>
        </w:rPr>
        <w:t xml:space="preserve"> </w:t>
      </w:r>
      <w:r w:rsidR="00F32B28" w:rsidRPr="00F32B28">
        <w:rPr>
          <w:rtl/>
          <w:lang w:bidi="ar-LB"/>
        </w:rPr>
        <w:t>هذا</w:t>
      </w:r>
      <w:r w:rsidR="00F32B28">
        <w:rPr>
          <w:rtl/>
          <w:lang w:bidi="ar-LB"/>
        </w:rPr>
        <w:t xml:space="preserve"> </w:t>
      </w:r>
      <w:r w:rsidR="00F32B28" w:rsidRPr="00F32B28">
        <w:rPr>
          <w:rtl/>
          <w:lang w:bidi="ar-LB"/>
        </w:rPr>
        <w:t>الحق</w:t>
      </w:r>
      <w:r w:rsidR="00F32B28">
        <w:rPr>
          <w:rtl/>
          <w:lang w:bidi="ar-LB"/>
        </w:rPr>
        <w:t xml:space="preserve"> </w:t>
      </w:r>
      <w:r w:rsidR="00F32B28" w:rsidRPr="00F32B28">
        <w:rPr>
          <w:rtl/>
          <w:lang w:bidi="ar-LB"/>
        </w:rPr>
        <w:t>إذا</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كان</w:t>
      </w:r>
      <w:r w:rsidR="00F32B28">
        <w:rPr>
          <w:rtl/>
          <w:lang w:bidi="ar-LB"/>
        </w:rPr>
        <w:t xml:space="preserve"> </w:t>
      </w:r>
      <w:r w:rsidR="00F32B28" w:rsidRPr="00F32B28">
        <w:rPr>
          <w:rtl/>
          <w:lang w:bidi="ar-LB"/>
        </w:rPr>
        <w:t>والداها</w:t>
      </w:r>
      <w:r w:rsidR="00F32B28">
        <w:rPr>
          <w:rtl/>
          <w:lang w:bidi="ar-LB"/>
        </w:rPr>
        <w:t xml:space="preserve"> </w:t>
      </w:r>
      <w:r w:rsidR="00F32B28" w:rsidRPr="00F32B28">
        <w:rPr>
          <w:rtl/>
          <w:lang w:bidi="ar-LB"/>
        </w:rPr>
        <w:t>فلسطينيين</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أحدهما</w:t>
      </w:r>
      <w:r w:rsidR="00F32B28">
        <w:rPr>
          <w:rtl/>
          <w:lang w:bidi="ar-LB"/>
        </w:rPr>
        <w:t xml:space="preserve"> </w:t>
      </w:r>
      <w:r w:rsidR="00F32B28" w:rsidRPr="00F32B28">
        <w:rPr>
          <w:rtl/>
          <w:lang w:bidi="ar-LB"/>
        </w:rPr>
        <w:t>فلسطيني،</w:t>
      </w:r>
      <w:r w:rsidR="00F32B28">
        <w:rPr>
          <w:rtl/>
          <w:lang w:bidi="ar-LB"/>
        </w:rPr>
        <w:t xml:space="preserve"> </w:t>
      </w:r>
      <w:r w:rsidR="00F32B28" w:rsidRPr="00F32B28">
        <w:rPr>
          <w:rtl/>
          <w:lang w:bidi="ar-LB"/>
        </w:rPr>
        <w:t>وكذلك</w:t>
      </w:r>
      <w:r w:rsidR="00F32B28">
        <w:rPr>
          <w:rtl/>
          <w:lang w:bidi="ar-LB"/>
        </w:rPr>
        <w:t xml:space="preserve"> </w:t>
      </w:r>
      <w:r w:rsidR="00F32B28" w:rsidRPr="00F32B28">
        <w:rPr>
          <w:rtl/>
          <w:lang w:bidi="ar-LB"/>
        </w:rPr>
        <w:t>الأمر</w:t>
      </w:r>
      <w:r w:rsidR="00F32B28">
        <w:rPr>
          <w:rtl/>
          <w:lang w:bidi="ar-LB"/>
        </w:rPr>
        <w:t xml:space="preserve"> </w:t>
      </w:r>
      <w:r w:rsidR="00F32B28" w:rsidRPr="00F32B28">
        <w:rPr>
          <w:rtl/>
          <w:lang w:bidi="ar-LB"/>
        </w:rPr>
        <w:t>بالنسبة</w:t>
      </w:r>
      <w:r w:rsidR="00F32B28">
        <w:rPr>
          <w:rtl/>
          <w:lang w:bidi="ar-LB"/>
        </w:rPr>
        <w:t xml:space="preserve"> </w:t>
      </w:r>
      <w:r w:rsidR="00F32B28" w:rsidRPr="00F32B28">
        <w:rPr>
          <w:rtl/>
          <w:lang w:bidi="ar-LB"/>
        </w:rPr>
        <w:t>للمولود</w:t>
      </w:r>
      <w:r w:rsidR="00F32B28">
        <w:rPr>
          <w:rtl/>
          <w:lang w:bidi="ar-LB"/>
        </w:rPr>
        <w:t xml:space="preserve"> </w:t>
      </w:r>
      <w:r w:rsidR="00F32B28" w:rsidRPr="00F32B28">
        <w:rPr>
          <w:rtl/>
          <w:lang w:bidi="ar-LB"/>
        </w:rPr>
        <w:t>الذكر.</w:t>
      </w:r>
      <w:r w:rsidR="00F32B28">
        <w:rPr>
          <w:rtl/>
          <w:lang w:bidi="ar-LB"/>
        </w:rPr>
        <w:t xml:space="preserve"> </w:t>
      </w:r>
      <w:r w:rsidR="00F32B28" w:rsidRPr="00F32B28">
        <w:rPr>
          <w:rtl/>
          <w:lang w:bidi="ar-LB"/>
        </w:rPr>
        <w:t>وكل</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يولد</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الخارج</w:t>
      </w:r>
      <w:r w:rsidR="00F32B28">
        <w:rPr>
          <w:rtl/>
          <w:lang w:bidi="ar-LB"/>
        </w:rPr>
        <w:t xml:space="preserve"> </w:t>
      </w:r>
      <w:r w:rsidR="00F32B28" w:rsidRPr="00F32B28">
        <w:rPr>
          <w:rtl/>
          <w:lang w:bidi="ar-LB"/>
        </w:rPr>
        <w:t>لأبوين</w:t>
      </w:r>
      <w:r w:rsidR="00F32B28">
        <w:rPr>
          <w:rtl/>
          <w:lang w:bidi="ar-LB"/>
        </w:rPr>
        <w:t xml:space="preserve"> </w:t>
      </w:r>
      <w:r w:rsidR="00F32B28" w:rsidRPr="00F32B28">
        <w:rPr>
          <w:rtl/>
          <w:lang w:bidi="ar-LB"/>
        </w:rPr>
        <w:t>فلسطينيين</w:t>
      </w:r>
      <w:r w:rsidR="00F32B28">
        <w:rPr>
          <w:rtl/>
          <w:lang w:bidi="ar-LB"/>
        </w:rPr>
        <w:t xml:space="preserve"> </w:t>
      </w:r>
      <w:r w:rsidR="00F32B28" w:rsidRPr="00F32B28">
        <w:rPr>
          <w:rtl/>
          <w:lang w:bidi="ar-LB"/>
        </w:rPr>
        <w:t>لهما</w:t>
      </w:r>
      <w:r w:rsidR="00F32B28">
        <w:rPr>
          <w:rtl/>
          <w:lang w:bidi="ar-LB"/>
        </w:rPr>
        <w:t xml:space="preserve"> </w:t>
      </w:r>
      <w:r w:rsidR="00F32B28" w:rsidRPr="00F32B28">
        <w:rPr>
          <w:rtl/>
          <w:lang w:bidi="ar-LB"/>
        </w:rPr>
        <w:t>حق</w:t>
      </w:r>
      <w:r w:rsidR="00F32B28">
        <w:rPr>
          <w:rtl/>
          <w:lang w:bidi="ar-LB"/>
        </w:rPr>
        <w:t xml:space="preserve"> </w:t>
      </w:r>
      <w:r w:rsidR="00F32B28" w:rsidRPr="00F32B28">
        <w:rPr>
          <w:rtl/>
          <w:lang w:bidi="ar-LB"/>
        </w:rPr>
        <w:t>الإقامة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المحتلة</w:t>
      </w:r>
      <w:r w:rsidR="00F32B28">
        <w:rPr>
          <w:rtl/>
          <w:lang w:bidi="ar-LB"/>
        </w:rPr>
        <w:t xml:space="preserve"> </w:t>
      </w:r>
      <w:r w:rsidR="00F32B28" w:rsidRPr="00F32B28">
        <w:rPr>
          <w:rtl/>
          <w:lang w:bidi="ar-LB"/>
        </w:rPr>
        <w:t>يكتسب</w:t>
      </w:r>
      <w:r w:rsidR="00F32B28">
        <w:rPr>
          <w:rtl/>
          <w:lang w:bidi="ar-LB"/>
        </w:rPr>
        <w:t xml:space="preserve"> </w:t>
      </w:r>
      <w:r w:rsidR="00F32B28" w:rsidRPr="00F32B28">
        <w:rPr>
          <w:rtl/>
          <w:lang w:bidi="ar-LB"/>
        </w:rPr>
        <w:t>حق</w:t>
      </w:r>
      <w:r w:rsidR="00F32B28">
        <w:rPr>
          <w:rtl/>
          <w:lang w:bidi="ar-LB"/>
        </w:rPr>
        <w:t xml:space="preserve"> </w:t>
      </w:r>
      <w:r w:rsidR="00F32B28" w:rsidRPr="00F32B28">
        <w:rPr>
          <w:rtl/>
          <w:lang w:bidi="ar-LB"/>
        </w:rPr>
        <w:t>الإقامة</w:t>
      </w:r>
      <w:r w:rsidR="00F32B28">
        <w:rPr>
          <w:rtl/>
          <w:lang w:bidi="ar-LB"/>
        </w:rPr>
        <w:t xml:space="preserve"> </w:t>
      </w:r>
      <w:r w:rsidR="00F32B28" w:rsidRPr="00F32B28">
        <w:rPr>
          <w:rtl/>
          <w:lang w:bidi="ar-LB"/>
        </w:rPr>
        <w:t>إذا</w:t>
      </w:r>
      <w:r w:rsidR="00F32B28">
        <w:rPr>
          <w:rtl/>
          <w:lang w:bidi="ar-LB"/>
        </w:rPr>
        <w:t xml:space="preserve"> </w:t>
      </w:r>
      <w:r w:rsidR="00F32B28" w:rsidRPr="00F32B28">
        <w:rPr>
          <w:rtl/>
          <w:lang w:bidi="ar-LB"/>
        </w:rPr>
        <w:t>عاد</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قبل</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يبلغ</w:t>
      </w:r>
      <w:r w:rsidR="00F32B28">
        <w:rPr>
          <w:rtl/>
          <w:lang w:bidi="ar-LB"/>
        </w:rPr>
        <w:t xml:space="preserve"> </w:t>
      </w:r>
      <w:r w:rsidR="00F32B28" w:rsidRPr="00F32B28">
        <w:rPr>
          <w:rtl/>
          <w:lang w:bidi="ar-LB"/>
        </w:rPr>
        <w:t>سن</w:t>
      </w:r>
      <w:r w:rsidR="00F32B28">
        <w:rPr>
          <w:rtl/>
          <w:lang w:bidi="ar-LB"/>
        </w:rPr>
        <w:t xml:space="preserve"> </w:t>
      </w:r>
      <w:r w:rsidR="00F32B28" w:rsidRPr="00F32B28">
        <w:rPr>
          <w:rtl/>
          <w:lang w:bidi="ar-LB"/>
        </w:rPr>
        <w:t>الرشد</w:t>
      </w:r>
      <w:r w:rsidR="00F32B28">
        <w:rPr>
          <w:rtl/>
          <w:lang w:bidi="ar-LB"/>
        </w:rPr>
        <w:t xml:space="preserve"> </w:t>
      </w:r>
      <w:r w:rsidR="00F32B28" w:rsidRPr="00F32B28">
        <w:rPr>
          <w:rtl/>
          <w:lang w:bidi="ar-LB"/>
        </w:rPr>
        <w:t>القانوني.</w:t>
      </w:r>
      <w:r w:rsidR="00F32B28">
        <w:rPr>
          <w:rtl/>
          <w:lang w:bidi="ar-LB"/>
        </w:rPr>
        <w:t xml:space="preserve"> </w:t>
      </w:r>
      <w:r w:rsidR="00F32B28" w:rsidRPr="00F32B28">
        <w:rPr>
          <w:rtl/>
          <w:lang w:bidi="ar-LB"/>
        </w:rPr>
        <w:t>وتحتفظ</w:t>
      </w:r>
      <w:r w:rsidR="00F32B28">
        <w:rPr>
          <w:rtl/>
          <w:lang w:bidi="ar-LB"/>
        </w:rPr>
        <w:t xml:space="preserve"> </w:t>
      </w:r>
      <w:r w:rsidR="00F32B28" w:rsidRPr="00F32B28">
        <w:rPr>
          <w:rtl/>
          <w:lang w:bidi="ar-LB"/>
        </w:rPr>
        <w:t>الفلسطينية</w:t>
      </w:r>
      <w:r w:rsidR="00F32B28">
        <w:rPr>
          <w:rtl/>
          <w:lang w:bidi="ar-LB"/>
        </w:rPr>
        <w:t xml:space="preserve"> </w:t>
      </w:r>
      <w:r w:rsidR="00F32B28" w:rsidRPr="00F32B28">
        <w:rPr>
          <w:rtl/>
          <w:lang w:bidi="ar-LB"/>
        </w:rPr>
        <w:t>بهذا</w:t>
      </w:r>
      <w:r w:rsidR="00F32B28">
        <w:rPr>
          <w:rtl/>
          <w:lang w:bidi="ar-LB"/>
        </w:rPr>
        <w:t xml:space="preserve"> </w:t>
      </w:r>
      <w:r w:rsidR="00F32B28" w:rsidRPr="00F32B28">
        <w:rPr>
          <w:rtl/>
          <w:lang w:bidi="ar-LB"/>
        </w:rPr>
        <w:t>الحق</w:t>
      </w:r>
      <w:r w:rsidR="00F32B28">
        <w:rPr>
          <w:rtl/>
          <w:lang w:bidi="ar-LB"/>
        </w:rPr>
        <w:t xml:space="preserve"> </w:t>
      </w:r>
      <w:r w:rsidR="00F32B28" w:rsidRPr="00F32B28">
        <w:rPr>
          <w:rtl/>
          <w:lang w:bidi="ar-LB"/>
        </w:rPr>
        <w:t>إذا</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تزوجت</w:t>
      </w:r>
      <w:r w:rsidR="00F32B28">
        <w:rPr>
          <w:rtl/>
          <w:lang w:bidi="ar-LB"/>
        </w:rPr>
        <w:t xml:space="preserve"> </w:t>
      </w:r>
      <w:r w:rsidR="00F32B28" w:rsidRPr="00F32B28">
        <w:rPr>
          <w:rtl/>
          <w:lang w:bidi="ar-LB"/>
        </w:rPr>
        <w:t>بغير</w:t>
      </w:r>
      <w:r w:rsidR="00F32B28">
        <w:rPr>
          <w:rtl/>
          <w:lang w:bidi="ar-LB"/>
        </w:rPr>
        <w:t xml:space="preserve"> </w:t>
      </w:r>
      <w:r w:rsidR="00F32B28" w:rsidRPr="00F32B28">
        <w:rPr>
          <w:rtl/>
          <w:lang w:bidi="ar-LB"/>
        </w:rPr>
        <w:t>فلسطيني،</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يحق</w:t>
      </w:r>
      <w:r w:rsidR="00F32B28">
        <w:rPr>
          <w:rtl/>
          <w:lang w:bidi="ar-LB"/>
        </w:rPr>
        <w:t xml:space="preserve"> </w:t>
      </w:r>
      <w:r w:rsidR="00F32B28" w:rsidRPr="00F32B28">
        <w:rPr>
          <w:rtl/>
          <w:lang w:bidi="ar-LB"/>
        </w:rPr>
        <w:t>لها</w:t>
      </w:r>
      <w:r w:rsidR="00F32B28">
        <w:rPr>
          <w:rtl/>
          <w:lang w:bidi="ar-LB"/>
        </w:rPr>
        <w:t xml:space="preserve"> </w:t>
      </w:r>
      <w:r w:rsidR="00F32B28" w:rsidRPr="00F32B28">
        <w:rPr>
          <w:rtl/>
        </w:rPr>
        <w:t>منح</w:t>
      </w:r>
      <w:r w:rsidR="00F32B28">
        <w:rPr>
          <w:rtl/>
        </w:rPr>
        <w:t xml:space="preserve"> </w:t>
      </w:r>
      <w:r w:rsidR="00F32B28" w:rsidRPr="00F32B28">
        <w:rPr>
          <w:rtl/>
        </w:rPr>
        <w:t>أبنائها</w:t>
      </w:r>
      <w:r w:rsidR="00F32B28">
        <w:rPr>
          <w:rtl/>
        </w:rPr>
        <w:t xml:space="preserve"> </w:t>
      </w:r>
      <w:r w:rsidR="00F32B28" w:rsidRPr="00F32B28">
        <w:rPr>
          <w:rtl/>
        </w:rPr>
        <w:t>جواز</w:t>
      </w:r>
      <w:r w:rsidR="00F32B28">
        <w:rPr>
          <w:rtl/>
        </w:rPr>
        <w:t xml:space="preserve"> </w:t>
      </w:r>
      <w:r w:rsidR="00F32B28" w:rsidRPr="00F32B28">
        <w:rPr>
          <w:rtl/>
        </w:rPr>
        <w:t>السفر</w:t>
      </w:r>
      <w:r w:rsidR="00F32B28">
        <w:rPr>
          <w:rtl/>
        </w:rPr>
        <w:t xml:space="preserve"> </w:t>
      </w:r>
      <w:r w:rsidR="00F32B28" w:rsidRPr="00F32B28">
        <w:rPr>
          <w:rtl/>
        </w:rPr>
        <w:t>الفلسطيني</w:t>
      </w:r>
      <w:r w:rsidR="00F32B28">
        <w:rPr>
          <w:rtl/>
        </w:rPr>
        <w:t xml:space="preserve"> </w:t>
      </w:r>
      <w:r w:rsidR="00F32B28" w:rsidRPr="00F32B28">
        <w:rPr>
          <w:rtl/>
        </w:rPr>
        <w:t>وحق</w:t>
      </w:r>
      <w:r w:rsidR="00F32B28">
        <w:rPr>
          <w:rtl/>
        </w:rPr>
        <w:t xml:space="preserve"> </w:t>
      </w:r>
      <w:r w:rsidR="00F32B28" w:rsidRPr="00F32B28">
        <w:rPr>
          <w:rtl/>
        </w:rPr>
        <w:t>الإقامة</w:t>
      </w:r>
      <w:r w:rsidR="00F32B28">
        <w:rPr>
          <w:rtl/>
          <w:lang w:bidi="ar-LB"/>
        </w:rPr>
        <w:t xml:space="preserve"> </w:t>
      </w:r>
      <w:r w:rsidR="00F32B28" w:rsidRPr="00F32B28">
        <w:rPr>
          <w:rtl/>
          <w:lang w:bidi="ar-LB"/>
        </w:rPr>
        <w:t>وتسجيلهم</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بطاقة</w:t>
      </w:r>
      <w:r w:rsidR="00F32B28">
        <w:rPr>
          <w:rtl/>
          <w:lang w:bidi="ar-LB"/>
        </w:rPr>
        <w:t xml:space="preserve"> </w:t>
      </w:r>
      <w:r w:rsidR="00F32B28" w:rsidRPr="00F32B28">
        <w:rPr>
          <w:rtl/>
          <w:lang w:bidi="ar-LB"/>
        </w:rPr>
        <w:t>هويتها</w:t>
      </w:r>
      <w:r w:rsidR="00F32B28">
        <w:rPr>
          <w:rtl/>
          <w:lang w:bidi="ar-LB"/>
        </w:rPr>
        <w:t xml:space="preserve"> </w:t>
      </w:r>
      <w:r w:rsidR="00F32B28" w:rsidRPr="00F32B28">
        <w:rPr>
          <w:rtl/>
          <w:lang w:bidi="ar-LB"/>
        </w:rPr>
        <w:t>قبل</w:t>
      </w:r>
      <w:r w:rsidR="00F32B28">
        <w:rPr>
          <w:rtl/>
          <w:lang w:bidi="ar-LB"/>
        </w:rPr>
        <w:t xml:space="preserve"> </w:t>
      </w:r>
      <w:r w:rsidR="00F32B28" w:rsidRPr="00F32B28">
        <w:rPr>
          <w:rtl/>
          <w:lang w:bidi="ar-LB"/>
        </w:rPr>
        <w:t>بلوغهم</w:t>
      </w:r>
      <w:r w:rsidR="00F32B28">
        <w:rPr>
          <w:rtl/>
          <w:lang w:bidi="ar-LB"/>
        </w:rPr>
        <w:t xml:space="preserve"> </w:t>
      </w:r>
      <w:r w:rsidR="00F32B28" w:rsidRPr="00F32B28">
        <w:rPr>
          <w:rtl/>
          <w:lang w:bidi="ar-LB"/>
        </w:rPr>
        <w:t>سن</w:t>
      </w:r>
      <w:r w:rsidR="00F32B28">
        <w:rPr>
          <w:rtl/>
          <w:lang w:bidi="ar-LB"/>
        </w:rPr>
        <w:t xml:space="preserve"> </w:t>
      </w:r>
      <w:r w:rsidR="00F32B28" w:rsidRPr="00F32B28">
        <w:rPr>
          <w:rtl/>
          <w:lang w:bidi="ar-LB"/>
        </w:rPr>
        <w:t>(16)</w:t>
      </w:r>
      <w:r w:rsidR="00F32B28">
        <w:rPr>
          <w:rtl/>
          <w:lang w:bidi="ar-LB"/>
        </w:rPr>
        <w:t xml:space="preserve"> </w:t>
      </w:r>
      <w:r w:rsidR="00F32B28" w:rsidRPr="00F32B28">
        <w:rPr>
          <w:rtl/>
          <w:lang w:bidi="ar-LB"/>
        </w:rPr>
        <w:t>عاماً،</w:t>
      </w:r>
      <w:r w:rsidR="00F32B28">
        <w:rPr>
          <w:rtl/>
          <w:lang w:bidi="ar-LB"/>
        </w:rPr>
        <w:t xml:space="preserve"> </w:t>
      </w:r>
      <w:r w:rsidR="00F32B28" w:rsidRPr="00F32B28">
        <w:rPr>
          <w:rtl/>
          <w:lang w:bidi="ar-LB"/>
        </w:rPr>
        <w:t>وكذلك</w:t>
      </w:r>
      <w:r w:rsidR="00F32B28">
        <w:rPr>
          <w:rtl/>
          <w:lang w:bidi="ar-LB"/>
        </w:rPr>
        <w:t xml:space="preserve"> </w:t>
      </w:r>
      <w:r w:rsidR="00F32B28" w:rsidRPr="00F32B28">
        <w:rPr>
          <w:rtl/>
          <w:lang w:bidi="ar-LB"/>
        </w:rPr>
        <w:t>الرجل</w:t>
      </w:r>
      <w:r w:rsidR="00F32B28">
        <w:rPr>
          <w:rtl/>
          <w:lang w:bidi="ar-LB"/>
        </w:rPr>
        <w:t xml:space="preserve"> </w:t>
      </w:r>
      <w:r w:rsidR="00F32B28" w:rsidRPr="00F32B28">
        <w:rPr>
          <w:rtl/>
          <w:lang w:bidi="ar-LB"/>
        </w:rPr>
        <w:t>المتزوج</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غير</w:t>
      </w:r>
      <w:r w:rsidR="00F32B28">
        <w:rPr>
          <w:rtl/>
          <w:lang w:bidi="ar-LB"/>
        </w:rPr>
        <w:t xml:space="preserve"> </w:t>
      </w:r>
      <w:r w:rsidR="00F32B28" w:rsidRPr="00F32B28">
        <w:rPr>
          <w:rtl/>
          <w:lang w:bidi="ar-LB"/>
        </w:rPr>
        <w:t>فلسطينية.</w:t>
      </w:r>
      <w:r w:rsidR="00F32B28">
        <w:rPr>
          <w:rtl/>
          <w:lang w:bidi="ar-LB"/>
        </w:rPr>
        <w:t xml:space="preserve"> </w:t>
      </w:r>
    </w:p>
    <w:p w:rsidR="00F32B28" w:rsidRPr="00F32B28" w:rsidRDefault="009C23E0" w:rsidP="009C23E0">
      <w:pPr>
        <w:pStyle w:val="SingleTxt"/>
        <w:rPr>
          <w:rtl/>
        </w:rPr>
      </w:pPr>
      <w:r>
        <w:rPr>
          <w:rFonts w:hint="cs"/>
          <w:rtl/>
        </w:rPr>
        <w:t xml:space="preserve">148 - </w:t>
      </w:r>
      <w:r w:rsidR="00F32B28" w:rsidRPr="00F32B28">
        <w:rPr>
          <w:rtl/>
        </w:rPr>
        <w:t>كما</w:t>
      </w:r>
      <w:r w:rsidR="00F32B28">
        <w:rPr>
          <w:rtl/>
        </w:rPr>
        <w:t xml:space="preserve"> </w:t>
      </w:r>
      <w:r w:rsidR="00F32B28" w:rsidRPr="00F32B28">
        <w:rPr>
          <w:rtl/>
        </w:rPr>
        <w:t>ونصت</w:t>
      </w:r>
      <w:r w:rsidR="00F32B28">
        <w:rPr>
          <w:rtl/>
        </w:rPr>
        <w:t xml:space="preserve"> </w:t>
      </w:r>
      <w:r w:rsidR="00F32B28" w:rsidRPr="00F32B28">
        <w:rPr>
          <w:rtl/>
        </w:rPr>
        <w:t>المسودة</w:t>
      </w:r>
      <w:r w:rsidR="00F32B28">
        <w:rPr>
          <w:rtl/>
        </w:rPr>
        <w:t xml:space="preserve"> </w:t>
      </w:r>
      <w:r w:rsidR="00F32B28" w:rsidRPr="00F32B28">
        <w:rPr>
          <w:rtl/>
        </w:rPr>
        <w:t>الثالثة</w:t>
      </w:r>
      <w:r w:rsidR="00F32B28">
        <w:rPr>
          <w:rtl/>
        </w:rPr>
        <w:t xml:space="preserve"> </w:t>
      </w:r>
      <w:r w:rsidR="00F32B28" w:rsidRPr="00F32B28">
        <w:rPr>
          <w:rtl/>
        </w:rPr>
        <w:t>المنقحة</w:t>
      </w:r>
      <w:r w:rsidR="00F32B28">
        <w:rPr>
          <w:rtl/>
        </w:rPr>
        <w:t xml:space="preserve"> </w:t>
      </w:r>
      <w:r w:rsidR="00F32B28" w:rsidRPr="00F32B28">
        <w:rPr>
          <w:rtl/>
        </w:rPr>
        <w:t>لدستور</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في</w:t>
      </w:r>
      <w:r w:rsidR="00F32B28">
        <w:rPr>
          <w:rtl/>
        </w:rPr>
        <w:t xml:space="preserve"> </w:t>
      </w:r>
      <w:r w:rsidR="00F32B28" w:rsidRPr="00F32B28">
        <w:rPr>
          <w:rtl/>
        </w:rPr>
        <w:t>المادة</w:t>
      </w:r>
      <w:r w:rsidR="00F32B28">
        <w:rPr>
          <w:rtl/>
        </w:rPr>
        <w:t xml:space="preserve"> </w:t>
      </w:r>
      <w:r w:rsidR="00F32B28" w:rsidRPr="00F32B28">
        <w:rPr>
          <w:rtl/>
        </w:rPr>
        <w:t>(12)،</w:t>
      </w:r>
      <w:r w:rsidR="00F32B28">
        <w:rPr>
          <w:rtl/>
        </w:rPr>
        <w:t xml:space="preserve"> </w:t>
      </w:r>
      <w:r w:rsidR="00F32B28" w:rsidRPr="00F32B28">
        <w:rPr>
          <w:rtl/>
        </w:rPr>
        <w:t>في</w:t>
      </w:r>
      <w:r w:rsidR="00F32B28">
        <w:rPr>
          <w:rtl/>
        </w:rPr>
        <w:t xml:space="preserve"> </w:t>
      </w:r>
      <w:r w:rsidR="00F32B28" w:rsidRPr="00F32B28">
        <w:rPr>
          <w:rtl/>
        </w:rPr>
        <w:t>أن</w:t>
      </w:r>
      <w:r w:rsidR="00F32B28">
        <w:rPr>
          <w:rtl/>
        </w:rPr>
        <w:t xml:space="preserve"> </w:t>
      </w:r>
      <w:r w:rsidR="00F32B28" w:rsidRPr="00F32B28">
        <w:rPr>
          <w:rtl/>
        </w:rPr>
        <w:t>الجنسية</w:t>
      </w:r>
      <w:r w:rsidR="00F32B28">
        <w:rPr>
          <w:rtl/>
        </w:rPr>
        <w:t xml:space="preserve"> </w:t>
      </w:r>
      <w:r w:rsidR="00F32B28" w:rsidRPr="00F32B28">
        <w:rPr>
          <w:rtl/>
        </w:rPr>
        <w:t>الفلسطينية،</w:t>
      </w:r>
      <w:r w:rsidR="00F32B28">
        <w:rPr>
          <w:rtl/>
        </w:rPr>
        <w:t xml:space="preserve"> </w:t>
      </w:r>
      <w:r w:rsidR="00F32B28" w:rsidRPr="00F32B28">
        <w:rPr>
          <w:rtl/>
        </w:rPr>
        <w:t>وما</w:t>
      </w:r>
      <w:r w:rsidR="00F32B28">
        <w:rPr>
          <w:rtl/>
        </w:rPr>
        <w:t xml:space="preserve"> </w:t>
      </w:r>
      <w:r w:rsidR="00F32B28" w:rsidRPr="00F32B28">
        <w:rPr>
          <w:rtl/>
        </w:rPr>
        <w:t>يترتب</w:t>
      </w:r>
      <w:r w:rsidR="00F32B28">
        <w:rPr>
          <w:rtl/>
        </w:rPr>
        <w:t xml:space="preserve"> </w:t>
      </w:r>
      <w:r w:rsidR="00F32B28" w:rsidRPr="00F32B28">
        <w:rPr>
          <w:rtl/>
        </w:rPr>
        <w:t>عليها</w:t>
      </w:r>
      <w:r w:rsidR="00F32B28">
        <w:rPr>
          <w:rtl/>
        </w:rPr>
        <w:t xml:space="preserve"> </w:t>
      </w:r>
      <w:r w:rsidR="00F32B28" w:rsidRPr="00F32B28">
        <w:rPr>
          <w:rtl/>
        </w:rPr>
        <w:t>من</w:t>
      </w:r>
      <w:r w:rsidR="00F32B28">
        <w:rPr>
          <w:rtl/>
        </w:rPr>
        <w:t xml:space="preserve"> </w:t>
      </w:r>
      <w:r w:rsidR="00F32B28" w:rsidRPr="00F32B28">
        <w:rPr>
          <w:rtl/>
        </w:rPr>
        <w:t>حقوق،</w:t>
      </w:r>
      <w:r w:rsidR="00F32B28">
        <w:rPr>
          <w:rtl/>
        </w:rPr>
        <w:t xml:space="preserve"> </w:t>
      </w:r>
      <w:r w:rsidR="00F32B28" w:rsidRPr="00F32B28">
        <w:rPr>
          <w:rtl/>
        </w:rPr>
        <w:t>من</w:t>
      </w:r>
      <w:r w:rsidR="00F32B28">
        <w:rPr>
          <w:rtl/>
        </w:rPr>
        <w:t xml:space="preserve"> </w:t>
      </w:r>
      <w:r w:rsidR="00F32B28" w:rsidRPr="00F32B28">
        <w:rPr>
          <w:rtl/>
        </w:rPr>
        <w:t>ضمنها</w:t>
      </w:r>
      <w:r w:rsidR="00F32B28">
        <w:rPr>
          <w:rtl/>
        </w:rPr>
        <w:t xml:space="preserve"> </w:t>
      </w:r>
      <w:r w:rsidR="00F32B28" w:rsidRPr="00F32B28">
        <w:rPr>
          <w:rtl/>
        </w:rPr>
        <w:t>حق</w:t>
      </w:r>
      <w:r w:rsidR="00F32B28">
        <w:rPr>
          <w:rtl/>
        </w:rPr>
        <w:t xml:space="preserve"> </w:t>
      </w:r>
      <w:r w:rsidR="00F32B28" w:rsidRPr="00F32B28">
        <w:rPr>
          <w:rtl/>
        </w:rPr>
        <w:t>العودة</w:t>
      </w:r>
      <w:r w:rsidR="00F32B28">
        <w:rPr>
          <w:rtl/>
        </w:rPr>
        <w:t xml:space="preserve"> </w:t>
      </w:r>
      <w:r w:rsidR="00F32B28" w:rsidRPr="00F32B28">
        <w:rPr>
          <w:rtl/>
        </w:rPr>
        <w:t>لكل</w:t>
      </w:r>
      <w:r w:rsidR="00F32B28">
        <w:rPr>
          <w:rtl/>
        </w:rPr>
        <w:t xml:space="preserve"> </w:t>
      </w:r>
      <w:r w:rsidR="00F32B28" w:rsidRPr="00F32B28">
        <w:rPr>
          <w:rtl/>
        </w:rPr>
        <w:t>من</w:t>
      </w:r>
      <w:r w:rsidR="00F32B28">
        <w:rPr>
          <w:rtl/>
        </w:rPr>
        <w:t xml:space="preserve"> </w:t>
      </w:r>
      <w:r w:rsidR="00F32B28" w:rsidRPr="00F32B28">
        <w:rPr>
          <w:rtl/>
        </w:rPr>
        <w:t>نزح</w:t>
      </w:r>
      <w:r w:rsidR="00F32B28">
        <w:rPr>
          <w:rtl/>
        </w:rPr>
        <w:t xml:space="preserve"> </w:t>
      </w:r>
      <w:r w:rsidR="00F32B28" w:rsidRPr="00F32B28">
        <w:rPr>
          <w:rtl/>
        </w:rPr>
        <w:t>أو</w:t>
      </w:r>
      <w:r w:rsidR="00F32B28">
        <w:rPr>
          <w:rtl/>
        </w:rPr>
        <w:t xml:space="preserve"> </w:t>
      </w:r>
      <w:r w:rsidR="00F32B28" w:rsidRPr="00F32B28">
        <w:rPr>
          <w:rtl/>
        </w:rPr>
        <w:t>هجر</w:t>
      </w:r>
      <w:r w:rsidR="00F32B28">
        <w:rPr>
          <w:rtl/>
        </w:rPr>
        <w:t xml:space="preserve"> </w:t>
      </w:r>
      <w:r w:rsidR="00F32B28" w:rsidRPr="00F32B28">
        <w:rPr>
          <w:rtl/>
        </w:rPr>
        <w:t>من</w:t>
      </w:r>
      <w:r w:rsidR="00F32B28">
        <w:rPr>
          <w:rtl/>
        </w:rPr>
        <w:t xml:space="preserve"> </w:t>
      </w:r>
      <w:r w:rsidR="00F32B28" w:rsidRPr="00F32B28">
        <w:rPr>
          <w:rtl/>
        </w:rPr>
        <w:t>فلسطين</w:t>
      </w:r>
      <w:r w:rsidR="00F32B28">
        <w:rPr>
          <w:rtl/>
        </w:rPr>
        <w:t xml:space="preserve"> </w:t>
      </w:r>
      <w:r w:rsidR="00F32B28" w:rsidRPr="00F32B28">
        <w:rPr>
          <w:rtl/>
        </w:rPr>
        <w:t>قبل</w:t>
      </w:r>
      <w:r w:rsidR="00F32B28">
        <w:rPr>
          <w:rtl/>
        </w:rPr>
        <w:t xml:space="preserve"> </w:t>
      </w:r>
      <w:r w:rsidR="00F32B28" w:rsidRPr="00F32B28">
        <w:rPr>
          <w:rtl/>
        </w:rPr>
        <w:t>الخامس</w:t>
      </w:r>
      <w:r w:rsidR="00F32B28">
        <w:rPr>
          <w:rtl/>
        </w:rPr>
        <w:t xml:space="preserve"> </w:t>
      </w:r>
      <w:r w:rsidR="00F32B28" w:rsidRPr="00F32B28">
        <w:rPr>
          <w:rtl/>
        </w:rPr>
        <w:t>عشر</w:t>
      </w:r>
      <w:r w:rsidR="00F32B28">
        <w:rPr>
          <w:rtl/>
        </w:rPr>
        <w:t xml:space="preserve"> </w:t>
      </w:r>
      <w:r w:rsidR="00F32B28" w:rsidRPr="00F32B28">
        <w:rPr>
          <w:rtl/>
        </w:rPr>
        <w:t>من</w:t>
      </w:r>
      <w:r w:rsidR="00F32B28">
        <w:rPr>
          <w:rtl/>
        </w:rPr>
        <w:t xml:space="preserve"> </w:t>
      </w:r>
      <w:r w:rsidR="00F32B28" w:rsidRPr="00F32B28">
        <w:rPr>
          <w:rtl/>
        </w:rPr>
        <w:t>أيار</w:t>
      </w:r>
      <w:r w:rsidR="00887A70">
        <w:rPr>
          <w:rFonts w:hint="cs"/>
          <w:rtl/>
        </w:rPr>
        <w:t>/مايو</w:t>
      </w:r>
      <w:r w:rsidR="00F32B28">
        <w:rPr>
          <w:rtl/>
        </w:rPr>
        <w:t xml:space="preserve"> </w:t>
      </w:r>
      <w:r w:rsidR="00F32B28" w:rsidRPr="00F32B28">
        <w:rPr>
          <w:rtl/>
        </w:rPr>
        <w:t>1948،</w:t>
      </w:r>
      <w:r w:rsidR="00F32B28">
        <w:rPr>
          <w:rtl/>
        </w:rPr>
        <w:t xml:space="preserve"> </w:t>
      </w:r>
      <w:r w:rsidR="00F32B28" w:rsidRPr="00F32B28">
        <w:rPr>
          <w:rtl/>
        </w:rPr>
        <w:t>تنتقل</w:t>
      </w:r>
      <w:r w:rsidR="00F32B28">
        <w:rPr>
          <w:rtl/>
        </w:rPr>
        <w:t xml:space="preserve"> </w:t>
      </w:r>
      <w:r w:rsidR="00F32B28" w:rsidRPr="00F32B28">
        <w:rPr>
          <w:rtl/>
        </w:rPr>
        <w:t>من</w:t>
      </w:r>
      <w:r w:rsidR="00F32B28">
        <w:rPr>
          <w:rtl/>
        </w:rPr>
        <w:t xml:space="preserve"> </w:t>
      </w:r>
      <w:r w:rsidR="00F32B28" w:rsidRPr="00F32B28">
        <w:rPr>
          <w:rtl/>
        </w:rPr>
        <w:t>الأمهات</w:t>
      </w:r>
      <w:r w:rsidR="00F32B28">
        <w:rPr>
          <w:rtl/>
        </w:rPr>
        <w:t xml:space="preserve"> </w:t>
      </w:r>
      <w:r w:rsidR="00F32B28" w:rsidRPr="00F32B28">
        <w:rPr>
          <w:rtl/>
        </w:rPr>
        <w:t>والآباء</w:t>
      </w:r>
      <w:r w:rsidR="00F32B28">
        <w:rPr>
          <w:rtl/>
        </w:rPr>
        <w:t xml:space="preserve"> </w:t>
      </w:r>
      <w:r w:rsidR="00F32B28" w:rsidRPr="00F32B28">
        <w:rPr>
          <w:rtl/>
        </w:rPr>
        <w:t>على</w:t>
      </w:r>
      <w:r w:rsidR="00F32B28">
        <w:rPr>
          <w:rtl/>
        </w:rPr>
        <w:t xml:space="preserve"> </w:t>
      </w:r>
      <w:r w:rsidR="00F32B28" w:rsidRPr="00F32B28">
        <w:rPr>
          <w:rtl/>
        </w:rPr>
        <w:t>حد</w:t>
      </w:r>
      <w:r w:rsidR="00F32B28">
        <w:rPr>
          <w:rtl/>
        </w:rPr>
        <w:t xml:space="preserve"> </w:t>
      </w:r>
      <w:r w:rsidR="00F32B28" w:rsidRPr="00F32B28">
        <w:rPr>
          <w:rtl/>
        </w:rPr>
        <w:t>سواء</w:t>
      </w:r>
      <w:r w:rsidR="00F32B28">
        <w:rPr>
          <w:rtl/>
        </w:rPr>
        <w:t xml:space="preserve"> </w:t>
      </w:r>
      <w:r w:rsidR="00F32B28" w:rsidRPr="00F32B28">
        <w:rPr>
          <w:rtl/>
        </w:rPr>
        <w:t>إلى</w:t>
      </w:r>
      <w:r w:rsidR="00F32B28">
        <w:rPr>
          <w:rtl/>
        </w:rPr>
        <w:t xml:space="preserve"> </w:t>
      </w:r>
      <w:r w:rsidR="00F32B28" w:rsidRPr="00F32B28">
        <w:rPr>
          <w:rtl/>
        </w:rPr>
        <w:t>ذريتهم.</w:t>
      </w:r>
    </w:p>
    <w:p w:rsidR="00F32B28" w:rsidRPr="00F32B28" w:rsidRDefault="009C23E0" w:rsidP="009C23E0">
      <w:pPr>
        <w:pStyle w:val="SingleTxt"/>
        <w:rPr>
          <w:rtl/>
        </w:rPr>
      </w:pPr>
      <w:r>
        <w:rPr>
          <w:rFonts w:hint="cs"/>
          <w:rtl/>
        </w:rPr>
        <w:t xml:space="preserve">149 - </w:t>
      </w:r>
      <w:r w:rsidR="00F32B28" w:rsidRPr="00F32B28">
        <w:rPr>
          <w:rtl/>
        </w:rPr>
        <w:t>ورغم</w:t>
      </w:r>
      <w:r w:rsidR="00F32B28">
        <w:rPr>
          <w:rtl/>
        </w:rPr>
        <w:t xml:space="preserve"> </w:t>
      </w:r>
      <w:r w:rsidR="00F32B28" w:rsidRPr="00F32B28">
        <w:rPr>
          <w:rtl/>
        </w:rPr>
        <w:t>تمتع</w:t>
      </w:r>
      <w:r w:rsidR="00F32B28">
        <w:rPr>
          <w:rtl/>
        </w:rPr>
        <w:t xml:space="preserve"> </w:t>
      </w:r>
      <w:r w:rsidR="00F32B28" w:rsidRPr="00F32B28">
        <w:rPr>
          <w:rtl/>
        </w:rPr>
        <w:t>النساء</w:t>
      </w:r>
      <w:r w:rsidR="00F32B28">
        <w:rPr>
          <w:rtl/>
        </w:rPr>
        <w:t xml:space="preserve"> </w:t>
      </w:r>
      <w:r w:rsidR="00F32B28" w:rsidRPr="00F32B28">
        <w:rPr>
          <w:rtl/>
        </w:rPr>
        <w:t>الفلسطينيات</w:t>
      </w:r>
      <w:r w:rsidR="00F32B28">
        <w:rPr>
          <w:rtl/>
        </w:rPr>
        <w:t xml:space="preserve"> </w:t>
      </w:r>
      <w:r w:rsidR="00F32B28" w:rsidRPr="00F32B28">
        <w:rPr>
          <w:rtl/>
        </w:rPr>
        <w:t>في</w:t>
      </w:r>
      <w:r w:rsidR="00F32B28">
        <w:rPr>
          <w:rtl/>
        </w:rPr>
        <w:t xml:space="preserve"> </w:t>
      </w:r>
      <w:r w:rsidR="00F32B28" w:rsidRPr="00F32B28">
        <w:rPr>
          <w:rtl/>
        </w:rPr>
        <w:t>بعض</w:t>
      </w:r>
      <w:r w:rsidR="00F32B28">
        <w:rPr>
          <w:rtl/>
        </w:rPr>
        <w:t xml:space="preserve"> </w:t>
      </w:r>
      <w:r w:rsidR="00F32B28" w:rsidRPr="00F32B28">
        <w:rPr>
          <w:rtl/>
        </w:rPr>
        <w:t>أجزاء</w:t>
      </w:r>
      <w:r w:rsidR="00F32B28">
        <w:rPr>
          <w:rtl/>
        </w:rPr>
        <w:t xml:space="preserve"> </w:t>
      </w:r>
      <w:r w:rsidR="00F32B28" w:rsidRPr="00F32B28">
        <w:rPr>
          <w:rtl/>
        </w:rPr>
        <w:t>فلسطين</w:t>
      </w:r>
      <w:r w:rsidR="00F32B28">
        <w:rPr>
          <w:rtl/>
        </w:rPr>
        <w:t xml:space="preserve"> </w:t>
      </w:r>
      <w:r w:rsidR="00F32B28" w:rsidRPr="00F32B28">
        <w:rPr>
          <w:rtl/>
        </w:rPr>
        <w:t>المحتلة</w:t>
      </w:r>
      <w:r w:rsidR="00F32B28">
        <w:rPr>
          <w:rtl/>
        </w:rPr>
        <w:t xml:space="preserve"> </w:t>
      </w:r>
      <w:r w:rsidR="00F32B28" w:rsidRPr="00F32B28">
        <w:rPr>
          <w:rtl/>
        </w:rPr>
        <w:t>بهذا</w:t>
      </w:r>
      <w:r w:rsidR="00F32B28">
        <w:rPr>
          <w:rtl/>
        </w:rPr>
        <w:t xml:space="preserve"> </w:t>
      </w:r>
      <w:r w:rsidR="00F32B28" w:rsidRPr="00F32B28">
        <w:rPr>
          <w:rtl/>
        </w:rPr>
        <w:t>الحق</w:t>
      </w:r>
      <w:r w:rsidR="00F32B28">
        <w:rPr>
          <w:rtl/>
        </w:rPr>
        <w:t xml:space="preserve"> </w:t>
      </w:r>
      <w:r w:rsidR="00F32B28" w:rsidRPr="00F32B28">
        <w:rPr>
          <w:rtl/>
        </w:rPr>
        <w:t>وعلى</w:t>
      </w:r>
      <w:r w:rsidR="00F32B28">
        <w:rPr>
          <w:rtl/>
        </w:rPr>
        <w:t xml:space="preserve"> </w:t>
      </w:r>
      <w:r w:rsidR="00F32B28" w:rsidRPr="00F32B28">
        <w:rPr>
          <w:rtl/>
        </w:rPr>
        <w:t>قدم</w:t>
      </w:r>
      <w:r w:rsidR="00F32B28">
        <w:rPr>
          <w:rtl/>
        </w:rPr>
        <w:t xml:space="preserve"> </w:t>
      </w:r>
      <w:r w:rsidR="00F32B28" w:rsidRPr="00F32B28">
        <w:rPr>
          <w:rtl/>
        </w:rPr>
        <w:t>المساواة</w:t>
      </w:r>
      <w:r w:rsidR="00F32B28">
        <w:rPr>
          <w:rtl/>
        </w:rPr>
        <w:t xml:space="preserve"> </w:t>
      </w:r>
      <w:r w:rsidR="00F32B28" w:rsidRPr="00F32B28">
        <w:rPr>
          <w:rtl/>
        </w:rPr>
        <w:t>مع</w:t>
      </w:r>
      <w:r w:rsidR="00F32B28">
        <w:rPr>
          <w:rtl/>
        </w:rPr>
        <w:t xml:space="preserve"> </w:t>
      </w:r>
      <w:r w:rsidR="00F32B28" w:rsidRPr="00F32B28">
        <w:rPr>
          <w:rtl/>
        </w:rPr>
        <w:t>الرجال،</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إسرائيل،</w:t>
      </w:r>
      <w:r w:rsidR="00F32B28">
        <w:rPr>
          <w:rtl/>
        </w:rPr>
        <w:t xml:space="preserve"> </w:t>
      </w:r>
      <w:r w:rsidR="00F32B28" w:rsidRPr="00F32B28">
        <w:rPr>
          <w:rtl/>
        </w:rPr>
        <w:t>السلطة</w:t>
      </w:r>
      <w:r w:rsidR="00F32B28">
        <w:rPr>
          <w:rtl/>
        </w:rPr>
        <w:t xml:space="preserve"> </w:t>
      </w:r>
      <w:r w:rsidR="00F32B28" w:rsidRPr="00F32B28">
        <w:rPr>
          <w:rtl/>
        </w:rPr>
        <w:t>القائمة</w:t>
      </w:r>
      <w:r w:rsidR="00F32B28">
        <w:rPr>
          <w:rtl/>
        </w:rPr>
        <w:t xml:space="preserve"> </w:t>
      </w:r>
      <w:r w:rsidR="00F32B28" w:rsidRPr="00F32B28">
        <w:rPr>
          <w:rtl/>
        </w:rPr>
        <w:t>بالاحتلال،</w:t>
      </w:r>
      <w:r w:rsidR="00F32B28">
        <w:rPr>
          <w:rtl/>
        </w:rPr>
        <w:t xml:space="preserve"> </w:t>
      </w:r>
      <w:r w:rsidR="00F32B28" w:rsidRPr="00F32B28">
        <w:rPr>
          <w:rtl/>
        </w:rPr>
        <w:t>ما</w:t>
      </w:r>
      <w:r w:rsidR="00F32B28">
        <w:rPr>
          <w:rtl/>
        </w:rPr>
        <w:t xml:space="preserve"> </w:t>
      </w:r>
      <w:r w:rsidR="00F32B28" w:rsidRPr="00F32B28">
        <w:rPr>
          <w:rtl/>
        </w:rPr>
        <w:t>تزال</w:t>
      </w:r>
      <w:r w:rsidR="00F32B28">
        <w:rPr>
          <w:rtl/>
        </w:rPr>
        <w:t xml:space="preserve"> </w:t>
      </w:r>
      <w:r w:rsidR="00F32B28" w:rsidRPr="00F32B28">
        <w:rPr>
          <w:rtl/>
        </w:rPr>
        <w:t>تجرد</w:t>
      </w:r>
      <w:r w:rsidR="00F32B28">
        <w:rPr>
          <w:rtl/>
        </w:rPr>
        <w:t xml:space="preserve"> </w:t>
      </w:r>
      <w:r w:rsidR="00F32B28" w:rsidRPr="00F32B28">
        <w:rPr>
          <w:rtl/>
        </w:rPr>
        <w:t>باقي</w:t>
      </w:r>
      <w:r w:rsidR="00F32B28">
        <w:rPr>
          <w:rtl/>
        </w:rPr>
        <w:t xml:space="preserve"> </w:t>
      </w:r>
      <w:r w:rsidR="00F32B28" w:rsidRPr="00F32B28">
        <w:rPr>
          <w:rtl/>
        </w:rPr>
        <w:t>النساء</w:t>
      </w:r>
      <w:r w:rsidR="00F32B28">
        <w:rPr>
          <w:rtl/>
        </w:rPr>
        <w:t xml:space="preserve"> </w:t>
      </w:r>
      <w:r w:rsidR="00F32B28" w:rsidRPr="00F32B28">
        <w:rPr>
          <w:rtl/>
        </w:rPr>
        <w:t>الفلسطينيات</w:t>
      </w:r>
      <w:r w:rsidR="00F32B28">
        <w:rPr>
          <w:rtl/>
        </w:rPr>
        <w:t xml:space="preserve"> </w:t>
      </w:r>
      <w:r w:rsidR="00F32B28" w:rsidRPr="00F32B28">
        <w:rPr>
          <w:rtl/>
        </w:rPr>
        <w:t>من</w:t>
      </w:r>
      <w:r w:rsidR="00F32B28">
        <w:rPr>
          <w:rtl/>
        </w:rPr>
        <w:t xml:space="preserve"> </w:t>
      </w:r>
      <w:r w:rsidR="00F32B28" w:rsidRPr="00F32B28">
        <w:rPr>
          <w:rtl/>
        </w:rPr>
        <w:t>هذا</w:t>
      </w:r>
      <w:r w:rsidR="00F32B28">
        <w:rPr>
          <w:rtl/>
        </w:rPr>
        <w:t xml:space="preserve"> </w:t>
      </w:r>
      <w:r w:rsidR="00F32B28" w:rsidRPr="00F32B28">
        <w:rPr>
          <w:rtl/>
        </w:rPr>
        <w:t>الحق</w:t>
      </w:r>
      <w:r w:rsidR="00F32B28">
        <w:rPr>
          <w:rtl/>
        </w:rPr>
        <w:t xml:space="preserve"> </w:t>
      </w:r>
      <w:r w:rsidR="00F32B28" w:rsidRPr="00F32B28">
        <w:rPr>
          <w:rtl/>
        </w:rPr>
        <w:t>وما</w:t>
      </w:r>
      <w:r w:rsidR="00F32B28">
        <w:rPr>
          <w:rtl/>
        </w:rPr>
        <w:t xml:space="preserve"> </w:t>
      </w:r>
      <w:r w:rsidR="00F32B28" w:rsidRPr="00F32B28">
        <w:rPr>
          <w:rtl/>
        </w:rPr>
        <w:t>يترتب</w:t>
      </w:r>
      <w:r w:rsidR="00F32B28">
        <w:rPr>
          <w:rtl/>
        </w:rPr>
        <w:t xml:space="preserve"> </w:t>
      </w:r>
      <w:r w:rsidR="00F32B28" w:rsidRPr="00F32B28">
        <w:rPr>
          <w:rtl/>
        </w:rPr>
        <w:t>عليه</w:t>
      </w:r>
      <w:r w:rsidR="00F32B28">
        <w:rPr>
          <w:rtl/>
        </w:rPr>
        <w:t xml:space="preserve"> </w:t>
      </w:r>
      <w:r w:rsidR="00F32B28" w:rsidRPr="00F32B28">
        <w:rPr>
          <w:rtl/>
        </w:rPr>
        <w:t>من</w:t>
      </w:r>
      <w:r w:rsidR="00F32B28">
        <w:rPr>
          <w:rtl/>
        </w:rPr>
        <w:t xml:space="preserve"> </w:t>
      </w:r>
      <w:r w:rsidR="00F32B28" w:rsidRPr="00F32B28">
        <w:rPr>
          <w:rtl/>
        </w:rPr>
        <w:t>مكتسبات</w:t>
      </w:r>
      <w:r w:rsidR="00F32B28">
        <w:rPr>
          <w:rtl/>
        </w:rPr>
        <w:t xml:space="preserve"> </w:t>
      </w:r>
      <w:r w:rsidR="00F32B28" w:rsidRPr="00F32B28">
        <w:rPr>
          <w:rtl/>
        </w:rPr>
        <w:t>وآثار،</w:t>
      </w:r>
      <w:r w:rsidR="00F32B28">
        <w:rPr>
          <w:rtl/>
        </w:rPr>
        <w:t xml:space="preserve"> </w:t>
      </w:r>
      <w:r w:rsidR="00F32B28" w:rsidRPr="00F32B28">
        <w:rPr>
          <w:rtl/>
        </w:rPr>
        <w:t>نتيجة</w:t>
      </w:r>
      <w:r w:rsidR="00F32B28">
        <w:rPr>
          <w:rtl/>
        </w:rPr>
        <w:t xml:space="preserve"> </w:t>
      </w:r>
      <w:r w:rsidR="00F32B28" w:rsidRPr="00F32B28">
        <w:rPr>
          <w:rtl/>
        </w:rPr>
        <w:t>خضوع</w:t>
      </w:r>
      <w:r w:rsidR="00F32B28">
        <w:rPr>
          <w:rtl/>
        </w:rPr>
        <w:t xml:space="preserve"> </w:t>
      </w:r>
      <w:r w:rsidR="00F32B28" w:rsidRPr="00F32B28">
        <w:rPr>
          <w:rtl/>
        </w:rPr>
        <w:t>جزء</w:t>
      </w:r>
      <w:r w:rsidR="00F32B28">
        <w:rPr>
          <w:rtl/>
        </w:rPr>
        <w:t xml:space="preserve"> </w:t>
      </w:r>
      <w:r w:rsidR="00F32B28" w:rsidRPr="00F32B28">
        <w:rPr>
          <w:rtl/>
        </w:rPr>
        <w:t>منهن</w:t>
      </w:r>
      <w:r w:rsidR="00F32B28">
        <w:rPr>
          <w:rtl/>
        </w:rPr>
        <w:t xml:space="preserve"> </w:t>
      </w:r>
      <w:r w:rsidR="00F32B28" w:rsidRPr="00F32B28">
        <w:rPr>
          <w:rtl/>
        </w:rPr>
        <w:t>لقوانين</w:t>
      </w:r>
      <w:r w:rsidR="00F32B28">
        <w:rPr>
          <w:rtl/>
        </w:rPr>
        <w:t xml:space="preserve"> </w:t>
      </w:r>
      <w:r w:rsidR="00F32B28" w:rsidRPr="00F32B28">
        <w:rPr>
          <w:rtl/>
        </w:rPr>
        <w:t>إسرائيلية</w:t>
      </w:r>
      <w:r w:rsidR="00F32B28">
        <w:rPr>
          <w:rtl/>
        </w:rPr>
        <w:t xml:space="preserve"> </w:t>
      </w:r>
      <w:r w:rsidR="00F32B28" w:rsidRPr="00F32B28">
        <w:rPr>
          <w:rtl/>
        </w:rPr>
        <w:t>عنصرية</w:t>
      </w:r>
      <w:r w:rsidR="00F32B28">
        <w:rPr>
          <w:rtl/>
        </w:rPr>
        <w:t xml:space="preserve"> </w:t>
      </w:r>
      <w:r w:rsidR="00F32B28" w:rsidRPr="00F32B28">
        <w:rPr>
          <w:rtl/>
        </w:rPr>
        <w:t>مزدوجة،</w:t>
      </w:r>
      <w:r w:rsidR="00F32B28">
        <w:rPr>
          <w:rtl/>
        </w:rPr>
        <w:t xml:space="preserve"> </w:t>
      </w:r>
      <w:r w:rsidR="00F32B28" w:rsidRPr="00F32B28">
        <w:rPr>
          <w:rtl/>
        </w:rPr>
        <w:t>وحرمان</w:t>
      </w:r>
      <w:r w:rsidR="00F32B28">
        <w:rPr>
          <w:rtl/>
        </w:rPr>
        <w:t xml:space="preserve"> </w:t>
      </w:r>
      <w:r w:rsidR="00F32B28" w:rsidRPr="00F32B28">
        <w:rPr>
          <w:rtl/>
        </w:rPr>
        <w:t>ملايين</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من</w:t>
      </w:r>
      <w:r w:rsidR="00F32B28">
        <w:rPr>
          <w:rtl/>
        </w:rPr>
        <w:t xml:space="preserve"> </w:t>
      </w:r>
      <w:r w:rsidR="00F32B28" w:rsidRPr="00F32B28">
        <w:rPr>
          <w:rtl/>
        </w:rPr>
        <w:t>العودة</w:t>
      </w:r>
      <w:r w:rsidR="00F32B28">
        <w:rPr>
          <w:rtl/>
        </w:rPr>
        <w:t xml:space="preserve"> </w:t>
      </w:r>
      <w:r w:rsidR="00F32B28" w:rsidRPr="00F32B28">
        <w:rPr>
          <w:rtl/>
        </w:rPr>
        <w:t>إلى</w:t>
      </w:r>
      <w:r w:rsidR="00F32B28">
        <w:rPr>
          <w:rtl/>
        </w:rPr>
        <w:t xml:space="preserve"> </w:t>
      </w:r>
      <w:r w:rsidR="00F32B28" w:rsidRPr="00F32B28">
        <w:rPr>
          <w:rtl/>
        </w:rPr>
        <w:t>أوطانهن،</w:t>
      </w:r>
      <w:r w:rsidR="00F32B28">
        <w:rPr>
          <w:rtl/>
        </w:rPr>
        <w:t xml:space="preserve"> </w:t>
      </w:r>
      <w:r w:rsidR="00F32B28" w:rsidRPr="00F32B28">
        <w:rPr>
          <w:rtl/>
        </w:rPr>
        <w:t>وذلك</w:t>
      </w:r>
      <w:r w:rsidR="00F32B28">
        <w:rPr>
          <w:rtl/>
        </w:rPr>
        <w:t xml:space="preserve"> </w:t>
      </w:r>
      <w:r w:rsidR="00F32B28" w:rsidRPr="00F32B28">
        <w:rPr>
          <w:rtl/>
        </w:rPr>
        <w:t>يبين</w:t>
      </w:r>
      <w:r w:rsidR="00F32B28">
        <w:rPr>
          <w:rtl/>
        </w:rPr>
        <w:t xml:space="preserve"> </w:t>
      </w:r>
      <w:r w:rsidR="00F32B28" w:rsidRPr="00F32B28">
        <w:rPr>
          <w:rtl/>
        </w:rPr>
        <w:t>على</w:t>
      </w:r>
      <w:r w:rsidR="00F32B28">
        <w:rPr>
          <w:rtl/>
        </w:rPr>
        <w:t xml:space="preserve"> </w:t>
      </w:r>
      <w:r w:rsidR="00F32B28" w:rsidRPr="00F32B28">
        <w:rPr>
          <w:rtl/>
        </w:rPr>
        <w:t>النحو</w:t>
      </w:r>
      <w:r w:rsidR="00F32B28">
        <w:rPr>
          <w:rtl/>
        </w:rPr>
        <w:t xml:space="preserve"> </w:t>
      </w:r>
      <w:r w:rsidR="00F32B28" w:rsidRPr="00F32B28">
        <w:rPr>
          <w:rtl/>
        </w:rPr>
        <w:t>التالي:</w:t>
      </w:r>
      <w:r w:rsidR="00F32B28">
        <w:rPr>
          <w:rtl/>
        </w:rPr>
        <w:t xml:space="preserve"> </w:t>
      </w:r>
    </w:p>
    <w:p w:rsidR="009C23E0" w:rsidRPr="009C23E0" w:rsidRDefault="009C23E0" w:rsidP="009C23E0">
      <w:pPr>
        <w:pStyle w:val="SingleTxt"/>
        <w:spacing w:after="0" w:line="120" w:lineRule="exact"/>
        <w:rPr>
          <w:b/>
          <w:bCs/>
          <w:sz w:val="10"/>
          <w:rtl/>
        </w:rPr>
      </w:pPr>
    </w:p>
    <w:p w:rsidR="00F32B28" w:rsidRPr="00F32B28" w:rsidRDefault="00F32B28" w:rsidP="00F32B28">
      <w:pPr>
        <w:pStyle w:val="SingleTxt"/>
        <w:rPr>
          <w:rtl/>
        </w:rPr>
      </w:pPr>
      <w:r w:rsidRPr="00F32B28">
        <w:rPr>
          <w:b/>
          <w:bCs/>
          <w:rtl/>
        </w:rPr>
        <w:t>النساء</w:t>
      </w:r>
      <w:r>
        <w:rPr>
          <w:b/>
          <w:bCs/>
          <w:rtl/>
        </w:rPr>
        <w:t xml:space="preserve"> </w:t>
      </w:r>
      <w:r w:rsidRPr="00F32B28">
        <w:rPr>
          <w:b/>
          <w:bCs/>
          <w:rtl/>
        </w:rPr>
        <w:t>الفلسطينيات</w:t>
      </w:r>
      <w:r>
        <w:rPr>
          <w:b/>
          <w:bCs/>
          <w:rtl/>
        </w:rPr>
        <w:t xml:space="preserve"> </w:t>
      </w:r>
      <w:r w:rsidRPr="00F32B28">
        <w:rPr>
          <w:b/>
          <w:bCs/>
          <w:rtl/>
        </w:rPr>
        <w:t>المقيمات</w:t>
      </w:r>
      <w:r>
        <w:rPr>
          <w:b/>
          <w:bCs/>
          <w:rtl/>
        </w:rPr>
        <w:t xml:space="preserve"> </w:t>
      </w:r>
      <w:r w:rsidRPr="00F32B28">
        <w:rPr>
          <w:b/>
          <w:bCs/>
          <w:rtl/>
        </w:rPr>
        <w:t>في</w:t>
      </w:r>
      <w:r>
        <w:rPr>
          <w:b/>
          <w:bCs/>
          <w:rtl/>
        </w:rPr>
        <w:t xml:space="preserve"> </w:t>
      </w:r>
      <w:r w:rsidRPr="00F32B28">
        <w:rPr>
          <w:b/>
          <w:bCs/>
          <w:rtl/>
        </w:rPr>
        <w:t>القدس</w:t>
      </w:r>
      <w:r>
        <w:rPr>
          <w:b/>
          <w:bCs/>
          <w:rtl/>
        </w:rPr>
        <w:t xml:space="preserve"> </w:t>
      </w:r>
      <w:r w:rsidRPr="00F32B28">
        <w:rPr>
          <w:b/>
          <w:bCs/>
          <w:rtl/>
        </w:rPr>
        <w:t>الشرقية</w:t>
      </w:r>
      <w:r>
        <w:rPr>
          <w:b/>
          <w:bCs/>
          <w:rtl/>
        </w:rPr>
        <w:t xml:space="preserve"> </w:t>
      </w:r>
      <w:r w:rsidRPr="00F32B28">
        <w:rPr>
          <w:b/>
          <w:bCs/>
          <w:rtl/>
        </w:rPr>
        <w:t>في</w:t>
      </w:r>
      <w:r>
        <w:rPr>
          <w:b/>
          <w:bCs/>
          <w:rtl/>
        </w:rPr>
        <w:t xml:space="preserve"> </w:t>
      </w:r>
      <w:r w:rsidRPr="00F32B28">
        <w:rPr>
          <w:b/>
          <w:bCs/>
          <w:rtl/>
        </w:rPr>
        <w:t>فلسطين</w:t>
      </w:r>
      <w:r>
        <w:rPr>
          <w:b/>
          <w:bCs/>
          <w:rtl/>
        </w:rPr>
        <w:t xml:space="preserve"> </w:t>
      </w:r>
      <w:r w:rsidRPr="00F32B28">
        <w:rPr>
          <w:b/>
          <w:bCs/>
          <w:rtl/>
        </w:rPr>
        <w:t>المحتلة</w:t>
      </w:r>
    </w:p>
    <w:p w:rsidR="00F32B28" w:rsidRPr="00F32B28" w:rsidRDefault="009C23E0" w:rsidP="009C23E0">
      <w:pPr>
        <w:pStyle w:val="SingleTxt"/>
      </w:pPr>
      <w:r>
        <w:rPr>
          <w:rFonts w:hint="cs"/>
          <w:rtl/>
          <w:lang w:bidi="ar-SY"/>
        </w:rPr>
        <w:t xml:space="preserve">150 - </w:t>
      </w:r>
      <w:r w:rsidR="00F32B28" w:rsidRPr="00F32B28">
        <w:rPr>
          <w:rtl/>
          <w:lang w:bidi="ar-SY"/>
        </w:rPr>
        <w:t>يحمل</w:t>
      </w:r>
      <w:r w:rsidR="00F32B28">
        <w:rPr>
          <w:rtl/>
          <w:lang w:bidi="ar-SY"/>
        </w:rPr>
        <w:t xml:space="preserve"> </w:t>
      </w:r>
      <w:r w:rsidR="00F32B28" w:rsidRPr="00F32B28">
        <w:rPr>
          <w:rtl/>
          <w:lang w:bidi="ar-SY"/>
        </w:rPr>
        <w:t>فلسطينيي</w:t>
      </w:r>
      <w:r w:rsidR="00F32B28">
        <w:rPr>
          <w:rtl/>
          <w:lang w:bidi="ar-SY"/>
        </w:rPr>
        <w:t xml:space="preserve"> </w:t>
      </w:r>
      <w:r w:rsidR="00F32B28" w:rsidRPr="00F32B28">
        <w:rPr>
          <w:rtl/>
          <w:lang w:bidi="ar-SY"/>
        </w:rPr>
        <w:t>وفلسطينيات</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الشرقية</w:t>
      </w:r>
      <w:r w:rsidR="00F32B28">
        <w:rPr>
          <w:rtl/>
          <w:lang w:bidi="ar-SY"/>
        </w:rPr>
        <w:t xml:space="preserve"> </w:t>
      </w:r>
      <w:r w:rsidR="00F32B28" w:rsidRPr="00F32B28">
        <w:rPr>
          <w:rtl/>
          <w:lang w:bidi="ar-SY"/>
        </w:rPr>
        <w:t>بطاقات</w:t>
      </w:r>
      <w:r w:rsidR="00F32B28">
        <w:rPr>
          <w:rtl/>
          <w:lang w:bidi="ar-SY"/>
        </w:rPr>
        <w:t xml:space="preserve"> </w:t>
      </w:r>
      <w:r w:rsidR="00F32B28" w:rsidRPr="00F32B28">
        <w:rPr>
          <w:rtl/>
          <w:lang w:bidi="ar-SY"/>
        </w:rPr>
        <w:t>إقامات</w:t>
      </w:r>
      <w:r w:rsidR="00F32B28">
        <w:rPr>
          <w:rtl/>
          <w:lang w:bidi="ar-SY"/>
        </w:rPr>
        <w:t xml:space="preserve"> </w:t>
      </w:r>
      <w:r w:rsidR="00F32B28" w:rsidRPr="00F32B28">
        <w:rPr>
          <w:rtl/>
          <w:lang w:bidi="ar-SY"/>
        </w:rPr>
        <w:t>دائمة،</w:t>
      </w:r>
      <w:r w:rsidR="00F32B28">
        <w:rPr>
          <w:rtl/>
          <w:lang w:bidi="ar-SY"/>
        </w:rPr>
        <w:t xml:space="preserve"> </w:t>
      </w:r>
      <w:r w:rsidR="00F32B28" w:rsidRPr="00F32B28">
        <w:rPr>
          <w:rtl/>
          <w:lang w:bidi="ar-SY"/>
        </w:rPr>
        <w:t>تصدر</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الداخلية</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تخولهم</w:t>
      </w:r>
      <w:r w:rsidR="00F32B28">
        <w:rPr>
          <w:rtl/>
          <w:lang w:bidi="ar-SY"/>
        </w:rPr>
        <w:t xml:space="preserve"> </w:t>
      </w:r>
      <w:r w:rsidR="00F32B28" w:rsidRPr="00F32B28">
        <w:rPr>
          <w:rtl/>
          <w:lang w:bidi="ar-SY"/>
        </w:rPr>
        <w:t>التمتع</w:t>
      </w:r>
      <w:r w:rsidR="00F32B28">
        <w:rPr>
          <w:rtl/>
          <w:lang w:bidi="ar-SY"/>
        </w:rPr>
        <w:t xml:space="preserve"> </w:t>
      </w:r>
      <w:r w:rsidR="00F32B28" w:rsidRPr="00F32B28">
        <w:rPr>
          <w:rtl/>
          <w:lang w:bidi="ar-SY"/>
        </w:rPr>
        <w:t>ببعض</w:t>
      </w:r>
      <w:r w:rsidR="00F32B28">
        <w:rPr>
          <w:rtl/>
          <w:lang w:bidi="ar-SY"/>
        </w:rPr>
        <w:t xml:space="preserve"> </w:t>
      </w:r>
      <w:r w:rsidR="00F32B28" w:rsidRPr="00F32B28">
        <w:rPr>
          <w:rtl/>
          <w:lang w:bidi="ar-SY"/>
        </w:rPr>
        <w:t>الحقوق</w:t>
      </w:r>
      <w:r w:rsidR="00F32B28">
        <w:rPr>
          <w:rtl/>
          <w:lang w:bidi="ar-SY"/>
        </w:rPr>
        <w:t xml:space="preserve"> </w:t>
      </w:r>
      <w:r w:rsidR="00F32B28" w:rsidRPr="00F32B28">
        <w:rPr>
          <w:rtl/>
          <w:lang w:bidi="ar-SY"/>
        </w:rPr>
        <w:t>المجتزئة</w:t>
      </w:r>
      <w:r w:rsidR="00F32B28">
        <w:rPr>
          <w:rtl/>
          <w:lang w:bidi="ar-SY"/>
        </w:rPr>
        <w:t xml:space="preserve"> </w:t>
      </w:r>
      <w:r w:rsidR="00F32B28" w:rsidRPr="00F32B28">
        <w:rPr>
          <w:rtl/>
          <w:lang w:bidi="ar-SY"/>
        </w:rPr>
        <w:t>وتفرض</w:t>
      </w:r>
      <w:r w:rsidR="00F32B28">
        <w:rPr>
          <w:rtl/>
          <w:lang w:bidi="ar-SY"/>
        </w:rPr>
        <w:t xml:space="preserve"> </w:t>
      </w:r>
      <w:r w:rsidR="00F32B28" w:rsidRPr="00F32B28">
        <w:rPr>
          <w:rtl/>
          <w:lang w:bidi="ar-SY"/>
        </w:rPr>
        <w:t>عليهم</w:t>
      </w:r>
      <w:r w:rsidR="00F32B28">
        <w:rPr>
          <w:rtl/>
          <w:lang w:bidi="ar-SY"/>
        </w:rPr>
        <w:t xml:space="preserve"> </w:t>
      </w:r>
      <w:r w:rsidR="00F32B28" w:rsidRPr="00F32B28">
        <w:rPr>
          <w:rtl/>
          <w:lang w:bidi="ar-SY"/>
        </w:rPr>
        <w:t>عقبات</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حصر</w:t>
      </w:r>
      <w:r w:rsidR="00F32B28">
        <w:rPr>
          <w:rtl/>
          <w:lang w:bidi="ar-SY"/>
        </w:rPr>
        <w:t xml:space="preserve"> </w:t>
      </w:r>
      <w:r w:rsidR="00F32B28" w:rsidRPr="00F32B28">
        <w:rPr>
          <w:rtl/>
          <w:lang w:bidi="ar-SY"/>
        </w:rPr>
        <w:t>لها</w:t>
      </w:r>
      <w:r w:rsidR="00F32B28">
        <w:rPr>
          <w:rtl/>
          <w:lang w:bidi="ar-SY"/>
        </w:rPr>
        <w:t xml:space="preserve"> </w:t>
      </w:r>
      <w:r w:rsidR="00F32B28" w:rsidRPr="00F32B28">
        <w:rPr>
          <w:rtl/>
          <w:lang w:bidi="ar-SY"/>
        </w:rPr>
        <w:t>بخصوص</w:t>
      </w:r>
      <w:r w:rsidR="00F32B28">
        <w:rPr>
          <w:rtl/>
          <w:lang w:bidi="ar-SY"/>
        </w:rPr>
        <w:t xml:space="preserve"> </w:t>
      </w:r>
      <w:r w:rsidR="00F32B28" w:rsidRPr="00F32B28">
        <w:rPr>
          <w:rtl/>
          <w:lang w:bidi="ar-SY"/>
        </w:rPr>
        <w:t>اكتسابها</w:t>
      </w:r>
      <w:r w:rsidR="00F32B28">
        <w:rPr>
          <w:rtl/>
          <w:lang w:bidi="ar-SY"/>
        </w:rPr>
        <w:t xml:space="preserve"> </w:t>
      </w:r>
      <w:r w:rsidR="00F32B28" w:rsidRPr="00F32B28">
        <w:rPr>
          <w:rtl/>
          <w:lang w:bidi="ar-SY"/>
        </w:rPr>
        <w:t>أو</w:t>
      </w:r>
      <w:r w:rsidR="009B107D">
        <w:rPr>
          <w:rFonts w:hint="cs"/>
          <w:rtl/>
          <w:lang w:bidi="ar-SY"/>
        </w:rPr>
        <w:t> </w:t>
      </w:r>
      <w:r w:rsidR="00F32B28" w:rsidRPr="00F32B28">
        <w:rPr>
          <w:rtl/>
          <w:lang w:bidi="ar-SY"/>
        </w:rPr>
        <w:t>الاحتفاظ</w:t>
      </w:r>
      <w:r w:rsidR="00F32B28">
        <w:rPr>
          <w:rtl/>
          <w:lang w:bidi="ar-SY"/>
        </w:rPr>
        <w:t xml:space="preserve"> </w:t>
      </w:r>
      <w:r w:rsidR="00F32B28" w:rsidRPr="00F32B28">
        <w:rPr>
          <w:rtl/>
          <w:lang w:bidi="ar-SY"/>
        </w:rPr>
        <w:t>بها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تغييرها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منحها</w:t>
      </w:r>
      <w:r w:rsidR="00F32B28">
        <w:rPr>
          <w:rtl/>
          <w:lang w:bidi="ar-SY"/>
        </w:rPr>
        <w:t xml:space="preserve"> </w:t>
      </w:r>
      <w:r w:rsidR="00F32B28" w:rsidRPr="00F32B28">
        <w:rPr>
          <w:rtl/>
          <w:lang w:bidi="ar-SY"/>
        </w:rPr>
        <w:t>للأزواج</w:t>
      </w:r>
      <w:r w:rsidR="00F32B28">
        <w:rPr>
          <w:rtl/>
          <w:lang w:bidi="ar-SY"/>
        </w:rPr>
        <w:t xml:space="preserve"> </w:t>
      </w:r>
      <w:r w:rsidR="00F32B28" w:rsidRPr="00F32B28">
        <w:rPr>
          <w:rtl/>
          <w:lang w:bidi="ar-SY"/>
        </w:rPr>
        <w:t>والأطفال.</w:t>
      </w:r>
      <w:r w:rsidR="00F32B28">
        <w:rPr>
          <w:rtl/>
          <w:lang w:bidi="ar-SY"/>
        </w:rPr>
        <w:t xml:space="preserve"> </w:t>
      </w:r>
      <w:r w:rsidR="00F32B28" w:rsidRPr="00F32B28">
        <w:rPr>
          <w:rtl/>
          <w:lang w:bidi="ar-SY"/>
        </w:rPr>
        <w:t>ففي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1967،</w:t>
      </w:r>
      <w:r w:rsidR="00F32B28">
        <w:rPr>
          <w:rtl/>
          <w:lang w:bidi="ar-SY"/>
        </w:rPr>
        <w:t xml:space="preserve"> </w:t>
      </w:r>
      <w:r w:rsidR="00F32B28" w:rsidRPr="00F32B28">
        <w:rPr>
          <w:rtl/>
          <w:lang w:bidi="ar-SY"/>
        </w:rPr>
        <w:t>وفور</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الشرعي</w:t>
      </w:r>
      <w:r w:rsidR="00F32B28">
        <w:rPr>
          <w:rtl/>
          <w:lang w:bidi="ar-SY"/>
        </w:rPr>
        <w:t xml:space="preserve"> </w:t>
      </w:r>
      <w:r w:rsidR="00F32B28" w:rsidRPr="00F32B28">
        <w:rPr>
          <w:rtl/>
          <w:lang w:bidi="ar-SY"/>
        </w:rPr>
        <w:t>لمدينة</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قررت</w:t>
      </w:r>
      <w:r w:rsidR="00F32B28">
        <w:rPr>
          <w:rtl/>
          <w:lang w:bidi="ar-SY"/>
        </w:rPr>
        <w:t xml:space="preserve"> </w:t>
      </w:r>
      <w:r w:rsidR="00F32B28" w:rsidRPr="00F32B28">
        <w:rPr>
          <w:rtl/>
          <w:lang w:bidi="ar-SY"/>
        </w:rPr>
        <w:t>سلطات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ضمها</w:t>
      </w:r>
      <w:r w:rsidR="00F32B28">
        <w:rPr>
          <w:rtl/>
          <w:lang w:bidi="ar-SY"/>
        </w:rPr>
        <w:t xml:space="preserve"> </w:t>
      </w:r>
      <w:r w:rsidR="00F32B28" w:rsidRPr="00F32B28">
        <w:rPr>
          <w:rtl/>
          <w:lang w:bidi="ar-SY"/>
        </w:rPr>
        <w:t>لإسرائيل</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شرعي</w:t>
      </w:r>
      <w:r w:rsidR="00362769">
        <w:rPr>
          <w:rFonts w:hint="cs"/>
          <w:rtl/>
          <w:lang w:bidi="ar-SY"/>
        </w:rPr>
        <w:t xml:space="preserve"> </w:t>
      </w:r>
      <w:r w:rsidR="00F32B28" w:rsidRPr="00F32B28">
        <w:rPr>
          <w:rtl/>
          <w:lang w:bidi="ar-SY"/>
        </w:rPr>
        <w:t>وتطبيق</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lastRenderedPageBreak/>
        <w:t>عليها.</w:t>
      </w:r>
      <w:r w:rsidR="00F32B28">
        <w:rPr>
          <w:rtl/>
          <w:lang w:bidi="ar-SY"/>
        </w:rPr>
        <w:t xml:space="preserve"> </w:t>
      </w:r>
      <w:r w:rsidR="00F32B28" w:rsidRPr="00F32B28">
        <w:rPr>
          <w:rtl/>
          <w:lang w:bidi="ar-SY"/>
        </w:rPr>
        <w:t>وكان</w:t>
      </w:r>
      <w:r w:rsidR="00F32B28">
        <w:rPr>
          <w:rtl/>
          <w:lang w:bidi="ar-SY"/>
        </w:rPr>
        <w:t xml:space="preserve"> </w:t>
      </w:r>
      <w:r w:rsidR="00F32B28" w:rsidRPr="00F32B28">
        <w:rPr>
          <w:rtl/>
          <w:lang w:bidi="ar-SY"/>
        </w:rPr>
        <w:t>قرار</w:t>
      </w:r>
      <w:r w:rsidR="00F32B28">
        <w:rPr>
          <w:rtl/>
          <w:lang w:bidi="ar-SY"/>
        </w:rPr>
        <w:t xml:space="preserve"> </w:t>
      </w:r>
      <w:r w:rsidR="00F32B28" w:rsidRPr="00F32B28">
        <w:rPr>
          <w:rtl/>
          <w:lang w:bidi="ar-SY"/>
        </w:rPr>
        <w:t>الضم</w:t>
      </w:r>
      <w:r w:rsidR="00F32B28">
        <w:rPr>
          <w:rtl/>
          <w:lang w:bidi="ar-SY"/>
        </w:rPr>
        <w:t xml:space="preserve"> </w:t>
      </w:r>
      <w:r w:rsidR="00F32B28" w:rsidRPr="00F32B28">
        <w:rPr>
          <w:rtl/>
          <w:lang w:bidi="ar-SY"/>
        </w:rPr>
        <w:t>وانطباق</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المدينة</w:t>
      </w:r>
      <w:r w:rsidR="00F32B28">
        <w:rPr>
          <w:rtl/>
          <w:lang w:bidi="ar-SY"/>
        </w:rPr>
        <w:t xml:space="preserve"> </w:t>
      </w:r>
      <w:r w:rsidR="00F32B28" w:rsidRPr="00F32B28">
        <w:rPr>
          <w:rtl/>
          <w:lang w:bidi="ar-SY"/>
        </w:rPr>
        <w:t>المحتلة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الأدوات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عززت</w:t>
      </w:r>
      <w:r w:rsidR="00F32B28">
        <w:rPr>
          <w:rtl/>
          <w:lang w:bidi="ar-SY"/>
        </w:rPr>
        <w:t xml:space="preserve"> </w:t>
      </w:r>
      <w:r w:rsidR="00F32B28" w:rsidRPr="00F32B28">
        <w:rPr>
          <w:rtl/>
          <w:lang w:bidi="ar-SY"/>
        </w:rPr>
        <w:t>التمييز</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فلسطينيي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وتشتيت</w:t>
      </w:r>
      <w:r w:rsidR="00F32B28">
        <w:rPr>
          <w:rtl/>
          <w:lang w:bidi="ar-SY"/>
        </w:rPr>
        <w:t xml:space="preserve"> </w:t>
      </w:r>
      <w:r w:rsidR="00F32B28" w:rsidRPr="00F32B28">
        <w:rPr>
          <w:rtl/>
          <w:lang w:bidi="ar-SY"/>
        </w:rPr>
        <w:t>المزيد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العائلات</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فقد</w:t>
      </w:r>
      <w:r w:rsidR="00F32B28">
        <w:rPr>
          <w:rtl/>
          <w:lang w:bidi="ar-SY"/>
        </w:rPr>
        <w:t xml:space="preserve"> </w:t>
      </w:r>
      <w:r w:rsidR="00F32B28" w:rsidRPr="00F32B28">
        <w:rPr>
          <w:rtl/>
          <w:lang w:bidi="ar-SY"/>
        </w:rPr>
        <w:t>طبقت</w:t>
      </w:r>
      <w:r w:rsidR="00F32B28">
        <w:rPr>
          <w:rtl/>
          <w:lang w:bidi="ar-SY"/>
        </w:rPr>
        <w:t xml:space="preserve"> </w:t>
      </w:r>
      <w:r w:rsidR="00F32B28" w:rsidRPr="00F32B28">
        <w:rPr>
          <w:rtl/>
          <w:lang w:bidi="ar-SY"/>
        </w:rPr>
        <w:t>سلطات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قوانين</w:t>
      </w:r>
      <w:r w:rsidR="00F32B28">
        <w:rPr>
          <w:rtl/>
          <w:lang w:bidi="ar-SY"/>
        </w:rPr>
        <w:t xml:space="preserve"> </w:t>
      </w:r>
      <w:r w:rsidR="00F32B28" w:rsidRPr="00F32B28">
        <w:rPr>
          <w:rtl/>
          <w:lang w:bidi="ar-SY"/>
        </w:rPr>
        <w:t>تتصف</w:t>
      </w:r>
      <w:r w:rsidR="00F32B28">
        <w:rPr>
          <w:rtl/>
          <w:lang w:bidi="ar-SY"/>
        </w:rPr>
        <w:t xml:space="preserve"> </w:t>
      </w:r>
      <w:r w:rsidR="00F32B28" w:rsidRPr="00F32B28">
        <w:rPr>
          <w:rtl/>
          <w:lang w:bidi="ar-SY"/>
        </w:rPr>
        <w:t>بالازدواجية</w:t>
      </w:r>
      <w:r w:rsidR="00F32B28">
        <w:rPr>
          <w:rtl/>
          <w:lang w:bidi="ar-SY"/>
        </w:rPr>
        <w:t xml:space="preserve"> </w:t>
      </w:r>
      <w:r w:rsidR="00F32B28" w:rsidRPr="00F32B28">
        <w:rPr>
          <w:rtl/>
          <w:lang w:bidi="ar-SY"/>
        </w:rPr>
        <w:t>والعنصرية</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فعاملت</w:t>
      </w:r>
      <w:r w:rsidR="00F32B28">
        <w:rPr>
          <w:rtl/>
          <w:lang w:bidi="ar-SY"/>
        </w:rPr>
        <w:t xml:space="preserve"> </w:t>
      </w:r>
      <w:r w:rsidR="00F32B28" w:rsidRPr="00F32B28">
        <w:rPr>
          <w:rtl/>
          <w:lang w:bidi="ar-SY"/>
        </w:rPr>
        <w:t>اليهود</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أساس</w:t>
      </w:r>
      <w:r w:rsidR="00F32B28">
        <w:rPr>
          <w:rtl/>
          <w:lang w:bidi="ar-SY"/>
        </w:rPr>
        <w:t xml:space="preserve"> </w:t>
      </w:r>
      <w:r w:rsidR="00F32B28" w:rsidRPr="00F32B28">
        <w:rPr>
          <w:rtl/>
          <w:lang w:bidi="ar-SY"/>
        </w:rPr>
        <w:t>قوانين</w:t>
      </w:r>
      <w:r w:rsidR="00F32B28">
        <w:rPr>
          <w:rtl/>
          <w:lang w:bidi="ar-SY"/>
        </w:rPr>
        <w:t xml:space="preserve"> </w:t>
      </w:r>
      <w:r w:rsidR="00F32B28" w:rsidRPr="00F32B28">
        <w:rPr>
          <w:rtl/>
          <w:lang w:bidi="ar-SY"/>
        </w:rPr>
        <w:t>توسع</w:t>
      </w:r>
      <w:r w:rsidR="00F32B28">
        <w:rPr>
          <w:rtl/>
          <w:lang w:bidi="ar-SY"/>
        </w:rPr>
        <w:t xml:space="preserve"> </w:t>
      </w:r>
      <w:r w:rsidR="00F32B28" w:rsidRPr="00F32B28">
        <w:rPr>
          <w:rtl/>
          <w:lang w:bidi="ar-SY"/>
        </w:rPr>
        <w:t>تعريف</w:t>
      </w:r>
      <w:r w:rsidR="00F32B28">
        <w:rPr>
          <w:rtl/>
          <w:lang w:bidi="ar-SY"/>
        </w:rPr>
        <w:t xml:space="preserve"> </w:t>
      </w:r>
      <w:r w:rsidR="00E12813">
        <w:rPr>
          <w:rFonts w:hint="cs"/>
          <w:rtl/>
          <w:lang w:bidi="ar-SY"/>
        </w:rPr>
        <w:t>”</w:t>
      </w:r>
      <w:r w:rsidR="00F32B28" w:rsidRPr="00F32B28">
        <w:rPr>
          <w:rtl/>
          <w:lang w:bidi="ar-SY"/>
        </w:rPr>
        <w:t>اليهودي</w:t>
      </w:r>
      <w:r w:rsidR="00E12813">
        <w:rPr>
          <w:rFonts w:hint="cs"/>
          <w:rtl/>
          <w:lang w:bidi="ar-SY"/>
        </w:rPr>
        <w:t>“</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السبعينيات</w:t>
      </w:r>
      <w:r w:rsidR="00F32B28">
        <w:rPr>
          <w:rtl/>
          <w:lang w:bidi="ar-SY"/>
        </w:rPr>
        <w:t xml:space="preserve"> </w:t>
      </w:r>
      <w:r w:rsidR="00F32B28" w:rsidRPr="00F32B28">
        <w:rPr>
          <w:rtl/>
          <w:lang w:bidi="ar-SY"/>
        </w:rPr>
        <w:t>ليشمل</w:t>
      </w:r>
      <w:r w:rsidR="00F32B28">
        <w:rPr>
          <w:rtl/>
          <w:lang w:bidi="ar-SY"/>
        </w:rPr>
        <w:t xml:space="preserve"> </w:t>
      </w:r>
      <w:r w:rsidR="00F32B28" w:rsidRPr="00F32B28">
        <w:rPr>
          <w:rtl/>
          <w:lang w:bidi="ar-SY"/>
        </w:rPr>
        <w:t>ذريته</w:t>
      </w:r>
      <w:r w:rsidR="00F32B28">
        <w:rPr>
          <w:rtl/>
          <w:lang w:bidi="ar-SY"/>
        </w:rPr>
        <w:t xml:space="preserve"> </w:t>
      </w:r>
      <w:r w:rsidR="00F32B28" w:rsidRPr="00F32B28">
        <w:rPr>
          <w:rtl/>
          <w:lang w:bidi="ar-SY"/>
        </w:rPr>
        <w:t>وأبنائه</w:t>
      </w:r>
      <w:r w:rsidR="00F32B28">
        <w:rPr>
          <w:rtl/>
          <w:lang w:bidi="ar-SY"/>
        </w:rPr>
        <w:t xml:space="preserve"> </w:t>
      </w:r>
      <w:r w:rsidR="00F32B28" w:rsidRPr="00F32B28">
        <w:rPr>
          <w:rtl/>
          <w:lang w:bidi="ar-SY"/>
        </w:rPr>
        <w:t>وأحفاده</w:t>
      </w:r>
      <w:r w:rsidR="00F32B28">
        <w:rPr>
          <w:rtl/>
          <w:lang w:bidi="ar-SY"/>
        </w:rPr>
        <w:t xml:space="preserve"> </w:t>
      </w:r>
      <w:r w:rsidR="00F32B28" w:rsidRPr="00F32B28">
        <w:rPr>
          <w:rtl/>
          <w:lang w:bidi="ar-SY"/>
        </w:rPr>
        <w:t>وأقربائه،</w:t>
      </w:r>
      <w:r w:rsidR="00F32B28">
        <w:rPr>
          <w:rtl/>
          <w:lang w:bidi="ar-SY"/>
        </w:rPr>
        <w:t xml:space="preserve"> </w:t>
      </w:r>
      <w:r w:rsidR="00F32B28" w:rsidRPr="00F32B28">
        <w:rPr>
          <w:rtl/>
          <w:lang w:bidi="ar-SY"/>
        </w:rPr>
        <w:t>وتمنح</w:t>
      </w:r>
      <w:r w:rsidR="00F32B28">
        <w:rPr>
          <w:rtl/>
          <w:lang w:bidi="ar-SY"/>
        </w:rPr>
        <w:t xml:space="preserve"> </w:t>
      </w:r>
      <w:r w:rsidR="00F32B28" w:rsidRPr="00F32B28">
        <w:rPr>
          <w:rtl/>
          <w:lang w:bidi="ar-SY"/>
        </w:rPr>
        <w:t>اليهود</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الهجرة</w:t>
      </w:r>
      <w:r w:rsidR="00F32B28">
        <w:rPr>
          <w:rtl/>
          <w:lang w:bidi="ar-SY"/>
        </w:rPr>
        <w:t xml:space="preserve"> </w:t>
      </w:r>
      <w:r w:rsidR="00F32B28" w:rsidRPr="00F32B28">
        <w:rPr>
          <w:rtl/>
          <w:lang w:bidi="ar-SY"/>
        </w:rPr>
        <w:t>إليها</w:t>
      </w:r>
      <w:r w:rsidR="00F32B28">
        <w:rPr>
          <w:rtl/>
          <w:lang w:bidi="ar-SY"/>
        </w:rPr>
        <w:t xml:space="preserve"> </w:t>
      </w:r>
      <w:r w:rsidR="00F32B28" w:rsidRPr="00F32B28">
        <w:rPr>
          <w:rtl/>
          <w:lang w:bidi="ar-SY"/>
        </w:rPr>
        <w:t>والحصول</w:t>
      </w:r>
      <w:r w:rsidR="00F32B28">
        <w:rPr>
          <w:rtl/>
          <w:lang w:bidi="ar-SY"/>
        </w:rPr>
        <w:t xml:space="preserve"> </w:t>
      </w:r>
      <w:r w:rsidR="00F32B28" w:rsidRPr="00F32B28">
        <w:rPr>
          <w:rtl/>
          <w:lang w:bidi="ar-SY"/>
        </w:rPr>
        <w:t>تلقائياً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الجنسية</w:t>
      </w:r>
      <w:r w:rsidR="00F32B28">
        <w:rPr>
          <w:rtl/>
          <w:lang w:bidi="ar-SY"/>
        </w:rPr>
        <w:t xml:space="preserve"> </w:t>
      </w:r>
      <w:r w:rsidR="00F32B28" w:rsidRPr="00F32B28">
        <w:rPr>
          <w:rtl/>
          <w:lang w:bidi="ar-SY"/>
        </w:rPr>
        <w:t>فور</w:t>
      </w:r>
      <w:r w:rsidR="00F32B28">
        <w:rPr>
          <w:rtl/>
          <w:lang w:bidi="ar-SY"/>
        </w:rPr>
        <w:t xml:space="preserve"> </w:t>
      </w:r>
      <w:r w:rsidR="00F32B28" w:rsidRPr="00F32B28">
        <w:rPr>
          <w:rtl/>
          <w:lang w:bidi="ar-SY"/>
        </w:rPr>
        <w:t>وصولهم؛</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يسمح</w:t>
      </w:r>
      <w:r w:rsidR="00F32B28">
        <w:rPr>
          <w:rtl/>
          <w:lang w:bidi="ar-SY"/>
        </w:rPr>
        <w:t xml:space="preserve"> </w:t>
      </w:r>
      <w:r w:rsidR="00F32B28" w:rsidRPr="00F32B28">
        <w:rPr>
          <w:rtl/>
          <w:lang w:bidi="ar-SY"/>
        </w:rPr>
        <w:t>لأي</w:t>
      </w:r>
      <w:r w:rsidR="00F32B28">
        <w:rPr>
          <w:rtl/>
          <w:lang w:bidi="ar-SY"/>
        </w:rPr>
        <w:t xml:space="preserve"> </w:t>
      </w:r>
      <w:r w:rsidR="00F32B28" w:rsidRPr="00F32B28">
        <w:rPr>
          <w:rtl/>
          <w:lang w:bidi="ar-SY"/>
        </w:rPr>
        <w:t>يهودي</w:t>
      </w:r>
      <w:r w:rsidR="00F32B28">
        <w:rPr>
          <w:rtl/>
          <w:lang w:bidi="ar-SY"/>
        </w:rPr>
        <w:t xml:space="preserve"> </w:t>
      </w:r>
      <w:r w:rsidR="00F32B28" w:rsidRPr="00F32B28">
        <w:rPr>
          <w:rtl/>
          <w:lang w:bidi="ar-SY"/>
        </w:rPr>
        <w:t>نيل</w:t>
      </w:r>
      <w:r w:rsidR="00F32B28">
        <w:rPr>
          <w:rtl/>
          <w:lang w:bidi="ar-SY"/>
        </w:rPr>
        <w:t xml:space="preserve"> </w:t>
      </w:r>
      <w:r w:rsidR="00F32B28" w:rsidRPr="00F32B28">
        <w:rPr>
          <w:rtl/>
          <w:lang w:bidi="ar-SY"/>
        </w:rPr>
        <w:t>الجنسية</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والإقامة</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حين</w:t>
      </w:r>
      <w:r w:rsidR="00F32B28">
        <w:rPr>
          <w:rtl/>
          <w:lang w:bidi="ar-SY"/>
        </w:rPr>
        <w:t xml:space="preserve"> </w:t>
      </w:r>
      <w:r w:rsidR="00F32B28" w:rsidRPr="00F32B28">
        <w:rPr>
          <w:rtl/>
          <w:lang w:bidi="ar-SY"/>
        </w:rPr>
        <w:t>طبقت</w:t>
      </w:r>
      <w:r w:rsidR="00F32B28">
        <w:rPr>
          <w:rtl/>
          <w:lang w:bidi="ar-SY"/>
        </w:rPr>
        <w:t xml:space="preserve"> </w:t>
      </w:r>
      <w:r w:rsidR="00F32B28" w:rsidRPr="00F32B28">
        <w:rPr>
          <w:rtl/>
          <w:lang w:bidi="ar-SY"/>
        </w:rPr>
        <w:t>أحكام</w:t>
      </w:r>
      <w:r w:rsidR="00F32B28">
        <w:rPr>
          <w:rtl/>
          <w:lang w:bidi="ar-SY"/>
        </w:rPr>
        <w:t xml:space="preserve"> </w:t>
      </w:r>
      <w:r w:rsidR="00F32B28" w:rsidRPr="00F32B28">
        <w:rPr>
          <w:rtl/>
          <w:lang w:bidi="ar-SY"/>
        </w:rPr>
        <w:t>عنصرية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الجنسية</w:t>
      </w:r>
      <w:r w:rsidR="00F32B28">
        <w:rPr>
          <w:rtl/>
          <w:lang w:bidi="ar-SY"/>
        </w:rPr>
        <w:t xml:space="preserve"> </w:t>
      </w:r>
      <w:r w:rsidR="00F32B28" w:rsidRPr="00F32B28">
        <w:rPr>
          <w:rtl/>
          <w:lang w:bidi="ar-SY"/>
        </w:rPr>
        <w:t>وقانون</w:t>
      </w:r>
      <w:r w:rsidR="00F32B28">
        <w:rPr>
          <w:rtl/>
          <w:lang w:bidi="ar-SY"/>
        </w:rPr>
        <w:t xml:space="preserve"> </w:t>
      </w:r>
      <w:r w:rsidR="00F32B28" w:rsidRPr="00F32B28">
        <w:rPr>
          <w:rtl/>
          <w:lang w:bidi="ar-SY"/>
        </w:rPr>
        <w:t>الدخول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إسرائيل</w:t>
      </w:r>
      <w:r w:rsidR="00F32B28">
        <w:rPr>
          <w:rtl/>
          <w:lang w:bidi="ar-SY"/>
        </w:rPr>
        <w:t xml:space="preserve"> </w:t>
      </w:r>
      <w:r w:rsidR="00F32B28" w:rsidRPr="00F32B28">
        <w:rPr>
          <w:rtl/>
          <w:lang w:bidi="ar-SY"/>
        </w:rPr>
        <w:t>لسنة</w:t>
      </w:r>
      <w:r w:rsidR="00F32B28">
        <w:rPr>
          <w:rtl/>
          <w:lang w:bidi="ar-SY"/>
        </w:rPr>
        <w:t xml:space="preserve"> </w:t>
      </w:r>
      <w:r w:rsidR="00F32B28" w:rsidRPr="00F32B28">
        <w:rPr>
          <w:rtl/>
          <w:lang w:bidi="ar-SY"/>
        </w:rPr>
        <w:t>1952</w:t>
      </w:r>
      <w:r w:rsidR="00F32B28">
        <w:rPr>
          <w:rtl/>
          <w:lang w:bidi="ar-SY"/>
        </w:rPr>
        <w:t xml:space="preserve"> </w:t>
      </w:r>
      <w:r w:rsidR="00F32B28" w:rsidRPr="00F32B28">
        <w:rPr>
          <w:rtl/>
          <w:lang w:bidi="ar-SY"/>
        </w:rPr>
        <w:t>وأنظمته</w:t>
      </w:r>
      <w:r w:rsidR="00F32B28">
        <w:rPr>
          <w:rtl/>
          <w:lang w:bidi="ar-SY"/>
        </w:rPr>
        <w:t xml:space="preserve"> </w:t>
      </w:r>
      <w:r w:rsidR="00F32B28" w:rsidRPr="00F32B28">
        <w:rPr>
          <w:rtl/>
          <w:lang w:bidi="ar-SY"/>
        </w:rPr>
        <w:t>لسنة</w:t>
      </w:r>
      <w:r w:rsidR="00F32B28">
        <w:rPr>
          <w:rtl/>
          <w:lang w:bidi="ar-SY"/>
        </w:rPr>
        <w:t xml:space="preserve"> </w:t>
      </w:r>
      <w:r w:rsidR="00F32B28" w:rsidRPr="00F32B28">
        <w:rPr>
          <w:rtl/>
          <w:lang w:bidi="ar-SY"/>
        </w:rPr>
        <w:t>1974</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الآخرين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اليهود،</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سكان</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الشرقية</w:t>
      </w:r>
      <w:r w:rsidR="00F32B28">
        <w:rPr>
          <w:rtl/>
          <w:lang w:bidi="ar-SY"/>
        </w:rPr>
        <w:t xml:space="preserve"> </w:t>
      </w:r>
      <w:r w:rsidR="00F32B28" w:rsidRPr="00F32B28">
        <w:rPr>
          <w:rtl/>
          <w:lang w:bidi="ar-SY"/>
        </w:rPr>
        <w:t>معتبرة</w:t>
      </w:r>
      <w:r w:rsidR="00F32B28">
        <w:rPr>
          <w:rtl/>
          <w:lang w:bidi="ar-SY"/>
        </w:rPr>
        <w:t xml:space="preserve"> </w:t>
      </w:r>
      <w:r w:rsidR="00F32B28" w:rsidRPr="00F32B28">
        <w:rPr>
          <w:rtl/>
          <w:lang w:bidi="ar-SY"/>
        </w:rPr>
        <w:t>إياهم</w:t>
      </w:r>
      <w:r w:rsidR="00F32B28">
        <w:rPr>
          <w:rtl/>
          <w:lang w:bidi="ar-SY"/>
        </w:rPr>
        <w:t xml:space="preserve"> </w:t>
      </w:r>
      <w:r w:rsidR="00F32B28" w:rsidRPr="00F32B28">
        <w:rPr>
          <w:rtl/>
          <w:lang w:bidi="ar-SY"/>
        </w:rPr>
        <w:t>مقيمين</w:t>
      </w:r>
      <w:r w:rsidR="00F32B28">
        <w:rPr>
          <w:rtl/>
          <w:lang w:bidi="ar-SY"/>
        </w:rPr>
        <w:t xml:space="preserve"> </w:t>
      </w:r>
      <w:r w:rsidR="00F32B28" w:rsidRPr="00F32B28">
        <w:rPr>
          <w:rtl/>
          <w:lang w:bidi="ar-SY"/>
        </w:rPr>
        <w:t>دائمين</w:t>
      </w:r>
      <w:r w:rsidR="00F32B28">
        <w:rPr>
          <w:rtl/>
          <w:lang w:bidi="ar-SY"/>
        </w:rPr>
        <w:t xml:space="preserve"> </w:t>
      </w:r>
      <w:r w:rsidR="00F32B28" w:rsidRPr="00F32B28">
        <w:rPr>
          <w:rtl/>
          <w:lang w:bidi="ar-SY"/>
        </w:rPr>
        <w:t>هناك.</w:t>
      </w:r>
      <w:r w:rsidR="00F32B28">
        <w:rPr>
          <w:rtl/>
          <w:lang w:bidi="ar-SY"/>
        </w:rPr>
        <w:t xml:space="preserve"> </w:t>
      </w:r>
    </w:p>
    <w:p w:rsidR="00F32B28" w:rsidRPr="00F32B28" w:rsidRDefault="009C23E0" w:rsidP="009B107D">
      <w:pPr>
        <w:pStyle w:val="SingleTxt"/>
      </w:pPr>
      <w:r>
        <w:rPr>
          <w:rFonts w:hint="cs"/>
          <w:rtl/>
          <w:lang w:bidi="ar-SY"/>
        </w:rPr>
        <w:t xml:space="preserve">151 - </w:t>
      </w:r>
      <w:r w:rsidR="00F32B28" w:rsidRPr="00F32B28">
        <w:rPr>
          <w:rtl/>
          <w:lang w:bidi="ar-SY"/>
        </w:rPr>
        <w:t>وبعكس</w:t>
      </w:r>
      <w:r w:rsidR="00F32B28">
        <w:rPr>
          <w:rtl/>
          <w:lang w:bidi="ar-SY"/>
        </w:rPr>
        <w:t xml:space="preserve"> </w:t>
      </w:r>
      <w:r w:rsidR="00F32B28" w:rsidRPr="00F32B28">
        <w:rPr>
          <w:rtl/>
          <w:lang w:bidi="ar-SY"/>
        </w:rPr>
        <w:t>حامل</w:t>
      </w:r>
      <w:r w:rsidR="00F32B28">
        <w:rPr>
          <w:rtl/>
          <w:lang w:bidi="ar-SY"/>
        </w:rPr>
        <w:t xml:space="preserve"> </w:t>
      </w:r>
      <w:r w:rsidR="00F32B28" w:rsidRPr="00F32B28">
        <w:rPr>
          <w:rtl/>
          <w:lang w:bidi="ar-SY"/>
        </w:rPr>
        <w:t>الجنسية،</w:t>
      </w:r>
      <w:r w:rsidR="00F32B28">
        <w:rPr>
          <w:rtl/>
          <w:lang w:bidi="ar-SY"/>
        </w:rPr>
        <w:t xml:space="preserve"> </w:t>
      </w:r>
      <w:r w:rsidR="00F32B28" w:rsidRPr="00F32B28">
        <w:rPr>
          <w:rtl/>
          <w:lang w:bidi="ar-SY"/>
        </w:rPr>
        <w:t>يلتزم</w:t>
      </w:r>
      <w:r w:rsidR="00F32B28">
        <w:rPr>
          <w:rtl/>
          <w:lang w:bidi="ar-SY"/>
        </w:rPr>
        <w:t xml:space="preserve"> </w:t>
      </w:r>
      <w:r w:rsidR="00E12813">
        <w:rPr>
          <w:rFonts w:hint="cs"/>
          <w:rtl/>
          <w:lang w:bidi="ar-SY"/>
        </w:rPr>
        <w:t>”</w:t>
      </w:r>
      <w:r w:rsidR="00F32B28" w:rsidRPr="00F32B28">
        <w:rPr>
          <w:rtl/>
          <w:lang w:bidi="ar-SY"/>
        </w:rPr>
        <w:t>المقيم</w:t>
      </w:r>
      <w:r w:rsidR="00F32B28">
        <w:rPr>
          <w:rtl/>
          <w:lang w:bidi="ar-SY"/>
        </w:rPr>
        <w:t xml:space="preserve"> </w:t>
      </w:r>
      <w:r w:rsidR="00F32B28" w:rsidRPr="00F32B28">
        <w:rPr>
          <w:rtl/>
          <w:lang w:bidi="ar-SY"/>
        </w:rPr>
        <w:t>الدائم</w:t>
      </w:r>
      <w:r w:rsidR="00E12813">
        <w:rPr>
          <w:rFonts w:hint="cs"/>
          <w:rtl/>
          <w:lang w:bidi="ar-SY"/>
        </w:rPr>
        <w:t>“</w:t>
      </w:r>
      <w:r w:rsidR="00F32B28">
        <w:rPr>
          <w:rtl/>
          <w:lang w:bidi="ar-SY"/>
        </w:rPr>
        <w:t xml:space="preserve"> </w:t>
      </w:r>
      <w:r w:rsidR="00F32B28" w:rsidRPr="00F32B28">
        <w:rPr>
          <w:rtl/>
          <w:lang w:bidi="ar-SY"/>
        </w:rPr>
        <w:t>مرة</w:t>
      </w:r>
      <w:r w:rsidR="00F32B28">
        <w:rPr>
          <w:rtl/>
          <w:lang w:bidi="ar-SY"/>
        </w:rPr>
        <w:t xml:space="preserve"> </w:t>
      </w:r>
      <w:r w:rsidR="00F32B28" w:rsidRPr="00F32B28">
        <w:rPr>
          <w:rtl/>
          <w:lang w:bidi="ar-SY"/>
        </w:rPr>
        <w:t>تلو</w:t>
      </w:r>
      <w:r w:rsidR="00F32B28">
        <w:rPr>
          <w:rtl/>
          <w:lang w:bidi="ar-SY"/>
        </w:rPr>
        <w:t xml:space="preserve"> </w:t>
      </w:r>
      <w:r w:rsidR="00F32B28" w:rsidRPr="00F32B28">
        <w:rPr>
          <w:rtl/>
          <w:lang w:bidi="ar-SY"/>
        </w:rPr>
        <w:t>الأخرى</w:t>
      </w:r>
      <w:r w:rsidR="00F32B28">
        <w:rPr>
          <w:rtl/>
          <w:lang w:bidi="ar-SY"/>
        </w:rPr>
        <w:t xml:space="preserve"> </w:t>
      </w:r>
      <w:r w:rsidR="00F32B28" w:rsidRPr="00F32B28">
        <w:rPr>
          <w:rtl/>
          <w:lang w:bidi="ar-SY"/>
        </w:rPr>
        <w:t>ولمدى</w:t>
      </w:r>
      <w:r w:rsidR="00F32B28">
        <w:rPr>
          <w:rtl/>
          <w:lang w:bidi="ar-SY"/>
        </w:rPr>
        <w:t xml:space="preserve"> </w:t>
      </w:r>
      <w:r w:rsidR="00F32B28" w:rsidRPr="00F32B28">
        <w:rPr>
          <w:rtl/>
          <w:lang w:bidi="ar-SY"/>
        </w:rPr>
        <w:t>الحياة</w:t>
      </w:r>
      <w:r w:rsidR="00F32B28">
        <w:rPr>
          <w:rtl/>
          <w:lang w:bidi="ar-SY"/>
        </w:rPr>
        <w:t xml:space="preserve"> </w:t>
      </w:r>
      <w:r w:rsidR="00F32B28" w:rsidRPr="00F32B28">
        <w:rPr>
          <w:rtl/>
          <w:lang w:bidi="ar-SY"/>
        </w:rPr>
        <w:t>بإثبات</w:t>
      </w:r>
      <w:r w:rsidR="00F32B28">
        <w:rPr>
          <w:rtl/>
          <w:lang w:bidi="ar-SY"/>
        </w:rPr>
        <w:t xml:space="preserve"> </w:t>
      </w:r>
      <w:r w:rsidR="00E12813">
        <w:rPr>
          <w:rFonts w:hint="cs"/>
          <w:rtl/>
          <w:lang w:bidi="ar-SY"/>
        </w:rPr>
        <w:t>”</w:t>
      </w:r>
      <w:r w:rsidR="00F32B28" w:rsidRPr="00F32B28">
        <w:rPr>
          <w:rtl/>
          <w:lang w:bidi="ar-SY"/>
        </w:rPr>
        <w:t>مركز</w:t>
      </w:r>
      <w:r w:rsidR="00F32B28">
        <w:rPr>
          <w:rtl/>
          <w:lang w:bidi="ar-SY"/>
        </w:rPr>
        <w:t xml:space="preserve"> </w:t>
      </w:r>
      <w:r w:rsidR="00F32B28" w:rsidRPr="00F32B28">
        <w:rPr>
          <w:rtl/>
          <w:lang w:bidi="ar-SY"/>
        </w:rPr>
        <w:t>الحياة</w:t>
      </w:r>
      <w:r w:rsidR="00E12813">
        <w:rPr>
          <w:rFonts w:hint="cs"/>
          <w:rtl/>
          <w:lang w:bidi="ar-SY"/>
        </w:rPr>
        <w:t>“</w:t>
      </w:r>
      <w:r w:rsidR="00F32B28" w:rsidRPr="00F32B28">
        <w:rPr>
          <w:rtl/>
          <w:lang w:bidi="ar-SY"/>
        </w:rPr>
        <w:t>؛</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حقيقة</w:t>
      </w:r>
      <w:r w:rsidR="00F32B28">
        <w:rPr>
          <w:rtl/>
          <w:lang w:bidi="ar-SY"/>
        </w:rPr>
        <w:t xml:space="preserve"> </w:t>
      </w:r>
      <w:r w:rsidR="00F32B28" w:rsidRPr="00F32B28">
        <w:rPr>
          <w:rtl/>
          <w:lang w:bidi="ar-SY"/>
        </w:rPr>
        <w:t>سكنه</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تلقيه</w:t>
      </w:r>
      <w:r w:rsidR="00F32B28">
        <w:rPr>
          <w:rtl/>
          <w:lang w:bidi="ar-SY"/>
        </w:rPr>
        <w:t xml:space="preserve"> </w:t>
      </w:r>
      <w:r w:rsidR="00F32B28" w:rsidRPr="00F32B28">
        <w:rPr>
          <w:rtl/>
          <w:lang w:bidi="ar-SY"/>
        </w:rPr>
        <w:t>للخدمات</w:t>
      </w:r>
      <w:r w:rsidR="00F32B28">
        <w:rPr>
          <w:rtl/>
          <w:lang w:bidi="ar-SY"/>
        </w:rPr>
        <w:t xml:space="preserve"> </w:t>
      </w:r>
      <w:r w:rsidR="00F32B28" w:rsidRPr="00F32B28">
        <w:rPr>
          <w:rtl/>
          <w:lang w:bidi="ar-SY"/>
        </w:rPr>
        <w:t>المقدمة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المؤسسات</w:t>
      </w:r>
      <w:r w:rsidR="00F32B28">
        <w:rPr>
          <w:rtl/>
          <w:lang w:bidi="ar-SY"/>
        </w:rPr>
        <w:t xml:space="preserve"> </w:t>
      </w:r>
      <w:r w:rsidR="00F32B28" w:rsidRPr="00F32B28">
        <w:rPr>
          <w:rtl/>
          <w:lang w:bidi="ar-SY"/>
        </w:rPr>
        <w:t>الحكومية،</w:t>
      </w:r>
      <w:r w:rsidR="00F32B28">
        <w:rPr>
          <w:rtl/>
          <w:lang w:bidi="ar-SY"/>
        </w:rPr>
        <w:t xml:space="preserve"> </w:t>
      </w:r>
      <w:r w:rsidR="00F32B28" w:rsidRPr="00F32B28">
        <w:rPr>
          <w:rtl/>
          <w:lang w:bidi="ar-SY"/>
        </w:rPr>
        <w:t>كاستصدار</w:t>
      </w:r>
      <w:r w:rsidR="00F32B28">
        <w:rPr>
          <w:rtl/>
          <w:lang w:bidi="ar-SY"/>
        </w:rPr>
        <w:t xml:space="preserve"> </w:t>
      </w:r>
      <w:r w:rsidR="00F32B28" w:rsidRPr="00F32B28">
        <w:rPr>
          <w:rtl/>
          <w:lang w:bidi="ar-SY"/>
        </w:rPr>
        <w:t>بطاقات</w:t>
      </w:r>
      <w:r w:rsidR="00F32B28">
        <w:rPr>
          <w:rtl/>
          <w:lang w:bidi="ar-SY"/>
        </w:rPr>
        <w:t xml:space="preserve"> </w:t>
      </w:r>
      <w:r w:rsidR="00F32B28" w:rsidRPr="00F32B28">
        <w:rPr>
          <w:rtl/>
          <w:lang w:bidi="ar-SY"/>
        </w:rPr>
        <w:t>الهوية،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تعد</w:t>
      </w:r>
      <w:r w:rsidR="00F32B28">
        <w:rPr>
          <w:rtl/>
          <w:lang w:bidi="ar-SY"/>
        </w:rPr>
        <w:t xml:space="preserve"> </w:t>
      </w:r>
      <w:r w:rsidR="00F32B28" w:rsidRPr="00F32B28">
        <w:rPr>
          <w:rtl/>
          <w:lang w:bidi="ar-SY"/>
        </w:rPr>
        <w:t>التجسيد</w:t>
      </w:r>
      <w:r w:rsidR="00F32B28">
        <w:rPr>
          <w:rtl/>
          <w:lang w:bidi="ar-SY"/>
        </w:rPr>
        <w:t xml:space="preserve"> </w:t>
      </w:r>
      <w:r w:rsidR="00F32B28" w:rsidRPr="00F32B28">
        <w:rPr>
          <w:rtl/>
          <w:lang w:bidi="ar-SY"/>
        </w:rPr>
        <w:t>العملي</w:t>
      </w:r>
      <w:r w:rsidR="00F32B28">
        <w:rPr>
          <w:rtl/>
          <w:lang w:bidi="ar-SY"/>
        </w:rPr>
        <w:t xml:space="preserve"> </w:t>
      </w:r>
      <w:r w:rsidR="00F32B28" w:rsidRPr="00F32B28">
        <w:rPr>
          <w:rtl/>
          <w:lang w:bidi="ar-SY"/>
        </w:rPr>
        <w:t>للإقامة</w:t>
      </w:r>
      <w:r w:rsidR="00F32B28">
        <w:rPr>
          <w:rtl/>
          <w:lang w:bidi="ar-SY"/>
        </w:rPr>
        <w:t xml:space="preserve"> </w:t>
      </w:r>
      <w:r w:rsidR="00F32B28" w:rsidRPr="00F32B28">
        <w:rPr>
          <w:rtl/>
          <w:lang w:bidi="ar-SY"/>
        </w:rPr>
        <w:t>الدائمة،</w:t>
      </w:r>
      <w:r w:rsidR="00F32B28">
        <w:rPr>
          <w:rtl/>
          <w:lang w:bidi="ar-SY"/>
        </w:rPr>
        <w:t xml:space="preserve"> </w:t>
      </w:r>
      <w:r w:rsidR="00F32B28" w:rsidRPr="00F32B28">
        <w:rPr>
          <w:rtl/>
          <w:lang w:bidi="ar-SY"/>
        </w:rPr>
        <w:t>ووثائق</w:t>
      </w:r>
      <w:r w:rsidR="00F32B28">
        <w:rPr>
          <w:rtl/>
          <w:lang w:bidi="ar-SY"/>
        </w:rPr>
        <w:t xml:space="preserve"> </w:t>
      </w:r>
      <w:r w:rsidR="00F32B28" w:rsidRPr="00F32B28">
        <w:rPr>
          <w:rtl/>
          <w:lang w:bidi="ar-SY"/>
        </w:rPr>
        <w:t>السفر،</w:t>
      </w:r>
      <w:r w:rsidR="00F32B28">
        <w:rPr>
          <w:rtl/>
          <w:lang w:bidi="ar-SY"/>
        </w:rPr>
        <w:t xml:space="preserve"> </w:t>
      </w:r>
      <w:r w:rsidR="00F32B28" w:rsidRPr="00F32B28">
        <w:rPr>
          <w:rtl/>
          <w:lang w:bidi="ar-SY"/>
        </w:rPr>
        <w:t>وتسجيل</w:t>
      </w:r>
      <w:r w:rsidR="00F32B28">
        <w:rPr>
          <w:rtl/>
          <w:lang w:bidi="ar-SY"/>
        </w:rPr>
        <w:t xml:space="preserve"> </w:t>
      </w:r>
      <w:r w:rsidR="00F32B28" w:rsidRPr="00F32B28">
        <w:rPr>
          <w:rtl/>
          <w:lang w:bidi="ar-SY"/>
        </w:rPr>
        <w:t>الزواج</w:t>
      </w:r>
      <w:r w:rsidR="00F32B28">
        <w:rPr>
          <w:rtl/>
          <w:lang w:bidi="ar-SY"/>
        </w:rPr>
        <w:t xml:space="preserve"> </w:t>
      </w:r>
      <w:r w:rsidR="00F32B28" w:rsidRPr="00F32B28">
        <w:rPr>
          <w:rtl/>
          <w:lang w:bidi="ar-SY"/>
        </w:rPr>
        <w:t>والأولاد</w:t>
      </w:r>
      <w:r w:rsidR="00F32B28">
        <w:rPr>
          <w:rtl/>
          <w:lang w:bidi="ar-SY"/>
        </w:rPr>
        <w:t xml:space="preserve"> </w:t>
      </w:r>
      <w:r w:rsidR="00F32B28" w:rsidRPr="00F32B28">
        <w:rPr>
          <w:rtl/>
          <w:lang w:bidi="ar-SY"/>
        </w:rPr>
        <w:t>ووفاة</w:t>
      </w:r>
      <w:r w:rsidR="00F32B28">
        <w:rPr>
          <w:rtl/>
          <w:lang w:bidi="ar-SY"/>
        </w:rPr>
        <w:t xml:space="preserve"> </w:t>
      </w:r>
      <w:r w:rsidR="00F32B28" w:rsidRPr="00F32B28">
        <w:rPr>
          <w:rtl/>
          <w:lang w:bidi="ar-SY"/>
        </w:rPr>
        <w:t>الزوج/ة</w:t>
      </w:r>
      <w:r w:rsidR="00F32B28">
        <w:rPr>
          <w:rtl/>
          <w:lang w:bidi="ar-SY"/>
        </w:rPr>
        <w:t xml:space="preserve"> </w:t>
      </w:r>
      <w:r w:rsidR="00F32B28" w:rsidRPr="00F32B28">
        <w:rPr>
          <w:rtl/>
          <w:lang w:bidi="ar-SY"/>
        </w:rPr>
        <w:t>وغيرها.</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يتوجب</w:t>
      </w:r>
      <w:r w:rsidR="00F32B28">
        <w:rPr>
          <w:rtl/>
          <w:lang w:bidi="ar-SY"/>
        </w:rPr>
        <w:t xml:space="preserve"> </w:t>
      </w:r>
      <w:r w:rsidR="00F32B28" w:rsidRPr="00F32B28">
        <w:rPr>
          <w:rtl/>
          <w:lang w:bidi="ar-SY"/>
        </w:rPr>
        <w:t>عليه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أجل</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إبراز</w:t>
      </w:r>
      <w:r w:rsidR="00F32B28">
        <w:rPr>
          <w:rtl/>
          <w:lang w:bidi="ar-SY"/>
        </w:rPr>
        <w:t xml:space="preserve"> </w:t>
      </w:r>
      <w:r w:rsidR="00F32B28" w:rsidRPr="00F32B28">
        <w:rPr>
          <w:rtl/>
          <w:lang w:bidi="ar-SY"/>
        </w:rPr>
        <w:t>مستندات</w:t>
      </w:r>
      <w:r w:rsidR="00F32B28">
        <w:rPr>
          <w:rtl/>
          <w:lang w:bidi="ar-SY"/>
        </w:rPr>
        <w:t xml:space="preserve"> </w:t>
      </w:r>
      <w:r w:rsidR="00F32B28" w:rsidRPr="00F32B28">
        <w:rPr>
          <w:rtl/>
          <w:lang w:bidi="ar-SY"/>
        </w:rPr>
        <w:t>ثبوتية؛</w:t>
      </w:r>
      <w:r w:rsidR="00F32B28">
        <w:rPr>
          <w:rtl/>
          <w:lang w:bidi="ar-SY"/>
        </w:rPr>
        <w:t xml:space="preserve"> </w:t>
      </w:r>
      <w:r w:rsidR="00F32B28" w:rsidRPr="00F32B28">
        <w:rPr>
          <w:rtl/>
          <w:lang w:bidi="ar-SY"/>
        </w:rPr>
        <w:t>مثل</w:t>
      </w:r>
      <w:r w:rsidR="00F32B28">
        <w:rPr>
          <w:rtl/>
          <w:lang w:bidi="ar-SY"/>
        </w:rPr>
        <w:t xml:space="preserve"> </w:t>
      </w:r>
      <w:r w:rsidR="00F32B28" w:rsidRPr="00F32B28">
        <w:rPr>
          <w:rtl/>
          <w:lang w:bidi="ar-SY"/>
        </w:rPr>
        <w:t>إيصالات</w:t>
      </w:r>
      <w:r w:rsidR="00F32B28">
        <w:rPr>
          <w:rtl/>
          <w:lang w:bidi="ar-SY"/>
        </w:rPr>
        <w:t xml:space="preserve"> </w:t>
      </w:r>
      <w:r w:rsidR="00F32B28" w:rsidRPr="00F32B28">
        <w:rPr>
          <w:rtl/>
          <w:lang w:bidi="ar-SY"/>
        </w:rPr>
        <w:t>الضريبة</w:t>
      </w:r>
      <w:r w:rsidR="00F32B28">
        <w:rPr>
          <w:rtl/>
          <w:lang w:bidi="ar-SY"/>
        </w:rPr>
        <w:t xml:space="preserve"> </w:t>
      </w:r>
      <w:r w:rsidR="00F32B28" w:rsidRPr="00F32B28">
        <w:rPr>
          <w:rtl/>
          <w:lang w:bidi="ar-SY"/>
        </w:rPr>
        <w:t>المسقفات،</w:t>
      </w:r>
      <w:r w:rsidR="00F32B28">
        <w:rPr>
          <w:rtl/>
          <w:lang w:bidi="ar-SY"/>
        </w:rPr>
        <w:t xml:space="preserve"> </w:t>
      </w:r>
      <w:r w:rsidR="00F32B28" w:rsidRPr="00F32B28">
        <w:rPr>
          <w:rtl/>
          <w:lang w:bidi="ar-SY"/>
        </w:rPr>
        <w:t>وفواتير</w:t>
      </w:r>
      <w:r w:rsidR="00F32B28">
        <w:rPr>
          <w:rtl/>
          <w:lang w:bidi="ar-SY"/>
        </w:rPr>
        <w:t xml:space="preserve"> </w:t>
      </w:r>
      <w:r w:rsidR="00F32B28" w:rsidRPr="00F32B28">
        <w:rPr>
          <w:rtl/>
          <w:lang w:bidi="ar-SY"/>
        </w:rPr>
        <w:t>الماء</w:t>
      </w:r>
      <w:r w:rsidR="00F32B28">
        <w:rPr>
          <w:rtl/>
          <w:lang w:bidi="ar-SY"/>
        </w:rPr>
        <w:t xml:space="preserve"> </w:t>
      </w:r>
      <w:r w:rsidR="00F32B28" w:rsidRPr="00F32B28">
        <w:rPr>
          <w:rtl/>
          <w:lang w:bidi="ar-SY"/>
        </w:rPr>
        <w:t>والكهرباء</w:t>
      </w:r>
      <w:r w:rsidR="00F32B28">
        <w:rPr>
          <w:rtl/>
          <w:lang w:bidi="ar-SY"/>
        </w:rPr>
        <w:t xml:space="preserve"> </w:t>
      </w:r>
      <w:r w:rsidR="00F32B28" w:rsidRPr="00F32B28">
        <w:rPr>
          <w:rtl/>
          <w:lang w:bidi="ar-SY"/>
        </w:rPr>
        <w:t>وعقود</w:t>
      </w:r>
      <w:r w:rsidR="00F32B28">
        <w:rPr>
          <w:rtl/>
          <w:lang w:bidi="ar-SY"/>
        </w:rPr>
        <w:t xml:space="preserve"> </w:t>
      </w:r>
      <w:r w:rsidR="00F32B28" w:rsidRPr="00F32B28">
        <w:rPr>
          <w:rtl/>
          <w:lang w:bidi="ar-SY"/>
        </w:rPr>
        <w:t>الإيجار،</w:t>
      </w:r>
      <w:r w:rsidR="00F32B28">
        <w:rPr>
          <w:rtl/>
          <w:lang w:bidi="ar-SY"/>
        </w:rPr>
        <w:t xml:space="preserve"> </w:t>
      </w:r>
      <w:r w:rsidR="00F32B28" w:rsidRPr="00F32B28">
        <w:rPr>
          <w:rtl/>
          <w:lang w:bidi="ar-SY"/>
        </w:rPr>
        <w:t>وشهادات</w:t>
      </w:r>
      <w:r w:rsidR="00F32B28">
        <w:rPr>
          <w:rtl/>
          <w:lang w:bidi="ar-SY"/>
        </w:rPr>
        <w:t xml:space="preserve"> </w:t>
      </w:r>
      <w:r w:rsidR="00F32B28" w:rsidRPr="00F32B28">
        <w:rPr>
          <w:rtl/>
          <w:lang w:bidi="ar-SY"/>
        </w:rPr>
        <w:t>الولادة</w:t>
      </w:r>
      <w:r w:rsidR="00F32B28">
        <w:rPr>
          <w:rtl/>
          <w:lang w:bidi="ar-SY"/>
        </w:rPr>
        <w:t xml:space="preserve"> </w:t>
      </w:r>
      <w:r w:rsidR="00F32B28" w:rsidRPr="00F32B28">
        <w:rPr>
          <w:rtl/>
          <w:lang w:bidi="ar-SY"/>
        </w:rPr>
        <w:t>لإثبات</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أولاده</w:t>
      </w:r>
      <w:r w:rsidR="00F32B28">
        <w:rPr>
          <w:rtl/>
          <w:lang w:bidi="ar-SY"/>
        </w:rPr>
        <w:t xml:space="preserve"> </w:t>
      </w:r>
      <w:r w:rsidR="00F32B28" w:rsidRPr="00F32B28">
        <w:rPr>
          <w:rtl/>
          <w:lang w:bidi="ar-SY"/>
        </w:rPr>
        <w:t>وُلدوا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وشهادات</w:t>
      </w:r>
      <w:r w:rsidR="00F32B28">
        <w:rPr>
          <w:rtl/>
          <w:lang w:bidi="ar-SY"/>
        </w:rPr>
        <w:t xml:space="preserve"> </w:t>
      </w:r>
      <w:r w:rsidR="00F32B28" w:rsidRPr="00F32B28">
        <w:rPr>
          <w:rtl/>
          <w:lang w:bidi="ar-SY"/>
        </w:rPr>
        <w:t>مدرسية</w:t>
      </w:r>
      <w:r w:rsidR="00F32B28">
        <w:rPr>
          <w:rtl/>
          <w:lang w:bidi="ar-SY"/>
        </w:rPr>
        <w:t xml:space="preserve"> </w:t>
      </w:r>
      <w:r w:rsidR="00F32B28" w:rsidRPr="00F32B28">
        <w:rPr>
          <w:rtl/>
          <w:lang w:bidi="ar-SY"/>
        </w:rPr>
        <w:t>مقدسية</w:t>
      </w:r>
      <w:r w:rsidR="00F32B28">
        <w:rPr>
          <w:rtl/>
          <w:lang w:bidi="ar-SY"/>
        </w:rPr>
        <w:t xml:space="preserve"> </w:t>
      </w:r>
      <w:r w:rsidR="00F32B28" w:rsidRPr="00F32B28">
        <w:rPr>
          <w:rtl/>
          <w:lang w:bidi="ar-SY"/>
        </w:rPr>
        <w:t>تؤكد</w:t>
      </w:r>
      <w:r w:rsidR="00F32B28">
        <w:rPr>
          <w:rtl/>
          <w:lang w:bidi="ar-SY"/>
        </w:rPr>
        <w:t xml:space="preserve"> </w:t>
      </w:r>
      <w:r w:rsidR="00F32B28" w:rsidRPr="00F32B28">
        <w:rPr>
          <w:rtl/>
          <w:lang w:bidi="ar-SY"/>
        </w:rPr>
        <w:t>تسجيل</w:t>
      </w:r>
      <w:r w:rsidR="00F32B28">
        <w:rPr>
          <w:rtl/>
          <w:lang w:bidi="ar-SY"/>
        </w:rPr>
        <w:t xml:space="preserve"> </w:t>
      </w:r>
      <w:r w:rsidR="00F32B28" w:rsidRPr="00F32B28">
        <w:rPr>
          <w:rtl/>
          <w:lang w:bidi="ar-SY"/>
        </w:rPr>
        <w:t>الأولاد</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وغيرها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الوثائق.</w:t>
      </w:r>
      <w:r w:rsidR="00F32B28">
        <w:rPr>
          <w:rtl/>
          <w:lang w:bidi="ar-SY"/>
        </w:rPr>
        <w:t xml:space="preserve"> </w:t>
      </w:r>
      <w:r w:rsidR="00F32B28" w:rsidRPr="00F32B28">
        <w:rPr>
          <w:rtl/>
          <w:lang w:bidi="ar-SY"/>
        </w:rPr>
        <w:t>وينطبق</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والرجال</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وكل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يفشل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إثبات</w:t>
      </w:r>
      <w:r w:rsidR="00F32B28">
        <w:rPr>
          <w:rtl/>
          <w:lang w:bidi="ar-SY"/>
        </w:rPr>
        <w:t xml:space="preserve"> </w:t>
      </w:r>
      <w:r w:rsidR="00F32B28" w:rsidRPr="00F32B28">
        <w:rPr>
          <w:rtl/>
          <w:lang w:bidi="ar-SY"/>
        </w:rPr>
        <w:t>سكنه</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يفقد</w:t>
      </w:r>
      <w:r w:rsidR="00F32B28">
        <w:rPr>
          <w:rtl/>
          <w:lang w:bidi="ar-SY"/>
        </w:rPr>
        <w:t xml:space="preserve"> </w:t>
      </w:r>
      <w:r w:rsidR="00F32B28" w:rsidRPr="00F32B28">
        <w:rPr>
          <w:rtl/>
          <w:lang w:bidi="ar-SY"/>
        </w:rPr>
        <w:t>حقه</w:t>
      </w:r>
      <w:r w:rsidR="00F32B28">
        <w:rPr>
          <w:rtl/>
          <w:lang w:bidi="ar-SY"/>
        </w:rPr>
        <w:t xml:space="preserve"> </w:t>
      </w:r>
      <w:r w:rsidR="00F32B28" w:rsidRPr="00F32B28">
        <w:rPr>
          <w:rtl/>
          <w:lang w:bidi="ar-SY"/>
        </w:rPr>
        <w:t>هو</w:t>
      </w:r>
      <w:r w:rsidR="00F32B28">
        <w:rPr>
          <w:rtl/>
          <w:lang w:bidi="ar-SY"/>
        </w:rPr>
        <w:t xml:space="preserve"> </w:t>
      </w:r>
      <w:r w:rsidR="00F32B28" w:rsidRPr="00F32B28">
        <w:rPr>
          <w:rtl/>
          <w:lang w:bidi="ar-SY"/>
        </w:rPr>
        <w:t>وعائلته</w:t>
      </w:r>
      <w:r w:rsidR="00F32B28">
        <w:rPr>
          <w:rtl/>
          <w:lang w:bidi="ar-SY"/>
        </w:rPr>
        <w:t xml:space="preserve"> </w:t>
      </w:r>
      <w:r w:rsidR="00F32B28" w:rsidRPr="00F32B28">
        <w:rPr>
          <w:rtl/>
          <w:lang w:bidi="ar-SY"/>
        </w:rPr>
        <w:t>بالإقامة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جانب</w:t>
      </w:r>
      <w:r w:rsidR="00F32B28">
        <w:rPr>
          <w:rtl/>
          <w:lang w:bidi="ar-SY"/>
        </w:rPr>
        <w:t xml:space="preserve"> </w:t>
      </w:r>
      <w:r w:rsidR="00F32B28" w:rsidRPr="00F32B28">
        <w:rPr>
          <w:rtl/>
          <w:lang w:bidi="ar-SY"/>
        </w:rPr>
        <w:t>حرمانه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الحقوق</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الخاصة</w:t>
      </w:r>
      <w:r w:rsidR="00F32B28">
        <w:rPr>
          <w:rtl/>
          <w:lang w:bidi="ar-SY"/>
        </w:rPr>
        <w:t xml:space="preserve"> </w:t>
      </w:r>
      <w:r w:rsidR="00F32B28" w:rsidRPr="00F32B28">
        <w:rPr>
          <w:rtl/>
          <w:lang w:bidi="ar-SY"/>
        </w:rPr>
        <w:t>به</w:t>
      </w:r>
      <w:r w:rsidR="00F32B28">
        <w:rPr>
          <w:rtl/>
          <w:lang w:bidi="ar-SY"/>
        </w:rPr>
        <w:t xml:space="preserve"> </w:t>
      </w:r>
      <w:r w:rsidR="00F32B28" w:rsidRPr="00F32B28">
        <w:rPr>
          <w:rtl/>
          <w:lang w:bidi="ar-SY"/>
        </w:rPr>
        <w:t>وبعائلته.</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كله</w:t>
      </w:r>
      <w:r w:rsidR="00F32B28">
        <w:rPr>
          <w:rtl/>
          <w:lang w:bidi="ar-SY"/>
        </w:rPr>
        <w:t xml:space="preserve"> </w:t>
      </w:r>
      <w:r w:rsidR="00F32B28" w:rsidRPr="00F32B28">
        <w:rPr>
          <w:rtl/>
          <w:lang w:bidi="ar-SY"/>
        </w:rPr>
        <w:t>بموجب</w:t>
      </w:r>
      <w:r w:rsidR="00F32B28">
        <w:rPr>
          <w:rtl/>
          <w:lang w:bidi="ar-SY"/>
        </w:rPr>
        <w:t xml:space="preserve"> </w:t>
      </w:r>
      <w:r w:rsidR="00F32B28" w:rsidRPr="00F32B28">
        <w:rPr>
          <w:rtl/>
          <w:lang w:bidi="ar-SY"/>
        </w:rPr>
        <w:t>قانون</w:t>
      </w:r>
      <w:r w:rsidR="00F32B28">
        <w:rPr>
          <w:rtl/>
          <w:lang w:bidi="ar-SY"/>
        </w:rPr>
        <w:t xml:space="preserve"> </w:t>
      </w:r>
      <w:r w:rsidR="00E12813">
        <w:rPr>
          <w:rFonts w:hint="cs"/>
          <w:rtl/>
          <w:lang w:bidi="ar-SY"/>
        </w:rPr>
        <w:t>”</w:t>
      </w:r>
      <w:r w:rsidR="00F32B28" w:rsidRPr="00F32B28">
        <w:rPr>
          <w:rtl/>
          <w:lang w:bidi="ar-SY"/>
        </w:rPr>
        <w:t>الدخول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إسرائيل</w:t>
      </w:r>
      <w:r w:rsidR="00E12813">
        <w:rPr>
          <w:rFonts w:hint="cs"/>
          <w:rtl/>
          <w:lang w:bidi="ar-SY"/>
        </w:rPr>
        <w:t>“</w:t>
      </w:r>
      <w:r w:rsidR="00F32B28">
        <w:rPr>
          <w:rtl/>
          <w:lang w:bidi="ar-SY"/>
        </w:rPr>
        <w:t xml:space="preserve"> </w:t>
      </w:r>
      <w:r w:rsidR="00F32B28" w:rsidRPr="00F32B28">
        <w:rPr>
          <w:rtl/>
          <w:lang w:bidi="ar-SY"/>
        </w:rPr>
        <w:t>وأنظمته</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يعطي</w:t>
      </w:r>
      <w:r w:rsidR="00F32B28">
        <w:rPr>
          <w:rtl/>
          <w:lang w:bidi="ar-SY"/>
        </w:rPr>
        <w:t xml:space="preserve"> </w:t>
      </w:r>
      <w:r w:rsidR="00F32B28" w:rsidRPr="00F32B28">
        <w:rPr>
          <w:rtl/>
          <w:lang w:bidi="ar-SY"/>
        </w:rPr>
        <w:t>وزير</w:t>
      </w:r>
      <w:r w:rsidR="00F32B28">
        <w:rPr>
          <w:rtl/>
          <w:lang w:bidi="ar-SY"/>
        </w:rPr>
        <w:t xml:space="preserve"> </w:t>
      </w:r>
      <w:r w:rsidR="00F32B28" w:rsidRPr="00F32B28">
        <w:rPr>
          <w:rtl/>
          <w:lang w:bidi="ar-SY"/>
        </w:rPr>
        <w:t>الداخلية</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صلاحية</w:t>
      </w:r>
      <w:r w:rsidR="00F32B28">
        <w:rPr>
          <w:rtl/>
          <w:lang w:bidi="ar-SY"/>
        </w:rPr>
        <w:t xml:space="preserve"> </w:t>
      </w:r>
      <w:r w:rsidR="00F32B28" w:rsidRPr="00F32B28">
        <w:rPr>
          <w:rtl/>
          <w:lang w:bidi="ar-SY"/>
        </w:rPr>
        <w:t>إلغاء</w:t>
      </w:r>
      <w:r w:rsidR="00F32B28">
        <w:rPr>
          <w:rtl/>
          <w:lang w:bidi="ar-SY"/>
        </w:rPr>
        <w:t xml:space="preserve"> </w:t>
      </w:r>
      <w:r w:rsidR="00F32B28" w:rsidRPr="00F32B28">
        <w:rPr>
          <w:rtl/>
          <w:lang w:bidi="ar-SY"/>
        </w:rPr>
        <w:t>الإقامة</w:t>
      </w:r>
      <w:r w:rsidR="00F32B28">
        <w:rPr>
          <w:rtl/>
          <w:lang w:bidi="ar-SY"/>
        </w:rPr>
        <w:t xml:space="preserve"> </w:t>
      </w:r>
      <w:r w:rsidR="00F32B28" w:rsidRPr="00F32B28">
        <w:rPr>
          <w:rtl/>
          <w:lang w:bidi="ar-SY"/>
        </w:rPr>
        <w:t>الدائمة،</w:t>
      </w:r>
      <w:r w:rsidR="00F32B28">
        <w:rPr>
          <w:rtl/>
          <w:lang w:bidi="ar-SY"/>
        </w:rPr>
        <w:t xml:space="preserve"> </w:t>
      </w:r>
      <w:r w:rsidR="00F32B28" w:rsidRPr="00F32B28">
        <w:rPr>
          <w:rtl/>
          <w:lang w:bidi="ar-SY"/>
        </w:rPr>
        <w:t>طبقاً</w:t>
      </w:r>
      <w:r w:rsidR="00F32B28">
        <w:rPr>
          <w:rtl/>
          <w:lang w:bidi="ar-SY"/>
        </w:rPr>
        <w:t xml:space="preserve"> </w:t>
      </w:r>
      <w:r w:rsidR="00F32B28" w:rsidRPr="00F32B28">
        <w:rPr>
          <w:rtl/>
          <w:lang w:bidi="ar-SY"/>
        </w:rPr>
        <w:t>لبند</w:t>
      </w:r>
      <w:r w:rsidR="00F32B28">
        <w:rPr>
          <w:rtl/>
          <w:lang w:bidi="ar-SY"/>
        </w:rPr>
        <w:t xml:space="preserve"> </w:t>
      </w:r>
      <w:r w:rsidR="00F32B28" w:rsidRPr="00F32B28">
        <w:rPr>
          <w:rtl/>
          <w:lang w:bidi="ar-SY"/>
        </w:rPr>
        <w:t>(11</w:t>
      </w:r>
      <w:r w:rsidR="009B107D">
        <w:rPr>
          <w:rFonts w:hint="cs"/>
          <w:rtl/>
          <w:lang w:bidi="ar-SY"/>
        </w:rPr>
        <w:t xml:space="preserve"> ألف</w:t>
      </w:r>
      <w:r w:rsidR="00F32B28" w:rsidRPr="00F32B28">
        <w:rPr>
          <w:rtl/>
          <w:lang w:bidi="ar-SY"/>
        </w:rPr>
        <w:t>)،</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تنص</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إمكانية</w:t>
      </w:r>
      <w:r w:rsidR="00F32B28">
        <w:rPr>
          <w:rtl/>
          <w:lang w:bidi="ar-SY"/>
        </w:rPr>
        <w:t xml:space="preserve"> </w:t>
      </w:r>
      <w:r w:rsidR="00F32B28" w:rsidRPr="00F32B28">
        <w:rPr>
          <w:rtl/>
          <w:lang w:bidi="ar-SY"/>
        </w:rPr>
        <w:t>إلغاء</w:t>
      </w:r>
      <w:r w:rsidR="00F32B28">
        <w:rPr>
          <w:rtl/>
          <w:lang w:bidi="ar-SY"/>
        </w:rPr>
        <w:t xml:space="preserve"> </w:t>
      </w:r>
      <w:r w:rsidR="00F32B28" w:rsidRPr="00F32B28">
        <w:rPr>
          <w:rtl/>
          <w:lang w:bidi="ar-SY"/>
        </w:rPr>
        <w:t>الإقامة</w:t>
      </w:r>
      <w:r w:rsidR="00F32B28">
        <w:rPr>
          <w:rtl/>
          <w:lang w:bidi="ar-SY"/>
        </w:rPr>
        <w:t xml:space="preserve"> </w:t>
      </w:r>
      <w:r w:rsidR="00F32B28" w:rsidRPr="00F32B28">
        <w:rPr>
          <w:rtl/>
          <w:lang w:bidi="ar-SY"/>
        </w:rPr>
        <w:t>الدائمة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مغادرة</w:t>
      </w:r>
      <w:r w:rsidR="00F32B28">
        <w:rPr>
          <w:rtl/>
          <w:lang w:bidi="ar-SY"/>
        </w:rPr>
        <w:t xml:space="preserve"> </w:t>
      </w:r>
      <w:r w:rsidR="00F32B28" w:rsidRPr="00F32B28">
        <w:rPr>
          <w:rtl/>
          <w:lang w:bidi="ar-SY"/>
        </w:rPr>
        <w:t>البلاد</w:t>
      </w:r>
      <w:r w:rsidR="00F32B28">
        <w:rPr>
          <w:rtl/>
          <w:lang w:bidi="ar-SY"/>
        </w:rPr>
        <w:t xml:space="preserve"> </w:t>
      </w:r>
      <w:r w:rsidR="00F32B28" w:rsidRPr="00F32B28">
        <w:rPr>
          <w:rtl/>
          <w:lang w:bidi="ar-SY"/>
        </w:rPr>
        <w:t>لمدة</w:t>
      </w:r>
      <w:r w:rsidR="00F32B28">
        <w:rPr>
          <w:rtl/>
          <w:lang w:bidi="ar-SY"/>
        </w:rPr>
        <w:t xml:space="preserve"> </w:t>
      </w:r>
      <w:r w:rsidR="00F32B28" w:rsidRPr="00F32B28">
        <w:rPr>
          <w:rtl/>
          <w:lang w:bidi="ar-SY"/>
        </w:rPr>
        <w:t>سبع</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أكثر؛</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لدى</w:t>
      </w:r>
      <w:r w:rsidR="00F32B28">
        <w:rPr>
          <w:rtl/>
          <w:lang w:bidi="ar-SY"/>
        </w:rPr>
        <w:t xml:space="preserve"> </w:t>
      </w:r>
      <w:r w:rsidR="00F32B28" w:rsidRPr="00F32B28">
        <w:rPr>
          <w:rtl/>
          <w:lang w:bidi="ar-SY"/>
        </w:rPr>
        <w:t>الحصول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إقامة</w:t>
      </w:r>
      <w:r w:rsidR="00F32B28">
        <w:rPr>
          <w:rtl/>
          <w:lang w:bidi="ar-SY"/>
        </w:rPr>
        <w:t xml:space="preserve"> </w:t>
      </w:r>
      <w:r w:rsidR="00F32B28" w:rsidRPr="00F32B28">
        <w:rPr>
          <w:rtl/>
          <w:lang w:bidi="ar-SY"/>
        </w:rPr>
        <w:t>دائمة</w:t>
      </w:r>
      <w:r w:rsidR="00F32B28">
        <w:rPr>
          <w:rtl/>
          <w:lang w:bidi="ar-SY"/>
        </w:rPr>
        <w:t xml:space="preserve"> </w:t>
      </w:r>
      <w:r w:rsidR="00F32B28" w:rsidRPr="00F32B28">
        <w:rPr>
          <w:rtl/>
          <w:lang w:bidi="ar-SY"/>
        </w:rPr>
        <w:t>خارج</w:t>
      </w:r>
      <w:r w:rsidR="00F32B28">
        <w:rPr>
          <w:rtl/>
          <w:lang w:bidi="ar-SY"/>
        </w:rPr>
        <w:t xml:space="preserve"> </w:t>
      </w:r>
      <w:r w:rsidR="00F32B28" w:rsidRPr="00F32B28">
        <w:rPr>
          <w:rtl/>
          <w:lang w:bidi="ar-SY"/>
        </w:rPr>
        <w:t>البلاد؛</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لدى</w:t>
      </w:r>
      <w:r w:rsidR="00F32B28">
        <w:rPr>
          <w:rtl/>
          <w:lang w:bidi="ar-SY"/>
        </w:rPr>
        <w:t xml:space="preserve"> </w:t>
      </w:r>
      <w:r w:rsidR="00F32B28" w:rsidRPr="00F32B28">
        <w:rPr>
          <w:rtl/>
          <w:lang w:bidi="ar-SY"/>
        </w:rPr>
        <w:t>الحصول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المواطنة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أخرى</w:t>
      </w:r>
      <w:r w:rsidR="00F32B28">
        <w:rPr>
          <w:rtl/>
          <w:lang w:bidi="ar-SY"/>
        </w:rPr>
        <w:t xml:space="preserve"> </w:t>
      </w:r>
      <w:r w:rsidR="00F32B28" w:rsidRPr="00F32B28">
        <w:rPr>
          <w:rtl/>
          <w:lang w:bidi="ar-SY"/>
        </w:rPr>
        <w:t>عبر</w:t>
      </w:r>
      <w:r w:rsidR="00F32B28">
        <w:rPr>
          <w:rtl/>
          <w:lang w:bidi="ar-SY"/>
        </w:rPr>
        <w:t xml:space="preserve"> </w:t>
      </w:r>
      <w:r w:rsidR="00F32B28" w:rsidRPr="00F32B28">
        <w:rPr>
          <w:rtl/>
          <w:lang w:bidi="ar-SY"/>
        </w:rPr>
        <w:t>التجنس.</w:t>
      </w:r>
      <w:r w:rsidR="00F32B28">
        <w:rPr>
          <w:rtl/>
          <w:lang w:bidi="ar-SY"/>
        </w:rPr>
        <w:t xml:space="preserve"> </w:t>
      </w:r>
      <w:r w:rsidR="00F32B28" w:rsidRPr="00F32B28">
        <w:rPr>
          <w:rtl/>
          <w:lang w:bidi="ar-SY"/>
        </w:rPr>
        <w:t>وهذا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طبقته</w:t>
      </w:r>
      <w:r w:rsidR="00F32B28">
        <w:rPr>
          <w:rtl/>
          <w:lang w:bidi="ar-SY"/>
        </w:rPr>
        <w:t xml:space="preserve"> </w:t>
      </w:r>
      <w:r w:rsidR="00F32B28" w:rsidRPr="00F32B28">
        <w:rPr>
          <w:rtl/>
          <w:lang w:bidi="ar-SY"/>
        </w:rPr>
        <w:t>الحكومات</w:t>
      </w:r>
      <w:r w:rsidR="00F32B28">
        <w:rPr>
          <w:rtl/>
          <w:lang w:bidi="ar-SY"/>
        </w:rPr>
        <w:t xml:space="preserve"> </w:t>
      </w:r>
      <w:r w:rsidR="00F32B28" w:rsidRPr="00F32B28">
        <w:rPr>
          <w:rtl/>
          <w:lang w:bidi="ar-SY"/>
        </w:rPr>
        <w:t>المتعاقبة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بهدف</w:t>
      </w:r>
      <w:r w:rsidR="00F32B28">
        <w:rPr>
          <w:rtl/>
          <w:lang w:bidi="ar-SY"/>
        </w:rPr>
        <w:t xml:space="preserve"> </w:t>
      </w:r>
      <w:r w:rsidR="00F32B28" w:rsidRPr="00F32B28">
        <w:rPr>
          <w:rtl/>
          <w:lang w:bidi="ar-SY"/>
        </w:rPr>
        <w:t>تفريغ</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سكانها</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أولئك</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سكنوا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ضواحي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درسوا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عملوا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الخارج،</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حصلوا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جنسية</w:t>
      </w:r>
      <w:r w:rsidR="00F32B28">
        <w:rPr>
          <w:rtl/>
          <w:lang w:bidi="ar-SY"/>
        </w:rPr>
        <w:t xml:space="preserve"> </w:t>
      </w:r>
      <w:r w:rsidR="00F32B28" w:rsidRPr="00F32B28">
        <w:rPr>
          <w:rtl/>
          <w:lang w:bidi="ar-SY"/>
        </w:rPr>
        <w:t>أجنبية.</w:t>
      </w:r>
      <w:r w:rsidR="00F32B28">
        <w:rPr>
          <w:rtl/>
          <w:lang w:bidi="ar-SY"/>
        </w:rPr>
        <w:t xml:space="preserve"> </w:t>
      </w:r>
    </w:p>
    <w:p w:rsidR="00F32B28" w:rsidRPr="00F32B28" w:rsidRDefault="009C23E0" w:rsidP="009C23E0">
      <w:pPr>
        <w:pStyle w:val="SingleTxt"/>
        <w:rPr>
          <w:rtl/>
          <w:lang w:bidi="ar-SY"/>
        </w:rPr>
      </w:pPr>
      <w:r>
        <w:rPr>
          <w:rFonts w:hint="cs"/>
          <w:rtl/>
          <w:lang w:bidi="ar-SY"/>
        </w:rPr>
        <w:t xml:space="preserve">152 - </w:t>
      </w:r>
      <w:r w:rsidR="00F32B28" w:rsidRPr="00F32B28">
        <w:rPr>
          <w:rtl/>
          <w:lang w:bidi="ar-SY"/>
        </w:rPr>
        <w:t>وبحسب</w:t>
      </w:r>
      <w:r w:rsidR="00F32B28">
        <w:rPr>
          <w:rtl/>
          <w:lang w:bidi="ar-SY"/>
        </w:rPr>
        <w:t xml:space="preserve"> </w:t>
      </w:r>
      <w:r w:rsidR="00F32B28" w:rsidRPr="00F32B28">
        <w:rPr>
          <w:rtl/>
          <w:lang w:bidi="ar-SY"/>
        </w:rPr>
        <w:t>مكتب</w:t>
      </w:r>
      <w:r w:rsidR="00F32B28">
        <w:rPr>
          <w:rtl/>
          <w:lang w:bidi="ar-SY"/>
        </w:rPr>
        <w:t xml:space="preserve"> </w:t>
      </w:r>
      <w:r w:rsidR="00F32B28" w:rsidRPr="00F32B28">
        <w:rPr>
          <w:rtl/>
          <w:lang w:bidi="ar-SY"/>
        </w:rPr>
        <w:t>تنسيق</w:t>
      </w:r>
      <w:r w:rsidR="00F32B28">
        <w:rPr>
          <w:rtl/>
          <w:lang w:bidi="ar-SY"/>
        </w:rPr>
        <w:t xml:space="preserve"> </w:t>
      </w:r>
      <w:r w:rsidR="00F32B28" w:rsidRPr="00F32B28">
        <w:rPr>
          <w:rtl/>
          <w:lang w:bidi="ar-SY"/>
        </w:rPr>
        <w:t>الشؤون</w:t>
      </w:r>
      <w:r w:rsidR="00F32B28">
        <w:rPr>
          <w:rtl/>
          <w:lang w:bidi="ar-SY"/>
        </w:rPr>
        <w:t xml:space="preserve"> </w:t>
      </w:r>
      <w:r w:rsidR="00F32B28" w:rsidRPr="00F32B28">
        <w:rPr>
          <w:rtl/>
          <w:lang w:bidi="ar-SY"/>
        </w:rPr>
        <w:t>الإنسانية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الأراضي</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التابع</w:t>
      </w:r>
      <w:r w:rsidR="00F32B28">
        <w:rPr>
          <w:rtl/>
          <w:lang w:bidi="ar-SY"/>
        </w:rPr>
        <w:t xml:space="preserve"> </w:t>
      </w:r>
      <w:r w:rsidR="00F32B28" w:rsidRPr="00F32B28">
        <w:rPr>
          <w:rtl/>
          <w:lang w:bidi="ar-SY"/>
        </w:rPr>
        <w:t>للأمم</w:t>
      </w:r>
      <w:r w:rsidR="00F32B28">
        <w:rPr>
          <w:rtl/>
          <w:lang w:bidi="ar-SY"/>
        </w:rPr>
        <w:t xml:space="preserve"> </w:t>
      </w:r>
      <w:r w:rsidR="00F32B28" w:rsidRPr="00F32B28">
        <w:rPr>
          <w:rtl/>
          <w:lang w:bidi="ar-SY"/>
        </w:rPr>
        <w:t>المتحدة،</w:t>
      </w:r>
      <w:r w:rsidR="00F32B28">
        <w:rPr>
          <w:rtl/>
          <w:lang w:bidi="ar-SY"/>
        </w:rPr>
        <w:t xml:space="preserve"> </w:t>
      </w:r>
      <w:r w:rsidR="00F32B28" w:rsidRPr="00F32B28">
        <w:rPr>
          <w:rtl/>
        </w:rPr>
        <w:t>يفتقر</w:t>
      </w:r>
      <w:r w:rsidR="00887A70">
        <w:rPr>
          <w:rFonts w:hint="cs"/>
          <w:rtl/>
        </w:rPr>
        <w:t xml:space="preserve"> </w:t>
      </w:r>
      <w:r w:rsidR="00F32B28" w:rsidRPr="00F32B28">
        <w:rPr>
          <w:rtl/>
        </w:rPr>
        <w:t>فلسطيني</w:t>
      </w:r>
      <w:r w:rsidR="00887A70">
        <w:rPr>
          <w:rFonts w:hint="cs"/>
          <w:rtl/>
        </w:rPr>
        <w:t xml:space="preserve"> </w:t>
      </w:r>
      <w:r w:rsidR="00F32B28" w:rsidRPr="00F32B28">
        <w:rPr>
          <w:rtl/>
        </w:rPr>
        <w:t>والقدس</w:t>
      </w:r>
      <w:r w:rsidR="00887A70">
        <w:rPr>
          <w:rFonts w:hint="cs"/>
          <w:rtl/>
        </w:rPr>
        <w:t xml:space="preserve"> </w:t>
      </w:r>
      <w:r w:rsidR="00F32B28" w:rsidRPr="00F32B28">
        <w:rPr>
          <w:rtl/>
        </w:rPr>
        <w:t>الشرقية</w:t>
      </w:r>
      <w:r w:rsidR="00887A70">
        <w:rPr>
          <w:rFonts w:hint="cs"/>
          <w:rtl/>
        </w:rPr>
        <w:t xml:space="preserve"> </w:t>
      </w:r>
      <w:r w:rsidR="00F32B28" w:rsidRPr="00F32B28">
        <w:rPr>
          <w:rtl/>
        </w:rPr>
        <w:t>إلى</w:t>
      </w:r>
      <w:r w:rsidR="00887A70">
        <w:rPr>
          <w:rFonts w:hint="cs"/>
          <w:rtl/>
        </w:rPr>
        <w:t xml:space="preserve"> </w:t>
      </w:r>
      <w:r w:rsidR="00F32B28" w:rsidRPr="00F32B28">
        <w:rPr>
          <w:rtl/>
        </w:rPr>
        <w:t>وضع</w:t>
      </w:r>
      <w:r w:rsidR="00887A70">
        <w:rPr>
          <w:rFonts w:hint="cs"/>
          <w:rtl/>
        </w:rPr>
        <w:t xml:space="preserve"> </w:t>
      </w:r>
      <w:r w:rsidR="00F32B28" w:rsidRPr="00F32B28">
        <w:rPr>
          <w:rtl/>
        </w:rPr>
        <w:t>إقامة</w:t>
      </w:r>
      <w:r w:rsidR="00887A70">
        <w:rPr>
          <w:rFonts w:hint="cs"/>
          <w:rtl/>
        </w:rPr>
        <w:t xml:space="preserve"> </w:t>
      </w:r>
      <w:r w:rsidR="00F32B28" w:rsidRPr="00F32B28">
        <w:rPr>
          <w:rtl/>
        </w:rPr>
        <w:t>قانوني</w:t>
      </w:r>
      <w:r w:rsidR="00887A70">
        <w:rPr>
          <w:rFonts w:hint="cs"/>
          <w:rtl/>
        </w:rPr>
        <w:t xml:space="preserve"> </w:t>
      </w:r>
      <w:r w:rsidR="00F32B28" w:rsidRPr="00F32B28">
        <w:rPr>
          <w:rtl/>
        </w:rPr>
        <w:t>وآمن،</w:t>
      </w:r>
      <w:r w:rsidR="00F32B28">
        <w:rPr>
          <w:rtl/>
        </w:rPr>
        <w:t xml:space="preserve"> </w:t>
      </w:r>
      <w:r w:rsidR="00F32B28" w:rsidRPr="00F32B28">
        <w:rPr>
          <w:rtl/>
        </w:rPr>
        <w:t>حيث</w:t>
      </w:r>
      <w:r w:rsidR="00887A70">
        <w:rPr>
          <w:rFonts w:hint="cs"/>
          <w:rtl/>
        </w:rPr>
        <w:t xml:space="preserve"> </w:t>
      </w:r>
      <w:r w:rsidR="00F32B28" w:rsidRPr="00F32B28">
        <w:rPr>
          <w:rtl/>
        </w:rPr>
        <w:t>ألغت</w:t>
      </w:r>
      <w:r w:rsidR="00887A70">
        <w:rPr>
          <w:rFonts w:hint="cs"/>
          <w:rtl/>
        </w:rPr>
        <w:t xml:space="preserve"> </w:t>
      </w:r>
      <w:r w:rsidR="00F32B28" w:rsidRPr="00F32B28">
        <w:rPr>
          <w:rtl/>
        </w:rPr>
        <w:t>السلطات</w:t>
      </w:r>
      <w:r w:rsidR="00887A70">
        <w:rPr>
          <w:rFonts w:hint="cs"/>
          <w:rtl/>
        </w:rPr>
        <w:t xml:space="preserve"> </w:t>
      </w:r>
      <w:r w:rsidR="00F32B28" w:rsidRPr="00F32B28">
        <w:rPr>
          <w:rtl/>
        </w:rPr>
        <w:t>الإسرائيلية</w:t>
      </w:r>
      <w:r w:rsidR="00887A70">
        <w:rPr>
          <w:rFonts w:hint="cs"/>
          <w:rtl/>
        </w:rPr>
        <w:t xml:space="preserve"> </w:t>
      </w:r>
      <w:r w:rsidR="00F32B28" w:rsidRPr="00F32B28">
        <w:rPr>
          <w:rtl/>
        </w:rPr>
        <w:t>إقامة</w:t>
      </w:r>
      <w:r w:rsidR="00887A70">
        <w:rPr>
          <w:rFonts w:hint="cs"/>
          <w:rtl/>
        </w:rPr>
        <w:t xml:space="preserve"> </w:t>
      </w:r>
      <w:r w:rsidR="00F32B28" w:rsidRPr="00F32B28">
        <w:rPr>
          <w:rtl/>
        </w:rPr>
        <w:t>ما</w:t>
      </w:r>
      <w:r w:rsidR="009B107D">
        <w:rPr>
          <w:rFonts w:hint="eastAsia"/>
          <w:rtl/>
        </w:rPr>
        <w:t> </w:t>
      </w:r>
      <w:r w:rsidR="00F32B28" w:rsidRPr="00F32B28">
        <w:rPr>
          <w:rtl/>
        </w:rPr>
        <w:t>لا</w:t>
      </w:r>
      <w:r w:rsidR="009B107D">
        <w:rPr>
          <w:rFonts w:hint="eastAsia"/>
          <w:rtl/>
        </w:rPr>
        <w:t> </w:t>
      </w:r>
      <w:r w:rsidR="00F32B28" w:rsidRPr="00F32B28">
        <w:rPr>
          <w:rtl/>
        </w:rPr>
        <w:t>يقل</w:t>
      </w:r>
      <w:r w:rsidR="00887A70">
        <w:rPr>
          <w:rFonts w:hint="cs"/>
          <w:rtl/>
        </w:rPr>
        <w:t xml:space="preserve"> </w:t>
      </w:r>
      <w:r w:rsidR="00F32B28" w:rsidRPr="00F32B28">
        <w:rPr>
          <w:rtl/>
        </w:rPr>
        <w:t>على</w:t>
      </w:r>
      <w:r w:rsidR="00F32B28">
        <w:rPr>
          <w:rtl/>
        </w:rPr>
        <w:t xml:space="preserve"> </w:t>
      </w:r>
      <w:r w:rsidR="00887A70">
        <w:rPr>
          <w:rFonts w:hint="cs"/>
          <w:rtl/>
        </w:rPr>
        <w:t>000 14</w:t>
      </w:r>
      <w:r w:rsidR="00F32B28">
        <w:rPr>
          <w:rtl/>
        </w:rPr>
        <w:t xml:space="preserve"> </w:t>
      </w:r>
      <w:r w:rsidR="00F32B28" w:rsidRPr="00F32B28">
        <w:rPr>
          <w:rtl/>
        </w:rPr>
        <w:t>فلسطيني</w:t>
      </w:r>
      <w:r w:rsidR="00887A70">
        <w:rPr>
          <w:rFonts w:hint="cs"/>
          <w:rtl/>
        </w:rPr>
        <w:t xml:space="preserve"> </w:t>
      </w:r>
      <w:r w:rsidR="00F32B28" w:rsidRPr="00F32B28">
        <w:rPr>
          <w:rtl/>
        </w:rPr>
        <w:t>في</w:t>
      </w:r>
      <w:r w:rsidR="00887A70">
        <w:rPr>
          <w:rFonts w:hint="cs"/>
          <w:rtl/>
        </w:rPr>
        <w:t xml:space="preserve"> </w:t>
      </w:r>
      <w:r w:rsidR="00F32B28" w:rsidRPr="00F32B28">
        <w:rPr>
          <w:rtl/>
        </w:rPr>
        <w:t>القدس</w:t>
      </w:r>
      <w:r w:rsidR="00887A70">
        <w:rPr>
          <w:rFonts w:hint="cs"/>
          <w:rtl/>
        </w:rPr>
        <w:t xml:space="preserve"> </w:t>
      </w:r>
      <w:r w:rsidR="00F32B28" w:rsidRPr="00F32B28">
        <w:rPr>
          <w:rtl/>
        </w:rPr>
        <w:t>في</w:t>
      </w:r>
      <w:r w:rsidR="00887A70">
        <w:rPr>
          <w:rFonts w:hint="cs"/>
          <w:rtl/>
        </w:rPr>
        <w:t xml:space="preserve"> </w:t>
      </w:r>
      <w:r w:rsidR="00F32B28" w:rsidRPr="00F32B28">
        <w:rPr>
          <w:rtl/>
        </w:rPr>
        <w:t>الفترة</w:t>
      </w:r>
      <w:r w:rsidR="00887A70">
        <w:rPr>
          <w:rFonts w:hint="cs"/>
          <w:rtl/>
        </w:rPr>
        <w:t xml:space="preserve"> </w:t>
      </w:r>
      <w:r w:rsidR="00F32B28" w:rsidRPr="00F32B28">
        <w:rPr>
          <w:rtl/>
        </w:rPr>
        <w:t>بين</w:t>
      </w:r>
      <w:r w:rsidR="00F32B28">
        <w:rPr>
          <w:rtl/>
        </w:rPr>
        <w:t xml:space="preserve"> </w:t>
      </w:r>
      <w:r w:rsidR="00F32B28" w:rsidRPr="00F32B28">
        <w:rPr>
          <w:rtl/>
        </w:rPr>
        <w:t>1967</w:t>
      </w:r>
      <w:r w:rsidR="00F32B28">
        <w:rPr>
          <w:rtl/>
        </w:rPr>
        <w:t xml:space="preserve"> </w:t>
      </w:r>
      <w:r w:rsidR="00F32B28" w:rsidRPr="00F32B28">
        <w:rPr>
          <w:rtl/>
        </w:rPr>
        <w:t>ومنتصف</w:t>
      </w:r>
      <w:r w:rsidR="00F32B28">
        <w:rPr>
          <w:rtl/>
        </w:rPr>
        <w:t xml:space="preserve"> </w:t>
      </w:r>
      <w:r w:rsidR="00F32B28" w:rsidRPr="00F32B28">
        <w:rPr>
          <w:rtl/>
        </w:rPr>
        <w:t>عام</w:t>
      </w:r>
      <w:r w:rsidR="00F32B28">
        <w:rPr>
          <w:rtl/>
        </w:rPr>
        <w:t xml:space="preserve"> </w:t>
      </w:r>
      <w:r w:rsidR="00F32B28" w:rsidRPr="00F32B28">
        <w:rPr>
          <w:rtl/>
        </w:rPr>
        <w:t>2010.</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حين</w:t>
      </w:r>
      <w:r w:rsidR="00F32B28">
        <w:rPr>
          <w:rtl/>
          <w:lang w:bidi="ar-SY"/>
        </w:rPr>
        <w:t xml:space="preserve"> </w:t>
      </w:r>
      <w:r w:rsidR="00F32B28" w:rsidRPr="00F32B28">
        <w:rPr>
          <w:rtl/>
          <w:lang w:bidi="ar-SY"/>
        </w:rPr>
        <w:t>لم</w:t>
      </w:r>
      <w:r w:rsidR="009B107D">
        <w:rPr>
          <w:rFonts w:hint="cs"/>
          <w:rtl/>
          <w:lang w:bidi="ar-SY"/>
        </w:rPr>
        <w:t> </w:t>
      </w:r>
      <w:r w:rsidR="00F32B28" w:rsidRPr="00F32B28">
        <w:rPr>
          <w:rtl/>
          <w:lang w:bidi="ar-SY"/>
        </w:rPr>
        <w:t>يتجاوز</w:t>
      </w:r>
      <w:r w:rsidR="00F32B28">
        <w:rPr>
          <w:rtl/>
          <w:lang w:bidi="ar-SY"/>
        </w:rPr>
        <w:t xml:space="preserve"> </w:t>
      </w:r>
      <w:r w:rsidR="00F32B28" w:rsidRPr="00F32B28">
        <w:rPr>
          <w:rtl/>
          <w:lang w:bidi="ar-SY"/>
        </w:rPr>
        <w:t>عدد</w:t>
      </w:r>
      <w:r w:rsidR="00F32B28">
        <w:rPr>
          <w:rtl/>
          <w:lang w:bidi="ar-SY"/>
        </w:rPr>
        <w:t xml:space="preserve"> </w:t>
      </w:r>
      <w:r w:rsidR="00F32B28" w:rsidRPr="00F32B28">
        <w:rPr>
          <w:rtl/>
          <w:lang w:bidi="ar-SY"/>
        </w:rPr>
        <w:t>المقدسيين</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استردوا</w:t>
      </w:r>
      <w:r w:rsidR="00F32B28">
        <w:rPr>
          <w:rtl/>
          <w:lang w:bidi="ar-SY"/>
        </w:rPr>
        <w:t xml:space="preserve"> </w:t>
      </w:r>
      <w:r w:rsidR="00F32B28" w:rsidRPr="00F32B28">
        <w:rPr>
          <w:rtl/>
          <w:lang w:bidi="ar-SY"/>
        </w:rPr>
        <w:t>أوضاع</w:t>
      </w:r>
      <w:r w:rsidR="00F32B28">
        <w:rPr>
          <w:rtl/>
          <w:lang w:bidi="ar-SY"/>
        </w:rPr>
        <w:t xml:space="preserve"> </w:t>
      </w:r>
      <w:r w:rsidR="00F32B28" w:rsidRPr="00F32B28">
        <w:rPr>
          <w:rtl/>
          <w:lang w:bidi="ar-SY"/>
        </w:rPr>
        <w:t>إقاماتهم</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بضعة</w:t>
      </w:r>
      <w:r w:rsidR="00F32B28">
        <w:rPr>
          <w:rtl/>
          <w:lang w:bidi="ar-SY"/>
        </w:rPr>
        <w:t xml:space="preserve"> </w:t>
      </w:r>
      <w:r w:rsidR="00F32B28" w:rsidRPr="00F32B28">
        <w:rPr>
          <w:rtl/>
          <w:lang w:bidi="ar-SY"/>
        </w:rPr>
        <w:t>مئات.</w:t>
      </w:r>
    </w:p>
    <w:p w:rsidR="00F32B28" w:rsidRPr="00F32B28" w:rsidRDefault="009C23E0" w:rsidP="009C23E0">
      <w:pPr>
        <w:pStyle w:val="SingleTxt"/>
        <w:rPr>
          <w:rtl/>
          <w:lang w:bidi="ar-SY"/>
        </w:rPr>
      </w:pPr>
      <w:r>
        <w:rPr>
          <w:rFonts w:hint="cs"/>
          <w:rtl/>
          <w:lang w:bidi="ar-SY"/>
        </w:rPr>
        <w:t xml:space="preserve">153 - </w:t>
      </w:r>
      <w:r w:rsidR="00F32B28" w:rsidRPr="00F32B28">
        <w:rPr>
          <w:rtl/>
          <w:lang w:bidi="ar-SY"/>
        </w:rPr>
        <w:t>وعلى</w:t>
      </w:r>
      <w:r w:rsidR="00F32B28">
        <w:rPr>
          <w:rtl/>
          <w:lang w:bidi="ar-SY"/>
        </w:rPr>
        <w:t xml:space="preserve"> </w:t>
      </w:r>
      <w:r w:rsidR="00F32B28" w:rsidRPr="00F32B28">
        <w:rPr>
          <w:rtl/>
          <w:lang w:bidi="ar-SY"/>
        </w:rPr>
        <w:t>صعيد</w:t>
      </w:r>
      <w:r w:rsidR="00F32B28">
        <w:rPr>
          <w:rtl/>
          <w:lang w:bidi="ar-SY"/>
        </w:rPr>
        <w:t xml:space="preserve"> </w:t>
      </w:r>
      <w:r w:rsidR="00F32B28" w:rsidRPr="00F32B28">
        <w:rPr>
          <w:rtl/>
          <w:lang w:bidi="ar-SY"/>
        </w:rPr>
        <w:t>تمييزي</w:t>
      </w:r>
      <w:r w:rsidR="00F32B28">
        <w:rPr>
          <w:rtl/>
          <w:lang w:bidi="ar-SY"/>
        </w:rPr>
        <w:t xml:space="preserve"> </w:t>
      </w:r>
      <w:r w:rsidR="00F32B28" w:rsidRPr="00F32B28">
        <w:rPr>
          <w:rtl/>
          <w:lang w:bidi="ar-SY"/>
        </w:rPr>
        <w:t>آخر،</w:t>
      </w:r>
      <w:r w:rsidR="00F32B28">
        <w:rPr>
          <w:rtl/>
          <w:lang w:bidi="ar-SY"/>
        </w:rPr>
        <w:t xml:space="preserve"> </w:t>
      </w:r>
      <w:r w:rsidR="00F32B28" w:rsidRPr="00F32B28">
        <w:rPr>
          <w:rtl/>
          <w:lang w:bidi="ar-SY"/>
        </w:rPr>
        <w:t>يتوجب</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المقدسيات</w:t>
      </w:r>
      <w:r w:rsidR="00F32B28">
        <w:rPr>
          <w:rtl/>
          <w:lang w:bidi="ar-SY"/>
        </w:rPr>
        <w:t xml:space="preserve"> </w:t>
      </w:r>
      <w:r w:rsidR="00F32B28" w:rsidRPr="00F32B28">
        <w:rPr>
          <w:rtl/>
          <w:lang w:bidi="ar-SY"/>
        </w:rPr>
        <w:t>والمقدسيين</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يتزوجون</w:t>
      </w:r>
      <w:r w:rsidR="00F32B28">
        <w:rPr>
          <w:rtl/>
          <w:lang w:bidi="ar-SY"/>
        </w:rPr>
        <w:t xml:space="preserve"> </w:t>
      </w:r>
      <w:r w:rsidR="00F32B28" w:rsidRPr="00F32B28">
        <w:rPr>
          <w:rtl/>
          <w:lang w:bidi="ar-SY"/>
        </w:rPr>
        <w:t>ممن</w:t>
      </w:r>
      <w:r w:rsidR="00F32B28">
        <w:rPr>
          <w:rtl/>
          <w:lang w:bidi="ar-SY"/>
        </w:rPr>
        <w:t xml:space="preserve"> </w:t>
      </w:r>
      <w:r w:rsidR="00F32B28" w:rsidRPr="00F32B28">
        <w:rPr>
          <w:rtl/>
          <w:lang w:bidi="ar-SY"/>
        </w:rPr>
        <w:t>هم</w:t>
      </w:r>
      <w:r w:rsidR="00F32B28">
        <w:rPr>
          <w:rtl/>
          <w:lang w:bidi="ar-SY"/>
        </w:rPr>
        <w:t xml:space="preserve"> </w:t>
      </w:r>
      <w:r w:rsidR="00F32B28" w:rsidRPr="00F32B28">
        <w:rPr>
          <w:rtl/>
          <w:lang w:bidi="ar-SY"/>
        </w:rPr>
        <w:t>ليسوا</w:t>
      </w:r>
      <w:r w:rsidR="00F32B28">
        <w:rPr>
          <w:rtl/>
          <w:lang w:bidi="ar-SY"/>
        </w:rPr>
        <w:t xml:space="preserve"> </w:t>
      </w:r>
      <w:r w:rsidR="00F32B28" w:rsidRPr="00F32B28">
        <w:rPr>
          <w:rtl/>
          <w:lang w:bidi="ar-SY"/>
        </w:rPr>
        <w:t>مواطنين</w:t>
      </w:r>
      <w:r w:rsidR="00F32B28">
        <w:rPr>
          <w:rtl/>
          <w:lang w:bidi="ar-SY"/>
        </w:rPr>
        <w:t xml:space="preserve"> </w:t>
      </w:r>
      <w:r w:rsidR="00F32B28" w:rsidRPr="00F32B28">
        <w:rPr>
          <w:rtl/>
          <w:lang w:bidi="ar-SY"/>
        </w:rPr>
        <w:t>إسرائيليين</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مقيمين</w:t>
      </w:r>
      <w:r w:rsidR="00F32B28">
        <w:rPr>
          <w:rtl/>
          <w:lang w:bidi="ar-SY"/>
        </w:rPr>
        <w:t xml:space="preserve"> </w:t>
      </w:r>
      <w:r w:rsidR="00F32B28" w:rsidRPr="00F32B28">
        <w:rPr>
          <w:rtl/>
          <w:lang w:bidi="ar-SY"/>
        </w:rPr>
        <w:t>دائمين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تقديم</w:t>
      </w:r>
      <w:r w:rsidR="00F32B28">
        <w:rPr>
          <w:rtl/>
          <w:lang w:bidi="ar-SY"/>
        </w:rPr>
        <w:t xml:space="preserve"> </w:t>
      </w:r>
      <w:r w:rsidR="00F32B28" w:rsidRPr="00F32B28">
        <w:rPr>
          <w:rtl/>
          <w:lang w:bidi="ar-SY"/>
        </w:rPr>
        <w:t>طلب</w:t>
      </w:r>
      <w:r w:rsidR="00F32B28">
        <w:rPr>
          <w:rtl/>
          <w:lang w:bidi="ar-SY"/>
        </w:rPr>
        <w:t xml:space="preserve"> </w:t>
      </w:r>
      <w:r w:rsidR="00E12813">
        <w:rPr>
          <w:rFonts w:hint="cs"/>
          <w:rtl/>
          <w:lang w:bidi="ar-SY"/>
        </w:rPr>
        <w:t>”</w:t>
      </w:r>
      <w:r w:rsidR="00F32B28" w:rsidRPr="00F32B28">
        <w:rPr>
          <w:rtl/>
          <w:lang w:bidi="ar-SY"/>
        </w:rPr>
        <w:t>لم</w:t>
      </w:r>
      <w:r w:rsidR="00F32B28">
        <w:rPr>
          <w:rtl/>
          <w:lang w:bidi="ar-SY"/>
        </w:rPr>
        <w:t xml:space="preserve"> </w:t>
      </w:r>
      <w:r w:rsidR="00F32B28" w:rsidRPr="00F32B28">
        <w:rPr>
          <w:rtl/>
          <w:lang w:bidi="ar-SY"/>
        </w:rPr>
        <w:t>الشمل</w:t>
      </w:r>
      <w:r w:rsidR="00E12813">
        <w:rPr>
          <w:rFonts w:hint="cs"/>
          <w:rtl/>
          <w:lang w:bidi="ar-SY"/>
        </w:rPr>
        <w:t>“</w:t>
      </w:r>
      <w:r w:rsidR="00F32B28">
        <w:rPr>
          <w:rtl/>
          <w:lang w:bidi="ar-SY"/>
        </w:rPr>
        <w:t xml:space="preserve"> </w:t>
      </w:r>
      <w:r w:rsidR="00F32B28" w:rsidRPr="00F32B28">
        <w:rPr>
          <w:rtl/>
          <w:lang w:bidi="ar-SY"/>
        </w:rPr>
        <w:t>ليتمكنوا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العيش</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المدينة</w:t>
      </w:r>
      <w:r w:rsidR="00F32B28">
        <w:rPr>
          <w:rtl/>
          <w:lang w:bidi="ar-SY"/>
        </w:rPr>
        <w:t xml:space="preserve"> </w:t>
      </w:r>
      <w:r w:rsidR="00F32B28" w:rsidRPr="00F32B28">
        <w:rPr>
          <w:rtl/>
          <w:lang w:bidi="ar-SY"/>
        </w:rPr>
        <w:t>كعائلة</w:t>
      </w:r>
      <w:r w:rsidR="00F32B28">
        <w:rPr>
          <w:rtl/>
          <w:lang w:bidi="ar-SY"/>
        </w:rPr>
        <w:t xml:space="preserve"> </w:t>
      </w:r>
      <w:r w:rsidR="00F32B28" w:rsidRPr="00F32B28">
        <w:rPr>
          <w:rtl/>
          <w:lang w:bidi="ar-SY"/>
        </w:rPr>
        <w:t>واحدة</w:t>
      </w:r>
      <w:r w:rsidR="00F32B28">
        <w:rPr>
          <w:rtl/>
          <w:lang w:bidi="ar-SY"/>
        </w:rPr>
        <w:t xml:space="preserve"> </w:t>
      </w:r>
      <w:r w:rsidR="00F32B28" w:rsidRPr="00F32B28">
        <w:rPr>
          <w:rtl/>
          <w:lang w:bidi="ar-SY"/>
        </w:rPr>
        <w:t>بموجب</w:t>
      </w:r>
      <w:r w:rsidR="00F32B28">
        <w:rPr>
          <w:rtl/>
          <w:lang w:bidi="ar-SY"/>
        </w:rPr>
        <w:t xml:space="preserve"> </w:t>
      </w:r>
      <w:r w:rsidR="00F32B28" w:rsidRPr="00F32B28">
        <w:rPr>
          <w:rtl/>
          <w:lang w:bidi="ar-SY"/>
        </w:rPr>
        <w:t>قوانين</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شرعية.</w:t>
      </w:r>
      <w:r w:rsidR="00F32B28">
        <w:rPr>
          <w:rtl/>
          <w:lang w:bidi="ar-SY"/>
        </w:rPr>
        <w:t xml:space="preserve"> </w:t>
      </w:r>
      <w:r w:rsidR="00F32B28" w:rsidRPr="00F32B28">
        <w:rPr>
          <w:rtl/>
          <w:lang w:bidi="ar-SY"/>
        </w:rPr>
        <w:t>فمثلاً،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الحالات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تتزوج</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امرأة</w:t>
      </w:r>
      <w:r w:rsidR="00F32B28">
        <w:rPr>
          <w:rtl/>
          <w:lang w:bidi="ar-SY"/>
        </w:rPr>
        <w:t xml:space="preserve"> </w:t>
      </w:r>
      <w:r w:rsidR="00F32B28" w:rsidRPr="00F32B28">
        <w:rPr>
          <w:rtl/>
          <w:lang w:bidi="ar-SY"/>
        </w:rPr>
        <w:t>فلسطينية</w:t>
      </w:r>
      <w:r w:rsidR="00F32B28">
        <w:rPr>
          <w:rtl/>
          <w:lang w:bidi="ar-SY"/>
        </w:rPr>
        <w:t xml:space="preserve"> </w:t>
      </w:r>
      <w:r w:rsidR="00F32B28" w:rsidRPr="00F32B28">
        <w:rPr>
          <w:rtl/>
          <w:lang w:bidi="ar-SY"/>
        </w:rPr>
        <w:t>مقدسية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رجل</w:t>
      </w:r>
      <w:r w:rsidR="00F32B28">
        <w:rPr>
          <w:rtl/>
          <w:lang w:bidi="ar-SY"/>
        </w:rPr>
        <w:t xml:space="preserve"> </w:t>
      </w:r>
      <w:r w:rsidR="00F32B28" w:rsidRPr="00F32B28">
        <w:rPr>
          <w:rtl/>
          <w:lang w:bidi="ar-SY"/>
        </w:rPr>
        <w:t>فلسطيني</w:t>
      </w:r>
      <w:r w:rsidR="00F32B28" w:rsidRPr="00F32B28">
        <w:rPr>
          <w:rtl/>
        </w:rPr>
        <w:t>يحمل</w:t>
      </w:r>
      <w:r w:rsidR="00F32B28">
        <w:rPr>
          <w:rtl/>
        </w:rPr>
        <w:t xml:space="preserve"> </w:t>
      </w:r>
      <w:r w:rsidR="00F32B28" w:rsidRPr="00F32B28">
        <w:rPr>
          <w:rtl/>
        </w:rPr>
        <w:t>بطاقة</w:t>
      </w:r>
      <w:r w:rsidR="00F32B28">
        <w:rPr>
          <w:rtl/>
        </w:rPr>
        <w:t xml:space="preserve"> </w:t>
      </w:r>
      <w:r w:rsidR="00F32B28" w:rsidRPr="00F32B28">
        <w:rPr>
          <w:rtl/>
        </w:rPr>
        <w:t>هوية</w:t>
      </w:r>
      <w:r w:rsidR="00F32B28">
        <w:rPr>
          <w:rtl/>
        </w:rPr>
        <w:t xml:space="preserve"> </w:t>
      </w:r>
      <w:r w:rsidR="00F32B28" w:rsidRPr="00F32B28">
        <w:rPr>
          <w:rtl/>
        </w:rPr>
        <w:t>فلسطينية</w:t>
      </w:r>
      <w:r w:rsidR="00F32B28" w:rsidRPr="00F32B28">
        <w:rPr>
          <w:rtl/>
          <w:lang w:bidi="ar-SY"/>
        </w:rPr>
        <w:t>،</w:t>
      </w:r>
      <w:r w:rsidR="00F32B28">
        <w:rPr>
          <w:rtl/>
          <w:lang w:bidi="ar-SY"/>
        </w:rPr>
        <w:t xml:space="preserve"> </w:t>
      </w:r>
      <w:r w:rsidR="00F32B28" w:rsidRPr="00F32B28">
        <w:rPr>
          <w:rtl/>
          <w:lang w:bidi="ar-SY"/>
        </w:rPr>
        <w:t>وهي</w:t>
      </w:r>
      <w:r w:rsidR="00F32B28">
        <w:rPr>
          <w:rtl/>
          <w:lang w:bidi="ar-SY"/>
        </w:rPr>
        <w:t xml:space="preserve"> </w:t>
      </w:r>
      <w:r w:rsidR="00F32B28" w:rsidRPr="00F32B28">
        <w:rPr>
          <w:rtl/>
          <w:lang w:bidi="ar-SY"/>
        </w:rPr>
        <w:t>حالات</w:t>
      </w:r>
      <w:r w:rsidR="00F32B28">
        <w:rPr>
          <w:rtl/>
          <w:lang w:bidi="ar-SY"/>
        </w:rPr>
        <w:t xml:space="preserve"> </w:t>
      </w:r>
      <w:r w:rsidR="00F32B28" w:rsidRPr="00F32B28">
        <w:rPr>
          <w:rtl/>
          <w:lang w:bidi="ar-SY"/>
        </w:rPr>
        <w:t>شائعة</w:t>
      </w:r>
      <w:r w:rsidR="00F32B28">
        <w:rPr>
          <w:rtl/>
          <w:lang w:bidi="ar-SY"/>
        </w:rPr>
        <w:t xml:space="preserve"> </w:t>
      </w:r>
      <w:r w:rsidR="00F32B28" w:rsidRPr="00F32B28">
        <w:rPr>
          <w:rtl/>
          <w:lang w:bidi="ar-SY"/>
        </w:rPr>
        <w:t>الحدوث،</w:t>
      </w:r>
      <w:r w:rsidR="00F32B28">
        <w:rPr>
          <w:rtl/>
          <w:lang w:bidi="ar-SY"/>
        </w:rPr>
        <w:t xml:space="preserve"> </w:t>
      </w:r>
      <w:r w:rsidR="00F32B28" w:rsidRPr="00F32B28">
        <w:rPr>
          <w:rtl/>
          <w:lang w:bidi="ar-SY"/>
        </w:rPr>
        <w:t>عليها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تتقدم</w:t>
      </w:r>
      <w:r w:rsidR="00F32B28">
        <w:rPr>
          <w:rtl/>
          <w:lang w:bidi="ar-SY"/>
        </w:rPr>
        <w:t xml:space="preserve"> </w:t>
      </w:r>
      <w:r w:rsidR="00F32B28" w:rsidRPr="00F32B28">
        <w:rPr>
          <w:rtl/>
          <w:lang w:bidi="ar-SY"/>
        </w:rPr>
        <w:t>بطلب</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شمل</w:t>
      </w:r>
      <w:r w:rsidR="00F32B28">
        <w:rPr>
          <w:rtl/>
          <w:lang w:bidi="ar-SY"/>
        </w:rPr>
        <w:t xml:space="preserve"> </w:t>
      </w:r>
      <w:r w:rsidR="00F32B28" w:rsidRPr="00F32B28">
        <w:rPr>
          <w:rtl/>
          <w:lang w:bidi="ar-SY"/>
        </w:rPr>
        <w:t>لزوجها</w:t>
      </w:r>
      <w:r w:rsidR="00F32B28">
        <w:rPr>
          <w:rtl/>
          <w:lang w:bidi="ar-SY"/>
        </w:rPr>
        <w:t xml:space="preserve"> </w:t>
      </w:r>
      <w:r w:rsidR="00F32B28" w:rsidRPr="00F32B28">
        <w:rPr>
          <w:rtl/>
          <w:lang w:bidi="ar-SY"/>
        </w:rPr>
        <w:t>والدخول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سلسلة</w:t>
      </w:r>
      <w:r w:rsidR="00F32B28">
        <w:rPr>
          <w:rtl/>
          <w:lang w:bidi="ar-SY"/>
        </w:rPr>
        <w:t xml:space="preserve"> </w:t>
      </w:r>
      <w:r w:rsidR="00F32B28" w:rsidRPr="00F32B28">
        <w:rPr>
          <w:rtl/>
          <w:lang w:bidi="ar-SY"/>
        </w:rPr>
        <w:t>طويلة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الإجراءات</w:t>
      </w:r>
      <w:r w:rsidR="00F32B28">
        <w:rPr>
          <w:rtl/>
          <w:lang w:bidi="ar-SY"/>
        </w:rPr>
        <w:t xml:space="preserve"> </w:t>
      </w:r>
      <w:r w:rsidR="00F32B28" w:rsidRPr="00F32B28">
        <w:rPr>
          <w:rtl/>
          <w:lang w:bidi="ar-SY"/>
        </w:rPr>
        <w:t>المهينة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rPr>
        <w:t>تستغرق</w:t>
      </w:r>
      <w:r w:rsidR="00F32B28">
        <w:rPr>
          <w:rtl/>
        </w:rPr>
        <w:t xml:space="preserve"> </w:t>
      </w:r>
      <w:r w:rsidR="00F32B28" w:rsidRPr="00F32B28">
        <w:rPr>
          <w:rtl/>
        </w:rPr>
        <w:t>عديد</w:t>
      </w:r>
      <w:r w:rsidR="00F32B28">
        <w:rPr>
          <w:rtl/>
        </w:rPr>
        <w:t xml:space="preserve"> </w:t>
      </w:r>
      <w:r w:rsidR="00F32B28" w:rsidRPr="00F32B28">
        <w:rPr>
          <w:rtl/>
        </w:rPr>
        <w:t>من</w:t>
      </w:r>
      <w:r w:rsidR="00F32B28">
        <w:rPr>
          <w:rtl/>
        </w:rPr>
        <w:t xml:space="preserve"> </w:t>
      </w:r>
      <w:r w:rsidR="00F32B28" w:rsidRPr="00F32B28">
        <w:rPr>
          <w:rtl/>
        </w:rPr>
        <w:t>السنوات.</w:t>
      </w:r>
      <w:r w:rsidR="00F32B28">
        <w:rPr>
          <w:rtl/>
        </w:rPr>
        <w:t xml:space="preserve"> </w:t>
      </w:r>
      <w:r w:rsidR="00F32B28" w:rsidRPr="00F32B28">
        <w:rPr>
          <w:rtl/>
        </w:rPr>
        <w:t>وعند</w:t>
      </w:r>
      <w:r w:rsidR="00F32B28">
        <w:rPr>
          <w:rtl/>
        </w:rPr>
        <w:t xml:space="preserve"> </w:t>
      </w:r>
      <w:r w:rsidR="00F32B28" w:rsidRPr="00F32B28">
        <w:rPr>
          <w:rtl/>
        </w:rPr>
        <w:t>تقديمها</w:t>
      </w:r>
      <w:r w:rsidR="00F32B28">
        <w:rPr>
          <w:rtl/>
        </w:rPr>
        <w:t xml:space="preserve"> </w:t>
      </w:r>
      <w:r w:rsidR="00F32B28" w:rsidRPr="00F32B28">
        <w:rPr>
          <w:rtl/>
        </w:rPr>
        <w:t>لهذا</w:t>
      </w:r>
      <w:r w:rsidR="00F32B28">
        <w:rPr>
          <w:rtl/>
        </w:rPr>
        <w:t xml:space="preserve"> </w:t>
      </w:r>
      <w:r w:rsidR="00F32B28" w:rsidRPr="00F32B28">
        <w:rPr>
          <w:rtl/>
        </w:rPr>
        <w:t>الطلب،</w:t>
      </w:r>
      <w:r w:rsidR="00F32B28">
        <w:rPr>
          <w:rtl/>
        </w:rPr>
        <w:t xml:space="preserve"> </w:t>
      </w:r>
      <w:r w:rsidR="00F32B28" w:rsidRPr="00F32B28">
        <w:rPr>
          <w:rtl/>
        </w:rPr>
        <w:t>يتعين</w:t>
      </w:r>
      <w:r w:rsidR="00F32B28">
        <w:rPr>
          <w:rtl/>
        </w:rPr>
        <w:t xml:space="preserve"> </w:t>
      </w:r>
      <w:r w:rsidR="00F32B28" w:rsidRPr="00F32B28">
        <w:rPr>
          <w:rtl/>
        </w:rPr>
        <w:t>على</w:t>
      </w:r>
      <w:r w:rsidR="00F32B28">
        <w:rPr>
          <w:rtl/>
        </w:rPr>
        <w:t xml:space="preserve"> </w:t>
      </w:r>
      <w:r w:rsidR="00F32B28" w:rsidRPr="00F32B28">
        <w:rPr>
          <w:rtl/>
        </w:rPr>
        <w:t>الزوجة</w:t>
      </w:r>
      <w:r w:rsidR="00F32B28">
        <w:rPr>
          <w:rtl/>
        </w:rPr>
        <w:t xml:space="preserve"> </w:t>
      </w:r>
      <w:r w:rsidR="00F32B28" w:rsidRPr="00F32B28">
        <w:rPr>
          <w:rtl/>
        </w:rPr>
        <w:t>تقديم</w:t>
      </w:r>
      <w:r w:rsidR="00F32B28">
        <w:rPr>
          <w:rtl/>
        </w:rPr>
        <w:t xml:space="preserve"> </w:t>
      </w:r>
      <w:r w:rsidR="00F32B28" w:rsidRPr="00F32B28">
        <w:rPr>
          <w:rtl/>
        </w:rPr>
        <w:t>وثائق</w:t>
      </w:r>
      <w:r w:rsidR="00F32B28">
        <w:rPr>
          <w:rtl/>
        </w:rPr>
        <w:t xml:space="preserve"> </w:t>
      </w:r>
      <w:r w:rsidR="00F32B28" w:rsidRPr="00F32B28">
        <w:rPr>
          <w:rtl/>
        </w:rPr>
        <w:t>لمكتب</w:t>
      </w:r>
      <w:r w:rsidR="00F32B28">
        <w:rPr>
          <w:rtl/>
        </w:rPr>
        <w:t xml:space="preserve"> </w:t>
      </w:r>
      <w:r w:rsidR="00F32B28" w:rsidRPr="00F32B28">
        <w:rPr>
          <w:rtl/>
        </w:rPr>
        <w:t>وزارة</w:t>
      </w:r>
      <w:r w:rsidR="00F32B28">
        <w:rPr>
          <w:rtl/>
        </w:rPr>
        <w:t xml:space="preserve"> </w:t>
      </w:r>
      <w:r w:rsidR="00F32B28" w:rsidRPr="00F32B28">
        <w:rPr>
          <w:rtl/>
        </w:rPr>
        <w:t>الداخلية</w:t>
      </w:r>
      <w:r w:rsidR="00F32B28">
        <w:rPr>
          <w:rtl/>
        </w:rPr>
        <w:t xml:space="preserve"> </w:t>
      </w:r>
      <w:r w:rsidR="00F32B28" w:rsidRPr="00F32B28">
        <w:rPr>
          <w:rtl/>
        </w:rPr>
        <w:t>الإسرائيلية</w:t>
      </w:r>
      <w:r w:rsidR="00F32B28">
        <w:rPr>
          <w:rtl/>
        </w:rPr>
        <w:t xml:space="preserve"> </w:t>
      </w:r>
      <w:r w:rsidR="00F32B28" w:rsidRPr="00F32B28">
        <w:rPr>
          <w:rtl/>
        </w:rPr>
        <w:t>لإثبات</w:t>
      </w:r>
      <w:r w:rsidR="00F32B28">
        <w:rPr>
          <w:rtl/>
        </w:rPr>
        <w:t xml:space="preserve"> </w:t>
      </w:r>
      <w:r w:rsidR="00F32B28" w:rsidRPr="00F32B28">
        <w:rPr>
          <w:rtl/>
        </w:rPr>
        <w:t>إقامتها</w:t>
      </w:r>
      <w:r w:rsidR="00F32B28">
        <w:rPr>
          <w:rtl/>
        </w:rPr>
        <w:t xml:space="preserve"> </w:t>
      </w:r>
      <w:r w:rsidR="00F32B28" w:rsidRPr="00F32B28">
        <w:rPr>
          <w:rtl/>
        </w:rPr>
        <w:t>الدائمة</w:t>
      </w:r>
      <w:r w:rsidR="00F32B28">
        <w:rPr>
          <w:rtl/>
        </w:rPr>
        <w:t xml:space="preserve"> </w:t>
      </w:r>
      <w:r w:rsidR="00F32B28" w:rsidRPr="00F32B28">
        <w:rPr>
          <w:rtl/>
        </w:rPr>
        <w:t>في</w:t>
      </w:r>
      <w:r w:rsidR="00F32B28">
        <w:rPr>
          <w:rtl/>
        </w:rPr>
        <w:t xml:space="preserve"> </w:t>
      </w:r>
      <w:r w:rsidR="00F32B28" w:rsidRPr="00F32B28">
        <w:rPr>
          <w:rtl/>
        </w:rPr>
        <w:t>القدس،</w:t>
      </w:r>
      <w:r w:rsidR="00F32B28">
        <w:rPr>
          <w:rtl/>
        </w:rPr>
        <w:t xml:space="preserve"> </w:t>
      </w:r>
      <w:r w:rsidR="00F32B28" w:rsidRPr="00F32B28">
        <w:rPr>
          <w:rtl/>
        </w:rPr>
        <w:t>بالطرق</w:t>
      </w:r>
      <w:r w:rsidR="00F32B28">
        <w:rPr>
          <w:rtl/>
        </w:rPr>
        <w:t xml:space="preserve"> </w:t>
      </w:r>
      <w:r w:rsidR="00F32B28" w:rsidRPr="00F32B28">
        <w:rPr>
          <w:rtl/>
        </w:rPr>
        <w:t>المذكورة</w:t>
      </w:r>
      <w:r w:rsidR="00F32B28">
        <w:rPr>
          <w:rtl/>
        </w:rPr>
        <w:t xml:space="preserve"> </w:t>
      </w:r>
      <w:r w:rsidR="00F32B28" w:rsidRPr="00F32B28">
        <w:rPr>
          <w:rtl/>
        </w:rPr>
        <w:t>سابقاً،</w:t>
      </w:r>
      <w:r w:rsidR="00F32B28">
        <w:rPr>
          <w:rtl/>
        </w:rPr>
        <w:t xml:space="preserve"> </w:t>
      </w:r>
      <w:r w:rsidR="00F32B28" w:rsidRPr="00F32B28">
        <w:rPr>
          <w:rtl/>
        </w:rPr>
        <w:t>كما</w:t>
      </w:r>
      <w:r w:rsidR="00F32B28">
        <w:rPr>
          <w:rtl/>
        </w:rPr>
        <w:t xml:space="preserve"> </w:t>
      </w:r>
      <w:r w:rsidR="00F32B28" w:rsidRPr="00F32B28">
        <w:rPr>
          <w:rtl/>
        </w:rPr>
        <w:t>يتوجب</w:t>
      </w:r>
      <w:r w:rsidR="00F32B28">
        <w:rPr>
          <w:rtl/>
        </w:rPr>
        <w:t xml:space="preserve"> </w:t>
      </w:r>
      <w:r w:rsidR="00F32B28" w:rsidRPr="00F32B28">
        <w:rPr>
          <w:rtl/>
        </w:rPr>
        <w:t>عليها</w:t>
      </w:r>
      <w:r w:rsidR="00F32B28">
        <w:rPr>
          <w:rtl/>
        </w:rPr>
        <w:t xml:space="preserve"> </w:t>
      </w:r>
      <w:r w:rsidR="00F32B28" w:rsidRPr="00F32B28">
        <w:rPr>
          <w:rtl/>
        </w:rPr>
        <w:t>تقديم</w:t>
      </w:r>
      <w:r w:rsidR="00F32B28">
        <w:rPr>
          <w:rtl/>
        </w:rPr>
        <w:t xml:space="preserve"> </w:t>
      </w:r>
      <w:r w:rsidR="00F32B28" w:rsidRPr="00F32B28">
        <w:rPr>
          <w:rtl/>
        </w:rPr>
        <w:t>عقد</w:t>
      </w:r>
      <w:r w:rsidR="00F32B28">
        <w:rPr>
          <w:rtl/>
        </w:rPr>
        <w:t xml:space="preserve"> </w:t>
      </w:r>
      <w:r w:rsidR="00F32B28" w:rsidRPr="00F32B28">
        <w:rPr>
          <w:rtl/>
        </w:rPr>
        <w:t>زواج</w:t>
      </w:r>
      <w:r w:rsidR="00F32B28">
        <w:rPr>
          <w:rtl/>
        </w:rPr>
        <w:t xml:space="preserve"> </w:t>
      </w:r>
      <w:r w:rsidR="00F32B28" w:rsidRPr="00F32B28">
        <w:rPr>
          <w:rtl/>
        </w:rPr>
        <w:t>مصدق</w:t>
      </w:r>
      <w:r w:rsidR="00F32B28">
        <w:rPr>
          <w:rtl/>
        </w:rPr>
        <w:t xml:space="preserve"> </w:t>
      </w:r>
      <w:r w:rsidR="00F32B28" w:rsidRPr="00F32B28">
        <w:rPr>
          <w:rtl/>
        </w:rPr>
        <w:t>وصور</w:t>
      </w:r>
      <w:r w:rsidR="00F32B28">
        <w:rPr>
          <w:rtl/>
        </w:rPr>
        <w:t xml:space="preserve"> </w:t>
      </w:r>
      <w:r w:rsidR="00F32B28" w:rsidRPr="00F32B28">
        <w:rPr>
          <w:rtl/>
        </w:rPr>
        <w:t>حفلة</w:t>
      </w:r>
      <w:r w:rsidR="00F32B28">
        <w:rPr>
          <w:rtl/>
        </w:rPr>
        <w:t xml:space="preserve"> </w:t>
      </w:r>
      <w:r w:rsidR="00F32B28" w:rsidRPr="00F32B28">
        <w:rPr>
          <w:rtl/>
        </w:rPr>
        <w:t>الزفاف</w:t>
      </w:r>
      <w:r w:rsidR="00F32B28">
        <w:rPr>
          <w:rtl/>
        </w:rPr>
        <w:t xml:space="preserve"> </w:t>
      </w:r>
      <w:r w:rsidR="00F32B28" w:rsidRPr="00F32B28">
        <w:rPr>
          <w:rtl/>
        </w:rPr>
        <w:t>تظهرها</w:t>
      </w:r>
      <w:r w:rsidR="00F32B28">
        <w:rPr>
          <w:rtl/>
        </w:rPr>
        <w:t xml:space="preserve"> </w:t>
      </w:r>
      <w:r w:rsidR="00F32B28" w:rsidRPr="00F32B28">
        <w:rPr>
          <w:rtl/>
        </w:rPr>
        <w:t>بالفستان</w:t>
      </w:r>
      <w:r w:rsidR="00F32B28">
        <w:rPr>
          <w:rtl/>
        </w:rPr>
        <w:t xml:space="preserve"> </w:t>
      </w:r>
      <w:r w:rsidR="00F32B28" w:rsidRPr="00F32B28">
        <w:rPr>
          <w:rtl/>
        </w:rPr>
        <w:t>الأبيض</w:t>
      </w:r>
      <w:r w:rsidR="00F32B28">
        <w:rPr>
          <w:rtl/>
        </w:rPr>
        <w:t xml:space="preserve"> </w:t>
      </w:r>
      <w:r w:rsidR="00F32B28" w:rsidRPr="00F32B28">
        <w:rPr>
          <w:rtl/>
        </w:rPr>
        <w:t>والذهب،</w:t>
      </w:r>
      <w:r w:rsidR="00F32B28">
        <w:rPr>
          <w:rtl/>
        </w:rPr>
        <w:t xml:space="preserve"> </w:t>
      </w:r>
      <w:r w:rsidR="00F32B28" w:rsidRPr="00F32B28">
        <w:rPr>
          <w:rtl/>
        </w:rPr>
        <w:t>وزوجها</w:t>
      </w:r>
      <w:r w:rsidR="00F32B28">
        <w:rPr>
          <w:rtl/>
        </w:rPr>
        <w:t xml:space="preserve"> </w:t>
      </w:r>
      <w:r w:rsidR="00F32B28" w:rsidRPr="00F32B28">
        <w:rPr>
          <w:rtl/>
        </w:rPr>
        <w:t>والمدعوين</w:t>
      </w:r>
      <w:r w:rsidR="00F32B28">
        <w:rPr>
          <w:rtl/>
        </w:rPr>
        <w:t xml:space="preserve"> </w:t>
      </w:r>
      <w:r w:rsidR="00F32B28" w:rsidRPr="00F32B28">
        <w:rPr>
          <w:rtl/>
        </w:rPr>
        <w:t>للتأكد</w:t>
      </w:r>
      <w:r w:rsidR="00F32B28">
        <w:rPr>
          <w:rtl/>
        </w:rPr>
        <w:t xml:space="preserve"> </w:t>
      </w:r>
      <w:r w:rsidR="00F32B28" w:rsidRPr="00F32B28">
        <w:rPr>
          <w:rtl/>
        </w:rPr>
        <w:t>من</w:t>
      </w:r>
      <w:r w:rsidR="00F32B28">
        <w:rPr>
          <w:rtl/>
        </w:rPr>
        <w:t xml:space="preserve"> </w:t>
      </w:r>
      <w:r w:rsidR="00F32B28" w:rsidRPr="00F32B28">
        <w:rPr>
          <w:rtl/>
        </w:rPr>
        <w:t>أن</w:t>
      </w:r>
      <w:r w:rsidR="00F32B28">
        <w:rPr>
          <w:rtl/>
        </w:rPr>
        <w:t xml:space="preserve"> </w:t>
      </w:r>
      <w:r w:rsidR="00F32B28" w:rsidRPr="00F32B28">
        <w:rPr>
          <w:rtl/>
        </w:rPr>
        <w:t>الزواج</w:t>
      </w:r>
      <w:r w:rsidR="00F32B28">
        <w:rPr>
          <w:rtl/>
        </w:rPr>
        <w:t xml:space="preserve"> </w:t>
      </w:r>
      <w:r w:rsidR="00F32B28" w:rsidRPr="00F32B28">
        <w:rPr>
          <w:rtl/>
        </w:rPr>
        <w:t>قد</w:t>
      </w:r>
      <w:r w:rsidR="00F32B28">
        <w:rPr>
          <w:rtl/>
        </w:rPr>
        <w:t xml:space="preserve"> </w:t>
      </w:r>
      <w:r w:rsidR="00F32B28" w:rsidRPr="00F32B28">
        <w:rPr>
          <w:rtl/>
        </w:rPr>
        <w:t>تم</w:t>
      </w:r>
      <w:r w:rsidR="00F32B28">
        <w:rPr>
          <w:rtl/>
        </w:rPr>
        <w:t xml:space="preserve"> </w:t>
      </w:r>
      <w:r w:rsidR="00F32B28" w:rsidRPr="00F32B28">
        <w:rPr>
          <w:rtl/>
        </w:rPr>
        <w:t>بالفعل.</w:t>
      </w:r>
      <w:r w:rsidR="00362769">
        <w:rPr>
          <w:rFonts w:hint="cs"/>
          <w:rtl/>
        </w:rPr>
        <w:t xml:space="preserve"> </w:t>
      </w:r>
      <w:r w:rsidR="00F32B28" w:rsidRPr="00F32B28">
        <w:rPr>
          <w:rtl/>
        </w:rPr>
        <w:t>ولكن</w:t>
      </w:r>
      <w:r w:rsidR="00F32B28">
        <w:rPr>
          <w:rtl/>
        </w:rPr>
        <w:t xml:space="preserve"> </w:t>
      </w:r>
      <w:r w:rsidR="00F32B28" w:rsidRPr="00F32B28">
        <w:rPr>
          <w:rtl/>
        </w:rPr>
        <w:t>حتى</w:t>
      </w:r>
      <w:r w:rsidR="00F32B28">
        <w:rPr>
          <w:rtl/>
        </w:rPr>
        <w:t xml:space="preserve"> </w:t>
      </w:r>
      <w:r w:rsidR="00F32B28" w:rsidRPr="00F32B28">
        <w:rPr>
          <w:rtl/>
        </w:rPr>
        <w:lastRenderedPageBreak/>
        <w:t>وفق</w:t>
      </w:r>
      <w:r w:rsidR="00F32B28">
        <w:rPr>
          <w:rtl/>
        </w:rPr>
        <w:t xml:space="preserve"> </w:t>
      </w:r>
      <w:r w:rsidR="00F32B28" w:rsidRPr="00F32B28">
        <w:rPr>
          <w:rtl/>
        </w:rPr>
        <w:t>هذا</w:t>
      </w:r>
      <w:r w:rsidR="00F32B28">
        <w:rPr>
          <w:rtl/>
        </w:rPr>
        <w:t xml:space="preserve"> </w:t>
      </w:r>
      <w:r w:rsidR="00F32B28" w:rsidRPr="00F32B28">
        <w:rPr>
          <w:rtl/>
        </w:rPr>
        <w:t>الإجراء،</w:t>
      </w:r>
      <w:r w:rsidR="00F32B28">
        <w:rPr>
          <w:rtl/>
        </w:rPr>
        <w:t xml:space="preserve"> </w:t>
      </w:r>
      <w:r w:rsidR="00F32B28" w:rsidRPr="00F32B28">
        <w:rPr>
          <w:rtl/>
        </w:rPr>
        <w:t>وحتى</w:t>
      </w:r>
      <w:r w:rsidR="00F32B28">
        <w:rPr>
          <w:rtl/>
        </w:rPr>
        <w:t xml:space="preserve"> </w:t>
      </w:r>
      <w:r w:rsidR="00F32B28" w:rsidRPr="00F32B28">
        <w:rPr>
          <w:rtl/>
        </w:rPr>
        <w:t>قبل</w:t>
      </w:r>
      <w:r w:rsidR="00F32B28">
        <w:rPr>
          <w:rtl/>
        </w:rPr>
        <w:t xml:space="preserve"> </w:t>
      </w:r>
      <w:r w:rsidR="00F32B28" w:rsidRPr="00F32B28">
        <w:rPr>
          <w:rtl/>
        </w:rPr>
        <w:t>إلغائه،</w:t>
      </w:r>
      <w:r w:rsidR="00F32B28">
        <w:rPr>
          <w:rtl/>
        </w:rPr>
        <w:t xml:space="preserve"> </w:t>
      </w:r>
      <w:r w:rsidR="00F32B28" w:rsidRPr="00F32B28">
        <w:rPr>
          <w:rtl/>
        </w:rPr>
        <w:t>لاقت</w:t>
      </w:r>
      <w:r w:rsidR="00F32B28">
        <w:rPr>
          <w:rtl/>
        </w:rPr>
        <w:t xml:space="preserve"> </w:t>
      </w:r>
      <w:r w:rsidR="00F32B28" w:rsidRPr="00F32B28">
        <w:rPr>
          <w:rtl/>
        </w:rPr>
        <w:t>طلبات</w:t>
      </w:r>
      <w:r w:rsidR="00F32B28">
        <w:rPr>
          <w:rtl/>
        </w:rPr>
        <w:t xml:space="preserve"> </w:t>
      </w:r>
      <w:r w:rsidR="00F32B28" w:rsidRPr="00F32B28">
        <w:rPr>
          <w:rtl/>
        </w:rPr>
        <w:t>لم</w:t>
      </w:r>
      <w:r w:rsidR="00F32B28">
        <w:rPr>
          <w:rtl/>
        </w:rPr>
        <w:t xml:space="preserve"> </w:t>
      </w:r>
      <w:r w:rsidR="00F32B28" w:rsidRPr="00F32B28">
        <w:rPr>
          <w:rtl/>
        </w:rPr>
        <w:t>شمل</w:t>
      </w:r>
      <w:r w:rsidR="00F32B28">
        <w:rPr>
          <w:rtl/>
        </w:rPr>
        <w:t xml:space="preserve"> </w:t>
      </w:r>
      <w:r w:rsidR="00F32B28" w:rsidRPr="00F32B28">
        <w:rPr>
          <w:rtl/>
        </w:rPr>
        <w:t>العائلات</w:t>
      </w:r>
      <w:r w:rsidR="00F32B28">
        <w:rPr>
          <w:rtl/>
        </w:rPr>
        <w:t xml:space="preserve"> </w:t>
      </w:r>
      <w:r w:rsidR="00F32B28" w:rsidRPr="00F32B28">
        <w:rPr>
          <w:rtl/>
        </w:rPr>
        <w:t>هذه</w:t>
      </w:r>
      <w:r w:rsidR="00F32B28">
        <w:rPr>
          <w:rtl/>
        </w:rPr>
        <w:t xml:space="preserve"> </w:t>
      </w:r>
      <w:r w:rsidR="00F32B28" w:rsidRPr="00F32B28">
        <w:rPr>
          <w:rtl/>
        </w:rPr>
        <w:t>التجاهل،</w:t>
      </w:r>
      <w:r w:rsidR="00F32B28">
        <w:rPr>
          <w:rtl/>
        </w:rPr>
        <w:t xml:space="preserve"> </w:t>
      </w:r>
      <w:r w:rsidR="00F32B28" w:rsidRPr="00F32B28">
        <w:rPr>
          <w:rtl/>
        </w:rPr>
        <w:t>وينطبق</w:t>
      </w:r>
      <w:r w:rsidR="00F32B28">
        <w:rPr>
          <w:rtl/>
        </w:rPr>
        <w:t xml:space="preserve"> </w:t>
      </w:r>
      <w:r w:rsidR="00F32B28" w:rsidRPr="00F32B28">
        <w:rPr>
          <w:rtl/>
        </w:rPr>
        <w:t>ذات</w:t>
      </w:r>
      <w:r w:rsidR="00F32B28">
        <w:rPr>
          <w:rtl/>
        </w:rPr>
        <w:t xml:space="preserve"> </w:t>
      </w:r>
      <w:r w:rsidR="00F32B28" w:rsidRPr="00F32B28">
        <w:rPr>
          <w:rtl/>
        </w:rPr>
        <w:t>الأمر</w:t>
      </w:r>
      <w:r w:rsidR="00F32B28">
        <w:rPr>
          <w:rtl/>
        </w:rPr>
        <w:t xml:space="preserve"> </w:t>
      </w:r>
      <w:r w:rsidR="00F32B28" w:rsidRPr="00F32B28">
        <w:rPr>
          <w:rtl/>
        </w:rPr>
        <w:t>إذا</w:t>
      </w:r>
      <w:r w:rsidR="00F32B28">
        <w:rPr>
          <w:rtl/>
        </w:rPr>
        <w:t xml:space="preserve"> </w:t>
      </w:r>
      <w:r w:rsidR="00F32B28" w:rsidRPr="00F32B28">
        <w:rPr>
          <w:rtl/>
        </w:rPr>
        <w:t>ما</w:t>
      </w:r>
      <w:r w:rsidR="00F32B28">
        <w:rPr>
          <w:rtl/>
        </w:rPr>
        <w:t xml:space="preserve"> </w:t>
      </w:r>
      <w:r w:rsidR="00F32B28" w:rsidRPr="00F32B28">
        <w:rPr>
          <w:rtl/>
        </w:rPr>
        <w:t>تزوج</w:t>
      </w:r>
      <w:r w:rsidR="00F32B28">
        <w:rPr>
          <w:rtl/>
        </w:rPr>
        <w:t xml:space="preserve"> </w:t>
      </w:r>
      <w:r w:rsidR="00F32B28" w:rsidRPr="00F32B28">
        <w:rPr>
          <w:rtl/>
        </w:rPr>
        <w:t>رجل</w:t>
      </w:r>
      <w:r w:rsidR="00F32B28">
        <w:rPr>
          <w:rtl/>
        </w:rPr>
        <w:t xml:space="preserve"> </w:t>
      </w:r>
      <w:r w:rsidR="00F32B28" w:rsidRPr="00F32B28">
        <w:rPr>
          <w:rtl/>
        </w:rPr>
        <w:t>فلسطيني</w:t>
      </w:r>
      <w:r w:rsidR="00F32B28">
        <w:rPr>
          <w:rtl/>
        </w:rPr>
        <w:t xml:space="preserve"> </w:t>
      </w:r>
      <w:r w:rsidR="00F32B28" w:rsidRPr="00F32B28">
        <w:rPr>
          <w:rtl/>
        </w:rPr>
        <w:t>مقدسي</w:t>
      </w:r>
      <w:r w:rsidR="00F32B28">
        <w:rPr>
          <w:rtl/>
        </w:rPr>
        <w:t xml:space="preserve"> </w:t>
      </w:r>
      <w:r w:rsidR="00F32B28" w:rsidRPr="00F32B28">
        <w:rPr>
          <w:rtl/>
        </w:rPr>
        <w:t>بامرأة</w:t>
      </w:r>
      <w:r w:rsidR="00F32B28">
        <w:rPr>
          <w:rtl/>
        </w:rPr>
        <w:t xml:space="preserve"> </w:t>
      </w:r>
      <w:r w:rsidR="00F32B28" w:rsidRPr="00F32B28">
        <w:rPr>
          <w:rtl/>
        </w:rPr>
        <w:t>فلسطينية</w:t>
      </w:r>
      <w:r w:rsidR="00F32B28">
        <w:rPr>
          <w:rtl/>
        </w:rPr>
        <w:t xml:space="preserve"> </w:t>
      </w:r>
      <w:r w:rsidR="00F32B28" w:rsidRPr="00F32B28">
        <w:rPr>
          <w:rtl/>
        </w:rPr>
        <w:t>تحمل</w:t>
      </w:r>
      <w:r w:rsidR="00F32B28">
        <w:rPr>
          <w:rtl/>
        </w:rPr>
        <w:t xml:space="preserve"> </w:t>
      </w:r>
      <w:r w:rsidR="00F32B28" w:rsidRPr="00F32B28">
        <w:rPr>
          <w:rtl/>
        </w:rPr>
        <w:t>بطاقة</w:t>
      </w:r>
      <w:r w:rsidR="00F32B28">
        <w:rPr>
          <w:rtl/>
        </w:rPr>
        <w:t xml:space="preserve"> </w:t>
      </w:r>
      <w:r w:rsidR="00F32B28" w:rsidRPr="00F32B28">
        <w:rPr>
          <w:rtl/>
        </w:rPr>
        <w:t>هوية</w:t>
      </w:r>
      <w:r w:rsidR="00F32B28">
        <w:rPr>
          <w:rtl/>
        </w:rPr>
        <w:t xml:space="preserve"> </w:t>
      </w:r>
      <w:r w:rsidR="00F32B28" w:rsidRPr="00F32B28">
        <w:rPr>
          <w:rtl/>
        </w:rPr>
        <w:t>فلسطينية.</w:t>
      </w:r>
      <w:r w:rsidR="00F32B28">
        <w:rPr>
          <w:rtl/>
        </w:rPr>
        <w:t xml:space="preserve"> </w:t>
      </w:r>
    </w:p>
    <w:p w:rsidR="00F32B28" w:rsidRPr="00F32B28" w:rsidRDefault="009C23E0" w:rsidP="009C23E0">
      <w:pPr>
        <w:pStyle w:val="SingleTxt"/>
      </w:pPr>
      <w:r>
        <w:rPr>
          <w:rFonts w:hint="cs"/>
          <w:rtl/>
        </w:rPr>
        <w:t xml:space="preserve">154 - </w:t>
      </w:r>
      <w:r w:rsidR="00F32B28" w:rsidRPr="00F32B28">
        <w:rPr>
          <w:rtl/>
        </w:rPr>
        <w:t>وبعد</w:t>
      </w:r>
      <w:r w:rsidR="00F32B28">
        <w:rPr>
          <w:rtl/>
        </w:rPr>
        <w:t xml:space="preserve"> </w:t>
      </w:r>
      <w:r w:rsidR="00F32B28" w:rsidRPr="00F32B28">
        <w:rPr>
          <w:rtl/>
        </w:rPr>
        <w:t>اندلاع</w:t>
      </w:r>
      <w:r w:rsidR="00F32B28">
        <w:rPr>
          <w:rtl/>
        </w:rPr>
        <w:t xml:space="preserve"> </w:t>
      </w:r>
      <w:r w:rsidR="00F32B28" w:rsidRPr="00F32B28">
        <w:rPr>
          <w:rtl/>
        </w:rPr>
        <w:t>الانتفاضة</w:t>
      </w:r>
      <w:r w:rsidR="00F32B28">
        <w:rPr>
          <w:rtl/>
        </w:rPr>
        <w:t xml:space="preserve"> </w:t>
      </w:r>
      <w:r w:rsidR="00F32B28" w:rsidRPr="00F32B28">
        <w:rPr>
          <w:rtl/>
        </w:rPr>
        <w:t>الثانية</w:t>
      </w:r>
      <w:r w:rsidR="00F32B28">
        <w:rPr>
          <w:rtl/>
        </w:rPr>
        <w:t xml:space="preserve"> </w:t>
      </w:r>
      <w:r w:rsidR="00F32B28" w:rsidRPr="00F32B28">
        <w:rPr>
          <w:rtl/>
        </w:rPr>
        <w:t>في</w:t>
      </w:r>
      <w:r w:rsidR="00F32B28">
        <w:rPr>
          <w:rtl/>
        </w:rPr>
        <w:t xml:space="preserve"> </w:t>
      </w:r>
      <w:r w:rsidR="00F32B28" w:rsidRPr="00F32B28">
        <w:rPr>
          <w:rtl/>
        </w:rPr>
        <w:t>تشرين</w:t>
      </w:r>
      <w:r w:rsidR="00F32B28">
        <w:rPr>
          <w:rtl/>
        </w:rPr>
        <w:t xml:space="preserve"> </w:t>
      </w:r>
      <w:r w:rsidR="00F32B28" w:rsidRPr="00F32B28">
        <w:rPr>
          <w:rtl/>
        </w:rPr>
        <w:t>الأول</w:t>
      </w:r>
      <w:r w:rsidR="00887A70">
        <w:rPr>
          <w:rFonts w:hint="cs"/>
          <w:rtl/>
        </w:rPr>
        <w:t>/أكتوبر</w:t>
      </w:r>
      <w:r w:rsidR="00F32B28">
        <w:rPr>
          <w:rtl/>
        </w:rPr>
        <w:t xml:space="preserve"> </w:t>
      </w:r>
      <w:r w:rsidR="00F32B28" w:rsidRPr="00F32B28">
        <w:rPr>
          <w:rtl/>
        </w:rPr>
        <w:t>2000،</w:t>
      </w:r>
      <w:r w:rsidR="00F32B28">
        <w:rPr>
          <w:rtl/>
        </w:rPr>
        <w:t xml:space="preserve"> </w:t>
      </w:r>
      <w:r w:rsidR="00F32B28" w:rsidRPr="00F32B28">
        <w:rPr>
          <w:rtl/>
        </w:rPr>
        <w:t>جمدت</w:t>
      </w:r>
      <w:r w:rsidR="00F32B28">
        <w:rPr>
          <w:rtl/>
        </w:rPr>
        <w:t xml:space="preserve"> </w:t>
      </w:r>
      <w:r w:rsidR="00F32B28" w:rsidRPr="00F32B28">
        <w:rPr>
          <w:rtl/>
        </w:rPr>
        <w:t>سلطات</w:t>
      </w:r>
      <w:r w:rsidR="00F32B28">
        <w:rPr>
          <w:rtl/>
        </w:rPr>
        <w:t xml:space="preserve"> </w:t>
      </w:r>
      <w:r w:rsidR="00F32B28" w:rsidRPr="00F32B28">
        <w:rPr>
          <w:rtl/>
        </w:rPr>
        <w:t>الاحتلال</w:t>
      </w:r>
      <w:r w:rsidR="00887A70">
        <w:rPr>
          <w:rFonts w:hint="cs"/>
          <w:rtl/>
        </w:rPr>
        <w:t xml:space="preserve"> </w:t>
      </w:r>
      <w:r w:rsidR="00F32B28" w:rsidRPr="00F32B28">
        <w:rPr>
          <w:rtl/>
        </w:rPr>
        <w:t>طلبات</w:t>
      </w:r>
      <w:r w:rsidR="00F32B28">
        <w:rPr>
          <w:rtl/>
        </w:rPr>
        <w:t xml:space="preserve"> </w:t>
      </w:r>
      <w:r w:rsidR="00F32B28" w:rsidRPr="00F32B28">
        <w:rPr>
          <w:rtl/>
        </w:rPr>
        <w:t>لم</w:t>
      </w:r>
      <w:r w:rsidR="00F32B28">
        <w:rPr>
          <w:rtl/>
        </w:rPr>
        <w:t xml:space="preserve"> </w:t>
      </w:r>
      <w:r w:rsidR="00F32B28" w:rsidRPr="00F32B28">
        <w:rPr>
          <w:rtl/>
        </w:rPr>
        <w:t>الشمل،</w:t>
      </w:r>
      <w:r w:rsidR="00F32B28">
        <w:rPr>
          <w:rtl/>
        </w:rPr>
        <w:t xml:space="preserve"> </w:t>
      </w:r>
      <w:r w:rsidR="00F32B28" w:rsidRPr="00F32B28">
        <w:rPr>
          <w:rtl/>
        </w:rPr>
        <w:t>وفي</w:t>
      </w:r>
      <w:r w:rsidR="00F32B28">
        <w:rPr>
          <w:rtl/>
        </w:rPr>
        <w:t xml:space="preserve"> </w:t>
      </w:r>
      <w:r w:rsidR="00F32B28" w:rsidRPr="00F32B28">
        <w:rPr>
          <w:rtl/>
        </w:rPr>
        <w:t>أيار</w:t>
      </w:r>
      <w:r w:rsidR="00887A70">
        <w:rPr>
          <w:rFonts w:hint="cs"/>
          <w:rtl/>
        </w:rPr>
        <w:t>/مايو</w:t>
      </w:r>
      <w:r w:rsidR="00F32B28">
        <w:rPr>
          <w:rtl/>
        </w:rPr>
        <w:t xml:space="preserve"> </w:t>
      </w:r>
      <w:r w:rsidR="00F32B28" w:rsidRPr="00F32B28">
        <w:rPr>
          <w:rtl/>
        </w:rPr>
        <w:t>2002،</w:t>
      </w:r>
      <w:r w:rsidR="00F32B28">
        <w:rPr>
          <w:rtl/>
        </w:rPr>
        <w:t xml:space="preserve"> </w:t>
      </w:r>
      <w:r w:rsidR="00F32B28" w:rsidRPr="00F32B28">
        <w:rPr>
          <w:rtl/>
        </w:rPr>
        <w:t>أوقفت</w:t>
      </w:r>
      <w:r w:rsidR="00887A70">
        <w:rPr>
          <w:rFonts w:hint="cs"/>
          <w:rtl/>
        </w:rPr>
        <w:t xml:space="preserve"> </w:t>
      </w:r>
      <w:r w:rsidR="00F32B28" w:rsidRPr="00F32B28">
        <w:rPr>
          <w:rtl/>
        </w:rPr>
        <w:t>العمل</w:t>
      </w:r>
      <w:r w:rsidR="00F32B28">
        <w:rPr>
          <w:rtl/>
        </w:rPr>
        <w:t xml:space="preserve"> </w:t>
      </w:r>
      <w:r w:rsidR="00F32B28" w:rsidRPr="00F32B28">
        <w:rPr>
          <w:rtl/>
        </w:rPr>
        <w:t>بكافة</w:t>
      </w:r>
      <w:r w:rsidR="00F32B28">
        <w:rPr>
          <w:rtl/>
        </w:rPr>
        <w:t xml:space="preserve"> </w:t>
      </w:r>
      <w:r w:rsidR="00F32B28" w:rsidRPr="00F32B28">
        <w:rPr>
          <w:rtl/>
        </w:rPr>
        <w:t>إجراءات</w:t>
      </w:r>
      <w:r w:rsidR="00F32B28">
        <w:rPr>
          <w:rtl/>
        </w:rPr>
        <w:t xml:space="preserve"> </w:t>
      </w:r>
      <w:r w:rsidR="00F32B28" w:rsidRPr="00F32B28">
        <w:rPr>
          <w:rtl/>
        </w:rPr>
        <w:t>طلبات</w:t>
      </w:r>
      <w:r w:rsidR="00F32B28">
        <w:rPr>
          <w:rtl/>
        </w:rPr>
        <w:t xml:space="preserve"> </w:t>
      </w:r>
      <w:r w:rsidR="00F32B28" w:rsidRPr="00F32B28">
        <w:rPr>
          <w:rtl/>
        </w:rPr>
        <w:t>لم</w:t>
      </w:r>
      <w:r w:rsidR="00F32B28">
        <w:rPr>
          <w:rtl/>
        </w:rPr>
        <w:t xml:space="preserve"> </w:t>
      </w:r>
      <w:r w:rsidR="00F32B28" w:rsidRPr="00F32B28">
        <w:rPr>
          <w:rtl/>
        </w:rPr>
        <w:t>الشمل</w:t>
      </w:r>
      <w:r w:rsidR="00F32B28">
        <w:rPr>
          <w:rtl/>
        </w:rPr>
        <w:t xml:space="preserve"> </w:t>
      </w:r>
      <w:r w:rsidR="00F32B28" w:rsidRPr="00F32B28">
        <w:rPr>
          <w:rtl/>
        </w:rPr>
        <w:t>بشكل</w:t>
      </w:r>
      <w:r w:rsidR="00F32B28">
        <w:rPr>
          <w:rtl/>
        </w:rPr>
        <w:t xml:space="preserve"> </w:t>
      </w:r>
      <w:r w:rsidR="00F32B28" w:rsidRPr="00F32B28">
        <w:rPr>
          <w:rtl/>
        </w:rPr>
        <w:t>رسمي</w:t>
      </w:r>
      <w:r w:rsidR="00F32B28">
        <w:rPr>
          <w:rtl/>
        </w:rPr>
        <w:t xml:space="preserve"> </w:t>
      </w:r>
      <w:r w:rsidR="00F32B28" w:rsidRPr="00F32B28">
        <w:rPr>
          <w:rtl/>
        </w:rPr>
        <w:t>بموجب</w:t>
      </w:r>
      <w:r w:rsidR="00F32B28">
        <w:rPr>
          <w:rtl/>
        </w:rPr>
        <w:t xml:space="preserve"> </w:t>
      </w:r>
      <w:r w:rsidR="00F32B28" w:rsidRPr="00F32B28">
        <w:rPr>
          <w:rtl/>
        </w:rPr>
        <w:t>القرار</w:t>
      </w:r>
      <w:r w:rsidR="00F32B28">
        <w:rPr>
          <w:rtl/>
        </w:rPr>
        <w:t xml:space="preserve"> </w:t>
      </w:r>
      <w:r w:rsidR="00F32B28" w:rsidRPr="00F32B28">
        <w:rPr>
          <w:rtl/>
        </w:rPr>
        <w:t>رقم</w:t>
      </w:r>
      <w:r w:rsidR="00F32B28">
        <w:rPr>
          <w:rtl/>
        </w:rPr>
        <w:t xml:space="preserve"> </w:t>
      </w:r>
      <w:r w:rsidR="00F32B28" w:rsidRPr="00F32B28">
        <w:rPr>
          <w:rtl/>
        </w:rPr>
        <w:t>1813.</w:t>
      </w:r>
      <w:r w:rsidR="00F32B28">
        <w:rPr>
          <w:rtl/>
        </w:rPr>
        <w:t xml:space="preserve"> </w:t>
      </w:r>
      <w:r w:rsidR="00F32B28" w:rsidRPr="00F32B28">
        <w:rPr>
          <w:rtl/>
        </w:rPr>
        <w:t>وفي</w:t>
      </w:r>
      <w:r w:rsidR="00F32B28">
        <w:rPr>
          <w:rtl/>
        </w:rPr>
        <w:t xml:space="preserve"> </w:t>
      </w:r>
      <w:r w:rsidR="00F32B28" w:rsidRPr="00F32B28">
        <w:rPr>
          <w:rtl/>
        </w:rPr>
        <w:t>تموز</w:t>
      </w:r>
      <w:r w:rsidR="00887A70">
        <w:rPr>
          <w:rFonts w:hint="cs"/>
          <w:rtl/>
        </w:rPr>
        <w:t>/يوليه</w:t>
      </w:r>
      <w:r w:rsidR="00F32B28">
        <w:rPr>
          <w:rtl/>
        </w:rPr>
        <w:t xml:space="preserve"> </w:t>
      </w:r>
      <w:r w:rsidR="00F32B28" w:rsidRPr="00F32B28">
        <w:rPr>
          <w:rtl/>
        </w:rPr>
        <w:t>2003،</w:t>
      </w:r>
      <w:r w:rsidR="00F32B28">
        <w:rPr>
          <w:rtl/>
        </w:rPr>
        <w:t xml:space="preserve"> </w:t>
      </w:r>
      <w:r w:rsidR="00F32B28" w:rsidRPr="00F32B28">
        <w:rPr>
          <w:rtl/>
        </w:rPr>
        <w:t>وافق</w:t>
      </w:r>
      <w:r w:rsidR="00F32B28">
        <w:rPr>
          <w:rtl/>
        </w:rPr>
        <w:t xml:space="preserve"> </w:t>
      </w:r>
      <w:r w:rsidR="00F32B28" w:rsidRPr="00F32B28">
        <w:rPr>
          <w:rtl/>
        </w:rPr>
        <w:t>البرلمان</w:t>
      </w:r>
      <w:r w:rsidR="00F32B28">
        <w:rPr>
          <w:rtl/>
        </w:rPr>
        <w:t xml:space="preserve"> </w:t>
      </w:r>
      <w:r w:rsidR="00F32B28" w:rsidRPr="00F32B28">
        <w:rPr>
          <w:rtl/>
        </w:rPr>
        <w:t>الإسرائيلي</w:t>
      </w:r>
      <w:r w:rsidR="00F32B28">
        <w:rPr>
          <w:rtl/>
        </w:rPr>
        <w:t xml:space="preserve"> </w:t>
      </w:r>
      <w:r w:rsidR="00F32B28" w:rsidRPr="00F32B28">
        <w:rPr>
          <w:rtl/>
        </w:rPr>
        <w:t>على</w:t>
      </w:r>
      <w:r w:rsidR="00F32B28">
        <w:rPr>
          <w:rtl/>
        </w:rPr>
        <w:t xml:space="preserve"> </w:t>
      </w:r>
      <w:r w:rsidR="00F32B28" w:rsidRPr="00F32B28">
        <w:rPr>
          <w:rtl/>
        </w:rPr>
        <w:t>قانون</w:t>
      </w:r>
      <w:r w:rsidR="00F32B28">
        <w:rPr>
          <w:rtl/>
        </w:rPr>
        <w:t xml:space="preserve"> </w:t>
      </w:r>
      <w:r w:rsidR="00E12813">
        <w:rPr>
          <w:rFonts w:hint="cs"/>
          <w:rtl/>
        </w:rPr>
        <w:t>”</w:t>
      </w:r>
      <w:r w:rsidR="00F32B28" w:rsidRPr="00F32B28">
        <w:rPr>
          <w:rtl/>
        </w:rPr>
        <w:t>المواطنة</w:t>
      </w:r>
      <w:r w:rsidR="00E12813">
        <w:rPr>
          <w:rFonts w:hint="cs"/>
          <w:rtl/>
        </w:rPr>
        <w:t>“</w:t>
      </w:r>
      <w:r w:rsidR="00F32B28">
        <w:rPr>
          <w:rtl/>
        </w:rPr>
        <w:t xml:space="preserve"> </w:t>
      </w:r>
      <w:r w:rsidR="00F32B28" w:rsidRPr="00F32B28">
        <w:rPr>
          <w:rtl/>
        </w:rPr>
        <w:t>كقانون</w:t>
      </w:r>
      <w:r w:rsidR="00F32B28">
        <w:rPr>
          <w:rtl/>
        </w:rPr>
        <w:t xml:space="preserve"> </w:t>
      </w:r>
      <w:r w:rsidR="00F32B28" w:rsidRPr="00F32B28">
        <w:rPr>
          <w:rtl/>
        </w:rPr>
        <w:t>مؤقت</w:t>
      </w:r>
      <w:r w:rsidR="00F32B28">
        <w:rPr>
          <w:rtl/>
        </w:rPr>
        <w:t xml:space="preserve"> </w:t>
      </w:r>
      <w:r w:rsidR="00F32B28" w:rsidRPr="00F32B28">
        <w:rPr>
          <w:rtl/>
        </w:rPr>
        <w:t>لمدة</w:t>
      </w:r>
      <w:r w:rsidR="00F32B28">
        <w:rPr>
          <w:rtl/>
        </w:rPr>
        <w:t xml:space="preserve"> </w:t>
      </w:r>
      <w:r w:rsidR="00F32B28" w:rsidRPr="00F32B28">
        <w:rPr>
          <w:rtl/>
        </w:rPr>
        <w:t>سنة،</w:t>
      </w:r>
      <w:r w:rsidR="00F32B28">
        <w:rPr>
          <w:rtl/>
        </w:rPr>
        <w:t xml:space="preserve"> </w:t>
      </w:r>
      <w:r w:rsidR="00F32B28" w:rsidRPr="00F32B28">
        <w:rPr>
          <w:rtl/>
        </w:rPr>
        <w:t>الذي</w:t>
      </w:r>
      <w:r w:rsidR="00F32B28">
        <w:rPr>
          <w:rtl/>
        </w:rPr>
        <w:t xml:space="preserve"> </w:t>
      </w:r>
      <w:r w:rsidR="00F32B28" w:rsidRPr="00F32B28">
        <w:rPr>
          <w:rtl/>
        </w:rPr>
        <w:t>يمنع</w:t>
      </w:r>
      <w:r w:rsidR="00F32B28">
        <w:rPr>
          <w:rtl/>
        </w:rPr>
        <w:t xml:space="preserve"> </w:t>
      </w:r>
      <w:r w:rsidR="00F32B28" w:rsidRPr="00F32B28">
        <w:rPr>
          <w:rtl/>
        </w:rPr>
        <w:t>الفلسطينيين،</w:t>
      </w:r>
      <w:r w:rsidR="00F32B28">
        <w:rPr>
          <w:rtl/>
        </w:rPr>
        <w:t xml:space="preserve"> </w:t>
      </w:r>
      <w:r w:rsidR="00F32B28" w:rsidRPr="00F32B28">
        <w:rPr>
          <w:rtl/>
        </w:rPr>
        <w:t>نساءً</w:t>
      </w:r>
      <w:r w:rsidR="00F32B28">
        <w:rPr>
          <w:rtl/>
        </w:rPr>
        <w:t xml:space="preserve"> </w:t>
      </w:r>
      <w:r w:rsidR="00F32B28" w:rsidRPr="00F32B28">
        <w:rPr>
          <w:rtl/>
        </w:rPr>
        <w:t>ورجالاً،</w:t>
      </w:r>
      <w:r w:rsidR="00F32B28">
        <w:rPr>
          <w:rtl/>
        </w:rPr>
        <w:t xml:space="preserve"> </w:t>
      </w:r>
      <w:r w:rsidR="00F32B28" w:rsidRPr="00F32B28">
        <w:rPr>
          <w:rtl/>
        </w:rPr>
        <w:t>الذين</w:t>
      </w:r>
      <w:r w:rsidR="00F32B28">
        <w:rPr>
          <w:rtl/>
        </w:rPr>
        <w:t xml:space="preserve"> </w:t>
      </w:r>
      <w:r w:rsidR="00F32B28" w:rsidRPr="00F32B28">
        <w:rPr>
          <w:rtl/>
        </w:rPr>
        <w:t>يتزوجون</w:t>
      </w:r>
      <w:r w:rsidR="00F32B28">
        <w:rPr>
          <w:rtl/>
        </w:rPr>
        <w:t xml:space="preserve"> </w:t>
      </w:r>
      <w:r w:rsidR="00F32B28" w:rsidRPr="00F32B28">
        <w:rPr>
          <w:rtl/>
        </w:rPr>
        <w:t>من</w:t>
      </w:r>
      <w:r w:rsidR="00F32B28">
        <w:rPr>
          <w:rtl/>
        </w:rPr>
        <w:t xml:space="preserve"> </w:t>
      </w:r>
      <w:r w:rsidR="00F32B28" w:rsidRPr="00F32B28">
        <w:rPr>
          <w:rtl/>
        </w:rPr>
        <w:t>حملة</w:t>
      </w:r>
      <w:r w:rsidR="00F32B28">
        <w:rPr>
          <w:rtl/>
        </w:rPr>
        <w:t xml:space="preserve"> </w:t>
      </w:r>
      <w:r w:rsidR="00F32B28" w:rsidRPr="00F32B28">
        <w:rPr>
          <w:rtl/>
        </w:rPr>
        <w:t>الجنسية</w:t>
      </w:r>
      <w:r w:rsidR="00F32B28">
        <w:rPr>
          <w:rtl/>
        </w:rPr>
        <w:t xml:space="preserve"> </w:t>
      </w:r>
      <w:r w:rsidR="00F32B28" w:rsidRPr="00F32B28">
        <w:rPr>
          <w:rtl/>
        </w:rPr>
        <w:t>الإسرائيلية</w:t>
      </w:r>
      <w:r w:rsidR="00F32B28">
        <w:rPr>
          <w:rtl/>
        </w:rPr>
        <w:t xml:space="preserve"> </w:t>
      </w:r>
      <w:r w:rsidR="00F32B28" w:rsidRPr="00F32B28">
        <w:rPr>
          <w:rtl/>
        </w:rPr>
        <w:t>من</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الجنسية</w:t>
      </w:r>
      <w:r w:rsidR="00F32B28">
        <w:rPr>
          <w:rtl/>
        </w:rPr>
        <w:t xml:space="preserve"> </w:t>
      </w:r>
      <w:r w:rsidR="00F32B28" w:rsidRPr="00F32B28">
        <w:rPr>
          <w:rtl/>
        </w:rPr>
        <w:t>الإسرائيلية</w:t>
      </w:r>
      <w:r w:rsidR="00F32B28">
        <w:rPr>
          <w:rtl/>
        </w:rPr>
        <w:t xml:space="preserve"> </w:t>
      </w:r>
      <w:r w:rsidR="00F32B28" w:rsidRPr="00F32B28">
        <w:rPr>
          <w:rtl/>
        </w:rPr>
        <w:t>أو</w:t>
      </w:r>
      <w:r w:rsidR="00F32B28">
        <w:rPr>
          <w:rtl/>
        </w:rPr>
        <w:t xml:space="preserve"> </w:t>
      </w:r>
      <w:r w:rsidR="00F32B28" w:rsidRPr="00F32B28">
        <w:rPr>
          <w:rtl/>
        </w:rPr>
        <w:t>على</w:t>
      </w:r>
      <w:r w:rsidR="00F32B28">
        <w:rPr>
          <w:rtl/>
        </w:rPr>
        <w:t xml:space="preserve"> </w:t>
      </w:r>
      <w:r w:rsidR="00F32B28" w:rsidRPr="00F32B28">
        <w:rPr>
          <w:rtl/>
        </w:rPr>
        <w:t>إقامة</w:t>
      </w:r>
      <w:r w:rsidR="00F32B28">
        <w:rPr>
          <w:rtl/>
        </w:rPr>
        <w:t xml:space="preserve"> </w:t>
      </w:r>
      <w:r w:rsidR="00F32B28" w:rsidRPr="00F32B28">
        <w:rPr>
          <w:rtl/>
        </w:rPr>
        <w:t>دائمة،</w:t>
      </w:r>
      <w:r w:rsidR="00F32B28">
        <w:rPr>
          <w:rtl/>
        </w:rPr>
        <w:t xml:space="preserve"> </w:t>
      </w:r>
      <w:r w:rsidR="00F32B28" w:rsidRPr="00F32B28">
        <w:rPr>
          <w:rtl/>
        </w:rPr>
        <w:t>وبالتالي،</w:t>
      </w:r>
      <w:r w:rsidR="00F32B28">
        <w:rPr>
          <w:rtl/>
        </w:rPr>
        <w:t xml:space="preserve"> </w:t>
      </w:r>
      <w:r w:rsidR="00F32B28" w:rsidRPr="00F32B28">
        <w:rPr>
          <w:rtl/>
        </w:rPr>
        <w:t>منعهم</w:t>
      </w:r>
      <w:r w:rsidR="00F32B28">
        <w:rPr>
          <w:rtl/>
        </w:rPr>
        <w:t xml:space="preserve"> </w:t>
      </w:r>
      <w:r w:rsidR="00F32B28" w:rsidRPr="00F32B28">
        <w:rPr>
          <w:rtl/>
        </w:rPr>
        <w:t>من</w:t>
      </w:r>
      <w:r w:rsidR="00F32B28">
        <w:rPr>
          <w:rtl/>
        </w:rPr>
        <w:t xml:space="preserve"> </w:t>
      </w:r>
      <w:r w:rsidR="00F32B28" w:rsidRPr="00F32B28">
        <w:rPr>
          <w:rtl/>
        </w:rPr>
        <w:t>الإقامة</w:t>
      </w:r>
      <w:r w:rsidR="00F32B28">
        <w:rPr>
          <w:rtl/>
        </w:rPr>
        <w:t xml:space="preserve"> </w:t>
      </w:r>
      <w:r w:rsidR="00F32B28" w:rsidRPr="00F32B28">
        <w:rPr>
          <w:rtl/>
        </w:rPr>
        <w:t>في</w:t>
      </w:r>
      <w:r w:rsidR="00F32B28">
        <w:rPr>
          <w:rtl/>
        </w:rPr>
        <w:t xml:space="preserve"> </w:t>
      </w:r>
      <w:r w:rsidR="00F32B28" w:rsidRPr="00F32B28">
        <w:rPr>
          <w:rtl/>
        </w:rPr>
        <w:t>إسرائيل</w:t>
      </w:r>
      <w:r w:rsidR="00F32B28">
        <w:rPr>
          <w:rtl/>
        </w:rPr>
        <w:t xml:space="preserve"> </w:t>
      </w:r>
      <w:r w:rsidR="00F32B28" w:rsidRPr="00F32B28">
        <w:rPr>
          <w:rtl/>
        </w:rPr>
        <w:t>أو</w:t>
      </w:r>
      <w:r w:rsidR="00F32B28">
        <w:rPr>
          <w:rtl/>
        </w:rPr>
        <w:t xml:space="preserve"> </w:t>
      </w:r>
      <w:r w:rsidR="00F32B28" w:rsidRPr="00F32B28">
        <w:rPr>
          <w:rtl/>
        </w:rPr>
        <w:t>القدس</w:t>
      </w:r>
      <w:r w:rsidR="00F32B28">
        <w:rPr>
          <w:rtl/>
        </w:rPr>
        <w:t xml:space="preserve"> </w:t>
      </w:r>
      <w:r w:rsidR="00F32B28" w:rsidRPr="00F32B28">
        <w:rPr>
          <w:rtl/>
        </w:rPr>
        <w:t>مع</w:t>
      </w:r>
      <w:r w:rsidR="00F32B28">
        <w:rPr>
          <w:rtl/>
        </w:rPr>
        <w:t xml:space="preserve"> </w:t>
      </w:r>
      <w:r w:rsidR="00F32B28" w:rsidRPr="00F32B28">
        <w:rPr>
          <w:rtl/>
        </w:rPr>
        <w:t>عائلاتهم.</w:t>
      </w:r>
      <w:r w:rsidR="00F32B28">
        <w:rPr>
          <w:rtl/>
        </w:rPr>
        <w:t xml:space="preserve"> </w:t>
      </w:r>
      <w:r w:rsidR="00F32B28" w:rsidRPr="00F32B28">
        <w:rPr>
          <w:rtl/>
        </w:rPr>
        <w:t>وتم</w:t>
      </w:r>
      <w:r w:rsidR="00F32B28">
        <w:rPr>
          <w:rtl/>
        </w:rPr>
        <w:t xml:space="preserve"> </w:t>
      </w:r>
      <w:r w:rsidR="00F32B28" w:rsidRPr="00F32B28">
        <w:rPr>
          <w:rtl/>
        </w:rPr>
        <w:t>تطبيق</w:t>
      </w:r>
      <w:r w:rsidR="00F32B28">
        <w:rPr>
          <w:rtl/>
        </w:rPr>
        <w:t xml:space="preserve"> </w:t>
      </w:r>
      <w:r w:rsidR="00F32B28" w:rsidRPr="00F32B28">
        <w:rPr>
          <w:rtl/>
        </w:rPr>
        <w:t>هذا</w:t>
      </w:r>
      <w:r w:rsidR="00F32B28">
        <w:rPr>
          <w:rtl/>
        </w:rPr>
        <w:t xml:space="preserve"> </w:t>
      </w:r>
      <w:r w:rsidR="00F32B28" w:rsidRPr="00F32B28">
        <w:rPr>
          <w:rtl/>
        </w:rPr>
        <w:t>القانون</w:t>
      </w:r>
      <w:r w:rsidR="00F32B28">
        <w:rPr>
          <w:rtl/>
        </w:rPr>
        <w:t xml:space="preserve"> </w:t>
      </w:r>
      <w:r w:rsidR="00F32B28" w:rsidRPr="00F32B28">
        <w:rPr>
          <w:rtl/>
        </w:rPr>
        <w:t>منذ</w:t>
      </w:r>
      <w:r w:rsidR="00F32B28">
        <w:rPr>
          <w:rtl/>
        </w:rPr>
        <w:t xml:space="preserve"> </w:t>
      </w:r>
      <w:r w:rsidR="00F32B28" w:rsidRPr="00F32B28">
        <w:rPr>
          <w:rtl/>
        </w:rPr>
        <w:t>ذلك</w:t>
      </w:r>
      <w:r w:rsidR="00F32B28">
        <w:rPr>
          <w:rtl/>
        </w:rPr>
        <w:t xml:space="preserve"> </w:t>
      </w:r>
      <w:r w:rsidR="00F32B28" w:rsidRPr="00F32B28">
        <w:rPr>
          <w:rtl/>
        </w:rPr>
        <w:t>الحين</w:t>
      </w:r>
      <w:r w:rsidR="00F32B28">
        <w:rPr>
          <w:rtl/>
        </w:rPr>
        <w:t xml:space="preserve"> </w:t>
      </w:r>
      <w:r w:rsidR="00F32B28" w:rsidRPr="00F32B28">
        <w:rPr>
          <w:rtl/>
        </w:rPr>
        <w:t>بأثر</w:t>
      </w:r>
      <w:r w:rsidR="00F32B28">
        <w:rPr>
          <w:rtl/>
        </w:rPr>
        <w:t xml:space="preserve"> </w:t>
      </w:r>
      <w:r w:rsidR="00F32B28" w:rsidRPr="00F32B28">
        <w:rPr>
          <w:rtl/>
        </w:rPr>
        <w:t>رجعي</w:t>
      </w:r>
      <w:r w:rsidR="00F32B28">
        <w:rPr>
          <w:rtl/>
        </w:rPr>
        <w:t xml:space="preserve"> </w:t>
      </w:r>
      <w:r w:rsidR="00F32B28" w:rsidRPr="00F32B28">
        <w:rPr>
          <w:rtl/>
        </w:rPr>
        <w:t>على</w:t>
      </w:r>
      <w:r w:rsidR="00887A70">
        <w:rPr>
          <w:rFonts w:hint="cs"/>
          <w:rtl/>
        </w:rPr>
        <w:t xml:space="preserve"> </w:t>
      </w:r>
      <w:r w:rsidR="00F32B28" w:rsidRPr="00F32B28">
        <w:rPr>
          <w:rtl/>
        </w:rPr>
        <w:t>الأزواج</w:t>
      </w:r>
      <w:r w:rsidR="00F32B28">
        <w:rPr>
          <w:rtl/>
        </w:rPr>
        <w:t xml:space="preserve"> </w:t>
      </w:r>
      <w:r w:rsidR="00F32B28" w:rsidRPr="00F32B28">
        <w:rPr>
          <w:rtl/>
        </w:rPr>
        <w:t>وأطفالهم</w:t>
      </w:r>
      <w:r w:rsidR="00F32B28">
        <w:rPr>
          <w:rtl/>
        </w:rPr>
        <w:t xml:space="preserve"> </w:t>
      </w:r>
      <w:r w:rsidR="00F32B28" w:rsidRPr="00F32B28">
        <w:rPr>
          <w:rtl/>
        </w:rPr>
        <w:t>الذين</w:t>
      </w:r>
      <w:r w:rsidR="00F32B28">
        <w:rPr>
          <w:rtl/>
        </w:rPr>
        <w:t xml:space="preserve"> </w:t>
      </w:r>
      <w:r w:rsidR="00F32B28" w:rsidRPr="00F32B28">
        <w:rPr>
          <w:rtl/>
        </w:rPr>
        <w:t>تزوجوا</w:t>
      </w:r>
      <w:r w:rsidR="00F32B28">
        <w:rPr>
          <w:rtl/>
        </w:rPr>
        <w:t xml:space="preserve"> </w:t>
      </w:r>
      <w:r w:rsidR="00F32B28" w:rsidRPr="00F32B28">
        <w:rPr>
          <w:rtl/>
        </w:rPr>
        <w:t>قبل</w:t>
      </w:r>
      <w:r w:rsidR="00F32B28">
        <w:rPr>
          <w:rtl/>
        </w:rPr>
        <w:t xml:space="preserve"> </w:t>
      </w:r>
      <w:r w:rsidR="00F32B28" w:rsidRPr="00F32B28">
        <w:rPr>
          <w:rtl/>
        </w:rPr>
        <w:t>تبنيه</w:t>
      </w:r>
      <w:r w:rsidR="00F32B28">
        <w:rPr>
          <w:rtl/>
        </w:rPr>
        <w:t xml:space="preserve"> </w:t>
      </w:r>
      <w:r w:rsidR="00F32B28" w:rsidRPr="00F32B28">
        <w:rPr>
          <w:rtl/>
        </w:rPr>
        <w:t>وطردوا</w:t>
      </w:r>
      <w:r w:rsidR="00F32B28">
        <w:rPr>
          <w:rtl/>
        </w:rPr>
        <w:t xml:space="preserve"> </w:t>
      </w:r>
      <w:r w:rsidR="00F32B28" w:rsidRPr="00F32B28">
        <w:rPr>
          <w:rtl/>
        </w:rPr>
        <w:t>بالقوة</w:t>
      </w:r>
      <w:r w:rsidR="00F32B28">
        <w:rPr>
          <w:rtl/>
        </w:rPr>
        <w:t xml:space="preserve"> </w:t>
      </w:r>
      <w:r w:rsidR="00F32B28" w:rsidRPr="00F32B28">
        <w:rPr>
          <w:rtl/>
        </w:rPr>
        <w:t>من</w:t>
      </w:r>
      <w:r w:rsidR="00F32B28">
        <w:rPr>
          <w:rtl/>
        </w:rPr>
        <w:t xml:space="preserve"> </w:t>
      </w:r>
      <w:r w:rsidR="00F32B28" w:rsidRPr="00F32B28">
        <w:rPr>
          <w:rtl/>
        </w:rPr>
        <w:t>إسرائيل،</w:t>
      </w:r>
      <w:r w:rsidR="00F32B28">
        <w:rPr>
          <w:rtl/>
        </w:rPr>
        <w:t xml:space="preserve"> </w:t>
      </w:r>
      <w:r w:rsidR="00F32B28" w:rsidRPr="00F32B28">
        <w:rPr>
          <w:rtl/>
        </w:rPr>
        <w:t>كما</w:t>
      </w:r>
      <w:r w:rsidR="00887A70">
        <w:rPr>
          <w:rFonts w:hint="cs"/>
          <w:rtl/>
        </w:rPr>
        <w:t xml:space="preserve"> </w:t>
      </w:r>
      <w:r w:rsidR="00F32B28" w:rsidRPr="00F32B28">
        <w:rPr>
          <w:rtl/>
        </w:rPr>
        <w:t>يتم</w:t>
      </w:r>
      <w:r w:rsidR="00F32B28">
        <w:rPr>
          <w:rtl/>
        </w:rPr>
        <w:t xml:space="preserve"> </w:t>
      </w:r>
      <w:r w:rsidR="00F32B28" w:rsidRPr="00F32B28">
        <w:rPr>
          <w:rtl/>
        </w:rPr>
        <w:t>تمديد</w:t>
      </w:r>
      <w:r w:rsidR="00F32B28">
        <w:rPr>
          <w:rtl/>
        </w:rPr>
        <w:t xml:space="preserve"> </w:t>
      </w:r>
      <w:r w:rsidR="00F32B28" w:rsidRPr="00F32B28">
        <w:rPr>
          <w:rtl/>
        </w:rPr>
        <w:t>سريان</w:t>
      </w:r>
      <w:r w:rsidR="00F32B28">
        <w:rPr>
          <w:rtl/>
        </w:rPr>
        <w:t xml:space="preserve"> </w:t>
      </w:r>
      <w:r w:rsidR="00F32B28" w:rsidRPr="00F32B28">
        <w:rPr>
          <w:rtl/>
        </w:rPr>
        <w:t>هذا</w:t>
      </w:r>
      <w:r w:rsidR="00F32B28">
        <w:rPr>
          <w:rtl/>
        </w:rPr>
        <w:t xml:space="preserve"> </w:t>
      </w:r>
      <w:r w:rsidR="00F32B28" w:rsidRPr="00F32B28">
        <w:rPr>
          <w:rtl/>
        </w:rPr>
        <w:t>القانون</w:t>
      </w:r>
      <w:r w:rsidR="00F32B28">
        <w:rPr>
          <w:rtl/>
        </w:rPr>
        <w:t xml:space="preserve"> </w:t>
      </w:r>
      <w:r w:rsidR="00F32B28" w:rsidRPr="00F32B28">
        <w:rPr>
          <w:rtl/>
        </w:rPr>
        <w:t>العنصري</w:t>
      </w:r>
      <w:r w:rsidR="00F32B28">
        <w:rPr>
          <w:rtl/>
        </w:rPr>
        <w:t xml:space="preserve"> </w:t>
      </w:r>
      <w:r w:rsidR="00F32B28" w:rsidRPr="00F32B28">
        <w:rPr>
          <w:rtl/>
        </w:rPr>
        <w:t>منذ</w:t>
      </w:r>
      <w:r w:rsidR="00F32B28">
        <w:rPr>
          <w:rtl/>
        </w:rPr>
        <w:t xml:space="preserve"> </w:t>
      </w:r>
      <w:r w:rsidR="00F32B28" w:rsidRPr="00F32B28">
        <w:rPr>
          <w:rtl/>
        </w:rPr>
        <w:t>ذلك</w:t>
      </w:r>
      <w:r w:rsidR="00F32B28">
        <w:rPr>
          <w:rtl/>
        </w:rPr>
        <w:t xml:space="preserve"> </w:t>
      </w:r>
      <w:r w:rsidR="00F32B28" w:rsidRPr="00F32B28">
        <w:rPr>
          <w:rtl/>
        </w:rPr>
        <w:t>الحين</w:t>
      </w:r>
      <w:r w:rsidR="00F32B28">
        <w:rPr>
          <w:rtl/>
        </w:rPr>
        <w:t xml:space="preserve"> </w:t>
      </w:r>
      <w:r w:rsidR="00F32B28" w:rsidRPr="00F32B28">
        <w:rPr>
          <w:rtl/>
        </w:rPr>
        <w:t>حتى</w:t>
      </w:r>
      <w:r w:rsidR="00F32B28">
        <w:rPr>
          <w:rtl/>
        </w:rPr>
        <w:t xml:space="preserve"> </w:t>
      </w:r>
      <w:r w:rsidR="00F32B28" w:rsidRPr="00F32B28">
        <w:rPr>
          <w:rtl/>
        </w:rPr>
        <w:t>يومنا</w:t>
      </w:r>
      <w:r w:rsidR="00F32B28">
        <w:rPr>
          <w:rtl/>
        </w:rPr>
        <w:t xml:space="preserve"> </w:t>
      </w:r>
      <w:r w:rsidR="00F32B28" w:rsidRPr="00F32B28">
        <w:rPr>
          <w:rtl/>
        </w:rPr>
        <w:t>هذا</w:t>
      </w:r>
      <w:r w:rsidR="00F32B28">
        <w:rPr>
          <w:rtl/>
        </w:rPr>
        <w:t xml:space="preserve"> </w:t>
      </w:r>
      <w:r w:rsidR="00F32B28" w:rsidRPr="00F32B28">
        <w:rPr>
          <w:rtl/>
        </w:rPr>
        <w:t>بشكل</w:t>
      </w:r>
      <w:r w:rsidR="00F32B28">
        <w:rPr>
          <w:rtl/>
        </w:rPr>
        <w:t xml:space="preserve"> </w:t>
      </w:r>
      <w:r w:rsidR="00F32B28" w:rsidRPr="00F32B28">
        <w:rPr>
          <w:rtl/>
        </w:rPr>
        <w:t>سنوي</w:t>
      </w:r>
      <w:r w:rsidR="00F32B28">
        <w:rPr>
          <w:rtl/>
        </w:rPr>
        <w:t xml:space="preserve"> </w:t>
      </w:r>
      <w:r w:rsidR="00F32B28" w:rsidRPr="00F32B28">
        <w:rPr>
          <w:rtl/>
        </w:rPr>
        <w:t>منتظم</w:t>
      </w:r>
      <w:r w:rsidR="00F32B28">
        <w:rPr>
          <w:rtl/>
        </w:rPr>
        <w:t xml:space="preserve"> </w:t>
      </w:r>
      <w:r w:rsidR="00F32B28" w:rsidRPr="00F32B28">
        <w:rPr>
          <w:rtl/>
        </w:rPr>
        <w:t>ليصبح</w:t>
      </w:r>
      <w:r w:rsidR="00F32B28">
        <w:rPr>
          <w:rtl/>
        </w:rPr>
        <w:t xml:space="preserve"> </w:t>
      </w:r>
      <w:r w:rsidR="00F32B28" w:rsidRPr="00F32B28">
        <w:rPr>
          <w:rtl/>
        </w:rPr>
        <w:t>عملياً</w:t>
      </w:r>
      <w:r w:rsidR="00F32B28">
        <w:rPr>
          <w:rtl/>
        </w:rPr>
        <w:t xml:space="preserve"> </w:t>
      </w:r>
      <w:r w:rsidR="00F32B28" w:rsidRPr="00F32B28">
        <w:rPr>
          <w:rtl/>
        </w:rPr>
        <w:t>قانون</w:t>
      </w:r>
      <w:r w:rsidR="00F32B28">
        <w:rPr>
          <w:rtl/>
        </w:rPr>
        <w:t xml:space="preserve"> </w:t>
      </w:r>
      <w:r w:rsidR="00F32B28" w:rsidRPr="00F32B28">
        <w:rPr>
          <w:rtl/>
        </w:rPr>
        <w:t>دائم</w:t>
      </w:r>
      <w:r w:rsidR="00F32B28">
        <w:rPr>
          <w:rtl/>
        </w:rPr>
        <w:t xml:space="preserve"> </w:t>
      </w:r>
      <w:r w:rsidR="00F32B28" w:rsidRPr="00F32B28">
        <w:rPr>
          <w:rtl/>
        </w:rPr>
        <w:t>وثابت.</w:t>
      </w:r>
    </w:p>
    <w:p w:rsidR="00F32B28" w:rsidRPr="00F32B28" w:rsidRDefault="009C23E0" w:rsidP="009C23E0">
      <w:pPr>
        <w:pStyle w:val="SingleTxt"/>
        <w:rPr>
          <w:rtl/>
        </w:rPr>
      </w:pPr>
      <w:r>
        <w:rPr>
          <w:rFonts w:hint="cs"/>
          <w:rtl/>
          <w:lang w:bidi="ar-SY"/>
        </w:rPr>
        <w:t xml:space="preserve">155 - </w:t>
      </w:r>
      <w:r w:rsidR="00F32B28" w:rsidRPr="00F32B28">
        <w:rPr>
          <w:rtl/>
          <w:lang w:bidi="ar-SY"/>
        </w:rPr>
        <w:t>وقد</w:t>
      </w:r>
      <w:r w:rsidR="00F32B28">
        <w:rPr>
          <w:rtl/>
          <w:lang w:bidi="ar-SY"/>
        </w:rPr>
        <w:t xml:space="preserve"> </w:t>
      </w:r>
      <w:r w:rsidR="00F32B28" w:rsidRPr="00F32B28">
        <w:rPr>
          <w:rtl/>
        </w:rPr>
        <w:t>أجريت</w:t>
      </w:r>
      <w:r w:rsidR="00F32B28">
        <w:rPr>
          <w:rtl/>
        </w:rPr>
        <w:t xml:space="preserve"> </w:t>
      </w:r>
      <w:r w:rsidR="00F32B28" w:rsidRPr="00F32B28">
        <w:rPr>
          <w:rtl/>
        </w:rPr>
        <w:t>بعض</w:t>
      </w:r>
      <w:r w:rsidR="00F32B28">
        <w:rPr>
          <w:rtl/>
        </w:rPr>
        <w:t xml:space="preserve"> </w:t>
      </w:r>
      <w:r w:rsidR="00F32B28" w:rsidRPr="00F32B28">
        <w:rPr>
          <w:rtl/>
        </w:rPr>
        <w:t>التعديلات</w:t>
      </w:r>
      <w:r w:rsidR="00F32B28">
        <w:rPr>
          <w:rtl/>
        </w:rPr>
        <w:t xml:space="preserve"> </w:t>
      </w:r>
      <w:r w:rsidR="00F32B28" w:rsidRPr="00F32B28">
        <w:rPr>
          <w:rtl/>
        </w:rPr>
        <w:t>على</w:t>
      </w:r>
      <w:r w:rsidR="00F32B28">
        <w:rPr>
          <w:rtl/>
        </w:rPr>
        <w:t xml:space="preserve"> </w:t>
      </w:r>
      <w:r w:rsidR="00F32B28" w:rsidRPr="00F32B28">
        <w:rPr>
          <w:rtl/>
        </w:rPr>
        <w:t>هذا</w:t>
      </w:r>
      <w:r w:rsidR="00F32B28">
        <w:rPr>
          <w:rtl/>
        </w:rPr>
        <w:t xml:space="preserve"> </w:t>
      </w:r>
      <w:r w:rsidR="00F32B28" w:rsidRPr="00F32B28">
        <w:rPr>
          <w:rtl/>
        </w:rPr>
        <w:t>القانون</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2005،</w:t>
      </w:r>
      <w:r w:rsidR="00F32B28">
        <w:rPr>
          <w:rtl/>
        </w:rPr>
        <w:t xml:space="preserve"> </w:t>
      </w:r>
      <w:r w:rsidR="00F32B28" w:rsidRPr="00F32B28">
        <w:rPr>
          <w:rtl/>
        </w:rPr>
        <w:t>سمحت</w:t>
      </w:r>
      <w:r w:rsidR="00F32B28">
        <w:rPr>
          <w:rtl/>
        </w:rPr>
        <w:t xml:space="preserve"> </w:t>
      </w:r>
      <w:r w:rsidR="00F32B28" w:rsidRPr="00F32B28">
        <w:rPr>
          <w:rtl/>
        </w:rPr>
        <w:t>للنساء</w:t>
      </w:r>
      <w:r w:rsidR="00F32B28">
        <w:rPr>
          <w:rtl/>
        </w:rPr>
        <w:t xml:space="preserve"> </w:t>
      </w:r>
      <w:r w:rsidR="00F32B28" w:rsidRPr="00F32B28">
        <w:rPr>
          <w:rtl/>
        </w:rPr>
        <w:t>المتزوجات</w:t>
      </w:r>
      <w:r w:rsidR="00F32B28">
        <w:rPr>
          <w:rtl/>
        </w:rPr>
        <w:t xml:space="preserve"> </w:t>
      </w:r>
      <w:r w:rsidR="00F32B28" w:rsidRPr="00F32B28">
        <w:rPr>
          <w:rtl/>
        </w:rPr>
        <w:t>من</w:t>
      </w:r>
      <w:r w:rsidR="00F32B28">
        <w:rPr>
          <w:rtl/>
        </w:rPr>
        <w:t xml:space="preserve"> </w:t>
      </w:r>
      <w:r w:rsidR="00F32B28" w:rsidRPr="00F32B28">
        <w:rPr>
          <w:rtl/>
        </w:rPr>
        <w:t>مقدسيين</w:t>
      </w:r>
      <w:r w:rsidR="00F32B28">
        <w:rPr>
          <w:rtl/>
        </w:rPr>
        <w:t xml:space="preserve"> </w:t>
      </w:r>
      <w:r w:rsidR="00F32B28" w:rsidRPr="00F32B28">
        <w:rPr>
          <w:rtl/>
        </w:rPr>
        <w:t>أو</w:t>
      </w:r>
      <w:r w:rsidR="00F32B28">
        <w:rPr>
          <w:rtl/>
        </w:rPr>
        <w:t xml:space="preserve"> </w:t>
      </w:r>
      <w:r w:rsidR="00F32B28" w:rsidRPr="00F32B28">
        <w:rPr>
          <w:rtl/>
        </w:rPr>
        <w:t>فلسطينيين</w:t>
      </w:r>
      <w:r w:rsidR="00F32B28">
        <w:rPr>
          <w:rtl/>
        </w:rPr>
        <w:t xml:space="preserve"> </w:t>
      </w:r>
      <w:r w:rsidR="00F32B28" w:rsidRPr="00F32B28">
        <w:rPr>
          <w:rtl/>
        </w:rPr>
        <w:t>من</w:t>
      </w:r>
      <w:r w:rsidR="00F32B28">
        <w:rPr>
          <w:rtl/>
        </w:rPr>
        <w:t xml:space="preserve"> </w:t>
      </w:r>
      <w:r w:rsidR="00F32B28" w:rsidRPr="00F32B28">
        <w:rPr>
          <w:rtl/>
        </w:rPr>
        <w:t>حملة</w:t>
      </w:r>
      <w:r w:rsidR="00F32B28">
        <w:rPr>
          <w:rtl/>
        </w:rPr>
        <w:t xml:space="preserve"> </w:t>
      </w:r>
      <w:r w:rsidR="00F32B28" w:rsidRPr="00F32B28">
        <w:rPr>
          <w:rtl/>
        </w:rPr>
        <w:t>الجنسية</w:t>
      </w:r>
      <w:r w:rsidR="00F32B28">
        <w:rPr>
          <w:rtl/>
        </w:rPr>
        <w:t xml:space="preserve"> </w:t>
      </w:r>
      <w:r w:rsidR="00F32B28" w:rsidRPr="00F32B28">
        <w:rPr>
          <w:rtl/>
        </w:rPr>
        <w:t>الإسرائيلية</w:t>
      </w:r>
      <w:r w:rsidR="00F32B28">
        <w:rPr>
          <w:rtl/>
        </w:rPr>
        <w:t xml:space="preserve"> </w:t>
      </w:r>
      <w:r w:rsidR="00F32B28" w:rsidRPr="00F32B28">
        <w:rPr>
          <w:rtl/>
        </w:rPr>
        <w:t>واللاتي</w:t>
      </w:r>
      <w:r w:rsidR="00F32B28">
        <w:rPr>
          <w:rtl/>
        </w:rPr>
        <w:t xml:space="preserve"> </w:t>
      </w:r>
      <w:r w:rsidR="00F32B28" w:rsidRPr="00F32B28">
        <w:rPr>
          <w:rtl/>
        </w:rPr>
        <w:t>تخطت</w:t>
      </w:r>
      <w:r w:rsidR="00F32B28">
        <w:rPr>
          <w:rtl/>
        </w:rPr>
        <w:t xml:space="preserve"> </w:t>
      </w:r>
      <w:r w:rsidR="00F32B28" w:rsidRPr="00F32B28">
        <w:rPr>
          <w:rtl/>
        </w:rPr>
        <w:t>أعمارهن</w:t>
      </w:r>
      <w:r w:rsidR="00F32B28">
        <w:rPr>
          <w:rtl/>
        </w:rPr>
        <w:t xml:space="preserve"> </w:t>
      </w:r>
      <w:r w:rsidR="00F32B28" w:rsidRPr="00F32B28">
        <w:rPr>
          <w:rtl/>
        </w:rPr>
        <w:t>الخامسة</w:t>
      </w:r>
      <w:r w:rsidR="00F32B28">
        <w:rPr>
          <w:rtl/>
        </w:rPr>
        <w:t xml:space="preserve"> </w:t>
      </w:r>
      <w:r w:rsidR="00F32B28" w:rsidRPr="00F32B28">
        <w:rPr>
          <w:rtl/>
        </w:rPr>
        <w:t>والعشرين</w:t>
      </w:r>
      <w:r w:rsidR="00F32B28">
        <w:rPr>
          <w:rtl/>
        </w:rPr>
        <w:t xml:space="preserve"> </w:t>
      </w:r>
      <w:r w:rsidR="00F32B28" w:rsidRPr="00F32B28">
        <w:rPr>
          <w:rtl/>
        </w:rPr>
        <w:t>أن</w:t>
      </w:r>
      <w:r w:rsidR="00F32B28">
        <w:rPr>
          <w:rtl/>
        </w:rPr>
        <w:t xml:space="preserve"> </w:t>
      </w:r>
      <w:r w:rsidR="00F32B28" w:rsidRPr="00F32B28">
        <w:rPr>
          <w:rtl/>
        </w:rPr>
        <w:t>يحصلن</w:t>
      </w:r>
      <w:r w:rsidR="00F32B28">
        <w:rPr>
          <w:rtl/>
        </w:rPr>
        <w:t xml:space="preserve"> </w:t>
      </w:r>
      <w:r w:rsidR="00F32B28" w:rsidRPr="00F32B28">
        <w:rPr>
          <w:rtl/>
        </w:rPr>
        <w:t>على</w:t>
      </w:r>
      <w:r w:rsidR="00F32B28">
        <w:rPr>
          <w:rtl/>
        </w:rPr>
        <w:t xml:space="preserve"> </w:t>
      </w:r>
      <w:r w:rsidR="00F32B28" w:rsidRPr="00F32B28">
        <w:rPr>
          <w:rtl/>
        </w:rPr>
        <w:t>تصريح</w:t>
      </w:r>
      <w:r w:rsidR="00F32B28">
        <w:rPr>
          <w:rtl/>
        </w:rPr>
        <w:t xml:space="preserve"> </w:t>
      </w:r>
      <w:r w:rsidR="00F32B28" w:rsidRPr="00F32B28">
        <w:rPr>
          <w:rtl/>
        </w:rPr>
        <w:t>مكوث</w:t>
      </w:r>
      <w:r w:rsidR="00F32B28">
        <w:rPr>
          <w:rtl/>
        </w:rPr>
        <w:t xml:space="preserve"> </w:t>
      </w:r>
      <w:r w:rsidR="00F32B28" w:rsidRPr="00F32B28">
        <w:rPr>
          <w:rtl/>
        </w:rPr>
        <w:t>مع</w:t>
      </w:r>
      <w:r w:rsidR="00F32B28">
        <w:rPr>
          <w:rtl/>
        </w:rPr>
        <w:t xml:space="preserve"> </w:t>
      </w:r>
      <w:r w:rsidR="00F32B28" w:rsidRPr="00F32B28">
        <w:rPr>
          <w:rtl/>
        </w:rPr>
        <w:t>أزواجهن،</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سمحت</w:t>
      </w:r>
      <w:r w:rsidR="00F32B28">
        <w:rPr>
          <w:rtl/>
        </w:rPr>
        <w:t xml:space="preserve"> </w:t>
      </w:r>
      <w:r w:rsidR="00F32B28" w:rsidRPr="00F32B28">
        <w:rPr>
          <w:rtl/>
        </w:rPr>
        <w:t>التعديلات</w:t>
      </w:r>
      <w:r w:rsidR="00F32B28">
        <w:rPr>
          <w:rtl/>
        </w:rPr>
        <w:t xml:space="preserve"> </w:t>
      </w:r>
      <w:r w:rsidR="00F32B28" w:rsidRPr="00F32B28">
        <w:rPr>
          <w:rtl/>
        </w:rPr>
        <w:t>للرجال</w:t>
      </w:r>
      <w:r w:rsidR="00F32B28">
        <w:rPr>
          <w:rtl/>
        </w:rPr>
        <w:t xml:space="preserve"> </w:t>
      </w:r>
      <w:r w:rsidR="00F32B28" w:rsidRPr="00F32B28">
        <w:rPr>
          <w:rtl/>
        </w:rPr>
        <w:t>الذين</w:t>
      </w:r>
      <w:r w:rsidR="00F32B28">
        <w:rPr>
          <w:rtl/>
        </w:rPr>
        <w:t xml:space="preserve"> </w:t>
      </w:r>
      <w:r w:rsidR="00F32B28" w:rsidRPr="00F32B28">
        <w:rPr>
          <w:rtl/>
        </w:rPr>
        <w:t>تجاوزوا</w:t>
      </w:r>
      <w:r w:rsidR="00F32B28">
        <w:rPr>
          <w:rtl/>
        </w:rPr>
        <w:t xml:space="preserve"> </w:t>
      </w:r>
      <w:r w:rsidR="00F32B28" w:rsidRPr="00F32B28">
        <w:rPr>
          <w:rtl/>
        </w:rPr>
        <w:t>الخامسة</w:t>
      </w:r>
      <w:r w:rsidR="00F32B28">
        <w:rPr>
          <w:rtl/>
        </w:rPr>
        <w:t xml:space="preserve"> </w:t>
      </w:r>
      <w:r w:rsidR="00F32B28" w:rsidRPr="00F32B28">
        <w:rPr>
          <w:rtl/>
        </w:rPr>
        <w:t>والثلاثين</w:t>
      </w:r>
      <w:r w:rsidR="00F32B28">
        <w:rPr>
          <w:rtl/>
        </w:rPr>
        <w:t xml:space="preserve"> </w:t>
      </w:r>
      <w:r w:rsidR="00F32B28" w:rsidRPr="00F32B28">
        <w:rPr>
          <w:rtl/>
        </w:rPr>
        <w:t>من</w:t>
      </w:r>
      <w:r w:rsidR="00F32B28">
        <w:rPr>
          <w:rtl/>
        </w:rPr>
        <w:t xml:space="preserve"> </w:t>
      </w:r>
      <w:r w:rsidR="00F32B28" w:rsidRPr="00F32B28">
        <w:rPr>
          <w:rtl/>
        </w:rPr>
        <w:t>أعمارهم</w:t>
      </w:r>
      <w:r w:rsidR="00F32B28">
        <w:rPr>
          <w:rtl/>
        </w:rPr>
        <w:t xml:space="preserve"> </w:t>
      </w:r>
      <w:r w:rsidR="00F32B28" w:rsidRPr="00F32B28">
        <w:rPr>
          <w:rtl/>
        </w:rPr>
        <w:t>والمتزوجين</w:t>
      </w:r>
      <w:r w:rsidR="00F32B28">
        <w:rPr>
          <w:rtl/>
        </w:rPr>
        <w:t xml:space="preserve"> </w:t>
      </w:r>
      <w:r w:rsidR="00F32B28" w:rsidRPr="00F32B28">
        <w:rPr>
          <w:rtl/>
        </w:rPr>
        <w:t>من</w:t>
      </w:r>
      <w:r w:rsidR="00F32B28">
        <w:rPr>
          <w:rtl/>
        </w:rPr>
        <w:t xml:space="preserve"> </w:t>
      </w:r>
      <w:r w:rsidR="00F32B28" w:rsidRPr="00F32B28">
        <w:rPr>
          <w:rtl/>
        </w:rPr>
        <w:t>نساء</w:t>
      </w:r>
      <w:r w:rsidR="00F32B28">
        <w:rPr>
          <w:rtl/>
        </w:rPr>
        <w:t xml:space="preserve"> </w:t>
      </w:r>
      <w:r w:rsidR="00F32B28" w:rsidRPr="00F32B28">
        <w:rPr>
          <w:rtl/>
        </w:rPr>
        <w:t>مقدسيات</w:t>
      </w:r>
      <w:r w:rsidR="00F32B28">
        <w:rPr>
          <w:rtl/>
        </w:rPr>
        <w:t xml:space="preserve"> </w:t>
      </w:r>
      <w:r w:rsidR="00F32B28" w:rsidRPr="00F32B28">
        <w:rPr>
          <w:rtl/>
        </w:rPr>
        <w:t>أو</w:t>
      </w:r>
      <w:r w:rsidR="00F32B28">
        <w:rPr>
          <w:rtl/>
        </w:rPr>
        <w:t xml:space="preserve"> </w:t>
      </w:r>
      <w:r w:rsidR="00F32B28" w:rsidRPr="00F32B28">
        <w:rPr>
          <w:rtl/>
        </w:rPr>
        <w:t>فلسطينيات</w:t>
      </w:r>
      <w:r w:rsidR="00F32B28">
        <w:rPr>
          <w:rtl/>
        </w:rPr>
        <w:t xml:space="preserve"> </w:t>
      </w:r>
      <w:r w:rsidR="00F32B28" w:rsidRPr="00F32B28">
        <w:rPr>
          <w:rtl/>
        </w:rPr>
        <w:t>يحملن</w:t>
      </w:r>
      <w:r w:rsidR="00F32B28">
        <w:rPr>
          <w:rtl/>
        </w:rPr>
        <w:t xml:space="preserve"> </w:t>
      </w:r>
      <w:r w:rsidR="00F32B28" w:rsidRPr="00F32B28">
        <w:rPr>
          <w:rtl/>
        </w:rPr>
        <w:t>الجنسية</w:t>
      </w:r>
      <w:r w:rsidR="00F32B28">
        <w:rPr>
          <w:rtl/>
        </w:rPr>
        <w:t xml:space="preserve"> </w:t>
      </w:r>
      <w:r w:rsidR="00F32B28" w:rsidRPr="00F32B28">
        <w:rPr>
          <w:rtl/>
        </w:rPr>
        <w:t>الإسرائيلية</w:t>
      </w:r>
      <w:r w:rsidR="00F32B28">
        <w:rPr>
          <w:rtl/>
        </w:rPr>
        <w:t xml:space="preserve"> </w:t>
      </w:r>
      <w:r w:rsidR="00F32B28" w:rsidRPr="00F32B28">
        <w:rPr>
          <w:rtl/>
        </w:rPr>
        <w:t>بالحصول</w:t>
      </w:r>
      <w:r w:rsidR="00F32B28">
        <w:rPr>
          <w:rtl/>
        </w:rPr>
        <w:t xml:space="preserve"> </w:t>
      </w:r>
      <w:r w:rsidR="00F32B28" w:rsidRPr="00F32B28">
        <w:rPr>
          <w:rtl/>
        </w:rPr>
        <w:t>على</w:t>
      </w:r>
      <w:r w:rsidR="00F32B28">
        <w:rPr>
          <w:rtl/>
        </w:rPr>
        <w:t xml:space="preserve"> </w:t>
      </w:r>
      <w:r w:rsidR="00F32B28" w:rsidRPr="00F32B28">
        <w:rPr>
          <w:rtl/>
        </w:rPr>
        <w:t>تصريح</w:t>
      </w:r>
      <w:r w:rsidR="00F32B28">
        <w:rPr>
          <w:rtl/>
        </w:rPr>
        <w:t xml:space="preserve"> </w:t>
      </w:r>
      <w:r w:rsidR="00F32B28" w:rsidRPr="00F32B28">
        <w:rPr>
          <w:rtl/>
        </w:rPr>
        <w:t>مكوث</w:t>
      </w:r>
      <w:r w:rsidR="00F32B28">
        <w:rPr>
          <w:rtl/>
        </w:rPr>
        <w:t xml:space="preserve"> </w:t>
      </w:r>
      <w:r w:rsidR="00F32B28" w:rsidRPr="00F32B28">
        <w:rPr>
          <w:rtl/>
        </w:rPr>
        <w:t>مع</w:t>
      </w:r>
      <w:r w:rsidR="00F32B28">
        <w:rPr>
          <w:rtl/>
        </w:rPr>
        <w:t xml:space="preserve"> </w:t>
      </w:r>
      <w:r w:rsidR="00F32B28" w:rsidRPr="00F32B28">
        <w:rPr>
          <w:rtl/>
        </w:rPr>
        <w:t>زوجاتهن،</w:t>
      </w:r>
      <w:r w:rsidR="00F32B28">
        <w:rPr>
          <w:rtl/>
        </w:rPr>
        <w:t xml:space="preserve"> </w:t>
      </w:r>
      <w:r w:rsidR="00F32B28" w:rsidRPr="00F32B28">
        <w:rPr>
          <w:rtl/>
        </w:rPr>
        <w:t>أما</w:t>
      </w:r>
      <w:r w:rsidR="00F32B28">
        <w:rPr>
          <w:rtl/>
        </w:rPr>
        <w:t xml:space="preserve"> </w:t>
      </w:r>
      <w:r w:rsidR="00F32B28" w:rsidRPr="00F32B28">
        <w:rPr>
          <w:rtl/>
        </w:rPr>
        <w:t>الأبناء</w:t>
      </w:r>
      <w:r w:rsidR="00F32B28">
        <w:rPr>
          <w:rtl/>
        </w:rPr>
        <w:t xml:space="preserve"> </w:t>
      </w:r>
      <w:r w:rsidR="00F32B28" w:rsidRPr="00F32B28">
        <w:rPr>
          <w:rtl/>
        </w:rPr>
        <w:t>الذين</w:t>
      </w:r>
      <w:r w:rsidR="00F32B28">
        <w:rPr>
          <w:rtl/>
        </w:rPr>
        <w:t xml:space="preserve"> </w:t>
      </w:r>
      <w:r w:rsidR="00F32B28" w:rsidRPr="00F32B28">
        <w:rPr>
          <w:rtl/>
        </w:rPr>
        <w:t>تعدت</w:t>
      </w:r>
      <w:r w:rsidR="00F32B28">
        <w:rPr>
          <w:rtl/>
        </w:rPr>
        <w:t xml:space="preserve"> </w:t>
      </w:r>
      <w:r w:rsidR="00F32B28" w:rsidRPr="00F32B28">
        <w:rPr>
          <w:rtl/>
        </w:rPr>
        <w:t>أعمارهم</w:t>
      </w:r>
      <w:r w:rsidR="00F32B28">
        <w:rPr>
          <w:rtl/>
        </w:rPr>
        <w:t xml:space="preserve"> </w:t>
      </w:r>
      <w:r w:rsidR="00F32B28" w:rsidRPr="00F32B28">
        <w:rPr>
          <w:rtl/>
        </w:rPr>
        <w:t>14</w:t>
      </w:r>
      <w:r w:rsidR="00F32B28">
        <w:rPr>
          <w:rtl/>
        </w:rPr>
        <w:t xml:space="preserve"> </w:t>
      </w:r>
      <w:r w:rsidR="00F32B28" w:rsidRPr="00F32B28">
        <w:rPr>
          <w:rtl/>
        </w:rPr>
        <w:t>سنة</w:t>
      </w:r>
      <w:r w:rsidR="00F32B28">
        <w:rPr>
          <w:rtl/>
        </w:rPr>
        <w:t xml:space="preserve"> </w:t>
      </w:r>
      <w:r w:rsidR="00F32B28" w:rsidRPr="00F32B28">
        <w:rPr>
          <w:rtl/>
        </w:rPr>
        <w:t>فيجوز</w:t>
      </w:r>
      <w:r w:rsidR="00F32B28">
        <w:rPr>
          <w:rtl/>
        </w:rPr>
        <w:t xml:space="preserve"> </w:t>
      </w:r>
      <w:r w:rsidR="00F32B28" w:rsidRPr="00F32B28">
        <w:rPr>
          <w:rtl/>
        </w:rPr>
        <w:t>لهم</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تصريح</w:t>
      </w:r>
      <w:r w:rsidR="00F32B28">
        <w:rPr>
          <w:rtl/>
        </w:rPr>
        <w:t xml:space="preserve"> </w:t>
      </w:r>
      <w:r w:rsidR="00F32B28" w:rsidRPr="00F32B28">
        <w:rPr>
          <w:rtl/>
        </w:rPr>
        <w:t>للإقامة</w:t>
      </w:r>
      <w:r w:rsidR="00F32B28">
        <w:rPr>
          <w:rtl/>
        </w:rPr>
        <w:t xml:space="preserve"> </w:t>
      </w:r>
      <w:r w:rsidR="00F32B28" w:rsidRPr="00F32B28">
        <w:rPr>
          <w:rtl/>
        </w:rPr>
        <w:t>على</w:t>
      </w:r>
      <w:r w:rsidR="00F32B28">
        <w:rPr>
          <w:rtl/>
        </w:rPr>
        <w:t xml:space="preserve"> </w:t>
      </w:r>
      <w:r w:rsidR="00F32B28" w:rsidRPr="00F32B28">
        <w:rPr>
          <w:rtl/>
        </w:rPr>
        <w:t>أن</w:t>
      </w:r>
      <w:r w:rsidR="00F32B28">
        <w:rPr>
          <w:rtl/>
        </w:rPr>
        <w:t xml:space="preserve"> </w:t>
      </w:r>
      <w:r w:rsidR="00F32B28" w:rsidRPr="00F32B28">
        <w:rPr>
          <w:rtl/>
        </w:rPr>
        <w:t>يتم</w:t>
      </w:r>
      <w:r w:rsidR="00F32B28">
        <w:rPr>
          <w:rtl/>
        </w:rPr>
        <w:t xml:space="preserve"> </w:t>
      </w:r>
      <w:r w:rsidR="00F32B28" w:rsidRPr="00F32B28">
        <w:rPr>
          <w:rtl/>
        </w:rPr>
        <w:t>تجديده</w:t>
      </w:r>
      <w:r w:rsidR="00F32B28">
        <w:rPr>
          <w:rtl/>
        </w:rPr>
        <w:t xml:space="preserve"> </w:t>
      </w:r>
      <w:r w:rsidR="00F32B28" w:rsidRPr="00F32B28">
        <w:rPr>
          <w:rtl/>
        </w:rPr>
        <w:t>فقط</w:t>
      </w:r>
      <w:r w:rsidR="00F32B28">
        <w:rPr>
          <w:rtl/>
        </w:rPr>
        <w:t xml:space="preserve"> </w:t>
      </w:r>
      <w:r w:rsidR="00F32B28" w:rsidRPr="00F32B28">
        <w:rPr>
          <w:rtl/>
        </w:rPr>
        <w:t>عند</w:t>
      </w:r>
      <w:r w:rsidR="00F32B28">
        <w:rPr>
          <w:rtl/>
        </w:rPr>
        <w:t xml:space="preserve"> </w:t>
      </w:r>
      <w:r w:rsidR="00F32B28" w:rsidRPr="00F32B28">
        <w:rPr>
          <w:rtl/>
        </w:rPr>
        <w:t>التأكد</w:t>
      </w:r>
      <w:r w:rsidR="00F32B28">
        <w:rPr>
          <w:rtl/>
        </w:rPr>
        <w:t xml:space="preserve"> </w:t>
      </w:r>
      <w:r w:rsidR="00F32B28" w:rsidRPr="00F32B28">
        <w:rPr>
          <w:rtl/>
        </w:rPr>
        <w:t>من</w:t>
      </w:r>
      <w:r w:rsidR="00F32B28">
        <w:rPr>
          <w:rtl/>
        </w:rPr>
        <w:t xml:space="preserve"> </w:t>
      </w:r>
      <w:r w:rsidR="00F32B28" w:rsidRPr="00F32B28">
        <w:rPr>
          <w:rtl/>
        </w:rPr>
        <w:t>أنهم</w:t>
      </w:r>
      <w:r w:rsidR="00F32B28">
        <w:rPr>
          <w:rtl/>
        </w:rPr>
        <w:t xml:space="preserve"> </w:t>
      </w:r>
      <w:r w:rsidR="00F32B28" w:rsidRPr="00F32B28">
        <w:rPr>
          <w:rtl/>
        </w:rPr>
        <w:t>يسكنون</w:t>
      </w:r>
      <w:r w:rsidR="00F32B28">
        <w:rPr>
          <w:rtl/>
        </w:rPr>
        <w:t xml:space="preserve"> </w:t>
      </w:r>
      <w:r w:rsidR="00F32B28" w:rsidRPr="00F32B28">
        <w:rPr>
          <w:rtl/>
        </w:rPr>
        <w:t>في</w:t>
      </w:r>
      <w:r w:rsidR="00F32B28">
        <w:rPr>
          <w:rtl/>
        </w:rPr>
        <w:t xml:space="preserve"> </w:t>
      </w:r>
      <w:r w:rsidR="00F32B28" w:rsidRPr="00F32B28">
        <w:rPr>
          <w:rtl/>
        </w:rPr>
        <w:t>القدس</w:t>
      </w:r>
      <w:r w:rsidR="00F32B28">
        <w:rPr>
          <w:rtl/>
        </w:rPr>
        <w:t xml:space="preserve"> </w:t>
      </w:r>
      <w:r w:rsidR="00F32B28" w:rsidRPr="00F32B28">
        <w:rPr>
          <w:rtl/>
        </w:rPr>
        <w:t>بشكل</w:t>
      </w:r>
      <w:r w:rsidR="00F32B28">
        <w:rPr>
          <w:rtl/>
        </w:rPr>
        <w:t xml:space="preserve"> </w:t>
      </w:r>
      <w:r w:rsidR="00F32B28" w:rsidRPr="00F32B28">
        <w:rPr>
          <w:rtl/>
        </w:rPr>
        <w:t>منتظم.</w:t>
      </w:r>
      <w:r w:rsidR="00F32B28">
        <w:rPr>
          <w:rtl/>
        </w:rPr>
        <w:t xml:space="preserve"> </w:t>
      </w:r>
      <w:r w:rsidR="00F32B28" w:rsidRPr="00F32B28">
        <w:rPr>
          <w:rtl/>
        </w:rPr>
        <w:t>وكل</w:t>
      </w:r>
      <w:r w:rsidR="00F32B28">
        <w:rPr>
          <w:rtl/>
        </w:rPr>
        <w:t xml:space="preserve"> </w:t>
      </w:r>
      <w:r w:rsidR="00F32B28" w:rsidRPr="00F32B28">
        <w:rPr>
          <w:rtl/>
        </w:rPr>
        <w:t>من</w:t>
      </w:r>
      <w:r w:rsidR="00F32B28">
        <w:rPr>
          <w:rtl/>
        </w:rPr>
        <w:t xml:space="preserve"> </w:t>
      </w:r>
      <w:r w:rsidR="00F32B28" w:rsidRPr="00F32B28">
        <w:rPr>
          <w:rtl/>
        </w:rPr>
        <w:t>لم</w:t>
      </w:r>
      <w:r w:rsidR="00F32B28">
        <w:rPr>
          <w:rtl/>
        </w:rPr>
        <w:t xml:space="preserve"> </w:t>
      </w:r>
      <w:r w:rsidR="00F32B28" w:rsidRPr="00F32B28">
        <w:rPr>
          <w:rtl/>
        </w:rPr>
        <w:t>يكن</w:t>
      </w:r>
      <w:r w:rsidR="00F32B28">
        <w:rPr>
          <w:rtl/>
        </w:rPr>
        <w:t xml:space="preserve"> </w:t>
      </w:r>
      <w:r w:rsidR="00F32B28" w:rsidRPr="00F32B28">
        <w:rPr>
          <w:rtl/>
        </w:rPr>
        <w:t>ضمن</w:t>
      </w:r>
      <w:r w:rsidR="00F32B28">
        <w:rPr>
          <w:rtl/>
        </w:rPr>
        <w:t xml:space="preserve"> </w:t>
      </w:r>
      <w:r w:rsidR="00F32B28" w:rsidRPr="00F32B28">
        <w:rPr>
          <w:rtl/>
        </w:rPr>
        <w:t>هذه</w:t>
      </w:r>
      <w:r w:rsidR="00F32B28">
        <w:rPr>
          <w:rtl/>
        </w:rPr>
        <w:t xml:space="preserve"> </w:t>
      </w:r>
      <w:r w:rsidR="00F32B28" w:rsidRPr="00F32B28">
        <w:rPr>
          <w:rtl/>
        </w:rPr>
        <w:t>الفئة</w:t>
      </w:r>
      <w:r w:rsidR="00F32B28">
        <w:rPr>
          <w:rtl/>
        </w:rPr>
        <w:t xml:space="preserve"> </w:t>
      </w:r>
      <w:r w:rsidR="00F32B28" w:rsidRPr="00F32B28">
        <w:rPr>
          <w:rtl/>
        </w:rPr>
        <w:t>العمرية</w:t>
      </w:r>
      <w:r w:rsidR="00F32B28">
        <w:rPr>
          <w:rtl/>
        </w:rPr>
        <w:t xml:space="preserve"> </w:t>
      </w:r>
      <w:r w:rsidR="00F32B28" w:rsidRPr="00F32B28">
        <w:rPr>
          <w:rtl/>
        </w:rPr>
        <w:t>يرفض</w:t>
      </w:r>
      <w:r w:rsidR="00F32B28">
        <w:rPr>
          <w:rtl/>
        </w:rPr>
        <w:t xml:space="preserve"> </w:t>
      </w:r>
      <w:r w:rsidR="00F32B28" w:rsidRPr="00F32B28">
        <w:rPr>
          <w:rtl/>
        </w:rPr>
        <w:t>طلبه</w:t>
      </w:r>
      <w:r w:rsidR="00F32B28">
        <w:rPr>
          <w:rtl/>
        </w:rPr>
        <w:t xml:space="preserve"> </w:t>
      </w:r>
      <w:r w:rsidR="00F32B28" w:rsidRPr="00F32B28">
        <w:rPr>
          <w:rtl/>
        </w:rPr>
        <w:t>تلقائياً.</w:t>
      </w:r>
      <w:r w:rsidR="00F32B28">
        <w:rPr>
          <w:rtl/>
        </w:rPr>
        <w:t xml:space="preserve"> </w:t>
      </w:r>
      <w:r w:rsidR="00F32B28" w:rsidRPr="00F32B28">
        <w:rPr>
          <w:rtl/>
        </w:rPr>
        <w:t>وحتى</w:t>
      </w:r>
      <w:r w:rsidR="00F32B28">
        <w:rPr>
          <w:rtl/>
        </w:rPr>
        <w:t xml:space="preserve"> </w:t>
      </w:r>
      <w:r w:rsidR="00F32B28" w:rsidRPr="00F32B28">
        <w:rPr>
          <w:rtl/>
        </w:rPr>
        <w:t>أولئك</w:t>
      </w:r>
      <w:r w:rsidR="00F32B28">
        <w:rPr>
          <w:rtl/>
        </w:rPr>
        <w:t xml:space="preserve"> </w:t>
      </w:r>
      <w:r w:rsidR="00F32B28" w:rsidRPr="00F32B28">
        <w:rPr>
          <w:rtl/>
        </w:rPr>
        <w:t>الذين</w:t>
      </w:r>
      <w:r w:rsidR="00F32B28">
        <w:rPr>
          <w:rtl/>
        </w:rPr>
        <w:t xml:space="preserve"> </w:t>
      </w:r>
      <w:r w:rsidR="00F32B28" w:rsidRPr="00F32B28">
        <w:rPr>
          <w:rtl/>
        </w:rPr>
        <w:t>يندرجون</w:t>
      </w:r>
      <w:r w:rsidR="00F32B28">
        <w:rPr>
          <w:rtl/>
        </w:rPr>
        <w:t xml:space="preserve"> </w:t>
      </w:r>
      <w:r w:rsidR="00F32B28" w:rsidRPr="00F32B28">
        <w:rPr>
          <w:rtl/>
        </w:rPr>
        <w:t>ضمن</w:t>
      </w:r>
      <w:r w:rsidR="00F32B28">
        <w:rPr>
          <w:rtl/>
        </w:rPr>
        <w:t xml:space="preserve"> </w:t>
      </w:r>
      <w:r w:rsidR="00F32B28" w:rsidRPr="00F32B28">
        <w:rPr>
          <w:rtl/>
        </w:rPr>
        <w:t>هذه</w:t>
      </w:r>
      <w:r w:rsidR="00F32B28">
        <w:rPr>
          <w:rtl/>
        </w:rPr>
        <w:t xml:space="preserve"> </w:t>
      </w:r>
      <w:r w:rsidR="00F32B28" w:rsidRPr="00F32B28">
        <w:rPr>
          <w:rtl/>
        </w:rPr>
        <w:t>الفئة،</w:t>
      </w:r>
      <w:r w:rsidR="00F32B28">
        <w:rPr>
          <w:rtl/>
        </w:rPr>
        <w:t xml:space="preserve"> </w:t>
      </w:r>
      <w:r w:rsidR="00F32B28" w:rsidRPr="00F32B28">
        <w:rPr>
          <w:rtl/>
        </w:rPr>
        <w:t>فلا</w:t>
      </w:r>
      <w:r w:rsidR="00F32B28">
        <w:rPr>
          <w:rtl/>
        </w:rPr>
        <w:t xml:space="preserve"> </w:t>
      </w:r>
      <w:r w:rsidR="00F32B28" w:rsidRPr="00F32B28">
        <w:rPr>
          <w:rtl/>
        </w:rPr>
        <w:t>تتم</w:t>
      </w:r>
      <w:r w:rsidR="00F32B28">
        <w:rPr>
          <w:rtl/>
        </w:rPr>
        <w:t xml:space="preserve"> </w:t>
      </w:r>
      <w:r w:rsidR="00F32B28" w:rsidRPr="00F32B28">
        <w:rPr>
          <w:rtl/>
        </w:rPr>
        <w:t>المصادقة</w:t>
      </w:r>
      <w:r w:rsidR="00F32B28">
        <w:rPr>
          <w:rtl/>
        </w:rPr>
        <w:t xml:space="preserve"> </w:t>
      </w:r>
      <w:r w:rsidR="00F32B28" w:rsidRPr="00F32B28">
        <w:rPr>
          <w:rtl/>
        </w:rPr>
        <w:t>على</w:t>
      </w:r>
      <w:r w:rsidR="00F32B28">
        <w:rPr>
          <w:rtl/>
        </w:rPr>
        <w:t xml:space="preserve"> </w:t>
      </w:r>
      <w:r w:rsidR="00F32B28" w:rsidRPr="00F32B28">
        <w:rPr>
          <w:rtl/>
        </w:rPr>
        <w:t>طلباتهم</w:t>
      </w:r>
      <w:r w:rsidR="00F32B28">
        <w:rPr>
          <w:rtl/>
        </w:rPr>
        <w:t xml:space="preserve"> </w:t>
      </w:r>
      <w:r w:rsidR="00F32B28" w:rsidRPr="00F32B28">
        <w:rPr>
          <w:rtl/>
        </w:rPr>
        <w:t>في</w:t>
      </w:r>
      <w:r w:rsidR="00F32B28">
        <w:rPr>
          <w:rtl/>
        </w:rPr>
        <w:t xml:space="preserve"> </w:t>
      </w:r>
      <w:r w:rsidR="00F32B28" w:rsidRPr="00F32B28">
        <w:rPr>
          <w:rtl/>
        </w:rPr>
        <w:t>أغلب</w:t>
      </w:r>
      <w:r w:rsidR="00F32B28">
        <w:rPr>
          <w:rtl/>
        </w:rPr>
        <w:t xml:space="preserve"> </w:t>
      </w:r>
      <w:r w:rsidR="00F32B28" w:rsidRPr="00F32B28">
        <w:rPr>
          <w:rtl/>
        </w:rPr>
        <w:t>الأحيان،</w:t>
      </w:r>
      <w:r w:rsidR="00F32B28">
        <w:rPr>
          <w:rtl/>
        </w:rPr>
        <w:t xml:space="preserve"> </w:t>
      </w:r>
      <w:r w:rsidR="00F32B28" w:rsidRPr="00F32B28">
        <w:rPr>
          <w:rtl/>
        </w:rPr>
        <w:t>حيث</w:t>
      </w:r>
      <w:r w:rsidR="00F32B28">
        <w:rPr>
          <w:rtl/>
        </w:rPr>
        <w:t xml:space="preserve"> </w:t>
      </w:r>
      <w:r w:rsidR="00F32B28" w:rsidRPr="00F32B28">
        <w:rPr>
          <w:rtl/>
        </w:rPr>
        <w:t>يماطل</w:t>
      </w:r>
      <w:r w:rsidR="00F32B28">
        <w:rPr>
          <w:rtl/>
        </w:rPr>
        <w:t xml:space="preserve"> </w:t>
      </w:r>
      <w:r w:rsidR="00F32B28" w:rsidRPr="00F32B28">
        <w:rPr>
          <w:rtl/>
        </w:rPr>
        <w:t>فيه</w:t>
      </w:r>
      <w:r w:rsidR="00F32B28">
        <w:rPr>
          <w:rtl/>
        </w:rPr>
        <w:t xml:space="preserve"> </w:t>
      </w:r>
      <w:r w:rsidR="00F32B28" w:rsidRPr="00F32B28">
        <w:rPr>
          <w:rtl/>
        </w:rPr>
        <w:t>لفترات</w:t>
      </w:r>
      <w:r w:rsidR="00F32B28">
        <w:rPr>
          <w:rtl/>
        </w:rPr>
        <w:t xml:space="preserve"> </w:t>
      </w:r>
      <w:r w:rsidR="00F32B28" w:rsidRPr="00F32B28">
        <w:rPr>
          <w:rtl/>
        </w:rPr>
        <w:t>طويلة،</w:t>
      </w:r>
      <w:r w:rsidR="00F32B28">
        <w:rPr>
          <w:rtl/>
        </w:rPr>
        <w:t xml:space="preserve"> </w:t>
      </w:r>
      <w:r w:rsidR="00F32B28" w:rsidRPr="00F32B28">
        <w:rPr>
          <w:rtl/>
        </w:rPr>
        <w:t>ويرفض</w:t>
      </w:r>
      <w:r w:rsidR="00F32B28">
        <w:rPr>
          <w:rtl/>
        </w:rPr>
        <w:t xml:space="preserve"> </w:t>
      </w:r>
      <w:r w:rsidR="00F32B28" w:rsidRPr="00F32B28">
        <w:rPr>
          <w:rtl/>
        </w:rPr>
        <w:t>في</w:t>
      </w:r>
      <w:r w:rsidR="00F32B28">
        <w:rPr>
          <w:rtl/>
        </w:rPr>
        <w:t xml:space="preserve"> </w:t>
      </w:r>
      <w:r w:rsidR="00F32B28" w:rsidRPr="00F32B28">
        <w:rPr>
          <w:rtl/>
        </w:rPr>
        <w:t>نهاية</w:t>
      </w:r>
      <w:r w:rsidR="00F32B28">
        <w:rPr>
          <w:rtl/>
        </w:rPr>
        <w:t xml:space="preserve"> </w:t>
      </w:r>
      <w:r w:rsidR="00F32B28" w:rsidRPr="00F32B28">
        <w:rPr>
          <w:rtl/>
        </w:rPr>
        <w:t>المطاف</w:t>
      </w:r>
      <w:r w:rsidR="00F32B28">
        <w:rPr>
          <w:rtl/>
        </w:rPr>
        <w:t xml:space="preserve"> </w:t>
      </w:r>
      <w:r w:rsidR="00F32B28" w:rsidRPr="00F32B28">
        <w:rPr>
          <w:rtl/>
        </w:rPr>
        <w:t>تحت</w:t>
      </w:r>
      <w:r w:rsidR="00F32B28">
        <w:rPr>
          <w:rtl/>
        </w:rPr>
        <w:t xml:space="preserve"> </w:t>
      </w:r>
      <w:r w:rsidR="00F32B28" w:rsidRPr="00F32B28">
        <w:rPr>
          <w:rtl/>
        </w:rPr>
        <w:t>ذرائع</w:t>
      </w:r>
      <w:r w:rsidR="00F32B28">
        <w:rPr>
          <w:rtl/>
        </w:rPr>
        <w:t xml:space="preserve"> </w:t>
      </w:r>
      <w:r w:rsidR="00F32B28" w:rsidRPr="00F32B28">
        <w:rPr>
          <w:rtl/>
        </w:rPr>
        <w:t>مختلفة؛</w:t>
      </w:r>
      <w:r w:rsidR="00F32B28">
        <w:rPr>
          <w:rtl/>
        </w:rPr>
        <w:t xml:space="preserve"> </w:t>
      </w:r>
      <w:r w:rsidR="00F32B28" w:rsidRPr="00F32B28">
        <w:rPr>
          <w:rtl/>
        </w:rPr>
        <w:t>من</w:t>
      </w:r>
      <w:r w:rsidR="00F32B28">
        <w:rPr>
          <w:rtl/>
        </w:rPr>
        <w:t xml:space="preserve"> </w:t>
      </w:r>
      <w:r w:rsidR="00F32B28" w:rsidRPr="00F32B28">
        <w:rPr>
          <w:rtl/>
        </w:rPr>
        <w:t>بينها</w:t>
      </w:r>
      <w:r w:rsidR="00F32B28">
        <w:rPr>
          <w:rtl/>
        </w:rPr>
        <w:t xml:space="preserve"> </w:t>
      </w:r>
      <w:r w:rsidR="00F32B28" w:rsidRPr="00F32B28">
        <w:rPr>
          <w:rtl/>
        </w:rPr>
        <w:t>الذرائع</w:t>
      </w:r>
      <w:r w:rsidR="00F32B28">
        <w:rPr>
          <w:rtl/>
        </w:rPr>
        <w:t xml:space="preserve"> </w:t>
      </w:r>
      <w:r w:rsidR="00F32B28" w:rsidRPr="00F32B28">
        <w:rPr>
          <w:rtl/>
        </w:rPr>
        <w:t>الأمنية.</w:t>
      </w:r>
      <w:r w:rsidR="00F32B28">
        <w:rPr>
          <w:rtl/>
        </w:rPr>
        <w:t xml:space="preserve"> </w:t>
      </w:r>
    </w:p>
    <w:p w:rsidR="00F32B28" w:rsidRPr="00F32B28" w:rsidRDefault="009C23E0" w:rsidP="009C23E0">
      <w:pPr>
        <w:pStyle w:val="SingleTxt"/>
        <w:rPr>
          <w:rtl/>
        </w:rPr>
      </w:pPr>
      <w:r>
        <w:rPr>
          <w:rFonts w:hint="cs"/>
          <w:rtl/>
        </w:rPr>
        <w:t xml:space="preserve">156 - </w:t>
      </w:r>
      <w:r w:rsidR="00F32B28" w:rsidRPr="00F32B28">
        <w:rPr>
          <w:rtl/>
        </w:rPr>
        <w:t>وبالمحصلة،</w:t>
      </w:r>
      <w:r w:rsidR="00F32B28">
        <w:rPr>
          <w:rtl/>
        </w:rPr>
        <w:t xml:space="preserve"> </w:t>
      </w:r>
      <w:r w:rsidR="00F32B28" w:rsidRPr="00F32B28">
        <w:rPr>
          <w:rtl/>
        </w:rPr>
        <w:t>أصبحت</w:t>
      </w:r>
      <w:r w:rsidR="00F32B28">
        <w:rPr>
          <w:rtl/>
        </w:rPr>
        <w:t xml:space="preserve"> </w:t>
      </w:r>
      <w:r w:rsidR="00F32B28" w:rsidRPr="00F32B28">
        <w:rPr>
          <w:rtl/>
        </w:rPr>
        <w:t>معظم</w:t>
      </w:r>
      <w:r w:rsidR="00F32B28">
        <w:rPr>
          <w:rtl/>
        </w:rPr>
        <w:t xml:space="preserve"> </w:t>
      </w:r>
      <w:r w:rsidR="00F32B28" w:rsidRPr="00F32B28">
        <w:rPr>
          <w:rtl/>
        </w:rPr>
        <w:t>النساء</w:t>
      </w:r>
      <w:r w:rsidR="00F32B28">
        <w:rPr>
          <w:rtl/>
        </w:rPr>
        <w:t xml:space="preserve"> </w:t>
      </w:r>
      <w:r w:rsidR="00F32B28" w:rsidRPr="00F32B28">
        <w:rPr>
          <w:rtl/>
        </w:rPr>
        <w:t>المتزوجات</w:t>
      </w:r>
      <w:r w:rsidR="00F32B28">
        <w:rPr>
          <w:rtl/>
        </w:rPr>
        <w:t xml:space="preserve"> </w:t>
      </w:r>
      <w:r w:rsidR="00F32B28" w:rsidRPr="00F32B28">
        <w:rPr>
          <w:rtl/>
        </w:rPr>
        <w:t>من</w:t>
      </w:r>
      <w:r w:rsidR="00F32B28">
        <w:rPr>
          <w:rtl/>
        </w:rPr>
        <w:t xml:space="preserve"> </w:t>
      </w:r>
      <w:r w:rsidR="00F32B28" w:rsidRPr="00F32B28">
        <w:rPr>
          <w:rtl/>
        </w:rPr>
        <w:t>مقدسيين</w:t>
      </w:r>
      <w:r w:rsidR="00F32B28">
        <w:rPr>
          <w:rtl/>
        </w:rPr>
        <w:t xml:space="preserve"> </w:t>
      </w:r>
      <w:r w:rsidR="00F32B28" w:rsidRPr="00F32B28">
        <w:rPr>
          <w:rtl/>
        </w:rPr>
        <w:t>محظورات</w:t>
      </w:r>
      <w:r w:rsidR="00F32B28">
        <w:rPr>
          <w:rtl/>
        </w:rPr>
        <w:t xml:space="preserve"> </w:t>
      </w:r>
      <w:r w:rsidR="00F32B28" w:rsidRPr="00F32B28">
        <w:rPr>
          <w:rtl/>
        </w:rPr>
        <w:t>وبنص</w:t>
      </w:r>
      <w:r w:rsidR="00F32B28">
        <w:rPr>
          <w:rtl/>
        </w:rPr>
        <w:t xml:space="preserve"> </w:t>
      </w:r>
      <w:r w:rsidR="00F32B28" w:rsidRPr="00F32B28">
        <w:rPr>
          <w:rtl/>
        </w:rPr>
        <w:t>القانون</w:t>
      </w:r>
      <w:r w:rsidR="00F32B28">
        <w:rPr>
          <w:rtl/>
        </w:rPr>
        <w:t xml:space="preserve"> </w:t>
      </w:r>
      <w:r w:rsidR="00F32B28" w:rsidRPr="00F32B28">
        <w:rPr>
          <w:rtl/>
        </w:rPr>
        <w:t>من</w:t>
      </w:r>
      <w:r w:rsidR="00F32B28">
        <w:rPr>
          <w:rtl/>
        </w:rPr>
        <w:t xml:space="preserve"> </w:t>
      </w:r>
      <w:r w:rsidR="00F32B28" w:rsidRPr="00F32B28">
        <w:rPr>
          <w:rtl/>
        </w:rPr>
        <w:t>اكتساب</w:t>
      </w:r>
      <w:r w:rsidR="00F32B28">
        <w:rPr>
          <w:rtl/>
        </w:rPr>
        <w:t xml:space="preserve"> </w:t>
      </w:r>
      <w:r w:rsidR="00F32B28" w:rsidRPr="00F32B28">
        <w:rPr>
          <w:rtl/>
        </w:rPr>
        <w:t>الإقامة</w:t>
      </w:r>
      <w:r w:rsidR="00F32B28">
        <w:rPr>
          <w:rtl/>
        </w:rPr>
        <w:t xml:space="preserve"> </w:t>
      </w:r>
      <w:r w:rsidR="00F32B28" w:rsidRPr="00F32B28">
        <w:rPr>
          <w:rtl/>
        </w:rPr>
        <w:t>الدائمة</w:t>
      </w:r>
      <w:r w:rsidR="00F32B28">
        <w:rPr>
          <w:rtl/>
        </w:rPr>
        <w:t xml:space="preserve"> </w:t>
      </w:r>
      <w:r w:rsidR="00F32B28" w:rsidRPr="00F32B28">
        <w:rPr>
          <w:rtl/>
        </w:rPr>
        <w:t>في</w:t>
      </w:r>
      <w:r w:rsidR="00F32B28">
        <w:rPr>
          <w:rtl/>
        </w:rPr>
        <w:t xml:space="preserve"> </w:t>
      </w:r>
      <w:r w:rsidR="00F32B28" w:rsidRPr="00F32B28">
        <w:rPr>
          <w:rtl/>
        </w:rPr>
        <w:t>القدس،</w:t>
      </w:r>
      <w:r w:rsidR="00F32B28">
        <w:rPr>
          <w:rtl/>
        </w:rPr>
        <w:t xml:space="preserve"> </w:t>
      </w:r>
      <w:r w:rsidR="00F32B28" w:rsidRPr="00F32B28">
        <w:rPr>
          <w:rtl/>
        </w:rPr>
        <w:t>وبالتالي</w:t>
      </w:r>
      <w:r w:rsidR="00F32B28">
        <w:rPr>
          <w:rtl/>
        </w:rPr>
        <w:t xml:space="preserve"> </w:t>
      </w:r>
      <w:r w:rsidR="00F32B28" w:rsidRPr="00F32B28">
        <w:rPr>
          <w:rtl/>
        </w:rPr>
        <w:t>الأطفال،</w:t>
      </w:r>
      <w:r w:rsidR="00F32B28">
        <w:rPr>
          <w:rtl/>
        </w:rPr>
        <w:t xml:space="preserve"> </w:t>
      </w:r>
      <w:r w:rsidR="00F32B28" w:rsidRPr="00F32B28">
        <w:rPr>
          <w:rtl/>
        </w:rPr>
        <w:t>الذين</w:t>
      </w:r>
      <w:r w:rsidR="00F32B28">
        <w:rPr>
          <w:rtl/>
        </w:rPr>
        <w:t xml:space="preserve"> </w:t>
      </w:r>
      <w:r w:rsidR="00F32B28" w:rsidRPr="00F32B28">
        <w:rPr>
          <w:rtl/>
        </w:rPr>
        <w:t>يُرفض</w:t>
      </w:r>
      <w:r w:rsidR="00F32B28">
        <w:rPr>
          <w:rtl/>
        </w:rPr>
        <w:t xml:space="preserve"> </w:t>
      </w:r>
      <w:r w:rsidR="00F32B28" w:rsidRPr="00F32B28">
        <w:rPr>
          <w:rtl/>
        </w:rPr>
        <w:t>تسجيلهم</w:t>
      </w:r>
      <w:r w:rsidR="00F32B28">
        <w:rPr>
          <w:rtl/>
        </w:rPr>
        <w:t xml:space="preserve"> </w:t>
      </w:r>
      <w:r w:rsidR="00F32B28" w:rsidRPr="00F32B28">
        <w:rPr>
          <w:rtl/>
        </w:rPr>
        <w:t>في</w:t>
      </w:r>
      <w:r w:rsidR="00F32B28">
        <w:rPr>
          <w:rtl/>
        </w:rPr>
        <w:t xml:space="preserve"> </w:t>
      </w:r>
      <w:r w:rsidR="00F32B28" w:rsidRPr="00F32B28">
        <w:rPr>
          <w:rtl/>
        </w:rPr>
        <w:t>هوية</w:t>
      </w:r>
      <w:r w:rsidR="00F32B28">
        <w:rPr>
          <w:rtl/>
        </w:rPr>
        <w:t xml:space="preserve"> </w:t>
      </w:r>
      <w:r w:rsidR="00F32B28" w:rsidRPr="00F32B28">
        <w:rPr>
          <w:rtl/>
        </w:rPr>
        <w:t>والدهم</w:t>
      </w:r>
      <w:r w:rsidR="00F32B28">
        <w:rPr>
          <w:rtl/>
        </w:rPr>
        <w:t xml:space="preserve"> </w:t>
      </w:r>
      <w:r w:rsidR="00F32B28" w:rsidRPr="00F32B28">
        <w:rPr>
          <w:rtl/>
        </w:rPr>
        <w:t>المقدسي</w:t>
      </w:r>
      <w:r>
        <w:rPr>
          <w:rFonts w:hint="cs"/>
          <w:rtl/>
        </w:rPr>
        <w:t xml:space="preserve"> </w:t>
      </w:r>
      <w:r w:rsidR="00F32B28" w:rsidRPr="00F32B28">
        <w:rPr>
          <w:rtl/>
        </w:rPr>
        <w:t>وفي</w:t>
      </w:r>
      <w:r w:rsidR="00F32B28">
        <w:rPr>
          <w:rtl/>
        </w:rPr>
        <w:t xml:space="preserve"> </w:t>
      </w:r>
      <w:r w:rsidR="00F32B28" w:rsidRPr="00F32B28">
        <w:rPr>
          <w:rtl/>
        </w:rPr>
        <w:t>سجل</w:t>
      </w:r>
      <w:r w:rsidR="00F32B28">
        <w:rPr>
          <w:rtl/>
        </w:rPr>
        <w:t xml:space="preserve"> </w:t>
      </w:r>
      <w:r w:rsidR="00F32B28" w:rsidRPr="00F32B28">
        <w:rPr>
          <w:rtl/>
        </w:rPr>
        <w:t>السكان</w:t>
      </w:r>
      <w:r w:rsidR="00F32B28">
        <w:rPr>
          <w:rtl/>
        </w:rPr>
        <w:t xml:space="preserve"> </w:t>
      </w:r>
      <w:r w:rsidR="00F32B28" w:rsidRPr="00F32B28">
        <w:rPr>
          <w:rtl/>
        </w:rPr>
        <w:t>إذا</w:t>
      </w:r>
      <w:r w:rsidR="00F32B28">
        <w:rPr>
          <w:rtl/>
        </w:rPr>
        <w:t xml:space="preserve"> </w:t>
      </w:r>
      <w:r w:rsidR="00F32B28" w:rsidRPr="00F32B28">
        <w:rPr>
          <w:rtl/>
        </w:rPr>
        <w:t>كانت</w:t>
      </w:r>
      <w:r w:rsidR="00F32B28">
        <w:rPr>
          <w:rtl/>
        </w:rPr>
        <w:t xml:space="preserve"> </w:t>
      </w:r>
      <w:r w:rsidR="00F32B28" w:rsidRPr="00F32B28">
        <w:rPr>
          <w:rtl/>
        </w:rPr>
        <w:t>الأم</w:t>
      </w:r>
      <w:r w:rsidR="00F32B28">
        <w:rPr>
          <w:rtl/>
        </w:rPr>
        <w:t xml:space="preserve"> </w:t>
      </w:r>
      <w:r w:rsidR="00F32B28" w:rsidRPr="00F32B28">
        <w:rPr>
          <w:rtl/>
        </w:rPr>
        <w:t>من</w:t>
      </w:r>
      <w:r w:rsidR="00F32B28">
        <w:rPr>
          <w:rtl/>
        </w:rPr>
        <w:t xml:space="preserve"> </w:t>
      </w:r>
      <w:r w:rsidR="00F32B28" w:rsidRPr="00F32B28">
        <w:rPr>
          <w:rtl/>
        </w:rPr>
        <w:t>حملة</w:t>
      </w:r>
      <w:r w:rsidR="00F32B28">
        <w:rPr>
          <w:rtl/>
        </w:rPr>
        <w:t xml:space="preserve"> </w:t>
      </w:r>
      <w:r w:rsidR="00F32B28" w:rsidRPr="00F32B28">
        <w:rPr>
          <w:rtl/>
        </w:rPr>
        <w:t>بطاقة</w:t>
      </w:r>
      <w:r w:rsidR="00F32B28">
        <w:rPr>
          <w:rtl/>
        </w:rPr>
        <w:t xml:space="preserve"> </w:t>
      </w:r>
      <w:r w:rsidR="00F32B28" w:rsidRPr="00F32B28">
        <w:rPr>
          <w:rtl/>
        </w:rPr>
        <w:t>الهوية</w:t>
      </w:r>
      <w:r w:rsidR="00F32B28">
        <w:rPr>
          <w:rtl/>
        </w:rPr>
        <w:t xml:space="preserve"> </w:t>
      </w:r>
      <w:r w:rsidR="00F32B28" w:rsidRPr="00F32B28">
        <w:rPr>
          <w:rtl/>
        </w:rPr>
        <w:t>الفلسطينية.</w:t>
      </w:r>
    </w:p>
    <w:p w:rsidR="00F32B28" w:rsidRPr="00F32B28" w:rsidRDefault="009C23E0" w:rsidP="009C23E0">
      <w:pPr>
        <w:pStyle w:val="SingleTxt"/>
        <w:rPr>
          <w:rtl/>
        </w:rPr>
      </w:pPr>
      <w:r>
        <w:rPr>
          <w:rFonts w:hint="cs"/>
          <w:rtl/>
        </w:rPr>
        <w:t xml:space="preserve">157 - </w:t>
      </w:r>
      <w:r w:rsidR="00F32B28" w:rsidRPr="00F32B28">
        <w:rPr>
          <w:rtl/>
        </w:rPr>
        <w:t>وبشكل</w:t>
      </w:r>
      <w:r w:rsidR="00F32B28">
        <w:rPr>
          <w:rtl/>
        </w:rPr>
        <w:t xml:space="preserve"> </w:t>
      </w:r>
      <w:r w:rsidR="00F32B28" w:rsidRPr="00F32B28">
        <w:rPr>
          <w:rtl/>
        </w:rPr>
        <w:t>موازٍ،</w:t>
      </w:r>
      <w:r w:rsidR="00F32B28">
        <w:rPr>
          <w:rtl/>
        </w:rPr>
        <w:t xml:space="preserve"> </w:t>
      </w:r>
      <w:r w:rsidR="00F32B28" w:rsidRPr="00F32B28">
        <w:rPr>
          <w:rtl/>
        </w:rPr>
        <w:t>ومن</w:t>
      </w:r>
      <w:r w:rsidR="00F32B28">
        <w:rPr>
          <w:rtl/>
        </w:rPr>
        <w:t xml:space="preserve"> </w:t>
      </w:r>
      <w:r w:rsidR="00F32B28" w:rsidRPr="00F32B28">
        <w:rPr>
          <w:rtl/>
        </w:rPr>
        <w:t>الناحية</w:t>
      </w:r>
      <w:r w:rsidR="00F32B28">
        <w:rPr>
          <w:rtl/>
        </w:rPr>
        <w:t xml:space="preserve"> </w:t>
      </w:r>
      <w:r w:rsidR="00F32B28" w:rsidRPr="00F32B28">
        <w:rPr>
          <w:rtl/>
        </w:rPr>
        <w:t>العملية،</w:t>
      </w:r>
      <w:r w:rsidR="00F32B28">
        <w:rPr>
          <w:rtl/>
        </w:rPr>
        <w:t xml:space="preserve"> </w:t>
      </w:r>
      <w:r w:rsidR="00F32B28" w:rsidRPr="00F32B28">
        <w:rPr>
          <w:rtl/>
        </w:rPr>
        <w:t>فقدت</w:t>
      </w:r>
      <w:r w:rsidR="00F32B28">
        <w:rPr>
          <w:rtl/>
        </w:rPr>
        <w:t xml:space="preserve"> </w:t>
      </w:r>
      <w:r w:rsidR="00F32B28" w:rsidRPr="00F32B28">
        <w:rPr>
          <w:rtl/>
        </w:rPr>
        <w:t>النساء</w:t>
      </w:r>
      <w:r w:rsidR="00F32B28">
        <w:rPr>
          <w:rtl/>
        </w:rPr>
        <w:t xml:space="preserve"> </w:t>
      </w:r>
      <w:r w:rsidR="00F32B28" w:rsidRPr="00F32B28">
        <w:rPr>
          <w:rtl/>
        </w:rPr>
        <w:t>المقدسيات</w:t>
      </w:r>
      <w:r w:rsidR="00F32B28">
        <w:rPr>
          <w:rtl/>
        </w:rPr>
        <w:t xml:space="preserve"> </w:t>
      </w:r>
      <w:r w:rsidR="00F32B28" w:rsidRPr="00F32B28">
        <w:rPr>
          <w:rtl/>
        </w:rPr>
        <w:t>حقهن</w:t>
      </w:r>
      <w:r w:rsidR="00F32B28">
        <w:rPr>
          <w:rtl/>
        </w:rPr>
        <w:t xml:space="preserve"> </w:t>
      </w:r>
      <w:r w:rsidR="00F32B28" w:rsidRPr="00F32B28">
        <w:rPr>
          <w:rtl/>
        </w:rPr>
        <w:t>في</w:t>
      </w:r>
      <w:r w:rsidR="00F32B28">
        <w:rPr>
          <w:rtl/>
        </w:rPr>
        <w:t xml:space="preserve"> </w:t>
      </w:r>
      <w:r w:rsidR="00F32B28" w:rsidRPr="00F32B28">
        <w:rPr>
          <w:rtl/>
        </w:rPr>
        <w:t>الاحتفاظ</w:t>
      </w:r>
      <w:r w:rsidR="00F32B28">
        <w:rPr>
          <w:rtl/>
        </w:rPr>
        <w:t xml:space="preserve"> </w:t>
      </w:r>
      <w:r w:rsidR="00F32B28" w:rsidRPr="00F32B28">
        <w:rPr>
          <w:rtl/>
        </w:rPr>
        <w:t>بإقامتهن</w:t>
      </w:r>
      <w:r w:rsidR="00F32B28">
        <w:rPr>
          <w:rtl/>
        </w:rPr>
        <w:t xml:space="preserve"> </w:t>
      </w:r>
      <w:r w:rsidR="00F32B28" w:rsidRPr="00F32B28">
        <w:rPr>
          <w:rtl/>
        </w:rPr>
        <w:t>في</w:t>
      </w:r>
      <w:r w:rsidR="00F32B28">
        <w:rPr>
          <w:rtl/>
        </w:rPr>
        <w:t xml:space="preserve"> </w:t>
      </w:r>
      <w:r w:rsidR="00F32B28" w:rsidRPr="00F32B28">
        <w:rPr>
          <w:rtl/>
        </w:rPr>
        <w:t>القدس</w:t>
      </w:r>
      <w:r w:rsidR="00F32B28">
        <w:rPr>
          <w:rtl/>
        </w:rPr>
        <w:t xml:space="preserve"> </w:t>
      </w:r>
      <w:r w:rsidR="00F32B28" w:rsidRPr="00F32B28">
        <w:rPr>
          <w:rtl/>
        </w:rPr>
        <w:t>أو</w:t>
      </w:r>
      <w:r w:rsidR="00F32B28">
        <w:rPr>
          <w:rtl/>
        </w:rPr>
        <w:t xml:space="preserve"> </w:t>
      </w:r>
      <w:r w:rsidR="00F32B28" w:rsidRPr="00F32B28">
        <w:rPr>
          <w:rtl/>
        </w:rPr>
        <w:t>جرّدن</w:t>
      </w:r>
      <w:r w:rsidR="00F32B28">
        <w:rPr>
          <w:rtl/>
        </w:rPr>
        <w:t xml:space="preserve"> </w:t>
      </w:r>
      <w:r w:rsidR="00F32B28" w:rsidRPr="00F32B28">
        <w:rPr>
          <w:rtl/>
        </w:rPr>
        <w:t>منها</w:t>
      </w:r>
      <w:r w:rsidR="00F32B28">
        <w:rPr>
          <w:rtl/>
        </w:rPr>
        <w:t xml:space="preserve"> </w:t>
      </w:r>
      <w:r w:rsidR="00F32B28" w:rsidRPr="00F32B28">
        <w:rPr>
          <w:rtl/>
        </w:rPr>
        <w:t>وذلك</w:t>
      </w:r>
      <w:r w:rsidR="00F32B28">
        <w:rPr>
          <w:rtl/>
        </w:rPr>
        <w:t xml:space="preserve"> </w:t>
      </w:r>
      <w:r w:rsidR="00F32B28" w:rsidRPr="00F32B28">
        <w:rPr>
          <w:rtl/>
        </w:rPr>
        <w:t>بسبب</w:t>
      </w:r>
      <w:r w:rsidR="00F32B28">
        <w:rPr>
          <w:rtl/>
        </w:rPr>
        <w:t xml:space="preserve"> </w:t>
      </w:r>
      <w:r w:rsidR="00F32B28" w:rsidRPr="00F32B28">
        <w:rPr>
          <w:rtl/>
        </w:rPr>
        <w:t>اضطرارهن</w:t>
      </w:r>
      <w:r w:rsidR="00F32B28">
        <w:rPr>
          <w:rtl/>
        </w:rPr>
        <w:t xml:space="preserve"> </w:t>
      </w:r>
      <w:r w:rsidR="00F32B28" w:rsidRPr="00F32B28">
        <w:rPr>
          <w:rtl/>
        </w:rPr>
        <w:t>للعيش</w:t>
      </w:r>
      <w:r w:rsidR="00F32B28">
        <w:rPr>
          <w:rtl/>
        </w:rPr>
        <w:t xml:space="preserve"> </w:t>
      </w:r>
      <w:r w:rsidR="00F32B28" w:rsidRPr="00F32B28">
        <w:rPr>
          <w:rtl/>
        </w:rPr>
        <w:t>خارج</w:t>
      </w:r>
      <w:r w:rsidR="00F32B28">
        <w:rPr>
          <w:rtl/>
        </w:rPr>
        <w:t xml:space="preserve"> </w:t>
      </w:r>
      <w:r w:rsidR="00F32B28" w:rsidRPr="00F32B28">
        <w:rPr>
          <w:rtl/>
        </w:rPr>
        <w:t>القدس</w:t>
      </w:r>
      <w:r w:rsidR="00F32B28">
        <w:rPr>
          <w:rtl/>
        </w:rPr>
        <w:t xml:space="preserve"> </w:t>
      </w:r>
      <w:r w:rsidR="00F32B28" w:rsidRPr="00F32B28">
        <w:rPr>
          <w:rtl/>
        </w:rPr>
        <w:t>حفاظاً</w:t>
      </w:r>
      <w:r w:rsidR="00F32B28">
        <w:rPr>
          <w:rtl/>
        </w:rPr>
        <w:t xml:space="preserve"> </w:t>
      </w:r>
      <w:r w:rsidR="00F32B28" w:rsidRPr="00F32B28">
        <w:rPr>
          <w:rtl/>
        </w:rPr>
        <w:t>على</w:t>
      </w:r>
      <w:r w:rsidR="00F32B28">
        <w:rPr>
          <w:rtl/>
        </w:rPr>
        <w:t xml:space="preserve"> </w:t>
      </w:r>
      <w:r w:rsidR="00F32B28" w:rsidRPr="00F32B28">
        <w:rPr>
          <w:rtl/>
        </w:rPr>
        <w:t>وحدة</w:t>
      </w:r>
      <w:r w:rsidR="00F32B28">
        <w:rPr>
          <w:rtl/>
        </w:rPr>
        <w:t xml:space="preserve"> </w:t>
      </w:r>
      <w:r w:rsidR="00F32B28" w:rsidRPr="00F32B28">
        <w:rPr>
          <w:rtl/>
        </w:rPr>
        <w:t>أسرهن.</w:t>
      </w:r>
      <w:r w:rsidR="00F32B28">
        <w:rPr>
          <w:rtl/>
        </w:rPr>
        <w:t xml:space="preserve"> </w:t>
      </w:r>
      <w:r w:rsidR="00F32B28" w:rsidRPr="00F32B28">
        <w:rPr>
          <w:rtl/>
        </w:rPr>
        <w:t>وحتى</w:t>
      </w:r>
      <w:r w:rsidR="00F32B28">
        <w:rPr>
          <w:rtl/>
        </w:rPr>
        <w:t xml:space="preserve"> </w:t>
      </w:r>
      <w:r w:rsidR="00F32B28" w:rsidRPr="00F32B28">
        <w:rPr>
          <w:rtl/>
        </w:rPr>
        <w:t>في</w:t>
      </w:r>
      <w:r w:rsidR="00F32B28">
        <w:rPr>
          <w:rtl/>
        </w:rPr>
        <w:t xml:space="preserve"> </w:t>
      </w:r>
      <w:r w:rsidR="00F32B28" w:rsidRPr="00F32B28">
        <w:rPr>
          <w:rtl/>
        </w:rPr>
        <w:t>الحالة</w:t>
      </w:r>
      <w:r w:rsidR="00F32B28">
        <w:rPr>
          <w:rtl/>
        </w:rPr>
        <w:t xml:space="preserve"> </w:t>
      </w:r>
      <w:r w:rsidR="00F32B28" w:rsidRPr="00F32B28">
        <w:rPr>
          <w:rtl/>
        </w:rPr>
        <w:t>الأخيرة،</w:t>
      </w:r>
      <w:r w:rsidR="00F32B28">
        <w:rPr>
          <w:rtl/>
        </w:rPr>
        <w:t xml:space="preserve"> </w:t>
      </w:r>
      <w:r w:rsidR="00F32B28" w:rsidRPr="00F32B28">
        <w:rPr>
          <w:rtl/>
        </w:rPr>
        <w:t>تفقد</w:t>
      </w:r>
      <w:r w:rsidR="00F32B28">
        <w:rPr>
          <w:rtl/>
        </w:rPr>
        <w:t xml:space="preserve"> </w:t>
      </w:r>
      <w:r w:rsidR="00F32B28" w:rsidRPr="00F32B28">
        <w:rPr>
          <w:rtl/>
        </w:rPr>
        <w:t>الزوجة</w:t>
      </w:r>
      <w:r w:rsidR="00F32B28">
        <w:rPr>
          <w:rtl/>
        </w:rPr>
        <w:t xml:space="preserve"> </w:t>
      </w:r>
      <w:r w:rsidR="00F32B28" w:rsidRPr="00F32B28">
        <w:rPr>
          <w:rtl/>
        </w:rPr>
        <w:t>المقدسية</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تجديد</w:t>
      </w:r>
      <w:r w:rsidR="00F32B28">
        <w:rPr>
          <w:rtl/>
        </w:rPr>
        <w:t xml:space="preserve"> </w:t>
      </w:r>
      <w:r w:rsidR="00F32B28" w:rsidRPr="00F32B28">
        <w:rPr>
          <w:rtl/>
        </w:rPr>
        <w:t>هويتها</w:t>
      </w:r>
      <w:r w:rsidR="00F32B28">
        <w:rPr>
          <w:rtl/>
        </w:rPr>
        <w:t xml:space="preserve"> </w:t>
      </w:r>
      <w:r w:rsidR="00F32B28" w:rsidRPr="00F32B28">
        <w:rPr>
          <w:rtl/>
        </w:rPr>
        <w:t>بعد</w:t>
      </w:r>
      <w:r w:rsidR="00F32B28">
        <w:rPr>
          <w:rtl/>
        </w:rPr>
        <w:t xml:space="preserve"> </w:t>
      </w:r>
      <w:r w:rsidR="00F32B28" w:rsidRPr="00F32B28">
        <w:rPr>
          <w:rtl/>
        </w:rPr>
        <w:t>الإقامة</w:t>
      </w:r>
      <w:r w:rsidR="00F32B28">
        <w:rPr>
          <w:rtl/>
        </w:rPr>
        <w:t xml:space="preserve"> </w:t>
      </w:r>
      <w:r w:rsidR="00F32B28" w:rsidRPr="00F32B28">
        <w:rPr>
          <w:rtl/>
        </w:rPr>
        <w:t>خارج</w:t>
      </w:r>
      <w:r w:rsidR="00F32B28">
        <w:rPr>
          <w:rtl/>
        </w:rPr>
        <w:t xml:space="preserve"> </w:t>
      </w:r>
      <w:r w:rsidR="00F32B28" w:rsidRPr="00F32B28">
        <w:rPr>
          <w:rtl/>
        </w:rPr>
        <w:t>القدس</w:t>
      </w:r>
      <w:r w:rsidR="00F32B28">
        <w:rPr>
          <w:rtl/>
        </w:rPr>
        <w:t xml:space="preserve"> </w:t>
      </w:r>
      <w:r w:rsidR="00F32B28" w:rsidRPr="00F32B28">
        <w:rPr>
          <w:rtl/>
        </w:rPr>
        <w:t>لعدة</w:t>
      </w:r>
      <w:r w:rsidR="00F32B28">
        <w:rPr>
          <w:rtl/>
        </w:rPr>
        <w:t xml:space="preserve"> </w:t>
      </w:r>
      <w:r w:rsidR="00F32B28" w:rsidRPr="00F32B28">
        <w:rPr>
          <w:rtl/>
        </w:rPr>
        <w:t>سنوات،</w:t>
      </w:r>
      <w:r w:rsidR="00F32B28">
        <w:rPr>
          <w:rtl/>
        </w:rPr>
        <w:t xml:space="preserve"> </w:t>
      </w:r>
      <w:r w:rsidR="00F32B28" w:rsidRPr="00F32B28">
        <w:rPr>
          <w:rtl/>
        </w:rPr>
        <w:t>أو</w:t>
      </w:r>
      <w:r w:rsidR="00F32B28">
        <w:rPr>
          <w:rtl/>
        </w:rPr>
        <w:t xml:space="preserve"> </w:t>
      </w:r>
      <w:r w:rsidR="00F32B28" w:rsidRPr="00F32B28">
        <w:rPr>
          <w:rtl/>
        </w:rPr>
        <w:t>إذا</w:t>
      </w:r>
      <w:r w:rsidR="00F32B28">
        <w:rPr>
          <w:rtl/>
        </w:rPr>
        <w:t xml:space="preserve"> </w:t>
      </w:r>
      <w:r w:rsidR="00F32B28" w:rsidRPr="00F32B28">
        <w:rPr>
          <w:rtl/>
        </w:rPr>
        <w:t>ما</w:t>
      </w:r>
      <w:r w:rsidR="00F32B28">
        <w:rPr>
          <w:rtl/>
        </w:rPr>
        <w:t xml:space="preserve"> </w:t>
      </w:r>
      <w:r w:rsidR="00F32B28" w:rsidRPr="00F32B28">
        <w:rPr>
          <w:rtl/>
        </w:rPr>
        <w:t>فقدت</w:t>
      </w:r>
      <w:r w:rsidR="00F32B28">
        <w:rPr>
          <w:rtl/>
        </w:rPr>
        <w:t xml:space="preserve"> </w:t>
      </w:r>
      <w:r w:rsidR="00F32B28" w:rsidRPr="00F32B28">
        <w:rPr>
          <w:rtl/>
        </w:rPr>
        <w:t>هويتها،</w:t>
      </w:r>
      <w:r w:rsidR="00F32B28">
        <w:rPr>
          <w:rtl/>
        </w:rPr>
        <w:t xml:space="preserve"> </w:t>
      </w:r>
      <w:r w:rsidR="00F32B28" w:rsidRPr="00F32B28">
        <w:rPr>
          <w:rtl/>
        </w:rPr>
        <w:t>أو</w:t>
      </w:r>
      <w:r w:rsidR="00F32B28">
        <w:rPr>
          <w:rtl/>
        </w:rPr>
        <w:t xml:space="preserve"> </w:t>
      </w:r>
      <w:r w:rsidR="00F32B28" w:rsidRPr="00F32B28">
        <w:rPr>
          <w:rtl/>
        </w:rPr>
        <w:t>تغير</w:t>
      </w:r>
      <w:r w:rsidR="00F32B28">
        <w:rPr>
          <w:rtl/>
        </w:rPr>
        <w:t xml:space="preserve"> </w:t>
      </w:r>
      <w:r w:rsidR="00F32B28" w:rsidRPr="00F32B28">
        <w:rPr>
          <w:rtl/>
        </w:rPr>
        <w:t>شكلها</w:t>
      </w:r>
      <w:r w:rsidR="00F32B28">
        <w:rPr>
          <w:rtl/>
        </w:rPr>
        <w:t xml:space="preserve"> </w:t>
      </w:r>
      <w:r w:rsidR="00F32B28" w:rsidRPr="00F32B28">
        <w:rPr>
          <w:rtl/>
        </w:rPr>
        <w:t>بسبب</w:t>
      </w:r>
      <w:r w:rsidR="00F32B28">
        <w:rPr>
          <w:rtl/>
        </w:rPr>
        <w:t xml:space="preserve"> </w:t>
      </w:r>
      <w:r w:rsidR="00F32B28" w:rsidRPr="00F32B28">
        <w:rPr>
          <w:rtl/>
        </w:rPr>
        <w:t>الكبر،</w:t>
      </w:r>
      <w:r w:rsidR="00F32B28">
        <w:rPr>
          <w:rtl/>
        </w:rPr>
        <w:t xml:space="preserve"> </w:t>
      </w:r>
      <w:r w:rsidR="00F32B28" w:rsidRPr="00F32B28">
        <w:rPr>
          <w:rtl/>
        </w:rPr>
        <w:t>أو</w:t>
      </w:r>
      <w:r w:rsidR="00F32B28">
        <w:rPr>
          <w:rtl/>
        </w:rPr>
        <w:t xml:space="preserve"> </w:t>
      </w:r>
      <w:r w:rsidR="00F32B28" w:rsidRPr="00F32B28">
        <w:rPr>
          <w:rtl/>
        </w:rPr>
        <w:t>بسبب</w:t>
      </w:r>
      <w:r w:rsidR="00F32B28">
        <w:rPr>
          <w:rtl/>
        </w:rPr>
        <w:t xml:space="preserve"> </w:t>
      </w:r>
      <w:r w:rsidR="00F32B28" w:rsidRPr="00F32B28">
        <w:rPr>
          <w:rtl/>
        </w:rPr>
        <w:t>وضعها</w:t>
      </w:r>
      <w:r w:rsidR="00F32B28">
        <w:rPr>
          <w:rtl/>
        </w:rPr>
        <w:t xml:space="preserve"> </w:t>
      </w:r>
      <w:r w:rsidR="00F32B28" w:rsidRPr="00F32B28">
        <w:rPr>
          <w:rtl/>
        </w:rPr>
        <w:t>للحجاب،</w:t>
      </w:r>
      <w:r w:rsidR="00F32B28">
        <w:rPr>
          <w:rtl/>
        </w:rPr>
        <w:t xml:space="preserve"> </w:t>
      </w:r>
      <w:r w:rsidR="00F32B28" w:rsidRPr="00F32B28">
        <w:rPr>
          <w:rtl/>
        </w:rPr>
        <w:t>أو</w:t>
      </w:r>
      <w:r w:rsidR="00F32B28">
        <w:rPr>
          <w:rtl/>
        </w:rPr>
        <w:t xml:space="preserve"> </w:t>
      </w:r>
      <w:r w:rsidR="00F32B28" w:rsidRPr="00F32B28">
        <w:rPr>
          <w:rtl/>
        </w:rPr>
        <w:t>إذا</w:t>
      </w:r>
      <w:r w:rsidR="00F32B28">
        <w:rPr>
          <w:rtl/>
        </w:rPr>
        <w:t xml:space="preserve"> </w:t>
      </w:r>
      <w:r w:rsidR="00F32B28" w:rsidRPr="00F32B28">
        <w:rPr>
          <w:rtl/>
        </w:rPr>
        <w:t>نزعت</w:t>
      </w:r>
      <w:r w:rsidR="00F32B28">
        <w:rPr>
          <w:rtl/>
        </w:rPr>
        <w:t xml:space="preserve"> </w:t>
      </w:r>
      <w:r w:rsidR="00F32B28" w:rsidRPr="00F32B28">
        <w:rPr>
          <w:rtl/>
        </w:rPr>
        <w:t>الحجاب</w:t>
      </w:r>
      <w:r w:rsidR="00F32B28">
        <w:rPr>
          <w:rtl/>
        </w:rPr>
        <w:t xml:space="preserve"> </w:t>
      </w:r>
      <w:r w:rsidR="00F32B28" w:rsidRPr="00F32B28">
        <w:rPr>
          <w:rtl/>
        </w:rPr>
        <w:t>إذا</w:t>
      </w:r>
      <w:r w:rsidR="00F32B28">
        <w:rPr>
          <w:rtl/>
        </w:rPr>
        <w:t xml:space="preserve"> </w:t>
      </w:r>
      <w:r w:rsidR="00F32B28" w:rsidRPr="00F32B28">
        <w:rPr>
          <w:rtl/>
        </w:rPr>
        <w:t>ما</w:t>
      </w:r>
      <w:r w:rsidR="00F32B28">
        <w:rPr>
          <w:rtl/>
        </w:rPr>
        <w:t xml:space="preserve"> </w:t>
      </w:r>
      <w:r w:rsidR="00F32B28" w:rsidRPr="00F32B28">
        <w:rPr>
          <w:rtl/>
        </w:rPr>
        <w:t>كانت</w:t>
      </w:r>
      <w:r w:rsidR="00F32B28">
        <w:rPr>
          <w:rtl/>
        </w:rPr>
        <w:t xml:space="preserve"> </w:t>
      </w:r>
      <w:r w:rsidR="00F32B28" w:rsidRPr="00F32B28">
        <w:rPr>
          <w:rtl/>
        </w:rPr>
        <w:t>محجبة</w:t>
      </w:r>
      <w:r w:rsidR="00F32B28">
        <w:rPr>
          <w:rtl/>
        </w:rPr>
        <w:t xml:space="preserve"> </w:t>
      </w:r>
      <w:r w:rsidR="00F32B28" w:rsidRPr="00F32B28">
        <w:rPr>
          <w:rtl/>
        </w:rPr>
        <w:t>في</w:t>
      </w:r>
      <w:r w:rsidR="00F32B28">
        <w:rPr>
          <w:rtl/>
        </w:rPr>
        <w:t xml:space="preserve"> </w:t>
      </w:r>
      <w:r w:rsidR="00F32B28" w:rsidRPr="00F32B28">
        <w:rPr>
          <w:rtl/>
        </w:rPr>
        <w:t>هويتها</w:t>
      </w:r>
      <w:r w:rsidR="00F32B28">
        <w:rPr>
          <w:rtl/>
        </w:rPr>
        <w:t xml:space="preserve"> </w:t>
      </w:r>
      <w:r w:rsidR="00F32B28" w:rsidRPr="00F32B28">
        <w:rPr>
          <w:rtl/>
        </w:rPr>
        <w:t>السابقة.</w:t>
      </w:r>
      <w:r w:rsidR="00F32B28">
        <w:rPr>
          <w:rtl/>
        </w:rPr>
        <w:t xml:space="preserve"> </w:t>
      </w:r>
      <w:r w:rsidR="00F32B28" w:rsidRPr="00F32B28">
        <w:rPr>
          <w:rtl/>
        </w:rPr>
        <w:t>وكذلك</w:t>
      </w:r>
      <w:r w:rsidR="00F32B28">
        <w:rPr>
          <w:rtl/>
        </w:rPr>
        <w:t xml:space="preserve"> </w:t>
      </w:r>
      <w:r w:rsidR="00F32B28" w:rsidRPr="00F32B28">
        <w:rPr>
          <w:rtl/>
        </w:rPr>
        <w:t>الأمر</w:t>
      </w:r>
      <w:r w:rsidR="00F32B28">
        <w:rPr>
          <w:rtl/>
        </w:rPr>
        <w:t xml:space="preserve"> </w:t>
      </w:r>
      <w:r w:rsidR="00F32B28" w:rsidRPr="00F32B28">
        <w:rPr>
          <w:rtl/>
        </w:rPr>
        <w:t>إذا</w:t>
      </w:r>
      <w:r w:rsidR="00F32B28">
        <w:rPr>
          <w:rtl/>
        </w:rPr>
        <w:t xml:space="preserve"> </w:t>
      </w:r>
      <w:r w:rsidR="00F32B28" w:rsidRPr="00F32B28">
        <w:rPr>
          <w:rtl/>
        </w:rPr>
        <w:t>ما</w:t>
      </w:r>
      <w:r w:rsidR="00F32B28">
        <w:rPr>
          <w:rtl/>
        </w:rPr>
        <w:t xml:space="preserve"> </w:t>
      </w:r>
      <w:r w:rsidR="00F32B28" w:rsidRPr="00F32B28">
        <w:rPr>
          <w:rtl/>
        </w:rPr>
        <w:t>قررت</w:t>
      </w:r>
      <w:r w:rsidR="00F32B28">
        <w:rPr>
          <w:rtl/>
        </w:rPr>
        <w:t xml:space="preserve"> </w:t>
      </w:r>
      <w:r w:rsidR="00F32B28" w:rsidRPr="00F32B28">
        <w:rPr>
          <w:rtl/>
        </w:rPr>
        <w:t>العودة</w:t>
      </w:r>
      <w:r w:rsidR="00F32B28">
        <w:rPr>
          <w:rtl/>
        </w:rPr>
        <w:t xml:space="preserve"> </w:t>
      </w:r>
      <w:r w:rsidR="00F32B28" w:rsidRPr="00F32B28">
        <w:rPr>
          <w:rtl/>
        </w:rPr>
        <w:t>إلى</w:t>
      </w:r>
      <w:r w:rsidR="00F32B28">
        <w:rPr>
          <w:rtl/>
        </w:rPr>
        <w:t xml:space="preserve"> </w:t>
      </w:r>
      <w:r w:rsidR="00F32B28" w:rsidRPr="00F32B28">
        <w:rPr>
          <w:rtl/>
        </w:rPr>
        <w:t>القدس</w:t>
      </w:r>
      <w:r w:rsidR="00F32B28">
        <w:rPr>
          <w:rtl/>
        </w:rPr>
        <w:t xml:space="preserve"> </w:t>
      </w:r>
      <w:r w:rsidR="00F32B28" w:rsidRPr="00F32B28">
        <w:rPr>
          <w:rtl/>
        </w:rPr>
        <w:t>بسبب</w:t>
      </w:r>
      <w:r w:rsidR="00F32B28">
        <w:rPr>
          <w:rtl/>
        </w:rPr>
        <w:t xml:space="preserve"> </w:t>
      </w:r>
      <w:r w:rsidR="00F32B28" w:rsidRPr="00F32B28">
        <w:rPr>
          <w:rtl/>
        </w:rPr>
        <w:t>انفصالها</w:t>
      </w:r>
      <w:r w:rsidR="00F32B28">
        <w:rPr>
          <w:rtl/>
        </w:rPr>
        <w:t xml:space="preserve"> </w:t>
      </w:r>
      <w:r w:rsidR="00F32B28" w:rsidRPr="00F32B28">
        <w:rPr>
          <w:rtl/>
        </w:rPr>
        <w:t>عن</w:t>
      </w:r>
      <w:r w:rsidR="00F32B28">
        <w:rPr>
          <w:rtl/>
        </w:rPr>
        <w:t xml:space="preserve"> </w:t>
      </w:r>
      <w:r w:rsidR="00F32B28" w:rsidRPr="00F32B28">
        <w:rPr>
          <w:rtl/>
        </w:rPr>
        <w:t>زوجها</w:t>
      </w:r>
      <w:r w:rsidR="00F32B28">
        <w:rPr>
          <w:rtl/>
        </w:rPr>
        <w:t xml:space="preserve"> </w:t>
      </w:r>
      <w:r w:rsidR="00F32B28" w:rsidRPr="00F32B28">
        <w:rPr>
          <w:rtl/>
        </w:rPr>
        <w:t>بالطلاق</w:t>
      </w:r>
      <w:r w:rsidR="00F32B28">
        <w:rPr>
          <w:rtl/>
        </w:rPr>
        <w:t xml:space="preserve"> </w:t>
      </w:r>
      <w:r w:rsidR="00F32B28" w:rsidRPr="00F32B28">
        <w:rPr>
          <w:rtl/>
        </w:rPr>
        <w:t>أو</w:t>
      </w:r>
      <w:r w:rsidR="00F32B28">
        <w:rPr>
          <w:rtl/>
        </w:rPr>
        <w:t xml:space="preserve"> </w:t>
      </w:r>
      <w:r w:rsidR="00F32B28" w:rsidRPr="00F32B28">
        <w:rPr>
          <w:rtl/>
        </w:rPr>
        <w:t>بالوفاة،</w:t>
      </w:r>
      <w:r w:rsidR="00F32B28">
        <w:rPr>
          <w:rtl/>
        </w:rPr>
        <w:t xml:space="preserve"> </w:t>
      </w:r>
      <w:r w:rsidR="00F32B28" w:rsidRPr="00F32B28">
        <w:rPr>
          <w:rtl/>
        </w:rPr>
        <w:t>فلا</w:t>
      </w:r>
      <w:r w:rsidR="00F32B28">
        <w:rPr>
          <w:rtl/>
        </w:rPr>
        <w:t xml:space="preserve"> </w:t>
      </w:r>
      <w:r w:rsidR="00F32B28" w:rsidRPr="00F32B28">
        <w:rPr>
          <w:rtl/>
        </w:rPr>
        <w:t>تستطيع</w:t>
      </w:r>
      <w:r w:rsidR="00F32B28">
        <w:rPr>
          <w:rtl/>
        </w:rPr>
        <w:t xml:space="preserve"> </w:t>
      </w:r>
      <w:r w:rsidR="00F32B28" w:rsidRPr="00F32B28">
        <w:rPr>
          <w:rtl/>
        </w:rPr>
        <w:t>العودة</w:t>
      </w:r>
      <w:r w:rsidR="00F32B28">
        <w:rPr>
          <w:rtl/>
        </w:rPr>
        <w:t xml:space="preserve"> </w:t>
      </w:r>
      <w:r w:rsidR="00F32B28" w:rsidRPr="00F32B28">
        <w:rPr>
          <w:rtl/>
        </w:rPr>
        <w:t>للإقامة</w:t>
      </w:r>
      <w:r w:rsidR="00F32B28">
        <w:rPr>
          <w:rtl/>
        </w:rPr>
        <w:t xml:space="preserve"> </w:t>
      </w:r>
      <w:r w:rsidR="00F32B28" w:rsidRPr="00F32B28">
        <w:rPr>
          <w:rtl/>
        </w:rPr>
        <w:t>في</w:t>
      </w:r>
      <w:r w:rsidR="00F32B28">
        <w:rPr>
          <w:rtl/>
        </w:rPr>
        <w:t xml:space="preserve"> </w:t>
      </w:r>
      <w:r w:rsidR="00F32B28" w:rsidRPr="00F32B28">
        <w:rPr>
          <w:rtl/>
        </w:rPr>
        <w:t>القدس</w:t>
      </w:r>
      <w:r w:rsidR="00F32B28">
        <w:rPr>
          <w:rtl/>
        </w:rPr>
        <w:t xml:space="preserve"> </w:t>
      </w:r>
      <w:r w:rsidR="00F32B28" w:rsidRPr="00F32B28">
        <w:rPr>
          <w:rtl/>
        </w:rPr>
        <w:t>بشكل</w:t>
      </w:r>
      <w:r w:rsidR="00F32B28">
        <w:rPr>
          <w:rtl/>
        </w:rPr>
        <w:t xml:space="preserve"> </w:t>
      </w:r>
      <w:r w:rsidR="00F32B28" w:rsidRPr="00F32B28">
        <w:rPr>
          <w:rtl/>
        </w:rPr>
        <w:t>قانوني</w:t>
      </w:r>
      <w:r w:rsidR="00F32B28">
        <w:rPr>
          <w:rtl/>
        </w:rPr>
        <w:t xml:space="preserve"> </w:t>
      </w:r>
      <w:r w:rsidR="00F32B28" w:rsidRPr="00F32B28">
        <w:rPr>
          <w:rtl/>
        </w:rPr>
        <w:t>قبل</w:t>
      </w:r>
      <w:r w:rsidR="00F32B28">
        <w:rPr>
          <w:rtl/>
        </w:rPr>
        <w:t xml:space="preserve"> </w:t>
      </w:r>
      <w:r w:rsidR="00F32B28" w:rsidRPr="00F32B28">
        <w:rPr>
          <w:rtl/>
        </w:rPr>
        <w:t>تقديم</w:t>
      </w:r>
      <w:r w:rsidR="00F32B28">
        <w:rPr>
          <w:rtl/>
        </w:rPr>
        <w:t xml:space="preserve"> </w:t>
      </w:r>
      <w:r w:rsidR="00F32B28" w:rsidRPr="00F32B28">
        <w:rPr>
          <w:rtl/>
        </w:rPr>
        <w:t>طلب</w:t>
      </w:r>
      <w:r w:rsidR="00F32B28">
        <w:rPr>
          <w:rtl/>
        </w:rPr>
        <w:t xml:space="preserve"> </w:t>
      </w:r>
      <w:r w:rsidR="00F32B28" w:rsidRPr="00F32B28">
        <w:rPr>
          <w:rtl/>
        </w:rPr>
        <w:t>لم</w:t>
      </w:r>
      <w:r w:rsidR="00F32B28">
        <w:rPr>
          <w:rtl/>
        </w:rPr>
        <w:t xml:space="preserve"> </w:t>
      </w:r>
      <w:r w:rsidR="00F32B28" w:rsidRPr="00F32B28">
        <w:rPr>
          <w:rtl/>
        </w:rPr>
        <w:t>شمل</w:t>
      </w:r>
      <w:r w:rsidR="00F32B28">
        <w:rPr>
          <w:rtl/>
        </w:rPr>
        <w:t xml:space="preserve"> </w:t>
      </w:r>
      <w:r w:rsidR="00F32B28" w:rsidRPr="00F32B28">
        <w:rPr>
          <w:rtl/>
        </w:rPr>
        <w:t>ذاتي،</w:t>
      </w:r>
      <w:r w:rsidR="00F32B28">
        <w:rPr>
          <w:rtl/>
        </w:rPr>
        <w:t xml:space="preserve"> </w:t>
      </w:r>
      <w:r w:rsidR="00F32B28" w:rsidRPr="00F32B28">
        <w:rPr>
          <w:rtl/>
        </w:rPr>
        <w:t>الذي</w:t>
      </w:r>
      <w:r w:rsidR="00F32B28">
        <w:rPr>
          <w:rtl/>
        </w:rPr>
        <w:t xml:space="preserve"> </w:t>
      </w:r>
      <w:r w:rsidR="00F32B28" w:rsidRPr="00F32B28">
        <w:rPr>
          <w:rtl/>
        </w:rPr>
        <w:t>يستغرق</w:t>
      </w:r>
      <w:r w:rsidR="00F32B28">
        <w:rPr>
          <w:rtl/>
        </w:rPr>
        <w:t xml:space="preserve"> </w:t>
      </w:r>
      <w:r w:rsidR="00F32B28" w:rsidRPr="00F32B28">
        <w:rPr>
          <w:rtl/>
        </w:rPr>
        <w:t>سنوات</w:t>
      </w:r>
      <w:r w:rsidR="00F32B28">
        <w:rPr>
          <w:rtl/>
        </w:rPr>
        <w:t xml:space="preserve"> </w:t>
      </w:r>
      <w:r w:rsidR="00F32B28" w:rsidRPr="00F32B28">
        <w:rPr>
          <w:rtl/>
        </w:rPr>
        <w:t>عدة.</w:t>
      </w:r>
    </w:p>
    <w:p w:rsidR="009C23E0" w:rsidRPr="009C23E0" w:rsidRDefault="009C23E0" w:rsidP="009C23E0">
      <w:pPr>
        <w:pStyle w:val="SingleTxt"/>
        <w:spacing w:after="0" w:line="120" w:lineRule="exact"/>
        <w:rPr>
          <w:b/>
          <w:bCs/>
          <w:sz w:val="10"/>
          <w:rtl/>
        </w:rPr>
      </w:pPr>
    </w:p>
    <w:p w:rsidR="00F32B28" w:rsidRPr="00F32B28" w:rsidRDefault="00F32B28" w:rsidP="00F32B28">
      <w:pPr>
        <w:pStyle w:val="SingleTxt"/>
        <w:rPr>
          <w:b/>
          <w:bCs/>
          <w:rtl/>
        </w:rPr>
      </w:pPr>
      <w:r w:rsidRPr="00F32B28">
        <w:rPr>
          <w:b/>
          <w:bCs/>
          <w:rtl/>
        </w:rPr>
        <w:t>النساء</w:t>
      </w:r>
      <w:r>
        <w:rPr>
          <w:b/>
          <w:bCs/>
          <w:rtl/>
        </w:rPr>
        <w:t xml:space="preserve"> </w:t>
      </w:r>
      <w:r w:rsidRPr="00F32B28">
        <w:rPr>
          <w:b/>
          <w:bCs/>
          <w:rtl/>
        </w:rPr>
        <w:t>الفلسطينيات</w:t>
      </w:r>
      <w:r>
        <w:rPr>
          <w:b/>
          <w:bCs/>
          <w:rtl/>
        </w:rPr>
        <w:t xml:space="preserve"> </w:t>
      </w:r>
      <w:r w:rsidRPr="00F32B28">
        <w:rPr>
          <w:b/>
          <w:bCs/>
          <w:rtl/>
        </w:rPr>
        <w:t>المتزوجات</w:t>
      </w:r>
      <w:r>
        <w:rPr>
          <w:b/>
          <w:bCs/>
          <w:rtl/>
        </w:rPr>
        <w:t xml:space="preserve"> </w:t>
      </w:r>
      <w:r w:rsidRPr="00F32B28">
        <w:rPr>
          <w:b/>
          <w:bCs/>
          <w:rtl/>
        </w:rPr>
        <w:t>من</w:t>
      </w:r>
      <w:r>
        <w:rPr>
          <w:b/>
          <w:bCs/>
          <w:rtl/>
        </w:rPr>
        <w:t xml:space="preserve"> </w:t>
      </w:r>
      <w:r w:rsidRPr="00F32B28">
        <w:rPr>
          <w:b/>
          <w:bCs/>
          <w:rtl/>
        </w:rPr>
        <w:t>الفلسطينيين</w:t>
      </w:r>
      <w:r w:rsidR="009C23E0">
        <w:rPr>
          <w:rFonts w:hint="cs"/>
          <w:b/>
          <w:bCs/>
          <w:rtl/>
        </w:rPr>
        <w:t xml:space="preserve"> </w:t>
      </w:r>
      <w:r w:rsidRPr="00F32B28">
        <w:rPr>
          <w:b/>
          <w:bCs/>
          <w:rtl/>
        </w:rPr>
        <w:t>الذين</w:t>
      </w:r>
      <w:r>
        <w:rPr>
          <w:b/>
          <w:bCs/>
          <w:rtl/>
        </w:rPr>
        <w:t xml:space="preserve"> </w:t>
      </w:r>
      <w:r w:rsidRPr="00F32B28">
        <w:rPr>
          <w:b/>
          <w:bCs/>
          <w:rtl/>
        </w:rPr>
        <w:t>بقوا</w:t>
      </w:r>
      <w:r>
        <w:rPr>
          <w:b/>
          <w:bCs/>
          <w:rtl/>
        </w:rPr>
        <w:t xml:space="preserve"> </w:t>
      </w:r>
      <w:r w:rsidRPr="00F32B28">
        <w:rPr>
          <w:b/>
          <w:bCs/>
          <w:rtl/>
        </w:rPr>
        <w:t>داخل</w:t>
      </w:r>
      <w:r>
        <w:rPr>
          <w:b/>
          <w:bCs/>
          <w:rtl/>
        </w:rPr>
        <w:t xml:space="preserve"> </w:t>
      </w:r>
      <w:r w:rsidRPr="00F32B28">
        <w:rPr>
          <w:b/>
          <w:bCs/>
          <w:rtl/>
        </w:rPr>
        <w:t>الخط</w:t>
      </w:r>
      <w:r>
        <w:rPr>
          <w:b/>
          <w:bCs/>
          <w:rtl/>
        </w:rPr>
        <w:t xml:space="preserve"> </w:t>
      </w:r>
      <w:r w:rsidRPr="00F32B28">
        <w:rPr>
          <w:b/>
          <w:bCs/>
          <w:rtl/>
        </w:rPr>
        <w:t>الأخضر</w:t>
      </w:r>
      <w:r>
        <w:rPr>
          <w:b/>
          <w:bCs/>
          <w:rtl/>
        </w:rPr>
        <w:t xml:space="preserve"> </w:t>
      </w:r>
      <w:r w:rsidRPr="00F32B28">
        <w:rPr>
          <w:b/>
          <w:bCs/>
          <w:rtl/>
        </w:rPr>
        <w:t>والعكس</w:t>
      </w:r>
    </w:p>
    <w:p w:rsidR="00F32B28" w:rsidRPr="00F32B28" w:rsidRDefault="009C23E0" w:rsidP="009C23E0">
      <w:pPr>
        <w:pStyle w:val="SingleTxt"/>
        <w:rPr>
          <w:rtl/>
        </w:rPr>
      </w:pPr>
      <w:r>
        <w:rPr>
          <w:rFonts w:hint="cs"/>
          <w:rtl/>
        </w:rPr>
        <w:t xml:space="preserve">158 - </w:t>
      </w:r>
      <w:r w:rsidR="00F32B28" w:rsidRPr="00F32B28">
        <w:rPr>
          <w:rtl/>
        </w:rPr>
        <w:t>يسري</w:t>
      </w:r>
      <w:r w:rsidR="00F32B28">
        <w:rPr>
          <w:rtl/>
        </w:rPr>
        <w:t xml:space="preserve"> </w:t>
      </w:r>
      <w:r w:rsidR="00F32B28" w:rsidRPr="00F32B28">
        <w:rPr>
          <w:rtl/>
        </w:rPr>
        <w:t>حظر</w:t>
      </w:r>
      <w:r w:rsidR="00F32B28">
        <w:rPr>
          <w:rtl/>
        </w:rPr>
        <w:t xml:space="preserve"> </w:t>
      </w:r>
      <w:r w:rsidR="00F32B28" w:rsidRPr="00F32B28">
        <w:rPr>
          <w:rtl/>
        </w:rPr>
        <w:t>لم</w:t>
      </w:r>
      <w:r w:rsidR="00F32B28">
        <w:rPr>
          <w:rtl/>
        </w:rPr>
        <w:t xml:space="preserve"> </w:t>
      </w:r>
      <w:r w:rsidR="00F32B28" w:rsidRPr="00F32B28">
        <w:rPr>
          <w:rtl/>
        </w:rPr>
        <w:t>الشمل</w:t>
      </w:r>
      <w:r>
        <w:rPr>
          <w:rFonts w:hint="cs"/>
          <w:rtl/>
        </w:rPr>
        <w:t xml:space="preserve"> </w:t>
      </w:r>
      <w:r w:rsidR="00F32B28" w:rsidRPr="00F32B28">
        <w:rPr>
          <w:rtl/>
        </w:rPr>
        <w:t>كذلك،</w:t>
      </w:r>
      <w:r w:rsidR="00F32B28">
        <w:rPr>
          <w:rtl/>
        </w:rPr>
        <w:t xml:space="preserve"> </w:t>
      </w:r>
      <w:r w:rsidR="00F32B28" w:rsidRPr="00F32B28">
        <w:rPr>
          <w:rtl/>
        </w:rPr>
        <w:t>وكما</w:t>
      </w:r>
      <w:r w:rsidR="00F32B28">
        <w:rPr>
          <w:rtl/>
        </w:rPr>
        <w:t xml:space="preserve"> </w:t>
      </w:r>
      <w:r w:rsidR="00F32B28" w:rsidRPr="00F32B28">
        <w:rPr>
          <w:rtl/>
        </w:rPr>
        <w:t>تم</w:t>
      </w:r>
      <w:r w:rsidR="00F32B28">
        <w:rPr>
          <w:rtl/>
        </w:rPr>
        <w:t xml:space="preserve"> </w:t>
      </w:r>
      <w:r w:rsidR="00F32B28" w:rsidRPr="00F32B28">
        <w:rPr>
          <w:rtl/>
        </w:rPr>
        <w:t>بيانه</w:t>
      </w:r>
      <w:r w:rsidR="00F32B28">
        <w:rPr>
          <w:rtl/>
        </w:rPr>
        <w:t xml:space="preserve"> </w:t>
      </w:r>
      <w:r w:rsidR="00F32B28" w:rsidRPr="00F32B28">
        <w:rPr>
          <w:rtl/>
        </w:rPr>
        <w:t>في</w:t>
      </w:r>
      <w:r w:rsidR="00F32B28">
        <w:rPr>
          <w:rtl/>
        </w:rPr>
        <w:t xml:space="preserve"> </w:t>
      </w:r>
      <w:r w:rsidR="00F32B28" w:rsidRPr="00F32B28">
        <w:rPr>
          <w:rtl/>
        </w:rPr>
        <w:t>الفقرة</w:t>
      </w:r>
      <w:r w:rsidR="00F32B28">
        <w:rPr>
          <w:rtl/>
        </w:rPr>
        <w:t xml:space="preserve"> </w:t>
      </w:r>
      <w:r w:rsidR="00F32B28" w:rsidRPr="00F32B28">
        <w:rPr>
          <w:rtl/>
        </w:rPr>
        <w:t>السابقة،</w:t>
      </w:r>
      <w:r w:rsidR="00F32B28">
        <w:rPr>
          <w:rtl/>
        </w:rPr>
        <w:t xml:space="preserve"> </w:t>
      </w:r>
      <w:r w:rsidR="00F32B28" w:rsidRPr="00F32B28">
        <w:rPr>
          <w:rtl/>
        </w:rPr>
        <w:t>على</w:t>
      </w:r>
      <w:r w:rsidR="00F32B28">
        <w:rPr>
          <w:rtl/>
        </w:rPr>
        <w:t xml:space="preserve"> </w:t>
      </w:r>
      <w:r w:rsidR="00F32B28" w:rsidRPr="00F32B28">
        <w:rPr>
          <w:rtl/>
        </w:rPr>
        <w:t>الفلسطينيين</w:t>
      </w:r>
      <w:r w:rsidR="00362769">
        <w:rPr>
          <w:rFonts w:hint="cs"/>
          <w:rtl/>
        </w:rPr>
        <w:t xml:space="preserve"> </w:t>
      </w:r>
      <w:r w:rsidR="00F32B28" w:rsidRPr="00F32B28">
        <w:rPr>
          <w:rtl/>
        </w:rPr>
        <w:t>حملة</w:t>
      </w:r>
      <w:r w:rsidR="00F32B28">
        <w:rPr>
          <w:rtl/>
        </w:rPr>
        <w:t xml:space="preserve"> </w:t>
      </w:r>
      <w:r w:rsidR="00F32B28" w:rsidRPr="00F32B28">
        <w:rPr>
          <w:rtl/>
        </w:rPr>
        <w:t>بطاقة</w:t>
      </w:r>
      <w:r w:rsidR="00F32B28">
        <w:rPr>
          <w:rtl/>
        </w:rPr>
        <w:t xml:space="preserve"> </w:t>
      </w:r>
      <w:r w:rsidR="00F32B28" w:rsidRPr="00F32B28">
        <w:rPr>
          <w:rtl/>
        </w:rPr>
        <w:t>الهوية</w:t>
      </w:r>
      <w:r w:rsidR="00F32B28">
        <w:rPr>
          <w:rtl/>
        </w:rPr>
        <w:t xml:space="preserve"> </w:t>
      </w:r>
      <w:r w:rsidR="00F32B28" w:rsidRPr="00F32B28">
        <w:rPr>
          <w:rtl/>
        </w:rPr>
        <w:t>الفلسطينية،</w:t>
      </w:r>
      <w:r w:rsidR="00F32B28">
        <w:rPr>
          <w:rtl/>
        </w:rPr>
        <w:t xml:space="preserve"> </w:t>
      </w:r>
      <w:r w:rsidR="00F32B28" w:rsidRPr="00F32B28">
        <w:rPr>
          <w:rtl/>
        </w:rPr>
        <w:t>رجالاً</w:t>
      </w:r>
      <w:r w:rsidR="00F32B28">
        <w:rPr>
          <w:rtl/>
        </w:rPr>
        <w:t xml:space="preserve"> </w:t>
      </w:r>
      <w:r w:rsidR="00F32B28" w:rsidRPr="00F32B28">
        <w:rPr>
          <w:rtl/>
        </w:rPr>
        <w:t>ونساءً،</w:t>
      </w:r>
      <w:r w:rsidR="00F32B28">
        <w:rPr>
          <w:rtl/>
        </w:rPr>
        <w:t xml:space="preserve"> </w:t>
      </w:r>
      <w:r w:rsidR="00F32B28" w:rsidRPr="00F32B28">
        <w:rPr>
          <w:rtl/>
        </w:rPr>
        <w:t>الذين</w:t>
      </w:r>
      <w:r w:rsidR="00F32B28">
        <w:rPr>
          <w:rtl/>
        </w:rPr>
        <w:t xml:space="preserve"> </w:t>
      </w:r>
      <w:r w:rsidR="00F32B28" w:rsidRPr="00F32B28">
        <w:rPr>
          <w:rtl/>
        </w:rPr>
        <w:t>يتزوجون</w:t>
      </w:r>
      <w:r w:rsidR="00F32B28">
        <w:rPr>
          <w:rtl/>
        </w:rPr>
        <w:t xml:space="preserve"> </w:t>
      </w:r>
      <w:r w:rsidR="00F32B28" w:rsidRPr="00F32B28">
        <w:rPr>
          <w:rtl/>
        </w:rPr>
        <w:t>من</w:t>
      </w:r>
      <w:r w:rsidR="00F32B28">
        <w:rPr>
          <w:rtl/>
        </w:rPr>
        <w:t xml:space="preserve"> </w:t>
      </w:r>
      <w:r w:rsidR="00F32B28" w:rsidRPr="00F32B28">
        <w:rPr>
          <w:rtl/>
        </w:rPr>
        <w:t>الفلسطينيون</w:t>
      </w:r>
      <w:r w:rsidR="00F32B28">
        <w:rPr>
          <w:rtl/>
        </w:rPr>
        <w:t xml:space="preserve"> </w:t>
      </w:r>
      <w:r w:rsidR="00F32B28" w:rsidRPr="00F32B28">
        <w:rPr>
          <w:rtl/>
        </w:rPr>
        <w:t>الذين</w:t>
      </w:r>
      <w:r w:rsidR="00F32B28">
        <w:rPr>
          <w:rtl/>
        </w:rPr>
        <w:t xml:space="preserve"> </w:t>
      </w:r>
      <w:r w:rsidR="00F32B28" w:rsidRPr="00F32B28">
        <w:rPr>
          <w:rtl/>
        </w:rPr>
        <w:t>بقوا</w:t>
      </w:r>
      <w:r w:rsidR="00F32B28">
        <w:rPr>
          <w:rtl/>
        </w:rPr>
        <w:t xml:space="preserve"> </w:t>
      </w:r>
      <w:r w:rsidR="00F32B28" w:rsidRPr="00F32B28">
        <w:rPr>
          <w:rtl/>
        </w:rPr>
        <w:t>داخل</w:t>
      </w:r>
      <w:r w:rsidR="00F32B28">
        <w:rPr>
          <w:rtl/>
        </w:rPr>
        <w:t xml:space="preserve"> </w:t>
      </w:r>
      <w:r w:rsidR="00F32B28" w:rsidRPr="00F32B28">
        <w:rPr>
          <w:rtl/>
        </w:rPr>
        <w:t>الخط</w:t>
      </w:r>
      <w:r w:rsidR="00F32B28">
        <w:rPr>
          <w:rtl/>
        </w:rPr>
        <w:t xml:space="preserve"> </w:t>
      </w:r>
      <w:r w:rsidR="00F32B28" w:rsidRPr="00F32B28">
        <w:rPr>
          <w:rtl/>
        </w:rPr>
        <w:t>الأخضر</w:t>
      </w:r>
      <w:r w:rsidR="00F32B28">
        <w:rPr>
          <w:rtl/>
        </w:rPr>
        <w:t xml:space="preserve"> </w:t>
      </w:r>
      <w:r w:rsidR="00F32B28" w:rsidRPr="00F32B28">
        <w:rPr>
          <w:rtl/>
        </w:rPr>
        <w:t>بعد</w:t>
      </w:r>
      <w:r w:rsidR="00F32B28">
        <w:rPr>
          <w:rtl/>
        </w:rPr>
        <w:t xml:space="preserve"> </w:t>
      </w:r>
      <w:r w:rsidR="00F32B28" w:rsidRPr="00F32B28">
        <w:rPr>
          <w:rtl/>
        </w:rPr>
        <w:t>النكبة</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1948</w:t>
      </w:r>
      <w:r w:rsidR="00F32B28">
        <w:rPr>
          <w:rtl/>
        </w:rPr>
        <w:t xml:space="preserve"> </w:t>
      </w:r>
      <w:r w:rsidR="00F32B28" w:rsidRPr="00F32B28">
        <w:rPr>
          <w:rtl/>
        </w:rPr>
        <w:t>وحصلوا</w:t>
      </w:r>
      <w:r w:rsidR="00F32B28">
        <w:rPr>
          <w:rtl/>
        </w:rPr>
        <w:t xml:space="preserve"> </w:t>
      </w:r>
      <w:r w:rsidR="00F32B28" w:rsidRPr="00F32B28">
        <w:rPr>
          <w:rtl/>
        </w:rPr>
        <w:t>على</w:t>
      </w:r>
      <w:r w:rsidR="00F32B28">
        <w:rPr>
          <w:rtl/>
        </w:rPr>
        <w:t xml:space="preserve"> </w:t>
      </w:r>
      <w:r w:rsidR="00F32B28" w:rsidRPr="00F32B28">
        <w:rPr>
          <w:rtl/>
        </w:rPr>
        <w:t>الجنسية</w:t>
      </w:r>
      <w:r w:rsidR="00F32B28">
        <w:rPr>
          <w:rtl/>
        </w:rPr>
        <w:t xml:space="preserve"> </w:t>
      </w:r>
      <w:r w:rsidR="00F32B28" w:rsidRPr="00F32B28">
        <w:rPr>
          <w:rtl/>
        </w:rPr>
        <w:t>الإسرائيلية</w:t>
      </w:r>
      <w:r w:rsidR="00F32B28">
        <w:rPr>
          <w:rtl/>
        </w:rPr>
        <w:t xml:space="preserve"> </w:t>
      </w:r>
      <w:r w:rsidR="00F32B28" w:rsidRPr="00F32B28">
        <w:rPr>
          <w:rtl/>
        </w:rPr>
        <w:t>بموجب</w:t>
      </w:r>
      <w:r w:rsidR="00F32B28">
        <w:rPr>
          <w:rtl/>
        </w:rPr>
        <w:t xml:space="preserve"> </w:t>
      </w:r>
      <w:r w:rsidR="00F32B28" w:rsidRPr="00F32B28">
        <w:rPr>
          <w:rtl/>
        </w:rPr>
        <w:t>قانون</w:t>
      </w:r>
      <w:r w:rsidR="00F32B28">
        <w:rPr>
          <w:rtl/>
        </w:rPr>
        <w:t xml:space="preserve"> </w:t>
      </w:r>
      <w:r w:rsidR="00F32B28" w:rsidRPr="00F32B28">
        <w:rPr>
          <w:rtl/>
        </w:rPr>
        <w:t>الجنسية</w:t>
      </w:r>
      <w:r w:rsidR="00F32B28">
        <w:rPr>
          <w:rtl/>
        </w:rPr>
        <w:t xml:space="preserve"> </w:t>
      </w:r>
      <w:r w:rsidR="00F32B28" w:rsidRPr="00F32B28">
        <w:rPr>
          <w:rtl/>
        </w:rPr>
        <w:t>الإسرائيلية</w:t>
      </w:r>
      <w:r w:rsidR="00F32B28">
        <w:rPr>
          <w:rtl/>
        </w:rPr>
        <w:t xml:space="preserve"> </w:t>
      </w:r>
      <w:r w:rsidR="00F32B28" w:rsidRPr="00F32B28">
        <w:rPr>
          <w:rtl/>
        </w:rPr>
        <w:t>لسنة</w:t>
      </w:r>
      <w:r w:rsidR="00F32B28">
        <w:rPr>
          <w:rtl/>
        </w:rPr>
        <w:t xml:space="preserve"> </w:t>
      </w:r>
      <w:r w:rsidR="00F32B28" w:rsidRPr="00F32B28">
        <w:rPr>
          <w:rtl/>
        </w:rPr>
        <w:t>1952.</w:t>
      </w:r>
      <w:r w:rsidR="00F32B28">
        <w:rPr>
          <w:rtl/>
        </w:rPr>
        <w:t xml:space="preserve"> </w:t>
      </w:r>
    </w:p>
    <w:p w:rsidR="00F32B28" w:rsidRPr="00F32B28" w:rsidRDefault="009C23E0" w:rsidP="009C23E0">
      <w:pPr>
        <w:pStyle w:val="SingleTxt"/>
        <w:rPr>
          <w:rtl/>
        </w:rPr>
      </w:pPr>
      <w:r>
        <w:rPr>
          <w:rFonts w:hint="cs"/>
          <w:rtl/>
        </w:rPr>
        <w:lastRenderedPageBreak/>
        <w:t xml:space="preserve">159 - </w:t>
      </w:r>
      <w:r w:rsidR="00F32B28" w:rsidRPr="00F32B28">
        <w:rPr>
          <w:rtl/>
        </w:rPr>
        <w:t>كما</w:t>
      </w:r>
      <w:r w:rsidR="00F32B28">
        <w:rPr>
          <w:rtl/>
        </w:rPr>
        <w:t xml:space="preserve"> </w:t>
      </w:r>
      <w:r w:rsidR="00F32B28" w:rsidRPr="00F32B28">
        <w:rPr>
          <w:rtl/>
        </w:rPr>
        <w:t>وسع</w:t>
      </w:r>
      <w:r w:rsidR="00F32B28">
        <w:rPr>
          <w:rtl/>
        </w:rPr>
        <w:t xml:space="preserve"> </w:t>
      </w:r>
      <w:r w:rsidR="00F32B28" w:rsidRPr="00F32B28">
        <w:rPr>
          <w:rtl/>
        </w:rPr>
        <w:t>البرلمان</w:t>
      </w:r>
      <w:r w:rsidR="00F32B28">
        <w:rPr>
          <w:rtl/>
        </w:rPr>
        <w:t xml:space="preserve"> </w:t>
      </w:r>
      <w:r w:rsidR="00F32B28" w:rsidRPr="00F32B28">
        <w:rPr>
          <w:rtl/>
        </w:rPr>
        <w:t>الإسرائيلي</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2007</w:t>
      </w:r>
      <w:r w:rsidR="00F32B28">
        <w:rPr>
          <w:rtl/>
        </w:rPr>
        <w:t xml:space="preserve"> </w:t>
      </w:r>
      <w:r w:rsidR="00F32B28" w:rsidRPr="00F32B28">
        <w:rPr>
          <w:rtl/>
        </w:rPr>
        <w:t>من</w:t>
      </w:r>
      <w:r w:rsidR="00F32B28">
        <w:rPr>
          <w:rtl/>
        </w:rPr>
        <w:t xml:space="preserve"> </w:t>
      </w:r>
      <w:r w:rsidR="00F32B28" w:rsidRPr="00F32B28">
        <w:rPr>
          <w:rtl/>
        </w:rPr>
        <w:t>نطاق</w:t>
      </w:r>
      <w:r w:rsidR="00F32B28">
        <w:rPr>
          <w:rtl/>
        </w:rPr>
        <w:t xml:space="preserve"> </w:t>
      </w:r>
      <w:r w:rsidR="00F32B28" w:rsidRPr="00F32B28">
        <w:rPr>
          <w:rtl/>
        </w:rPr>
        <w:t>قانون</w:t>
      </w:r>
      <w:r w:rsidR="00F32B28">
        <w:rPr>
          <w:rtl/>
        </w:rPr>
        <w:t xml:space="preserve"> </w:t>
      </w:r>
      <w:r w:rsidR="00F32B28" w:rsidRPr="00F32B28">
        <w:rPr>
          <w:rtl/>
        </w:rPr>
        <w:t>المواطنة</w:t>
      </w:r>
      <w:r w:rsidR="00F32B28">
        <w:rPr>
          <w:rtl/>
        </w:rPr>
        <w:t xml:space="preserve"> </w:t>
      </w:r>
      <w:r w:rsidR="00F32B28" w:rsidRPr="00F32B28">
        <w:rPr>
          <w:rtl/>
        </w:rPr>
        <w:t>العنصري</w:t>
      </w:r>
      <w:r w:rsidR="00F32B28">
        <w:rPr>
          <w:rtl/>
        </w:rPr>
        <w:t xml:space="preserve"> </w:t>
      </w:r>
      <w:r w:rsidR="00F32B28" w:rsidRPr="00F32B28">
        <w:rPr>
          <w:rtl/>
        </w:rPr>
        <w:t>ليمنع</w:t>
      </w:r>
      <w:r w:rsidR="00F32B28">
        <w:rPr>
          <w:rtl/>
        </w:rPr>
        <w:t xml:space="preserve"> </w:t>
      </w:r>
      <w:r w:rsidR="00F32B28" w:rsidRPr="00F32B28">
        <w:rPr>
          <w:rtl/>
        </w:rPr>
        <w:t>مواطني</w:t>
      </w:r>
      <w:r w:rsidR="00F32B28">
        <w:rPr>
          <w:rtl/>
        </w:rPr>
        <w:t xml:space="preserve"> </w:t>
      </w:r>
      <w:r w:rsidR="00F32B28" w:rsidRPr="00F32B28">
        <w:rPr>
          <w:rtl/>
        </w:rPr>
        <w:t>ومواطنات</w:t>
      </w:r>
      <w:r w:rsidR="00F32B28">
        <w:rPr>
          <w:rtl/>
        </w:rPr>
        <w:t xml:space="preserve"> </w:t>
      </w:r>
      <w:r w:rsidR="00F32B28" w:rsidRPr="00F32B28">
        <w:rPr>
          <w:rtl/>
        </w:rPr>
        <w:t>سوريا</w:t>
      </w:r>
      <w:r w:rsidR="00F32B28">
        <w:rPr>
          <w:rtl/>
        </w:rPr>
        <w:t xml:space="preserve"> </w:t>
      </w:r>
      <w:r w:rsidR="00F32B28" w:rsidRPr="00F32B28">
        <w:rPr>
          <w:rtl/>
        </w:rPr>
        <w:t>ولبنان</w:t>
      </w:r>
      <w:r w:rsidR="00F32B28">
        <w:rPr>
          <w:rtl/>
        </w:rPr>
        <w:t xml:space="preserve"> </w:t>
      </w:r>
      <w:r w:rsidR="00F32B28" w:rsidRPr="00F32B28">
        <w:rPr>
          <w:rtl/>
        </w:rPr>
        <w:t>والعراق</w:t>
      </w:r>
      <w:r w:rsidR="00F32B28">
        <w:rPr>
          <w:rtl/>
        </w:rPr>
        <w:t xml:space="preserve"> </w:t>
      </w:r>
      <w:r w:rsidR="00F32B28" w:rsidRPr="00F32B28">
        <w:rPr>
          <w:rtl/>
        </w:rPr>
        <w:t>وإيران</w:t>
      </w:r>
      <w:r w:rsidR="00F32B28">
        <w:rPr>
          <w:rtl/>
        </w:rPr>
        <w:t xml:space="preserve"> </w:t>
      </w:r>
      <w:r w:rsidR="00F32B28" w:rsidRPr="00F32B28">
        <w:rPr>
          <w:rtl/>
        </w:rPr>
        <w:t>وليبيا</w:t>
      </w:r>
      <w:r w:rsidR="00F32B28">
        <w:rPr>
          <w:rtl/>
        </w:rPr>
        <w:t xml:space="preserve"> </w:t>
      </w:r>
      <w:r w:rsidR="00F32B28" w:rsidRPr="00F32B28">
        <w:rPr>
          <w:rtl/>
        </w:rPr>
        <w:t>والمتزوجون</w:t>
      </w:r>
      <w:r w:rsidR="00F32B28">
        <w:rPr>
          <w:rtl/>
        </w:rPr>
        <w:t xml:space="preserve"> </w:t>
      </w:r>
      <w:r w:rsidR="00F32B28" w:rsidRPr="00F32B28">
        <w:rPr>
          <w:rtl/>
        </w:rPr>
        <w:t>من</w:t>
      </w:r>
      <w:r w:rsidR="00F32B28">
        <w:rPr>
          <w:rtl/>
        </w:rPr>
        <w:t xml:space="preserve"> </w:t>
      </w:r>
      <w:r w:rsidR="00F32B28" w:rsidRPr="00F32B28">
        <w:rPr>
          <w:rtl/>
        </w:rPr>
        <w:t>الفلسطينيين</w:t>
      </w:r>
      <w:r w:rsidR="00F32B28">
        <w:rPr>
          <w:rtl/>
        </w:rPr>
        <w:t xml:space="preserve"> </w:t>
      </w:r>
      <w:r w:rsidR="00F32B28" w:rsidRPr="00F32B28">
        <w:rPr>
          <w:rtl/>
        </w:rPr>
        <w:t>حملة</w:t>
      </w:r>
      <w:r w:rsidR="00F32B28">
        <w:rPr>
          <w:rtl/>
        </w:rPr>
        <w:t xml:space="preserve"> </w:t>
      </w:r>
      <w:r w:rsidR="00F32B28" w:rsidRPr="00F32B28">
        <w:rPr>
          <w:rtl/>
        </w:rPr>
        <w:t>الجنسية</w:t>
      </w:r>
      <w:r w:rsidR="00F32B28">
        <w:rPr>
          <w:rtl/>
        </w:rPr>
        <w:t xml:space="preserve"> </w:t>
      </w:r>
      <w:r w:rsidR="00F32B28" w:rsidRPr="00F32B28">
        <w:rPr>
          <w:rtl/>
        </w:rPr>
        <w:t>الإسرائيلية</w:t>
      </w:r>
      <w:r w:rsidR="00F32B28">
        <w:rPr>
          <w:rtl/>
        </w:rPr>
        <w:t xml:space="preserve"> </w:t>
      </w:r>
      <w:r w:rsidR="00F32B28" w:rsidRPr="00F32B28">
        <w:rPr>
          <w:rtl/>
        </w:rPr>
        <w:t>أو</w:t>
      </w:r>
      <w:r w:rsidR="009B107D">
        <w:rPr>
          <w:rFonts w:hint="cs"/>
          <w:rtl/>
        </w:rPr>
        <w:t> </w:t>
      </w:r>
      <w:r w:rsidR="00F32B28" w:rsidRPr="00F32B28">
        <w:rPr>
          <w:rtl/>
        </w:rPr>
        <w:t>فلسطينيي</w:t>
      </w:r>
      <w:r w:rsidR="00F32B28">
        <w:rPr>
          <w:rtl/>
        </w:rPr>
        <w:t xml:space="preserve"> </w:t>
      </w:r>
      <w:r w:rsidR="00F32B28" w:rsidRPr="00F32B28">
        <w:rPr>
          <w:rtl/>
        </w:rPr>
        <w:t>القدس</w:t>
      </w:r>
      <w:r w:rsidR="00F32B28">
        <w:rPr>
          <w:rtl/>
        </w:rPr>
        <w:t xml:space="preserve"> </w:t>
      </w:r>
      <w:r w:rsidR="00F32B28" w:rsidRPr="00F32B28">
        <w:rPr>
          <w:rtl/>
        </w:rPr>
        <w:t>الشرقية</w:t>
      </w:r>
      <w:r w:rsidR="00F32B28">
        <w:rPr>
          <w:rtl/>
        </w:rPr>
        <w:t xml:space="preserve"> </w:t>
      </w:r>
      <w:r w:rsidR="00F32B28" w:rsidRPr="00F32B28">
        <w:rPr>
          <w:rtl/>
        </w:rPr>
        <w:t>من</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لم</w:t>
      </w:r>
      <w:r w:rsidR="00F32B28">
        <w:rPr>
          <w:rtl/>
        </w:rPr>
        <w:t xml:space="preserve"> </w:t>
      </w:r>
      <w:r w:rsidR="00F32B28" w:rsidRPr="00F32B28">
        <w:rPr>
          <w:rtl/>
        </w:rPr>
        <w:t>الشمل.</w:t>
      </w:r>
      <w:r w:rsidR="00F32B28">
        <w:rPr>
          <w:rtl/>
        </w:rPr>
        <w:t xml:space="preserve"> </w:t>
      </w:r>
      <w:r w:rsidR="00F32B28" w:rsidRPr="00F32B28">
        <w:rPr>
          <w:rtl/>
        </w:rPr>
        <w:t>وأخيراً،</w:t>
      </w:r>
      <w:r w:rsidR="00F32B28">
        <w:rPr>
          <w:rtl/>
        </w:rPr>
        <w:t xml:space="preserve"> </w:t>
      </w:r>
      <w:r w:rsidR="00F32B28" w:rsidRPr="00F32B28">
        <w:rPr>
          <w:rtl/>
        </w:rPr>
        <w:t>وقع</w:t>
      </w:r>
      <w:r w:rsidR="00F32B28">
        <w:rPr>
          <w:rtl/>
        </w:rPr>
        <w:t xml:space="preserve"> </w:t>
      </w:r>
      <w:r w:rsidR="00F32B28" w:rsidRPr="00F32B28">
        <w:rPr>
          <w:rtl/>
        </w:rPr>
        <w:t>تعديل</w:t>
      </w:r>
      <w:r w:rsidR="00F32B28">
        <w:rPr>
          <w:rtl/>
        </w:rPr>
        <w:t xml:space="preserve"> </w:t>
      </w:r>
      <w:r w:rsidR="00F32B28" w:rsidRPr="00F32B28">
        <w:rPr>
          <w:rtl/>
        </w:rPr>
        <w:t>آخر</w:t>
      </w:r>
      <w:r w:rsidR="00F32B28">
        <w:rPr>
          <w:rtl/>
        </w:rPr>
        <w:t xml:space="preserve"> </w:t>
      </w:r>
      <w:r w:rsidR="00F32B28" w:rsidRPr="00F32B28">
        <w:rPr>
          <w:rtl/>
        </w:rPr>
        <w:t>سنة</w:t>
      </w:r>
      <w:r w:rsidR="00F32B28">
        <w:rPr>
          <w:rtl/>
        </w:rPr>
        <w:t xml:space="preserve"> </w:t>
      </w:r>
      <w:r w:rsidR="00F32B28" w:rsidRPr="00F32B28">
        <w:rPr>
          <w:rtl/>
        </w:rPr>
        <w:t>2008</w:t>
      </w:r>
      <w:r w:rsidR="00F32B28">
        <w:rPr>
          <w:rtl/>
        </w:rPr>
        <w:t xml:space="preserve"> </w:t>
      </w:r>
      <w:r w:rsidR="00F32B28" w:rsidRPr="00F32B28">
        <w:rPr>
          <w:rtl/>
        </w:rPr>
        <w:t>على</w:t>
      </w:r>
      <w:r w:rsidR="00F32B28">
        <w:rPr>
          <w:rtl/>
        </w:rPr>
        <w:t xml:space="preserve"> </w:t>
      </w:r>
      <w:r w:rsidR="00F32B28" w:rsidRPr="00F32B28">
        <w:rPr>
          <w:rtl/>
        </w:rPr>
        <w:t>قانون</w:t>
      </w:r>
      <w:r w:rsidR="00F32B28">
        <w:rPr>
          <w:rtl/>
        </w:rPr>
        <w:t xml:space="preserve"> </w:t>
      </w:r>
      <w:r w:rsidR="00F32B28" w:rsidRPr="00F32B28">
        <w:rPr>
          <w:rtl/>
        </w:rPr>
        <w:t>المواطنة</w:t>
      </w:r>
      <w:r w:rsidR="00F32B28">
        <w:rPr>
          <w:rtl/>
        </w:rPr>
        <w:t xml:space="preserve"> </w:t>
      </w:r>
      <w:r w:rsidR="00F32B28" w:rsidRPr="00F32B28">
        <w:rPr>
          <w:rtl/>
        </w:rPr>
        <w:t>يُسمح</w:t>
      </w:r>
      <w:r w:rsidR="00F32B28">
        <w:rPr>
          <w:rtl/>
        </w:rPr>
        <w:t xml:space="preserve"> </w:t>
      </w:r>
      <w:r w:rsidR="00F32B28" w:rsidRPr="00F32B28">
        <w:rPr>
          <w:rtl/>
        </w:rPr>
        <w:t>بموجبه</w:t>
      </w:r>
      <w:r w:rsidR="00F32B28">
        <w:rPr>
          <w:rtl/>
        </w:rPr>
        <w:t xml:space="preserve"> </w:t>
      </w:r>
      <w:r w:rsidR="00F32B28" w:rsidRPr="00F32B28">
        <w:rPr>
          <w:rtl/>
        </w:rPr>
        <w:t>سحب</w:t>
      </w:r>
      <w:r w:rsidR="00F32B28">
        <w:rPr>
          <w:rtl/>
        </w:rPr>
        <w:t xml:space="preserve"> </w:t>
      </w:r>
      <w:r w:rsidR="00F32B28" w:rsidRPr="00F32B28">
        <w:rPr>
          <w:rtl/>
        </w:rPr>
        <w:t>الجنسية</w:t>
      </w:r>
      <w:r w:rsidR="00F32B28">
        <w:rPr>
          <w:rtl/>
        </w:rPr>
        <w:t xml:space="preserve"> </w:t>
      </w:r>
      <w:r w:rsidR="00F32B28" w:rsidRPr="00F32B28">
        <w:rPr>
          <w:rtl/>
        </w:rPr>
        <w:t>في</w:t>
      </w:r>
      <w:r w:rsidR="00F32B28">
        <w:rPr>
          <w:rtl/>
        </w:rPr>
        <w:t xml:space="preserve"> </w:t>
      </w:r>
      <w:r w:rsidR="00F32B28" w:rsidRPr="00F32B28">
        <w:rPr>
          <w:rtl/>
        </w:rPr>
        <w:t>حالة</w:t>
      </w:r>
      <w:r w:rsidR="00F32B28">
        <w:rPr>
          <w:rtl/>
        </w:rPr>
        <w:t xml:space="preserve"> </w:t>
      </w:r>
      <w:r w:rsidR="00F32B28" w:rsidRPr="00F32B28">
        <w:rPr>
          <w:rtl/>
        </w:rPr>
        <w:t>وجود</w:t>
      </w:r>
      <w:r w:rsidR="00F32B28">
        <w:rPr>
          <w:rtl/>
        </w:rPr>
        <w:t xml:space="preserve"> </w:t>
      </w:r>
      <w:r w:rsidR="00D06D08">
        <w:rPr>
          <w:rFonts w:hint="cs"/>
          <w:rtl/>
        </w:rPr>
        <w:t>”</w:t>
      </w:r>
      <w:r w:rsidR="00F32B28" w:rsidRPr="00F32B28">
        <w:rPr>
          <w:rtl/>
        </w:rPr>
        <w:t>خرق</w:t>
      </w:r>
      <w:r w:rsidR="00F32B28">
        <w:rPr>
          <w:rtl/>
        </w:rPr>
        <w:t xml:space="preserve"> </w:t>
      </w:r>
      <w:r w:rsidR="00F32B28" w:rsidRPr="00F32B28">
        <w:rPr>
          <w:rtl/>
        </w:rPr>
        <w:t>للثقة</w:t>
      </w:r>
      <w:r w:rsidR="00D06D08">
        <w:rPr>
          <w:rFonts w:hint="cs"/>
          <w:rtl/>
        </w:rPr>
        <w:t>“</w:t>
      </w:r>
      <w:r w:rsidR="00F32B28">
        <w:rPr>
          <w:rtl/>
        </w:rPr>
        <w:t xml:space="preserve"> </w:t>
      </w:r>
      <w:r w:rsidR="00F32B28" w:rsidRPr="00F32B28">
        <w:rPr>
          <w:rtl/>
        </w:rPr>
        <w:t>أو</w:t>
      </w:r>
      <w:r w:rsidR="00F32B28">
        <w:rPr>
          <w:rtl/>
        </w:rPr>
        <w:t xml:space="preserve"> </w:t>
      </w:r>
      <w:r w:rsidR="00D06D08">
        <w:rPr>
          <w:rFonts w:hint="cs"/>
          <w:rtl/>
        </w:rPr>
        <w:t>”</w:t>
      </w:r>
      <w:r w:rsidR="00F32B28" w:rsidRPr="00F32B28">
        <w:rPr>
          <w:rtl/>
        </w:rPr>
        <w:t>عدم</w:t>
      </w:r>
      <w:r w:rsidR="00F32B28">
        <w:rPr>
          <w:rtl/>
        </w:rPr>
        <w:t xml:space="preserve"> </w:t>
      </w:r>
      <w:r w:rsidR="00F32B28" w:rsidRPr="00F32B28">
        <w:rPr>
          <w:rtl/>
        </w:rPr>
        <w:t>الولاء</w:t>
      </w:r>
      <w:r w:rsidR="00F32B28">
        <w:rPr>
          <w:rtl/>
        </w:rPr>
        <w:t xml:space="preserve"> </w:t>
      </w:r>
      <w:r w:rsidR="00F32B28" w:rsidRPr="00F32B28">
        <w:rPr>
          <w:rtl/>
        </w:rPr>
        <w:t>للدولة</w:t>
      </w:r>
      <w:r w:rsidR="00D06D08">
        <w:rPr>
          <w:rFonts w:hint="cs"/>
          <w:rtl/>
        </w:rPr>
        <w:t>“</w:t>
      </w:r>
      <w:r w:rsidR="00F32B28" w:rsidRPr="00F32B28">
        <w:rPr>
          <w:rtl/>
        </w:rPr>
        <w:t>،</w:t>
      </w:r>
      <w:r w:rsidR="00F32B28">
        <w:rPr>
          <w:rtl/>
        </w:rPr>
        <w:t xml:space="preserve"> </w:t>
      </w:r>
      <w:r w:rsidR="00F32B28" w:rsidRPr="00F32B28">
        <w:rPr>
          <w:rtl/>
        </w:rPr>
        <w:t>دون</w:t>
      </w:r>
      <w:r w:rsidR="00F32B28">
        <w:rPr>
          <w:rtl/>
        </w:rPr>
        <w:t xml:space="preserve"> </w:t>
      </w:r>
      <w:r w:rsidR="00F32B28" w:rsidRPr="00F32B28">
        <w:rPr>
          <w:rtl/>
        </w:rPr>
        <w:t>الحاجة</w:t>
      </w:r>
      <w:r w:rsidR="00F32B28">
        <w:rPr>
          <w:rtl/>
        </w:rPr>
        <w:t xml:space="preserve"> </w:t>
      </w:r>
      <w:r w:rsidR="00F32B28" w:rsidRPr="00F32B28">
        <w:rPr>
          <w:rtl/>
        </w:rPr>
        <w:t>إلى</w:t>
      </w:r>
      <w:r w:rsidR="00F32B28">
        <w:rPr>
          <w:rtl/>
        </w:rPr>
        <w:t xml:space="preserve"> </w:t>
      </w:r>
      <w:r w:rsidR="00F32B28" w:rsidRPr="00F32B28">
        <w:rPr>
          <w:rtl/>
        </w:rPr>
        <w:t>إدانة</w:t>
      </w:r>
      <w:r w:rsidR="00F32B28">
        <w:rPr>
          <w:rtl/>
        </w:rPr>
        <w:t xml:space="preserve"> </w:t>
      </w:r>
      <w:r w:rsidR="00F32B28" w:rsidRPr="00F32B28">
        <w:rPr>
          <w:rtl/>
        </w:rPr>
        <w:t>جنائية،</w:t>
      </w:r>
      <w:r w:rsidR="00F32B28">
        <w:rPr>
          <w:rtl/>
        </w:rPr>
        <w:t xml:space="preserve"> </w:t>
      </w:r>
      <w:r w:rsidR="00F32B28" w:rsidRPr="00F32B28">
        <w:rPr>
          <w:rtl/>
        </w:rPr>
        <w:t>ليتضاعف</w:t>
      </w:r>
      <w:r>
        <w:rPr>
          <w:rFonts w:hint="cs"/>
          <w:rtl/>
        </w:rPr>
        <w:t xml:space="preserve"> </w:t>
      </w:r>
      <w:r w:rsidR="00F32B28" w:rsidRPr="00F32B28">
        <w:rPr>
          <w:rtl/>
        </w:rPr>
        <w:t>تهديد</w:t>
      </w:r>
      <w:r w:rsidR="00F32B28">
        <w:rPr>
          <w:rtl/>
        </w:rPr>
        <w:t xml:space="preserve"> </w:t>
      </w:r>
      <w:r w:rsidR="00F32B28" w:rsidRPr="00F32B28">
        <w:rPr>
          <w:rtl/>
        </w:rPr>
        <w:t>الطرد</w:t>
      </w:r>
      <w:r w:rsidR="00F32B28">
        <w:rPr>
          <w:rtl/>
        </w:rPr>
        <w:t xml:space="preserve"> </w:t>
      </w:r>
      <w:r w:rsidR="00F32B28" w:rsidRPr="00F32B28">
        <w:rPr>
          <w:rtl/>
        </w:rPr>
        <w:t>التمييزي</w:t>
      </w:r>
      <w:r w:rsidR="00F32B28">
        <w:rPr>
          <w:rtl/>
        </w:rPr>
        <w:t xml:space="preserve"> </w:t>
      </w:r>
      <w:r w:rsidR="00F32B28" w:rsidRPr="00F32B28">
        <w:rPr>
          <w:rtl/>
        </w:rPr>
        <w:t>ضد</w:t>
      </w:r>
      <w:r w:rsidR="00F32B28">
        <w:rPr>
          <w:rtl/>
        </w:rPr>
        <w:t xml:space="preserve"> </w:t>
      </w:r>
      <w:r w:rsidR="00F32B28" w:rsidRPr="00F32B28">
        <w:rPr>
          <w:rtl/>
        </w:rPr>
        <w:t>الفلسطينيين</w:t>
      </w:r>
      <w:r w:rsidR="00F32B28">
        <w:rPr>
          <w:rtl/>
        </w:rPr>
        <w:t xml:space="preserve"> </w:t>
      </w:r>
      <w:r w:rsidR="00F32B28" w:rsidRPr="00F32B28">
        <w:rPr>
          <w:rtl/>
        </w:rPr>
        <w:t>والفلسطينيات</w:t>
      </w:r>
      <w:r w:rsidR="00F32B28">
        <w:rPr>
          <w:rtl/>
        </w:rPr>
        <w:t xml:space="preserve"> </w:t>
      </w:r>
      <w:r w:rsidR="00F32B28" w:rsidRPr="00F32B28">
        <w:rPr>
          <w:rtl/>
        </w:rPr>
        <w:t>الذين</w:t>
      </w:r>
      <w:r w:rsidR="00F32B28">
        <w:rPr>
          <w:rtl/>
        </w:rPr>
        <w:t xml:space="preserve"> </w:t>
      </w:r>
      <w:r w:rsidR="00F32B28" w:rsidRPr="00F32B28">
        <w:rPr>
          <w:rtl/>
        </w:rPr>
        <w:t>يشكلون</w:t>
      </w:r>
      <w:r w:rsidR="00F32B28">
        <w:rPr>
          <w:rtl/>
        </w:rPr>
        <w:t xml:space="preserve"> </w:t>
      </w:r>
      <w:r w:rsidR="00F32B28" w:rsidRPr="00F32B28">
        <w:rPr>
          <w:rtl/>
        </w:rPr>
        <w:t>في</w:t>
      </w:r>
      <w:r w:rsidR="00F32B28">
        <w:rPr>
          <w:rtl/>
        </w:rPr>
        <w:t xml:space="preserve"> </w:t>
      </w:r>
      <w:r w:rsidR="00F32B28" w:rsidRPr="00F32B28">
        <w:rPr>
          <w:rtl/>
        </w:rPr>
        <w:t>الواقع</w:t>
      </w:r>
      <w:r w:rsidR="00F32B28">
        <w:rPr>
          <w:rtl/>
        </w:rPr>
        <w:t xml:space="preserve"> </w:t>
      </w:r>
      <w:r w:rsidR="00F32B28" w:rsidRPr="00F32B28">
        <w:rPr>
          <w:rtl/>
        </w:rPr>
        <w:t>الهدف</w:t>
      </w:r>
      <w:r w:rsidR="00F32B28">
        <w:rPr>
          <w:rtl/>
        </w:rPr>
        <w:t xml:space="preserve"> </w:t>
      </w:r>
      <w:r w:rsidR="00F32B28" w:rsidRPr="00F32B28">
        <w:rPr>
          <w:rtl/>
        </w:rPr>
        <w:t>الرئيسي</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هذه</w:t>
      </w:r>
      <w:r w:rsidR="00F32B28">
        <w:rPr>
          <w:rtl/>
        </w:rPr>
        <w:t xml:space="preserve"> </w:t>
      </w:r>
      <w:r w:rsidR="00F32B28" w:rsidRPr="00F32B28">
        <w:rPr>
          <w:rtl/>
        </w:rPr>
        <w:t>التعديلات</w:t>
      </w:r>
      <w:r w:rsidR="00F32B28" w:rsidRPr="00F32B28">
        <w:t>.</w:t>
      </w:r>
    </w:p>
    <w:p w:rsidR="00F32B28" w:rsidRPr="00F32B28" w:rsidRDefault="009C23E0" w:rsidP="009C23E0">
      <w:pPr>
        <w:pStyle w:val="SingleTxt"/>
        <w:rPr>
          <w:rtl/>
        </w:rPr>
      </w:pPr>
      <w:r>
        <w:rPr>
          <w:rFonts w:hint="cs"/>
          <w:rtl/>
        </w:rPr>
        <w:t xml:space="preserve">160 - </w:t>
      </w:r>
      <w:r w:rsidR="00F32B28" w:rsidRPr="00F32B28">
        <w:rPr>
          <w:rtl/>
        </w:rPr>
        <w:t>ومما</w:t>
      </w:r>
      <w:r w:rsidR="00F32B28">
        <w:rPr>
          <w:rtl/>
        </w:rPr>
        <w:t xml:space="preserve"> </w:t>
      </w:r>
      <w:r w:rsidR="00F32B28" w:rsidRPr="00F32B28">
        <w:rPr>
          <w:rtl/>
        </w:rPr>
        <w:t>لا</w:t>
      </w:r>
      <w:r w:rsidR="00F32B28">
        <w:rPr>
          <w:rtl/>
        </w:rPr>
        <w:t xml:space="preserve"> </w:t>
      </w:r>
      <w:r w:rsidR="00F32B28" w:rsidRPr="00F32B28">
        <w:rPr>
          <w:rtl/>
        </w:rPr>
        <w:t>شك</w:t>
      </w:r>
      <w:r w:rsidR="00F32B28">
        <w:rPr>
          <w:rtl/>
        </w:rPr>
        <w:t xml:space="preserve"> </w:t>
      </w:r>
      <w:r w:rsidR="00F32B28" w:rsidRPr="00F32B28">
        <w:rPr>
          <w:rtl/>
        </w:rPr>
        <w:t>فيه</w:t>
      </w:r>
      <w:r w:rsidR="00F32B28">
        <w:rPr>
          <w:rtl/>
        </w:rPr>
        <w:t xml:space="preserve"> </w:t>
      </w:r>
      <w:r w:rsidR="00F32B28" w:rsidRPr="00F32B28">
        <w:rPr>
          <w:rtl/>
        </w:rPr>
        <w:t>أن</w:t>
      </w:r>
      <w:r w:rsidR="00F32B28">
        <w:rPr>
          <w:rtl/>
        </w:rPr>
        <w:t xml:space="preserve"> </w:t>
      </w:r>
      <w:r w:rsidR="00F32B28" w:rsidRPr="00F32B28">
        <w:rPr>
          <w:rtl/>
        </w:rPr>
        <w:t>هذه</w:t>
      </w:r>
      <w:r w:rsidR="00F32B28">
        <w:rPr>
          <w:rtl/>
        </w:rPr>
        <w:t xml:space="preserve"> </w:t>
      </w:r>
      <w:r w:rsidR="00F32B28" w:rsidRPr="00F32B28">
        <w:rPr>
          <w:rtl/>
        </w:rPr>
        <w:t>السياسية</w:t>
      </w:r>
      <w:r w:rsidR="00F32B28">
        <w:rPr>
          <w:rtl/>
        </w:rPr>
        <w:t xml:space="preserve"> </w:t>
      </w:r>
      <w:r w:rsidR="00F32B28" w:rsidRPr="00F32B28">
        <w:rPr>
          <w:rtl/>
        </w:rPr>
        <w:t>العنصرية</w:t>
      </w:r>
      <w:r w:rsidR="00F32B28">
        <w:rPr>
          <w:rtl/>
        </w:rPr>
        <w:t xml:space="preserve"> </w:t>
      </w:r>
      <w:r w:rsidR="00F32B28" w:rsidRPr="00F32B28">
        <w:rPr>
          <w:rtl/>
        </w:rPr>
        <w:t>المقننة</w:t>
      </w:r>
      <w:r w:rsidR="00F32B28">
        <w:rPr>
          <w:rtl/>
        </w:rPr>
        <w:t xml:space="preserve"> </w:t>
      </w:r>
      <w:r w:rsidR="00F32B28" w:rsidRPr="00F32B28">
        <w:rPr>
          <w:rtl/>
        </w:rPr>
        <w:t>الهادفة</w:t>
      </w:r>
      <w:r w:rsidR="00F32B28">
        <w:rPr>
          <w:rtl/>
        </w:rPr>
        <w:t xml:space="preserve"> </w:t>
      </w:r>
      <w:r w:rsidR="00F32B28" w:rsidRPr="00F32B28">
        <w:rPr>
          <w:rtl/>
        </w:rPr>
        <w:t>إلى</w:t>
      </w:r>
      <w:r w:rsidR="00F32B28">
        <w:rPr>
          <w:rtl/>
        </w:rPr>
        <w:t xml:space="preserve"> </w:t>
      </w:r>
      <w:r w:rsidR="00F32B28" w:rsidRPr="00F32B28">
        <w:rPr>
          <w:rtl/>
        </w:rPr>
        <w:t>منع</w:t>
      </w:r>
      <w:r w:rsidR="00F32B28">
        <w:rPr>
          <w:rtl/>
        </w:rPr>
        <w:t xml:space="preserve"> </w:t>
      </w:r>
      <w:r w:rsidR="00F32B28" w:rsidRPr="00F32B28">
        <w:rPr>
          <w:rtl/>
        </w:rPr>
        <w:t>لم</w:t>
      </w:r>
      <w:r w:rsidR="00F32B28">
        <w:rPr>
          <w:rtl/>
        </w:rPr>
        <w:t xml:space="preserve"> </w:t>
      </w:r>
      <w:r w:rsidR="00F32B28" w:rsidRPr="00F32B28">
        <w:rPr>
          <w:rtl/>
        </w:rPr>
        <w:t>شمل</w:t>
      </w:r>
      <w:r w:rsidR="00F32B28">
        <w:rPr>
          <w:rtl/>
        </w:rPr>
        <w:t xml:space="preserve"> </w:t>
      </w:r>
      <w:r w:rsidR="00F32B28" w:rsidRPr="00F32B28">
        <w:rPr>
          <w:rtl/>
        </w:rPr>
        <w:t>العائلات</w:t>
      </w:r>
      <w:r w:rsidR="00F32B28">
        <w:rPr>
          <w:rtl/>
        </w:rPr>
        <w:t xml:space="preserve"> </w:t>
      </w:r>
      <w:r w:rsidR="00F32B28" w:rsidRPr="00F32B28">
        <w:rPr>
          <w:rtl/>
        </w:rPr>
        <w:t>الفلسطينية</w:t>
      </w:r>
      <w:r w:rsidR="00F32B28">
        <w:rPr>
          <w:rtl/>
        </w:rPr>
        <w:t xml:space="preserve"> </w:t>
      </w:r>
      <w:r w:rsidR="00F32B28" w:rsidRPr="00F32B28">
        <w:rPr>
          <w:rtl/>
        </w:rPr>
        <w:t>تنتهك</w:t>
      </w:r>
      <w:r w:rsidR="00F32B28">
        <w:rPr>
          <w:rtl/>
        </w:rPr>
        <w:t xml:space="preserve"> </w:t>
      </w:r>
      <w:r w:rsidR="00F32B28" w:rsidRPr="00F32B28">
        <w:rPr>
          <w:rtl/>
        </w:rPr>
        <w:t>حقوق</w:t>
      </w:r>
      <w:r w:rsidR="00F32B28">
        <w:rPr>
          <w:rtl/>
        </w:rPr>
        <w:t xml:space="preserve"> </w:t>
      </w:r>
      <w:r w:rsidR="00F32B28" w:rsidRPr="00F32B28">
        <w:rPr>
          <w:rtl/>
        </w:rPr>
        <w:t>الإنسان</w:t>
      </w:r>
      <w:r w:rsidR="00F32B28">
        <w:rPr>
          <w:rtl/>
        </w:rPr>
        <w:t xml:space="preserve"> </w:t>
      </w:r>
      <w:r w:rsidR="00F32B28" w:rsidRPr="00F32B28">
        <w:rPr>
          <w:rtl/>
        </w:rPr>
        <w:t>الأساسية</w:t>
      </w:r>
      <w:r w:rsidR="00F32B28">
        <w:rPr>
          <w:rtl/>
        </w:rPr>
        <w:t xml:space="preserve"> </w:t>
      </w:r>
      <w:r w:rsidR="00F32B28" w:rsidRPr="00F32B28">
        <w:rPr>
          <w:rtl/>
        </w:rPr>
        <w:t>في</w:t>
      </w:r>
      <w:r w:rsidR="00F32B28">
        <w:rPr>
          <w:rtl/>
        </w:rPr>
        <w:t xml:space="preserve"> </w:t>
      </w:r>
      <w:r w:rsidR="00F32B28" w:rsidRPr="00F32B28">
        <w:rPr>
          <w:rtl/>
        </w:rPr>
        <w:t>المساواة،</w:t>
      </w:r>
      <w:r w:rsidR="00F32B28">
        <w:rPr>
          <w:rtl/>
        </w:rPr>
        <w:t xml:space="preserve"> </w:t>
      </w:r>
      <w:r w:rsidR="00F32B28" w:rsidRPr="00F32B28">
        <w:rPr>
          <w:rtl/>
        </w:rPr>
        <w:t>والحرية،</w:t>
      </w:r>
      <w:r w:rsidR="00F32B28">
        <w:rPr>
          <w:rtl/>
        </w:rPr>
        <w:t xml:space="preserve"> </w:t>
      </w:r>
      <w:r w:rsidR="00F32B28" w:rsidRPr="00F32B28">
        <w:rPr>
          <w:rtl/>
        </w:rPr>
        <w:t>والخصوصية،</w:t>
      </w:r>
      <w:r w:rsidR="00F32B28">
        <w:rPr>
          <w:rtl/>
        </w:rPr>
        <w:t xml:space="preserve"> </w:t>
      </w:r>
      <w:r w:rsidR="00F32B28" w:rsidRPr="00F32B28">
        <w:rPr>
          <w:rtl/>
        </w:rPr>
        <w:t>والجنسية،</w:t>
      </w:r>
      <w:r w:rsidR="00F32B28">
        <w:rPr>
          <w:rtl/>
        </w:rPr>
        <w:t xml:space="preserve"> </w:t>
      </w:r>
      <w:r w:rsidR="00F32B28" w:rsidRPr="00F32B28">
        <w:rPr>
          <w:rtl/>
        </w:rPr>
        <w:t>والحياة</w:t>
      </w:r>
      <w:r w:rsidR="00F32B28">
        <w:rPr>
          <w:rtl/>
        </w:rPr>
        <w:t xml:space="preserve"> </w:t>
      </w:r>
      <w:r w:rsidR="00F32B28" w:rsidRPr="00F32B28">
        <w:rPr>
          <w:rtl/>
        </w:rPr>
        <w:t>العائلية؛</w:t>
      </w:r>
      <w:r w:rsidR="00F32B28">
        <w:rPr>
          <w:rtl/>
        </w:rPr>
        <w:t xml:space="preserve"> </w:t>
      </w:r>
      <w:r w:rsidR="00F32B28" w:rsidRPr="00F32B28">
        <w:rPr>
          <w:rtl/>
        </w:rPr>
        <w:t>وتميز</w:t>
      </w:r>
      <w:r w:rsidR="00F32B28">
        <w:rPr>
          <w:rtl/>
        </w:rPr>
        <w:t xml:space="preserve"> </w:t>
      </w:r>
      <w:r w:rsidR="00F32B28" w:rsidRPr="00F32B28">
        <w:rPr>
          <w:rtl/>
        </w:rPr>
        <w:t>بشكل</w:t>
      </w:r>
      <w:r w:rsidR="00F32B28">
        <w:rPr>
          <w:rtl/>
        </w:rPr>
        <w:t xml:space="preserve"> </w:t>
      </w:r>
      <w:r w:rsidR="00F32B28" w:rsidRPr="00F32B28">
        <w:rPr>
          <w:rtl/>
        </w:rPr>
        <w:t>فاضح</w:t>
      </w:r>
      <w:r w:rsidR="00F32B28">
        <w:rPr>
          <w:rtl/>
        </w:rPr>
        <w:t xml:space="preserve"> </w:t>
      </w:r>
      <w:r w:rsidR="00F32B28" w:rsidRPr="00F32B28">
        <w:rPr>
          <w:rtl/>
        </w:rPr>
        <w:t>ضد</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كافة</w:t>
      </w:r>
      <w:r w:rsidR="00F32B28">
        <w:rPr>
          <w:rtl/>
        </w:rPr>
        <w:t xml:space="preserve"> </w:t>
      </w:r>
      <w:r w:rsidR="00F32B28" w:rsidRPr="00F32B28">
        <w:rPr>
          <w:rtl/>
        </w:rPr>
        <w:t>أماكن</w:t>
      </w:r>
      <w:r w:rsidR="00F32B28">
        <w:rPr>
          <w:rtl/>
        </w:rPr>
        <w:t xml:space="preserve"> </w:t>
      </w:r>
      <w:r w:rsidR="00F32B28" w:rsidRPr="00F32B28">
        <w:rPr>
          <w:rtl/>
        </w:rPr>
        <w:t>تواجدهم.</w:t>
      </w:r>
      <w:r w:rsidR="00362769">
        <w:rPr>
          <w:rFonts w:hint="cs"/>
          <w:rtl/>
        </w:rPr>
        <w:t xml:space="preserve"> </w:t>
      </w:r>
      <w:r w:rsidR="00F32B28" w:rsidRPr="00F32B28">
        <w:rPr>
          <w:rtl/>
        </w:rPr>
        <w:t>وتبقى</w:t>
      </w:r>
      <w:r w:rsidR="00F32B28">
        <w:rPr>
          <w:rtl/>
        </w:rPr>
        <w:t xml:space="preserve"> </w:t>
      </w:r>
      <w:r w:rsidR="00F32B28" w:rsidRPr="00F32B28">
        <w:rPr>
          <w:rtl/>
        </w:rPr>
        <w:t>النساء</w:t>
      </w:r>
      <w:r w:rsidR="00F32B28">
        <w:rPr>
          <w:rtl/>
        </w:rPr>
        <w:t xml:space="preserve"> </w:t>
      </w:r>
      <w:r w:rsidR="00F32B28" w:rsidRPr="00F32B28">
        <w:rPr>
          <w:rtl/>
        </w:rPr>
        <w:t>هن</w:t>
      </w:r>
      <w:r w:rsidR="00F32B28">
        <w:rPr>
          <w:rtl/>
        </w:rPr>
        <w:t xml:space="preserve"> </w:t>
      </w:r>
      <w:r w:rsidR="00F32B28" w:rsidRPr="00F32B28">
        <w:rPr>
          <w:rtl/>
        </w:rPr>
        <w:t>أول</w:t>
      </w:r>
      <w:r w:rsidR="00F32B28">
        <w:rPr>
          <w:rtl/>
        </w:rPr>
        <w:t xml:space="preserve"> </w:t>
      </w:r>
      <w:r w:rsidR="00F32B28" w:rsidRPr="00F32B28">
        <w:rPr>
          <w:rtl/>
        </w:rPr>
        <w:t>ضحايا</w:t>
      </w:r>
      <w:r w:rsidR="00F32B28">
        <w:rPr>
          <w:rtl/>
        </w:rPr>
        <w:t xml:space="preserve"> </w:t>
      </w:r>
      <w:r w:rsidR="00F32B28" w:rsidRPr="00F32B28">
        <w:rPr>
          <w:rtl/>
        </w:rPr>
        <w:t>هذه</w:t>
      </w:r>
      <w:r w:rsidR="00F32B28">
        <w:rPr>
          <w:rtl/>
        </w:rPr>
        <w:t xml:space="preserve"> </w:t>
      </w:r>
      <w:r w:rsidR="00F32B28" w:rsidRPr="00F32B28">
        <w:rPr>
          <w:rtl/>
        </w:rPr>
        <w:t>السياسات</w:t>
      </w:r>
      <w:r w:rsidR="00F32B28">
        <w:rPr>
          <w:rtl/>
        </w:rPr>
        <w:t xml:space="preserve"> </w:t>
      </w:r>
      <w:r w:rsidR="00F32B28" w:rsidRPr="00F32B28">
        <w:rPr>
          <w:rtl/>
        </w:rPr>
        <w:t>العنصرية،</w:t>
      </w:r>
      <w:r w:rsidR="00F32B28">
        <w:rPr>
          <w:rtl/>
        </w:rPr>
        <w:t xml:space="preserve"> </w:t>
      </w:r>
      <w:r w:rsidR="00F32B28" w:rsidRPr="00F32B28">
        <w:rPr>
          <w:rtl/>
        </w:rPr>
        <w:t>اللواتي</w:t>
      </w:r>
      <w:r w:rsidR="00F32B28">
        <w:rPr>
          <w:rtl/>
        </w:rPr>
        <w:t xml:space="preserve"> </w:t>
      </w:r>
      <w:r w:rsidR="00F32B28" w:rsidRPr="00F32B28">
        <w:rPr>
          <w:rtl/>
        </w:rPr>
        <w:t>يجدن</w:t>
      </w:r>
      <w:r w:rsidR="00F32B28">
        <w:rPr>
          <w:rtl/>
        </w:rPr>
        <w:t xml:space="preserve"> </w:t>
      </w:r>
      <w:r w:rsidR="00F32B28" w:rsidRPr="00F32B28">
        <w:rPr>
          <w:rtl/>
        </w:rPr>
        <w:t>أنفسهن</w:t>
      </w:r>
      <w:r w:rsidR="00F32B28">
        <w:rPr>
          <w:rtl/>
        </w:rPr>
        <w:t xml:space="preserve"> </w:t>
      </w:r>
      <w:r w:rsidR="00F32B28" w:rsidRPr="00F32B28">
        <w:rPr>
          <w:rtl/>
        </w:rPr>
        <w:t>أمام</w:t>
      </w:r>
      <w:r w:rsidR="00F32B28">
        <w:rPr>
          <w:rtl/>
        </w:rPr>
        <w:t xml:space="preserve"> </w:t>
      </w:r>
      <w:r w:rsidR="00F32B28" w:rsidRPr="00F32B28">
        <w:rPr>
          <w:rtl/>
        </w:rPr>
        <w:t>خياران</w:t>
      </w:r>
      <w:r w:rsidR="00F32B28">
        <w:rPr>
          <w:rtl/>
        </w:rPr>
        <w:t xml:space="preserve"> </w:t>
      </w:r>
      <w:r w:rsidR="00F32B28" w:rsidRPr="00F32B28">
        <w:rPr>
          <w:rtl/>
        </w:rPr>
        <w:t>جائران</w:t>
      </w:r>
      <w:r w:rsidR="00F32B28">
        <w:rPr>
          <w:rtl/>
        </w:rPr>
        <w:t xml:space="preserve"> </w:t>
      </w:r>
      <w:r w:rsidR="00F32B28" w:rsidRPr="00F32B28">
        <w:rPr>
          <w:rtl/>
        </w:rPr>
        <w:t>لا</w:t>
      </w:r>
      <w:r w:rsidR="00F32B28">
        <w:rPr>
          <w:rtl/>
        </w:rPr>
        <w:t xml:space="preserve"> </w:t>
      </w:r>
      <w:r w:rsidR="00F32B28" w:rsidRPr="00F32B28">
        <w:rPr>
          <w:rtl/>
        </w:rPr>
        <w:t>مفر</w:t>
      </w:r>
      <w:r w:rsidR="00F32B28">
        <w:rPr>
          <w:rtl/>
        </w:rPr>
        <w:t xml:space="preserve"> </w:t>
      </w:r>
      <w:r w:rsidR="00F32B28" w:rsidRPr="00F32B28">
        <w:rPr>
          <w:rtl/>
        </w:rPr>
        <w:t>من</w:t>
      </w:r>
      <w:r w:rsidR="00F32B28">
        <w:rPr>
          <w:rtl/>
        </w:rPr>
        <w:t xml:space="preserve"> </w:t>
      </w:r>
      <w:r w:rsidR="00F32B28" w:rsidRPr="00F32B28">
        <w:rPr>
          <w:rtl/>
        </w:rPr>
        <w:t>أي</w:t>
      </w:r>
      <w:r w:rsidR="00F32B28">
        <w:rPr>
          <w:rtl/>
        </w:rPr>
        <w:t xml:space="preserve"> </w:t>
      </w:r>
      <w:r w:rsidR="00F32B28" w:rsidRPr="00F32B28">
        <w:rPr>
          <w:rtl/>
        </w:rPr>
        <w:t>منهما،</w:t>
      </w:r>
      <w:r w:rsidR="00F32B28">
        <w:rPr>
          <w:rtl/>
        </w:rPr>
        <w:t xml:space="preserve"> </w:t>
      </w:r>
      <w:r w:rsidR="00F32B28" w:rsidRPr="00F32B28">
        <w:rPr>
          <w:rtl/>
        </w:rPr>
        <w:t>إما</w:t>
      </w:r>
      <w:r w:rsidR="00F32B28">
        <w:rPr>
          <w:rtl/>
        </w:rPr>
        <w:t xml:space="preserve"> </w:t>
      </w:r>
      <w:r w:rsidR="00F32B28" w:rsidRPr="00F32B28">
        <w:rPr>
          <w:rtl/>
        </w:rPr>
        <w:t>العيش</w:t>
      </w:r>
      <w:r w:rsidR="00F32B28">
        <w:rPr>
          <w:rtl/>
        </w:rPr>
        <w:t xml:space="preserve"> </w:t>
      </w:r>
      <w:r w:rsidR="00F32B28" w:rsidRPr="00F32B28">
        <w:rPr>
          <w:rtl/>
        </w:rPr>
        <w:t>في</w:t>
      </w:r>
      <w:r w:rsidR="00F32B28">
        <w:rPr>
          <w:rtl/>
        </w:rPr>
        <w:t xml:space="preserve"> </w:t>
      </w:r>
      <w:r w:rsidR="00F32B28" w:rsidRPr="00F32B28">
        <w:rPr>
          <w:rtl/>
        </w:rPr>
        <w:t>وطنهن</w:t>
      </w:r>
      <w:r w:rsidR="00F32B28">
        <w:rPr>
          <w:rtl/>
        </w:rPr>
        <w:t xml:space="preserve"> </w:t>
      </w:r>
      <w:r w:rsidR="00F32B28" w:rsidRPr="00F32B28">
        <w:rPr>
          <w:rtl/>
        </w:rPr>
        <w:t>والتنازل</w:t>
      </w:r>
      <w:r w:rsidR="00F32B28">
        <w:rPr>
          <w:rtl/>
        </w:rPr>
        <w:t xml:space="preserve"> </w:t>
      </w:r>
      <w:r w:rsidR="00F32B28" w:rsidRPr="00F32B28">
        <w:rPr>
          <w:rtl/>
        </w:rPr>
        <w:t>عن</w:t>
      </w:r>
      <w:r w:rsidR="00F32B28">
        <w:rPr>
          <w:rtl/>
        </w:rPr>
        <w:t xml:space="preserve"> </w:t>
      </w:r>
      <w:r w:rsidR="00F32B28" w:rsidRPr="00F32B28">
        <w:rPr>
          <w:rtl/>
        </w:rPr>
        <w:t>عائلتهن</w:t>
      </w:r>
      <w:r w:rsidR="00F32B28">
        <w:rPr>
          <w:rtl/>
        </w:rPr>
        <w:t xml:space="preserve"> </w:t>
      </w:r>
      <w:r w:rsidR="00F32B28" w:rsidRPr="00F32B28">
        <w:rPr>
          <w:rtl/>
        </w:rPr>
        <w:t>وطرد</w:t>
      </w:r>
      <w:r w:rsidR="00F32B28">
        <w:rPr>
          <w:rtl/>
        </w:rPr>
        <w:t xml:space="preserve"> </w:t>
      </w:r>
      <w:r w:rsidR="00F32B28" w:rsidRPr="00F32B28">
        <w:rPr>
          <w:rtl/>
        </w:rPr>
        <w:t>أزواجهن</w:t>
      </w:r>
      <w:r w:rsidR="00F32B28">
        <w:rPr>
          <w:rtl/>
        </w:rPr>
        <w:t xml:space="preserve"> </w:t>
      </w:r>
      <w:r w:rsidR="00F32B28" w:rsidRPr="00F32B28">
        <w:rPr>
          <w:rtl/>
        </w:rPr>
        <w:t>خارجاً؛</w:t>
      </w:r>
      <w:r w:rsidR="00F32B28">
        <w:rPr>
          <w:rtl/>
        </w:rPr>
        <w:t xml:space="preserve"> </w:t>
      </w:r>
      <w:r w:rsidR="00F32B28" w:rsidRPr="00F32B28">
        <w:rPr>
          <w:rtl/>
        </w:rPr>
        <w:t>أو</w:t>
      </w:r>
      <w:r w:rsidR="00F32B28">
        <w:rPr>
          <w:rtl/>
        </w:rPr>
        <w:t xml:space="preserve"> </w:t>
      </w:r>
      <w:r w:rsidR="00F32B28" w:rsidRPr="00F32B28">
        <w:rPr>
          <w:rtl/>
        </w:rPr>
        <w:t>بناء</w:t>
      </w:r>
      <w:r w:rsidR="00F32B28">
        <w:rPr>
          <w:rtl/>
        </w:rPr>
        <w:t xml:space="preserve"> </w:t>
      </w:r>
      <w:r w:rsidR="00F32B28" w:rsidRPr="00F32B28">
        <w:rPr>
          <w:rtl/>
        </w:rPr>
        <w:t>حياة</w:t>
      </w:r>
      <w:r w:rsidR="00F32B28">
        <w:rPr>
          <w:rtl/>
        </w:rPr>
        <w:t xml:space="preserve"> </w:t>
      </w:r>
      <w:r w:rsidR="00F32B28" w:rsidRPr="00F32B28">
        <w:rPr>
          <w:rtl/>
        </w:rPr>
        <w:t>عائلية</w:t>
      </w:r>
      <w:r w:rsidR="00F32B28">
        <w:rPr>
          <w:rtl/>
        </w:rPr>
        <w:t xml:space="preserve"> </w:t>
      </w:r>
      <w:r w:rsidR="00F32B28" w:rsidRPr="00F32B28">
        <w:rPr>
          <w:rtl/>
        </w:rPr>
        <w:t>مع</w:t>
      </w:r>
      <w:r w:rsidR="00F32B28">
        <w:rPr>
          <w:rtl/>
        </w:rPr>
        <w:t xml:space="preserve"> </w:t>
      </w:r>
      <w:r w:rsidR="00F32B28" w:rsidRPr="00F32B28">
        <w:rPr>
          <w:rtl/>
        </w:rPr>
        <w:t>أزواجهن</w:t>
      </w:r>
      <w:r w:rsidR="00F32B28">
        <w:rPr>
          <w:rtl/>
        </w:rPr>
        <w:t xml:space="preserve"> </w:t>
      </w:r>
      <w:r w:rsidR="00F32B28" w:rsidRPr="00F32B28">
        <w:rPr>
          <w:rtl/>
        </w:rPr>
        <w:t>والتنازل</w:t>
      </w:r>
      <w:r w:rsidR="00F32B28">
        <w:rPr>
          <w:rtl/>
        </w:rPr>
        <w:t xml:space="preserve"> </w:t>
      </w:r>
      <w:r w:rsidR="00F32B28" w:rsidRPr="00F32B28">
        <w:rPr>
          <w:rtl/>
        </w:rPr>
        <w:t>عن</w:t>
      </w:r>
      <w:r w:rsidR="00F32B28">
        <w:rPr>
          <w:rtl/>
        </w:rPr>
        <w:t xml:space="preserve"> </w:t>
      </w:r>
      <w:r w:rsidR="00F32B28" w:rsidRPr="00F32B28">
        <w:rPr>
          <w:rtl/>
        </w:rPr>
        <w:t>العيش</w:t>
      </w:r>
      <w:r w:rsidR="00F32B28">
        <w:rPr>
          <w:rtl/>
        </w:rPr>
        <w:t xml:space="preserve"> </w:t>
      </w:r>
      <w:r w:rsidR="00F32B28" w:rsidRPr="00F32B28">
        <w:rPr>
          <w:rtl/>
        </w:rPr>
        <w:t>في</w:t>
      </w:r>
      <w:r>
        <w:rPr>
          <w:rFonts w:hint="cs"/>
          <w:rtl/>
        </w:rPr>
        <w:t> </w:t>
      </w:r>
      <w:r w:rsidR="00F32B28" w:rsidRPr="00F32B28">
        <w:rPr>
          <w:rtl/>
        </w:rPr>
        <w:t>وطنهن.</w:t>
      </w:r>
    </w:p>
    <w:p w:rsidR="009C23E0" w:rsidRPr="009C23E0" w:rsidRDefault="009C23E0" w:rsidP="009C23E0">
      <w:pPr>
        <w:pStyle w:val="SingleTxt"/>
        <w:spacing w:after="0" w:line="120" w:lineRule="exact"/>
        <w:rPr>
          <w:b/>
          <w:bCs/>
          <w:sz w:val="10"/>
          <w:rtl/>
        </w:rPr>
      </w:pPr>
    </w:p>
    <w:p w:rsidR="00F32B28" w:rsidRPr="00F32B28" w:rsidRDefault="00F32B28" w:rsidP="00F32B28">
      <w:pPr>
        <w:pStyle w:val="SingleTxt"/>
      </w:pPr>
      <w:r w:rsidRPr="00F32B28">
        <w:rPr>
          <w:b/>
          <w:bCs/>
          <w:rtl/>
        </w:rPr>
        <w:t>النساء</w:t>
      </w:r>
      <w:r>
        <w:rPr>
          <w:b/>
          <w:bCs/>
          <w:rtl/>
        </w:rPr>
        <w:t xml:space="preserve"> </w:t>
      </w:r>
      <w:r w:rsidRPr="00F32B28">
        <w:rPr>
          <w:b/>
          <w:bCs/>
          <w:rtl/>
        </w:rPr>
        <w:t>الفلسطينيات</w:t>
      </w:r>
      <w:r>
        <w:rPr>
          <w:b/>
          <w:bCs/>
          <w:rtl/>
        </w:rPr>
        <w:t xml:space="preserve"> </w:t>
      </w:r>
      <w:r w:rsidRPr="00F32B28">
        <w:rPr>
          <w:b/>
          <w:bCs/>
          <w:rtl/>
        </w:rPr>
        <w:t>اللاجئات</w:t>
      </w:r>
      <w:r>
        <w:rPr>
          <w:b/>
          <w:bCs/>
          <w:rtl/>
        </w:rPr>
        <w:t xml:space="preserve"> </w:t>
      </w:r>
      <w:r w:rsidRPr="00F32B28">
        <w:rPr>
          <w:b/>
          <w:bCs/>
          <w:rtl/>
        </w:rPr>
        <w:t>في</w:t>
      </w:r>
      <w:r>
        <w:rPr>
          <w:b/>
          <w:bCs/>
          <w:rtl/>
        </w:rPr>
        <w:t xml:space="preserve"> </w:t>
      </w:r>
      <w:r w:rsidRPr="00F32B28">
        <w:rPr>
          <w:b/>
          <w:bCs/>
          <w:rtl/>
        </w:rPr>
        <w:t>دول</w:t>
      </w:r>
      <w:r>
        <w:rPr>
          <w:b/>
          <w:bCs/>
          <w:rtl/>
        </w:rPr>
        <w:t xml:space="preserve"> </w:t>
      </w:r>
      <w:r w:rsidRPr="00F32B28">
        <w:rPr>
          <w:b/>
          <w:bCs/>
          <w:rtl/>
        </w:rPr>
        <w:t>الشتات</w:t>
      </w:r>
    </w:p>
    <w:p w:rsidR="00F32B28" w:rsidRPr="00F32B28" w:rsidRDefault="009C23E0" w:rsidP="009F4D72">
      <w:pPr>
        <w:pStyle w:val="SingleTxt"/>
        <w:rPr>
          <w:rtl/>
        </w:rPr>
      </w:pPr>
      <w:r>
        <w:rPr>
          <w:rFonts w:hint="cs"/>
          <w:rtl/>
          <w:lang w:bidi="ar-SY"/>
        </w:rPr>
        <w:t xml:space="preserve">161 - </w:t>
      </w:r>
      <w:r w:rsidR="00F32B28" w:rsidRPr="00F32B28">
        <w:rPr>
          <w:rtl/>
          <w:lang w:bidi="ar-SY"/>
        </w:rPr>
        <w:t>بلغ</w:t>
      </w:r>
      <w:r w:rsidR="00F32B28">
        <w:rPr>
          <w:rtl/>
          <w:lang w:bidi="ar-SY"/>
        </w:rPr>
        <w:t xml:space="preserve"> </w:t>
      </w:r>
      <w:r w:rsidR="00F32B28" w:rsidRPr="00F32B28">
        <w:rPr>
          <w:rtl/>
          <w:lang w:bidi="ar-SY"/>
        </w:rPr>
        <w:t>عدد</w:t>
      </w:r>
      <w:r w:rsidR="00F32B28">
        <w:rPr>
          <w:rtl/>
          <w:lang w:bidi="ar-SY"/>
        </w:rPr>
        <w:t xml:space="preserve"> </w:t>
      </w:r>
      <w:r w:rsidR="00F32B28" w:rsidRPr="00F32B28">
        <w:rPr>
          <w:rtl/>
          <w:lang w:bidi="ar-SY"/>
        </w:rPr>
        <w:t>اللاجئين</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الشتات</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w:t>
      </w:r>
      <w:r w:rsidR="009F4D72">
        <w:rPr>
          <w:rFonts w:hint="cs"/>
          <w:rtl/>
          <w:lang w:bidi="ar-SY"/>
        </w:rPr>
        <w:t>003 134 6</w:t>
      </w:r>
      <w:r w:rsidR="00F32B28" w:rsidRPr="00F32B28">
        <w:rPr>
          <w:rtl/>
          <w:lang w:bidi="ar-SY"/>
        </w:rPr>
        <w:t>)</w:t>
      </w:r>
      <w:r w:rsidR="00F32B28">
        <w:rPr>
          <w:rtl/>
          <w:lang w:bidi="ar-SY"/>
        </w:rPr>
        <w:t xml:space="preserve"> </w:t>
      </w:r>
      <w:r w:rsidR="00F32B28" w:rsidRPr="00F32B28">
        <w:rPr>
          <w:rtl/>
          <w:lang w:bidi="ar-SY"/>
        </w:rPr>
        <w:t>لاجئ</w:t>
      </w:r>
      <w:r w:rsidR="00F32B28">
        <w:rPr>
          <w:rtl/>
          <w:lang w:bidi="ar-SY"/>
        </w:rPr>
        <w:t xml:space="preserve"> </w:t>
      </w:r>
      <w:r w:rsidR="00F32B28" w:rsidRPr="00F32B28">
        <w:rPr>
          <w:rtl/>
          <w:lang w:bidi="ar-SY"/>
        </w:rPr>
        <w:t>ولاجئة،</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ما</w:t>
      </w:r>
      <w:r w:rsidR="009B107D">
        <w:rPr>
          <w:rFonts w:hint="cs"/>
          <w:rtl/>
          <w:lang w:bidi="ar-SY"/>
        </w:rPr>
        <w:t> </w:t>
      </w:r>
      <w:r w:rsidR="00F32B28" w:rsidRPr="00F32B28">
        <w:rPr>
          <w:rtl/>
          <w:lang w:bidi="ar-SY"/>
        </w:rPr>
        <w:t>نسبته</w:t>
      </w:r>
      <w:r w:rsidR="00F32B28">
        <w:rPr>
          <w:rtl/>
          <w:lang w:bidi="ar-SY"/>
        </w:rPr>
        <w:t xml:space="preserve"> </w:t>
      </w:r>
      <w:r w:rsidR="00F32B28" w:rsidRPr="00F32B28">
        <w:rPr>
          <w:rtl/>
          <w:lang w:bidi="ar-SY"/>
        </w:rPr>
        <w:t>(49.7</w:t>
      </w:r>
      <w:r w:rsidR="00600C43" w:rsidRPr="00600C43">
        <w:rPr>
          <w:rFonts w:hint="cs"/>
          <w:rtl/>
        </w:rPr>
        <w:t xml:space="preserve"> </w:t>
      </w:r>
      <w:r w:rsidR="00600C43">
        <w:rPr>
          <w:rFonts w:hint="cs"/>
          <w:rtl/>
        </w:rPr>
        <w:t>في المائة</w:t>
      </w:r>
      <w:r w:rsidR="00F32B28" w:rsidRPr="00F32B28">
        <w:rPr>
          <w:rtl/>
          <w:lang w:bidi="ar-SY"/>
        </w:rPr>
        <w:t>)</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عموم</w:t>
      </w:r>
      <w:r w:rsidR="00F32B28">
        <w:rPr>
          <w:rtl/>
          <w:lang w:bidi="ar-SY"/>
        </w:rPr>
        <w:t xml:space="preserve"> </w:t>
      </w:r>
      <w:r w:rsidR="00F32B28" w:rsidRPr="00F32B28">
        <w:rPr>
          <w:rtl/>
          <w:lang w:bidi="ar-SY"/>
        </w:rPr>
        <w:t>الشعب</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وفقاً</w:t>
      </w:r>
      <w:r w:rsidR="00F32B28">
        <w:rPr>
          <w:rtl/>
          <w:lang w:bidi="ar-SY"/>
        </w:rPr>
        <w:t xml:space="preserve"> </w:t>
      </w:r>
      <w:r w:rsidR="00F32B28" w:rsidRPr="00F32B28">
        <w:rPr>
          <w:rtl/>
          <w:lang w:bidi="ar-SY"/>
        </w:rPr>
        <w:t>لبيانات</w:t>
      </w:r>
      <w:r w:rsidR="00F32B28">
        <w:rPr>
          <w:rtl/>
          <w:lang w:bidi="ar-SY"/>
        </w:rPr>
        <w:t xml:space="preserve"> </w:t>
      </w:r>
      <w:r w:rsidR="00F32B28" w:rsidRPr="00F32B28">
        <w:rPr>
          <w:rtl/>
          <w:lang w:bidi="ar-SY"/>
        </w:rPr>
        <w:t>الجهاز</w:t>
      </w:r>
      <w:r w:rsidR="00F32B28">
        <w:rPr>
          <w:rtl/>
          <w:lang w:bidi="ar-SY"/>
        </w:rPr>
        <w:t xml:space="preserve"> </w:t>
      </w:r>
      <w:r w:rsidR="00F32B28" w:rsidRPr="00F32B28">
        <w:rPr>
          <w:rtl/>
          <w:lang w:bidi="ar-SY"/>
        </w:rPr>
        <w:t>المركزي</w:t>
      </w:r>
      <w:r w:rsidR="00F32B28">
        <w:rPr>
          <w:rtl/>
          <w:lang w:bidi="ar-SY"/>
        </w:rPr>
        <w:t xml:space="preserve"> </w:t>
      </w:r>
      <w:r w:rsidR="00F32B28" w:rsidRPr="00F32B28">
        <w:rPr>
          <w:rtl/>
          <w:lang w:bidi="ar-SY"/>
        </w:rPr>
        <w:t>للإحصاء</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لمنتصف</w:t>
      </w:r>
      <w:r w:rsidR="00F32B28">
        <w:rPr>
          <w:rtl/>
          <w:lang w:bidi="ar-SY"/>
        </w:rPr>
        <w:t xml:space="preserve"> </w:t>
      </w:r>
      <w:r w:rsidR="00F32B28" w:rsidRPr="00F32B28">
        <w:rPr>
          <w:rtl/>
          <w:lang w:bidi="ar-SY"/>
        </w:rPr>
        <w:t>سنة</w:t>
      </w:r>
      <w:r w:rsidR="00F32B28">
        <w:rPr>
          <w:rtl/>
          <w:lang w:bidi="ar-SY"/>
        </w:rPr>
        <w:t xml:space="preserve"> </w:t>
      </w:r>
      <w:r w:rsidR="00F32B28" w:rsidRPr="00F32B28">
        <w:rPr>
          <w:rtl/>
          <w:lang w:bidi="ar-SY"/>
        </w:rPr>
        <w:t>2015؛</w:t>
      </w:r>
      <w:r w:rsidR="00887A70">
        <w:rPr>
          <w:rFonts w:hint="cs"/>
          <w:rtl/>
          <w:lang w:bidi="ar-SY"/>
        </w:rPr>
        <w:t xml:space="preserve"> </w:t>
      </w:r>
      <w:r w:rsidR="00F32B28" w:rsidRPr="00F32B28">
        <w:rPr>
          <w:rtl/>
        </w:rPr>
        <w:t>منهم</w:t>
      </w:r>
      <w:r w:rsidR="00F32B28">
        <w:rPr>
          <w:rtl/>
        </w:rPr>
        <w:t xml:space="preserve"> </w:t>
      </w:r>
      <w:r w:rsidR="00F32B28" w:rsidRPr="00F32B28">
        <w:rPr>
          <w:rtl/>
        </w:rPr>
        <w:t>من</w:t>
      </w:r>
      <w:r w:rsidR="00F32B28">
        <w:rPr>
          <w:rtl/>
        </w:rPr>
        <w:t xml:space="preserve"> </w:t>
      </w:r>
      <w:r w:rsidR="00F32B28" w:rsidRPr="00F32B28">
        <w:rPr>
          <w:rtl/>
        </w:rPr>
        <w:t>تجنس</w:t>
      </w:r>
      <w:r w:rsidR="00F32B28">
        <w:rPr>
          <w:rtl/>
        </w:rPr>
        <w:t xml:space="preserve"> </w:t>
      </w:r>
      <w:r w:rsidR="00F32B28" w:rsidRPr="00F32B28">
        <w:rPr>
          <w:rtl/>
        </w:rPr>
        <w:t>بجنسية</w:t>
      </w:r>
      <w:r w:rsidR="00F32B28">
        <w:rPr>
          <w:rtl/>
        </w:rPr>
        <w:t xml:space="preserve"> </w:t>
      </w:r>
      <w:r w:rsidR="00F32B28" w:rsidRPr="00F32B28">
        <w:rPr>
          <w:rtl/>
        </w:rPr>
        <w:t>دولة</w:t>
      </w:r>
      <w:r w:rsidR="00F32B28">
        <w:rPr>
          <w:rtl/>
        </w:rPr>
        <w:t xml:space="preserve"> </w:t>
      </w:r>
      <w:r w:rsidR="00F32B28" w:rsidRPr="00F32B28">
        <w:rPr>
          <w:rtl/>
        </w:rPr>
        <w:t>أخرى</w:t>
      </w:r>
      <w:r w:rsidR="00F32B28">
        <w:rPr>
          <w:rtl/>
        </w:rPr>
        <w:t xml:space="preserve"> </w:t>
      </w:r>
      <w:r w:rsidR="00F32B28" w:rsidRPr="00F32B28">
        <w:rPr>
          <w:rtl/>
        </w:rPr>
        <w:t>ومنهم</w:t>
      </w:r>
      <w:r w:rsidR="00F32B28">
        <w:rPr>
          <w:rtl/>
        </w:rPr>
        <w:t xml:space="preserve"> </w:t>
      </w:r>
      <w:r w:rsidR="00F32B28" w:rsidRPr="00F32B28">
        <w:rPr>
          <w:rtl/>
        </w:rPr>
        <w:t>من</w:t>
      </w:r>
      <w:r w:rsidR="00F32B28">
        <w:rPr>
          <w:rtl/>
        </w:rPr>
        <w:t xml:space="preserve"> </w:t>
      </w:r>
      <w:r w:rsidR="00F32B28" w:rsidRPr="00F32B28">
        <w:rPr>
          <w:rtl/>
        </w:rPr>
        <w:t>بقي</w:t>
      </w:r>
      <w:r w:rsidR="00F32B28">
        <w:rPr>
          <w:rtl/>
        </w:rPr>
        <w:t xml:space="preserve"> </w:t>
      </w:r>
      <w:r w:rsidR="00F32B28" w:rsidRPr="00F32B28">
        <w:rPr>
          <w:rtl/>
        </w:rPr>
        <w:t>حتى</w:t>
      </w:r>
      <w:r w:rsidR="00F32B28">
        <w:rPr>
          <w:rtl/>
        </w:rPr>
        <w:t xml:space="preserve"> </w:t>
      </w:r>
      <w:r w:rsidR="00F32B28" w:rsidRPr="00F32B28">
        <w:rPr>
          <w:rtl/>
        </w:rPr>
        <w:t>يومنا</w:t>
      </w:r>
      <w:r w:rsidR="00F32B28">
        <w:rPr>
          <w:rtl/>
        </w:rPr>
        <w:t xml:space="preserve"> </w:t>
      </w:r>
      <w:r w:rsidR="00F32B28" w:rsidRPr="00F32B28">
        <w:rPr>
          <w:rtl/>
        </w:rPr>
        <w:t>هذا</w:t>
      </w:r>
      <w:r w:rsidR="00F32B28">
        <w:rPr>
          <w:rtl/>
        </w:rPr>
        <w:t xml:space="preserve"> </w:t>
      </w:r>
      <w:r w:rsidR="00F32B28" w:rsidRPr="00F32B28">
        <w:rPr>
          <w:rtl/>
        </w:rPr>
        <w:t>بلا</w:t>
      </w:r>
      <w:r w:rsidR="00F32B28">
        <w:rPr>
          <w:rtl/>
        </w:rPr>
        <w:t xml:space="preserve"> </w:t>
      </w:r>
      <w:r w:rsidR="00F32B28" w:rsidRPr="00F32B28">
        <w:rPr>
          <w:rtl/>
        </w:rPr>
        <w:t>جنسية.</w:t>
      </w:r>
      <w:r w:rsidR="00F32B28">
        <w:rPr>
          <w:rtl/>
        </w:rPr>
        <w:t xml:space="preserve"> </w:t>
      </w:r>
      <w:r w:rsidR="00F32B28" w:rsidRPr="00F32B28">
        <w:rPr>
          <w:rtl/>
        </w:rPr>
        <w:t>فمن</w:t>
      </w:r>
      <w:r w:rsidR="00F32B28">
        <w:rPr>
          <w:rtl/>
        </w:rPr>
        <w:t xml:space="preserve"> </w:t>
      </w:r>
      <w:r w:rsidR="00F32B28" w:rsidRPr="00F32B28">
        <w:rPr>
          <w:rtl/>
        </w:rPr>
        <w:t>اكتسب</w:t>
      </w:r>
      <w:r w:rsidR="00F32B28">
        <w:rPr>
          <w:rtl/>
        </w:rPr>
        <w:t xml:space="preserve"> </w:t>
      </w:r>
      <w:r w:rsidR="00F32B28" w:rsidRPr="00F32B28">
        <w:rPr>
          <w:rtl/>
        </w:rPr>
        <w:t>من</w:t>
      </w:r>
      <w:r w:rsidR="00F32B28">
        <w:rPr>
          <w:rtl/>
        </w:rPr>
        <w:t xml:space="preserve"> </w:t>
      </w:r>
      <w:r w:rsidR="00F32B28" w:rsidRPr="00F32B28">
        <w:rPr>
          <w:rtl/>
        </w:rPr>
        <w:t>هؤلاء</w:t>
      </w:r>
      <w:r w:rsidR="00F32B28">
        <w:rPr>
          <w:rtl/>
        </w:rPr>
        <w:t xml:space="preserve"> </w:t>
      </w:r>
      <w:r w:rsidR="00F32B28" w:rsidRPr="00F32B28">
        <w:rPr>
          <w:rtl/>
        </w:rPr>
        <w:t>جنسية</w:t>
      </w:r>
      <w:r w:rsidR="00F32B28">
        <w:rPr>
          <w:rtl/>
        </w:rPr>
        <w:t xml:space="preserve"> </w:t>
      </w:r>
      <w:r w:rsidR="00F32B28" w:rsidRPr="00F32B28">
        <w:rPr>
          <w:rtl/>
        </w:rPr>
        <w:t>بلد</w:t>
      </w:r>
      <w:r w:rsidR="00F32B28">
        <w:rPr>
          <w:rtl/>
        </w:rPr>
        <w:t xml:space="preserve"> </w:t>
      </w:r>
      <w:r w:rsidR="00F32B28" w:rsidRPr="00F32B28">
        <w:rPr>
          <w:rtl/>
        </w:rPr>
        <w:t>آخر،</w:t>
      </w:r>
      <w:r w:rsidR="00F32B28">
        <w:rPr>
          <w:rtl/>
        </w:rPr>
        <w:t xml:space="preserve"> </w:t>
      </w:r>
      <w:r w:rsidR="00F32B28" w:rsidRPr="00F32B28">
        <w:rPr>
          <w:rtl/>
        </w:rPr>
        <w:t>خضع</w:t>
      </w:r>
      <w:r w:rsidR="00F32B28">
        <w:rPr>
          <w:rtl/>
        </w:rPr>
        <w:t xml:space="preserve"> </w:t>
      </w:r>
      <w:r w:rsidR="00F32B28" w:rsidRPr="00F32B28">
        <w:rPr>
          <w:rtl/>
        </w:rPr>
        <w:t>لمنظومة</w:t>
      </w:r>
      <w:r w:rsidR="00F32B28">
        <w:rPr>
          <w:rtl/>
        </w:rPr>
        <w:t xml:space="preserve"> </w:t>
      </w:r>
      <w:r w:rsidR="00F32B28" w:rsidRPr="00F32B28">
        <w:rPr>
          <w:rtl/>
        </w:rPr>
        <w:t>تشريعات</w:t>
      </w:r>
      <w:r w:rsidR="00F32B28">
        <w:rPr>
          <w:rtl/>
        </w:rPr>
        <w:t xml:space="preserve"> </w:t>
      </w:r>
      <w:r w:rsidR="00F32B28" w:rsidRPr="00F32B28">
        <w:rPr>
          <w:rtl/>
        </w:rPr>
        <w:t>هذا</w:t>
      </w:r>
      <w:r w:rsidR="00F32B28">
        <w:rPr>
          <w:rtl/>
        </w:rPr>
        <w:t xml:space="preserve"> </w:t>
      </w:r>
      <w:r w:rsidR="00F32B28" w:rsidRPr="00F32B28">
        <w:rPr>
          <w:rtl/>
        </w:rPr>
        <w:t>البلد،</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مسألة</w:t>
      </w:r>
      <w:r w:rsidR="00F32B28">
        <w:rPr>
          <w:rtl/>
        </w:rPr>
        <w:t xml:space="preserve"> </w:t>
      </w:r>
      <w:r w:rsidR="00F32B28" w:rsidRPr="00F32B28">
        <w:rPr>
          <w:rtl/>
        </w:rPr>
        <w:t>الجنسية،</w:t>
      </w:r>
      <w:r w:rsidR="00F32B28">
        <w:rPr>
          <w:rtl/>
        </w:rPr>
        <w:t xml:space="preserve"> </w:t>
      </w:r>
      <w:r w:rsidR="00F32B28" w:rsidRPr="00F32B28">
        <w:rPr>
          <w:rtl/>
        </w:rPr>
        <w:t>المنظومة</w:t>
      </w:r>
      <w:r w:rsidR="00F32B28">
        <w:rPr>
          <w:rtl/>
        </w:rPr>
        <w:t xml:space="preserve"> </w:t>
      </w:r>
      <w:r w:rsidR="00F32B28" w:rsidRPr="00F32B28">
        <w:rPr>
          <w:rtl/>
        </w:rPr>
        <w:t>التي</w:t>
      </w:r>
      <w:r w:rsidR="00F32B28">
        <w:rPr>
          <w:rtl/>
        </w:rPr>
        <w:t xml:space="preserve"> </w:t>
      </w:r>
      <w:r w:rsidR="00F32B28" w:rsidRPr="00F32B28">
        <w:rPr>
          <w:rtl/>
        </w:rPr>
        <w:t>قد</w:t>
      </w:r>
      <w:r w:rsidR="00F32B28">
        <w:rPr>
          <w:rtl/>
        </w:rPr>
        <w:t xml:space="preserve"> </w:t>
      </w:r>
      <w:r w:rsidR="00F32B28" w:rsidRPr="00F32B28">
        <w:rPr>
          <w:rtl/>
        </w:rPr>
        <w:t>لا</w:t>
      </w:r>
      <w:r w:rsidR="00F32B28">
        <w:rPr>
          <w:rtl/>
        </w:rPr>
        <w:t xml:space="preserve"> </w:t>
      </w:r>
      <w:r w:rsidR="00F32B28" w:rsidRPr="00F32B28">
        <w:rPr>
          <w:rtl/>
        </w:rPr>
        <w:t>تنسجم</w:t>
      </w:r>
      <w:r w:rsidR="00F32B28">
        <w:rPr>
          <w:rtl/>
        </w:rPr>
        <w:t xml:space="preserve"> </w:t>
      </w:r>
      <w:r w:rsidR="00F32B28" w:rsidRPr="00F32B28">
        <w:rPr>
          <w:rtl/>
        </w:rPr>
        <w:t>بالضرورة</w:t>
      </w:r>
      <w:r w:rsidR="00F32B28">
        <w:rPr>
          <w:rtl/>
        </w:rPr>
        <w:t xml:space="preserve"> </w:t>
      </w:r>
      <w:r w:rsidR="00F32B28" w:rsidRPr="00F32B28">
        <w:rPr>
          <w:rtl/>
        </w:rPr>
        <w:t>ومبادئ</w:t>
      </w:r>
      <w:r w:rsidR="00F32B28">
        <w:rPr>
          <w:rtl/>
        </w:rPr>
        <w:t xml:space="preserve"> </w:t>
      </w:r>
      <w:r w:rsidR="00F32B28" w:rsidRPr="00F32B28">
        <w:rPr>
          <w:rtl/>
        </w:rPr>
        <w:t>حقوق</w:t>
      </w:r>
      <w:r w:rsidR="00F32B28">
        <w:rPr>
          <w:rtl/>
        </w:rPr>
        <w:t xml:space="preserve"> </w:t>
      </w:r>
      <w:r w:rsidR="00F32B28" w:rsidRPr="00F32B28">
        <w:rPr>
          <w:rtl/>
        </w:rPr>
        <w:t>الإنسان،</w:t>
      </w:r>
      <w:r w:rsidR="00F32B28">
        <w:rPr>
          <w:rtl/>
        </w:rPr>
        <w:t xml:space="preserve"> </w:t>
      </w:r>
      <w:r w:rsidR="00F32B28" w:rsidRPr="00F32B28">
        <w:rPr>
          <w:rtl/>
        </w:rPr>
        <w:t>خاصة</w:t>
      </w:r>
      <w:r w:rsidR="00F32B28">
        <w:rPr>
          <w:rtl/>
        </w:rPr>
        <w:t xml:space="preserve"> </w:t>
      </w:r>
      <w:r w:rsidR="00F32B28" w:rsidRPr="00F32B28">
        <w:rPr>
          <w:rtl/>
        </w:rPr>
        <w:t>حقوق</w:t>
      </w:r>
      <w:r w:rsidR="00F32B28">
        <w:rPr>
          <w:rtl/>
        </w:rPr>
        <w:t xml:space="preserve"> </w:t>
      </w:r>
      <w:r w:rsidR="00F32B28" w:rsidRPr="00F32B28">
        <w:rPr>
          <w:rtl/>
        </w:rPr>
        <w:t>المرأة.</w:t>
      </w:r>
      <w:r w:rsidR="00F32B28">
        <w:rPr>
          <w:rtl/>
        </w:rPr>
        <w:t xml:space="preserve"> </w:t>
      </w:r>
      <w:r w:rsidR="00F32B28" w:rsidRPr="00F32B28">
        <w:rPr>
          <w:rtl/>
        </w:rPr>
        <w:t>أما</w:t>
      </w:r>
      <w:r w:rsidR="009B107D">
        <w:rPr>
          <w:rFonts w:hint="cs"/>
          <w:rtl/>
        </w:rPr>
        <w:t> </w:t>
      </w:r>
      <w:r w:rsidR="00F32B28" w:rsidRPr="00F32B28">
        <w:rPr>
          <w:rtl/>
        </w:rPr>
        <w:t>من</w:t>
      </w:r>
      <w:r w:rsidR="00F32B28">
        <w:rPr>
          <w:rtl/>
        </w:rPr>
        <w:t xml:space="preserve"> </w:t>
      </w:r>
      <w:r w:rsidR="00F32B28" w:rsidRPr="00F32B28">
        <w:rPr>
          <w:rtl/>
        </w:rPr>
        <w:t>لم</w:t>
      </w:r>
      <w:r w:rsidR="00F32B28">
        <w:rPr>
          <w:rtl/>
        </w:rPr>
        <w:t xml:space="preserve"> </w:t>
      </w:r>
      <w:r w:rsidR="00F32B28" w:rsidRPr="00F32B28">
        <w:rPr>
          <w:rtl/>
        </w:rPr>
        <w:t>يكتسب</w:t>
      </w:r>
      <w:r w:rsidR="00F32B28">
        <w:rPr>
          <w:rtl/>
        </w:rPr>
        <w:t xml:space="preserve"> </w:t>
      </w:r>
      <w:r w:rsidR="00F32B28" w:rsidRPr="00F32B28">
        <w:rPr>
          <w:rtl/>
        </w:rPr>
        <w:t>منهم</w:t>
      </w:r>
      <w:r w:rsidR="00F32B28">
        <w:rPr>
          <w:rtl/>
        </w:rPr>
        <w:t xml:space="preserve"> </w:t>
      </w:r>
      <w:r w:rsidR="00F32B28" w:rsidRPr="00F32B28">
        <w:rPr>
          <w:rtl/>
        </w:rPr>
        <w:t>أية</w:t>
      </w:r>
      <w:r w:rsidR="00F32B28">
        <w:rPr>
          <w:rtl/>
        </w:rPr>
        <w:t xml:space="preserve"> </w:t>
      </w:r>
      <w:r w:rsidR="00F32B28" w:rsidRPr="00F32B28">
        <w:rPr>
          <w:rtl/>
        </w:rPr>
        <w:t>جنسية،</w:t>
      </w:r>
      <w:r w:rsidR="00F32B28">
        <w:rPr>
          <w:rtl/>
        </w:rPr>
        <w:t xml:space="preserve"> </w:t>
      </w:r>
      <w:r w:rsidR="00F32B28" w:rsidRPr="00F32B28">
        <w:rPr>
          <w:rtl/>
        </w:rPr>
        <w:t>خضع</w:t>
      </w:r>
      <w:r w:rsidR="00F32B28">
        <w:rPr>
          <w:rtl/>
        </w:rPr>
        <w:t xml:space="preserve"> </w:t>
      </w:r>
      <w:r w:rsidR="00F32B28" w:rsidRPr="00F32B28">
        <w:rPr>
          <w:rtl/>
        </w:rPr>
        <w:t>لمنظومة</w:t>
      </w:r>
      <w:r w:rsidR="00F32B28">
        <w:rPr>
          <w:rtl/>
        </w:rPr>
        <w:t xml:space="preserve"> </w:t>
      </w:r>
      <w:r w:rsidR="00F32B28" w:rsidRPr="00F32B28">
        <w:rPr>
          <w:rtl/>
        </w:rPr>
        <w:t>خاصة</w:t>
      </w:r>
      <w:r w:rsidR="00F32B28">
        <w:rPr>
          <w:rtl/>
        </w:rPr>
        <w:t xml:space="preserve"> </w:t>
      </w:r>
      <w:r w:rsidR="00F32B28" w:rsidRPr="00F32B28">
        <w:rPr>
          <w:rtl/>
        </w:rPr>
        <w:t>تنظم</w:t>
      </w:r>
      <w:r w:rsidR="00F32B28">
        <w:rPr>
          <w:rtl/>
        </w:rPr>
        <w:t xml:space="preserve"> </w:t>
      </w:r>
      <w:r w:rsidR="00F32B28" w:rsidRPr="00F32B28">
        <w:rPr>
          <w:rtl/>
        </w:rPr>
        <w:t>وضعية</w:t>
      </w:r>
      <w:r w:rsidR="00F32B28">
        <w:rPr>
          <w:rtl/>
        </w:rPr>
        <w:t xml:space="preserve"> </w:t>
      </w:r>
      <w:r w:rsidR="00F32B28" w:rsidRPr="00F32B28">
        <w:rPr>
          <w:rtl/>
        </w:rPr>
        <w:t>إقامته</w:t>
      </w:r>
      <w:r w:rsidR="00F32B28">
        <w:rPr>
          <w:rtl/>
        </w:rPr>
        <w:t xml:space="preserve"> </w:t>
      </w:r>
      <w:r w:rsidR="00F32B28" w:rsidRPr="00F32B28">
        <w:rPr>
          <w:rtl/>
        </w:rPr>
        <w:t>في</w:t>
      </w:r>
      <w:r w:rsidR="00F32B28">
        <w:rPr>
          <w:rtl/>
        </w:rPr>
        <w:t xml:space="preserve"> </w:t>
      </w:r>
      <w:r w:rsidR="00F32B28" w:rsidRPr="00F32B28">
        <w:rPr>
          <w:rtl/>
        </w:rPr>
        <w:t>البلد</w:t>
      </w:r>
      <w:r w:rsidR="00F32B28">
        <w:rPr>
          <w:rtl/>
        </w:rPr>
        <w:t xml:space="preserve"> </w:t>
      </w:r>
      <w:r w:rsidR="00F32B28" w:rsidRPr="00F32B28">
        <w:rPr>
          <w:rtl/>
        </w:rPr>
        <w:t>المضيف</w:t>
      </w:r>
      <w:r w:rsidR="00F32B28">
        <w:rPr>
          <w:rtl/>
        </w:rPr>
        <w:t xml:space="preserve"> </w:t>
      </w:r>
      <w:r w:rsidR="00F32B28" w:rsidRPr="00F32B28">
        <w:rPr>
          <w:rtl/>
        </w:rPr>
        <w:t>تراوحت</w:t>
      </w:r>
      <w:r w:rsidR="00362769">
        <w:rPr>
          <w:rFonts w:hint="cs"/>
          <w:rtl/>
        </w:rPr>
        <w:t xml:space="preserve"> </w:t>
      </w:r>
      <w:r w:rsidR="00F32B28" w:rsidRPr="00F32B28">
        <w:rPr>
          <w:rtl/>
        </w:rPr>
        <w:t>من</w:t>
      </w:r>
      <w:r w:rsidR="00F32B28">
        <w:rPr>
          <w:rtl/>
        </w:rPr>
        <w:t xml:space="preserve"> </w:t>
      </w:r>
      <w:r w:rsidR="00F32B28" w:rsidRPr="00F32B28">
        <w:rPr>
          <w:rtl/>
        </w:rPr>
        <w:t>منحه</w:t>
      </w:r>
      <w:r w:rsidR="00F32B28">
        <w:rPr>
          <w:rtl/>
        </w:rPr>
        <w:t xml:space="preserve"> </w:t>
      </w:r>
      <w:r w:rsidR="00F32B28" w:rsidRPr="00F32B28">
        <w:rPr>
          <w:rtl/>
        </w:rPr>
        <w:t>المساواة</w:t>
      </w:r>
      <w:r w:rsidR="00F32B28">
        <w:rPr>
          <w:rtl/>
        </w:rPr>
        <w:t xml:space="preserve"> </w:t>
      </w:r>
      <w:r w:rsidR="00F32B28" w:rsidRPr="00F32B28">
        <w:rPr>
          <w:rtl/>
        </w:rPr>
        <w:t>فيما</w:t>
      </w:r>
      <w:r w:rsidR="00F32B28">
        <w:rPr>
          <w:rtl/>
        </w:rPr>
        <w:t xml:space="preserve"> </w:t>
      </w:r>
      <w:r w:rsidR="00F32B28" w:rsidRPr="00F32B28">
        <w:rPr>
          <w:rtl/>
        </w:rPr>
        <w:t>بينه</w:t>
      </w:r>
      <w:r w:rsidR="00F32B28">
        <w:rPr>
          <w:rtl/>
        </w:rPr>
        <w:t xml:space="preserve"> </w:t>
      </w:r>
      <w:r w:rsidR="00F32B28" w:rsidRPr="00F32B28">
        <w:rPr>
          <w:rtl/>
        </w:rPr>
        <w:t>وبين</w:t>
      </w:r>
      <w:r w:rsidR="00F32B28">
        <w:rPr>
          <w:rtl/>
        </w:rPr>
        <w:t xml:space="preserve"> </w:t>
      </w:r>
      <w:r w:rsidR="00F32B28" w:rsidRPr="00F32B28">
        <w:rPr>
          <w:rtl/>
        </w:rPr>
        <w:t>مواطني</w:t>
      </w:r>
      <w:r w:rsidR="00F32B28">
        <w:rPr>
          <w:rtl/>
        </w:rPr>
        <w:t xml:space="preserve"> </w:t>
      </w:r>
      <w:r w:rsidR="00F32B28" w:rsidRPr="00F32B28">
        <w:rPr>
          <w:rtl/>
        </w:rPr>
        <w:t>هذا</w:t>
      </w:r>
      <w:r w:rsidR="00F32B28">
        <w:rPr>
          <w:rtl/>
        </w:rPr>
        <w:t xml:space="preserve"> </w:t>
      </w:r>
      <w:r w:rsidR="00F32B28" w:rsidRPr="00F32B28">
        <w:rPr>
          <w:rtl/>
        </w:rPr>
        <w:t>البلد،</w:t>
      </w:r>
      <w:r w:rsidR="00F32B28">
        <w:rPr>
          <w:rtl/>
        </w:rPr>
        <w:t xml:space="preserve"> </w:t>
      </w:r>
      <w:r w:rsidR="00F32B28" w:rsidRPr="00F32B28">
        <w:rPr>
          <w:rtl/>
        </w:rPr>
        <w:t>فيما</w:t>
      </w:r>
      <w:r w:rsidR="00F32B28">
        <w:rPr>
          <w:rtl/>
        </w:rPr>
        <w:t xml:space="preserve"> </w:t>
      </w:r>
      <w:r w:rsidR="00F32B28" w:rsidRPr="00F32B28">
        <w:rPr>
          <w:rtl/>
        </w:rPr>
        <w:t>عدا</w:t>
      </w:r>
      <w:r w:rsidR="00F32B28">
        <w:rPr>
          <w:rtl/>
        </w:rPr>
        <w:t xml:space="preserve"> </w:t>
      </w:r>
      <w:r w:rsidR="00F32B28" w:rsidRPr="00F32B28">
        <w:rPr>
          <w:rtl/>
        </w:rPr>
        <w:t>الحقوق</w:t>
      </w:r>
      <w:r w:rsidR="00F32B28">
        <w:rPr>
          <w:rtl/>
        </w:rPr>
        <w:t xml:space="preserve"> </w:t>
      </w:r>
      <w:r w:rsidR="00F32B28" w:rsidRPr="00F32B28">
        <w:rPr>
          <w:rtl/>
        </w:rPr>
        <w:t>السياسية،</w:t>
      </w:r>
      <w:r w:rsidR="00F32B28">
        <w:rPr>
          <w:rtl/>
        </w:rPr>
        <w:t xml:space="preserve"> </w:t>
      </w:r>
      <w:r w:rsidR="00F32B28" w:rsidRPr="00F32B28">
        <w:rPr>
          <w:rtl/>
        </w:rPr>
        <w:t>وبين</w:t>
      </w:r>
      <w:r w:rsidR="00F32B28">
        <w:rPr>
          <w:rtl/>
        </w:rPr>
        <w:t xml:space="preserve"> </w:t>
      </w:r>
      <w:r w:rsidR="00F32B28" w:rsidRPr="00F32B28">
        <w:rPr>
          <w:rtl/>
        </w:rPr>
        <w:t>تجريده</w:t>
      </w:r>
      <w:r w:rsidR="00F32B28">
        <w:rPr>
          <w:rtl/>
        </w:rPr>
        <w:t xml:space="preserve"> </w:t>
      </w:r>
      <w:r w:rsidR="00F32B28" w:rsidRPr="00F32B28">
        <w:rPr>
          <w:rtl/>
        </w:rPr>
        <w:t>من</w:t>
      </w:r>
      <w:r w:rsidR="00F32B28">
        <w:rPr>
          <w:rtl/>
        </w:rPr>
        <w:t xml:space="preserve"> </w:t>
      </w:r>
      <w:r w:rsidR="00F32B28" w:rsidRPr="00F32B28">
        <w:rPr>
          <w:rtl/>
        </w:rPr>
        <w:t>حقوقه</w:t>
      </w:r>
      <w:r w:rsidR="00F32B28">
        <w:rPr>
          <w:rtl/>
        </w:rPr>
        <w:t xml:space="preserve"> </w:t>
      </w:r>
      <w:r w:rsidR="00F32B28" w:rsidRPr="00F32B28">
        <w:rPr>
          <w:rtl/>
        </w:rPr>
        <w:t>الأساسية.</w:t>
      </w:r>
      <w:r w:rsidR="00F32B28">
        <w:rPr>
          <w:rtl/>
        </w:rPr>
        <w:t xml:space="preserve"> </w:t>
      </w:r>
      <w:r w:rsidR="00F32B28" w:rsidRPr="00F32B28">
        <w:rPr>
          <w:rtl/>
        </w:rPr>
        <w:t>وتأثرت</w:t>
      </w:r>
      <w:r w:rsidR="00F32B28">
        <w:rPr>
          <w:rtl/>
        </w:rPr>
        <w:t xml:space="preserve"> </w:t>
      </w:r>
      <w:r w:rsidR="00F32B28" w:rsidRPr="00F32B28">
        <w:rPr>
          <w:rtl/>
        </w:rPr>
        <w:t>المرأة</w:t>
      </w:r>
      <w:r w:rsidR="00F32B28">
        <w:rPr>
          <w:rtl/>
        </w:rPr>
        <w:t xml:space="preserve"> </w:t>
      </w:r>
      <w:r w:rsidR="00F32B28" w:rsidRPr="00F32B28">
        <w:rPr>
          <w:rtl/>
        </w:rPr>
        <w:t>الفلسطينية</w:t>
      </w:r>
      <w:r w:rsidR="00F32B28">
        <w:rPr>
          <w:rtl/>
        </w:rPr>
        <w:t xml:space="preserve"> </w:t>
      </w:r>
      <w:r w:rsidR="00F32B28" w:rsidRPr="00F32B28">
        <w:rPr>
          <w:rtl/>
        </w:rPr>
        <w:t>اللاجئة</w:t>
      </w:r>
      <w:r w:rsidR="00F32B28">
        <w:rPr>
          <w:rtl/>
        </w:rPr>
        <w:t xml:space="preserve"> </w:t>
      </w:r>
      <w:r w:rsidR="00F32B28" w:rsidRPr="00F32B28">
        <w:rPr>
          <w:rtl/>
        </w:rPr>
        <w:t>بشكل</w:t>
      </w:r>
      <w:r w:rsidR="00F32B28">
        <w:rPr>
          <w:rtl/>
        </w:rPr>
        <w:t xml:space="preserve"> </w:t>
      </w:r>
      <w:r w:rsidR="00F32B28" w:rsidRPr="00F32B28">
        <w:rPr>
          <w:rtl/>
        </w:rPr>
        <w:t>خاص</w:t>
      </w:r>
      <w:r w:rsidR="00F32B28">
        <w:rPr>
          <w:rtl/>
        </w:rPr>
        <w:t xml:space="preserve"> </w:t>
      </w:r>
      <w:r w:rsidR="00F32B28" w:rsidRPr="00F32B28">
        <w:rPr>
          <w:rtl/>
        </w:rPr>
        <w:t>من</w:t>
      </w:r>
      <w:r w:rsidR="00F32B28">
        <w:rPr>
          <w:rtl/>
        </w:rPr>
        <w:t xml:space="preserve"> </w:t>
      </w:r>
      <w:r w:rsidR="00F32B28" w:rsidRPr="00F32B28">
        <w:rPr>
          <w:rtl/>
        </w:rPr>
        <w:t>استمرار</w:t>
      </w:r>
      <w:r w:rsidR="00F32B28">
        <w:rPr>
          <w:rtl/>
        </w:rPr>
        <w:t xml:space="preserve"> </w:t>
      </w:r>
      <w:r w:rsidR="00F32B28" w:rsidRPr="00F32B28">
        <w:rPr>
          <w:rtl/>
        </w:rPr>
        <w:t>حالة</w:t>
      </w:r>
      <w:r w:rsidR="00F32B28">
        <w:rPr>
          <w:rtl/>
        </w:rPr>
        <w:t xml:space="preserve"> </w:t>
      </w:r>
      <w:r w:rsidR="00F32B28" w:rsidRPr="00F32B28">
        <w:rPr>
          <w:rtl/>
        </w:rPr>
        <w:t>اللجوء</w:t>
      </w:r>
      <w:r w:rsidR="00F32B28">
        <w:rPr>
          <w:rtl/>
        </w:rPr>
        <w:t xml:space="preserve"> </w:t>
      </w:r>
      <w:r w:rsidR="00F32B28" w:rsidRPr="00F32B28">
        <w:rPr>
          <w:rtl/>
        </w:rPr>
        <w:t>التي</w:t>
      </w:r>
      <w:r w:rsidR="00F32B28">
        <w:rPr>
          <w:rtl/>
        </w:rPr>
        <w:t xml:space="preserve"> </w:t>
      </w:r>
      <w:r w:rsidR="00F32B28" w:rsidRPr="00F32B28">
        <w:rPr>
          <w:rtl/>
        </w:rPr>
        <w:t>حرمتها</w:t>
      </w:r>
      <w:r w:rsidR="00F32B28" w:rsidRPr="00F32B28">
        <w:rPr>
          <w:rtl/>
          <w:lang w:bidi="ar-SY"/>
        </w:rPr>
        <w:t>،</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جملة</w:t>
      </w:r>
      <w:r w:rsidR="00F32B28">
        <w:rPr>
          <w:rtl/>
          <w:lang w:bidi="ar-SY"/>
        </w:rPr>
        <w:t xml:space="preserve"> </w:t>
      </w:r>
      <w:r w:rsidR="00F32B28" w:rsidRPr="00F32B28">
        <w:rPr>
          <w:rtl/>
          <w:lang w:bidi="ar-SY"/>
        </w:rPr>
        <w:t>أمور</w:t>
      </w:r>
      <w:r w:rsidR="00F32B28">
        <w:rPr>
          <w:rtl/>
          <w:lang w:bidi="ar-SY"/>
        </w:rPr>
        <w:t xml:space="preserve"> </w:t>
      </w:r>
      <w:r w:rsidR="00F32B28" w:rsidRPr="00F32B28">
        <w:rPr>
          <w:rtl/>
          <w:lang w:bidi="ar-SY"/>
        </w:rPr>
        <w:t>أخرى،</w:t>
      </w:r>
      <w:r w:rsidR="00F32B28">
        <w:rPr>
          <w:rtl/>
          <w:lang w:bidi="ar-SY"/>
        </w:rPr>
        <w:t xml:space="preserve"> </w:t>
      </w:r>
      <w:r w:rsidR="00F32B28" w:rsidRPr="00F32B28">
        <w:rPr>
          <w:rtl/>
        </w:rPr>
        <w:t>من</w:t>
      </w:r>
      <w:r w:rsidR="00F32B28">
        <w:rPr>
          <w:rtl/>
        </w:rPr>
        <w:t xml:space="preserve"> </w:t>
      </w:r>
      <w:r w:rsidR="00F32B28" w:rsidRPr="00F32B28">
        <w:rPr>
          <w:rtl/>
        </w:rPr>
        <w:t>التمتع</w:t>
      </w:r>
      <w:r w:rsidR="00F32B28">
        <w:rPr>
          <w:rtl/>
        </w:rPr>
        <w:t xml:space="preserve"> </w:t>
      </w:r>
      <w:r w:rsidR="00F32B28" w:rsidRPr="00F32B28">
        <w:rPr>
          <w:rtl/>
        </w:rPr>
        <w:t>بحقها</w:t>
      </w:r>
      <w:r w:rsidR="00F32B28">
        <w:rPr>
          <w:rtl/>
        </w:rPr>
        <w:t xml:space="preserve"> </w:t>
      </w:r>
      <w:r w:rsidR="00F32B28" w:rsidRPr="00F32B28">
        <w:rPr>
          <w:rtl/>
        </w:rPr>
        <w:t>الأساسي</w:t>
      </w:r>
      <w:r w:rsidR="00F32B28">
        <w:rPr>
          <w:rtl/>
        </w:rPr>
        <w:t xml:space="preserve"> </w:t>
      </w:r>
      <w:r w:rsidR="00F32B28" w:rsidRPr="00F32B28">
        <w:rPr>
          <w:rtl/>
        </w:rPr>
        <w:t>في</w:t>
      </w:r>
      <w:r w:rsidR="00F32B28">
        <w:rPr>
          <w:rtl/>
        </w:rPr>
        <w:t xml:space="preserve"> </w:t>
      </w:r>
      <w:r w:rsidR="00F32B28" w:rsidRPr="00F32B28">
        <w:rPr>
          <w:rtl/>
        </w:rPr>
        <w:t>الإقامة</w:t>
      </w:r>
      <w:r w:rsidR="00F32B28">
        <w:rPr>
          <w:rtl/>
        </w:rPr>
        <w:t xml:space="preserve"> </w:t>
      </w:r>
      <w:r w:rsidR="00F32B28" w:rsidRPr="00F32B28">
        <w:rPr>
          <w:rtl/>
        </w:rPr>
        <w:t>في</w:t>
      </w:r>
      <w:r w:rsidR="00F32B28">
        <w:rPr>
          <w:rtl/>
        </w:rPr>
        <w:t xml:space="preserve"> </w:t>
      </w:r>
      <w:r w:rsidR="00F32B28" w:rsidRPr="00F32B28">
        <w:rPr>
          <w:rtl/>
        </w:rPr>
        <w:t>وطنها</w:t>
      </w:r>
      <w:r w:rsidR="00362769">
        <w:rPr>
          <w:rFonts w:hint="cs"/>
          <w:rtl/>
        </w:rPr>
        <w:t xml:space="preserve"> </w:t>
      </w:r>
      <w:r w:rsidR="00F32B28" w:rsidRPr="00F32B28">
        <w:rPr>
          <w:rtl/>
        </w:rPr>
        <w:t>و</w:t>
      </w:r>
      <w:r w:rsidR="00F32B28" w:rsidRPr="00F32B28">
        <w:rPr>
          <w:rtl/>
          <w:lang w:bidi="ar-SY"/>
        </w:rPr>
        <w:t>نقله</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أطفالها.</w:t>
      </w:r>
      <w:r w:rsidR="00F32B28">
        <w:rPr>
          <w:rtl/>
          <w:lang w:bidi="ar-SY"/>
        </w:rPr>
        <w:t xml:space="preserve"> </w:t>
      </w:r>
    </w:p>
    <w:p w:rsidR="00F32B28" w:rsidRPr="00F32B28" w:rsidRDefault="009C23E0" w:rsidP="009C23E0">
      <w:pPr>
        <w:pStyle w:val="SingleTxt"/>
      </w:pPr>
      <w:r>
        <w:rPr>
          <w:rFonts w:hint="cs"/>
          <w:rtl/>
          <w:lang w:bidi="ar-SY"/>
        </w:rPr>
        <w:t xml:space="preserve">162 - </w:t>
      </w:r>
      <w:r w:rsidR="00F32B28" w:rsidRPr="00F32B28">
        <w:rPr>
          <w:rtl/>
          <w:lang w:bidi="ar-SY"/>
        </w:rPr>
        <w:t>وتبقى</w:t>
      </w:r>
      <w:r w:rsidR="00F32B28">
        <w:rPr>
          <w:rtl/>
          <w:lang w:bidi="ar-SY"/>
        </w:rPr>
        <w:t xml:space="preserve"> </w:t>
      </w:r>
      <w:r w:rsidR="00F32B28" w:rsidRPr="00F32B28">
        <w:rPr>
          <w:rtl/>
          <w:lang w:bidi="ar-SY"/>
        </w:rPr>
        <w:t>إسرائيل</w:t>
      </w:r>
      <w:r w:rsidR="00F32B28" w:rsidRPr="00F32B28">
        <w:rPr>
          <w:rFonts w:hint="cs"/>
          <w:rtl/>
          <w:lang w:bidi="ar-SY"/>
        </w:rPr>
        <w:t>،</w:t>
      </w:r>
      <w:r w:rsidR="00F32B28">
        <w:rPr>
          <w:rFonts w:hint="cs"/>
          <w:rtl/>
          <w:lang w:bidi="ar-SY"/>
        </w:rPr>
        <w:t xml:space="preserve"> </w:t>
      </w:r>
      <w:r w:rsidR="00F32B28" w:rsidRPr="00F32B28">
        <w:rPr>
          <w:rFonts w:hint="cs"/>
          <w:rtl/>
          <w:lang w:bidi="ar-SY"/>
        </w:rPr>
        <w:t>السلطة</w:t>
      </w:r>
      <w:r w:rsidR="00F32B28">
        <w:rPr>
          <w:rFonts w:hint="cs"/>
          <w:rtl/>
          <w:lang w:bidi="ar-SY"/>
        </w:rPr>
        <w:t xml:space="preserve"> </w:t>
      </w:r>
      <w:r w:rsidR="00F32B28" w:rsidRPr="00F32B28">
        <w:rPr>
          <w:rFonts w:hint="cs"/>
          <w:rtl/>
          <w:lang w:bidi="ar-SY"/>
        </w:rPr>
        <w:t>القائمة</w:t>
      </w:r>
      <w:r w:rsidR="00F32B28">
        <w:rPr>
          <w:rFonts w:hint="cs"/>
          <w:rtl/>
          <w:lang w:bidi="ar-SY"/>
        </w:rPr>
        <w:t xml:space="preserve"> </w:t>
      </w:r>
      <w:r w:rsidR="00F32B28" w:rsidRPr="00F32B28">
        <w:rPr>
          <w:rFonts w:hint="cs"/>
          <w:rtl/>
          <w:lang w:bidi="ar-SY"/>
        </w:rPr>
        <w:t>بالاحتلال،</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المسؤولة</w:t>
      </w:r>
      <w:r w:rsidR="00F32B28">
        <w:rPr>
          <w:rtl/>
          <w:lang w:bidi="ar-SY"/>
        </w:rPr>
        <w:t xml:space="preserve"> </w:t>
      </w:r>
      <w:r w:rsidR="00F32B28" w:rsidRPr="00F32B28">
        <w:rPr>
          <w:rtl/>
          <w:lang w:bidi="ar-SY"/>
        </w:rPr>
        <w:t>الأولى</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خلق</w:t>
      </w:r>
      <w:r w:rsidR="00F32B28">
        <w:rPr>
          <w:rtl/>
          <w:lang w:bidi="ar-SY"/>
        </w:rPr>
        <w:t xml:space="preserve"> </w:t>
      </w:r>
      <w:r w:rsidR="00F32B28" w:rsidRPr="00F32B28">
        <w:rPr>
          <w:rtl/>
          <w:lang w:bidi="ar-SY"/>
        </w:rPr>
        <w:t>قضية</w:t>
      </w:r>
      <w:r w:rsidR="00F32B28">
        <w:rPr>
          <w:rtl/>
          <w:lang w:bidi="ar-SY"/>
        </w:rPr>
        <w:t xml:space="preserve"> </w:t>
      </w:r>
      <w:r w:rsidR="00F32B28" w:rsidRPr="00F32B28">
        <w:rPr>
          <w:rtl/>
          <w:lang w:bidi="ar-SY"/>
        </w:rPr>
        <w:t>اللاجئين</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بسبب</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ارتكبته</w:t>
      </w:r>
      <w:r w:rsidR="00F32B28">
        <w:rPr>
          <w:rtl/>
          <w:lang w:bidi="ar-SY"/>
        </w:rPr>
        <w:t xml:space="preserve"> </w:t>
      </w:r>
      <w:r w:rsidR="00F32B28" w:rsidRPr="00F32B28">
        <w:rPr>
          <w:rtl/>
          <w:lang w:bidi="ar-SY"/>
        </w:rPr>
        <w:t>ضد</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جرائم</w:t>
      </w:r>
      <w:r w:rsidR="00F32B28">
        <w:rPr>
          <w:rtl/>
          <w:lang w:bidi="ar-SY"/>
        </w:rPr>
        <w:t xml:space="preserve"> </w:t>
      </w:r>
      <w:r w:rsidR="00F32B28" w:rsidRPr="00F32B28">
        <w:rPr>
          <w:rtl/>
          <w:lang w:bidi="ar-SY"/>
        </w:rPr>
        <w:t>جماعية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قتل</w:t>
      </w:r>
      <w:r w:rsidR="00F32B28">
        <w:rPr>
          <w:rtl/>
          <w:lang w:bidi="ar-SY"/>
        </w:rPr>
        <w:t xml:space="preserve"> </w:t>
      </w:r>
      <w:r w:rsidR="00F32B28" w:rsidRPr="00F32B28">
        <w:rPr>
          <w:rtl/>
          <w:lang w:bidi="ar-SY"/>
        </w:rPr>
        <w:t>وطرد</w:t>
      </w:r>
      <w:r w:rsidR="00F32B28">
        <w:rPr>
          <w:rtl/>
          <w:lang w:bidi="ar-SY"/>
        </w:rPr>
        <w:t xml:space="preserve"> </w:t>
      </w:r>
      <w:r w:rsidR="00F32B28" w:rsidRPr="00F32B28">
        <w:rPr>
          <w:rtl/>
          <w:lang w:bidi="ar-SY"/>
        </w:rPr>
        <w:t>وتهجير</w:t>
      </w:r>
      <w:r w:rsidR="00F32B28">
        <w:rPr>
          <w:rtl/>
          <w:lang w:bidi="ar-SY"/>
        </w:rPr>
        <w:t xml:space="preserve"> </w:t>
      </w:r>
      <w:r w:rsidR="00F32B28" w:rsidRPr="00F32B28">
        <w:rPr>
          <w:rtl/>
          <w:lang w:bidi="ar-SY"/>
        </w:rPr>
        <w:t>قسري؛</w:t>
      </w:r>
      <w:r w:rsidR="00F32B28">
        <w:rPr>
          <w:rtl/>
          <w:lang w:bidi="ar-SY"/>
        </w:rPr>
        <w:t xml:space="preserve"> </w:t>
      </w:r>
      <w:r w:rsidR="00F32B28" w:rsidRPr="00F32B28">
        <w:rPr>
          <w:rtl/>
          <w:lang w:bidi="ar-SY"/>
        </w:rPr>
        <w:t>وتبقى</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المسؤولة</w:t>
      </w:r>
      <w:r w:rsidR="00F32B28">
        <w:rPr>
          <w:rtl/>
          <w:lang w:bidi="ar-SY"/>
        </w:rPr>
        <w:t xml:space="preserve"> </w:t>
      </w:r>
      <w:r w:rsidR="00F32B28" w:rsidRPr="00F32B28">
        <w:rPr>
          <w:rtl/>
          <w:lang w:bidi="ar-SY"/>
        </w:rPr>
        <w:t>الأولى</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استمرار</w:t>
      </w:r>
      <w:r w:rsidR="00F32B28">
        <w:rPr>
          <w:rtl/>
          <w:lang w:bidi="ar-SY"/>
        </w:rPr>
        <w:t xml:space="preserve"> </w:t>
      </w:r>
      <w:r w:rsidR="00F32B28" w:rsidRPr="00F32B28">
        <w:rPr>
          <w:rtl/>
          <w:lang w:bidi="ar-SY"/>
        </w:rPr>
        <w:t>حالة</w:t>
      </w:r>
      <w:r w:rsidR="00F32B28">
        <w:rPr>
          <w:rtl/>
          <w:lang w:bidi="ar-SY"/>
        </w:rPr>
        <w:t xml:space="preserve"> </w:t>
      </w:r>
      <w:r w:rsidR="00F32B28" w:rsidRPr="00F32B28">
        <w:rPr>
          <w:rtl/>
          <w:lang w:bidi="ar-SY"/>
        </w:rPr>
        <w:t>لجوء</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ومعاناتهم</w:t>
      </w:r>
      <w:r w:rsidR="00F32B28">
        <w:rPr>
          <w:rtl/>
          <w:lang w:bidi="ar-SY"/>
        </w:rPr>
        <w:t xml:space="preserve"> </w:t>
      </w:r>
      <w:r w:rsidR="00F32B28" w:rsidRPr="00F32B28">
        <w:rPr>
          <w:rtl/>
          <w:lang w:bidi="ar-SY"/>
        </w:rPr>
        <w:t>وحرمانهم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عودتهم</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وطنهم</w:t>
      </w:r>
      <w:r w:rsidR="00F32B28">
        <w:rPr>
          <w:rtl/>
          <w:lang w:bidi="ar-SY"/>
        </w:rPr>
        <w:t xml:space="preserve"> </w:t>
      </w:r>
      <w:r w:rsidR="00F32B28" w:rsidRPr="00F32B28">
        <w:rPr>
          <w:rtl/>
          <w:lang w:bidi="ar-SY"/>
        </w:rPr>
        <w:t>وتنفيذ</w:t>
      </w:r>
      <w:r w:rsidR="00F32B28">
        <w:rPr>
          <w:rtl/>
          <w:lang w:bidi="ar-SY"/>
        </w:rPr>
        <w:t xml:space="preserve"> </w:t>
      </w:r>
      <w:r w:rsidR="00F32B28" w:rsidRPr="00F32B28">
        <w:rPr>
          <w:rtl/>
          <w:lang w:bidi="ar-SY"/>
        </w:rPr>
        <w:t>كل</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يمكن</w:t>
      </w:r>
      <w:r w:rsidR="00F32B28">
        <w:rPr>
          <w:rtl/>
          <w:lang w:bidi="ar-SY"/>
        </w:rPr>
        <w:t xml:space="preserve"> </w:t>
      </w:r>
      <w:r w:rsidR="00F32B28" w:rsidRPr="00F32B28">
        <w:rPr>
          <w:rtl/>
          <w:lang w:bidi="ar-SY"/>
        </w:rPr>
        <w:t>تنفيذه</w:t>
      </w:r>
      <w:r w:rsidR="00F32B28">
        <w:rPr>
          <w:rtl/>
          <w:lang w:bidi="ar-SY"/>
        </w:rPr>
        <w:t xml:space="preserve"> </w:t>
      </w:r>
      <w:r w:rsidR="00F32B28" w:rsidRPr="00F32B28">
        <w:rPr>
          <w:rtl/>
          <w:lang w:bidi="ar-SY"/>
        </w:rPr>
        <w:t>لجعل</w:t>
      </w:r>
      <w:r w:rsidR="00F32B28">
        <w:rPr>
          <w:rtl/>
          <w:lang w:bidi="ar-SY"/>
        </w:rPr>
        <w:t xml:space="preserve"> </w:t>
      </w:r>
      <w:r w:rsidR="00F32B28" w:rsidRPr="00F32B28">
        <w:rPr>
          <w:rtl/>
          <w:lang w:bidi="ar-SY"/>
        </w:rPr>
        <w:t>عودتهم</w:t>
      </w:r>
      <w:r w:rsidR="00F32B28">
        <w:rPr>
          <w:rtl/>
          <w:lang w:bidi="ar-SY"/>
        </w:rPr>
        <w:t xml:space="preserve"> </w:t>
      </w:r>
      <w:r w:rsidR="00F32B28" w:rsidRPr="00F32B28">
        <w:rPr>
          <w:rtl/>
          <w:lang w:bidi="ar-SY"/>
        </w:rPr>
        <w:t>أمراً</w:t>
      </w:r>
      <w:r w:rsidR="00F32B28">
        <w:rPr>
          <w:rtl/>
          <w:lang w:bidi="ar-SY"/>
        </w:rPr>
        <w:t xml:space="preserve"> </w:t>
      </w:r>
      <w:r w:rsidR="00F32B28" w:rsidRPr="00F32B28">
        <w:rPr>
          <w:rtl/>
          <w:lang w:bidi="ar-SY"/>
        </w:rPr>
        <w:t>مستحيلاً</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الناحية</w:t>
      </w:r>
      <w:r w:rsidR="00F32B28">
        <w:rPr>
          <w:rtl/>
          <w:lang w:bidi="ar-SY"/>
        </w:rPr>
        <w:t xml:space="preserve"> </w:t>
      </w:r>
      <w:r w:rsidR="00F32B28" w:rsidRPr="00F32B28">
        <w:rPr>
          <w:rtl/>
          <w:lang w:bidi="ar-SY"/>
        </w:rPr>
        <w:t>العملية؛</w:t>
      </w:r>
      <w:r w:rsidR="00F32B28">
        <w:rPr>
          <w:rtl/>
          <w:lang w:bidi="ar-SY"/>
        </w:rPr>
        <w:t xml:space="preserve"> </w:t>
      </w:r>
      <w:r w:rsidR="00F32B28" w:rsidRPr="00F32B28">
        <w:rPr>
          <w:rtl/>
          <w:lang w:bidi="ar-SY"/>
        </w:rPr>
        <w:t>كإقامة</w:t>
      </w:r>
      <w:r w:rsidR="00F32B28">
        <w:rPr>
          <w:rtl/>
          <w:lang w:bidi="ar-SY"/>
        </w:rPr>
        <w:t xml:space="preserve"> </w:t>
      </w:r>
      <w:r w:rsidR="00F32B28" w:rsidRPr="00F32B28">
        <w:rPr>
          <w:rtl/>
          <w:lang w:bidi="ar-SY"/>
        </w:rPr>
        <w:t>المدن</w:t>
      </w:r>
      <w:r w:rsidR="00F32B28">
        <w:rPr>
          <w:rtl/>
          <w:lang w:bidi="ar-SY"/>
        </w:rPr>
        <w:t xml:space="preserve"> </w:t>
      </w:r>
      <w:r w:rsidR="00F32B28" w:rsidRPr="00F32B28">
        <w:rPr>
          <w:rtl/>
          <w:lang w:bidi="ar-SY"/>
        </w:rPr>
        <w:t>والمستوطنات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أنقاض</w:t>
      </w:r>
      <w:r w:rsidR="00F32B28">
        <w:rPr>
          <w:rtl/>
          <w:lang w:bidi="ar-SY"/>
        </w:rPr>
        <w:t xml:space="preserve"> </w:t>
      </w:r>
      <w:r w:rsidR="00F32B28" w:rsidRPr="00F32B28">
        <w:rPr>
          <w:rtl/>
          <w:lang w:bidi="ar-SY"/>
        </w:rPr>
        <w:t>القرى</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المهجرة</w:t>
      </w:r>
      <w:r w:rsidR="00F32B28">
        <w:rPr>
          <w:rtl/>
          <w:lang w:bidi="ar-SY"/>
        </w:rPr>
        <w:t xml:space="preserve"> </w:t>
      </w:r>
      <w:r w:rsidR="00F32B28" w:rsidRPr="00F32B28">
        <w:rPr>
          <w:rtl/>
          <w:lang w:bidi="ar-SY"/>
        </w:rPr>
        <w:t>والأراضي</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واستيعاب</w:t>
      </w:r>
      <w:r w:rsidR="00F32B28">
        <w:rPr>
          <w:rtl/>
          <w:lang w:bidi="ar-SY"/>
        </w:rPr>
        <w:t xml:space="preserve"> </w:t>
      </w:r>
      <w:r w:rsidR="00F32B28" w:rsidRPr="00F32B28">
        <w:rPr>
          <w:rtl/>
          <w:lang w:bidi="ar-SY"/>
        </w:rPr>
        <w:t>عشرات</w:t>
      </w:r>
      <w:r w:rsidR="00F32B28">
        <w:rPr>
          <w:rtl/>
          <w:lang w:bidi="ar-SY"/>
        </w:rPr>
        <w:t xml:space="preserve"> </w:t>
      </w:r>
      <w:r w:rsidR="00F32B28" w:rsidRPr="00F32B28">
        <w:rPr>
          <w:rtl/>
          <w:lang w:bidi="ar-SY"/>
        </w:rPr>
        <w:t>آلاف</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اليهود</w:t>
      </w:r>
      <w:r w:rsidR="00F32B28">
        <w:rPr>
          <w:rtl/>
          <w:lang w:bidi="ar-SY"/>
        </w:rPr>
        <w:t xml:space="preserve"> </w:t>
      </w:r>
      <w:r w:rsidR="00F32B28" w:rsidRPr="00F32B28">
        <w:rPr>
          <w:rtl/>
          <w:lang w:bidi="ar-SY"/>
        </w:rPr>
        <w:t>سنوياً،</w:t>
      </w:r>
      <w:r w:rsidR="00F32B28">
        <w:rPr>
          <w:rtl/>
          <w:lang w:bidi="ar-SY"/>
        </w:rPr>
        <w:t xml:space="preserve"> </w:t>
      </w:r>
      <w:r w:rsidR="00F32B28" w:rsidRPr="00F32B28">
        <w:rPr>
          <w:rtl/>
        </w:rPr>
        <w:t>والسيطرة</w:t>
      </w:r>
      <w:r w:rsidR="00F32B28">
        <w:rPr>
          <w:rtl/>
        </w:rPr>
        <w:t xml:space="preserve"> </w:t>
      </w:r>
      <w:r w:rsidR="00F32B28" w:rsidRPr="00F32B28">
        <w:rPr>
          <w:rtl/>
        </w:rPr>
        <w:t>على</w:t>
      </w:r>
      <w:r w:rsidR="00F32B28">
        <w:rPr>
          <w:rtl/>
        </w:rPr>
        <w:t xml:space="preserve"> </w:t>
      </w:r>
      <w:r w:rsidR="00F32B28" w:rsidRPr="00F32B28">
        <w:rPr>
          <w:rtl/>
        </w:rPr>
        <w:t>الحدود</w:t>
      </w:r>
      <w:r w:rsidR="00F32B28">
        <w:rPr>
          <w:rtl/>
        </w:rPr>
        <w:t xml:space="preserve"> </w:t>
      </w:r>
      <w:r w:rsidR="00F32B28" w:rsidRPr="00F32B28">
        <w:rPr>
          <w:rtl/>
        </w:rPr>
        <w:t>والمعابر</w:t>
      </w:r>
      <w:r w:rsidR="00F32B28">
        <w:rPr>
          <w:rtl/>
        </w:rPr>
        <w:t xml:space="preserve"> </w:t>
      </w:r>
      <w:r w:rsidR="00F32B28" w:rsidRPr="00F32B28">
        <w:rPr>
          <w:rtl/>
        </w:rPr>
        <w:t>والموانئ</w:t>
      </w:r>
      <w:r w:rsidR="00F32B28">
        <w:rPr>
          <w:rtl/>
        </w:rPr>
        <w:t xml:space="preserve"> </w:t>
      </w:r>
      <w:r w:rsidR="00F32B28" w:rsidRPr="00F32B28">
        <w:rPr>
          <w:rtl/>
        </w:rPr>
        <w:t>الحدودية</w:t>
      </w:r>
      <w:r w:rsidR="00F32B28">
        <w:rPr>
          <w:rtl/>
        </w:rPr>
        <w:t xml:space="preserve"> </w:t>
      </w:r>
      <w:r w:rsidR="00F32B28" w:rsidRPr="00F32B28">
        <w:rPr>
          <w:rtl/>
        </w:rPr>
        <w:t>الفلسطينية،</w:t>
      </w:r>
      <w:r w:rsidR="00F32B28" w:rsidRPr="00F32B28">
        <w:rPr>
          <w:rtl/>
          <w:lang w:bidi="ar-SY"/>
        </w:rPr>
        <w:t>والسيطرة</w:t>
      </w:r>
      <w:r w:rsidR="00F32B28">
        <w:rPr>
          <w:rtl/>
          <w:lang w:bidi="ar-SY"/>
        </w:rPr>
        <w:t xml:space="preserve"> </w:t>
      </w:r>
      <w:r w:rsidR="00F32B28" w:rsidRPr="00F32B28">
        <w:rPr>
          <w:rtl/>
        </w:rPr>
        <w:t>على</w:t>
      </w:r>
      <w:r w:rsidR="00F32B28">
        <w:rPr>
          <w:rtl/>
        </w:rPr>
        <w:t xml:space="preserve"> </w:t>
      </w:r>
      <w:r w:rsidR="00F32B28" w:rsidRPr="00F32B28">
        <w:rPr>
          <w:rtl/>
        </w:rPr>
        <w:t>ملفات</w:t>
      </w:r>
      <w:r w:rsidR="00F32B28">
        <w:rPr>
          <w:rtl/>
        </w:rPr>
        <w:t xml:space="preserve"> </w:t>
      </w:r>
      <w:r w:rsidR="00F32B28" w:rsidRPr="00F32B28">
        <w:rPr>
          <w:rtl/>
        </w:rPr>
        <w:t>الشؤون</w:t>
      </w:r>
      <w:r w:rsidR="00F32B28">
        <w:rPr>
          <w:rtl/>
        </w:rPr>
        <w:t xml:space="preserve"> </w:t>
      </w:r>
      <w:r w:rsidR="00F32B28" w:rsidRPr="00F32B28">
        <w:rPr>
          <w:rtl/>
        </w:rPr>
        <w:t>المدنية</w:t>
      </w:r>
      <w:r w:rsidR="00F32B28">
        <w:rPr>
          <w:rtl/>
        </w:rPr>
        <w:t xml:space="preserve"> </w:t>
      </w:r>
      <w:r w:rsidR="00F32B28" w:rsidRPr="00F32B28">
        <w:rPr>
          <w:rtl/>
        </w:rPr>
        <w:t>الخاصة</w:t>
      </w:r>
      <w:r w:rsidR="00F32B28">
        <w:rPr>
          <w:rtl/>
        </w:rPr>
        <w:t xml:space="preserve"> </w:t>
      </w:r>
      <w:r w:rsidR="00F32B28" w:rsidRPr="00F32B28">
        <w:rPr>
          <w:rtl/>
        </w:rPr>
        <w:t>بالفلسطينيين،</w:t>
      </w:r>
      <w:r w:rsidR="00F32B28">
        <w:rPr>
          <w:rtl/>
        </w:rPr>
        <w:t xml:space="preserve"> </w:t>
      </w:r>
      <w:r w:rsidR="00F32B28" w:rsidRPr="00F32B28">
        <w:rPr>
          <w:rtl/>
        </w:rPr>
        <w:t>وحرمان</w:t>
      </w:r>
      <w:r w:rsidR="00F32B28">
        <w:rPr>
          <w:rtl/>
        </w:rPr>
        <w:t xml:space="preserve"> </w:t>
      </w:r>
      <w:r w:rsidR="00F32B28" w:rsidRPr="00F32B28">
        <w:rPr>
          <w:rtl/>
        </w:rPr>
        <w:t>اللاجئين</w:t>
      </w:r>
      <w:r w:rsidR="00F32B28">
        <w:rPr>
          <w:rtl/>
        </w:rPr>
        <w:t xml:space="preserve"> </w:t>
      </w:r>
      <w:r w:rsidR="00F32B28" w:rsidRPr="00F32B28">
        <w:rPr>
          <w:rtl/>
        </w:rPr>
        <w:t>الفلسطينيين</w:t>
      </w:r>
      <w:r w:rsidR="00362769">
        <w:rPr>
          <w:rFonts w:hint="cs"/>
          <w:rtl/>
        </w:rPr>
        <w:t xml:space="preserve"> </w:t>
      </w:r>
      <w:r w:rsidR="00F32B28" w:rsidRPr="00F32B28">
        <w:rPr>
          <w:rtl/>
        </w:rPr>
        <w:t>وذرياتهم</w:t>
      </w:r>
      <w:r w:rsidR="00F32B28">
        <w:rPr>
          <w:rtl/>
        </w:rPr>
        <w:t xml:space="preserve"> </w:t>
      </w:r>
      <w:r w:rsidR="00F32B28" w:rsidRPr="00F32B28">
        <w:rPr>
          <w:rtl/>
        </w:rPr>
        <w:t>جميعاً</w:t>
      </w:r>
      <w:r w:rsidR="00F32B28">
        <w:rPr>
          <w:rtl/>
        </w:rPr>
        <w:t xml:space="preserve"> </w:t>
      </w:r>
      <w:r w:rsidR="00F32B28" w:rsidRPr="00F32B28">
        <w:rPr>
          <w:rtl/>
        </w:rPr>
        <w:t>من</w:t>
      </w:r>
      <w:r w:rsidR="00F32B28">
        <w:rPr>
          <w:rtl/>
        </w:rPr>
        <w:t xml:space="preserve"> </w:t>
      </w:r>
      <w:r w:rsidR="00F32B28" w:rsidRPr="00F32B28">
        <w:rPr>
          <w:rtl/>
        </w:rPr>
        <w:t>حقهم</w:t>
      </w:r>
      <w:r w:rsidR="00F32B28">
        <w:rPr>
          <w:rtl/>
        </w:rPr>
        <w:t xml:space="preserve"> </w:t>
      </w:r>
      <w:r w:rsidR="00F32B28" w:rsidRPr="00F32B28">
        <w:rPr>
          <w:rtl/>
        </w:rPr>
        <w:t>بالإقامة</w:t>
      </w:r>
      <w:r w:rsidR="00F32B28">
        <w:rPr>
          <w:rtl/>
        </w:rPr>
        <w:t xml:space="preserve"> </w:t>
      </w:r>
      <w:r w:rsidR="00F32B28" w:rsidRPr="00F32B28">
        <w:rPr>
          <w:rtl/>
        </w:rPr>
        <w:t>في</w:t>
      </w:r>
      <w:r w:rsidR="00F32B28">
        <w:rPr>
          <w:rtl/>
        </w:rPr>
        <w:t xml:space="preserve"> </w:t>
      </w:r>
      <w:r w:rsidR="00F32B28" w:rsidRPr="00F32B28">
        <w:rPr>
          <w:rtl/>
        </w:rPr>
        <w:t>أوطانهم.</w:t>
      </w:r>
    </w:p>
    <w:p w:rsidR="009C23E0" w:rsidRPr="009C23E0" w:rsidRDefault="009C23E0" w:rsidP="009C23E0">
      <w:pPr>
        <w:pStyle w:val="SingleTxt"/>
        <w:spacing w:after="0" w:line="120" w:lineRule="exact"/>
        <w:rPr>
          <w:b/>
          <w:bCs/>
          <w:sz w:val="10"/>
          <w:rtl/>
        </w:rPr>
      </w:pPr>
    </w:p>
    <w:p w:rsidR="009B107D" w:rsidRDefault="009B107D">
      <w:pPr>
        <w:bidi w:val="0"/>
        <w:spacing w:line="240" w:lineRule="auto"/>
        <w:jc w:val="left"/>
        <w:rPr>
          <w:b/>
          <w:bCs/>
          <w:sz w:val="24"/>
          <w:szCs w:val="32"/>
          <w:rtl/>
        </w:rPr>
      </w:pPr>
      <w:r>
        <w:rPr>
          <w:rtl/>
        </w:rPr>
        <w:br w:type="page"/>
      </w:r>
    </w:p>
    <w:p w:rsidR="00F32B28" w:rsidRPr="00F32B28" w:rsidRDefault="009C23E0" w:rsidP="009C23E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rPr>
          <w:rFonts w:hint="cs"/>
          <w:rtl/>
        </w:rPr>
        <w:lastRenderedPageBreak/>
        <w:tab/>
      </w:r>
      <w:r>
        <w:rPr>
          <w:rFonts w:hint="cs"/>
          <w:rtl/>
        </w:rPr>
        <w:tab/>
      </w:r>
      <w:r w:rsidR="00F32B28" w:rsidRPr="00F32B28">
        <w:rPr>
          <w:rtl/>
        </w:rPr>
        <w:t>الجزء</w:t>
      </w:r>
      <w:r w:rsidR="00F32B28">
        <w:rPr>
          <w:rtl/>
        </w:rPr>
        <w:t xml:space="preserve"> </w:t>
      </w:r>
      <w:r w:rsidR="00F32B28" w:rsidRPr="00F32B28">
        <w:rPr>
          <w:rtl/>
        </w:rPr>
        <w:t>الثالث</w:t>
      </w:r>
    </w:p>
    <w:p w:rsidR="00F32B28" w:rsidRPr="00F32B28" w:rsidRDefault="00F32B28" w:rsidP="00F3470F">
      <w:pPr>
        <w:pStyle w:val="SingleTxt"/>
        <w:rPr>
          <w:b/>
          <w:bCs/>
          <w:rtl/>
        </w:rPr>
      </w:pPr>
      <w:r w:rsidRPr="00F32B28">
        <w:rPr>
          <w:b/>
          <w:bCs/>
          <w:rtl/>
        </w:rPr>
        <w:t>المادة</w:t>
      </w:r>
      <w:r>
        <w:rPr>
          <w:b/>
          <w:bCs/>
          <w:rtl/>
        </w:rPr>
        <w:t xml:space="preserve"> </w:t>
      </w:r>
      <w:r w:rsidRPr="00F32B28">
        <w:rPr>
          <w:b/>
          <w:bCs/>
          <w:rtl/>
        </w:rPr>
        <w:t>(10)</w:t>
      </w:r>
      <w:r w:rsidR="00F3470F">
        <w:rPr>
          <w:rFonts w:hint="cs"/>
          <w:b/>
          <w:bCs/>
          <w:rtl/>
        </w:rPr>
        <w:tab/>
      </w:r>
      <w:r w:rsidR="00F3470F">
        <w:rPr>
          <w:rFonts w:hint="cs"/>
          <w:b/>
          <w:bCs/>
          <w:rtl/>
        </w:rPr>
        <w:br/>
      </w:r>
      <w:r w:rsidRPr="00F32B28">
        <w:rPr>
          <w:b/>
          <w:bCs/>
          <w:rtl/>
        </w:rPr>
        <w:t>المساواة</w:t>
      </w:r>
      <w:r>
        <w:rPr>
          <w:b/>
          <w:bCs/>
          <w:rtl/>
        </w:rPr>
        <w:t xml:space="preserve"> </w:t>
      </w:r>
      <w:r w:rsidRPr="00F32B28">
        <w:rPr>
          <w:b/>
          <w:bCs/>
          <w:rtl/>
        </w:rPr>
        <w:t>في</w:t>
      </w:r>
      <w:r>
        <w:rPr>
          <w:b/>
          <w:bCs/>
          <w:rtl/>
        </w:rPr>
        <w:t xml:space="preserve"> </w:t>
      </w:r>
      <w:r w:rsidRPr="00F32B28">
        <w:rPr>
          <w:b/>
          <w:bCs/>
          <w:rtl/>
        </w:rPr>
        <w:t>التعليم</w:t>
      </w:r>
    </w:p>
    <w:p w:rsidR="00F32B28" w:rsidRPr="00F32B28" w:rsidRDefault="00F3470F" w:rsidP="00F3470F">
      <w:pPr>
        <w:pStyle w:val="SingleTxt"/>
        <w:rPr>
          <w:rtl/>
        </w:rPr>
      </w:pPr>
      <w:r>
        <w:rPr>
          <w:rFonts w:hint="cs"/>
          <w:rtl/>
        </w:rPr>
        <w:t xml:space="preserve">163 - </w:t>
      </w:r>
      <w:r w:rsidR="00F32B28" w:rsidRPr="00F32B28">
        <w:rPr>
          <w:rtl/>
        </w:rPr>
        <w:t>تكفل</w:t>
      </w:r>
      <w:r w:rsidR="00F32B28">
        <w:rPr>
          <w:rtl/>
        </w:rPr>
        <w:t xml:space="preserve"> </w:t>
      </w:r>
      <w:r w:rsidR="00F32B28" w:rsidRPr="00F32B28">
        <w:rPr>
          <w:rtl/>
        </w:rPr>
        <w:t>التشريعات</w:t>
      </w:r>
      <w:r w:rsidR="00F32B28">
        <w:rPr>
          <w:rtl/>
        </w:rPr>
        <w:t xml:space="preserve"> </w:t>
      </w:r>
      <w:r w:rsidR="00F32B28" w:rsidRPr="00F32B28">
        <w:rPr>
          <w:rtl/>
        </w:rPr>
        <w:t>السارية</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التعليم</w:t>
      </w:r>
      <w:r w:rsidR="00F32B28">
        <w:rPr>
          <w:rtl/>
        </w:rPr>
        <w:t xml:space="preserve"> </w:t>
      </w:r>
      <w:r w:rsidR="00F32B28" w:rsidRPr="00F32B28">
        <w:rPr>
          <w:rtl/>
        </w:rPr>
        <w:t>للجميع</w:t>
      </w:r>
      <w:r w:rsidR="00F32B28">
        <w:rPr>
          <w:rtl/>
        </w:rPr>
        <w:t xml:space="preserve"> </w:t>
      </w:r>
      <w:r w:rsidR="00F32B28" w:rsidRPr="00F32B28">
        <w:rPr>
          <w:rtl/>
        </w:rPr>
        <w:t>من</w:t>
      </w:r>
      <w:r w:rsidR="00F32B28">
        <w:rPr>
          <w:rtl/>
        </w:rPr>
        <w:t xml:space="preserve"> </w:t>
      </w:r>
      <w:r w:rsidR="00F32B28" w:rsidRPr="00F32B28">
        <w:rPr>
          <w:rtl/>
        </w:rPr>
        <w:t>دون</w:t>
      </w:r>
      <w:r w:rsidR="00F32B28">
        <w:rPr>
          <w:rtl/>
        </w:rPr>
        <w:t xml:space="preserve"> </w:t>
      </w:r>
      <w:r w:rsidR="00F32B28" w:rsidRPr="00F32B28">
        <w:rPr>
          <w:rtl/>
        </w:rPr>
        <w:t>تمييز،</w:t>
      </w:r>
      <w:r w:rsidR="00F32B28">
        <w:rPr>
          <w:rtl/>
        </w:rPr>
        <w:t xml:space="preserve"> </w:t>
      </w:r>
      <w:r w:rsidR="00F32B28" w:rsidRPr="00F32B28">
        <w:rPr>
          <w:rtl/>
        </w:rPr>
        <w:t>وفي</w:t>
      </w:r>
      <w:r w:rsidR="00F32B28">
        <w:rPr>
          <w:rtl/>
        </w:rPr>
        <w:t xml:space="preserve"> </w:t>
      </w:r>
      <w:r w:rsidR="00F32B28" w:rsidRPr="00F32B28">
        <w:rPr>
          <w:rtl/>
        </w:rPr>
        <w:t>مراحله</w:t>
      </w:r>
      <w:r w:rsidR="00F32B28">
        <w:rPr>
          <w:rtl/>
        </w:rPr>
        <w:t xml:space="preserve"> </w:t>
      </w:r>
      <w:r w:rsidR="00F32B28" w:rsidRPr="00F32B28">
        <w:rPr>
          <w:rtl/>
        </w:rPr>
        <w:t>كافة:</w:t>
      </w:r>
      <w:r w:rsidR="00F32B28">
        <w:rPr>
          <w:rtl/>
        </w:rPr>
        <w:t xml:space="preserve"> </w:t>
      </w:r>
      <w:r w:rsidR="00F32B28" w:rsidRPr="00F32B28">
        <w:rPr>
          <w:rtl/>
        </w:rPr>
        <w:t>رياض</w:t>
      </w:r>
      <w:r w:rsidR="00F32B28">
        <w:rPr>
          <w:rtl/>
        </w:rPr>
        <w:t xml:space="preserve"> </w:t>
      </w:r>
      <w:r w:rsidR="00F32B28" w:rsidRPr="00F32B28">
        <w:rPr>
          <w:rtl/>
        </w:rPr>
        <w:t>الأطفال،</w:t>
      </w:r>
      <w:r w:rsidR="00F32B28">
        <w:rPr>
          <w:rtl/>
        </w:rPr>
        <w:t xml:space="preserve"> </w:t>
      </w:r>
      <w:r w:rsidR="00F32B28" w:rsidRPr="00F32B28">
        <w:rPr>
          <w:rtl/>
        </w:rPr>
        <w:t>والابتدائية</w:t>
      </w:r>
      <w:r w:rsidR="00F32B28">
        <w:rPr>
          <w:rtl/>
        </w:rPr>
        <w:t xml:space="preserve"> </w:t>
      </w:r>
      <w:r w:rsidR="00F32B28" w:rsidRPr="00F32B28">
        <w:rPr>
          <w:rtl/>
        </w:rPr>
        <w:t>والثانوية</w:t>
      </w:r>
      <w:r w:rsidR="00F32B28">
        <w:rPr>
          <w:rtl/>
        </w:rPr>
        <w:t xml:space="preserve"> </w:t>
      </w:r>
      <w:r w:rsidR="00F32B28" w:rsidRPr="00F32B28">
        <w:rPr>
          <w:rtl/>
        </w:rPr>
        <w:t>(الأكاديمية</w:t>
      </w:r>
      <w:r w:rsidR="00F32B28">
        <w:rPr>
          <w:rtl/>
        </w:rPr>
        <w:t xml:space="preserve"> </w:t>
      </w:r>
      <w:r w:rsidR="00F32B28" w:rsidRPr="00F32B28">
        <w:rPr>
          <w:rtl/>
        </w:rPr>
        <w:t>والمهنية)</w:t>
      </w:r>
      <w:r w:rsidR="00F32B28">
        <w:rPr>
          <w:rtl/>
        </w:rPr>
        <w:t xml:space="preserve"> </w:t>
      </w:r>
      <w:r w:rsidR="00F32B28" w:rsidRPr="00F32B28">
        <w:rPr>
          <w:rtl/>
        </w:rPr>
        <w:t>والجامعية.</w:t>
      </w:r>
      <w:r w:rsidR="00F32B28">
        <w:rPr>
          <w:rtl/>
        </w:rPr>
        <w:t xml:space="preserve"> </w:t>
      </w:r>
      <w:r w:rsidR="00F32B28" w:rsidRPr="00F32B28">
        <w:rPr>
          <w:rtl/>
        </w:rPr>
        <w:t>وتخلو</w:t>
      </w:r>
      <w:r w:rsidR="00F32B28">
        <w:rPr>
          <w:rtl/>
        </w:rPr>
        <w:t xml:space="preserve"> </w:t>
      </w:r>
      <w:r w:rsidR="00F32B28" w:rsidRPr="00F32B28">
        <w:rPr>
          <w:rtl/>
        </w:rPr>
        <w:t>السياسات</w:t>
      </w:r>
      <w:r w:rsidR="00F32B28">
        <w:rPr>
          <w:rtl/>
        </w:rPr>
        <w:t xml:space="preserve"> </w:t>
      </w:r>
      <w:r w:rsidR="00F32B28" w:rsidRPr="00F32B28">
        <w:rPr>
          <w:rtl/>
        </w:rPr>
        <w:t>والبرامج</w:t>
      </w:r>
      <w:r w:rsidR="00F32B28">
        <w:rPr>
          <w:rtl/>
        </w:rPr>
        <w:t xml:space="preserve"> </w:t>
      </w:r>
      <w:r w:rsidR="00F32B28" w:rsidRPr="00F32B28">
        <w:rPr>
          <w:rtl/>
        </w:rPr>
        <w:t>التعليمية</w:t>
      </w:r>
      <w:r w:rsidR="00F32B28">
        <w:rPr>
          <w:rtl/>
        </w:rPr>
        <w:t xml:space="preserve"> </w:t>
      </w:r>
      <w:r w:rsidR="00F32B28" w:rsidRPr="00F32B28">
        <w:rPr>
          <w:rtl/>
        </w:rPr>
        <w:t>من</w:t>
      </w:r>
      <w:r w:rsidR="00F32B28">
        <w:rPr>
          <w:rtl/>
        </w:rPr>
        <w:t xml:space="preserve"> </w:t>
      </w:r>
      <w:r w:rsidR="00F32B28" w:rsidRPr="00F32B28">
        <w:rPr>
          <w:rtl/>
        </w:rPr>
        <w:t>أي</w:t>
      </w:r>
      <w:r w:rsidR="009B107D">
        <w:rPr>
          <w:rFonts w:hint="cs"/>
          <w:rtl/>
        </w:rPr>
        <w:t> </w:t>
      </w:r>
      <w:r w:rsidR="00F32B28" w:rsidRPr="00F32B28">
        <w:rPr>
          <w:rtl/>
        </w:rPr>
        <w:t>تمييز</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فالقانون</w:t>
      </w:r>
      <w:r w:rsidR="00F32B28">
        <w:rPr>
          <w:rtl/>
        </w:rPr>
        <w:t xml:space="preserve"> </w:t>
      </w:r>
      <w:r w:rsidR="00F32B28" w:rsidRPr="00F32B28">
        <w:rPr>
          <w:rtl/>
        </w:rPr>
        <w:t>الأساسي</w:t>
      </w:r>
      <w:r w:rsidR="00F32B28">
        <w:rPr>
          <w:rtl/>
        </w:rPr>
        <w:t xml:space="preserve"> </w:t>
      </w:r>
      <w:r w:rsidR="00F32B28" w:rsidRPr="00F32B28">
        <w:rPr>
          <w:rtl/>
        </w:rPr>
        <w:t>المعدل</w:t>
      </w:r>
      <w:r w:rsidR="00F32B28">
        <w:rPr>
          <w:rtl/>
        </w:rPr>
        <w:t xml:space="preserve"> </w:t>
      </w:r>
      <w:r w:rsidR="00F32B28" w:rsidRPr="00F32B28">
        <w:rPr>
          <w:rtl/>
        </w:rPr>
        <w:t>يكفل</w:t>
      </w:r>
      <w:r w:rsidR="00F32B28">
        <w:rPr>
          <w:rtl/>
        </w:rPr>
        <w:t xml:space="preserve"> </w:t>
      </w:r>
      <w:r w:rsidR="00F32B28" w:rsidRPr="00F32B28">
        <w:rPr>
          <w:rtl/>
        </w:rPr>
        <w:t>التعليم</w:t>
      </w:r>
      <w:r w:rsidR="00F32B28">
        <w:rPr>
          <w:rtl/>
        </w:rPr>
        <w:t xml:space="preserve"> </w:t>
      </w:r>
      <w:r w:rsidR="00F32B28" w:rsidRPr="00F32B28">
        <w:rPr>
          <w:rtl/>
        </w:rPr>
        <w:t>باعتباره</w:t>
      </w:r>
      <w:r w:rsidR="00F32B28">
        <w:rPr>
          <w:rtl/>
        </w:rPr>
        <w:t xml:space="preserve"> </w:t>
      </w:r>
      <w:r w:rsidR="00F32B28" w:rsidRPr="00F32B28">
        <w:rPr>
          <w:rtl/>
        </w:rPr>
        <w:t>حق</w:t>
      </w:r>
      <w:r w:rsidR="00F32B28">
        <w:rPr>
          <w:rtl/>
        </w:rPr>
        <w:t xml:space="preserve"> </w:t>
      </w:r>
      <w:r w:rsidR="00F32B28" w:rsidRPr="00F32B28">
        <w:rPr>
          <w:rtl/>
        </w:rPr>
        <w:t>لكل</w:t>
      </w:r>
      <w:r w:rsidR="00F32B28">
        <w:rPr>
          <w:rtl/>
        </w:rPr>
        <w:t xml:space="preserve"> </w:t>
      </w:r>
      <w:r w:rsidR="00F32B28" w:rsidRPr="00F32B28">
        <w:rPr>
          <w:rtl/>
        </w:rPr>
        <w:t>مواطن</w:t>
      </w:r>
      <w:r w:rsidR="00F32B28">
        <w:rPr>
          <w:rtl/>
        </w:rPr>
        <w:t xml:space="preserve"> </w:t>
      </w:r>
      <w:r w:rsidR="00F32B28" w:rsidRPr="00F32B28">
        <w:rPr>
          <w:rtl/>
        </w:rPr>
        <w:t>ومواطنة،</w:t>
      </w:r>
      <w:r w:rsidR="00F32B28">
        <w:rPr>
          <w:rtl/>
        </w:rPr>
        <w:t xml:space="preserve"> </w:t>
      </w:r>
      <w:r w:rsidR="00F32B28" w:rsidRPr="00F32B28">
        <w:rPr>
          <w:rtl/>
        </w:rPr>
        <w:t>وإلزامي</w:t>
      </w:r>
      <w:r w:rsidR="00F32B28">
        <w:rPr>
          <w:rtl/>
        </w:rPr>
        <w:t xml:space="preserve"> </w:t>
      </w:r>
      <w:r w:rsidR="00F32B28" w:rsidRPr="00F32B28">
        <w:rPr>
          <w:rtl/>
        </w:rPr>
        <w:t>على</w:t>
      </w:r>
      <w:r w:rsidR="00F32B28">
        <w:rPr>
          <w:rtl/>
        </w:rPr>
        <w:t xml:space="preserve"> </w:t>
      </w:r>
      <w:r w:rsidR="00F32B28" w:rsidRPr="00F32B28">
        <w:rPr>
          <w:rtl/>
        </w:rPr>
        <w:t>الأقل</w:t>
      </w:r>
      <w:r w:rsidR="00F32B28">
        <w:rPr>
          <w:rtl/>
        </w:rPr>
        <w:t xml:space="preserve"> </w:t>
      </w:r>
      <w:r w:rsidR="00F32B28" w:rsidRPr="00F32B28">
        <w:rPr>
          <w:rtl/>
        </w:rPr>
        <w:t>حتى</w:t>
      </w:r>
      <w:r w:rsidR="00F32B28">
        <w:rPr>
          <w:rtl/>
        </w:rPr>
        <w:t xml:space="preserve"> </w:t>
      </w:r>
      <w:r w:rsidR="00F32B28" w:rsidRPr="00F32B28">
        <w:rPr>
          <w:rtl/>
        </w:rPr>
        <w:t>نهاية</w:t>
      </w:r>
      <w:r w:rsidR="00F32B28">
        <w:rPr>
          <w:rtl/>
        </w:rPr>
        <w:t xml:space="preserve"> </w:t>
      </w:r>
      <w:r w:rsidR="00F32B28" w:rsidRPr="00F32B28">
        <w:rPr>
          <w:rtl/>
        </w:rPr>
        <w:t>المرحلة</w:t>
      </w:r>
      <w:r w:rsidR="00F32B28">
        <w:rPr>
          <w:rtl/>
        </w:rPr>
        <w:t xml:space="preserve"> </w:t>
      </w:r>
      <w:r w:rsidR="00F32B28" w:rsidRPr="00F32B28">
        <w:rPr>
          <w:rtl/>
        </w:rPr>
        <w:t>الأساسية،</w:t>
      </w:r>
      <w:r w:rsidR="00F32B28">
        <w:rPr>
          <w:rtl/>
        </w:rPr>
        <w:t xml:space="preserve"> </w:t>
      </w:r>
      <w:r w:rsidR="00F32B28" w:rsidRPr="00F32B28">
        <w:rPr>
          <w:rtl/>
        </w:rPr>
        <w:t>ومجاني</w:t>
      </w:r>
      <w:r w:rsidR="00F32B28">
        <w:rPr>
          <w:rtl/>
        </w:rPr>
        <w:t xml:space="preserve"> </w:t>
      </w:r>
      <w:r w:rsidR="00F32B28" w:rsidRPr="00F32B28">
        <w:rPr>
          <w:rtl/>
        </w:rPr>
        <w:t>في</w:t>
      </w:r>
      <w:r w:rsidR="00F32B28">
        <w:rPr>
          <w:rtl/>
        </w:rPr>
        <w:t xml:space="preserve"> </w:t>
      </w:r>
      <w:r w:rsidR="00F32B28" w:rsidRPr="00F32B28">
        <w:rPr>
          <w:rtl/>
        </w:rPr>
        <w:t>المدارس</w:t>
      </w:r>
      <w:r w:rsidR="00F32B28">
        <w:rPr>
          <w:rtl/>
        </w:rPr>
        <w:t xml:space="preserve"> </w:t>
      </w:r>
      <w:r w:rsidR="00F32B28" w:rsidRPr="00F32B28">
        <w:rPr>
          <w:rtl/>
        </w:rPr>
        <w:t>والمعاهد</w:t>
      </w:r>
      <w:r w:rsidR="00F32B28">
        <w:rPr>
          <w:rtl/>
        </w:rPr>
        <w:t xml:space="preserve"> </w:t>
      </w:r>
      <w:r w:rsidR="00F32B28" w:rsidRPr="00F32B28">
        <w:rPr>
          <w:rtl/>
        </w:rPr>
        <w:t>والمؤسسات</w:t>
      </w:r>
      <w:r w:rsidR="00F32B28">
        <w:rPr>
          <w:rtl/>
        </w:rPr>
        <w:t xml:space="preserve"> </w:t>
      </w:r>
      <w:r w:rsidR="00F32B28" w:rsidRPr="00F32B28">
        <w:rPr>
          <w:rtl/>
        </w:rPr>
        <w:t>العامة.</w:t>
      </w:r>
      <w:r w:rsidR="00F32B28">
        <w:rPr>
          <w:rtl/>
        </w:rPr>
        <w:t xml:space="preserve"> </w:t>
      </w:r>
      <w:r w:rsidR="00F32B28" w:rsidRPr="00F32B28">
        <w:rPr>
          <w:rtl/>
        </w:rPr>
        <w:t>كما</w:t>
      </w:r>
      <w:r w:rsidR="00F32B28">
        <w:rPr>
          <w:rtl/>
        </w:rPr>
        <w:t xml:space="preserve"> </w:t>
      </w:r>
      <w:r w:rsidR="00F32B28" w:rsidRPr="00F32B28">
        <w:rPr>
          <w:rtl/>
        </w:rPr>
        <w:t>يساوي</w:t>
      </w:r>
      <w:r w:rsidR="00F32B28">
        <w:rPr>
          <w:rtl/>
        </w:rPr>
        <w:t xml:space="preserve"> </w:t>
      </w:r>
      <w:r w:rsidR="00F32B28" w:rsidRPr="00F32B28">
        <w:rPr>
          <w:rtl/>
        </w:rPr>
        <w:t>قانون</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رقم</w:t>
      </w:r>
      <w:r w:rsidR="00F32B28">
        <w:rPr>
          <w:rtl/>
        </w:rPr>
        <w:t xml:space="preserve"> </w:t>
      </w:r>
      <w:r w:rsidR="00F32B28" w:rsidRPr="00F32B28">
        <w:rPr>
          <w:rtl/>
        </w:rPr>
        <w:t>(16)</w:t>
      </w:r>
      <w:r w:rsidR="00F32B28">
        <w:rPr>
          <w:rtl/>
        </w:rPr>
        <w:t xml:space="preserve"> </w:t>
      </w:r>
      <w:r w:rsidR="00F32B28" w:rsidRPr="00F32B28">
        <w:rPr>
          <w:rtl/>
        </w:rPr>
        <w:t>لسنة</w:t>
      </w:r>
      <w:r w:rsidR="00F32B28">
        <w:rPr>
          <w:rtl/>
        </w:rPr>
        <w:t xml:space="preserve"> </w:t>
      </w:r>
      <w:r w:rsidR="00F32B28" w:rsidRPr="00F32B28">
        <w:rPr>
          <w:rtl/>
        </w:rPr>
        <w:t>1964</w:t>
      </w:r>
      <w:r w:rsidR="00F32B28">
        <w:rPr>
          <w:rtl/>
        </w:rPr>
        <w:t xml:space="preserve"> </w:t>
      </w:r>
      <w:r w:rsidR="00F32B28" w:rsidRPr="00F32B28">
        <w:rPr>
          <w:rtl/>
        </w:rPr>
        <w:t>صراحةً</w:t>
      </w:r>
      <w:r w:rsidR="00F32B28">
        <w:rPr>
          <w:rtl/>
        </w:rPr>
        <w:t xml:space="preserve"> </w:t>
      </w:r>
      <w:r w:rsidR="00F32B28" w:rsidRPr="00F32B28">
        <w:rPr>
          <w:rtl/>
        </w:rPr>
        <w:t>بين</w:t>
      </w:r>
      <w:r w:rsidR="00F32B28">
        <w:rPr>
          <w:rtl/>
        </w:rPr>
        <w:t xml:space="preserve"> </w:t>
      </w:r>
      <w:r w:rsidR="00F32B28" w:rsidRPr="00F32B28">
        <w:rPr>
          <w:rtl/>
        </w:rPr>
        <w:t>الذكور</w:t>
      </w:r>
      <w:r w:rsidR="00F32B28">
        <w:rPr>
          <w:rtl/>
        </w:rPr>
        <w:t xml:space="preserve"> </w:t>
      </w:r>
      <w:r w:rsidR="00F32B28" w:rsidRPr="00F32B28">
        <w:rPr>
          <w:rtl/>
        </w:rPr>
        <w:t>والإناث</w:t>
      </w:r>
      <w:r w:rsidR="00F32B28">
        <w:rPr>
          <w:rtl/>
        </w:rPr>
        <w:t xml:space="preserve"> </w:t>
      </w:r>
      <w:r w:rsidR="00F32B28" w:rsidRPr="00F32B28">
        <w:rPr>
          <w:rtl/>
        </w:rPr>
        <w:t>في</w:t>
      </w:r>
      <w:r w:rsidR="00F32B28">
        <w:rPr>
          <w:rtl/>
        </w:rPr>
        <w:t xml:space="preserve"> </w:t>
      </w:r>
      <w:r w:rsidR="00F32B28" w:rsidRPr="00F32B28">
        <w:rPr>
          <w:rtl/>
        </w:rPr>
        <w:t>شروط</w:t>
      </w:r>
      <w:r w:rsidR="00F32B28">
        <w:rPr>
          <w:rtl/>
        </w:rPr>
        <w:t xml:space="preserve"> </w:t>
      </w:r>
      <w:r w:rsidR="00F32B28" w:rsidRPr="00F32B28">
        <w:rPr>
          <w:rtl/>
        </w:rPr>
        <w:t>الالتحاق</w:t>
      </w:r>
      <w:r w:rsidR="00F32B28">
        <w:rPr>
          <w:rtl/>
        </w:rPr>
        <w:t xml:space="preserve"> </w:t>
      </w:r>
      <w:r w:rsidR="00F32B28" w:rsidRPr="00F32B28">
        <w:rPr>
          <w:rtl/>
        </w:rPr>
        <w:t>بالمدارس</w:t>
      </w:r>
      <w:r w:rsidR="00F32B28">
        <w:rPr>
          <w:rtl/>
        </w:rPr>
        <w:t xml:space="preserve"> </w:t>
      </w:r>
      <w:r w:rsidR="00F32B28" w:rsidRPr="00F32B28">
        <w:rPr>
          <w:rtl/>
        </w:rPr>
        <w:t>ودراسة</w:t>
      </w:r>
      <w:r w:rsidR="00F32B28">
        <w:rPr>
          <w:rtl/>
        </w:rPr>
        <w:t xml:space="preserve"> </w:t>
      </w:r>
      <w:r w:rsidR="00F32B28" w:rsidRPr="00F32B28">
        <w:rPr>
          <w:rtl/>
        </w:rPr>
        <w:t>ذات</w:t>
      </w:r>
      <w:r w:rsidR="00F32B28">
        <w:rPr>
          <w:rtl/>
        </w:rPr>
        <w:t xml:space="preserve"> </w:t>
      </w:r>
      <w:r w:rsidR="00F32B28" w:rsidRPr="00F32B28">
        <w:rPr>
          <w:rtl/>
        </w:rPr>
        <w:t>المناهج</w:t>
      </w:r>
      <w:r w:rsidR="00F32B28">
        <w:rPr>
          <w:rtl/>
        </w:rPr>
        <w:t xml:space="preserve"> </w:t>
      </w:r>
      <w:r w:rsidR="00F32B28" w:rsidRPr="00F32B28">
        <w:rPr>
          <w:rtl/>
        </w:rPr>
        <w:t>وإجراء</w:t>
      </w:r>
      <w:r w:rsidR="00F32B28">
        <w:rPr>
          <w:rtl/>
        </w:rPr>
        <w:t xml:space="preserve"> </w:t>
      </w:r>
      <w:r w:rsidR="00F32B28" w:rsidRPr="00F32B28">
        <w:rPr>
          <w:rtl/>
        </w:rPr>
        <w:t>الامتحانات</w:t>
      </w:r>
      <w:r w:rsidR="00F32B28">
        <w:rPr>
          <w:rtl/>
        </w:rPr>
        <w:t xml:space="preserve"> </w:t>
      </w:r>
      <w:r w:rsidR="00F32B28" w:rsidRPr="00F32B28">
        <w:rPr>
          <w:rtl/>
        </w:rPr>
        <w:t>واجتياز</w:t>
      </w:r>
      <w:r w:rsidR="00F32B28">
        <w:rPr>
          <w:rtl/>
        </w:rPr>
        <w:t xml:space="preserve"> </w:t>
      </w:r>
      <w:r w:rsidR="00F32B28" w:rsidRPr="00F32B28">
        <w:rPr>
          <w:rtl/>
        </w:rPr>
        <w:t>المراحل</w:t>
      </w:r>
      <w:r w:rsidR="00F32B28">
        <w:rPr>
          <w:rtl/>
        </w:rPr>
        <w:t xml:space="preserve"> </w:t>
      </w:r>
      <w:r w:rsidR="00F32B28" w:rsidRPr="00F32B28">
        <w:rPr>
          <w:rtl/>
        </w:rPr>
        <w:t>التعليمية</w:t>
      </w:r>
      <w:r w:rsidR="00F32B28">
        <w:rPr>
          <w:rtl/>
        </w:rPr>
        <w:t xml:space="preserve"> </w:t>
      </w:r>
      <w:r w:rsidR="00F32B28" w:rsidRPr="00F32B28">
        <w:rPr>
          <w:rtl/>
        </w:rPr>
        <w:t>المختلفة.</w:t>
      </w:r>
      <w:r w:rsidR="00F32B28">
        <w:rPr>
          <w:rtl/>
        </w:rPr>
        <w:t xml:space="preserve"> </w:t>
      </w:r>
      <w:r w:rsidR="00F32B28" w:rsidRPr="00F32B28">
        <w:rPr>
          <w:rtl/>
        </w:rPr>
        <w:t>وكذلك</w:t>
      </w:r>
      <w:r w:rsidR="00F32B28">
        <w:rPr>
          <w:rtl/>
        </w:rPr>
        <w:t xml:space="preserve"> </w:t>
      </w:r>
      <w:r w:rsidR="00F32B28" w:rsidRPr="00F32B28">
        <w:rPr>
          <w:rtl/>
        </w:rPr>
        <w:t>الأمر</w:t>
      </w:r>
      <w:r w:rsidR="00F32B28">
        <w:rPr>
          <w:rtl/>
        </w:rPr>
        <w:t xml:space="preserve"> </w:t>
      </w:r>
      <w:r w:rsidR="00F32B28" w:rsidRPr="00F32B28">
        <w:rPr>
          <w:rtl/>
        </w:rPr>
        <w:t>بخصوص</w:t>
      </w:r>
      <w:r w:rsidR="00F32B28">
        <w:rPr>
          <w:rtl/>
        </w:rPr>
        <w:t xml:space="preserve"> </w:t>
      </w:r>
      <w:r w:rsidR="00F32B28" w:rsidRPr="00F32B28">
        <w:rPr>
          <w:rtl/>
        </w:rPr>
        <w:t>قانون</w:t>
      </w:r>
      <w:r w:rsidR="00F32B28">
        <w:rPr>
          <w:rtl/>
        </w:rPr>
        <w:t xml:space="preserve"> </w:t>
      </w:r>
      <w:r w:rsidR="00F32B28" w:rsidRPr="00F32B28">
        <w:rPr>
          <w:rtl/>
        </w:rPr>
        <w:t>التعليم</w:t>
      </w:r>
      <w:r w:rsidR="00F32B28">
        <w:rPr>
          <w:rtl/>
        </w:rPr>
        <w:t xml:space="preserve"> </w:t>
      </w:r>
      <w:r w:rsidR="00F32B28" w:rsidRPr="00F32B28">
        <w:rPr>
          <w:rtl/>
        </w:rPr>
        <w:t>العالي</w:t>
      </w:r>
      <w:r w:rsidR="00F32B28">
        <w:rPr>
          <w:rtl/>
        </w:rPr>
        <w:t xml:space="preserve"> </w:t>
      </w:r>
      <w:r w:rsidR="00F32B28" w:rsidRPr="00F32B28">
        <w:rPr>
          <w:rtl/>
        </w:rPr>
        <w:t>رقم</w:t>
      </w:r>
      <w:r w:rsidR="00F32B28">
        <w:rPr>
          <w:rtl/>
        </w:rPr>
        <w:t xml:space="preserve"> </w:t>
      </w:r>
      <w:r w:rsidR="00F32B28" w:rsidRPr="00F32B28">
        <w:rPr>
          <w:rtl/>
        </w:rPr>
        <w:t>(11)</w:t>
      </w:r>
      <w:r w:rsidR="00F32B28">
        <w:rPr>
          <w:rtl/>
        </w:rPr>
        <w:t xml:space="preserve"> </w:t>
      </w:r>
      <w:r w:rsidR="00F32B28" w:rsidRPr="00F32B28">
        <w:rPr>
          <w:rtl/>
        </w:rPr>
        <w:t>لسنة</w:t>
      </w:r>
      <w:r w:rsidR="00F32B28">
        <w:rPr>
          <w:rtl/>
        </w:rPr>
        <w:t xml:space="preserve"> </w:t>
      </w:r>
      <w:r w:rsidR="00F32B28" w:rsidRPr="00F32B28">
        <w:rPr>
          <w:rtl/>
        </w:rPr>
        <w:t>1998،</w:t>
      </w:r>
      <w:r w:rsidR="00F32B28">
        <w:rPr>
          <w:rtl/>
        </w:rPr>
        <w:t xml:space="preserve"> </w:t>
      </w:r>
      <w:r w:rsidR="00F32B28" w:rsidRPr="00F32B28">
        <w:rPr>
          <w:rtl/>
        </w:rPr>
        <w:t>الذي</w:t>
      </w:r>
      <w:r w:rsidR="00F32B28">
        <w:rPr>
          <w:rtl/>
        </w:rPr>
        <w:t xml:space="preserve"> </w:t>
      </w:r>
      <w:r w:rsidR="00F32B28" w:rsidRPr="00F32B28">
        <w:rPr>
          <w:rtl/>
        </w:rPr>
        <w:t>نص</w:t>
      </w:r>
      <w:r w:rsidR="00F32B28">
        <w:rPr>
          <w:rtl/>
        </w:rPr>
        <w:t xml:space="preserve"> </w:t>
      </w:r>
      <w:r w:rsidR="00F32B28" w:rsidRPr="00F32B28">
        <w:rPr>
          <w:rtl/>
        </w:rPr>
        <w:t>صراحة</w:t>
      </w:r>
      <w:r w:rsidR="00F32B28">
        <w:rPr>
          <w:rtl/>
        </w:rPr>
        <w:t xml:space="preserve"> </w:t>
      </w:r>
      <w:r w:rsidR="00F32B28" w:rsidRPr="00F32B28">
        <w:rPr>
          <w:rtl/>
        </w:rPr>
        <w:t>على</w:t>
      </w:r>
      <w:r w:rsidR="00F32B28">
        <w:rPr>
          <w:rtl/>
        </w:rPr>
        <w:t xml:space="preserve"> </w:t>
      </w:r>
      <w:r w:rsidR="00F32B28" w:rsidRPr="00F32B28">
        <w:rPr>
          <w:rtl/>
        </w:rPr>
        <w:t>أن</w:t>
      </w:r>
      <w:r w:rsidR="00F32B28">
        <w:rPr>
          <w:rtl/>
        </w:rPr>
        <w:t xml:space="preserve"> </w:t>
      </w:r>
      <w:r w:rsidR="00F32B28" w:rsidRPr="00F32B28">
        <w:rPr>
          <w:rtl/>
        </w:rPr>
        <w:t>التعليم</w:t>
      </w:r>
      <w:r w:rsidR="00F32B28">
        <w:rPr>
          <w:rtl/>
        </w:rPr>
        <w:t xml:space="preserve"> </w:t>
      </w:r>
      <w:r w:rsidR="00F32B28" w:rsidRPr="00F32B28">
        <w:rPr>
          <w:rtl/>
        </w:rPr>
        <w:t>العالي</w:t>
      </w:r>
      <w:r w:rsidR="00F32B28">
        <w:rPr>
          <w:rtl/>
        </w:rPr>
        <w:t xml:space="preserve"> </w:t>
      </w:r>
      <w:r w:rsidR="00F32B28" w:rsidRPr="00F32B28">
        <w:rPr>
          <w:rtl/>
        </w:rPr>
        <w:t>حق</w:t>
      </w:r>
      <w:r w:rsidR="00F32B28">
        <w:rPr>
          <w:rtl/>
        </w:rPr>
        <w:t xml:space="preserve"> </w:t>
      </w:r>
      <w:r w:rsidR="00F32B28" w:rsidRPr="00F32B28">
        <w:rPr>
          <w:rtl/>
        </w:rPr>
        <w:t>لكل</w:t>
      </w:r>
      <w:r w:rsidR="00F32B28">
        <w:rPr>
          <w:rtl/>
        </w:rPr>
        <w:t xml:space="preserve"> </w:t>
      </w:r>
      <w:r w:rsidR="00F32B28" w:rsidRPr="00F32B28">
        <w:rPr>
          <w:rtl/>
        </w:rPr>
        <w:t>مواطن</w:t>
      </w:r>
      <w:r w:rsidR="00F32B28">
        <w:rPr>
          <w:rtl/>
        </w:rPr>
        <w:t xml:space="preserve"> </w:t>
      </w:r>
      <w:r w:rsidR="00F32B28" w:rsidRPr="00F32B28">
        <w:rPr>
          <w:rtl/>
        </w:rPr>
        <w:t>ومواطنة،</w:t>
      </w:r>
      <w:r w:rsidR="00F32B28">
        <w:rPr>
          <w:rtl/>
        </w:rPr>
        <w:t xml:space="preserve"> </w:t>
      </w:r>
      <w:r w:rsidR="00F32B28" w:rsidRPr="00F32B28">
        <w:rPr>
          <w:rtl/>
        </w:rPr>
        <w:t>وجعل</w:t>
      </w:r>
      <w:r w:rsidR="00F32B28">
        <w:rPr>
          <w:rtl/>
        </w:rPr>
        <w:t xml:space="preserve"> </w:t>
      </w:r>
      <w:r w:rsidR="00F32B28" w:rsidRPr="00F32B28">
        <w:rPr>
          <w:rtl/>
        </w:rPr>
        <w:t>من</w:t>
      </w:r>
      <w:r w:rsidR="00F32B28">
        <w:rPr>
          <w:rtl/>
        </w:rPr>
        <w:t xml:space="preserve"> </w:t>
      </w:r>
      <w:r w:rsidR="00F32B28" w:rsidRPr="00F32B28">
        <w:rPr>
          <w:rtl/>
        </w:rPr>
        <w:t>توافر</w:t>
      </w:r>
      <w:r w:rsidR="00F32B28">
        <w:rPr>
          <w:rtl/>
        </w:rPr>
        <w:t xml:space="preserve"> </w:t>
      </w:r>
      <w:r w:rsidR="00F32B28" w:rsidRPr="00F32B28">
        <w:rPr>
          <w:rtl/>
        </w:rPr>
        <w:t>الشروط</w:t>
      </w:r>
      <w:r w:rsidR="00F32B28">
        <w:rPr>
          <w:rtl/>
        </w:rPr>
        <w:t xml:space="preserve"> </w:t>
      </w:r>
      <w:r w:rsidR="00F32B28" w:rsidRPr="00F32B28">
        <w:rPr>
          <w:rtl/>
        </w:rPr>
        <w:t>العلمية</w:t>
      </w:r>
      <w:r w:rsidR="00F32B28">
        <w:rPr>
          <w:rtl/>
        </w:rPr>
        <w:t xml:space="preserve"> </w:t>
      </w:r>
      <w:r w:rsidR="00F32B28" w:rsidRPr="00F32B28">
        <w:rPr>
          <w:rtl/>
        </w:rPr>
        <w:t>والموضوعية</w:t>
      </w:r>
      <w:r w:rsidR="00F32B28">
        <w:rPr>
          <w:rtl/>
        </w:rPr>
        <w:t xml:space="preserve"> </w:t>
      </w:r>
      <w:r w:rsidR="00F32B28" w:rsidRPr="00F32B28">
        <w:rPr>
          <w:rtl/>
        </w:rPr>
        <w:t>هو</w:t>
      </w:r>
      <w:r w:rsidR="00F32B28">
        <w:rPr>
          <w:rtl/>
        </w:rPr>
        <w:t xml:space="preserve"> </w:t>
      </w:r>
      <w:r w:rsidR="00F32B28" w:rsidRPr="00F32B28">
        <w:rPr>
          <w:rtl/>
        </w:rPr>
        <w:t>المعيار</w:t>
      </w:r>
      <w:r w:rsidR="00F32B28">
        <w:rPr>
          <w:rtl/>
        </w:rPr>
        <w:t xml:space="preserve"> </w:t>
      </w:r>
      <w:r w:rsidR="00F32B28" w:rsidRPr="00F32B28">
        <w:rPr>
          <w:rtl/>
        </w:rPr>
        <w:t>الحصري</w:t>
      </w:r>
      <w:r w:rsidR="00F32B28">
        <w:rPr>
          <w:rtl/>
        </w:rPr>
        <w:t xml:space="preserve"> </w:t>
      </w:r>
      <w:r w:rsidR="00F32B28" w:rsidRPr="00F32B28">
        <w:rPr>
          <w:rtl/>
        </w:rPr>
        <w:t>في</w:t>
      </w:r>
      <w:r w:rsidR="00F32B28">
        <w:rPr>
          <w:rtl/>
        </w:rPr>
        <w:t xml:space="preserve"> </w:t>
      </w:r>
      <w:r w:rsidR="00F32B28" w:rsidRPr="00F32B28">
        <w:rPr>
          <w:rtl/>
        </w:rPr>
        <w:t>الالتحاق</w:t>
      </w:r>
      <w:r w:rsidR="00F32B28">
        <w:rPr>
          <w:rtl/>
        </w:rPr>
        <w:t xml:space="preserve"> </w:t>
      </w:r>
      <w:r w:rsidR="00F32B28" w:rsidRPr="00F32B28">
        <w:rPr>
          <w:rtl/>
        </w:rPr>
        <w:t>في</w:t>
      </w:r>
      <w:r w:rsidR="00F32B28">
        <w:rPr>
          <w:rtl/>
        </w:rPr>
        <w:t xml:space="preserve"> </w:t>
      </w:r>
      <w:r w:rsidR="00F32B28" w:rsidRPr="00F32B28">
        <w:rPr>
          <w:rtl/>
        </w:rPr>
        <w:t>الجامعات</w:t>
      </w:r>
      <w:r w:rsidR="00F32B28">
        <w:rPr>
          <w:rtl/>
        </w:rPr>
        <w:t xml:space="preserve"> </w:t>
      </w:r>
      <w:r w:rsidR="00F32B28" w:rsidRPr="00F32B28">
        <w:rPr>
          <w:rtl/>
        </w:rPr>
        <w:t>والمعاهد</w:t>
      </w:r>
      <w:r w:rsidR="00F32B28">
        <w:rPr>
          <w:rtl/>
        </w:rPr>
        <w:t xml:space="preserve"> </w:t>
      </w:r>
      <w:r w:rsidR="00F32B28" w:rsidRPr="00F32B28">
        <w:rPr>
          <w:rtl/>
        </w:rPr>
        <w:t>وفي</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الشهادات.</w:t>
      </w:r>
    </w:p>
    <w:p w:rsidR="00F32B28" w:rsidRPr="00F32B28" w:rsidRDefault="00F3470F" w:rsidP="00F3470F">
      <w:pPr>
        <w:pStyle w:val="SingleTxt"/>
        <w:rPr>
          <w:rtl/>
        </w:rPr>
      </w:pPr>
      <w:r>
        <w:rPr>
          <w:rFonts w:hint="cs"/>
          <w:rtl/>
        </w:rPr>
        <w:t xml:space="preserve">164 - </w:t>
      </w:r>
      <w:r w:rsidR="00F32B28" w:rsidRPr="00F32B28">
        <w:rPr>
          <w:rtl/>
        </w:rPr>
        <w:t>كما</w:t>
      </w:r>
      <w:r w:rsidR="00F32B28">
        <w:rPr>
          <w:rtl/>
        </w:rPr>
        <w:t xml:space="preserve"> </w:t>
      </w:r>
      <w:r w:rsidR="00F32B28" w:rsidRPr="00F32B28">
        <w:rPr>
          <w:rtl/>
        </w:rPr>
        <w:t>يكفل</w:t>
      </w:r>
      <w:r w:rsidR="00F32B28">
        <w:rPr>
          <w:rtl/>
        </w:rPr>
        <w:t xml:space="preserve"> </w:t>
      </w:r>
      <w:r w:rsidR="00F32B28" w:rsidRPr="00F32B28">
        <w:rPr>
          <w:rtl/>
        </w:rPr>
        <w:t>قانون</w:t>
      </w:r>
      <w:r w:rsidR="00F32B28">
        <w:rPr>
          <w:rtl/>
        </w:rPr>
        <w:t xml:space="preserve"> </w:t>
      </w:r>
      <w:r w:rsidR="00F32B28" w:rsidRPr="00F32B28">
        <w:rPr>
          <w:rtl/>
        </w:rPr>
        <w:t>الطفل</w:t>
      </w:r>
      <w:r w:rsidR="00F32B28">
        <w:rPr>
          <w:rtl/>
        </w:rPr>
        <w:t xml:space="preserve"> </w:t>
      </w:r>
      <w:r w:rsidR="00F32B28" w:rsidRPr="00F32B28">
        <w:rPr>
          <w:rtl/>
        </w:rPr>
        <w:t>الفلسطيني</w:t>
      </w:r>
      <w:r w:rsidR="00F32B28">
        <w:rPr>
          <w:rtl/>
        </w:rPr>
        <w:t xml:space="preserve"> </w:t>
      </w:r>
      <w:r w:rsidR="00F32B28" w:rsidRPr="00F32B28">
        <w:rPr>
          <w:rtl/>
        </w:rPr>
        <w:t>رقم</w:t>
      </w:r>
      <w:r w:rsidR="00F32B28">
        <w:rPr>
          <w:rtl/>
        </w:rPr>
        <w:t xml:space="preserve"> </w:t>
      </w:r>
      <w:r w:rsidR="00F32B28" w:rsidRPr="00F32B28">
        <w:rPr>
          <w:rtl/>
        </w:rPr>
        <w:t>(7)</w:t>
      </w:r>
      <w:r w:rsidR="00F32B28">
        <w:rPr>
          <w:rtl/>
        </w:rPr>
        <w:t xml:space="preserve"> </w:t>
      </w:r>
      <w:r w:rsidR="00F32B28" w:rsidRPr="00F32B28">
        <w:rPr>
          <w:rtl/>
        </w:rPr>
        <w:t>لسنة</w:t>
      </w:r>
      <w:r w:rsidR="00F32B28">
        <w:rPr>
          <w:rtl/>
        </w:rPr>
        <w:t xml:space="preserve"> </w:t>
      </w:r>
      <w:r w:rsidR="00F32B28" w:rsidRPr="00F32B28">
        <w:rPr>
          <w:rtl/>
        </w:rPr>
        <w:t>2004</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التعليم</w:t>
      </w:r>
      <w:r w:rsidR="00F32B28">
        <w:rPr>
          <w:rtl/>
        </w:rPr>
        <w:t xml:space="preserve"> </w:t>
      </w:r>
      <w:r w:rsidR="00F32B28" w:rsidRPr="00F32B28">
        <w:rPr>
          <w:rtl/>
        </w:rPr>
        <w:t>لكل</w:t>
      </w:r>
      <w:r w:rsidR="00F32B28">
        <w:rPr>
          <w:rtl/>
        </w:rPr>
        <w:t xml:space="preserve"> </w:t>
      </w:r>
      <w:r w:rsidR="00F32B28" w:rsidRPr="00F32B28">
        <w:rPr>
          <w:rtl/>
        </w:rPr>
        <w:t>طفل</w:t>
      </w:r>
      <w:r w:rsidR="00F32B28">
        <w:rPr>
          <w:rtl/>
        </w:rPr>
        <w:t xml:space="preserve"> </w:t>
      </w:r>
      <w:r w:rsidR="00F32B28" w:rsidRPr="00F32B28">
        <w:rPr>
          <w:rtl/>
        </w:rPr>
        <w:t>في</w:t>
      </w:r>
      <w:r w:rsidR="00F32B28">
        <w:rPr>
          <w:rtl/>
        </w:rPr>
        <w:t xml:space="preserve"> </w:t>
      </w:r>
      <w:r w:rsidR="00F32B28" w:rsidRPr="00F32B28">
        <w:rPr>
          <w:rtl/>
        </w:rPr>
        <w:t>مدارس</w:t>
      </w:r>
      <w:r w:rsidR="00F32B28">
        <w:rPr>
          <w:rtl/>
        </w:rPr>
        <w:t xml:space="preserve"> </w:t>
      </w:r>
      <w:r w:rsidR="00F32B28" w:rsidRPr="00F32B28">
        <w:rPr>
          <w:rtl/>
        </w:rPr>
        <w:t>الدولة</w:t>
      </w:r>
      <w:r w:rsidR="00F32B28">
        <w:rPr>
          <w:rtl/>
        </w:rPr>
        <w:t xml:space="preserve"> </w:t>
      </w:r>
      <w:r w:rsidR="00F32B28" w:rsidRPr="00F32B28">
        <w:rPr>
          <w:rtl/>
        </w:rPr>
        <w:t>وجعله</w:t>
      </w:r>
      <w:r w:rsidR="00F32B28">
        <w:rPr>
          <w:rtl/>
        </w:rPr>
        <w:t xml:space="preserve"> </w:t>
      </w:r>
      <w:r w:rsidR="00F32B28" w:rsidRPr="00F32B28">
        <w:rPr>
          <w:rtl/>
        </w:rPr>
        <w:t>مجاني</w:t>
      </w:r>
      <w:r w:rsidR="00F32B28">
        <w:rPr>
          <w:rtl/>
        </w:rPr>
        <w:t xml:space="preserve"> </w:t>
      </w:r>
      <w:r w:rsidR="00F32B28" w:rsidRPr="00F32B28">
        <w:rPr>
          <w:rtl/>
        </w:rPr>
        <w:t>حتى</w:t>
      </w:r>
      <w:r w:rsidR="00F32B28">
        <w:rPr>
          <w:rtl/>
        </w:rPr>
        <w:t xml:space="preserve"> </w:t>
      </w:r>
      <w:r w:rsidR="00F32B28" w:rsidRPr="00F32B28">
        <w:rPr>
          <w:rtl/>
        </w:rPr>
        <w:t>إتمام</w:t>
      </w:r>
      <w:r w:rsidR="00F32B28">
        <w:rPr>
          <w:rtl/>
        </w:rPr>
        <w:t xml:space="preserve"> </w:t>
      </w:r>
      <w:r w:rsidR="00F32B28" w:rsidRPr="00F32B28">
        <w:rPr>
          <w:rtl/>
        </w:rPr>
        <w:t>مرحلة</w:t>
      </w:r>
      <w:r w:rsidR="00F32B28">
        <w:rPr>
          <w:rtl/>
        </w:rPr>
        <w:t xml:space="preserve"> </w:t>
      </w:r>
      <w:r w:rsidR="00F32B28" w:rsidRPr="00F32B28">
        <w:rPr>
          <w:rtl/>
        </w:rPr>
        <w:t>التعليم</w:t>
      </w:r>
      <w:r w:rsidR="00F32B28">
        <w:rPr>
          <w:rtl/>
        </w:rPr>
        <w:t xml:space="preserve"> </w:t>
      </w:r>
      <w:r w:rsidR="00F32B28" w:rsidRPr="00F32B28">
        <w:rPr>
          <w:rtl/>
        </w:rPr>
        <w:t>الثانوي،</w:t>
      </w:r>
      <w:r w:rsidR="00F32B28">
        <w:rPr>
          <w:rtl/>
        </w:rPr>
        <w:t xml:space="preserve"> </w:t>
      </w:r>
      <w:r w:rsidR="00F32B28" w:rsidRPr="00F32B28">
        <w:rPr>
          <w:rtl/>
        </w:rPr>
        <w:t>ونص</w:t>
      </w:r>
      <w:r w:rsidR="00F32B28">
        <w:rPr>
          <w:rtl/>
        </w:rPr>
        <w:t xml:space="preserve"> </w:t>
      </w:r>
      <w:r w:rsidR="00F32B28" w:rsidRPr="00F32B28">
        <w:rPr>
          <w:rtl/>
        </w:rPr>
        <w:t>على</w:t>
      </w:r>
      <w:r w:rsidR="00F32B28">
        <w:rPr>
          <w:rtl/>
        </w:rPr>
        <w:t xml:space="preserve"> </w:t>
      </w:r>
      <w:r w:rsidR="00F32B28" w:rsidRPr="00F32B28">
        <w:rPr>
          <w:rtl/>
        </w:rPr>
        <w:t>اتخاذ</w:t>
      </w:r>
      <w:r w:rsidR="00F32B28">
        <w:rPr>
          <w:rtl/>
        </w:rPr>
        <w:t xml:space="preserve"> </w:t>
      </w:r>
      <w:r w:rsidR="00F32B28" w:rsidRPr="00F32B28">
        <w:rPr>
          <w:rtl/>
        </w:rPr>
        <w:t>جميع</w:t>
      </w:r>
      <w:r w:rsidR="00F32B28">
        <w:rPr>
          <w:rtl/>
        </w:rPr>
        <w:t xml:space="preserve"> </w:t>
      </w:r>
      <w:r w:rsidR="00F32B28" w:rsidRPr="00F32B28">
        <w:rPr>
          <w:rtl/>
        </w:rPr>
        <w:t>التدابير</w:t>
      </w:r>
      <w:r w:rsidR="00F32B28">
        <w:rPr>
          <w:rtl/>
        </w:rPr>
        <w:t xml:space="preserve"> </w:t>
      </w:r>
      <w:r w:rsidR="00F32B28" w:rsidRPr="00F32B28">
        <w:rPr>
          <w:rtl/>
        </w:rPr>
        <w:t>المناسبة</w:t>
      </w:r>
      <w:r w:rsidR="00F32B28">
        <w:rPr>
          <w:rtl/>
        </w:rPr>
        <w:t xml:space="preserve"> </w:t>
      </w:r>
      <w:r w:rsidR="00F32B28" w:rsidRPr="00F32B28">
        <w:rPr>
          <w:rtl/>
        </w:rPr>
        <w:t>والفعالة</w:t>
      </w:r>
      <w:r w:rsidR="00F32B28">
        <w:rPr>
          <w:rtl/>
        </w:rPr>
        <w:t xml:space="preserve"> </w:t>
      </w:r>
      <w:r w:rsidR="00F32B28" w:rsidRPr="00F32B28">
        <w:rPr>
          <w:rtl/>
        </w:rPr>
        <w:t>بهدف</w:t>
      </w:r>
      <w:r w:rsidR="00F32B28">
        <w:rPr>
          <w:rtl/>
        </w:rPr>
        <w:t xml:space="preserve"> </w:t>
      </w:r>
      <w:r w:rsidR="00F32B28" w:rsidRPr="00F32B28">
        <w:rPr>
          <w:rtl/>
        </w:rPr>
        <w:t>إلغاء</w:t>
      </w:r>
      <w:r w:rsidR="00F32B28">
        <w:rPr>
          <w:rtl/>
        </w:rPr>
        <w:t xml:space="preserve"> </w:t>
      </w:r>
      <w:r w:rsidR="00F32B28" w:rsidRPr="00F32B28">
        <w:rPr>
          <w:rtl/>
        </w:rPr>
        <w:t>مختلف</w:t>
      </w:r>
      <w:r w:rsidR="00F32B28">
        <w:rPr>
          <w:rtl/>
        </w:rPr>
        <w:t xml:space="preserve"> </w:t>
      </w:r>
      <w:r w:rsidR="00F32B28" w:rsidRPr="00F32B28">
        <w:rPr>
          <w:rtl/>
        </w:rPr>
        <w:t>أشكال</w:t>
      </w:r>
      <w:r w:rsidR="00F32B28">
        <w:rPr>
          <w:rtl/>
        </w:rPr>
        <w:t xml:space="preserve"> </w:t>
      </w:r>
      <w:r w:rsidR="00F32B28" w:rsidRPr="00F32B28">
        <w:rPr>
          <w:rtl/>
        </w:rPr>
        <w:t>التمييز</w:t>
      </w:r>
      <w:r w:rsidR="00F32B28">
        <w:rPr>
          <w:rtl/>
        </w:rPr>
        <w:t xml:space="preserve"> </w:t>
      </w:r>
      <w:r w:rsidR="00F32B28" w:rsidRPr="00F32B28">
        <w:rPr>
          <w:rtl/>
        </w:rPr>
        <w:t>في</w:t>
      </w:r>
      <w:r w:rsidR="00F32B28">
        <w:rPr>
          <w:rtl/>
        </w:rPr>
        <w:t xml:space="preserve"> </w:t>
      </w:r>
      <w:r w:rsidR="00F32B28" w:rsidRPr="00F32B28">
        <w:rPr>
          <w:rtl/>
        </w:rPr>
        <w:t>التمتع</w:t>
      </w:r>
      <w:r w:rsidR="00F32B28">
        <w:rPr>
          <w:rtl/>
        </w:rPr>
        <w:t xml:space="preserve"> </w:t>
      </w:r>
      <w:r w:rsidR="00F32B28" w:rsidRPr="00F32B28">
        <w:rPr>
          <w:rtl/>
        </w:rPr>
        <w:t>بحق</w:t>
      </w:r>
      <w:r w:rsidR="00F32B28">
        <w:rPr>
          <w:rtl/>
        </w:rPr>
        <w:t xml:space="preserve"> </w:t>
      </w:r>
      <w:r w:rsidR="00F32B28" w:rsidRPr="00F32B28">
        <w:rPr>
          <w:rtl/>
        </w:rPr>
        <w:t>التعليم</w:t>
      </w:r>
      <w:r w:rsidR="00F32B28">
        <w:rPr>
          <w:rtl/>
        </w:rPr>
        <w:t xml:space="preserve"> </w:t>
      </w:r>
      <w:r w:rsidR="00F32B28" w:rsidRPr="00F32B28">
        <w:rPr>
          <w:rtl/>
        </w:rPr>
        <w:t>وتساوي</w:t>
      </w:r>
      <w:r w:rsidR="00F32B28">
        <w:rPr>
          <w:rtl/>
        </w:rPr>
        <w:t xml:space="preserve"> </w:t>
      </w:r>
      <w:r w:rsidR="00F32B28" w:rsidRPr="00F32B28">
        <w:rPr>
          <w:rtl/>
        </w:rPr>
        <w:t>الفرص</w:t>
      </w:r>
      <w:r w:rsidR="00F32B28">
        <w:rPr>
          <w:rtl/>
        </w:rPr>
        <w:t xml:space="preserve"> </w:t>
      </w:r>
      <w:r w:rsidR="00F32B28" w:rsidRPr="00F32B28">
        <w:rPr>
          <w:rtl/>
        </w:rPr>
        <w:t>الفعلية</w:t>
      </w:r>
      <w:r w:rsidR="00F32B28">
        <w:rPr>
          <w:rtl/>
        </w:rPr>
        <w:t xml:space="preserve"> </w:t>
      </w:r>
      <w:r w:rsidR="00F32B28" w:rsidRPr="00F32B28">
        <w:rPr>
          <w:rtl/>
        </w:rPr>
        <w:t>بين</w:t>
      </w:r>
      <w:r w:rsidR="00F32B28">
        <w:rPr>
          <w:rtl/>
        </w:rPr>
        <w:t xml:space="preserve"> </w:t>
      </w:r>
      <w:r w:rsidR="00F32B28" w:rsidRPr="00F32B28">
        <w:rPr>
          <w:rtl/>
        </w:rPr>
        <w:t>جميع</w:t>
      </w:r>
      <w:r w:rsidR="00F32B28">
        <w:rPr>
          <w:rtl/>
        </w:rPr>
        <w:t xml:space="preserve"> </w:t>
      </w:r>
      <w:r w:rsidR="00F32B28" w:rsidRPr="00F32B28">
        <w:rPr>
          <w:rtl/>
        </w:rPr>
        <w:t>الأطفال،</w:t>
      </w:r>
      <w:r w:rsidR="00F32B28">
        <w:rPr>
          <w:rtl/>
        </w:rPr>
        <w:t xml:space="preserve"> </w:t>
      </w:r>
      <w:r w:rsidR="00F32B28" w:rsidRPr="00F32B28">
        <w:rPr>
          <w:rtl/>
        </w:rPr>
        <w:t>ومنع</w:t>
      </w:r>
      <w:r w:rsidR="00F32B28">
        <w:rPr>
          <w:rtl/>
        </w:rPr>
        <w:t xml:space="preserve"> </w:t>
      </w:r>
      <w:r w:rsidR="00F32B28" w:rsidRPr="00F32B28">
        <w:rPr>
          <w:rtl/>
        </w:rPr>
        <w:t>التسرب</w:t>
      </w:r>
      <w:r w:rsidR="00F32B28">
        <w:rPr>
          <w:rtl/>
        </w:rPr>
        <w:t xml:space="preserve"> </w:t>
      </w:r>
      <w:r w:rsidR="00F32B28" w:rsidRPr="00F32B28">
        <w:rPr>
          <w:rtl/>
        </w:rPr>
        <w:t>المبكر</w:t>
      </w:r>
      <w:r w:rsidR="00F32B28">
        <w:rPr>
          <w:rtl/>
        </w:rPr>
        <w:t xml:space="preserve"> </w:t>
      </w:r>
      <w:r w:rsidR="00F32B28" w:rsidRPr="00F32B28">
        <w:rPr>
          <w:rtl/>
        </w:rPr>
        <w:t>للأطفال</w:t>
      </w:r>
      <w:r w:rsidR="00F32B28">
        <w:rPr>
          <w:rtl/>
        </w:rPr>
        <w:t xml:space="preserve"> </w:t>
      </w:r>
      <w:r w:rsidR="00F32B28" w:rsidRPr="00F32B28">
        <w:rPr>
          <w:rtl/>
        </w:rPr>
        <w:t>من</w:t>
      </w:r>
      <w:r w:rsidR="00F32B28">
        <w:rPr>
          <w:rtl/>
        </w:rPr>
        <w:t xml:space="preserve"> </w:t>
      </w:r>
      <w:r w:rsidR="00F32B28" w:rsidRPr="00F32B28">
        <w:rPr>
          <w:rtl/>
        </w:rPr>
        <w:t>المدارس.</w:t>
      </w:r>
      <w:r w:rsidR="00F32B28">
        <w:rPr>
          <w:rtl/>
        </w:rPr>
        <w:t xml:space="preserve"> </w:t>
      </w:r>
      <w:r w:rsidR="00F32B28" w:rsidRPr="00F32B28">
        <w:rPr>
          <w:rtl/>
        </w:rPr>
        <w:t>كما</w:t>
      </w:r>
      <w:r w:rsidR="00F32B28">
        <w:rPr>
          <w:rtl/>
        </w:rPr>
        <w:t xml:space="preserve"> </w:t>
      </w:r>
      <w:r w:rsidR="00F32B28" w:rsidRPr="00F32B28">
        <w:rPr>
          <w:rtl/>
        </w:rPr>
        <w:t>يؤكد</w:t>
      </w:r>
      <w:r w:rsidR="00F32B28">
        <w:rPr>
          <w:rtl/>
        </w:rPr>
        <w:t xml:space="preserve"> </w:t>
      </w:r>
      <w:r w:rsidR="00F32B28" w:rsidRPr="00F32B28">
        <w:rPr>
          <w:rtl/>
        </w:rPr>
        <w:t>القانون،</w:t>
      </w:r>
      <w:r w:rsidR="00F32B28">
        <w:rPr>
          <w:rtl/>
        </w:rPr>
        <w:t xml:space="preserve"> </w:t>
      </w:r>
      <w:r w:rsidR="00F32B28" w:rsidRPr="00F32B28">
        <w:rPr>
          <w:rtl/>
        </w:rPr>
        <w:t>بالإضافة</w:t>
      </w:r>
      <w:r w:rsidR="00F32B28">
        <w:rPr>
          <w:rtl/>
        </w:rPr>
        <w:t xml:space="preserve"> </w:t>
      </w:r>
      <w:r w:rsidR="00F32B28" w:rsidRPr="00F32B28">
        <w:rPr>
          <w:rtl/>
        </w:rPr>
        <w:t>إلى</w:t>
      </w:r>
      <w:r w:rsidR="00F32B28">
        <w:rPr>
          <w:rtl/>
        </w:rPr>
        <w:t xml:space="preserve"> </w:t>
      </w:r>
      <w:r w:rsidR="00F32B28" w:rsidRPr="00F32B28">
        <w:rPr>
          <w:rtl/>
        </w:rPr>
        <w:t>قانون</w:t>
      </w:r>
      <w:r w:rsidR="00F32B28">
        <w:rPr>
          <w:rtl/>
        </w:rPr>
        <w:t xml:space="preserve"> </w:t>
      </w:r>
      <w:r w:rsidR="00F32B28" w:rsidRPr="00F32B28">
        <w:rPr>
          <w:rtl/>
        </w:rPr>
        <w:t>حقوق</w:t>
      </w:r>
      <w:r w:rsidR="00F32B28">
        <w:rPr>
          <w:rtl/>
        </w:rPr>
        <w:t xml:space="preserve"> </w:t>
      </w:r>
      <w:r w:rsidR="00F32B28" w:rsidRPr="00F32B28">
        <w:rPr>
          <w:rtl/>
        </w:rPr>
        <w:t>المعوقين</w:t>
      </w:r>
      <w:r w:rsidR="00F32B28">
        <w:rPr>
          <w:rtl/>
        </w:rPr>
        <w:t xml:space="preserve"> </w:t>
      </w:r>
      <w:r w:rsidR="00F32B28" w:rsidRPr="00F32B28">
        <w:rPr>
          <w:rtl/>
        </w:rPr>
        <w:t>الفلسطيني،</w:t>
      </w:r>
      <w:r w:rsidR="00F32B28">
        <w:rPr>
          <w:rtl/>
        </w:rPr>
        <w:t xml:space="preserve"> </w:t>
      </w:r>
      <w:r w:rsidR="00F32B28" w:rsidRPr="00F32B28">
        <w:rPr>
          <w:rtl/>
        </w:rPr>
        <w:t>على</w:t>
      </w:r>
      <w:r w:rsidR="00F32B28">
        <w:rPr>
          <w:rtl/>
        </w:rPr>
        <w:t xml:space="preserve"> </w:t>
      </w:r>
      <w:r w:rsidR="00F32B28" w:rsidRPr="00F32B28">
        <w:rPr>
          <w:rtl/>
        </w:rPr>
        <w:t>حق</w:t>
      </w:r>
      <w:r w:rsidR="00F32B28">
        <w:rPr>
          <w:rtl/>
        </w:rPr>
        <w:t xml:space="preserve"> </w:t>
      </w:r>
      <w:r w:rsidR="00F32B28" w:rsidRPr="00F32B28">
        <w:rPr>
          <w:rtl/>
        </w:rPr>
        <w:t>الأطفال</w:t>
      </w:r>
      <w:r w:rsidR="00F32B28">
        <w:rPr>
          <w:rtl/>
        </w:rPr>
        <w:t xml:space="preserve"> </w:t>
      </w:r>
      <w:r w:rsidR="00F32B28" w:rsidRPr="00F32B28">
        <w:rPr>
          <w:rtl/>
        </w:rPr>
        <w:t>ذوي</w:t>
      </w:r>
      <w:r w:rsidR="00F32B28">
        <w:rPr>
          <w:rtl/>
        </w:rPr>
        <w:t xml:space="preserve"> </w:t>
      </w:r>
      <w:r w:rsidR="00F32B28" w:rsidRPr="00F32B28">
        <w:rPr>
          <w:rtl/>
        </w:rPr>
        <w:t>الإعاقة</w:t>
      </w:r>
      <w:r w:rsidR="00F32B28">
        <w:rPr>
          <w:rtl/>
        </w:rPr>
        <w:t xml:space="preserve"> </w:t>
      </w:r>
      <w:r w:rsidR="00F32B28" w:rsidRPr="00F32B28">
        <w:rPr>
          <w:rtl/>
        </w:rPr>
        <w:t>في</w:t>
      </w:r>
      <w:r w:rsidR="00F32B28">
        <w:rPr>
          <w:rtl/>
        </w:rPr>
        <w:t xml:space="preserve"> </w:t>
      </w:r>
      <w:r w:rsidR="00F32B28" w:rsidRPr="00F32B28">
        <w:rPr>
          <w:rtl/>
        </w:rPr>
        <w:t>التعليم</w:t>
      </w:r>
      <w:r w:rsidR="00F32B28">
        <w:rPr>
          <w:rtl/>
        </w:rPr>
        <w:t xml:space="preserve"> </w:t>
      </w:r>
      <w:r w:rsidR="00F32B28" w:rsidRPr="00F32B28">
        <w:rPr>
          <w:rtl/>
        </w:rPr>
        <w:t>والتدريب</w:t>
      </w:r>
      <w:r w:rsidR="00F32B28">
        <w:rPr>
          <w:rtl/>
        </w:rPr>
        <w:t xml:space="preserve"> </w:t>
      </w:r>
      <w:r w:rsidR="00F32B28" w:rsidRPr="00F32B28">
        <w:rPr>
          <w:rtl/>
        </w:rPr>
        <w:t>بذات</w:t>
      </w:r>
      <w:r w:rsidR="00F32B28">
        <w:rPr>
          <w:rtl/>
        </w:rPr>
        <w:t xml:space="preserve"> </w:t>
      </w:r>
      <w:r w:rsidR="00F32B28" w:rsidRPr="00F32B28">
        <w:rPr>
          <w:rtl/>
        </w:rPr>
        <w:t>المدارس</w:t>
      </w:r>
      <w:r w:rsidR="00F32B28">
        <w:rPr>
          <w:rtl/>
        </w:rPr>
        <w:t xml:space="preserve"> </w:t>
      </w:r>
      <w:r w:rsidR="00F32B28" w:rsidRPr="00F32B28">
        <w:rPr>
          <w:rtl/>
        </w:rPr>
        <w:t>والمراكز</w:t>
      </w:r>
      <w:r w:rsidR="00F32B28">
        <w:rPr>
          <w:rtl/>
        </w:rPr>
        <w:t xml:space="preserve"> </w:t>
      </w:r>
      <w:r w:rsidR="00F32B28" w:rsidRPr="00F32B28">
        <w:rPr>
          <w:rtl/>
        </w:rPr>
        <w:t>المعدة</w:t>
      </w:r>
      <w:r w:rsidR="00F32B28">
        <w:rPr>
          <w:rtl/>
        </w:rPr>
        <w:t xml:space="preserve"> </w:t>
      </w:r>
      <w:r w:rsidR="00F32B28" w:rsidRPr="00F32B28">
        <w:rPr>
          <w:rtl/>
        </w:rPr>
        <w:t>لهم</w:t>
      </w:r>
      <w:r w:rsidR="00F32B28">
        <w:rPr>
          <w:rtl/>
        </w:rPr>
        <w:t xml:space="preserve"> </w:t>
      </w:r>
      <w:r w:rsidR="00F32B28" w:rsidRPr="00F32B28">
        <w:rPr>
          <w:rtl/>
        </w:rPr>
        <w:t>ودون</w:t>
      </w:r>
      <w:r w:rsidR="00F32B28">
        <w:rPr>
          <w:rtl/>
        </w:rPr>
        <w:t xml:space="preserve"> </w:t>
      </w:r>
      <w:r w:rsidR="00F32B28" w:rsidRPr="00F32B28">
        <w:rPr>
          <w:rtl/>
        </w:rPr>
        <w:t>أي</w:t>
      </w:r>
      <w:r w:rsidR="00F32B28">
        <w:rPr>
          <w:rtl/>
        </w:rPr>
        <w:t xml:space="preserve"> </w:t>
      </w:r>
      <w:r w:rsidR="00F32B28" w:rsidRPr="00F32B28">
        <w:rPr>
          <w:rtl/>
        </w:rPr>
        <w:t>تمييز.</w:t>
      </w:r>
    </w:p>
    <w:p w:rsidR="00F32B28" w:rsidRPr="00F32B28" w:rsidRDefault="00F3470F" w:rsidP="00F3470F">
      <w:pPr>
        <w:pStyle w:val="SingleTxt"/>
        <w:rPr>
          <w:rtl/>
        </w:rPr>
      </w:pPr>
      <w:r>
        <w:rPr>
          <w:rFonts w:hint="cs"/>
          <w:rtl/>
        </w:rPr>
        <w:t xml:space="preserve">165 - </w:t>
      </w:r>
      <w:r w:rsidR="00F32B28" w:rsidRPr="00F32B28">
        <w:rPr>
          <w:rtl/>
        </w:rPr>
        <w:t>كما</w:t>
      </w:r>
      <w:r w:rsidR="00F32B28">
        <w:rPr>
          <w:rtl/>
        </w:rPr>
        <w:t xml:space="preserve"> </w:t>
      </w:r>
      <w:r w:rsidR="00F32B28" w:rsidRPr="00F32B28">
        <w:rPr>
          <w:rtl/>
        </w:rPr>
        <w:t>يكفل</w:t>
      </w:r>
      <w:r w:rsidR="00F32B28">
        <w:rPr>
          <w:rtl/>
        </w:rPr>
        <w:t xml:space="preserve"> </w:t>
      </w:r>
      <w:r w:rsidR="00F32B28" w:rsidRPr="00F32B28">
        <w:rPr>
          <w:rtl/>
        </w:rPr>
        <w:t>قانون</w:t>
      </w:r>
      <w:r w:rsidR="00F32B28">
        <w:rPr>
          <w:rtl/>
        </w:rPr>
        <w:t xml:space="preserve"> </w:t>
      </w:r>
      <w:r w:rsidR="00F32B28" w:rsidRPr="00F32B28">
        <w:rPr>
          <w:rtl/>
        </w:rPr>
        <w:t>الأسرى</w:t>
      </w:r>
      <w:r w:rsidR="00F32B28">
        <w:rPr>
          <w:rtl/>
        </w:rPr>
        <w:t xml:space="preserve"> </w:t>
      </w:r>
      <w:r w:rsidR="00F32B28" w:rsidRPr="00F32B28">
        <w:rPr>
          <w:rtl/>
        </w:rPr>
        <w:t>والمحررين</w:t>
      </w:r>
      <w:r w:rsidR="00F32B28">
        <w:rPr>
          <w:rtl/>
        </w:rPr>
        <w:t xml:space="preserve"> </w:t>
      </w:r>
      <w:r w:rsidR="00F32B28" w:rsidRPr="00F32B28">
        <w:rPr>
          <w:rtl/>
        </w:rPr>
        <w:t>الفلسطيني</w:t>
      </w:r>
      <w:r w:rsidR="00F32B28">
        <w:rPr>
          <w:rtl/>
        </w:rPr>
        <w:t xml:space="preserve"> </w:t>
      </w:r>
      <w:r w:rsidR="00F32B28" w:rsidRPr="00F32B28">
        <w:rPr>
          <w:rtl/>
        </w:rPr>
        <w:t>رقم</w:t>
      </w:r>
      <w:r w:rsidR="00F32B28">
        <w:rPr>
          <w:rtl/>
        </w:rPr>
        <w:t xml:space="preserve"> </w:t>
      </w:r>
      <w:r w:rsidR="00F32B28" w:rsidRPr="00F32B28">
        <w:rPr>
          <w:rtl/>
        </w:rPr>
        <w:t>(19)</w:t>
      </w:r>
      <w:r w:rsidR="00F32B28">
        <w:rPr>
          <w:rtl/>
        </w:rPr>
        <w:t xml:space="preserve"> </w:t>
      </w:r>
      <w:r w:rsidR="00F32B28" w:rsidRPr="00F32B28">
        <w:rPr>
          <w:rtl/>
        </w:rPr>
        <w:t>لسنة</w:t>
      </w:r>
      <w:r w:rsidR="00F32B28">
        <w:rPr>
          <w:rtl/>
        </w:rPr>
        <w:t xml:space="preserve"> </w:t>
      </w:r>
      <w:r w:rsidR="00F32B28" w:rsidRPr="00F32B28">
        <w:rPr>
          <w:rtl/>
        </w:rPr>
        <w:t>2004</w:t>
      </w:r>
      <w:r w:rsidR="00F32B28">
        <w:rPr>
          <w:rtl/>
        </w:rPr>
        <w:t xml:space="preserve"> </w:t>
      </w:r>
      <w:r w:rsidR="00F32B28" w:rsidRPr="00F32B28">
        <w:rPr>
          <w:rtl/>
        </w:rPr>
        <w:t>الحقوق</w:t>
      </w:r>
      <w:r w:rsidR="00F32B28">
        <w:rPr>
          <w:rtl/>
        </w:rPr>
        <w:t xml:space="preserve"> </w:t>
      </w:r>
      <w:r w:rsidR="00F32B28" w:rsidRPr="00F32B28">
        <w:rPr>
          <w:rtl/>
        </w:rPr>
        <w:t>التعليمية</w:t>
      </w:r>
      <w:r w:rsidR="00F32B28">
        <w:rPr>
          <w:rtl/>
        </w:rPr>
        <w:t xml:space="preserve"> </w:t>
      </w:r>
      <w:r w:rsidR="00F32B28" w:rsidRPr="00F32B28">
        <w:rPr>
          <w:rtl/>
        </w:rPr>
        <w:t>الخاصة</w:t>
      </w:r>
      <w:r w:rsidR="00F32B28">
        <w:rPr>
          <w:rtl/>
        </w:rPr>
        <w:t xml:space="preserve"> </w:t>
      </w:r>
      <w:r w:rsidR="00F32B28" w:rsidRPr="00F32B28">
        <w:rPr>
          <w:rtl/>
        </w:rPr>
        <w:t>بالأسرى</w:t>
      </w:r>
      <w:r w:rsidR="00F32B28">
        <w:rPr>
          <w:rtl/>
        </w:rPr>
        <w:t xml:space="preserve"> </w:t>
      </w:r>
      <w:r w:rsidR="00F32B28" w:rsidRPr="00F32B28">
        <w:rPr>
          <w:rtl/>
        </w:rPr>
        <w:t>والمحررين</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سجون</w:t>
      </w:r>
      <w:r w:rsidR="00F32B28">
        <w:rPr>
          <w:rtl/>
        </w:rPr>
        <w:t xml:space="preserve"> </w:t>
      </w:r>
      <w:r w:rsidR="00F32B28" w:rsidRPr="00F32B28">
        <w:rPr>
          <w:rtl/>
        </w:rPr>
        <w:t>الاحتلال،</w:t>
      </w:r>
      <w:r w:rsidR="00F32B28">
        <w:rPr>
          <w:rtl/>
        </w:rPr>
        <w:t xml:space="preserve"> </w:t>
      </w:r>
      <w:r w:rsidR="00F32B28" w:rsidRPr="00F32B28">
        <w:rPr>
          <w:rtl/>
        </w:rPr>
        <w:t>رجالاً</w:t>
      </w:r>
      <w:r w:rsidR="00F32B28">
        <w:rPr>
          <w:rtl/>
        </w:rPr>
        <w:t xml:space="preserve"> </w:t>
      </w:r>
      <w:r w:rsidR="00F32B28" w:rsidRPr="00F32B28">
        <w:rPr>
          <w:rtl/>
        </w:rPr>
        <w:t>ونساءً</w:t>
      </w:r>
      <w:r w:rsidR="00F32B28">
        <w:rPr>
          <w:rtl/>
        </w:rPr>
        <w:t xml:space="preserve"> </w:t>
      </w:r>
      <w:r w:rsidR="00F32B28" w:rsidRPr="00F32B28">
        <w:rPr>
          <w:rtl/>
        </w:rPr>
        <w:t>على</w:t>
      </w:r>
      <w:r w:rsidR="00F32B28">
        <w:rPr>
          <w:rtl/>
        </w:rPr>
        <w:t xml:space="preserve"> </w:t>
      </w:r>
      <w:r w:rsidR="00F32B28" w:rsidRPr="00F32B28">
        <w:rPr>
          <w:rtl/>
        </w:rPr>
        <w:t>حد</w:t>
      </w:r>
      <w:r w:rsidR="00F32B28">
        <w:rPr>
          <w:rtl/>
        </w:rPr>
        <w:t xml:space="preserve"> </w:t>
      </w:r>
      <w:r w:rsidR="00F32B28" w:rsidRPr="00F32B28">
        <w:rPr>
          <w:rtl/>
        </w:rPr>
        <w:t>سواء،</w:t>
      </w:r>
      <w:r w:rsidR="00F32B28">
        <w:rPr>
          <w:rtl/>
        </w:rPr>
        <w:t xml:space="preserve"> </w:t>
      </w:r>
      <w:r w:rsidR="00F32B28" w:rsidRPr="00F32B28">
        <w:rPr>
          <w:rtl/>
        </w:rPr>
        <w:t>وإعفائهم</w:t>
      </w:r>
      <w:r w:rsidR="00F32B28">
        <w:rPr>
          <w:rtl/>
        </w:rPr>
        <w:t xml:space="preserve"> </w:t>
      </w:r>
      <w:r w:rsidR="00F32B28" w:rsidRPr="00F32B28">
        <w:rPr>
          <w:rtl/>
        </w:rPr>
        <w:t>كلياً</w:t>
      </w:r>
      <w:r w:rsidR="00F32B28">
        <w:rPr>
          <w:rtl/>
        </w:rPr>
        <w:t xml:space="preserve"> </w:t>
      </w:r>
      <w:r w:rsidR="00F32B28" w:rsidRPr="00F32B28">
        <w:rPr>
          <w:rtl/>
        </w:rPr>
        <w:t>أو</w:t>
      </w:r>
      <w:r w:rsidR="00F32B28">
        <w:rPr>
          <w:rtl/>
        </w:rPr>
        <w:t xml:space="preserve"> </w:t>
      </w:r>
      <w:r w:rsidR="00F32B28" w:rsidRPr="00F32B28">
        <w:rPr>
          <w:rtl/>
        </w:rPr>
        <w:t>جزئياً</w:t>
      </w:r>
      <w:r w:rsidR="00F32B28">
        <w:rPr>
          <w:rtl/>
        </w:rPr>
        <w:t xml:space="preserve"> </w:t>
      </w:r>
      <w:r w:rsidR="00F32B28" w:rsidRPr="00F32B28">
        <w:rPr>
          <w:rtl/>
        </w:rPr>
        <w:t>من</w:t>
      </w:r>
      <w:r w:rsidR="00F32B28">
        <w:rPr>
          <w:rtl/>
        </w:rPr>
        <w:t xml:space="preserve"> </w:t>
      </w:r>
      <w:r w:rsidR="00F32B28" w:rsidRPr="00F32B28">
        <w:rPr>
          <w:rtl/>
        </w:rPr>
        <w:t>رسوم</w:t>
      </w:r>
      <w:r w:rsidR="00F32B28">
        <w:rPr>
          <w:rtl/>
        </w:rPr>
        <w:t xml:space="preserve"> </w:t>
      </w:r>
      <w:r w:rsidR="00F32B28" w:rsidRPr="00F32B28">
        <w:rPr>
          <w:rtl/>
        </w:rPr>
        <w:t>التعليم</w:t>
      </w:r>
      <w:r w:rsidR="00F32B28">
        <w:rPr>
          <w:rtl/>
        </w:rPr>
        <w:t xml:space="preserve"> </w:t>
      </w:r>
      <w:r w:rsidR="00F32B28" w:rsidRPr="00F32B28">
        <w:rPr>
          <w:rtl/>
        </w:rPr>
        <w:t>الدراسي</w:t>
      </w:r>
      <w:r w:rsidR="00F32B28">
        <w:rPr>
          <w:rtl/>
        </w:rPr>
        <w:t xml:space="preserve"> </w:t>
      </w:r>
      <w:r w:rsidR="00F32B28" w:rsidRPr="00F32B28">
        <w:rPr>
          <w:rtl/>
        </w:rPr>
        <w:t>في</w:t>
      </w:r>
      <w:r w:rsidR="00F32B28">
        <w:rPr>
          <w:rtl/>
        </w:rPr>
        <w:t xml:space="preserve"> </w:t>
      </w:r>
      <w:r w:rsidR="00F32B28" w:rsidRPr="00F32B28">
        <w:rPr>
          <w:rtl/>
        </w:rPr>
        <w:t>الجامعات.</w:t>
      </w:r>
      <w:r w:rsidR="00F32B28">
        <w:rPr>
          <w:rtl/>
        </w:rPr>
        <w:t xml:space="preserve"> </w:t>
      </w:r>
    </w:p>
    <w:p w:rsidR="00F32B28" w:rsidRPr="00F32B28" w:rsidRDefault="00F3470F" w:rsidP="00F3470F">
      <w:pPr>
        <w:pStyle w:val="SingleTxt"/>
        <w:rPr>
          <w:rtl/>
        </w:rPr>
      </w:pPr>
      <w:r>
        <w:rPr>
          <w:rFonts w:hint="cs"/>
          <w:rtl/>
        </w:rPr>
        <w:t xml:space="preserve">166 - </w:t>
      </w:r>
      <w:r w:rsidR="00F32B28" w:rsidRPr="00F32B28">
        <w:rPr>
          <w:rtl/>
        </w:rPr>
        <w:t>كما</w:t>
      </w:r>
      <w:r w:rsidR="00F32B28">
        <w:rPr>
          <w:rtl/>
        </w:rPr>
        <w:t xml:space="preserve"> </w:t>
      </w:r>
      <w:r w:rsidR="00F32B28" w:rsidRPr="00F32B28">
        <w:rPr>
          <w:rtl/>
        </w:rPr>
        <w:t>يضمن</w:t>
      </w:r>
      <w:r w:rsidR="00F32B28">
        <w:rPr>
          <w:rtl/>
        </w:rPr>
        <w:t xml:space="preserve"> </w:t>
      </w:r>
      <w:r w:rsidR="00F32B28" w:rsidRPr="00F32B28">
        <w:rPr>
          <w:rtl/>
        </w:rPr>
        <w:t>قانون</w:t>
      </w:r>
      <w:r w:rsidR="00F32B28">
        <w:rPr>
          <w:rtl/>
        </w:rPr>
        <w:t xml:space="preserve"> </w:t>
      </w:r>
      <w:r w:rsidR="00F32B28" w:rsidRPr="00F32B28">
        <w:rPr>
          <w:rtl/>
        </w:rPr>
        <w:t>رقم</w:t>
      </w:r>
      <w:r w:rsidR="00F32B28">
        <w:rPr>
          <w:rtl/>
        </w:rPr>
        <w:t xml:space="preserve"> </w:t>
      </w:r>
      <w:r w:rsidR="00F32B28" w:rsidRPr="00F32B28">
        <w:rPr>
          <w:rtl/>
        </w:rPr>
        <w:t>(6)</w:t>
      </w:r>
      <w:r w:rsidR="00F32B28">
        <w:rPr>
          <w:rtl/>
        </w:rPr>
        <w:t xml:space="preserve"> </w:t>
      </w:r>
      <w:r w:rsidR="00F32B28" w:rsidRPr="00F32B28">
        <w:rPr>
          <w:rtl/>
        </w:rPr>
        <w:t>لسنة</w:t>
      </w:r>
      <w:r w:rsidR="00F32B28">
        <w:rPr>
          <w:rtl/>
        </w:rPr>
        <w:t xml:space="preserve"> </w:t>
      </w:r>
      <w:r w:rsidR="00F32B28" w:rsidRPr="00F32B28">
        <w:rPr>
          <w:rtl/>
        </w:rPr>
        <w:t>1998</w:t>
      </w:r>
      <w:r w:rsidR="00F32B28">
        <w:rPr>
          <w:rtl/>
        </w:rPr>
        <w:t xml:space="preserve"> </w:t>
      </w:r>
      <w:r w:rsidR="00F32B28" w:rsidRPr="00F32B28">
        <w:rPr>
          <w:rtl/>
        </w:rPr>
        <w:t>بشأن</w:t>
      </w:r>
      <w:r w:rsidR="00F32B28">
        <w:rPr>
          <w:rtl/>
        </w:rPr>
        <w:t xml:space="preserve"> </w:t>
      </w:r>
      <w:r w:rsidR="00F32B28" w:rsidRPr="00F32B28">
        <w:rPr>
          <w:rtl/>
        </w:rPr>
        <w:t>مراكز</w:t>
      </w:r>
      <w:r w:rsidR="00F32B28">
        <w:rPr>
          <w:rtl/>
        </w:rPr>
        <w:t xml:space="preserve"> </w:t>
      </w:r>
      <w:r w:rsidR="00F32B28" w:rsidRPr="00F32B28">
        <w:rPr>
          <w:rtl/>
        </w:rPr>
        <w:t>الإصلاح</w:t>
      </w:r>
      <w:r w:rsidR="00F32B28">
        <w:rPr>
          <w:rtl/>
        </w:rPr>
        <w:t xml:space="preserve"> </w:t>
      </w:r>
      <w:r w:rsidR="00F32B28" w:rsidRPr="00F32B28">
        <w:rPr>
          <w:rtl/>
        </w:rPr>
        <w:t>والتأهيل</w:t>
      </w:r>
      <w:r w:rsidR="00F32B28">
        <w:rPr>
          <w:rtl/>
        </w:rPr>
        <w:t xml:space="preserve"> </w:t>
      </w:r>
      <w:r w:rsidR="00F32B28" w:rsidRPr="00F32B28">
        <w:rPr>
          <w:rtl/>
        </w:rPr>
        <w:t>حق</w:t>
      </w:r>
      <w:r w:rsidR="00F32B28">
        <w:rPr>
          <w:rtl/>
        </w:rPr>
        <w:t xml:space="preserve"> </w:t>
      </w:r>
      <w:r w:rsidR="00F32B28" w:rsidRPr="00F32B28">
        <w:rPr>
          <w:rtl/>
        </w:rPr>
        <w:t>كل</w:t>
      </w:r>
      <w:r w:rsidR="00F32B28">
        <w:rPr>
          <w:rtl/>
        </w:rPr>
        <w:t xml:space="preserve"> </w:t>
      </w:r>
      <w:r w:rsidR="00F32B28" w:rsidRPr="00F32B28">
        <w:rPr>
          <w:rtl/>
        </w:rPr>
        <w:t>نزيل،</w:t>
      </w:r>
      <w:r w:rsidR="00F32B28">
        <w:rPr>
          <w:rtl/>
        </w:rPr>
        <w:t xml:space="preserve"> </w:t>
      </w:r>
      <w:r w:rsidR="00F32B28" w:rsidRPr="00F32B28">
        <w:rPr>
          <w:rtl/>
        </w:rPr>
        <w:t>رجلاً</w:t>
      </w:r>
      <w:r w:rsidR="00F32B28">
        <w:rPr>
          <w:rtl/>
        </w:rPr>
        <w:t xml:space="preserve"> </w:t>
      </w:r>
      <w:r w:rsidR="00F32B28" w:rsidRPr="00F32B28">
        <w:rPr>
          <w:rtl/>
        </w:rPr>
        <w:t>أو</w:t>
      </w:r>
      <w:r w:rsidR="00F32B28">
        <w:rPr>
          <w:rtl/>
        </w:rPr>
        <w:t xml:space="preserve"> </w:t>
      </w:r>
      <w:r w:rsidR="00F32B28" w:rsidRPr="00F32B28">
        <w:rPr>
          <w:rtl/>
        </w:rPr>
        <w:t>امرأة،</w:t>
      </w:r>
      <w:r w:rsidR="00F32B28">
        <w:rPr>
          <w:rtl/>
        </w:rPr>
        <w:t xml:space="preserve"> </w:t>
      </w:r>
      <w:r w:rsidR="00F32B28" w:rsidRPr="00F32B28">
        <w:rPr>
          <w:rtl/>
        </w:rPr>
        <w:t>في</w:t>
      </w:r>
      <w:r w:rsidR="00F32B28">
        <w:rPr>
          <w:rtl/>
        </w:rPr>
        <w:t xml:space="preserve"> </w:t>
      </w:r>
      <w:r w:rsidR="00F32B28" w:rsidRPr="00F32B28">
        <w:rPr>
          <w:rtl/>
        </w:rPr>
        <w:t>التعليم،</w:t>
      </w:r>
      <w:r w:rsidR="00F32B28">
        <w:rPr>
          <w:rtl/>
        </w:rPr>
        <w:t xml:space="preserve"> </w:t>
      </w:r>
      <w:r w:rsidR="00F32B28" w:rsidRPr="00F32B28">
        <w:rPr>
          <w:rtl/>
        </w:rPr>
        <w:t>وينص</w:t>
      </w:r>
      <w:r w:rsidR="00F32B28">
        <w:rPr>
          <w:rtl/>
        </w:rPr>
        <w:t xml:space="preserve"> </w:t>
      </w:r>
      <w:r w:rsidR="00F32B28" w:rsidRPr="00F32B28">
        <w:rPr>
          <w:rtl/>
        </w:rPr>
        <w:t>على</w:t>
      </w:r>
      <w:r w:rsidR="00F32B28">
        <w:rPr>
          <w:rtl/>
        </w:rPr>
        <w:t xml:space="preserve"> </w:t>
      </w:r>
      <w:r w:rsidR="00F32B28" w:rsidRPr="00F32B28">
        <w:rPr>
          <w:rtl/>
        </w:rPr>
        <w:t>إلزامية</w:t>
      </w:r>
      <w:r w:rsidR="00F32B28">
        <w:rPr>
          <w:rtl/>
        </w:rPr>
        <w:t xml:space="preserve"> </w:t>
      </w:r>
      <w:r w:rsidR="00F32B28" w:rsidRPr="00F32B28">
        <w:rPr>
          <w:rtl/>
        </w:rPr>
        <w:t>توفير</w:t>
      </w:r>
      <w:r w:rsidR="00F32B28">
        <w:rPr>
          <w:rtl/>
        </w:rPr>
        <w:t xml:space="preserve"> </w:t>
      </w:r>
      <w:r w:rsidR="00F32B28" w:rsidRPr="00F32B28">
        <w:rPr>
          <w:rtl/>
        </w:rPr>
        <w:t>كل</w:t>
      </w:r>
      <w:r w:rsidR="00F32B28">
        <w:rPr>
          <w:rtl/>
        </w:rPr>
        <w:t xml:space="preserve"> </w:t>
      </w:r>
      <w:r w:rsidR="00F32B28" w:rsidRPr="00F32B28">
        <w:rPr>
          <w:rtl/>
        </w:rPr>
        <w:t>ما</w:t>
      </w:r>
      <w:r w:rsidR="00F32B28">
        <w:rPr>
          <w:rtl/>
        </w:rPr>
        <w:t xml:space="preserve"> </w:t>
      </w:r>
      <w:r w:rsidR="00F32B28" w:rsidRPr="00F32B28">
        <w:rPr>
          <w:rtl/>
        </w:rPr>
        <w:t>يلزم</w:t>
      </w:r>
      <w:r w:rsidR="00F32B28">
        <w:rPr>
          <w:rtl/>
        </w:rPr>
        <w:t xml:space="preserve"> </w:t>
      </w:r>
      <w:r w:rsidR="00F32B28" w:rsidRPr="00F32B28">
        <w:rPr>
          <w:rtl/>
        </w:rPr>
        <w:t>للنزلاء</w:t>
      </w:r>
      <w:r w:rsidR="00F32B28">
        <w:rPr>
          <w:rtl/>
        </w:rPr>
        <w:t xml:space="preserve"> </w:t>
      </w:r>
      <w:r w:rsidR="00F32B28" w:rsidRPr="00F32B28">
        <w:rPr>
          <w:rtl/>
        </w:rPr>
        <w:t>لتمكينهم</w:t>
      </w:r>
      <w:r w:rsidR="00F32B28">
        <w:rPr>
          <w:rtl/>
        </w:rPr>
        <w:t xml:space="preserve"> </w:t>
      </w:r>
      <w:r w:rsidR="00F32B28" w:rsidRPr="00F32B28">
        <w:rPr>
          <w:rtl/>
        </w:rPr>
        <w:t>من</w:t>
      </w:r>
      <w:r w:rsidR="00F32B28">
        <w:rPr>
          <w:rtl/>
        </w:rPr>
        <w:t xml:space="preserve"> </w:t>
      </w:r>
      <w:r w:rsidR="00F32B28" w:rsidRPr="00F32B28">
        <w:rPr>
          <w:rtl/>
        </w:rPr>
        <w:t>المطالعة</w:t>
      </w:r>
      <w:r w:rsidR="00F32B28">
        <w:rPr>
          <w:rtl/>
        </w:rPr>
        <w:t xml:space="preserve"> </w:t>
      </w:r>
      <w:r w:rsidR="00F32B28" w:rsidRPr="00F32B28">
        <w:rPr>
          <w:rtl/>
        </w:rPr>
        <w:t>ومواصلة</w:t>
      </w:r>
      <w:r w:rsidR="00F32B28">
        <w:rPr>
          <w:rtl/>
        </w:rPr>
        <w:t xml:space="preserve"> </w:t>
      </w:r>
      <w:r w:rsidR="00F32B28" w:rsidRPr="00F32B28">
        <w:rPr>
          <w:rtl/>
        </w:rPr>
        <w:t>الدراسة</w:t>
      </w:r>
      <w:r w:rsidR="00F32B28">
        <w:rPr>
          <w:rtl/>
        </w:rPr>
        <w:t xml:space="preserve"> </w:t>
      </w:r>
      <w:r w:rsidR="00F32B28" w:rsidRPr="00F32B28">
        <w:rPr>
          <w:rtl/>
        </w:rPr>
        <w:t>سواء</w:t>
      </w:r>
      <w:r w:rsidR="00F32B28">
        <w:rPr>
          <w:rtl/>
        </w:rPr>
        <w:t xml:space="preserve"> </w:t>
      </w:r>
      <w:r w:rsidR="00F32B28" w:rsidRPr="00F32B28">
        <w:rPr>
          <w:rtl/>
        </w:rPr>
        <w:t>في</w:t>
      </w:r>
      <w:r w:rsidR="00F32B28">
        <w:rPr>
          <w:rtl/>
        </w:rPr>
        <w:t xml:space="preserve"> </w:t>
      </w:r>
      <w:r w:rsidR="00F32B28" w:rsidRPr="00F32B28">
        <w:rPr>
          <w:rtl/>
        </w:rPr>
        <w:t>المدارس</w:t>
      </w:r>
      <w:r w:rsidR="00F32B28">
        <w:rPr>
          <w:rtl/>
        </w:rPr>
        <w:t xml:space="preserve"> </w:t>
      </w:r>
      <w:r w:rsidR="00F32B28" w:rsidRPr="00F32B28">
        <w:rPr>
          <w:rtl/>
        </w:rPr>
        <w:t>وحتى</w:t>
      </w:r>
      <w:r w:rsidR="00F32B28">
        <w:rPr>
          <w:rtl/>
        </w:rPr>
        <w:t xml:space="preserve"> </w:t>
      </w:r>
      <w:r w:rsidR="00F32B28" w:rsidRPr="00F32B28">
        <w:rPr>
          <w:rtl/>
        </w:rPr>
        <w:t>الجامعة</w:t>
      </w:r>
      <w:r w:rsidR="00F32B28">
        <w:rPr>
          <w:rtl/>
        </w:rPr>
        <w:t xml:space="preserve"> </w:t>
      </w:r>
      <w:r w:rsidR="00F32B28" w:rsidRPr="00F32B28">
        <w:rPr>
          <w:rtl/>
        </w:rPr>
        <w:t>استثناء</w:t>
      </w:r>
      <w:r w:rsidR="00F32B28">
        <w:rPr>
          <w:rtl/>
        </w:rPr>
        <w:t xml:space="preserve"> </w:t>
      </w:r>
      <w:r w:rsidR="00F32B28" w:rsidRPr="00F32B28">
        <w:rPr>
          <w:rtl/>
        </w:rPr>
        <w:t>على</w:t>
      </w:r>
      <w:r w:rsidR="00F32B28">
        <w:rPr>
          <w:rtl/>
        </w:rPr>
        <w:t xml:space="preserve"> </w:t>
      </w:r>
      <w:r w:rsidR="00F32B28" w:rsidRPr="00F32B28">
        <w:rPr>
          <w:rtl/>
        </w:rPr>
        <w:t>شرط</w:t>
      </w:r>
      <w:r w:rsidR="00F32B28">
        <w:rPr>
          <w:rtl/>
        </w:rPr>
        <w:t xml:space="preserve"> </w:t>
      </w:r>
      <w:r w:rsidR="00F32B28" w:rsidRPr="00F32B28">
        <w:rPr>
          <w:rtl/>
        </w:rPr>
        <w:t>الدوام</w:t>
      </w:r>
      <w:r w:rsidR="00F32B28">
        <w:rPr>
          <w:rtl/>
        </w:rPr>
        <w:t xml:space="preserve"> </w:t>
      </w:r>
      <w:r w:rsidR="00F32B28" w:rsidRPr="00F32B28">
        <w:rPr>
          <w:rtl/>
        </w:rPr>
        <w:t>اليومي،</w:t>
      </w:r>
      <w:r w:rsidR="00F32B28">
        <w:rPr>
          <w:rtl/>
        </w:rPr>
        <w:t xml:space="preserve"> </w:t>
      </w:r>
      <w:r w:rsidR="00F32B28" w:rsidRPr="00F32B28">
        <w:rPr>
          <w:rtl/>
        </w:rPr>
        <w:t>وتمكينهم</w:t>
      </w:r>
      <w:r w:rsidR="00F32B28">
        <w:rPr>
          <w:rtl/>
        </w:rPr>
        <w:t xml:space="preserve"> </w:t>
      </w:r>
      <w:r w:rsidR="00F32B28" w:rsidRPr="00F32B28">
        <w:rPr>
          <w:rtl/>
        </w:rPr>
        <w:t>من</w:t>
      </w:r>
      <w:r w:rsidR="00F32B28">
        <w:rPr>
          <w:rtl/>
        </w:rPr>
        <w:t xml:space="preserve"> </w:t>
      </w:r>
      <w:r w:rsidR="00F32B28" w:rsidRPr="00F32B28">
        <w:rPr>
          <w:rtl/>
        </w:rPr>
        <w:t>أداء</w:t>
      </w:r>
      <w:r w:rsidR="00F32B28">
        <w:rPr>
          <w:rtl/>
        </w:rPr>
        <w:t xml:space="preserve"> </w:t>
      </w:r>
      <w:r w:rsidR="00F32B28" w:rsidRPr="00F32B28">
        <w:rPr>
          <w:rtl/>
        </w:rPr>
        <w:t>الامتحانات.</w:t>
      </w:r>
    </w:p>
    <w:p w:rsidR="00F32B28" w:rsidRPr="00F32B28" w:rsidRDefault="00F3470F" w:rsidP="00F3470F">
      <w:pPr>
        <w:pStyle w:val="SingleTxt"/>
        <w:rPr>
          <w:rtl/>
        </w:rPr>
      </w:pPr>
      <w:r>
        <w:rPr>
          <w:rFonts w:hint="cs"/>
          <w:rtl/>
        </w:rPr>
        <w:t xml:space="preserve">167 - </w:t>
      </w:r>
      <w:r w:rsidR="00F32B28" w:rsidRPr="00F32B28">
        <w:rPr>
          <w:rtl/>
        </w:rPr>
        <w:t>تشرف</w:t>
      </w:r>
      <w:r w:rsidR="00F32B28">
        <w:rPr>
          <w:rtl/>
        </w:rPr>
        <w:t xml:space="preserve"> </w:t>
      </w:r>
      <w:r w:rsidR="00F32B28" w:rsidRPr="00F32B28">
        <w:rPr>
          <w:rtl/>
        </w:rPr>
        <w:t>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الفلسطينية</w:t>
      </w:r>
      <w:r w:rsidR="00F32B28">
        <w:rPr>
          <w:rtl/>
        </w:rPr>
        <w:t xml:space="preserve"> </w:t>
      </w:r>
      <w:r w:rsidR="00F32B28" w:rsidRPr="00F32B28">
        <w:rPr>
          <w:rtl/>
        </w:rPr>
        <w:t>على</w:t>
      </w:r>
      <w:r w:rsidR="00F32B28">
        <w:rPr>
          <w:rtl/>
        </w:rPr>
        <w:t xml:space="preserve"> </w:t>
      </w:r>
      <w:r w:rsidR="00F32B28" w:rsidRPr="00F32B28">
        <w:rPr>
          <w:rtl/>
        </w:rPr>
        <w:t>المدارس</w:t>
      </w:r>
      <w:r w:rsidR="00F32B28">
        <w:rPr>
          <w:rtl/>
        </w:rPr>
        <w:t xml:space="preserve"> </w:t>
      </w:r>
      <w:r w:rsidR="00F32B28" w:rsidRPr="00F32B28">
        <w:rPr>
          <w:rtl/>
        </w:rPr>
        <w:t>الحكومية</w:t>
      </w:r>
      <w:r w:rsidR="00F32B28">
        <w:rPr>
          <w:rtl/>
        </w:rPr>
        <w:t xml:space="preserve"> </w:t>
      </w:r>
      <w:r w:rsidR="00F32B28" w:rsidRPr="00F32B28">
        <w:rPr>
          <w:rtl/>
        </w:rPr>
        <w:t>والمدارس</w:t>
      </w:r>
      <w:r w:rsidR="00F32B28">
        <w:rPr>
          <w:rtl/>
        </w:rPr>
        <w:t xml:space="preserve"> </w:t>
      </w:r>
      <w:r w:rsidR="00F32B28" w:rsidRPr="00F32B28">
        <w:rPr>
          <w:rtl/>
        </w:rPr>
        <w:t>الخاصة</w:t>
      </w:r>
      <w:r w:rsidR="00F32B28">
        <w:rPr>
          <w:rtl/>
        </w:rPr>
        <w:t xml:space="preserve"> </w:t>
      </w:r>
      <w:r w:rsidR="00F32B28" w:rsidRPr="00F32B28">
        <w:rPr>
          <w:rtl/>
        </w:rPr>
        <w:t>والمدارس</w:t>
      </w:r>
      <w:r w:rsidR="00F32B28">
        <w:rPr>
          <w:rtl/>
        </w:rPr>
        <w:t xml:space="preserve"> </w:t>
      </w:r>
      <w:r w:rsidR="00F32B28" w:rsidRPr="00F32B28">
        <w:rPr>
          <w:rtl/>
        </w:rPr>
        <w:t>التابعة</w:t>
      </w:r>
      <w:r w:rsidR="00F32B28">
        <w:rPr>
          <w:rtl/>
        </w:rPr>
        <w:t xml:space="preserve"> </w:t>
      </w:r>
      <w:r w:rsidR="00D06D08">
        <w:rPr>
          <w:rFonts w:hint="cs"/>
          <w:rtl/>
        </w:rPr>
        <w:t>”</w:t>
      </w:r>
      <w:r w:rsidR="00F32B28" w:rsidRPr="00F32B28">
        <w:rPr>
          <w:rtl/>
        </w:rPr>
        <w:t>للأونروا</w:t>
      </w:r>
      <w:r w:rsidR="00D06D08">
        <w:rPr>
          <w:rFonts w:hint="cs"/>
          <w:rtl/>
        </w:rPr>
        <w:t>“</w:t>
      </w:r>
      <w:r w:rsidR="00F32B28" w:rsidRPr="00F32B28">
        <w:rPr>
          <w:rtl/>
        </w:rPr>
        <w:t>.</w:t>
      </w:r>
      <w:r w:rsidR="00F32B28">
        <w:rPr>
          <w:rtl/>
        </w:rPr>
        <w:t xml:space="preserve"> </w:t>
      </w:r>
      <w:r w:rsidR="00F32B28" w:rsidRPr="00F32B28">
        <w:rPr>
          <w:rtl/>
        </w:rPr>
        <w:t>ويقسم</w:t>
      </w:r>
      <w:r w:rsidR="00F32B28">
        <w:rPr>
          <w:rtl/>
        </w:rPr>
        <w:t xml:space="preserve"> </w:t>
      </w:r>
      <w:r w:rsidR="00F32B28" w:rsidRPr="00F32B28">
        <w:rPr>
          <w:rtl/>
        </w:rPr>
        <w:t>التعليم</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إلى</w:t>
      </w:r>
      <w:r w:rsidR="00F32B28">
        <w:rPr>
          <w:rtl/>
        </w:rPr>
        <w:t xml:space="preserve"> </w:t>
      </w:r>
      <w:r w:rsidR="00F32B28" w:rsidRPr="00F32B28">
        <w:rPr>
          <w:rtl/>
        </w:rPr>
        <w:t>مراحل</w:t>
      </w:r>
      <w:r w:rsidR="00F32B28">
        <w:rPr>
          <w:rtl/>
        </w:rPr>
        <w:t xml:space="preserve"> </w:t>
      </w:r>
      <w:r w:rsidR="00F32B28" w:rsidRPr="00F32B28">
        <w:rPr>
          <w:rtl/>
        </w:rPr>
        <w:t>هي؛</w:t>
      </w:r>
      <w:r w:rsidR="00F32B28">
        <w:rPr>
          <w:rtl/>
        </w:rPr>
        <w:t xml:space="preserve"> </w:t>
      </w:r>
      <w:r w:rsidR="00F32B28" w:rsidRPr="00F32B28">
        <w:rPr>
          <w:rtl/>
        </w:rPr>
        <w:t>التعليم</w:t>
      </w:r>
      <w:r w:rsidR="00F32B28">
        <w:rPr>
          <w:rtl/>
        </w:rPr>
        <w:t xml:space="preserve"> </w:t>
      </w:r>
      <w:r w:rsidR="00F32B28" w:rsidRPr="00F32B28">
        <w:rPr>
          <w:rtl/>
        </w:rPr>
        <w:t>ما</w:t>
      </w:r>
      <w:r w:rsidR="00F32B28">
        <w:rPr>
          <w:rtl/>
        </w:rPr>
        <w:t xml:space="preserve"> </w:t>
      </w:r>
      <w:r w:rsidR="00F32B28" w:rsidRPr="00F32B28">
        <w:rPr>
          <w:rtl/>
        </w:rPr>
        <w:t>قبل</w:t>
      </w:r>
      <w:r w:rsidR="00F32B28">
        <w:rPr>
          <w:rtl/>
        </w:rPr>
        <w:t xml:space="preserve"> </w:t>
      </w:r>
      <w:r w:rsidR="00F32B28" w:rsidRPr="00F32B28">
        <w:rPr>
          <w:rtl/>
        </w:rPr>
        <w:t>المدرسة</w:t>
      </w:r>
      <w:r w:rsidR="00F32B28">
        <w:rPr>
          <w:rtl/>
        </w:rPr>
        <w:t xml:space="preserve"> </w:t>
      </w:r>
      <w:r w:rsidR="00F32B28" w:rsidRPr="00F32B28">
        <w:rPr>
          <w:rtl/>
        </w:rPr>
        <w:t>(رياض</w:t>
      </w:r>
      <w:r w:rsidR="00F32B28">
        <w:rPr>
          <w:rtl/>
        </w:rPr>
        <w:t xml:space="preserve"> </w:t>
      </w:r>
      <w:r w:rsidR="00F32B28" w:rsidRPr="00F32B28">
        <w:rPr>
          <w:rtl/>
        </w:rPr>
        <w:t>الأطفال)؛</w:t>
      </w:r>
      <w:r w:rsidR="00F32B28">
        <w:rPr>
          <w:rtl/>
        </w:rPr>
        <w:t xml:space="preserve"> </w:t>
      </w:r>
      <w:r w:rsidR="00F32B28" w:rsidRPr="00F32B28">
        <w:rPr>
          <w:rtl/>
        </w:rPr>
        <w:t>والتعليم</w:t>
      </w:r>
      <w:r w:rsidR="00F32B28">
        <w:rPr>
          <w:rtl/>
        </w:rPr>
        <w:t xml:space="preserve"> </w:t>
      </w:r>
      <w:r w:rsidR="00F32B28" w:rsidRPr="00F32B28">
        <w:rPr>
          <w:rtl/>
        </w:rPr>
        <w:t>الأساسي،</w:t>
      </w:r>
      <w:r w:rsidR="00F32B28">
        <w:rPr>
          <w:rtl/>
        </w:rPr>
        <w:t xml:space="preserve"> </w:t>
      </w:r>
      <w:r w:rsidR="00F32B28" w:rsidRPr="00F32B28">
        <w:rPr>
          <w:rtl/>
        </w:rPr>
        <w:t>وهو</w:t>
      </w:r>
      <w:r w:rsidR="00F32B28">
        <w:rPr>
          <w:rtl/>
        </w:rPr>
        <w:t xml:space="preserve"> </w:t>
      </w:r>
      <w:r w:rsidR="00F32B28" w:rsidRPr="00F32B28">
        <w:rPr>
          <w:rtl/>
        </w:rPr>
        <w:t>تعليم</w:t>
      </w:r>
      <w:r w:rsidR="00F32B28">
        <w:rPr>
          <w:rtl/>
        </w:rPr>
        <w:t xml:space="preserve"> </w:t>
      </w:r>
      <w:r w:rsidR="00F32B28" w:rsidRPr="00F32B28">
        <w:rPr>
          <w:rtl/>
        </w:rPr>
        <w:t>إلزامي</w:t>
      </w:r>
      <w:r w:rsidR="00F32B28">
        <w:rPr>
          <w:rtl/>
        </w:rPr>
        <w:t xml:space="preserve"> </w:t>
      </w:r>
      <w:r w:rsidR="00F32B28" w:rsidRPr="00F32B28">
        <w:rPr>
          <w:rtl/>
        </w:rPr>
        <w:t>ومجاني،</w:t>
      </w:r>
      <w:r w:rsidR="00F32B28">
        <w:rPr>
          <w:rtl/>
        </w:rPr>
        <w:t xml:space="preserve"> </w:t>
      </w:r>
      <w:r w:rsidR="00F32B28" w:rsidRPr="00F32B28">
        <w:rPr>
          <w:rtl/>
        </w:rPr>
        <w:t>ومدته</w:t>
      </w:r>
      <w:r w:rsidR="00F32B28">
        <w:rPr>
          <w:rtl/>
        </w:rPr>
        <w:t xml:space="preserve"> </w:t>
      </w:r>
      <w:r w:rsidR="00F32B28" w:rsidRPr="00F32B28">
        <w:rPr>
          <w:rtl/>
        </w:rPr>
        <w:t>عشر</w:t>
      </w:r>
      <w:r w:rsidR="00F32B28">
        <w:rPr>
          <w:rtl/>
        </w:rPr>
        <w:t xml:space="preserve"> </w:t>
      </w:r>
      <w:r w:rsidR="00F32B28" w:rsidRPr="00F32B28">
        <w:rPr>
          <w:rtl/>
        </w:rPr>
        <w:t>سنوات</w:t>
      </w:r>
      <w:r w:rsidR="00F32B28">
        <w:rPr>
          <w:rtl/>
        </w:rPr>
        <w:t xml:space="preserve"> </w:t>
      </w:r>
      <w:r w:rsidR="00F32B28" w:rsidRPr="00F32B28">
        <w:rPr>
          <w:rtl/>
        </w:rPr>
        <w:t>حتى</w:t>
      </w:r>
      <w:r w:rsidR="00F32B28">
        <w:rPr>
          <w:rtl/>
        </w:rPr>
        <w:t xml:space="preserve"> </w:t>
      </w:r>
      <w:r w:rsidR="00F32B28" w:rsidRPr="00F32B28">
        <w:rPr>
          <w:rtl/>
        </w:rPr>
        <w:t>نهاية</w:t>
      </w:r>
      <w:r w:rsidR="00F32B28">
        <w:rPr>
          <w:rtl/>
        </w:rPr>
        <w:t xml:space="preserve"> </w:t>
      </w:r>
      <w:r w:rsidR="00F32B28" w:rsidRPr="00F32B28">
        <w:rPr>
          <w:rtl/>
        </w:rPr>
        <w:t>الصف</w:t>
      </w:r>
      <w:r w:rsidR="00F32B28">
        <w:rPr>
          <w:rtl/>
        </w:rPr>
        <w:t xml:space="preserve"> </w:t>
      </w:r>
      <w:r w:rsidR="00F32B28" w:rsidRPr="00F32B28">
        <w:rPr>
          <w:rtl/>
        </w:rPr>
        <w:t>العاشر</w:t>
      </w:r>
      <w:r w:rsidR="00F32B28">
        <w:rPr>
          <w:rtl/>
        </w:rPr>
        <w:t xml:space="preserve"> </w:t>
      </w:r>
      <w:r w:rsidR="00F32B28" w:rsidRPr="00F32B28">
        <w:rPr>
          <w:rtl/>
        </w:rPr>
        <w:t>الأساسي؛</w:t>
      </w:r>
      <w:r w:rsidR="00F32B28">
        <w:rPr>
          <w:rtl/>
        </w:rPr>
        <w:t xml:space="preserve"> </w:t>
      </w:r>
      <w:r w:rsidR="00F32B28" w:rsidRPr="00F32B28">
        <w:rPr>
          <w:rtl/>
        </w:rPr>
        <w:t>والتعليم</w:t>
      </w:r>
      <w:r w:rsidR="00F32B28">
        <w:rPr>
          <w:rtl/>
        </w:rPr>
        <w:t xml:space="preserve"> </w:t>
      </w:r>
      <w:r w:rsidR="00F32B28" w:rsidRPr="00F32B28">
        <w:rPr>
          <w:rtl/>
        </w:rPr>
        <w:t>الثانوي</w:t>
      </w:r>
      <w:r w:rsidR="00F32B28">
        <w:rPr>
          <w:rtl/>
        </w:rPr>
        <w:t xml:space="preserve"> </w:t>
      </w:r>
      <w:r w:rsidR="00F32B28" w:rsidRPr="00F32B28">
        <w:rPr>
          <w:rtl/>
        </w:rPr>
        <w:t>وهو</w:t>
      </w:r>
      <w:r w:rsidR="00F32B28">
        <w:rPr>
          <w:rtl/>
        </w:rPr>
        <w:t xml:space="preserve"> </w:t>
      </w:r>
      <w:r w:rsidR="00F32B28" w:rsidRPr="00F32B28">
        <w:rPr>
          <w:rtl/>
        </w:rPr>
        <w:t>مجاني</w:t>
      </w:r>
      <w:r w:rsidR="00F32B28">
        <w:rPr>
          <w:rtl/>
        </w:rPr>
        <w:t xml:space="preserve"> </w:t>
      </w:r>
      <w:r w:rsidR="00F32B28" w:rsidRPr="00F32B28">
        <w:rPr>
          <w:rtl/>
        </w:rPr>
        <w:t>في</w:t>
      </w:r>
      <w:r w:rsidR="00F32B28">
        <w:rPr>
          <w:rtl/>
        </w:rPr>
        <w:t xml:space="preserve"> </w:t>
      </w:r>
      <w:r w:rsidR="00F32B28" w:rsidRPr="00F32B28">
        <w:rPr>
          <w:rtl/>
        </w:rPr>
        <w:t>المدارس</w:t>
      </w:r>
      <w:r w:rsidR="00F32B28">
        <w:rPr>
          <w:rtl/>
        </w:rPr>
        <w:t xml:space="preserve"> </w:t>
      </w:r>
      <w:r w:rsidR="00F32B28" w:rsidRPr="00F32B28">
        <w:rPr>
          <w:rtl/>
        </w:rPr>
        <w:t>الحكومية،</w:t>
      </w:r>
      <w:r w:rsidR="00F32B28">
        <w:rPr>
          <w:rtl/>
        </w:rPr>
        <w:t xml:space="preserve"> </w:t>
      </w:r>
      <w:r w:rsidR="00F32B28" w:rsidRPr="00F32B28">
        <w:rPr>
          <w:rtl/>
        </w:rPr>
        <w:t>وله</w:t>
      </w:r>
      <w:r w:rsidR="00F32B28">
        <w:rPr>
          <w:rtl/>
        </w:rPr>
        <w:t xml:space="preserve"> </w:t>
      </w:r>
      <w:r w:rsidR="00F32B28" w:rsidRPr="00F32B28">
        <w:rPr>
          <w:rtl/>
        </w:rPr>
        <w:t>فرعين</w:t>
      </w:r>
      <w:r w:rsidR="00362769">
        <w:rPr>
          <w:rFonts w:hint="cs"/>
          <w:rtl/>
        </w:rPr>
        <w:t xml:space="preserve"> </w:t>
      </w:r>
      <w:r w:rsidR="00F32B28" w:rsidRPr="00F32B28">
        <w:rPr>
          <w:rtl/>
        </w:rPr>
        <w:t>الأكاديمي</w:t>
      </w:r>
      <w:r w:rsidR="00F32B28">
        <w:rPr>
          <w:rtl/>
        </w:rPr>
        <w:t xml:space="preserve"> </w:t>
      </w:r>
      <w:r w:rsidR="00F32B28" w:rsidRPr="00F32B28">
        <w:rPr>
          <w:rtl/>
        </w:rPr>
        <w:t>العلمي</w:t>
      </w:r>
      <w:r w:rsidR="00F32B28">
        <w:rPr>
          <w:rtl/>
        </w:rPr>
        <w:t xml:space="preserve"> </w:t>
      </w:r>
      <w:r w:rsidR="00F32B28" w:rsidRPr="00F32B28">
        <w:rPr>
          <w:rtl/>
        </w:rPr>
        <w:t>والعلوم</w:t>
      </w:r>
      <w:r w:rsidR="00F32B28">
        <w:rPr>
          <w:rtl/>
        </w:rPr>
        <w:t xml:space="preserve"> </w:t>
      </w:r>
      <w:r w:rsidR="00F32B28" w:rsidRPr="00F32B28">
        <w:rPr>
          <w:rtl/>
        </w:rPr>
        <w:t>الإنسانية</w:t>
      </w:r>
      <w:r w:rsidR="00F32B28">
        <w:rPr>
          <w:rtl/>
        </w:rPr>
        <w:t xml:space="preserve"> </w:t>
      </w:r>
      <w:r w:rsidR="00F32B28" w:rsidRPr="00F32B28">
        <w:rPr>
          <w:rtl/>
        </w:rPr>
        <w:t>(الأدبي)،</w:t>
      </w:r>
      <w:r w:rsidR="00F32B28">
        <w:rPr>
          <w:rtl/>
        </w:rPr>
        <w:t xml:space="preserve"> </w:t>
      </w:r>
      <w:r w:rsidR="00F32B28" w:rsidRPr="00F32B28">
        <w:rPr>
          <w:rtl/>
        </w:rPr>
        <w:t>أو</w:t>
      </w:r>
      <w:r w:rsidR="00F32B28">
        <w:rPr>
          <w:rtl/>
        </w:rPr>
        <w:t xml:space="preserve"> </w:t>
      </w:r>
      <w:r w:rsidR="00F32B28" w:rsidRPr="00F32B28">
        <w:rPr>
          <w:rtl/>
        </w:rPr>
        <w:t>الثانوي</w:t>
      </w:r>
      <w:r w:rsidR="00F32B28">
        <w:rPr>
          <w:rtl/>
        </w:rPr>
        <w:t xml:space="preserve"> </w:t>
      </w:r>
      <w:r w:rsidR="00F32B28" w:rsidRPr="00F32B28">
        <w:rPr>
          <w:rtl/>
        </w:rPr>
        <w:t>المهني</w:t>
      </w:r>
      <w:r w:rsidR="00F32B28">
        <w:rPr>
          <w:rtl/>
        </w:rPr>
        <w:t xml:space="preserve"> </w:t>
      </w:r>
      <w:r w:rsidR="00F32B28" w:rsidRPr="00F32B28">
        <w:rPr>
          <w:rtl/>
        </w:rPr>
        <w:t>بفروعه</w:t>
      </w:r>
      <w:r w:rsidR="00F32B28">
        <w:rPr>
          <w:rtl/>
        </w:rPr>
        <w:t xml:space="preserve"> </w:t>
      </w:r>
      <w:r w:rsidR="00F32B28" w:rsidRPr="00F32B28">
        <w:rPr>
          <w:rtl/>
        </w:rPr>
        <w:t>الصناعي،</w:t>
      </w:r>
      <w:r w:rsidR="00F32B28">
        <w:rPr>
          <w:rtl/>
        </w:rPr>
        <w:t xml:space="preserve"> </w:t>
      </w:r>
      <w:r w:rsidR="00F32B28" w:rsidRPr="00F32B28">
        <w:rPr>
          <w:rtl/>
        </w:rPr>
        <w:t>والتجاري،</w:t>
      </w:r>
      <w:r w:rsidR="00F32B28">
        <w:rPr>
          <w:rtl/>
        </w:rPr>
        <w:t xml:space="preserve"> </w:t>
      </w:r>
      <w:r w:rsidR="00F32B28" w:rsidRPr="00F32B28">
        <w:rPr>
          <w:rtl/>
        </w:rPr>
        <w:t>والزراعي،</w:t>
      </w:r>
      <w:r w:rsidR="00F32B28">
        <w:rPr>
          <w:rtl/>
        </w:rPr>
        <w:t xml:space="preserve"> </w:t>
      </w:r>
      <w:r w:rsidR="00F32B28" w:rsidRPr="00F32B28">
        <w:rPr>
          <w:rtl/>
        </w:rPr>
        <w:t>والتمريضي،</w:t>
      </w:r>
      <w:r w:rsidR="00F32B28">
        <w:rPr>
          <w:rtl/>
        </w:rPr>
        <w:t xml:space="preserve"> </w:t>
      </w:r>
      <w:r w:rsidR="00F32B28" w:rsidRPr="00F32B28">
        <w:rPr>
          <w:rtl/>
        </w:rPr>
        <w:t>والفندقي؛</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والتعليم</w:t>
      </w:r>
      <w:r w:rsidR="00F32B28">
        <w:rPr>
          <w:rtl/>
        </w:rPr>
        <w:t xml:space="preserve"> </w:t>
      </w:r>
      <w:r w:rsidR="00F32B28" w:rsidRPr="00F32B28">
        <w:rPr>
          <w:rtl/>
        </w:rPr>
        <w:t>الموازي</w:t>
      </w:r>
      <w:r w:rsidR="00F32B28">
        <w:rPr>
          <w:rtl/>
        </w:rPr>
        <w:t xml:space="preserve"> </w:t>
      </w:r>
      <w:r w:rsidR="00F32B28" w:rsidRPr="00F32B28">
        <w:rPr>
          <w:rtl/>
        </w:rPr>
        <w:t>ومحو</w:t>
      </w:r>
      <w:r w:rsidR="00F32B28">
        <w:rPr>
          <w:rtl/>
        </w:rPr>
        <w:t xml:space="preserve"> </w:t>
      </w:r>
      <w:r w:rsidR="00F32B28" w:rsidRPr="00F32B28">
        <w:rPr>
          <w:rtl/>
        </w:rPr>
        <w:t>الأمية.</w:t>
      </w:r>
      <w:r w:rsidR="00F32B28">
        <w:rPr>
          <w:rtl/>
        </w:rPr>
        <w:t xml:space="preserve"> </w:t>
      </w:r>
    </w:p>
    <w:p w:rsidR="00F32B28" w:rsidRPr="00F32B28" w:rsidRDefault="00F3470F" w:rsidP="00F3470F">
      <w:pPr>
        <w:pStyle w:val="SingleTxt"/>
        <w:rPr>
          <w:rtl/>
        </w:rPr>
      </w:pPr>
      <w:r>
        <w:rPr>
          <w:rFonts w:hint="cs"/>
          <w:rtl/>
        </w:rPr>
        <w:t xml:space="preserve">168 - </w:t>
      </w:r>
      <w:r w:rsidR="00F32B28" w:rsidRPr="00F32B28">
        <w:rPr>
          <w:rtl/>
        </w:rPr>
        <w:t>أما</w:t>
      </w:r>
      <w:r w:rsidR="00F32B28">
        <w:rPr>
          <w:rtl/>
        </w:rPr>
        <w:t xml:space="preserve"> </w:t>
      </w:r>
      <w:r w:rsidR="00F32B28" w:rsidRPr="00F32B28">
        <w:rPr>
          <w:rtl/>
        </w:rPr>
        <w:t>في</w:t>
      </w:r>
      <w:r w:rsidR="00F32B28">
        <w:rPr>
          <w:rtl/>
        </w:rPr>
        <w:t xml:space="preserve"> </w:t>
      </w:r>
      <w:r w:rsidR="00F32B28" w:rsidRPr="00F32B28">
        <w:rPr>
          <w:rtl/>
        </w:rPr>
        <w:t>القدس،</w:t>
      </w:r>
      <w:r w:rsidR="00F32B28">
        <w:rPr>
          <w:rtl/>
        </w:rPr>
        <w:t xml:space="preserve"> </w:t>
      </w:r>
      <w:r w:rsidR="00F32B28" w:rsidRPr="00F32B28">
        <w:rPr>
          <w:rtl/>
        </w:rPr>
        <w:t>تخضع</w:t>
      </w:r>
      <w:r w:rsidR="00F32B28">
        <w:rPr>
          <w:rtl/>
        </w:rPr>
        <w:t xml:space="preserve"> </w:t>
      </w:r>
      <w:r w:rsidR="00F32B28" w:rsidRPr="00F32B28">
        <w:rPr>
          <w:rtl/>
        </w:rPr>
        <w:t>المدارس</w:t>
      </w:r>
      <w:r w:rsidR="00F32B28">
        <w:rPr>
          <w:rtl/>
        </w:rPr>
        <w:t xml:space="preserve"> </w:t>
      </w:r>
      <w:r w:rsidR="00F32B28" w:rsidRPr="00F32B28">
        <w:rPr>
          <w:rtl/>
        </w:rPr>
        <w:t>الفلسطينية</w:t>
      </w:r>
      <w:r w:rsidR="00F32B28">
        <w:rPr>
          <w:rtl/>
        </w:rPr>
        <w:t xml:space="preserve"> </w:t>
      </w:r>
      <w:r w:rsidR="00F32B28" w:rsidRPr="00F32B28">
        <w:rPr>
          <w:rtl/>
        </w:rPr>
        <w:t>جميعها</w:t>
      </w:r>
      <w:r w:rsidR="00F32B28">
        <w:rPr>
          <w:rtl/>
        </w:rPr>
        <w:t xml:space="preserve"> </w:t>
      </w:r>
      <w:r w:rsidR="00F32B28" w:rsidRPr="00F32B28">
        <w:rPr>
          <w:rtl/>
        </w:rPr>
        <w:t>إلى</w:t>
      </w:r>
      <w:r w:rsidR="00F32B28">
        <w:rPr>
          <w:rtl/>
        </w:rPr>
        <w:t xml:space="preserve"> </w:t>
      </w:r>
      <w:r w:rsidR="00F32B28" w:rsidRPr="00F32B28">
        <w:rPr>
          <w:rtl/>
        </w:rPr>
        <w:t>شروط</w:t>
      </w:r>
      <w:r w:rsidR="00F32B28">
        <w:rPr>
          <w:rtl/>
        </w:rPr>
        <w:t xml:space="preserve"> </w:t>
      </w:r>
      <w:r w:rsidR="00F32B28" w:rsidRPr="00F32B28">
        <w:rPr>
          <w:rtl/>
        </w:rPr>
        <w:t>وظروف</w:t>
      </w:r>
      <w:r w:rsidR="00F32B28">
        <w:rPr>
          <w:rtl/>
        </w:rPr>
        <w:t xml:space="preserve"> </w:t>
      </w:r>
      <w:r w:rsidR="00F32B28" w:rsidRPr="00F32B28">
        <w:rPr>
          <w:rtl/>
        </w:rPr>
        <w:t>تمييزية</w:t>
      </w:r>
      <w:r w:rsidR="00F32B28">
        <w:rPr>
          <w:rtl/>
        </w:rPr>
        <w:t xml:space="preserve"> </w:t>
      </w:r>
      <w:r w:rsidR="00F32B28" w:rsidRPr="00F32B28">
        <w:rPr>
          <w:rtl/>
        </w:rPr>
        <w:t>إسرائيلية</w:t>
      </w:r>
      <w:r w:rsidR="00F32B28">
        <w:rPr>
          <w:rtl/>
        </w:rPr>
        <w:t xml:space="preserve"> </w:t>
      </w:r>
      <w:r w:rsidR="00F32B28" w:rsidRPr="00F32B28">
        <w:rPr>
          <w:rtl/>
        </w:rPr>
        <w:t>تدفع</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الطلبة،</w:t>
      </w:r>
      <w:r w:rsidR="00F32B28">
        <w:rPr>
          <w:rtl/>
        </w:rPr>
        <w:t xml:space="preserve"> </w:t>
      </w:r>
      <w:r w:rsidR="00F32B28" w:rsidRPr="00F32B28">
        <w:rPr>
          <w:rtl/>
        </w:rPr>
        <w:t>ذكوراً</w:t>
      </w:r>
      <w:r w:rsidR="00F32B28">
        <w:rPr>
          <w:rtl/>
        </w:rPr>
        <w:t xml:space="preserve"> </w:t>
      </w:r>
      <w:r w:rsidR="00F32B28" w:rsidRPr="00F32B28">
        <w:rPr>
          <w:rtl/>
        </w:rPr>
        <w:t>وإناثاً،</w:t>
      </w:r>
      <w:r w:rsidR="00F32B28">
        <w:rPr>
          <w:rtl/>
        </w:rPr>
        <w:t xml:space="preserve"> </w:t>
      </w:r>
      <w:r w:rsidR="00F32B28" w:rsidRPr="00F32B28">
        <w:rPr>
          <w:rtl/>
        </w:rPr>
        <w:t>إلى</w:t>
      </w:r>
      <w:r w:rsidR="00F32B28">
        <w:rPr>
          <w:rtl/>
        </w:rPr>
        <w:t xml:space="preserve"> </w:t>
      </w:r>
      <w:r w:rsidR="00F32B28" w:rsidRPr="00F32B28">
        <w:rPr>
          <w:rtl/>
        </w:rPr>
        <w:t>ترك</w:t>
      </w:r>
      <w:r w:rsidR="00F32B28">
        <w:rPr>
          <w:rtl/>
        </w:rPr>
        <w:t xml:space="preserve"> </w:t>
      </w:r>
      <w:r w:rsidR="00F32B28" w:rsidRPr="00F32B28">
        <w:rPr>
          <w:rtl/>
        </w:rPr>
        <w:t>المدارس،</w:t>
      </w:r>
      <w:r w:rsidR="00F32B28">
        <w:rPr>
          <w:rtl/>
        </w:rPr>
        <w:t xml:space="preserve"> </w:t>
      </w:r>
      <w:r w:rsidR="00F32B28" w:rsidRPr="00F32B28">
        <w:rPr>
          <w:rtl/>
        </w:rPr>
        <w:t>أو</w:t>
      </w:r>
      <w:r w:rsidR="00F32B28">
        <w:rPr>
          <w:rtl/>
        </w:rPr>
        <w:t xml:space="preserve"> </w:t>
      </w:r>
      <w:r w:rsidR="00F32B28" w:rsidRPr="00F32B28">
        <w:rPr>
          <w:rtl/>
        </w:rPr>
        <w:t>على</w:t>
      </w:r>
      <w:r w:rsidR="00F32B28">
        <w:rPr>
          <w:rtl/>
        </w:rPr>
        <w:t xml:space="preserve"> </w:t>
      </w:r>
      <w:r w:rsidR="00F32B28" w:rsidRPr="00F32B28">
        <w:rPr>
          <w:rtl/>
        </w:rPr>
        <w:t>أقل</w:t>
      </w:r>
      <w:r w:rsidR="00F32B28">
        <w:rPr>
          <w:rtl/>
        </w:rPr>
        <w:t xml:space="preserve"> </w:t>
      </w:r>
      <w:r w:rsidR="00F32B28" w:rsidRPr="00F32B28">
        <w:rPr>
          <w:rtl/>
        </w:rPr>
        <w:t>تقدير،</w:t>
      </w:r>
      <w:r w:rsidR="00F32B28">
        <w:rPr>
          <w:rtl/>
        </w:rPr>
        <w:t xml:space="preserve"> </w:t>
      </w:r>
      <w:r w:rsidR="00F32B28" w:rsidRPr="00F32B28">
        <w:rPr>
          <w:rtl/>
        </w:rPr>
        <w:t>إلى</w:t>
      </w:r>
      <w:r w:rsidR="00F32B28">
        <w:rPr>
          <w:rtl/>
        </w:rPr>
        <w:t xml:space="preserve"> </w:t>
      </w:r>
      <w:r w:rsidR="00F32B28" w:rsidRPr="00F32B28">
        <w:rPr>
          <w:rtl/>
        </w:rPr>
        <w:t>حرمانهم</w:t>
      </w:r>
      <w:r w:rsidR="00F32B28">
        <w:rPr>
          <w:rtl/>
        </w:rPr>
        <w:t xml:space="preserve"> </w:t>
      </w:r>
      <w:r w:rsidR="00F32B28" w:rsidRPr="00F32B28">
        <w:rPr>
          <w:rtl/>
        </w:rPr>
        <w:t>من</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تعليم</w:t>
      </w:r>
      <w:r w:rsidR="00F32B28">
        <w:rPr>
          <w:rtl/>
        </w:rPr>
        <w:t xml:space="preserve"> </w:t>
      </w:r>
      <w:r w:rsidR="00F32B28" w:rsidRPr="00F32B28">
        <w:rPr>
          <w:rtl/>
        </w:rPr>
        <w:t>لائق</w:t>
      </w:r>
      <w:r w:rsidR="00F32B28">
        <w:rPr>
          <w:rtl/>
        </w:rPr>
        <w:t xml:space="preserve"> </w:t>
      </w:r>
      <w:r w:rsidR="00F32B28" w:rsidRPr="00F32B28">
        <w:rPr>
          <w:rtl/>
        </w:rPr>
        <w:t>أو</w:t>
      </w:r>
      <w:r w:rsidR="00F32B28">
        <w:rPr>
          <w:rtl/>
        </w:rPr>
        <w:t xml:space="preserve"> </w:t>
      </w:r>
      <w:r w:rsidR="00F32B28" w:rsidRPr="00F32B28">
        <w:rPr>
          <w:rtl/>
        </w:rPr>
        <w:t>ملائم،</w:t>
      </w:r>
      <w:r w:rsidR="00F32B28">
        <w:rPr>
          <w:rtl/>
        </w:rPr>
        <w:t xml:space="preserve"> </w:t>
      </w:r>
      <w:r w:rsidR="00F32B28" w:rsidRPr="00F32B28">
        <w:rPr>
          <w:rtl/>
        </w:rPr>
        <w:t>على</w:t>
      </w:r>
      <w:r w:rsidR="00F32B28">
        <w:rPr>
          <w:rtl/>
        </w:rPr>
        <w:t xml:space="preserve"> </w:t>
      </w:r>
      <w:r w:rsidR="00F32B28" w:rsidRPr="00F32B28">
        <w:rPr>
          <w:rtl/>
        </w:rPr>
        <w:t>النحو</w:t>
      </w:r>
      <w:r w:rsidR="00F32B28">
        <w:rPr>
          <w:rtl/>
        </w:rPr>
        <w:t xml:space="preserve"> </w:t>
      </w:r>
      <w:r w:rsidR="00F32B28" w:rsidRPr="00F32B28">
        <w:rPr>
          <w:rtl/>
        </w:rPr>
        <w:t>الذي</w:t>
      </w:r>
      <w:r w:rsidR="00F32B28">
        <w:rPr>
          <w:rtl/>
        </w:rPr>
        <w:t xml:space="preserve"> </w:t>
      </w:r>
      <w:r w:rsidR="00F32B28" w:rsidRPr="00F32B28">
        <w:rPr>
          <w:rtl/>
        </w:rPr>
        <w:t>سيتم</w:t>
      </w:r>
      <w:r w:rsidR="00F32B28">
        <w:rPr>
          <w:rtl/>
        </w:rPr>
        <w:t xml:space="preserve"> </w:t>
      </w:r>
      <w:r w:rsidR="00F32B28" w:rsidRPr="00F32B28">
        <w:rPr>
          <w:rtl/>
        </w:rPr>
        <w:t>بيانه</w:t>
      </w:r>
      <w:r w:rsidR="00F32B28">
        <w:rPr>
          <w:rtl/>
        </w:rPr>
        <w:t xml:space="preserve"> </w:t>
      </w:r>
      <w:r w:rsidR="00F32B28" w:rsidRPr="00F32B28">
        <w:rPr>
          <w:rtl/>
        </w:rPr>
        <w:t>لاحقاً.</w:t>
      </w:r>
      <w:r w:rsidR="00F32B28">
        <w:rPr>
          <w:rtl/>
        </w:rPr>
        <w:t xml:space="preserve"> </w:t>
      </w:r>
    </w:p>
    <w:p w:rsidR="00F32B28" w:rsidRPr="00F32B28" w:rsidRDefault="00F3470F" w:rsidP="00F3470F">
      <w:pPr>
        <w:pStyle w:val="SingleTxt"/>
        <w:rPr>
          <w:rtl/>
        </w:rPr>
      </w:pPr>
      <w:r>
        <w:rPr>
          <w:rFonts w:hint="cs"/>
          <w:rtl/>
        </w:rPr>
        <w:lastRenderedPageBreak/>
        <w:t xml:space="preserve">169 - </w:t>
      </w:r>
      <w:r w:rsidR="00F32B28" w:rsidRPr="00F32B28">
        <w:rPr>
          <w:rtl/>
        </w:rPr>
        <w:t>وانطوت</w:t>
      </w:r>
      <w:r w:rsidR="00F32B28">
        <w:rPr>
          <w:rtl/>
        </w:rPr>
        <w:t xml:space="preserve"> </w:t>
      </w:r>
      <w:r w:rsidR="00F32B28" w:rsidRPr="00F32B28">
        <w:rPr>
          <w:rtl/>
        </w:rPr>
        <w:t>الخطة</w:t>
      </w:r>
      <w:r w:rsidR="00F32B28">
        <w:rPr>
          <w:rtl/>
        </w:rPr>
        <w:t xml:space="preserve"> </w:t>
      </w:r>
      <w:r w:rsidR="00F32B28" w:rsidRPr="00F32B28">
        <w:rPr>
          <w:rtl/>
        </w:rPr>
        <w:t>الاستراتيجية</w:t>
      </w:r>
      <w:r w:rsidR="00F32B28">
        <w:rPr>
          <w:rtl/>
        </w:rPr>
        <w:t xml:space="preserve"> </w:t>
      </w:r>
      <w:r w:rsidR="00F32B28" w:rsidRPr="00F32B28">
        <w:rPr>
          <w:rtl/>
        </w:rPr>
        <w:t>القطاعية</w:t>
      </w:r>
      <w:r w:rsidR="00F32B28">
        <w:rPr>
          <w:rtl/>
        </w:rPr>
        <w:t xml:space="preserve"> </w:t>
      </w:r>
      <w:r w:rsidR="00F32B28" w:rsidRPr="00F32B28">
        <w:rPr>
          <w:rtl/>
        </w:rPr>
        <w:t>وعبر</w:t>
      </w:r>
      <w:r w:rsidR="00F32B28">
        <w:rPr>
          <w:rtl/>
        </w:rPr>
        <w:t xml:space="preserve"> </w:t>
      </w:r>
      <w:r w:rsidR="00F32B28" w:rsidRPr="00F32B28">
        <w:rPr>
          <w:rtl/>
        </w:rPr>
        <w:t>القطاعية</w:t>
      </w:r>
      <w:r w:rsidR="00F32B28">
        <w:rPr>
          <w:rtl/>
        </w:rPr>
        <w:t xml:space="preserve"> </w:t>
      </w:r>
      <w:r w:rsidR="00F32B28" w:rsidRPr="00F32B28">
        <w:rPr>
          <w:rtl/>
        </w:rPr>
        <w:t>الخاصة</w:t>
      </w:r>
      <w:r w:rsidR="00F32B28">
        <w:rPr>
          <w:rtl/>
        </w:rPr>
        <w:t xml:space="preserve"> </w:t>
      </w:r>
      <w:r w:rsidR="00F32B28" w:rsidRPr="00F32B28">
        <w:rPr>
          <w:rtl/>
        </w:rPr>
        <w:t>بوزارة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الفلسطينية</w:t>
      </w:r>
      <w:r w:rsidR="00F32B28">
        <w:rPr>
          <w:rtl/>
        </w:rPr>
        <w:t xml:space="preserve"> </w:t>
      </w:r>
      <w:r w:rsidR="00F32B28" w:rsidRPr="00F32B28">
        <w:rPr>
          <w:rtl/>
        </w:rPr>
        <w:t>للأعوام</w:t>
      </w:r>
      <w:r w:rsidR="00F32B28">
        <w:rPr>
          <w:rtl/>
        </w:rPr>
        <w:t xml:space="preserve"> </w:t>
      </w:r>
      <w:r w:rsidR="00F32B28" w:rsidRPr="00F32B28">
        <w:rPr>
          <w:rtl/>
        </w:rPr>
        <w:t>2011-2013</w:t>
      </w:r>
      <w:r w:rsidR="00F32B28">
        <w:rPr>
          <w:rtl/>
        </w:rPr>
        <w:t xml:space="preserve"> </w:t>
      </w:r>
      <w:r w:rsidR="00F32B28" w:rsidRPr="00F32B28">
        <w:rPr>
          <w:rtl/>
        </w:rPr>
        <w:t>على</w:t>
      </w:r>
      <w:r w:rsidR="00F32B28">
        <w:rPr>
          <w:rtl/>
        </w:rPr>
        <w:t xml:space="preserve"> </w:t>
      </w:r>
      <w:r w:rsidR="00F32B28" w:rsidRPr="00F32B28">
        <w:rPr>
          <w:rtl/>
        </w:rPr>
        <w:t>آليات</w:t>
      </w:r>
      <w:r w:rsidR="00F32B28">
        <w:rPr>
          <w:rtl/>
        </w:rPr>
        <w:t xml:space="preserve"> </w:t>
      </w:r>
      <w:r w:rsidR="00F32B28" w:rsidRPr="00F32B28">
        <w:rPr>
          <w:rtl/>
        </w:rPr>
        <w:t>وشروط</w:t>
      </w:r>
      <w:r w:rsidR="00F32B28">
        <w:rPr>
          <w:rtl/>
        </w:rPr>
        <w:t xml:space="preserve"> </w:t>
      </w:r>
      <w:r w:rsidR="00F32B28" w:rsidRPr="00F32B28">
        <w:rPr>
          <w:rtl/>
        </w:rPr>
        <w:t>تربوية</w:t>
      </w:r>
      <w:r w:rsidR="00F32B28">
        <w:rPr>
          <w:rtl/>
        </w:rPr>
        <w:t xml:space="preserve"> </w:t>
      </w:r>
      <w:r w:rsidR="00F32B28" w:rsidRPr="00F32B28">
        <w:rPr>
          <w:rtl/>
        </w:rPr>
        <w:t>أساسها</w:t>
      </w:r>
      <w:r w:rsidR="00F32B28">
        <w:rPr>
          <w:rtl/>
        </w:rPr>
        <w:t xml:space="preserve"> </w:t>
      </w:r>
      <w:r w:rsidR="00F32B28" w:rsidRPr="00F32B28">
        <w:rPr>
          <w:rtl/>
        </w:rPr>
        <w:t>مناهضة</w:t>
      </w:r>
      <w:r w:rsidR="00F32B28">
        <w:rPr>
          <w:rtl/>
        </w:rPr>
        <w:t xml:space="preserve"> </w:t>
      </w:r>
      <w:r w:rsidR="00F32B28" w:rsidRPr="00F32B28">
        <w:rPr>
          <w:rtl/>
        </w:rPr>
        <w:t>التمييز</w:t>
      </w:r>
      <w:r w:rsidR="00F32B28">
        <w:rPr>
          <w:rtl/>
        </w:rPr>
        <w:t xml:space="preserve"> </w:t>
      </w:r>
      <w:r w:rsidR="00F32B28" w:rsidRPr="00F32B28">
        <w:rPr>
          <w:rtl/>
        </w:rPr>
        <w:t>على</w:t>
      </w:r>
      <w:r w:rsidR="00F32B28">
        <w:rPr>
          <w:rtl/>
        </w:rPr>
        <w:t xml:space="preserve"> </w:t>
      </w:r>
      <w:r w:rsidR="00F32B28" w:rsidRPr="00F32B28">
        <w:rPr>
          <w:rtl/>
        </w:rPr>
        <w:t>أساس</w:t>
      </w:r>
      <w:r w:rsidR="00F32B28">
        <w:rPr>
          <w:rtl/>
        </w:rPr>
        <w:t xml:space="preserve"> </w:t>
      </w:r>
      <w:r w:rsidR="00F32B28" w:rsidRPr="00F32B28">
        <w:rPr>
          <w:rtl/>
        </w:rPr>
        <w:t>الجنس</w:t>
      </w:r>
      <w:r w:rsidR="00F32B28">
        <w:rPr>
          <w:rtl/>
        </w:rPr>
        <w:t xml:space="preserve"> </w:t>
      </w:r>
      <w:r w:rsidR="00F32B28" w:rsidRPr="00F32B28">
        <w:rPr>
          <w:rtl/>
        </w:rPr>
        <w:t>وضمان</w:t>
      </w:r>
      <w:r w:rsidR="00F32B28">
        <w:rPr>
          <w:rtl/>
        </w:rPr>
        <w:t xml:space="preserve"> </w:t>
      </w:r>
      <w:r w:rsidR="00F32B28" w:rsidRPr="00F32B28">
        <w:rPr>
          <w:rtl/>
        </w:rPr>
        <w:t>العدالة</w:t>
      </w:r>
      <w:r w:rsidR="00F32B28">
        <w:rPr>
          <w:rtl/>
        </w:rPr>
        <w:t xml:space="preserve"> </w:t>
      </w:r>
      <w:r w:rsidR="00F32B28" w:rsidRPr="00F32B28">
        <w:rPr>
          <w:rtl/>
        </w:rPr>
        <w:t>والمساواة</w:t>
      </w:r>
      <w:r w:rsidR="00F32B28">
        <w:rPr>
          <w:rtl/>
        </w:rPr>
        <w:t xml:space="preserve"> </w:t>
      </w:r>
      <w:r w:rsidR="00F32B28" w:rsidRPr="00F32B28">
        <w:rPr>
          <w:rtl/>
        </w:rPr>
        <w:t>بين</w:t>
      </w:r>
      <w:r w:rsidR="00F32B28">
        <w:rPr>
          <w:rtl/>
        </w:rPr>
        <w:t xml:space="preserve"> </w:t>
      </w:r>
      <w:r w:rsidR="00F32B28" w:rsidRPr="00F32B28">
        <w:rPr>
          <w:rtl/>
        </w:rPr>
        <w:t>الجنسين</w:t>
      </w:r>
      <w:r w:rsidR="00F32B28">
        <w:rPr>
          <w:rtl/>
        </w:rPr>
        <w:t xml:space="preserve"> </w:t>
      </w:r>
      <w:r w:rsidR="00F32B28" w:rsidRPr="00F32B28">
        <w:rPr>
          <w:rtl/>
        </w:rPr>
        <w:t>فـي</w:t>
      </w:r>
      <w:r w:rsidR="00F32B28">
        <w:rPr>
          <w:rtl/>
        </w:rPr>
        <w:t xml:space="preserve"> </w:t>
      </w:r>
      <w:r w:rsidR="00F32B28" w:rsidRPr="00F32B28">
        <w:rPr>
          <w:rtl/>
        </w:rPr>
        <w:t>توفير</w:t>
      </w:r>
      <w:r w:rsidR="00F32B28">
        <w:rPr>
          <w:rtl/>
        </w:rPr>
        <w:t xml:space="preserve"> </w:t>
      </w:r>
      <w:r w:rsidR="00F32B28" w:rsidRPr="00F32B28">
        <w:rPr>
          <w:rtl/>
        </w:rPr>
        <w:t>فرص</w:t>
      </w:r>
      <w:r w:rsidR="00F32B28">
        <w:rPr>
          <w:rtl/>
        </w:rPr>
        <w:t xml:space="preserve"> </w:t>
      </w:r>
      <w:r w:rsidR="00F32B28" w:rsidRPr="00F32B28">
        <w:rPr>
          <w:rtl/>
        </w:rPr>
        <w:t>التعليم</w:t>
      </w:r>
      <w:r w:rsidR="00F32B28">
        <w:rPr>
          <w:rtl/>
        </w:rPr>
        <w:t xml:space="preserve"> </w:t>
      </w:r>
      <w:r w:rsidR="00F32B28" w:rsidRPr="00F32B28">
        <w:rPr>
          <w:rtl/>
        </w:rPr>
        <w:t>للجميع،</w:t>
      </w:r>
      <w:r w:rsidR="00F32B28">
        <w:rPr>
          <w:rtl/>
        </w:rPr>
        <w:t xml:space="preserve"> </w:t>
      </w:r>
      <w:r w:rsidR="00F32B28" w:rsidRPr="00F32B28">
        <w:rPr>
          <w:rtl/>
        </w:rPr>
        <w:t>ومنع</w:t>
      </w:r>
      <w:r w:rsidR="00F32B28">
        <w:rPr>
          <w:rtl/>
        </w:rPr>
        <w:t xml:space="preserve"> </w:t>
      </w:r>
      <w:r w:rsidR="00F32B28" w:rsidRPr="00F32B28">
        <w:rPr>
          <w:rtl/>
        </w:rPr>
        <w:t>التسرب</w:t>
      </w:r>
      <w:r w:rsidR="00F32B28">
        <w:rPr>
          <w:rtl/>
        </w:rPr>
        <w:t xml:space="preserve"> </w:t>
      </w:r>
      <w:r w:rsidR="00F32B28" w:rsidRPr="00F32B28">
        <w:rPr>
          <w:rtl/>
        </w:rPr>
        <w:t>من</w:t>
      </w:r>
      <w:r w:rsidR="00F32B28">
        <w:rPr>
          <w:rtl/>
        </w:rPr>
        <w:t xml:space="preserve"> </w:t>
      </w:r>
      <w:r w:rsidR="00F32B28" w:rsidRPr="00F32B28">
        <w:rPr>
          <w:rtl/>
        </w:rPr>
        <w:t>المدارس،</w:t>
      </w:r>
      <w:r w:rsidR="00F32B28">
        <w:rPr>
          <w:rtl/>
        </w:rPr>
        <w:t xml:space="preserve"> </w:t>
      </w:r>
      <w:r w:rsidR="00F32B28" w:rsidRPr="00F32B28">
        <w:rPr>
          <w:rtl/>
        </w:rPr>
        <w:t>والهبوط</w:t>
      </w:r>
      <w:r w:rsidR="00F32B28">
        <w:rPr>
          <w:rtl/>
        </w:rPr>
        <w:t xml:space="preserve"> </w:t>
      </w:r>
      <w:r w:rsidR="00F32B28" w:rsidRPr="00F32B28">
        <w:rPr>
          <w:rtl/>
        </w:rPr>
        <w:t>بمعدلات</w:t>
      </w:r>
      <w:r w:rsidR="00F32B28">
        <w:rPr>
          <w:rtl/>
        </w:rPr>
        <w:t xml:space="preserve"> </w:t>
      </w:r>
      <w:r w:rsidR="00F32B28" w:rsidRPr="00F32B28">
        <w:rPr>
          <w:rtl/>
        </w:rPr>
        <w:t>الأمية،</w:t>
      </w:r>
      <w:r w:rsidR="00F32B28">
        <w:rPr>
          <w:rtl/>
        </w:rPr>
        <w:t xml:space="preserve"> </w:t>
      </w:r>
      <w:r w:rsidR="00F32B28" w:rsidRPr="00F32B28">
        <w:rPr>
          <w:rtl/>
        </w:rPr>
        <w:t>وجعله</w:t>
      </w:r>
      <w:r w:rsidR="00F32B28">
        <w:rPr>
          <w:rtl/>
        </w:rPr>
        <w:t xml:space="preserve"> </w:t>
      </w:r>
      <w:r w:rsidR="00F32B28" w:rsidRPr="00F32B28">
        <w:rPr>
          <w:rtl/>
        </w:rPr>
        <w:t>(أي</w:t>
      </w:r>
      <w:r w:rsidR="00F32B28">
        <w:rPr>
          <w:rtl/>
        </w:rPr>
        <w:t xml:space="preserve"> </w:t>
      </w:r>
      <w:r w:rsidR="00F32B28" w:rsidRPr="00F32B28">
        <w:rPr>
          <w:rtl/>
        </w:rPr>
        <w:t>التعليم)</w:t>
      </w:r>
      <w:r w:rsidR="00F32B28">
        <w:rPr>
          <w:rtl/>
        </w:rPr>
        <w:t xml:space="preserve"> </w:t>
      </w:r>
      <w:r w:rsidR="00F32B28" w:rsidRPr="00F32B28">
        <w:rPr>
          <w:rtl/>
        </w:rPr>
        <w:t>وسيلة</w:t>
      </w:r>
      <w:r w:rsidR="00F32B28">
        <w:rPr>
          <w:rtl/>
        </w:rPr>
        <w:t xml:space="preserve"> </w:t>
      </w:r>
      <w:r w:rsidR="00F32B28" w:rsidRPr="00F32B28">
        <w:rPr>
          <w:rtl/>
        </w:rPr>
        <w:t>تربوية</w:t>
      </w:r>
      <w:r w:rsidR="00F32B28">
        <w:rPr>
          <w:rtl/>
        </w:rPr>
        <w:t xml:space="preserve"> </w:t>
      </w:r>
      <w:r w:rsidR="00F32B28" w:rsidRPr="00F32B28">
        <w:rPr>
          <w:rtl/>
        </w:rPr>
        <w:t>وعلمية</w:t>
      </w:r>
      <w:r w:rsidR="00F32B28">
        <w:rPr>
          <w:rtl/>
        </w:rPr>
        <w:t xml:space="preserve"> </w:t>
      </w:r>
      <w:r w:rsidR="00F32B28" w:rsidRPr="00F32B28">
        <w:rPr>
          <w:rtl/>
        </w:rPr>
        <w:t>تثير</w:t>
      </w:r>
      <w:r w:rsidR="00F32B28">
        <w:rPr>
          <w:rtl/>
        </w:rPr>
        <w:t xml:space="preserve"> </w:t>
      </w:r>
      <w:r w:rsidR="00F32B28" w:rsidRPr="00F32B28">
        <w:rPr>
          <w:rtl/>
        </w:rPr>
        <w:t>الوعي</w:t>
      </w:r>
      <w:r w:rsidR="00F32B28">
        <w:rPr>
          <w:rtl/>
        </w:rPr>
        <w:t xml:space="preserve"> </w:t>
      </w:r>
      <w:r w:rsidR="00F32B28" w:rsidRPr="00F32B28">
        <w:rPr>
          <w:rtl/>
        </w:rPr>
        <w:t>بحقوق</w:t>
      </w:r>
      <w:r w:rsidR="00F32B28">
        <w:rPr>
          <w:rtl/>
        </w:rPr>
        <w:t xml:space="preserve"> </w:t>
      </w:r>
      <w:r w:rsidR="00F32B28" w:rsidRPr="00F32B28">
        <w:rPr>
          <w:rtl/>
        </w:rPr>
        <w:t>الإنسان</w:t>
      </w:r>
      <w:r w:rsidR="00F32B28">
        <w:rPr>
          <w:rtl/>
        </w:rPr>
        <w:t xml:space="preserve"> </w:t>
      </w:r>
      <w:r w:rsidR="00F32B28" w:rsidRPr="00F32B28">
        <w:rPr>
          <w:rtl/>
        </w:rPr>
        <w:t>والمساواة</w:t>
      </w:r>
      <w:r w:rsidR="00F32B28">
        <w:rPr>
          <w:rtl/>
        </w:rPr>
        <w:t xml:space="preserve"> </w:t>
      </w:r>
      <w:r w:rsidR="00F32B28" w:rsidRPr="00F32B28">
        <w:rPr>
          <w:rtl/>
        </w:rPr>
        <w:t>بين</w:t>
      </w:r>
      <w:r w:rsidR="00F32B28">
        <w:rPr>
          <w:rtl/>
        </w:rPr>
        <w:t xml:space="preserve"> </w:t>
      </w:r>
      <w:r w:rsidR="00F32B28" w:rsidRPr="00F32B28">
        <w:rPr>
          <w:rtl/>
        </w:rPr>
        <w:t>الجنسين.</w:t>
      </w:r>
      <w:r w:rsidR="00F32B28">
        <w:rPr>
          <w:rtl/>
        </w:rPr>
        <w:t xml:space="preserve"> </w:t>
      </w:r>
      <w:r w:rsidR="00F32B28" w:rsidRPr="00F32B28">
        <w:rPr>
          <w:rtl/>
        </w:rPr>
        <w:t>كما</w:t>
      </w:r>
      <w:r w:rsidR="00F32B28">
        <w:rPr>
          <w:rtl/>
        </w:rPr>
        <w:t xml:space="preserve"> </w:t>
      </w:r>
      <w:r w:rsidR="00F32B28" w:rsidRPr="00F32B28">
        <w:rPr>
          <w:rtl/>
        </w:rPr>
        <w:t>أجرت</w:t>
      </w:r>
      <w:r w:rsidR="00F32B28">
        <w:rPr>
          <w:rtl/>
        </w:rPr>
        <w:t xml:space="preserve"> </w:t>
      </w:r>
      <w:r w:rsidR="00F32B28" w:rsidRPr="00F32B28">
        <w:rPr>
          <w:rtl/>
        </w:rPr>
        <w:t>الوزارة</w:t>
      </w:r>
      <w:r w:rsidR="00F32B28">
        <w:rPr>
          <w:rtl/>
        </w:rPr>
        <w:t xml:space="preserve"> </w:t>
      </w:r>
      <w:r w:rsidR="00F32B28" w:rsidRPr="00F32B28">
        <w:rPr>
          <w:rtl/>
        </w:rPr>
        <w:t>مراجعة</w:t>
      </w:r>
      <w:r w:rsidR="00F32B28">
        <w:rPr>
          <w:rtl/>
        </w:rPr>
        <w:t xml:space="preserve"> </w:t>
      </w:r>
      <w:r w:rsidR="00F32B28" w:rsidRPr="00F32B28">
        <w:rPr>
          <w:rtl/>
        </w:rPr>
        <w:t>شاملة</w:t>
      </w:r>
      <w:r w:rsidR="00F32B28">
        <w:rPr>
          <w:rtl/>
        </w:rPr>
        <w:t xml:space="preserve"> </w:t>
      </w:r>
      <w:r w:rsidR="00F32B28" w:rsidRPr="00F32B28">
        <w:rPr>
          <w:rtl/>
        </w:rPr>
        <w:t>للمناهج</w:t>
      </w:r>
      <w:r w:rsidR="00F32B28">
        <w:rPr>
          <w:rtl/>
        </w:rPr>
        <w:t xml:space="preserve"> </w:t>
      </w:r>
      <w:r w:rsidR="00F32B28" w:rsidRPr="00F32B28">
        <w:rPr>
          <w:rtl/>
        </w:rPr>
        <w:t>الدراسية</w:t>
      </w:r>
      <w:r w:rsidR="00F32B28">
        <w:rPr>
          <w:rtl/>
        </w:rPr>
        <w:t xml:space="preserve"> </w:t>
      </w:r>
      <w:r w:rsidR="00F32B28" w:rsidRPr="00F32B28">
        <w:rPr>
          <w:rtl/>
        </w:rPr>
        <w:t>خلال</w:t>
      </w:r>
      <w:r w:rsidR="00F32B28">
        <w:rPr>
          <w:rtl/>
        </w:rPr>
        <w:t xml:space="preserve"> </w:t>
      </w:r>
      <w:r w:rsidR="00F32B28" w:rsidRPr="00F32B28">
        <w:rPr>
          <w:rtl/>
        </w:rPr>
        <w:t>الأعوام</w:t>
      </w:r>
      <w:r w:rsidR="00F32B28">
        <w:rPr>
          <w:rtl/>
        </w:rPr>
        <w:t xml:space="preserve"> </w:t>
      </w:r>
      <w:r w:rsidR="00F32B28" w:rsidRPr="00F32B28">
        <w:rPr>
          <w:rtl/>
        </w:rPr>
        <w:t>2003-2006،</w:t>
      </w:r>
      <w:r w:rsidR="00F32B28">
        <w:rPr>
          <w:rtl/>
        </w:rPr>
        <w:t xml:space="preserve"> </w:t>
      </w:r>
      <w:r w:rsidR="00F32B28" w:rsidRPr="00F32B28">
        <w:rPr>
          <w:rtl/>
        </w:rPr>
        <w:t>واعتمدت</w:t>
      </w:r>
      <w:r w:rsidR="00F32B28">
        <w:rPr>
          <w:rtl/>
        </w:rPr>
        <w:t xml:space="preserve"> </w:t>
      </w:r>
      <w:r w:rsidR="00F32B28" w:rsidRPr="00F32B28">
        <w:rPr>
          <w:rtl/>
        </w:rPr>
        <w:t>بموجبها</w:t>
      </w:r>
      <w:r w:rsidR="00F32B28">
        <w:rPr>
          <w:rtl/>
        </w:rPr>
        <w:t xml:space="preserve"> </w:t>
      </w:r>
      <w:r w:rsidR="00F32B28" w:rsidRPr="00F32B28">
        <w:rPr>
          <w:rtl/>
        </w:rPr>
        <w:t>مناهج</w:t>
      </w:r>
      <w:r w:rsidR="00F32B28">
        <w:rPr>
          <w:rtl/>
        </w:rPr>
        <w:t xml:space="preserve"> </w:t>
      </w:r>
      <w:r w:rsidR="00F32B28" w:rsidRPr="00F32B28">
        <w:rPr>
          <w:rtl/>
        </w:rPr>
        <w:t>دراسية</w:t>
      </w:r>
      <w:r w:rsidR="00F32B28">
        <w:rPr>
          <w:rtl/>
        </w:rPr>
        <w:t xml:space="preserve"> </w:t>
      </w:r>
      <w:r w:rsidR="00F32B28" w:rsidRPr="00F32B28">
        <w:rPr>
          <w:rtl/>
        </w:rPr>
        <w:t>جديدة</w:t>
      </w:r>
      <w:r w:rsidR="00F32B28">
        <w:rPr>
          <w:rtl/>
        </w:rPr>
        <w:t xml:space="preserve"> </w:t>
      </w:r>
      <w:r w:rsidR="00F32B28" w:rsidRPr="00F32B28">
        <w:rPr>
          <w:rtl/>
        </w:rPr>
        <w:t>لكافة</w:t>
      </w:r>
      <w:r w:rsidR="00F32B28">
        <w:rPr>
          <w:rtl/>
        </w:rPr>
        <w:t xml:space="preserve"> </w:t>
      </w:r>
      <w:r w:rsidR="00F32B28" w:rsidRPr="00F32B28">
        <w:rPr>
          <w:rtl/>
        </w:rPr>
        <w:t>المراحل</w:t>
      </w:r>
      <w:r w:rsidR="00F32B28">
        <w:rPr>
          <w:rtl/>
        </w:rPr>
        <w:t xml:space="preserve"> </w:t>
      </w:r>
      <w:r w:rsidR="00F32B28" w:rsidRPr="00F32B28">
        <w:rPr>
          <w:rtl/>
        </w:rPr>
        <w:t>التعليمية</w:t>
      </w:r>
      <w:r w:rsidR="00F32B28">
        <w:rPr>
          <w:rtl/>
        </w:rPr>
        <w:t xml:space="preserve"> </w:t>
      </w:r>
      <w:r w:rsidR="00F32B28" w:rsidRPr="00F32B28">
        <w:rPr>
          <w:rtl/>
        </w:rPr>
        <w:t>المدرسية.</w:t>
      </w:r>
      <w:r w:rsidR="00F32B28">
        <w:rPr>
          <w:rtl/>
        </w:rPr>
        <w:t xml:space="preserve"> </w:t>
      </w:r>
      <w:r w:rsidR="00F32B28" w:rsidRPr="00F32B28">
        <w:rPr>
          <w:rtl/>
        </w:rPr>
        <w:t>ورغم</w:t>
      </w:r>
      <w:r w:rsidR="00F32B28">
        <w:rPr>
          <w:rtl/>
        </w:rPr>
        <w:t xml:space="preserve"> </w:t>
      </w:r>
      <w:r w:rsidR="00F32B28" w:rsidRPr="00F32B28">
        <w:rPr>
          <w:rtl/>
        </w:rPr>
        <w:t>التحسن</w:t>
      </w:r>
      <w:r w:rsidR="00F32B28">
        <w:rPr>
          <w:rtl/>
        </w:rPr>
        <w:t xml:space="preserve"> </w:t>
      </w:r>
      <w:r w:rsidR="00F32B28" w:rsidRPr="00F32B28">
        <w:rPr>
          <w:rtl/>
        </w:rPr>
        <w:t>الذي</w:t>
      </w:r>
      <w:r w:rsidR="00F32B28">
        <w:rPr>
          <w:rtl/>
        </w:rPr>
        <w:t xml:space="preserve"> </w:t>
      </w:r>
      <w:r w:rsidR="00F32B28" w:rsidRPr="00F32B28">
        <w:rPr>
          <w:rtl/>
        </w:rPr>
        <w:t>طرأ</w:t>
      </w:r>
      <w:r w:rsidR="00F32B28">
        <w:rPr>
          <w:rtl/>
        </w:rPr>
        <w:t xml:space="preserve"> </w:t>
      </w:r>
      <w:r w:rsidR="00F32B28" w:rsidRPr="00F32B28">
        <w:rPr>
          <w:rtl/>
        </w:rPr>
        <w:t>على</w:t>
      </w:r>
      <w:r w:rsidR="00F32B28">
        <w:rPr>
          <w:rtl/>
        </w:rPr>
        <w:t xml:space="preserve"> </w:t>
      </w:r>
      <w:r w:rsidR="00F32B28" w:rsidRPr="00F32B28">
        <w:rPr>
          <w:rtl/>
        </w:rPr>
        <w:t>هذه</w:t>
      </w:r>
      <w:r w:rsidR="00F32B28">
        <w:rPr>
          <w:rtl/>
        </w:rPr>
        <w:t xml:space="preserve"> </w:t>
      </w:r>
      <w:r w:rsidR="00F32B28" w:rsidRPr="00F32B28">
        <w:rPr>
          <w:rtl/>
        </w:rPr>
        <w:t>المناهج،</w:t>
      </w:r>
      <w:r w:rsidR="00F32B28">
        <w:rPr>
          <w:rtl/>
        </w:rPr>
        <w:t xml:space="preserve"> </w:t>
      </w:r>
      <w:r w:rsidR="00F32B28" w:rsidRPr="00F32B28">
        <w:rPr>
          <w:rtl/>
        </w:rPr>
        <w:t>إلا</w:t>
      </w:r>
      <w:r w:rsidR="00F32B28">
        <w:rPr>
          <w:rtl/>
        </w:rPr>
        <w:t xml:space="preserve"> </w:t>
      </w:r>
      <w:r w:rsidR="00F32B28" w:rsidRPr="00F32B28">
        <w:rPr>
          <w:rtl/>
        </w:rPr>
        <w:t>أنها</w:t>
      </w:r>
      <w:r w:rsidR="00F32B28">
        <w:rPr>
          <w:rtl/>
        </w:rPr>
        <w:t xml:space="preserve"> </w:t>
      </w:r>
      <w:r w:rsidR="00F32B28" w:rsidRPr="00F32B28">
        <w:rPr>
          <w:rtl/>
        </w:rPr>
        <w:t>ما</w:t>
      </w:r>
      <w:r w:rsidR="00F32B28">
        <w:rPr>
          <w:rtl/>
        </w:rPr>
        <w:t xml:space="preserve"> </w:t>
      </w:r>
      <w:r w:rsidR="00F32B28" w:rsidRPr="00F32B28">
        <w:rPr>
          <w:rtl/>
        </w:rPr>
        <w:t>تزال</w:t>
      </w:r>
      <w:r w:rsidR="00F32B28">
        <w:rPr>
          <w:rtl/>
        </w:rPr>
        <w:t xml:space="preserve"> </w:t>
      </w:r>
      <w:r w:rsidR="00F32B28" w:rsidRPr="00F32B28">
        <w:rPr>
          <w:rtl/>
        </w:rPr>
        <w:t>تحتوي</w:t>
      </w:r>
      <w:r w:rsidR="00F32B28">
        <w:rPr>
          <w:rtl/>
        </w:rPr>
        <w:t xml:space="preserve"> </w:t>
      </w:r>
      <w:r w:rsidR="00F32B28" w:rsidRPr="00F32B28">
        <w:rPr>
          <w:rtl/>
        </w:rPr>
        <w:t>على</w:t>
      </w:r>
      <w:r w:rsidR="00F32B28">
        <w:rPr>
          <w:rtl/>
        </w:rPr>
        <w:t xml:space="preserve"> </w:t>
      </w:r>
      <w:r w:rsidR="00F32B28" w:rsidRPr="00F32B28">
        <w:rPr>
          <w:rtl/>
        </w:rPr>
        <w:t>قيماً</w:t>
      </w:r>
      <w:r w:rsidR="00F32B28">
        <w:rPr>
          <w:rtl/>
        </w:rPr>
        <w:t xml:space="preserve"> </w:t>
      </w:r>
      <w:r w:rsidR="00F32B28" w:rsidRPr="00F32B28">
        <w:rPr>
          <w:rtl/>
        </w:rPr>
        <w:t>تنميطية</w:t>
      </w:r>
      <w:r w:rsidR="00F32B28">
        <w:rPr>
          <w:rtl/>
        </w:rPr>
        <w:t xml:space="preserve"> </w:t>
      </w:r>
      <w:r w:rsidR="00F32B28" w:rsidRPr="00F32B28">
        <w:rPr>
          <w:rtl/>
        </w:rPr>
        <w:t>ضد</w:t>
      </w:r>
      <w:r w:rsidR="00F32B28">
        <w:rPr>
          <w:rtl/>
        </w:rPr>
        <w:t xml:space="preserve"> </w:t>
      </w:r>
      <w:r w:rsidR="00F32B28" w:rsidRPr="00F32B28">
        <w:rPr>
          <w:rtl/>
        </w:rPr>
        <w:t>النساء</w:t>
      </w:r>
      <w:r w:rsidR="00F32B28">
        <w:rPr>
          <w:rtl/>
        </w:rPr>
        <w:t xml:space="preserve"> </w:t>
      </w:r>
      <w:r w:rsidR="00F32B28" w:rsidRPr="00F32B28">
        <w:rPr>
          <w:rtl/>
        </w:rPr>
        <w:t>وأدوارها</w:t>
      </w:r>
      <w:r w:rsidR="00F32B28">
        <w:rPr>
          <w:rtl/>
        </w:rPr>
        <w:t xml:space="preserve"> </w:t>
      </w:r>
      <w:r w:rsidR="00F32B28" w:rsidRPr="00F32B28">
        <w:rPr>
          <w:rtl/>
        </w:rPr>
        <w:t>بشكل</w:t>
      </w:r>
      <w:r w:rsidR="00F32B28">
        <w:rPr>
          <w:rtl/>
        </w:rPr>
        <w:t xml:space="preserve"> </w:t>
      </w:r>
      <w:r w:rsidR="00F32B28" w:rsidRPr="00F32B28">
        <w:rPr>
          <w:rtl/>
        </w:rPr>
        <w:t>عام.</w:t>
      </w:r>
      <w:r w:rsidR="00F32B28">
        <w:rPr>
          <w:rtl/>
        </w:rPr>
        <w:t xml:space="preserve"> </w:t>
      </w:r>
    </w:p>
    <w:p w:rsidR="00F32B28" w:rsidRPr="00F32B28" w:rsidRDefault="00F3470F" w:rsidP="00F3470F">
      <w:pPr>
        <w:pStyle w:val="SingleTxt"/>
        <w:rPr>
          <w:rtl/>
        </w:rPr>
      </w:pPr>
      <w:r>
        <w:rPr>
          <w:rFonts w:hint="cs"/>
          <w:rtl/>
        </w:rPr>
        <w:t xml:space="preserve">170 - </w:t>
      </w:r>
      <w:r w:rsidR="00F32B28" w:rsidRPr="00F32B28">
        <w:rPr>
          <w:rtl/>
        </w:rPr>
        <w:t>لا</w:t>
      </w:r>
      <w:r w:rsidR="00F32B28">
        <w:rPr>
          <w:rtl/>
        </w:rPr>
        <w:t xml:space="preserve"> </w:t>
      </w:r>
      <w:r w:rsidR="00F32B28" w:rsidRPr="00F32B28">
        <w:rPr>
          <w:rtl/>
        </w:rPr>
        <w:t>تحظر</w:t>
      </w:r>
      <w:r w:rsidR="00F32B28">
        <w:rPr>
          <w:rtl/>
        </w:rPr>
        <w:t xml:space="preserve"> </w:t>
      </w:r>
      <w:r w:rsidR="00F32B28" w:rsidRPr="00F32B28">
        <w:rPr>
          <w:rtl/>
        </w:rPr>
        <w:t>التشريعات</w:t>
      </w:r>
      <w:r w:rsidR="00F32B28">
        <w:rPr>
          <w:rtl/>
        </w:rPr>
        <w:t xml:space="preserve"> </w:t>
      </w:r>
      <w:r w:rsidR="00F32B28" w:rsidRPr="00F32B28">
        <w:rPr>
          <w:rtl/>
        </w:rPr>
        <w:t>السارية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التعليم</w:t>
      </w:r>
      <w:r w:rsidR="00F32B28">
        <w:rPr>
          <w:rtl/>
        </w:rPr>
        <w:t xml:space="preserve"> </w:t>
      </w:r>
      <w:r w:rsidR="00F32B28" w:rsidRPr="00F32B28">
        <w:rPr>
          <w:rtl/>
        </w:rPr>
        <w:t>المختلط،</w:t>
      </w:r>
      <w:r w:rsidR="00F32B28">
        <w:rPr>
          <w:rtl/>
        </w:rPr>
        <w:t xml:space="preserve"> </w:t>
      </w:r>
      <w:r w:rsidR="00F32B28" w:rsidRPr="00F32B28">
        <w:rPr>
          <w:rtl/>
        </w:rPr>
        <w:t>ويوجد</w:t>
      </w:r>
      <w:r w:rsidR="00F32B28">
        <w:rPr>
          <w:rtl/>
        </w:rPr>
        <w:t xml:space="preserve"> </w:t>
      </w:r>
      <w:r w:rsidR="00F32B28" w:rsidRPr="00F32B28">
        <w:rPr>
          <w:rtl/>
        </w:rPr>
        <w:t>هناك</w:t>
      </w:r>
      <w:r w:rsidR="00F32B28">
        <w:rPr>
          <w:rtl/>
        </w:rPr>
        <w:t xml:space="preserve"> </w:t>
      </w:r>
      <w:r w:rsidR="00F32B28" w:rsidRPr="00F32B28">
        <w:rPr>
          <w:rtl/>
        </w:rPr>
        <w:t>حوالي</w:t>
      </w:r>
      <w:r w:rsidR="00F32B28">
        <w:rPr>
          <w:rtl/>
        </w:rPr>
        <w:t xml:space="preserve"> </w:t>
      </w:r>
      <w:r w:rsidR="00F32B28" w:rsidRPr="00F32B28">
        <w:rPr>
          <w:rtl/>
        </w:rPr>
        <w:t>(686)</w:t>
      </w:r>
      <w:r w:rsidR="00F32B28">
        <w:rPr>
          <w:rtl/>
        </w:rPr>
        <w:t xml:space="preserve"> </w:t>
      </w:r>
      <w:r w:rsidR="00F32B28" w:rsidRPr="00F32B28">
        <w:rPr>
          <w:rtl/>
        </w:rPr>
        <w:t>مدرسة</w:t>
      </w:r>
      <w:r w:rsidR="00F32B28">
        <w:rPr>
          <w:rtl/>
        </w:rPr>
        <w:t xml:space="preserve"> </w:t>
      </w:r>
      <w:r w:rsidR="00F32B28" w:rsidRPr="00F32B28">
        <w:rPr>
          <w:rtl/>
        </w:rPr>
        <w:t>مختلطة.</w:t>
      </w:r>
      <w:r w:rsidR="00F32B28">
        <w:rPr>
          <w:rtl/>
        </w:rPr>
        <w:t xml:space="preserve"> </w:t>
      </w:r>
      <w:r w:rsidR="00F32B28" w:rsidRPr="00F32B28">
        <w:rPr>
          <w:rtl/>
        </w:rPr>
        <w:t>بينما</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وبموجب</w:t>
      </w:r>
      <w:r w:rsidR="00F32B28">
        <w:rPr>
          <w:rtl/>
        </w:rPr>
        <w:t xml:space="preserve"> </w:t>
      </w:r>
      <w:r w:rsidR="00F32B28" w:rsidRPr="00F32B28">
        <w:rPr>
          <w:rtl/>
        </w:rPr>
        <w:t>قانون</w:t>
      </w:r>
      <w:r w:rsidR="00F32B28">
        <w:rPr>
          <w:rtl/>
        </w:rPr>
        <w:t xml:space="preserve"> </w:t>
      </w:r>
      <w:r w:rsidR="00F32B28" w:rsidRPr="00F32B28">
        <w:rPr>
          <w:rtl/>
        </w:rPr>
        <w:t>التعليم</w:t>
      </w:r>
      <w:r w:rsidR="00F32B28">
        <w:rPr>
          <w:rtl/>
        </w:rPr>
        <w:t xml:space="preserve"> </w:t>
      </w:r>
      <w:r w:rsidR="00F32B28" w:rsidRPr="00F32B28">
        <w:rPr>
          <w:rtl/>
        </w:rPr>
        <w:t>رقم</w:t>
      </w:r>
      <w:r w:rsidR="00F32B28">
        <w:rPr>
          <w:rtl/>
        </w:rPr>
        <w:t xml:space="preserve"> </w:t>
      </w:r>
      <w:r w:rsidR="00F32B28" w:rsidRPr="00F32B28">
        <w:rPr>
          <w:rtl/>
        </w:rPr>
        <w:t>(1)</w:t>
      </w:r>
      <w:r w:rsidR="00F32B28">
        <w:rPr>
          <w:rtl/>
        </w:rPr>
        <w:t xml:space="preserve"> </w:t>
      </w:r>
      <w:r w:rsidR="00F32B28" w:rsidRPr="00F32B28">
        <w:rPr>
          <w:rtl/>
        </w:rPr>
        <w:t>لسنة</w:t>
      </w:r>
      <w:r w:rsidR="00F32B28">
        <w:rPr>
          <w:rtl/>
        </w:rPr>
        <w:t xml:space="preserve"> </w:t>
      </w:r>
      <w:r w:rsidR="00F32B28" w:rsidRPr="00F32B28">
        <w:rPr>
          <w:rtl/>
        </w:rPr>
        <w:t>2013</w:t>
      </w:r>
      <w:r w:rsidR="00F32B28">
        <w:rPr>
          <w:rtl/>
        </w:rPr>
        <w:t xml:space="preserve"> </w:t>
      </w:r>
      <w:r w:rsidR="00F32B28" w:rsidRPr="00F32B28">
        <w:rPr>
          <w:rtl/>
        </w:rPr>
        <w:t>غير</w:t>
      </w:r>
      <w:r w:rsidR="00F32B28">
        <w:rPr>
          <w:rtl/>
        </w:rPr>
        <w:t xml:space="preserve"> </w:t>
      </w:r>
      <w:r w:rsidR="00F32B28" w:rsidRPr="00F32B28">
        <w:rPr>
          <w:rtl/>
        </w:rPr>
        <w:t>الشرعي</w:t>
      </w:r>
      <w:r w:rsidR="00F32B28">
        <w:rPr>
          <w:rtl/>
        </w:rPr>
        <w:t xml:space="preserve"> </w:t>
      </w:r>
      <w:r w:rsidR="00F32B28" w:rsidRPr="00F32B28">
        <w:rPr>
          <w:rtl/>
        </w:rPr>
        <w:t>الذي</w:t>
      </w:r>
      <w:r w:rsidR="00F32B28">
        <w:rPr>
          <w:rtl/>
        </w:rPr>
        <w:t xml:space="preserve"> </w:t>
      </w:r>
      <w:r w:rsidR="00F32B28" w:rsidRPr="00F32B28">
        <w:rPr>
          <w:rtl/>
        </w:rPr>
        <w:t>أصدرته</w:t>
      </w:r>
      <w:r w:rsidR="00F32B28">
        <w:rPr>
          <w:rtl/>
        </w:rPr>
        <w:t xml:space="preserve"> </w:t>
      </w:r>
      <w:r w:rsidR="00F32B28" w:rsidRPr="00F32B28">
        <w:rPr>
          <w:rtl/>
        </w:rPr>
        <w:t>حماس</w:t>
      </w:r>
      <w:r w:rsidR="00F32B28">
        <w:rPr>
          <w:rtl/>
        </w:rPr>
        <w:t xml:space="preserve"> </w:t>
      </w:r>
      <w:r w:rsidR="00F32B28" w:rsidRPr="00F32B28">
        <w:rPr>
          <w:rtl/>
        </w:rPr>
        <w:t>هناك،</w:t>
      </w:r>
      <w:r w:rsidR="00F32B28">
        <w:rPr>
          <w:rtl/>
        </w:rPr>
        <w:t xml:space="preserve"> </w:t>
      </w:r>
      <w:r w:rsidR="00F32B28" w:rsidRPr="00F32B28">
        <w:rPr>
          <w:rtl/>
        </w:rPr>
        <w:t>يحظر</w:t>
      </w:r>
      <w:r w:rsidR="00F32B28">
        <w:rPr>
          <w:rtl/>
        </w:rPr>
        <w:t xml:space="preserve"> </w:t>
      </w:r>
      <w:r w:rsidR="00F32B28" w:rsidRPr="00F32B28">
        <w:rPr>
          <w:rtl/>
        </w:rPr>
        <w:t>اختلاط</w:t>
      </w:r>
      <w:r w:rsidR="00F32B28">
        <w:rPr>
          <w:rtl/>
        </w:rPr>
        <w:t xml:space="preserve"> </w:t>
      </w:r>
      <w:r w:rsidR="00F32B28" w:rsidRPr="00F32B28">
        <w:rPr>
          <w:rtl/>
        </w:rPr>
        <w:t>الطلبة</w:t>
      </w:r>
      <w:r w:rsidR="00F32B28">
        <w:rPr>
          <w:rtl/>
        </w:rPr>
        <w:t xml:space="preserve"> </w:t>
      </w:r>
      <w:r w:rsidR="00F32B28" w:rsidRPr="00F32B28">
        <w:rPr>
          <w:rtl/>
        </w:rPr>
        <w:t>من</w:t>
      </w:r>
      <w:r w:rsidR="00F32B28">
        <w:rPr>
          <w:rtl/>
        </w:rPr>
        <w:t xml:space="preserve"> </w:t>
      </w:r>
      <w:r w:rsidR="00F32B28" w:rsidRPr="00F32B28">
        <w:rPr>
          <w:rtl/>
        </w:rPr>
        <w:t>الجنسين</w:t>
      </w:r>
      <w:r w:rsidR="00F32B28">
        <w:rPr>
          <w:rtl/>
        </w:rPr>
        <w:t xml:space="preserve"> </w:t>
      </w:r>
      <w:r w:rsidR="00F32B28" w:rsidRPr="00F32B28">
        <w:rPr>
          <w:rtl/>
        </w:rPr>
        <w:t>في</w:t>
      </w:r>
      <w:r w:rsidR="00F32B28">
        <w:rPr>
          <w:rtl/>
        </w:rPr>
        <w:t xml:space="preserve"> </w:t>
      </w:r>
      <w:r w:rsidR="00F32B28" w:rsidRPr="00F32B28">
        <w:rPr>
          <w:rtl/>
        </w:rPr>
        <w:t>المؤسسات</w:t>
      </w:r>
      <w:r w:rsidR="00F32B28">
        <w:rPr>
          <w:rtl/>
        </w:rPr>
        <w:t xml:space="preserve"> </w:t>
      </w:r>
      <w:r w:rsidR="00F32B28" w:rsidRPr="00F32B28">
        <w:rPr>
          <w:rtl/>
        </w:rPr>
        <w:t>التعليمية</w:t>
      </w:r>
      <w:r w:rsidR="00F32B28">
        <w:rPr>
          <w:rtl/>
        </w:rPr>
        <w:t xml:space="preserve"> </w:t>
      </w:r>
      <w:r w:rsidR="00F32B28" w:rsidRPr="00F32B28">
        <w:rPr>
          <w:rtl/>
        </w:rPr>
        <w:t>بعد</w:t>
      </w:r>
      <w:r w:rsidR="00F32B28">
        <w:rPr>
          <w:rtl/>
        </w:rPr>
        <w:t xml:space="preserve"> </w:t>
      </w:r>
      <w:r w:rsidR="00F32B28" w:rsidRPr="00F32B28">
        <w:rPr>
          <w:rtl/>
        </w:rPr>
        <w:t>سن</w:t>
      </w:r>
      <w:r w:rsidR="00F32B28">
        <w:rPr>
          <w:rtl/>
        </w:rPr>
        <w:t xml:space="preserve"> </w:t>
      </w:r>
      <w:r w:rsidR="00F32B28" w:rsidRPr="00F32B28">
        <w:rPr>
          <w:rtl/>
        </w:rPr>
        <w:t>التاسعة،</w:t>
      </w:r>
      <w:r w:rsidR="00F32B28">
        <w:rPr>
          <w:rtl/>
        </w:rPr>
        <w:t xml:space="preserve"> </w:t>
      </w:r>
      <w:r w:rsidR="00F32B28" w:rsidRPr="00F32B28">
        <w:rPr>
          <w:rtl/>
        </w:rPr>
        <w:t>وتلزم</w:t>
      </w:r>
      <w:r w:rsidR="00F32B28">
        <w:rPr>
          <w:rtl/>
        </w:rPr>
        <w:t xml:space="preserve"> </w:t>
      </w:r>
      <w:r w:rsidR="00F32B28" w:rsidRPr="00F32B28">
        <w:rPr>
          <w:rtl/>
        </w:rPr>
        <w:t>وزارة</w:t>
      </w:r>
      <w:r w:rsidR="00F32B28">
        <w:rPr>
          <w:rtl/>
        </w:rPr>
        <w:t xml:space="preserve"> </w:t>
      </w:r>
      <w:r w:rsidR="00F32B28" w:rsidRPr="00F32B28">
        <w:rPr>
          <w:rtl/>
        </w:rPr>
        <w:t>التعليم</w:t>
      </w:r>
      <w:r w:rsidR="00F32B28">
        <w:rPr>
          <w:rtl/>
        </w:rPr>
        <w:t xml:space="preserve"> </w:t>
      </w:r>
      <w:r w:rsidR="00F32B28" w:rsidRPr="00F32B28">
        <w:rPr>
          <w:rtl/>
        </w:rPr>
        <w:t>هناك</w:t>
      </w:r>
      <w:r w:rsidR="00F32B28">
        <w:rPr>
          <w:rtl/>
        </w:rPr>
        <w:t xml:space="preserve"> </w:t>
      </w:r>
      <w:r w:rsidR="00F32B28" w:rsidRPr="00F32B28">
        <w:rPr>
          <w:rtl/>
        </w:rPr>
        <w:t>بالعمل</w:t>
      </w:r>
      <w:r w:rsidR="00F32B28">
        <w:rPr>
          <w:rtl/>
        </w:rPr>
        <w:t xml:space="preserve"> </w:t>
      </w:r>
      <w:r w:rsidR="00F32B28" w:rsidRPr="00F32B28">
        <w:rPr>
          <w:rtl/>
        </w:rPr>
        <w:t>على</w:t>
      </w:r>
      <w:r w:rsidR="00F32B28">
        <w:rPr>
          <w:rtl/>
        </w:rPr>
        <w:t xml:space="preserve"> </w:t>
      </w:r>
      <w:r w:rsidR="00D06D08">
        <w:rPr>
          <w:rFonts w:hint="cs"/>
          <w:rtl/>
        </w:rPr>
        <w:t>”</w:t>
      </w:r>
      <w:r w:rsidR="00F32B28" w:rsidRPr="00F32B28">
        <w:rPr>
          <w:rtl/>
        </w:rPr>
        <w:t>تأنيث</w:t>
      </w:r>
      <w:r w:rsidR="00D06D08">
        <w:rPr>
          <w:rFonts w:hint="cs"/>
          <w:rtl/>
        </w:rPr>
        <w:t>“</w:t>
      </w:r>
      <w:r w:rsidR="00F32B28">
        <w:rPr>
          <w:rtl/>
        </w:rPr>
        <w:t xml:space="preserve"> </w:t>
      </w:r>
      <w:r w:rsidR="00F32B28" w:rsidRPr="00F32B28">
        <w:rPr>
          <w:rtl/>
        </w:rPr>
        <w:t>مدارس</w:t>
      </w:r>
      <w:r w:rsidR="00F32B28">
        <w:rPr>
          <w:rtl/>
        </w:rPr>
        <w:t xml:space="preserve"> </w:t>
      </w:r>
      <w:r w:rsidR="00F32B28" w:rsidRPr="00F32B28">
        <w:rPr>
          <w:rtl/>
        </w:rPr>
        <w:t>البنات.</w:t>
      </w:r>
      <w:r w:rsidR="00F32B28">
        <w:rPr>
          <w:rtl/>
        </w:rPr>
        <w:t xml:space="preserve"> </w:t>
      </w:r>
    </w:p>
    <w:p w:rsidR="00F32B28" w:rsidRPr="00F32B28" w:rsidRDefault="00F3470F" w:rsidP="00F3470F">
      <w:pPr>
        <w:pStyle w:val="SingleTxt"/>
      </w:pPr>
      <w:r>
        <w:rPr>
          <w:rFonts w:hint="cs"/>
          <w:rtl/>
        </w:rPr>
        <w:t xml:space="preserve">171 - </w:t>
      </w:r>
      <w:r w:rsidR="00F32B28" w:rsidRPr="00F32B28">
        <w:rPr>
          <w:rtl/>
        </w:rPr>
        <w:t>وتجدر</w:t>
      </w:r>
      <w:r w:rsidR="00F32B28">
        <w:rPr>
          <w:rtl/>
        </w:rPr>
        <w:t xml:space="preserve"> </w:t>
      </w:r>
      <w:r w:rsidR="00F32B28" w:rsidRPr="00F32B28">
        <w:rPr>
          <w:rtl/>
        </w:rPr>
        <w:t>الإشارة</w:t>
      </w:r>
      <w:r w:rsidR="00F32B28">
        <w:rPr>
          <w:rtl/>
        </w:rPr>
        <w:t xml:space="preserve"> </w:t>
      </w:r>
      <w:r w:rsidR="00F32B28" w:rsidRPr="00F32B28">
        <w:rPr>
          <w:rtl/>
        </w:rPr>
        <w:t>إلى</w:t>
      </w:r>
      <w:r w:rsidR="00F32B28">
        <w:rPr>
          <w:rtl/>
        </w:rPr>
        <w:t xml:space="preserve"> </w:t>
      </w:r>
      <w:r w:rsidR="00F32B28" w:rsidRPr="00F32B28">
        <w:rPr>
          <w:rtl/>
        </w:rPr>
        <w:t>أن</w:t>
      </w:r>
      <w:r w:rsidR="00F32B28">
        <w:rPr>
          <w:rtl/>
        </w:rPr>
        <w:t xml:space="preserve"> </w:t>
      </w:r>
      <w:r w:rsidR="00F32B28" w:rsidRPr="00F32B28">
        <w:rPr>
          <w:rtl/>
        </w:rPr>
        <w:t>الرياضة</w:t>
      </w:r>
      <w:r w:rsidR="00F32B28">
        <w:rPr>
          <w:rtl/>
        </w:rPr>
        <w:t xml:space="preserve"> </w:t>
      </w:r>
      <w:r w:rsidR="00F32B28" w:rsidRPr="00F32B28">
        <w:rPr>
          <w:rtl/>
        </w:rPr>
        <w:t>هي</w:t>
      </w:r>
      <w:r w:rsidR="00F32B28">
        <w:rPr>
          <w:rtl/>
        </w:rPr>
        <w:t xml:space="preserve"> </w:t>
      </w:r>
      <w:r w:rsidR="00F32B28" w:rsidRPr="00F32B28">
        <w:rPr>
          <w:rtl/>
        </w:rPr>
        <w:t>مادة</w:t>
      </w:r>
      <w:r w:rsidR="00F32B28">
        <w:rPr>
          <w:rtl/>
        </w:rPr>
        <w:t xml:space="preserve"> </w:t>
      </w:r>
      <w:r w:rsidR="00F32B28" w:rsidRPr="00F32B28">
        <w:rPr>
          <w:rtl/>
        </w:rPr>
        <w:t>إلزامية</w:t>
      </w:r>
      <w:r w:rsidR="00F32B28">
        <w:rPr>
          <w:rtl/>
        </w:rPr>
        <w:t xml:space="preserve"> </w:t>
      </w:r>
      <w:r w:rsidR="00F32B28" w:rsidRPr="00F32B28">
        <w:rPr>
          <w:rtl/>
        </w:rPr>
        <w:t>ضمن</w:t>
      </w:r>
      <w:r w:rsidR="00F32B28">
        <w:rPr>
          <w:rtl/>
        </w:rPr>
        <w:t xml:space="preserve"> </w:t>
      </w:r>
      <w:r w:rsidR="00F32B28" w:rsidRPr="00F32B28">
        <w:rPr>
          <w:rtl/>
        </w:rPr>
        <w:t>المناهج</w:t>
      </w:r>
      <w:r w:rsidR="00F32B28">
        <w:rPr>
          <w:rtl/>
        </w:rPr>
        <w:t xml:space="preserve"> </w:t>
      </w:r>
      <w:r w:rsidR="00F32B28" w:rsidRPr="00F32B28">
        <w:rPr>
          <w:rtl/>
        </w:rPr>
        <w:t>الفلسطينية</w:t>
      </w:r>
      <w:r w:rsidR="00F32B28">
        <w:rPr>
          <w:rtl/>
        </w:rPr>
        <w:t xml:space="preserve"> </w:t>
      </w:r>
      <w:r w:rsidR="00F32B28" w:rsidRPr="00F32B28">
        <w:rPr>
          <w:rtl/>
        </w:rPr>
        <w:t>في</w:t>
      </w:r>
      <w:r w:rsidR="00F32B28">
        <w:rPr>
          <w:rtl/>
        </w:rPr>
        <w:t xml:space="preserve"> </w:t>
      </w:r>
      <w:r w:rsidR="00F32B28" w:rsidRPr="00F32B28">
        <w:rPr>
          <w:rtl/>
        </w:rPr>
        <w:t>المدارس</w:t>
      </w:r>
      <w:r w:rsidR="00F32B28">
        <w:rPr>
          <w:rtl/>
        </w:rPr>
        <w:t xml:space="preserve"> </w:t>
      </w:r>
      <w:r w:rsidR="00F32B28" w:rsidRPr="00F32B28">
        <w:rPr>
          <w:rtl/>
        </w:rPr>
        <w:t>طيلة</w:t>
      </w:r>
      <w:r w:rsidR="00F32B28">
        <w:rPr>
          <w:rtl/>
        </w:rPr>
        <w:t xml:space="preserve"> </w:t>
      </w:r>
      <w:r w:rsidR="00F32B28" w:rsidRPr="00F32B28">
        <w:rPr>
          <w:rtl/>
        </w:rPr>
        <w:t>مراحل</w:t>
      </w:r>
      <w:r w:rsidR="00F32B28">
        <w:rPr>
          <w:rtl/>
        </w:rPr>
        <w:t xml:space="preserve"> </w:t>
      </w:r>
      <w:r w:rsidR="00F32B28" w:rsidRPr="00F32B28">
        <w:rPr>
          <w:rtl/>
        </w:rPr>
        <w:t>التعليم</w:t>
      </w:r>
      <w:r w:rsidR="00F32B28">
        <w:rPr>
          <w:rtl/>
        </w:rPr>
        <w:t xml:space="preserve"> </w:t>
      </w:r>
      <w:r w:rsidR="00F32B28" w:rsidRPr="00F32B28">
        <w:rPr>
          <w:rtl/>
        </w:rPr>
        <w:t>الأساسية</w:t>
      </w:r>
      <w:r w:rsidR="00F32B28">
        <w:rPr>
          <w:rtl/>
        </w:rPr>
        <w:t xml:space="preserve"> </w:t>
      </w:r>
      <w:r w:rsidR="00F32B28" w:rsidRPr="00F32B28">
        <w:rPr>
          <w:rtl/>
        </w:rPr>
        <w:t>والثانوية،</w:t>
      </w:r>
      <w:r w:rsidR="00F32B28">
        <w:rPr>
          <w:rtl/>
        </w:rPr>
        <w:t xml:space="preserve"> </w:t>
      </w:r>
      <w:r w:rsidR="00F32B28" w:rsidRPr="00F32B28">
        <w:rPr>
          <w:rtl/>
        </w:rPr>
        <w:t>وتكفل</w:t>
      </w:r>
      <w:r w:rsidR="00F32B28">
        <w:rPr>
          <w:rtl/>
        </w:rPr>
        <w:t xml:space="preserve"> </w:t>
      </w:r>
      <w:r w:rsidR="00F32B28" w:rsidRPr="00F32B28">
        <w:rPr>
          <w:rtl/>
        </w:rPr>
        <w:t>للطالبات</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التربية</w:t>
      </w:r>
      <w:r w:rsidR="00F32B28">
        <w:rPr>
          <w:rtl/>
        </w:rPr>
        <w:t xml:space="preserve"> </w:t>
      </w:r>
      <w:r w:rsidR="00F32B28" w:rsidRPr="00F32B28">
        <w:rPr>
          <w:rtl/>
        </w:rPr>
        <w:t>البدنية</w:t>
      </w:r>
      <w:r w:rsidR="00F32B28">
        <w:rPr>
          <w:rtl/>
        </w:rPr>
        <w:t xml:space="preserve"> </w:t>
      </w:r>
      <w:r w:rsidR="00F32B28" w:rsidRPr="00F32B28">
        <w:rPr>
          <w:rtl/>
        </w:rPr>
        <w:t>والرياضة</w:t>
      </w:r>
      <w:r w:rsidR="00F32B28">
        <w:rPr>
          <w:rtl/>
        </w:rPr>
        <w:t xml:space="preserve"> </w:t>
      </w:r>
      <w:r w:rsidR="00F32B28" w:rsidRPr="00F32B28">
        <w:rPr>
          <w:rtl/>
        </w:rPr>
        <w:t>على</w:t>
      </w:r>
      <w:r w:rsidR="00F32B28">
        <w:rPr>
          <w:rtl/>
        </w:rPr>
        <w:t xml:space="preserve"> </w:t>
      </w:r>
      <w:r w:rsidR="00F32B28" w:rsidRPr="00F32B28">
        <w:rPr>
          <w:rtl/>
        </w:rPr>
        <w:t>قدم</w:t>
      </w:r>
      <w:r w:rsidR="00F32B28">
        <w:rPr>
          <w:rtl/>
        </w:rPr>
        <w:t xml:space="preserve"> </w:t>
      </w:r>
      <w:r w:rsidR="00F32B28" w:rsidRPr="00F32B28">
        <w:rPr>
          <w:rtl/>
        </w:rPr>
        <w:t>المساواة</w:t>
      </w:r>
      <w:r w:rsidR="00F32B28">
        <w:rPr>
          <w:rtl/>
        </w:rPr>
        <w:t xml:space="preserve"> </w:t>
      </w:r>
      <w:r w:rsidR="00F32B28" w:rsidRPr="00F32B28">
        <w:rPr>
          <w:rtl/>
        </w:rPr>
        <w:t>مع</w:t>
      </w:r>
      <w:r w:rsidR="00F32B28">
        <w:rPr>
          <w:rtl/>
        </w:rPr>
        <w:t xml:space="preserve"> </w:t>
      </w:r>
      <w:r w:rsidR="00F32B28" w:rsidRPr="00F32B28">
        <w:rPr>
          <w:rtl/>
        </w:rPr>
        <w:t>الطلاب</w:t>
      </w:r>
      <w:r w:rsidR="00F32B28">
        <w:rPr>
          <w:rtl/>
        </w:rPr>
        <w:t xml:space="preserve"> </w:t>
      </w:r>
      <w:r w:rsidR="00F32B28" w:rsidRPr="00F32B28">
        <w:rPr>
          <w:rtl/>
        </w:rPr>
        <w:t>الذكور</w:t>
      </w:r>
      <w:r w:rsidR="00F32B28">
        <w:rPr>
          <w:rtl/>
        </w:rPr>
        <w:t xml:space="preserve"> </w:t>
      </w:r>
      <w:r w:rsidR="00F32B28" w:rsidRPr="00F32B28">
        <w:rPr>
          <w:rtl/>
        </w:rPr>
        <w:t>سواء</w:t>
      </w:r>
      <w:r w:rsidR="00F32B28">
        <w:rPr>
          <w:rtl/>
        </w:rPr>
        <w:t xml:space="preserve"> </w:t>
      </w:r>
      <w:r w:rsidR="00F32B28" w:rsidRPr="00F32B28">
        <w:rPr>
          <w:rtl/>
        </w:rPr>
        <w:t>في</w:t>
      </w:r>
      <w:r w:rsidR="00F32B28">
        <w:rPr>
          <w:rtl/>
        </w:rPr>
        <w:t xml:space="preserve"> </w:t>
      </w:r>
      <w:r w:rsidR="00F32B28" w:rsidRPr="00F32B28">
        <w:rPr>
          <w:rtl/>
        </w:rPr>
        <w:t>جميع</w:t>
      </w:r>
      <w:r w:rsidR="00F32B28">
        <w:rPr>
          <w:rtl/>
        </w:rPr>
        <w:t xml:space="preserve"> </w:t>
      </w:r>
      <w:r w:rsidR="00F32B28" w:rsidRPr="00F32B28">
        <w:rPr>
          <w:rtl/>
        </w:rPr>
        <w:t>المدارس.</w:t>
      </w:r>
    </w:p>
    <w:p w:rsidR="00F32B28" w:rsidRPr="00F32B28" w:rsidRDefault="00F3470F" w:rsidP="00EB128F">
      <w:pPr>
        <w:pStyle w:val="SingleTxt"/>
      </w:pPr>
      <w:r>
        <w:rPr>
          <w:rFonts w:hint="cs"/>
          <w:rtl/>
        </w:rPr>
        <w:t xml:space="preserve">172 - </w:t>
      </w:r>
      <w:r w:rsidR="00F32B28" w:rsidRPr="00F32B28">
        <w:rPr>
          <w:rtl/>
        </w:rPr>
        <w:t>وتشير</w:t>
      </w:r>
      <w:r w:rsidR="00F32B28">
        <w:rPr>
          <w:rtl/>
        </w:rPr>
        <w:t xml:space="preserve"> </w:t>
      </w:r>
      <w:r w:rsidR="00F32B28" w:rsidRPr="00F32B28">
        <w:rPr>
          <w:rtl/>
        </w:rPr>
        <w:t>إحصائيات</w:t>
      </w:r>
      <w:r w:rsidR="00F32B28">
        <w:rPr>
          <w:rtl/>
        </w:rPr>
        <w:t xml:space="preserve"> </w:t>
      </w:r>
      <w:r w:rsidR="00F32B28" w:rsidRPr="00F32B28">
        <w:rPr>
          <w:rtl/>
        </w:rPr>
        <w:t>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للعام</w:t>
      </w:r>
      <w:r w:rsidR="00F32B28">
        <w:rPr>
          <w:rtl/>
        </w:rPr>
        <w:t xml:space="preserve"> </w:t>
      </w:r>
      <w:r w:rsidR="00F32B28" w:rsidRPr="00F32B28">
        <w:rPr>
          <w:rtl/>
        </w:rPr>
        <w:t>2014/2015،</w:t>
      </w:r>
      <w:r w:rsidR="00F32B28">
        <w:rPr>
          <w:rtl/>
        </w:rPr>
        <w:t xml:space="preserve"> </w:t>
      </w:r>
      <w:r w:rsidR="00F32B28" w:rsidRPr="00F32B28">
        <w:rPr>
          <w:rtl/>
        </w:rPr>
        <w:t>إلى</w:t>
      </w:r>
      <w:r w:rsidR="00F32B28">
        <w:rPr>
          <w:rtl/>
        </w:rPr>
        <w:t xml:space="preserve"> </w:t>
      </w:r>
      <w:r w:rsidR="00F32B28" w:rsidRPr="00F32B28">
        <w:rPr>
          <w:rtl/>
        </w:rPr>
        <w:t>وجود</w:t>
      </w:r>
      <w:r w:rsidR="00F32B28">
        <w:rPr>
          <w:rtl/>
        </w:rPr>
        <w:t xml:space="preserve"> </w:t>
      </w:r>
      <w:r w:rsidR="00F32B28" w:rsidRPr="00F32B28">
        <w:rPr>
          <w:rtl/>
        </w:rPr>
        <w:t>تحسناً</w:t>
      </w:r>
      <w:r w:rsidR="00F32B28">
        <w:rPr>
          <w:rtl/>
        </w:rPr>
        <w:t xml:space="preserve"> </w:t>
      </w:r>
      <w:r w:rsidR="00F32B28" w:rsidRPr="00F32B28">
        <w:rPr>
          <w:rtl/>
        </w:rPr>
        <w:t>ملموساً</w:t>
      </w:r>
      <w:r w:rsidR="00F32B28">
        <w:rPr>
          <w:rtl/>
        </w:rPr>
        <w:t xml:space="preserve"> </w:t>
      </w:r>
      <w:r w:rsidR="00F32B28" w:rsidRPr="00F32B28">
        <w:rPr>
          <w:rtl/>
        </w:rPr>
        <w:t>في</w:t>
      </w:r>
      <w:r w:rsidR="00F32B28">
        <w:rPr>
          <w:rtl/>
        </w:rPr>
        <w:t xml:space="preserve"> </w:t>
      </w:r>
      <w:r w:rsidR="00F32B28" w:rsidRPr="00F32B28">
        <w:rPr>
          <w:rtl/>
        </w:rPr>
        <w:t>نسب</w:t>
      </w:r>
      <w:r w:rsidR="00F32B28">
        <w:rPr>
          <w:rtl/>
        </w:rPr>
        <w:t xml:space="preserve"> </w:t>
      </w:r>
      <w:r w:rsidR="00F32B28" w:rsidRPr="00F32B28">
        <w:rPr>
          <w:rtl/>
        </w:rPr>
        <w:t>الالتحاق</w:t>
      </w:r>
      <w:r w:rsidR="00F32B28">
        <w:rPr>
          <w:rtl/>
        </w:rPr>
        <w:t xml:space="preserve"> </w:t>
      </w:r>
      <w:r w:rsidR="00F32B28" w:rsidRPr="00F32B28">
        <w:rPr>
          <w:rtl/>
        </w:rPr>
        <w:t>بالمدارس</w:t>
      </w:r>
      <w:r w:rsidR="00F32B28">
        <w:rPr>
          <w:rtl/>
        </w:rPr>
        <w:t xml:space="preserve"> </w:t>
      </w:r>
      <w:r w:rsidR="00F32B28" w:rsidRPr="00F32B28">
        <w:rPr>
          <w:rtl/>
        </w:rPr>
        <w:t>للإناث</w:t>
      </w:r>
      <w:r w:rsidR="00F32B28">
        <w:rPr>
          <w:rtl/>
        </w:rPr>
        <w:t xml:space="preserve"> </w:t>
      </w:r>
      <w:r w:rsidR="00F32B28" w:rsidRPr="00F32B28">
        <w:rPr>
          <w:rtl/>
        </w:rPr>
        <w:t>والذكور</w:t>
      </w:r>
      <w:r w:rsidR="00F32B28">
        <w:rPr>
          <w:rtl/>
        </w:rPr>
        <w:t xml:space="preserve"> </w:t>
      </w:r>
      <w:r w:rsidR="00F32B28" w:rsidRPr="00F32B28">
        <w:rPr>
          <w:rtl/>
        </w:rPr>
        <w:t>على</w:t>
      </w:r>
      <w:r w:rsidR="00F32B28">
        <w:rPr>
          <w:rtl/>
        </w:rPr>
        <w:t xml:space="preserve"> </w:t>
      </w:r>
      <w:r w:rsidR="00F32B28" w:rsidRPr="00F32B28">
        <w:rPr>
          <w:rtl/>
        </w:rPr>
        <w:t>حد</w:t>
      </w:r>
      <w:r w:rsidR="00F32B28">
        <w:rPr>
          <w:rtl/>
        </w:rPr>
        <w:t xml:space="preserve"> </w:t>
      </w:r>
      <w:r w:rsidR="00F32B28" w:rsidRPr="00F32B28">
        <w:rPr>
          <w:rtl/>
        </w:rPr>
        <w:t>سواء،</w:t>
      </w:r>
      <w:r w:rsidR="00F32B28">
        <w:rPr>
          <w:rtl/>
        </w:rPr>
        <w:t xml:space="preserve"> </w:t>
      </w:r>
      <w:r w:rsidR="00F32B28" w:rsidRPr="00F32B28">
        <w:rPr>
          <w:rtl/>
        </w:rPr>
        <w:t>فهنالك</w:t>
      </w:r>
      <w:r w:rsidR="00F32B28">
        <w:rPr>
          <w:rtl/>
        </w:rPr>
        <w:t xml:space="preserve"> </w:t>
      </w:r>
      <w:r w:rsidR="00F32B28" w:rsidRPr="00F32B28">
        <w:rPr>
          <w:rtl/>
        </w:rPr>
        <w:t>حوالي</w:t>
      </w:r>
      <w:r w:rsidR="00F32B28">
        <w:rPr>
          <w:rtl/>
        </w:rPr>
        <w:t xml:space="preserve"> </w:t>
      </w:r>
      <w:r w:rsidR="00F32B28" w:rsidRPr="00F32B28">
        <w:rPr>
          <w:rtl/>
        </w:rPr>
        <w:t>(</w:t>
      </w:r>
      <w:r w:rsidR="00887A70">
        <w:rPr>
          <w:rFonts w:hint="cs"/>
          <w:rtl/>
        </w:rPr>
        <w:t>856 2</w:t>
      </w:r>
      <w:r w:rsidR="00F32B28" w:rsidRPr="00F32B28">
        <w:rPr>
          <w:rtl/>
        </w:rPr>
        <w:t>)</w:t>
      </w:r>
      <w:r w:rsidR="00F32B28">
        <w:rPr>
          <w:rtl/>
        </w:rPr>
        <w:t xml:space="preserve"> </w:t>
      </w:r>
      <w:r w:rsidR="00F32B28" w:rsidRPr="00F32B28">
        <w:rPr>
          <w:rtl/>
        </w:rPr>
        <w:t>مدرسة</w:t>
      </w:r>
      <w:r w:rsidR="00F32B28">
        <w:rPr>
          <w:rtl/>
        </w:rPr>
        <w:t xml:space="preserve"> </w:t>
      </w:r>
      <w:r w:rsidR="00F32B28" w:rsidRPr="00F32B28">
        <w:rPr>
          <w:rtl/>
        </w:rPr>
        <w:t>في</w:t>
      </w:r>
      <w:r w:rsidR="00F32B28">
        <w:rPr>
          <w:rtl/>
        </w:rPr>
        <w:t xml:space="preserve"> </w:t>
      </w:r>
      <w:r w:rsidR="00F32B28" w:rsidRPr="00F32B28">
        <w:rPr>
          <w:rtl/>
          <w:lang w:bidi="ar-SY"/>
        </w:rPr>
        <w:t>فلسطين</w:t>
      </w:r>
      <w:r w:rsidR="00F32B28">
        <w:rPr>
          <w:rtl/>
        </w:rPr>
        <w:t xml:space="preserve"> </w:t>
      </w:r>
      <w:r w:rsidR="00F32B28" w:rsidRPr="00F32B28">
        <w:rPr>
          <w:rtl/>
        </w:rPr>
        <w:t>على</w:t>
      </w:r>
      <w:r w:rsidR="00F32B28">
        <w:rPr>
          <w:rtl/>
        </w:rPr>
        <w:t xml:space="preserve"> </w:t>
      </w:r>
      <w:r w:rsidR="00F32B28" w:rsidRPr="00F32B28">
        <w:rPr>
          <w:rtl/>
        </w:rPr>
        <w:t>اختلاف</w:t>
      </w:r>
      <w:r w:rsidR="00F32B28">
        <w:rPr>
          <w:rtl/>
        </w:rPr>
        <w:t xml:space="preserve"> </w:t>
      </w:r>
      <w:r w:rsidR="00F32B28" w:rsidRPr="00F32B28">
        <w:rPr>
          <w:rtl/>
        </w:rPr>
        <w:t>أنواعها،</w:t>
      </w:r>
      <w:r w:rsidR="00F32B28">
        <w:rPr>
          <w:rtl/>
        </w:rPr>
        <w:t xml:space="preserve"> </w:t>
      </w:r>
      <w:r w:rsidR="00F32B28" w:rsidRPr="00F32B28">
        <w:rPr>
          <w:rtl/>
        </w:rPr>
        <w:t>يدرس</w:t>
      </w:r>
      <w:r w:rsidR="00F32B28">
        <w:rPr>
          <w:rtl/>
        </w:rPr>
        <w:t xml:space="preserve"> </w:t>
      </w:r>
      <w:r w:rsidR="00F32B28" w:rsidRPr="00F32B28">
        <w:rPr>
          <w:rtl/>
        </w:rPr>
        <w:t>فيها</w:t>
      </w:r>
      <w:r w:rsidR="00F32B28">
        <w:rPr>
          <w:rtl/>
        </w:rPr>
        <w:t xml:space="preserve"> </w:t>
      </w:r>
      <w:r w:rsidR="00F32B28" w:rsidRPr="00F32B28">
        <w:rPr>
          <w:rtl/>
        </w:rPr>
        <w:t>حوالي</w:t>
      </w:r>
      <w:r w:rsidR="00F32B28">
        <w:rPr>
          <w:rtl/>
        </w:rPr>
        <w:t xml:space="preserve"> </w:t>
      </w:r>
      <w:r w:rsidR="00887A70">
        <w:rPr>
          <w:rFonts w:hint="cs"/>
          <w:rtl/>
        </w:rPr>
        <w:t xml:space="preserve">596 171 1 </w:t>
      </w:r>
      <w:r w:rsidR="00F32B28" w:rsidRPr="00F32B28">
        <w:rPr>
          <w:rtl/>
        </w:rPr>
        <w:t>طالب؛</w:t>
      </w:r>
      <w:r w:rsidR="00F32B28">
        <w:rPr>
          <w:rtl/>
        </w:rPr>
        <w:t xml:space="preserve"> </w:t>
      </w:r>
      <w:r w:rsidR="00887A70">
        <w:rPr>
          <w:rFonts w:hint="cs"/>
          <w:rtl/>
        </w:rPr>
        <w:t xml:space="preserve">501 590 </w:t>
      </w:r>
      <w:r w:rsidR="00F32B28" w:rsidRPr="00F32B28">
        <w:rPr>
          <w:rtl/>
        </w:rPr>
        <w:t>طالبة</w:t>
      </w:r>
      <w:r w:rsidR="00EB128F">
        <w:rPr>
          <w:rFonts w:hint="cs"/>
          <w:rtl/>
        </w:rPr>
        <w:br/>
      </w:r>
      <w:r w:rsidR="00F32B28" w:rsidRPr="00F32B28">
        <w:rPr>
          <w:rtl/>
        </w:rPr>
        <w:t>و</w:t>
      </w:r>
      <w:r w:rsidR="00887A70">
        <w:rPr>
          <w:rFonts w:hint="cs"/>
          <w:rtl/>
        </w:rPr>
        <w:t xml:space="preserve"> 095 581 </w:t>
      </w:r>
      <w:r w:rsidR="00F32B28" w:rsidRPr="00F32B28">
        <w:rPr>
          <w:rtl/>
        </w:rPr>
        <w:t>طالب.</w:t>
      </w:r>
      <w:r w:rsidR="00F32B28">
        <w:rPr>
          <w:rtl/>
        </w:rPr>
        <w:t xml:space="preserve"> </w:t>
      </w:r>
      <w:r w:rsidR="00F32B28" w:rsidRPr="00F32B28">
        <w:rPr>
          <w:rtl/>
        </w:rPr>
        <w:t>ويبلغ</w:t>
      </w:r>
      <w:r w:rsidR="00F32B28">
        <w:rPr>
          <w:rtl/>
        </w:rPr>
        <w:t xml:space="preserve"> </w:t>
      </w:r>
      <w:r w:rsidR="00F32B28" w:rsidRPr="00F32B28">
        <w:rPr>
          <w:rtl/>
        </w:rPr>
        <w:t>معدل</w:t>
      </w:r>
      <w:r w:rsidR="00F32B28">
        <w:rPr>
          <w:rtl/>
        </w:rPr>
        <w:t xml:space="preserve"> </w:t>
      </w:r>
      <w:r w:rsidR="00F32B28" w:rsidRPr="00F32B28">
        <w:rPr>
          <w:rtl/>
        </w:rPr>
        <w:t>الالتحاق</w:t>
      </w:r>
      <w:r w:rsidR="00F32B28">
        <w:rPr>
          <w:rtl/>
        </w:rPr>
        <w:t xml:space="preserve"> </w:t>
      </w:r>
      <w:r w:rsidR="00F32B28" w:rsidRPr="00F32B28">
        <w:rPr>
          <w:rtl/>
        </w:rPr>
        <w:t>الإجمالي</w:t>
      </w:r>
      <w:r w:rsidR="00F32B28">
        <w:rPr>
          <w:rtl/>
        </w:rPr>
        <w:t xml:space="preserve"> </w:t>
      </w:r>
      <w:r w:rsidR="00F32B28" w:rsidRPr="00F32B28">
        <w:rPr>
          <w:rtl/>
        </w:rPr>
        <w:t>للإناث</w:t>
      </w:r>
      <w:r w:rsidR="00F32B28">
        <w:rPr>
          <w:rtl/>
        </w:rPr>
        <w:t xml:space="preserve"> </w:t>
      </w:r>
      <w:r w:rsidR="00F32B28" w:rsidRPr="00F32B28">
        <w:rPr>
          <w:rtl/>
        </w:rPr>
        <w:t>في</w:t>
      </w:r>
      <w:r w:rsidR="00F32B28">
        <w:rPr>
          <w:rtl/>
        </w:rPr>
        <w:t xml:space="preserve"> </w:t>
      </w:r>
      <w:r w:rsidR="00F32B28" w:rsidRPr="00F32B28">
        <w:rPr>
          <w:rtl/>
        </w:rPr>
        <w:t>التعليم</w:t>
      </w:r>
      <w:r w:rsidR="00F32B28">
        <w:rPr>
          <w:rtl/>
        </w:rPr>
        <w:t xml:space="preserve"> </w:t>
      </w:r>
      <w:r w:rsidR="00F32B28" w:rsidRPr="00F32B28">
        <w:rPr>
          <w:rtl/>
        </w:rPr>
        <w:t>الأساسي</w:t>
      </w:r>
      <w:r w:rsidR="00887A70">
        <w:rPr>
          <w:rFonts w:hint="cs"/>
          <w:rtl/>
        </w:rPr>
        <w:t xml:space="preserve"> 96.5 </w:t>
      </w:r>
      <w:r w:rsidR="00600C43">
        <w:rPr>
          <w:rtl/>
        </w:rPr>
        <w:t>في المائة</w:t>
      </w:r>
      <w:r w:rsidR="00F32B28">
        <w:rPr>
          <w:rtl/>
        </w:rPr>
        <w:t xml:space="preserve"> </w:t>
      </w:r>
      <w:r w:rsidR="00F32B28" w:rsidRPr="00F32B28">
        <w:rPr>
          <w:rtl/>
        </w:rPr>
        <w:t>مقابل</w:t>
      </w:r>
      <w:r w:rsidR="00F32B28">
        <w:rPr>
          <w:rtl/>
        </w:rPr>
        <w:t xml:space="preserve"> </w:t>
      </w:r>
      <w:r w:rsidR="00887A70">
        <w:rPr>
          <w:rFonts w:hint="cs"/>
          <w:rtl/>
        </w:rPr>
        <w:t xml:space="preserve">94.2 </w:t>
      </w:r>
      <w:r w:rsidR="00600C43">
        <w:rPr>
          <w:rtl/>
        </w:rPr>
        <w:t>في المائة</w:t>
      </w:r>
      <w:r w:rsidR="00F32B28">
        <w:rPr>
          <w:rtl/>
        </w:rPr>
        <w:t xml:space="preserve"> </w:t>
      </w:r>
      <w:r w:rsidR="00F32B28" w:rsidRPr="00F32B28">
        <w:rPr>
          <w:rtl/>
        </w:rPr>
        <w:t>ذكور،</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يبلغ</w:t>
      </w:r>
      <w:r w:rsidR="00F32B28">
        <w:rPr>
          <w:rtl/>
        </w:rPr>
        <w:t xml:space="preserve"> </w:t>
      </w:r>
      <w:r w:rsidR="00F32B28" w:rsidRPr="00F32B28">
        <w:rPr>
          <w:rtl/>
        </w:rPr>
        <w:t>معدل</w:t>
      </w:r>
      <w:r w:rsidR="00F32B28">
        <w:rPr>
          <w:rtl/>
        </w:rPr>
        <w:t xml:space="preserve"> </w:t>
      </w:r>
      <w:r w:rsidR="00F32B28" w:rsidRPr="00F32B28">
        <w:rPr>
          <w:rtl/>
        </w:rPr>
        <w:t>الالتحاق</w:t>
      </w:r>
      <w:r w:rsidR="00F32B28">
        <w:rPr>
          <w:rtl/>
        </w:rPr>
        <w:t xml:space="preserve"> </w:t>
      </w:r>
      <w:r w:rsidR="00F32B28" w:rsidRPr="00F32B28">
        <w:rPr>
          <w:rtl/>
        </w:rPr>
        <w:t>في</w:t>
      </w:r>
      <w:r w:rsidR="00F32B28">
        <w:rPr>
          <w:rtl/>
        </w:rPr>
        <w:t xml:space="preserve"> </w:t>
      </w:r>
      <w:r w:rsidR="00F32B28" w:rsidRPr="00F32B28">
        <w:rPr>
          <w:rtl/>
        </w:rPr>
        <w:t>التعليم</w:t>
      </w:r>
      <w:r w:rsidR="00F32B28">
        <w:rPr>
          <w:rtl/>
        </w:rPr>
        <w:t xml:space="preserve"> </w:t>
      </w:r>
      <w:r w:rsidR="00F32B28" w:rsidRPr="00F32B28">
        <w:rPr>
          <w:rtl/>
        </w:rPr>
        <w:t>الثانوي</w:t>
      </w:r>
      <w:r w:rsidR="00F32B28">
        <w:rPr>
          <w:rtl/>
        </w:rPr>
        <w:t xml:space="preserve"> </w:t>
      </w:r>
      <w:r w:rsidR="00F32B28" w:rsidRPr="00F32B28">
        <w:rPr>
          <w:rtl/>
        </w:rPr>
        <w:t>للإناث80.1</w:t>
      </w:r>
      <w:r w:rsidR="00887A70">
        <w:rPr>
          <w:rFonts w:hint="cs"/>
          <w:rtl/>
        </w:rPr>
        <w:t xml:space="preserve"> </w:t>
      </w:r>
      <w:r w:rsidR="00600C43">
        <w:rPr>
          <w:rtl/>
        </w:rPr>
        <w:t>في المائة</w:t>
      </w:r>
      <w:r w:rsidR="00F32B28">
        <w:rPr>
          <w:rtl/>
        </w:rPr>
        <w:t xml:space="preserve"> </w:t>
      </w:r>
      <w:r w:rsidR="00F32B28" w:rsidRPr="00F32B28">
        <w:rPr>
          <w:rtl/>
        </w:rPr>
        <w:t>مقارنة</w:t>
      </w:r>
      <w:r w:rsidR="00F32B28">
        <w:rPr>
          <w:rtl/>
        </w:rPr>
        <w:t xml:space="preserve"> </w:t>
      </w:r>
      <w:r w:rsidR="00F32B28" w:rsidRPr="00F32B28">
        <w:rPr>
          <w:rtl/>
        </w:rPr>
        <w:t>61.2</w:t>
      </w:r>
      <w:r w:rsidR="00887A70">
        <w:rPr>
          <w:rFonts w:hint="cs"/>
          <w:rtl/>
        </w:rPr>
        <w:t xml:space="preserve"> </w:t>
      </w:r>
      <w:r w:rsidR="00600C43">
        <w:rPr>
          <w:rtl/>
        </w:rPr>
        <w:t>في المائة</w:t>
      </w:r>
      <w:r w:rsidR="00F32B28">
        <w:rPr>
          <w:rtl/>
        </w:rPr>
        <w:t xml:space="preserve"> </w:t>
      </w:r>
      <w:r w:rsidR="00F32B28" w:rsidRPr="00F32B28">
        <w:rPr>
          <w:rtl/>
        </w:rPr>
        <w:t>للذكور.</w:t>
      </w:r>
    </w:p>
    <w:p w:rsidR="00F32B28" w:rsidRPr="00F32B28" w:rsidRDefault="00F3470F" w:rsidP="00F3470F">
      <w:pPr>
        <w:pStyle w:val="SingleTxt"/>
      </w:pPr>
      <w:r>
        <w:rPr>
          <w:rFonts w:hint="cs"/>
          <w:rtl/>
        </w:rPr>
        <w:t xml:space="preserve">173 - </w:t>
      </w:r>
      <w:r w:rsidR="00F32B28" w:rsidRPr="00F32B28">
        <w:rPr>
          <w:rtl/>
        </w:rPr>
        <w:t>ويكفل</w:t>
      </w:r>
      <w:r w:rsidR="00F32B28">
        <w:rPr>
          <w:rtl/>
        </w:rPr>
        <w:t xml:space="preserve"> </w:t>
      </w:r>
      <w:r w:rsidR="00F32B28" w:rsidRPr="00F32B28">
        <w:rPr>
          <w:rtl/>
        </w:rPr>
        <w:t>قانون</w:t>
      </w:r>
      <w:r w:rsidR="00F32B28">
        <w:rPr>
          <w:rtl/>
        </w:rPr>
        <w:t xml:space="preserve"> </w:t>
      </w:r>
      <w:r w:rsidR="00F32B28" w:rsidRPr="00F32B28">
        <w:rPr>
          <w:rtl/>
        </w:rPr>
        <w:t>حقوق</w:t>
      </w:r>
      <w:r w:rsidR="00F32B28">
        <w:rPr>
          <w:rtl/>
        </w:rPr>
        <w:t xml:space="preserve"> </w:t>
      </w:r>
      <w:r w:rsidR="00F32B28" w:rsidRPr="00F32B28">
        <w:rPr>
          <w:rtl/>
        </w:rPr>
        <w:t>الأشخاص</w:t>
      </w:r>
      <w:r w:rsidR="00F32B28">
        <w:rPr>
          <w:rtl/>
        </w:rPr>
        <w:t xml:space="preserve"> </w:t>
      </w:r>
      <w:r w:rsidR="00F32B28" w:rsidRPr="00F32B28">
        <w:rPr>
          <w:rtl/>
        </w:rPr>
        <w:t>ذوي</w:t>
      </w:r>
      <w:r w:rsidR="00F32B28">
        <w:rPr>
          <w:rtl/>
        </w:rPr>
        <w:t xml:space="preserve"> </w:t>
      </w:r>
      <w:r w:rsidR="00F32B28" w:rsidRPr="00F32B28">
        <w:rPr>
          <w:rtl/>
        </w:rPr>
        <w:t>الإعاقة</w:t>
      </w:r>
      <w:r w:rsidR="00887A70">
        <w:rPr>
          <w:rFonts w:hint="cs"/>
          <w:rtl/>
        </w:rPr>
        <w:t xml:space="preserve"> </w:t>
      </w:r>
      <w:r w:rsidR="00F32B28" w:rsidRPr="00F32B28">
        <w:rPr>
          <w:rtl/>
        </w:rPr>
        <w:t>حقهم</w:t>
      </w:r>
      <w:r w:rsidR="00F32B28">
        <w:rPr>
          <w:rtl/>
        </w:rPr>
        <w:t xml:space="preserve"> </w:t>
      </w:r>
      <w:r w:rsidR="00F32B28" w:rsidRPr="00F32B28">
        <w:rPr>
          <w:rtl/>
        </w:rPr>
        <w:t>بالتعليم،</w:t>
      </w:r>
      <w:r w:rsidR="00F32B28">
        <w:rPr>
          <w:rtl/>
        </w:rPr>
        <w:t xml:space="preserve"> </w:t>
      </w:r>
      <w:r w:rsidR="00F32B28" w:rsidRPr="00F32B28">
        <w:rPr>
          <w:rtl/>
        </w:rPr>
        <w:t>وأناط</w:t>
      </w:r>
      <w:r w:rsidR="00F32B28">
        <w:rPr>
          <w:rtl/>
        </w:rPr>
        <w:t xml:space="preserve"> </w:t>
      </w:r>
      <w:r w:rsidR="00F32B28" w:rsidRPr="00F32B28">
        <w:rPr>
          <w:rtl/>
        </w:rPr>
        <w:t>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بمسؤولية</w:t>
      </w:r>
      <w:r w:rsidR="00F32B28">
        <w:rPr>
          <w:rtl/>
        </w:rPr>
        <w:t xml:space="preserve"> </w:t>
      </w:r>
      <w:r w:rsidR="00F32B28" w:rsidRPr="00F32B28">
        <w:rPr>
          <w:rtl/>
        </w:rPr>
        <w:t>تأمين</w:t>
      </w:r>
      <w:r w:rsidR="00F32B28">
        <w:rPr>
          <w:rtl/>
        </w:rPr>
        <w:t xml:space="preserve"> </w:t>
      </w:r>
      <w:r w:rsidR="00F32B28" w:rsidRPr="00F32B28">
        <w:rPr>
          <w:rtl/>
        </w:rPr>
        <w:t>بيئة</w:t>
      </w:r>
      <w:r w:rsidR="00F32B28">
        <w:rPr>
          <w:rtl/>
        </w:rPr>
        <w:t xml:space="preserve"> </w:t>
      </w:r>
      <w:r w:rsidR="00F32B28" w:rsidRPr="00F32B28">
        <w:rPr>
          <w:rtl/>
        </w:rPr>
        <w:t>تتناسب</w:t>
      </w:r>
      <w:r w:rsidR="00F32B28">
        <w:rPr>
          <w:rtl/>
        </w:rPr>
        <w:t xml:space="preserve"> </w:t>
      </w:r>
      <w:r w:rsidR="00F32B28" w:rsidRPr="00F32B28">
        <w:rPr>
          <w:rtl/>
        </w:rPr>
        <w:t>واحتياجاتهم</w:t>
      </w:r>
      <w:r w:rsidR="00F32B28">
        <w:rPr>
          <w:rtl/>
        </w:rPr>
        <w:t xml:space="preserve"> </w:t>
      </w:r>
      <w:r w:rsidR="00F32B28" w:rsidRPr="00F32B28">
        <w:rPr>
          <w:rtl/>
        </w:rPr>
        <w:t>في</w:t>
      </w:r>
      <w:r w:rsidR="00F32B28">
        <w:rPr>
          <w:rtl/>
        </w:rPr>
        <w:t xml:space="preserve"> </w:t>
      </w:r>
      <w:r w:rsidR="00F32B28" w:rsidRPr="00F32B28">
        <w:rPr>
          <w:rtl/>
        </w:rPr>
        <w:t>المدارس</w:t>
      </w:r>
      <w:r w:rsidR="00F32B28">
        <w:rPr>
          <w:rtl/>
        </w:rPr>
        <w:t xml:space="preserve"> </w:t>
      </w:r>
      <w:r w:rsidR="00F32B28" w:rsidRPr="00F32B28">
        <w:rPr>
          <w:rtl/>
        </w:rPr>
        <w:t>والكليات</w:t>
      </w:r>
      <w:r w:rsidR="00F32B28">
        <w:rPr>
          <w:rtl/>
        </w:rPr>
        <w:t xml:space="preserve"> </w:t>
      </w:r>
      <w:r w:rsidR="00F32B28" w:rsidRPr="00F32B28">
        <w:rPr>
          <w:rtl/>
        </w:rPr>
        <w:t>والجامعات.</w:t>
      </w:r>
      <w:r w:rsidR="00887A70">
        <w:rPr>
          <w:rFonts w:hint="cs"/>
          <w:rtl/>
        </w:rPr>
        <w:t xml:space="preserve"> </w:t>
      </w:r>
      <w:r w:rsidR="00F32B28" w:rsidRPr="00F32B28">
        <w:rPr>
          <w:rtl/>
        </w:rPr>
        <w:t>وتعمل</w:t>
      </w:r>
      <w:r w:rsidR="00F32B28">
        <w:rPr>
          <w:rtl/>
        </w:rPr>
        <w:t xml:space="preserve"> </w:t>
      </w:r>
      <w:r w:rsidR="00F32B28" w:rsidRPr="00F32B28">
        <w:rPr>
          <w:rtl/>
        </w:rPr>
        <w:t>الوزارة</w:t>
      </w:r>
      <w:r w:rsidR="00F32B28">
        <w:rPr>
          <w:rtl/>
        </w:rPr>
        <w:t xml:space="preserve"> </w:t>
      </w:r>
      <w:r w:rsidR="00F32B28" w:rsidRPr="00F32B28">
        <w:rPr>
          <w:rtl/>
        </w:rPr>
        <w:t>منذ</w:t>
      </w:r>
      <w:r w:rsidR="00F32B28">
        <w:rPr>
          <w:rtl/>
        </w:rPr>
        <w:t xml:space="preserve"> </w:t>
      </w:r>
      <w:r w:rsidR="00F32B28" w:rsidRPr="00F32B28">
        <w:rPr>
          <w:rtl/>
        </w:rPr>
        <w:t>العام</w:t>
      </w:r>
      <w:r w:rsidR="00F32B28">
        <w:rPr>
          <w:rtl/>
        </w:rPr>
        <w:t xml:space="preserve"> </w:t>
      </w:r>
      <w:r w:rsidR="00F32B28" w:rsidRPr="00F32B28">
        <w:rPr>
          <w:rtl/>
        </w:rPr>
        <w:t>1997</w:t>
      </w:r>
      <w:r w:rsidR="00F32B28">
        <w:rPr>
          <w:rtl/>
        </w:rPr>
        <w:t xml:space="preserve"> </w:t>
      </w:r>
      <w:r w:rsidR="00F32B28" w:rsidRPr="00F32B28">
        <w:rPr>
          <w:rtl/>
        </w:rPr>
        <w:t>على</w:t>
      </w:r>
      <w:r w:rsidR="00F32B28">
        <w:rPr>
          <w:rtl/>
        </w:rPr>
        <w:t xml:space="preserve"> </w:t>
      </w:r>
      <w:r w:rsidR="00F32B28" w:rsidRPr="00F32B28">
        <w:rPr>
          <w:rtl/>
        </w:rPr>
        <w:t>دمج</w:t>
      </w:r>
      <w:r w:rsidR="00F32B28">
        <w:rPr>
          <w:rtl/>
        </w:rPr>
        <w:t xml:space="preserve"> </w:t>
      </w:r>
      <w:r w:rsidR="00F32B28" w:rsidRPr="00F32B28">
        <w:rPr>
          <w:rtl/>
        </w:rPr>
        <w:t>الطلبة</w:t>
      </w:r>
      <w:r w:rsidR="00F32B28">
        <w:rPr>
          <w:rtl/>
        </w:rPr>
        <w:t xml:space="preserve"> </w:t>
      </w:r>
      <w:r w:rsidR="00F32B28" w:rsidRPr="00F32B28">
        <w:rPr>
          <w:rtl/>
        </w:rPr>
        <w:t>ذوي</w:t>
      </w:r>
      <w:r w:rsidR="00F32B28">
        <w:rPr>
          <w:rtl/>
        </w:rPr>
        <w:t xml:space="preserve"> </w:t>
      </w:r>
      <w:r w:rsidR="00F32B28" w:rsidRPr="00F32B28">
        <w:rPr>
          <w:rtl/>
        </w:rPr>
        <w:t>الإعاقة</w:t>
      </w:r>
      <w:r w:rsidR="00F32B28">
        <w:rPr>
          <w:rtl/>
        </w:rPr>
        <w:t xml:space="preserve"> </w:t>
      </w:r>
      <w:r w:rsidR="00F32B28" w:rsidRPr="00F32B28">
        <w:rPr>
          <w:rtl/>
        </w:rPr>
        <w:t>من</w:t>
      </w:r>
      <w:r w:rsidR="00F32B28">
        <w:rPr>
          <w:rtl/>
        </w:rPr>
        <w:t xml:space="preserve"> </w:t>
      </w:r>
      <w:r w:rsidR="00F32B28" w:rsidRPr="00F32B28">
        <w:rPr>
          <w:rtl/>
        </w:rPr>
        <w:t>الجنسين؛</w:t>
      </w:r>
      <w:r w:rsidR="00F32B28">
        <w:rPr>
          <w:rtl/>
        </w:rPr>
        <w:t xml:space="preserve"> </w:t>
      </w:r>
      <w:r w:rsidR="00F32B28" w:rsidRPr="00F32B28">
        <w:rPr>
          <w:rtl/>
        </w:rPr>
        <w:t>حيث</w:t>
      </w:r>
      <w:r w:rsidR="00F32B28">
        <w:rPr>
          <w:rtl/>
        </w:rPr>
        <w:t xml:space="preserve"> </w:t>
      </w:r>
      <w:r w:rsidR="00F32B28" w:rsidRPr="00F32B28">
        <w:rPr>
          <w:rtl/>
        </w:rPr>
        <w:t>وصل</w:t>
      </w:r>
      <w:r w:rsidR="00F32B28">
        <w:rPr>
          <w:rtl/>
        </w:rPr>
        <w:t xml:space="preserve"> </w:t>
      </w:r>
      <w:r w:rsidR="00F32B28" w:rsidRPr="00F32B28">
        <w:rPr>
          <w:rtl/>
        </w:rPr>
        <w:t>عددهم</w:t>
      </w:r>
      <w:r w:rsidR="00F32B28">
        <w:rPr>
          <w:rtl/>
        </w:rPr>
        <w:t xml:space="preserve"> </w:t>
      </w:r>
      <w:r w:rsidR="00F32B28" w:rsidRPr="00F32B28">
        <w:rPr>
          <w:rtl/>
        </w:rPr>
        <w:t>في</w:t>
      </w:r>
      <w:r w:rsidR="00F32B28">
        <w:rPr>
          <w:rtl/>
        </w:rPr>
        <w:t xml:space="preserve"> </w:t>
      </w:r>
      <w:r w:rsidR="00F32B28" w:rsidRPr="00F32B28">
        <w:rPr>
          <w:rtl/>
        </w:rPr>
        <w:t>المدارس</w:t>
      </w:r>
      <w:r w:rsidR="00F32B28">
        <w:rPr>
          <w:rtl/>
        </w:rPr>
        <w:t xml:space="preserve"> </w:t>
      </w:r>
      <w:r w:rsidR="00F32B28" w:rsidRPr="00F32B28">
        <w:rPr>
          <w:rtl/>
        </w:rPr>
        <w:t>الحكومية</w:t>
      </w:r>
      <w:r w:rsidR="00F32B28" w:rsidRPr="00F32B28">
        <w:rPr>
          <w:rtl/>
          <w:lang w:bidi="ar-JO"/>
        </w:rPr>
        <w:t>في</w:t>
      </w:r>
      <w:r w:rsidR="00F32B28">
        <w:rPr>
          <w:rtl/>
          <w:lang w:bidi="ar-JO"/>
        </w:rPr>
        <w:t xml:space="preserve"> </w:t>
      </w:r>
      <w:r w:rsidR="00F32B28" w:rsidRPr="00F32B28">
        <w:rPr>
          <w:rtl/>
        </w:rPr>
        <w:t>العام</w:t>
      </w:r>
      <w:r w:rsidR="00F32B28">
        <w:rPr>
          <w:rtl/>
        </w:rPr>
        <w:t xml:space="preserve"> </w:t>
      </w:r>
      <w:r w:rsidR="00F32B28" w:rsidRPr="00F32B28">
        <w:rPr>
          <w:rtl/>
        </w:rPr>
        <w:t>الدراسي</w:t>
      </w:r>
      <w:r w:rsidR="00F32B28">
        <w:rPr>
          <w:rtl/>
        </w:rPr>
        <w:t xml:space="preserve"> </w:t>
      </w:r>
      <w:r w:rsidR="00F32B28" w:rsidRPr="00F32B28">
        <w:rPr>
          <w:rtl/>
        </w:rPr>
        <w:t>2014-2015</w:t>
      </w:r>
      <w:r w:rsidR="00EE7D94">
        <w:rPr>
          <w:rFonts w:hint="cs"/>
          <w:rtl/>
        </w:rPr>
        <w:t xml:space="preserve"> </w:t>
      </w:r>
      <w:r w:rsidR="00F32B28" w:rsidRPr="00F32B28">
        <w:rPr>
          <w:rtl/>
        </w:rPr>
        <w:t>إلى</w:t>
      </w:r>
      <w:r w:rsidR="00F32B28">
        <w:rPr>
          <w:rtl/>
        </w:rPr>
        <w:t xml:space="preserve"> </w:t>
      </w:r>
      <w:r w:rsidR="00EE4046">
        <w:rPr>
          <w:rFonts w:hint="cs"/>
          <w:rtl/>
        </w:rPr>
        <w:t>552 7</w:t>
      </w:r>
      <w:r w:rsidR="00F32B28">
        <w:rPr>
          <w:rtl/>
        </w:rPr>
        <w:t xml:space="preserve"> </w:t>
      </w:r>
      <w:r w:rsidR="00F32B28" w:rsidRPr="00F32B28">
        <w:rPr>
          <w:rtl/>
        </w:rPr>
        <w:t>طالباً؛</w:t>
      </w:r>
      <w:r w:rsidR="00F32B28">
        <w:rPr>
          <w:rtl/>
        </w:rPr>
        <w:t xml:space="preserve"> </w:t>
      </w:r>
      <w:r w:rsidR="00F32B28" w:rsidRPr="00F32B28">
        <w:rPr>
          <w:rtl/>
        </w:rPr>
        <w:t>منهم</w:t>
      </w:r>
      <w:r w:rsidR="00F32B28">
        <w:rPr>
          <w:rtl/>
        </w:rPr>
        <w:t xml:space="preserve"> </w:t>
      </w:r>
      <w:r w:rsidR="00EE4046">
        <w:rPr>
          <w:rFonts w:hint="cs"/>
          <w:rtl/>
        </w:rPr>
        <w:t xml:space="preserve">998 3 </w:t>
      </w:r>
      <w:r w:rsidR="00F32B28" w:rsidRPr="00F32B28">
        <w:rPr>
          <w:rtl/>
        </w:rPr>
        <w:t>طالباً</w:t>
      </w:r>
      <w:r w:rsidR="00F32B28">
        <w:rPr>
          <w:rtl/>
        </w:rPr>
        <w:t xml:space="preserve"> </w:t>
      </w:r>
      <w:r w:rsidR="00F32B28" w:rsidRPr="00F32B28">
        <w:rPr>
          <w:rtl/>
        </w:rPr>
        <w:t>ذكرا</w:t>
      </w:r>
      <w:r w:rsidR="00F32B28">
        <w:rPr>
          <w:rtl/>
        </w:rPr>
        <w:t xml:space="preserve"> </w:t>
      </w:r>
      <w:r w:rsidR="00F32B28" w:rsidRPr="00F32B28">
        <w:rPr>
          <w:rtl/>
        </w:rPr>
        <w:t>و</w:t>
      </w:r>
      <w:r w:rsidR="00EE4046">
        <w:rPr>
          <w:rFonts w:hint="cs"/>
          <w:rtl/>
        </w:rPr>
        <w:t xml:space="preserve"> 554 3 </w:t>
      </w:r>
      <w:r w:rsidR="00F32B28" w:rsidRPr="00F32B28">
        <w:rPr>
          <w:rtl/>
        </w:rPr>
        <w:t>طالبة</w:t>
      </w:r>
      <w:r w:rsidR="00F32B28">
        <w:rPr>
          <w:rtl/>
        </w:rPr>
        <w:t xml:space="preserve"> </w:t>
      </w:r>
      <w:r w:rsidR="00F32B28" w:rsidRPr="00F32B28">
        <w:rPr>
          <w:rtl/>
        </w:rPr>
        <w:t>أنثى.</w:t>
      </w:r>
      <w:r w:rsidR="00F32B28">
        <w:rPr>
          <w:rtl/>
        </w:rPr>
        <w:t xml:space="preserve"> </w:t>
      </w:r>
      <w:r w:rsidR="00F32B28" w:rsidRPr="00F32B28">
        <w:rPr>
          <w:rtl/>
        </w:rPr>
        <w:t>وتشير</w:t>
      </w:r>
      <w:r w:rsidR="00F32B28">
        <w:rPr>
          <w:rtl/>
        </w:rPr>
        <w:t xml:space="preserve"> </w:t>
      </w:r>
      <w:r w:rsidR="00F32B28" w:rsidRPr="00F32B28">
        <w:rPr>
          <w:rtl/>
        </w:rPr>
        <w:t>بيانات</w:t>
      </w:r>
      <w:r w:rsidR="00F32B28">
        <w:rPr>
          <w:rtl/>
        </w:rPr>
        <w:t xml:space="preserve"> </w:t>
      </w:r>
      <w:r w:rsidR="00F32B28" w:rsidRPr="00F32B28">
        <w:rPr>
          <w:rtl/>
        </w:rPr>
        <w:t>الوزارة</w:t>
      </w:r>
      <w:r w:rsidR="00F32B28">
        <w:rPr>
          <w:rtl/>
        </w:rPr>
        <w:t xml:space="preserve"> </w:t>
      </w:r>
      <w:r w:rsidR="00F32B28" w:rsidRPr="00F32B28">
        <w:rPr>
          <w:rtl/>
        </w:rPr>
        <w:t>إلى</w:t>
      </w:r>
      <w:r w:rsidR="00EE4046">
        <w:rPr>
          <w:rFonts w:hint="cs"/>
          <w:rtl/>
        </w:rPr>
        <w:t xml:space="preserve"> </w:t>
      </w:r>
      <w:r w:rsidR="00F32B28" w:rsidRPr="00F32B28">
        <w:rPr>
          <w:rtl/>
        </w:rPr>
        <w:t>أن</w:t>
      </w:r>
      <w:r w:rsidR="00F32B28">
        <w:rPr>
          <w:rtl/>
        </w:rPr>
        <w:t xml:space="preserve"> </w:t>
      </w:r>
      <w:r w:rsidR="00F32B28" w:rsidRPr="00F32B28">
        <w:rPr>
          <w:rtl/>
        </w:rPr>
        <w:t>حوالي</w:t>
      </w:r>
      <w:r w:rsidR="00F32B28">
        <w:rPr>
          <w:rtl/>
        </w:rPr>
        <w:t xml:space="preserve"> </w:t>
      </w:r>
      <w:r w:rsidR="00F32B28" w:rsidRPr="00F32B28">
        <w:rPr>
          <w:rtl/>
        </w:rPr>
        <w:t>63.6</w:t>
      </w:r>
      <w:r w:rsidR="00EE4046">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المدارس</w:t>
      </w:r>
      <w:r w:rsidR="00F32B28">
        <w:rPr>
          <w:rtl/>
        </w:rPr>
        <w:t xml:space="preserve"> </w:t>
      </w:r>
      <w:r w:rsidR="00F32B28" w:rsidRPr="00F32B28">
        <w:rPr>
          <w:rtl/>
        </w:rPr>
        <w:t>الحكومية</w:t>
      </w:r>
      <w:r w:rsidR="00F32B28">
        <w:rPr>
          <w:rtl/>
        </w:rPr>
        <w:t xml:space="preserve"> </w:t>
      </w:r>
      <w:r w:rsidR="00F32B28" w:rsidRPr="00F32B28">
        <w:rPr>
          <w:rtl/>
        </w:rPr>
        <w:t>تأخذ</w:t>
      </w:r>
      <w:r w:rsidR="00F32B28">
        <w:rPr>
          <w:rtl/>
        </w:rPr>
        <w:t xml:space="preserve"> </w:t>
      </w:r>
      <w:r w:rsidR="00F32B28" w:rsidRPr="00F32B28">
        <w:rPr>
          <w:rtl/>
        </w:rPr>
        <w:t>بعين</w:t>
      </w:r>
      <w:r w:rsidR="00F32B28">
        <w:rPr>
          <w:rtl/>
        </w:rPr>
        <w:t xml:space="preserve"> </w:t>
      </w:r>
      <w:r w:rsidR="00F32B28" w:rsidRPr="00F32B28">
        <w:rPr>
          <w:rtl/>
        </w:rPr>
        <w:t>الاعتبار</w:t>
      </w:r>
      <w:r w:rsidR="00F32B28">
        <w:rPr>
          <w:rtl/>
        </w:rPr>
        <w:t xml:space="preserve"> </w:t>
      </w:r>
      <w:r w:rsidR="00F32B28" w:rsidRPr="00F32B28">
        <w:rPr>
          <w:rtl/>
        </w:rPr>
        <w:t>احتياجات</w:t>
      </w:r>
      <w:r w:rsidR="00F32B28">
        <w:rPr>
          <w:rtl/>
        </w:rPr>
        <w:t xml:space="preserve"> </w:t>
      </w:r>
      <w:r w:rsidR="00F32B28" w:rsidRPr="00F32B28">
        <w:rPr>
          <w:rtl/>
        </w:rPr>
        <w:t>الطلبة</w:t>
      </w:r>
      <w:r w:rsidR="00F32B28">
        <w:rPr>
          <w:rtl/>
        </w:rPr>
        <w:t xml:space="preserve"> </w:t>
      </w:r>
      <w:r w:rsidR="00F32B28" w:rsidRPr="00F32B28">
        <w:rPr>
          <w:rtl/>
        </w:rPr>
        <w:t>ذوي</w:t>
      </w:r>
      <w:r w:rsidR="00F32B28">
        <w:rPr>
          <w:rtl/>
        </w:rPr>
        <w:t xml:space="preserve"> </w:t>
      </w:r>
      <w:r w:rsidR="00F32B28" w:rsidRPr="00F32B28">
        <w:rPr>
          <w:rtl/>
        </w:rPr>
        <w:t>الإعاقة</w:t>
      </w:r>
      <w:r w:rsidR="00F32B28">
        <w:rPr>
          <w:rtl/>
        </w:rPr>
        <w:t xml:space="preserve"> </w:t>
      </w:r>
      <w:r w:rsidR="00F32B28" w:rsidRPr="00F32B28">
        <w:rPr>
          <w:rtl/>
        </w:rPr>
        <w:t>فيما</w:t>
      </w:r>
      <w:r w:rsidR="00F32B28">
        <w:rPr>
          <w:rtl/>
        </w:rPr>
        <w:t xml:space="preserve"> </w:t>
      </w:r>
      <w:r w:rsidR="00F32B28" w:rsidRPr="00F32B28">
        <w:rPr>
          <w:rtl/>
        </w:rPr>
        <w:t>يتعلق</w:t>
      </w:r>
      <w:r w:rsidR="00F32B28">
        <w:rPr>
          <w:rtl/>
        </w:rPr>
        <w:t xml:space="preserve"> </w:t>
      </w:r>
      <w:r w:rsidR="00F32B28" w:rsidRPr="00F32B28">
        <w:rPr>
          <w:rtl/>
        </w:rPr>
        <w:t>بالمراحيض</w:t>
      </w:r>
      <w:r w:rsidR="00F32B28">
        <w:rPr>
          <w:rtl/>
        </w:rPr>
        <w:t xml:space="preserve"> </w:t>
      </w:r>
      <w:r w:rsidR="00F32B28" w:rsidRPr="00F32B28">
        <w:rPr>
          <w:rtl/>
        </w:rPr>
        <w:t>والشواحط،</w:t>
      </w:r>
      <w:r w:rsidR="00F32B28">
        <w:rPr>
          <w:rtl/>
        </w:rPr>
        <w:t xml:space="preserve"> </w:t>
      </w:r>
      <w:r w:rsidR="00F32B28" w:rsidRPr="00F32B28">
        <w:rPr>
          <w:rtl/>
        </w:rPr>
        <w:t>وتعمل</w:t>
      </w:r>
      <w:r w:rsidR="00F32B28">
        <w:rPr>
          <w:rtl/>
        </w:rPr>
        <w:t xml:space="preserve"> </w:t>
      </w:r>
      <w:r w:rsidR="00F32B28" w:rsidRPr="00F32B28">
        <w:rPr>
          <w:rtl/>
        </w:rPr>
        <w:t>الوزارة</w:t>
      </w:r>
      <w:r w:rsidR="00F32B28">
        <w:rPr>
          <w:rtl/>
        </w:rPr>
        <w:t xml:space="preserve"> </w:t>
      </w:r>
      <w:r w:rsidR="00F32B28" w:rsidRPr="00F32B28">
        <w:rPr>
          <w:rtl/>
        </w:rPr>
        <w:t>حالياً</w:t>
      </w:r>
      <w:r w:rsidR="00F32B28">
        <w:rPr>
          <w:rtl/>
        </w:rPr>
        <w:t xml:space="preserve"> </w:t>
      </w:r>
      <w:r w:rsidR="00F32B28" w:rsidRPr="00F32B28">
        <w:rPr>
          <w:rtl/>
        </w:rPr>
        <w:t>على</w:t>
      </w:r>
      <w:r w:rsidR="00F32B28">
        <w:rPr>
          <w:rtl/>
        </w:rPr>
        <w:t xml:space="preserve"> </w:t>
      </w:r>
      <w:r w:rsidR="00F32B28" w:rsidRPr="00F32B28">
        <w:rPr>
          <w:rtl/>
        </w:rPr>
        <w:t>توفير</w:t>
      </w:r>
      <w:r w:rsidR="00F32B28">
        <w:rPr>
          <w:rtl/>
        </w:rPr>
        <w:t xml:space="preserve"> </w:t>
      </w:r>
      <w:r w:rsidR="00F32B28" w:rsidRPr="00F32B28">
        <w:rPr>
          <w:rtl/>
        </w:rPr>
        <w:t>مزيداً</w:t>
      </w:r>
      <w:r w:rsidR="00F32B28">
        <w:rPr>
          <w:rtl/>
        </w:rPr>
        <w:t xml:space="preserve"> </w:t>
      </w:r>
      <w:r w:rsidR="00F32B28" w:rsidRPr="00F32B28">
        <w:rPr>
          <w:rtl/>
        </w:rPr>
        <w:t>من</w:t>
      </w:r>
      <w:r w:rsidR="00F32B28">
        <w:rPr>
          <w:rtl/>
        </w:rPr>
        <w:t xml:space="preserve"> </w:t>
      </w:r>
      <w:r w:rsidR="00F32B28" w:rsidRPr="00F32B28">
        <w:rPr>
          <w:rtl/>
        </w:rPr>
        <w:t>التسهيلات</w:t>
      </w:r>
      <w:r w:rsidR="00F32B28">
        <w:rPr>
          <w:rtl/>
        </w:rPr>
        <w:t xml:space="preserve"> </w:t>
      </w:r>
      <w:r w:rsidR="00F32B28" w:rsidRPr="00F32B28">
        <w:rPr>
          <w:rtl/>
        </w:rPr>
        <w:t>لهؤلاء</w:t>
      </w:r>
      <w:r w:rsidR="00F32B28">
        <w:rPr>
          <w:rtl/>
        </w:rPr>
        <w:t xml:space="preserve"> </w:t>
      </w:r>
      <w:r w:rsidR="00F32B28" w:rsidRPr="00F32B28">
        <w:rPr>
          <w:rtl/>
        </w:rPr>
        <w:t>الطلبة،</w:t>
      </w:r>
      <w:r w:rsidR="00F32B28">
        <w:rPr>
          <w:rtl/>
        </w:rPr>
        <w:t xml:space="preserve"> </w:t>
      </w:r>
      <w:r w:rsidR="00F32B28" w:rsidRPr="00F32B28">
        <w:rPr>
          <w:rtl/>
        </w:rPr>
        <w:t>لا</w:t>
      </w:r>
      <w:r w:rsidR="00F32B28">
        <w:rPr>
          <w:rtl/>
        </w:rPr>
        <w:t xml:space="preserve"> </w:t>
      </w:r>
      <w:r w:rsidR="00F32B28" w:rsidRPr="00F32B28">
        <w:rPr>
          <w:rtl/>
        </w:rPr>
        <w:t>سيما</w:t>
      </w:r>
      <w:r w:rsidR="00F32B28">
        <w:rPr>
          <w:rtl/>
        </w:rPr>
        <w:t xml:space="preserve"> </w:t>
      </w:r>
      <w:r w:rsidR="00F32B28" w:rsidRPr="00F32B28">
        <w:rPr>
          <w:rtl/>
        </w:rPr>
        <w:t>فيما</w:t>
      </w:r>
      <w:r w:rsidR="00F32B28">
        <w:rPr>
          <w:rtl/>
        </w:rPr>
        <w:t xml:space="preserve"> </w:t>
      </w:r>
      <w:r w:rsidR="00F32B28" w:rsidRPr="00F32B28">
        <w:rPr>
          <w:rtl/>
        </w:rPr>
        <w:t>يتعلق</w:t>
      </w:r>
      <w:r w:rsidR="00F32B28">
        <w:rPr>
          <w:rtl/>
        </w:rPr>
        <w:t xml:space="preserve"> </w:t>
      </w:r>
      <w:r w:rsidR="00F32B28" w:rsidRPr="00F32B28">
        <w:rPr>
          <w:rtl/>
        </w:rPr>
        <w:t>بتأهيل</w:t>
      </w:r>
      <w:r w:rsidR="00F32B28">
        <w:rPr>
          <w:rtl/>
        </w:rPr>
        <w:t xml:space="preserve"> </w:t>
      </w:r>
      <w:r w:rsidR="00F32B28" w:rsidRPr="00F32B28">
        <w:rPr>
          <w:rtl/>
        </w:rPr>
        <w:t>البنية</w:t>
      </w:r>
      <w:r w:rsidR="00F32B28">
        <w:rPr>
          <w:rtl/>
        </w:rPr>
        <w:t xml:space="preserve"> </w:t>
      </w:r>
      <w:r w:rsidR="00F32B28" w:rsidRPr="00F32B28">
        <w:rPr>
          <w:rtl/>
        </w:rPr>
        <w:t>التحتية</w:t>
      </w:r>
      <w:r w:rsidR="00F32B28">
        <w:rPr>
          <w:rtl/>
        </w:rPr>
        <w:t xml:space="preserve"> </w:t>
      </w:r>
      <w:r w:rsidR="00F32B28" w:rsidRPr="00F32B28">
        <w:rPr>
          <w:rtl/>
        </w:rPr>
        <w:t>للمدارس</w:t>
      </w:r>
      <w:r w:rsidR="00F32B28">
        <w:rPr>
          <w:rtl/>
        </w:rPr>
        <w:t xml:space="preserve"> </w:t>
      </w:r>
      <w:r w:rsidR="00F32B28" w:rsidRPr="00F32B28">
        <w:rPr>
          <w:rtl/>
        </w:rPr>
        <w:t>لتكون</w:t>
      </w:r>
      <w:r w:rsidR="00F32B28">
        <w:rPr>
          <w:rtl/>
        </w:rPr>
        <w:t xml:space="preserve"> </w:t>
      </w:r>
      <w:r w:rsidR="00F32B28" w:rsidRPr="00F32B28">
        <w:rPr>
          <w:rtl/>
        </w:rPr>
        <w:t>ملائمة</w:t>
      </w:r>
      <w:r w:rsidR="00F32B28">
        <w:rPr>
          <w:rtl/>
        </w:rPr>
        <w:t xml:space="preserve"> </w:t>
      </w:r>
      <w:r w:rsidR="00F32B28" w:rsidRPr="00F32B28">
        <w:rPr>
          <w:rtl/>
        </w:rPr>
        <w:t>لاحتياجاتهم.</w:t>
      </w:r>
    </w:p>
    <w:p w:rsidR="00F32B28" w:rsidRDefault="00F3470F" w:rsidP="00F3470F">
      <w:pPr>
        <w:pStyle w:val="SingleTxt"/>
        <w:rPr>
          <w:rtl/>
          <w:lang w:bidi="ar-SY"/>
        </w:rPr>
      </w:pPr>
      <w:r>
        <w:rPr>
          <w:rFonts w:hint="cs"/>
          <w:rtl/>
          <w:lang w:bidi="ar-SY"/>
        </w:rPr>
        <w:t xml:space="preserve">174 - </w:t>
      </w:r>
      <w:r w:rsidR="00F32B28" w:rsidRPr="00F32B28">
        <w:rPr>
          <w:rtl/>
          <w:lang w:bidi="ar-SY"/>
        </w:rPr>
        <w:t>ويظهر</w:t>
      </w:r>
      <w:r w:rsidR="00F32B28">
        <w:rPr>
          <w:rtl/>
          <w:lang w:bidi="ar-SY"/>
        </w:rPr>
        <w:t xml:space="preserve"> </w:t>
      </w:r>
      <w:r w:rsidR="00F32B28" w:rsidRPr="00F32B28">
        <w:rPr>
          <w:rtl/>
          <w:lang w:bidi="ar-SY"/>
        </w:rPr>
        <w:t>الجدول</w:t>
      </w:r>
      <w:r w:rsidR="00F32B28">
        <w:rPr>
          <w:rtl/>
          <w:lang w:bidi="ar-SY"/>
        </w:rPr>
        <w:t xml:space="preserve"> </w:t>
      </w:r>
      <w:r w:rsidR="00F32B28" w:rsidRPr="00F32B28">
        <w:rPr>
          <w:rtl/>
          <w:lang w:bidi="ar-SY"/>
        </w:rPr>
        <w:t>التالي</w:t>
      </w:r>
      <w:r w:rsidR="00F32B28">
        <w:rPr>
          <w:rtl/>
          <w:lang w:bidi="ar-SY"/>
        </w:rPr>
        <w:t xml:space="preserve"> </w:t>
      </w:r>
      <w:r w:rsidR="00F32B28" w:rsidRPr="00F32B28">
        <w:rPr>
          <w:rtl/>
          <w:lang w:bidi="ar-SY"/>
        </w:rPr>
        <w:t>توزع</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ذكوراً</w:t>
      </w:r>
      <w:r w:rsidR="00F32B28">
        <w:rPr>
          <w:rtl/>
          <w:lang w:bidi="ar-SY"/>
        </w:rPr>
        <w:t xml:space="preserve"> </w:t>
      </w:r>
      <w:r w:rsidR="00F32B28" w:rsidRPr="00F32B28">
        <w:rPr>
          <w:rtl/>
          <w:lang w:bidi="ar-SY"/>
        </w:rPr>
        <w:t>وإناثاً،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مختلف</w:t>
      </w:r>
      <w:r w:rsidR="00F32B28">
        <w:rPr>
          <w:rtl/>
          <w:lang w:bidi="ar-SY"/>
        </w:rPr>
        <w:t xml:space="preserve"> </w:t>
      </w:r>
      <w:r w:rsidR="00F32B28" w:rsidRPr="00F32B28">
        <w:rPr>
          <w:rtl/>
          <w:lang w:bidi="ar-SY"/>
        </w:rPr>
        <w:t>اختصاصات</w:t>
      </w:r>
      <w:r w:rsidR="00F32B28">
        <w:rPr>
          <w:rtl/>
          <w:lang w:bidi="ar-SY"/>
        </w:rPr>
        <w:t xml:space="preserve"> </w:t>
      </w:r>
      <w:r w:rsidR="00F32B28" w:rsidRPr="00F32B28">
        <w:rPr>
          <w:rtl/>
          <w:lang w:bidi="ar-SY"/>
        </w:rPr>
        <w:t>المرحلة</w:t>
      </w:r>
      <w:r w:rsidR="00F32B28">
        <w:rPr>
          <w:rtl/>
          <w:lang w:bidi="ar-SY"/>
        </w:rPr>
        <w:t xml:space="preserve"> </w:t>
      </w:r>
      <w:r w:rsidR="00F32B28" w:rsidRPr="00F32B28">
        <w:rPr>
          <w:rtl/>
          <w:lang w:bidi="ar-SY"/>
        </w:rPr>
        <w:t>الثانوية</w:t>
      </w:r>
      <w:r w:rsidR="00F32B28">
        <w:rPr>
          <w:rtl/>
          <w:lang w:bidi="ar-SY"/>
        </w:rPr>
        <w:t xml:space="preserve"> </w:t>
      </w:r>
      <w:r w:rsidR="00F32B28" w:rsidRPr="00F32B28">
        <w:rPr>
          <w:rtl/>
          <w:lang w:bidi="ar-SY"/>
        </w:rPr>
        <w:t>للسنة</w:t>
      </w:r>
      <w:r w:rsidR="00F32B28">
        <w:rPr>
          <w:rtl/>
          <w:lang w:bidi="ar-SY"/>
        </w:rPr>
        <w:t xml:space="preserve"> </w:t>
      </w:r>
      <w:r w:rsidR="00F32B28" w:rsidRPr="00F32B28">
        <w:rPr>
          <w:rtl/>
          <w:lang w:bidi="ar-SY"/>
        </w:rPr>
        <w:t>الدراسية</w:t>
      </w:r>
      <w:r w:rsidR="00F32B28">
        <w:rPr>
          <w:rtl/>
          <w:lang w:bidi="ar-SY"/>
        </w:rPr>
        <w:t xml:space="preserve"> </w:t>
      </w:r>
      <w:r w:rsidR="00F32B28" w:rsidRPr="00F32B28">
        <w:rPr>
          <w:rtl/>
          <w:lang w:bidi="ar-SY"/>
        </w:rPr>
        <w:t>2014/2015،</w:t>
      </w:r>
      <w:r w:rsidR="00F32B28">
        <w:rPr>
          <w:rtl/>
          <w:lang w:bidi="ar-SY"/>
        </w:rPr>
        <w:t xml:space="preserve"> </w:t>
      </w:r>
      <w:r w:rsidR="00F32B28" w:rsidRPr="00F32B28">
        <w:rPr>
          <w:rtl/>
          <w:lang w:bidi="ar-SY"/>
        </w:rPr>
        <w:t>بحسب</w:t>
      </w:r>
      <w:r w:rsidR="00F32B28">
        <w:rPr>
          <w:rtl/>
          <w:lang w:bidi="ar-SY"/>
        </w:rPr>
        <w:t xml:space="preserve"> </w:t>
      </w:r>
      <w:r w:rsidR="00F32B28" w:rsidRPr="00F32B28">
        <w:rPr>
          <w:rtl/>
          <w:lang w:bidi="ar-SY"/>
        </w:rPr>
        <w:t>إحصاءات</w:t>
      </w:r>
      <w:r w:rsidR="00F32B28">
        <w:rPr>
          <w:rtl/>
          <w:lang w:bidi="ar-SY"/>
        </w:rPr>
        <w:t xml:space="preserve"> </w:t>
      </w:r>
      <w:r w:rsidR="00F32B28" w:rsidRPr="00F32B28">
        <w:rPr>
          <w:rtl/>
          <w:lang w:bidi="ar-SY"/>
        </w:rPr>
        <w:t>الجهاز</w:t>
      </w:r>
      <w:r w:rsidR="00F32B28">
        <w:rPr>
          <w:rtl/>
          <w:lang w:bidi="ar-SY"/>
        </w:rPr>
        <w:t xml:space="preserve"> </w:t>
      </w:r>
      <w:r w:rsidR="00F32B28" w:rsidRPr="00F32B28">
        <w:rPr>
          <w:rtl/>
          <w:lang w:bidi="ar-SY"/>
        </w:rPr>
        <w:t>المركزي</w:t>
      </w:r>
      <w:r w:rsidR="00F32B28">
        <w:rPr>
          <w:rtl/>
          <w:lang w:bidi="ar-SY"/>
        </w:rPr>
        <w:t xml:space="preserve"> </w:t>
      </w:r>
      <w:r w:rsidR="00F32B28" w:rsidRPr="00F32B28">
        <w:rPr>
          <w:rtl/>
          <w:lang w:bidi="ar-SY"/>
        </w:rPr>
        <w:t>للإحصاء</w:t>
      </w:r>
      <w:r w:rsidR="00F32B28">
        <w:rPr>
          <w:rtl/>
          <w:lang w:bidi="ar-SY"/>
        </w:rPr>
        <w:t xml:space="preserve"> </w:t>
      </w:r>
      <w:r w:rsidR="00F32B28" w:rsidRPr="00F32B28">
        <w:rPr>
          <w:rtl/>
          <w:lang w:bidi="ar-SY"/>
        </w:rPr>
        <w:t>الفلسطيني:</w:t>
      </w:r>
    </w:p>
    <w:p w:rsidR="009B107D" w:rsidRDefault="009B107D">
      <w:pPr>
        <w:bidi w:val="0"/>
        <w:spacing w:line="240" w:lineRule="auto"/>
        <w:jc w:val="left"/>
        <w:rPr>
          <w:rtl/>
          <w:lang w:bidi="ar-SY"/>
        </w:rPr>
      </w:pPr>
      <w:r>
        <w:rPr>
          <w:rtl/>
          <w:lang w:bidi="ar-SY"/>
        </w:rPr>
        <w:br w:type="page"/>
      </w:r>
    </w:p>
    <w:p w:rsidR="00F3470F" w:rsidRDefault="00F3470F" w:rsidP="00F3470F">
      <w:pPr>
        <w:pStyle w:val="SingleTxt"/>
        <w:widowControl w:val="0"/>
        <w:rPr>
          <w:lang w:bidi="ar-SY"/>
        </w:rPr>
      </w:pPr>
      <w:r w:rsidRPr="00F32B28">
        <w:rPr>
          <w:rtl/>
          <w:lang w:bidi="ar-SY"/>
        </w:rPr>
        <w:lastRenderedPageBreak/>
        <w:t>جدو</w:t>
      </w:r>
      <w:r w:rsidRPr="00F32B28">
        <w:rPr>
          <w:rFonts w:hint="cs"/>
          <w:rtl/>
          <w:lang w:bidi="ar-SY"/>
        </w:rPr>
        <w:t>ل</w:t>
      </w:r>
      <w:r>
        <w:rPr>
          <w:rtl/>
          <w:lang w:bidi="ar-SY"/>
        </w:rPr>
        <w:t xml:space="preserve"> </w:t>
      </w:r>
      <w:r w:rsidRPr="00F32B28">
        <w:rPr>
          <w:rtl/>
          <w:lang w:bidi="ar-SY"/>
        </w:rPr>
        <w:t>رقم</w:t>
      </w:r>
      <w:r>
        <w:rPr>
          <w:rtl/>
          <w:lang w:bidi="ar-SY"/>
        </w:rPr>
        <w:t xml:space="preserve"> </w:t>
      </w:r>
      <w:r w:rsidRPr="00F32B28">
        <w:rPr>
          <w:rtl/>
          <w:lang w:bidi="ar-SY"/>
        </w:rPr>
        <w:t>(2)</w:t>
      </w:r>
      <w:r>
        <w:rPr>
          <w:rtl/>
          <w:lang w:bidi="ar-SY"/>
        </w:rPr>
        <w:t xml:space="preserve"> </w:t>
      </w:r>
      <w:r>
        <w:rPr>
          <w:rFonts w:hint="cs"/>
          <w:rtl/>
          <w:lang w:bidi="ar-SY"/>
        </w:rPr>
        <w:tab/>
      </w:r>
      <w:r>
        <w:rPr>
          <w:rFonts w:hint="cs"/>
          <w:rtl/>
          <w:lang w:bidi="ar-SY"/>
        </w:rPr>
        <w:br/>
      </w:r>
      <w:r w:rsidRPr="00F3470F">
        <w:rPr>
          <w:b/>
          <w:bCs/>
          <w:rtl/>
          <w:lang w:bidi="ar-SY"/>
        </w:rPr>
        <w:t>توزيع الذكور والإناث على مختلف اختصاصات المرحلة الثانوية للسنة الدراسية 2014/2015</w:t>
      </w:r>
    </w:p>
    <w:tbl>
      <w:tblPr>
        <w:bidiVisual/>
        <w:tblW w:w="0" w:type="auto"/>
        <w:tblInd w:w="1267" w:type="dxa"/>
        <w:tblLayout w:type="fixed"/>
        <w:tblCellMar>
          <w:left w:w="0" w:type="dxa"/>
          <w:right w:w="0" w:type="dxa"/>
        </w:tblCellMar>
        <w:tblLook w:val="0000" w:firstRow="0" w:lastRow="0" w:firstColumn="0" w:lastColumn="0" w:noHBand="0" w:noVBand="0"/>
      </w:tblPr>
      <w:tblGrid>
        <w:gridCol w:w="3983"/>
        <w:gridCol w:w="1112"/>
        <w:gridCol w:w="1112"/>
        <w:gridCol w:w="1113"/>
      </w:tblGrid>
      <w:tr w:rsidR="00F3470F" w:rsidRPr="00F3470F" w:rsidTr="009B107D">
        <w:trPr>
          <w:cantSplit/>
          <w:tblHeader/>
        </w:trPr>
        <w:tc>
          <w:tcPr>
            <w:tcW w:w="3983" w:type="dxa"/>
            <w:tcBorders>
              <w:top w:val="single" w:sz="4" w:space="0" w:color="auto"/>
              <w:bottom w:val="single" w:sz="12" w:space="0" w:color="auto"/>
            </w:tcBorders>
            <w:shd w:val="clear" w:color="auto" w:fill="auto"/>
            <w:vAlign w:val="bottom"/>
          </w:tcPr>
          <w:p w:rsidR="00F3470F" w:rsidRPr="00F3470F" w:rsidRDefault="00F3470F" w:rsidP="00F3470F">
            <w:pPr>
              <w:pStyle w:val="DualTxt"/>
              <w:keepNext w:val="0"/>
              <w:widowControl w:val="0"/>
              <w:spacing w:before="80" w:after="80" w:line="240" w:lineRule="exact"/>
              <w:ind w:left="43"/>
              <w:rPr>
                <w:i/>
                <w:iCs/>
                <w:sz w:val="16"/>
                <w:szCs w:val="24"/>
                <w:rtl/>
              </w:rPr>
            </w:pPr>
            <w:r w:rsidRPr="00F3470F">
              <w:rPr>
                <w:i/>
                <w:iCs/>
                <w:sz w:val="16"/>
                <w:szCs w:val="24"/>
                <w:rtl/>
              </w:rPr>
              <w:t>التخصص</w:t>
            </w:r>
          </w:p>
        </w:tc>
        <w:tc>
          <w:tcPr>
            <w:tcW w:w="1112" w:type="dxa"/>
            <w:tcBorders>
              <w:top w:val="single" w:sz="4" w:space="0" w:color="auto"/>
              <w:bottom w:val="single" w:sz="12" w:space="0" w:color="auto"/>
            </w:tcBorders>
            <w:shd w:val="clear" w:color="auto" w:fill="auto"/>
            <w:vAlign w:val="bottom"/>
          </w:tcPr>
          <w:p w:rsidR="00F3470F" w:rsidRPr="00F3470F" w:rsidRDefault="00F3470F" w:rsidP="00F3470F">
            <w:pPr>
              <w:pStyle w:val="DualTxt"/>
              <w:keepNext w:val="0"/>
              <w:widowControl w:val="0"/>
              <w:spacing w:before="80" w:after="80" w:line="240" w:lineRule="exact"/>
              <w:ind w:left="43"/>
              <w:rPr>
                <w:i/>
                <w:iCs/>
                <w:sz w:val="16"/>
                <w:szCs w:val="24"/>
                <w:lang w:val="en-GB"/>
              </w:rPr>
            </w:pPr>
            <w:r w:rsidRPr="00F3470F">
              <w:rPr>
                <w:i/>
                <w:iCs/>
                <w:sz w:val="16"/>
                <w:szCs w:val="24"/>
                <w:rtl/>
                <w:lang w:bidi="ar-SY"/>
              </w:rPr>
              <w:t>كلا الجنسين</w:t>
            </w:r>
          </w:p>
        </w:tc>
        <w:tc>
          <w:tcPr>
            <w:tcW w:w="1112" w:type="dxa"/>
            <w:tcBorders>
              <w:top w:val="single" w:sz="4" w:space="0" w:color="auto"/>
              <w:bottom w:val="single" w:sz="12" w:space="0" w:color="auto"/>
            </w:tcBorders>
            <w:shd w:val="clear" w:color="auto" w:fill="auto"/>
            <w:vAlign w:val="bottom"/>
          </w:tcPr>
          <w:p w:rsidR="00F3470F" w:rsidRPr="00F3470F" w:rsidRDefault="00F3470F" w:rsidP="00F3470F">
            <w:pPr>
              <w:pStyle w:val="DualTxt"/>
              <w:keepNext w:val="0"/>
              <w:widowControl w:val="0"/>
              <w:spacing w:before="80" w:after="80" w:line="240" w:lineRule="exact"/>
              <w:ind w:left="43"/>
              <w:rPr>
                <w:i/>
                <w:iCs/>
                <w:sz w:val="16"/>
                <w:szCs w:val="24"/>
                <w:rtl/>
              </w:rPr>
            </w:pPr>
            <w:r w:rsidRPr="00F3470F">
              <w:rPr>
                <w:i/>
                <w:iCs/>
                <w:sz w:val="16"/>
                <w:szCs w:val="24"/>
                <w:rtl/>
              </w:rPr>
              <w:t>ذكور</w:t>
            </w:r>
          </w:p>
        </w:tc>
        <w:tc>
          <w:tcPr>
            <w:tcW w:w="1113" w:type="dxa"/>
            <w:tcBorders>
              <w:top w:val="single" w:sz="4" w:space="0" w:color="auto"/>
              <w:bottom w:val="single" w:sz="12" w:space="0" w:color="auto"/>
            </w:tcBorders>
            <w:shd w:val="clear" w:color="auto" w:fill="auto"/>
            <w:vAlign w:val="bottom"/>
          </w:tcPr>
          <w:p w:rsidR="00F3470F" w:rsidRPr="00F3470F" w:rsidRDefault="00F3470F" w:rsidP="00F3470F">
            <w:pPr>
              <w:pStyle w:val="DualTxt"/>
              <w:keepNext w:val="0"/>
              <w:widowControl w:val="0"/>
              <w:spacing w:before="80" w:after="80" w:line="240" w:lineRule="exact"/>
              <w:ind w:left="43"/>
              <w:rPr>
                <w:i/>
                <w:iCs/>
                <w:sz w:val="16"/>
                <w:szCs w:val="24"/>
                <w:lang w:val="en-GB"/>
              </w:rPr>
            </w:pPr>
            <w:r w:rsidRPr="00F3470F">
              <w:rPr>
                <w:i/>
                <w:iCs/>
                <w:sz w:val="16"/>
                <w:szCs w:val="24"/>
                <w:rtl/>
              </w:rPr>
              <w:t>إناث</w:t>
            </w:r>
          </w:p>
        </w:tc>
      </w:tr>
      <w:tr w:rsidR="00F3470F" w:rsidRPr="00F3470F" w:rsidTr="009B107D">
        <w:trPr>
          <w:cantSplit/>
          <w:trHeight w:hRule="exact" w:val="115"/>
          <w:tblHeader/>
        </w:trPr>
        <w:tc>
          <w:tcPr>
            <w:tcW w:w="3983" w:type="dxa"/>
            <w:tcBorders>
              <w:top w:val="single" w:sz="12" w:space="0" w:color="auto"/>
            </w:tcBorders>
            <w:shd w:val="clear" w:color="auto" w:fill="auto"/>
            <w:vAlign w:val="bottom"/>
          </w:tcPr>
          <w:p w:rsidR="00F3470F" w:rsidRPr="00F3470F" w:rsidRDefault="00F3470F" w:rsidP="00F3470F">
            <w:pPr>
              <w:pStyle w:val="DualTxt"/>
              <w:keepNext w:val="0"/>
              <w:widowControl w:val="0"/>
              <w:spacing w:before="40" w:after="80" w:line="240" w:lineRule="exact"/>
              <w:ind w:left="43"/>
              <w:rPr>
                <w:sz w:val="16"/>
                <w:szCs w:val="24"/>
                <w:rtl/>
              </w:rPr>
            </w:pPr>
          </w:p>
        </w:tc>
        <w:tc>
          <w:tcPr>
            <w:tcW w:w="1112" w:type="dxa"/>
            <w:tcBorders>
              <w:top w:val="single" w:sz="12" w:space="0" w:color="auto"/>
            </w:tcBorders>
            <w:shd w:val="clear" w:color="auto" w:fill="auto"/>
            <w:vAlign w:val="bottom"/>
          </w:tcPr>
          <w:p w:rsidR="00F3470F" w:rsidRPr="00F3470F" w:rsidRDefault="00F3470F" w:rsidP="00F3470F">
            <w:pPr>
              <w:widowControl w:val="0"/>
              <w:tabs>
                <w:tab w:val="left" w:pos="288"/>
                <w:tab w:val="left" w:pos="576"/>
                <w:tab w:val="left" w:pos="864"/>
                <w:tab w:val="left" w:pos="1152"/>
              </w:tabs>
              <w:spacing w:before="40" w:after="80" w:line="240" w:lineRule="exact"/>
              <w:ind w:left="43" w:right="101"/>
              <w:rPr>
                <w:sz w:val="16"/>
                <w:szCs w:val="24"/>
                <w:rtl/>
                <w:lang w:bidi="ar-SY"/>
              </w:rPr>
            </w:pPr>
          </w:p>
        </w:tc>
        <w:tc>
          <w:tcPr>
            <w:tcW w:w="1112" w:type="dxa"/>
            <w:tcBorders>
              <w:top w:val="single" w:sz="12" w:space="0" w:color="auto"/>
            </w:tcBorders>
            <w:shd w:val="clear" w:color="auto" w:fill="auto"/>
            <w:vAlign w:val="bottom"/>
          </w:tcPr>
          <w:p w:rsidR="00F3470F" w:rsidRPr="00F3470F" w:rsidRDefault="00F3470F" w:rsidP="00F3470F">
            <w:pPr>
              <w:widowControl w:val="0"/>
              <w:tabs>
                <w:tab w:val="left" w:pos="288"/>
                <w:tab w:val="left" w:pos="576"/>
                <w:tab w:val="left" w:pos="864"/>
                <w:tab w:val="left" w:pos="1152"/>
              </w:tabs>
              <w:spacing w:before="40" w:after="80" w:line="240" w:lineRule="exact"/>
              <w:ind w:left="43" w:right="101"/>
              <w:rPr>
                <w:sz w:val="16"/>
                <w:szCs w:val="24"/>
                <w:rtl/>
                <w:lang w:bidi="ar-SY"/>
              </w:rPr>
            </w:pPr>
          </w:p>
        </w:tc>
        <w:tc>
          <w:tcPr>
            <w:tcW w:w="1113" w:type="dxa"/>
            <w:tcBorders>
              <w:top w:val="single" w:sz="12" w:space="0" w:color="auto"/>
            </w:tcBorders>
            <w:shd w:val="clear" w:color="auto" w:fill="auto"/>
            <w:vAlign w:val="bottom"/>
          </w:tcPr>
          <w:p w:rsidR="00F3470F" w:rsidRPr="00F3470F" w:rsidRDefault="00F3470F" w:rsidP="00F3470F">
            <w:pPr>
              <w:widowControl w:val="0"/>
              <w:tabs>
                <w:tab w:val="left" w:pos="288"/>
                <w:tab w:val="left" w:pos="576"/>
                <w:tab w:val="left" w:pos="864"/>
                <w:tab w:val="left" w:pos="1152"/>
              </w:tabs>
              <w:spacing w:before="40" w:after="80" w:line="240" w:lineRule="exact"/>
              <w:ind w:left="43" w:right="101"/>
              <w:rPr>
                <w:sz w:val="16"/>
                <w:szCs w:val="24"/>
                <w:rtl/>
                <w:lang w:bidi="ar-SY"/>
              </w:rPr>
            </w:pPr>
          </w:p>
        </w:tc>
      </w:tr>
      <w:tr w:rsidR="00F3470F" w:rsidRPr="00F3470F" w:rsidTr="009B107D">
        <w:trPr>
          <w:cantSplit/>
        </w:trPr>
        <w:tc>
          <w:tcPr>
            <w:tcW w:w="3983" w:type="dxa"/>
            <w:shd w:val="clear" w:color="auto" w:fill="auto"/>
            <w:vAlign w:val="bottom"/>
          </w:tcPr>
          <w:p w:rsidR="00F3470F" w:rsidRPr="00F3470F" w:rsidRDefault="00F3470F" w:rsidP="00F3470F">
            <w:pPr>
              <w:pStyle w:val="DualTxt"/>
              <w:keepNext w:val="0"/>
              <w:widowControl w:val="0"/>
              <w:spacing w:before="40" w:after="80" w:line="240" w:lineRule="exact"/>
              <w:ind w:left="43"/>
              <w:rPr>
                <w:sz w:val="16"/>
                <w:szCs w:val="24"/>
                <w:rtl/>
              </w:rPr>
            </w:pPr>
            <w:r w:rsidRPr="00F3470F">
              <w:rPr>
                <w:sz w:val="16"/>
                <w:szCs w:val="24"/>
                <w:rtl/>
              </w:rPr>
              <w:t>علوم إنسانية</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65</w:t>
            </w:r>
            <w:r w:rsidRPr="00F3470F">
              <w:rPr>
                <w:sz w:val="16"/>
                <w:szCs w:val="24"/>
              </w:rPr>
              <w:t>,</w:t>
            </w:r>
            <w:r w:rsidRPr="00F3470F">
              <w:rPr>
                <w:sz w:val="16"/>
                <w:szCs w:val="24"/>
                <w:rtl/>
              </w:rPr>
              <w:t>0</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60</w:t>
            </w:r>
            <w:r w:rsidRPr="00F3470F">
              <w:rPr>
                <w:sz w:val="16"/>
                <w:szCs w:val="24"/>
              </w:rPr>
              <w:t>,</w:t>
            </w:r>
            <w:r w:rsidRPr="00F3470F">
              <w:rPr>
                <w:sz w:val="16"/>
                <w:szCs w:val="24"/>
                <w:rtl/>
              </w:rPr>
              <w:t>6</w:t>
            </w:r>
          </w:p>
        </w:tc>
        <w:tc>
          <w:tcPr>
            <w:tcW w:w="1113"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68</w:t>
            </w:r>
            <w:r w:rsidRPr="00F3470F">
              <w:rPr>
                <w:sz w:val="16"/>
                <w:szCs w:val="24"/>
              </w:rPr>
              <w:t>,</w:t>
            </w:r>
            <w:r w:rsidRPr="00F3470F">
              <w:rPr>
                <w:sz w:val="16"/>
                <w:szCs w:val="24"/>
                <w:rtl/>
              </w:rPr>
              <w:t>5</w:t>
            </w:r>
          </w:p>
        </w:tc>
      </w:tr>
      <w:tr w:rsidR="00F3470F" w:rsidRPr="00F3470F" w:rsidTr="009B107D">
        <w:trPr>
          <w:cantSplit/>
        </w:trPr>
        <w:tc>
          <w:tcPr>
            <w:tcW w:w="3983" w:type="dxa"/>
            <w:shd w:val="clear" w:color="auto" w:fill="auto"/>
            <w:vAlign w:val="bottom"/>
          </w:tcPr>
          <w:p w:rsidR="00F3470F" w:rsidRPr="00F3470F" w:rsidRDefault="00F3470F" w:rsidP="00F3470F">
            <w:pPr>
              <w:pStyle w:val="DualTxt"/>
              <w:keepNext w:val="0"/>
              <w:widowControl w:val="0"/>
              <w:spacing w:before="40" w:after="80" w:line="240" w:lineRule="exact"/>
              <w:ind w:left="43"/>
              <w:rPr>
                <w:sz w:val="16"/>
                <w:szCs w:val="24"/>
                <w:rtl/>
              </w:rPr>
            </w:pPr>
            <w:r w:rsidRPr="00F3470F">
              <w:rPr>
                <w:sz w:val="16"/>
                <w:szCs w:val="24"/>
                <w:rtl/>
              </w:rPr>
              <w:t>علمي</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24</w:t>
            </w:r>
            <w:r w:rsidRPr="00F3470F">
              <w:rPr>
                <w:sz w:val="16"/>
                <w:szCs w:val="24"/>
              </w:rPr>
              <w:t>,</w:t>
            </w:r>
            <w:r w:rsidRPr="00F3470F">
              <w:rPr>
                <w:sz w:val="16"/>
                <w:szCs w:val="24"/>
                <w:rtl/>
              </w:rPr>
              <w:t>4</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25</w:t>
            </w:r>
            <w:r w:rsidRPr="00F3470F">
              <w:rPr>
                <w:sz w:val="16"/>
                <w:szCs w:val="24"/>
              </w:rPr>
              <w:t>,</w:t>
            </w:r>
            <w:r w:rsidRPr="00F3470F">
              <w:rPr>
                <w:sz w:val="16"/>
                <w:szCs w:val="24"/>
                <w:rtl/>
              </w:rPr>
              <w:t>9</w:t>
            </w:r>
          </w:p>
        </w:tc>
        <w:tc>
          <w:tcPr>
            <w:tcW w:w="1113"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23</w:t>
            </w:r>
            <w:r w:rsidRPr="00F3470F">
              <w:rPr>
                <w:sz w:val="16"/>
                <w:szCs w:val="24"/>
              </w:rPr>
              <w:t>,</w:t>
            </w:r>
            <w:r w:rsidRPr="00F3470F">
              <w:rPr>
                <w:sz w:val="16"/>
                <w:szCs w:val="24"/>
                <w:rtl/>
              </w:rPr>
              <w:t>2</w:t>
            </w:r>
          </w:p>
        </w:tc>
      </w:tr>
      <w:tr w:rsidR="00F3470F" w:rsidRPr="00F3470F" w:rsidTr="009B107D">
        <w:trPr>
          <w:cantSplit/>
        </w:trPr>
        <w:tc>
          <w:tcPr>
            <w:tcW w:w="3983" w:type="dxa"/>
            <w:shd w:val="clear" w:color="auto" w:fill="auto"/>
            <w:vAlign w:val="bottom"/>
          </w:tcPr>
          <w:p w:rsidR="00F3470F" w:rsidRPr="00F3470F" w:rsidRDefault="00F3470F" w:rsidP="00F3470F">
            <w:pPr>
              <w:pStyle w:val="DualTxt"/>
              <w:keepNext w:val="0"/>
              <w:widowControl w:val="0"/>
              <w:spacing w:before="40" w:after="80" w:line="240" w:lineRule="exact"/>
              <w:ind w:left="43"/>
              <w:rPr>
                <w:sz w:val="16"/>
                <w:szCs w:val="24"/>
                <w:rtl/>
              </w:rPr>
            </w:pPr>
            <w:r w:rsidRPr="00F3470F">
              <w:rPr>
                <w:sz w:val="16"/>
                <w:szCs w:val="24"/>
                <w:rtl/>
              </w:rPr>
              <w:t>تجاري</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4</w:t>
            </w:r>
            <w:r w:rsidRPr="00F3470F">
              <w:rPr>
                <w:sz w:val="16"/>
                <w:szCs w:val="24"/>
              </w:rPr>
              <w:t>,</w:t>
            </w:r>
            <w:r w:rsidRPr="00F3470F">
              <w:rPr>
                <w:sz w:val="16"/>
                <w:szCs w:val="24"/>
                <w:rtl/>
              </w:rPr>
              <w:t>5</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5</w:t>
            </w:r>
            <w:r w:rsidRPr="00F3470F">
              <w:rPr>
                <w:sz w:val="16"/>
                <w:szCs w:val="24"/>
              </w:rPr>
              <w:t>,</w:t>
            </w:r>
            <w:r w:rsidRPr="00F3470F">
              <w:rPr>
                <w:sz w:val="16"/>
                <w:szCs w:val="24"/>
                <w:rtl/>
              </w:rPr>
              <w:t>4</w:t>
            </w:r>
          </w:p>
        </w:tc>
        <w:tc>
          <w:tcPr>
            <w:tcW w:w="1113"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3</w:t>
            </w:r>
            <w:r w:rsidRPr="00F3470F">
              <w:rPr>
                <w:sz w:val="16"/>
                <w:szCs w:val="24"/>
              </w:rPr>
              <w:t>,</w:t>
            </w:r>
            <w:r w:rsidRPr="00F3470F">
              <w:rPr>
                <w:sz w:val="16"/>
                <w:szCs w:val="24"/>
                <w:rtl/>
              </w:rPr>
              <w:t>9</w:t>
            </w:r>
          </w:p>
        </w:tc>
      </w:tr>
      <w:tr w:rsidR="00F3470F" w:rsidRPr="00F3470F" w:rsidTr="009B107D">
        <w:trPr>
          <w:cantSplit/>
        </w:trPr>
        <w:tc>
          <w:tcPr>
            <w:tcW w:w="3983" w:type="dxa"/>
            <w:shd w:val="clear" w:color="auto" w:fill="auto"/>
            <w:vAlign w:val="bottom"/>
          </w:tcPr>
          <w:p w:rsidR="00F3470F" w:rsidRPr="00F3470F" w:rsidRDefault="00F3470F" w:rsidP="00F3470F">
            <w:pPr>
              <w:pStyle w:val="DualTxt"/>
              <w:keepNext w:val="0"/>
              <w:widowControl w:val="0"/>
              <w:spacing w:before="40" w:after="80" w:line="240" w:lineRule="exact"/>
              <w:ind w:left="43"/>
              <w:rPr>
                <w:sz w:val="16"/>
                <w:szCs w:val="24"/>
                <w:rtl/>
              </w:rPr>
            </w:pPr>
            <w:r w:rsidRPr="00F3470F">
              <w:rPr>
                <w:sz w:val="16"/>
                <w:szCs w:val="24"/>
                <w:rtl/>
              </w:rPr>
              <w:t>زراعي</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0</w:t>
            </w:r>
            <w:r w:rsidRPr="00F3470F">
              <w:rPr>
                <w:sz w:val="16"/>
                <w:szCs w:val="24"/>
              </w:rPr>
              <w:t>,</w:t>
            </w:r>
            <w:r w:rsidRPr="00F3470F">
              <w:rPr>
                <w:sz w:val="16"/>
                <w:szCs w:val="24"/>
                <w:rtl/>
              </w:rPr>
              <w:t>2</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0</w:t>
            </w:r>
            <w:r w:rsidRPr="00F3470F">
              <w:rPr>
                <w:sz w:val="16"/>
                <w:szCs w:val="24"/>
              </w:rPr>
              <w:t>,</w:t>
            </w:r>
            <w:r w:rsidRPr="00F3470F">
              <w:rPr>
                <w:sz w:val="16"/>
                <w:szCs w:val="24"/>
                <w:rtl/>
              </w:rPr>
              <w:t>4</w:t>
            </w:r>
          </w:p>
        </w:tc>
        <w:tc>
          <w:tcPr>
            <w:tcW w:w="1113"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0</w:t>
            </w:r>
            <w:r w:rsidRPr="00F3470F">
              <w:rPr>
                <w:sz w:val="16"/>
                <w:szCs w:val="24"/>
              </w:rPr>
              <w:t>,</w:t>
            </w:r>
            <w:r w:rsidRPr="00F3470F">
              <w:rPr>
                <w:sz w:val="16"/>
                <w:szCs w:val="24"/>
                <w:rtl/>
              </w:rPr>
              <w:t>0</w:t>
            </w:r>
          </w:p>
        </w:tc>
      </w:tr>
      <w:tr w:rsidR="00F3470F" w:rsidRPr="00F3470F" w:rsidTr="009B107D">
        <w:trPr>
          <w:cantSplit/>
        </w:trPr>
        <w:tc>
          <w:tcPr>
            <w:tcW w:w="3983" w:type="dxa"/>
            <w:shd w:val="clear" w:color="auto" w:fill="auto"/>
            <w:vAlign w:val="bottom"/>
          </w:tcPr>
          <w:p w:rsidR="00F3470F" w:rsidRPr="00F3470F" w:rsidRDefault="00F3470F" w:rsidP="00F3470F">
            <w:pPr>
              <w:pStyle w:val="DualTxt"/>
              <w:keepNext w:val="0"/>
              <w:widowControl w:val="0"/>
              <w:spacing w:before="40" w:after="80" w:line="240" w:lineRule="exact"/>
              <w:ind w:left="43"/>
              <w:rPr>
                <w:sz w:val="16"/>
                <w:szCs w:val="24"/>
                <w:rtl/>
              </w:rPr>
            </w:pPr>
            <w:r w:rsidRPr="00F3470F">
              <w:rPr>
                <w:sz w:val="16"/>
                <w:szCs w:val="24"/>
                <w:rtl/>
              </w:rPr>
              <w:t>صناعي</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1</w:t>
            </w:r>
            <w:r w:rsidRPr="00F3470F">
              <w:rPr>
                <w:sz w:val="16"/>
                <w:szCs w:val="24"/>
              </w:rPr>
              <w:t>,</w:t>
            </w:r>
            <w:r w:rsidRPr="00F3470F">
              <w:rPr>
                <w:sz w:val="16"/>
                <w:szCs w:val="24"/>
                <w:rtl/>
              </w:rPr>
              <w:t>7</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3</w:t>
            </w:r>
            <w:r w:rsidRPr="00F3470F">
              <w:rPr>
                <w:sz w:val="16"/>
                <w:szCs w:val="24"/>
              </w:rPr>
              <w:t>,</w:t>
            </w:r>
            <w:r w:rsidRPr="00F3470F">
              <w:rPr>
                <w:sz w:val="16"/>
                <w:szCs w:val="24"/>
                <w:rtl/>
              </w:rPr>
              <w:t>6</w:t>
            </w:r>
          </w:p>
        </w:tc>
        <w:tc>
          <w:tcPr>
            <w:tcW w:w="1113"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0</w:t>
            </w:r>
            <w:r w:rsidRPr="00F3470F">
              <w:rPr>
                <w:sz w:val="16"/>
                <w:szCs w:val="24"/>
              </w:rPr>
              <w:t>,</w:t>
            </w:r>
            <w:r w:rsidRPr="00F3470F">
              <w:rPr>
                <w:sz w:val="16"/>
                <w:szCs w:val="24"/>
                <w:rtl/>
              </w:rPr>
              <w:t>3</w:t>
            </w:r>
          </w:p>
        </w:tc>
      </w:tr>
      <w:tr w:rsidR="00F3470F" w:rsidRPr="00F3470F" w:rsidTr="009B107D">
        <w:trPr>
          <w:cantSplit/>
        </w:trPr>
        <w:tc>
          <w:tcPr>
            <w:tcW w:w="3983" w:type="dxa"/>
            <w:shd w:val="clear" w:color="auto" w:fill="auto"/>
            <w:vAlign w:val="bottom"/>
          </w:tcPr>
          <w:p w:rsidR="00F3470F" w:rsidRPr="00F3470F" w:rsidRDefault="00F3470F" w:rsidP="00F3470F">
            <w:pPr>
              <w:pStyle w:val="DualTxt"/>
              <w:keepNext w:val="0"/>
              <w:widowControl w:val="0"/>
              <w:spacing w:before="40" w:after="80" w:line="240" w:lineRule="exact"/>
              <w:ind w:left="43"/>
              <w:rPr>
                <w:sz w:val="16"/>
                <w:szCs w:val="24"/>
                <w:rtl/>
              </w:rPr>
            </w:pPr>
            <w:r w:rsidRPr="00F3470F">
              <w:rPr>
                <w:sz w:val="16"/>
                <w:szCs w:val="24"/>
                <w:rtl/>
              </w:rPr>
              <w:t>شرعي</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4</w:t>
            </w:r>
            <w:r w:rsidRPr="00F3470F">
              <w:rPr>
                <w:sz w:val="16"/>
                <w:szCs w:val="24"/>
              </w:rPr>
              <w:t>,</w:t>
            </w:r>
            <w:r w:rsidRPr="00F3470F">
              <w:rPr>
                <w:sz w:val="16"/>
                <w:szCs w:val="24"/>
                <w:rtl/>
              </w:rPr>
              <w:t>0</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4</w:t>
            </w:r>
            <w:r w:rsidRPr="00F3470F">
              <w:rPr>
                <w:sz w:val="16"/>
                <w:szCs w:val="24"/>
              </w:rPr>
              <w:t>,</w:t>
            </w:r>
            <w:r w:rsidRPr="00F3470F">
              <w:rPr>
                <w:sz w:val="16"/>
                <w:szCs w:val="24"/>
                <w:rtl/>
              </w:rPr>
              <w:t>0</w:t>
            </w:r>
          </w:p>
        </w:tc>
        <w:tc>
          <w:tcPr>
            <w:tcW w:w="1113"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4</w:t>
            </w:r>
            <w:r w:rsidRPr="00F3470F">
              <w:rPr>
                <w:sz w:val="16"/>
                <w:szCs w:val="24"/>
              </w:rPr>
              <w:t>,</w:t>
            </w:r>
            <w:r w:rsidRPr="00F3470F">
              <w:rPr>
                <w:sz w:val="16"/>
                <w:szCs w:val="24"/>
                <w:rtl/>
              </w:rPr>
              <w:t>0</w:t>
            </w:r>
          </w:p>
        </w:tc>
      </w:tr>
      <w:tr w:rsidR="00F3470F" w:rsidRPr="00F3470F" w:rsidTr="009B107D">
        <w:trPr>
          <w:cantSplit/>
        </w:trPr>
        <w:tc>
          <w:tcPr>
            <w:tcW w:w="3983" w:type="dxa"/>
            <w:shd w:val="clear" w:color="auto" w:fill="auto"/>
            <w:vAlign w:val="bottom"/>
          </w:tcPr>
          <w:p w:rsidR="00F3470F" w:rsidRPr="00F3470F" w:rsidRDefault="00F3470F" w:rsidP="00F3470F">
            <w:pPr>
              <w:pStyle w:val="DualTxt"/>
              <w:keepNext w:val="0"/>
              <w:widowControl w:val="0"/>
              <w:spacing w:before="40" w:after="80" w:line="240" w:lineRule="exact"/>
              <w:ind w:left="43"/>
              <w:rPr>
                <w:sz w:val="16"/>
                <w:szCs w:val="24"/>
                <w:rtl/>
              </w:rPr>
            </w:pPr>
            <w:r w:rsidRPr="00F3470F">
              <w:rPr>
                <w:sz w:val="16"/>
                <w:szCs w:val="24"/>
                <w:rtl/>
              </w:rPr>
              <w:t>فندقي</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0</w:t>
            </w:r>
            <w:r w:rsidRPr="00F3470F">
              <w:rPr>
                <w:sz w:val="16"/>
                <w:szCs w:val="24"/>
              </w:rPr>
              <w:t>,</w:t>
            </w:r>
            <w:r w:rsidRPr="00F3470F">
              <w:rPr>
                <w:sz w:val="16"/>
                <w:szCs w:val="24"/>
                <w:rtl/>
              </w:rPr>
              <w:t>1</w:t>
            </w:r>
          </w:p>
        </w:tc>
        <w:tc>
          <w:tcPr>
            <w:tcW w:w="1112"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0</w:t>
            </w:r>
            <w:r w:rsidRPr="00F3470F">
              <w:rPr>
                <w:sz w:val="16"/>
                <w:szCs w:val="24"/>
              </w:rPr>
              <w:t>,</w:t>
            </w:r>
            <w:r w:rsidRPr="00F3470F">
              <w:rPr>
                <w:sz w:val="16"/>
                <w:szCs w:val="24"/>
                <w:rtl/>
              </w:rPr>
              <w:t>1</w:t>
            </w:r>
          </w:p>
        </w:tc>
        <w:tc>
          <w:tcPr>
            <w:tcW w:w="1113" w:type="dxa"/>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0</w:t>
            </w:r>
            <w:r w:rsidRPr="00F3470F">
              <w:rPr>
                <w:sz w:val="16"/>
                <w:szCs w:val="24"/>
              </w:rPr>
              <w:t>,</w:t>
            </w:r>
            <w:r w:rsidRPr="00F3470F">
              <w:rPr>
                <w:sz w:val="16"/>
                <w:szCs w:val="24"/>
                <w:rtl/>
              </w:rPr>
              <w:t>0</w:t>
            </w:r>
          </w:p>
        </w:tc>
      </w:tr>
      <w:tr w:rsidR="00F3470F" w:rsidRPr="00F3470F" w:rsidTr="009B107D">
        <w:trPr>
          <w:cantSplit/>
        </w:trPr>
        <w:tc>
          <w:tcPr>
            <w:tcW w:w="3983" w:type="dxa"/>
            <w:tcBorders>
              <w:bottom w:val="single" w:sz="4" w:space="0" w:color="auto"/>
            </w:tcBorders>
            <w:shd w:val="clear" w:color="auto" w:fill="auto"/>
            <w:vAlign w:val="bottom"/>
          </w:tcPr>
          <w:p w:rsidR="00F3470F" w:rsidRPr="00F3470F" w:rsidRDefault="00F3470F" w:rsidP="00F3470F">
            <w:pPr>
              <w:pStyle w:val="DualTxt"/>
              <w:keepNext w:val="0"/>
              <w:widowControl w:val="0"/>
              <w:spacing w:before="40" w:after="80" w:line="240" w:lineRule="exact"/>
              <w:ind w:left="43"/>
              <w:rPr>
                <w:sz w:val="16"/>
                <w:szCs w:val="24"/>
                <w:rtl/>
                <w:lang w:bidi="ar-SY"/>
              </w:rPr>
            </w:pPr>
            <w:r w:rsidRPr="00F3470F">
              <w:rPr>
                <w:sz w:val="16"/>
                <w:szCs w:val="24"/>
                <w:rtl/>
                <w:lang w:bidi="ar-SY"/>
              </w:rPr>
              <w:t>اقتصاد منزلي</w:t>
            </w:r>
          </w:p>
        </w:tc>
        <w:tc>
          <w:tcPr>
            <w:tcW w:w="1112" w:type="dxa"/>
            <w:tcBorders>
              <w:bottom w:val="single" w:sz="4" w:space="0" w:color="auto"/>
            </w:tcBorders>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0</w:t>
            </w:r>
            <w:r w:rsidRPr="00F3470F">
              <w:rPr>
                <w:sz w:val="16"/>
                <w:szCs w:val="24"/>
              </w:rPr>
              <w:t>,</w:t>
            </w:r>
            <w:r w:rsidRPr="00F3470F">
              <w:rPr>
                <w:sz w:val="16"/>
                <w:szCs w:val="24"/>
                <w:rtl/>
              </w:rPr>
              <w:t>1</w:t>
            </w:r>
          </w:p>
        </w:tc>
        <w:tc>
          <w:tcPr>
            <w:tcW w:w="1112" w:type="dxa"/>
            <w:tcBorders>
              <w:bottom w:val="single" w:sz="4" w:space="0" w:color="auto"/>
            </w:tcBorders>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0</w:t>
            </w:r>
            <w:r w:rsidRPr="00F3470F">
              <w:rPr>
                <w:sz w:val="16"/>
                <w:szCs w:val="24"/>
              </w:rPr>
              <w:t>,</w:t>
            </w:r>
            <w:r w:rsidRPr="00F3470F">
              <w:rPr>
                <w:sz w:val="16"/>
                <w:szCs w:val="24"/>
                <w:rtl/>
              </w:rPr>
              <w:t>0</w:t>
            </w:r>
          </w:p>
        </w:tc>
        <w:tc>
          <w:tcPr>
            <w:tcW w:w="1113" w:type="dxa"/>
            <w:tcBorders>
              <w:bottom w:val="single" w:sz="4" w:space="0" w:color="auto"/>
            </w:tcBorders>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sz w:val="16"/>
                <w:szCs w:val="24"/>
              </w:rPr>
            </w:pPr>
            <w:r w:rsidRPr="00F3470F">
              <w:rPr>
                <w:sz w:val="16"/>
                <w:szCs w:val="24"/>
                <w:rtl/>
              </w:rPr>
              <w:t>0</w:t>
            </w:r>
            <w:r w:rsidRPr="00F3470F">
              <w:rPr>
                <w:sz w:val="16"/>
                <w:szCs w:val="24"/>
              </w:rPr>
              <w:t>,</w:t>
            </w:r>
            <w:r w:rsidRPr="00F3470F">
              <w:rPr>
                <w:sz w:val="16"/>
                <w:szCs w:val="24"/>
                <w:rtl/>
              </w:rPr>
              <w:t>1</w:t>
            </w:r>
          </w:p>
        </w:tc>
      </w:tr>
      <w:tr w:rsidR="00F3470F" w:rsidRPr="00F3470F" w:rsidTr="009B107D">
        <w:trPr>
          <w:cantSplit/>
        </w:trPr>
        <w:tc>
          <w:tcPr>
            <w:tcW w:w="3983" w:type="dxa"/>
            <w:tcBorders>
              <w:top w:val="single" w:sz="4" w:space="0" w:color="auto"/>
              <w:bottom w:val="single" w:sz="12" w:space="0" w:color="auto"/>
            </w:tcBorders>
            <w:shd w:val="clear" w:color="auto" w:fill="auto"/>
            <w:vAlign w:val="bottom"/>
          </w:tcPr>
          <w:p w:rsidR="00F3470F" w:rsidRPr="00F3470F" w:rsidRDefault="00F3470F" w:rsidP="00F3470F">
            <w:pPr>
              <w:pStyle w:val="DualTxt"/>
              <w:keepNext w:val="0"/>
              <w:widowControl w:val="0"/>
              <w:tabs>
                <w:tab w:val="clear" w:pos="662"/>
                <w:tab w:val="left" w:pos="203"/>
              </w:tabs>
              <w:spacing w:before="40" w:after="80" w:line="240" w:lineRule="exact"/>
              <w:ind w:left="43"/>
              <w:rPr>
                <w:b/>
                <w:bCs/>
                <w:sz w:val="16"/>
                <w:szCs w:val="24"/>
                <w:rtl/>
              </w:rPr>
            </w:pPr>
            <w:r>
              <w:rPr>
                <w:rFonts w:hint="cs"/>
                <w:b/>
                <w:bCs/>
                <w:sz w:val="16"/>
                <w:szCs w:val="24"/>
                <w:rtl/>
              </w:rPr>
              <w:tab/>
            </w:r>
            <w:r w:rsidRPr="00F3470F">
              <w:rPr>
                <w:b/>
                <w:bCs/>
                <w:sz w:val="16"/>
                <w:szCs w:val="24"/>
                <w:rtl/>
              </w:rPr>
              <w:t>المجموع</w:t>
            </w:r>
          </w:p>
        </w:tc>
        <w:tc>
          <w:tcPr>
            <w:tcW w:w="1112" w:type="dxa"/>
            <w:tcBorders>
              <w:top w:val="single" w:sz="4" w:space="0" w:color="auto"/>
              <w:bottom w:val="single" w:sz="12" w:space="0" w:color="auto"/>
            </w:tcBorders>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b/>
                <w:bCs/>
                <w:sz w:val="16"/>
                <w:szCs w:val="24"/>
              </w:rPr>
            </w:pPr>
            <w:r w:rsidRPr="00F3470F">
              <w:rPr>
                <w:b/>
                <w:bCs/>
                <w:sz w:val="16"/>
                <w:szCs w:val="24"/>
                <w:rtl/>
              </w:rPr>
              <w:t>100</w:t>
            </w:r>
          </w:p>
        </w:tc>
        <w:tc>
          <w:tcPr>
            <w:tcW w:w="1112" w:type="dxa"/>
            <w:tcBorders>
              <w:top w:val="single" w:sz="4" w:space="0" w:color="auto"/>
              <w:bottom w:val="single" w:sz="12" w:space="0" w:color="auto"/>
            </w:tcBorders>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b/>
                <w:bCs/>
                <w:sz w:val="16"/>
                <w:szCs w:val="24"/>
              </w:rPr>
            </w:pPr>
            <w:r w:rsidRPr="00F3470F">
              <w:rPr>
                <w:b/>
                <w:bCs/>
                <w:sz w:val="16"/>
                <w:szCs w:val="24"/>
                <w:rtl/>
              </w:rPr>
              <w:t>100</w:t>
            </w:r>
          </w:p>
        </w:tc>
        <w:tc>
          <w:tcPr>
            <w:tcW w:w="1113" w:type="dxa"/>
            <w:tcBorders>
              <w:top w:val="single" w:sz="4" w:space="0" w:color="auto"/>
              <w:bottom w:val="single" w:sz="12" w:space="0" w:color="auto"/>
            </w:tcBorders>
            <w:shd w:val="clear" w:color="auto" w:fill="auto"/>
            <w:vAlign w:val="bottom"/>
          </w:tcPr>
          <w:p w:rsidR="00F3470F" w:rsidRPr="001472D5" w:rsidRDefault="00F3470F" w:rsidP="00F3470F">
            <w:pPr>
              <w:pStyle w:val="DualTxt"/>
              <w:keepNext w:val="0"/>
              <w:widowControl w:val="0"/>
              <w:bidi w:val="0"/>
              <w:spacing w:before="40" w:after="80" w:line="240" w:lineRule="exact"/>
              <w:ind w:left="43" w:right="43"/>
              <w:jc w:val="right"/>
              <w:rPr>
                <w:b/>
                <w:bCs/>
                <w:sz w:val="16"/>
                <w:szCs w:val="24"/>
              </w:rPr>
            </w:pPr>
            <w:r w:rsidRPr="00F3470F">
              <w:rPr>
                <w:b/>
                <w:bCs/>
                <w:sz w:val="16"/>
                <w:szCs w:val="24"/>
                <w:rtl/>
              </w:rPr>
              <w:t>100</w:t>
            </w:r>
          </w:p>
        </w:tc>
      </w:tr>
    </w:tbl>
    <w:p w:rsidR="009B107D" w:rsidRPr="009B107D" w:rsidRDefault="009B107D" w:rsidP="009B107D">
      <w:pPr>
        <w:pStyle w:val="SingleTxt"/>
        <w:spacing w:after="0" w:line="120" w:lineRule="exact"/>
        <w:rPr>
          <w:sz w:val="10"/>
          <w:rtl/>
        </w:rPr>
      </w:pPr>
    </w:p>
    <w:p w:rsidR="009B107D" w:rsidRPr="009B107D" w:rsidRDefault="009B107D" w:rsidP="009B107D">
      <w:pPr>
        <w:pStyle w:val="SingleTxt"/>
        <w:spacing w:after="0" w:line="120" w:lineRule="exact"/>
        <w:rPr>
          <w:sz w:val="10"/>
          <w:rtl/>
        </w:rPr>
      </w:pPr>
    </w:p>
    <w:p w:rsidR="00F32B28" w:rsidRPr="00F32B28" w:rsidRDefault="00E52428" w:rsidP="00E52428">
      <w:pPr>
        <w:pStyle w:val="SingleTxt"/>
        <w:rPr>
          <w:rtl/>
        </w:rPr>
      </w:pPr>
      <w:r>
        <w:rPr>
          <w:rFonts w:hint="cs"/>
          <w:rtl/>
        </w:rPr>
        <w:t xml:space="preserve">175 - </w:t>
      </w:r>
      <w:r w:rsidR="00F32B28" w:rsidRPr="00F32B28">
        <w:rPr>
          <w:rtl/>
        </w:rPr>
        <w:t>ومن</w:t>
      </w:r>
      <w:r w:rsidR="00F32B28">
        <w:rPr>
          <w:rtl/>
        </w:rPr>
        <w:t xml:space="preserve"> </w:t>
      </w:r>
      <w:r w:rsidR="00F32B28" w:rsidRPr="00F32B28">
        <w:rPr>
          <w:rtl/>
        </w:rPr>
        <w:t>الملاحظ</w:t>
      </w:r>
      <w:r w:rsidR="00F32B28">
        <w:rPr>
          <w:rtl/>
        </w:rPr>
        <w:t xml:space="preserve"> </w:t>
      </w:r>
      <w:r w:rsidR="00F32B28" w:rsidRPr="00F32B28">
        <w:rPr>
          <w:rtl/>
        </w:rPr>
        <w:t>أن</w:t>
      </w:r>
      <w:r w:rsidR="00F32B28">
        <w:rPr>
          <w:rtl/>
        </w:rPr>
        <w:t xml:space="preserve"> </w:t>
      </w:r>
      <w:r w:rsidR="00F32B28" w:rsidRPr="00F32B28">
        <w:rPr>
          <w:rtl/>
        </w:rPr>
        <w:t>طلبة</w:t>
      </w:r>
      <w:r w:rsidR="00F32B28">
        <w:rPr>
          <w:rtl/>
        </w:rPr>
        <w:t xml:space="preserve"> </w:t>
      </w:r>
      <w:r w:rsidR="00F32B28" w:rsidRPr="00F32B28">
        <w:rPr>
          <w:rtl/>
        </w:rPr>
        <w:t>المرحلة</w:t>
      </w:r>
      <w:r w:rsidR="00F32B28">
        <w:rPr>
          <w:rtl/>
        </w:rPr>
        <w:t xml:space="preserve"> </w:t>
      </w:r>
      <w:r w:rsidR="00F32B28" w:rsidRPr="00F32B28">
        <w:rPr>
          <w:rtl/>
        </w:rPr>
        <w:t>الثانوية،</w:t>
      </w:r>
      <w:r w:rsidR="00F32B28">
        <w:rPr>
          <w:rtl/>
        </w:rPr>
        <w:t xml:space="preserve"> </w:t>
      </w:r>
      <w:r w:rsidR="00F32B28" w:rsidRPr="00F32B28">
        <w:rPr>
          <w:rtl/>
        </w:rPr>
        <w:t>ذكوراً</w:t>
      </w:r>
      <w:r w:rsidR="00F32B28">
        <w:rPr>
          <w:rtl/>
        </w:rPr>
        <w:t xml:space="preserve"> </w:t>
      </w:r>
      <w:r w:rsidR="00F32B28" w:rsidRPr="00F32B28">
        <w:rPr>
          <w:rtl/>
        </w:rPr>
        <w:t>وإناثاً،</w:t>
      </w:r>
      <w:r w:rsidR="00F32B28">
        <w:rPr>
          <w:rtl/>
        </w:rPr>
        <w:t xml:space="preserve"> </w:t>
      </w:r>
      <w:r w:rsidR="00F32B28" w:rsidRPr="00F32B28">
        <w:rPr>
          <w:rtl/>
        </w:rPr>
        <w:t>ما</w:t>
      </w:r>
      <w:r w:rsidR="00F32B28">
        <w:rPr>
          <w:rtl/>
        </w:rPr>
        <w:t xml:space="preserve"> </w:t>
      </w:r>
      <w:r w:rsidR="00F32B28" w:rsidRPr="00F32B28">
        <w:rPr>
          <w:rtl/>
        </w:rPr>
        <w:t>زالوا</w:t>
      </w:r>
      <w:r w:rsidR="00F32B28">
        <w:rPr>
          <w:rtl/>
        </w:rPr>
        <w:t xml:space="preserve"> </w:t>
      </w:r>
      <w:r w:rsidR="00F32B28" w:rsidRPr="00F32B28">
        <w:rPr>
          <w:rtl/>
        </w:rPr>
        <w:t>يتجهون</w:t>
      </w:r>
      <w:r w:rsidR="00F32B28">
        <w:rPr>
          <w:rtl/>
        </w:rPr>
        <w:t xml:space="preserve"> </w:t>
      </w:r>
      <w:r w:rsidR="00F32B28" w:rsidRPr="00F32B28">
        <w:rPr>
          <w:rtl/>
        </w:rPr>
        <w:t>بشكل</w:t>
      </w:r>
      <w:r w:rsidR="00F32B28">
        <w:rPr>
          <w:rtl/>
        </w:rPr>
        <w:t xml:space="preserve"> </w:t>
      </w:r>
      <w:r w:rsidR="00F32B28" w:rsidRPr="00F32B28">
        <w:rPr>
          <w:rtl/>
        </w:rPr>
        <w:t>كبير</w:t>
      </w:r>
      <w:r w:rsidR="00F32B28">
        <w:rPr>
          <w:rtl/>
        </w:rPr>
        <w:t xml:space="preserve"> </w:t>
      </w:r>
      <w:r w:rsidR="00F32B28" w:rsidRPr="00F32B28">
        <w:rPr>
          <w:rtl/>
        </w:rPr>
        <w:t>إلى</w:t>
      </w:r>
      <w:r w:rsidR="00F32B28">
        <w:rPr>
          <w:rtl/>
        </w:rPr>
        <w:t xml:space="preserve"> </w:t>
      </w:r>
      <w:r w:rsidR="00F32B28" w:rsidRPr="00F32B28">
        <w:rPr>
          <w:rtl/>
        </w:rPr>
        <w:t>التخصصات</w:t>
      </w:r>
      <w:r w:rsidR="00F32B28">
        <w:rPr>
          <w:rtl/>
        </w:rPr>
        <w:t xml:space="preserve"> </w:t>
      </w:r>
      <w:r w:rsidR="00F32B28" w:rsidRPr="00F32B28">
        <w:rPr>
          <w:rtl/>
        </w:rPr>
        <w:t>العلمية</w:t>
      </w:r>
      <w:r w:rsidR="00F32B28">
        <w:rPr>
          <w:rtl/>
        </w:rPr>
        <w:t xml:space="preserve"> </w:t>
      </w:r>
      <w:r w:rsidR="00F32B28" w:rsidRPr="00F32B28">
        <w:rPr>
          <w:rtl/>
        </w:rPr>
        <w:t>والعلوم</w:t>
      </w:r>
      <w:r w:rsidR="00F32B28">
        <w:rPr>
          <w:rtl/>
        </w:rPr>
        <w:t xml:space="preserve"> </w:t>
      </w:r>
      <w:r w:rsidR="00F32B28" w:rsidRPr="00F32B28">
        <w:rPr>
          <w:rtl/>
        </w:rPr>
        <w:t>الإنسانية</w:t>
      </w:r>
      <w:r w:rsidR="00F32B28">
        <w:rPr>
          <w:rtl/>
        </w:rPr>
        <w:t xml:space="preserve"> </w:t>
      </w:r>
      <w:r w:rsidR="00F32B28" w:rsidRPr="00F32B28">
        <w:rPr>
          <w:rtl/>
        </w:rPr>
        <w:t>مقارنة</w:t>
      </w:r>
      <w:r w:rsidR="00F32B28">
        <w:rPr>
          <w:rtl/>
        </w:rPr>
        <w:t xml:space="preserve"> </w:t>
      </w:r>
      <w:r w:rsidR="00F32B28" w:rsidRPr="00F32B28">
        <w:rPr>
          <w:rtl/>
        </w:rPr>
        <w:t>بالتخصصات</w:t>
      </w:r>
      <w:r w:rsidR="00F32B28">
        <w:rPr>
          <w:rtl/>
        </w:rPr>
        <w:t xml:space="preserve"> </w:t>
      </w:r>
      <w:r w:rsidR="00F32B28" w:rsidRPr="00F32B28">
        <w:rPr>
          <w:rtl/>
        </w:rPr>
        <w:t>المهنية</w:t>
      </w:r>
      <w:r w:rsidR="00F32B28">
        <w:rPr>
          <w:rtl/>
        </w:rPr>
        <w:t xml:space="preserve"> </w:t>
      </w:r>
      <w:r w:rsidR="00F32B28" w:rsidRPr="00F32B28">
        <w:rPr>
          <w:rtl/>
        </w:rPr>
        <w:t>الأخرى،</w:t>
      </w:r>
      <w:r w:rsidR="00F32B28">
        <w:rPr>
          <w:rtl/>
        </w:rPr>
        <w:t xml:space="preserve"> </w:t>
      </w:r>
      <w:r w:rsidR="00F32B28" w:rsidRPr="00F32B28">
        <w:rPr>
          <w:rtl/>
        </w:rPr>
        <w:t>وأن</w:t>
      </w:r>
      <w:r w:rsidR="00F32B28">
        <w:rPr>
          <w:rtl/>
        </w:rPr>
        <w:t xml:space="preserve"> </w:t>
      </w:r>
      <w:r w:rsidR="00F32B28" w:rsidRPr="00F32B28">
        <w:rPr>
          <w:rtl/>
        </w:rPr>
        <w:t>الإناث</w:t>
      </w:r>
      <w:r w:rsidR="00F32B28">
        <w:rPr>
          <w:rtl/>
        </w:rPr>
        <w:t xml:space="preserve"> </w:t>
      </w:r>
      <w:r w:rsidR="00F32B28" w:rsidRPr="00F32B28">
        <w:rPr>
          <w:rtl/>
        </w:rPr>
        <w:t>بشكل</w:t>
      </w:r>
      <w:r w:rsidR="00F32B28">
        <w:rPr>
          <w:rtl/>
        </w:rPr>
        <w:t xml:space="preserve"> </w:t>
      </w:r>
      <w:r w:rsidR="00F32B28" w:rsidRPr="00F32B28">
        <w:rPr>
          <w:rtl/>
        </w:rPr>
        <w:t>عام</w:t>
      </w:r>
      <w:r w:rsidR="00F32B28">
        <w:rPr>
          <w:rtl/>
        </w:rPr>
        <w:t xml:space="preserve"> </w:t>
      </w:r>
      <w:r w:rsidR="00F32B28" w:rsidRPr="00F32B28">
        <w:rPr>
          <w:rtl/>
        </w:rPr>
        <w:t>يتجهن</w:t>
      </w:r>
      <w:r w:rsidR="00F32B28">
        <w:rPr>
          <w:rtl/>
        </w:rPr>
        <w:t xml:space="preserve"> </w:t>
      </w:r>
      <w:r w:rsidR="00F32B28" w:rsidRPr="00F32B28">
        <w:rPr>
          <w:rtl/>
        </w:rPr>
        <w:t>إلى</w:t>
      </w:r>
      <w:r w:rsidR="00F32B28">
        <w:rPr>
          <w:rtl/>
        </w:rPr>
        <w:t xml:space="preserve"> </w:t>
      </w:r>
      <w:r w:rsidR="00F32B28" w:rsidRPr="00F32B28">
        <w:rPr>
          <w:rtl/>
        </w:rPr>
        <w:t>دراسة</w:t>
      </w:r>
      <w:r w:rsidR="00F32B28">
        <w:rPr>
          <w:rtl/>
        </w:rPr>
        <w:t xml:space="preserve"> </w:t>
      </w:r>
      <w:r w:rsidR="00F32B28" w:rsidRPr="00F32B28">
        <w:rPr>
          <w:rtl/>
        </w:rPr>
        <w:t>العلوم</w:t>
      </w:r>
      <w:r w:rsidR="00F32B28">
        <w:rPr>
          <w:rtl/>
        </w:rPr>
        <w:t xml:space="preserve"> </w:t>
      </w:r>
      <w:r w:rsidR="00F32B28" w:rsidRPr="00F32B28">
        <w:rPr>
          <w:rtl/>
        </w:rPr>
        <w:t>الإنسانية</w:t>
      </w:r>
      <w:r w:rsidR="00F32B28">
        <w:rPr>
          <w:rtl/>
        </w:rPr>
        <w:t xml:space="preserve"> </w:t>
      </w:r>
      <w:r w:rsidR="00F32B28" w:rsidRPr="00F32B28">
        <w:rPr>
          <w:rtl/>
        </w:rPr>
        <w:t>أكثر</w:t>
      </w:r>
      <w:r w:rsidR="00F32B28">
        <w:rPr>
          <w:rtl/>
        </w:rPr>
        <w:t xml:space="preserve"> </w:t>
      </w:r>
      <w:r w:rsidR="00F32B28" w:rsidRPr="00F32B28">
        <w:rPr>
          <w:rtl/>
        </w:rPr>
        <w:t>من</w:t>
      </w:r>
      <w:r w:rsidR="00F32B28">
        <w:rPr>
          <w:rtl/>
        </w:rPr>
        <w:t xml:space="preserve"> </w:t>
      </w:r>
      <w:r w:rsidR="00F32B28" w:rsidRPr="00F32B28">
        <w:rPr>
          <w:rtl/>
        </w:rPr>
        <w:t>الذكور.</w:t>
      </w:r>
    </w:p>
    <w:p w:rsidR="00F32B28" w:rsidRPr="00F32B28" w:rsidRDefault="00E52428" w:rsidP="00E52428">
      <w:pPr>
        <w:pStyle w:val="SingleTxt"/>
        <w:rPr>
          <w:rtl/>
          <w:lang w:bidi="ar-SY"/>
        </w:rPr>
      </w:pPr>
      <w:r>
        <w:rPr>
          <w:rFonts w:hint="cs"/>
          <w:rtl/>
          <w:lang w:bidi="ar-SY"/>
        </w:rPr>
        <w:t xml:space="preserve">176 - </w:t>
      </w:r>
      <w:r w:rsidR="00F32B28" w:rsidRPr="00F32B28">
        <w:rPr>
          <w:rtl/>
          <w:lang w:bidi="ar-SY"/>
        </w:rPr>
        <w:t>وقد</w:t>
      </w:r>
      <w:r w:rsidR="00F32B28">
        <w:rPr>
          <w:rtl/>
          <w:lang w:bidi="ar-SY"/>
        </w:rPr>
        <w:t xml:space="preserve"> </w:t>
      </w:r>
      <w:r w:rsidR="00F32B28" w:rsidRPr="00F32B28">
        <w:rPr>
          <w:rtl/>
          <w:lang w:bidi="ar-SY"/>
        </w:rPr>
        <w:t>عملت</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التربية</w:t>
      </w:r>
      <w:r w:rsidR="00F32B28">
        <w:rPr>
          <w:rtl/>
          <w:lang w:bidi="ar-SY"/>
        </w:rPr>
        <w:t xml:space="preserve"> </w:t>
      </w:r>
      <w:r w:rsidR="00F32B28" w:rsidRPr="00F32B28">
        <w:rPr>
          <w:rtl/>
          <w:lang w:bidi="ar-SY"/>
        </w:rPr>
        <w:t>والتعليم</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تبني</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مشاريع</w:t>
      </w:r>
      <w:r w:rsidR="00F32B28">
        <w:rPr>
          <w:rtl/>
          <w:lang w:bidi="ar-SY"/>
        </w:rPr>
        <w:t xml:space="preserve"> </w:t>
      </w:r>
      <w:r w:rsidR="00F32B28" w:rsidRPr="00F32B28">
        <w:rPr>
          <w:rtl/>
          <w:lang w:bidi="ar-SY"/>
        </w:rPr>
        <w:t>وبرامج</w:t>
      </w:r>
      <w:r w:rsidR="00F32B28">
        <w:rPr>
          <w:rtl/>
          <w:lang w:bidi="ar-SY"/>
        </w:rPr>
        <w:t xml:space="preserve"> </w:t>
      </w:r>
      <w:r w:rsidR="00F32B28" w:rsidRPr="00F32B28">
        <w:rPr>
          <w:rtl/>
          <w:lang w:bidi="ar-SY"/>
        </w:rPr>
        <w:t>التوجيه</w:t>
      </w:r>
      <w:r w:rsidR="00F32B28">
        <w:rPr>
          <w:rtl/>
          <w:lang w:bidi="ar-SY"/>
        </w:rPr>
        <w:t xml:space="preserve"> </w:t>
      </w:r>
      <w:r w:rsidR="00F32B28" w:rsidRPr="00F32B28">
        <w:rPr>
          <w:rtl/>
          <w:lang w:bidi="ar-SY"/>
        </w:rPr>
        <w:t>المهني،</w:t>
      </w:r>
      <w:r w:rsidR="00F32B28">
        <w:rPr>
          <w:rtl/>
          <w:lang w:bidi="ar-SY"/>
        </w:rPr>
        <w:t xml:space="preserve"> </w:t>
      </w:r>
      <w:r w:rsidR="00F32B28" w:rsidRPr="00F32B28">
        <w:rPr>
          <w:rtl/>
          <w:lang w:bidi="ar-SY"/>
        </w:rPr>
        <w:t>منها</w:t>
      </w:r>
      <w:r w:rsidR="00F32B28">
        <w:rPr>
          <w:rtl/>
          <w:lang w:bidi="ar-SY"/>
        </w:rPr>
        <w:t xml:space="preserve"> </w:t>
      </w:r>
      <w:r w:rsidR="00F32B28" w:rsidRPr="00F32B28">
        <w:rPr>
          <w:rtl/>
          <w:lang w:bidi="ar-SY"/>
        </w:rPr>
        <w:t>مشروع</w:t>
      </w:r>
      <w:r w:rsidR="00F32B28">
        <w:rPr>
          <w:rtl/>
          <w:lang w:bidi="ar-SY"/>
        </w:rPr>
        <w:t xml:space="preserve"> </w:t>
      </w:r>
      <w:r w:rsidR="00F32B28" w:rsidRPr="00F32B28">
        <w:rPr>
          <w:rtl/>
          <w:lang w:bidi="ar-SY"/>
        </w:rPr>
        <w:t>التوعية</w:t>
      </w:r>
      <w:r w:rsidR="00F32B28">
        <w:rPr>
          <w:rtl/>
          <w:lang w:bidi="ar-SY"/>
        </w:rPr>
        <w:t xml:space="preserve"> </w:t>
      </w:r>
      <w:r w:rsidR="00F32B28" w:rsidRPr="00F32B28">
        <w:rPr>
          <w:rtl/>
          <w:lang w:bidi="ar-SY"/>
        </w:rPr>
        <w:t>والإرشاد</w:t>
      </w:r>
      <w:r w:rsidR="00F32B28">
        <w:rPr>
          <w:rtl/>
          <w:lang w:bidi="ar-SY"/>
        </w:rPr>
        <w:t xml:space="preserve"> </w:t>
      </w:r>
      <w:r w:rsidR="00F32B28" w:rsidRPr="00F32B28">
        <w:rPr>
          <w:rtl/>
          <w:lang w:bidi="ar-SY"/>
        </w:rPr>
        <w:t>المهني،</w:t>
      </w:r>
      <w:r w:rsidR="00F32B28">
        <w:rPr>
          <w:rtl/>
          <w:lang w:bidi="ar-SY"/>
        </w:rPr>
        <w:t xml:space="preserve"> </w:t>
      </w:r>
      <w:r w:rsidR="00F32B28" w:rsidRPr="00F32B28">
        <w:rPr>
          <w:rtl/>
          <w:lang w:bidi="ar-SY"/>
        </w:rPr>
        <w:t>ومشروع</w:t>
      </w:r>
      <w:r w:rsidR="00F32B28">
        <w:rPr>
          <w:rtl/>
          <w:lang w:bidi="ar-SY"/>
        </w:rPr>
        <w:t xml:space="preserve"> </w:t>
      </w:r>
      <w:r w:rsidR="00D06D08">
        <w:rPr>
          <w:rFonts w:hint="cs"/>
          <w:rtl/>
          <w:lang w:bidi="ar-SY"/>
        </w:rPr>
        <w:t>”</w:t>
      </w:r>
      <w:r w:rsidR="00F32B28" w:rsidRPr="00F32B28">
        <w:rPr>
          <w:rtl/>
          <w:lang w:bidi="ar-SY"/>
        </w:rPr>
        <w:t>من</w:t>
      </w:r>
      <w:r w:rsidR="00F32B28">
        <w:rPr>
          <w:rtl/>
          <w:lang w:bidi="ar-SY"/>
        </w:rPr>
        <w:t xml:space="preserve"> </w:t>
      </w:r>
      <w:r w:rsidR="00F32B28" w:rsidRPr="00F32B28">
        <w:rPr>
          <w:rtl/>
          <w:lang w:bidi="ar-SY"/>
        </w:rPr>
        <w:t>المدرسة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المهن</w:t>
      </w:r>
      <w:r w:rsidR="00D06D08">
        <w:rPr>
          <w:rFonts w:hint="cs"/>
          <w:rtl/>
        </w:rPr>
        <w:t>“</w:t>
      </w:r>
      <w:r w:rsidR="00F32B28">
        <w:rPr>
          <w:rtl/>
          <w:lang w:bidi="ar-SY"/>
        </w:rPr>
        <w:t xml:space="preserve"> </w:t>
      </w:r>
      <w:r w:rsidR="00F32B28" w:rsidRPr="00F32B28">
        <w:rPr>
          <w:rtl/>
          <w:lang w:bidi="ar-SY"/>
        </w:rPr>
        <w:t>الهادفة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مساعدة</w:t>
      </w:r>
      <w:r w:rsidR="00F32B28">
        <w:rPr>
          <w:rtl/>
          <w:lang w:bidi="ar-SY"/>
        </w:rPr>
        <w:t xml:space="preserve"> </w:t>
      </w:r>
      <w:r w:rsidR="00F32B28" w:rsidRPr="00F32B28">
        <w:rPr>
          <w:rtl/>
          <w:lang w:bidi="ar-SY"/>
        </w:rPr>
        <w:t>وتوجيه</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التعرف</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التخصصات</w:t>
      </w:r>
      <w:r w:rsidR="00F32B28">
        <w:rPr>
          <w:rtl/>
          <w:lang w:bidi="ar-SY"/>
        </w:rPr>
        <w:t xml:space="preserve"> </w:t>
      </w:r>
      <w:r w:rsidR="00F32B28" w:rsidRPr="00F32B28">
        <w:rPr>
          <w:rtl/>
          <w:lang w:bidi="ar-SY"/>
        </w:rPr>
        <w:t>والمهن</w:t>
      </w:r>
      <w:r w:rsidR="00F32B28">
        <w:rPr>
          <w:rtl/>
          <w:lang w:bidi="ar-SY"/>
        </w:rPr>
        <w:t xml:space="preserve"> </w:t>
      </w:r>
      <w:r w:rsidR="00F32B28" w:rsidRPr="00F32B28">
        <w:rPr>
          <w:rtl/>
          <w:lang w:bidi="ar-SY"/>
        </w:rPr>
        <w:t>وتنمية</w:t>
      </w:r>
      <w:r w:rsidR="00F32B28">
        <w:rPr>
          <w:rtl/>
          <w:lang w:bidi="ar-SY"/>
        </w:rPr>
        <w:t xml:space="preserve"> </w:t>
      </w:r>
      <w:r w:rsidR="00F32B28" w:rsidRPr="00F32B28">
        <w:rPr>
          <w:rtl/>
          <w:lang w:bidi="ar-SY"/>
        </w:rPr>
        <w:t>المهارات</w:t>
      </w:r>
      <w:r w:rsidR="00F32B28">
        <w:rPr>
          <w:rtl/>
          <w:lang w:bidi="ar-SY"/>
        </w:rPr>
        <w:t xml:space="preserve"> </w:t>
      </w:r>
      <w:r w:rsidR="00F32B28" w:rsidRPr="00F32B28">
        <w:rPr>
          <w:rtl/>
          <w:lang w:bidi="ar-SY"/>
        </w:rPr>
        <w:t>اللازمة</w:t>
      </w:r>
      <w:r w:rsidR="00F32B28">
        <w:rPr>
          <w:rtl/>
          <w:lang w:bidi="ar-SY"/>
        </w:rPr>
        <w:t xml:space="preserve"> </w:t>
      </w:r>
      <w:r w:rsidR="00F32B28" w:rsidRPr="00F32B28">
        <w:rPr>
          <w:rtl/>
          <w:lang w:bidi="ar-SY"/>
        </w:rPr>
        <w:t>واختيارها</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يوائم</w:t>
      </w:r>
      <w:r w:rsidR="00F32B28">
        <w:rPr>
          <w:rtl/>
          <w:lang w:bidi="ar-SY"/>
        </w:rPr>
        <w:t xml:space="preserve"> </w:t>
      </w:r>
      <w:r w:rsidR="00F32B28" w:rsidRPr="00F32B28">
        <w:rPr>
          <w:rtl/>
          <w:lang w:bidi="ar-SY"/>
        </w:rPr>
        <w:t>وميولهم</w:t>
      </w:r>
      <w:r w:rsidR="00F32B28">
        <w:rPr>
          <w:rtl/>
          <w:lang w:bidi="ar-SY"/>
        </w:rPr>
        <w:t xml:space="preserve"> </w:t>
      </w:r>
      <w:r w:rsidR="00F32B28" w:rsidRPr="00F32B28">
        <w:rPr>
          <w:rtl/>
          <w:lang w:bidi="ar-SY"/>
        </w:rPr>
        <w:t>وقدراتهم.</w:t>
      </w:r>
      <w:r w:rsidR="00F32B28">
        <w:rPr>
          <w:rtl/>
          <w:lang w:bidi="ar-SY"/>
        </w:rPr>
        <w:t xml:space="preserve"> </w:t>
      </w:r>
      <w:r w:rsidR="00F32B28" w:rsidRPr="00F32B28">
        <w:rPr>
          <w:rtl/>
          <w:lang w:bidi="ar-SY"/>
        </w:rPr>
        <w:t>وقد</w:t>
      </w:r>
      <w:r w:rsidR="00F32B28">
        <w:rPr>
          <w:rtl/>
          <w:lang w:bidi="ar-SY"/>
        </w:rPr>
        <w:t xml:space="preserve"> </w:t>
      </w:r>
      <w:r w:rsidR="00F32B28" w:rsidRPr="00F32B28">
        <w:rPr>
          <w:rtl/>
          <w:lang w:bidi="ar-SY"/>
        </w:rPr>
        <w:t>تبنت</w:t>
      </w:r>
      <w:r w:rsidR="00F32B28">
        <w:rPr>
          <w:rtl/>
          <w:lang w:bidi="ar-SY"/>
        </w:rPr>
        <w:t xml:space="preserve"> </w:t>
      </w:r>
      <w:r w:rsidR="00F32B28" w:rsidRPr="00F32B28">
        <w:rPr>
          <w:rtl/>
          <w:lang w:bidi="ar-SY"/>
        </w:rPr>
        <w:t>الوزارة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الصدد</w:t>
      </w:r>
      <w:r w:rsidR="00F32B28">
        <w:rPr>
          <w:rtl/>
          <w:lang w:bidi="ar-SY"/>
        </w:rPr>
        <w:t xml:space="preserve"> </w:t>
      </w:r>
      <w:r w:rsidR="00D06D08">
        <w:rPr>
          <w:rFonts w:hint="eastAsia"/>
          <w:rtl/>
        </w:rPr>
        <w:t>”</w:t>
      </w:r>
      <w:r w:rsidR="00F32B28" w:rsidRPr="00F32B28">
        <w:rPr>
          <w:rtl/>
        </w:rPr>
        <w:t>دليل</w:t>
      </w:r>
      <w:r w:rsidR="00F32B28">
        <w:rPr>
          <w:rtl/>
        </w:rPr>
        <w:t xml:space="preserve"> </w:t>
      </w:r>
      <w:r w:rsidR="00F32B28" w:rsidRPr="00F32B28">
        <w:rPr>
          <w:rtl/>
        </w:rPr>
        <w:t>عمل</w:t>
      </w:r>
      <w:r w:rsidR="00F32B28">
        <w:rPr>
          <w:rtl/>
        </w:rPr>
        <w:t xml:space="preserve"> </w:t>
      </w:r>
      <w:r w:rsidR="00F32B28" w:rsidRPr="00F32B28">
        <w:rPr>
          <w:rtl/>
        </w:rPr>
        <w:t>المرشد</w:t>
      </w:r>
      <w:r w:rsidR="00F32B28">
        <w:rPr>
          <w:rtl/>
        </w:rPr>
        <w:t xml:space="preserve"> </w:t>
      </w:r>
      <w:r w:rsidR="00F32B28" w:rsidRPr="00F32B28">
        <w:rPr>
          <w:rtl/>
        </w:rPr>
        <w:t>التربوي</w:t>
      </w:r>
      <w:r w:rsidR="00F32B28">
        <w:rPr>
          <w:rtl/>
        </w:rPr>
        <w:t xml:space="preserve"> </w:t>
      </w:r>
      <w:r w:rsidR="00F32B28" w:rsidRPr="00F32B28">
        <w:rPr>
          <w:rtl/>
        </w:rPr>
        <w:t>في</w:t>
      </w:r>
      <w:r w:rsidR="00F32B28">
        <w:rPr>
          <w:rtl/>
        </w:rPr>
        <w:t xml:space="preserve"> </w:t>
      </w:r>
      <w:r w:rsidR="00F32B28" w:rsidRPr="00F32B28">
        <w:rPr>
          <w:rtl/>
        </w:rPr>
        <w:t>الإرشاد</w:t>
      </w:r>
      <w:r w:rsidR="00F32B28">
        <w:rPr>
          <w:rtl/>
        </w:rPr>
        <w:t xml:space="preserve"> </w:t>
      </w:r>
      <w:r w:rsidR="00F32B28" w:rsidRPr="00F32B28">
        <w:rPr>
          <w:rtl/>
        </w:rPr>
        <w:t>المهني</w:t>
      </w:r>
      <w:r w:rsidR="00F32B28">
        <w:rPr>
          <w:rtl/>
        </w:rPr>
        <w:t xml:space="preserve"> </w:t>
      </w:r>
      <w:r w:rsidR="00F32B28" w:rsidRPr="00F32B28">
        <w:rPr>
          <w:rtl/>
        </w:rPr>
        <w:t>والتقني</w:t>
      </w:r>
      <w:r w:rsidR="00D06D08">
        <w:rPr>
          <w:rFonts w:hint="cs"/>
          <w:rtl/>
        </w:rPr>
        <w:t xml:space="preserve">“ </w:t>
      </w:r>
      <w:r w:rsidR="00F32B28" w:rsidRPr="00F32B28">
        <w:rPr>
          <w:rtl/>
        </w:rPr>
        <w:t>الذي</w:t>
      </w:r>
      <w:r w:rsidR="00F32B28">
        <w:rPr>
          <w:rtl/>
        </w:rPr>
        <w:t xml:space="preserve"> </w:t>
      </w:r>
      <w:r w:rsidR="00F32B28" w:rsidRPr="00F32B28">
        <w:rPr>
          <w:rtl/>
        </w:rPr>
        <w:t>يستهدف</w:t>
      </w:r>
      <w:r w:rsidR="00F32B28">
        <w:rPr>
          <w:rtl/>
        </w:rPr>
        <w:t xml:space="preserve"> </w:t>
      </w:r>
      <w:r w:rsidR="00F32B28" w:rsidRPr="00F32B28">
        <w:rPr>
          <w:rtl/>
        </w:rPr>
        <w:t>طلبة</w:t>
      </w:r>
      <w:r w:rsidR="00F32B28">
        <w:rPr>
          <w:rtl/>
        </w:rPr>
        <w:t xml:space="preserve"> </w:t>
      </w:r>
      <w:r w:rsidR="00F32B28" w:rsidRPr="00F32B28">
        <w:rPr>
          <w:rtl/>
        </w:rPr>
        <w:t>الصفوف</w:t>
      </w:r>
      <w:r w:rsidR="00F32B28">
        <w:rPr>
          <w:rtl/>
        </w:rPr>
        <w:t xml:space="preserve"> </w:t>
      </w:r>
      <w:r w:rsidR="00F32B28" w:rsidRPr="00F32B28">
        <w:rPr>
          <w:rtl/>
        </w:rPr>
        <w:t>الأساسية</w:t>
      </w:r>
      <w:r w:rsidR="00F32B28">
        <w:rPr>
          <w:rtl/>
        </w:rPr>
        <w:t xml:space="preserve"> </w:t>
      </w:r>
      <w:r w:rsidR="00F32B28" w:rsidRPr="00F32B28">
        <w:rPr>
          <w:rtl/>
        </w:rPr>
        <w:t>الثامن</w:t>
      </w:r>
      <w:r w:rsidR="00F32B28">
        <w:rPr>
          <w:rtl/>
        </w:rPr>
        <w:t xml:space="preserve"> </w:t>
      </w:r>
      <w:r w:rsidR="00F32B28" w:rsidRPr="00F32B28">
        <w:rPr>
          <w:rtl/>
        </w:rPr>
        <w:t>والتاسع</w:t>
      </w:r>
      <w:r w:rsidR="00F32B28">
        <w:rPr>
          <w:rtl/>
        </w:rPr>
        <w:t xml:space="preserve"> </w:t>
      </w:r>
      <w:r w:rsidR="00F32B28" w:rsidRPr="00F32B28">
        <w:rPr>
          <w:rtl/>
        </w:rPr>
        <w:t>والعاشر،</w:t>
      </w:r>
      <w:r w:rsidR="00F32B28">
        <w:rPr>
          <w:rtl/>
        </w:rPr>
        <w:t xml:space="preserve"> </w:t>
      </w:r>
      <w:r w:rsidR="00F32B28" w:rsidRPr="00F32B28">
        <w:rPr>
          <w:rtl/>
        </w:rPr>
        <w:t>ذكوراً</w:t>
      </w:r>
      <w:r w:rsidR="00F32B28">
        <w:rPr>
          <w:rtl/>
        </w:rPr>
        <w:t xml:space="preserve"> </w:t>
      </w:r>
      <w:r w:rsidR="00F32B28" w:rsidRPr="00F32B28">
        <w:rPr>
          <w:rtl/>
        </w:rPr>
        <w:t>وإناثاً،</w:t>
      </w:r>
      <w:r w:rsidR="00F32B28">
        <w:rPr>
          <w:rtl/>
        </w:rPr>
        <w:t xml:space="preserve"> </w:t>
      </w:r>
      <w:r w:rsidR="00F32B28" w:rsidRPr="00F32B28">
        <w:rPr>
          <w:rtl/>
        </w:rPr>
        <w:t>بالإضافة</w:t>
      </w:r>
      <w:r w:rsidR="00F32B28">
        <w:rPr>
          <w:rtl/>
        </w:rPr>
        <w:t xml:space="preserve"> </w:t>
      </w:r>
      <w:r w:rsidR="00F32B28" w:rsidRPr="00F32B28">
        <w:rPr>
          <w:rtl/>
        </w:rPr>
        <w:t>إلى</w:t>
      </w:r>
      <w:r w:rsidR="00F32B28">
        <w:rPr>
          <w:rtl/>
        </w:rPr>
        <w:t xml:space="preserve"> </w:t>
      </w:r>
      <w:r w:rsidR="00F32B28" w:rsidRPr="00F32B28">
        <w:rPr>
          <w:rtl/>
        </w:rPr>
        <w:t>أهاليهم،</w:t>
      </w:r>
      <w:r w:rsidR="00F32B28">
        <w:rPr>
          <w:rtl/>
        </w:rPr>
        <w:t xml:space="preserve"> </w:t>
      </w:r>
      <w:r w:rsidR="00F32B28" w:rsidRPr="00F32B28">
        <w:rPr>
          <w:rtl/>
        </w:rPr>
        <w:t>ويوفر</w:t>
      </w:r>
      <w:r w:rsidR="00F32B28">
        <w:rPr>
          <w:rtl/>
        </w:rPr>
        <w:t xml:space="preserve"> </w:t>
      </w:r>
      <w:r w:rsidR="00F32B28" w:rsidRPr="00F32B28">
        <w:rPr>
          <w:rtl/>
        </w:rPr>
        <w:t>لهم</w:t>
      </w:r>
      <w:r w:rsidR="00F32B28">
        <w:rPr>
          <w:rtl/>
        </w:rPr>
        <w:t xml:space="preserve"> </w:t>
      </w:r>
      <w:r w:rsidR="00F32B28" w:rsidRPr="00F32B28">
        <w:rPr>
          <w:rtl/>
        </w:rPr>
        <w:t>الإرشادات</w:t>
      </w:r>
      <w:r w:rsidR="00F32B28">
        <w:rPr>
          <w:rtl/>
        </w:rPr>
        <w:t xml:space="preserve"> </w:t>
      </w:r>
      <w:r w:rsidR="00F32B28" w:rsidRPr="00F32B28">
        <w:rPr>
          <w:rtl/>
        </w:rPr>
        <w:t>اللازمة</w:t>
      </w:r>
      <w:r w:rsidR="00F32B28">
        <w:rPr>
          <w:rtl/>
        </w:rPr>
        <w:t xml:space="preserve"> </w:t>
      </w:r>
      <w:r w:rsidR="00F32B28" w:rsidRPr="00F32B28">
        <w:rPr>
          <w:rtl/>
        </w:rPr>
        <w:t>في</w:t>
      </w:r>
      <w:r w:rsidR="00F32B28">
        <w:rPr>
          <w:rtl/>
        </w:rPr>
        <w:t xml:space="preserve"> </w:t>
      </w:r>
      <w:r w:rsidR="00F32B28" w:rsidRPr="00F32B28">
        <w:rPr>
          <w:rtl/>
        </w:rPr>
        <w:t>مجال</w:t>
      </w:r>
      <w:r w:rsidR="00F32B28">
        <w:rPr>
          <w:rtl/>
        </w:rPr>
        <w:t xml:space="preserve"> </w:t>
      </w:r>
      <w:r w:rsidR="00F32B28" w:rsidRPr="00F32B28">
        <w:rPr>
          <w:rtl/>
        </w:rPr>
        <w:t>الإدارة</w:t>
      </w:r>
      <w:r w:rsidR="00F32B28">
        <w:rPr>
          <w:rtl/>
        </w:rPr>
        <w:t xml:space="preserve"> </w:t>
      </w:r>
      <w:r w:rsidR="00F32B28" w:rsidRPr="00F32B28">
        <w:rPr>
          <w:rtl/>
        </w:rPr>
        <w:t>الشخصية،</w:t>
      </w:r>
      <w:r w:rsidR="00F32B28">
        <w:rPr>
          <w:rtl/>
        </w:rPr>
        <w:t xml:space="preserve"> </w:t>
      </w:r>
      <w:r w:rsidR="00F32B28" w:rsidRPr="00F32B28">
        <w:rPr>
          <w:rtl/>
        </w:rPr>
        <w:t>وكيفية</w:t>
      </w:r>
      <w:r w:rsidR="00F32B28">
        <w:rPr>
          <w:rtl/>
        </w:rPr>
        <w:t xml:space="preserve"> </w:t>
      </w:r>
      <w:r w:rsidR="00F32B28" w:rsidRPr="00F32B28">
        <w:rPr>
          <w:rtl/>
        </w:rPr>
        <w:t>اختيار</w:t>
      </w:r>
      <w:r w:rsidR="00F32B28">
        <w:rPr>
          <w:rtl/>
        </w:rPr>
        <w:t xml:space="preserve"> </w:t>
      </w:r>
      <w:r w:rsidR="00F32B28" w:rsidRPr="00F32B28">
        <w:rPr>
          <w:rtl/>
        </w:rPr>
        <w:t>التخصص</w:t>
      </w:r>
      <w:r w:rsidR="00F32B28">
        <w:rPr>
          <w:rtl/>
        </w:rPr>
        <w:t xml:space="preserve"> </w:t>
      </w:r>
      <w:r w:rsidR="00F32B28" w:rsidRPr="00F32B28">
        <w:rPr>
          <w:rtl/>
        </w:rPr>
        <w:t>الدراسي</w:t>
      </w:r>
      <w:r w:rsidR="00F32B28">
        <w:rPr>
          <w:rtl/>
        </w:rPr>
        <w:t xml:space="preserve"> </w:t>
      </w:r>
      <w:r w:rsidR="00F32B28" w:rsidRPr="00F32B28">
        <w:rPr>
          <w:rtl/>
        </w:rPr>
        <w:t>المناسب،</w:t>
      </w:r>
      <w:r w:rsidR="00F32B28">
        <w:rPr>
          <w:rtl/>
        </w:rPr>
        <w:t xml:space="preserve"> </w:t>
      </w:r>
      <w:r w:rsidR="00F32B28" w:rsidRPr="00F32B28">
        <w:rPr>
          <w:rtl/>
        </w:rPr>
        <w:t>وكيفية</w:t>
      </w:r>
      <w:r w:rsidR="00F32B28">
        <w:rPr>
          <w:rtl/>
        </w:rPr>
        <w:t xml:space="preserve"> </w:t>
      </w:r>
      <w:r w:rsidR="00F32B28" w:rsidRPr="00F32B28">
        <w:rPr>
          <w:rtl/>
        </w:rPr>
        <w:t>التفاعل</w:t>
      </w:r>
      <w:r w:rsidR="00F32B28">
        <w:rPr>
          <w:rtl/>
        </w:rPr>
        <w:t xml:space="preserve"> </w:t>
      </w:r>
      <w:r w:rsidR="00F32B28" w:rsidRPr="00F32B28">
        <w:rPr>
          <w:rtl/>
        </w:rPr>
        <w:t>مع</w:t>
      </w:r>
      <w:r w:rsidR="00F32B28">
        <w:rPr>
          <w:rtl/>
        </w:rPr>
        <w:t xml:space="preserve"> </w:t>
      </w:r>
      <w:r w:rsidR="00F32B28" w:rsidRPr="00F32B28">
        <w:rPr>
          <w:rtl/>
        </w:rPr>
        <w:t>الآخر،</w:t>
      </w:r>
      <w:r w:rsidR="00F32B28">
        <w:rPr>
          <w:rtl/>
        </w:rPr>
        <w:t xml:space="preserve"> </w:t>
      </w:r>
      <w:r w:rsidR="00F32B28" w:rsidRPr="00F32B28">
        <w:rPr>
          <w:rtl/>
        </w:rPr>
        <w:t>والتعلم</w:t>
      </w:r>
      <w:r w:rsidR="00F32B28">
        <w:rPr>
          <w:rtl/>
        </w:rPr>
        <w:t xml:space="preserve"> </w:t>
      </w:r>
      <w:r w:rsidR="00F32B28" w:rsidRPr="00F32B28">
        <w:rPr>
          <w:rtl/>
        </w:rPr>
        <w:t>مدى</w:t>
      </w:r>
      <w:r w:rsidR="00F32B28">
        <w:rPr>
          <w:rtl/>
        </w:rPr>
        <w:t xml:space="preserve"> </w:t>
      </w:r>
      <w:r w:rsidR="00F32B28" w:rsidRPr="00F32B28">
        <w:rPr>
          <w:rtl/>
        </w:rPr>
        <w:t>الحياة.</w:t>
      </w:r>
    </w:p>
    <w:p w:rsidR="00F32B28" w:rsidRPr="00F32B28" w:rsidRDefault="00627BB0" w:rsidP="00627BB0">
      <w:pPr>
        <w:pStyle w:val="SingleTxt"/>
        <w:rPr>
          <w:rtl/>
          <w:lang w:bidi="ar-LB"/>
        </w:rPr>
      </w:pPr>
      <w:r>
        <w:rPr>
          <w:rFonts w:hint="cs"/>
          <w:rtl/>
        </w:rPr>
        <w:t xml:space="preserve">177 - </w:t>
      </w:r>
      <w:r w:rsidR="00F32B28" w:rsidRPr="00F32B28">
        <w:rPr>
          <w:rtl/>
        </w:rPr>
        <w:t>تضمن</w:t>
      </w:r>
      <w:r w:rsidR="00F32B28">
        <w:rPr>
          <w:rtl/>
        </w:rPr>
        <w:t xml:space="preserve"> </w:t>
      </w:r>
      <w:r w:rsidR="00F32B28" w:rsidRPr="00F32B28">
        <w:rPr>
          <w:rtl/>
        </w:rPr>
        <w:t>التشريعات</w:t>
      </w:r>
      <w:r w:rsidR="00F32B28">
        <w:rPr>
          <w:rtl/>
        </w:rPr>
        <w:t xml:space="preserve"> </w:t>
      </w:r>
      <w:r w:rsidR="00F32B28" w:rsidRPr="00F32B28">
        <w:rPr>
          <w:rtl/>
        </w:rPr>
        <w:t>والسياسات</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حرية</w:t>
      </w:r>
      <w:r w:rsidR="00F32B28">
        <w:rPr>
          <w:rtl/>
        </w:rPr>
        <w:t xml:space="preserve"> </w:t>
      </w:r>
      <w:r w:rsidR="00F32B28" w:rsidRPr="00F32B28">
        <w:rPr>
          <w:rtl/>
        </w:rPr>
        <w:t>اختيار</w:t>
      </w:r>
      <w:r w:rsidR="00F32B28">
        <w:rPr>
          <w:rtl/>
        </w:rPr>
        <w:t xml:space="preserve"> </w:t>
      </w:r>
      <w:r w:rsidR="00F32B28" w:rsidRPr="00F32B28">
        <w:rPr>
          <w:rtl/>
        </w:rPr>
        <w:t>التخصص</w:t>
      </w:r>
      <w:r w:rsidR="00F32B28">
        <w:rPr>
          <w:rtl/>
        </w:rPr>
        <w:t xml:space="preserve"> </w:t>
      </w:r>
      <w:r w:rsidR="00F32B28" w:rsidRPr="00F32B28">
        <w:rPr>
          <w:rtl/>
        </w:rPr>
        <w:t>لجميع</w:t>
      </w:r>
      <w:r w:rsidR="00F32B28">
        <w:rPr>
          <w:rtl/>
        </w:rPr>
        <w:t xml:space="preserve"> </w:t>
      </w:r>
      <w:r w:rsidR="00F32B28" w:rsidRPr="00F32B28">
        <w:rPr>
          <w:rtl/>
        </w:rPr>
        <w:t>الطلبة</w:t>
      </w:r>
      <w:r w:rsidR="00F32B28">
        <w:rPr>
          <w:rtl/>
        </w:rPr>
        <w:t xml:space="preserve"> </w:t>
      </w:r>
      <w:r w:rsidR="00F32B28" w:rsidRPr="00F32B28">
        <w:rPr>
          <w:rtl/>
        </w:rPr>
        <w:t>في</w:t>
      </w:r>
      <w:r w:rsidR="00F32B28">
        <w:rPr>
          <w:rtl/>
        </w:rPr>
        <w:t xml:space="preserve"> </w:t>
      </w:r>
      <w:r w:rsidR="00F32B28" w:rsidRPr="00F32B28">
        <w:rPr>
          <w:rtl/>
        </w:rPr>
        <w:t>جميع</w:t>
      </w:r>
      <w:r w:rsidR="00F32B28">
        <w:rPr>
          <w:rtl/>
        </w:rPr>
        <w:t xml:space="preserve"> </w:t>
      </w:r>
      <w:r w:rsidR="00F32B28" w:rsidRPr="00F32B28">
        <w:rPr>
          <w:rtl/>
        </w:rPr>
        <w:t>المراحل</w:t>
      </w:r>
      <w:r w:rsidR="00F32B28">
        <w:rPr>
          <w:rtl/>
        </w:rPr>
        <w:t xml:space="preserve"> </w:t>
      </w:r>
      <w:r w:rsidR="00F32B28" w:rsidRPr="00F32B28">
        <w:rPr>
          <w:rtl/>
        </w:rPr>
        <w:t>التعليمية</w:t>
      </w:r>
      <w:r w:rsidR="00F32B28">
        <w:rPr>
          <w:rtl/>
        </w:rPr>
        <w:t xml:space="preserve"> </w:t>
      </w:r>
      <w:r w:rsidR="00F32B28" w:rsidRPr="00F32B28">
        <w:rPr>
          <w:rtl/>
        </w:rPr>
        <w:t>وذلك</w:t>
      </w:r>
      <w:r w:rsidR="00F32B28">
        <w:rPr>
          <w:rtl/>
        </w:rPr>
        <w:t xml:space="preserve"> </w:t>
      </w:r>
      <w:r w:rsidR="00F32B28" w:rsidRPr="00F32B28">
        <w:rPr>
          <w:rtl/>
        </w:rPr>
        <w:t>تبعاً</w:t>
      </w:r>
      <w:r w:rsidR="00F32B28">
        <w:rPr>
          <w:rtl/>
        </w:rPr>
        <w:t xml:space="preserve"> </w:t>
      </w:r>
      <w:r w:rsidR="00F32B28" w:rsidRPr="00F32B28">
        <w:rPr>
          <w:rtl/>
        </w:rPr>
        <w:t>لميولهم</w:t>
      </w:r>
      <w:r w:rsidR="00F32B28">
        <w:rPr>
          <w:rtl/>
        </w:rPr>
        <w:t xml:space="preserve"> </w:t>
      </w:r>
      <w:r w:rsidR="00F32B28" w:rsidRPr="00F32B28">
        <w:rPr>
          <w:rtl/>
        </w:rPr>
        <w:t>ولقدراتهم،</w:t>
      </w:r>
      <w:r w:rsidR="00F32B28">
        <w:rPr>
          <w:rtl/>
        </w:rPr>
        <w:t xml:space="preserve"> </w:t>
      </w:r>
      <w:r w:rsidR="00F32B28" w:rsidRPr="00F32B28">
        <w:rPr>
          <w:rtl/>
        </w:rPr>
        <w:t>ووفقاً</w:t>
      </w:r>
      <w:r w:rsidR="00F32B28">
        <w:rPr>
          <w:rtl/>
        </w:rPr>
        <w:t xml:space="preserve"> </w:t>
      </w:r>
      <w:r w:rsidR="00F32B28" w:rsidRPr="00F32B28">
        <w:rPr>
          <w:rtl/>
        </w:rPr>
        <w:t>لقاعدة</w:t>
      </w:r>
      <w:r w:rsidR="00F32B28">
        <w:rPr>
          <w:rtl/>
        </w:rPr>
        <w:t xml:space="preserve"> </w:t>
      </w:r>
      <w:r w:rsidR="00F32B28" w:rsidRPr="00F32B28">
        <w:rPr>
          <w:rtl/>
        </w:rPr>
        <w:t>تكافؤ</w:t>
      </w:r>
      <w:r w:rsidR="00F32B28">
        <w:rPr>
          <w:rtl/>
        </w:rPr>
        <w:t xml:space="preserve"> </w:t>
      </w:r>
      <w:r w:rsidR="00F32B28" w:rsidRPr="00F32B28">
        <w:rPr>
          <w:rtl/>
        </w:rPr>
        <w:t>الفرص،</w:t>
      </w:r>
      <w:r w:rsidR="00F32B28">
        <w:rPr>
          <w:rtl/>
        </w:rPr>
        <w:t xml:space="preserve"> </w:t>
      </w:r>
      <w:r w:rsidR="00F32B28" w:rsidRPr="00F32B28">
        <w:rPr>
          <w:rtl/>
        </w:rPr>
        <w:t>لا</w:t>
      </w:r>
      <w:r w:rsidR="00F32B28">
        <w:rPr>
          <w:rtl/>
        </w:rPr>
        <w:t xml:space="preserve"> </w:t>
      </w:r>
      <w:r w:rsidR="00F32B28" w:rsidRPr="00F32B28">
        <w:rPr>
          <w:rtl/>
        </w:rPr>
        <w:t>تبعاً</w:t>
      </w:r>
      <w:r w:rsidR="00F32B28">
        <w:rPr>
          <w:rtl/>
        </w:rPr>
        <w:t xml:space="preserve"> </w:t>
      </w:r>
      <w:r w:rsidR="00F32B28" w:rsidRPr="00F32B28">
        <w:rPr>
          <w:rtl/>
        </w:rPr>
        <w:t>لجنسهم.</w:t>
      </w:r>
      <w:r w:rsidR="00F32B28">
        <w:rPr>
          <w:rtl/>
        </w:rPr>
        <w:t xml:space="preserve"> </w:t>
      </w:r>
      <w:r w:rsidR="00F32B28" w:rsidRPr="00F32B28">
        <w:rPr>
          <w:rtl/>
        </w:rPr>
        <w:t>و</w:t>
      </w:r>
      <w:r w:rsidR="00F32B28" w:rsidRPr="00F32B28">
        <w:rPr>
          <w:rtl/>
          <w:lang w:bidi="ar-LB"/>
        </w:rPr>
        <w:t>لا</w:t>
      </w:r>
      <w:r w:rsidR="00F32B28">
        <w:rPr>
          <w:rtl/>
          <w:lang w:bidi="ar-LB"/>
        </w:rPr>
        <w:t xml:space="preserve"> </w:t>
      </w:r>
      <w:r w:rsidR="00F32B28" w:rsidRPr="00F32B28">
        <w:rPr>
          <w:rtl/>
          <w:lang w:bidi="ar-SY"/>
        </w:rPr>
        <w:t>تمييز</w:t>
      </w:r>
      <w:r w:rsidR="00F32B28">
        <w:rPr>
          <w:rtl/>
          <w:lang w:bidi="ar-SY"/>
        </w:rPr>
        <w:t xml:space="preserve"> </w:t>
      </w:r>
      <w:r w:rsidR="00F32B28" w:rsidRPr="00F32B28">
        <w:rPr>
          <w:rtl/>
          <w:lang w:bidi="ar-LB"/>
        </w:rPr>
        <w:t>بين</w:t>
      </w:r>
      <w:r w:rsidR="00F32B28">
        <w:rPr>
          <w:rtl/>
          <w:lang w:bidi="ar-LB"/>
        </w:rPr>
        <w:t xml:space="preserve"> </w:t>
      </w:r>
      <w:r w:rsidR="00F32B28" w:rsidRPr="00F32B28">
        <w:rPr>
          <w:rtl/>
          <w:lang w:bidi="ar-LB"/>
        </w:rPr>
        <w:t>الرجل</w:t>
      </w:r>
      <w:r w:rsidR="00F32B28">
        <w:rPr>
          <w:rtl/>
          <w:lang w:bidi="ar-LB"/>
        </w:rPr>
        <w:t xml:space="preserve"> </w:t>
      </w:r>
      <w:r w:rsidR="00F32B28" w:rsidRPr="00F32B28">
        <w:rPr>
          <w:rtl/>
          <w:lang w:bidi="ar-LB"/>
        </w:rPr>
        <w:t>والمرأة</w:t>
      </w:r>
      <w:r w:rsidR="00F32B28">
        <w:rPr>
          <w:rtl/>
          <w:lang w:bidi="ar-LB"/>
        </w:rPr>
        <w:t xml:space="preserve"> </w:t>
      </w:r>
      <w:r w:rsidR="00F32B28" w:rsidRPr="00F32B28">
        <w:rPr>
          <w:rtl/>
          <w:lang w:bidi="ar-LB"/>
        </w:rPr>
        <w:t>فيما</w:t>
      </w:r>
      <w:r w:rsidR="00F32B28">
        <w:rPr>
          <w:rtl/>
          <w:lang w:bidi="ar-LB"/>
        </w:rPr>
        <w:t xml:space="preserve"> </w:t>
      </w:r>
      <w:r w:rsidR="00F32B28" w:rsidRPr="00F32B28">
        <w:rPr>
          <w:rtl/>
          <w:lang w:bidi="ar-LB"/>
        </w:rPr>
        <w:t>يتعلق</w:t>
      </w:r>
      <w:r w:rsidR="00F32B28">
        <w:rPr>
          <w:rtl/>
          <w:lang w:bidi="ar-LB"/>
        </w:rPr>
        <w:t xml:space="preserve"> </w:t>
      </w:r>
      <w:r w:rsidR="00F32B28" w:rsidRPr="00F32B28">
        <w:rPr>
          <w:rtl/>
          <w:lang w:bidi="ar-LB"/>
        </w:rPr>
        <w:t>بمكونات</w:t>
      </w:r>
      <w:r w:rsidR="00F32B28">
        <w:rPr>
          <w:rtl/>
          <w:lang w:bidi="ar-LB"/>
        </w:rPr>
        <w:t xml:space="preserve"> </w:t>
      </w:r>
      <w:r w:rsidR="00F32B28" w:rsidRPr="00F32B28">
        <w:rPr>
          <w:rtl/>
          <w:lang w:bidi="ar-LB"/>
        </w:rPr>
        <w:t>التعليم</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مختلف</w:t>
      </w:r>
      <w:r w:rsidR="00F32B28">
        <w:rPr>
          <w:rtl/>
          <w:lang w:bidi="ar-LB"/>
        </w:rPr>
        <w:t xml:space="preserve"> </w:t>
      </w:r>
      <w:r w:rsidR="00F32B28" w:rsidRPr="00F32B28">
        <w:rPr>
          <w:rtl/>
          <w:lang w:bidi="ar-LB"/>
        </w:rPr>
        <w:t>مراحله؛</w:t>
      </w:r>
      <w:r w:rsidR="00F32B28">
        <w:rPr>
          <w:rtl/>
          <w:lang w:bidi="ar-LB"/>
        </w:rPr>
        <w:t xml:space="preserve"> </w:t>
      </w:r>
      <w:r w:rsidR="00F32B28" w:rsidRPr="00F32B28">
        <w:rPr>
          <w:rtl/>
          <w:lang w:bidi="ar-LB"/>
        </w:rPr>
        <w:t>إذ</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المناهج</w:t>
      </w:r>
      <w:r w:rsidR="00F32B28">
        <w:rPr>
          <w:rtl/>
          <w:lang w:bidi="ar-LB"/>
        </w:rPr>
        <w:t xml:space="preserve"> </w:t>
      </w:r>
      <w:r w:rsidR="00F32B28" w:rsidRPr="00F32B28">
        <w:rPr>
          <w:rtl/>
          <w:lang w:bidi="ar-LB"/>
        </w:rPr>
        <w:t>الدراسية</w:t>
      </w:r>
      <w:r w:rsidR="00F32B28">
        <w:rPr>
          <w:rtl/>
          <w:lang w:bidi="ar-LB"/>
        </w:rPr>
        <w:t xml:space="preserve"> </w:t>
      </w:r>
      <w:r w:rsidR="00F32B28" w:rsidRPr="00F32B28">
        <w:rPr>
          <w:rtl/>
          <w:lang w:bidi="ar-LB"/>
        </w:rPr>
        <w:t>والامتحانات</w:t>
      </w:r>
      <w:r w:rsidR="00F32B28">
        <w:rPr>
          <w:rtl/>
          <w:lang w:bidi="ar-LB"/>
        </w:rPr>
        <w:t xml:space="preserve"> </w:t>
      </w:r>
      <w:r w:rsidR="00F32B28" w:rsidRPr="00F32B28">
        <w:rPr>
          <w:rtl/>
          <w:lang w:bidi="ar-LB"/>
        </w:rPr>
        <w:t>الثانوية</w:t>
      </w:r>
      <w:r w:rsidR="00F32B28">
        <w:rPr>
          <w:rtl/>
          <w:lang w:bidi="ar-LB"/>
        </w:rPr>
        <w:t xml:space="preserve"> </w:t>
      </w:r>
      <w:r w:rsidR="00F32B28" w:rsidRPr="00F32B28">
        <w:rPr>
          <w:rtl/>
          <w:lang w:bidi="ar-LB"/>
        </w:rPr>
        <w:t>الرسمية</w:t>
      </w:r>
      <w:r w:rsidR="00F32B28">
        <w:rPr>
          <w:rtl/>
          <w:lang w:bidi="ar-LB"/>
        </w:rPr>
        <w:t xml:space="preserve"> </w:t>
      </w:r>
      <w:r w:rsidR="00F32B28" w:rsidRPr="00F32B28">
        <w:rPr>
          <w:rtl/>
          <w:lang w:bidi="ar-LB"/>
        </w:rPr>
        <w:t>موحدة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جميع</w:t>
      </w:r>
      <w:r w:rsidR="00F32B28">
        <w:rPr>
          <w:rtl/>
          <w:lang w:bidi="ar-LB"/>
        </w:rPr>
        <w:t xml:space="preserve"> </w:t>
      </w:r>
      <w:r w:rsidR="00F32B28" w:rsidRPr="00F32B28">
        <w:rPr>
          <w:rtl/>
          <w:lang w:bidi="ar-LB"/>
        </w:rPr>
        <w:t>مدارس</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المحتلة.</w:t>
      </w:r>
      <w:r w:rsidR="00F32B28">
        <w:rPr>
          <w:rtl/>
          <w:lang w:bidi="ar-LB"/>
        </w:rPr>
        <w:t xml:space="preserve"> </w:t>
      </w:r>
      <w:r w:rsidR="00F32B28" w:rsidRPr="00F32B28">
        <w:rPr>
          <w:rtl/>
          <w:lang w:bidi="ar-LB"/>
        </w:rPr>
        <w:t>وكذلك</w:t>
      </w:r>
      <w:r w:rsidR="00F32B28">
        <w:rPr>
          <w:rtl/>
          <w:lang w:bidi="ar-LB"/>
        </w:rPr>
        <w:t xml:space="preserve"> </w:t>
      </w:r>
      <w:r w:rsidR="00F32B28" w:rsidRPr="00F32B28">
        <w:rPr>
          <w:rtl/>
          <w:lang w:bidi="ar-LB"/>
        </w:rPr>
        <w:t>الأمر</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الجامعات</w:t>
      </w:r>
      <w:r w:rsidR="00F32B28">
        <w:rPr>
          <w:rtl/>
          <w:lang w:bidi="ar-LB"/>
        </w:rPr>
        <w:t xml:space="preserve"> </w:t>
      </w:r>
      <w:r w:rsidR="00F32B28" w:rsidRPr="00F32B28">
        <w:rPr>
          <w:rtl/>
          <w:lang w:bidi="ar-LB"/>
        </w:rPr>
        <w:t>الفلسطينية،</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المناهج</w:t>
      </w:r>
      <w:r w:rsidR="00F32B28">
        <w:rPr>
          <w:rtl/>
          <w:lang w:bidi="ar-LB"/>
        </w:rPr>
        <w:t xml:space="preserve"> </w:t>
      </w:r>
      <w:r w:rsidR="00F32B28" w:rsidRPr="00F32B28">
        <w:rPr>
          <w:rtl/>
          <w:lang w:bidi="ar-LB"/>
        </w:rPr>
        <w:t>موحدة</w:t>
      </w:r>
      <w:r w:rsidR="00F32B28">
        <w:rPr>
          <w:rtl/>
          <w:lang w:bidi="ar-LB"/>
        </w:rPr>
        <w:t xml:space="preserve"> </w:t>
      </w:r>
      <w:r w:rsidR="00F32B28" w:rsidRPr="00F32B28">
        <w:rPr>
          <w:rtl/>
          <w:lang w:bidi="ar-LB"/>
        </w:rPr>
        <w:t>بحسب</w:t>
      </w:r>
      <w:r w:rsidR="00F32B28">
        <w:rPr>
          <w:rtl/>
          <w:lang w:bidi="ar-LB"/>
        </w:rPr>
        <w:t xml:space="preserve"> </w:t>
      </w:r>
      <w:r w:rsidR="00F32B28" w:rsidRPr="00F32B28">
        <w:rPr>
          <w:rtl/>
          <w:lang w:bidi="ar-LB"/>
        </w:rPr>
        <w:t>التخصص</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جامعة،</w:t>
      </w:r>
      <w:r w:rsidR="00F32B28">
        <w:rPr>
          <w:rtl/>
          <w:lang w:bidi="ar-LB"/>
        </w:rPr>
        <w:t xml:space="preserve"> </w:t>
      </w:r>
      <w:r w:rsidR="00F32B28" w:rsidRPr="00F32B28">
        <w:rPr>
          <w:rtl/>
          <w:lang w:bidi="ar-LB"/>
        </w:rPr>
        <w:t>ويخضع</w:t>
      </w:r>
      <w:r w:rsidR="00F32B28">
        <w:rPr>
          <w:rtl/>
          <w:lang w:bidi="ar-LB"/>
        </w:rPr>
        <w:t xml:space="preserve"> </w:t>
      </w:r>
      <w:r w:rsidR="00F32B28" w:rsidRPr="00F32B28">
        <w:rPr>
          <w:rtl/>
          <w:lang w:bidi="ar-LB"/>
        </w:rPr>
        <w:t>طلبة</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تخصص</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جامعة</w:t>
      </w:r>
      <w:r w:rsidR="00F32B28">
        <w:rPr>
          <w:rtl/>
          <w:lang w:bidi="ar-LB"/>
        </w:rPr>
        <w:t xml:space="preserve"> </w:t>
      </w:r>
      <w:r w:rsidR="00F32B28" w:rsidRPr="00F32B28">
        <w:rPr>
          <w:rtl/>
          <w:lang w:bidi="ar-LB"/>
        </w:rPr>
        <w:t>لامتحانات</w:t>
      </w:r>
      <w:r w:rsidR="00F32B28">
        <w:rPr>
          <w:rtl/>
          <w:lang w:bidi="ar-LB"/>
        </w:rPr>
        <w:t xml:space="preserve"> </w:t>
      </w:r>
      <w:r w:rsidR="00F32B28" w:rsidRPr="00F32B28">
        <w:rPr>
          <w:rtl/>
          <w:lang w:bidi="ar-LB"/>
        </w:rPr>
        <w:t>موحدة</w:t>
      </w:r>
      <w:r w:rsidR="00F32B28">
        <w:rPr>
          <w:rtl/>
          <w:lang w:bidi="ar-LB"/>
        </w:rPr>
        <w:t xml:space="preserve"> </w:t>
      </w:r>
      <w:r w:rsidR="00F32B28" w:rsidRPr="00F32B28">
        <w:rPr>
          <w:rtl/>
          <w:lang w:bidi="ar-LB"/>
        </w:rPr>
        <w:t>دون</w:t>
      </w:r>
      <w:r w:rsidR="00F32B28">
        <w:rPr>
          <w:rtl/>
          <w:lang w:bidi="ar-LB"/>
        </w:rPr>
        <w:t xml:space="preserve"> </w:t>
      </w:r>
      <w:r w:rsidR="00F32B28" w:rsidRPr="00F32B28">
        <w:rPr>
          <w:rtl/>
          <w:lang w:bidi="ar-LB"/>
        </w:rPr>
        <w:t>تمييز</w:t>
      </w:r>
      <w:r w:rsidR="00F32B28">
        <w:rPr>
          <w:rtl/>
          <w:lang w:bidi="ar-LB"/>
        </w:rPr>
        <w:t xml:space="preserve"> </w:t>
      </w:r>
      <w:r w:rsidR="00F32B28" w:rsidRPr="00F32B28">
        <w:rPr>
          <w:rtl/>
          <w:lang w:bidi="ar-LB"/>
        </w:rPr>
        <w:t>بينهم.</w:t>
      </w:r>
      <w:r w:rsidR="00F32B28">
        <w:rPr>
          <w:rtl/>
          <w:lang w:bidi="ar-LB"/>
        </w:rPr>
        <w:t xml:space="preserve"> </w:t>
      </w:r>
    </w:p>
    <w:p w:rsidR="00F32B28" w:rsidRPr="00F32B28" w:rsidRDefault="00646E43" w:rsidP="00646E43">
      <w:pPr>
        <w:pStyle w:val="SingleTxt"/>
        <w:rPr>
          <w:rtl/>
        </w:rPr>
      </w:pPr>
      <w:r>
        <w:rPr>
          <w:rFonts w:hint="cs"/>
          <w:rtl/>
        </w:rPr>
        <w:t xml:space="preserve">178 -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التسرب</w:t>
      </w:r>
      <w:r w:rsidR="00F32B28">
        <w:rPr>
          <w:rtl/>
        </w:rPr>
        <w:t xml:space="preserve"> </w:t>
      </w:r>
      <w:r w:rsidR="00F32B28" w:rsidRPr="00F32B28">
        <w:rPr>
          <w:rtl/>
        </w:rPr>
        <w:t>والرسوب</w:t>
      </w:r>
      <w:r w:rsidR="00F32B28">
        <w:rPr>
          <w:rtl/>
        </w:rPr>
        <w:t xml:space="preserve"> </w:t>
      </w:r>
      <w:r w:rsidR="00F32B28" w:rsidRPr="00F32B28">
        <w:rPr>
          <w:rtl/>
        </w:rPr>
        <w:t>المدرسي،</w:t>
      </w:r>
      <w:r w:rsidR="00F32B28">
        <w:rPr>
          <w:rtl/>
        </w:rPr>
        <w:t xml:space="preserve"> </w:t>
      </w:r>
      <w:r w:rsidR="00F32B28" w:rsidRPr="00F32B28">
        <w:rPr>
          <w:rtl/>
        </w:rPr>
        <w:t>تشير</w:t>
      </w:r>
      <w:r w:rsidR="00F32B28">
        <w:rPr>
          <w:rtl/>
        </w:rPr>
        <w:t xml:space="preserve"> </w:t>
      </w:r>
      <w:r w:rsidR="00F32B28" w:rsidRPr="00F32B28">
        <w:rPr>
          <w:rtl/>
        </w:rPr>
        <w:t>الإحصاءات</w:t>
      </w:r>
      <w:r w:rsidR="00F32B28">
        <w:rPr>
          <w:rtl/>
        </w:rPr>
        <w:t xml:space="preserve"> </w:t>
      </w:r>
      <w:r w:rsidR="00F32B28" w:rsidRPr="00F32B28">
        <w:rPr>
          <w:rtl/>
        </w:rPr>
        <w:t>الصادرة</w:t>
      </w:r>
      <w:r w:rsidR="00F32B28">
        <w:rPr>
          <w:rtl/>
        </w:rPr>
        <w:t xml:space="preserve"> </w:t>
      </w:r>
      <w:r w:rsidR="00F32B28" w:rsidRPr="00F32B28">
        <w:rPr>
          <w:rtl/>
        </w:rPr>
        <w:t>عن</w:t>
      </w:r>
      <w:r w:rsidR="00F32B28">
        <w:rPr>
          <w:rtl/>
        </w:rPr>
        <w:t xml:space="preserve"> </w:t>
      </w:r>
      <w:r w:rsidR="00F32B28" w:rsidRPr="00F32B28">
        <w:rPr>
          <w:rtl/>
        </w:rPr>
        <w:t>الوزارة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للأعوام</w:t>
      </w:r>
      <w:r w:rsidR="00F32B28">
        <w:rPr>
          <w:rtl/>
        </w:rPr>
        <w:t xml:space="preserve"> </w:t>
      </w:r>
      <w:r w:rsidR="00F32B28" w:rsidRPr="00F32B28">
        <w:rPr>
          <w:rtl/>
        </w:rPr>
        <w:t>2013/2014</w:t>
      </w:r>
      <w:r w:rsidR="00F32B28">
        <w:rPr>
          <w:rtl/>
        </w:rPr>
        <w:t xml:space="preserve"> </w:t>
      </w:r>
      <w:r w:rsidR="00F32B28" w:rsidRPr="00F32B28">
        <w:rPr>
          <w:rtl/>
        </w:rPr>
        <w:t>إلى</w:t>
      </w:r>
      <w:r w:rsidR="00F32B28">
        <w:rPr>
          <w:rtl/>
        </w:rPr>
        <w:t xml:space="preserve"> </w:t>
      </w:r>
      <w:r w:rsidR="00F32B28" w:rsidRPr="00F32B28">
        <w:rPr>
          <w:rtl/>
        </w:rPr>
        <w:t>أن</w:t>
      </w:r>
      <w:r w:rsidR="00F32B28">
        <w:rPr>
          <w:rtl/>
        </w:rPr>
        <w:t xml:space="preserve"> </w:t>
      </w:r>
      <w:r w:rsidR="00F32B28" w:rsidRPr="00F32B28">
        <w:rPr>
          <w:rtl/>
        </w:rPr>
        <w:t>نسبة</w:t>
      </w:r>
      <w:r w:rsidR="00F32B28">
        <w:rPr>
          <w:rtl/>
        </w:rPr>
        <w:t xml:space="preserve"> </w:t>
      </w:r>
      <w:r w:rsidR="00F32B28" w:rsidRPr="00F32B28">
        <w:rPr>
          <w:rtl/>
        </w:rPr>
        <w:t>الرسوب</w:t>
      </w:r>
      <w:r w:rsidR="00F32B28">
        <w:rPr>
          <w:rtl/>
        </w:rPr>
        <w:t xml:space="preserve"> </w:t>
      </w:r>
      <w:r w:rsidR="00F32B28" w:rsidRPr="00F32B28">
        <w:rPr>
          <w:rtl/>
        </w:rPr>
        <w:t>في</w:t>
      </w:r>
      <w:r w:rsidR="00F32B28">
        <w:rPr>
          <w:rtl/>
        </w:rPr>
        <w:t xml:space="preserve"> </w:t>
      </w:r>
      <w:r w:rsidR="00F32B28" w:rsidRPr="00F32B28">
        <w:rPr>
          <w:rtl/>
        </w:rPr>
        <w:t>مراحل</w:t>
      </w:r>
      <w:r w:rsidR="00F32B28">
        <w:rPr>
          <w:rtl/>
        </w:rPr>
        <w:t xml:space="preserve"> </w:t>
      </w:r>
      <w:r w:rsidR="00F32B28" w:rsidRPr="00F32B28">
        <w:rPr>
          <w:rtl/>
        </w:rPr>
        <w:t>التعليم</w:t>
      </w:r>
      <w:r w:rsidR="00F32B28">
        <w:rPr>
          <w:rtl/>
        </w:rPr>
        <w:t xml:space="preserve"> </w:t>
      </w:r>
      <w:r w:rsidR="00F32B28" w:rsidRPr="00F32B28">
        <w:rPr>
          <w:rtl/>
        </w:rPr>
        <w:t>كافة</w:t>
      </w:r>
      <w:r w:rsidR="00F32B28">
        <w:rPr>
          <w:rtl/>
        </w:rPr>
        <w:t xml:space="preserve"> </w:t>
      </w:r>
      <w:r w:rsidR="00F32B28" w:rsidRPr="00F32B28">
        <w:rPr>
          <w:rtl/>
        </w:rPr>
        <w:t>تأتي</w:t>
      </w:r>
      <w:r w:rsidR="00F32B28">
        <w:rPr>
          <w:rtl/>
        </w:rPr>
        <w:t xml:space="preserve"> </w:t>
      </w:r>
      <w:r w:rsidR="00F32B28" w:rsidRPr="00F32B28">
        <w:rPr>
          <w:rtl/>
        </w:rPr>
        <w:t>لصالح</w:t>
      </w:r>
      <w:r w:rsidR="00F32B28">
        <w:rPr>
          <w:rtl/>
        </w:rPr>
        <w:t xml:space="preserve"> </w:t>
      </w:r>
      <w:r w:rsidR="00F32B28" w:rsidRPr="00F32B28">
        <w:rPr>
          <w:rtl/>
        </w:rPr>
        <w:t>الإناث؛</w:t>
      </w:r>
      <w:r w:rsidR="00F32B28">
        <w:rPr>
          <w:rtl/>
        </w:rPr>
        <w:t xml:space="preserve"> </w:t>
      </w:r>
      <w:r w:rsidR="00F32B28" w:rsidRPr="00F32B28">
        <w:rPr>
          <w:rtl/>
        </w:rPr>
        <w:t>فبلغت</w:t>
      </w:r>
      <w:r w:rsidR="00F32B28">
        <w:rPr>
          <w:rtl/>
        </w:rPr>
        <w:t xml:space="preserve"> </w:t>
      </w:r>
      <w:r w:rsidR="00F32B28" w:rsidRPr="00F32B28">
        <w:rPr>
          <w:rtl/>
        </w:rPr>
        <w:t>هذه</w:t>
      </w:r>
      <w:r w:rsidR="00F32B28">
        <w:rPr>
          <w:rtl/>
        </w:rPr>
        <w:t xml:space="preserve"> </w:t>
      </w:r>
      <w:r w:rsidR="00F32B28" w:rsidRPr="00F32B28">
        <w:rPr>
          <w:rtl/>
        </w:rPr>
        <w:t>النسبة</w:t>
      </w:r>
      <w:r w:rsidR="00F32B28">
        <w:rPr>
          <w:rtl/>
        </w:rPr>
        <w:t xml:space="preserve"> </w:t>
      </w:r>
      <w:r w:rsidR="00F32B28" w:rsidRPr="00F32B28">
        <w:rPr>
          <w:rtl/>
        </w:rPr>
        <w:t>1.1</w:t>
      </w:r>
      <w:r w:rsidR="00EE4046">
        <w:rPr>
          <w:rFonts w:hint="cs"/>
          <w:rtl/>
        </w:rPr>
        <w:t xml:space="preserve"> </w:t>
      </w:r>
      <w:r w:rsidR="00600C43">
        <w:rPr>
          <w:rtl/>
        </w:rPr>
        <w:t>في المائة</w:t>
      </w:r>
      <w:r w:rsidR="00F32B28">
        <w:rPr>
          <w:rtl/>
        </w:rPr>
        <w:t xml:space="preserve"> </w:t>
      </w:r>
      <w:r w:rsidR="00F32B28" w:rsidRPr="00F32B28">
        <w:rPr>
          <w:rtl/>
        </w:rPr>
        <w:t>لدى</w:t>
      </w:r>
      <w:r w:rsidR="00F32B28">
        <w:rPr>
          <w:rtl/>
        </w:rPr>
        <w:t xml:space="preserve"> </w:t>
      </w:r>
      <w:r w:rsidR="00F32B28" w:rsidRPr="00F32B28">
        <w:rPr>
          <w:rtl/>
        </w:rPr>
        <w:t>الإناث</w:t>
      </w:r>
      <w:r w:rsidR="00F32B28">
        <w:rPr>
          <w:rtl/>
        </w:rPr>
        <w:t xml:space="preserve"> </w:t>
      </w:r>
      <w:r w:rsidR="00F32B28" w:rsidRPr="00F32B28">
        <w:rPr>
          <w:rtl/>
        </w:rPr>
        <w:t>مقابل</w:t>
      </w:r>
      <w:r w:rsidR="00F32B28">
        <w:rPr>
          <w:rtl/>
        </w:rPr>
        <w:t xml:space="preserve"> </w:t>
      </w:r>
      <w:r w:rsidR="00F32B28" w:rsidRPr="00F32B28">
        <w:rPr>
          <w:rtl/>
        </w:rPr>
        <w:t>1.7</w:t>
      </w:r>
      <w:r w:rsidR="00EE4046">
        <w:rPr>
          <w:rFonts w:hint="cs"/>
          <w:rtl/>
        </w:rPr>
        <w:t xml:space="preserve"> </w:t>
      </w:r>
      <w:r w:rsidR="00600C43">
        <w:rPr>
          <w:rtl/>
        </w:rPr>
        <w:t>في المائة</w:t>
      </w:r>
      <w:r w:rsidR="00F32B28">
        <w:rPr>
          <w:rtl/>
        </w:rPr>
        <w:t xml:space="preserve"> </w:t>
      </w:r>
      <w:r w:rsidR="00F32B28" w:rsidRPr="00F32B28">
        <w:rPr>
          <w:rtl/>
        </w:rPr>
        <w:t>لدى</w:t>
      </w:r>
      <w:r w:rsidR="00F32B28">
        <w:rPr>
          <w:rtl/>
        </w:rPr>
        <w:t xml:space="preserve"> </w:t>
      </w:r>
      <w:r w:rsidR="00F32B28" w:rsidRPr="00F32B28">
        <w:rPr>
          <w:rtl/>
        </w:rPr>
        <w:t>الذكور.</w:t>
      </w:r>
      <w:r w:rsidR="00600C43">
        <w:rPr>
          <w:rtl/>
        </w:rPr>
        <w:t xml:space="preserve"> </w:t>
      </w:r>
      <w:r w:rsidR="00F32B28" w:rsidRPr="00F32B28">
        <w:rPr>
          <w:rtl/>
        </w:rPr>
        <w:t>وكذلك</w:t>
      </w:r>
      <w:r w:rsidR="00F32B28">
        <w:rPr>
          <w:rtl/>
        </w:rPr>
        <w:t xml:space="preserve"> </w:t>
      </w:r>
      <w:r w:rsidR="00F32B28" w:rsidRPr="00F32B28">
        <w:rPr>
          <w:rtl/>
        </w:rPr>
        <w:t>الأمر</w:t>
      </w:r>
      <w:r w:rsidR="00F32B28">
        <w:rPr>
          <w:rtl/>
        </w:rPr>
        <w:t xml:space="preserve"> </w:t>
      </w:r>
      <w:r w:rsidR="00F32B28" w:rsidRPr="00F32B28">
        <w:rPr>
          <w:rtl/>
        </w:rPr>
        <w:t>بنسبة</w:t>
      </w:r>
      <w:r w:rsidR="00F32B28">
        <w:rPr>
          <w:rtl/>
        </w:rPr>
        <w:t xml:space="preserve"> </w:t>
      </w:r>
      <w:r w:rsidR="00F32B28" w:rsidRPr="00F32B28">
        <w:rPr>
          <w:rtl/>
        </w:rPr>
        <w:t>لمعدلات</w:t>
      </w:r>
      <w:r w:rsidR="00F32B28">
        <w:rPr>
          <w:rtl/>
        </w:rPr>
        <w:t xml:space="preserve"> </w:t>
      </w:r>
      <w:r w:rsidR="00F32B28" w:rsidRPr="00F32B28">
        <w:rPr>
          <w:rtl/>
        </w:rPr>
        <w:t>التسرب</w:t>
      </w:r>
      <w:r w:rsidR="00F32B28">
        <w:rPr>
          <w:rtl/>
        </w:rPr>
        <w:t xml:space="preserve"> </w:t>
      </w:r>
      <w:r w:rsidR="00F32B28" w:rsidRPr="00F32B28">
        <w:rPr>
          <w:rtl/>
        </w:rPr>
        <w:t>من</w:t>
      </w:r>
      <w:r w:rsidR="00F32B28">
        <w:rPr>
          <w:rtl/>
        </w:rPr>
        <w:t xml:space="preserve"> </w:t>
      </w:r>
      <w:r w:rsidR="00F32B28" w:rsidRPr="00F32B28">
        <w:rPr>
          <w:rtl/>
        </w:rPr>
        <w:t>المدارس،</w:t>
      </w:r>
      <w:r w:rsidR="00F32B28">
        <w:rPr>
          <w:rtl/>
        </w:rPr>
        <w:t xml:space="preserve"> </w:t>
      </w:r>
      <w:r w:rsidR="00F32B28" w:rsidRPr="00F32B28">
        <w:rPr>
          <w:rtl/>
        </w:rPr>
        <w:t>حيث</w:t>
      </w:r>
      <w:r w:rsidR="00F32B28">
        <w:rPr>
          <w:rtl/>
        </w:rPr>
        <w:t xml:space="preserve"> </w:t>
      </w:r>
      <w:r w:rsidR="00F32B28" w:rsidRPr="00F32B28">
        <w:rPr>
          <w:rtl/>
        </w:rPr>
        <w:t>بلغ</w:t>
      </w:r>
      <w:r w:rsidR="00F32B28">
        <w:rPr>
          <w:rtl/>
        </w:rPr>
        <w:t xml:space="preserve"> </w:t>
      </w:r>
      <w:r w:rsidR="00F32B28" w:rsidRPr="00F32B28">
        <w:rPr>
          <w:rtl/>
        </w:rPr>
        <w:t>المعدل</w:t>
      </w:r>
      <w:r w:rsidR="00F32B28">
        <w:rPr>
          <w:rtl/>
        </w:rPr>
        <w:t xml:space="preserve"> </w:t>
      </w:r>
      <w:r w:rsidR="00F32B28" w:rsidRPr="00F32B28">
        <w:rPr>
          <w:rtl/>
        </w:rPr>
        <w:t>العام</w:t>
      </w:r>
      <w:r w:rsidR="00F32B28">
        <w:rPr>
          <w:rtl/>
        </w:rPr>
        <w:t xml:space="preserve"> </w:t>
      </w:r>
      <w:r w:rsidR="00F32B28" w:rsidRPr="00F32B28">
        <w:rPr>
          <w:rtl/>
        </w:rPr>
        <w:t>لتسرب</w:t>
      </w:r>
      <w:r w:rsidR="00F32B28">
        <w:rPr>
          <w:rtl/>
        </w:rPr>
        <w:t xml:space="preserve"> </w:t>
      </w:r>
      <w:r w:rsidR="00F32B28" w:rsidRPr="00F32B28">
        <w:rPr>
          <w:rtl/>
        </w:rPr>
        <w:t>الإناث</w:t>
      </w:r>
      <w:r w:rsidR="00F32B28">
        <w:rPr>
          <w:rtl/>
        </w:rPr>
        <w:t xml:space="preserve"> </w:t>
      </w:r>
      <w:r w:rsidR="00F32B28" w:rsidRPr="00F32B28">
        <w:rPr>
          <w:rtl/>
        </w:rPr>
        <w:t>من</w:t>
      </w:r>
      <w:r w:rsidR="00F32B28">
        <w:rPr>
          <w:rtl/>
        </w:rPr>
        <w:t xml:space="preserve"> </w:t>
      </w:r>
      <w:r w:rsidR="00F32B28" w:rsidRPr="00F32B28">
        <w:rPr>
          <w:rtl/>
        </w:rPr>
        <w:t>المدارس</w:t>
      </w:r>
      <w:r w:rsidR="00F32B28">
        <w:rPr>
          <w:rtl/>
        </w:rPr>
        <w:t xml:space="preserve"> </w:t>
      </w:r>
      <w:r w:rsidR="00F32B28" w:rsidRPr="00F32B28">
        <w:rPr>
          <w:rtl/>
        </w:rPr>
        <w:t>بكافة</w:t>
      </w:r>
      <w:r w:rsidR="00F32B28">
        <w:rPr>
          <w:rtl/>
        </w:rPr>
        <w:t xml:space="preserve"> </w:t>
      </w:r>
      <w:r w:rsidR="00F32B28" w:rsidRPr="00F32B28">
        <w:rPr>
          <w:rtl/>
        </w:rPr>
        <w:t>المراحل0.9</w:t>
      </w:r>
      <w:r w:rsidR="00EE4046">
        <w:rPr>
          <w:rFonts w:hint="cs"/>
          <w:rtl/>
        </w:rPr>
        <w:t xml:space="preserve"> </w:t>
      </w:r>
      <w:r w:rsidR="00600C43">
        <w:rPr>
          <w:rtl/>
        </w:rPr>
        <w:t>في المائة</w:t>
      </w:r>
      <w:r w:rsidR="00F32B28">
        <w:rPr>
          <w:rtl/>
        </w:rPr>
        <w:t xml:space="preserve"> </w:t>
      </w:r>
      <w:r w:rsidR="00F32B28" w:rsidRPr="00F32B28">
        <w:rPr>
          <w:rtl/>
        </w:rPr>
        <w:t>مقابل</w:t>
      </w:r>
      <w:r w:rsidR="00F32B28">
        <w:rPr>
          <w:rtl/>
        </w:rPr>
        <w:t xml:space="preserve"> </w:t>
      </w:r>
      <w:r w:rsidR="00F32B28" w:rsidRPr="00F32B28">
        <w:rPr>
          <w:rtl/>
        </w:rPr>
        <w:t>1.6</w:t>
      </w:r>
      <w:r w:rsidR="00851F93">
        <w:rPr>
          <w:rFonts w:hint="cs"/>
          <w:rtl/>
        </w:rPr>
        <w:t xml:space="preserve"> </w:t>
      </w:r>
      <w:r w:rsidR="00600C43">
        <w:rPr>
          <w:rtl/>
        </w:rPr>
        <w:t>في المائة</w:t>
      </w:r>
      <w:r w:rsidR="00F32B28">
        <w:rPr>
          <w:rtl/>
        </w:rPr>
        <w:t xml:space="preserve"> </w:t>
      </w:r>
      <w:r w:rsidR="00F32B28" w:rsidRPr="00F32B28">
        <w:rPr>
          <w:rtl/>
        </w:rPr>
        <w:t>لدى</w:t>
      </w:r>
      <w:r w:rsidR="00F32B28">
        <w:rPr>
          <w:rtl/>
        </w:rPr>
        <w:t xml:space="preserve"> </w:t>
      </w:r>
      <w:r w:rsidR="00F32B28" w:rsidRPr="00F32B28">
        <w:rPr>
          <w:rtl/>
        </w:rPr>
        <w:t>الذكور</w:t>
      </w:r>
      <w:r w:rsidR="00F32B28">
        <w:rPr>
          <w:rtl/>
        </w:rPr>
        <w:t xml:space="preserve"> </w:t>
      </w:r>
      <w:r w:rsidR="00F32B28" w:rsidRPr="00F32B28">
        <w:rPr>
          <w:rtl/>
        </w:rPr>
        <w:t>لذات</w:t>
      </w:r>
      <w:r w:rsidR="00F32B28">
        <w:rPr>
          <w:rtl/>
        </w:rPr>
        <w:t xml:space="preserve"> </w:t>
      </w:r>
      <w:r w:rsidR="00F32B28" w:rsidRPr="00F32B28">
        <w:rPr>
          <w:rtl/>
        </w:rPr>
        <w:t>الأعوام.</w:t>
      </w:r>
    </w:p>
    <w:p w:rsidR="00F32B28" w:rsidRPr="00F32B28" w:rsidRDefault="00646E43" w:rsidP="00646E43">
      <w:pPr>
        <w:pStyle w:val="SingleTxt"/>
        <w:rPr>
          <w:rtl/>
          <w:lang w:bidi="ar-SY"/>
        </w:rPr>
      </w:pPr>
      <w:r>
        <w:rPr>
          <w:rFonts w:hint="cs"/>
          <w:rtl/>
          <w:lang w:bidi="ar-SY"/>
        </w:rPr>
        <w:lastRenderedPageBreak/>
        <w:t xml:space="preserve">179 - </w:t>
      </w:r>
      <w:r w:rsidR="00F32B28" w:rsidRPr="00F32B28">
        <w:rPr>
          <w:rtl/>
          <w:lang w:bidi="ar-SY"/>
        </w:rPr>
        <w:t>وفي</w:t>
      </w:r>
      <w:r w:rsidR="00F32B28">
        <w:rPr>
          <w:rtl/>
          <w:lang w:bidi="ar-SY"/>
        </w:rPr>
        <w:t xml:space="preserve"> </w:t>
      </w:r>
      <w:r w:rsidR="00F32B28" w:rsidRPr="00F32B28">
        <w:rPr>
          <w:rtl/>
          <w:lang w:bidi="ar-SY"/>
        </w:rPr>
        <w:t>سبيل</w:t>
      </w:r>
      <w:r w:rsidR="00F32B28">
        <w:rPr>
          <w:rtl/>
          <w:lang w:bidi="ar-SY"/>
        </w:rPr>
        <w:t xml:space="preserve"> </w:t>
      </w:r>
      <w:r w:rsidR="00F32B28" w:rsidRPr="00F32B28">
        <w:rPr>
          <w:rtl/>
          <w:lang w:bidi="ar-SY"/>
        </w:rPr>
        <w:t>مكافحة</w:t>
      </w:r>
      <w:r w:rsidR="00F32B28">
        <w:rPr>
          <w:rtl/>
          <w:lang w:bidi="ar-SY"/>
        </w:rPr>
        <w:t xml:space="preserve"> </w:t>
      </w:r>
      <w:r w:rsidR="00F32B28" w:rsidRPr="00F32B28">
        <w:rPr>
          <w:rtl/>
          <w:lang w:bidi="ar-SY"/>
        </w:rPr>
        <w:t>ظاهرة</w:t>
      </w:r>
      <w:r w:rsidR="00F32B28">
        <w:rPr>
          <w:rtl/>
          <w:lang w:bidi="ar-SY"/>
        </w:rPr>
        <w:t xml:space="preserve"> </w:t>
      </w:r>
      <w:r w:rsidR="00F32B28" w:rsidRPr="00F32B28">
        <w:rPr>
          <w:rtl/>
          <w:lang w:bidi="ar-SY"/>
        </w:rPr>
        <w:t>تسرب</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المدارس</w:t>
      </w:r>
      <w:r w:rsidR="00F32B28">
        <w:rPr>
          <w:rtl/>
          <w:lang w:bidi="ar-SY"/>
        </w:rPr>
        <w:t xml:space="preserve"> </w:t>
      </w:r>
      <w:r w:rsidR="00F32B28" w:rsidRPr="00F32B28">
        <w:rPr>
          <w:rtl/>
          <w:lang w:bidi="ar-SY"/>
        </w:rPr>
        <w:t>وما</w:t>
      </w:r>
      <w:r w:rsidR="00F32B28">
        <w:rPr>
          <w:rtl/>
          <w:lang w:bidi="ar-SY"/>
        </w:rPr>
        <w:t xml:space="preserve"> </w:t>
      </w:r>
      <w:r w:rsidR="00F32B28" w:rsidRPr="00F32B28">
        <w:rPr>
          <w:rtl/>
          <w:lang w:bidi="ar-SY"/>
        </w:rPr>
        <w:t>لها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أثر</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توسع</w:t>
      </w:r>
      <w:r w:rsidR="00F32B28">
        <w:rPr>
          <w:rtl/>
          <w:lang w:bidi="ar-SY"/>
        </w:rPr>
        <w:t xml:space="preserve"> </w:t>
      </w:r>
      <w:r w:rsidR="00F32B28" w:rsidRPr="00F32B28">
        <w:rPr>
          <w:rtl/>
          <w:lang w:bidi="ar-SY"/>
        </w:rPr>
        <w:t>ظاهرة</w:t>
      </w:r>
      <w:r w:rsidR="00F32B28">
        <w:rPr>
          <w:rtl/>
          <w:lang w:bidi="ar-SY"/>
        </w:rPr>
        <w:t xml:space="preserve"> </w:t>
      </w:r>
      <w:r w:rsidR="00F32B28" w:rsidRPr="00F32B28">
        <w:rPr>
          <w:rtl/>
          <w:lang w:bidi="ar-SY"/>
        </w:rPr>
        <w:t>عمالة</w:t>
      </w:r>
      <w:r w:rsidR="00F32B28">
        <w:rPr>
          <w:rtl/>
          <w:lang w:bidi="ar-SY"/>
        </w:rPr>
        <w:t xml:space="preserve"> </w:t>
      </w:r>
      <w:r w:rsidR="00F32B28" w:rsidRPr="00F32B28">
        <w:rPr>
          <w:rtl/>
          <w:lang w:bidi="ar-SY"/>
        </w:rPr>
        <w:t>الأطفال،</w:t>
      </w:r>
      <w:r w:rsidR="00F32B28">
        <w:rPr>
          <w:rtl/>
          <w:lang w:bidi="ar-SY"/>
        </w:rPr>
        <w:t xml:space="preserve"> </w:t>
      </w:r>
      <w:r w:rsidR="00F32B28" w:rsidRPr="00F32B28">
        <w:rPr>
          <w:rtl/>
          <w:lang w:bidi="ar-SY"/>
        </w:rPr>
        <w:t>عملت</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الجهات</w:t>
      </w:r>
      <w:r w:rsidR="00F32B28">
        <w:rPr>
          <w:rtl/>
          <w:lang w:bidi="ar-SY"/>
        </w:rPr>
        <w:t xml:space="preserve"> </w:t>
      </w:r>
      <w:r w:rsidR="00F32B28" w:rsidRPr="00F32B28">
        <w:rPr>
          <w:rtl/>
          <w:lang w:bidi="ar-SY"/>
        </w:rPr>
        <w:t>المعنية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اتخاذ</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التدابير</w:t>
      </w:r>
      <w:r w:rsidR="00F32B28">
        <w:rPr>
          <w:rtl/>
          <w:lang w:bidi="ar-SY"/>
        </w:rPr>
        <w:t xml:space="preserve"> </w:t>
      </w:r>
      <w:r w:rsidR="00F32B28" w:rsidRPr="00F32B28">
        <w:rPr>
          <w:rtl/>
          <w:lang w:bidi="ar-SY"/>
        </w:rPr>
        <w:t>للحد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هاتين</w:t>
      </w:r>
      <w:r w:rsidR="00F32B28">
        <w:rPr>
          <w:rtl/>
          <w:lang w:bidi="ar-SY"/>
        </w:rPr>
        <w:t xml:space="preserve"> </w:t>
      </w:r>
      <w:r w:rsidR="00F32B28" w:rsidRPr="00F32B28">
        <w:rPr>
          <w:rtl/>
          <w:lang w:bidi="ar-SY"/>
        </w:rPr>
        <w:t>الظاهرتين،</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النحو</w:t>
      </w:r>
      <w:r w:rsidR="00F32B28">
        <w:rPr>
          <w:rtl/>
          <w:lang w:bidi="ar-SY"/>
        </w:rPr>
        <w:t xml:space="preserve"> </w:t>
      </w:r>
      <w:r w:rsidR="00F32B28" w:rsidRPr="00F32B28">
        <w:rPr>
          <w:rtl/>
          <w:lang w:bidi="ar-SY"/>
        </w:rPr>
        <w:t>التالي:</w:t>
      </w:r>
      <w:r w:rsidR="00F32B28">
        <w:rPr>
          <w:rtl/>
          <w:lang w:bidi="ar-SY"/>
        </w:rPr>
        <w:t xml:space="preserve"> </w:t>
      </w:r>
    </w:p>
    <w:p w:rsidR="00646E43" w:rsidRPr="00646E43" w:rsidRDefault="00646E43" w:rsidP="00646E43">
      <w:pPr>
        <w:pStyle w:val="SingleTxt"/>
        <w:spacing w:after="0" w:line="120" w:lineRule="exact"/>
        <w:rPr>
          <w:b/>
          <w:bCs/>
          <w:sz w:val="10"/>
          <w:rtl/>
          <w:lang w:bidi="ar-SY"/>
        </w:rPr>
      </w:pPr>
    </w:p>
    <w:p w:rsidR="00F32B28" w:rsidRPr="00F32B28" w:rsidRDefault="00F32B28" w:rsidP="00F32B28">
      <w:pPr>
        <w:pStyle w:val="SingleTxt"/>
        <w:rPr>
          <w:b/>
          <w:bCs/>
        </w:rPr>
      </w:pPr>
      <w:r w:rsidRPr="00F32B28">
        <w:rPr>
          <w:b/>
          <w:bCs/>
          <w:rtl/>
          <w:lang w:bidi="ar-SY"/>
        </w:rPr>
        <w:t>وزارة</w:t>
      </w:r>
      <w:r>
        <w:rPr>
          <w:b/>
          <w:bCs/>
          <w:rtl/>
          <w:lang w:bidi="ar-SY"/>
        </w:rPr>
        <w:t xml:space="preserve"> </w:t>
      </w:r>
      <w:r w:rsidRPr="00F32B28">
        <w:rPr>
          <w:b/>
          <w:bCs/>
          <w:rtl/>
          <w:lang w:bidi="ar-SY"/>
        </w:rPr>
        <w:t>العمل</w:t>
      </w:r>
    </w:p>
    <w:p w:rsidR="00F32B28" w:rsidRPr="00F32B28" w:rsidRDefault="00646E43" w:rsidP="00646E43">
      <w:pPr>
        <w:pStyle w:val="SingleTxt"/>
        <w:rPr>
          <w:b/>
          <w:bCs/>
        </w:rPr>
      </w:pPr>
      <w:r>
        <w:rPr>
          <w:rFonts w:hint="cs"/>
          <w:rtl/>
          <w:lang w:bidi="ar-SY"/>
        </w:rPr>
        <w:t xml:space="preserve">180 - </w:t>
      </w:r>
      <w:r w:rsidR="00F32B28" w:rsidRPr="00F32B28">
        <w:rPr>
          <w:rtl/>
          <w:lang w:bidi="ar-SY"/>
        </w:rPr>
        <w:t>تقوم</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مراقبة</w:t>
      </w:r>
      <w:r w:rsidR="00F32B28">
        <w:rPr>
          <w:rtl/>
          <w:lang w:bidi="ar-SY"/>
        </w:rPr>
        <w:t xml:space="preserve"> </w:t>
      </w:r>
      <w:r w:rsidR="00F32B28" w:rsidRPr="00F32B28">
        <w:rPr>
          <w:rtl/>
          <w:lang w:bidi="ar-SY"/>
        </w:rPr>
        <w:t>تطبيق</w:t>
      </w:r>
      <w:r w:rsidR="00F32B28">
        <w:rPr>
          <w:rtl/>
          <w:lang w:bidi="ar-SY"/>
        </w:rPr>
        <w:t xml:space="preserve"> </w:t>
      </w:r>
      <w:r w:rsidR="00F32B28" w:rsidRPr="00F32B28">
        <w:rPr>
          <w:rtl/>
          <w:lang w:bidi="ar-SY"/>
        </w:rPr>
        <w:t>قانوني</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والطفل</w:t>
      </w:r>
      <w:r w:rsidR="00F32B28">
        <w:rPr>
          <w:rtl/>
          <w:lang w:bidi="ar-SY"/>
        </w:rPr>
        <w:t xml:space="preserve"> </w:t>
      </w:r>
      <w:r w:rsidR="00F32B28" w:rsidRPr="00F32B28">
        <w:rPr>
          <w:rtl/>
          <w:lang w:bidi="ar-SY"/>
        </w:rPr>
        <w:t>اللذان</w:t>
      </w:r>
      <w:r w:rsidR="00F32B28">
        <w:rPr>
          <w:rtl/>
          <w:lang w:bidi="ar-SY"/>
        </w:rPr>
        <w:t xml:space="preserve"> </w:t>
      </w:r>
      <w:r w:rsidR="00F32B28" w:rsidRPr="00F32B28">
        <w:rPr>
          <w:rtl/>
          <w:lang w:bidi="ar-SY"/>
        </w:rPr>
        <w:t>حظرا</w:t>
      </w:r>
      <w:r w:rsidR="00F32B28">
        <w:rPr>
          <w:rtl/>
          <w:lang w:bidi="ar-SY"/>
        </w:rPr>
        <w:t xml:space="preserve"> </w:t>
      </w:r>
      <w:r w:rsidR="00F32B28" w:rsidRPr="00F32B28">
        <w:rPr>
          <w:rtl/>
          <w:lang w:bidi="ar-SY"/>
        </w:rPr>
        <w:t>تشغيل</w:t>
      </w:r>
      <w:r w:rsidR="00F32B28">
        <w:rPr>
          <w:rtl/>
          <w:lang w:bidi="ar-SY"/>
        </w:rPr>
        <w:t xml:space="preserve"> </w:t>
      </w:r>
      <w:r w:rsidR="00F32B28" w:rsidRPr="00F32B28">
        <w:rPr>
          <w:rtl/>
          <w:lang w:bidi="ar-SY"/>
        </w:rPr>
        <w:t>الأطفال</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تقل</w:t>
      </w:r>
      <w:r w:rsidR="00F32B28">
        <w:rPr>
          <w:rtl/>
          <w:lang w:bidi="ar-SY"/>
        </w:rPr>
        <w:t xml:space="preserve"> </w:t>
      </w:r>
      <w:r w:rsidR="00F32B28" w:rsidRPr="00F32B28">
        <w:rPr>
          <w:rtl/>
          <w:lang w:bidi="ar-SY"/>
        </w:rPr>
        <w:t>أعمارهم</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15</w:t>
      </w:r>
      <w:r w:rsidR="00F32B28">
        <w:rPr>
          <w:rtl/>
          <w:lang w:bidi="ar-SY"/>
        </w:rPr>
        <w:t xml:space="preserve"> </w:t>
      </w:r>
      <w:r w:rsidR="00F32B28" w:rsidRPr="00F32B28">
        <w:rPr>
          <w:rtl/>
          <w:lang w:bidi="ar-SY"/>
        </w:rPr>
        <w:t>عاماً،</w:t>
      </w:r>
      <w:r w:rsidR="00F32B28">
        <w:rPr>
          <w:rtl/>
          <w:lang w:bidi="ar-SY"/>
        </w:rPr>
        <w:t xml:space="preserve"> </w:t>
      </w:r>
      <w:r w:rsidR="00F32B28" w:rsidRPr="00F32B28">
        <w:rPr>
          <w:rtl/>
          <w:lang w:bidi="ar-SY"/>
        </w:rPr>
        <w:t>ومعاقبة</w:t>
      </w:r>
      <w:r w:rsidR="00F32B28">
        <w:rPr>
          <w:rtl/>
          <w:lang w:bidi="ar-SY"/>
        </w:rPr>
        <w:t xml:space="preserve"> </w:t>
      </w:r>
      <w:r w:rsidR="00F32B28" w:rsidRPr="00F32B28">
        <w:rPr>
          <w:rtl/>
          <w:lang w:bidi="ar-SY"/>
        </w:rPr>
        <w:t>أرباب</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المخالفين.</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تعمل</w:t>
      </w:r>
      <w:r w:rsidR="00F32B28">
        <w:rPr>
          <w:rtl/>
          <w:lang w:bidi="ar-SY"/>
        </w:rPr>
        <w:t xml:space="preserve"> </w:t>
      </w:r>
      <w:r w:rsidR="00F32B28" w:rsidRPr="00F32B28">
        <w:rPr>
          <w:rtl/>
          <w:lang w:bidi="ar-SY"/>
        </w:rPr>
        <w:t>الوزارة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تنظيم</w:t>
      </w:r>
      <w:r w:rsidR="00F32B28">
        <w:rPr>
          <w:rtl/>
          <w:lang w:bidi="ar-SY"/>
        </w:rPr>
        <w:t xml:space="preserve"> </w:t>
      </w:r>
      <w:r w:rsidR="00F32B28" w:rsidRPr="00F32B28">
        <w:rPr>
          <w:rtl/>
          <w:lang w:bidi="ar-SY"/>
        </w:rPr>
        <w:t>عمل</w:t>
      </w:r>
      <w:r w:rsidR="00F32B28">
        <w:rPr>
          <w:rtl/>
          <w:lang w:bidi="ar-SY"/>
        </w:rPr>
        <w:t xml:space="preserve"> </w:t>
      </w:r>
      <w:r w:rsidR="00F32B28" w:rsidRPr="00F32B28">
        <w:rPr>
          <w:rtl/>
          <w:lang w:bidi="ar-SY"/>
        </w:rPr>
        <w:t>الأطفال</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تزيد</w:t>
      </w:r>
      <w:r w:rsidR="00F32B28">
        <w:rPr>
          <w:rtl/>
          <w:lang w:bidi="ar-SY"/>
        </w:rPr>
        <w:t xml:space="preserve"> </w:t>
      </w:r>
      <w:r w:rsidR="00F32B28" w:rsidRPr="00F32B28">
        <w:rPr>
          <w:rtl/>
          <w:lang w:bidi="ar-SY"/>
        </w:rPr>
        <w:t>أعمارهم</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15</w:t>
      </w:r>
      <w:r w:rsidR="00F32B28">
        <w:rPr>
          <w:rtl/>
          <w:lang w:bidi="ar-SY"/>
        </w:rPr>
        <w:t xml:space="preserve"> </w:t>
      </w:r>
      <w:r w:rsidR="00F32B28" w:rsidRPr="00F32B28">
        <w:rPr>
          <w:rtl/>
          <w:lang w:bidi="ar-SY"/>
        </w:rPr>
        <w:t>عاماً</w:t>
      </w:r>
      <w:r w:rsidR="00F32B28">
        <w:rPr>
          <w:rtl/>
          <w:lang w:bidi="ar-SY"/>
        </w:rPr>
        <w:t xml:space="preserve"> </w:t>
      </w:r>
      <w:r w:rsidR="00F32B28" w:rsidRPr="00F32B28">
        <w:rPr>
          <w:rtl/>
          <w:lang w:bidi="ar-SY"/>
        </w:rPr>
        <w:t>والإشراف</w:t>
      </w:r>
      <w:r w:rsidR="00F32B28">
        <w:rPr>
          <w:rtl/>
          <w:lang w:bidi="ar-SY"/>
        </w:rPr>
        <w:t xml:space="preserve"> </w:t>
      </w:r>
      <w:r w:rsidR="00F32B28" w:rsidRPr="00F32B28">
        <w:rPr>
          <w:rtl/>
          <w:lang w:bidi="ar-SY"/>
        </w:rPr>
        <w:t>عليه،</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الأحوال</w:t>
      </w:r>
      <w:r w:rsidR="00F32B28">
        <w:rPr>
          <w:rtl/>
          <w:lang w:bidi="ar-SY"/>
        </w:rPr>
        <w:t xml:space="preserve"> </w:t>
      </w:r>
      <w:r w:rsidR="00F32B28" w:rsidRPr="00F32B28">
        <w:rPr>
          <w:rtl/>
          <w:lang w:bidi="ar-SY"/>
        </w:rPr>
        <w:t>يحظر</w:t>
      </w:r>
      <w:r w:rsidR="00F32B28">
        <w:rPr>
          <w:rtl/>
          <w:lang w:bidi="ar-SY"/>
        </w:rPr>
        <w:t xml:space="preserve"> </w:t>
      </w:r>
      <w:r w:rsidR="00F32B28" w:rsidRPr="00F32B28">
        <w:rPr>
          <w:rtl/>
          <w:lang w:bidi="ar-SY"/>
        </w:rPr>
        <w:t>تشغيل</w:t>
      </w:r>
      <w:r w:rsidR="00F32B28">
        <w:rPr>
          <w:rtl/>
          <w:lang w:bidi="ar-SY"/>
        </w:rPr>
        <w:t xml:space="preserve"> </w:t>
      </w:r>
      <w:r w:rsidR="00F32B28" w:rsidRPr="00F32B28">
        <w:rPr>
          <w:rtl/>
          <w:lang w:bidi="ar-SY"/>
        </w:rPr>
        <w:t>الأطفال</w:t>
      </w:r>
      <w:r w:rsidR="00F32B28">
        <w:rPr>
          <w:rtl/>
          <w:lang w:bidi="ar-SY"/>
        </w:rPr>
        <w:t xml:space="preserve"> </w:t>
      </w:r>
      <w:r w:rsidR="00F32B28" w:rsidRPr="00F32B28">
        <w:rPr>
          <w:rtl/>
          <w:lang w:bidi="ar-SY"/>
        </w:rPr>
        <w:t>بأية</w:t>
      </w:r>
      <w:r w:rsidR="00F32B28">
        <w:rPr>
          <w:rtl/>
          <w:lang w:bidi="ar-SY"/>
        </w:rPr>
        <w:t xml:space="preserve"> </w:t>
      </w:r>
      <w:r w:rsidR="00F32B28" w:rsidRPr="00F32B28">
        <w:rPr>
          <w:rtl/>
          <w:lang w:bidi="ar-SY"/>
        </w:rPr>
        <w:t>أعمال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شأنها</w:t>
      </w:r>
      <w:r w:rsidR="00F32B28">
        <w:rPr>
          <w:rtl/>
          <w:lang w:bidi="ar-SY"/>
        </w:rPr>
        <w:t xml:space="preserve"> </w:t>
      </w:r>
      <w:r w:rsidR="00F32B28" w:rsidRPr="00F32B28">
        <w:rPr>
          <w:rtl/>
          <w:lang w:bidi="ar-SY"/>
        </w:rPr>
        <w:t>إعاقة</w:t>
      </w:r>
      <w:r w:rsidR="00F32B28">
        <w:rPr>
          <w:rtl/>
          <w:lang w:bidi="ar-SY"/>
        </w:rPr>
        <w:t xml:space="preserve"> </w:t>
      </w:r>
      <w:r w:rsidR="00F32B28" w:rsidRPr="00F32B28">
        <w:rPr>
          <w:rtl/>
          <w:lang w:bidi="ar-SY"/>
        </w:rPr>
        <w:t>تعليمهم.</w:t>
      </w:r>
    </w:p>
    <w:p w:rsidR="00646E43" w:rsidRPr="00646E43" w:rsidRDefault="00646E43" w:rsidP="00646E43">
      <w:pPr>
        <w:pStyle w:val="SingleTxt"/>
        <w:spacing w:after="0" w:line="120" w:lineRule="exact"/>
        <w:rPr>
          <w:sz w:val="10"/>
          <w:rtl/>
          <w:lang w:bidi="ar-SY"/>
        </w:rPr>
      </w:pPr>
    </w:p>
    <w:p w:rsidR="00F32B28" w:rsidRPr="00646E43" w:rsidRDefault="00F32B28" w:rsidP="00646E43">
      <w:pPr>
        <w:pStyle w:val="SingleTxt"/>
        <w:rPr>
          <w:b/>
          <w:bCs/>
        </w:rPr>
      </w:pPr>
      <w:r w:rsidRPr="00646E43">
        <w:rPr>
          <w:b/>
          <w:bCs/>
          <w:rtl/>
          <w:lang w:bidi="ar-SY"/>
        </w:rPr>
        <w:t>وزارة التربية والتعليم العالي</w:t>
      </w:r>
    </w:p>
    <w:p w:rsidR="00F32B28" w:rsidRPr="00F32B28" w:rsidRDefault="00646E43" w:rsidP="00F77719">
      <w:pPr>
        <w:pStyle w:val="SingleTxt"/>
        <w:rPr>
          <w:rtl/>
          <w:lang w:bidi="ar-SY"/>
        </w:rPr>
      </w:pPr>
      <w:r>
        <w:rPr>
          <w:rFonts w:hint="cs"/>
          <w:rtl/>
          <w:lang w:bidi="ar-SY"/>
        </w:rPr>
        <w:t xml:space="preserve">181 - </w:t>
      </w:r>
      <w:r w:rsidR="00F32B28" w:rsidRPr="00F32B28">
        <w:rPr>
          <w:rtl/>
          <w:lang w:bidi="ar-SY"/>
        </w:rPr>
        <w:t>قامت</w:t>
      </w:r>
      <w:r w:rsidR="00F32B28">
        <w:rPr>
          <w:rtl/>
          <w:lang w:bidi="ar-SY"/>
        </w:rPr>
        <w:t xml:space="preserve"> </w:t>
      </w:r>
      <w:r w:rsidR="00F32B28" w:rsidRPr="00F32B28">
        <w:rPr>
          <w:rtl/>
          <w:lang w:bidi="ar-SY"/>
        </w:rPr>
        <w:t>الوزارة</w:t>
      </w:r>
      <w:r w:rsidR="00F32B28">
        <w:rPr>
          <w:rtl/>
          <w:lang w:bidi="ar-SY"/>
        </w:rPr>
        <w:t xml:space="preserve"> </w:t>
      </w:r>
      <w:r w:rsidR="00F32B28" w:rsidRPr="00F32B28">
        <w:rPr>
          <w:rtl/>
          <w:lang w:bidi="ar-SY"/>
        </w:rPr>
        <w:t>بوضع</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الخطط</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تهدف</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مكافحة</w:t>
      </w:r>
      <w:r w:rsidR="00F32B28">
        <w:rPr>
          <w:rtl/>
          <w:lang w:bidi="ar-SY"/>
        </w:rPr>
        <w:t xml:space="preserve"> </w:t>
      </w:r>
      <w:r w:rsidR="00F32B28" w:rsidRPr="00F32B28">
        <w:rPr>
          <w:rtl/>
          <w:lang w:bidi="ar-SY"/>
        </w:rPr>
        <w:t>ظاهرة</w:t>
      </w:r>
      <w:r w:rsidR="00F32B28">
        <w:rPr>
          <w:rtl/>
          <w:lang w:bidi="ar-SY"/>
        </w:rPr>
        <w:t xml:space="preserve"> </w:t>
      </w:r>
      <w:r w:rsidR="00F32B28" w:rsidRPr="00F32B28">
        <w:rPr>
          <w:rtl/>
          <w:lang w:bidi="ar-SY"/>
        </w:rPr>
        <w:t>تسرب</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المدارس</w:t>
      </w:r>
      <w:r w:rsidR="00F77719">
        <w:rPr>
          <w:rFonts w:hint="cs"/>
          <w:rtl/>
          <w:lang w:bidi="ar-SY"/>
        </w:rPr>
        <w:t>.</w:t>
      </w:r>
      <w:r w:rsidR="00F32B28">
        <w:rPr>
          <w:rtl/>
          <w:lang w:bidi="ar-SY"/>
        </w:rPr>
        <w:t xml:space="preserve"> </w:t>
      </w:r>
    </w:p>
    <w:p w:rsidR="00F32B28" w:rsidRPr="00F32B28" w:rsidRDefault="00F77719" w:rsidP="005B0DBE">
      <w:pPr>
        <w:pStyle w:val="SingleTxt"/>
        <w:rPr>
          <w:rtl/>
          <w:lang w:bidi="ar-EG"/>
        </w:rPr>
      </w:pPr>
      <w:r w:rsidRPr="00F77719">
        <w:rPr>
          <w:rFonts w:hint="cs"/>
          <w:rtl/>
          <w:lang w:bidi="ar-SY"/>
        </w:rPr>
        <w:t xml:space="preserve">182 </w:t>
      </w:r>
      <w:r w:rsidR="005B0DBE">
        <w:rPr>
          <w:rFonts w:hint="cs"/>
          <w:rtl/>
          <w:lang w:bidi="ar-SY"/>
        </w:rPr>
        <w:t>-</w:t>
      </w:r>
      <w:r w:rsidRPr="00F77719">
        <w:rPr>
          <w:rFonts w:hint="cs"/>
          <w:rtl/>
          <w:lang w:bidi="ar-SY"/>
        </w:rPr>
        <w:t xml:space="preserve"> </w:t>
      </w:r>
      <w:r>
        <w:rPr>
          <w:rFonts w:hint="cs"/>
          <w:rtl/>
          <w:lang w:bidi="ar-SY"/>
        </w:rPr>
        <w:t xml:space="preserve">ووفرت الوزارة الحافلات لنقل الطلاب والطالبات في التجمعات البدوية. ومنذ العام 2012 قامت الوزارة بتوفير </w:t>
      </w:r>
      <w:r w:rsidR="00F32B28" w:rsidRPr="00F32B28">
        <w:rPr>
          <w:rtl/>
          <w:lang w:bidi="ar-EG"/>
        </w:rPr>
        <w:t>(21)</w:t>
      </w:r>
      <w:r w:rsidR="00F32B28">
        <w:rPr>
          <w:rtl/>
          <w:lang w:bidi="ar-EG"/>
        </w:rPr>
        <w:t xml:space="preserve"> </w:t>
      </w:r>
      <w:r w:rsidR="00F32B28" w:rsidRPr="00F32B28">
        <w:rPr>
          <w:rtl/>
          <w:lang w:bidi="ar-EG"/>
        </w:rPr>
        <w:t>حافلة</w:t>
      </w:r>
      <w:r w:rsidR="00F32B28">
        <w:rPr>
          <w:rtl/>
          <w:lang w:bidi="ar-EG"/>
        </w:rPr>
        <w:t xml:space="preserve"> </w:t>
      </w:r>
      <w:r w:rsidR="00F32B28" w:rsidRPr="00F32B28">
        <w:rPr>
          <w:rtl/>
          <w:lang w:bidi="ar-EG"/>
        </w:rPr>
        <w:t>و</w:t>
      </w:r>
      <w:r w:rsidR="004B33D7">
        <w:rPr>
          <w:rFonts w:hint="cs"/>
          <w:rtl/>
          <w:lang w:bidi="ar-EG"/>
        </w:rPr>
        <w:t xml:space="preserve"> </w:t>
      </w:r>
      <w:r w:rsidR="00F32B28" w:rsidRPr="00F32B28">
        <w:rPr>
          <w:rtl/>
          <w:lang w:bidi="ar-EG"/>
        </w:rPr>
        <w:t>(5)</w:t>
      </w:r>
      <w:r w:rsidR="00F32B28">
        <w:rPr>
          <w:rtl/>
          <w:lang w:bidi="ar-EG"/>
        </w:rPr>
        <w:t xml:space="preserve"> </w:t>
      </w:r>
      <w:r w:rsidR="00F32B28" w:rsidRPr="00F32B28">
        <w:rPr>
          <w:rtl/>
          <w:lang w:bidi="ar-EG"/>
        </w:rPr>
        <w:t>سيارات</w:t>
      </w:r>
      <w:r w:rsidR="00F32B28">
        <w:rPr>
          <w:rtl/>
          <w:lang w:bidi="ar-EG"/>
        </w:rPr>
        <w:t xml:space="preserve"> </w:t>
      </w:r>
      <w:r w:rsidR="00F32B28" w:rsidRPr="00F32B28">
        <w:rPr>
          <w:rtl/>
          <w:lang w:bidi="ar-EG"/>
        </w:rPr>
        <w:t>لتأمين</w:t>
      </w:r>
      <w:r w:rsidR="00F32B28">
        <w:rPr>
          <w:rtl/>
          <w:lang w:bidi="ar-EG"/>
        </w:rPr>
        <w:t xml:space="preserve"> </w:t>
      </w:r>
      <w:r w:rsidR="00F32B28" w:rsidRPr="00F32B28">
        <w:rPr>
          <w:rtl/>
          <w:lang w:bidi="ar-EG"/>
        </w:rPr>
        <w:t>وصول</w:t>
      </w:r>
      <w:r w:rsidR="00F32B28">
        <w:rPr>
          <w:rtl/>
          <w:lang w:bidi="ar-EG"/>
        </w:rPr>
        <w:t xml:space="preserve"> </w:t>
      </w:r>
      <w:r w:rsidR="00F32B28" w:rsidRPr="00F32B28">
        <w:rPr>
          <w:rtl/>
          <w:lang w:bidi="ar-EG"/>
        </w:rPr>
        <w:t>الطلبة</w:t>
      </w:r>
      <w:r w:rsidR="00F32B28">
        <w:rPr>
          <w:rtl/>
          <w:lang w:bidi="ar-EG"/>
        </w:rPr>
        <w:t xml:space="preserve"> </w:t>
      </w:r>
      <w:r w:rsidR="00F32B28" w:rsidRPr="00F32B28">
        <w:rPr>
          <w:rtl/>
          <w:lang w:bidi="ar-EG"/>
        </w:rPr>
        <w:t>بشكل</w:t>
      </w:r>
      <w:r w:rsidR="00F32B28">
        <w:rPr>
          <w:rtl/>
          <w:lang w:bidi="ar-EG"/>
        </w:rPr>
        <w:t xml:space="preserve"> </w:t>
      </w:r>
      <w:r w:rsidR="00F32B28" w:rsidRPr="00F32B28">
        <w:rPr>
          <w:rtl/>
          <w:lang w:bidi="ar-EG"/>
        </w:rPr>
        <w:t>يومي</w:t>
      </w:r>
      <w:r w:rsidR="00F32B28">
        <w:rPr>
          <w:rtl/>
          <w:lang w:bidi="ar-EG"/>
        </w:rPr>
        <w:t xml:space="preserve"> </w:t>
      </w:r>
      <w:r w:rsidR="00F32B28" w:rsidRPr="00F32B28">
        <w:rPr>
          <w:rtl/>
          <w:lang w:bidi="ar-EG"/>
        </w:rPr>
        <w:t>من</w:t>
      </w:r>
      <w:r w:rsidR="00F32B28">
        <w:rPr>
          <w:rtl/>
          <w:lang w:bidi="ar-EG"/>
        </w:rPr>
        <w:t xml:space="preserve"> </w:t>
      </w:r>
      <w:r w:rsidR="00F32B28" w:rsidRPr="00F32B28">
        <w:rPr>
          <w:rtl/>
          <w:lang w:bidi="ar-EG"/>
        </w:rPr>
        <w:t>وإلى</w:t>
      </w:r>
      <w:r w:rsidR="00F32B28">
        <w:rPr>
          <w:rtl/>
          <w:lang w:bidi="ar-EG"/>
        </w:rPr>
        <w:t xml:space="preserve"> </w:t>
      </w:r>
      <w:r w:rsidR="00F32B28" w:rsidRPr="00F32B28">
        <w:rPr>
          <w:rtl/>
          <w:lang w:bidi="ar-EG"/>
        </w:rPr>
        <w:t>مدارسهم</w:t>
      </w:r>
      <w:r w:rsidR="00F32B28">
        <w:rPr>
          <w:rtl/>
          <w:lang w:bidi="ar-EG"/>
        </w:rPr>
        <w:t xml:space="preserve"> </w:t>
      </w:r>
      <w:r w:rsidR="00F32B28" w:rsidRPr="00F32B28">
        <w:rPr>
          <w:rtl/>
          <w:lang w:bidi="ar-EG"/>
        </w:rPr>
        <w:t>الحكومية</w:t>
      </w:r>
      <w:r w:rsidR="00F32B28">
        <w:rPr>
          <w:rtl/>
          <w:lang w:bidi="ar-EG"/>
        </w:rPr>
        <w:t xml:space="preserve"> </w:t>
      </w:r>
      <w:r w:rsidR="00F32B28" w:rsidRPr="00F32B28">
        <w:rPr>
          <w:rtl/>
          <w:lang w:bidi="ar-EG"/>
        </w:rPr>
        <w:t>في</w:t>
      </w:r>
      <w:r w:rsidR="00F32B28">
        <w:rPr>
          <w:rtl/>
          <w:lang w:bidi="ar-EG"/>
        </w:rPr>
        <w:t xml:space="preserve"> </w:t>
      </w:r>
      <w:r w:rsidR="00F32B28" w:rsidRPr="00F32B28">
        <w:rPr>
          <w:rtl/>
          <w:lang w:bidi="ar-EG"/>
        </w:rPr>
        <w:t>التجمعات</w:t>
      </w:r>
      <w:r w:rsidR="00F32B28">
        <w:rPr>
          <w:rtl/>
          <w:lang w:bidi="ar-EG"/>
        </w:rPr>
        <w:t xml:space="preserve"> </w:t>
      </w:r>
      <w:r w:rsidR="00F32B28" w:rsidRPr="00F32B28">
        <w:rPr>
          <w:rtl/>
          <w:lang w:bidi="ar-EG"/>
        </w:rPr>
        <w:t>البدوية</w:t>
      </w:r>
      <w:r w:rsidR="00F32B28">
        <w:rPr>
          <w:rtl/>
          <w:lang w:bidi="ar-EG"/>
        </w:rPr>
        <w:t xml:space="preserve"> </w:t>
      </w:r>
      <w:r w:rsidR="00F32B28" w:rsidRPr="00F32B28">
        <w:rPr>
          <w:rtl/>
          <w:lang w:bidi="ar-EG"/>
        </w:rPr>
        <w:t>الواقعة</w:t>
      </w:r>
      <w:r w:rsidR="00F32B28">
        <w:rPr>
          <w:rtl/>
          <w:lang w:bidi="ar-EG"/>
        </w:rPr>
        <w:t xml:space="preserve"> </w:t>
      </w:r>
      <w:r w:rsidR="00F32B28" w:rsidRPr="00F32B28">
        <w:rPr>
          <w:rtl/>
          <w:lang w:bidi="ar-EG"/>
        </w:rPr>
        <w:t>في</w:t>
      </w:r>
      <w:r w:rsidR="00F32B28">
        <w:rPr>
          <w:rtl/>
          <w:lang w:bidi="ar-EG"/>
        </w:rPr>
        <w:t xml:space="preserve"> </w:t>
      </w:r>
      <w:r w:rsidR="00F32B28" w:rsidRPr="00F32B28">
        <w:rPr>
          <w:rtl/>
          <w:lang w:bidi="ar-EG"/>
        </w:rPr>
        <w:t>الضفة</w:t>
      </w:r>
      <w:r w:rsidR="00F32B28">
        <w:rPr>
          <w:rtl/>
          <w:lang w:bidi="ar-EG"/>
        </w:rPr>
        <w:t xml:space="preserve"> </w:t>
      </w:r>
      <w:r w:rsidR="00F32B28" w:rsidRPr="00F32B28">
        <w:rPr>
          <w:rtl/>
          <w:lang w:bidi="ar-EG"/>
        </w:rPr>
        <w:t>الغربية</w:t>
      </w:r>
      <w:r w:rsidR="00F32B28">
        <w:rPr>
          <w:rtl/>
          <w:lang w:bidi="ar-EG"/>
        </w:rPr>
        <w:t xml:space="preserve"> </w:t>
      </w:r>
      <w:r w:rsidR="00F32B28" w:rsidRPr="00F32B28">
        <w:rPr>
          <w:rtl/>
          <w:lang w:bidi="ar-EG"/>
        </w:rPr>
        <w:t>في</w:t>
      </w:r>
      <w:r w:rsidR="00F32B28">
        <w:rPr>
          <w:rtl/>
          <w:lang w:bidi="ar-EG"/>
        </w:rPr>
        <w:t xml:space="preserve"> </w:t>
      </w:r>
      <w:r w:rsidR="00F32B28" w:rsidRPr="00F32B28">
        <w:rPr>
          <w:rtl/>
          <w:lang w:bidi="ar-EG"/>
        </w:rPr>
        <w:t>المناطق</w:t>
      </w:r>
      <w:r w:rsidR="00F32B28">
        <w:rPr>
          <w:rtl/>
          <w:lang w:bidi="ar-EG"/>
        </w:rPr>
        <w:t xml:space="preserve"> </w:t>
      </w:r>
      <w:r w:rsidR="00F32B28" w:rsidRPr="00F32B28">
        <w:rPr>
          <w:rtl/>
          <w:lang w:bidi="ar-EG"/>
        </w:rPr>
        <w:t>المسماة</w:t>
      </w:r>
      <w:r w:rsidR="00F32B28">
        <w:rPr>
          <w:rtl/>
          <w:lang w:bidi="ar-EG"/>
        </w:rPr>
        <w:t xml:space="preserve"> </w:t>
      </w:r>
      <w:r w:rsidR="00D06D08">
        <w:rPr>
          <w:rFonts w:hint="cs"/>
          <w:rtl/>
          <w:lang w:bidi="ar-EG"/>
        </w:rPr>
        <w:t>”</w:t>
      </w:r>
      <w:r w:rsidR="00F32B28" w:rsidRPr="00F32B28">
        <w:rPr>
          <w:rtl/>
          <w:lang w:bidi="ar-EG"/>
        </w:rPr>
        <w:t>ج</w:t>
      </w:r>
      <w:r w:rsidR="00D06D08">
        <w:rPr>
          <w:rFonts w:hint="cs"/>
          <w:rtl/>
          <w:lang w:bidi="ar-EG"/>
        </w:rPr>
        <w:t>“</w:t>
      </w:r>
      <w:r w:rsidR="00F32B28" w:rsidRPr="00F32B28">
        <w:rPr>
          <w:rtl/>
          <w:lang w:bidi="ar-EG"/>
        </w:rPr>
        <w:t>،</w:t>
      </w:r>
      <w:r w:rsidR="00F32B28">
        <w:rPr>
          <w:rtl/>
          <w:lang w:bidi="ar-EG"/>
        </w:rPr>
        <w:t xml:space="preserve"> </w:t>
      </w:r>
      <w:r w:rsidR="00F32B28" w:rsidRPr="00F32B28">
        <w:rPr>
          <w:rtl/>
          <w:lang w:bidi="ar-EG"/>
        </w:rPr>
        <w:t>وكذلك</w:t>
      </w:r>
      <w:r w:rsidR="00F32B28">
        <w:rPr>
          <w:rtl/>
          <w:lang w:bidi="ar-EG"/>
        </w:rPr>
        <w:t xml:space="preserve"> </w:t>
      </w:r>
      <w:r w:rsidR="00F32B28" w:rsidRPr="00F32B28">
        <w:rPr>
          <w:rtl/>
          <w:lang w:bidi="ar-EG"/>
        </w:rPr>
        <w:t>ضمان</w:t>
      </w:r>
      <w:r w:rsidR="00F32B28">
        <w:rPr>
          <w:rtl/>
          <w:lang w:bidi="ar-EG"/>
        </w:rPr>
        <w:t xml:space="preserve"> </w:t>
      </w:r>
      <w:r w:rsidR="00F32B28" w:rsidRPr="00F32B28">
        <w:rPr>
          <w:rtl/>
          <w:lang w:bidi="ar-EG"/>
        </w:rPr>
        <w:t>الوصول</w:t>
      </w:r>
      <w:r w:rsidR="00F32B28">
        <w:rPr>
          <w:rtl/>
          <w:lang w:bidi="ar-EG"/>
        </w:rPr>
        <w:t xml:space="preserve"> </w:t>
      </w:r>
      <w:r w:rsidR="00F32B28" w:rsidRPr="00F32B28">
        <w:rPr>
          <w:rtl/>
          <w:lang w:bidi="ar-EG"/>
        </w:rPr>
        <w:t>الآمن</w:t>
      </w:r>
      <w:r w:rsidR="00F32B28">
        <w:rPr>
          <w:rtl/>
          <w:lang w:bidi="ar-EG"/>
        </w:rPr>
        <w:t xml:space="preserve"> </w:t>
      </w:r>
      <w:r w:rsidR="00F32B28" w:rsidRPr="00F32B28">
        <w:rPr>
          <w:rtl/>
          <w:lang w:bidi="ar-EG"/>
        </w:rPr>
        <w:t>لهؤلاء</w:t>
      </w:r>
      <w:r w:rsidR="00F32B28">
        <w:rPr>
          <w:rtl/>
          <w:lang w:bidi="ar-EG"/>
        </w:rPr>
        <w:t xml:space="preserve"> </w:t>
      </w:r>
      <w:r w:rsidR="00F32B28" w:rsidRPr="00F32B28">
        <w:rPr>
          <w:rtl/>
          <w:lang w:bidi="ar-EG"/>
        </w:rPr>
        <w:t>الطلبة</w:t>
      </w:r>
      <w:r w:rsidR="00F32B28">
        <w:rPr>
          <w:rtl/>
          <w:lang w:bidi="ar-EG"/>
        </w:rPr>
        <w:t xml:space="preserve"> </w:t>
      </w:r>
      <w:r w:rsidR="00F32B28" w:rsidRPr="00F32B28">
        <w:rPr>
          <w:rtl/>
          <w:lang w:bidi="ar-EG"/>
        </w:rPr>
        <w:t>لمدارسهم</w:t>
      </w:r>
      <w:r w:rsidR="00F32B28">
        <w:rPr>
          <w:rtl/>
          <w:lang w:bidi="ar-EG"/>
        </w:rPr>
        <w:t xml:space="preserve"> </w:t>
      </w:r>
      <w:r w:rsidR="00F32B28" w:rsidRPr="00F32B28">
        <w:rPr>
          <w:rtl/>
          <w:lang w:bidi="ar-EG"/>
        </w:rPr>
        <w:t>وحمايتهم</w:t>
      </w:r>
      <w:r w:rsidR="00F32B28">
        <w:rPr>
          <w:rtl/>
          <w:lang w:bidi="ar-EG"/>
        </w:rPr>
        <w:t xml:space="preserve"> </w:t>
      </w:r>
      <w:r w:rsidR="00F32B28" w:rsidRPr="00F32B28">
        <w:rPr>
          <w:rtl/>
          <w:lang w:bidi="ar-EG"/>
        </w:rPr>
        <w:t>من</w:t>
      </w:r>
      <w:r w:rsidR="00F32B28">
        <w:rPr>
          <w:rtl/>
          <w:lang w:bidi="ar-EG"/>
        </w:rPr>
        <w:t xml:space="preserve"> </w:t>
      </w:r>
      <w:r w:rsidR="00F32B28" w:rsidRPr="00F32B28">
        <w:rPr>
          <w:rtl/>
          <w:lang w:bidi="ar-EG"/>
        </w:rPr>
        <w:t>اعتداءات</w:t>
      </w:r>
      <w:r w:rsidR="00F32B28">
        <w:rPr>
          <w:rtl/>
          <w:lang w:bidi="ar-EG"/>
        </w:rPr>
        <w:t xml:space="preserve"> </w:t>
      </w:r>
      <w:r w:rsidR="00F32B28" w:rsidRPr="00F32B28">
        <w:rPr>
          <w:rtl/>
          <w:lang w:bidi="ar-LB"/>
        </w:rPr>
        <w:t>مليشيات</w:t>
      </w:r>
      <w:r w:rsidR="00F32B28">
        <w:rPr>
          <w:rtl/>
          <w:lang w:bidi="ar-LB"/>
        </w:rPr>
        <w:t xml:space="preserve"> </w:t>
      </w:r>
      <w:r w:rsidR="00F32B28" w:rsidRPr="00F32B28">
        <w:rPr>
          <w:rtl/>
          <w:lang w:bidi="ar-LB"/>
        </w:rPr>
        <w:t>المستوطنين</w:t>
      </w:r>
      <w:r w:rsidR="00F32B28">
        <w:rPr>
          <w:rtl/>
          <w:lang w:bidi="ar-LB"/>
        </w:rPr>
        <w:t xml:space="preserve"> </w:t>
      </w:r>
      <w:r w:rsidR="00F32B28" w:rsidRPr="00F32B28">
        <w:rPr>
          <w:rtl/>
          <w:lang w:bidi="ar-LB"/>
        </w:rPr>
        <w:t>الإرهابية</w:t>
      </w:r>
      <w:r w:rsidR="00F32B28">
        <w:rPr>
          <w:rtl/>
          <w:lang w:bidi="ar-LB"/>
        </w:rPr>
        <w:t xml:space="preserve"> </w:t>
      </w:r>
      <w:r w:rsidR="00F32B28" w:rsidRPr="00F32B28">
        <w:rPr>
          <w:rtl/>
          <w:lang w:bidi="ar-EG"/>
        </w:rPr>
        <w:t>المتكررة</w:t>
      </w:r>
      <w:r w:rsidR="00F32B28">
        <w:rPr>
          <w:rtl/>
          <w:lang w:bidi="ar-EG"/>
        </w:rPr>
        <w:t xml:space="preserve"> </w:t>
      </w:r>
      <w:r w:rsidR="00F32B28" w:rsidRPr="00F32B28">
        <w:rPr>
          <w:rtl/>
          <w:lang w:bidi="ar-EG"/>
        </w:rPr>
        <w:t>بحق</w:t>
      </w:r>
      <w:r w:rsidR="00F32B28">
        <w:rPr>
          <w:rtl/>
          <w:lang w:bidi="ar-EG"/>
        </w:rPr>
        <w:t xml:space="preserve"> </w:t>
      </w:r>
      <w:r w:rsidR="00F32B28" w:rsidRPr="00F32B28">
        <w:rPr>
          <w:rtl/>
          <w:lang w:bidi="ar-EG"/>
        </w:rPr>
        <w:t>سلامتهم</w:t>
      </w:r>
      <w:r w:rsidR="00F32B28">
        <w:rPr>
          <w:rtl/>
          <w:lang w:bidi="ar-EG"/>
        </w:rPr>
        <w:t xml:space="preserve"> </w:t>
      </w:r>
      <w:r w:rsidR="00F32B28" w:rsidRPr="00F32B28">
        <w:rPr>
          <w:rtl/>
          <w:lang w:bidi="ar-EG"/>
        </w:rPr>
        <w:t>الشخصية</w:t>
      </w:r>
      <w:r w:rsidR="00F32B28">
        <w:rPr>
          <w:rtl/>
          <w:lang w:bidi="ar-EG"/>
        </w:rPr>
        <w:t xml:space="preserve"> </w:t>
      </w:r>
      <w:r w:rsidR="00F32B28" w:rsidRPr="00F32B28">
        <w:rPr>
          <w:rtl/>
          <w:lang w:bidi="ar-EG"/>
        </w:rPr>
        <w:t>والجسدية</w:t>
      </w:r>
      <w:r w:rsidR="00F32B28">
        <w:rPr>
          <w:rtl/>
          <w:lang w:bidi="ar-EG"/>
        </w:rPr>
        <w:t xml:space="preserve"> </w:t>
      </w:r>
      <w:r w:rsidR="00F32B28" w:rsidRPr="00F32B28">
        <w:rPr>
          <w:rtl/>
          <w:lang w:bidi="ar-EG"/>
        </w:rPr>
        <w:t>وعرقلة</w:t>
      </w:r>
      <w:r w:rsidR="00F32B28">
        <w:rPr>
          <w:rtl/>
          <w:lang w:bidi="ar-EG"/>
        </w:rPr>
        <w:t xml:space="preserve"> </w:t>
      </w:r>
      <w:r w:rsidR="00F32B28" w:rsidRPr="00F32B28">
        <w:rPr>
          <w:rtl/>
          <w:lang w:bidi="ar-EG"/>
        </w:rPr>
        <w:t>مسيرتهم</w:t>
      </w:r>
      <w:r w:rsidR="00F32B28">
        <w:rPr>
          <w:rtl/>
          <w:lang w:bidi="ar-EG"/>
        </w:rPr>
        <w:t xml:space="preserve"> </w:t>
      </w:r>
      <w:r w:rsidR="00F32B28" w:rsidRPr="00F32B28">
        <w:rPr>
          <w:rtl/>
          <w:lang w:bidi="ar-EG"/>
        </w:rPr>
        <w:t>التعليمية.</w:t>
      </w:r>
      <w:r w:rsidR="00F32B28">
        <w:rPr>
          <w:rtl/>
          <w:lang w:bidi="ar-EG"/>
        </w:rPr>
        <w:t xml:space="preserve"> </w:t>
      </w:r>
      <w:r w:rsidR="00F32B28" w:rsidRPr="00F32B28">
        <w:rPr>
          <w:rtl/>
          <w:lang w:bidi="ar-EG"/>
        </w:rPr>
        <w:t>وتخدم</w:t>
      </w:r>
      <w:r w:rsidR="00F32B28">
        <w:rPr>
          <w:rtl/>
          <w:lang w:bidi="ar-EG"/>
        </w:rPr>
        <w:t xml:space="preserve"> </w:t>
      </w:r>
      <w:r w:rsidR="00F32B28" w:rsidRPr="00F32B28">
        <w:rPr>
          <w:rtl/>
          <w:lang w:bidi="ar-EG"/>
        </w:rPr>
        <w:t>هذه</w:t>
      </w:r>
      <w:r w:rsidR="00F32B28">
        <w:rPr>
          <w:rtl/>
          <w:lang w:bidi="ar-EG"/>
        </w:rPr>
        <w:t xml:space="preserve"> </w:t>
      </w:r>
      <w:r w:rsidR="00F32B28" w:rsidRPr="00F32B28">
        <w:rPr>
          <w:rtl/>
          <w:lang w:bidi="ar-EG"/>
        </w:rPr>
        <w:t>الحافلات</w:t>
      </w:r>
      <w:r w:rsidR="00F32B28">
        <w:rPr>
          <w:rtl/>
          <w:lang w:bidi="ar-EG"/>
        </w:rPr>
        <w:t xml:space="preserve"> </w:t>
      </w:r>
      <w:r w:rsidR="00F32B28" w:rsidRPr="00F32B28">
        <w:rPr>
          <w:rtl/>
          <w:lang w:bidi="ar-EG"/>
        </w:rPr>
        <w:t>حالياً</w:t>
      </w:r>
      <w:r w:rsidR="00F32B28">
        <w:rPr>
          <w:rtl/>
          <w:lang w:bidi="ar-EG"/>
        </w:rPr>
        <w:t xml:space="preserve"> </w:t>
      </w:r>
      <w:r w:rsidR="00F32B28" w:rsidRPr="00F32B28">
        <w:rPr>
          <w:rtl/>
          <w:lang w:bidi="ar-EG"/>
        </w:rPr>
        <w:t>حوالي</w:t>
      </w:r>
      <w:r w:rsidR="00F32B28">
        <w:rPr>
          <w:rtl/>
          <w:lang w:bidi="ar-EG"/>
        </w:rPr>
        <w:t xml:space="preserve"> </w:t>
      </w:r>
      <w:r w:rsidR="00F32B28" w:rsidRPr="00F32B28">
        <w:rPr>
          <w:rtl/>
          <w:lang w:bidi="ar-EG"/>
        </w:rPr>
        <w:t>(</w:t>
      </w:r>
      <w:r w:rsidR="00EE4046">
        <w:rPr>
          <w:rFonts w:hint="cs"/>
          <w:rtl/>
          <w:lang w:bidi="ar-EG"/>
        </w:rPr>
        <w:t>400 1</w:t>
      </w:r>
      <w:r w:rsidR="00F32B28" w:rsidRPr="00F32B28">
        <w:rPr>
          <w:rtl/>
          <w:lang w:bidi="ar-EG"/>
        </w:rPr>
        <w:t>)</w:t>
      </w:r>
      <w:r w:rsidR="00F32B28">
        <w:rPr>
          <w:rtl/>
          <w:lang w:bidi="ar-EG"/>
        </w:rPr>
        <w:t xml:space="preserve"> </w:t>
      </w:r>
      <w:r w:rsidR="00F32B28" w:rsidRPr="00F32B28">
        <w:rPr>
          <w:rtl/>
          <w:lang w:bidi="ar-EG"/>
        </w:rPr>
        <w:t>طالب</w:t>
      </w:r>
      <w:r w:rsidR="00F32B28">
        <w:rPr>
          <w:rtl/>
          <w:lang w:bidi="ar-EG"/>
        </w:rPr>
        <w:t xml:space="preserve"> </w:t>
      </w:r>
      <w:r w:rsidR="00F32B28" w:rsidRPr="00F32B28">
        <w:rPr>
          <w:rtl/>
          <w:lang w:bidi="ar-EG"/>
        </w:rPr>
        <w:t>وطالبة</w:t>
      </w:r>
      <w:r w:rsidR="00F32B28">
        <w:rPr>
          <w:rtl/>
          <w:lang w:bidi="ar-EG"/>
        </w:rPr>
        <w:t xml:space="preserve"> </w:t>
      </w:r>
      <w:r w:rsidR="00F32B28" w:rsidRPr="00F32B28">
        <w:rPr>
          <w:rtl/>
          <w:lang w:bidi="ar-EG"/>
        </w:rPr>
        <w:t>موزعين</w:t>
      </w:r>
      <w:r w:rsidR="00F32B28">
        <w:rPr>
          <w:rtl/>
          <w:lang w:bidi="ar-EG"/>
        </w:rPr>
        <w:t xml:space="preserve"> </w:t>
      </w:r>
      <w:r w:rsidR="00F32B28" w:rsidRPr="00F32B28">
        <w:rPr>
          <w:rtl/>
          <w:lang w:bidi="ar-EG"/>
        </w:rPr>
        <w:t>على</w:t>
      </w:r>
      <w:r w:rsidR="00F32B28">
        <w:rPr>
          <w:rtl/>
          <w:lang w:bidi="ar-EG"/>
        </w:rPr>
        <w:t xml:space="preserve"> </w:t>
      </w:r>
      <w:r w:rsidR="00F32B28" w:rsidRPr="00F32B28">
        <w:rPr>
          <w:rtl/>
          <w:lang w:bidi="ar-EG"/>
        </w:rPr>
        <w:t>(53)</w:t>
      </w:r>
      <w:r w:rsidR="00F32B28">
        <w:rPr>
          <w:rtl/>
          <w:lang w:bidi="ar-EG"/>
        </w:rPr>
        <w:t xml:space="preserve"> </w:t>
      </w:r>
      <w:r w:rsidR="00F32B28" w:rsidRPr="00F32B28">
        <w:rPr>
          <w:rtl/>
          <w:lang w:bidi="ar-EG"/>
        </w:rPr>
        <w:t>تجمع</w:t>
      </w:r>
      <w:r w:rsidR="00F32B28">
        <w:rPr>
          <w:rtl/>
          <w:lang w:bidi="ar-EG"/>
        </w:rPr>
        <w:t xml:space="preserve"> </w:t>
      </w:r>
      <w:r w:rsidR="00F32B28" w:rsidRPr="00F32B28">
        <w:rPr>
          <w:rtl/>
          <w:lang w:bidi="ar-EG"/>
        </w:rPr>
        <w:t>بدوي</w:t>
      </w:r>
      <w:r w:rsidR="00F32B28" w:rsidRPr="00F32B28">
        <w:rPr>
          <w:rtl/>
        </w:rPr>
        <w:t>.</w:t>
      </w:r>
    </w:p>
    <w:p w:rsidR="005B0DBE" w:rsidRPr="005B0DBE" w:rsidRDefault="005B0DBE" w:rsidP="005B0DB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SY"/>
        </w:rPr>
      </w:pPr>
    </w:p>
    <w:p w:rsidR="00F32B28" w:rsidRPr="00F32B28" w:rsidRDefault="00F77719" w:rsidP="00F777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lang w:bidi="ar-SY"/>
        </w:rPr>
        <w:tab/>
      </w:r>
      <w:r>
        <w:rPr>
          <w:rFonts w:hint="cs"/>
          <w:rtl/>
          <w:lang w:bidi="ar-SY"/>
        </w:rPr>
        <w:tab/>
      </w:r>
      <w:r w:rsidR="00F32B28" w:rsidRPr="00F32B28">
        <w:rPr>
          <w:rtl/>
          <w:lang w:bidi="ar-SY"/>
        </w:rPr>
        <w:t>نشاطات</w:t>
      </w:r>
      <w:r w:rsidR="00F32B28">
        <w:rPr>
          <w:rtl/>
          <w:lang w:bidi="ar-SY"/>
        </w:rPr>
        <w:t xml:space="preserve"> </w:t>
      </w:r>
      <w:r>
        <w:rPr>
          <w:rtl/>
          <w:lang w:bidi="ar-SY"/>
        </w:rPr>
        <w:t>أخرى</w:t>
      </w:r>
    </w:p>
    <w:p w:rsidR="00F32B28" w:rsidRPr="00F32B28" w:rsidRDefault="00F77719" w:rsidP="009B107D">
      <w:pPr>
        <w:pStyle w:val="SingleTxt"/>
        <w:spacing w:line="340" w:lineRule="exact"/>
        <w:ind w:left="1267" w:right="1267"/>
      </w:pPr>
      <w:r>
        <w:rPr>
          <w:rFonts w:hint="cs"/>
          <w:rtl/>
          <w:lang w:bidi="ar-SY"/>
        </w:rPr>
        <w:t xml:space="preserve">183 - </w:t>
      </w:r>
      <w:r w:rsidR="00F32B28" w:rsidRPr="00F32B28">
        <w:rPr>
          <w:rtl/>
          <w:lang w:bidi="ar-SY"/>
        </w:rPr>
        <w:t>تسهيل</w:t>
      </w:r>
      <w:r w:rsidR="00F32B28">
        <w:rPr>
          <w:rtl/>
          <w:lang w:bidi="ar-SY"/>
        </w:rPr>
        <w:t xml:space="preserve"> </w:t>
      </w:r>
      <w:r w:rsidR="00F32B28" w:rsidRPr="00F32B28">
        <w:rPr>
          <w:rtl/>
          <w:lang w:bidi="ar-SY"/>
        </w:rPr>
        <w:t>عودة</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المتسربين</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المدارس،</w:t>
      </w:r>
      <w:r w:rsidR="00F32B28">
        <w:rPr>
          <w:rtl/>
          <w:lang w:bidi="ar-SY"/>
        </w:rPr>
        <w:t xml:space="preserve"> </w:t>
      </w:r>
      <w:r w:rsidR="00F32B28" w:rsidRPr="00F32B28">
        <w:rPr>
          <w:rtl/>
          <w:lang w:bidi="ar-SY"/>
        </w:rPr>
        <w:t>وتسهيل</w:t>
      </w:r>
      <w:r w:rsidR="00F32B28">
        <w:rPr>
          <w:rtl/>
          <w:lang w:bidi="ar-SY"/>
        </w:rPr>
        <w:t xml:space="preserve"> </w:t>
      </w:r>
      <w:r w:rsidR="00F32B28" w:rsidRPr="00F32B28">
        <w:rPr>
          <w:rtl/>
          <w:lang w:bidi="ar-SY"/>
        </w:rPr>
        <w:t>عودة</w:t>
      </w:r>
      <w:r w:rsidR="00F32B28">
        <w:rPr>
          <w:rtl/>
          <w:lang w:bidi="ar-SY"/>
        </w:rPr>
        <w:t xml:space="preserve"> </w:t>
      </w:r>
      <w:r w:rsidR="00F32B28" w:rsidRPr="00F32B28">
        <w:rPr>
          <w:rtl/>
          <w:lang w:bidi="ar-SY"/>
        </w:rPr>
        <w:t>الطالبة</w:t>
      </w:r>
      <w:r w:rsidR="00F32B28">
        <w:rPr>
          <w:rtl/>
          <w:lang w:bidi="ar-SY"/>
        </w:rPr>
        <w:t xml:space="preserve"> </w:t>
      </w:r>
      <w:r w:rsidR="00F32B28" w:rsidRPr="00F32B28">
        <w:rPr>
          <w:rtl/>
          <w:lang w:bidi="ar-SY"/>
        </w:rPr>
        <w:t>المتزوجة</w:t>
      </w:r>
      <w:r w:rsidR="00F32B28">
        <w:rPr>
          <w:rtl/>
          <w:lang w:bidi="ar-SY"/>
        </w:rPr>
        <w:t xml:space="preserve"> </w:t>
      </w:r>
      <w:r w:rsidR="00F32B28" w:rsidRPr="00F32B28">
        <w:rPr>
          <w:rtl/>
          <w:lang w:bidi="ar-SY"/>
        </w:rPr>
        <w:t>المتسربة،</w:t>
      </w:r>
      <w:r>
        <w:rPr>
          <w:rFonts w:hint="cs"/>
          <w:rtl/>
          <w:lang w:bidi="ar-SY"/>
        </w:rPr>
        <w:t xml:space="preserve"> </w:t>
      </w:r>
      <w:r w:rsidR="00F32B28" w:rsidRPr="00F32B28">
        <w:rPr>
          <w:rtl/>
          <w:lang w:bidi="ar-SY"/>
        </w:rPr>
        <w:t>ومساعدة</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نساءً</w:t>
      </w:r>
      <w:r w:rsidR="00F32B28">
        <w:rPr>
          <w:rtl/>
          <w:lang w:bidi="ar-SY"/>
        </w:rPr>
        <w:t xml:space="preserve"> </w:t>
      </w:r>
      <w:r w:rsidR="00F32B28" w:rsidRPr="00F32B28">
        <w:rPr>
          <w:rtl/>
          <w:lang w:bidi="ar-SY"/>
        </w:rPr>
        <w:t>ورجالاً،</w:t>
      </w:r>
      <w:r w:rsidR="00F32B28">
        <w:rPr>
          <w:rtl/>
          <w:lang w:bidi="ar-SY"/>
        </w:rPr>
        <w:t xml:space="preserve"> </w:t>
      </w:r>
      <w:r w:rsidR="00F32B28" w:rsidRPr="00F32B28">
        <w:rPr>
          <w:rtl/>
          <w:lang w:bidi="ar-SY"/>
        </w:rPr>
        <w:t>للتوجه</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مراكز</w:t>
      </w:r>
      <w:r w:rsidR="00F32B28">
        <w:rPr>
          <w:rtl/>
          <w:lang w:bidi="ar-SY"/>
        </w:rPr>
        <w:t xml:space="preserve"> </w:t>
      </w:r>
      <w:r w:rsidR="00F32B28" w:rsidRPr="00F32B28">
        <w:rPr>
          <w:rtl/>
          <w:lang w:bidi="ar-SY"/>
        </w:rPr>
        <w:t>تعليم</w:t>
      </w:r>
      <w:r w:rsidR="00F32B28">
        <w:rPr>
          <w:rtl/>
          <w:lang w:bidi="ar-SY"/>
        </w:rPr>
        <w:t xml:space="preserve"> </w:t>
      </w:r>
      <w:r w:rsidR="00F32B28" w:rsidRPr="00F32B28">
        <w:rPr>
          <w:rtl/>
          <w:lang w:bidi="ar-SY"/>
        </w:rPr>
        <w:t>الكبار،</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كان</w:t>
      </w:r>
      <w:r w:rsidR="00F32B28">
        <w:rPr>
          <w:rtl/>
          <w:lang w:bidi="ar-SY"/>
        </w:rPr>
        <w:t xml:space="preserve"> </w:t>
      </w:r>
      <w:r w:rsidR="00F32B28" w:rsidRPr="00F32B28">
        <w:rPr>
          <w:rtl/>
          <w:lang w:bidi="ar-SY"/>
        </w:rPr>
        <w:t>سنه</w:t>
      </w:r>
      <w:r w:rsidR="00F32B28">
        <w:rPr>
          <w:rtl/>
          <w:lang w:bidi="ar-SY"/>
        </w:rPr>
        <w:t xml:space="preserve"> </w:t>
      </w:r>
      <w:r w:rsidR="00F32B28" w:rsidRPr="00F32B28">
        <w:rPr>
          <w:rtl/>
          <w:lang w:bidi="ar-SY"/>
        </w:rPr>
        <w:t>قد</w:t>
      </w:r>
      <w:r w:rsidR="00F32B28">
        <w:rPr>
          <w:rtl/>
          <w:lang w:bidi="ar-SY"/>
        </w:rPr>
        <w:t xml:space="preserve"> </w:t>
      </w:r>
      <w:r w:rsidR="00F32B28" w:rsidRPr="00F32B28">
        <w:rPr>
          <w:rtl/>
          <w:lang w:bidi="ar-SY"/>
        </w:rPr>
        <w:t>تجاوز</w:t>
      </w:r>
      <w:r w:rsidR="00F32B28">
        <w:rPr>
          <w:rtl/>
          <w:lang w:bidi="ar-SY"/>
        </w:rPr>
        <w:t xml:space="preserve"> </w:t>
      </w:r>
      <w:r w:rsidR="00F32B28" w:rsidRPr="00F32B28">
        <w:rPr>
          <w:rtl/>
          <w:lang w:bidi="ar-SY"/>
        </w:rPr>
        <w:t>السن</w:t>
      </w:r>
      <w:r w:rsidR="00F32B28">
        <w:rPr>
          <w:rtl/>
          <w:lang w:bidi="ar-SY"/>
        </w:rPr>
        <w:t xml:space="preserve"> </w:t>
      </w:r>
      <w:r w:rsidR="00F32B28" w:rsidRPr="00F32B28">
        <w:rPr>
          <w:rtl/>
          <w:lang w:bidi="ar-SY"/>
        </w:rPr>
        <w:t>المسموح</w:t>
      </w:r>
      <w:r w:rsidR="00F32B28">
        <w:rPr>
          <w:rtl/>
          <w:lang w:bidi="ar-SY"/>
        </w:rPr>
        <w:t xml:space="preserve"> </w:t>
      </w:r>
      <w:r w:rsidR="00F32B28" w:rsidRPr="00F32B28">
        <w:rPr>
          <w:rtl/>
          <w:lang w:bidi="ar-SY"/>
        </w:rPr>
        <w:t>به</w:t>
      </w:r>
      <w:r w:rsidR="00F32B28">
        <w:rPr>
          <w:rtl/>
          <w:lang w:bidi="ar-SY"/>
        </w:rPr>
        <w:t xml:space="preserve"> </w:t>
      </w:r>
      <w:r w:rsidR="00F32B28" w:rsidRPr="00F32B28">
        <w:rPr>
          <w:rtl/>
          <w:lang w:bidi="ar-SY"/>
        </w:rPr>
        <w:t>للالتحاق</w:t>
      </w:r>
      <w:r w:rsidR="00F32B28">
        <w:rPr>
          <w:rtl/>
          <w:lang w:bidi="ar-SY"/>
        </w:rPr>
        <w:t xml:space="preserve"> </w:t>
      </w:r>
      <w:r w:rsidR="00F32B28" w:rsidRPr="00F32B28">
        <w:rPr>
          <w:rtl/>
          <w:lang w:bidi="ar-SY"/>
        </w:rPr>
        <w:t>بالمدارس،</w:t>
      </w:r>
      <w:r w:rsidR="00600C43">
        <w:rPr>
          <w:rtl/>
          <w:lang w:bidi="ar-SY"/>
        </w:rPr>
        <w:t xml:space="preserve"> </w:t>
      </w:r>
      <w:r w:rsidR="00F32B28" w:rsidRPr="00F32B28">
        <w:rPr>
          <w:rtl/>
          <w:lang w:bidi="ar-SY"/>
        </w:rPr>
        <w:t>وإنشاء</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المباني</w:t>
      </w:r>
      <w:r w:rsidR="00F32B28">
        <w:rPr>
          <w:rtl/>
          <w:lang w:bidi="ar-SY"/>
        </w:rPr>
        <w:t xml:space="preserve"> </w:t>
      </w:r>
      <w:r w:rsidR="00F32B28" w:rsidRPr="00F32B28">
        <w:rPr>
          <w:rtl/>
          <w:lang w:bidi="ar-SY"/>
        </w:rPr>
        <w:t>المدرسية</w:t>
      </w:r>
      <w:r w:rsidR="00F32B28">
        <w:rPr>
          <w:rtl/>
          <w:lang w:bidi="ar-SY"/>
        </w:rPr>
        <w:t xml:space="preserve"> </w:t>
      </w:r>
      <w:r w:rsidR="00F32B28" w:rsidRPr="00F32B28">
        <w:rPr>
          <w:rtl/>
          <w:lang w:bidi="ar-SY"/>
        </w:rPr>
        <w:t>الجديدة</w:t>
      </w:r>
      <w:r w:rsidR="00F32B28">
        <w:rPr>
          <w:rtl/>
          <w:lang w:bidi="ar-SY"/>
        </w:rPr>
        <w:t xml:space="preserve"> </w:t>
      </w:r>
      <w:r w:rsidR="00F32B28" w:rsidRPr="00F32B28">
        <w:rPr>
          <w:rtl/>
          <w:lang w:bidi="ar-SY"/>
        </w:rPr>
        <w:t>للحد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اكتظاظ</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واستيعاب</w:t>
      </w:r>
      <w:r w:rsidR="00F32B28">
        <w:rPr>
          <w:rtl/>
          <w:lang w:bidi="ar-SY"/>
        </w:rPr>
        <w:t xml:space="preserve"> </w:t>
      </w:r>
      <w:r w:rsidR="00F32B28" w:rsidRPr="00F32B28">
        <w:rPr>
          <w:rtl/>
          <w:lang w:bidi="ar-SY"/>
        </w:rPr>
        <w:t>عدد</w:t>
      </w:r>
      <w:r w:rsidR="00F32B28">
        <w:rPr>
          <w:rtl/>
          <w:lang w:bidi="ar-SY"/>
        </w:rPr>
        <w:t xml:space="preserve"> </w:t>
      </w:r>
      <w:r w:rsidR="00F32B28" w:rsidRPr="00F32B28">
        <w:rPr>
          <w:rtl/>
          <w:lang w:bidi="ar-SY"/>
        </w:rPr>
        <w:t>أكبر</w:t>
      </w:r>
      <w:r w:rsidR="00F32B28">
        <w:rPr>
          <w:rtl/>
          <w:lang w:bidi="ar-SY"/>
        </w:rPr>
        <w:t xml:space="preserve"> </w:t>
      </w:r>
      <w:r w:rsidR="00F32B28" w:rsidRPr="00F32B28">
        <w:rPr>
          <w:rtl/>
          <w:lang w:bidi="ar-SY"/>
        </w:rPr>
        <w:t>منهم،</w:t>
      </w:r>
      <w:r w:rsidR="00F32B28">
        <w:rPr>
          <w:rtl/>
          <w:lang w:bidi="ar-SY"/>
        </w:rPr>
        <w:t xml:space="preserve"> </w:t>
      </w:r>
      <w:r w:rsidR="00F32B28" w:rsidRPr="00F32B28">
        <w:rPr>
          <w:rtl/>
          <w:lang w:bidi="ar-SY"/>
        </w:rPr>
        <w:t>وتدريب</w:t>
      </w:r>
      <w:r w:rsidR="00F32B28">
        <w:rPr>
          <w:rtl/>
          <w:lang w:bidi="ar-SY"/>
        </w:rPr>
        <w:t xml:space="preserve"> </w:t>
      </w:r>
      <w:r w:rsidR="00F32B28" w:rsidRPr="00F32B28">
        <w:rPr>
          <w:rtl/>
          <w:lang w:bidi="ar-SY"/>
        </w:rPr>
        <w:t>المعلمين</w:t>
      </w:r>
      <w:r w:rsidR="00F32B28">
        <w:rPr>
          <w:rtl/>
          <w:lang w:bidi="ar-SY"/>
        </w:rPr>
        <w:t xml:space="preserve"> </w:t>
      </w:r>
      <w:r w:rsidR="00F32B28" w:rsidRPr="00F32B28">
        <w:rPr>
          <w:rtl/>
          <w:lang w:bidi="ar-SY"/>
        </w:rPr>
        <w:t>وتأهيلهم،</w:t>
      </w:r>
      <w:r w:rsidR="00F32B28">
        <w:rPr>
          <w:rtl/>
          <w:lang w:bidi="ar-SY"/>
        </w:rPr>
        <w:t xml:space="preserve"> </w:t>
      </w:r>
      <w:r w:rsidR="00F32B28" w:rsidRPr="00F32B28">
        <w:rPr>
          <w:rtl/>
          <w:lang w:bidi="ar-SY"/>
        </w:rPr>
        <w:t>وتنفيذ</w:t>
      </w:r>
      <w:r w:rsidR="00F32B28">
        <w:rPr>
          <w:rtl/>
          <w:lang w:bidi="ar-SY"/>
        </w:rPr>
        <w:t xml:space="preserve"> </w:t>
      </w:r>
      <w:r w:rsidR="00F32B28" w:rsidRPr="00F32B28">
        <w:rPr>
          <w:rtl/>
          <w:lang w:bidi="ar-SY"/>
        </w:rPr>
        <w:t>مشاريع</w:t>
      </w:r>
      <w:r w:rsidR="00F32B28">
        <w:rPr>
          <w:rtl/>
          <w:lang w:bidi="ar-SY"/>
        </w:rPr>
        <w:t xml:space="preserve"> </w:t>
      </w:r>
      <w:r w:rsidR="00F32B28" w:rsidRPr="00F32B28">
        <w:rPr>
          <w:rtl/>
          <w:lang w:bidi="ar-SY"/>
        </w:rPr>
        <w:t>للإرشاد</w:t>
      </w:r>
      <w:r w:rsidR="00F32B28">
        <w:rPr>
          <w:rtl/>
          <w:lang w:bidi="ar-SY"/>
        </w:rPr>
        <w:t xml:space="preserve"> </w:t>
      </w:r>
      <w:r w:rsidR="00F32B28" w:rsidRPr="00F32B28">
        <w:rPr>
          <w:rtl/>
          <w:lang w:bidi="ar-SY"/>
        </w:rPr>
        <w:t>التربوي</w:t>
      </w:r>
      <w:r w:rsidR="00F32B28">
        <w:rPr>
          <w:rtl/>
          <w:lang w:bidi="ar-SY"/>
        </w:rPr>
        <w:t xml:space="preserve"> </w:t>
      </w:r>
      <w:r w:rsidR="00F32B28" w:rsidRPr="00F32B28">
        <w:rPr>
          <w:rtl/>
          <w:lang w:bidi="ar-SY"/>
        </w:rPr>
        <w:t>لمساعدة</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التغلب</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مشاكلهم</w:t>
      </w:r>
      <w:r w:rsidR="00F32B28">
        <w:rPr>
          <w:rtl/>
          <w:lang w:bidi="ar-SY"/>
        </w:rPr>
        <w:t xml:space="preserve"> </w:t>
      </w:r>
      <w:r w:rsidR="00F32B28" w:rsidRPr="00F32B28">
        <w:rPr>
          <w:rtl/>
          <w:lang w:bidi="ar-SY"/>
        </w:rPr>
        <w:t>النفسية</w:t>
      </w:r>
      <w:r w:rsidR="00F32B28">
        <w:rPr>
          <w:rtl/>
          <w:lang w:bidi="ar-SY"/>
        </w:rPr>
        <w:t xml:space="preserve"> </w:t>
      </w:r>
      <w:r w:rsidR="00F32B28" w:rsidRPr="00F32B28">
        <w:rPr>
          <w:rtl/>
          <w:lang w:bidi="ar-SY"/>
        </w:rPr>
        <w:t>والاجتماعية</w:t>
      </w:r>
      <w:r w:rsidR="00F32B28">
        <w:rPr>
          <w:rtl/>
          <w:lang w:bidi="ar-SY"/>
        </w:rPr>
        <w:t xml:space="preserve"> </w:t>
      </w:r>
      <w:r w:rsidR="00F32B28" w:rsidRPr="00F32B28">
        <w:rPr>
          <w:rtl/>
          <w:lang w:bidi="ar-SY"/>
        </w:rPr>
        <w:t>وتشجيعهم</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الدراسة،</w:t>
      </w:r>
      <w:r w:rsidR="00F32B28">
        <w:rPr>
          <w:rtl/>
          <w:lang w:bidi="ar-SY"/>
        </w:rPr>
        <w:t xml:space="preserve"> </w:t>
      </w:r>
      <w:r w:rsidR="00F32B28" w:rsidRPr="00F32B28">
        <w:rPr>
          <w:rtl/>
          <w:lang w:bidi="ar-SY"/>
        </w:rPr>
        <w:t>وتنفيذ</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الأنشطة</w:t>
      </w:r>
      <w:r w:rsidR="00F32B28">
        <w:rPr>
          <w:rtl/>
          <w:lang w:bidi="ar-SY"/>
        </w:rPr>
        <w:t xml:space="preserve"> </w:t>
      </w:r>
      <w:r w:rsidR="00F32B28" w:rsidRPr="00F32B28">
        <w:rPr>
          <w:rtl/>
          <w:lang w:bidi="ar-SY"/>
        </w:rPr>
        <w:t>اللامنهجية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تعزز</w:t>
      </w:r>
      <w:r w:rsidR="00F32B28">
        <w:rPr>
          <w:rtl/>
          <w:lang w:bidi="ar-SY"/>
        </w:rPr>
        <w:t xml:space="preserve"> </w:t>
      </w:r>
      <w:r w:rsidR="00F32B28" w:rsidRPr="00F32B28">
        <w:rPr>
          <w:rtl/>
          <w:lang w:bidi="ar-SY"/>
        </w:rPr>
        <w:t>انتماء</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للمدرسة</w:t>
      </w:r>
      <w:r w:rsidR="00F32B28">
        <w:rPr>
          <w:rtl/>
          <w:lang w:bidi="ar-SY"/>
        </w:rPr>
        <w:t xml:space="preserve"> </w:t>
      </w:r>
      <w:r w:rsidR="00F32B28" w:rsidRPr="00F32B28">
        <w:rPr>
          <w:rtl/>
          <w:lang w:bidi="ar-SY"/>
        </w:rPr>
        <w:t>والدراسة</w:t>
      </w:r>
      <w:r w:rsidR="00F32B28">
        <w:rPr>
          <w:rtl/>
          <w:lang w:bidi="ar-SY"/>
        </w:rPr>
        <w:t xml:space="preserve"> </w:t>
      </w:r>
      <w:r w:rsidR="00F32B28" w:rsidRPr="00F32B28">
        <w:rPr>
          <w:rtl/>
          <w:lang w:bidi="ar-SY"/>
        </w:rPr>
        <w:t>والتعلم.</w:t>
      </w:r>
    </w:p>
    <w:p w:rsidR="00F77719" w:rsidRPr="00F77719" w:rsidRDefault="00F77719" w:rsidP="00F77719">
      <w:pPr>
        <w:pStyle w:val="SingleTxt"/>
        <w:spacing w:after="0" w:line="120" w:lineRule="exact"/>
        <w:rPr>
          <w:b/>
          <w:bCs/>
          <w:sz w:val="10"/>
          <w:rtl/>
          <w:lang w:bidi="ar-SY"/>
        </w:rPr>
      </w:pPr>
    </w:p>
    <w:p w:rsidR="00F32B28" w:rsidRPr="00F32B28" w:rsidRDefault="00F32B28" w:rsidP="00F32B28">
      <w:pPr>
        <w:pStyle w:val="SingleTxt"/>
        <w:rPr>
          <w:b/>
          <w:bCs/>
          <w:rtl/>
          <w:lang w:bidi="ar-SY"/>
        </w:rPr>
      </w:pPr>
      <w:r w:rsidRPr="00F32B28">
        <w:rPr>
          <w:b/>
          <w:bCs/>
          <w:rtl/>
          <w:lang w:bidi="ar-SY"/>
        </w:rPr>
        <w:t>وزارة</w:t>
      </w:r>
      <w:r>
        <w:rPr>
          <w:b/>
          <w:bCs/>
          <w:rtl/>
          <w:lang w:bidi="ar-SY"/>
        </w:rPr>
        <w:t xml:space="preserve"> </w:t>
      </w:r>
      <w:r w:rsidRPr="00F32B28">
        <w:rPr>
          <w:b/>
          <w:bCs/>
          <w:rtl/>
          <w:lang w:bidi="ar-SY"/>
        </w:rPr>
        <w:t>التنمية</w:t>
      </w:r>
      <w:r>
        <w:rPr>
          <w:b/>
          <w:bCs/>
          <w:rtl/>
          <w:lang w:bidi="ar-SY"/>
        </w:rPr>
        <w:t xml:space="preserve"> </w:t>
      </w:r>
      <w:r w:rsidRPr="00F32B28">
        <w:rPr>
          <w:b/>
          <w:bCs/>
          <w:rtl/>
          <w:lang w:bidi="ar-SY"/>
        </w:rPr>
        <w:t>الاجتماعية</w:t>
      </w:r>
      <w:r>
        <w:rPr>
          <w:b/>
          <w:bCs/>
          <w:rtl/>
          <w:lang w:bidi="ar-SY"/>
        </w:rPr>
        <w:t xml:space="preserve"> </w:t>
      </w:r>
      <w:r w:rsidRPr="00F32B28">
        <w:rPr>
          <w:b/>
          <w:bCs/>
          <w:rtl/>
          <w:lang w:bidi="ar-SY"/>
        </w:rPr>
        <w:t>والمؤسسات</w:t>
      </w:r>
      <w:r>
        <w:rPr>
          <w:b/>
          <w:bCs/>
          <w:rtl/>
          <w:lang w:bidi="ar-SY"/>
        </w:rPr>
        <w:t xml:space="preserve"> </w:t>
      </w:r>
      <w:r w:rsidR="00F77719">
        <w:rPr>
          <w:b/>
          <w:bCs/>
          <w:rtl/>
          <w:lang w:bidi="ar-SY"/>
        </w:rPr>
        <w:t>الأخرى</w:t>
      </w:r>
    </w:p>
    <w:p w:rsidR="00F32B28" w:rsidRPr="00F32B28" w:rsidRDefault="00F77719" w:rsidP="00F77719">
      <w:pPr>
        <w:pStyle w:val="SingleTxt"/>
        <w:rPr>
          <w:rtl/>
          <w:lang w:bidi="ar-SY"/>
        </w:rPr>
      </w:pPr>
      <w:r w:rsidRPr="00F77719">
        <w:rPr>
          <w:rFonts w:hint="cs"/>
          <w:rtl/>
          <w:lang w:bidi="ar-SY"/>
        </w:rPr>
        <w:t xml:space="preserve">184 - </w:t>
      </w:r>
      <w:r w:rsidR="00F32B28" w:rsidRPr="00F32B28">
        <w:rPr>
          <w:rtl/>
          <w:lang w:bidi="ar-SY"/>
        </w:rPr>
        <w:t>تلعب</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الوزارة</w:t>
      </w:r>
      <w:r w:rsidR="00F32B28">
        <w:rPr>
          <w:rtl/>
          <w:lang w:bidi="ar-SY"/>
        </w:rPr>
        <w:t xml:space="preserve"> </w:t>
      </w:r>
      <w:r w:rsidR="00F32B28" w:rsidRPr="00F32B28">
        <w:rPr>
          <w:rtl/>
          <w:lang w:bidi="ar-SY"/>
        </w:rPr>
        <w:t>دوراً</w:t>
      </w:r>
      <w:r w:rsidR="00F32B28">
        <w:rPr>
          <w:rtl/>
          <w:lang w:bidi="ar-SY"/>
        </w:rPr>
        <w:t xml:space="preserve"> </w:t>
      </w:r>
      <w:r w:rsidR="00F32B28" w:rsidRPr="00F32B28">
        <w:rPr>
          <w:rtl/>
          <w:lang w:bidi="ar-SY"/>
        </w:rPr>
        <w:t>مفصلياً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التخفيف</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ظاهرة</w:t>
      </w:r>
      <w:r w:rsidR="00F32B28">
        <w:rPr>
          <w:rtl/>
          <w:lang w:bidi="ar-SY"/>
        </w:rPr>
        <w:t xml:space="preserve"> </w:t>
      </w:r>
      <w:r w:rsidR="00F32B28" w:rsidRPr="00F32B28">
        <w:rPr>
          <w:rtl/>
          <w:lang w:bidi="ar-SY"/>
        </w:rPr>
        <w:t>التسرب</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المدارس</w:t>
      </w:r>
      <w:r w:rsidR="00F32B28">
        <w:rPr>
          <w:rtl/>
          <w:lang w:bidi="ar-SY"/>
        </w:rPr>
        <w:t xml:space="preserve"> </w:t>
      </w:r>
      <w:r w:rsidR="00F32B28" w:rsidRPr="00F32B28">
        <w:rPr>
          <w:rtl/>
          <w:lang w:bidi="ar-SY"/>
        </w:rPr>
        <w:t>لكونها</w:t>
      </w:r>
      <w:r w:rsidR="00F32B28">
        <w:rPr>
          <w:rtl/>
          <w:lang w:bidi="ar-SY"/>
        </w:rPr>
        <w:t xml:space="preserve"> </w:t>
      </w:r>
      <w:r w:rsidR="00F32B28" w:rsidRPr="00F32B28">
        <w:rPr>
          <w:rtl/>
          <w:lang w:bidi="ar-SY"/>
        </w:rPr>
        <w:t>تنفذ</w:t>
      </w:r>
      <w:r w:rsidR="00F32B28">
        <w:rPr>
          <w:rtl/>
          <w:lang w:bidi="ar-SY"/>
        </w:rPr>
        <w:t xml:space="preserve"> </w:t>
      </w:r>
      <w:r w:rsidR="00F32B28" w:rsidRPr="00F32B28">
        <w:rPr>
          <w:rtl/>
          <w:lang w:bidi="ar-SY"/>
        </w:rPr>
        <w:t>برامج</w:t>
      </w:r>
      <w:r w:rsidR="00F32B28">
        <w:rPr>
          <w:rtl/>
          <w:lang w:bidi="ar-SY"/>
        </w:rPr>
        <w:t xml:space="preserve"> </w:t>
      </w:r>
      <w:r w:rsidR="00F32B28" w:rsidRPr="00F32B28">
        <w:rPr>
          <w:rtl/>
          <w:lang w:bidi="ar-SY"/>
        </w:rPr>
        <w:t>تكافح</w:t>
      </w:r>
      <w:r w:rsidR="00F32B28">
        <w:rPr>
          <w:rtl/>
          <w:lang w:bidi="ar-SY"/>
        </w:rPr>
        <w:t xml:space="preserve"> </w:t>
      </w:r>
      <w:r w:rsidR="00F32B28" w:rsidRPr="00F32B28">
        <w:rPr>
          <w:rtl/>
          <w:lang w:bidi="ar-SY"/>
        </w:rPr>
        <w:t>الأسباب</w:t>
      </w:r>
      <w:r w:rsidR="00F32B28">
        <w:rPr>
          <w:rtl/>
          <w:lang w:bidi="ar-SY"/>
        </w:rPr>
        <w:t xml:space="preserve"> </w:t>
      </w:r>
      <w:r w:rsidR="00F32B28" w:rsidRPr="00F32B28">
        <w:rPr>
          <w:rtl/>
          <w:lang w:bidi="ar-SY"/>
        </w:rPr>
        <w:t>المؤدية</w:t>
      </w:r>
      <w:r w:rsidR="00F32B28">
        <w:rPr>
          <w:rtl/>
          <w:lang w:bidi="ar-SY"/>
        </w:rPr>
        <w:t xml:space="preserve"> </w:t>
      </w:r>
      <w:r w:rsidR="00F32B28" w:rsidRPr="00F32B28">
        <w:rPr>
          <w:rtl/>
          <w:lang w:bidi="ar-SY"/>
        </w:rPr>
        <w:t>للتسرب</w:t>
      </w:r>
      <w:r w:rsidR="00F32B28">
        <w:rPr>
          <w:rtl/>
          <w:lang w:bidi="ar-SY"/>
        </w:rPr>
        <w:t xml:space="preserve"> </w:t>
      </w:r>
      <w:r w:rsidR="00F32B28" w:rsidRPr="00F32B28">
        <w:rPr>
          <w:rtl/>
          <w:lang w:bidi="ar-SY"/>
        </w:rPr>
        <w:t>والعمالة،</w:t>
      </w:r>
      <w:r w:rsidR="00F32B28">
        <w:rPr>
          <w:rtl/>
          <w:lang w:bidi="ar-SY"/>
        </w:rPr>
        <w:t xml:space="preserve"> </w:t>
      </w:r>
      <w:r w:rsidR="00F32B28" w:rsidRPr="00F32B28">
        <w:rPr>
          <w:rtl/>
          <w:lang w:bidi="ar-SY"/>
        </w:rPr>
        <w:t>كبرامج</w:t>
      </w:r>
      <w:r w:rsidR="00F32B28">
        <w:rPr>
          <w:rtl/>
          <w:lang w:bidi="ar-SY"/>
        </w:rPr>
        <w:t xml:space="preserve"> </w:t>
      </w:r>
      <w:r w:rsidR="00F32B28" w:rsidRPr="00F32B28">
        <w:rPr>
          <w:rtl/>
          <w:lang w:bidi="ar-SY"/>
        </w:rPr>
        <w:t>مكافحة</w:t>
      </w:r>
      <w:r w:rsidR="00F32B28">
        <w:rPr>
          <w:rtl/>
          <w:lang w:bidi="ar-SY"/>
        </w:rPr>
        <w:t xml:space="preserve"> </w:t>
      </w:r>
      <w:r w:rsidR="00F32B28" w:rsidRPr="00F32B28">
        <w:rPr>
          <w:rtl/>
          <w:lang w:bidi="ar-SY"/>
        </w:rPr>
        <w:t>الفقر</w:t>
      </w:r>
      <w:r w:rsidR="00F32B28">
        <w:rPr>
          <w:rtl/>
          <w:lang w:bidi="ar-SY"/>
        </w:rPr>
        <w:t xml:space="preserve"> </w:t>
      </w:r>
      <w:r w:rsidR="00F32B28" w:rsidRPr="00F32B28">
        <w:rPr>
          <w:rtl/>
          <w:lang w:bidi="ar-SY"/>
        </w:rPr>
        <w:t>وتقديم</w:t>
      </w:r>
      <w:r w:rsidR="00F32B28">
        <w:rPr>
          <w:rtl/>
          <w:lang w:bidi="ar-SY"/>
        </w:rPr>
        <w:t xml:space="preserve"> </w:t>
      </w:r>
      <w:r w:rsidR="00F32B28" w:rsidRPr="00F32B28">
        <w:rPr>
          <w:rtl/>
          <w:lang w:bidi="ar-SY"/>
        </w:rPr>
        <w:t>المساعدات</w:t>
      </w:r>
      <w:r w:rsidR="00F32B28">
        <w:rPr>
          <w:rtl/>
          <w:lang w:bidi="ar-SY"/>
        </w:rPr>
        <w:t xml:space="preserve"> </w:t>
      </w:r>
      <w:r w:rsidR="00F32B28" w:rsidRPr="00F32B28">
        <w:rPr>
          <w:rtl/>
          <w:lang w:bidi="ar-SY"/>
        </w:rPr>
        <w:t>النقدية</w:t>
      </w:r>
      <w:r w:rsidR="00F32B28">
        <w:rPr>
          <w:rtl/>
          <w:lang w:bidi="ar-SY"/>
        </w:rPr>
        <w:t xml:space="preserve"> </w:t>
      </w:r>
      <w:r w:rsidR="00F32B28" w:rsidRPr="00F32B28">
        <w:rPr>
          <w:rtl/>
          <w:lang w:bidi="ar-SY"/>
        </w:rPr>
        <w:t>والعينية</w:t>
      </w:r>
      <w:r w:rsidR="00F32B28">
        <w:rPr>
          <w:rtl/>
          <w:lang w:bidi="ar-SY"/>
        </w:rPr>
        <w:t xml:space="preserve"> </w:t>
      </w:r>
      <w:r w:rsidR="00F32B28" w:rsidRPr="00F32B28">
        <w:rPr>
          <w:rtl/>
          <w:lang w:bidi="ar-SY"/>
        </w:rPr>
        <w:t>وتوفير</w:t>
      </w:r>
      <w:r w:rsidR="00F32B28">
        <w:rPr>
          <w:rtl/>
          <w:lang w:bidi="ar-SY"/>
        </w:rPr>
        <w:t xml:space="preserve"> </w:t>
      </w:r>
      <w:r w:rsidR="00F32B28" w:rsidRPr="00F32B28">
        <w:rPr>
          <w:rtl/>
          <w:lang w:bidi="ar-SY"/>
        </w:rPr>
        <w:t>التأمينات</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وتوفير</w:t>
      </w:r>
      <w:r w:rsidR="00F32B28">
        <w:rPr>
          <w:rtl/>
          <w:lang w:bidi="ar-SY"/>
        </w:rPr>
        <w:t xml:space="preserve"> </w:t>
      </w:r>
      <w:r w:rsidR="00F32B28" w:rsidRPr="00F32B28">
        <w:rPr>
          <w:rtl/>
          <w:lang w:bidi="ar-SY"/>
        </w:rPr>
        <w:t>فرص</w:t>
      </w:r>
      <w:r w:rsidR="00F32B28">
        <w:rPr>
          <w:rtl/>
          <w:lang w:bidi="ar-SY"/>
        </w:rPr>
        <w:t xml:space="preserve"> </w:t>
      </w:r>
      <w:r w:rsidR="00F32B28" w:rsidRPr="00F32B28">
        <w:rPr>
          <w:rtl/>
          <w:lang w:bidi="ar-SY"/>
        </w:rPr>
        <w:t>عمل</w:t>
      </w:r>
      <w:r w:rsidR="00F32B28">
        <w:rPr>
          <w:rtl/>
          <w:lang w:bidi="ar-SY"/>
        </w:rPr>
        <w:t xml:space="preserve"> </w:t>
      </w:r>
      <w:r w:rsidR="00F32B28" w:rsidRPr="00F32B28">
        <w:rPr>
          <w:rtl/>
          <w:lang w:bidi="ar-SY"/>
        </w:rPr>
        <w:t>للآباء</w:t>
      </w:r>
      <w:r w:rsidR="00F32B28">
        <w:rPr>
          <w:rtl/>
          <w:lang w:bidi="ar-SY"/>
        </w:rPr>
        <w:t xml:space="preserve"> </w:t>
      </w:r>
      <w:r w:rsidR="00F32B28" w:rsidRPr="00F32B28">
        <w:rPr>
          <w:rtl/>
          <w:lang w:bidi="ar-SY"/>
        </w:rPr>
        <w:t>والأمهات.</w:t>
      </w:r>
      <w:r w:rsidR="00F32B28">
        <w:rPr>
          <w:rtl/>
          <w:lang w:bidi="ar-SY"/>
        </w:rPr>
        <w:t xml:space="preserve"> </w:t>
      </w:r>
    </w:p>
    <w:p w:rsidR="00F32B28" w:rsidRPr="00F32B28" w:rsidRDefault="00F77719" w:rsidP="009B107D">
      <w:pPr>
        <w:pStyle w:val="SingleTxt"/>
        <w:rPr>
          <w:rtl/>
          <w:lang w:bidi="ar-SY"/>
        </w:rPr>
      </w:pPr>
      <w:r>
        <w:rPr>
          <w:rFonts w:hint="cs"/>
          <w:rtl/>
          <w:lang w:bidi="ar-SY"/>
        </w:rPr>
        <w:t xml:space="preserve">185 - </w:t>
      </w:r>
      <w:r w:rsidR="00F32B28" w:rsidRPr="00F32B28">
        <w:rPr>
          <w:rtl/>
          <w:lang w:bidi="ar-SY"/>
        </w:rPr>
        <w:t>كما</w:t>
      </w:r>
      <w:r w:rsidR="00F32B28">
        <w:rPr>
          <w:rtl/>
          <w:lang w:bidi="ar-SY"/>
        </w:rPr>
        <w:t xml:space="preserve"> </w:t>
      </w:r>
      <w:r w:rsidR="00F32B28" w:rsidRPr="00F32B28">
        <w:rPr>
          <w:rtl/>
          <w:lang w:bidi="ar-SY"/>
        </w:rPr>
        <w:t>تقوم</w:t>
      </w:r>
      <w:r w:rsidR="00F32B28">
        <w:rPr>
          <w:rtl/>
          <w:lang w:bidi="ar-SY"/>
        </w:rPr>
        <w:t xml:space="preserve"> </w:t>
      </w:r>
      <w:r w:rsidR="00F32B28" w:rsidRPr="00F32B28">
        <w:rPr>
          <w:rtl/>
          <w:lang w:bidi="ar-SY"/>
        </w:rPr>
        <w:t>مؤسسات</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الحماية</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الأخرى،</w:t>
      </w:r>
      <w:r w:rsidR="00F32B28">
        <w:rPr>
          <w:rtl/>
          <w:lang w:bidi="ar-SY"/>
        </w:rPr>
        <w:t xml:space="preserve"> </w:t>
      </w:r>
      <w:r w:rsidR="00F32B28" w:rsidRPr="00F32B28">
        <w:rPr>
          <w:rtl/>
          <w:lang w:bidi="ar-SY"/>
        </w:rPr>
        <w:t>وبعض</w:t>
      </w:r>
      <w:r w:rsidR="00F32B28">
        <w:rPr>
          <w:rtl/>
          <w:lang w:bidi="ar-SY"/>
        </w:rPr>
        <w:t xml:space="preserve"> </w:t>
      </w:r>
      <w:r w:rsidR="00F32B28" w:rsidRPr="00F32B28">
        <w:rPr>
          <w:rtl/>
          <w:lang w:bidi="ar-SY"/>
        </w:rPr>
        <w:t>المؤسسات</w:t>
      </w:r>
      <w:r w:rsidR="00F32B28">
        <w:rPr>
          <w:rtl/>
          <w:lang w:bidi="ar-SY"/>
        </w:rPr>
        <w:t xml:space="preserve"> </w:t>
      </w:r>
      <w:r w:rsidR="00F32B28" w:rsidRPr="00F32B28">
        <w:rPr>
          <w:rtl/>
          <w:lang w:bidi="ar-SY"/>
        </w:rPr>
        <w:t>الأهلية</w:t>
      </w:r>
      <w:r w:rsidR="00F32B28">
        <w:rPr>
          <w:rtl/>
          <w:lang w:bidi="ar-SY"/>
        </w:rPr>
        <w:t xml:space="preserve"> </w:t>
      </w:r>
      <w:r w:rsidR="00F32B28" w:rsidRPr="00F32B28">
        <w:rPr>
          <w:rtl/>
          <w:lang w:bidi="ar-SY"/>
        </w:rPr>
        <w:t>والجمعيات</w:t>
      </w:r>
      <w:r w:rsidR="00F32B28">
        <w:rPr>
          <w:rtl/>
          <w:lang w:bidi="ar-SY"/>
        </w:rPr>
        <w:t xml:space="preserve"> </w:t>
      </w:r>
      <w:r w:rsidR="00F32B28" w:rsidRPr="00F32B28">
        <w:rPr>
          <w:rtl/>
          <w:lang w:bidi="ar-SY"/>
        </w:rPr>
        <w:t>الخيرية</w:t>
      </w:r>
      <w:r w:rsidR="00F32B28">
        <w:rPr>
          <w:rtl/>
          <w:lang w:bidi="ar-SY"/>
        </w:rPr>
        <w:t xml:space="preserve"> </w:t>
      </w:r>
      <w:r w:rsidR="00F32B28" w:rsidRPr="00F32B28">
        <w:rPr>
          <w:rtl/>
          <w:lang w:bidi="ar-SY"/>
        </w:rPr>
        <w:t>و</w:t>
      </w:r>
      <w:r w:rsidR="00D06D08">
        <w:rPr>
          <w:rFonts w:hint="cs"/>
          <w:rtl/>
          <w:lang w:bidi="ar-SY"/>
        </w:rPr>
        <w:t xml:space="preserve"> </w:t>
      </w:r>
      <w:r w:rsidR="00D06D08">
        <w:rPr>
          <w:rFonts w:hint="eastAsia"/>
          <w:rtl/>
          <w:lang w:bidi="ar-SY"/>
        </w:rPr>
        <w:t>”</w:t>
      </w:r>
      <w:r w:rsidR="00F32B28" w:rsidRPr="00F32B28">
        <w:rPr>
          <w:rtl/>
          <w:lang w:bidi="ar-SY"/>
        </w:rPr>
        <w:t>الأونروا</w:t>
      </w:r>
      <w:r w:rsidR="00D06D08">
        <w:rPr>
          <w:rFonts w:hint="cs"/>
          <w:rtl/>
        </w:rPr>
        <w:t>“</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يتعلق</w:t>
      </w:r>
      <w:r w:rsidR="00F32B28">
        <w:rPr>
          <w:rtl/>
          <w:lang w:bidi="ar-SY"/>
        </w:rPr>
        <w:t xml:space="preserve"> </w:t>
      </w:r>
      <w:r w:rsidR="00F32B28" w:rsidRPr="00F32B28">
        <w:rPr>
          <w:rtl/>
          <w:lang w:bidi="ar-SY"/>
        </w:rPr>
        <w:t>باللاجئين</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بدور</w:t>
      </w:r>
      <w:r w:rsidR="00F32B28">
        <w:rPr>
          <w:rtl/>
          <w:lang w:bidi="ar-SY"/>
        </w:rPr>
        <w:t xml:space="preserve"> </w:t>
      </w:r>
      <w:r w:rsidR="00F32B28" w:rsidRPr="00F32B28">
        <w:rPr>
          <w:rtl/>
          <w:lang w:bidi="ar-SY"/>
        </w:rPr>
        <w:t>مكمل</w:t>
      </w:r>
      <w:r w:rsidR="00F32B28">
        <w:rPr>
          <w:rtl/>
          <w:lang w:bidi="ar-SY"/>
        </w:rPr>
        <w:t xml:space="preserve"> </w:t>
      </w:r>
      <w:r w:rsidR="00F32B28" w:rsidRPr="00F32B28">
        <w:rPr>
          <w:rtl/>
          <w:lang w:bidi="ar-SY"/>
        </w:rPr>
        <w:t>لدور</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التنمية</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يخص</w:t>
      </w:r>
      <w:r w:rsidR="00F32B28">
        <w:rPr>
          <w:rtl/>
          <w:lang w:bidi="ar-SY"/>
        </w:rPr>
        <w:t xml:space="preserve"> </w:t>
      </w:r>
      <w:r w:rsidR="00F32B28" w:rsidRPr="00F32B28">
        <w:rPr>
          <w:rtl/>
          <w:lang w:bidi="ar-SY"/>
        </w:rPr>
        <w:t>تقديم</w:t>
      </w:r>
      <w:r w:rsidR="00F32B28">
        <w:rPr>
          <w:rtl/>
          <w:lang w:bidi="ar-SY"/>
        </w:rPr>
        <w:t xml:space="preserve"> </w:t>
      </w:r>
      <w:r w:rsidR="00F32B28" w:rsidRPr="00F32B28">
        <w:rPr>
          <w:rtl/>
          <w:lang w:bidi="ar-SY"/>
        </w:rPr>
        <w:t>المساعدات</w:t>
      </w:r>
      <w:r w:rsidR="00F32B28">
        <w:rPr>
          <w:rtl/>
          <w:lang w:bidi="ar-SY"/>
        </w:rPr>
        <w:t xml:space="preserve"> </w:t>
      </w:r>
      <w:r w:rsidR="00F32B28" w:rsidRPr="00F32B28">
        <w:rPr>
          <w:rtl/>
          <w:lang w:bidi="ar-SY"/>
        </w:rPr>
        <w:t>النقدية</w:t>
      </w:r>
      <w:r w:rsidR="00F32B28">
        <w:rPr>
          <w:rtl/>
          <w:lang w:bidi="ar-SY"/>
        </w:rPr>
        <w:t xml:space="preserve"> </w:t>
      </w:r>
      <w:r w:rsidR="00F32B28" w:rsidRPr="00F32B28">
        <w:rPr>
          <w:rtl/>
          <w:lang w:bidi="ar-SY"/>
        </w:rPr>
        <w:t>للأسر</w:t>
      </w:r>
      <w:r w:rsidR="00F32B28">
        <w:rPr>
          <w:rtl/>
          <w:lang w:bidi="ar-SY"/>
        </w:rPr>
        <w:t xml:space="preserve"> </w:t>
      </w:r>
      <w:r w:rsidR="00F32B28" w:rsidRPr="00F32B28">
        <w:rPr>
          <w:rtl/>
          <w:lang w:bidi="ar-SY"/>
        </w:rPr>
        <w:t>الفقيرة</w:t>
      </w:r>
      <w:r w:rsidR="00F32B28">
        <w:rPr>
          <w:rtl/>
          <w:lang w:bidi="ar-SY"/>
        </w:rPr>
        <w:t xml:space="preserve"> </w:t>
      </w:r>
      <w:r w:rsidR="00F32B28" w:rsidRPr="00F32B28">
        <w:rPr>
          <w:rtl/>
          <w:lang w:bidi="ar-SY"/>
        </w:rPr>
        <w:t>وتوفير</w:t>
      </w:r>
      <w:r w:rsidR="00F32B28">
        <w:rPr>
          <w:rtl/>
          <w:lang w:bidi="ar-SY"/>
        </w:rPr>
        <w:t xml:space="preserve"> </w:t>
      </w:r>
      <w:r w:rsidR="00F32B28" w:rsidRPr="00F32B28">
        <w:rPr>
          <w:rtl/>
          <w:lang w:bidi="ar-SY"/>
        </w:rPr>
        <w:t>فرص</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الأمور</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تحد</w:t>
      </w:r>
      <w:r w:rsidR="00F32B28">
        <w:rPr>
          <w:rtl/>
          <w:lang w:bidi="ar-SY"/>
        </w:rPr>
        <w:t xml:space="preserve"> </w:t>
      </w:r>
      <w:r w:rsidR="00F32B28" w:rsidRPr="00F32B28">
        <w:rPr>
          <w:rtl/>
          <w:lang w:bidi="ar-SY"/>
        </w:rPr>
        <w:t>ولو</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جزئي</w:t>
      </w:r>
      <w:r w:rsidR="009B107D">
        <w:rPr>
          <w:rFonts w:hint="cs"/>
          <w:rtl/>
          <w:lang w:bidi="ar-SY"/>
        </w:rPr>
        <w:t xml:space="preserve"> </w:t>
      </w:r>
      <w:r w:rsidR="00F32B28" w:rsidRPr="00F32B28">
        <w:rPr>
          <w:rtl/>
          <w:lang w:bidi="ar-SY"/>
        </w:rPr>
        <w:t>من</w:t>
      </w:r>
      <w:r w:rsidR="00F32B28">
        <w:rPr>
          <w:rtl/>
          <w:lang w:bidi="ar-SY"/>
        </w:rPr>
        <w:t xml:space="preserve"> </w:t>
      </w:r>
      <w:r w:rsidR="00F32B28" w:rsidRPr="00F32B28">
        <w:rPr>
          <w:rtl/>
          <w:lang w:bidi="ar-SY"/>
        </w:rPr>
        <w:t>ظاهرة</w:t>
      </w:r>
      <w:r w:rsidR="00F32B28">
        <w:rPr>
          <w:rtl/>
          <w:lang w:bidi="ar-SY"/>
        </w:rPr>
        <w:t xml:space="preserve"> </w:t>
      </w:r>
      <w:r w:rsidR="00F32B28" w:rsidRPr="00F32B28">
        <w:rPr>
          <w:rtl/>
          <w:lang w:bidi="ar-SY"/>
        </w:rPr>
        <w:t>تسرب</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المدارس</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أجل</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وإعانة</w:t>
      </w:r>
      <w:r w:rsidR="00F32B28">
        <w:rPr>
          <w:rtl/>
          <w:lang w:bidi="ar-SY"/>
        </w:rPr>
        <w:t xml:space="preserve"> </w:t>
      </w:r>
      <w:r w:rsidR="00F32B28" w:rsidRPr="00F32B28">
        <w:rPr>
          <w:rtl/>
          <w:lang w:bidi="ar-SY"/>
        </w:rPr>
        <w:t>عائلاتهم.</w:t>
      </w:r>
    </w:p>
    <w:p w:rsidR="00F32B28" w:rsidRPr="00F32B28" w:rsidRDefault="00F32B28" w:rsidP="00F32B28">
      <w:pPr>
        <w:pStyle w:val="SingleTxt"/>
        <w:rPr>
          <w:b/>
          <w:bCs/>
          <w:rtl/>
          <w:lang w:bidi="ar-SY"/>
        </w:rPr>
      </w:pPr>
      <w:r w:rsidRPr="00F32B28">
        <w:rPr>
          <w:b/>
          <w:bCs/>
          <w:rtl/>
          <w:lang w:bidi="ar-SY"/>
        </w:rPr>
        <w:lastRenderedPageBreak/>
        <w:t>الأمية</w:t>
      </w:r>
    </w:p>
    <w:p w:rsidR="00F32B28" w:rsidRPr="00F32B28" w:rsidRDefault="00F77719" w:rsidP="009F4D72">
      <w:pPr>
        <w:pStyle w:val="SingleTxt"/>
      </w:pPr>
      <w:r>
        <w:rPr>
          <w:rFonts w:hint="cs"/>
          <w:rtl/>
        </w:rPr>
        <w:t xml:space="preserve">186 - </w:t>
      </w:r>
      <w:r w:rsidR="00F32B28" w:rsidRPr="00F32B28">
        <w:rPr>
          <w:rtl/>
        </w:rPr>
        <w:t>كما</w:t>
      </w:r>
      <w:r w:rsidR="00F32B28">
        <w:rPr>
          <w:rtl/>
        </w:rPr>
        <w:t xml:space="preserve"> </w:t>
      </w:r>
      <w:r w:rsidR="00F32B28" w:rsidRPr="00F32B28">
        <w:rPr>
          <w:rtl/>
        </w:rPr>
        <w:t>شهد</w:t>
      </w:r>
      <w:r w:rsidR="00F32B28">
        <w:rPr>
          <w:rtl/>
        </w:rPr>
        <w:t xml:space="preserve"> </w:t>
      </w:r>
      <w:r w:rsidR="00F32B28" w:rsidRPr="00F32B28">
        <w:rPr>
          <w:rtl/>
        </w:rPr>
        <w:t>معدل</w:t>
      </w:r>
      <w:r w:rsidR="00F32B28">
        <w:rPr>
          <w:rtl/>
        </w:rPr>
        <w:t xml:space="preserve"> </w:t>
      </w:r>
      <w:r w:rsidR="00F32B28" w:rsidRPr="00F32B28">
        <w:rPr>
          <w:rtl/>
        </w:rPr>
        <w:t>انتشار</w:t>
      </w:r>
      <w:r w:rsidR="00F32B28">
        <w:rPr>
          <w:rtl/>
        </w:rPr>
        <w:t xml:space="preserve"> </w:t>
      </w:r>
      <w:r w:rsidR="00F32B28" w:rsidRPr="00F32B28">
        <w:rPr>
          <w:rtl/>
        </w:rPr>
        <w:t>الأمية</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المحتلة</w:t>
      </w:r>
      <w:r w:rsidR="00F32B28">
        <w:rPr>
          <w:rtl/>
        </w:rPr>
        <w:t xml:space="preserve"> </w:t>
      </w:r>
      <w:r w:rsidR="00F32B28" w:rsidRPr="00F32B28">
        <w:rPr>
          <w:rtl/>
        </w:rPr>
        <w:t>انخفاضاً</w:t>
      </w:r>
      <w:r w:rsidR="00F32B28">
        <w:rPr>
          <w:rtl/>
        </w:rPr>
        <w:t xml:space="preserve"> </w:t>
      </w:r>
      <w:r w:rsidR="00F32B28" w:rsidRPr="00F32B28">
        <w:rPr>
          <w:rtl/>
        </w:rPr>
        <w:t>واضحاً</w:t>
      </w:r>
      <w:r w:rsidR="00F32B28">
        <w:rPr>
          <w:rtl/>
        </w:rPr>
        <w:t xml:space="preserve"> </w:t>
      </w:r>
      <w:r w:rsidR="00F32B28" w:rsidRPr="00F32B28">
        <w:rPr>
          <w:rtl/>
        </w:rPr>
        <w:t>فيما</w:t>
      </w:r>
      <w:r w:rsidR="00F32B28">
        <w:rPr>
          <w:rtl/>
        </w:rPr>
        <w:t xml:space="preserve"> </w:t>
      </w:r>
      <w:r w:rsidR="00F32B28" w:rsidRPr="00F32B28">
        <w:rPr>
          <w:rtl/>
        </w:rPr>
        <w:t>بين</w:t>
      </w:r>
      <w:r w:rsidR="00F32B28">
        <w:rPr>
          <w:rtl/>
        </w:rPr>
        <w:t xml:space="preserve"> </w:t>
      </w:r>
      <w:r w:rsidR="00F32B28" w:rsidRPr="00F32B28">
        <w:rPr>
          <w:rtl/>
        </w:rPr>
        <w:t>العامة،</w:t>
      </w:r>
      <w:r w:rsidR="00F32B28">
        <w:rPr>
          <w:rtl/>
        </w:rPr>
        <w:t xml:space="preserve"> </w:t>
      </w:r>
      <w:r w:rsidR="00F32B28" w:rsidRPr="00F32B28">
        <w:rPr>
          <w:rtl/>
        </w:rPr>
        <w:t>وبخاصة</w:t>
      </w:r>
      <w:r w:rsidR="00F32B28">
        <w:rPr>
          <w:rtl/>
        </w:rPr>
        <w:t xml:space="preserve"> </w:t>
      </w:r>
      <w:r w:rsidR="00F32B28" w:rsidRPr="00F32B28">
        <w:rPr>
          <w:rtl/>
          <w:lang w:bidi="ar-SY"/>
        </w:rPr>
        <w:t>بين</w:t>
      </w:r>
      <w:r w:rsidR="00F32B28">
        <w:rPr>
          <w:rtl/>
          <w:lang w:bidi="ar-SY"/>
        </w:rPr>
        <w:t xml:space="preserve"> </w:t>
      </w:r>
      <w:r w:rsidR="00F32B28" w:rsidRPr="00F32B28">
        <w:rPr>
          <w:rtl/>
        </w:rPr>
        <w:t>النساء.</w:t>
      </w:r>
      <w:r w:rsidR="00F32B28">
        <w:rPr>
          <w:rtl/>
        </w:rPr>
        <w:t xml:space="preserve"> </w:t>
      </w:r>
      <w:r w:rsidR="00F32B28" w:rsidRPr="00F32B28">
        <w:rPr>
          <w:rtl/>
        </w:rPr>
        <w:t>ففي</w:t>
      </w:r>
      <w:r w:rsidR="00F32B28">
        <w:rPr>
          <w:rtl/>
        </w:rPr>
        <w:t xml:space="preserve"> </w:t>
      </w:r>
      <w:r w:rsidR="00F32B28" w:rsidRPr="00F32B28">
        <w:rPr>
          <w:rtl/>
        </w:rPr>
        <w:t>عام</w:t>
      </w:r>
      <w:r w:rsidR="00F32B28">
        <w:rPr>
          <w:rtl/>
        </w:rPr>
        <w:t xml:space="preserve"> </w:t>
      </w:r>
      <w:r w:rsidR="00F32B28" w:rsidRPr="00F32B28">
        <w:rPr>
          <w:rtl/>
        </w:rPr>
        <w:t>1997،</w:t>
      </w:r>
      <w:r w:rsidR="00F32B28">
        <w:rPr>
          <w:rtl/>
        </w:rPr>
        <w:t xml:space="preserve"> </w:t>
      </w:r>
      <w:r w:rsidR="00F32B28" w:rsidRPr="00F32B28">
        <w:rPr>
          <w:rtl/>
        </w:rPr>
        <w:t>كان</w:t>
      </w:r>
      <w:r w:rsidR="00F32B28">
        <w:rPr>
          <w:rtl/>
        </w:rPr>
        <w:t xml:space="preserve"> </w:t>
      </w:r>
      <w:r w:rsidR="00F32B28" w:rsidRPr="00F32B28">
        <w:rPr>
          <w:rtl/>
        </w:rPr>
        <w:t>المعدل</w:t>
      </w:r>
      <w:r w:rsidR="00F32B28">
        <w:rPr>
          <w:rtl/>
        </w:rPr>
        <w:t xml:space="preserve"> </w:t>
      </w:r>
      <w:r w:rsidR="00F32B28" w:rsidRPr="00F32B28">
        <w:rPr>
          <w:rtl/>
        </w:rPr>
        <w:t>العام</w:t>
      </w:r>
      <w:r w:rsidR="00F32B28">
        <w:rPr>
          <w:rtl/>
        </w:rPr>
        <w:t xml:space="preserve"> </w:t>
      </w:r>
      <w:r w:rsidR="00F32B28" w:rsidRPr="00F32B28">
        <w:rPr>
          <w:rtl/>
        </w:rPr>
        <w:t>للأمية</w:t>
      </w:r>
      <w:r w:rsidR="00F32B28">
        <w:rPr>
          <w:rtl/>
        </w:rPr>
        <w:t xml:space="preserve"> </w:t>
      </w:r>
      <w:r w:rsidR="00F32B28" w:rsidRPr="00F32B28">
        <w:rPr>
          <w:rtl/>
        </w:rPr>
        <w:t>بين</w:t>
      </w:r>
      <w:r w:rsidR="00F32B28">
        <w:rPr>
          <w:rtl/>
        </w:rPr>
        <w:t xml:space="preserve"> </w:t>
      </w:r>
      <w:r w:rsidR="00F32B28" w:rsidRPr="00F32B28">
        <w:rPr>
          <w:rtl/>
        </w:rPr>
        <w:t>الأفراد</w:t>
      </w:r>
      <w:r w:rsidR="00F32B28">
        <w:rPr>
          <w:rtl/>
        </w:rPr>
        <w:t xml:space="preserve"> </w:t>
      </w:r>
      <w:r w:rsidR="00F32B28" w:rsidRPr="00F32B28">
        <w:rPr>
          <w:rtl/>
        </w:rPr>
        <w:t>15</w:t>
      </w:r>
      <w:r w:rsidR="00F32B28">
        <w:rPr>
          <w:rtl/>
        </w:rPr>
        <w:t xml:space="preserve"> </w:t>
      </w:r>
      <w:r w:rsidR="00F32B28" w:rsidRPr="00F32B28">
        <w:rPr>
          <w:rtl/>
        </w:rPr>
        <w:t>سنة</w:t>
      </w:r>
      <w:r w:rsidR="00F32B28">
        <w:rPr>
          <w:rtl/>
        </w:rPr>
        <w:t xml:space="preserve"> </w:t>
      </w:r>
      <w:r w:rsidR="00F32B28" w:rsidRPr="00F32B28">
        <w:rPr>
          <w:rtl/>
        </w:rPr>
        <w:t>فأكثر</w:t>
      </w:r>
      <w:r w:rsidR="00F32B28">
        <w:rPr>
          <w:rtl/>
        </w:rPr>
        <w:t xml:space="preserve"> </w:t>
      </w:r>
      <w:r w:rsidR="00F32B28" w:rsidRPr="00F32B28">
        <w:rPr>
          <w:rtl/>
        </w:rPr>
        <w:t>13.9</w:t>
      </w:r>
      <w:r w:rsidR="00851F93">
        <w:rPr>
          <w:rFonts w:hint="cs"/>
          <w:rtl/>
        </w:rPr>
        <w:t xml:space="preserve"> </w:t>
      </w:r>
      <w:r w:rsidR="00600C43">
        <w:rPr>
          <w:rtl/>
        </w:rPr>
        <w:t>في المائة</w:t>
      </w:r>
      <w:r w:rsidR="00F32B28" w:rsidRPr="00F32B28">
        <w:rPr>
          <w:rtl/>
        </w:rPr>
        <w:t>؛</w:t>
      </w:r>
      <w:r w:rsidR="00F32B28">
        <w:rPr>
          <w:rtl/>
        </w:rPr>
        <w:t xml:space="preserve"> </w:t>
      </w:r>
      <w:r w:rsidR="00F32B28" w:rsidRPr="00F32B28">
        <w:rPr>
          <w:rtl/>
        </w:rPr>
        <w:t>بواقع</w:t>
      </w:r>
      <w:r w:rsidR="00F32B28">
        <w:rPr>
          <w:rtl/>
        </w:rPr>
        <w:t xml:space="preserve"> </w:t>
      </w:r>
      <w:r w:rsidR="00EE4046">
        <w:rPr>
          <w:rFonts w:hint="cs"/>
          <w:rtl/>
        </w:rPr>
        <w:t>7.8</w:t>
      </w:r>
      <w:r w:rsidR="00EE4046">
        <w:rPr>
          <w:rFonts w:hint="eastAsia"/>
          <w:rtl/>
        </w:rPr>
        <w:t> </w:t>
      </w:r>
      <w:r w:rsidR="00F32B28" w:rsidRPr="00F32B28">
        <w:rPr>
          <w:rtl/>
        </w:rPr>
        <w:t>بين</w:t>
      </w:r>
      <w:r w:rsidR="00F32B28">
        <w:rPr>
          <w:rtl/>
        </w:rPr>
        <w:t xml:space="preserve"> </w:t>
      </w:r>
      <w:r w:rsidR="00F32B28" w:rsidRPr="00F32B28">
        <w:rPr>
          <w:rtl/>
        </w:rPr>
        <w:t>الذكور</w:t>
      </w:r>
      <w:r w:rsidR="00F32B28">
        <w:rPr>
          <w:rtl/>
        </w:rPr>
        <w:t xml:space="preserve"> </w:t>
      </w:r>
      <w:r w:rsidR="00F32B28" w:rsidRPr="00F32B28">
        <w:rPr>
          <w:rtl/>
        </w:rPr>
        <w:t>و</w:t>
      </w:r>
      <w:r w:rsidR="00EE4046">
        <w:rPr>
          <w:rFonts w:hint="cs"/>
          <w:rtl/>
        </w:rPr>
        <w:t xml:space="preserve"> </w:t>
      </w:r>
      <w:r w:rsidR="00F32B28" w:rsidRPr="00F32B28">
        <w:rPr>
          <w:rtl/>
        </w:rPr>
        <w:t>20.3</w:t>
      </w:r>
      <w:r w:rsidR="00EE4046">
        <w:rPr>
          <w:rFonts w:hint="cs"/>
          <w:rtl/>
        </w:rPr>
        <w:t xml:space="preserve"> </w:t>
      </w:r>
      <w:r w:rsidR="00600C43">
        <w:rPr>
          <w:rtl/>
        </w:rPr>
        <w:t>في المائة</w:t>
      </w:r>
      <w:r w:rsidR="00F32B28">
        <w:rPr>
          <w:rtl/>
        </w:rPr>
        <w:t xml:space="preserve"> </w:t>
      </w:r>
      <w:r w:rsidR="00F32B28" w:rsidRPr="00F32B28">
        <w:rPr>
          <w:rtl/>
        </w:rPr>
        <w:t>بين</w:t>
      </w:r>
      <w:r w:rsidR="00F32B28">
        <w:rPr>
          <w:rtl/>
        </w:rPr>
        <w:t xml:space="preserve"> </w:t>
      </w:r>
      <w:r w:rsidR="00F32B28" w:rsidRPr="00F32B28">
        <w:rPr>
          <w:rtl/>
        </w:rPr>
        <w:t>الإناث.</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تشير</w:t>
      </w:r>
      <w:r w:rsidR="00F32B28">
        <w:rPr>
          <w:rtl/>
        </w:rPr>
        <w:t xml:space="preserve"> </w:t>
      </w:r>
      <w:r w:rsidR="00F32B28" w:rsidRPr="00F32B28">
        <w:rPr>
          <w:rtl/>
        </w:rPr>
        <w:t>الإحصاءات</w:t>
      </w:r>
      <w:r w:rsidR="00F32B28">
        <w:rPr>
          <w:rtl/>
        </w:rPr>
        <w:t xml:space="preserve"> </w:t>
      </w:r>
      <w:r w:rsidR="00F32B28" w:rsidRPr="00F32B28">
        <w:rPr>
          <w:rtl/>
        </w:rPr>
        <w:t>الصادرة</w:t>
      </w:r>
      <w:r w:rsidR="00F32B28">
        <w:rPr>
          <w:rtl/>
        </w:rPr>
        <w:t xml:space="preserve"> </w:t>
      </w:r>
      <w:r w:rsidR="00F32B28" w:rsidRPr="00F32B28">
        <w:rPr>
          <w:rtl/>
        </w:rPr>
        <w:t>عن</w:t>
      </w:r>
      <w:r w:rsidR="00F32B28">
        <w:rPr>
          <w:rtl/>
        </w:rPr>
        <w:t xml:space="preserve"> </w:t>
      </w:r>
      <w:r w:rsidR="00F32B28" w:rsidRPr="00F32B28">
        <w:rPr>
          <w:rtl/>
        </w:rPr>
        <w:t>الجهاز</w:t>
      </w:r>
      <w:r w:rsidR="00F32B28">
        <w:rPr>
          <w:rtl/>
        </w:rPr>
        <w:t xml:space="preserve"> </w:t>
      </w:r>
      <w:r w:rsidR="00F32B28" w:rsidRPr="00F32B28">
        <w:rPr>
          <w:rtl/>
        </w:rPr>
        <w:t>المركزي</w:t>
      </w:r>
      <w:r w:rsidR="00F32B28">
        <w:rPr>
          <w:rtl/>
        </w:rPr>
        <w:t xml:space="preserve"> </w:t>
      </w:r>
      <w:r w:rsidR="00F32B28" w:rsidRPr="00F32B28">
        <w:rPr>
          <w:rtl/>
        </w:rPr>
        <w:t>لعام</w:t>
      </w:r>
      <w:r w:rsidR="00F32B28">
        <w:rPr>
          <w:rtl/>
        </w:rPr>
        <w:t xml:space="preserve"> </w:t>
      </w:r>
      <w:r w:rsidR="00F32B28" w:rsidRPr="00F32B28">
        <w:rPr>
          <w:rtl/>
        </w:rPr>
        <w:t>2014</w:t>
      </w:r>
      <w:r w:rsidR="00F32B28">
        <w:rPr>
          <w:rtl/>
        </w:rPr>
        <w:t xml:space="preserve"> </w:t>
      </w:r>
      <w:r w:rsidR="00F32B28" w:rsidRPr="00F32B28">
        <w:rPr>
          <w:rtl/>
        </w:rPr>
        <w:t>إلى</w:t>
      </w:r>
      <w:r w:rsidR="00F32B28">
        <w:rPr>
          <w:rtl/>
        </w:rPr>
        <w:t xml:space="preserve"> </w:t>
      </w:r>
      <w:r w:rsidR="00F32B28" w:rsidRPr="00F32B28">
        <w:rPr>
          <w:rtl/>
        </w:rPr>
        <w:t>أن</w:t>
      </w:r>
      <w:r w:rsidR="00F32B28">
        <w:rPr>
          <w:rtl/>
        </w:rPr>
        <w:t xml:space="preserve"> </w:t>
      </w:r>
      <w:r w:rsidR="00F32B28" w:rsidRPr="00F32B28">
        <w:rPr>
          <w:rtl/>
        </w:rPr>
        <w:t>الأمية</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أصبحت</w:t>
      </w:r>
      <w:r w:rsidR="00F32B28">
        <w:rPr>
          <w:rtl/>
        </w:rPr>
        <w:t xml:space="preserve"> </w:t>
      </w:r>
      <w:r w:rsidR="00F32B28" w:rsidRPr="00F32B28">
        <w:rPr>
          <w:rtl/>
        </w:rPr>
        <w:t>من</w:t>
      </w:r>
      <w:r w:rsidR="00F32B28">
        <w:rPr>
          <w:rtl/>
        </w:rPr>
        <w:t xml:space="preserve"> </w:t>
      </w:r>
      <w:r w:rsidR="00F32B28" w:rsidRPr="00F32B28">
        <w:rPr>
          <w:rtl/>
        </w:rPr>
        <w:t>أقل</w:t>
      </w:r>
      <w:r w:rsidR="00F32B28">
        <w:rPr>
          <w:rtl/>
        </w:rPr>
        <w:t xml:space="preserve"> </w:t>
      </w:r>
      <w:r w:rsidR="00F32B28" w:rsidRPr="00F32B28">
        <w:rPr>
          <w:rtl/>
        </w:rPr>
        <w:t>المعدلات</w:t>
      </w:r>
      <w:r w:rsidR="00F32B28">
        <w:rPr>
          <w:rtl/>
        </w:rPr>
        <w:t xml:space="preserve"> </w:t>
      </w:r>
      <w:r w:rsidR="00F32B28" w:rsidRPr="00F32B28">
        <w:rPr>
          <w:rtl/>
        </w:rPr>
        <w:t>في</w:t>
      </w:r>
      <w:r w:rsidR="00F32B28">
        <w:rPr>
          <w:rtl/>
        </w:rPr>
        <w:t xml:space="preserve"> </w:t>
      </w:r>
      <w:r w:rsidR="00F32B28" w:rsidRPr="00F32B28">
        <w:rPr>
          <w:rtl/>
        </w:rPr>
        <w:t>العالم؛</w:t>
      </w:r>
      <w:r w:rsidR="00F32B28">
        <w:rPr>
          <w:rtl/>
        </w:rPr>
        <w:t xml:space="preserve"> </w:t>
      </w:r>
      <w:r w:rsidR="00F32B28" w:rsidRPr="00F32B28">
        <w:rPr>
          <w:rtl/>
        </w:rPr>
        <w:t>حيث</w:t>
      </w:r>
      <w:r w:rsidR="00F32B28">
        <w:rPr>
          <w:rtl/>
        </w:rPr>
        <w:t xml:space="preserve"> </w:t>
      </w:r>
      <w:r w:rsidR="00F32B28" w:rsidRPr="00F32B28">
        <w:rPr>
          <w:rtl/>
        </w:rPr>
        <w:t>تدنى</w:t>
      </w:r>
      <w:r w:rsidR="00F32B28">
        <w:rPr>
          <w:rtl/>
        </w:rPr>
        <w:t xml:space="preserve"> </w:t>
      </w:r>
      <w:r w:rsidR="00F32B28" w:rsidRPr="00F32B28">
        <w:rPr>
          <w:rtl/>
        </w:rPr>
        <w:t>معدل</w:t>
      </w:r>
      <w:r w:rsidR="00F32B28">
        <w:rPr>
          <w:rtl/>
        </w:rPr>
        <w:t xml:space="preserve"> </w:t>
      </w:r>
      <w:r w:rsidR="00F32B28" w:rsidRPr="00F32B28">
        <w:rPr>
          <w:rtl/>
        </w:rPr>
        <w:t>الأمية</w:t>
      </w:r>
      <w:r w:rsidR="00F32B28">
        <w:rPr>
          <w:rtl/>
        </w:rPr>
        <w:t xml:space="preserve"> </w:t>
      </w:r>
      <w:r w:rsidR="00F32B28" w:rsidRPr="00F32B28">
        <w:rPr>
          <w:rtl/>
        </w:rPr>
        <w:t>العام</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بين</w:t>
      </w:r>
      <w:r w:rsidR="00F32B28">
        <w:rPr>
          <w:rtl/>
        </w:rPr>
        <w:t xml:space="preserve"> </w:t>
      </w:r>
      <w:r w:rsidR="00F32B28" w:rsidRPr="00F32B28">
        <w:rPr>
          <w:rtl/>
        </w:rPr>
        <w:t>الأفراد</w:t>
      </w:r>
      <w:r w:rsidR="00F32B28">
        <w:rPr>
          <w:rtl/>
        </w:rPr>
        <w:t xml:space="preserve"> </w:t>
      </w:r>
      <w:r w:rsidR="00F32B28" w:rsidRPr="00F32B28">
        <w:rPr>
          <w:rtl/>
        </w:rPr>
        <w:t>(15</w:t>
      </w:r>
      <w:r w:rsidR="00F32B28">
        <w:rPr>
          <w:rtl/>
        </w:rPr>
        <w:t xml:space="preserve"> </w:t>
      </w:r>
      <w:r w:rsidR="00F32B28" w:rsidRPr="00F32B28">
        <w:rPr>
          <w:rtl/>
        </w:rPr>
        <w:t>سنة</w:t>
      </w:r>
      <w:r w:rsidR="00F32B28">
        <w:rPr>
          <w:rtl/>
        </w:rPr>
        <w:t xml:space="preserve"> </w:t>
      </w:r>
      <w:r w:rsidR="00F32B28" w:rsidRPr="00F32B28">
        <w:rPr>
          <w:rtl/>
        </w:rPr>
        <w:t>فأكثر)</w:t>
      </w:r>
      <w:r w:rsidR="00F32B28">
        <w:rPr>
          <w:rtl/>
        </w:rPr>
        <w:t xml:space="preserve"> </w:t>
      </w:r>
      <w:r w:rsidR="00F32B28" w:rsidRPr="00F32B28">
        <w:rPr>
          <w:rtl/>
        </w:rPr>
        <w:t>إلى</w:t>
      </w:r>
      <w:r w:rsidR="00F32B28">
        <w:rPr>
          <w:rtl/>
        </w:rPr>
        <w:t xml:space="preserve"> </w:t>
      </w:r>
      <w:r w:rsidR="00F32B28" w:rsidRPr="00F32B28">
        <w:rPr>
          <w:rtl/>
        </w:rPr>
        <w:t>3.6</w:t>
      </w:r>
      <w:r w:rsidR="00851F93">
        <w:rPr>
          <w:rFonts w:hint="cs"/>
          <w:rtl/>
        </w:rPr>
        <w:t xml:space="preserve"> </w:t>
      </w:r>
      <w:r w:rsidR="00600C43">
        <w:rPr>
          <w:rtl/>
        </w:rPr>
        <w:t>في المائة</w:t>
      </w:r>
      <w:r w:rsidR="00F32B28">
        <w:rPr>
          <w:rtl/>
        </w:rPr>
        <w:t xml:space="preserve"> </w:t>
      </w:r>
      <w:r w:rsidR="00F32B28" w:rsidRPr="00F32B28">
        <w:rPr>
          <w:rtl/>
        </w:rPr>
        <w:t>(</w:t>
      </w:r>
      <w:r w:rsidR="00EE4046">
        <w:rPr>
          <w:rFonts w:hint="cs"/>
          <w:rtl/>
        </w:rPr>
        <w:t xml:space="preserve">921 97 </w:t>
      </w:r>
      <w:r w:rsidR="00F32B28" w:rsidRPr="00F32B28">
        <w:rPr>
          <w:rtl/>
        </w:rPr>
        <w:t>شخص</w:t>
      </w:r>
      <w:r w:rsidR="00F32B28">
        <w:rPr>
          <w:rtl/>
        </w:rPr>
        <w:t xml:space="preserve"> </w:t>
      </w:r>
      <w:r w:rsidR="00F32B28" w:rsidRPr="00F32B28">
        <w:rPr>
          <w:rtl/>
        </w:rPr>
        <w:t>أمي).</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هذه</w:t>
      </w:r>
      <w:r w:rsidR="00F32B28">
        <w:rPr>
          <w:rtl/>
        </w:rPr>
        <w:t xml:space="preserve"> </w:t>
      </w:r>
      <w:r w:rsidR="00F32B28" w:rsidRPr="00F32B28">
        <w:rPr>
          <w:rtl/>
        </w:rPr>
        <w:t>النسب</w:t>
      </w:r>
      <w:r w:rsidR="00F32B28">
        <w:rPr>
          <w:rtl/>
        </w:rPr>
        <w:t xml:space="preserve"> </w:t>
      </w:r>
      <w:r w:rsidR="00F32B28" w:rsidRPr="00F32B28">
        <w:rPr>
          <w:rtl/>
        </w:rPr>
        <w:t>لا</w:t>
      </w:r>
      <w:r w:rsidR="00EE4046">
        <w:rPr>
          <w:rFonts w:hint="cs"/>
          <w:rtl/>
        </w:rPr>
        <w:t> </w:t>
      </w:r>
      <w:r w:rsidR="00F32B28" w:rsidRPr="00F32B28">
        <w:rPr>
          <w:rtl/>
        </w:rPr>
        <w:t>تزال</w:t>
      </w:r>
      <w:r w:rsidR="00F32B28">
        <w:rPr>
          <w:rtl/>
        </w:rPr>
        <w:t xml:space="preserve"> </w:t>
      </w:r>
      <w:r w:rsidR="00F32B28" w:rsidRPr="00F32B28">
        <w:rPr>
          <w:rtl/>
        </w:rPr>
        <w:t>تتفاوت</w:t>
      </w:r>
      <w:r w:rsidR="00F32B28">
        <w:rPr>
          <w:rtl/>
        </w:rPr>
        <w:t xml:space="preserve"> </w:t>
      </w:r>
      <w:r w:rsidR="00F32B28" w:rsidRPr="00F32B28">
        <w:rPr>
          <w:rtl/>
        </w:rPr>
        <w:t>بين</w:t>
      </w:r>
      <w:r w:rsidR="00F32B28">
        <w:rPr>
          <w:rtl/>
        </w:rPr>
        <w:t xml:space="preserve"> </w:t>
      </w:r>
      <w:r w:rsidR="00F32B28" w:rsidRPr="00F32B28">
        <w:rPr>
          <w:rtl/>
        </w:rPr>
        <w:t>الذكور</w:t>
      </w:r>
      <w:r w:rsidR="00F32B28">
        <w:rPr>
          <w:rtl/>
        </w:rPr>
        <w:t xml:space="preserve"> </w:t>
      </w:r>
      <w:r w:rsidR="00F32B28" w:rsidRPr="00F32B28">
        <w:rPr>
          <w:rtl/>
        </w:rPr>
        <w:t>والإناث؛</w:t>
      </w:r>
      <w:r w:rsidR="00F32B28">
        <w:rPr>
          <w:rtl/>
        </w:rPr>
        <w:t xml:space="preserve"> </w:t>
      </w:r>
      <w:r w:rsidR="00F32B28" w:rsidRPr="00F32B28">
        <w:rPr>
          <w:rtl/>
        </w:rPr>
        <w:t>حيث</w:t>
      </w:r>
      <w:r w:rsidR="00F32B28">
        <w:rPr>
          <w:rtl/>
        </w:rPr>
        <w:t xml:space="preserve"> </w:t>
      </w:r>
      <w:r w:rsidR="00F32B28" w:rsidRPr="00F32B28">
        <w:rPr>
          <w:rtl/>
        </w:rPr>
        <w:t>بلغ</w:t>
      </w:r>
      <w:r w:rsidR="00F32B28">
        <w:rPr>
          <w:rtl/>
        </w:rPr>
        <w:t xml:space="preserve"> </w:t>
      </w:r>
      <w:r w:rsidR="00F32B28" w:rsidRPr="00F32B28">
        <w:rPr>
          <w:rtl/>
        </w:rPr>
        <w:t>معدل</w:t>
      </w:r>
      <w:r w:rsidR="00F32B28">
        <w:rPr>
          <w:rtl/>
        </w:rPr>
        <w:t xml:space="preserve"> </w:t>
      </w:r>
      <w:r w:rsidR="00F32B28" w:rsidRPr="00F32B28">
        <w:rPr>
          <w:rtl/>
        </w:rPr>
        <w:t>الأمية</w:t>
      </w:r>
      <w:r w:rsidR="00F32B28">
        <w:rPr>
          <w:rtl/>
        </w:rPr>
        <w:t xml:space="preserve"> </w:t>
      </w:r>
      <w:r w:rsidR="00F32B28" w:rsidRPr="00F32B28">
        <w:rPr>
          <w:rtl/>
        </w:rPr>
        <w:t>بين</w:t>
      </w:r>
      <w:r w:rsidR="00F32B28">
        <w:rPr>
          <w:rtl/>
        </w:rPr>
        <w:t xml:space="preserve"> </w:t>
      </w:r>
      <w:r w:rsidR="00F32B28" w:rsidRPr="00F32B28">
        <w:rPr>
          <w:rtl/>
        </w:rPr>
        <w:t>الذكور</w:t>
      </w:r>
      <w:r w:rsidR="00F32B28">
        <w:rPr>
          <w:rtl/>
        </w:rPr>
        <w:t xml:space="preserve"> </w:t>
      </w:r>
      <w:r w:rsidR="00F32B28" w:rsidRPr="00F32B28">
        <w:rPr>
          <w:rtl/>
        </w:rPr>
        <w:t>1.6</w:t>
      </w:r>
      <w:r w:rsidR="00851F93">
        <w:rPr>
          <w:rFonts w:hint="cs"/>
          <w:rtl/>
        </w:rPr>
        <w:t xml:space="preserve"> </w:t>
      </w:r>
      <w:r w:rsidR="00600C43">
        <w:rPr>
          <w:rtl/>
        </w:rPr>
        <w:t>في المائة</w:t>
      </w:r>
      <w:r w:rsidR="00F32B28">
        <w:rPr>
          <w:rtl/>
        </w:rPr>
        <w:t xml:space="preserve"> </w:t>
      </w:r>
      <w:r w:rsidR="00F32B28" w:rsidRPr="00F32B28">
        <w:rPr>
          <w:rtl/>
        </w:rPr>
        <w:t>(</w:t>
      </w:r>
      <w:r w:rsidR="00851F93">
        <w:rPr>
          <w:rFonts w:hint="cs"/>
          <w:rtl/>
        </w:rPr>
        <w:t>161</w:t>
      </w:r>
      <w:r w:rsidR="00851F93">
        <w:rPr>
          <w:rFonts w:hint="eastAsia"/>
          <w:rtl/>
        </w:rPr>
        <w:t> </w:t>
      </w:r>
      <w:r w:rsidR="00EE4046">
        <w:rPr>
          <w:rFonts w:hint="cs"/>
          <w:rtl/>
        </w:rPr>
        <w:t xml:space="preserve">22 </w:t>
      </w:r>
      <w:r w:rsidR="00F32B28" w:rsidRPr="00F32B28">
        <w:rPr>
          <w:rtl/>
        </w:rPr>
        <w:t>أمي)</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بلغ</w:t>
      </w:r>
      <w:r w:rsidR="00F32B28">
        <w:rPr>
          <w:rtl/>
        </w:rPr>
        <w:t xml:space="preserve"> </w:t>
      </w:r>
      <w:r w:rsidR="00F32B28" w:rsidRPr="00F32B28">
        <w:rPr>
          <w:rtl/>
        </w:rPr>
        <w:t>بين</w:t>
      </w:r>
      <w:r w:rsidR="00F32B28">
        <w:rPr>
          <w:rtl/>
        </w:rPr>
        <w:t xml:space="preserve"> </w:t>
      </w:r>
      <w:r w:rsidR="00F32B28" w:rsidRPr="00F32B28">
        <w:rPr>
          <w:rtl/>
        </w:rPr>
        <w:t>الإناث</w:t>
      </w:r>
      <w:r w:rsidR="00F32B28">
        <w:rPr>
          <w:rtl/>
        </w:rPr>
        <w:t xml:space="preserve"> </w:t>
      </w:r>
      <w:r w:rsidR="00F32B28" w:rsidRPr="00F32B28">
        <w:rPr>
          <w:rtl/>
        </w:rPr>
        <w:t>5.6</w:t>
      </w:r>
      <w:r w:rsidR="00851F93">
        <w:rPr>
          <w:rFonts w:hint="cs"/>
          <w:rtl/>
        </w:rPr>
        <w:t xml:space="preserve"> </w:t>
      </w:r>
      <w:r w:rsidR="00600C43">
        <w:rPr>
          <w:rtl/>
        </w:rPr>
        <w:t>في المائة</w:t>
      </w:r>
      <w:r w:rsidR="00F32B28">
        <w:rPr>
          <w:rtl/>
        </w:rPr>
        <w:t xml:space="preserve"> </w:t>
      </w:r>
      <w:r w:rsidR="00F32B28" w:rsidRPr="00F32B28">
        <w:rPr>
          <w:rtl/>
        </w:rPr>
        <w:t>(</w:t>
      </w:r>
      <w:r w:rsidR="009F4D72">
        <w:rPr>
          <w:rFonts w:hint="cs"/>
          <w:rtl/>
        </w:rPr>
        <w:t xml:space="preserve">760 75 </w:t>
      </w:r>
      <w:r w:rsidR="00F32B28" w:rsidRPr="00F32B28">
        <w:rPr>
          <w:rtl/>
        </w:rPr>
        <w:t>أميّة)</w:t>
      </w:r>
      <w:r w:rsidR="00F32B28">
        <w:rPr>
          <w:rtl/>
        </w:rPr>
        <w:t xml:space="preserve"> </w:t>
      </w:r>
      <w:r w:rsidR="00F32B28" w:rsidRPr="00F32B28">
        <w:rPr>
          <w:rtl/>
        </w:rPr>
        <w:t>في</w:t>
      </w:r>
      <w:r w:rsidR="00F32B28">
        <w:rPr>
          <w:rtl/>
        </w:rPr>
        <w:t xml:space="preserve"> </w:t>
      </w:r>
      <w:r w:rsidR="00F32B28" w:rsidRPr="00F32B28">
        <w:rPr>
          <w:rtl/>
        </w:rPr>
        <w:t>نفس</w:t>
      </w:r>
      <w:r w:rsidR="00F32B28">
        <w:rPr>
          <w:rtl/>
        </w:rPr>
        <w:t xml:space="preserve"> </w:t>
      </w:r>
      <w:r w:rsidR="00F32B28" w:rsidRPr="00F32B28">
        <w:rPr>
          <w:rtl/>
        </w:rPr>
        <w:t>العام.</w:t>
      </w:r>
      <w:r w:rsidR="00F32B28">
        <w:rPr>
          <w:rtl/>
        </w:rPr>
        <w:t xml:space="preserve"> </w:t>
      </w:r>
      <w:r w:rsidR="00F32B28" w:rsidRPr="00F32B28">
        <w:rPr>
          <w:rtl/>
        </w:rPr>
        <w:t>ويرتفع</w:t>
      </w:r>
      <w:r w:rsidR="00F32B28">
        <w:rPr>
          <w:rtl/>
        </w:rPr>
        <w:t xml:space="preserve"> </w:t>
      </w:r>
      <w:r w:rsidR="00F32B28" w:rsidRPr="00F32B28">
        <w:rPr>
          <w:rtl/>
        </w:rPr>
        <w:t>معدل</w:t>
      </w:r>
      <w:r w:rsidR="00F32B28">
        <w:rPr>
          <w:rtl/>
        </w:rPr>
        <w:t xml:space="preserve"> </w:t>
      </w:r>
      <w:r w:rsidR="00F32B28" w:rsidRPr="00F32B28">
        <w:rPr>
          <w:rtl/>
        </w:rPr>
        <w:t>الأمية</w:t>
      </w:r>
      <w:r w:rsidR="00F32B28">
        <w:rPr>
          <w:rtl/>
        </w:rPr>
        <w:t xml:space="preserve"> </w:t>
      </w:r>
      <w:r w:rsidR="00F32B28" w:rsidRPr="00F32B28">
        <w:rPr>
          <w:rtl/>
        </w:rPr>
        <w:t>بين</w:t>
      </w:r>
      <w:r w:rsidR="00F32B28">
        <w:rPr>
          <w:rtl/>
        </w:rPr>
        <w:t xml:space="preserve"> </w:t>
      </w:r>
      <w:r w:rsidR="00F32B28" w:rsidRPr="00F32B28">
        <w:rPr>
          <w:rtl/>
        </w:rPr>
        <w:t>الإناث</w:t>
      </w:r>
      <w:r w:rsidR="00F32B28">
        <w:rPr>
          <w:rtl/>
        </w:rPr>
        <w:t xml:space="preserve"> </w:t>
      </w:r>
      <w:r w:rsidR="00F32B28" w:rsidRPr="00F32B28">
        <w:rPr>
          <w:rtl/>
        </w:rPr>
        <w:t>في</w:t>
      </w:r>
      <w:r w:rsidR="00F32B28">
        <w:rPr>
          <w:rtl/>
        </w:rPr>
        <w:t xml:space="preserve"> </w:t>
      </w:r>
      <w:r w:rsidR="00F32B28" w:rsidRPr="00F32B28">
        <w:rPr>
          <w:rtl/>
        </w:rPr>
        <w:t>الريف</w:t>
      </w:r>
      <w:r w:rsidR="00F32B28">
        <w:rPr>
          <w:rtl/>
        </w:rPr>
        <w:t xml:space="preserve"> </w:t>
      </w:r>
      <w:r w:rsidR="00F32B28" w:rsidRPr="00F32B28">
        <w:rPr>
          <w:rtl/>
          <w:lang w:bidi="ar-SY"/>
        </w:rPr>
        <w:t>ليبلغ</w:t>
      </w:r>
      <w:r w:rsidR="00F32B28">
        <w:rPr>
          <w:rtl/>
        </w:rPr>
        <w:t xml:space="preserve"> </w:t>
      </w:r>
      <w:r w:rsidR="00F32B28" w:rsidRPr="00F32B28">
        <w:rPr>
          <w:rtl/>
        </w:rPr>
        <w:t>8.4</w:t>
      </w:r>
      <w:r w:rsidR="00851F93">
        <w:rPr>
          <w:rFonts w:hint="cs"/>
          <w:rtl/>
        </w:rPr>
        <w:t xml:space="preserve"> </w:t>
      </w:r>
      <w:r w:rsidR="00600C43">
        <w:rPr>
          <w:rtl/>
        </w:rPr>
        <w:t>في المائة</w:t>
      </w:r>
      <w:r w:rsidR="00F32B28" w:rsidRPr="00F32B28">
        <w:rPr>
          <w:rtl/>
        </w:rPr>
        <w:t>،</w:t>
      </w:r>
      <w:r w:rsidR="00F32B28">
        <w:rPr>
          <w:rtl/>
        </w:rPr>
        <w:t xml:space="preserve"> </w:t>
      </w:r>
      <w:r w:rsidR="00F32B28" w:rsidRPr="00F32B28">
        <w:rPr>
          <w:rtl/>
        </w:rPr>
        <w:t>في</w:t>
      </w:r>
      <w:r w:rsidR="00F32B28">
        <w:rPr>
          <w:rtl/>
        </w:rPr>
        <w:t xml:space="preserve"> </w:t>
      </w:r>
      <w:r w:rsidR="00F32B28" w:rsidRPr="00F32B28">
        <w:rPr>
          <w:rtl/>
        </w:rPr>
        <w:t>مقابل</w:t>
      </w:r>
      <w:r w:rsidR="00F32B28">
        <w:rPr>
          <w:rtl/>
        </w:rPr>
        <w:t xml:space="preserve"> </w:t>
      </w:r>
      <w:r w:rsidR="00F32B28" w:rsidRPr="00F32B28">
        <w:rPr>
          <w:rtl/>
        </w:rPr>
        <w:t>1.7</w:t>
      </w:r>
      <w:r w:rsidR="00851F93">
        <w:rPr>
          <w:rFonts w:hint="cs"/>
          <w:rtl/>
        </w:rPr>
        <w:t xml:space="preserve"> </w:t>
      </w:r>
      <w:r w:rsidR="00600C43">
        <w:rPr>
          <w:rtl/>
        </w:rPr>
        <w:t>في المائة</w:t>
      </w:r>
      <w:r w:rsidR="00F32B28">
        <w:rPr>
          <w:rtl/>
        </w:rPr>
        <w:t xml:space="preserve"> </w:t>
      </w:r>
      <w:r w:rsidR="00F32B28" w:rsidRPr="00F32B28">
        <w:rPr>
          <w:rtl/>
        </w:rPr>
        <w:t>بين</w:t>
      </w:r>
      <w:r w:rsidR="00F32B28">
        <w:rPr>
          <w:rtl/>
        </w:rPr>
        <w:t xml:space="preserve"> </w:t>
      </w:r>
      <w:r w:rsidR="00F32B28" w:rsidRPr="00F32B28">
        <w:rPr>
          <w:rtl/>
        </w:rPr>
        <w:t>الذكور،</w:t>
      </w:r>
      <w:r w:rsidR="00F32B28">
        <w:rPr>
          <w:rtl/>
        </w:rPr>
        <w:t xml:space="preserve"> </w:t>
      </w:r>
      <w:r w:rsidR="00F32B28" w:rsidRPr="00F32B28">
        <w:rPr>
          <w:rtl/>
        </w:rPr>
        <w:t>يليها</w:t>
      </w:r>
      <w:r w:rsidR="00F32B28">
        <w:rPr>
          <w:rtl/>
        </w:rPr>
        <w:t xml:space="preserve"> </w:t>
      </w:r>
      <w:r w:rsidR="00F32B28" w:rsidRPr="00F32B28">
        <w:rPr>
          <w:rtl/>
        </w:rPr>
        <w:t>في</w:t>
      </w:r>
      <w:r w:rsidR="00F32B28">
        <w:rPr>
          <w:rtl/>
        </w:rPr>
        <w:t xml:space="preserve"> </w:t>
      </w:r>
      <w:r w:rsidR="00F32B28" w:rsidRPr="00F32B28">
        <w:rPr>
          <w:rtl/>
        </w:rPr>
        <w:t>الحضر</w:t>
      </w:r>
      <w:r w:rsidR="00F32B28">
        <w:rPr>
          <w:rtl/>
        </w:rPr>
        <w:t xml:space="preserve"> </w:t>
      </w:r>
      <w:r w:rsidR="00F32B28" w:rsidRPr="00F32B28">
        <w:rPr>
          <w:rtl/>
        </w:rPr>
        <w:t>بواقع</w:t>
      </w:r>
      <w:r w:rsidR="00F32B28">
        <w:rPr>
          <w:rtl/>
        </w:rPr>
        <w:t xml:space="preserve"> </w:t>
      </w:r>
      <w:r w:rsidR="00F32B28" w:rsidRPr="00F32B28">
        <w:rPr>
          <w:rtl/>
        </w:rPr>
        <w:t>5</w:t>
      </w:r>
      <w:r w:rsidR="00851F93">
        <w:rPr>
          <w:rFonts w:hint="cs"/>
          <w:rtl/>
        </w:rPr>
        <w:t xml:space="preserve"> </w:t>
      </w:r>
      <w:r w:rsidR="00600C43">
        <w:rPr>
          <w:rtl/>
        </w:rPr>
        <w:t>في المائة</w:t>
      </w:r>
      <w:r w:rsidR="00F32B28">
        <w:rPr>
          <w:rtl/>
        </w:rPr>
        <w:t xml:space="preserve"> </w:t>
      </w:r>
      <w:r w:rsidR="00F32B28" w:rsidRPr="00F32B28">
        <w:rPr>
          <w:rtl/>
        </w:rPr>
        <w:t>بين</w:t>
      </w:r>
      <w:r w:rsidR="00F32B28">
        <w:rPr>
          <w:rtl/>
        </w:rPr>
        <w:t xml:space="preserve"> </w:t>
      </w:r>
      <w:r w:rsidR="00F32B28" w:rsidRPr="00F32B28">
        <w:rPr>
          <w:rtl/>
        </w:rPr>
        <w:t>الإناث</w:t>
      </w:r>
      <w:r w:rsidR="00F32B28">
        <w:rPr>
          <w:rtl/>
        </w:rPr>
        <w:t xml:space="preserve"> </w:t>
      </w:r>
      <w:r w:rsidR="00F32B28" w:rsidRPr="00F32B28">
        <w:rPr>
          <w:rtl/>
        </w:rPr>
        <w:t>في</w:t>
      </w:r>
      <w:r w:rsidR="00F32B28">
        <w:rPr>
          <w:rtl/>
        </w:rPr>
        <w:t xml:space="preserve"> </w:t>
      </w:r>
      <w:r w:rsidR="00F32B28" w:rsidRPr="00F32B28">
        <w:rPr>
          <w:rtl/>
        </w:rPr>
        <w:t>مقابل</w:t>
      </w:r>
      <w:r w:rsidR="00F32B28">
        <w:rPr>
          <w:rtl/>
        </w:rPr>
        <w:t xml:space="preserve"> </w:t>
      </w:r>
      <w:r w:rsidR="00F32B28" w:rsidRPr="00F32B28">
        <w:rPr>
          <w:rtl/>
        </w:rPr>
        <w:t>1.6</w:t>
      </w:r>
      <w:r w:rsidR="00851F93">
        <w:rPr>
          <w:rFonts w:hint="cs"/>
          <w:rtl/>
        </w:rPr>
        <w:t xml:space="preserve"> </w:t>
      </w:r>
      <w:r w:rsidR="00600C43">
        <w:rPr>
          <w:rtl/>
        </w:rPr>
        <w:t>في المائة</w:t>
      </w:r>
      <w:r w:rsidR="00F32B28">
        <w:rPr>
          <w:rtl/>
        </w:rPr>
        <w:t xml:space="preserve"> </w:t>
      </w:r>
      <w:r w:rsidR="00F32B28" w:rsidRPr="00F32B28">
        <w:rPr>
          <w:rtl/>
        </w:rPr>
        <w:t>بين</w:t>
      </w:r>
      <w:r w:rsidR="00F32B28">
        <w:rPr>
          <w:rtl/>
        </w:rPr>
        <w:t xml:space="preserve"> </w:t>
      </w:r>
      <w:r w:rsidR="00F32B28" w:rsidRPr="00F32B28">
        <w:rPr>
          <w:rtl/>
        </w:rPr>
        <w:t>الذكور،</w:t>
      </w:r>
      <w:r w:rsidR="00F32B28">
        <w:rPr>
          <w:rtl/>
        </w:rPr>
        <w:t xml:space="preserve"> </w:t>
      </w:r>
      <w:r w:rsidR="00F32B28" w:rsidRPr="00F32B28">
        <w:rPr>
          <w:rtl/>
        </w:rPr>
        <w:t>ثم</w:t>
      </w:r>
      <w:r w:rsidR="00F32B28">
        <w:rPr>
          <w:rtl/>
        </w:rPr>
        <w:t xml:space="preserve"> </w:t>
      </w:r>
      <w:r w:rsidR="00F32B28" w:rsidRPr="00F32B28">
        <w:rPr>
          <w:rtl/>
        </w:rPr>
        <w:t>في</w:t>
      </w:r>
      <w:r w:rsidR="00F32B28">
        <w:rPr>
          <w:rtl/>
        </w:rPr>
        <w:t xml:space="preserve"> </w:t>
      </w:r>
      <w:r w:rsidR="00F32B28" w:rsidRPr="00F32B28">
        <w:rPr>
          <w:rtl/>
        </w:rPr>
        <w:t>المخيمات</w:t>
      </w:r>
      <w:r w:rsidR="00F32B28">
        <w:rPr>
          <w:rtl/>
        </w:rPr>
        <w:t xml:space="preserve"> </w:t>
      </w:r>
      <w:r w:rsidR="00F32B28" w:rsidRPr="00F32B28">
        <w:rPr>
          <w:rtl/>
        </w:rPr>
        <w:t>بواقع</w:t>
      </w:r>
      <w:r w:rsidR="00F32B28">
        <w:rPr>
          <w:rtl/>
        </w:rPr>
        <w:t xml:space="preserve"> </w:t>
      </w:r>
      <w:r w:rsidR="00F32B28" w:rsidRPr="00F32B28">
        <w:rPr>
          <w:rtl/>
        </w:rPr>
        <w:t>4.9</w:t>
      </w:r>
      <w:r w:rsidR="00851F93">
        <w:rPr>
          <w:rFonts w:hint="cs"/>
          <w:rtl/>
        </w:rPr>
        <w:t xml:space="preserve"> </w:t>
      </w:r>
      <w:r w:rsidR="00600C43">
        <w:rPr>
          <w:rtl/>
        </w:rPr>
        <w:t>في المائة</w:t>
      </w:r>
      <w:r w:rsidR="00F32B28">
        <w:rPr>
          <w:rtl/>
        </w:rPr>
        <w:t xml:space="preserve"> </w:t>
      </w:r>
      <w:r w:rsidR="00F32B28" w:rsidRPr="00F32B28">
        <w:rPr>
          <w:rtl/>
        </w:rPr>
        <w:t>بين</w:t>
      </w:r>
      <w:r w:rsidR="00F32B28">
        <w:rPr>
          <w:rtl/>
        </w:rPr>
        <w:t xml:space="preserve"> </w:t>
      </w:r>
      <w:r w:rsidR="00F32B28" w:rsidRPr="00F32B28">
        <w:rPr>
          <w:rtl/>
        </w:rPr>
        <w:t>الإناث</w:t>
      </w:r>
      <w:r w:rsidR="00F32B28">
        <w:rPr>
          <w:rtl/>
        </w:rPr>
        <w:t xml:space="preserve"> </w:t>
      </w:r>
      <w:r w:rsidR="00F32B28" w:rsidRPr="00F32B28">
        <w:rPr>
          <w:rtl/>
        </w:rPr>
        <w:t>و</w:t>
      </w:r>
      <w:r w:rsidR="00407D55">
        <w:rPr>
          <w:rFonts w:hint="cs"/>
          <w:rtl/>
        </w:rPr>
        <w:t xml:space="preserve"> </w:t>
      </w:r>
      <w:r w:rsidR="00F32B28" w:rsidRPr="00F32B28">
        <w:rPr>
          <w:rtl/>
        </w:rPr>
        <w:t>1.6</w:t>
      </w:r>
      <w:r w:rsidR="00851F93">
        <w:rPr>
          <w:rFonts w:hint="cs"/>
          <w:rtl/>
        </w:rPr>
        <w:t xml:space="preserve"> </w:t>
      </w:r>
      <w:r w:rsidR="00600C43">
        <w:rPr>
          <w:rtl/>
        </w:rPr>
        <w:t>في المائة</w:t>
      </w:r>
      <w:r w:rsidR="00F32B28">
        <w:rPr>
          <w:rtl/>
        </w:rPr>
        <w:t xml:space="preserve"> </w:t>
      </w:r>
      <w:r w:rsidR="00F32B28" w:rsidRPr="00F32B28">
        <w:rPr>
          <w:rtl/>
        </w:rPr>
        <w:t>بين</w:t>
      </w:r>
      <w:r w:rsidR="00F32B28">
        <w:rPr>
          <w:rtl/>
        </w:rPr>
        <w:t xml:space="preserve"> </w:t>
      </w:r>
      <w:r w:rsidR="00F32B28" w:rsidRPr="00F32B28">
        <w:rPr>
          <w:rtl/>
        </w:rPr>
        <w:t>الذكور.</w:t>
      </w:r>
    </w:p>
    <w:p w:rsidR="00F77719" w:rsidRPr="00F77719" w:rsidRDefault="00F77719" w:rsidP="00F77719">
      <w:pPr>
        <w:pStyle w:val="SingleTxt"/>
        <w:spacing w:after="0" w:line="120" w:lineRule="exact"/>
        <w:rPr>
          <w:b/>
          <w:bCs/>
          <w:sz w:val="10"/>
          <w:rtl/>
        </w:rPr>
      </w:pPr>
    </w:p>
    <w:p w:rsidR="00F32B28" w:rsidRPr="00F32B28" w:rsidRDefault="00F32B28" w:rsidP="00F32B28">
      <w:pPr>
        <w:pStyle w:val="SingleTxt"/>
        <w:rPr>
          <w:b/>
          <w:bCs/>
          <w:rtl/>
        </w:rPr>
      </w:pPr>
      <w:r w:rsidRPr="00F32B28">
        <w:rPr>
          <w:b/>
          <w:bCs/>
          <w:rtl/>
        </w:rPr>
        <w:t>تعليم</w:t>
      </w:r>
      <w:r>
        <w:rPr>
          <w:b/>
          <w:bCs/>
          <w:rtl/>
        </w:rPr>
        <w:t xml:space="preserve"> </w:t>
      </w:r>
      <w:r w:rsidRPr="00F32B28">
        <w:rPr>
          <w:b/>
          <w:bCs/>
          <w:rtl/>
        </w:rPr>
        <w:t>الكبار</w:t>
      </w:r>
    </w:p>
    <w:p w:rsidR="00F32B28" w:rsidRPr="00F32B28" w:rsidRDefault="00F77719" w:rsidP="00F77719">
      <w:pPr>
        <w:pStyle w:val="SingleTxt"/>
        <w:rPr>
          <w:b/>
          <w:bCs/>
          <w:rtl/>
        </w:rPr>
      </w:pPr>
      <w:r>
        <w:rPr>
          <w:rFonts w:hint="cs"/>
          <w:rtl/>
        </w:rPr>
        <w:t xml:space="preserve">187 - </w:t>
      </w:r>
      <w:r w:rsidR="00F32B28" w:rsidRPr="00F32B28">
        <w:rPr>
          <w:rtl/>
        </w:rPr>
        <w:t>وقد</w:t>
      </w:r>
      <w:r w:rsidR="00F32B28">
        <w:rPr>
          <w:rtl/>
        </w:rPr>
        <w:t xml:space="preserve"> </w:t>
      </w:r>
      <w:r w:rsidR="00F32B28" w:rsidRPr="00F32B28">
        <w:rPr>
          <w:rtl/>
        </w:rPr>
        <w:t>نظم</w:t>
      </w:r>
      <w:r w:rsidR="00F32B28">
        <w:rPr>
          <w:rtl/>
        </w:rPr>
        <w:t xml:space="preserve"> </w:t>
      </w:r>
      <w:r w:rsidR="00F32B28" w:rsidRPr="00F32B28">
        <w:rPr>
          <w:rtl/>
        </w:rPr>
        <w:t>قانون</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رقم</w:t>
      </w:r>
      <w:r w:rsidR="00F32B28">
        <w:rPr>
          <w:rtl/>
        </w:rPr>
        <w:t xml:space="preserve"> </w:t>
      </w:r>
      <w:r w:rsidR="00F32B28" w:rsidRPr="00F32B28">
        <w:rPr>
          <w:rtl/>
        </w:rPr>
        <w:t>(16)</w:t>
      </w:r>
      <w:r w:rsidR="00F32B28">
        <w:rPr>
          <w:rtl/>
        </w:rPr>
        <w:t xml:space="preserve"> </w:t>
      </w:r>
      <w:r w:rsidR="00F32B28" w:rsidRPr="00F32B28">
        <w:rPr>
          <w:rtl/>
        </w:rPr>
        <w:t>لسنة</w:t>
      </w:r>
      <w:r w:rsidR="00F32B28">
        <w:rPr>
          <w:rtl/>
        </w:rPr>
        <w:t xml:space="preserve"> </w:t>
      </w:r>
      <w:r w:rsidR="00F32B28" w:rsidRPr="00F32B28">
        <w:rPr>
          <w:rtl/>
        </w:rPr>
        <w:t>1964</w:t>
      </w:r>
      <w:r w:rsidR="00F32B28">
        <w:rPr>
          <w:rtl/>
        </w:rPr>
        <w:t xml:space="preserve"> </w:t>
      </w:r>
      <w:r w:rsidR="00F32B28" w:rsidRPr="00F32B28">
        <w:rPr>
          <w:rtl/>
        </w:rPr>
        <w:t>مسؤولية</w:t>
      </w:r>
      <w:r w:rsidR="00F32B28">
        <w:rPr>
          <w:rtl/>
        </w:rPr>
        <w:t xml:space="preserve"> </w:t>
      </w:r>
      <w:r w:rsidR="00F32B28" w:rsidRPr="00F32B28">
        <w:rPr>
          <w:rtl/>
        </w:rPr>
        <w:t>الدولة</w:t>
      </w:r>
      <w:r w:rsidR="00F32B28">
        <w:rPr>
          <w:rtl/>
        </w:rPr>
        <w:t xml:space="preserve"> </w:t>
      </w:r>
      <w:r w:rsidR="00F32B28" w:rsidRPr="00F32B28">
        <w:rPr>
          <w:rtl/>
        </w:rPr>
        <w:t>في</w:t>
      </w:r>
      <w:r w:rsidR="00F32B28">
        <w:rPr>
          <w:rtl/>
        </w:rPr>
        <w:t xml:space="preserve"> </w:t>
      </w:r>
      <w:r w:rsidR="00F32B28" w:rsidRPr="00F32B28">
        <w:rPr>
          <w:rtl/>
        </w:rPr>
        <w:t>تعليم</w:t>
      </w:r>
      <w:r w:rsidR="00F32B28">
        <w:rPr>
          <w:rtl/>
        </w:rPr>
        <w:t xml:space="preserve"> </w:t>
      </w:r>
      <w:r w:rsidR="00F32B28" w:rsidRPr="00F32B28">
        <w:rPr>
          <w:rtl/>
        </w:rPr>
        <w:t>الكبار</w:t>
      </w:r>
      <w:r w:rsidR="00F32B28">
        <w:rPr>
          <w:rtl/>
        </w:rPr>
        <w:t xml:space="preserve"> </w:t>
      </w:r>
      <w:r w:rsidR="00F32B28" w:rsidRPr="00F32B28">
        <w:rPr>
          <w:rtl/>
        </w:rPr>
        <w:t>على</w:t>
      </w:r>
      <w:r w:rsidR="00F32B28">
        <w:rPr>
          <w:rtl/>
        </w:rPr>
        <w:t xml:space="preserve"> </w:t>
      </w:r>
      <w:r w:rsidR="00F32B28" w:rsidRPr="00F32B28">
        <w:rPr>
          <w:rtl/>
        </w:rPr>
        <w:t>أساس</w:t>
      </w:r>
      <w:r w:rsidR="00F32B28">
        <w:rPr>
          <w:rtl/>
        </w:rPr>
        <w:t xml:space="preserve"> </w:t>
      </w:r>
      <w:r w:rsidR="00F32B28" w:rsidRPr="00F32B28">
        <w:rPr>
          <w:rtl/>
        </w:rPr>
        <w:t>رغبتهم</w:t>
      </w:r>
      <w:r w:rsidR="00F32B28">
        <w:rPr>
          <w:rtl/>
        </w:rPr>
        <w:t xml:space="preserve"> </w:t>
      </w:r>
      <w:r w:rsidR="00F32B28" w:rsidRPr="00F32B28">
        <w:rPr>
          <w:rtl/>
        </w:rPr>
        <w:t>الشخصية</w:t>
      </w:r>
      <w:r w:rsidR="00F32B28">
        <w:rPr>
          <w:rtl/>
        </w:rPr>
        <w:t xml:space="preserve"> </w:t>
      </w:r>
      <w:r w:rsidR="00F32B28" w:rsidRPr="00F32B28">
        <w:rPr>
          <w:rtl/>
        </w:rPr>
        <w:t>وذلك</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إنشاء</w:t>
      </w:r>
      <w:r w:rsidR="00F32B28">
        <w:rPr>
          <w:rtl/>
        </w:rPr>
        <w:t xml:space="preserve"> </w:t>
      </w:r>
      <w:r w:rsidR="00F32B28" w:rsidRPr="00F32B28">
        <w:rPr>
          <w:rtl/>
        </w:rPr>
        <w:t>مراكز</w:t>
      </w:r>
      <w:r w:rsidR="00F32B28">
        <w:rPr>
          <w:rtl/>
        </w:rPr>
        <w:t xml:space="preserve"> </w:t>
      </w:r>
      <w:r w:rsidR="00F32B28" w:rsidRPr="00F32B28">
        <w:rPr>
          <w:rtl/>
        </w:rPr>
        <w:t>لتعليمهم</w:t>
      </w:r>
      <w:r w:rsidR="00F32B28">
        <w:rPr>
          <w:rtl/>
        </w:rPr>
        <w:t xml:space="preserve"> </w:t>
      </w:r>
      <w:r w:rsidR="00F32B28" w:rsidRPr="00F32B28">
        <w:rPr>
          <w:rtl/>
        </w:rPr>
        <w:t>تنظم</w:t>
      </w:r>
      <w:r w:rsidR="00F32B28">
        <w:rPr>
          <w:rtl/>
        </w:rPr>
        <w:t xml:space="preserve"> </w:t>
      </w:r>
      <w:r w:rsidR="00F32B28" w:rsidRPr="00F32B28">
        <w:rPr>
          <w:rtl/>
        </w:rPr>
        <w:t>فيها</w:t>
      </w:r>
      <w:r w:rsidR="00F32B28">
        <w:rPr>
          <w:rtl/>
        </w:rPr>
        <w:t xml:space="preserve"> </w:t>
      </w:r>
      <w:r w:rsidR="00F32B28" w:rsidRPr="00F32B28">
        <w:rPr>
          <w:rtl/>
        </w:rPr>
        <w:t>الدراسات</w:t>
      </w:r>
      <w:r w:rsidR="00F32B28">
        <w:rPr>
          <w:rtl/>
        </w:rPr>
        <w:t xml:space="preserve"> </w:t>
      </w:r>
      <w:r w:rsidR="00F32B28" w:rsidRPr="00F32B28">
        <w:rPr>
          <w:rtl/>
        </w:rPr>
        <w:t>وذلك</w:t>
      </w:r>
      <w:r w:rsidR="00F32B28">
        <w:rPr>
          <w:rtl/>
        </w:rPr>
        <w:t xml:space="preserve"> </w:t>
      </w:r>
      <w:r w:rsidR="00F32B28" w:rsidRPr="00F32B28">
        <w:rPr>
          <w:rtl/>
        </w:rPr>
        <w:t>لإتاحة</w:t>
      </w:r>
      <w:r w:rsidR="00F32B28">
        <w:rPr>
          <w:rtl/>
        </w:rPr>
        <w:t xml:space="preserve"> </w:t>
      </w:r>
      <w:r w:rsidR="00F32B28" w:rsidRPr="00F32B28">
        <w:rPr>
          <w:rtl/>
        </w:rPr>
        <w:t>الفرص</w:t>
      </w:r>
      <w:r w:rsidR="00F32B28">
        <w:rPr>
          <w:rtl/>
        </w:rPr>
        <w:t xml:space="preserve"> </w:t>
      </w:r>
      <w:r w:rsidR="00F32B28" w:rsidRPr="00F32B28">
        <w:rPr>
          <w:rtl/>
        </w:rPr>
        <w:t>لهم</w:t>
      </w:r>
      <w:r w:rsidR="00F32B28">
        <w:rPr>
          <w:rtl/>
        </w:rPr>
        <w:t xml:space="preserve"> </w:t>
      </w:r>
      <w:r w:rsidR="00F32B28" w:rsidRPr="00F32B28">
        <w:rPr>
          <w:rtl/>
        </w:rPr>
        <w:t>للنهوض</w:t>
      </w:r>
      <w:r w:rsidR="00F32B28">
        <w:rPr>
          <w:rtl/>
        </w:rPr>
        <w:t xml:space="preserve"> </w:t>
      </w:r>
      <w:r w:rsidR="00F32B28" w:rsidRPr="00F32B28">
        <w:rPr>
          <w:rtl/>
        </w:rPr>
        <w:t>بمستوى</w:t>
      </w:r>
      <w:r w:rsidR="00F32B28">
        <w:rPr>
          <w:rtl/>
        </w:rPr>
        <w:t xml:space="preserve"> </w:t>
      </w:r>
      <w:r w:rsidR="00F32B28" w:rsidRPr="00F32B28">
        <w:rPr>
          <w:rtl/>
        </w:rPr>
        <w:t>حياتهم</w:t>
      </w:r>
      <w:r w:rsidR="00F32B28">
        <w:rPr>
          <w:rtl/>
        </w:rPr>
        <w:t xml:space="preserve"> </w:t>
      </w:r>
      <w:r w:rsidR="00F32B28" w:rsidRPr="00F32B28">
        <w:rPr>
          <w:rtl/>
        </w:rPr>
        <w:t>بأنفسهم،</w:t>
      </w:r>
      <w:r w:rsidR="00F32B28">
        <w:rPr>
          <w:rtl/>
        </w:rPr>
        <w:t xml:space="preserve"> </w:t>
      </w:r>
      <w:r w:rsidR="00F32B28" w:rsidRPr="00F32B28">
        <w:rPr>
          <w:rtl/>
        </w:rPr>
        <w:t>وتتساوى</w:t>
      </w:r>
      <w:r w:rsidR="00F32B28">
        <w:rPr>
          <w:rtl/>
        </w:rPr>
        <w:t xml:space="preserve"> </w:t>
      </w:r>
      <w:r w:rsidR="00F32B28" w:rsidRPr="00F32B28">
        <w:rPr>
          <w:rtl/>
        </w:rPr>
        <w:t>فيه</w:t>
      </w:r>
      <w:r w:rsidR="00F32B28">
        <w:rPr>
          <w:rtl/>
        </w:rPr>
        <w:t xml:space="preserve"> </w:t>
      </w:r>
      <w:r w:rsidR="00F32B28" w:rsidRPr="00F32B28">
        <w:rPr>
          <w:rtl/>
        </w:rPr>
        <w:t>فرص</w:t>
      </w:r>
      <w:r w:rsidR="00F32B28">
        <w:rPr>
          <w:rtl/>
        </w:rPr>
        <w:t xml:space="preserve"> </w:t>
      </w:r>
      <w:r w:rsidR="00F32B28" w:rsidRPr="00F32B28">
        <w:rPr>
          <w:rtl/>
        </w:rPr>
        <w:t>النساء</w:t>
      </w:r>
      <w:r w:rsidR="00F32B28">
        <w:rPr>
          <w:rtl/>
        </w:rPr>
        <w:t xml:space="preserve"> </w:t>
      </w:r>
      <w:r w:rsidR="00F32B28" w:rsidRPr="00F32B28">
        <w:rPr>
          <w:rtl/>
        </w:rPr>
        <w:t>مع</w:t>
      </w:r>
      <w:r w:rsidR="00F32B28">
        <w:rPr>
          <w:rtl/>
        </w:rPr>
        <w:t xml:space="preserve"> </w:t>
      </w:r>
      <w:r w:rsidR="00F32B28" w:rsidRPr="00F32B28">
        <w:rPr>
          <w:rtl/>
        </w:rPr>
        <w:t>الرجال</w:t>
      </w:r>
      <w:r w:rsidR="00F32B28">
        <w:rPr>
          <w:rtl/>
        </w:rPr>
        <w:t xml:space="preserve"> </w:t>
      </w:r>
      <w:r w:rsidR="00F32B28" w:rsidRPr="00F32B28">
        <w:rPr>
          <w:rtl/>
        </w:rPr>
        <w:t>بالالتحاق</w:t>
      </w:r>
      <w:r w:rsidR="00F32B28">
        <w:rPr>
          <w:rtl/>
        </w:rPr>
        <w:t xml:space="preserve"> </w:t>
      </w:r>
      <w:r w:rsidR="00F32B28" w:rsidRPr="00F32B28">
        <w:rPr>
          <w:rtl/>
        </w:rPr>
        <w:t>بهذه</w:t>
      </w:r>
      <w:r w:rsidR="00F32B28">
        <w:rPr>
          <w:rtl/>
        </w:rPr>
        <w:t xml:space="preserve"> </w:t>
      </w:r>
      <w:r w:rsidR="00F32B28" w:rsidRPr="00F32B28">
        <w:rPr>
          <w:rtl/>
        </w:rPr>
        <w:t>المراكز.</w:t>
      </w:r>
      <w:r w:rsidR="00F32B28">
        <w:rPr>
          <w:rtl/>
        </w:rPr>
        <w:t xml:space="preserve"> </w:t>
      </w:r>
      <w:r w:rsidR="00F32B28" w:rsidRPr="00F32B28">
        <w:rPr>
          <w:rtl/>
        </w:rPr>
        <w:t>وتقوم</w:t>
      </w:r>
      <w:r w:rsidR="00F32B28">
        <w:rPr>
          <w:rtl/>
        </w:rPr>
        <w:t xml:space="preserve"> </w:t>
      </w:r>
      <w:r w:rsidR="00F32B28" w:rsidRPr="00F32B28">
        <w:rPr>
          <w:rtl/>
        </w:rPr>
        <w:t>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بتنفيذ</w:t>
      </w:r>
      <w:r w:rsidR="00F32B28">
        <w:rPr>
          <w:rtl/>
        </w:rPr>
        <w:t xml:space="preserve"> </w:t>
      </w:r>
      <w:r w:rsidR="00F32B28" w:rsidRPr="00F32B28">
        <w:rPr>
          <w:rtl/>
        </w:rPr>
        <w:t>برنامجين</w:t>
      </w:r>
      <w:r w:rsidR="00F32B28">
        <w:rPr>
          <w:rtl/>
        </w:rPr>
        <w:t xml:space="preserve"> </w:t>
      </w:r>
      <w:r w:rsidR="00F32B28" w:rsidRPr="00F32B28">
        <w:rPr>
          <w:rtl/>
        </w:rPr>
        <w:t>لمواجهة</w:t>
      </w:r>
      <w:r w:rsidR="00F32B28">
        <w:rPr>
          <w:rtl/>
        </w:rPr>
        <w:t xml:space="preserve"> </w:t>
      </w:r>
      <w:r w:rsidR="00F32B28" w:rsidRPr="00F32B28">
        <w:rPr>
          <w:rtl/>
        </w:rPr>
        <w:t>الأمية</w:t>
      </w:r>
      <w:r w:rsidR="00F32B28">
        <w:rPr>
          <w:rtl/>
        </w:rPr>
        <w:t xml:space="preserve"> </w:t>
      </w:r>
      <w:r w:rsidR="00F32B28" w:rsidRPr="00F32B28">
        <w:rPr>
          <w:rtl/>
        </w:rPr>
        <w:t>ومحوها،</w:t>
      </w:r>
      <w:r w:rsidR="00F32B28">
        <w:rPr>
          <w:rtl/>
        </w:rPr>
        <w:t xml:space="preserve"> </w:t>
      </w:r>
      <w:r w:rsidR="00F32B28" w:rsidRPr="00F32B28">
        <w:rPr>
          <w:rtl/>
        </w:rPr>
        <w:t>هما:</w:t>
      </w:r>
      <w:r w:rsidR="00F32B28">
        <w:rPr>
          <w:rtl/>
        </w:rPr>
        <w:t xml:space="preserve"> </w:t>
      </w:r>
      <w:r w:rsidR="00F32B28" w:rsidRPr="00F32B28">
        <w:rPr>
          <w:rtl/>
        </w:rPr>
        <w:t>محو</w:t>
      </w:r>
      <w:r w:rsidR="00F32B28">
        <w:rPr>
          <w:rtl/>
        </w:rPr>
        <w:t xml:space="preserve"> </w:t>
      </w:r>
      <w:r w:rsidR="00F32B28" w:rsidRPr="00F32B28">
        <w:rPr>
          <w:rtl/>
        </w:rPr>
        <w:t>الأمية</w:t>
      </w:r>
      <w:r w:rsidR="00F32B28">
        <w:rPr>
          <w:rtl/>
        </w:rPr>
        <w:t xml:space="preserve"> </w:t>
      </w:r>
      <w:r w:rsidR="00F32B28" w:rsidRPr="00F32B28">
        <w:rPr>
          <w:rtl/>
        </w:rPr>
        <w:t>وتعليم</w:t>
      </w:r>
      <w:r w:rsidR="00F32B28">
        <w:rPr>
          <w:rtl/>
        </w:rPr>
        <w:t xml:space="preserve"> </w:t>
      </w:r>
      <w:r w:rsidR="00F32B28" w:rsidRPr="00F32B28">
        <w:rPr>
          <w:rtl/>
        </w:rPr>
        <w:t>الكبار،</w:t>
      </w:r>
      <w:r w:rsidR="00F32B28">
        <w:rPr>
          <w:rtl/>
        </w:rPr>
        <w:t xml:space="preserve"> </w:t>
      </w:r>
      <w:r w:rsidR="00F32B28" w:rsidRPr="00F32B28">
        <w:rPr>
          <w:rtl/>
        </w:rPr>
        <w:t>والتعليم</w:t>
      </w:r>
      <w:r w:rsidR="00F32B28">
        <w:rPr>
          <w:rtl/>
        </w:rPr>
        <w:t xml:space="preserve"> </w:t>
      </w:r>
      <w:r w:rsidR="00F32B28" w:rsidRPr="00F32B28">
        <w:rPr>
          <w:rtl/>
        </w:rPr>
        <w:t>الموازي.</w:t>
      </w:r>
      <w:r w:rsidR="00F32B28">
        <w:rPr>
          <w:rtl/>
        </w:rPr>
        <w:t xml:space="preserve"> </w:t>
      </w:r>
    </w:p>
    <w:p w:rsidR="00F77719" w:rsidRPr="00F77719" w:rsidRDefault="00F77719" w:rsidP="00F77719">
      <w:pPr>
        <w:pStyle w:val="SingleTxt"/>
        <w:spacing w:after="0" w:line="120" w:lineRule="exact"/>
        <w:rPr>
          <w:b/>
          <w:bCs/>
          <w:sz w:val="10"/>
          <w:rtl/>
        </w:rPr>
      </w:pPr>
    </w:p>
    <w:p w:rsidR="00F32B28" w:rsidRPr="00F32B28" w:rsidRDefault="00F32B28" w:rsidP="00F32B28">
      <w:pPr>
        <w:pStyle w:val="SingleTxt"/>
        <w:rPr>
          <w:b/>
          <w:bCs/>
          <w:rtl/>
        </w:rPr>
      </w:pPr>
      <w:r w:rsidRPr="00F32B28">
        <w:rPr>
          <w:b/>
          <w:bCs/>
          <w:rtl/>
        </w:rPr>
        <w:t>التعليم</w:t>
      </w:r>
      <w:r>
        <w:rPr>
          <w:b/>
          <w:bCs/>
          <w:rtl/>
        </w:rPr>
        <w:t xml:space="preserve"> </w:t>
      </w:r>
      <w:r w:rsidRPr="00F32B28">
        <w:rPr>
          <w:b/>
          <w:bCs/>
          <w:rtl/>
        </w:rPr>
        <w:t>الجامعي</w:t>
      </w:r>
    </w:p>
    <w:p w:rsidR="00F32B28" w:rsidRPr="00F32B28" w:rsidRDefault="00F77719" w:rsidP="00F77719">
      <w:pPr>
        <w:pStyle w:val="SingleTxt"/>
        <w:rPr>
          <w:rtl/>
        </w:rPr>
      </w:pPr>
      <w:r>
        <w:rPr>
          <w:rFonts w:hint="cs"/>
          <w:rtl/>
        </w:rPr>
        <w:t xml:space="preserve">188 -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التعليم</w:t>
      </w:r>
      <w:r w:rsidR="00F32B28">
        <w:rPr>
          <w:rtl/>
        </w:rPr>
        <w:t xml:space="preserve"> </w:t>
      </w:r>
      <w:r w:rsidR="00F32B28" w:rsidRPr="00F32B28">
        <w:rPr>
          <w:rtl/>
        </w:rPr>
        <w:t>الجامعي،</w:t>
      </w:r>
      <w:r w:rsidR="00EE4046">
        <w:rPr>
          <w:rFonts w:hint="cs"/>
          <w:rtl/>
        </w:rPr>
        <w:t xml:space="preserve"> </w:t>
      </w:r>
      <w:r w:rsidR="00F32B28" w:rsidRPr="00F32B28">
        <w:rPr>
          <w:rtl/>
        </w:rPr>
        <w:t>يبلغ</w:t>
      </w:r>
      <w:r w:rsidR="00F32B28">
        <w:rPr>
          <w:rtl/>
        </w:rPr>
        <w:t xml:space="preserve"> </w:t>
      </w:r>
      <w:r w:rsidR="00F32B28" w:rsidRPr="00F32B28">
        <w:rPr>
          <w:rtl/>
        </w:rPr>
        <w:t>عدد</w:t>
      </w:r>
      <w:r w:rsidR="00F32B28">
        <w:rPr>
          <w:rtl/>
        </w:rPr>
        <w:t xml:space="preserve"> </w:t>
      </w:r>
      <w:r w:rsidR="00F32B28" w:rsidRPr="00F32B28">
        <w:rPr>
          <w:rtl/>
        </w:rPr>
        <w:t>الإناث</w:t>
      </w:r>
      <w:r w:rsidR="00F32B28">
        <w:rPr>
          <w:rtl/>
        </w:rPr>
        <w:t xml:space="preserve"> </w:t>
      </w:r>
      <w:r w:rsidR="00F32B28" w:rsidRPr="00F32B28">
        <w:rPr>
          <w:rtl/>
        </w:rPr>
        <w:t>المسجلات</w:t>
      </w:r>
      <w:r w:rsidR="00F32B28">
        <w:rPr>
          <w:rtl/>
        </w:rPr>
        <w:t xml:space="preserve"> </w:t>
      </w:r>
      <w:r w:rsidR="00F32B28" w:rsidRPr="00F32B28">
        <w:rPr>
          <w:rtl/>
        </w:rPr>
        <w:t>والملتحقات</w:t>
      </w:r>
      <w:r w:rsidR="00F32B28">
        <w:rPr>
          <w:rtl/>
        </w:rPr>
        <w:t xml:space="preserve"> </w:t>
      </w:r>
      <w:r w:rsidR="00F32B28" w:rsidRPr="00F32B28">
        <w:rPr>
          <w:rtl/>
        </w:rPr>
        <w:t>فعلاً</w:t>
      </w:r>
      <w:r w:rsidR="00F32B28">
        <w:rPr>
          <w:rtl/>
        </w:rPr>
        <w:t xml:space="preserve"> </w:t>
      </w:r>
      <w:r w:rsidR="00F32B28" w:rsidRPr="00F32B28">
        <w:rPr>
          <w:rtl/>
        </w:rPr>
        <w:t>في</w:t>
      </w:r>
      <w:r w:rsidR="00F32B28">
        <w:rPr>
          <w:rtl/>
        </w:rPr>
        <w:t xml:space="preserve"> </w:t>
      </w:r>
      <w:r w:rsidR="00F32B28" w:rsidRPr="00F32B28">
        <w:rPr>
          <w:rtl/>
        </w:rPr>
        <w:t>مؤسسات</w:t>
      </w:r>
      <w:r w:rsidR="00F32B28">
        <w:rPr>
          <w:rtl/>
        </w:rPr>
        <w:t xml:space="preserve"> </w:t>
      </w:r>
      <w:r w:rsidR="00F32B28" w:rsidRPr="00F32B28">
        <w:rPr>
          <w:rtl/>
        </w:rPr>
        <w:t>التعليم</w:t>
      </w:r>
      <w:r w:rsidR="00F32B28">
        <w:rPr>
          <w:rtl/>
        </w:rPr>
        <w:t xml:space="preserve"> </w:t>
      </w:r>
      <w:r w:rsidR="00F32B28" w:rsidRPr="00F32B28">
        <w:rPr>
          <w:rtl/>
        </w:rPr>
        <w:t>العالي</w:t>
      </w:r>
      <w:r w:rsidR="00F32B28">
        <w:rPr>
          <w:rtl/>
        </w:rPr>
        <w:t xml:space="preserve"> </w:t>
      </w:r>
      <w:r w:rsidR="00F32B28" w:rsidRPr="00F32B28">
        <w:rPr>
          <w:rtl/>
        </w:rPr>
        <w:t>للعام</w:t>
      </w:r>
      <w:r w:rsidR="00F32B28">
        <w:rPr>
          <w:rtl/>
        </w:rPr>
        <w:t xml:space="preserve"> </w:t>
      </w:r>
      <w:r w:rsidR="00F32B28" w:rsidRPr="00F32B28">
        <w:rPr>
          <w:rtl/>
        </w:rPr>
        <w:t>الدراسي</w:t>
      </w:r>
      <w:r w:rsidR="00F32B28">
        <w:rPr>
          <w:rtl/>
        </w:rPr>
        <w:t xml:space="preserve"> </w:t>
      </w:r>
      <w:r w:rsidR="00F32B28" w:rsidRPr="00F32B28">
        <w:rPr>
          <w:rtl/>
        </w:rPr>
        <w:t>2014/2015،</w:t>
      </w:r>
      <w:r w:rsidR="00F32B28">
        <w:rPr>
          <w:rtl/>
        </w:rPr>
        <w:t xml:space="preserve"> </w:t>
      </w:r>
      <w:r w:rsidR="00F32B28" w:rsidRPr="00F32B28">
        <w:rPr>
          <w:rtl/>
        </w:rPr>
        <w:t>سواء</w:t>
      </w:r>
      <w:r w:rsidR="00F32B28">
        <w:rPr>
          <w:rtl/>
        </w:rPr>
        <w:t xml:space="preserve"> </w:t>
      </w:r>
      <w:r w:rsidR="00F32B28" w:rsidRPr="00F32B28">
        <w:rPr>
          <w:rtl/>
        </w:rPr>
        <w:t>في</w:t>
      </w:r>
      <w:r w:rsidR="00F32B28">
        <w:rPr>
          <w:rtl/>
        </w:rPr>
        <w:t xml:space="preserve"> </w:t>
      </w:r>
      <w:r w:rsidR="00F32B28" w:rsidRPr="00F32B28">
        <w:rPr>
          <w:rtl/>
        </w:rPr>
        <w:t>الجامعات</w:t>
      </w:r>
      <w:r w:rsidR="00F32B28">
        <w:rPr>
          <w:rtl/>
        </w:rPr>
        <w:t xml:space="preserve"> </w:t>
      </w:r>
      <w:r w:rsidR="00F32B28" w:rsidRPr="00F32B28">
        <w:rPr>
          <w:rtl/>
        </w:rPr>
        <w:t>أو</w:t>
      </w:r>
      <w:r w:rsidR="00F32B28">
        <w:rPr>
          <w:rtl/>
        </w:rPr>
        <w:t xml:space="preserve"> </w:t>
      </w:r>
      <w:r w:rsidR="00F32B28" w:rsidRPr="00F32B28">
        <w:rPr>
          <w:rtl/>
        </w:rPr>
        <w:t>الكليات</w:t>
      </w:r>
      <w:r w:rsidR="00F32B28">
        <w:rPr>
          <w:rtl/>
        </w:rPr>
        <w:t xml:space="preserve"> </w:t>
      </w:r>
      <w:r w:rsidR="00F32B28" w:rsidRPr="00F32B28">
        <w:rPr>
          <w:rtl/>
        </w:rPr>
        <w:t>الجامعية</w:t>
      </w:r>
      <w:r w:rsidR="00F32B28">
        <w:rPr>
          <w:rtl/>
        </w:rPr>
        <w:t xml:space="preserve"> </w:t>
      </w:r>
      <w:r w:rsidR="00F32B28" w:rsidRPr="00F32B28">
        <w:rPr>
          <w:rtl/>
        </w:rPr>
        <w:t>أو</w:t>
      </w:r>
      <w:r w:rsidR="00F32B28">
        <w:rPr>
          <w:rtl/>
        </w:rPr>
        <w:t xml:space="preserve"> </w:t>
      </w:r>
      <w:r w:rsidR="00F32B28" w:rsidRPr="00F32B28">
        <w:rPr>
          <w:rtl/>
        </w:rPr>
        <w:t>كليات</w:t>
      </w:r>
      <w:r w:rsidR="00F32B28">
        <w:rPr>
          <w:rtl/>
        </w:rPr>
        <w:t xml:space="preserve"> </w:t>
      </w:r>
      <w:r w:rsidR="00F32B28" w:rsidRPr="00F32B28">
        <w:rPr>
          <w:rtl/>
        </w:rPr>
        <w:t>المجتمع</w:t>
      </w:r>
      <w:r w:rsidR="00F32B28">
        <w:rPr>
          <w:rtl/>
        </w:rPr>
        <w:t xml:space="preserve"> </w:t>
      </w:r>
      <w:r w:rsidR="00F32B28" w:rsidRPr="00F32B28">
        <w:rPr>
          <w:rtl/>
        </w:rPr>
        <w:t>المتوسطة</w:t>
      </w:r>
      <w:r w:rsidR="00F32B28">
        <w:rPr>
          <w:rtl/>
        </w:rPr>
        <w:t xml:space="preserve"> </w:t>
      </w:r>
      <w:r w:rsidR="00F32B28" w:rsidRPr="00F32B28">
        <w:rPr>
          <w:rtl/>
        </w:rPr>
        <w:t>أو</w:t>
      </w:r>
      <w:r w:rsidR="00F32B28">
        <w:rPr>
          <w:rtl/>
        </w:rPr>
        <w:t xml:space="preserve"> </w:t>
      </w:r>
      <w:r w:rsidR="00F32B28" w:rsidRPr="00F32B28">
        <w:rPr>
          <w:rtl/>
        </w:rPr>
        <w:t>في</w:t>
      </w:r>
      <w:r w:rsidR="00F32B28">
        <w:rPr>
          <w:rtl/>
        </w:rPr>
        <w:t xml:space="preserve"> </w:t>
      </w:r>
      <w:r w:rsidR="00F32B28" w:rsidRPr="00F32B28">
        <w:rPr>
          <w:rtl/>
        </w:rPr>
        <w:t>التعليم</w:t>
      </w:r>
      <w:r w:rsidR="00F32B28">
        <w:rPr>
          <w:rtl/>
        </w:rPr>
        <w:t xml:space="preserve"> </w:t>
      </w:r>
      <w:r w:rsidR="00F32B28" w:rsidRPr="00F32B28">
        <w:rPr>
          <w:rtl/>
        </w:rPr>
        <w:t>المفتوح</w:t>
      </w:r>
      <w:r w:rsidR="00F32B28">
        <w:rPr>
          <w:rtl/>
        </w:rPr>
        <w:t xml:space="preserve"> </w:t>
      </w:r>
      <w:r w:rsidR="00F32B28" w:rsidRPr="00F32B28">
        <w:rPr>
          <w:rtl/>
        </w:rPr>
        <w:t>والبالغ</w:t>
      </w:r>
      <w:r w:rsidR="00F32B28">
        <w:rPr>
          <w:rtl/>
        </w:rPr>
        <w:t xml:space="preserve"> </w:t>
      </w:r>
      <w:r w:rsidR="00F32B28" w:rsidRPr="00F32B28">
        <w:rPr>
          <w:rtl/>
        </w:rPr>
        <w:t>مجموعها</w:t>
      </w:r>
      <w:r w:rsidR="00F32B28">
        <w:rPr>
          <w:rtl/>
        </w:rPr>
        <w:t xml:space="preserve"> </w:t>
      </w:r>
      <w:r w:rsidR="00F32B28" w:rsidRPr="00F32B28">
        <w:rPr>
          <w:rtl/>
        </w:rPr>
        <w:t>52</w:t>
      </w:r>
      <w:r w:rsidR="00F32B28">
        <w:rPr>
          <w:rtl/>
        </w:rPr>
        <w:t xml:space="preserve"> </w:t>
      </w:r>
      <w:r w:rsidR="00F32B28" w:rsidRPr="00F32B28">
        <w:rPr>
          <w:rtl/>
        </w:rPr>
        <w:t>مؤسسة،</w:t>
      </w:r>
      <w:r w:rsidR="00F32B28">
        <w:rPr>
          <w:rtl/>
        </w:rPr>
        <w:t xml:space="preserve"> </w:t>
      </w:r>
      <w:r w:rsidR="00EE4046">
        <w:rPr>
          <w:rFonts w:hint="cs"/>
          <w:rtl/>
        </w:rPr>
        <w:t xml:space="preserve">362 133 </w:t>
      </w:r>
      <w:r w:rsidR="00F32B28" w:rsidRPr="00F32B28">
        <w:rPr>
          <w:rtl/>
        </w:rPr>
        <w:t>طالبة،</w:t>
      </w:r>
      <w:r w:rsidR="00F32B28">
        <w:rPr>
          <w:rtl/>
        </w:rPr>
        <w:t xml:space="preserve"> </w:t>
      </w:r>
      <w:r w:rsidR="00F32B28" w:rsidRPr="00F32B28">
        <w:rPr>
          <w:rtl/>
        </w:rPr>
        <w:t>أي</w:t>
      </w:r>
      <w:r w:rsidR="00F32B28">
        <w:rPr>
          <w:rtl/>
        </w:rPr>
        <w:t xml:space="preserve"> </w:t>
      </w:r>
      <w:r w:rsidR="00F32B28" w:rsidRPr="00F32B28">
        <w:rPr>
          <w:rtl/>
        </w:rPr>
        <w:t>حوالي</w:t>
      </w:r>
      <w:r w:rsidR="00F32B28">
        <w:rPr>
          <w:rtl/>
        </w:rPr>
        <w:t xml:space="preserve"> </w:t>
      </w:r>
      <w:r w:rsidR="00F32B28" w:rsidRPr="00F32B28">
        <w:rPr>
          <w:rtl/>
        </w:rPr>
        <w:t>60.3</w:t>
      </w:r>
      <w:r w:rsidR="00EE4046">
        <w:rPr>
          <w:rFonts w:hint="cs"/>
          <w:rtl/>
        </w:rPr>
        <w:t xml:space="preserve"> </w:t>
      </w:r>
      <w:r w:rsidR="00600C43">
        <w:rPr>
          <w:rtl/>
        </w:rPr>
        <w:t>في المائة</w:t>
      </w:r>
      <w:r w:rsidR="00F32B28" w:rsidRPr="00F32B28">
        <w:rPr>
          <w:rtl/>
        </w:rPr>
        <w:t>،</w:t>
      </w:r>
      <w:r w:rsidR="00F32B28">
        <w:rPr>
          <w:rtl/>
        </w:rPr>
        <w:t xml:space="preserve"> </w:t>
      </w:r>
      <w:r w:rsidR="00F32B28" w:rsidRPr="00F32B28">
        <w:rPr>
          <w:rtl/>
        </w:rPr>
        <w:t>من</w:t>
      </w:r>
      <w:r w:rsidR="00F32B28">
        <w:rPr>
          <w:rtl/>
        </w:rPr>
        <w:t xml:space="preserve"> </w:t>
      </w:r>
      <w:r w:rsidR="00F32B28" w:rsidRPr="00F32B28">
        <w:rPr>
          <w:rtl/>
        </w:rPr>
        <w:t>إجمالي</w:t>
      </w:r>
      <w:r w:rsidR="00F32B28">
        <w:rPr>
          <w:rtl/>
        </w:rPr>
        <w:t xml:space="preserve"> </w:t>
      </w:r>
      <w:r w:rsidR="00F32B28" w:rsidRPr="00F32B28">
        <w:rPr>
          <w:rtl/>
        </w:rPr>
        <w:t>عدد</w:t>
      </w:r>
      <w:r w:rsidR="00F32B28">
        <w:rPr>
          <w:rtl/>
        </w:rPr>
        <w:t xml:space="preserve"> </w:t>
      </w:r>
      <w:r w:rsidR="00F32B28" w:rsidRPr="00F32B28">
        <w:rPr>
          <w:rtl/>
        </w:rPr>
        <w:t>الطلبة</w:t>
      </w:r>
      <w:r w:rsidR="00F32B28">
        <w:rPr>
          <w:rtl/>
        </w:rPr>
        <w:t xml:space="preserve"> </w:t>
      </w:r>
      <w:r w:rsidR="00F32B28" w:rsidRPr="00F32B28">
        <w:rPr>
          <w:rtl/>
        </w:rPr>
        <w:t>المسجلين</w:t>
      </w:r>
      <w:r w:rsidR="00F32B28">
        <w:rPr>
          <w:rtl/>
        </w:rPr>
        <w:t xml:space="preserve"> </w:t>
      </w:r>
      <w:r w:rsidR="00F32B28" w:rsidRPr="00F32B28">
        <w:rPr>
          <w:rtl/>
        </w:rPr>
        <w:t>والبالغ</w:t>
      </w:r>
      <w:r w:rsidR="00AA7F71">
        <w:rPr>
          <w:rFonts w:hint="cs"/>
          <w:rtl/>
        </w:rPr>
        <w:t xml:space="preserve"> 395 221</w:t>
      </w:r>
      <w:r w:rsidR="00F32B28" w:rsidRPr="00F32B28">
        <w:rPr>
          <w:rtl/>
        </w:rPr>
        <w:t>.</w:t>
      </w:r>
      <w:r w:rsidR="00F32B28">
        <w:rPr>
          <w:rtl/>
        </w:rPr>
        <w:t xml:space="preserve"> </w:t>
      </w:r>
      <w:r w:rsidR="00F32B28" w:rsidRPr="00F32B28">
        <w:rPr>
          <w:rtl/>
        </w:rPr>
        <w:t>فيما</w:t>
      </w:r>
      <w:r w:rsidR="00F32B28">
        <w:rPr>
          <w:rtl/>
        </w:rPr>
        <w:t xml:space="preserve"> </w:t>
      </w:r>
      <w:r w:rsidR="00F32B28" w:rsidRPr="00F32B28">
        <w:rPr>
          <w:rtl/>
        </w:rPr>
        <w:t>بلغ</w:t>
      </w:r>
      <w:r w:rsidR="00F32B28">
        <w:rPr>
          <w:rtl/>
        </w:rPr>
        <w:t xml:space="preserve"> </w:t>
      </w:r>
      <w:r w:rsidR="00F32B28" w:rsidRPr="00F32B28">
        <w:rPr>
          <w:rtl/>
        </w:rPr>
        <w:t>عدد</w:t>
      </w:r>
      <w:r w:rsidR="00F32B28">
        <w:rPr>
          <w:rtl/>
        </w:rPr>
        <w:t xml:space="preserve"> </w:t>
      </w:r>
      <w:r w:rsidR="00F32B28" w:rsidRPr="00F32B28">
        <w:rPr>
          <w:rtl/>
        </w:rPr>
        <w:t>الطالبات</w:t>
      </w:r>
      <w:r w:rsidR="00F32B28">
        <w:rPr>
          <w:rtl/>
        </w:rPr>
        <w:t xml:space="preserve"> </w:t>
      </w:r>
      <w:r w:rsidR="00F32B28" w:rsidRPr="00F32B28">
        <w:rPr>
          <w:rtl/>
          <w:lang w:bidi="ar-SY"/>
        </w:rPr>
        <w:t>الخريجات</w:t>
      </w:r>
      <w:r w:rsidR="00F32B28">
        <w:rPr>
          <w:rtl/>
        </w:rPr>
        <w:t xml:space="preserve"> </w:t>
      </w:r>
      <w:r w:rsidR="00F32B28" w:rsidRPr="00F32B28">
        <w:rPr>
          <w:rtl/>
        </w:rPr>
        <w:t>من</w:t>
      </w:r>
      <w:r w:rsidR="00F32B28">
        <w:rPr>
          <w:rtl/>
        </w:rPr>
        <w:t xml:space="preserve"> </w:t>
      </w:r>
      <w:r w:rsidR="00F32B28" w:rsidRPr="00F32B28">
        <w:rPr>
          <w:rtl/>
        </w:rPr>
        <w:t>مؤسسات</w:t>
      </w:r>
      <w:r w:rsidR="00F32B28">
        <w:rPr>
          <w:rtl/>
        </w:rPr>
        <w:t xml:space="preserve"> </w:t>
      </w:r>
      <w:r w:rsidR="00F32B28" w:rsidRPr="00F32B28">
        <w:rPr>
          <w:rtl/>
        </w:rPr>
        <w:t>التعليم</w:t>
      </w:r>
      <w:r w:rsidR="00F32B28">
        <w:rPr>
          <w:rtl/>
        </w:rPr>
        <w:t xml:space="preserve"> </w:t>
      </w:r>
      <w:r w:rsidR="00F32B28" w:rsidRPr="00F32B28">
        <w:rPr>
          <w:rtl/>
        </w:rPr>
        <w:t>العالي</w:t>
      </w:r>
      <w:r w:rsidR="00F32B28">
        <w:rPr>
          <w:rtl/>
        </w:rPr>
        <w:t xml:space="preserve"> </w:t>
      </w:r>
      <w:r w:rsidR="00F32B28" w:rsidRPr="00F32B28">
        <w:rPr>
          <w:rtl/>
        </w:rPr>
        <w:t>للعام</w:t>
      </w:r>
      <w:r w:rsidR="00F32B28">
        <w:rPr>
          <w:rtl/>
        </w:rPr>
        <w:t xml:space="preserve"> </w:t>
      </w:r>
      <w:r w:rsidR="00F32B28" w:rsidRPr="00F32B28">
        <w:rPr>
          <w:rtl/>
        </w:rPr>
        <w:t>الدراسي</w:t>
      </w:r>
      <w:r w:rsidR="00F32B28">
        <w:rPr>
          <w:rtl/>
        </w:rPr>
        <w:t xml:space="preserve"> </w:t>
      </w:r>
      <w:r w:rsidR="00F32B28" w:rsidRPr="00F32B28">
        <w:rPr>
          <w:rtl/>
        </w:rPr>
        <w:t>2013/2014</w:t>
      </w:r>
      <w:r w:rsidR="00F32B28">
        <w:rPr>
          <w:rtl/>
        </w:rPr>
        <w:t xml:space="preserve"> </w:t>
      </w:r>
      <w:r w:rsidR="00F32B28" w:rsidRPr="00F32B28">
        <w:rPr>
          <w:rtl/>
        </w:rPr>
        <w:t>(</w:t>
      </w:r>
      <w:r w:rsidR="00EE4046">
        <w:rPr>
          <w:rFonts w:hint="cs"/>
          <w:rtl/>
        </w:rPr>
        <w:t>111 24</w:t>
      </w:r>
      <w:r w:rsidR="00F32B28" w:rsidRPr="00F32B28">
        <w:rPr>
          <w:rtl/>
        </w:rPr>
        <w:t>)</w:t>
      </w:r>
      <w:r w:rsidR="00F32B28">
        <w:rPr>
          <w:rtl/>
        </w:rPr>
        <w:t xml:space="preserve"> </w:t>
      </w:r>
      <w:r w:rsidR="00F32B28" w:rsidRPr="00F32B28">
        <w:rPr>
          <w:rtl/>
        </w:rPr>
        <w:t>طالبة،</w:t>
      </w:r>
      <w:r w:rsidR="00F32B28">
        <w:rPr>
          <w:rtl/>
        </w:rPr>
        <w:t xml:space="preserve"> </w:t>
      </w:r>
      <w:r w:rsidR="00F32B28" w:rsidRPr="00F32B28">
        <w:rPr>
          <w:rtl/>
        </w:rPr>
        <w:t>أي</w:t>
      </w:r>
      <w:r w:rsidR="00F32B28">
        <w:rPr>
          <w:rtl/>
        </w:rPr>
        <w:t xml:space="preserve"> </w:t>
      </w:r>
      <w:r w:rsidR="00F32B28" w:rsidRPr="00F32B28">
        <w:rPr>
          <w:rtl/>
        </w:rPr>
        <w:t>حوالي</w:t>
      </w:r>
      <w:r w:rsidR="00F32B28">
        <w:rPr>
          <w:rtl/>
        </w:rPr>
        <w:t xml:space="preserve"> </w:t>
      </w:r>
      <w:r w:rsidR="00F32B28" w:rsidRPr="00F32B28">
        <w:rPr>
          <w:rtl/>
        </w:rPr>
        <w:t>60</w:t>
      </w:r>
      <w:r w:rsidR="00851F93">
        <w:rPr>
          <w:rFonts w:hint="cs"/>
          <w:rtl/>
        </w:rPr>
        <w:t xml:space="preserve"> </w:t>
      </w:r>
      <w:r w:rsidR="00600C43">
        <w:rPr>
          <w:rtl/>
        </w:rPr>
        <w:t>في المائة</w:t>
      </w:r>
      <w:r w:rsidR="00F32B28" w:rsidRPr="00F32B28">
        <w:rPr>
          <w:rtl/>
        </w:rPr>
        <w:t>،</w:t>
      </w:r>
      <w:r w:rsidR="00F32B28">
        <w:rPr>
          <w:rtl/>
        </w:rPr>
        <w:t xml:space="preserve"> </w:t>
      </w:r>
      <w:r w:rsidR="00F32B28" w:rsidRPr="00F32B28">
        <w:rPr>
          <w:rtl/>
        </w:rPr>
        <w:t>من</w:t>
      </w:r>
      <w:r w:rsidR="00F32B28">
        <w:rPr>
          <w:rtl/>
        </w:rPr>
        <w:t xml:space="preserve"> </w:t>
      </w:r>
      <w:r w:rsidR="00F32B28" w:rsidRPr="00F32B28">
        <w:rPr>
          <w:rtl/>
        </w:rPr>
        <w:t>مجموع</w:t>
      </w:r>
      <w:r w:rsidR="00F32B28">
        <w:rPr>
          <w:rtl/>
        </w:rPr>
        <w:t xml:space="preserve"> </w:t>
      </w:r>
      <w:r w:rsidR="00F32B28" w:rsidRPr="00F32B28">
        <w:rPr>
          <w:rtl/>
        </w:rPr>
        <w:t>الطلبة</w:t>
      </w:r>
      <w:r w:rsidR="00F32B28">
        <w:rPr>
          <w:rtl/>
        </w:rPr>
        <w:t xml:space="preserve"> </w:t>
      </w:r>
      <w:r w:rsidR="00F32B28" w:rsidRPr="00F32B28">
        <w:rPr>
          <w:rtl/>
        </w:rPr>
        <w:t>الخريجين</w:t>
      </w:r>
      <w:r w:rsidR="00F32B28">
        <w:rPr>
          <w:rtl/>
        </w:rPr>
        <w:t xml:space="preserve"> </w:t>
      </w:r>
      <w:r w:rsidR="00F32B28" w:rsidRPr="00F32B28">
        <w:rPr>
          <w:rtl/>
        </w:rPr>
        <w:t>لهذا</w:t>
      </w:r>
      <w:r w:rsidR="00F32B28">
        <w:rPr>
          <w:rtl/>
        </w:rPr>
        <w:t xml:space="preserve"> </w:t>
      </w:r>
      <w:r w:rsidR="00F32B28" w:rsidRPr="00F32B28">
        <w:rPr>
          <w:rtl/>
        </w:rPr>
        <w:t>العام</w:t>
      </w:r>
      <w:r w:rsidR="00F32B28">
        <w:rPr>
          <w:rtl/>
        </w:rPr>
        <w:t xml:space="preserve"> </w:t>
      </w:r>
      <w:r w:rsidR="00F32B28" w:rsidRPr="00F32B28">
        <w:rPr>
          <w:rtl/>
        </w:rPr>
        <w:t>والبالغ</w:t>
      </w:r>
      <w:r w:rsidR="00F32B28">
        <w:rPr>
          <w:rtl/>
        </w:rPr>
        <w:t xml:space="preserve"> </w:t>
      </w:r>
      <w:r w:rsidR="00F32B28" w:rsidRPr="00F32B28">
        <w:rPr>
          <w:rtl/>
        </w:rPr>
        <w:t>عددهم</w:t>
      </w:r>
      <w:r w:rsidR="00F32B28">
        <w:rPr>
          <w:rtl/>
        </w:rPr>
        <w:t xml:space="preserve"> </w:t>
      </w:r>
      <w:r w:rsidR="00F32B28" w:rsidRPr="00F32B28">
        <w:rPr>
          <w:rtl/>
        </w:rPr>
        <w:t>(</w:t>
      </w:r>
      <w:r w:rsidR="00EE4046">
        <w:rPr>
          <w:rFonts w:hint="cs"/>
          <w:rtl/>
        </w:rPr>
        <w:t>043 40</w:t>
      </w:r>
      <w:r w:rsidR="00F32B28" w:rsidRPr="00F32B28">
        <w:rPr>
          <w:rtl/>
        </w:rPr>
        <w:t>).</w:t>
      </w:r>
    </w:p>
    <w:p w:rsidR="00F32B28" w:rsidRDefault="00F77719" w:rsidP="00F77719">
      <w:pPr>
        <w:pStyle w:val="SingleTxt"/>
        <w:rPr>
          <w:rtl/>
        </w:rPr>
      </w:pPr>
      <w:r>
        <w:rPr>
          <w:rFonts w:hint="cs"/>
          <w:rtl/>
        </w:rPr>
        <w:t xml:space="preserve">189 - </w:t>
      </w:r>
      <w:r w:rsidR="00F32B28" w:rsidRPr="00F32B28">
        <w:rPr>
          <w:rtl/>
        </w:rPr>
        <w:t>ويظهر</w:t>
      </w:r>
      <w:r w:rsidR="00F32B28">
        <w:rPr>
          <w:rtl/>
        </w:rPr>
        <w:t xml:space="preserve"> </w:t>
      </w:r>
      <w:r w:rsidR="00F32B28" w:rsidRPr="00F32B28">
        <w:rPr>
          <w:rtl/>
        </w:rPr>
        <w:t>الجدول</w:t>
      </w:r>
      <w:r w:rsidR="00F32B28">
        <w:rPr>
          <w:rtl/>
        </w:rPr>
        <w:t xml:space="preserve"> </w:t>
      </w:r>
      <w:r w:rsidR="00F32B28" w:rsidRPr="00F32B28">
        <w:rPr>
          <w:rtl/>
        </w:rPr>
        <w:t>الآتي،</w:t>
      </w:r>
      <w:r w:rsidR="00F32B28">
        <w:rPr>
          <w:rtl/>
        </w:rPr>
        <w:t xml:space="preserve"> </w:t>
      </w:r>
      <w:r w:rsidR="00F32B28" w:rsidRPr="00F32B28">
        <w:rPr>
          <w:rtl/>
        </w:rPr>
        <w:t>عدد</w:t>
      </w:r>
      <w:r w:rsidR="00F32B28">
        <w:rPr>
          <w:rtl/>
        </w:rPr>
        <w:t xml:space="preserve"> </w:t>
      </w:r>
      <w:r w:rsidR="00F32B28" w:rsidRPr="00F32B28">
        <w:rPr>
          <w:rtl/>
        </w:rPr>
        <w:t>الطلبة</w:t>
      </w:r>
      <w:r w:rsidR="00F32B28">
        <w:rPr>
          <w:rtl/>
        </w:rPr>
        <w:t xml:space="preserve"> </w:t>
      </w:r>
      <w:r w:rsidR="00F32B28" w:rsidRPr="00F32B28">
        <w:rPr>
          <w:rtl/>
        </w:rPr>
        <w:t>بحسب</w:t>
      </w:r>
      <w:r w:rsidR="00F32B28">
        <w:rPr>
          <w:rtl/>
        </w:rPr>
        <w:t xml:space="preserve"> </w:t>
      </w:r>
      <w:r w:rsidR="00F32B28" w:rsidRPr="00F32B28">
        <w:rPr>
          <w:rtl/>
        </w:rPr>
        <w:t>الجنس</w:t>
      </w:r>
      <w:r w:rsidR="00F32B28">
        <w:rPr>
          <w:rtl/>
        </w:rPr>
        <w:t xml:space="preserve"> </w:t>
      </w:r>
      <w:r w:rsidR="00F32B28" w:rsidRPr="00F32B28">
        <w:rPr>
          <w:rtl/>
        </w:rPr>
        <w:t>الملتحقين</w:t>
      </w:r>
      <w:r w:rsidR="00F32B28">
        <w:rPr>
          <w:rtl/>
        </w:rPr>
        <w:t xml:space="preserve"> </w:t>
      </w:r>
      <w:r w:rsidR="00F32B28" w:rsidRPr="00F32B28">
        <w:rPr>
          <w:rtl/>
        </w:rPr>
        <w:t>في</w:t>
      </w:r>
      <w:r w:rsidR="00F32B28">
        <w:rPr>
          <w:rtl/>
        </w:rPr>
        <w:t xml:space="preserve"> </w:t>
      </w:r>
      <w:r w:rsidR="00F32B28" w:rsidRPr="00F32B28">
        <w:rPr>
          <w:rtl/>
        </w:rPr>
        <w:t>الجامعات</w:t>
      </w:r>
      <w:r w:rsidR="00F32B28">
        <w:rPr>
          <w:rtl/>
        </w:rPr>
        <w:t xml:space="preserve"> </w:t>
      </w:r>
      <w:r w:rsidR="00F32B28" w:rsidRPr="00F32B28">
        <w:rPr>
          <w:rtl/>
        </w:rPr>
        <w:t>وكليات</w:t>
      </w:r>
      <w:r w:rsidR="00F32B28">
        <w:rPr>
          <w:rtl/>
        </w:rPr>
        <w:t xml:space="preserve"> </w:t>
      </w:r>
      <w:r w:rsidR="00F32B28" w:rsidRPr="00F32B28">
        <w:rPr>
          <w:rtl/>
        </w:rPr>
        <w:t>المجتمع</w:t>
      </w:r>
      <w:r w:rsidR="00F32B28">
        <w:rPr>
          <w:rtl/>
        </w:rPr>
        <w:t xml:space="preserve"> </w:t>
      </w:r>
      <w:r w:rsidR="00F32B28" w:rsidRPr="00F32B28">
        <w:rPr>
          <w:rtl/>
        </w:rPr>
        <w:t>لأعوام</w:t>
      </w:r>
      <w:r w:rsidR="00F32B28">
        <w:rPr>
          <w:rtl/>
        </w:rPr>
        <w:t xml:space="preserve"> </w:t>
      </w:r>
      <w:r w:rsidR="00F32B28" w:rsidRPr="00F32B28">
        <w:rPr>
          <w:rtl/>
        </w:rPr>
        <w:t>دراسية</w:t>
      </w:r>
      <w:r w:rsidR="00F32B28">
        <w:rPr>
          <w:rtl/>
        </w:rPr>
        <w:t xml:space="preserve"> </w:t>
      </w:r>
      <w:r w:rsidR="00F32B28" w:rsidRPr="00F32B28">
        <w:rPr>
          <w:rtl/>
        </w:rPr>
        <w:t>مختارة</w:t>
      </w:r>
      <w:r w:rsidR="00F32B28">
        <w:rPr>
          <w:rtl/>
        </w:rPr>
        <w:t xml:space="preserve"> </w:t>
      </w:r>
      <w:r w:rsidR="00F32B28" w:rsidRPr="00F32B28">
        <w:rPr>
          <w:rtl/>
        </w:rPr>
        <w:t>(العدد</w:t>
      </w:r>
      <w:r w:rsidR="00F32B28">
        <w:rPr>
          <w:rtl/>
        </w:rPr>
        <w:t xml:space="preserve"> </w:t>
      </w:r>
      <w:r w:rsidR="00F32B28" w:rsidRPr="00F32B28">
        <w:rPr>
          <w:rtl/>
        </w:rPr>
        <w:t>بالآلاف):</w:t>
      </w:r>
      <w:r w:rsidR="00F32B28">
        <w:rPr>
          <w:rtl/>
        </w:rPr>
        <w:t xml:space="preserve"> </w:t>
      </w:r>
    </w:p>
    <w:p w:rsidR="006E1E19" w:rsidRPr="006E1E19" w:rsidRDefault="006E1E19" w:rsidP="006E1E19">
      <w:pPr>
        <w:pStyle w:val="SingleTxt"/>
        <w:spacing w:after="0" w:line="120" w:lineRule="exact"/>
        <w:rPr>
          <w:sz w:val="10"/>
          <w:rtl/>
        </w:rPr>
      </w:pPr>
    </w:p>
    <w:p w:rsidR="00F77719" w:rsidRDefault="006E1E19" w:rsidP="00362769">
      <w:pPr>
        <w:pStyle w:val="SingleTxt"/>
        <w:ind w:right="0"/>
      </w:pPr>
      <w:r w:rsidRPr="006E1E19">
        <w:rPr>
          <w:rtl/>
        </w:rPr>
        <w:t xml:space="preserve">جدول رقم (3) </w:t>
      </w:r>
      <w:r>
        <w:rPr>
          <w:rFonts w:hint="cs"/>
          <w:rtl/>
        </w:rPr>
        <w:tab/>
      </w:r>
      <w:r>
        <w:rPr>
          <w:rFonts w:hint="cs"/>
          <w:rtl/>
        </w:rPr>
        <w:br/>
      </w:r>
      <w:r w:rsidRPr="006E1E19">
        <w:rPr>
          <w:b/>
          <w:bCs/>
          <w:rtl/>
        </w:rPr>
        <w:t>حول بيانات الجامعات تشمل طلبة الدبلوم المتوسط والبكالوريوس</w:t>
      </w:r>
      <w:r>
        <w:rPr>
          <w:rFonts w:hint="cs"/>
          <w:b/>
          <w:bCs/>
          <w:rtl/>
        </w:rPr>
        <w:t xml:space="preserve"> </w:t>
      </w:r>
      <w:r w:rsidRPr="006E1E19">
        <w:rPr>
          <w:b/>
          <w:bCs/>
          <w:rtl/>
        </w:rPr>
        <w:t>والدراسات العليا في الجامعات والكليات الجامعية</w:t>
      </w:r>
    </w:p>
    <w:tbl>
      <w:tblPr>
        <w:bidiVisual/>
        <w:tblW w:w="8582" w:type="dxa"/>
        <w:tblInd w:w="1260" w:type="dxa"/>
        <w:tblLayout w:type="fixed"/>
        <w:tblCellMar>
          <w:left w:w="0" w:type="dxa"/>
          <w:right w:w="0" w:type="dxa"/>
        </w:tblCellMar>
        <w:tblLook w:val="0000" w:firstRow="0" w:lastRow="0" w:firstColumn="0" w:lastColumn="0" w:noHBand="0" w:noVBand="0"/>
      </w:tblPr>
      <w:tblGrid>
        <w:gridCol w:w="1317"/>
        <w:gridCol w:w="963"/>
        <w:gridCol w:w="693"/>
        <w:gridCol w:w="828"/>
        <w:gridCol w:w="828"/>
        <w:gridCol w:w="153"/>
        <w:gridCol w:w="981"/>
        <w:gridCol w:w="919"/>
        <w:gridCol w:w="827"/>
        <w:gridCol w:w="1073"/>
      </w:tblGrid>
      <w:tr w:rsidR="006E1E19" w:rsidRPr="005B0DBE" w:rsidTr="00AF1BC1">
        <w:trPr>
          <w:cantSplit/>
          <w:tblHeader/>
        </w:trPr>
        <w:tc>
          <w:tcPr>
            <w:tcW w:w="1317" w:type="dxa"/>
            <w:tcBorders>
              <w:top w:val="single" w:sz="4" w:space="0" w:color="auto"/>
            </w:tcBorders>
            <w:shd w:val="clear" w:color="auto" w:fill="auto"/>
            <w:vAlign w:val="bottom"/>
          </w:tcPr>
          <w:p w:rsidR="006E1E19" w:rsidRPr="005B0DBE" w:rsidRDefault="006E1E19" w:rsidP="005B0DBE">
            <w:pPr>
              <w:tabs>
                <w:tab w:val="left" w:pos="288"/>
                <w:tab w:val="left" w:pos="576"/>
                <w:tab w:val="left" w:pos="864"/>
                <w:tab w:val="left" w:pos="1152"/>
              </w:tabs>
              <w:spacing w:before="80" w:after="80" w:line="240" w:lineRule="exact"/>
              <w:ind w:left="43" w:right="144"/>
              <w:rPr>
                <w:i/>
                <w:iCs/>
                <w:sz w:val="16"/>
                <w:szCs w:val="24"/>
                <w:rtl/>
              </w:rPr>
            </w:pPr>
          </w:p>
        </w:tc>
        <w:tc>
          <w:tcPr>
            <w:tcW w:w="3312" w:type="dxa"/>
            <w:gridSpan w:val="4"/>
            <w:tcBorders>
              <w:top w:val="single" w:sz="4" w:space="0" w:color="auto"/>
              <w:bottom w:val="single" w:sz="4" w:space="0" w:color="auto"/>
            </w:tcBorders>
            <w:shd w:val="clear" w:color="auto" w:fill="auto"/>
            <w:vAlign w:val="bottom"/>
          </w:tcPr>
          <w:p w:rsidR="006E1E19" w:rsidRPr="005B0DBE" w:rsidRDefault="006E1E19" w:rsidP="0007328B">
            <w:pPr>
              <w:tabs>
                <w:tab w:val="left" w:pos="288"/>
                <w:tab w:val="left" w:pos="576"/>
                <w:tab w:val="left" w:pos="864"/>
                <w:tab w:val="left" w:pos="1152"/>
              </w:tabs>
              <w:spacing w:before="80" w:after="80" w:line="240" w:lineRule="exact"/>
              <w:ind w:left="43" w:right="144"/>
              <w:jc w:val="center"/>
              <w:rPr>
                <w:i/>
                <w:iCs/>
                <w:sz w:val="16"/>
                <w:szCs w:val="24"/>
                <w:rtl/>
              </w:rPr>
            </w:pPr>
            <w:r w:rsidRPr="005B0DBE">
              <w:rPr>
                <w:i/>
                <w:iCs/>
                <w:sz w:val="16"/>
                <w:szCs w:val="24"/>
                <w:rtl/>
              </w:rPr>
              <w:t>الجامعات</w:t>
            </w:r>
            <w:r>
              <w:rPr>
                <w:rFonts w:hint="cs"/>
                <w:i/>
                <w:iCs/>
                <w:sz w:val="16"/>
                <w:szCs w:val="24"/>
                <w:rtl/>
              </w:rPr>
              <w:t>*</w:t>
            </w:r>
          </w:p>
        </w:tc>
        <w:tc>
          <w:tcPr>
            <w:tcW w:w="153" w:type="dxa"/>
            <w:tcBorders>
              <w:top w:val="single" w:sz="4" w:space="0" w:color="auto"/>
            </w:tcBorders>
            <w:shd w:val="clear" w:color="auto" w:fill="auto"/>
            <w:vAlign w:val="bottom"/>
          </w:tcPr>
          <w:p w:rsidR="006E1E19" w:rsidRPr="005B0DBE" w:rsidRDefault="006E1E19" w:rsidP="005B0DBE">
            <w:pPr>
              <w:tabs>
                <w:tab w:val="left" w:pos="288"/>
                <w:tab w:val="left" w:pos="576"/>
                <w:tab w:val="left" w:pos="864"/>
                <w:tab w:val="left" w:pos="1152"/>
              </w:tabs>
              <w:spacing w:before="80" w:after="80" w:line="240" w:lineRule="exact"/>
              <w:ind w:left="43" w:right="144"/>
              <w:rPr>
                <w:i/>
                <w:iCs/>
                <w:sz w:val="16"/>
                <w:szCs w:val="24"/>
                <w:rtl/>
              </w:rPr>
            </w:pPr>
          </w:p>
        </w:tc>
        <w:tc>
          <w:tcPr>
            <w:tcW w:w="3800" w:type="dxa"/>
            <w:gridSpan w:val="4"/>
            <w:tcBorders>
              <w:top w:val="single" w:sz="4" w:space="0" w:color="auto"/>
              <w:bottom w:val="single" w:sz="4" w:space="0" w:color="auto"/>
            </w:tcBorders>
            <w:shd w:val="clear" w:color="auto" w:fill="auto"/>
            <w:vAlign w:val="bottom"/>
          </w:tcPr>
          <w:p w:rsidR="006E1E19" w:rsidRPr="005B0DBE" w:rsidRDefault="006E1E19" w:rsidP="0007328B">
            <w:pPr>
              <w:tabs>
                <w:tab w:val="left" w:pos="288"/>
                <w:tab w:val="left" w:pos="576"/>
                <w:tab w:val="left" w:pos="864"/>
                <w:tab w:val="left" w:pos="1152"/>
              </w:tabs>
              <w:spacing w:before="80" w:after="80" w:line="240" w:lineRule="exact"/>
              <w:ind w:left="43" w:right="144"/>
              <w:jc w:val="center"/>
              <w:rPr>
                <w:i/>
                <w:iCs/>
                <w:sz w:val="16"/>
                <w:szCs w:val="24"/>
                <w:rtl/>
              </w:rPr>
            </w:pPr>
            <w:r w:rsidRPr="005B0DBE">
              <w:rPr>
                <w:i/>
                <w:iCs/>
                <w:sz w:val="16"/>
                <w:szCs w:val="24"/>
                <w:rtl/>
              </w:rPr>
              <w:t>كليات</w:t>
            </w:r>
            <w:r w:rsidRPr="005B0DBE">
              <w:rPr>
                <w:rFonts w:hint="cs"/>
                <w:i/>
                <w:iCs/>
                <w:sz w:val="16"/>
                <w:szCs w:val="24"/>
                <w:rtl/>
              </w:rPr>
              <w:t xml:space="preserve"> </w:t>
            </w:r>
            <w:r w:rsidRPr="005B0DBE">
              <w:rPr>
                <w:i/>
                <w:iCs/>
                <w:sz w:val="16"/>
                <w:szCs w:val="24"/>
                <w:rtl/>
              </w:rPr>
              <w:t>المجتمع</w:t>
            </w:r>
          </w:p>
        </w:tc>
      </w:tr>
      <w:tr w:rsidR="005B0DBE" w:rsidRPr="005B0DBE" w:rsidTr="006E1E19">
        <w:trPr>
          <w:cantSplit/>
          <w:tblHeader/>
        </w:trPr>
        <w:tc>
          <w:tcPr>
            <w:tcW w:w="1317" w:type="dxa"/>
            <w:tcBorders>
              <w:bottom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after="80" w:line="240" w:lineRule="exact"/>
              <w:ind w:left="43" w:right="144"/>
              <w:rPr>
                <w:i/>
                <w:iCs/>
                <w:sz w:val="16"/>
                <w:szCs w:val="24"/>
                <w:rtl/>
              </w:rPr>
            </w:pPr>
            <w:r w:rsidRPr="005B0DBE">
              <w:rPr>
                <w:i/>
                <w:iCs/>
                <w:sz w:val="16"/>
                <w:szCs w:val="24"/>
                <w:rtl/>
              </w:rPr>
              <w:t>العام</w:t>
            </w:r>
            <w:r w:rsidRPr="005B0DBE">
              <w:rPr>
                <w:rFonts w:hint="cs"/>
                <w:i/>
                <w:iCs/>
                <w:sz w:val="16"/>
                <w:szCs w:val="24"/>
                <w:rtl/>
              </w:rPr>
              <w:t xml:space="preserve"> </w:t>
            </w:r>
            <w:r w:rsidRPr="005B0DBE">
              <w:rPr>
                <w:i/>
                <w:iCs/>
                <w:sz w:val="16"/>
                <w:szCs w:val="24"/>
                <w:rtl/>
              </w:rPr>
              <w:t>الدراسي</w:t>
            </w:r>
          </w:p>
        </w:tc>
        <w:tc>
          <w:tcPr>
            <w:tcW w:w="963" w:type="dxa"/>
            <w:tcBorders>
              <w:top w:val="single" w:sz="4" w:space="0" w:color="auto"/>
              <w:bottom w:val="single" w:sz="12" w:space="0" w:color="auto"/>
            </w:tcBorders>
            <w:shd w:val="clear" w:color="auto" w:fill="auto"/>
            <w:vAlign w:val="bottom"/>
          </w:tcPr>
          <w:p w:rsidR="005B0DBE" w:rsidRPr="005B0DBE" w:rsidRDefault="005B0DBE" w:rsidP="005B0DBE">
            <w:pPr>
              <w:pStyle w:val="DualTxt"/>
              <w:spacing w:after="80" w:line="240" w:lineRule="exact"/>
              <w:ind w:left="43" w:right="144"/>
              <w:rPr>
                <w:i/>
                <w:iCs/>
                <w:sz w:val="16"/>
                <w:szCs w:val="24"/>
                <w:rtl/>
              </w:rPr>
            </w:pPr>
            <w:r w:rsidRPr="005B0DBE">
              <w:rPr>
                <w:i/>
                <w:iCs/>
                <w:sz w:val="16"/>
                <w:szCs w:val="24"/>
                <w:rtl/>
              </w:rPr>
              <w:t>كلا الجنسين</w:t>
            </w:r>
          </w:p>
        </w:tc>
        <w:tc>
          <w:tcPr>
            <w:tcW w:w="693" w:type="dxa"/>
            <w:tcBorders>
              <w:top w:val="single" w:sz="4" w:space="0" w:color="auto"/>
              <w:bottom w:val="single" w:sz="12" w:space="0" w:color="auto"/>
            </w:tcBorders>
            <w:shd w:val="clear" w:color="auto" w:fill="auto"/>
            <w:vAlign w:val="bottom"/>
          </w:tcPr>
          <w:p w:rsidR="005B0DBE" w:rsidRPr="005B0DBE" w:rsidRDefault="005B0DBE" w:rsidP="005B0DBE">
            <w:pPr>
              <w:pStyle w:val="DualTxt"/>
              <w:spacing w:after="80" w:line="240" w:lineRule="exact"/>
              <w:ind w:left="43" w:right="144"/>
              <w:rPr>
                <w:i/>
                <w:iCs/>
                <w:sz w:val="16"/>
                <w:szCs w:val="24"/>
                <w:rtl/>
              </w:rPr>
            </w:pPr>
            <w:r w:rsidRPr="005B0DBE">
              <w:rPr>
                <w:i/>
                <w:iCs/>
                <w:sz w:val="16"/>
                <w:szCs w:val="24"/>
                <w:rtl/>
              </w:rPr>
              <w:t xml:space="preserve">ذكور </w:t>
            </w:r>
          </w:p>
        </w:tc>
        <w:tc>
          <w:tcPr>
            <w:tcW w:w="828" w:type="dxa"/>
            <w:tcBorders>
              <w:top w:val="single" w:sz="4" w:space="0" w:color="auto"/>
              <w:bottom w:val="single" w:sz="12" w:space="0" w:color="auto"/>
            </w:tcBorders>
            <w:shd w:val="clear" w:color="auto" w:fill="auto"/>
            <w:vAlign w:val="bottom"/>
          </w:tcPr>
          <w:p w:rsidR="005B0DBE" w:rsidRPr="005B0DBE" w:rsidRDefault="005B0DBE" w:rsidP="005B0DBE">
            <w:pPr>
              <w:pStyle w:val="DualTxt"/>
              <w:spacing w:after="80" w:line="240" w:lineRule="exact"/>
              <w:ind w:left="43" w:right="144"/>
              <w:rPr>
                <w:i/>
                <w:iCs/>
                <w:sz w:val="16"/>
                <w:szCs w:val="24"/>
                <w:rtl/>
              </w:rPr>
            </w:pPr>
            <w:r w:rsidRPr="005B0DBE">
              <w:rPr>
                <w:i/>
                <w:iCs/>
                <w:sz w:val="16"/>
                <w:szCs w:val="24"/>
                <w:rtl/>
              </w:rPr>
              <w:t xml:space="preserve">إناث </w:t>
            </w:r>
          </w:p>
        </w:tc>
        <w:tc>
          <w:tcPr>
            <w:tcW w:w="828" w:type="dxa"/>
            <w:tcBorders>
              <w:top w:val="single" w:sz="4" w:space="0" w:color="auto"/>
              <w:bottom w:val="single" w:sz="12" w:space="0" w:color="auto"/>
            </w:tcBorders>
            <w:shd w:val="clear" w:color="auto" w:fill="auto"/>
            <w:vAlign w:val="bottom"/>
          </w:tcPr>
          <w:p w:rsidR="005B0DBE" w:rsidRPr="005B0DBE" w:rsidRDefault="005B0DBE" w:rsidP="005B0DBE">
            <w:pPr>
              <w:pStyle w:val="DualTxt"/>
              <w:spacing w:after="80" w:line="240" w:lineRule="exact"/>
              <w:ind w:left="43" w:right="144"/>
              <w:rPr>
                <w:i/>
                <w:iCs/>
                <w:sz w:val="16"/>
                <w:szCs w:val="24"/>
              </w:rPr>
            </w:pPr>
            <w:r w:rsidRPr="005B0DBE">
              <w:rPr>
                <w:i/>
                <w:iCs/>
                <w:sz w:val="16"/>
                <w:szCs w:val="24"/>
                <w:rtl/>
              </w:rPr>
              <w:t>فجوة الجنس</w:t>
            </w:r>
            <w:r>
              <w:rPr>
                <w:rFonts w:hint="cs"/>
                <w:i/>
                <w:iCs/>
                <w:sz w:val="16"/>
                <w:szCs w:val="24"/>
                <w:rtl/>
              </w:rPr>
              <w:t>**</w:t>
            </w:r>
          </w:p>
        </w:tc>
        <w:tc>
          <w:tcPr>
            <w:tcW w:w="153" w:type="dxa"/>
            <w:tcBorders>
              <w:bottom w:val="single" w:sz="12" w:space="0" w:color="auto"/>
            </w:tcBorders>
            <w:shd w:val="clear" w:color="auto" w:fill="auto"/>
            <w:vAlign w:val="bottom"/>
          </w:tcPr>
          <w:p w:rsidR="005B0DBE" w:rsidRPr="005B0DBE" w:rsidRDefault="005B0DBE" w:rsidP="005B0DBE">
            <w:pPr>
              <w:pStyle w:val="DualTxt"/>
              <w:spacing w:after="80" w:line="240" w:lineRule="exact"/>
              <w:ind w:left="43" w:right="144"/>
              <w:rPr>
                <w:i/>
                <w:iCs/>
                <w:sz w:val="16"/>
                <w:szCs w:val="24"/>
                <w:rtl/>
              </w:rPr>
            </w:pPr>
          </w:p>
        </w:tc>
        <w:tc>
          <w:tcPr>
            <w:tcW w:w="981" w:type="dxa"/>
            <w:tcBorders>
              <w:top w:val="single" w:sz="4" w:space="0" w:color="auto"/>
              <w:bottom w:val="single" w:sz="12" w:space="0" w:color="auto"/>
            </w:tcBorders>
            <w:shd w:val="clear" w:color="auto" w:fill="auto"/>
            <w:vAlign w:val="bottom"/>
          </w:tcPr>
          <w:p w:rsidR="005B0DBE" w:rsidRPr="005B0DBE" w:rsidRDefault="005B0DBE" w:rsidP="005B0DBE">
            <w:pPr>
              <w:pStyle w:val="DualTxt"/>
              <w:spacing w:after="80" w:line="240" w:lineRule="exact"/>
              <w:ind w:left="43" w:right="144"/>
              <w:rPr>
                <w:i/>
                <w:iCs/>
                <w:sz w:val="16"/>
                <w:szCs w:val="24"/>
                <w:rtl/>
              </w:rPr>
            </w:pPr>
            <w:r w:rsidRPr="005B0DBE">
              <w:rPr>
                <w:i/>
                <w:iCs/>
                <w:sz w:val="16"/>
                <w:szCs w:val="24"/>
                <w:rtl/>
              </w:rPr>
              <w:t>كلا الجنسين</w:t>
            </w:r>
          </w:p>
        </w:tc>
        <w:tc>
          <w:tcPr>
            <w:tcW w:w="919" w:type="dxa"/>
            <w:tcBorders>
              <w:top w:val="single" w:sz="4" w:space="0" w:color="auto"/>
              <w:bottom w:val="single" w:sz="12" w:space="0" w:color="auto"/>
            </w:tcBorders>
            <w:shd w:val="clear" w:color="auto" w:fill="auto"/>
            <w:vAlign w:val="bottom"/>
          </w:tcPr>
          <w:p w:rsidR="005B0DBE" w:rsidRPr="005B0DBE" w:rsidRDefault="005B0DBE" w:rsidP="005B0DBE">
            <w:pPr>
              <w:pStyle w:val="DualTxt"/>
              <w:spacing w:after="80" w:line="240" w:lineRule="exact"/>
              <w:ind w:left="43" w:right="144"/>
              <w:rPr>
                <w:i/>
                <w:iCs/>
                <w:sz w:val="16"/>
                <w:szCs w:val="24"/>
                <w:rtl/>
              </w:rPr>
            </w:pPr>
            <w:r w:rsidRPr="005B0DBE">
              <w:rPr>
                <w:i/>
                <w:iCs/>
                <w:sz w:val="16"/>
                <w:szCs w:val="24"/>
                <w:rtl/>
              </w:rPr>
              <w:t xml:space="preserve">ذكور </w:t>
            </w:r>
          </w:p>
        </w:tc>
        <w:tc>
          <w:tcPr>
            <w:tcW w:w="827" w:type="dxa"/>
            <w:tcBorders>
              <w:top w:val="single" w:sz="4" w:space="0" w:color="auto"/>
              <w:bottom w:val="single" w:sz="12" w:space="0" w:color="auto"/>
            </w:tcBorders>
            <w:shd w:val="clear" w:color="auto" w:fill="auto"/>
            <w:vAlign w:val="bottom"/>
          </w:tcPr>
          <w:p w:rsidR="005B0DBE" w:rsidRPr="005B0DBE" w:rsidRDefault="005B0DBE" w:rsidP="005B0DBE">
            <w:pPr>
              <w:pStyle w:val="DualTxt"/>
              <w:spacing w:after="80" w:line="240" w:lineRule="exact"/>
              <w:ind w:left="43" w:right="144"/>
              <w:rPr>
                <w:i/>
                <w:iCs/>
                <w:sz w:val="16"/>
                <w:szCs w:val="24"/>
                <w:rtl/>
              </w:rPr>
            </w:pPr>
            <w:r w:rsidRPr="005B0DBE">
              <w:rPr>
                <w:i/>
                <w:iCs/>
                <w:sz w:val="16"/>
                <w:szCs w:val="24"/>
                <w:rtl/>
              </w:rPr>
              <w:t>إناث</w:t>
            </w:r>
          </w:p>
        </w:tc>
        <w:tc>
          <w:tcPr>
            <w:tcW w:w="1073" w:type="dxa"/>
            <w:tcBorders>
              <w:top w:val="single" w:sz="4" w:space="0" w:color="auto"/>
              <w:bottom w:val="single" w:sz="12" w:space="0" w:color="auto"/>
            </w:tcBorders>
            <w:shd w:val="clear" w:color="auto" w:fill="auto"/>
            <w:vAlign w:val="bottom"/>
          </w:tcPr>
          <w:p w:rsidR="005B0DBE" w:rsidRPr="005B0DBE" w:rsidRDefault="005B0DBE" w:rsidP="005B0DBE">
            <w:pPr>
              <w:pStyle w:val="DualTxt"/>
              <w:spacing w:after="80" w:line="240" w:lineRule="exact"/>
              <w:ind w:left="43" w:right="144"/>
              <w:rPr>
                <w:i/>
                <w:iCs/>
                <w:sz w:val="16"/>
                <w:szCs w:val="24"/>
              </w:rPr>
            </w:pPr>
            <w:r w:rsidRPr="005B0DBE">
              <w:rPr>
                <w:i/>
                <w:iCs/>
                <w:sz w:val="16"/>
                <w:szCs w:val="24"/>
                <w:rtl/>
              </w:rPr>
              <w:t>فجوة الجنس</w:t>
            </w:r>
            <w:r w:rsidR="006E1E19">
              <w:rPr>
                <w:rFonts w:hint="cs"/>
                <w:i/>
                <w:iCs/>
                <w:sz w:val="16"/>
                <w:szCs w:val="24"/>
                <w:rtl/>
              </w:rPr>
              <w:t>**</w:t>
            </w:r>
          </w:p>
        </w:tc>
      </w:tr>
      <w:tr w:rsidR="005B0DBE" w:rsidRPr="005B0DBE" w:rsidTr="006E1E19">
        <w:trPr>
          <w:cantSplit/>
          <w:trHeight w:hRule="exact" w:val="115"/>
          <w:tblHeader/>
        </w:trPr>
        <w:tc>
          <w:tcPr>
            <w:tcW w:w="1317" w:type="dxa"/>
            <w:tcBorders>
              <w:top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p>
        </w:tc>
        <w:tc>
          <w:tcPr>
            <w:tcW w:w="963" w:type="dxa"/>
            <w:tcBorders>
              <w:top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p>
        </w:tc>
        <w:tc>
          <w:tcPr>
            <w:tcW w:w="693" w:type="dxa"/>
            <w:tcBorders>
              <w:top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p>
        </w:tc>
        <w:tc>
          <w:tcPr>
            <w:tcW w:w="828" w:type="dxa"/>
            <w:tcBorders>
              <w:top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p>
        </w:tc>
        <w:tc>
          <w:tcPr>
            <w:tcW w:w="828" w:type="dxa"/>
            <w:tcBorders>
              <w:top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p>
        </w:tc>
        <w:tc>
          <w:tcPr>
            <w:tcW w:w="153" w:type="dxa"/>
            <w:tcBorders>
              <w:top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p>
        </w:tc>
        <w:tc>
          <w:tcPr>
            <w:tcW w:w="981" w:type="dxa"/>
            <w:tcBorders>
              <w:top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p>
        </w:tc>
        <w:tc>
          <w:tcPr>
            <w:tcW w:w="919" w:type="dxa"/>
            <w:tcBorders>
              <w:top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p>
        </w:tc>
        <w:tc>
          <w:tcPr>
            <w:tcW w:w="827" w:type="dxa"/>
            <w:tcBorders>
              <w:top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p>
        </w:tc>
        <w:tc>
          <w:tcPr>
            <w:tcW w:w="1073" w:type="dxa"/>
            <w:tcBorders>
              <w:top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p>
        </w:tc>
      </w:tr>
      <w:tr w:rsidR="005B0DBE" w:rsidRPr="005B0DBE" w:rsidTr="006E1E19">
        <w:trPr>
          <w:cantSplit/>
        </w:trPr>
        <w:tc>
          <w:tcPr>
            <w:tcW w:w="1317" w:type="dxa"/>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r>
              <w:rPr>
                <w:rFonts w:hint="cs"/>
                <w:sz w:val="16"/>
                <w:szCs w:val="24"/>
                <w:rtl/>
              </w:rPr>
              <w:t>2007-2008</w:t>
            </w:r>
          </w:p>
        </w:tc>
        <w:tc>
          <w:tcPr>
            <w:tcW w:w="96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168</w:t>
            </w:r>
            <w:r w:rsidRPr="005B0DBE">
              <w:rPr>
                <w:sz w:val="16"/>
                <w:szCs w:val="24"/>
              </w:rPr>
              <w:t>,</w:t>
            </w:r>
            <w:r w:rsidRPr="005B0DBE">
              <w:rPr>
                <w:sz w:val="16"/>
                <w:szCs w:val="24"/>
                <w:rtl/>
              </w:rPr>
              <w:t>1</w:t>
            </w:r>
          </w:p>
        </w:tc>
        <w:tc>
          <w:tcPr>
            <w:tcW w:w="69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75</w:t>
            </w:r>
            <w:r w:rsidRPr="005B0DBE">
              <w:rPr>
                <w:sz w:val="16"/>
                <w:szCs w:val="24"/>
              </w:rPr>
              <w:t>,</w:t>
            </w:r>
            <w:r w:rsidRPr="005B0DBE">
              <w:rPr>
                <w:sz w:val="16"/>
                <w:szCs w:val="24"/>
                <w:rtl/>
              </w:rPr>
              <w:t>3</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92</w:t>
            </w:r>
            <w:r w:rsidRPr="005B0DBE">
              <w:rPr>
                <w:sz w:val="16"/>
                <w:szCs w:val="24"/>
              </w:rPr>
              <w:t>,</w:t>
            </w:r>
            <w:r w:rsidRPr="005B0DBE">
              <w:rPr>
                <w:sz w:val="16"/>
                <w:szCs w:val="24"/>
                <w:rtl/>
              </w:rPr>
              <w:t>8</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w:t>
            </w:r>
            <w:r w:rsidRPr="005B0DBE">
              <w:rPr>
                <w:sz w:val="16"/>
                <w:szCs w:val="24"/>
              </w:rPr>
              <w:t>,</w:t>
            </w:r>
            <w:r w:rsidRPr="005B0DBE">
              <w:rPr>
                <w:sz w:val="16"/>
                <w:szCs w:val="24"/>
                <w:rtl/>
              </w:rPr>
              <w:t>23</w:t>
            </w:r>
          </w:p>
        </w:tc>
        <w:tc>
          <w:tcPr>
            <w:tcW w:w="153" w:type="dxa"/>
            <w:shd w:val="clear" w:color="auto" w:fill="auto"/>
            <w:vAlign w:val="bottom"/>
          </w:tcPr>
          <w:p w:rsidR="005B0DBE" w:rsidRPr="005B0DBE" w:rsidRDefault="005B0DBE" w:rsidP="005B0DBE">
            <w:pPr>
              <w:tabs>
                <w:tab w:val="left" w:pos="288"/>
                <w:tab w:val="left" w:pos="576"/>
                <w:tab w:val="left" w:pos="864"/>
                <w:tab w:val="left" w:pos="1152"/>
              </w:tabs>
              <w:bidi w:val="0"/>
              <w:spacing w:before="40" w:after="80" w:line="240" w:lineRule="exact"/>
              <w:ind w:left="43" w:right="43"/>
              <w:jc w:val="right"/>
              <w:rPr>
                <w:sz w:val="16"/>
                <w:szCs w:val="24"/>
                <w:rtl/>
              </w:rPr>
            </w:pPr>
          </w:p>
        </w:tc>
        <w:tc>
          <w:tcPr>
            <w:tcW w:w="981"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13</w:t>
            </w:r>
            <w:r w:rsidRPr="005B0DBE">
              <w:rPr>
                <w:sz w:val="16"/>
                <w:szCs w:val="24"/>
              </w:rPr>
              <w:t>,</w:t>
            </w:r>
            <w:r w:rsidRPr="005B0DBE">
              <w:rPr>
                <w:sz w:val="16"/>
                <w:szCs w:val="24"/>
                <w:rtl/>
              </w:rPr>
              <w:t>1</w:t>
            </w:r>
          </w:p>
        </w:tc>
        <w:tc>
          <w:tcPr>
            <w:tcW w:w="919"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8</w:t>
            </w:r>
            <w:r w:rsidRPr="005B0DBE">
              <w:rPr>
                <w:sz w:val="16"/>
                <w:szCs w:val="24"/>
              </w:rPr>
              <w:t>,</w:t>
            </w:r>
            <w:r w:rsidRPr="005B0DBE">
              <w:rPr>
                <w:sz w:val="16"/>
                <w:szCs w:val="24"/>
                <w:rtl/>
              </w:rPr>
              <w:t>2</w:t>
            </w:r>
          </w:p>
        </w:tc>
        <w:tc>
          <w:tcPr>
            <w:tcW w:w="827"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4</w:t>
            </w:r>
            <w:r w:rsidRPr="005B0DBE">
              <w:rPr>
                <w:sz w:val="16"/>
                <w:szCs w:val="24"/>
              </w:rPr>
              <w:t>,</w:t>
            </w:r>
            <w:r w:rsidRPr="005B0DBE">
              <w:rPr>
                <w:sz w:val="16"/>
                <w:szCs w:val="24"/>
                <w:rtl/>
              </w:rPr>
              <w:t>9</w:t>
            </w:r>
          </w:p>
        </w:tc>
        <w:tc>
          <w:tcPr>
            <w:tcW w:w="107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0</w:t>
            </w:r>
            <w:r w:rsidRPr="005B0DBE">
              <w:rPr>
                <w:sz w:val="16"/>
                <w:szCs w:val="24"/>
              </w:rPr>
              <w:t>,</w:t>
            </w:r>
            <w:r w:rsidRPr="005B0DBE">
              <w:rPr>
                <w:sz w:val="16"/>
                <w:szCs w:val="24"/>
                <w:rtl/>
              </w:rPr>
              <w:t>60</w:t>
            </w:r>
          </w:p>
        </w:tc>
      </w:tr>
      <w:tr w:rsidR="005B0DBE" w:rsidRPr="005B0DBE" w:rsidTr="006E1E19">
        <w:trPr>
          <w:cantSplit/>
        </w:trPr>
        <w:tc>
          <w:tcPr>
            <w:tcW w:w="1317" w:type="dxa"/>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r>
              <w:rPr>
                <w:rFonts w:hint="cs"/>
                <w:sz w:val="16"/>
                <w:szCs w:val="24"/>
                <w:rtl/>
              </w:rPr>
              <w:lastRenderedPageBreak/>
              <w:t>2009-2010</w:t>
            </w:r>
          </w:p>
        </w:tc>
        <w:tc>
          <w:tcPr>
            <w:tcW w:w="96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185</w:t>
            </w:r>
            <w:r w:rsidRPr="005B0DBE">
              <w:rPr>
                <w:sz w:val="16"/>
                <w:szCs w:val="24"/>
              </w:rPr>
              <w:t>,</w:t>
            </w:r>
            <w:r w:rsidRPr="005B0DBE">
              <w:rPr>
                <w:sz w:val="16"/>
                <w:szCs w:val="24"/>
                <w:rtl/>
              </w:rPr>
              <w:t>0</w:t>
            </w:r>
          </w:p>
        </w:tc>
        <w:tc>
          <w:tcPr>
            <w:tcW w:w="69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79</w:t>
            </w:r>
            <w:r w:rsidRPr="005B0DBE">
              <w:rPr>
                <w:sz w:val="16"/>
                <w:szCs w:val="24"/>
              </w:rPr>
              <w:t>,</w:t>
            </w:r>
            <w:r w:rsidRPr="005B0DBE">
              <w:rPr>
                <w:sz w:val="16"/>
                <w:szCs w:val="24"/>
                <w:rtl/>
              </w:rPr>
              <w:t>1</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106</w:t>
            </w:r>
            <w:r w:rsidRPr="005B0DBE">
              <w:rPr>
                <w:sz w:val="16"/>
                <w:szCs w:val="24"/>
              </w:rPr>
              <w:t>,</w:t>
            </w:r>
            <w:r w:rsidRPr="005B0DBE">
              <w:rPr>
                <w:sz w:val="16"/>
                <w:szCs w:val="24"/>
                <w:rtl/>
              </w:rPr>
              <w:t>0</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w:t>
            </w:r>
            <w:r w:rsidRPr="005B0DBE">
              <w:rPr>
                <w:sz w:val="16"/>
                <w:szCs w:val="24"/>
              </w:rPr>
              <w:t>,</w:t>
            </w:r>
            <w:r w:rsidRPr="005B0DBE">
              <w:rPr>
                <w:sz w:val="16"/>
                <w:szCs w:val="24"/>
                <w:rtl/>
              </w:rPr>
              <w:t>34</w:t>
            </w:r>
          </w:p>
        </w:tc>
        <w:tc>
          <w:tcPr>
            <w:tcW w:w="153" w:type="dxa"/>
            <w:shd w:val="clear" w:color="auto" w:fill="auto"/>
            <w:vAlign w:val="bottom"/>
          </w:tcPr>
          <w:p w:rsidR="005B0DBE" w:rsidRPr="005B0DBE" w:rsidRDefault="005B0DBE" w:rsidP="005B0DBE">
            <w:pPr>
              <w:tabs>
                <w:tab w:val="left" w:pos="288"/>
                <w:tab w:val="left" w:pos="576"/>
                <w:tab w:val="left" w:pos="864"/>
                <w:tab w:val="left" w:pos="1152"/>
              </w:tabs>
              <w:bidi w:val="0"/>
              <w:spacing w:before="40" w:after="80" w:line="240" w:lineRule="exact"/>
              <w:ind w:left="43" w:right="43"/>
              <w:jc w:val="right"/>
              <w:rPr>
                <w:sz w:val="16"/>
                <w:szCs w:val="24"/>
                <w:rtl/>
              </w:rPr>
            </w:pPr>
          </w:p>
        </w:tc>
        <w:tc>
          <w:tcPr>
            <w:tcW w:w="981"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11</w:t>
            </w:r>
            <w:r w:rsidRPr="005B0DBE">
              <w:rPr>
                <w:sz w:val="16"/>
                <w:szCs w:val="24"/>
              </w:rPr>
              <w:t>,</w:t>
            </w:r>
            <w:r w:rsidRPr="005B0DBE">
              <w:rPr>
                <w:sz w:val="16"/>
                <w:szCs w:val="24"/>
                <w:rtl/>
              </w:rPr>
              <w:t>6</w:t>
            </w:r>
          </w:p>
        </w:tc>
        <w:tc>
          <w:tcPr>
            <w:tcW w:w="919"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6</w:t>
            </w:r>
            <w:r w:rsidRPr="005B0DBE">
              <w:rPr>
                <w:sz w:val="16"/>
                <w:szCs w:val="24"/>
              </w:rPr>
              <w:t>,</w:t>
            </w:r>
            <w:r w:rsidRPr="005B0DBE">
              <w:rPr>
                <w:sz w:val="16"/>
                <w:szCs w:val="24"/>
                <w:rtl/>
              </w:rPr>
              <w:t>9</w:t>
            </w:r>
          </w:p>
        </w:tc>
        <w:tc>
          <w:tcPr>
            <w:tcW w:w="827"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4</w:t>
            </w:r>
            <w:r w:rsidRPr="005B0DBE">
              <w:rPr>
                <w:sz w:val="16"/>
                <w:szCs w:val="24"/>
              </w:rPr>
              <w:t>,</w:t>
            </w:r>
            <w:r w:rsidRPr="005B0DBE">
              <w:rPr>
                <w:sz w:val="16"/>
                <w:szCs w:val="24"/>
                <w:rtl/>
              </w:rPr>
              <w:t>7</w:t>
            </w:r>
          </w:p>
        </w:tc>
        <w:tc>
          <w:tcPr>
            <w:tcW w:w="107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0</w:t>
            </w:r>
            <w:r w:rsidRPr="005B0DBE">
              <w:rPr>
                <w:sz w:val="16"/>
                <w:szCs w:val="24"/>
              </w:rPr>
              <w:t>,</w:t>
            </w:r>
            <w:r w:rsidRPr="005B0DBE">
              <w:rPr>
                <w:sz w:val="16"/>
                <w:szCs w:val="24"/>
                <w:rtl/>
              </w:rPr>
              <w:t>68</w:t>
            </w:r>
          </w:p>
        </w:tc>
      </w:tr>
      <w:tr w:rsidR="005B0DBE" w:rsidRPr="005B0DBE" w:rsidTr="006E1E19">
        <w:trPr>
          <w:cantSplit/>
        </w:trPr>
        <w:tc>
          <w:tcPr>
            <w:tcW w:w="1317" w:type="dxa"/>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r>
              <w:rPr>
                <w:rFonts w:hint="cs"/>
                <w:sz w:val="16"/>
                <w:szCs w:val="24"/>
                <w:rtl/>
              </w:rPr>
              <w:t>2010-2011</w:t>
            </w:r>
          </w:p>
        </w:tc>
        <w:tc>
          <w:tcPr>
            <w:tcW w:w="96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201</w:t>
            </w:r>
            <w:r w:rsidRPr="005B0DBE">
              <w:rPr>
                <w:sz w:val="16"/>
                <w:szCs w:val="24"/>
              </w:rPr>
              <w:t>,</w:t>
            </w:r>
            <w:r w:rsidRPr="005B0DBE">
              <w:rPr>
                <w:sz w:val="16"/>
                <w:szCs w:val="24"/>
                <w:rtl/>
              </w:rPr>
              <w:t>4</w:t>
            </w:r>
          </w:p>
        </w:tc>
        <w:tc>
          <w:tcPr>
            <w:tcW w:w="69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84</w:t>
            </w:r>
            <w:r w:rsidRPr="005B0DBE">
              <w:rPr>
                <w:sz w:val="16"/>
                <w:szCs w:val="24"/>
              </w:rPr>
              <w:t>,</w:t>
            </w:r>
            <w:r w:rsidRPr="005B0DBE">
              <w:rPr>
                <w:sz w:val="16"/>
                <w:szCs w:val="24"/>
                <w:rtl/>
              </w:rPr>
              <w:t>5</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116</w:t>
            </w:r>
            <w:r w:rsidRPr="005B0DBE">
              <w:rPr>
                <w:sz w:val="16"/>
                <w:szCs w:val="24"/>
              </w:rPr>
              <w:t>,</w:t>
            </w:r>
            <w:r w:rsidRPr="005B0DBE">
              <w:rPr>
                <w:sz w:val="16"/>
                <w:szCs w:val="24"/>
                <w:rtl/>
              </w:rPr>
              <w:t>9</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w:t>
            </w:r>
            <w:r w:rsidRPr="005B0DBE">
              <w:rPr>
                <w:sz w:val="16"/>
                <w:szCs w:val="24"/>
              </w:rPr>
              <w:t>,</w:t>
            </w:r>
            <w:r w:rsidRPr="005B0DBE">
              <w:rPr>
                <w:sz w:val="16"/>
                <w:szCs w:val="24"/>
                <w:rtl/>
              </w:rPr>
              <w:t>38</w:t>
            </w:r>
          </w:p>
        </w:tc>
        <w:tc>
          <w:tcPr>
            <w:tcW w:w="153" w:type="dxa"/>
            <w:shd w:val="clear" w:color="auto" w:fill="auto"/>
            <w:vAlign w:val="bottom"/>
          </w:tcPr>
          <w:p w:rsidR="005B0DBE" w:rsidRPr="005B0DBE" w:rsidRDefault="005B0DBE" w:rsidP="005B0DBE">
            <w:pPr>
              <w:tabs>
                <w:tab w:val="left" w:pos="288"/>
                <w:tab w:val="left" w:pos="576"/>
                <w:tab w:val="left" w:pos="864"/>
                <w:tab w:val="left" w:pos="1152"/>
              </w:tabs>
              <w:bidi w:val="0"/>
              <w:spacing w:before="40" w:after="80" w:line="240" w:lineRule="exact"/>
              <w:ind w:left="43" w:right="43"/>
              <w:jc w:val="right"/>
              <w:rPr>
                <w:sz w:val="16"/>
                <w:szCs w:val="24"/>
                <w:rtl/>
              </w:rPr>
            </w:pPr>
          </w:p>
        </w:tc>
        <w:tc>
          <w:tcPr>
            <w:tcW w:w="981"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12</w:t>
            </w:r>
            <w:r w:rsidRPr="005B0DBE">
              <w:rPr>
                <w:sz w:val="16"/>
                <w:szCs w:val="24"/>
              </w:rPr>
              <w:t>,</w:t>
            </w:r>
            <w:r w:rsidRPr="005B0DBE">
              <w:rPr>
                <w:sz w:val="16"/>
                <w:szCs w:val="24"/>
                <w:rtl/>
              </w:rPr>
              <w:t>6</w:t>
            </w:r>
          </w:p>
        </w:tc>
        <w:tc>
          <w:tcPr>
            <w:tcW w:w="919"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7</w:t>
            </w:r>
            <w:r w:rsidRPr="005B0DBE">
              <w:rPr>
                <w:sz w:val="16"/>
                <w:szCs w:val="24"/>
              </w:rPr>
              <w:t>,</w:t>
            </w:r>
            <w:r w:rsidRPr="005B0DBE">
              <w:rPr>
                <w:sz w:val="16"/>
                <w:szCs w:val="24"/>
                <w:rtl/>
              </w:rPr>
              <w:t>5</w:t>
            </w:r>
          </w:p>
        </w:tc>
        <w:tc>
          <w:tcPr>
            <w:tcW w:w="827"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5</w:t>
            </w:r>
            <w:r w:rsidRPr="005B0DBE">
              <w:rPr>
                <w:sz w:val="16"/>
                <w:szCs w:val="24"/>
              </w:rPr>
              <w:t>,</w:t>
            </w:r>
            <w:r w:rsidRPr="005B0DBE">
              <w:rPr>
                <w:sz w:val="16"/>
                <w:szCs w:val="24"/>
                <w:rtl/>
              </w:rPr>
              <w:t>1</w:t>
            </w:r>
          </w:p>
        </w:tc>
        <w:tc>
          <w:tcPr>
            <w:tcW w:w="107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0</w:t>
            </w:r>
            <w:r w:rsidRPr="005B0DBE">
              <w:rPr>
                <w:sz w:val="16"/>
                <w:szCs w:val="24"/>
              </w:rPr>
              <w:t>,</w:t>
            </w:r>
            <w:r w:rsidRPr="005B0DBE">
              <w:rPr>
                <w:sz w:val="16"/>
                <w:szCs w:val="24"/>
                <w:rtl/>
              </w:rPr>
              <w:t>68</w:t>
            </w:r>
          </w:p>
        </w:tc>
      </w:tr>
      <w:tr w:rsidR="005B0DBE" w:rsidRPr="005B0DBE" w:rsidTr="006E1E19">
        <w:trPr>
          <w:cantSplit/>
        </w:trPr>
        <w:tc>
          <w:tcPr>
            <w:tcW w:w="1317" w:type="dxa"/>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r>
              <w:rPr>
                <w:rFonts w:hint="cs"/>
                <w:sz w:val="16"/>
                <w:szCs w:val="24"/>
                <w:rtl/>
              </w:rPr>
              <w:t>2011-2012</w:t>
            </w:r>
          </w:p>
        </w:tc>
        <w:tc>
          <w:tcPr>
            <w:tcW w:w="96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205</w:t>
            </w:r>
            <w:r w:rsidRPr="005B0DBE">
              <w:rPr>
                <w:sz w:val="16"/>
                <w:szCs w:val="24"/>
              </w:rPr>
              <w:t>,</w:t>
            </w:r>
            <w:r w:rsidRPr="005B0DBE">
              <w:rPr>
                <w:sz w:val="16"/>
                <w:szCs w:val="24"/>
                <w:rtl/>
              </w:rPr>
              <w:t>1</w:t>
            </w:r>
          </w:p>
        </w:tc>
        <w:tc>
          <w:tcPr>
            <w:tcW w:w="69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85</w:t>
            </w:r>
            <w:r w:rsidRPr="005B0DBE">
              <w:rPr>
                <w:sz w:val="16"/>
                <w:szCs w:val="24"/>
              </w:rPr>
              <w:t>,</w:t>
            </w:r>
            <w:r w:rsidRPr="005B0DBE">
              <w:rPr>
                <w:sz w:val="16"/>
                <w:szCs w:val="24"/>
                <w:rtl/>
              </w:rPr>
              <w:t>2</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119</w:t>
            </w:r>
            <w:r w:rsidRPr="005B0DBE">
              <w:rPr>
                <w:sz w:val="16"/>
                <w:szCs w:val="24"/>
              </w:rPr>
              <w:t>,</w:t>
            </w:r>
            <w:r w:rsidRPr="005B0DBE">
              <w:rPr>
                <w:sz w:val="16"/>
                <w:szCs w:val="24"/>
                <w:rtl/>
              </w:rPr>
              <w:t>9</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w:t>
            </w:r>
            <w:r w:rsidRPr="005B0DBE">
              <w:rPr>
                <w:sz w:val="16"/>
                <w:szCs w:val="24"/>
              </w:rPr>
              <w:t>,</w:t>
            </w:r>
            <w:r w:rsidRPr="005B0DBE">
              <w:rPr>
                <w:sz w:val="16"/>
                <w:szCs w:val="24"/>
                <w:rtl/>
              </w:rPr>
              <w:t>41</w:t>
            </w:r>
          </w:p>
        </w:tc>
        <w:tc>
          <w:tcPr>
            <w:tcW w:w="153" w:type="dxa"/>
            <w:shd w:val="clear" w:color="auto" w:fill="auto"/>
            <w:vAlign w:val="bottom"/>
          </w:tcPr>
          <w:p w:rsidR="005B0DBE" w:rsidRPr="005B0DBE" w:rsidRDefault="005B0DBE" w:rsidP="005B0DBE">
            <w:pPr>
              <w:tabs>
                <w:tab w:val="left" w:pos="288"/>
                <w:tab w:val="left" w:pos="576"/>
                <w:tab w:val="left" w:pos="864"/>
                <w:tab w:val="left" w:pos="1152"/>
              </w:tabs>
              <w:bidi w:val="0"/>
              <w:spacing w:before="40" w:after="80" w:line="240" w:lineRule="exact"/>
              <w:ind w:left="43" w:right="43"/>
              <w:jc w:val="right"/>
              <w:rPr>
                <w:sz w:val="16"/>
                <w:szCs w:val="24"/>
                <w:rtl/>
              </w:rPr>
            </w:pPr>
          </w:p>
        </w:tc>
        <w:tc>
          <w:tcPr>
            <w:tcW w:w="981"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12</w:t>
            </w:r>
            <w:r w:rsidRPr="005B0DBE">
              <w:rPr>
                <w:sz w:val="16"/>
                <w:szCs w:val="24"/>
              </w:rPr>
              <w:t>,</w:t>
            </w:r>
            <w:r w:rsidRPr="005B0DBE">
              <w:rPr>
                <w:sz w:val="16"/>
                <w:szCs w:val="24"/>
                <w:rtl/>
              </w:rPr>
              <w:t>1</w:t>
            </w:r>
          </w:p>
        </w:tc>
        <w:tc>
          <w:tcPr>
            <w:tcW w:w="919"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6</w:t>
            </w:r>
            <w:r w:rsidRPr="005B0DBE">
              <w:rPr>
                <w:sz w:val="16"/>
                <w:szCs w:val="24"/>
              </w:rPr>
              <w:t>,</w:t>
            </w:r>
            <w:r w:rsidRPr="005B0DBE">
              <w:rPr>
                <w:sz w:val="16"/>
                <w:szCs w:val="24"/>
                <w:rtl/>
              </w:rPr>
              <w:t>9</w:t>
            </w:r>
          </w:p>
        </w:tc>
        <w:tc>
          <w:tcPr>
            <w:tcW w:w="827"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5</w:t>
            </w:r>
            <w:r w:rsidRPr="005B0DBE">
              <w:rPr>
                <w:sz w:val="16"/>
                <w:szCs w:val="24"/>
              </w:rPr>
              <w:t>,</w:t>
            </w:r>
            <w:r w:rsidRPr="005B0DBE">
              <w:rPr>
                <w:sz w:val="16"/>
                <w:szCs w:val="24"/>
                <w:rtl/>
              </w:rPr>
              <w:t>2</w:t>
            </w:r>
          </w:p>
        </w:tc>
        <w:tc>
          <w:tcPr>
            <w:tcW w:w="107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0</w:t>
            </w:r>
            <w:r w:rsidRPr="005B0DBE">
              <w:rPr>
                <w:sz w:val="16"/>
                <w:szCs w:val="24"/>
              </w:rPr>
              <w:t>,</w:t>
            </w:r>
            <w:r w:rsidRPr="005B0DBE">
              <w:rPr>
                <w:sz w:val="16"/>
                <w:szCs w:val="24"/>
                <w:rtl/>
              </w:rPr>
              <w:t>75</w:t>
            </w:r>
          </w:p>
        </w:tc>
      </w:tr>
      <w:tr w:rsidR="005B0DBE" w:rsidRPr="005B0DBE" w:rsidTr="006E1E19">
        <w:trPr>
          <w:cantSplit/>
        </w:trPr>
        <w:tc>
          <w:tcPr>
            <w:tcW w:w="1317" w:type="dxa"/>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r>
              <w:rPr>
                <w:rFonts w:hint="cs"/>
                <w:sz w:val="16"/>
                <w:szCs w:val="24"/>
                <w:rtl/>
              </w:rPr>
              <w:t>2012-2013</w:t>
            </w:r>
          </w:p>
        </w:tc>
        <w:tc>
          <w:tcPr>
            <w:tcW w:w="96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201</w:t>
            </w:r>
            <w:r w:rsidRPr="005B0DBE">
              <w:rPr>
                <w:sz w:val="16"/>
                <w:szCs w:val="24"/>
              </w:rPr>
              <w:t>,</w:t>
            </w:r>
            <w:r w:rsidRPr="005B0DBE">
              <w:rPr>
                <w:sz w:val="16"/>
                <w:szCs w:val="24"/>
                <w:rtl/>
              </w:rPr>
              <w:t>4</w:t>
            </w:r>
          </w:p>
        </w:tc>
        <w:tc>
          <w:tcPr>
            <w:tcW w:w="69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81</w:t>
            </w:r>
            <w:r w:rsidRPr="005B0DBE">
              <w:rPr>
                <w:sz w:val="16"/>
                <w:szCs w:val="24"/>
              </w:rPr>
              <w:t>,</w:t>
            </w:r>
            <w:r w:rsidRPr="005B0DBE">
              <w:rPr>
                <w:sz w:val="16"/>
                <w:szCs w:val="24"/>
                <w:rtl/>
              </w:rPr>
              <w:t>1</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120</w:t>
            </w:r>
            <w:r w:rsidRPr="005B0DBE">
              <w:rPr>
                <w:sz w:val="16"/>
                <w:szCs w:val="24"/>
              </w:rPr>
              <w:t>,</w:t>
            </w:r>
            <w:r w:rsidRPr="005B0DBE">
              <w:rPr>
                <w:sz w:val="16"/>
                <w:szCs w:val="24"/>
                <w:rtl/>
              </w:rPr>
              <w:t>3</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w:t>
            </w:r>
            <w:r w:rsidRPr="005B0DBE">
              <w:rPr>
                <w:sz w:val="16"/>
                <w:szCs w:val="24"/>
              </w:rPr>
              <w:t>,</w:t>
            </w:r>
            <w:r w:rsidRPr="005B0DBE">
              <w:rPr>
                <w:sz w:val="16"/>
                <w:szCs w:val="24"/>
                <w:rtl/>
              </w:rPr>
              <w:t>48</w:t>
            </w:r>
          </w:p>
        </w:tc>
        <w:tc>
          <w:tcPr>
            <w:tcW w:w="153" w:type="dxa"/>
            <w:shd w:val="clear" w:color="auto" w:fill="auto"/>
            <w:vAlign w:val="bottom"/>
          </w:tcPr>
          <w:p w:rsidR="005B0DBE" w:rsidRPr="005B0DBE" w:rsidRDefault="005B0DBE" w:rsidP="005B0DBE">
            <w:pPr>
              <w:tabs>
                <w:tab w:val="left" w:pos="288"/>
                <w:tab w:val="left" w:pos="576"/>
                <w:tab w:val="left" w:pos="864"/>
                <w:tab w:val="left" w:pos="1152"/>
              </w:tabs>
              <w:bidi w:val="0"/>
              <w:spacing w:before="40" w:after="80" w:line="240" w:lineRule="exact"/>
              <w:ind w:left="43" w:right="43"/>
              <w:jc w:val="right"/>
              <w:rPr>
                <w:sz w:val="16"/>
                <w:szCs w:val="24"/>
                <w:rtl/>
              </w:rPr>
            </w:pPr>
          </w:p>
        </w:tc>
        <w:tc>
          <w:tcPr>
            <w:tcW w:w="981"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12</w:t>
            </w:r>
            <w:r w:rsidRPr="005B0DBE">
              <w:rPr>
                <w:sz w:val="16"/>
                <w:szCs w:val="24"/>
              </w:rPr>
              <w:t>,</w:t>
            </w:r>
            <w:r w:rsidRPr="005B0DBE">
              <w:rPr>
                <w:sz w:val="16"/>
                <w:szCs w:val="24"/>
                <w:rtl/>
              </w:rPr>
              <w:t>3</w:t>
            </w:r>
          </w:p>
        </w:tc>
        <w:tc>
          <w:tcPr>
            <w:tcW w:w="919"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6</w:t>
            </w:r>
            <w:r w:rsidRPr="005B0DBE">
              <w:rPr>
                <w:sz w:val="16"/>
                <w:szCs w:val="24"/>
              </w:rPr>
              <w:t>,</w:t>
            </w:r>
            <w:r w:rsidRPr="005B0DBE">
              <w:rPr>
                <w:sz w:val="16"/>
                <w:szCs w:val="24"/>
                <w:rtl/>
              </w:rPr>
              <w:t>4</w:t>
            </w:r>
          </w:p>
        </w:tc>
        <w:tc>
          <w:tcPr>
            <w:tcW w:w="827"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5</w:t>
            </w:r>
            <w:r w:rsidRPr="005B0DBE">
              <w:rPr>
                <w:sz w:val="16"/>
                <w:szCs w:val="24"/>
              </w:rPr>
              <w:t>,</w:t>
            </w:r>
            <w:r w:rsidRPr="005B0DBE">
              <w:rPr>
                <w:sz w:val="16"/>
                <w:szCs w:val="24"/>
                <w:rtl/>
              </w:rPr>
              <w:t>9</w:t>
            </w:r>
          </w:p>
        </w:tc>
        <w:tc>
          <w:tcPr>
            <w:tcW w:w="107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0</w:t>
            </w:r>
            <w:r w:rsidRPr="005B0DBE">
              <w:rPr>
                <w:sz w:val="16"/>
                <w:szCs w:val="24"/>
              </w:rPr>
              <w:t>,</w:t>
            </w:r>
            <w:r w:rsidRPr="005B0DBE">
              <w:rPr>
                <w:sz w:val="16"/>
                <w:szCs w:val="24"/>
                <w:rtl/>
              </w:rPr>
              <w:t>92</w:t>
            </w:r>
          </w:p>
        </w:tc>
      </w:tr>
      <w:tr w:rsidR="005B0DBE" w:rsidRPr="005B0DBE" w:rsidTr="006E1E19">
        <w:trPr>
          <w:cantSplit/>
        </w:trPr>
        <w:tc>
          <w:tcPr>
            <w:tcW w:w="1317" w:type="dxa"/>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r>
              <w:rPr>
                <w:rFonts w:hint="cs"/>
                <w:sz w:val="16"/>
                <w:szCs w:val="24"/>
                <w:rtl/>
              </w:rPr>
              <w:t>2013-2014</w:t>
            </w:r>
          </w:p>
        </w:tc>
        <w:tc>
          <w:tcPr>
            <w:tcW w:w="96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203</w:t>
            </w:r>
            <w:r w:rsidRPr="005B0DBE">
              <w:rPr>
                <w:sz w:val="16"/>
                <w:szCs w:val="24"/>
              </w:rPr>
              <w:t>,</w:t>
            </w:r>
            <w:r w:rsidRPr="005B0DBE">
              <w:rPr>
                <w:sz w:val="16"/>
                <w:szCs w:val="24"/>
                <w:rtl/>
              </w:rPr>
              <w:t>4</w:t>
            </w:r>
          </w:p>
        </w:tc>
        <w:tc>
          <w:tcPr>
            <w:tcW w:w="69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80</w:t>
            </w:r>
            <w:r w:rsidRPr="005B0DBE">
              <w:rPr>
                <w:sz w:val="16"/>
                <w:szCs w:val="24"/>
              </w:rPr>
              <w:t>,</w:t>
            </w:r>
            <w:r w:rsidRPr="005B0DBE">
              <w:rPr>
                <w:sz w:val="16"/>
                <w:szCs w:val="24"/>
                <w:rtl/>
              </w:rPr>
              <w:t>4</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123</w:t>
            </w:r>
            <w:r w:rsidRPr="005B0DBE">
              <w:rPr>
                <w:sz w:val="16"/>
                <w:szCs w:val="24"/>
              </w:rPr>
              <w:t>,</w:t>
            </w:r>
            <w:r w:rsidRPr="005B0DBE">
              <w:rPr>
                <w:sz w:val="16"/>
                <w:szCs w:val="24"/>
                <w:rtl/>
              </w:rPr>
              <w:t>0</w:t>
            </w:r>
          </w:p>
        </w:tc>
        <w:tc>
          <w:tcPr>
            <w:tcW w:w="828"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w:t>
            </w:r>
            <w:r w:rsidRPr="005B0DBE">
              <w:rPr>
                <w:sz w:val="16"/>
                <w:szCs w:val="24"/>
              </w:rPr>
              <w:t>,</w:t>
            </w:r>
            <w:r w:rsidRPr="005B0DBE">
              <w:rPr>
                <w:sz w:val="16"/>
                <w:szCs w:val="24"/>
                <w:rtl/>
              </w:rPr>
              <w:t>53</w:t>
            </w:r>
          </w:p>
        </w:tc>
        <w:tc>
          <w:tcPr>
            <w:tcW w:w="153" w:type="dxa"/>
            <w:shd w:val="clear" w:color="auto" w:fill="auto"/>
            <w:vAlign w:val="bottom"/>
          </w:tcPr>
          <w:p w:rsidR="005B0DBE" w:rsidRPr="005B0DBE" w:rsidRDefault="005B0DBE" w:rsidP="005B0DBE">
            <w:pPr>
              <w:tabs>
                <w:tab w:val="left" w:pos="288"/>
                <w:tab w:val="left" w:pos="576"/>
                <w:tab w:val="left" w:pos="864"/>
                <w:tab w:val="left" w:pos="1152"/>
              </w:tabs>
              <w:bidi w:val="0"/>
              <w:spacing w:before="40" w:after="80" w:line="240" w:lineRule="exact"/>
              <w:ind w:left="43" w:right="43"/>
              <w:jc w:val="right"/>
              <w:rPr>
                <w:sz w:val="16"/>
                <w:szCs w:val="24"/>
                <w:rtl/>
              </w:rPr>
            </w:pPr>
          </w:p>
        </w:tc>
        <w:tc>
          <w:tcPr>
            <w:tcW w:w="981"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11</w:t>
            </w:r>
            <w:r w:rsidRPr="005B0DBE">
              <w:rPr>
                <w:sz w:val="16"/>
                <w:szCs w:val="24"/>
              </w:rPr>
              <w:t>,</w:t>
            </w:r>
            <w:r w:rsidRPr="005B0DBE">
              <w:rPr>
                <w:sz w:val="16"/>
                <w:szCs w:val="24"/>
                <w:rtl/>
              </w:rPr>
              <w:t>1</w:t>
            </w:r>
          </w:p>
        </w:tc>
        <w:tc>
          <w:tcPr>
            <w:tcW w:w="919"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5</w:t>
            </w:r>
            <w:r w:rsidRPr="005B0DBE">
              <w:rPr>
                <w:sz w:val="16"/>
                <w:szCs w:val="24"/>
              </w:rPr>
              <w:t>,</w:t>
            </w:r>
            <w:r w:rsidRPr="005B0DBE">
              <w:rPr>
                <w:sz w:val="16"/>
                <w:szCs w:val="24"/>
                <w:rtl/>
              </w:rPr>
              <w:t>7</w:t>
            </w:r>
          </w:p>
        </w:tc>
        <w:tc>
          <w:tcPr>
            <w:tcW w:w="827"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5</w:t>
            </w:r>
            <w:r w:rsidRPr="005B0DBE">
              <w:rPr>
                <w:sz w:val="16"/>
                <w:szCs w:val="24"/>
              </w:rPr>
              <w:t>,</w:t>
            </w:r>
            <w:r w:rsidRPr="005B0DBE">
              <w:rPr>
                <w:sz w:val="16"/>
                <w:szCs w:val="24"/>
                <w:rtl/>
              </w:rPr>
              <w:t>4</w:t>
            </w:r>
          </w:p>
        </w:tc>
        <w:tc>
          <w:tcPr>
            <w:tcW w:w="1073" w:type="dxa"/>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0</w:t>
            </w:r>
            <w:r w:rsidRPr="005B0DBE">
              <w:rPr>
                <w:sz w:val="16"/>
                <w:szCs w:val="24"/>
              </w:rPr>
              <w:t>,</w:t>
            </w:r>
            <w:r w:rsidRPr="005B0DBE">
              <w:rPr>
                <w:sz w:val="16"/>
                <w:szCs w:val="24"/>
                <w:rtl/>
              </w:rPr>
              <w:t>95</w:t>
            </w:r>
          </w:p>
        </w:tc>
      </w:tr>
      <w:tr w:rsidR="005B0DBE" w:rsidRPr="005B0DBE" w:rsidTr="006E1E19">
        <w:trPr>
          <w:cantSplit/>
        </w:trPr>
        <w:tc>
          <w:tcPr>
            <w:tcW w:w="1317" w:type="dxa"/>
            <w:tcBorders>
              <w:bottom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spacing w:before="40" w:after="80" w:line="240" w:lineRule="exact"/>
              <w:ind w:left="43" w:right="144"/>
              <w:rPr>
                <w:sz w:val="16"/>
                <w:szCs w:val="24"/>
                <w:rtl/>
              </w:rPr>
            </w:pPr>
            <w:r>
              <w:rPr>
                <w:rFonts w:hint="cs"/>
                <w:sz w:val="16"/>
                <w:szCs w:val="24"/>
                <w:rtl/>
              </w:rPr>
              <w:t>2014-2015</w:t>
            </w:r>
          </w:p>
        </w:tc>
        <w:tc>
          <w:tcPr>
            <w:tcW w:w="963" w:type="dxa"/>
            <w:tcBorders>
              <w:bottom w:val="single" w:sz="12" w:space="0" w:color="auto"/>
            </w:tcBorders>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209</w:t>
            </w:r>
            <w:r w:rsidRPr="005B0DBE">
              <w:rPr>
                <w:sz w:val="16"/>
                <w:szCs w:val="24"/>
              </w:rPr>
              <w:t>,</w:t>
            </w:r>
            <w:r w:rsidRPr="005B0DBE">
              <w:rPr>
                <w:sz w:val="16"/>
                <w:szCs w:val="24"/>
                <w:rtl/>
              </w:rPr>
              <w:t>1</w:t>
            </w:r>
          </w:p>
        </w:tc>
        <w:tc>
          <w:tcPr>
            <w:tcW w:w="693" w:type="dxa"/>
            <w:tcBorders>
              <w:bottom w:val="single" w:sz="12" w:space="0" w:color="auto"/>
            </w:tcBorders>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81</w:t>
            </w:r>
            <w:r w:rsidRPr="005B0DBE">
              <w:rPr>
                <w:sz w:val="16"/>
                <w:szCs w:val="24"/>
              </w:rPr>
              <w:t>,</w:t>
            </w:r>
            <w:r w:rsidRPr="005B0DBE">
              <w:rPr>
                <w:sz w:val="16"/>
                <w:szCs w:val="24"/>
                <w:rtl/>
              </w:rPr>
              <w:t>6</w:t>
            </w:r>
          </w:p>
        </w:tc>
        <w:tc>
          <w:tcPr>
            <w:tcW w:w="828" w:type="dxa"/>
            <w:tcBorders>
              <w:bottom w:val="single" w:sz="12" w:space="0" w:color="auto"/>
            </w:tcBorders>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127</w:t>
            </w:r>
            <w:r w:rsidRPr="005B0DBE">
              <w:rPr>
                <w:sz w:val="16"/>
                <w:szCs w:val="24"/>
              </w:rPr>
              <w:t>,</w:t>
            </w:r>
            <w:r w:rsidRPr="005B0DBE">
              <w:rPr>
                <w:sz w:val="16"/>
                <w:szCs w:val="24"/>
                <w:rtl/>
              </w:rPr>
              <w:t>5</w:t>
            </w:r>
          </w:p>
        </w:tc>
        <w:tc>
          <w:tcPr>
            <w:tcW w:w="828" w:type="dxa"/>
            <w:tcBorders>
              <w:bottom w:val="single" w:sz="12" w:space="0" w:color="auto"/>
            </w:tcBorders>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w:t>
            </w:r>
            <w:r w:rsidRPr="005B0DBE">
              <w:rPr>
                <w:sz w:val="16"/>
                <w:szCs w:val="24"/>
              </w:rPr>
              <w:t>,</w:t>
            </w:r>
            <w:r w:rsidRPr="005B0DBE">
              <w:rPr>
                <w:sz w:val="16"/>
                <w:szCs w:val="24"/>
                <w:rtl/>
              </w:rPr>
              <w:t>56</w:t>
            </w:r>
          </w:p>
        </w:tc>
        <w:tc>
          <w:tcPr>
            <w:tcW w:w="153" w:type="dxa"/>
            <w:tcBorders>
              <w:bottom w:val="single" w:sz="12" w:space="0" w:color="auto"/>
            </w:tcBorders>
            <w:shd w:val="clear" w:color="auto" w:fill="auto"/>
            <w:vAlign w:val="bottom"/>
          </w:tcPr>
          <w:p w:rsidR="005B0DBE" w:rsidRPr="005B0DBE" w:rsidRDefault="005B0DBE" w:rsidP="005B0DBE">
            <w:pPr>
              <w:tabs>
                <w:tab w:val="left" w:pos="288"/>
                <w:tab w:val="left" w:pos="576"/>
                <w:tab w:val="left" w:pos="864"/>
                <w:tab w:val="left" w:pos="1152"/>
              </w:tabs>
              <w:bidi w:val="0"/>
              <w:spacing w:before="40" w:after="80" w:line="240" w:lineRule="exact"/>
              <w:ind w:left="43" w:right="43"/>
              <w:jc w:val="right"/>
              <w:rPr>
                <w:sz w:val="16"/>
                <w:szCs w:val="24"/>
                <w:rtl/>
              </w:rPr>
            </w:pPr>
          </w:p>
        </w:tc>
        <w:tc>
          <w:tcPr>
            <w:tcW w:w="981" w:type="dxa"/>
            <w:tcBorders>
              <w:bottom w:val="single" w:sz="12" w:space="0" w:color="auto"/>
            </w:tcBorders>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12</w:t>
            </w:r>
            <w:r w:rsidRPr="005B0DBE">
              <w:rPr>
                <w:sz w:val="16"/>
                <w:szCs w:val="24"/>
              </w:rPr>
              <w:t>,</w:t>
            </w:r>
            <w:r w:rsidRPr="005B0DBE">
              <w:rPr>
                <w:sz w:val="16"/>
                <w:szCs w:val="24"/>
                <w:rtl/>
              </w:rPr>
              <w:t>3</w:t>
            </w:r>
          </w:p>
        </w:tc>
        <w:tc>
          <w:tcPr>
            <w:tcW w:w="919" w:type="dxa"/>
            <w:tcBorders>
              <w:bottom w:val="single" w:sz="12" w:space="0" w:color="auto"/>
            </w:tcBorders>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6</w:t>
            </w:r>
            <w:r w:rsidRPr="005B0DBE">
              <w:rPr>
                <w:sz w:val="16"/>
                <w:szCs w:val="24"/>
              </w:rPr>
              <w:t>,</w:t>
            </w:r>
            <w:r w:rsidRPr="005B0DBE">
              <w:rPr>
                <w:sz w:val="16"/>
                <w:szCs w:val="24"/>
                <w:rtl/>
              </w:rPr>
              <w:t>4</w:t>
            </w:r>
          </w:p>
        </w:tc>
        <w:tc>
          <w:tcPr>
            <w:tcW w:w="827" w:type="dxa"/>
            <w:tcBorders>
              <w:bottom w:val="single" w:sz="12" w:space="0" w:color="auto"/>
            </w:tcBorders>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5</w:t>
            </w:r>
            <w:r w:rsidRPr="005B0DBE">
              <w:rPr>
                <w:sz w:val="16"/>
                <w:szCs w:val="24"/>
              </w:rPr>
              <w:t>,</w:t>
            </w:r>
            <w:r w:rsidRPr="005B0DBE">
              <w:rPr>
                <w:sz w:val="16"/>
                <w:szCs w:val="24"/>
                <w:rtl/>
              </w:rPr>
              <w:t>9</w:t>
            </w:r>
          </w:p>
        </w:tc>
        <w:tc>
          <w:tcPr>
            <w:tcW w:w="1073" w:type="dxa"/>
            <w:tcBorders>
              <w:bottom w:val="single" w:sz="12" w:space="0" w:color="auto"/>
            </w:tcBorders>
            <w:shd w:val="clear" w:color="auto" w:fill="auto"/>
            <w:vAlign w:val="bottom"/>
          </w:tcPr>
          <w:p w:rsidR="005B0DBE" w:rsidRPr="00DC429C" w:rsidRDefault="005B0DBE" w:rsidP="005B0DBE">
            <w:pPr>
              <w:tabs>
                <w:tab w:val="left" w:pos="288"/>
                <w:tab w:val="left" w:pos="576"/>
                <w:tab w:val="left" w:pos="864"/>
                <w:tab w:val="left" w:pos="1152"/>
              </w:tabs>
              <w:bidi w:val="0"/>
              <w:spacing w:before="40" w:after="80" w:line="240" w:lineRule="exact"/>
              <w:ind w:left="43" w:right="43"/>
              <w:jc w:val="right"/>
              <w:rPr>
                <w:sz w:val="16"/>
                <w:szCs w:val="24"/>
              </w:rPr>
            </w:pPr>
            <w:r w:rsidRPr="005B0DBE">
              <w:rPr>
                <w:sz w:val="16"/>
                <w:szCs w:val="24"/>
                <w:rtl/>
              </w:rPr>
              <w:t>0</w:t>
            </w:r>
            <w:r w:rsidRPr="005B0DBE">
              <w:rPr>
                <w:sz w:val="16"/>
                <w:szCs w:val="24"/>
              </w:rPr>
              <w:t>,</w:t>
            </w:r>
            <w:r w:rsidRPr="005B0DBE">
              <w:rPr>
                <w:sz w:val="16"/>
                <w:szCs w:val="24"/>
                <w:rtl/>
              </w:rPr>
              <w:t>92</w:t>
            </w:r>
          </w:p>
        </w:tc>
      </w:tr>
    </w:tbl>
    <w:p w:rsidR="00F77719" w:rsidRPr="00062F37" w:rsidRDefault="00F77719" w:rsidP="00062F37">
      <w:pPr>
        <w:pStyle w:val="SingleTxt"/>
        <w:spacing w:after="0" w:line="120" w:lineRule="exact"/>
        <w:rPr>
          <w:sz w:val="10"/>
          <w:rtl/>
        </w:rPr>
      </w:pPr>
    </w:p>
    <w:p w:rsidR="00062F37" w:rsidRPr="0007328B" w:rsidRDefault="00062F37" w:rsidP="0007328B">
      <w:pPr>
        <w:pStyle w:val="SingleTxt"/>
        <w:spacing w:after="0" w:line="120" w:lineRule="exact"/>
        <w:rPr>
          <w:sz w:val="10"/>
          <w:rtl/>
        </w:rPr>
      </w:pPr>
    </w:p>
    <w:p w:rsidR="00F32B28" w:rsidRPr="00F32B28" w:rsidRDefault="0007328B" w:rsidP="0007328B">
      <w:pPr>
        <w:pStyle w:val="SingleTxt"/>
        <w:rPr>
          <w:rtl/>
          <w:lang w:bidi="ar-SY"/>
        </w:rPr>
      </w:pPr>
      <w:r>
        <w:rPr>
          <w:rFonts w:hint="cs"/>
          <w:rtl/>
        </w:rPr>
        <w:t xml:space="preserve">190 - </w:t>
      </w:r>
      <w:r w:rsidR="00F32B28" w:rsidRPr="00F32B28">
        <w:rPr>
          <w:rtl/>
        </w:rPr>
        <w:t>وتشير</w:t>
      </w:r>
      <w:r w:rsidR="00F32B28">
        <w:rPr>
          <w:rtl/>
        </w:rPr>
        <w:t xml:space="preserve"> </w:t>
      </w:r>
      <w:r w:rsidR="00F32B28" w:rsidRPr="00F32B28">
        <w:rPr>
          <w:rtl/>
        </w:rPr>
        <w:t>الإحصاءات</w:t>
      </w:r>
      <w:r w:rsidR="00F32B28">
        <w:rPr>
          <w:rtl/>
        </w:rPr>
        <w:t xml:space="preserve"> </w:t>
      </w:r>
      <w:r w:rsidR="00F32B28" w:rsidRPr="00F32B28">
        <w:rPr>
          <w:rtl/>
        </w:rPr>
        <w:t>الصادرة</w:t>
      </w:r>
      <w:r w:rsidR="00F32B28">
        <w:rPr>
          <w:rtl/>
        </w:rPr>
        <w:t xml:space="preserve"> </w:t>
      </w:r>
      <w:r w:rsidR="00F32B28" w:rsidRPr="00F32B28">
        <w:rPr>
          <w:rtl/>
        </w:rPr>
        <w:t>عن</w:t>
      </w:r>
      <w:r w:rsidR="00F32B28">
        <w:rPr>
          <w:rtl/>
        </w:rPr>
        <w:t xml:space="preserve"> </w:t>
      </w:r>
      <w:r w:rsidR="00F32B28" w:rsidRPr="00F32B28">
        <w:rPr>
          <w:rtl/>
        </w:rPr>
        <w:t>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إلى</w:t>
      </w:r>
      <w:r w:rsidR="00F32B28">
        <w:rPr>
          <w:rtl/>
        </w:rPr>
        <w:t xml:space="preserve"> </w:t>
      </w:r>
      <w:r w:rsidR="00F32B28" w:rsidRPr="00F32B28">
        <w:rPr>
          <w:rtl/>
        </w:rPr>
        <w:t>أن</w:t>
      </w:r>
      <w:r w:rsidR="00F32B28">
        <w:rPr>
          <w:rtl/>
        </w:rPr>
        <w:t xml:space="preserve"> </w:t>
      </w:r>
      <w:r w:rsidR="00F32B28" w:rsidRPr="00F32B28">
        <w:rPr>
          <w:rtl/>
          <w:lang w:bidi="ar-LB"/>
        </w:rPr>
        <w:t>نسبة</w:t>
      </w:r>
      <w:r w:rsidR="00F32B28">
        <w:rPr>
          <w:rtl/>
          <w:lang w:bidi="ar-LB"/>
        </w:rPr>
        <w:t xml:space="preserve"> </w:t>
      </w:r>
      <w:r w:rsidR="00F32B28" w:rsidRPr="00F32B28">
        <w:rPr>
          <w:rtl/>
          <w:lang w:bidi="ar-LB"/>
        </w:rPr>
        <w:t>التحاق</w:t>
      </w:r>
      <w:r w:rsidR="00F32B28">
        <w:rPr>
          <w:rtl/>
          <w:lang w:bidi="ar-LB"/>
        </w:rPr>
        <w:t xml:space="preserve"> </w:t>
      </w:r>
      <w:r w:rsidR="00F32B28" w:rsidRPr="00F32B28">
        <w:rPr>
          <w:rtl/>
          <w:lang w:bidi="ar-LB"/>
        </w:rPr>
        <w:t>الإناث</w:t>
      </w:r>
      <w:r w:rsidR="00F32B28">
        <w:rPr>
          <w:rtl/>
          <w:lang w:bidi="ar-LB"/>
        </w:rPr>
        <w:t xml:space="preserve"> </w:t>
      </w:r>
      <w:r w:rsidR="00F32B28" w:rsidRPr="00F32B28">
        <w:rPr>
          <w:rtl/>
          <w:lang w:bidi="ar-SY"/>
        </w:rPr>
        <w:t>ترتفع</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كبير</w:t>
      </w:r>
      <w:r w:rsidR="00F32B28">
        <w:rPr>
          <w:rtl/>
          <w:lang w:bidi="ar-SY"/>
        </w:rPr>
        <w:t xml:space="preserve"> </w:t>
      </w:r>
      <w:r w:rsidR="00F32B28" w:rsidRPr="00F32B28">
        <w:rPr>
          <w:rtl/>
          <w:lang w:bidi="ar-LB"/>
        </w:rPr>
        <w:t>في</w:t>
      </w:r>
      <w:r w:rsidR="00F32B28">
        <w:rPr>
          <w:rtl/>
          <w:lang w:bidi="ar-LB"/>
        </w:rPr>
        <w:t xml:space="preserve"> </w:t>
      </w:r>
      <w:r w:rsidR="00F32B28" w:rsidRPr="00F32B28">
        <w:rPr>
          <w:rtl/>
          <w:lang w:bidi="ar-LB"/>
        </w:rPr>
        <w:t>تخصصات</w:t>
      </w:r>
      <w:r w:rsidR="00F32B28">
        <w:rPr>
          <w:rtl/>
          <w:lang w:bidi="ar-LB"/>
        </w:rPr>
        <w:t xml:space="preserve"> </w:t>
      </w:r>
      <w:r w:rsidR="00F32B28" w:rsidRPr="00F32B28">
        <w:rPr>
          <w:rtl/>
          <w:lang w:bidi="ar-LB"/>
        </w:rPr>
        <w:t>التربية</w:t>
      </w:r>
      <w:r w:rsidR="00F32B28">
        <w:rPr>
          <w:rtl/>
          <w:lang w:bidi="ar-LB"/>
        </w:rPr>
        <w:t xml:space="preserve"> </w:t>
      </w:r>
      <w:r w:rsidR="00F32B28" w:rsidRPr="00F32B28">
        <w:rPr>
          <w:rtl/>
          <w:lang w:bidi="ar-LB"/>
        </w:rPr>
        <w:t>والعلوم</w:t>
      </w:r>
      <w:r w:rsidR="00F32B28">
        <w:rPr>
          <w:rtl/>
          <w:lang w:bidi="ar-LB"/>
        </w:rPr>
        <w:t xml:space="preserve"> </w:t>
      </w:r>
      <w:r w:rsidR="00F32B28" w:rsidRPr="00F32B28">
        <w:rPr>
          <w:rtl/>
          <w:lang w:bidi="ar-LB"/>
        </w:rPr>
        <w:t>الإنسانية</w:t>
      </w:r>
      <w:r w:rsidR="00F32B28">
        <w:rPr>
          <w:rtl/>
          <w:lang w:bidi="ar-LB"/>
        </w:rPr>
        <w:t xml:space="preserve"> </w:t>
      </w:r>
      <w:r w:rsidR="00F32B28" w:rsidRPr="00F32B28">
        <w:rPr>
          <w:rtl/>
          <w:lang w:bidi="ar-LB"/>
        </w:rPr>
        <w:t>والاجتماعية</w:t>
      </w:r>
      <w:r w:rsidR="00F32B28">
        <w:rPr>
          <w:rtl/>
          <w:lang w:bidi="ar-LB"/>
        </w:rPr>
        <w:t xml:space="preserve"> </w:t>
      </w:r>
      <w:r w:rsidR="00F32B28" w:rsidRPr="00F32B28">
        <w:rPr>
          <w:rtl/>
          <w:lang w:bidi="ar-LB"/>
        </w:rPr>
        <w:t>والأعمال</w:t>
      </w:r>
      <w:r w:rsidR="00F32B28">
        <w:rPr>
          <w:rtl/>
          <w:lang w:bidi="ar-LB"/>
        </w:rPr>
        <w:t xml:space="preserve"> </w:t>
      </w:r>
      <w:r w:rsidR="00F32B28" w:rsidRPr="00F32B28">
        <w:rPr>
          <w:rtl/>
          <w:lang w:bidi="ar-LB"/>
        </w:rPr>
        <w:t>التجارية</w:t>
      </w:r>
      <w:r w:rsidR="00F32B28">
        <w:rPr>
          <w:rtl/>
          <w:lang w:bidi="ar-LB"/>
        </w:rPr>
        <w:t xml:space="preserve"> </w:t>
      </w:r>
      <w:r w:rsidR="00F32B28" w:rsidRPr="00F32B28">
        <w:rPr>
          <w:rtl/>
          <w:lang w:bidi="ar-LB"/>
        </w:rPr>
        <w:t>والقانون</w:t>
      </w:r>
      <w:r w:rsidR="00F32B28">
        <w:rPr>
          <w:rtl/>
          <w:lang w:bidi="ar-LB"/>
        </w:rPr>
        <w:t xml:space="preserve"> </w:t>
      </w:r>
      <w:r w:rsidR="00F32B28" w:rsidRPr="00F32B28">
        <w:rPr>
          <w:rtl/>
          <w:lang w:bidi="ar-LB"/>
        </w:rPr>
        <w:t>والفنون،</w:t>
      </w:r>
      <w:r w:rsidR="00F32B28">
        <w:rPr>
          <w:rtl/>
          <w:lang w:bidi="ar-LB"/>
        </w:rPr>
        <w:t xml:space="preserve"> </w:t>
      </w:r>
      <w:r w:rsidR="00F32B28" w:rsidRPr="00F32B28">
        <w:rPr>
          <w:rtl/>
          <w:lang w:bidi="ar-LB"/>
        </w:rPr>
        <w:t>وتبدأ</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النسبة</w:t>
      </w:r>
      <w:r w:rsidR="00F32B28">
        <w:rPr>
          <w:rtl/>
          <w:lang w:bidi="ar-LB"/>
        </w:rPr>
        <w:t xml:space="preserve"> </w:t>
      </w:r>
      <w:r w:rsidR="00F32B28" w:rsidRPr="00F32B28">
        <w:rPr>
          <w:rtl/>
          <w:lang w:bidi="ar-LB"/>
        </w:rPr>
        <w:t>بالانخفاض</w:t>
      </w:r>
      <w:r w:rsidR="00F32B28">
        <w:rPr>
          <w:rtl/>
          <w:lang w:bidi="ar-LB"/>
        </w:rPr>
        <w:t xml:space="preserve"> </w:t>
      </w:r>
      <w:r w:rsidR="00F32B28" w:rsidRPr="00F32B28">
        <w:rPr>
          <w:rtl/>
          <w:lang w:bidi="ar-LB"/>
        </w:rPr>
        <w:t>تدريجياً</w:t>
      </w:r>
      <w:r w:rsidR="00F32B28">
        <w:rPr>
          <w:rtl/>
          <w:lang w:bidi="ar-LB"/>
        </w:rPr>
        <w:t xml:space="preserve"> </w:t>
      </w:r>
      <w:r w:rsidR="00F32B28" w:rsidRPr="00F32B28">
        <w:rPr>
          <w:rtl/>
          <w:lang w:bidi="ar-LB"/>
        </w:rPr>
        <w:t>فيما</w:t>
      </w:r>
      <w:r w:rsidR="00F32B28">
        <w:rPr>
          <w:rtl/>
          <w:lang w:bidi="ar-LB"/>
        </w:rPr>
        <w:t xml:space="preserve"> </w:t>
      </w:r>
      <w:r w:rsidR="00F32B28" w:rsidRPr="00F32B28">
        <w:rPr>
          <w:rtl/>
          <w:lang w:bidi="ar-LB"/>
        </w:rPr>
        <w:t>يخص</w:t>
      </w:r>
      <w:r w:rsidR="00F32B28">
        <w:rPr>
          <w:rtl/>
          <w:lang w:bidi="ar-LB"/>
        </w:rPr>
        <w:t xml:space="preserve"> </w:t>
      </w:r>
      <w:r w:rsidR="00F32B28" w:rsidRPr="00F32B28">
        <w:rPr>
          <w:rtl/>
          <w:lang w:bidi="ar-LB"/>
        </w:rPr>
        <w:t>التحاقهن</w:t>
      </w:r>
      <w:r w:rsidR="00F32B28">
        <w:rPr>
          <w:rtl/>
          <w:lang w:bidi="ar-LB"/>
        </w:rPr>
        <w:t xml:space="preserve"> </w:t>
      </w:r>
      <w:r w:rsidR="00F32B28" w:rsidRPr="00F32B28">
        <w:rPr>
          <w:rtl/>
          <w:lang w:bidi="ar-LB"/>
        </w:rPr>
        <w:t>بالتخصصات</w:t>
      </w:r>
      <w:r w:rsidR="00F32B28">
        <w:rPr>
          <w:rtl/>
          <w:lang w:bidi="ar-LB"/>
        </w:rPr>
        <w:t xml:space="preserve"> </w:t>
      </w:r>
      <w:r w:rsidR="00F32B28" w:rsidRPr="00F32B28">
        <w:rPr>
          <w:rtl/>
          <w:lang w:bidi="ar-LB"/>
        </w:rPr>
        <w:t>شبه</w:t>
      </w:r>
      <w:r w:rsidR="00F32B28">
        <w:rPr>
          <w:rtl/>
          <w:lang w:bidi="ar-LB"/>
        </w:rPr>
        <w:t xml:space="preserve"> </w:t>
      </w:r>
      <w:r w:rsidR="00F32B28" w:rsidRPr="00F32B28">
        <w:rPr>
          <w:rtl/>
          <w:lang w:bidi="ar-LB"/>
        </w:rPr>
        <w:t>الطبية،</w:t>
      </w:r>
      <w:r w:rsidR="00F32B28">
        <w:rPr>
          <w:rtl/>
          <w:lang w:bidi="ar-LB"/>
        </w:rPr>
        <w:t xml:space="preserve"> </w:t>
      </w:r>
      <w:r w:rsidR="00F32B28" w:rsidRPr="00F32B28">
        <w:rPr>
          <w:rtl/>
          <w:lang w:bidi="ar-LB"/>
        </w:rPr>
        <w:t>ك</w:t>
      </w:r>
      <w:r w:rsidR="00F32B28" w:rsidRPr="00F32B28">
        <w:rPr>
          <w:rtl/>
        </w:rPr>
        <w:t>الصيدلة</w:t>
      </w:r>
      <w:r w:rsidR="00F32B28">
        <w:rPr>
          <w:rtl/>
        </w:rPr>
        <w:t xml:space="preserve"> </w:t>
      </w:r>
      <w:r w:rsidR="00F32B28" w:rsidRPr="00F32B28">
        <w:rPr>
          <w:rtl/>
        </w:rPr>
        <w:t>والتمريض،</w:t>
      </w:r>
      <w:r w:rsidR="00F32B28">
        <w:rPr>
          <w:rtl/>
        </w:rPr>
        <w:t xml:space="preserve"> </w:t>
      </w:r>
      <w:r w:rsidR="00F32B28" w:rsidRPr="00F32B28">
        <w:rPr>
          <w:rtl/>
          <w:lang w:bidi="ar-LB"/>
        </w:rPr>
        <w:t>يليها</w:t>
      </w:r>
      <w:r w:rsidR="00F32B28">
        <w:rPr>
          <w:rtl/>
          <w:lang w:bidi="ar-LB"/>
        </w:rPr>
        <w:t xml:space="preserve"> </w:t>
      </w:r>
      <w:r w:rsidR="00F32B28" w:rsidRPr="00F32B28">
        <w:rPr>
          <w:rtl/>
          <w:lang w:bidi="ar-LB"/>
        </w:rPr>
        <w:t>انخفاض</w:t>
      </w:r>
      <w:r w:rsidR="00F32B28">
        <w:rPr>
          <w:rtl/>
          <w:lang w:bidi="ar-LB"/>
        </w:rPr>
        <w:t xml:space="preserve"> </w:t>
      </w:r>
      <w:r w:rsidR="00F32B28" w:rsidRPr="00F32B28">
        <w:rPr>
          <w:rtl/>
          <w:lang w:bidi="ar-LB"/>
        </w:rPr>
        <w:t>آخر</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الالتحاق</w:t>
      </w:r>
      <w:r w:rsidR="00F32B28">
        <w:rPr>
          <w:rtl/>
          <w:lang w:bidi="ar-LB"/>
        </w:rPr>
        <w:t xml:space="preserve"> </w:t>
      </w:r>
      <w:r w:rsidR="00F32B28" w:rsidRPr="00F32B28">
        <w:rPr>
          <w:rtl/>
          <w:lang w:bidi="ar-LB"/>
        </w:rPr>
        <w:t>بالتخصصات</w:t>
      </w:r>
      <w:r w:rsidR="00F32B28">
        <w:rPr>
          <w:rtl/>
          <w:lang w:bidi="ar-LB"/>
        </w:rPr>
        <w:t xml:space="preserve"> </w:t>
      </w:r>
      <w:r w:rsidR="00F32B28" w:rsidRPr="00F32B28">
        <w:rPr>
          <w:rtl/>
          <w:lang w:bidi="ar-LB"/>
        </w:rPr>
        <w:t>العلمية</w:t>
      </w:r>
      <w:r w:rsidR="00F32B28">
        <w:rPr>
          <w:rtl/>
          <w:lang w:bidi="ar-LB"/>
        </w:rPr>
        <w:t xml:space="preserve"> </w:t>
      </w:r>
      <w:r w:rsidR="00F32B28" w:rsidRPr="00F32B28">
        <w:rPr>
          <w:rtl/>
          <w:lang w:bidi="ar-LB"/>
        </w:rPr>
        <w:t>والطبية</w:t>
      </w:r>
      <w:r w:rsidR="00F32B28">
        <w:rPr>
          <w:rtl/>
          <w:lang w:bidi="ar-LB"/>
        </w:rPr>
        <w:t xml:space="preserve"> </w:t>
      </w:r>
      <w:r w:rsidR="00F32B28" w:rsidRPr="00F32B28">
        <w:rPr>
          <w:rtl/>
          <w:lang w:bidi="ar-LB"/>
        </w:rPr>
        <w:t>والهندسية.</w:t>
      </w:r>
    </w:p>
    <w:p w:rsidR="00F32B28" w:rsidRPr="00F32B28" w:rsidRDefault="0007328B" w:rsidP="0007328B">
      <w:pPr>
        <w:pStyle w:val="SingleTxt"/>
        <w:rPr>
          <w:rtl/>
        </w:rPr>
      </w:pPr>
      <w:r>
        <w:rPr>
          <w:rFonts w:hint="cs"/>
          <w:rtl/>
        </w:rPr>
        <w:t xml:space="preserve">191 -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القروض</w:t>
      </w:r>
      <w:r w:rsidR="00F32B28">
        <w:rPr>
          <w:rtl/>
        </w:rPr>
        <w:t xml:space="preserve"> </w:t>
      </w:r>
      <w:r w:rsidR="00F32B28" w:rsidRPr="00F32B28">
        <w:rPr>
          <w:rtl/>
        </w:rPr>
        <w:t>التعليمية</w:t>
      </w:r>
      <w:r w:rsidR="00F32B28">
        <w:rPr>
          <w:rtl/>
        </w:rPr>
        <w:t xml:space="preserve"> </w:t>
      </w:r>
      <w:r w:rsidR="00F32B28" w:rsidRPr="00F32B28">
        <w:rPr>
          <w:rtl/>
        </w:rPr>
        <w:t>والمنح،</w:t>
      </w:r>
      <w:r w:rsidR="00F32B28">
        <w:rPr>
          <w:rtl/>
        </w:rPr>
        <w:t xml:space="preserve"> </w:t>
      </w:r>
      <w:r w:rsidR="00F32B28" w:rsidRPr="00F32B28">
        <w:rPr>
          <w:rtl/>
        </w:rPr>
        <w:t>فقد</w:t>
      </w:r>
      <w:r w:rsidR="00F32B28">
        <w:rPr>
          <w:rtl/>
        </w:rPr>
        <w:t xml:space="preserve"> </w:t>
      </w:r>
      <w:r w:rsidR="00F32B28" w:rsidRPr="00F32B28">
        <w:rPr>
          <w:rtl/>
        </w:rPr>
        <w:t>أقر</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رقم</w:t>
      </w:r>
      <w:r w:rsidR="00F32B28">
        <w:rPr>
          <w:rtl/>
        </w:rPr>
        <w:t xml:space="preserve"> </w:t>
      </w:r>
      <w:r w:rsidR="00F32B28" w:rsidRPr="00F32B28">
        <w:rPr>
          <w:rtl/>
        </w:rPr>
        <w:t>(5)</w:t>
      </w:r>
      <w:r w:rsidR="00F32B28">
        <w:rPr>
          <w:rtl/>
        </w:rPr>
        <w:t xml:space="preserve"> </w:t>
      </w:r>
      <w:r w:rsidR="00F32B28" w:rsidRPr="00F32B28">
        <w:rPr>
          <w:rtl/>
        </w:rPr>
        <w:t>لسنة</w:t>
      </w:r>
      <w:r w:rsidR="00F32B28">
        <w:rPr>
          <w:rtl/>
        </w:rPr>
        <w:t xml:space="preserve"> </w:t>
      </w:r>
      <w:r w:rsidR="00F32B28" w:rsidRPr="00F32B28">
        <w:rPr>
          <w:rtl/>
        </w:rPr>
        <w:t>2013</w:t>
      </w:r>
      <w:r w:rsidR="00EE4046">
        <w:rPr>
          <w:rFonts w:hint="cs"/>
          <w:rtl/>
        </w:rPr>
        <w:t xml:space="preserve"> </w:t>
      </w:r>
      <w:r w:rsidR="00F32B28" w:rsidRPr="00F32B28">
        <w:rPr>
          <w:rtl/>
        </w:rPr>
        <w:t>م</w:t>
      </w:r>
      <w:r w:rsidR="00F32B28">
        <w:rPr>
          <w:rtl/>
        </w:rPr>
        <w:t xml:space="preserve"> </w:t>
      </w:r>
      <w:r w:rsidR="00F32B28" w:rsidRPr="00F32B28">
        <w:rPr>
          <w:rtl/>
        </w:rPr>
        <w:t>بشأن</w:t>
      </w:r>
      <w:r w:rsidR="00F32B28">
        <w:rPr>
          <w:rtl/>
        </w:rPr>
        <w:t xml:space="preserve"> </w:t>
      </w:r>
      <w:r w:rsidR="00F32B28" w:rsidRPr="00F32B28">
        <w:rPr>
          <w:rtl/>
        </w:rPr>
        <w:t>صندوق</w:t>
      </w:r>
      <w:r w:rsidR="00F32B28">
        <w:rPr>
          <w:rtl/>
        </w:rPr>
        <w:t xml:space="preserve"> </w:t>
      </w:r>
      <w:r w:rsidR="00F32B28" w:rsidRPr="00F32B28">
        <w:rPr>
          <w:rtl/>
        </w:rPr>
        <w:t>الإقراض</w:t>
      </w:r>
      <w:r w:rsidR="00F32B28">
        <w:rPr>
          <w:rtl/>
        </w:rPr>
        <w:t xml:space="preserve"> </w:t>
      </w:r>
      <w:r w:rsidR="00F32B28" w:rsidRPr="00F32B28">
        <w:rPr>
          <w:rtl/>
        </w:rPr>
        <w:t>لطلبة</w:t>
      </w:r>
      <w:r w:rsidR="00F32B28">
        <w:rPr>
          <w:rtl/>
        </w:rPr>
        <w:t xml:space="preserve"> </w:t>
      </w:r>
      <w:r w:rsidR="00F32B28" w:rsidRPr="00F32B28">
        <w:rPr>
          <w:rtl/>
        </w:rPr>
        <w:t>مؤسسات</w:t>
      </w:r>
      <w:r w:rsidR="00F32B28">
        <w:rPr>
          <w:rtl/>
        </w:rPr>
        <w:t xml:space="preserve"> </w:t>
      </w:r>
      <w:r w:rsidR="00F32B28" w:rsidRPr="00F32B28">
        <w:rPr>
          <w:rtl/>
        </w:rPr>
        <w:t>التعليم</w:t>
      </w:r>
      <w:r w:rsidR="00F32B28">
        <w:rPr>
          <w:rtl/>
        </w:rPr>
        <w:t xml:space="preserve"> </w:t>
      </w:r>
      <w:r w:rsidR="00F32B28" w:rsidRPr="00F32B28">
        <w:rPr>
          <w:rtl/>
        </w:rPr>
        <w:t>العالي</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حق</w:t>
      </w:r>
      <w:r w:rsidR="00F32B28">
        <w:rPr>
          <w:rtl/>
        </w:rPr>
        <w:t xml:space="preserve"> </w:t>
      </w:r>
      <w:r w:rsidR="00F32B28" w:rsidRPr="00F32B28">
        <w:rPr>
          <w:rtl/>
        </w:rPr>
        <w:t>الطالبات</w:t>
      </w:r>
      <w:r w:rsidR="00F32B28">
        <w:rPr>
          <w:rtl/>
        </w:rPr>
        <w:t xml:space="preserve"> </w:t>
      </w:r>
      <w:r w:rsidR="00F32B28" w:rsidRPr="00F32B28">
        <w:rPr>
          <w:rtl/>
        </w:rPr>
        <w:t>الفلسطينيات</w:t>
      </w:r>
      <w:r w:rsidR="00F32B28">
        <w:rPr>
          <w:rtl/>
        </w:rPr>
        <w:t xml:space="preserve"> </w:t>
      </w:r>
      <w:r w:rsidR="00F32B28" w:rsidRPr="00F32B28">
        <w:rPr>
          <w:rtl/>
        </w:rPr>
        <w:t>الجامعيات</w:t>
      </w:r>
      <w:r w:rsidR="00F32B28">
        <w:rPr>
          <w:rtl/>
        </w:rPr>
        <w:t xml:space="preserve"> </w:t>
      </w:r>
      <w:r w:rsidR="00F32B28" w:rsidRPr="00F32B28">
        <w:rPr>
          <w:rtl/>
        </w:rPr>
        <w:t>في</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القروض</w:t>
      </w:r>
      <w:r w:rsidR="00F32B28">
        <w:rPr>
          <w:rtl/>
        </w:rPr>
        <w:t xml:space="preserve"> </w:t>
      </w:r>
      <w:r w:rsidR="00F32B28" w:rsidRPr="00F32B28">
        <w:rPr>
          <w:rtl/>
        </w:rPr>
        <w:t>الجامعية</w:t>
      </w:r>
      <w:r w:rsidR="00F32B28">
        <w:rPr>
          <w:rtl/>
        </w:rPr>
        <w:t xml:space="preserve"> </w:t>
      </w:r>
      <w:r w:rsidR="00F32B28" w:rsidRPr="00F32B28">
        <w:rPr>
          <w:rtl/>
        </w:rPr>
        <w:t>المستدامة</w:t>
      </w:r>
      <w:r w:rsidR="00F32B28">
        <w:rPr>
          <w:rtl/>
        </w:rPr>
        <w:t xml:space="preserve"> </w:t>
      </w:r>
      <w:r w:rsidR="00F32B28" w:rsidRPr="00F32B28">
        <w:rPr>
          <w:rtl/>
        </w:rPr>
        <w:t>طيلة</w:t>
      </w:r>
      <w:r w:rsidR="00F32B28">
        <w:rPr>
          <w:rtl/>
        </w:rPr>
        <w:t xml:space="preserve"> </w:t>
      </w:r>
      <w:r w:rsidR="00F32B28" w:rsidRPr="00F32B28">
        <w:rPr>
          <w:rtl/>
        </w:rPr>
        <w:t>سنوات</w:t>
      </w:r>
      <w:r w:rsidR="00F32B28">
        <w:rPr>
          <w:rtl/>
        </w:rPr>
        <w:t xml:space="preserve"> </w:t>
      </w:r>
      <w:r w:rsidR="00F32B28" w:rsidRPr="00F32B28">
        <w:rPr>
          <w:rtl/>
        </w:rPr>
        <w:t>دراسة</w:t>
      </w:r>
      <w:r w:rsidR="00F32B28">
        <w:rPr>
          <w:rtl/>
        </w:rPr>
        <w:t xml:space="preserve"> </w:t>
      </w:r>
      <w:r w:rsidR="00F32B28" w:rsidRPr="00F32B28">
        <w:rPr>
          <w:rtl/>
        </w:rPr>
        <w:t>البكالوريوس</w:t>
      </w:r>
      <w:r w:rsidR="00F32B28">
        <w:rPr>
          <w:rtl/>
        </w:rPr>
        <w:t xml:space="preserve"> </w:t>
      </w:r>
      <w:r w:rsidR="00F32B28" w:rsidRPr="00F32B28">
        <w:rPr>
          <w:rtl/>
        </w:rPr>
        <w:t>أو</w:t>
      </w:r>
      <w:r w:rsidR="00F32B28">
        <w:rPr>
          <w:rtl/>
        </w:rPr>
        <w:t xml:space="preserve"> </w:t>
      </w:r>
      <w:r w:rsidR="00F32B28" w:rsidRPr="00F32B28">
        <w:rPr>
          <w:rtl/>
        </w:rPr>
        <w:t>الدبلوم</w:t>
      </w:r>
      <w:r w:rsidR="00F32B28">
        <w:rPr>
          <w:rtl/>
        </w:rPr>
        <w:t xml:space="preserve"> </w:t>
      </w:r>
      <w:r w:rsidR="00F32B28" w:rsidRPr="00F32B28">
        <w:rPr>
          <w:rtl/>
        </w:rPr>
        <w:t>وفقاً</w:t>
      </w:r>
      <w:r w:rsidR="00F32B28">
        <w:rPr>
          <w:rtl/>
        </w:rPr>
        <w:t xml:space="preserve"> </w:t>
      </w:r>
      <w:r w:rsidR="00F32B28" w:rsidRPr="00F32B28">
        <w:rPr>
          <w:rtl/>
        </w:rPr>
        <w:t>للمعايير</w:t>
      </w:r>
      <w:r w:rsidR="00F32B28">
        <w:rPr>
          <w:rtl/>
        </w:rPr>
        <w:t xml:space="preserve"> </w:t>
      </w:r>
      <w:r w:rsidR="00F32B28" w:rsidRPr="00F32B28">
        <w:rPr>
          <w:rtl/>
        </w:rPr>
        <w:t>والشروط</w:t>
      </w:r>
      <w:r w:rsidR="00F32B28">
        <w:rPr>
          <w:rtl/>
        </w:rPr>
        <w:t xml:space="preserve"> </w:t>
      </w:r>
      <w:r w:rsidR="00F32B28" w:rsidRPr="00F32B28">
        <w:rPr>
          <w:rtl/>
        </w:rPr>
        <w:t>ذاتها</w:t>
      </w:r>
      <w:r w:rsidR="00F32B28">
        <w:rPr>
          <w:rtl/>
        </w:rPr>
        <w:t xml:space="preserve"> </w:t>
      </w:r>
      <w:r w:rsidR="00F32B28" w:rsidRPr="00F32B28">
        <w:rPr>
          <w:rtl/>
        </w:rPr>
        <w:t>التي</w:t>
      </w:r>
      <w:r w:rsidR="00F32B28">
        <w:rPr>
          <w:rtl/>
        </w:rPr>
        <w:t xml:space="preserve"> </w:t>
      </w:r>
      <w:r w:rsidR="00F32B28" w:rsidRPr="00F32B28">
        <w:rPr>
          <w:rtl/>
        </w:rPr>
        <w:t>يحق</w:t>
      </w:r>
      <w:r w:rsidR="00F32B28">
        <w:rPr>
          <w:rtl/>
        </w:rPr>
        <w:t xml:space="preserve"> </w:t>
      </w:r>
      <w:r w:rsidR="00F32B28" w:rsidRPr="00F32B28">
        <w:rPr>
          <w:rtl/>
        </w:rPr>
        <w:t>فيها</w:t>
      </w:r>
      <w:r w:rsidR="00F32B28">
        <w:rPr>
          <w:rtl/>
        </w:rPr>
        <w:t xml:space="preserve"> </w:t>
      </w:r>
      <w:r w:rsidR="00F32B28" w:rsidRPr="00F32B28">
        <w:rPr>
          <w:rtl/>
        </w:rPr>
        <w:t>للطلاب</w:t>
      </w:r>
      <w:r w:rsidR="00F32B28">
        <w:rPr>
          <w:rtl/>
        </w:rPr>
        <w:t xml:space="preserve"> </w:t>
      </w:r>
      <w:r w:rsidR="00F32B28" w:rsidRPr="00F32B28">
        <w:rPr>
          <w:rtl/>
        </w:rPr>
        <w:t>الجامعيين</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هذه</w:t>
      </w:r>
      <w:r w:rsidR="00F32B28">
        <w:rPr>
          <w:rtl/>
        </w:rPr>
        <w:t xml:space="preserve"> </w:t>
      </w:r>
      <w:r w:rsidR="00F32B28" w:rsidRPr="00F32B28">
        <w:rPr>
          <w:rtl/>
        </w:rPr>
        <w:t>القروض.</w:t>
      </w:r>
      <w:r w:rsidR="00F32B28">
        <w:rPr>
          <w:rtl/>
        </w:rPr>
        <w:t xml:space="preserve"> </w:t>
      </w:r>
      <w:r w:rsidR="00F32B28" w:rsidRPr="00F32B28">
        <w:rPr>
          <w:rtl/>
        </w:rPr>
        <w:t>كما</w:t>
      </w:r>
      <w:r w:rsidR="00F32B28">
        <w:rPr>
          <w:rtl/>
        </w:rPr>
        <w:t xml:space="preserve"> </w:t>
      </w:r>
      <w:r w:rsidR="00F32B28" w:rsidRPr="00F32B28">
        <w:rPr>
          <w:rtl/>
        </w:rPr>
        <w:t>أنه</w:t>
      </w:r>
      <w:r w:rsidR="00F32B28">
        <w:rPr>
          <w:rtl/>
        </w:rPr>
        <w:t xml:space="preserve"> </w:t>
      </w:r>
      <w:r w:rsidR="00F32B28" w:rsidRPr="00F32B28">
        <w:rPr>
          <w:rtl/>
        </w:rPr>
        <w:t>وبحسب</w:t>
      </w:r>
      <w:r w:rsidR="00F32B28">
        <w:rPr>
          <w:rtl/>
        </w:rPr>
        <w:t xml:space="preserve"> </w:t>
      </w:r>
      <w:r w:rsidR="00F32B28" w:rsidRPr="00F32B28">
        <w:rPr>
          <w:rtl/>
        </w:rPr>
        <w:t>أنظمة</w:t>
      </w:r>
      <w:r w:rsidR="00F32B28">
        <w:rPr>
          <w:rtl/>
        </w:rPr>
        <w:t xml:space="preserve"> </w:t>
      </w:r>
      <w:r w:rsidR="00F32B28" w:rsidRPr="00F32B28">
        <w:rPr>
          <w:rtl/>
        </w:rPr>
        <w:t>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فإن</w:t>
      </w:r>
      <w:r w:rsidR="00F32B28">
        <w:rPr>
          <w:rtl/>
        </w:rPr>
        <w:t xml:space="preserve"> </w:t>
      </w:r>
      <w:r w:rsidR="00F32B28" w:rsidRPr="00F32B28">
        <w:rPr>
          <w:rtl/>
        </w:rPr>
        <w:t>الشروط</w:t>
      </w:r>
      <w:r w:rsidR="00F32B28">
        <w:rPr>
          <w:rtl/>
        </w:rPr>
        <w:t xml:space="preserve"> </w:t>
      </w:r>
      <w:r w:rsidR="00F32B28" w:rsidRPr="00F32B28">
        <w:rPr>
          <w:rtl/>
        </w:rPr>
        <w:t>الواجب</w:t>
      </w:r>
      <w:r w:rsidR="00F32B28">
        <w:rPr>
          <w:rtl/>
        </w:rPr>
        <w:t xml:space="preserve"> </w:t>
      </w:r>
      <w:r w:rsidR="00F32B28" w:rsidRPr="00F32B28">
        <w:rPr>
          <w:rtl/>
        </w:rPr>
        <w:t>توافرها</w:t>
      </w:r>
      <w:r w:rsidR="00F32B28">
        <w:rPr>
          <w:rtl/>
        </w:rPr>
        <w:t xml:space="preserve"> </w:t>
      </w:r>
      <w:r w:rsidR="00F32B28" w:rsidRPr="00F32B28">
        <w:rPr>
          <w:rtl/>
        </w:rPr>
        <w:t>في</w:t>
      </w:r>
      <w:r w:rsidR="00F32B28">
        <w:rPr>
          <w:rtl/>
        </w:rPr>
        <w:t xml:space="preserve"> </w:t>
      </w:r>
      <w:r w:rsidR="00F32B28" w:rsidRPr="00F32B28">
        <w:rPr>
          <w:rtl/>
        </w:rPr>
        <w:t>الطلبة</w:t>
      </w:r>
      <w:r w:rsidR="00F32B28">
        <w:rPr>
          <w:rtl/>
        </w:rPr>
        <w:t xml:space="preserve"> </w:t>
      </w:r>
      <w:r w:rsidR="00F32B28" w:rsidRPr="00F32B28">
        <w:rPr>
          <w:rtl/>
        </w:rPr>
        <w:t>المرشحين</w:t>
      </w:r>
      <w:r w:rsidR="00F32B28">
        <w:rPr>
          <w:rtl/>
        </w:rPr>
        <w:t xml:space="preserve"> </w:t>
      </w:r>
      <w:r w:rsidR="00F32B28" w:rsidRPr="00F32B28">
        <w:rPr>
          <w:rtl/>
        </w:rPr>
        <w:t>لنيل</w:t>
      </w:r>
      <w:r w:rsidR="00F32B28">
        <w:rPr>
          <w:rtl/>
        </w:rPr>
        <w:t xml:space="preserve"> </w:t>
      </w:r>
      <w:r w:rsidR="00F32B28" w:rsidRPr="00F32B28">
        <w:rPr>
          <w:rtl/>
        </w:rPr>
        <w:t>منحة</w:t>
      </w:r>
      <w:r w:rsidR="00F32B28">
        <w:rPr>
          <w:rtl/>
        </w:rPr>
        <w:t xml:space="preserve"> </w:t>
      </w:r>
      <w:r w:rsidR="00F32B28" w:rsidRPr="00F32B28">
        <w:rPr>
          <w:rtl/>
        </w:rPr>
        <w:t>دراسية</w:t>
      </w:r>
      <w:r w:rsidR="00F32B28">
        <w:rPr>
          <w:rtl/>
        </w:rPr>
        <w:t xml:space="preserve"> </w:t>
      </w:r>
      <w:r w:rsidR="00F32B28" w:rsidRPr="00F32B28">
        <w:rPr>
          <w:rtl/>
        </w:rPr>
        <w:t>سواء</w:t>
      </w:r>
      <w:r w:rsidR="00F32B28">
        <w:rPr>
          <w:rtl/>
        </w:rPr>
        <w:t xml:space="preserve"> </w:t>
      </w:r>
      <w:r w:rsidR="00F32B28" w:rsidRPr="00F32B28">
        <w:rPr>
          <w:rtl/>
        </w:rPr>
        <w:t>في</w:t>
      </w:r>
      <w:r w:rsidR="00F32B28">
        <w:rPr>
          <w:rtl/>
        </w:rPr>
        <w:t xml:space="preserve"> </w:t>
      </w:r>
      <w:r w:rsidR="00F32B28" w:rsidRPr="00F32B28">
        <w:rPr>
          <w:rtl/>
        </w:rPr>
        <w:t>الجامعات</w:t>
      </w:r>
      <w:r w:rsidR="00F32B28">
        <w:rPr>
          <w:rtl/>
        </w:rPr>
        <w:t xml:space="preserve"> </w:t>
      </w:r>
      <w:r w:rsidR="00F32B28" w:rsidRPr="00F32B28">
        <w:rPr>
          <w:rtl/>
        </w:rPr>
        <w:t>الفلسطينية</w:t>
      </w:r>
      <w:r w:rsidR="00F32B28">
        <w:rPr>
          <w:rtl/>
        </w:rPr>
        <w:t xml:space="preserve"> </w:t>
      </w:r>
      <w:r w:rsidR="00F32B28" w:rsidRPr="00F32B28">
        <w:rPr>
          <w:rtl/>
        </w:rPr>
        <w:t>أو</w:t>
      </w:r>
      <w:r w:rsidR="00F32B28">
        <w:rPr>
          <w:rtl/>
        </w:rPr>
        <w:t xml:space="preserve"> </w:t>
      </w:r>
      <w:r w:rsidR="00F32B28" w:rsidRPr="00F32B28">
        <w:rPr>
          <w:rtl/>
        </w:rPr>
        <w:t>في</w:t>
      </w:r>
      <w:r w:rsidR="00F32B28">
        <w:rPr>
          <w:rtl/>
        </w:rPr>
        <w:t xml:space="preserve"> </w:t>
      </w:r>
      <w:r w:rsidR="00F32B28" w:rsidRPr="00F32B28">
        <w:rPr>
          <w:rtl/>
        </w:rPr>
        <w:t>الخارج</w:t>
      </w:r>
      <w:r w:rsidR="00F32B28">
        <w:rPr>
          <w:rtl/>
        </w:rPr>
        <w:t xml:space="preserve"> </w:t>
      </w:r>
      <w:r w:rsidR="00F32B28" w:rsidRPr="00F32B28">
        <w:rPr>
          <w:rtl/>
        </w:rPr>
        <w:t>هي</w:t>
      </w:r>
      <w:r w:rsidR="00F32B28">
        <w:rPr>
          <w:rtl/>
        </w:rPr>
        <w:t xml:space="preserve"> </w:t>
      </w:r>
      <w:r w:rsidR="00F32B28" w:rsidRPr="00F32B28">
        <w:rPr>
          <w:rtl/>
        </w:rPr>
        <w:t>واحدة</w:t>
      </w:r>
      <w:r w:rsidR="00F32B28">
        <w:rPr>
          <w:rtl/>
        </w:rPr>
        <w:t xml:space="preserve"> </w:t>
      </w:r>
      <w:r w:rsidR="00F32B28" w:rsidRPr="00F32B28">
        <w:rPr>
          <w:rtl/>
        </w:rPr>
        <w:t>للجميع،</w:t>
      </w:r>
      <w:r w:rsidR="00F32B28">
        <w:rPr>
          <w:rtl/>
        </w:rPr>
        <w:t xml:space="preserve"> </w:t>
      </w:r>
      <w:r w:rsidR="00F32B28" w:rsidRPr="00F32B28">
        <w:rPr>
          <w:rtl/>
        </w:rPr>
        <w:t>لا</w:t>
      </w:r>
      <w:r w:rsidR="00F32B28">
        <w:rPr>
          <w:rtl/>
        </w:rPr>
        <w:t xml:space="preserve"> </w:t>
      </w:r>
      <w:r w:rsidR="00F32B28" w:rsidRPr="00F32B28">
        <w:rPr>
          <w:rtl/>
        </w:rPr>
        <w:t>تمييز</w:t>
      </w:r>
      <w:r w:rsidR="00F32B28">
        <w:rPr>
          <w:rtl/>
        </w:rPr>
        <w:t xml:space="preserve"> </w:t>
      </w:r>
      <w:r w:rsidR="00F32B28" w:rsidRPr="00F32B28">
        <w:rPr>
          <w:rtl/>
        </w:rPr>
        <w:t>فيها</w:t>
      </w:r>
      <w:r w:rsidR="00F32B28">
        <w:rPr>
          <w:rtl/>
        </w:rPr>
        <w:t xml:space="preserve"> </w:t>
      </w:r>
      <w:r w:rsidR="00F32B28" w:rsidRPr="00F32B28">
        <w:rPr>
          <w:rtl/>
        </w:rPr>
        <w:t>بين</w:t>
      </w:r>
      <w:r w:rsidR="00F32B28">
        <w:rPr>
          <w:rtl/>
        </w:rPr>
        <w:t xml:space="preserve"> </w:t>
      </w:r>
      <w:r w:rsidR="00F32B28" w:rsidRPr="00F32B28">
        <w:rPr>
          <w:rtl/>
        </w:rPr>
        <w:t>الذكور</w:t>
      </w:r>
      <w:r w:rsidR="00F32B28">
        <w:rPr>
          <w:rtl/>
        </w:rPr>
        <w:t xml:space="preserve"> </w:t>
      </w:r>
      <w:r w:rsidR="00F32B28" w:rsidRPr="00F32B28">
        <w:rPr>
          <w:rtl/>
        </w:rPr>
        <w:t>والإناث.</w:t>
      </w:r>
    </w:p>
    <w:p w:rsidR="00F32B28" w:rsidRPr="00F32B28" w:rsidRDefault="0007328B" w:rsidP="0007328B">
      <w:pPr>
        <w:pStyle w:val="SingleTxt"/>
        <w:rPr>
          <w:rtl/>
        </w:rPr>
      </w:pPr>
      <w:r>
        <w:rPr>
          <w:rFonts w:hint="cs"/>
          <w:rtl/>
        </w:rPr>
        <w:t xml:space="preserve">192 - </w:t>
      </w:r>
      <w:r w:rsidR="00F32B28" w:rsidRPr="00F32B28">
        <w:rPr>
          <w:rtl/>
        </w:rPr>
        <w:t>ترتفع</w:t>
      </w:r>
      <w:r w:rsidR="00F32B28">
        <w:rPr>
          <w:rtl/>
        </w:rPr>
        <w:t xml:space="preserve"> </w:t>
      </w:r>
      <w:r w:rsidR="00F32B28" w:rsidRPr="00F32B28">
        <w:rPr>
          <w:rtl/>
        </w:rPr>
        <w:t>نسبة</w:t>
      </w:r>
      <w:r w:rsidR="00F32B28">
        <w:rPr>
          <w:rtl/>
        </w:rPr>
        <w:t xml:space="preserve"> </w:t>
      </w:r>
      <w:r w:rsidR="00F32B28" w:rsidRPr="00F32B28">
        <w:rPr>
          <w:rtl/>
        </w:rPr>
        <w:t>عمل</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062F37">
        <w:rPr>
          <w:w w:val="99"/>
          <w:rtl/>
        </w:rPr>
        <w:t>التعليمي ما قبل الجامعي بالإجمال</w:t>
      </w:r>
      <w:r w:rsidR="00851F93" w:rsidRPr="00062F37">
        <w:rPr>
          <w:rFonts w:hint="cs"/>
          <w:w w:val="99"/>
          <w:rtl/>
        </w:rPr>
        <w:t xml:space="preserve"> </w:t>
      </w:r>
      <w:r w:rsidR="00F32B28" w:rsidRPr="00062F37">
        <w:rPr>
          <w:w w:val="99"/>
          <w:rtl/>
        </w:rPr>
        <w:t>إلى حوالي 59.8</w:t>
      </w:r>
      <w:r w:rsidR="00851F93" w:rsidRPr="00062F37">
        <w:rPr>
          <w:rFonts w:hint="cs"/>
          <w:w w:val="99"/>
          <w:rtl/>
        </w:rPr>
        <w:t xml:space="preserve"> </w:t>
      </w:r>
      <w:r w:rsidR="00600C43" w:rsidRPr="00062F37">
        <w:rPr>
          <w:w w:val="99"/>
          <w:rtl/>
        </w:rPr>
        <w:t>في المائة</w:t>
      </w:r>
      <w:r w:rsidR="00F32B28" w:rsidRPr="00062F37">
        <w:rPr>
          <w:w w:val="99"/>
          <w:rtl/>
        </w:rPr>
        <w:t xml:space="preserve"> من</w:t>
      </w:r>
      <w:r w:rsidR="00F32B28">
        <w:rPr>
          <w:rtl/>
        </w:rPr>
        <w:t xml:space="preserve"> </w:t>
      </w:r>
      <w:r w:rsidR="00F32B28" w:rsidRPr="00F32B28">
        <w:rPr>
          <w:rtl/>
        </w:rPr>
        <w:t>إجمالي</w:t>
      </w:r>
      <w:r w:rsidR="00F32B28">
        <w:rPr>
          <w:rtl/>
        </w:rPr>
        <w:t xml:space="preserve"> </w:t>
      </w:r>
      <w:r w:rsidR="00F32B28" w:rsidRPr="00F32B28">
        <w:rPr>
          <w:rtl/>
        </w:rPr>
        <w:t>عدد</w:t>
      </w:r>
      <w:r w:rsidR="00F32B28">
        <w:rPr>
          <w:rtl/>
        </w:rPr>
        <w:t xml:space="preserve"> </w:t>
      </w:r>
      <w:r w:rsidR="00F32B28" w:rsidRPr="00F32B28">
        <w:rPr>
          <w:rtl/>
        </w:rPr>
        <w:t>الطاقم</w:t>
      </w:r>
      <w:r w:rsidR="00F32B28">
        <w:rPr>
          <w:rtl/>
        </w:rPr>
        <w:t xml:space="preserve"> </w:t>
      </w:r>
      <w:r w:rsidR="00F32B28" w:rsidRPr="00F32B28">
        <w:rPr>
          <w:rtl/>
        </w:rPr>
        <w:t>التعليمي</w:t>
      </w:r>
      <w:r w:rsidR="00F32B28">
        <w:rPr>
          <w:rtl/>
        </w:rPr>
        <w:t xml:space="preserve"> </w:t>
      </w:r>
      <w:r w:rsidR="00F32B28" w:rsidRPr="00F32B28">
        <w:rPr>
          <w:rtl/>
        </w:rPr>
        <w:t>(ما</w:t>
      </w:r>
      <w:r w:rsidR="00F32B28">
        <w:rPr>
          <w:rtl/>
        </w:rPr>
        <w:t xml:space="preserve"> </w:t>
      </w:r>
      <w:r w:rsidR="00F32B28" w:rsidRPr="00F32B28">
        <w:rPr>
          <w:rtl/>
        </w:rPr>
        <w:t>عدا</w:t>
      </w:r>
      <w:r w:rsidR="00F32B28">
        <w:rPr>
          <w:rtl/>
        </w:rPr>
        <w:t xml:space="preserve"> </w:t>
      </w:r>
      <w:r w:rsidR="00F32B28" w:rsidRPr="00F32B28">
        <w:rPr>
          <w:rtl/>
        </w:rPr>
        <w:t>الأذنة</w:t>
      </w:r>
      <w:r w:rsidR="00F32B28">
        <w:rPr>
          <w:rtl/>
        </w:rPr>
        <w:t xml:space="preserve"> </w:t>
      </w:r>
      <w:r w:rsidR="00F32B28" w:rsidRPr="00F32B28">
        <w:rPr>
          <w:rtl/>
        </w:rPr>
        <w:t>والمستخدمين)</w:t>
      </w:r>
      <w:r w:rsidR="00F32B28">
        <w:rPr>
          <w:rtl/>
        </w:rPr>
        <w:t xml:space="preserve"> </w:t>
      </w:r>
      <w:r w:rsidR="00F32B28" w:rsidRPr="00F32B28">
        <w:rPr>
          <w:rtl/>
        </w:rPr>
        <w:t>في</w:t>
      </w:r>
      <w:r w:rsidR="00F32B28">
        <w:rPr>
          <w:rtl/>
        </w:rPr>
        <w:t xml:space="preserve"> </w:t>
      </w:r>
      <w:r w:rsidR="00F32B28" w:rsidRPr="00F32B28">
        <w:rPr>
          <w:rtl/>
        </w:rPr>
        <w:t>المدارس</w:t>
      </w:r>
      <w:r w:rsidR="00F32B28">
        <w:rPr>
          <w:rtl/>
        </w:rPr>
        <w:t xml:space="preserve"> </w:t>
      </w:r>
      <w:r w:rsidR="00F32B28" w:rsidRPr="00F32B28">
        <w:rPr>
          <w:rtl/>
        </w:rPr>
        <w:t>الحكومية</w:t>
      </w:r>
      <w:r w:rsidR="00F32B28">
        <w:rPr>
          <w:rtl/>
        </w:rPr>
        <w:t xml:space="preserve"> </w:t>
      </w:r>
      <w:r w:rsidR="00F32B28" w:rsidRPr="00F32B28">
        <w:rPr>
          <w:rtl/>
        </w:rPr>
        <w:t>والخاصة</w:t>
      </w:r>
      <w:r w:rsidR="00F32B28">
        <w:rPr>
          <w:rtl/>
        </w:rPr>
        <w:t xml:space="preserve"> </w:t>
      </w:r>
      <w:r w:rsidR="00F32B28" w:rsidRPr="00F32B28">
        <w:rPr>
          <w:rtl/>
        </w:rPr>
        <w:t>والتابعة</w:t>
      </w:r>
      <w:r w:rsidR="00F32B28">
        <w:rPr>
          <w:rtl/>
        </w:rPr>
        <w:t xml:space="preserve"> </w:t>
      </w:r>
      <w:r w:rsidR="00D06D08">
        <w:rPr>
          <w:rFonts w:hint="cs"/>
          <w:rtl/>
        </w:rPr>
        <w:t>”</w:t>
      </w:r>
      <w:r w:rsidR="00F32B28" w:rsidRPr="00F32B28">
        <w:rPr>
          <w:rtl/>
        </w:rPr>
        <w:t>للأونروا</w:t>
      </w:r>
      <w:r w:rsidR="00D06D08">
        <w:rPr>
          <w:rFonts w:hint="cs"/>
          <w:rtl/>
        </w:rPr>
        <w:t>“</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لكن</w:t>
      </w:r>
      <w:r w:rsidR="00F32B28">
        <w:rPr>
          <w:rtl/>
        </w:rPr>
        <w:t xml:space="preserve"> </w:t>
      </w:r>
      <w:r w:rsidR="00F32B28" w:rsidRPr="00F32B28">
        <w:rPr>
          <w:rtl/>
        </w:rPr>
        <w:t>هذه</w:t>
      </w:r>
      <w:r w:rsidR="00F32B28">
        <w:rPr>
          <w:rtl/>
        </w:rPr>
        <w:t xml:space="preserve"> </w:t>
      </w:r>
      <w:r w:rsidR="00F32B28" w:rsidRPr="00F32B28">
        <w:rPr>
          <w:rtl/>
        </w:rPr>
        <w:t>النسبة</w:t>
      </w:r>
      <w:r w:rsidR="00F32B28">
        <w:rPr>
          <w:rtl/>
        </w:rPr>
        <w:t xml:space="preserve"> </w:t>
      </w:r>
      <w:r w:rsidR="00F32B28" w:rsidRPr="00F32B28">
        <w:rPr>
          <w:rtl/>
        </w:rPr>
        <w:t>تنخفض</w:t>
      </w:r>
      <w:r w:rsidR="00F32B28">
        <w:rPr>
          <w:rtl/>
        </w:rPr>
        <w:t xml:space="preserve"> </w:t>
      </w:r>
      <w:r w:rsidR="00F32B28" w:rsidRPr="00F32B28">
        <w:rPr>
          <w:rtl/>
        </w:rPr>
        <w:t>كلما</w:t>
      </w:r>
      <w:r w:rsidR="00F32B28">
        <w:rPr>
          <w:rtl/>
        </w:rPr>
        <w:t xml:space="preserve"> </w:t>
      </w:r>
      <w:r w:rsidR="00F32B28" w:rsidRPr="00F32B28">
        <w:rPr>
          <w:rtl/>
        </w:rPr>
        <w:t>ارتفعت</w:t>
      </w:r>
      <w:r w:rsidR="00F32B28" w:rsidRPr="00F32B28">
        <w:rPr>
          <w:rtl/>
          <w:lang w:bidi="ar-SY"/>
        </w:rPr>
        <w:t>درجة</w:t>
      </w:r>
      <w:r w:rsidR="00F32B28">
        <w:rPr>
          <w:rtl/>
        </w:rPr>
        <w:t xml:space="preserve"> </w:t>
      </w:r>
      <w:r w:rsidR="00F32B28" w:rsidRPr="00F32B28">
        <w:rPr>
          <w:rtl/>
        </w:rPr>
        <w:t>المراحل</w:t>
      </w:r>
      <w:r w:rsidR="00F32B28">
        <w:rPr>
          <w:rtl/>
        </w:rPr>
        <w:t xml:space="preserve"> </w:t>
      </w:r>
      <w:r w:rsidR="00F32B28" w:rsidRPr="00F32B28">
        <w:rPr>
          <w:rtl/>
        </w:rPr>
        <w:t>التعليمية،</w:t>
      </w:r>
      <w:r w:rsidR="00F32B28">
        <w:rPr>
          <w:rtl/>
        </w:rPr>
        <w:t xml:space="preserve"> </w:t>
      </w:r>
      <w:r w:rsidR="00F32B28" w:rsidRPr="00F32B28">
        <w:rPr>
          <w:rtl/>
        </w:rPr>
        <w:t>وبخاصة</w:t>
      </w:r>
      <w:r w:rsidR="00F32B28">
        <w:rPr>
          <w:rtl/>
        </w:rPr>
        <w:t xml:space="preserve"> </w:t>
      </w:r>
      <w:r w:rsidR="00F32B28" w:rsidRPr="00F32B28">
        <w:rPr>
          <w:rtl/>
        </w:rPr>
        <w:t>الجامعية؛</w:t>
      </w:r>
      <w:r w:rsidR="00F32B28">
        <w:rPr>
          <w:rtl/>
        </w:rPr>
        <w:t xml:space="preserve"> </w:t>
      </w:r>
      <w:r w:rsidR="00F32B28" w:rsidRPr="00F32B28">
        <w:rPr>
          <w:rtl/>
        </w:rPr>
        <w:t>حيث</w:t>
      </w:r>
      <w:r w:rsidR="00F32B28">
        <w:rPr>
          <w:rtl/>
        </w:rPr>
        <w:t xml:space="preserve"> </w:t>
      </w:r>
      <w:r w:rsidR="00F32B28" w:rsidRPr="00F32B28">
        <w:rPr>
          <w:rtl/>
        </w:rPr>
        <w:t>لا</w:t>
      </w:r>
      <w:r w:rsidR="00F32B28">
        <w:rPr>
          <w:rtl/>
        </w:rPr>
        <w:t xml:space="preserve"> </w:t>
      </w:r>
      <w:r w:rsidR="00F32B28" w:rsidRPr="00F32B28">
        <w:rPr>
          <w:rtl/>
        </w:rPr>
        <w:t>تتعدى</w:t>
      </w:r>
      <w:r w:rsidR="00F32B28">
        <w:rPr>
          <w:rtl/>
        </w:rPr>
        <w:t xml:space="preserve"> </w:t>
      </w:r>
      <w:r w:rsidR="00F32B28" w:rsidRPr="00F32B28">
        <w:rPr>
          <w:rtl/>
        </w:rPr>
        <w:t>نسبة</w:t>
      </w:r>
      <w:r w:rsidR="00F32B28">
        <w:rPr>
          <w:rtl/>
        </w:rPr>
        <w:t xml:space="preserve"> </w:t>
      </w:r>
      <w:r w:rsidR="00F32B28" w:rsidRPr="00F32B28">
        <w:rPr>
          <w:rtl/>
        </w:rPr>
        <w:t>النساء</w:t>
      </w:r>
      <w:r w:rsidR="00F32B28">
        <w:rPr>
          <w:rtl/>
        </w:rPr>
        <w:t xml:space="preserve"> </w:t>
      </w:r>
      <w:r w:rsidR="00F32B28" w:rsidRPr="00F32B28">
        <w:rPr>
          <w:rtl/>
        </w:rPr>
        <w:t>العاملات</w:t>
      </w:r>
      <w:r w:rsidR="00F32B28">
        <w:rPr>
          <w:rtl/>
        </w:rPr>
        <w:t xml:space="preserve"> </w:t>
      </w:r>
      <w:r w:rsidR="00F32B28" w:rsidRPr="00F32B28">
        <w:rPr>
          <w:rtl/>
        </w:rPr>
        <w:t>في</w:t>
      </w:r>
      <w:r w:rsidR="00F32B28">
        <w:rPr>
          <w:rtl/>
        </w:rPr>
        <w:t xml:space="preserve"> </w:t>
      </w:r>
      <w:r w:rsidR="00F32B28" w:rsidRPr="00F32B28">
        <w:rPr>
          <w:rtl/>
        </w:rPr>
        <w:t>مؤسسات</w:t>
      </w:r>
      <w:r w:rsidR="00F32B28">
        <w:rPr>
          <w:rtl/>
        </w:rPr>
        <w:t xml:space="preserve"> </w:t>
      </w:r>
      <w:r w:rsidR="00F32B28" w:rsidRPr="00F32B28">
        <w:rPr>
          <w:rtl/>
        </w:rPr>
        <w:t>التعليم</w:t>
      </w:r>
      <w:r w:rsidR="00F32B28">
        <w:rPr>
          <w:rtl/>
        </w:rPr>
        <w:t xml:space="preserve"> </w:t>
      </w:r>
      <w:r w:rsidR="00F32B28" w:rsidRPr="00F32B28">
        <w:rPr>
          <w:rtl/>
        </w:rPr>
        <w:t>العالي</w:t>
      </w:r>
      <w:r w:rsidR="00F32B28">
        <w:rPr>
          <w:rtl/>
        </w:rPr>
        <w:t xml:space="preserve"> </w:t>
      </w:r>
      <w:r w:rsidR="00F32B28" w:rsidRPr="00F32B28">
        <w:rPr>
          <w:rtl/>
        </w:rPr>
        <w:t>25</w:t>
      </w:r>
      <w:r w:rsidR="00851F93">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إجمالي</w:t>
      </w:r>
      <w:r w:rsidR="00F32B28">
        <w:rPr>
          <w:rtl/>
        </w:rPr>
        <w:t xml:space="preserve"> </w:t>
      </w:r>
      <w:r w:rsidR="00F32B28" w:rsidRPr="00F32B28">
        <w:rPr>
          <w:rtl/>
        </w:rPr>
        <w:t>عدد</w:t>
      </w:r>
      <w:r w:rsidR="00F32B28">
        <w:rPr>
          <w:rtl/>
        </w:rPr>
        <w:t xml:space="preserve"> </w:t>
      </w:r>
      <w:r w:rsidR="00F32B28" w:rsidRPr="00F32B28">
        <w:rPr>
          <w:rtl/>
        </w:rPr>
        <w:t>العاملين</w:t>
      </w:r>
      <w:r w:rsidR="00F32B28">
        <w:rPr>
          <w:rtl/>
        </w:rPr>
        <w:t xml:space="preserve"> </w:t>
      </w:r>
      <w:r w:rsidR="00F32B28" w:rsidRPr="00F32B28">
        <w:rPr>
          <w:rtl/>
        </w:rPr>
        <w:t>هناك.</w:t>
      </w:r>
      <w:r w:rsidR="00F32B28">
        <w:rPr>
          <w:rtl/>
        </w:rPr>
        <w:t xml:space="preserve"> </w:t>
      </w:r>
    </w:p>
    <w:p w:rsidR="0007328B" w:rsidRPr="0007328B" w:rsidRDefault="0007328B" w:rsidP="0007328B">
      <w:pPr>
        <w:pStyle w:val="SingleTxt"/>
        <w:spacing w:after="0" w:line="120" w:lineRule="exact"/>
        <w:rPr>
          <w:b/>
          <w:bCs/>
          <w:sz w:val="10"/>
          <w:rtl/>
        </w:rPr>
      </w:pPr>
    </w:p>
    <w:p w:rsidR="00F32B28" w:rsidRPr="00F32B28" w:rsidRDefault="00F32B28" w:rsidP="00F32B28">
      <w:pPr>
        <w:pStyle w:val="SingleTxt"/>
        <w:rPr>
          <w:b/>
          <w:bCs/>
          <w:rtl/>
        </w:rPr>
      </w:pPr>
      <w:r w:rsidRPr="00F32B28">
        <w:rPr>
          <w:b/>
          <w:bCs/>
          <w:rtl/>
        </w:rPr>
        <w:t>التحديات</w:t>
      </w:r>
    </w:p>
    <w:p w:rsidR="00F32B28" w:rsidRPr="00F32B28" w:rsidRDefault="0007328B" w:rsidP="0007328B">
      <w:pPr>
        <w:pStyle w:val="SingleTxt"/>
        <w:rPr>
          <w:b/>
          <w:bCs/>
          <w:rtl/>
        </w:rPr>
      </w:pPr>
      <w:r>
        <w:rPr>
          <w:rFonts w:hint="cs"/>
          <w:rtl/>
        </w:rPr>
        <w:t xml:space="preserve">193 - </w:t>
      </w:r>
      <w:r w:rsidR="00F32B28" w:rsidRPr="00F32B28">
        <w:rPr>
          <w:rtl/>
        </w:rPr>
        <w:t>يلعب</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دوراً</w:t>
      </w:r>
      <w:r w:rsidR="00F32B28">
        <w:rPr>
          <w:rtl/>
        </w:rPr>
        <w:t xml:space="preserve"> </w:t>
      </w:r>
      <w:r w:rsidR="00F32B28" w:rsidRPr="00F32B28">
        <w:rPr>
          <w:rtl/>
        </w:rPr>
        <w:t>رئيسياً</w:t>
      </w:r>
      <w:r w:rsidR="00F32B28">
        <w:rPr>
          <w:rtl/>
        </w:rPr>
        <w:t xml:space="preserve"> </w:t>
      </w:r>
      <w:r w:rsidR="00F32B28" w:rsidRPr="00F32B28">
        <w:rPr>
          <w:rtl/>
        </w:rPr>
        <w:t>في</w:t>
      </w:r>
      <w:r w:rsidR="00F32B28">
        <w:rPr>
          <w:rtl/>
        </w:rPr>
        <w:t xml:space="preserve"> </w:t>
      </w:r>
      <w:r w:rsidR="00F32B28" w:rsidRPr="00F32B28">
        <w:rPr>
          <w:rtl/>
        </w:rPr>
        <w:t>تدهور</w:t>
      </w:r>
      <w:r w:rsidR="00F32B28">
        <w:rPr>
          <w:rtl/>
        </w:rPr>
        <w:t xml:space="preserve"> </w:t>
      </w:r>
      <w:r w:rsidR="00F32B28" w:rsidRPr="00F32B28">
        <w:rPr>
          <w:rtl/>
        </w:rPr>
        <w:t>المسيرة</w:t>
      </w:r>
      <w:r w:rsidR="00F32B28">
        <w:rPr>
          <w:rtl/>
        </w:rPr>
        <w:t xml:space="preserve"> </w:t>
      </w:r>
      <w:r w:rsidR="00F32B28" w:rsidRPr="00F32B28">
        <w:rPr>
          <w:rtl/>
        </w:rPr>
        <w:t>التعليمية</w:t>
      </w:r>
      <w:r w:rsidR="00F32B28">
        <w:rPr>
          <w:rtl/>
        </w:rPr>
        <w:t xml:space="preserve"> </w:t>
      </w:r>
      <w:r w:rsidR="00F32B28" w:rsidRPr="00F32B28">
        <w:rPr>
          <w:rtl/>
        </w:rPr>
        <w:t>الفلسطينية،</w:t>
      </w:r>
      <w:r w:rsidR="00F32B28">
        <w:rPr>
          <w:rtl/>
        </w:rPr>
        <w:t xml:space="preserve"> </w:t>
      </w:r>
      <w:r w:rsidR="00F32B28" w:rsidRPr="00F32B28">
        <w:rPr>
          <w:rtl/>
        </w:rPr>
        <w:t>حيث</w:t>
      </w:r>
      <w:r w:rsidR="00F32B28">
        <w:rPr>
          <w:rtl/>
        </w:rPr>
        <w:t xml:space="preserve"> </w:t>
      </w:r>
      <w:r w:rsidR="00F32B28" w:rsidRPr="00F32B28">
        <w:rPr>
          <w:rtl/>
        </w:rPr>
        <w:t>إن</w:t>
      </w:r>
      <w:r w:rsidR="00F32B28">
        <w:rPr>
          <w:rtl/>
        </w:rPr>
        <w:t xml:space="preserve"> </w:t>
      </w:r>
      <w:r w:rsidR="00F32B28" w:rsidRPr="00F32B28">
        <w:rPr>
          <w:rtl/>
        </w:rPr>
        <w:t>استمرارية</w:t>
      </w:r>
      <w:r w:rsidR="00F32B28">
        <w:rPr>
          <w:rtl/>
        </w:rPr>
        <w:t xml:space="preserve"> </w:t>
      </w:r>
      <w:r w:rsidR="00F32B28" w:rsidRPr="00F32B28">
        <w:rPr>
          <w:rtl/>
        </w:rPr>
        <w:t>سيطرته</w:t>
      </w:r>
      <w:r w:rsidR="00F32B28">
        <w:rPr>
          <w:rtl/>
        </w:rPr>
        <w:t xml:space="preserve"> </w:t>
      </w:r>
      <w:r w:rsidR="00F32B28" w:rsidRPr="00F32B28">
        <w:rPr>
          <w:rtl/>
        </w:rPr>
        <w:t>على</w:t>
      </w:r>
      <w:r w:rsidR="00F32B28">
        <w:rPr>
          <w:rtl/>
        </w:rPr>
        <w:t xml:space="preserve"> </w:t>
      </w:r>
      <w:r w:rsidR="00F32B28" w:rsidRPr="00F32B28">
        <w:rPr>
          <w:rtl/>
        </w:rPr>
        <w:t>أرض</w:t>
      </w:r>
      <w:r w:rsidR="00F32B28">
        <w:rPr>
          <w:rtl/>
        </w:rPr>
        <w:t xml:space="preserve"> </w:t>
      </w:r>
      <w:r w:rsidR="00F32B28" w:rsidRPr="00F32B28">
        <w:rPr>
          <w:rtl/>
        </w:rPr>
        <w:t>فلسطين</w:t>
      </w:r>
      <w:r w:rsidR="00F32B28">
        <w:rPr>
          <w:rtl/>
        </w:rPr>
        <w:t xml:space="preserve"> </w:t>
      </w:r>
      <w:r w:rsidR="00F32B28" w:rsidRPr="00F32B28">
        <w:rPr>
          <w:rtl/>
        </w:rPr>
        <w:t>وممارسات</w:t>
      </w:r>
      <w:r w:rsidR="00F32B28">
        <w:rPr>
          <w:rtl/>
        </w:rPr>
        <w:t xml:space="preserve"> </w:t>
      </w:r>
      <w:r w:rsidR="00F32B28" w:rsidRPr="00F32B28">
        <w:rPr>
          <w:rtl/>
        </w:rPr>
        <w:t>جنوده</w:t>
      </w:r>
      <w:r w:rsidR="00F32B28">
        <w:rPr>
          <w:rtl/>
        </w:rPr>
        <w:t xml:space="preserve"> </w:t>
      </w:r>
      <w:r w:rsidR="00F32B28" w:rsidRPr="00F32B28">
        <w:rPr>
          <w:rtl/>
        </w:rPr>
        <w:t>ومستوطنيه،</w:t>
      </w:r>
      <w:r w:rsidR="00F32B28">
        <w:rPr>
          <w:rtl/>
        </w:rPr>
        <w:t xml:space="preserve"> </w:t>
      </w:r>
      <w:r w:rsidR="00F32B28" w:rsidRPr="00F32B28">
        <w:rPr>
          <w:rtl/>
        </w:rPr>
        <w:t>وبخاصة</w:t>
      </w:r>
      <w:r w:rsidR="00F32B28">
        <w:rPr>
          <w:rtl/>
        </w:rPr>
        <w:t xml:space="preserve"> </w:t>
      </w:r>
      <w:r w:rsidR="00F32B28" w:rsidRPr="00F32B28">
        <w:rPr>
          <w:rtl/>
        </w:rPr>
        <w:t>في</w:t>
      </w:r>
      <w:r w:rsidR="00F32B28">
        <w:rPr>
          <w:rtl/>
        </w:rPr>
        <w:t xml:space="preserve"> </w:t>
      </w:r>
      <w:r w:rsidR="00F32B28" w:rsidRPr="00F32B28">
        <w:rPr>
          <w:rtl/>
        </w:rPr>
        <w:t>القدس</w:t>
      </w:r>
      <w:r w:rsidR="00F32B28">
        <w:rPr>
          <w:rtl/>
        </w:rPr>
        <w:t xml:space="preserve"> </w:t>
      </w:r>
      <w:r w:rsidR="00F32B28" w:rsidRPr="00F32B28">
        <w:rPr>
          <w:rtl/>
        </w:rPr>
        <w:t>الشرقية</w:t>
      </w:r>
      <w:r w:rsidR="00F32B28">
        <w:rPr>
          <w:rtl/>
        </w:rPr>
        <w:t xml:space="preserve"> </w:t>
      </w:r>
      <w:r w:rsidR="00F32B28" w:rsidRPr="00F32B28">
        <w:rPr>
          <w:rtl/>
        </w:rPr>
        <w:t>والمناطق</w:t>
      </w:r>
      <w:r w:rsidR="00F32B28">
        <w:rPr>
          <w:rtl/>
        </w:rPr>
        <w:t xml:space="preserve"> </w:t>
      </w:r>
      <w:r w:rsidR="00F32B28" w:rsidRPr="00F32B28">
        <w:rPr>
          <w:rtl/>
        </w:rPr>
        <w:t>المسماة</w:t>
      </w:r>
      <w:r w:rsidR="00F32B28">
        <w:rPr>
          <w:rtl/>
        </w:rPr>
        <w:t xml:space="preserve"> </w:t>
      </w:r>
      <w:r w:rsidR="00F32B28" w:rsidRPr="00F32B28">
        <w:rPr>
          <w:rtl/>
        </w:rPr>
        <w:t>(ج)</w:t>
      </w:r>
      <w:r w:rsidR="00F32B28">
        <w:rPr>
          <w:rtl/>
        </w:rPr>
        <w:t xml:space="preserve"> </w:t>
      </w:r>
      <w:r w:rsidR="00F32B28" w:rsidRPr="00F32B28">
        <w:rPr>
          <w:rtl/>
        </w:rPr>
        <w:t>من</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وما</w:t>
      </w:r>
      <w:r w:rsidR="00F32B28">
        <w:rPr>
          <w:rtl/>
        </w:rPr>
        <w:t xml:space="preserve"> </w:t>
      </w:r>
      <w:r w:rsidR="00F32B28" w:rsidRPr="00F32B28">
        <w:rPr>
          <w:rtl/>
        </w:rPr>
        <w:t>يمارسه</w:t>
      </w:r>
      <w:r w:rsidR="00F32B28">
        <w:rPr>
          <w:rtl/>
        </w:rPr>
        <w:t xml:space="preserve"> </w:t>
      </w:r>
      <w:r w:rsidR="00F32B28" w:rsidRPr="00F32B28">
        <w:rPr>
          <w:rtl/>
        </w:rPr>
        <w:t>هناك</w:t>
      </w:r>
      <w:r w:rsidR="00F32B28">
        <w:rPr>
          <w:rtl/>
        </w:rPr>
        <w:t xml:space="preserve"> </w:t>
      </w:r>
      <w:r w:rsidR="00F32B28" w:rsidRPr="00F32B28">
        <w:rPr>
          <w:rtl/>
        </w:rPr>
        <w:t>من</w:t>
      </w:r>
      <w:r w:rsidR="00F32B28">
        <w:rPr>
          <w:rtl/>
        </w:rPr>
        <w:t xml:space="preserve"> </w:t>
      </w:r>
      <w:r w:rsidR="00F32B28" w:rsidRPr="00F32B28">
        <w:rPr>
          <w:rtl/>
        </w:rPr>
        <w:t>اعتداءات</w:t>
      </w:r>
      <w:r w:rsidR="00F32B28">
        <w:rPr>
          <w:rtl/>
        </w:rPr>
        <w:t xml:space="preserve"> </w:t>
      </w:r>
      <w:r w:rsidR="00F32B28" w:rsidRPr="00F32B28">
        <w:rPr>
          <w:rtl/>
        </w:rPr>
        <w:t>على</w:t>
      </w:r>
      <w:r w:rsidR="00F32B28">
        <w:rPr>
          <w:rtl/>
        </w:rPr>
        <w:t xml:space="preserve"> </w:t>
      </w:r>
      <w:r w:rsidR="00F32B28" w:rsidRPr="00F32B28">
        <w:rPr>
          <w:rtl/>
        </w:rPr>
        <w:t>مباني</w:t>
      </w:r>
      <w:r w:rsidR="00F32B28">
        <w:rPr>
          <w:rtl/>
        </w:rPr>
        <w:t xml:space="preserve"> </w:t>
      </w:r>
      <w:r w:rsidR="00F32B28" w:rsidRPr="00F32B28">
        <w:rPr>
          <w:rtl/>
        </w:rPr>
        <w:t>المدارس</w:t>
      </w:r>
      <w:r w:rsidR="00F32B28">
        <w:rPr>
          <w:rtl/>
        </w:rPr>
        <w:t xml:space="preserve"> </w:t>
      </w:r>
      <w:r w:rsidR="00F32B28" w:rsidRPr="00F32B28">
        <w:rPr>
          <w:rtl/>
        </w:rPr>
        <w:t>ومرافقها،</w:t>
      </w:r>
      <w:r w:rsidR="00F32B28">
        <w:rPr>
          <w:rtl/>
        </w:rPr>
        <w:t xml:space="preserve"> </w:t>
      </w:r>
      <w:r w:rsidR="00F32B28" w:rsidRPr="00F32B28">
        <w:rPr>
          <w:rtl/>
        </w:rPr>
        <w:t>وإلحاق</w:t>
      </w:r>
      <w:r w:rsidR="00F32B28">
        <w:rPr>
          <w:rtl/>
        </w:rPr>
        <w:t xml:space="preserve"> </w:t>
      </w:r>
      <w:r w:rsidR="00F32B28" w:rsidRPr="00F32B28">
        <w:rPr>
          <w:rtl/>
        </w:rPr>
        <w:t>مختلف</w:t>
      </w:r>
      <w:r w:rsidR="00F32B28">
        <w:rPr>
          <w:rtl/>
        </w:rPr>
        <w:t xml:space="preserve"> </w:t>
      </w:r>
      <w:r w:rsidR="00F32B28" w:rsidRPr="00F32B28">
        <w:rPr>
          <w:rtl/>
        </w:rPr>
        <w:t>أنواع</w:t>
      </w:r>
      <w:r w:rsidR="00F32B28">
        <w:rPr>
          <w:rtl/>
        </w:rPr>
        <w:t xml:space="preserve"> </w:t>
      </w:r>
      <w:r w:rsidR="00F32B28" w:rsidRPr="00F32B28">
        <w:rPr>
          <w:rtl/>
        </w:rPr>
        <w:t>الإضرار</w:t>
      </w:r>
      <w:r w:rsidR="00F32B28">
        <w:rPr>
          <w:rtl/>
        </w:rPr>
        <w:t xml:space="preserve"> </w:t>
      </w:r>
      <w:r w:rsidR="00F32B28" w:rsidRPr="00F32B28">
        <w:rPr>
          <w:rtl/>
        </w:rPr>
        <w:t>الجسدي</w:t>
      </w:r>
      <w:r w:rsidR="00F32B28">
        <w:rPr>
          <w:rtl/>
        </w:rPr>
        <w:t xml:space="preserve"> </w:t>
      </w:r>
      <w:r w:rsidR="00F32B28" w:rsidRPr="00F32B28">
        <w:rPr>
          <w:rtl/>
        </w:rPr>
        <w:t>والمعنوي</w:t>
      </w:r>
      <w:r w:rsidR="00F32B28">
        <w:rPr>
          <w:rtl/>
        </w:rPr>
        <w:t xml:space="preserve"> </w:t>
      </w:r>
      <w:r w:rsidR="00F32B28" w:rsidRPr="00F32B28">
        <w:rPr>
          <w:rtl/>
        </w:rPr>
        <w:t>فيما</w:t>
      </w:r>
      <w:r w:rsidR="00F32B28">
        <w:rPr>
          <w:rtl/>
        </w:rPr>
        <w:t xml:space="preserve"> </w:t>
      </w:r>
      <w:r w:rsidR="00F32B28" w:rsidRPr="00F32B28">
        <w:rPr>
          <w:rtl/>
        </w:rPr>
        <w:t>بين</w:t>
      </w:r>
      <w:r w:rsidR="00F32B28">
        <w:rPr>
          <w:rtl/>
        </w:rPr>
        <w:t xml:space="preserve"> </w:t>
      </w:r>
      <w:r w:rsidR="00F32B28" w:rsidRPr="00F32B28">
        <w:rPr>
          <w:rtl/>
        </w:rPr>
        <w:t>الطلاب</w:t>
      </w:r>
      <w:r w:rsidR="00F32B28">
        <w:rPr>
          <w:rtl/>
        </w:rPr>
        <w:t xml:space="preserve"> </w:t>
      </w:r>
      <w:r w:rsidR="00F32B28" w:rsidRPr="00F32B28">
        <w:rPr>
          <w:rtl/>
        </w:rPr>
        <w:t>والمعلمين،</w:t>
      </w:r>
      <w:r w:rsidR="00F32B28">
        <w:rPr>
          <w:rtl/>
        </w:rPr>
        <w:t xml:space="preserve"> </w:t>
      </w:r>
      <w:r w:rsidR="00F32B28" w:rsidRPr="00F32B28">
        <w:rPr>
          <w:rtl/>
        </w:rPr>
        <w:t>من</w:t>
      </w:r>
      <w:r w:rsidR="00F32B28">
        <w:rPr>
          <w:rtl/>
        </w:rPr>
        <w:t xml:space="preserve"> </w:t>
      </w:r>
      <w:r w:rsidR="00F32B28" w:rsidRPr="00F32B28">
        <w:rPr>
          <w:rtl/>
        </w:rPr>
        <w:t>قتل</w:t>
      </w:r>
      <w:r w:rsidR="00F32B28">
        <w:rPr>
          <w:rtl/>
        </w:rPr>
        <w:t xml:space="preserve"> </w:t>
      </w:r>
      <w:r w:rsidR="00F32B28" w:rsidRPr="00F32B28">
        <w:rPr>
          <w:rtl/>
        </w:rPr>
        <w:t>وجرح</w:t>
      </w:r>
      <w:r w:rsidR="00F32B28">
        <w:rPr>
          <w:rtl/>
        </w:rPr>
        <w:t xml:space="preserve"> </w:t>
      </w:r>
      <w:r w:rsidR="00F32B28" w:rsidRPr="00F32B28">
        <w:rPr>
          <w:rtl/>
        </w:rPr>
        <w:t>واعتقال</w:t>
      </w:r>
      <w:r w:rsidR="00F32B28">
        <w:rPr>
          <w:rtl/>
        </w:rPr>
        <w:t xml:space="preserve"> </w:t>
      </w:r>
      <w:r w:rsidR="00F32B28" w:rsidRPr="00F32B28">
        <w:rPr>
          <w:rtl/>
        </w:rPr>
        <w:t>وتفتيش</w:t>
      </w:r>
      <w:r w:rsidR="00F32B28">
        <w:rPr>
          <w:rtl/>
        </w:rPr>
        <w:t xml:space="preserve"> </w:t>
      </w:r>
      <w:r w:rsidR="00F32B28" w:rsidRPr="00F32B28">
        <w:rPr>
          <w:rtl/>
        </w:rPr>
        <w:t>ومضايقات،</w:t>
      </w:r>
      <w:r w:rsidR="00F32B28">
        <w:rPr>
          <w:rtl/>
        </w:rPr>
        <w:t xml:space="preserve"> </w:t>
      </w:r>
      <w:r w:rsidR="00F32B28" w:rsidRPr="00F32B28">
        <w:rPr>
          <w:rtl/>
        </w:rPr>
        <w:t>وإعاقة</w:t>
      </w:r>
      <w:r w:rsidR="00F32B28">
        <w:rPr>
          <w:rtl/>
        </w:rPr>
        <w:t xml:space="preserve"> </w:t>
      </w:r>
      <w:r w:rsidR="00F32B28" w:rsidRPr="00F32B28">
        <w:rPr>
          <w:rtl/>
        </w:rPr>
        <w:t>الوصول</w:t>
      </w:r>
      <w:r w:rsidR="00F32B28">
        <w:rPr>
          <w:rtl/>
        </w:rPr>
        <w:t xml:space="preserve"> </w:t>
      </w:r>
      <w:r w:rsidR="00F32B28" w:rsidRPr="00F32B28">
        <w:rPr>
          <w:rtl/>
        </w:rPr>
        <w:t>الآمن</w:t>
      </w:r>
      <w:r w:rsidR="00F32B28">
        <w:rPr>
          <w:rtl/>
        </w:rPr>
        <w:t xml:space="preserve"> </w:t>
      </w:r>
      <w:r w:rsidR="00F32B28" w:rsidRPr="00F32B28">
        <w:rPr>
          <w:rtl/>
        </w:rPr>
        <w:t>للطلبة</w:t>
      </w:r>
      <w:r w:rsidR="00F32B28">
        <w:rPr>
          <w:rtl/>
        </w:rPr>
        <w:t xml:space="preserve"> </w:t>
      </w:r>
      <w:r w:rsidR="00F32B28" w:rsidRPr="00F32B28">
        <w:rPr>
          <w:rtl/>
        </w:rPr>
        <w:t>والمعلمين</w:t>
      </w:r>
      <w:r w:rsidR="00F32B28">
        <w:rPr>
          <w:rtl/>
        </w:rPr>
        <w:t xml:space="preserve"> </w:t>
      </w:r>
      <w:r w:rsidR="00F32B28" w:rsidRPr="00F32B28">
        <w:rPr>
          <w:rtl/>
        </w:rPr>
        <w:t>للمدارس،</w:t>
      </w:r>
      <w:r w:rsidR="00F32B28">
        <w:rPr>
          <w:rtl/>
        </w:rPr>
        <w:t xml:space="preserve"> </w:t>
      </w:r>
      <w:r w:rsidR="00F32B28" w:rsidRPr="00F32B28">
        <w:rPr>
          <w:rtl/>
        </w:rPr>
        <w:t>والتهديد</w:t>
      </w:r>
      <w:r w:rsidR="00F32B28">
        <w:rPr>
          <w:rtl/>
        </w:rPr>
        <w:t xml:space="preserve"> </w:t>
      </w:r>
      <w:r w:rsidR="00F32B28" w:rsidRPr="00F32B28">
        <w:rPr>
          <w:rtl/>
        </w:rPr>
        <w:t>بمصادرة</w:t>
      </w:r>
      <w:r w:rsidR="00F32B28">
        <w:rPr>
          <w:rtl/>
        </w:rPr>
        <w:t xml:space="preserve"> </w:t>
      </w:r>
      <w:r w:rsidR="00F32B28" w:rsidRPr="00F32B28">
        <w:rPr>
          <w:rtl/>
        </w:rPr>
        <w:t>الأراضي</w:t>
      </w:r>
      <w:r w:rsidR="00F32B28">
        <w:rPr>
          <w:rtl/>
        </w:rPr>
        <w:t xml:space="preserve"> </w:t>
      </w:r>
      <w:r w:rsidR="00F32B28" w:rsidRPr="00F32B28">
        <w:rPr>
          <w:rtl/>
        </w:rPr>
        <w:t>المقامة</w:t>
      </w:r>
      <w:r w:rsidR="00F32B28">
        <w:rPr>
          <w:rtl/>
        </w:rPr>
        <w:t xml:space="preserve"> </w:t>
      </w:r>
      <w:r w:rsidR="00F32B28" w:rsidRPr="00F32B28">
        <w:rPr>
          <w:rtl/>
        </w:rPr>
        <w:t>عليها</w:t>
      </w:r>
      <w:r w:rsidR="00F32B28">
        <w:rPr>
          <w:rtl/>
        </w:rPr>
        <w:t xml:space="preserve"> </w:t>
      </w:r>
      <w:r w:rsidR="00F32B28" w:rsidRPr="00F32B28">
        <w:rPr>
          <w:rtl/>
        </w:rPr>
        <w:t>المدارس،</w:t>
      </w:r>
      <w:r w:rsidR="00F32B28">
        <w:rPr>
          <w:rtl/>
        </w:rPr>
        <w:t xml:space="preserve"> </w:t>
      </w:r>
      <w:r w:rsidR="00F32B28" w:rsidRPr="00F32B28">
        <w:rPr>
          <w:rtl/>
        </w:rPr>
        <w:t>وعدم</w:t>
      </w:r>
      <w:r w:rsidR="00F32B28">
        <w:rPr>
          <w:rtl/>
        </w:rPr>
        <w:t xml:space="preserve"> </w:t>
      </w:r>
      <w:r w:rsidR="00F32B28" w:rsidRPr="00F32B28">
        <w:rPr>
          <w:rtl/>
        </w:rPr>
        <w:t>إعطاء</w:t>
      </w:r>
      <w:r w:rsidR="00F32B28">
        <w:rPr>
          <w:rtl/>
        </w:rPr>
        <w:t xml:space="preserve"> </w:t>
      </w:r>
      <w:r w:rsidR="00F32B28" w:rsidRPr="00F32B28">
        <w:rPr>
          <w:rtl/>
        </w:rPr>
        <w:t>التراخيص</w:t>
      </w:r>
      <w:r w:rsidR="00F32B28">
        <w:rPr>
          <w:rtl/>
        </w:rPr>
        <w:t xml:space="preserve"> </w:t>
      </w:r>
      <w:r w:rsidR="00F32B28" w:rsidRPr="00F32B28">
        <w:rPr>
          <w:rtl/>
        </w:rPr>
        <w:t>لإقامة</w:t>
      </w:r>
      <w:r w:rsidR="00F32B28">
        <w:rPr>
          <w:rtl/>
        </w:rPr>
        <w:t xml:space="preserve"> </w:t>
      </w:r>
      <w:r w:rsidR="00F32B28" w:rsidRPr="00F32B28">
        <w:rPr>
          <w:rtl/>
        </w:rPr>
        <w:t>شبكات</w:t>
      </w:r>
      <w:r w:rsidR="00F32B28">
        <w:rPr>
          <w:rtl/>
        </w:rPr>
        <w:t xml:space="preserve"> </w:t>
      </w:r>
      <w:r w:rsidR="00F32B28" w:rsidRPr="00F32B28">
        <w:rPr>
          <w:rtl/>
        </w:rPr>
        <w:t>الكهرباء</w:t>
      </w:r>
      <w:r w:rsidR="00F32B28">
        <w:rPr>
          <w:rtl/>
        </w:rPr>
        <w:t xml:space="preserve"> </w:t>
      </w:r>
      <w:r w:rsidR="00F32B28" w:rsidRPr="00F32B28">
        <w:rPr>
          <w:rtl/>
        </w:rPr>
        <w:t>والماء</w:t>
      </w:r>
      <w:r w:rsidR="00F32B28">
        <w:rPr>
          <w:rtl/>
        </w:rPr>
        <w:t xml:space="preserve"> </w:t>
      </w:r>
      <w:r w:rsidR="00F32B28" w:rsidRPr="00F32B28">
        <w:rPr>
          <w:rtl/>
        </w:rPr>
        <w:t>للمدارس،</w:t>
      </w:r>
      <w:r w:rsidR="00F32B28">
        <w:rPr>
          <w:rtl/>
        </w:rPr>
        <w:t xml:space="preserve"> </w:t>
      </w:r>
      <w:r w:rsidR="00F32B28" w:rsidRPr="00F32B28">
        <w:rPr>
          <w:rtl/>
        </w:rPr>
        <w:t>وإغلاق</w:t>
      </w:r>
      <w:r w:rsidR="00F32B28">
        <w:rPr>
          <w:rtl/>
        </w:rPr>
        <w:t xml:space="preserve"> </w:t>
      </w:r>
      <w:r w:rsidR="00F32B28" w:rsidRPr="00F32B28">
        <w:rPr>
          <w:rtl/>
        </w:rPr>
        <w:t>المدارس</w:t>
      </w:r>
      <w:r w:rsidR="00F32B28">
        <w:rPr>
          <w:rtl/>
        </w:rPr>
        <w:t xml:space="preserve"> </w:t>
      </w:r>
      <w:r w:rsidR="00F32B28" w:rsidRPr="00F32B28">
        <w:rPr>
          <w:rtl/>
        </w:rPr>
        <w:t>لفترات</w:t>
      </w:r>
      <w:r w:rsidR="00F32B28">
        <w:rPr>
          <w:rtl/>
        </w:rPr>
        <w:t xml:space="preserve"> </w:t>
      </w:r>
      <w:r w:rsidR="00F32B28" w:rsidRPr="00F32B28">
        <w:rPr>
          <w:rtl/>
        </w:rPr>
        <w:t>متفاوتة</w:t>
      </w:r>
      <w:r w:rsidR="00F32B28">
        <w:rPr>
          <w:rtl/>
        </w:rPr>
        <w:t xml:space="preserve"> </w:t>
      </w:r>
      <w:r w:rsidR="00F32B28" w:rsidRPr="00F32B28">
        <w:rPr>
          <w:rtl/>
        </w:rPr>
        <w:t>واقتحامها،</w:t>
      </w:r>
      <w:r w:rsidR="00F32B28">
        <w:rPr>
          <w:rtl/>
        </w:rPr>
        <w:t xml:space="preserve"> </w:t>
      </w:r>
      <w:r w:rsidR="00F32B28" w:rsidRPr="00F32B28">
        <w:rPr>
          <w:rtl/>
        </w:rPr>
        <w:t>وإقامة</w:t>
      </w:r>
      <w:r w:rsidR="00F32B28">
        <w:rPr>
          <w:rtl/>
        </w:rPr>
        <w:t xml:space="preserve"> </w:t>
      </w:r>
      <w:r w:rsidR="00F32B28" w:rsidRPr="00F32B28">
        <w:rPr>
          <w:rtl/>
        </w:rPr>
        <w:t>الحواجز</w:t>
      </w:r>
      <w:r w:rsidR="00F32B28">
        <w:rPr>
          <w:rtl/>
        </w:rPr>
        <w:t xml:space="preserve"> </w:t>
      </w:r>
      <w:r w:rsidR="00F32B28" w:rsidRPr="00F32B28">
        <w:rPr>
          <w:rtl/>
        </w:rPr>
        <w:t>العسكرية</w:t>
      </w:r>
      <w:r w:rsidR="00F32B28">
        <w:rPr>
          <w:rtl/>
        </w:rPr>
        <w:t xml:space="preserve"> </w:t>
      </w:r>
      <w:r w:rsidR="00F32B28" w:rsidRPr="00F32B28">
        <w:rPr>
          <w:rtl/>
        </w:rPr>
        <w:t>والبوابات</w:t>
      </w:r>
      <w:r w:rsidR="00F32B28">
        <w:rPr>
          <w:rtl/>
        </w:rPr>
        <w:t xml:space="preserve"> </w:t>
      </w:r>
      <w:r w:rsidR="00F32B28" w:rsidRPr="00F32B28">
        <w:rPr>
          <w:rtl/>
        </w:rPr>
        <w:t>العسكرية</w:t>
      </w:r>
      <w:r w:rsidR="00F32B28">
        <w:rPr>
          <w:rtl/>
        </w:rPr>
        <w:t xml:space="preserve"> </w:t>
      </w:r>
      <w:r w:rsidR="00F32B28" w:rsidRPr="00F32B28">
        <w:rPr>
          <w:rtl/>
        </w:rPr>
        <w:t>وإغلاقها</w:t>
      </w:r>
      <w:r w:rsidR="00F32B28">
        <w:rPr>
          <w:rtl/>
        </w:rPr>
        <w:t xml:space="preserve"> </w:t>
      </w:r>
      <w:r w:rsidR="00F32B28" w:rsidRPr="00F32B28">
        <w:rPr>
          <w:rtl/>
        </w:rPr>
        <w:t>المتكرر،</w:t>
      </w:r>
      <w:r w:rsidR="00F32B28">
        <w:rPr>
          <w:rtl/>
        </w:rPr>
        <w:t xml:space="preserve"> </w:t>
      </w:r>
      <w:r w:rsidR="00F32B28" w:rsidRPr="00F32B28">
        <w:rPr>
          <w:rtl/>
        </w:rPr>
        <w:t>وغيرها</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الانتهاكات</w:t>
      </w:r>
      <w:r w:rsidR="00F32B28">
        <w:rPr>
          <w:rtl/>
        </w:rPr>
        <w:t xml:space="preserve"> </w:t>
      </w:r>
      <w:r w:rsidR="00F32B28" w:rsidRPr="00F32B28">
        <w:rPr>
          <w:rtl/>
        </w:rPr>
        <w:t>التي</w:t>
      </w:r>
      <w:r w:rsidR="00F32B28">
        <w:rPr>
          <w:rtl/>
        </w:rPr>
        <w:t xml:space="preserve"> </w:t>
      </w:r>
      <w:r w:rsidR="00F32B28" w:rsidRPr="00F32B28">
        <w:rPr>
          <w:rtl/>
        </w:rPr>
        <w:t>تؤدي</w:t>
      </w:r>
      <w:r w:rsidR="00F32B28">
        <w:rPr>
          <w:rtl/>
        </w:rPr>
        <w:t xml:space="preserve"> </w:t>
      </w:r>
      <w:r w:rsidR="00F32B28" w:rsidRPr="00F32B28">
        <w:rPr>
          <w:rtl/>
        </w:rPr>
        <w:t>إلى</w:t>
      </w:r>
      <w:r w:rsidR="00F32B28">
        <w:rPr>
          <w:rtl/>
        </w:rPr>
        <w:t xml:space="preserve"> </w:t>
      </w:r>
      <w:r w:rsidR="00F32B28" w:rsidRPr="00F32B28">
        <w:rPr>
          <w:rtl/>
        </w:rPr>
        <w:t>الهدر</w:t>
      </w:r>
      <w:r w:rsidR="00F32B28">
        <w:rPr>
          <w:rtl/>
        </w:rPr>
        <w:t xml:space="preserve"> </w:t>
      </w:r>
      <w:r w:rsidR="00F32B28" w:rsidRPr="00F32B28">
        <w:rPr>
          <w:rtl/>
        </w:rPr>
        <w:t>التعليمي</w:t>
      </w:r>
      <w:r w:rsidR="00F32B28">
        <w:rPr>
          <w:rtl/>
        </w:rPr>
        <w:t xml:space="preserve"> </w:t>
      </w:r>
      <w:r w:rsidR="00F32B28" w:rsidRPr="00F32B28">
        <w:rPr>
          <w:rtl/>
        </w:rPr>
        <w:t>وتعطيل</w:t>
      </w:r>
      <w:r w:rsidR="00F32B28">
        <w:rPr>
          <w:rtl/>
        </w:rPr>
        <w:t xml:space="preserve"> </w:t>
      </w:r>
      <w:r w:rsidR="00F32B28" w:rsidRPr="00F32B28">
        <w:rPr>
          <w:rtl/>
        </w:rPr>
        <w:t>الدوام</w:t>
      </w:r>
      <w:r w:rsidR="00F32B28">
        <w:rPr>
          <w:rtl/>
        </w:rPr>
        <w:t xml:space="preserve"> </w:t>
      </w:r>
      <w:r w:rsidR="00F32B28" w:rsidRPr="00F32B28">
        <w:rPr>
          <w:rtl/>
        </w:rPr>
        <w:t>في</w:t>
      </w:r>
      <w:r w:rsidR="00F32B28">
        <w:rPr>
          <w:rtl/>
        </w:rPr>
        <w:t xml:space="preserve"> </w:t>
      </w:r>
      <w:r w:rsidR="00F32B28" w:rsidRPr="00F32B28">
        <w:rPr>
          <w:rtl/>
        </w:rPr>
        <w:t>المدارس</w:t>
      </w:r>
      <w:r w:rsidR="00F32B28">
        <w:rPr>
          <w:rtl/>
        </w:rPr>
        <w:t xml:space="preserve"> </w:t>
      </w:r>
      <w:r w:rsidR="00F32B28" w:rsidRPr="00F32B28">
        <w:rPr>
          <w:rtl/>
        </w:rPr>
        <w:t>وعدم</w:t>
      </w:r>
      <w:r w:rsidR="00F32B28">
        <w:rPr>
          <w:rtl/>
        </w:rPr>
        <w:t xml:space="preserve"> </w:t>
      </w:r>
      <w:r w:rsidR="00F32B28" w:rsidRPr="00F32B28">
        <w:rPr>
          <w:rtl/>
        </w:rPr>
        <w:t>انتظامه،</w:t>
      </w:r>
      <w:r w:rsidR="00F32B28">
        <w:rPr>
          <w:rtl/>
        </w:rPr>
        <w:t xml:space="preserve"> </w:t>
      </w:r>
      <w:r w:rsidR="00F32B28" w:rsidRPr="00F32B28">
        <w:rPr>
          <w:rtl/>
        </w:rPr>
        <w:t>وحرمان</w:t>
      </w:r>
      <w:r w:rsidR="00F32B28">
        <w:rPr>
          <w:rtl/>
        </w:rPr>
        <w:t xml:space="preserve"> </w:t>
      </w:r>
      <w:r w:rsidR="00F32B28" w:rsidRPr="00F32B28">
        <w:rPr>
          <w:rtl/>
        </w:rPr>
        <w:t>الطلاب</w:t>
      </w:r>
      <w:r w:rsidR="00F32B28">
        <w:rPr>
          <w:rtl/>
        </w:rPr>
        <w:t xml:space="preserve"> </w:t>
      </w:r>
      <w:r w:rsidR="00F32B28" w:rsidRPr="00F32B28">
        <w:rPr>
          <w:rtl/>
        </w:rPr>
        <w:lastRenderedPageBreak/>
        <w:t>والطالبات</w:t>
      </w:r>
      <w:r w:rsidR="00F32B28">
        <w:rPr>
          <w:rtl/>
        </w:rPr>
        <w:t xml:space="preserve"> </w:t>
      </w:r>
      <w:r w:rsidR="00F32B28" w:rsidRPr="00F32B28">
        <w:rPr>
          <w:rtl/>
        </w:rPr>
        <w:t>من</w:t>
      </w:r>
      <w:r w:rsidR="00F32B28">
        <w:rPr>
          <w:rtl/>
        </w:rPr>
        <w:t xml:space="preserve"> </w:t>
      </w:r>
      <w:r w:rsidR="00F32B28" w:rsidRPr="00F32B28">
        <w:rPr>
          <w:rtl/>
        </w:rPr>
        <w:t>تلقي</w:t>
      </w:r>
      <w:r w:rsidR="00F32B28">
        <w:rPr>
          <w:rtl/>
        </w:rPr>
        <w:t xml:space="preserve"> </w:t>
      </w:r>
      <w:r w:rsidR="00F32B28" w:rsidRPr="00F32B28">
        <w:rPr>
          <w:rtl/>
        </w:rPr>
        <w:t>تعليم</w:t>
      </w:r>
      <w:r w:rsidR="00F32B28">
        <w:rPr>
          <w:rtl/>
        </w:rPr>
        <w:t xml:space="preserve"> </w:t>
      </w:r>
      <w:r w:rsidR="00F32B28" w:rsidRPr="00F32B28">
        <w:rPr>
          <w:rtl/>
        </w:rPr>
        <w:t>لائق</w:t>
      </w:r>
      <w:r w:rsidR="00F32B28">
        <w:rPr>
          <w:rtl/>
        </w:rPr>
        <w:t xml:space="preserve"> </w:t>
      </w:r>
      <w:r w:rsidR="00F32B28" w:rsidRPr="00F32B28">
        <w:rPr>
          <w:rtl/>
        </w:rPr>
        <w:t>في</w:t>
      </w:r>
      <w:r w:rsidR="00F32B28">
        <w:rPr>
          <w:rtl/>
        </w:rPr>
        <w:t xml:space="preserve"> </w:t>
      </w:r>
      <w:r w:rsidR="00F32B28" w:rsidRPr="00F32B28">
        <w:rPr>
          <w:rtl/>
        </w:rPr>
        <w:t>ظروف</w:t>
      </w:r>
      <w:r w:rsidR="00F32B28">
        <w:rPr>
          <w:rtl/>
        </w:rPr>
        <w:t xml:space="preserve"> </w:t>
      </w:r>
      <w:r w:rsidR="00F32B28" w:rsidRPr="00F32B28">
        <w:rPr>
          <w:rtl/>
        </w:rPr>
        <w:t>آمنة،</w:t>
      </w:r>
      <w:r w:rsidR="00F32B28">
        <w:rPr>
          <w:rtl/>
        </w:rPr>
        <w:t xml:space="preserve"> </w:t>
      </w:r>
      <w:r w:rsidR="00F32B28" w:rsidRPr="00F32B28">
        <w:rPr>
          <w:rtl/>
        </w:rPr>
        <w:t>ما</w:t>
      </w:r>
      <w:r w:rsidR="00F32B28">
        <w:rPr>
          <w:rtl/>
        </w:rPr>
        <w:t xml:space="preserve"> </w:t>
      </w:r>
      <w:r w:rsidR="00F32B28" w:rsidRPr="00F32B28">
        <w:rPr>
          <w:rtl/>
        </w:rPr>
        <w:t>دفع</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الطلبة،</w:t>
      </w:r>
      <w:r w:rsidR="00F32B28">
        <w:rPr>
          <w:rtl/>
        </w:rPr>
        <w:t xml:space="preserve"> </w:t>
      </w:r>
      <w:r w:rsidR="00F32B28" w:rsidRPr="00F32B28">
        <w:rPr>
          <w:rtl/>
        </w:rPr>
        <w:t>وبخاصة</w:t>
      </w:r>
      <w:r w:rsidR="00F32B28">
        <w:rPr>
          <w:rtl/>
        </w:rPr>
        <w:t xml:space="preserve"> </w:t>
      </w:r>
      <w:r w:rsidR="00F32B28" w:rsidRPr="00F32B28">
        <w:rPr>
          <w:rtl/>
        </w:rPr>
        <w:t>الطالبات،</w:t>
      </w:r>
      <w:r w:rsidR="00F32B28">
        <w:rPr>
          <w:rtl/>
        </w:rPr>
        <w:t xml:space="preserve"> </w:t>
      </w:r>
      <w:r w:rsidR="00F32B28" w:rsidRPr="00F32B28">
        <w:rPr>
          <w:rtl/>
        </w:rPr>
        <w:t>إلى</w:t>
      </w:r>
      <w:r w:rsidR="00F32B28">
        <w:rPr>
          <w:rtl/>
        </w:rPr>
        <w:t xml:space="preserve"> </w:t>
      </w:r>
      <w:r w:rsidR="00F32B28" w:rsidRPr="00F32B28">
        <w:rPr>
          <w:rtl/>
        </w:rPr>
        <w:t>ترك</w:t>
      </w:r>
      <w:r w:rsidR="00F32B28">
        <w:rPr>
          <w:rtl/>
        </w:rPr>
        <w:t xml:space="preserve"> </w:t>
      </w:r>
      <w:r w:rsidR="00F32B28" w:rsidRPr="00F32B28">
        <w:rPr>
          <w:rtl/>
        </w:rPr>
        <w:t>مقاعد</w:t>
      </w:r>
      <w:r w:rsidR="00F32B28">
        <w:rPr>
          <w:rtl/>
        </w:rPr>
        <w:t xml:space="preserve"> </w:t>
      </w:r>
      <w:r w:rsidR="00F32B28" w:rsidRPr="00F32B28">
        <w:rPr>
          <w:rtl/>
        </w:rPr>
        <w:t>الدراسة،</w:t>
      </w:r>
      <w:r w:rsidR="00F32B28">
        <w:rPr>
          <w:rtl/>
        </w:rPr>
        <w:t xml:space="preserve"> </w:t>
      </w:r>
      <w:r w:rsidR="00F32B28" w:rsidRPr="00F32B28">
        <w:rPr>
          <w:rtl/>
        </w:rPr>
        <w:t>والتوجه</w:t>
      </w:r>
      <w:r w:rsidR="00F32B28">
        <w:rPr>
          <w:rtl/>
        </w:rPr>
        <w:t xml:space="preserve"> </w:t>
      </w:r>
      <w:r w:rsidR="00F32B28" w:rsidRPr="00F32B28">
        <w:rPr>
          <w:rtl/>
        </w:rPr>
        <w:t>إما</w:t>
      </w:r>
      <w:r w:rsidR="00F32B28">
        <w:rPr>
          <w:rtl/>
        </w:rPr>
        <w:t xml:space="preserve"> </w:t>
      </w:r>
      <w:r w:rsidR="00F32B28" w:rsidRPr="00F32B28">
        <w:rPr>
          <w:rtl/>
        </w:rPr>
        <w:t>للعمل،</w:t>
      </w:r>
      <w:r w:rsidR="00F32B28">
        <w:rPr>
          <w:rtl/>
        </w:rPr>
        <w:t xml:space="preserve"> </w:t>
      </w:r>
      <w:r w:rsidR="00F32B28" w:rsidRPr="00F32B28">
        <w:rPr>
          <w:rtl/>
        </w:rPr>
        <w:t>أو</w:t>
      </w:r>
      <w:r w:rsidR="00F32B28">
        <w:rPr>
          <w:rtl/>
        </w:rPr>
        <w:t xml:space="preserve"> </w:t>
      </w:r>
      <w:r w:rsidR="00F32B28" w:rsidRPr="00F32B28">
        <w:rPr>
          <w:rtl/>
        </w:rPr>
        <w:t>الزواج</w:t>
      </w:r>
      <w:r w:rsidR="00F32B28">
        <w:rPr>
          <w:rtl/>
        </w:rPr>
        <w:t xml:space="preserve"> </w:t>
      </w:r>
      <w:r w:rsidR="00F32B28" w:rsidRPr="00F32B28">
        <w:rPr>
          <w:rtl/>
        </w:rPr>
        <w:t>المبكر</w:t>
      </w:r>
      <w:r w:rsidR="00F32B28">
        <w:rPr>
          <w:rtl/>
        </w:rPr>
        <w:t xml:space="preserve"> </w:t>
      </w:r>
      <w:r w:rsidR="00F32B28" w:rsidRPr="00F32B28">
        <w:rPr>
          <w:rtl/>
        </w:rPr>
        <w:t>والإنجاب.</w:t>
      </w:r>
      <w:r w:rsidR="00F32B28">
        <w:rPr>
          <w:rtl/>
        </w:rPr>
        <w:t xml:space="preserve"> </w:t>
      </w:r>
    </w:p>
    <w:p w:rsidR="00F32B28" w:rsidRPr="00F32B28" w:rsidRDefault="0007328B" w:rsidP="0007328B">
      <w:pPr>
        <w:pStyle w:val="SingleTxt"/>
        <w:rPr>
          <w:rtl/>
        </w:rPr>
      </w:pPr>
      <w:r>
        <w:rPr>
          <w:rFonts w:hint="cs"/>
          <w:rtl/>
        </w:rPr>
        <w:t xml:space="preserve">194 - </w:t>
      </w:r>
      <w:r w:rsidR="00F32B28" w:rsidRPr="00F32B28">
        <w:rPr>
          <w:rtl/>
        </w:rPr>
        <w:t>ففي</w:t>
      </w:r>
      <w:r w:rsidR="00F32B28">
        <w:rPr>
          <w:rtl/>
        </w:rPr>
        <w:t xml:space="preserve"> </w:t>
      </w:r>
      <w:r w:rsidR="00F32B28" w:rsidRPr="00F32B28">
        <w:rPr>
          <w:rtl/>
        </w:rPr>
        <w:t>عام</w:t>
      </w:r>
      <w:r w:rsidR="00F32B28">
        <w:rPr>
          <w:rtl/>
        </w:rPr>
        <w:t xml:space="preserve"> </w:t>
      </w:r>
      <w:r w:rsidR="00F32B28" w:rsidRPr="00F32B28">
        <w:rPr>
          <w:rtl/>
        </w:rPr>
        <w:t>2013</w:t>
      </w:r>
      <w:r w:rsidR="00F32B28">
        <w:rPr>
          <w:rtl/>
        </w:rPr>
        <w:t xml:space="preserve"> </w:t>
      </w:r>
      <w:r w:rsidR="00F32B28" w:rsidRPr="00F32B28">
        <w:rPr>
          <w:rtl/>
        </w:rPr>
        <w:t>فقط،</w:t>
      </w:r>
      <w:r w:rsidR="00F32B28">
        <w:rPr>
          <w:rtl/>
        </w:rPr>
        <w:t xml:space="preserve"> </w:t>
      </w:r>
      <w:r w:rsidR="00F32B28" w:rsidRPr="00F32B28">
        <w:rPr>
          <w:rtl/>
        </w:rPr>
        <w:t>تعرض</w:t>
      </w:r>
      <w:r w:rsidR="00F32B28">
        <w:rPr>
          <w:rtl/>
        </w:rPr>
        <w:t xml:space="preserve"> </w:t>
      </w:r>
      <w:r w:rsidR="00F32B28" w:rsidRPr="00F32B28">
        <w:rPr>
          <w:rtl/>
        </w:rPr>
        <w:t>حوالي</w:t>
      </w:r>
      <w:r w:rsidR="00F32B28">
        <w:rPr>
          <w:rtl/>
        </w:rPr>
        <w:t xml:space="preserve"> </w:t>
      </w:r>
      <w:r w:rsidR="00F32B28" w:rsidRPr="00F32B28">
        <w:rPr>
          <w:rtl/>
        </w:rPr>
        <w:t>(</w:t>
      </w:r>
      <w:r w:rsidR="00EE4046">
        <w:rPr>
          <w:rFonts w:hint="cs"/>
          <w:rtl/>
        </w:rPr>
        <w:t>071 12</w:t>
      </w:r>
      <w:r w:rsidR="00F32B28" w:rsidRPr="00F32B28">
        <w:rPr>
          <w:rtl/>
        </w:rPr>
        <w:t>)</w:t>
      </w:r>
      <w:r w:rsidR="00F32B28">
        <w:rPr>
          <w:rtl/>
        </w:rPr>
        <w:t xml:space="preserve"> </w:t>
      </w:r>
      <w:r w:rsidR="00F32B28" w:rsidRPr="00F32B28">
        <w:rPr>
          <w:rtl/>
        </w:rPr>
        <w:t>طالباً</w:t>
      </w:r>
      <w:r w:rsidR="00F32B28">
        <w:rPr>
          <w:rtl/>
        </w:rPr>
        <w:t xml:space="preserve"> </w:t>
      </w:r>
      <w:r w:rsidR="00F32B28" w:rsidRPr="00F32B28">
        <w:rPr>
          <w:rtl/>
        </w:rPr>
        <w:t>وطالبة،</w:t>
      </w:r>
      <w:r w:rsidR="00F32B28">
        <w:rPr>
          <w:rtl/>
        </w:rPr>
        <w:t xml:space="preserve"> </w:t>
      </w:r>
      <w:r w:rsidR="00F32B28" w:rsidRPr="00F32B28">
        <w:rPr>
          <w:rtl/>
        </w:rPr>
        <w:t>و</w:t>
      </w:r>
      <w:r w:rsidR="004B33D7">
        <w:rPr>
          <w:rFonts w:hint="cs"/>
          <w:rtl/>
        </w:rPr>
        <w:t xml:space="preserve"> </w:t>
      </w:r>
      <w:r w:rsidR="00F32B28" w:rsidRPr="00F32B28">
        <w:rPr>
          <w:rtl/>
        </w:rPr>
        <w:t>(547)</w:t>
      </w:r>
      <w:r w:rsidR="00F32B28">
        <w:rPr>
          <w:rtl/>
        </w:rPr>
        <w:t xml:space="preserve"> </w:t>
      </w:r>
      <w:r w:rsidR="00F32B28" w:rsidRPr="00F32B28">
        <w:rPr>
          <w:rtl/>
        </w:rPr>
        <w:t>معلماً</w:t>
      </w:r>
      <w:r w:rsidR="00F32B28">
        <w:rPr>
          <w:rtl/>
        </w:rPr>
        <w:t xml:space="preserve"> </w:t>
      </w:r>
      <w:r w:rsidR="00F32B28" w:rsidRPr="00F32B28">
        <w:rPr>
          <w:rtl/>
        </w:rPr>
        <w:t>ومعلمة،</w:t>
      </w:r>
      <w:r w:rsidR="00F32B28">
        <w:rPr>
          <w:rtl/>
        </w:rPr>
        <w:t xml:space="preserve"> </w:t>
      </w:r>
      <w:r w:rsidR="00F32B28" w:rsidRPr="00F32B28">
        <w:rPr>
          <w:rtl/>
        </w:rPr>
        <w:t>و</w:t>
      </w:r>
      <w:r w:rsidR="00EE4046">
        <w:rPr>
          <w:rFonts w:hint="eastAsia"/>
          <w:rtl/>
        </w:rPr>
        <w:t> </w:t>
      </w:r>
      <w:r w:rsidR="00F32B28" w:rsidRPr="00F32B28">
        <w:rPr>
          <w:rtl/>
        </w:rPr>
        <w:t>(6)</w:t>
      </w:r>
      <w:r w:rsidR="00F32B28">
        <w:rPr>
          <w:rtl/>
        </w:rPr>
        <w:t xml:space="preserve"> </w:t>
      </w:r>
      <w:r w:rsidR="00F32B28" w:rsidRPr="00F32B28">
        <w:rPr>
          <w:rtl/>
        </w:rPr>
        <w:t>موظفين</w:t>
      </w:r>
      <w:r w:rsidR="00F32B28">
        <w:rPr>
          <w:rtl/>
        </w:rPr>
        <w:t xml:space="preserve"> </w:t>
      </w:r>
      <w:r w:rsidR="00F32B28" w:rsidRPr="00F32B28">
        <w:rPr>
          <w:rtl/>
        </w:rPr>
        <w:t>من</w:t>
      </w:r>
      <w:r w:rsidR="00F32B28">
        <w:rPr>
          <w:rtl/>
        </w:rPr>
        <w:t xml:space="preserve"> </w:t>
      </w:r>
      <w:r w:rsidR="00F32B28" w:rsidRPr="00F32B28">
        <w:rPr>
          <w:rtl/>
        </w:rPr>
        <w:t>الهيئات</w:t>
      </w:r>
      <w:r w:rsidR="00F32B28">
        <w:rPr>
          <w:rtl/>
        </w:rPr>
        <w:t xml:space="preserve"> </w:t>
      </w:r>
      <w:r w:rsidR="00F32B28" w:rsidRPr="00F32B28">
        <w:rPr>
          <w:rtl/>
        </w:rPr>
        <w:t>التدريسية</w:t>
      </w:r>
      <w:r w:rsidR="00F32B28">
        <w:rPr>
          <w:rtl/>
        </w:rPr>
        <w:t xml:space="preserve"> </w:t>
      </w:r>
      <w:r w:rsidR="00F32B28" w:rsidRPr="00F32B28">
        <w:rPr>
          <w:rtl/>
        </w:rPr>
        <w:t>في</w:t>
      </w:r>
      <w:r w:rsidR="00F32B28">
        <w:rPr>
          <w:rtl/>
        </w:rPr>
        <w:t xml:space="preserve"> </w:t>
      </w:r>
      <w:r w:rsidR="00F32B28" w:rsidRPr="00F32B28">
        <w:rPr>
          <w:rtl/>
        </w:rPr>
        <w:t>المدارس</w:t>
      </w:r>
      <w:r w:rsidR="00F32B28">
        <w:rPr>
          <w:rtl/>
        </w:rPr>
        <w:t xml:space="preserve"> </w:t>
      </w:r>
      <w:r w:rsidR="00F32B28" w:rsidRPr="00F32B28">
        <w:rPr>
          <w:rtl/>
        </w:rPr>
        <w:t>الفلسطينية</w:t>
      </w:r>
      <w:r w:rsidR="00F32B28">
        <w:rPr>
          <w:rtl/>
        </w:rPr>
        <w:t xml:space="preserve"> </w:t>
      </w:r>
      <w:r w:rsidR="00F32B28" w:rsidRPr="00F32B28">
        <w:rPr>
          <w:rtl/>
        </w:rPr>
        <w:t>إلى</w:t>
      </w:r>
      <w:r w:rsidR="00F32B28">
        <w:rPr>
          <w:rtl/>
        </w:rPr>
        <w:t xml:space="preserve"> </w:t>
      </w:r>
      <w:r w:rsidR="00F32B28" w:rsidRPr="00F32B28">
        <w:rPr>
          <w:rtl/>
        </w:rPr>
        <w:t>اعتداءات</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جنود</w:t>
      </w:r>
      <w:r w:rsidR="00F32B28">
        <w:rPr>
          <w:rtl/>
        </w:rPr>
        <w:t xml:space="preserve"> </w:t>
      </w:r>
      <w:r w:rsidR="00F32B28" w:rsidRPr="00F32B28">
        <w:rPr>
          <w:rtl/>
        </w:rPr>
        <w:t>الاحتلال</w:t>
      </w:r>
      <w:r w:rsidR="00F32B28">
        <w:rPr>
          <w:rtl/>
        </w:rPr>
        <w:t xml:space="preserve"> </w:t>
      </w:r>
      <w:r w:rsidR="00F32B28" w:rsidRPr="00F32B28">
        <w:rPr>
          <w:rtl/>
        </w:rPr>
        <w:t>تراوحت</w:t>
      </w:r>
      <w:r w:rsidR="00F32B28">
        <w:rPr>
          <w:rtl/>
        </w:rPr>
        <w:t xml:space="preserve"> </w:t>
      </w:r>
      <w:r w:rsidR="00F32B28" w:rsidRPr="00F32B28">
        <w:rPr>
          <w:rtl/>
        </w:rPr>
        <w:t>بين</w:t>
      </w:r>
      <w:r w:rsidR="00F32B28">
        <w:rPr>
          <w:rtl/>
        </w:rPr>
        <w:t xml:space="preserve"> </w:t>
      </w:r>
      <w:r w:rsidR="00F32B28" w:rsidRPr="00F32B28">
        <w:rPr>
          <w:rtl/>
        </w:rPr>
        <w:t>القتل،</w:t>
      </w:r>
      <w:r w:rsidR="00F32B28">
        <w:rPr>
          <w:rtl/>
        </w:rPr>
        <w:t xml:space="preserve"> </w:t>
      </w:r>
      <w:r w:rsidR="00F32B28" w:rsidRPr="00F32B28">
        <w:rPr>
          <w:rtl/>
        </w:rPr>
        <w:t>والجرح،</w:t>
      </w:r>
      <w:r w:rsidR="00F32B28">
        <w:rPr>
          <w:rtl/>
        </w:rPr>
        <w:t xml:space="preserve"> </w:t>
      </w:r>
      <w:r w:rsidR="00F32B28" w:rsidRPr="00F32B28">
        <w:rPr>
          <w:rtl/>
        </w:rPr>
        <w:t>والاحتجاز،</w:t>
      </w:r>
      <w:r w:rsidR="00F32B28">
        <w:rPr>
          <w:rtl/>
        </w:rPr>
        <w:t xml:space="preserve"> </w:t>
      </w:r>
      <w:r w:rsidR="00F32B28" w:rsidRPr="00F32B28">
        <w:rPr>
          <w:rtl/>
        </w:rPr>
        <w:t>والاعتقال،</w:t>
      </w:r>
      <w:r w:rsidR="00F32B28">
        <w:rPr>
          <w:rtl/>
        </w:rPr>
        <w:t xml:space="preserve"> </w:t>
      </w:r>
      <w:r w:rsidR="00F32B28" w:rsidRPr="00F32B28">
        <w:rPr>
          <w:rtl/>
        </w:rPr>
        <w:t>والإقامة</w:t>
      </w:r>
      <w:r w:rsidR="00F32B28">
        <w:rPr>
          <w:rtl/>
        </w:rPr>
        <w:t xml:space="preserve"> </w:t>
      </w:r>
      <w:r w:rsidR="00F32B28" w:rsidRPr="00F32B28">
        <w:rPr>
          <w:rtl/>
        </w:rPr>
        <w:t>الجبرية،</w:t>
      </w:r>
      <w:r w:rsidR="00F32B28">
        <w:rPr>
          <w:rtl/>
        </w:rPr>
        <w:t xml:space="preserve"> </w:t>
      </w:r>
      <w:r w:rsidR="00F32B28" w:rsidRPr="00F32B28">
        <w:rPr>
          <w:rtl/>
        </w:rPr>
        <w:t>وفرض</w:t>
      </w:r>
      <w:r w:rsidR="00F32B28">
        <w:rPr>
          <w:rtl/>
        </w:rPr>
        <w:t xml:space="preserve"> </w:t>
      </w:r>
      <w:r w:rsidR="00F32B28" w:rsidRPr="00F32B28">
        <w:rPr>
          <w:rtl/>
        </w:rPr>
        <w:t>غرامات</w:t>
      </w:r>
      <w:r w:rsidR="00F32B28">
        <w:rPr>
          <w:rtl/>
        </w:rPr>
        <w:t xml:space="preserve"> </w:t>
      </w:r>
      <w:r w:rsidR="00F32B28" w:rsidRPr="00F32B28">
        <w:rPr>
          <w:rtl/>
        </w:rPr>
        <w:t>مالية،</w:t>
      </w:r>
      <w:r w:rsidR="00F32B28">
        <w:rPr>
          <w:rtl/>
        </w:rPr>
        <w:t xml:space="preserve"> </w:t>
      </w:r>
      <w:r w:rsidR="00F32B28" w:rsidRPr="00F32B28">
        <w:rPr>
          <w:rtl/>
        </w:rPr>
        <w:t>وتأخير</w:t>
      </w:r>
      <w:r w:rsidR="00F32B28">
        <w:rPr>
          <w:rtl/>
        </w:rPr>
        <w:t xml:space="preserve"> </w:t>
      </w:r>
      <w:r w:rsidR="00F32B28" w:rsidRPr="00F32B28">
        <w:rPr>
          <w:rtl/>
        </w:rPr>
        <w:t>على</w:t>
      </w:r>
      <w:r w:rsidR="00F32B28">
        <w:rPr>
          <w:rtl/>
        </w:rPr>
        <w:t xml:space="preserve"> </w:t>
      </w:r>
      <w:r w:rsidR="00F32B28" w:rsidRPr="00F32B28">
        <w:rPr>
          <w:rtl/>
        </w:rPr>
        <w:t>الحواجز</w:t>
      </w:r>
      <w:r w:rsidR="00F32B28">
        <w:rPr>
          <w:rtl/>
        </w:rPr>
        <w:t xml:space="preserve"> </w:t>
      </w:r>
      <w:r w:rsidR="00F32B28" w:rsidRPr="00F32B28">
        <w:rPr>
          <w:rtl/>
        </w:rPr>
        <w:t>العسكرية</w:t>
      </w:r>
      <w:r w:rsidR="00F32B28">
        <w:rPr>
          <w:rtl/>
        </w:rPr>
        <w:t xml:space="preserve"> </w:t>
      </w:r>
      <w:r w:rsidR="00F32B28" w:rsidRPr="00F32B28">
        <w:rPr>
          <w:rtl/>
        </w:rPr>
        <w:t>ومنع</w:t>
      </w:r>
      <w:r w:rsidR="00F32B28">
        <w:rPr>
          <w:rtl/>
        </w:rPr>
        <w:t xml:space="preserve"> </w:t>
      </w:r>
      <w:r w:rsidR="00F32B28" w:rsidRPr="00F32B28">
        <w:rPr>
          <w:rtl/>
        </w:rPr>
        <w:t>عبور</w:t>
      </w:r>
      <w:r w:rsidR="00F32B28">
        <w:rPr>
          <w:rtl/>
        </w:rPr>
        <w:t xml:space="preserve"> </w:t>
      </w:r>
      <w:r w:rsidR="00F32B28" w:rsidRPr="00F32B28">
        <w:rPr>
          <w:rtl/>
        </w:rPr>
        <w:t>للمدرسة.</w:t>
      </w:r>
      <w:r w:rsidR="00F32B28">
        <w:rPr>
          <w:rtl/>
        </w:rPr>
        <w:t xml:space="preserve"> </w:t>
      </w:r>
      <w:r w:rsidR="00F32B28" w:rsidRPr="00F32B28">
        <w:rPr>
          <w:rtl/>
        </w:rPr>
        <w:t>كما</w:t>
      </w:r>
      <w:r w:rsidR="00F32B28">
        <w:rPr>
          <w:rtl/>
        </w:rPr>
        <w:t xml:space="preserve"> </w:t>
      </w:r>
      <w:r w:rsidR="00F32B28" w:rsidRPr="00F32B28">
        <w:rPr>
          <w:rtl/>
        </w:rPr>
        <w:t>تعرضت</w:t>
      </w:r>
      <w:r w:rsidR="00F32B28">
        <w:rPr>
          <w:rtl/>
        </w:rPr>
        <w:t xml:space="preserve"> </w:t>
      </w:r>
      <w:r w:rsidR="00F32B28" w:rsidRPr="00F32B28">
        <w:rPr>
          <w:rtl/>
        </w:rPr>
        <w:t>حوالي</w:t>
      </w:r>
      <w:r w:rsidR="00F32B28">
        <w:rPr>
          <w:rtl/>
        </w:rPr>
        <w:t xml:space="preserve"> </w:t>
      </w:r>
      <w:r w:rsidR="00F32B28" w:rsidRPr="00F32B28">
        <w:rPr>
          <w:rtl/>
        </w:rPr>
        <w:t>(89)</w:t>
      </w:r>
      <w:r w:rsidR="00F32B28">
        <w:rPr>
          <w:rtl/>
        </w:rPr>
        <w:t xml:space="preserve"> </w:t>
      </w:r>
      <w:r w:rsidR="00F32B28" w:rsidRPr="00F32B28">
        <w:rPr>
          <w:rtl/>
        </w:rPr>
        <w:t>مدرسة</w:t>
      </w:r>
      <w:r w:rsidR="00F32B28">
        <w:rPr>
          <w:rtl/>
        </w:rPr>
        <w:t xml:space="preserve"> </w:t>
      </w:r>
      <w:r w:rsidR="00F32B28" w:rsidRPr="00F32B28">
        <w:rPr>
          <w:rtl/>
        </w:rPr>
        <w:t>إلى</w:t>
      </w:r>
      <w:r w:rsidR="00F32B28">
        <w:rPr>
          <w:rtl/>
        </w:rPr>
        <w:t xml:space="preserve"> </w:t>
      </w:r>
      <w:r w:rsidR="00F32B28" w:rsidRPr="00F32B28">
        <w:rPr>
          <w:rtl/>
        </w:rPr>
        <w:t>(344)</w:t>
      </w:r>
      <w:r w:rsidR="00F32B28">
        <w:rPr>
          <w:rtl/>
        </w:rPr>
        <w:t xml:space="preserve"> </w:t>
      </w:r>
      <w:r w:rsidR="00F32B28" w:rsidRPr="00F32B28">
        <w:rPr>
          <w:rtl/>
        </w:rPr>
        <w:t>اعتداء،</w:t>
      </w:r>
      <w:r w:rsidR="00F32B28">
        <w:rPr>
          <w:rtl/>
        </w:rPr>
        <w:t xml:space="preserve"> </w:t>
      </w:r>
      <w:r w:rsidR="00F32B28" w:rsidRPr="00F32B28">
        <w:rPr>
          <w:rtl/>
        </w:rPr>
        <w:t>أبرزها</w:t>
      </w:r>
      <w:r w:rsidR="00F32B28">
        <w:rPr>
          <w:rtl/>
        </w:rPr>
        <w:t xml:space="preserve"> </w:t>
      </w:r>
      <w:r w:rsidR="00F32B28" w:rsidRPr="00F32B28">
        <w:rPr>
          <w:rtl/>
        </w:rPr>
        <w:t>كان</w:t>
      </w:r>
      <w:r w:rsidR="00F32B28">
        <w:rPr>
          <w:rtl/>
        </w:rPr>
        <w:t xml:space="preserve"> </w:t>
      </w:r>
      <w:r w:rsidR="00F32B28" w:rsidRPr="00F32B28">
        <w:rPr>
          <w:rtl/>
        </w:rPr>
        <w:t>الهدم</w:t>
      </w:r>
      <w:r w:rsidR="00F32B28">
        <w:rPr>
          <w:rtl/>
        </w:rPr>
        <w:t xml:space="preserve"> </w:t>
      </w:r>
      <w:r w:rsidR="00F32B28" w:rsidRPr="00F32B28">
        <w:rPr>
          <w:rtl/>
        </w:rPr>
        <w:t>والاقتحام،</w:t>
      </w:r>
      <w:r w:rsidR="00F32B28">
        <w:rPr>
          <w:rtl/>
        </w:rPr>
        <w:t xml:space="preserve"> </w:t>
      </w:r>
      <w:r w:rsidR="00F32B28" w:rsidRPr="00F32B28">
        <w:rPr>
          <w:rtl/>
        </w:rPr>
        <w:t>وتخريب</w:t>
      </w:r>
      <w:r w:rsidR="00F32B28">
        <w:rPr>
          <w:rtl/>
        </w:rPr>
        <w:t xml:space="preserve"> </w:t>
      </w:r>
      <w:r w:rsidR="00F32B28" w:rsidRPr="00F32B28">
        <w:rPr>
          <w:rtl/>
        </w:rPr>
        <w:t>الممتلكات</w:t>
      </w:r>
      <w:r w:rsidR="00F32B28">
        <w:rPr>
          <w:rtl/>
        </w:rPr>
        <w:t xml:space="preserve"> </w:t>
      </w:r>
      <w:r w:rsidR="00F32B28" w:rsidRPr="00F32B28">
        <w:rPr>
          <w:rtl/>
        </w:rPr>
        <w:t>والمرافق،</w:t>
      </w:r>
      <w:r w:rsidR="00F32B28">
        <w:rPr>
          <w:rtl/>
        </w:rPr>
        <w:t xml:space="preserve"> </w:t>
      </w:r>
      <w:r w:rsidR="00F32B28" w:rsidRPr="00F32B28">
        <w:rPr>
          <w:rtl/>
        </w:rPr>
        <w:t>وإطلاق</w:t>
      </w:r>
      <w:r w:rsidR="00F32B28">
        <w:rPr>
          <w:rtl/>
        </w:rPr>
        <w:t xml:space="preserve"> </w:t>
      </w:r>
      <w:r w:rsidR="00F32B28" w:rsidRPr="00F32B28">
        <w:rPr>
          <w:rtl/>
        </w:rPr>
        <w:t>جنود</w:t>
      </w:r>
      <w:r w:rsidR="00F32B28">
        <w:rPr>
          <w:rtl/>
        </w:rPr>
        <w:t xml:space="preserve"> </w:t>
      </w:r>
      <w:r w:rsidR="00F32B28" w:rsidRPr="00F32B28">
        <w:rPr>
          <w:rtl/>
        </w:rPr>
        <w:t>الاحتلال</w:t>
      </w:r>
      <w:r w:rsidR="00F32B28">
        <w:rPr>
          <w:rtl/>
        </w:rPr>
        <w:t xml:space="preserve"> </w:t>
      </w:r>
      <w:r w:rsidR="00F32B28" w:rsidRPr="00F32B28">
        <w:rPr>
          <w:rtl/>
        </w:rPr>
        <w:t>لقنابل</w:t>
      </w:r>
      <w:r w:rsidR="00F32B28">
        <w:rPr>
          <w:rtl/>
        </w:rPr>
        <w:t xml:space="preserve"> </w:t>
      </w:r>
      <w:r w:rsidR="00F32B28" w:rsidRPr="00F32B28">
        <w:rPr>
          <w:rtl/>
        </w:rPr>
        <w:t>الغاز</w:t>
      </w:r>
      <w:r w:rsidR="00F32B28">
        <w:rPr>
          <w:rtl/>
        </w:rPr>
        <w:t xml:space="preserve"> </w:t>
      </w:r>
      <w:r w:rsidR="00F32B28" w:rsidRPr="00F32B28">
        <w:rPr>
          <w:rtl/>
        </w:rPr>
        <w:t>والرصاص</w:t>
      </w:r>
      <w:r w:rsidR="00F32B28">
        <w:rPr>
          <w:rtl/>
        </w:rPr>
        <w:t xml:space="preserve"> </w:t>
      </w:r>
      <w:r w:rsidR="00F32B28" w:rsidRPr="00F32B28">
        <w:rPr>
          <w:rtl/>
        </w:rPr>
        <w:t>الحي</w:t>
      </w:r>
      <w:r w:rsidR="00F32B28">
        <w:rPr>
          <w:rtl/>
        </w:rPr>
        <w:t xml:space="preserve"> </w:t>
      </w:r>
      <w:r w:rsidR="00F32B28" w:rsidRPr="00F32B28">
        <w:rPr>
          <w:rtl/>
        </w:rPr>
        <w:t>والمطاطي</w:t>
      </w:r>
      <w:r w:rsidR="00F32B28">
        <w:rPr>
          <w:rtl/>
        </w:rPr>
        <w:t xml:space="preserve"> </w:t>
      </w:r>
      <w:r w:rsidR="00F32B28" w:rsidRPr="00F32B28">
        <w:rPr>
          <w:rtl/>
        </w:rPr>
        <w:t>في</w:t>
      </w:r>
      <w:r w:rsidR="00F32B28">
        <w:rPr>
          <w:rtl/>
        </w:rPr>
        <w:t xml:space="preserve"> </w:t>
      </w:r>
      <w:r w:rsidR="00F32B28" w:rsidRPr="00F32B28">
        <w:rPr>
          <w:rtl/>
        </w:rPr>
        <w:t>ساحاتها</w:t>
      </w:r>
      <w:r w:rsidR="00F32B28">
        <w:rPr>
          <w:rtl/>
        </w:rPr>
        <w:t xml:space="preserve"> </w:t>
      </w:r>
      <w:r w:rsidR="00F32B28" w:rsidRPr="00F32B28">
        <w:rPr>
          <w:rtl/>
        </w:rPr>
        <w:t>وصفوفها،</w:t>
      </w:r>
      <w:r w:rsidR="00F32B28">
        <w:rPr>
          <w:rtl/>
        </w:rPr>
        <w:t xml:space="preserve"> </w:t>
      </w:r>
      <w:r w:rsidR="00F32B28" w:rsidRPr="00F32B28">
        <w:rPr>
          <w:rtl/>
        </w:rPr>
        <w:t>وتعطيل</w:t>
      </w:r>
      <w:r w:rsidR="00F32B28">
        <w:rPr>
          <w:rtl/>
        </w:rPr>
        <w:t xml:space="preserve"> </w:t>
      </w:r>
      <w:r w:rsidR="00F32B28" w:rsidRPr="00F32B28">
        <w:rPr>
          <w:rtl/>
        </w:rPr>
        <w:t>الدوام</w:t>
      </w:r>
      <w:r w:rsidR="00F32B28">
        <w:rPr>
          <w:rtl/>
        </w:rPr>
        <w:t xml:space="preserve"> </w:t>
      </w:r>
      <w:r w:rsidR="00F32B28" w:rsidRPr="00F32B28">
        <w:rPr>
          <w:rtl/>
        </w:rPr>
        <w:t>المدرسي</w:t>
      </w:r>
      <w:r w:rsidR="00F32B28">
        <w:rPr>
          <w:rtl/>
        </w:rPr>
        <w:t xml:space="preserve"> </w:t>
      </w:r>
      <w:r w:rsidR="00F32B28" w:rsidRPr="00F32B28">
        <w:rPr>
          <w:rtl/>
        </w:rPr>
        <w:t>بشكل</w:t>
      </w:r>
      <w:r w:rsidR="00F32B28">
        <w:rPr>
          <w:rtl/>
        </w:rPr>
        <w:t xml:space="preserve"> </w:t>
      </w:r>
      <w:r w:rsidR="00F32B28" w:rsidRPr="00F32B28">
        <w:rPr>
          <w:rtl/>
        </w:rPr>
        <w:t>كلي</w:t>
      </w:r>
      <w:r w:rsidR="00F32B28">
        <w:rPr>
          <w:rtl/>
        </w:rPr>
        <w:t xml:space="preserve"> </w:t>
      </w:r>
      <w:r w:rsidR="00F32B28" w:rsidRPr="00F32B28">
        <w:rPr>
          <w:rtl/>
        </w:rPr>
        <w:t>أو</w:t>
      </w:r>
      <w:r w:rsidR="00F32B28">
        <w:rPr>
          <w:rtl/>
        </w:rPr>
        <w:t xml:space="preserve"> </w:t>
      </w:r>
      <w:r w:rsidR="00F32B28" w:rsidRPr="00F32B28">
        <w:rPr>
          <w:rtl/>
        </w:rPr>
        <w:t>جزئي،</w:t>
      </w:r>
      <w:r w:rsidR="00F32B28">
        <w:rPr>
          <w:rtl/>
        </w:rPr>
        <w:t xml:space="preserve"> </w:t>
      </w:r>
      <w:r w:rsidR="00F32B28" w:rsidRPr="00F32B28">
        <w:rPr>
          <w:rtl/>
        </w:rPr>
        <w:t>أو</w:t>
      </w:r>
      <w:r w:rsidR="00F32B28">
        <w:rPr>
          <w:rtl/>
        </w:rPr>
        <w:t xml:space="preserve"> </w:t>
      </w:r>
      <w:r w:rsidR="00F32B28" w:rsidRPr="00F32B28">
        <w:rPr>
          <w:rtl/>
        </w:rPr>
        <w:t>وقف</w:t>
      </w:r>
      <w:r w:rsidR="00F32B28">
        <w:rPr>
          <w:rtl/>
        </w:rPr>
        <w:t xml:space="preserve"> </w:t>
      </w:r>
      <w:r w:rsidR="00F32B28" w:rsidRPr="00F32B28">
        <w:rPr>
          <w:rtl/>
        </w:rPr>
        <w:t>مدراس</w:t>
      </w:r>
      <w:r w:rsidR="00F32B28">
        <w:rPr>
          <w:rtl/>
        </w:rPr>
        <w:t xml:space="preserve"> </w:t>
      </w:r>
      <w:r w:rsidR="00F32B28" w:rsidRPr="00F32B28">
        <w:rPr>
          <w:rtl/>
        </w:rPr>
        <w:t>تماماً</w:t>
      </w:r>
      <w:r w:rsidR="00F32B28">
        <w:rPr>
          <w:rtl/>
        </w:rPr>
        <w:t xml:space="preserve"> </w:t>
      </w:r>
      <w:r w:rsidR="00F32B28" w:rsidRPr="00F32B28">
        <w:rPr>
          <w:rtl/>
        </w:rPr>
        <w:t>عن</w:t>
      </w:r>
      <w:r w:rsidR="00F32B28">
        <w:rPr>
          <w:rtl/>
        </w:rPr>
        <w:t xml:space="preserve"> </w:t>
      </w:r>
      <w:r w:rsidR="00F32B28" w:rsidRPr="00F32B28">
        <w:rPr>
          <w:rtl/>
        </w:rPr>
        <w:t>العمل.</w:t>
      </w:r>
      <w:r w:rsidR="00F32B28">
        <w:rPr>
          <w:rtl/>
        </w:rPr>
        <w:t xml:space="preserve"> </w:t>
      </w:r>
    </w:p>
    <w:p w:rsidR="00F32B28" w:rsidRPr="00F32B28" w:rsidRDefault="0007328B" w:rsidP="0007328B">
      <w:pPr>
        <w:pStyle w:val="SingleTxt"/>
        <w:rPr>
          <w:rtl/>
        </w:rPr>
      </w:pPr>
      <w:r>
        <w:rPr>
          <w:rFonts w:hint="cs"/>
          <w:rtl/>
        </w:rPr>
        <w:t xml:space="preserve">195 - </w:t>
      </w:r>
      <w:r w:rsidR="00F32B28" w:rsidRPr="00F32B28">
        <w:rPr>
          <w:rtl/>
        </w:rPr>
        <w:t>ويزداد</w:t>
      </w:r>
      <w:r w:rsidR="00F32B28">
        <w:rPr>
          <w:rtl/>
        </w:rPr>
        <w:t xml:space="preserve"> </w:t>
      </w:r>
      <w:r w:rsidR="00F32B28" w:rsidRPr="00F32B28">
        <w:rPr>
          <w:rtl/>
        </w:rPr>
        <w:t>الأمر</w:t>
      </w:r>
      <w:r w:rsidR="00F32B28">
        <w:rPr>
          <w:rtl/>
        </w:rPr>
        <w:t xml:space="preserve"> </w:t>
      </w:r>
      <w:r w:rsidR="00F32B28" w:rsidRPr="00F32B28">
        <w:rPr>
          <w:rtl/>
        </w:rPr>
        <w:t>سوءاً</w:t>
      </w:r>
      <w:r w:rsidR="00F32B28">
        <w:rPr>
          <w:rtl/>
        </w:rPr>
        <w:t xml:space="preserve"> </w:t>
      </w:r>
      <w:r w:rsidR="00F32B28" w:rsidRPr="00F32B28">
        <w:rPr>
          <w:rtl/>
        </w:rPr>
        <w:t>فيما</w:t>
      </w:r>
      <w:r w:rsidR="00F32B28">
        <w:rPr>
          <w:rtl/>
        </w:rPr>
        <w:t xml:space="preserve"> </w:t>
      </w:r>
      <w:r w:rsidR="00F32B28" w:rsidRPr="00F32B28">
        <w:rPr>
          <w:rtl/>
        </w:rPr>
        <w:t>يخص</w:t>
      </w:r>
      <w:r w:rsidR="00F32B28">
        <w:rPr>
          <w:rtl/>
        </w:rPr>
        <w:t xml:space="preserve"> </w:t>
      </w:r>
      <w:r w:rsidR="00F32B28" w:rsidRPr="00F32B28">
        <w:rPr>
          <w:rtl/>
        </w:rPr>
        <w:t>مدارس</w:t>
      </w:r>
      <w:r w:rsidR="00F32B28">
        <w:rPr>
          <w:rtl/>
        </w:rPr>
        <w:t xml:space="preserve"> </w:t>
      </w:r>
      <w:r w:rsidR="00F32B28" w:rsidRPr="00F32B28">
        <w:rPr>
          <w:rtl/>
        </w:rPr>
        <w:t>القدس</w:t>
      </w:r>
      <w:r w:rsidR="00F32B28">
        <w:rPr>
          <w:rtl/>
        </w:rPr>
        <w:t xml:space="preserve"> </w:t>
      </w:r>
      <w:r w:rsidR="00F32B28" w:rsidRPr="00F32B28">
        <w:rPr>
          <w:rtl/>
        </w:rPr>
        <w:t>الشرقية،</w:t>
      </w:r>
      <w:r w:rsidR="00F32B28">
        <w:rPr>
          <w:rtl/>
        </w:rPr>
        <w:t xml:space="preserve"> </w:t>
      </w:r>
      <w:r w:rsidR="00F32B28" w:rsidRPr="00F32B28">
        <w:rPr>
          <w:rtl/>
        </w:rPr>
        <w:t>حيث</w:t>
      </w:r>
      <w:r w:rsidR="00F32B28">
        <w:rPr>
          <w:rtl/>
        </w:rPr>
        <w:t xml:space="preserve"> </w:t>
      </w:r>
      <w:r w:rsidR="00F32B28" w:rsidRPr="00F32B28">
        <w:rPr>
          <w:rtl/>
        </w:rPr>
        <w:t>تخضع</w:t>
      </w:r>
      <w:r w:rsidR="00F32B28">
        <w:rPr>
          <w:rtl/>
        </w:rPr>
        <w:t xml:space="preserve"> </w:t>
      </w:r>
      <w:r w:rsidR="00F32B28" w:rsidRPr="00F32B28">
        <w:rPr>
          <w:rtl/>
        </w:rPr>
        <w:t>هذه</w:t>
      </w:r>
      <w:r w:rsidR="00F32B28">
        <w:rPr>
          <w:rtl/>
        </w:rPr>
        <w:t xml:space="preserve"> </w:t>
      </w:r>
      <w:r w:rsidR="00F32B28" w:rsidRPr="00F32B28">
        <w:rPr>
          <w:rtl/>
        </w:rPr>
        <w:t>المدارس</w:t>
      </w:r>
      <w:r w:rsidR="00F32B28">
        <w:rPr>
          <w:rtl/>
        </w:rPr>
        <w:t xml:space="preserve"> </w:t>
      </w:r>
      <w:r w:rsidR="00F32B28" w:rsidRPr="00F32B28">
        <w:rPr>
          <w:rtl/>
        </w:rPr>
        <w:t>لسيطرة</w:t>
      </w:r>
      <w:r w:rsidR="00F32B28">
        <w:rPr>
          <w:rtl/>
        </w:rPr>
        <w:t xml:space="preserve"> </w:t>
      </w:r>
      <w:r w:rsidR="00F32B28" w:rsidRPr="00F32B28">
        <w:rPr>
          <w:rtl/>
        </w:rPr>
        <w:t>الاحتلال</w:t>
      </w:r>
      <w:r w:rsidR="00F32B28">
        <w:rPr>
          <w:rtl/>
        </w:rPr>
        <w:t xml:space="preserve"> </w:t>
      </w:r>
      <w:r w:rsidR="00F32B28" w:rsidRPr="00F32B28">
        <w:rPr>
          <w:rtl/>
        </w:rPr>
        <w:t>بشكل</w:t>
      </w:r>
      <w:r w:rsidR="00F32B28">
        <w:rPr>
          <w:rtl/>
        </w:rPr>
        <w:t xml:space="preserve"> </w:t>
      </w:r>
      <w:r w:rsidR="00F32B28" w:rsidRPr="00F32B28">
        <w:rPr>
          <w:rtl/>
        </w:rPr>
        <w:t>كامل</w:t>
      </w:r>
      <w:r w:rsidR="00F32B28">
        <w:rPr>
          <w:rFonts w:hint="cs"/>
          <w:rtl/>
        </w:rPr>
        <w:t xml:space="preserve"> </w:t>
      </w:r>
      <w:r w:rsidR="00F32B28" w:rsidRPr="00F32B28">
        <w:rPr>
          <w:rFonts w:hint="cs"/>
          <w:rtl/>
        </w:rPr>
        <w:t>ولس</w:t>
      </w:r>
      <w:r>
        <w:rPr>
          <w:rFonts w:hint="cs"/>
          <w:rtl/>
        </w:rPr>
        <w:t>ي</w:t>
      </w:r>
      <w:r w:rsidR="00F32B28" w:rsidRPr="00F32B28">
        <w:rPr>
          <w:rFonts w:hint="cs"/>
          <w:rtl/>
        </w:rPr>
        <w:t>اساته</w:t>
      </w:r>
      <w:r w:rsidR="00F32B28">
        <w:rPr>
          <w:rFonts w:hint="cs"/>
          <w:rtl/>
        </w:rPr>
        <w:t xml:space="preserve"> </w:t>
      </w:r>
      <w:r w:rsidR="00F32B28" w:rsidRPr="00F32B28">
        <w:rPr>
          <w:rFonts w:hint="cs"/>
          <w:rtl/>
        </w:rPr>
        <w:t>العنصرية</w:t>
      </w:r>
      <w:r w:rsidR="00F32B28" w:rsidRPr="00F32B28">
        <w:rPr>
          <w:rtl/>
        </w:rPr>
        <w:t>،</w:t>
      </w:r>
      <w:r w:rsidR="00F32B28">
        <w:rPr>
          <w:rtl/>
        </w:rPr>
        <w:t xml:space="preserve"> </w:t>
      </w:r>
      <w:r w:rsidR="00F32B28" w:rsidRPr="00F32B28">
        <w:rPr>
          <w:rtl/>
        </w:rPr>
        <w:t>وتشرف</w:t>
      </w:r>
      <w:r w:rsidR="00F32B28">
        <w:rPr>
          <w:rtl/>
        </w:rPr>
        <w:t xml:space="preserve"> </w:t>
      </w:r>
      <w:r w:rsidR="00F32B28" w:rsidRPr="00F32B28">
        <w:rPr>
          <w:rtl/>
        </w:rPr>
        <w:t>عليها</w:t>
      </w:r>
      <w:r w:rsidR="00F32B28">
        <w:rPr>
          <w:rtl/>
        </w:rPr>
        <w:t xml:space="preserve"> </w:t>
      </w:r>
      <w:r w:rsidR="00F32B28" w:rsidRPr="00F32B28">
        <w:rPr>
          <w:rtl/>
        </w:rPr>
        <w:t>خمس</w:t>
      </w:r>
      <w:r w:rsidR="00F32B28">
        <w:rPr>
          <w:rtl/>
        </w:rPr>
        <w:t xml:space="preserve"> </w:t>
      </w:r>
      <w:r w:rsidR="00F32B28" w:rsidRPr="00F32B28">
        <w:rPr>
          <w:rtl/>
        </w:rPr>
        <w:t>جهات</w:t>
      </w:r>
      <w:r>
        <w:rPr>
          <w:rFonts w:hint="cs"/>
          <w:rtl/>
        </w:rPr>
        <w:t xml:space="preserve"> </w:t>
      </w:r>
      <w:r w:rsidR="00F32B28" w:rsidRPr="00F32B28">
        <w:rPr>
          <w:rtl/>
        </w:rPr>
        <w:t>مختلفة</w:t>
      </w:r>
      <w:r w:rsidR="00F32B28">
        <w:rPr>
          <w:rtl/>
        </w:rPr>
        <w:t xml:space="preserve"> </w:t>
      </w:r>
      <w:r w:rsidR="00F32B28" w:rsidRPr="00F32B28">
        <w:rPr>
          <w:rtl/>
        </w:rPr>
        <w:t>هي؛</w:t>
      </w:r>
      <w:r w:rsidR="00F32B28">
        <w:rPr>
          <w:rtl/>
        </w:rPr>
        <w:t xml:space="preserve"> </w:t>
      </w:r>
      <w:r w:rsidR="00F32B28" w:rsidRPr="00F32B28">
        <w:rPr>
          <w:rtl/>
        </w:rPr>
        <w:t>وزارة</w:t>
      </w:r>
      <w:r w:rsidR="00F32B28">
        <w:rPr>
          <w:rtl/>
        </w:rPr>
        <w:t xml:space="preserve"> </w:t>
      </w:r>
      <w:r w:rsidR="00F32B28" w:rsidRPr="00F32B28">
        <w:rPr>
          <w:rtl/>
        </w:rPr>
        <w:t>المعارف</w:t>
      </w:r>
      <w:r w:rsidR="00F32B28">
        <w:rPr>
          <w:rtl/>
        </w:rPr>
        <w:t xml:space="preserve"> </w:t>
      </w:r>
      <w:r w:rsidR="00F32B28" w:rsidRPr="00F32B28">
        <w:rPr>
          <w:rtl/>
        </w:rPr>
        <w:t>وبلدية</w:t>
      </w:r>
      <w:r w:rsidR="00F32B28">
        <w:rPr>
          <w:rtl/>
        </w:rPr>
        <w:t xml:space="preserve"> </w:t>
      </w:r>
      <w:r w:rsidR="00F32B28" w:rsidRPr="00F32B28">
        <w:rPr>
          <w:rtl/>
        </w:rPr>
        <w:t>القدس</w:t>
      </w:r>
      <w:r w:rsidR="00F32B28">
        <w:rPr>
          <w:rtl/>
        </w:rPr>
        <w:t xml:space="preserve"> </w:t>
      </w:r>
      <w:r w:rsidR="00F32B28" w:rsidRPr="00F32B28">
        <w:rPr>
          <w:rtl/>
        </w:rPr>
        <w:t>التابعتان</w:t>
      </w:r>
      <w:r w:rsidR="00F32B28">
        <w:rPr>
          <w:rtl/>
        </w:rPr>
        <w:t xml:space="preserve"> </w:t>
      </w:r>
      <w:r w:rsidR="00F32B28" w:rsidRPr="00F32B28">
        <w:rPr>
          <w:rtl/>
        </w:rPr>
        <w:t>لسلطات</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والأوقاف</w:t>
      </w:r>
      <w:r w:rsidR="00F32B28">
        <w:rPr>
          <w:rtl/>
        </w:rPr>
        <w:t xml:space="preserve"> </w:t>
      </w:r>
      <w:r w:rsidR="00F32B28" w:rsidRPr="00F32B28">
        <w:rPr>
          <w:rtl/>
        </w:rPr>
        <w:t>الإسلامية</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الفلسطينية)،والمدارس</w:t>
      </w:r>
      <w:r w:rsidR="00F32B28">
        <w:rPr>
          <w:rtl/>
        </w:rPr>
        <w:t xml:space="preserve"> </w:t>
      </w:r>
      <w:r w:rsidR="00F32B28" w:rsidRPr="00F32B28">
        <w:rPr>
          <w:rtl/>
        </w:rPr>
        <w:t>التابعة</w:t>
      </w:r>
      <w:r w:rsidR="00F32B28">
        <w:rPr>
          <w:rtl/>
        </w:rPr>
        <w:t xml:space="preserve"> </w:t>
      </w:r>
      <w:r w:rsidR="00D06D08">
        <w:rPr>
          <w:rFonts w:hint="cs"/>
          <w:rtl/>
        </w:rPr>
        <w:t>”</w:t>
      </w:r>
      <w:r w:rsidR="00F32B28" w:rsidRPr="00F32B28">
        <w:rPr>
          <w:rtl/>
        </w:rPr>
        <w:t>للأونروا</w:t>
      </w:r>
      <w:r w:rsidR="00D06D08">
        <w:rPr>
          <w:rFonts w:hint="cs"/>
          <w:rtl/>
        </w:rPr>
        <w:t>“</w:t>
      </w:r>
      <w:r w:rsidR="00F32B28" w:rsidRPr="00F32B28">
        <w:rPr>
          <w:rtl/>
        </w:rPr>
        <w:t>،</w:t>
      </w:r>
      <w:r w:rsidR="00F32B28">
        <w:rPr>
          <w:rtl/>
        </w:rPr>
        <w:t xml:space="preserve"> </w:t>
      </w:r>
      <w:r w:rsidR="00F32B28" w:rsidRPr="00F32B28">
        <w:rPr>
          <w:rtl/>
        </w:rPr>
        <w:t>والقطاع</w:t>
      </w:r>
      <w:r w:rsidR="00D06D08">
        <w:rPr>
          <w:rFonts w:hint="cs"/>
          <w:rtl/>
        </w:rPr>
        <w:t xml:space="preserve"> </w:t>
      </w:r>
      <w:r w:rsidR="00F32B28" w:rsidRPr="00F32B28">
        <w:rPr>
          <w:rtl/>
        </w:rPr>
        <w:t>الخاص</w:t>
      </w:r>
      <w:r w:rsidR="00F32B28">
        <w:rPr>
          <w:rtl/>
        </w:rPr>
        <w:t xml:space="preserve"> </w:t>
      </w:r>
      <w:r w:rsidR="00F32B28" w:rsidRPr="00F32B28">
        <w:rPr>
          <w:rtl/>
        </w:rPr>
        <w:t>والأهلي.</w:t>
      </w:r>
      <w:r w:rsidR="00F32B28">
        <w:rPr>
          <w:rtl/>
        </w:rPr>
        <w:t xml:space="preserve"> </w:t>
      </w:r>
      <w:r w:rsidR="00F32B28" w:rsidRPr="00F32B28">
        <w:rPr>
          <w:rtl/>
        </w:rPr>
        <w:t>ويواجه</w:t>
      </w:r>
      <w:r w:rsidR="00F32B28">
        <w:rPr>
          <w:rtl/>
        </w:rPr>
        <w:t xml:space="preserve"> </w:t>
      </w:r>
      <w:r w:rsidR="00F32B28" w:rsidRPr="00F32B28">
        <w:rPr>
          <w:rtl/>
        </w:rPr>
        <w:t>طلبة</w:t>
      </w:r>
      <w:r w:rsidR="00F32B28">
        <w:rPr>
          <w:rtl/>
        </w:rPr>
        <w:t xml:space="preserve"> </w:t>
      </w:r>
      <w:r w:rsidR="00F32B28" w:rsidRPr="00F32B28">
        <w:rPr>
          <w:rtl/>
        </w:rPr>
        <w:t>هذه</w:t>
      </w:r>
      <w:r w:rsidR="00F32B28">
        <w:rPr>
          <w:rtl/>
        </w:rPr>
        <w:t xml:space="preserve"> </w:t>
      </w:r>
      <w:r w:rsidR="00F32B28" w:rsidRPr="00F32B28">
        <w:rPr>
          <w:rtl/>
        </w:rPr>
        <w:t>المدارس</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الانتهاكات</w:t>
      </w:r>
      <w:r w:rsidR="00F32B28">
        <w:rPr>
          <w:rtl/>
        </w:rPr>
        <w:t xml:space="preserve"> </w:t>
      </w:r>
      <w:r w:rsidR="00F32B28" w:rsidRPr="00F32B28">
        <w:rPr>
          <w:rtl/>
        </w:rPr>
        <w:t>فيما</w:t>
      </w:r>
      <w:r w:rsidR="00F32B28">
        <w:rPr>
          <w:rtl/>
        </w:rPr>
        <w:t xml:space="preserve"> </w:t>
      </w:r>
      <w:r w:rsidR="00F32B28" w:rsidRPr="00F32B28">
        <w:rPr>
          <w:rtl/>
        </w:rPr>
        <w:t>يتعلق</w:t>
      </w:r>
      <w:r w:rsidR="00F32B28">
        <w:rPr>
          <w:rtl/>
        </w:rPr>
        <w:t xml:space="preserve"> </w:t>
      </w:r>
      <w:r w:rsidR="00F32B28" w:rsidRPr="00F32B28">
        <w:rPr>
          <w:rtl/>
        </w:rPr>
        <w:t>بحقهم</w:t>
      </w:r>
      <w:r w:rsidR="00F32B28">
        <w:rPr>
          <w:rtl/>
        </w:rPr>
        <w:t xml:space="preserve"> </w:t>
      </w:r>
      <w:r w:rsidR="00F32B28" w:rsidRPr="00F32B28">
        <w:rPr>
          <w:rtl/>
        </w:rPr>
        <w:t>في</w:t>
      </w:r>
      <w:r w:rsidR="00F32B28">
        <w:rPr>
          <w:rtl/>
        </w:rPr>
        <w:t xml:space="preserve"> </w:t>
      </w:r>
      <w:r w:rsidR="00F32B28" w:rsidRPr="00F32B28">
        <w:rPr>
          <w:rtl/>
        </w:rPr>
        <w:t>التعليم،</w:t>
      </w:r>
      <w:r w:rsidR="00F32B28">
        <w:rPr>
          <w:rtl/>
        </w:rPr>
        <w:t xml:space="preserve"> </w:t>
      </w:r>
      <w:r w:rsidR="00F32B28" w:rsidRPr="00F32B28">
        <w:rPr>
          <w:rtl/>
        </w:rPr>
        <w:t>أبرزها:</w:t>
      </w:r>
      <w:r w:rsidR="00F32B28">
        <w:rPr>
          <w:rtl/>
        </w:rPr>
        <w:t xml:space="preserve"> </w:t>
      </w:r>
    </w:p>
    <w:p w:rsidR="00F32B28" w:rsidRPr="00F32B28" w:rsidRDefault="0007328B" w:rsidP="0007328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حرمانهم</w:t>
      </w:r>
      <w:r w:rsidR="00F32B28">
        <w:rPr>
          <w:rtl/>
        </w:rPr>
        <w:t xml:space="preserve"> </w:t>
      </w:r>
      <w:r w:rsidR="00F32B28" w:rsidRPr="00F32B28">
        <w:rPr>
          <w:rtl/>
        </w:rPr>
        <w:t>من</w:t>
      </w:r>
      <w:r w:rsidR="00F32B28">
        <w:rPr>
          <w:rtl/>
        </w:rPr>
        <w:t xml:space="preserve"> </w:t>
      </w:r>
      <w:r w:rsidR="00F32B28" w:rsidRPr="00F32B28">
        <w:rPr>
          <w:rtl/>
        </w:rPr>
        <w:t>الوصول</w:t>
      </w:r>
      <w:r w:rsidR="00F32B28">
        <w:rPr>
          <w:rtl/>
        </w:rPr>
        <w:t xml:space="preserve"> </w:t>
      </w:r>
      <w:r w:rsidR="00F32B28" w:rsidRPr="00F32B28">
        <w:rPr>
          <w:rtl/>
        </w:rPr>
        <w:t>إلى</w:t>
      </w:r>
      <w:r w:rsidR="00F32B28">
        <w:rPr>
          <w:rtl/>
        </w:rPr>
        <w:t xml:space="preserve"> </w:t>
      </w:r>
      <w:r w:rsidR="00F32B28" w:rsidRPr="00F32B28">
        <w:rPr>
          <w:rtl/>
        </w:rPr>
        <w:t>مدارسهم</w:t>
      </w:r>
      <w:r w:rsidR="00F32B28">
        <w:rPr>
          <w:rtl/>
        </w:rPr>
        <w:t xml:space="preserve"> </w:t>
      </w:r>
      <w:r w:rsidR="00F32B28" w:rsidRPr="00F32B28">
        <w:rPr>
          <w:rtl/>
        </w:rPr>
        <w:t>بسهولة</w:t>
      </w:r>
      <w:r w:rsidR="00F32B28">
        <w:rPr>
          <w:rtl/>
        </w:rPr>
        <w:t xml:space="preserve"> </w:t>
      </w:r>
      <w:r w:rsidR="00F32B28" w:rsidRPr="00F32B28">
        <w:rPr>
          <w:rtl/>
        </w:rPr>
        <w:t>وأمان</w:t>
      </w:r>
      <w:r w:rsidR="00F32B28">
        <w:rPr>
          <w:rtl/>
        </w:rPr>
        <w:t xml:space="preserve"> </w:t>
      </w:r>
      <w:r w:rsidR="00F32B28" w:rsidRPr="00F32B28">
        <w:rPr>
          <w:rtl/>
        </w:rPr>
        <w:t>بسبب</w:t>
      </w:r>
      <w:r w:rsidR="00F32B28">
        <w:rPr>
          <w:rtl/>
        </w:rPr>
        <w:t xml:space="preserve"> </w:t>
      </w:r>
      <w:r w:rsidR="00F32B28" w:rsidRPr="00F32B28">
        <w:rPr>
          <w:rtl/>
        </w:rPr>
        <w:t>جدار</w:t>
      </w:r>
      <w:r w:rsidR="00F32B28">
        <w:rPr>
          <w:rtl/>
        </w:rPr>
        <w:t xml:space="preserve"> </w:t>
      </w:r>
      <w:r w:rsidR="00F32B28" w:rsidRPr="00F32B28">
        <w:rPr>
          <w:rtl/>
        </w:rPr>
        <w:t>الضم</w:t>
      </w:r>
      <w:r w:rsidR="00F32B28">
        <w:rPr>
          <w:rtl/>
        </w:rPr>
        <w:t xml:space="preserve"> </w:t>
      </w:r>
      <w:r w:rsidR="00F32B28" w:rsidRPr="00F32B28">
        <w:rPr>
          <w:rtl/>
        </w:rPr>
        <w:t>والتوسع</w:t>
      </w:r>
      <w:r w:rsidR="00F32B28">
        <w:rPr>
          <w:rtl/>
        </w:rPr>
        <w:t xml:space="preserve"> </w:t>
      </w:r>
      <w:r w:rsidR="00F32B28" w:rsidRPr="00F32B28">
        <w:rPr>
          <w:rtl/>
        </w:rPr>
        <w:t>والحواجز</w:t>
      </w:r>
      <w:r w:rsidR="00F32B28">
        <w:rPr>
          <w:rtl/>
        </w:rPr>
        <w:t xml:space="preserve"> </w:t>
      </w:r>
      <w:r w:rsidR="00F32B28" w:rsidRPr="00F32B28">
        <w:rPr>
          <w:rtl/>
        </w:rPr>
        <w:t>العسكرية</w:t>
      </w:r>
      <w:r w:rsidR="00F32B28">
        <w:rPr>
          <w:rtl/>
        </w:rPr>
        <w:t xml:space="preserve"> </w:t>
      </w:r>
      <w:r w:rsidR="00F32B28" w:rsidRPr="00F32B28">
        <w:rPr>
          <w:rtl/>
        </w:rPr>
        <w:t>المحيطة</w:t>
      </w:r>
      <w:r w:rsidR="00F32B28">
        <w:rPr>
          <w:rtl/>
        </w:rPr>
        <w:t xml:space="preserve"> </w:t>
      </w:r>
      <w:r w:rsidR="00F32B28" w:rsidRPr="00F32B28">
        <w:rPr>
          <w:rtl/>
        </w:rPr>
        <w:t>بالقدس</w:t>
      </w:r>
      <w:r w:rsidR="00F32B28">
        <w:rPr>
          <w:rtl/>
        </w:rPr>
        <w:t xml:space="preserve"> </w:t>
      </w:r>
      <w:r w:rsidR="00F32B28" w:rsidRPr="00F32B28">
        <w:rPr>
          <w:rtl/>
        </w:rPr>
        <w:t>التي</w:t>
      </w:r>
      <w:r w:rsidR="00F32B28">
        <w:rPr>
          <w:rtl/>
        </w:rPr>
        <w:t xml:space="preserve"> </w:t>
      </w:r>
      <w:r w:rsidR="00F32B28" w:rsidRPr="00F32B28">
        <w:rPr>
          <w:rtl/>
        </w:rPr>
        <w:t>تعيق</w:t>
      </w:r>
      <w:r w:rsidR="00F32B28">
        <w:rPr>
          <w:rtl/>
        </w:rPr>
        <w:t xml:space="preserve"> </w:t>
      </w:r>
      <w:r w:rsidR="00F32B28" w:rsidRPr="00F32B28">
        <w:rPr>
          <w:rtl/>
        </w:rPr>
        <w:t>تنقل</w:t>
      </w:r>
      <w:r w:rsidR="00F32B28">
        <w:rPr>
          <w:rtl/>
        </w:rPr>
        <w:t xml:space="preserve"> </w:t>
      </w:r>
      <w:r w:rsidR="00F32B28" w:rsidRPr="00F32B28">
        <w:rPr>
          <w:rtl/>
        </w:rPr>
        <w:t>آلاف</w:t>
      </w:r>
      <w:r w:rsidR="00F32B28">
        <w:rPr>
          <w:rtl/>
        </w:rPr>
        <w:t xml:space="preserve"> </w:t>
      </w:r>
      <w:r w:rsidR="00F32B28" w:rsidRPr="00F32B28">
        <w:rPr>
          <w:rtl/>
        </w:rPr>
        <w:t>الطلبة</w:t>
      </w:r>
      <w:r w:rsidR="00F32B28">
        <w:rPr>
          <w:rtl/>
        </w:rPr>
        <w:t xml:space="preserve"> </w:t>
      </w:r>
      <w:r w:rsidR="00F32B28" w:rsidRPr="00F32B28">
        <w:rPr>
          <w:rtl/>
        </w:rPr>
        <w:t>والمعلمين</w:t>
      </w:r>
      <w:r w:rsidR="00F32B28">
        <w:rPr>
          <w:rtl/>
        </w:rPr>
        <w:t xml:space="preserve"> </w:t>
      </w:r>
      <w:r w:rsidR="00F32B28" w:rsidRPr="00F32B28">
        <w:rPr>
          <w:rtl/>
        </w:rPr>
        <w:t>وحركتهم</w:t>
      </w:r>
      <w:r w:rsidR="00F32B28">
        <w:rPr>
          <w:rtl/>
        </w:rPr>
        <w:t xml:space="preserve"> </w:t>
      </w:r>
      <w:r w:rsidR="00F32B28" w:rsidRPr="00F32B28">
        <w:rPr>
          <w:rtl/>
        </w:rPr>
        <w:t>في</w:t>
      </w:r>
      <w:r w:rsidR="00F32B28">
        <w:rPr>
          <w:rtl/>
        </w:rPr>
        <w:t xml:space="preserve"> </w:t>
      </w:r>
      <w:r w:rsidR="00F32B28" w:rsidRPr="00F32B28">
        <w:rPr>
          <w:rtl/>
        </w:rPr>
        <w:t>الدخول</w:t>
      </w:r>
      <w:r w:rsidR="00F32B28">
        <w:rPr>
          <w:rtl/>
        </w:rPr>
        <w:t xml:space="preserve"> </w:t>
      </w:r>
      <w:r w:rsidR="00F32B28" w:rsidRPr="00F32B28">
        <w:rPr>
          <w:rtl/>
        </w:rPr>
        <w:t>والخروج</w:t>
      </w:r>
      <w:r w:rsidR="00F32B28">
        <w:rPr>
          <w:rtl/>
        </w:rPr>
        <w:t xml:space="preserve"> </w:t>
      </w:r>
      <w:r w:rsidR="00F32B28" w:rsidRPr="00F32B28">
        <w:rPr>
          <w:rtl/>
        </w:rPr>
        <w:t>من</w:t>
      </w:r>
      <w:r w:rsidR="00F32B28">
        <w:rPr>
          <w:rtl/>
        </w:rPr>
        <w:t xml:space="preserve"> </w:t>
      </w:r>
      <w:r w:rsidR="00F32B28" w:rsidRPr="00F32B28">
        <w:rPr>
          <w:rtl/>
        </w:rPr>
        <w:t>المدينة</w:t>
      </w:r>
      <w:r w:rsidR="00F32B28">
        <w:rPr>
          <w:rtl/>
        </w:rPr>
        <w:t xml:space="preserve"> </w:t>
      </w:r>
      <w:r w:rsidR="00F32B28" w:rsidRPr="00F32B28">
        <w:rPr>
          <w:rtl/>
        </w:rPr>
        <w:t>والوصول</w:t>
      </w:r>
      <w:r w:rsidR="00F32B28">
        <w:rPr>
          <w:rtl/>
        </w:rPr>
        <w:t xml:space="preserve"> </w:t>
      </w:r>
      <w:r w:rsidR="00F32B28" w:rsidRPr="00F32B28">
        <w:rPr>
          <w:rtl/>
        </w:rPr>
        <w:t>لمدارسها؛</w:t>
      </w:r>
    </w:p>
    <w:p w:rsidR="00F32B28" w:rsidRPr="00F32B28" w:rsidRDefault="0007328B" w:rsidP="0007328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حرمانهم</w:t>
      </w:r>
      <w:r w:rsidR="00F32B28">
        <w:rPr>
          <w:rtl/>
        </w:rPr>
        <w:t xml:space="preserve"> </w:t>
      </w:r>
      <w:r w:rsidR="00F32B28" w:rsidRPr="00F32B28">
        <w:rPr>
          <w:rtl/>
        </w:rPr>
        <w:t>من</w:t>
      </w:r>
      <w:r w:rsidR="00F32B28">
        <w:rPr>
          <w:rtl/>
        </w:rPr>
        <w:t xml:space="preserve"> </w:t>
      </w:r>
      <w:r w:rsidR="00F32B28" w:rsidRPr="00F32B28">
        <w:rPr>
          <w:rtl/>
        </w:rPr>
        <w:t>التعلم</w:t>
      </w:r>
      <w:r w:rsidR="00F32B28">
        <w:rPr>
          <w:rtl/>
        </w:rPr>
        <w:t xml:space="preserve"> </w:t>
      </w:r>
      <w:r w:rsidR="00F32B28" w:rsidRPr="00F32B28">
        <w:rPr>
          <w:rtl/>
        </w:rPr>
        <w:t>في</w:t>
      </w:r>
      <w:r w:rsidR="00F32B28">
        <w:rPr>
          <w:rtl/>
        </w:rPr>
        <w:t xml:space="preserve"> </w:t>
      </w:r>
      <w:r w:rsidR="00F32B28" w:rsidRPr="00F32B28">
        <w:rPr>
          <w:rtl/>
        </w:rPr>
        <w:t>أبنية</w:t>
      </w:r>
      <w:r w:rsidR="00F32B28">
        <w:rPr>
          <w:rtl/>
        </w:rPr>
        <w:t xml:space="preserve"> </w:t>
      </w:r>
      <w:r w:rsidR="00F32B28" w:rsidRPr="00F32B28">
        <w:rPr>
          <w:rtl/>
        </w:rPr>
        <w:t>مدرسية</w:t>
      </w:r>
      <w:r w:rsidR="00F32B28">
        <w:rPr>
          <w:rtl/>
        </w:rPr>
        <w:t xml:space="preserve"> </w:t>
      </w:r>
      <w:r w:rsidR="00F32B28" w:rsidRPr="00F32B28">
        <w:rPr>
          <w:rtl/>
        </w:rPr>
        <w:t>مناسبة،</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تجميد</w:t>
      </w:r>
      <w:r w:rsidR="00F32B28">
        <w:rPr>
          <w:rtl/>
        </w:rPr>
        <w:t xml:space="preserve"> </w:t>
      </w:r>
      <w:r w:rsidR="00F32B28" w:rsidRPr="00F32B28">
        <w:rPr>
          <w:rtl/>
        </w:rPr>
        <w:t>بناء</w:t>
      </w:r>
      <w:r w:rsidR="00F32B28">
        <w:rPr>
          <w:rtl/>
        </w:rPr>
        <w:t xml:space="preserve"> </w:t>
      </w:r>
      <w:r w:rsidR="00F32B28" w:rsidRPr="00F32B28">
        <w:rPr>
          <w:rtl/>
        </w:rPr>
        <w:t>أبنية</w:t>
      </w:r>
      <w:r w:rsidR="00F32B28">
        <w:rPr>
          <w:rtl/>
        </w:rPr>
        <w:t xml:space="preserve"> </w:t>
      </w:r>
      <w:r w:rsidR="00F32B28" w:rsidRPr="00F32B28">
        <w:rPr>
          <w:rtl/>
        </w:rPr>
        <w:t>مدرسية</w:t>
      </w:r>
      <w:r w:rsidR="00F32B28">
        <w:rPr>
          <w:rtl/>
        </w:rPr>
        <w:t xml:space="preserve"> </w:t>
      </w:r>
      <w:r w:rsidR="00F32B28" w:rsidRPr="00F32B28">
        <w:rPr>
          <w:rtl/>
        </w:rPr>
        <w:t>جديدة،</w:t>
      </w:r>
      <w:r w:rsidR="00F32B28">
        <w:rPr>
          <w:rtl/>
        </w:rPr>
        <w:t xml:space="preserve"> </w:t>
      </w:r>
      <w:r w:rsidR="00F32B28" w:rsidRPr="00F32B28">
        <w:rPr>
          <w:rtl/>
        </w:rPr>
        <w:t>وإصدار</w:t>
      </w:r>
      <w:r w:rsidR="00F32B28">
        <w:rPr>
          <w:rtl/>
        </w:rPr>
        <w:t xml:space="preserve"> </w:t>
      </w:r>
      <w:r w:rsidR="00F32B28" w:rsidRPr="00F32B28">
        <w:rPr>
          <w:rtl/>
        </w:rPr>
        <w:t>أومر</w:t>
      </w:r>
      <w:r w:rsidR="00F32B28">
        <w:rPr>
          <w:rtl/>
        </w:rPr>
        <w:t xml:space="preserve"> </w:t>
      </w:r>
      <w:r w:rsidR="00F32B28" w:rsidRPr="00F32B28">
        <w:rPr>
          <w:rtl/>
        </w:rPr>
        <w:t>بهدم</w:t>
      </w:r>
      <w:r w:rsidR="00F32B28">
        <w:rPr>
          <w:rtl/>
        </w:rPr>
        <w:t xml:space="preserve"> </w:t>
      </w:r>
      <w:r w:rsidR="00F32B28" w:rsidRPr="00F32B28">
        <w:rPr>
          <w:rtl/>
        </w:rPr>
        <w:t>المدارس</w:t>
      </w:r>
      <w:r w:rsidR="00F32B28">
        <w:rPr>
          <w:rtl/>
        </w:rPr>
        <w:t xml:space="preserve"> </w:t>
      </w:r>
      <w:r w:rsidR="00F32B28" w:rsidRPr="00F32B28">
        <w:rPr>
          <w:rtl/>
        </w:rPr>
        <w:t>الموجودة،</w:t>
      </w:r>
      <w:r w:rsidR="00F32B28">
        <w:rPr>
          <w:rtl/>
        </w:rPr>
        <w:t xml:space="preserve"> </w:t>
      </w:r>
      <w:r w:rsidR="00F32B28" w:rsidRPr="00F32B28">
        <w:rPr>
          <w:rtl/>
        </w:rPr>
        <w:t>وضعف</w:t>
      </w:r>
      <w:r w:rsidR="00F32B28">
        <w:rPr>
          <w:rtl/>
        </w:rPr>
        <w:t xml:space="preserve"> </w:t>
      </w:r>
      <w:r w:rsidR="00F32B28" w:rsidRPr="00F32B28">
        <w:rPr>
          <w:rtl/>
        </w:rPr>
        <w:t>البنى</w:t>
      </w:r>
      <w:r w:rsidR="00F32B28">
        <w:rPr>
          <w:rtl/>
        </w:rPr>
        <w:t xml:space="preserve"> </w:t>
      </w:r>
      <w:r w:rsidR="00F32B28" w:rsidRPr="00F32B28">
        <w:rPr>
          <w:rtl/>
        </w:rPr>
        <w:t>التحتية</w:t>
      </w:r>
      <w:r w:rsidR="00F32B28">
        <w:rPr>
          <w:rtl/>
        </w:rPr>
        <w:t xml:space="preserve"> </w:t>
      </w:r>
      <w:r w:rsidR="00F32B28" w:rsidRPr="00F32B28">
        <w:rPr>
          <w:rtl/>
        </w:rPr>
        <w:t>الخاصة</w:t>
      </w:r>
      <w:r w:rsidR="00F32B28">
        <w:rPr>
          <w:rtl/>
        </w:rPr>
        <w:t xml:space="preserve"> </w:t>
      </w:r>
      <w:r w:rsidR="00F32B28" w:rsidRPr="00F32B28">
        <w:rPr>
          <w:rtl/>
        </w:rPr>
        <w:t>بها</w:t>
      </w:r>
      <w:r w:rsidR="00F32B28">
        <w:rPr>
          <w:rtl/>
        </w:rPr>
        <w:t xml:space="preserve"> </w:t>
      </w:r>
      <w:r w:rsidR="00F32B28" w:rsidRPr="00F32B28">
        <w:rPr>
          <w:rtl/>
        </w:rPr>
        <w:t>ورفض</w:t>
      </w:r>
      <w:r w:rsidR="00F32B28">
        <w:rPr>
          <w:rtl/>
        </w:rPr>
        <w:t xml:space="preserve"> </w:t>
      </w:r>
      <w:r w:rsidR="00F32B28" w:rsidRPr="00F32B28">
        <w:rPr>
          <w:rtl/>
        </w:rPr>
        <w:t>تطويرها</w:t>
      </w:r>
      <w:r w:rsidR="00F32B28">
        <w:rPr>
          <w:rtl/>
        </w:rPr>
        <w:t xml:space="preserve"> </w:t>
      </w:r>
      <w:r w:rsidR="00F32B28" w:rsidRPr="00F32B28">
        <w:rPr>
          <w:rtl/>
        </w:rPr>
        <w:t>وعدم</w:t>
      </w:r>
      <w:r w:rsidR="00062F37">
        <w:rPr>
          <w:rFonts w:hint="cs"/>
          <w:rtl/>
        </w:rPr>
        <w:t> </w:t>
      </w:r>
      <w:r w:rsidR="00F32B28" w:rsidRPr="00F32B28">
        <w:rPr>
          <w:rtl/>
        </w:rPr>
        <w:t>رصد</w:t>
      </w:r>
      <w:r w:rsidR="00F32B28">
        <w:rPr>
          <w:rtl/>
        </w:rPr>
        <w:t xml:space="preserve"> </w:t>
      </w:r>
      <w:r w:rsidR="00F32B28" w:rsidRPr="00F32B28">
        <w:rPr>
          <w:rtl/>
        </w:rPr>
        <w:t>أي</w:t>
      </w:r>
      <w:r w:rsidR="00F32B28">
        <w:rPr>
          <w:rtl/>
        </w:rPr>
        <w:t xml:space="preserve"> </w:t>
      </w:r>
      <w:r w:rsidR="00F32B28" w:rsidRPr="00F32B28">
        <w:rPr>
          <w:rtl/>
        </w:rPr>
        <w:t>ميزانية</w:t>
      </w:r>
      <w:r w:rsidR="00F32B28">
        <w:rPr>
          <w:rtl/>
        </w:rPr>
        <w:t xml:space="preserve"> </w:t>
      </w:r>
      <w:r w:rsidR="00F32B28" w:rsidRPr="00F32B28">
        <w:rPr>
          <w:rtl/>
        </w:rPr>
        <w:t>لها،</w:t>
      </w:r>
      <w:r w:rsidR="00F32B28">
        <w:rPr>
          <w:rtl/>
        </w:rPr>
        <w:t xml:space="preserve"> </w:t>
      </w:r>
      <w:r w:rsidR="00F32B28" w:rsidRPr="00F32B28">
        <w:rPr>
          <w:rtl/>
        </w:rPr>
        <w:t>وفرض</w:t>
      </w:r>
      <w:r w:rsidR="00F32B28">
        <w:rPr>
          <w:rtl/>
        </w:rPr>
        <w:t xml:space="preserve"> </w:t>
      </w:r>
      <w:r w:rsidR="00F32B28" w:rsidRPr="00F32B28">
        <w:rPr>
          <w:rtl/>
        </w:rPr>
        <w:t>إجراءات</w:t>
      </w:r>
      <w:r w:rsidR="00F32B28">
        <w:rPr>
          <w:rtl/>
        </w:rPr>
        <w:t xml:space="preserve"> </w:t>
      </w:r>
      <w:r w:rsidR="00F32B28" w:rsidRPr="00F32B28">
        <w:rPr>
          <w:rtl/>
        </w:rPr>
        <w:t>معقدة</w:t>
      </w:r>
      <w:r w:rsidR="00F32B28">
        <w:rPr>
          <w:rtl/>
        </w:rPr>
        <w:t xml:space="preserve"> </w:t>
      </w:r>
      <w:r w:rsidR="00F32B28" w:rsidRPr="00F32B28">
        <w:rPr>
          <w:rtl/>
        </w:rPr>
        <w:t>على</w:t>
      </w:r>
      <w:r w:rsidR="00F32B28">
        <w:rPr>
          <w:rtl/>
        </w:rPr>
        <w:t xml:space="preserve"> </w:t>
      </w:r>
      <w:r w:rsidR="00F32B28" w:rsidRPr="00F32B28">
        <w:rPr>
          <w:rtl/>
        </w:rPr>
        <w:t>عملية</w:t>
      </w:r>
      <w:r w:rsidR="00F32B28">
        <w:rPr>
          <w:rtl/>
        </w:rPr>
        <w:t xml:space="preserve"> </w:t>
      </w:r>
      <w:r w:rsidR="00F32B28" w:rsidRPr="00F32B28">
        <w:rPr>
          <w:rtl/>
        </w:rPr>
        <w:t>شراء</w:t>
      </w:r>
      <w:r w:rsidR="00F32B28">
        <w:rPr>
          <w:rtl/>
        </w:rPr>
        <w:t xml:space="preserve"> </w:t>
      </w:r>
      <w:r w:rsidR="00F32B28" w:rsidRPr="00F32B28">
        <w:rPr>
          <w:rtl/>
        </w:rPr>
        <w:t>الأثاث</w:t>
      </w:r>
      <w:r w:rsidR="00F32B28">
        <w:rPr>
          <w:rtl/>
        </w:rPr>
        <w:t xml:space="preserve"> </w:t>
      </w:r>
      <w:r w:rsidR="00F32B28" w:rsidRPr="00F32B28">
        <w:rPr>
          <w:rtl/>
        </w:rPr>
        <w:t>والكتب</w:t>
      </w:r>
      <w:r w:rsidR="00F32B28">
        <w:rPr>
          <w:rtl/>
        </w:rPr>
        <w:t xml:space="preserve"> </w:t>
      </w:r>
      <w:r w:rsidR="00F32B28" w:rsidRPr="00F32B28">
        <w:rPr>
          <w:rtl/>
        </w:rPr>
        <w:t>المدرسية،</w:t>
      </w:r>
      <w:r w:rsidR="00F32B28">
        <w:rPr>
          <w:rtl/>
        </w:rPr>
        <w:t xml:space="preserve"> </w:t>
      </w:r>
      <w:r w:rsidR="00F32B28" w:rsidRPr="00F32B28">
        <w:rPr>
          <w:rtl/>
        </w:rPr>
        <w:t>وعدم</w:t>
      </w:r>
      <w:r w:rsidR="00F32B28">
        <w:rPr>
          <w:rtl/>
        </w:rPr>
        <w:t xml:space="preserve"> </w:t>
      </w:r>
      <w:r w:rsidR="00F32B28" w:rsidRPr="00F32B28">
        <w:rPr>
          <w:rtl/>
        </w:rPr>
        <w:t>اتخاذ</w:t>
      </w:r>
      <w:r w:rsidR="00F32B28">
        <w:rPr>
          <w:rtl/>
        </w:rPr>
        <w:t xml:space="preserve"> </w:t>
      </w:r>
      <w:r w:rsidR="00F32B28" w:rsidRPr="00F32B28">
        <w:rPr>
          <w:rtl/>
        </w:rPr>
        <w:t>أية</w:t>
      </w:r>
      <w:r w:rsidR="00F32B28">
        <w:rPr>
          <w:rtl/>
        </w:rPr>
        <w:t xml:space="preserve"> </w:t>
      </w:r>
      <w:r w:rsidR="00F32B28" w:rsidRPr="00F32B28">
        <w:rPr>
          <w:rtl/>
        </w:rPr>
        <w:t>تدابير</w:t>
      </w:r>
      <w:r w:rsidR="00F32B28">
        <w:rPr>
          <w:rtl/>
        </w:rPr>
        <w:t xml:space="preserve"> </w:t>
      </w:r>
      <w:r w:rsidR="00F32B28" w:rsidRPr="00F32B28">
        <w:rPr>
          <w:rtl/>
        </w:rPr>
        <w:t>في</w:t>
      </w:r>
      <w:r w:rsidR="00F32B28">
        <w:rPr>
          <w:rtl/>
        </w:rPr>
        <w:t xml:space="preserve"> </w:t>
      </w:r>
      <w:r w:rsidR="00F32B28" w:rsidRPr="00F32B28">
        <w:rPr>
          <w:rtl/>
        </w:rPr>
        <w:t>مواجهة</w:t>
      </w:r>
      <w:r w:rsidR="00F32B28">
        <w:rPr>
          <w:rtl/>
        </w:rPr>
        <w:t xml:space="preserve"> </w:t>
      </w:r>
      <w:r w:rsidR="00F32B28" w:rsidRPr="00F32B28">
        <w:rPr>
          <w:rtl/>
        </w:rPr>
        <w:t>تضخم</w:t>
      </w:r>
      <w:r w:rsidR="00F32B28">
        <w:rPr>
          <w:rtl/>
        </w:rPr>
        <w:t xml:space="preserve"> </w:t>
      </w:r>
      <w:r w:rsidR="00F32B28" w:rsidRPr="00F32B28">
        <w:rPr>
          <w:rtl/>
        </w:rPr>
        <w:t>الكثافة</w:t>
      </w:r>
      <w:r w:rsidR="00F32B28">
        <w:rPr>
          <w:rtl/>
        </w:rPr>
        <w:t xml:space="preserve"> </w:t>
      </w:r>
      <w:r w:rsidR="00F32B28" w:rsidRPr="00F32B28">
        <w:rPr>
          <w:rtl/>
        </w:rPr>
        <w:t>الصفية</w:t>
      </w:r>
      <w:r w:rsidR="00F32B28">
        <w:rPr>
          <w:rtl/>
        </w:rPr>
        <w:t xml:space="preserve"> </w:t>
      </w:r>
      <w:r w:rsidR="00F32B28" w:rsidRPr="00F32B28">
        <w:rPr>
          <w:rtl/>
        </w:rPr>
        <w:t>الحالية</w:t>
      </w:r>
      <w:r w:rsidR="00F32B28">
        <w:rPr>
          <w:rtl/>
        </w:rPr>
        <w:t xml:space="preserve"> </w:t>
      </w:r>
      <w:r w:rsidR="00F32B28" w:rsidRPr="00F32B28">
        <w:rPr>
          <w:rtl/>
        </w:rPr>
        <w:t>أو</w:t>
      </w:r>
      <w:r w:rsidR="00F32B28">
        <w:rPr>
          <w:rtl/>
        </w:rPr>
        <w:t xml:space="preserve"> </w:t>
      </w:r>
      <w:r w:rsidR="00F32B28" w:rsidRPr="00F32B28">
        <w:rPr>
          <w:rtl/>
        </w:rPr>
        <w:t>استيعاب</w:t>
      </w:r>
      <w:r w:rsidR="00F32B28">
        <w:rPr>
          <w:rtl/>
        </w:rPr>
        <w:t xml:space="preserve"> </w:t>
      </w:r>
      <w:r w:rsidR="00F32B28" w:rsidRPr="00F32B28">
        <w:rPr>
          <w:rtl/>
        </w:rPr>
        <w:t>الطلاب</w:t>
      </w:r>
      <w:r w:rsidR="00F32B28">
        <w:rPr>
          <w:rtl/>
        </w:rPr>
        <w:t xml:space="preserve"> </w:t>
      </w:r>
      <w:r w:rsidR="00F32B28" w:rsidRPr="00F32B28">
        <w:rPr>
          <w:rtl/>
        </w:rPr>
        <w:t>الفلسطينيين</w:t>
      </w:r>
      <w:r w:rsidR="00F32B28">
        <w:rPr>
          <w:rtl/>
        </w:rPr>
        <w:t xml:space="preserve"> </w:t>
      </w:r>
      <w:r w:rsidR="00F32B28" w:rsidRPr="00F32B28">
        <w:rPr>
          <w:rtl/>
        </w:rPr>
        <w:t>الجدد،</w:t>
      </w:r>
      <w:r w:rsidR="00F32B28">
        <w:rPr>
          <w:rtl/>
        </w:rPr>
        <w:t xml:space="preserve"> </w:t>
      </w:r>
      <w:r w:rsidR="00F32B28" w:rsidRPr="00F32B28">
        <w:rPr>
          <w:rtl/>
        </w:rPr>
        <w:t>ما</w:t>
      </w:r>
      <w:r w:rsidR="00F32B28">
        <w:rPr>
          <w:rtl/>
        </w:rPr>
        <w:t xml:space="preserve"> </w:t>
      </w:r>
      <w:r w:rsidR="00F32B28" w:rsidRPr="00F32B28">
        <w:rPr>
          <w:rtl/>
        </w:rPr>
        <w:t>يبقي</w:t>
      </w:r>
      <w:r w:rsidR="00F32B28">
        <w:rPr>
          <w:rtl/>
        </w:rPr>
        <w:t xml:space="preserve"> </w:t>
      </w:r>
      <w:r w:rsidR="00F32B28" w:rsidRPr="00F32B28">
        <w:rPr>
          <w:rtl/>
        </w:rPr>
        <w:t>ألاف</w:t>
      </w:r>
      <w:r w:rsidR="00F32B28">
        <w:rPr>
          <w:rtl/>
        </w:rPr>
        <w:t xml:space="preserve"> </w:t>
      </w:r>
      <w:r w:rsidR="00F32B28" w:rsidRPr="00F32B28">
        <w:rPr>
          <w:rtl/>
        </w:rPr>
        <w:t>الأطفال</w:t>
      </w:r>
      <w:r w:rsidR="00F32B28">
        <w:rPr>
          <w:rtl/>
        </w:rPr>
        <w:t xml:space="preserve"> </w:t>
      </w:r>
      <w:r w:rsidR="00F32B28" w:rsidRPr="00F32B28">
        <w:rPr>
          <w:rtl/>
        </w:rPr>
        <w:t>الفلسطينية</w:t>
      </w:r>
      <w:r w:rsidR="00F32B28">
        <w:rPr>
          <w:rtl/>
        </w:rPr>
        <w:t xml:space="preserve"> </w:t>
      </w:r>
      <w:r w:rsidR="00F32B28" w:rsidRPr="00F32B28">
        <w:rPr>
          <w:rtl/>
        </w:rPr>
        <w:t>خارج</w:t>
      </w:r>
      <w:r w:rsidR="00F32B28">
        <w:rPr>
          <w:rtl/>
        </w:rPr>
        <w:t xml:space="preserve"> </w:t>
      </w:r>
      <w:r w:rsidR="00F32B28" w:rsidRPr="00F32B28">
        <w:rPr>
          <w:rtl/>
        </w:rPr>
        <w:t>الأطر</w:t>
      </w:r>
      <w:r w:rsidR="00F32B28">
        <w:rPr>
          <w:rtl/>
        </w:rPr>
        <w:t xml:space="preserve"> </w:t>
      </w:r>
      <w:r w:rsidR="00F32B28" w:rsidRPr="00F32B28">
        <w:rPr>
          <w:rtl/>
        </w:rPr>
        <w:t>التعليمية</w:t>
      </w:r>
      <w:r w:rsidR="00F32B28">
        <w:rPr>
          <w:rtl/>
        </w:rPr>
        <w:t xml:space="preserve"> </w:t>
      </w:r>
      <w:r w:rsidR="00F32B28" w:rsidRPr="00F32B28">
        <w:rPr>
          <w:rtl/>
        </w:rPr>
        <w:t>الحكومية</w:t>
      </w:r>
      <w:r w:rsidR="00F32B28">
        <w:rPr>
          <w:rtl/>
        </w:rPr>
        <w:t xml:space="preserve"> </w:t>
      </w:r>
      <w:r w:rsidR="00F32B28" w:rsidRPr="00F32B28">
        <w:rPr>
          <w:rtl/>
        </w:rPr>
        <w:t>المجانية؛</w:t>
      </w:r>
      <w:r w:rsidR="00F32B28">
        <w:rPr>
          <w:rtl/>
        </w:rPr>
        <w:t xml:space="preserve"> </w:t>
      </w:r>
    </w:p>
    <w:p w:rsidR="00F32B28" w:rsidRPr="00F32B28" w:rsidRDefault="0007328B" w:rsidP="0007328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بحسب</w:t>
      </w:r>
      <w:r w:rsidR="00F32B28">
        <w:rPr>
          <w:rtl/>
        </w:rPr>
        <w:t xml:space="preserve"> </w:t>
      </w:r>
      <w:r w:rsidR="00F32B28" w:rsidRPr="00F32B28">
        <w:rPr>
          <w:rtl/>
        </w:rPr>
        <w:t>مكتب</w:t>
      </w:r>
      <w:r w:rsidR="00F32B28">
        <w:rPr>
          <w:rtl/>
        </w:rPr>
        <w:t xml:space="preserve"> </w:t>
      </w:r>
      <w:r w:rsidR="00F32B28" w:rsidRPr="00F32B28">
        <w:rPr>
          <w:rtl/>
        </w:rPr>
        <w:t>تنسيق</w:t>
      </w:r>
      <w:r w:rsidR="00F32B28">
        <w:rPr>
          <w:rtl/>
        </w:rPr>
        <w:t xml:space="preserve"> </w:t>
      </w:r>
      <w:r w:rsidR="00F32B28" w:rsidRPr="00F32B28">
        <w:rPr>
          <w:rtl/>
        </w:rPr>
        <w:t>الشؤون</w:t>
      </w:r>
      <w:r w:rsidR="00F32B28">
        <w:rPr>
          <w:rtl/>
        </w:rPr>
        <w:t xml:space="preserve"> </w:t>
      </w:r>
      <w:r w:rsidR="00F32B28" w:rsidRPr="00F32B28">
        <w:rPr>
          <w:rtl/>
        </w:rPr>
        <w:t>الإنسانية</w:t>
      </w:r>
      <w:r w:rsidR="00F32B28">
        <w:rPr>
          <w:rtl/>
        </w:rPr>
        <w:t xml:space="preserve"> </w:t>
      </w:r>
      <w:r w:rsidR="00F32B28" w:rsidRPr="00F32B28">
        <w:rPr>
          <w:rtl/>
        </w:rPr>
        <w:t>هنالك</w:t>
      </w:r>
      <w:r w:rsidR="00F32B28">
        <w:rPr>
          <w:rtl/>
        </w:rPr>
        <w:t xml:space="preserve"> </w:t>
      </w:r>
      <w:r w:rsidR="00F32B28" w:rsidRPr="00F32B28">
        <w:rPr>
          <w:rtl/>
        </w:rPr>
        <w:t>نقص</w:t>
      </w:r>
      <w:r w:rsidR="00F32B28">
        <w:rPr>
          <w:rtl/>
        </w:rPr>
        <w:t xml:space="preserve"> </w:t>
      </w:r>
      <w:r w:rsidR="00F32B28" w:rsidRPr="00F32B28">
        <w:rPr>
          <w:rtl/>
        </w:rPr>
        <w:t>مزمن</w:t>
      </w:r>
      <w:r w:rsidR="00F32B28">
        <w:rPr>
          <w:rtl/>
        </w:rPr>
        <w:t xml:space="preserve"> </w:t>
      </w:r>
      <w:r w:rsidR="00F32B28" w:rsidRPr="00F32B28">
        <w:rPr>
          <w:rtl/>
        </w:rPr>
        <w:t>في</w:t>
      </w:r>
      <w:r w:rsidR="00F32B28">
        <w:rPr>
          <w:rtl/>
        </w:rPr>
        <w:t xml:space="preserve"> </w:t>
      </w:r>
      <w:r w:rsidR="00F32B28" w:rsidRPr="00F32B28">
        <w:rPr>
          <w:rtl/>
        </w:rPr>
        <w:t>قاعات</w:t>
      </w:r>
      <w:r w:rsidR="00F32B28">
        <w:rPr>
          <w:rtl/>
        </w:rPr>
        <w:t xml:space="preserve"> </w:t>
      </w:r>
      <w:r w:rsidR="00F32B28" w:rsidRPr="00F32B28">
        <w:rPr>
          <w:rtl/>
        </w:rPr>
        <w:t>الدراسة</w:t>
      </w:r>
      <w:r w:rsidR="00F32B28">
        <w:rPr>
          <w:rtl/>
        </w:rPr>
        <w:t xml:space="preserve"> </w:t>
      </w:r>
      <w:r w:rsidR="00F32B28" w:rsidRPr="00F32B28">
        <w:rPr>
          <w:rtl/>
        </w:rPr>
        <w:t>في</w:t>
      </w:r>
      <w:r w:rsidR="00F32B28">
        <w:rPr>
          <w:rtl/>
        </w:rPr>
        <w:t xml:space="preserve"> </w:t>
      </w:r>
      <w:r w:rsidR="00F32B28" w:rsidRPr="00F32B28">
        <w:rPr>
          <w:rtl/>
        </w:rPr>
        <w:t>القدس</w:t>
      </w:r>
      <w:r w:rsidR="00F32B28">
        <w:rPr>
          <w:rtl/>
        </w:rPr>
        <w:t xml:space="preserve"> </w:t>
      </w:r>
      <w:r w:rsidR="00F32B28" w:rsidRPr="00F32B28">
        <w:rPr>
          <w:rtl/>
        </w:rPr>
        <w:t>الشرقية،</w:t>
      </w:r>
      <w:r w:rsidR="00F32B28">
        <w:rPr>
          <w:rtl/>
        </w:rPr>
        <w:t xml:space="preserve"> </w:t>
      </w:r>
      <w:r w:rsidR="00F32B28" w:rsidRPr="00F32B28">
        <w:rPr>
          <w:rtl/>
        </w:rPr>
        <w:t>ويتطلب</w:t>
      </w:r>
      <w:r w:rsidR="00F32B28">
        <w:rPr>
          <w:rtl/>
        </w:rPr>
        <w:t xml:space="preserve"> </w:t>
      </w:r>
      <w:r w:rsidR="00F32B28" w:rsidRPr="00F32B28">
        <w:rPr>
          <w:rtl/>
        </w:rPr>
        <w:t>بناء</w:t>
      </w:r>
      <w:r w:rsidR="00F32B28">
        <w:rPr>
          <w:rtl/>
        </w:rPr>
        <w:t xml:space="preserve"> </w:t>
      </w:r>
      <w:r>
        <w:rPr>
          <w:rFonts w:hint="cs"/>
          <w:rtl/>
        </w:rPr>
        <w:t>200 2</w:t>
      </w:r>
      <w:r w:rsidR="00F32B28">
        <w:rPr>
          <w:rtl/>
        </w:rPr>
        <w:t xml:space="preserve"> </w:t>
      </w:r>
      <w:r w:rsidR="00F32B28" w:rsidRPr="00F32B28">
        <w:rPr>
          <w:rtl/>
        </w:rPr>
        <w:t>قاعة</w:t>
      </w:r>
      <w:r w:rsidR="00F32B28">
        <w:rPr>
          <w:rtl/>
        </w:rPr>
        <w:t xml:space="preserve"> </w:t>
      </w:r>
      <w:r w:rsidR="00F32B28" w:rsidRPr="00F32B28">
        <w:rPr>
          <w:rtl/>
        </w:rPr>
        <w:t>دراسة</w:t>
      </w:r>
      <w:r w:rsidR="00F32B28">
        <w:rPr>
          <w:rtl/>
        </w:rPr>
        <w:t xml:space="preserve"> </w:t>
      </w:r>
      <w:r w:rsidR="00F32B28" w:rsidRPr="00F32B28">
        <w:rPr>
          <w:rtl/>
        </w:rPr>
        <w:t>إضافية</w:t>
      </w:r>
      <w:r w:rsidR="00F32B28">
        <w:rPr>
          <w:rtl/>
        </w:rPr>
        <w:t xml:space="preserve"> </w:t>
      </w:r>
      <w:r w:rsidR="00F32B28" w:rsidRPr="00F32B28">
        <w:rPr>
          <w:rtl/>
        </w:rPr>
        <w:t>لاستيعاب</w:t>
      </w:r>
      <w:r w:rsidR="00F32B28">
        <w:rPr>
          <w:rtl/>
        </w:rPr>
        <w:t xml:space="preserve"> </w:t>
      </w:r>
      <w:r w:rsidR="00F32B28" w:rsidRPr="00F32B28">
        <w:rPr>
          <w:rtl/>
        </w:rPr>
        <w:t>الأطفال</w:t>
      </w:r>
      <w:r w:rsidR="00F32B28">
        <w:rPr>
          <w:rtl/>
        </w:rPr>
        <w:t xml:space="preserve"> </w:t>
      </w:r>
      <w:r w:rsidR="00F32B28" w:rsidRPr="00F32B28">
        <w:rPr>
          <w:rtl/>
        </w:rPr>
        <w:t>الفلسطينيين،</w:t>
      </w:r>
      <w:r w:rsidR="00F32B28">
        <w:rPr>
          <w:rtl/>
        </w:rPr>
        <w:t xml:space="preserve"> </w:t>
      </w:r>
      <w:r w:rsidR="00F32B28" w:rsidRPr="00F32B28">
        <w:rPr>
          <w:rtl/>
        </w:rPr>
        <w:t>كما</w:t>
      </w:r>
      <w:r w:rsidR="00F32B28">
        <w:rPr>
          <w:rtl/>
        </w:rPr>
        <w:t xml:space="preserve"> </w:t>
      </w:r>
      <w:r w:rsidR="00F32B28" w:rsidRPr="00F32B28">
        <w:rPr>
          <w:rtl/>
        </w:rPr>
        <w:t>أن</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المنشئات</w:t>
      </w:r>
      <w:r w:rsidR="00F32B28">
        <w:rPr>
          <w:rtl/>
        </w:rPr>
        <w:t xml:space="preserve"> </w:t>
      </w:r>
      <w:r w:rsidR="00F32B28" w:rsidRPr="00F32B28">
        <w:rPr>
          <w:rtl/>
        </w:rPr>
        <w:t>الموجودة</w:t>
      </w:r>
      <w:r w:rsidR="00F32B28">
        <w:rPr>
          <w:rtl/>
        </w:rPr>
        <w:t xml:space="preserve"> </w:t>
      </w:r>
      <w:r w:rsidR="00F32B28" w:rsidRPr="00F32B28">
        <w:rPr>
          <w:rtl/>
        </w:rPr>
        <w:t>حالياً</w:t>
      </w:r>
      <w:r w:rsidR="00F32B28">
        <w:rPr>
          <w:rtl/>
        </w:rPr>
        <w:t xml:space="preserve"> </w:t>
      </w:r>
      <w:r w:rsidR="00F32B28" w:rsidRPr="00F32B28">
        <w:rPr>
          <w:rtl/>
        </w:rPr>
        <w:t>غير</w:t>
      </w:r>
      <w:r w:rsidR="00F32B28">
        <w:rPr>
          <w:rtl/>
        </w:rPr>
        <w:t xml:space="preserve"> </w:t>
      </w:r>
      <w:r w:rsidR="00F32B28" w:rsidRPr="00F32B28">
        <w:rPr>
          <w:rtl/>
        </w:rPr>
        <w:t>ملائمة</w:t>
      </w:r>
      <w:r w:rsidR="00F32B28">
        <w:rPr>
          <w:rtl/>
        </w:rPr>
        <w:t xml:space="preserve"> </w:t>
      </w:r>
      <w:r w:rsidR="00F32B28" w:rsidRPr="00F32B28">
        <w:rPr>
          <w:rtl/>
        </w:rPr>
        <w:t>ولا</w:t>
      </w:r>
      <w:r w:rsidR="00F32B28">
        <w:rPr>
          <w:rtl/>
        </w:rPr>
        <w:t xml:space="preserve"> </w:t>
      </w:r>
      <w:r w:rsidR="00F32B28" w:rsidRPr="00F32B28">
        <w:rPr>
          <w:rtl/>
        </w:rPr>
        <w:t>تستوفي</w:t>
      </w:r>
      <w:r w:rsidR="00F32B28">
        <w:rPr>
          <w:rtl/>
        </w:rPr>
        <w:t xml:space="preserve"> </w:t>
      </w:r>
      <w:r w:rsidR="00F32B28" w:rsidRPr="00F32B28">
        <w:rPr>
          <w:rtl/>
        </w:rPr>
        <w:t>المعايير؛</w:t>
      </w:r>
    </w:p>
    <w:p w:rsidR="00F32B28" w:rsidRPr="00F32B28" w:rsidRDefault="0007328B" w:rsidP="0007328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تفتقر</w:t>
      </w:r>
      <w:r w:rsidR="00F32B28">
        <w:rPr>
          <w:rtl/>
        </w:rPr>
        <w:t xml:space="preserve"> </w:t>
      </w:r>
      <w:r w:rsidR="00F32B28" w:rsidRPr="00F32B28">
        <w:rPr>
          <w:rtl/>
        </w:rPr>
        <w:t>مدارس</w:t>
      </w:r>
      <w:r w:rsidR="00F32B28">
        <w:rPr>
          <w:rtl/>
        </w:rPr>
        <w:t xml:space="preserve"> </w:t>
      </w:r>
      <w:r w:rsidR="00F32B28" w:rsidRPr="00F32B28">
        <w:rPr>
          <w:rtl/>
        </w:rPr>
        <w:t>القدس</w:t>
      </w:r>
      <w:r w:rsidR="00F32B28">
        <w:rPr>
          <w:rtl/>
        </w:rPr>
        <w:t xml:space="preserve"> </w:t>
      </w:r>
      <w:r w:rsidR="00F32B28" w:rsidRPr="00F32B28">
        <w:rPr>
          <w:rtl/>
        </w:rPr>
        <w:t>الشرقية</w:t>
      </w:r>
      <w:r w:rsidR="00F32B28">
        <w:rPr>
          <w:rtl/>
        </w:rPr>
        <w:t xml:space="preserve"> </w:t>
      </w:r>
      <w:r w:rsidR="00F32B28" w:rsidRPr="00F32B28">
        <w:rPr>
          <w:rtl/>
        </w:rPr>
        <w:t>إلى</w:t>
      </w:r>
      <w:r w:rsidR="00F32B28">
        <w:rPr>
          <w:rtl/>
        </w:rPr>
        <w:t xml:space="preserve"> </w:t>
      </w:r>
      <w:r w:rsidR="00F32B28" w:rsidRPr="00F32B28">
        <w:rPr>
          <w:rtl/>
        </w:rPr>
        <w:t>المرافق</w:t>
      </w:r>
      <w:r w:rsidR="00F32B28">
        <w:rPr>
          <w:rtl/>
        </w:rPr>
        <w:t xml:space="preserve"> </w:t>
      </w:r>
      <w:r w:rsidR="00F32B28" w:rsidRPr="00F32B28">
        <w:rPr>
          <w:rtl/>
        </w:rPr>
        <w:t>التعليمية</w:t>
      </w:r>
      <w:r w:rsidR="00F32B28">
        <w:rPr>
          <w:rtl/>
        </w:rPr>
        <w:t xml:space="preserve"> </w:t>
      </w:r>
      <w:r w:rsidR="00F32B28" w:rsidRPr="00F32B28">
        <w:rPr>
          <w:rtl/>
        </w:rPr>
        <w:t>كالساحات</w:t>
      </w:r>
      <w:r w:rsidR="00F32B28">
        <w:rPr>
          <w:rtl/>
        </w:rPr>
        <w:t xml:space="preserve"> </w:t>
      </w:r>
      <w:r w:rsidR="00F32B28" w:rsidRPr="00F32B28">
        <w:rPr>
          <w:rtl/>
        </w:rPr>
        <w:t>والملاعب؛</w:t>
      </w:r>
      <w:r w:rsidR="00F32B28">
        <w:rPr>
          <w:rtl/>
        </w:rPr>
        <w:t xml:space="preserve"> </w:t>
      </w:r>
      <w:r w:rsidR="00F32B28" w:rsidRPr="00F32B28">
        <w:rPr>
          <w:rtl/>
        </w:rPr>
        <w:t>كما</w:t>
      </w:r>
      <w:r w:rsidR="00F32B28">
        <w:rPr>
          <w:rtl/>
        </w:rPr>
        <w:t xml:space="preserve"> </w:t>
      </w:r>
      <w:r w:rsidR="00F32B28" w:rsidRPr="00F32B28">
        <w:rPr>
          <w:rtl/>
        </w:rPr>
        <w:t>أن</w:t>
      </w:r>
      <w:r w:rsidR="00F32B28">
        <w:rPr>
          <w:rtl/>
        </w:rPr>
        <w:t xml:space="preserve"> </w:t>
      </w:r>
      <w:r w:rsidR="00F32B28" w:rsidRPr="00F32B28">
        <w:rPr>
          <w:rtl/>
        </w:rPr>
        <w:t>الكثير</w:t>
      </w:r>
      <w:r w:rsidR="00F32B28">
        <w:rPr>
          <w:rtl/>
        </w:rPr>
        <w:t xml:space="preserve"> </w:t>
      </w:r>
      <w:r w:rsidR="00F32B28" w:rsidRPr="00F32B28">
        <w:rPr>
          <w:rtl/>
        </w:rPr>
        <w:t>منها</w:t>
      </w:r>
      <w:r w:rsidR="00F32B28">
        <w:rPr>
          <w:rtl/>
        </w:rPr>
        <w:t xml:space="preserve"> </w:t>
      </w:r>
      <w:r w:rsidR="00F32B28" w:rsidRPr="00F32B28">
        <w:rPr>
          <w:rtl/>
        </w:rPr>
        <w:t>لا</w:t>
      </w:r>
      <w:r w:rsidR="00F32B28">
        <w:rPr>
          <w:rtl/>
        </w:rPr>
        <w:t xml:space="preserve"> </w:t>
      </w:r>
      <w:r w:rsidR="00F32B28" w:rsidRPr="00F32B28">
        <w:rPr>
          <w:rtl/>
        </w:rPr>
        <w:t>يتوفر</w:t>
      </w:r>
      <w:r w:rsidR="00F32B28">
        <w:rPr>
          <w:rtl/>
        </w:rPr>
        <w:t xml:space="preserve"> </w:t>
      </w:r>
      <w:r w:rsidR="00F32B28" w:rsidRPr="00F32B28">
        <w:rPr>
          <w:rtl/>
        </w:rPr>
        <w:t>فيها</w:t>
      </w:r>
      <w:r w:rsidR="00F32B28">
        <w:rPr>
          <w:rtl/>
        </w:rPr>
        <w:t xml:space="preserve"> </w:t>
      </w:r>
      <w:r w:rsidR="00F32B28" w:rsidRPr="00F32B28">
        <w:rPr>
          <w:rtl/>
        </w:rPr>
        <w:t>مكتبة</w:t>
      </w:r>
      <w:r w:rsidR="00F32B28">
        <w:rPr>
          <w:rtl/>
        </w:rPr>
        <w:t xml:space="preserve"> </w:t>
      </w:r>
      <w:r w:rsidR="00F32B28" w:rsidRPr="00F32B28">
        <w:rPr>
          <w:rtl/>
        </w:rPr>
        <w:t>أو</w:t>
      </w:r>
      <w:r w:rsidR="00F32B28">
        <w:rPr>
          <w:rtl/>
        </w:rPr>
        <w:t xml:space="preserve"> </w:t>
      </w:r>
      <w:r w:rsidR="00F32B28" w:rsidRPr="00F32B28">
        <w:rPr>
          <w:rtl/>
        </w:rPr>
        <w:t>مختبر</w:t>
      </w:r>
      <w:r w:rsidR="00F32B28">
        <w:rPr>
          <w:rtl/>
        </w:rPr>
        <w:t xml:space="preserve"> </w:t>
      </w:r>
      <w:r w:rsidR="00F32B28" w:rsidRPr="00F32B28">
        <w:rPr>
          <w:rtl/>
        </w:rPr>
        <w:t>علوم</w:t>
      </w:r>
      <w:r w:rsidR="00F32B28">
        <w:rPr>
          <w:rtl/>
        </w:rPr>
        <w:t xml:space="preserve"> </w:t>
      </w:r>
      <w:r w:rsidR="00F32B28" w:rsidRPr="00F32B28">
        <w:rPr>
          <w:rtl/>
        </w:rPr>
        <w:t>أو</w:t>
      </w:r>
      <w:r w:rsidR="00F32B28">
        <w:rPr>
          <w:rtl/>
        </w:rPr>
        <w:t xml:space="preserve"> </w:t>
      </w:r>
      <w:r w:rsidR="00F32B28" w:rsidRPr="00F32B28">
        <w:rPr>
          <w:rtl/>
        </w:rPr>
        <w:t>مختبر</w:t>
      </w:r>
      <w:r w:rsidR="00F32B28">
        <w:rPr>
          <w:rtl/>
        </w:rPr>
        <w:t xml:space="preserve"> </w:t>
      </w:r>
      <w:r w:rsidR="00F32B28" w:rsidRPr="00F32B28">
        <w:rPr>
          <w:rtl/>
        </w:rPr>
        <w:t>حاسوب؛</w:t>
      </w:r>
      <w:r w:rsidR="00F32B28">
        <w:rPr>
          <w:rtl/>
        </w:rPr>
        <w:t xml:space="preserve"> </w:t>
      </w:r>
      <w:r w:rsidR="00F32B28" w:rsidRPr="00F32B28">
        <w:rPr>
          <w:rtl/>
        </w:rPr>
        <w:t>وصفوفها</w:t>
      </w:r>
      <w:r w:rsidR="00F32B28">
        <w:rPr>
          <w:rtl/>
        </w:rPr>
        <w:t xml:space="preserve"> </w:t>
      </w:r>
      <w:r w:rsidR="00F32B28" w:rsidRPr="00F32B28">
        <w:rPr>
          <w:rtl/>
        </w:rPr>
        <w:t>غير</w:t>
      </w:r>
      <w:r w:rsidR="00F32B28">
        <w:rPr>
          <w:rtl/>
        </w:rPr>
        <w:t xml:space="preserve"> </w:t>
      </w:r>
      <w:r w:rsidR="00F32B28" w:rsidRPr="00F32B28">
        <w:rPr>
          <w:rtl/>
        </w:rPr>
        <w:t>ملائمة</w:t>
      </w:r>
      <w:r w:rsidR="00F32B28">
        <w:rPr>
          <w:rtl/>
        </w:rPr>
        <w:t xml:space="preserve"> </w:t>
      </w:r>
      <w:r w:rsidR="00F32B28" w:rsidRPr="00F32B28">
        <w:rPr>
          <w:rtl/>
        </w:rPr>
        <w:t>من</w:t>
      </w:r>
      <w:r w:rsidR="00F32B28">
        <w:rPr>
          <w:rtl/>
        </w:rPr>
        <w:t xml:space="preserve"> </w:t>
      </w:r>
      <w:r w:rsidR="00F32B28" w:rsidRPr="00F32B28">
        <w:rPr>
          <w:rtl/>
        </w:rPr>
        <w:t>الناحية</w:t>
      </w:r>
      <w:r w:rsidR="00F32B28">
        <w:rPr>
          <w:rtl/>
        </w:rPr>
        <w:t xml:space="preserve"> </w:t>
      </w:r>
      <w:r w:rsidR="00F32B28" w:rsidRPr="00F32B28">
        <w:rPr>
          <w:rtl/>
        </w:rPr>
        <w:t>الصحية،</w:t>
      </w:r>
      <w:r w:rsidR="00F32B28">
        <w:rPr>
          <w:rtl/>
        </w:rPr>
        <w:t xml:space="preserve"> </w:t>
      </w:r>
      <w:r w:rsidR="00F32B28" w:rsidRPr="00F32B28">
        <w:rPr>
          <w:rtl/>
        </w:rPr>
        <w:t>عدا</w:t>
      </w:r>
      <w:r w:rsidR="00F32B28">
        <w:rPr>
          <w:rtl/>
        </w:rPr>
        <w:t xml:space="preserve"> </w:t>
      </w:r>
      <w:r w:rsidR="00F32B28" w:rsidRPr="00F32B28">
        <w:rPr>
          <w:rtl/>
        </w:rPr>
        <w:t>أن</w:t>
      </w:r>
      <w:r w:rsidR="00F32B28">
        <w:rPr>
          <w:rtl/>
        </w:rPr>
        <w:t xml:space="preserve"> </w:t>
      </w:r>
      <w:r w:rsidR="00F32B28" w:rsidRPr="00F32B28">
        <w:rPr>
          <w:rtl/>
        </w:rPr>
        <w:t>نصف</w:t>
      </w:r>
      <w:r w:rsidR="00F32B28">
        <w:rPr>
          <w:rtl/>
        </w:rPr>
        <w:t xml:space="preserve"> </w:t>
      </w:r>
      <w:r w:rsidR="00F32B28" w:rsidRPr="00F32B28">
        <w:rPr>
          <w:rtl/>
        </w:rPr>
        <w:t>المباني</w:t>
      </w:r>
      <w:r w:rsidR="00F32B28">
        <w:rPr>
          <w:rtl/>
        </w:rPr>
        <w:t xml:space="preserve"> </w:t>
      </w:r>
      <w:r w:rsidR="00F32B28" w:rsidRPr="00F32B28">
        <w:rPr>
          <w:rtl/>
        </w:rPr>
        <w:t>مستأجرة</w:t>
      </w:r>
      <w:r w:rsidR="00F32B28">
        <w:rPr>
          <w:rtl/>
        </w:rPr>
        <w:t xml:space="preserve"> </w:t>
      </w:r>
      <w:r w:rsidR="00F32B28" w:rsidRPr="00F32B28">
        <w:rPr>
          <w:rtl/>
        </w:rPr>
        <w:t>سنويا</w:t>
      </w:r>
      <w:r w:rsidR="00F32B28">
        <w:rPr>
          <w:rtl/>
        </w:rPr>
        <w:t xml:space="preserve"> </w:t>
      </w:r>
      <w:r w:rsidR="00F32B28" w:rsidRPr="00F32B28">
        <w:rPr>
          <w:rtl/>
        </w:rPr>
        <w:t>بما</w:t>
      </w:r>
      <w:r w:rsidR="00F32B28">
        <w:rPr>
          <w:rtl/>
        </w:rPr>
        <w:t xml:space="preserve"> </w:t>
      </w:r>
      <w:r w:rsidR="00F32B28" w:rsidRPr="00F32B28">
        <w:rPr>
          <w:rtl/>
        </w:rPr>
        <w:t>يزيد</w:t>
      </w:r>
      <w:r w:rsidR="00F32B28">
        <w:rPr>
          <w:rtl/>
        </w:rPr>
        <w:t xml:space="preserve"> </w:t>
      </w:r>
      <w:r w:rsidR="00F32B28" w:rsidRPr="00F32B28">
        <w:rPr>
          <w:rtl/>
        </w:rPr>
        <w:t>عن</w:t>
      </w:r>
      <w:r w:rsidR="00F32B28">
        <w:rPr>
          <w:rtl/>
        </w:rPr>
        <w:t xml:space="preserve"> </w:t>
      </w:r>
      <w:r w:rsidR="00F32B28" w:rsidRPr="00F32B28">
        <w:rPr>
          <w:rtl/>
        </w:rPr>
        <w:t>750</w:t>
      </w:r>
      <w:r w:rsidR="00F32B28">
        <w:rPr>
          <w:rtl/>
        </w:rPr>
        <w:t xml:space="preserve"> </w:t>
      </w:r>
      <w:r w:rsidR="00F32B28" w:rsidRPr="00F32B28">
        <w:rPr>
          <w:rtl/>
        </w:rPr>
        <w:t>ألف</w:t>
      </w:r>
      <w:r w:rsidR="00F32B28">
        <w:rPr>
          <w:rtl/>
        </w:rPr>
        <w:t xml:space="preserve"> </w:t>
      </w:r>
      <w:r w:rsidR="00F32B28" w:rsidRPr="00F32B28">
        <w:rPr>
          <w:rtl/>
        </w:rPr>
        <w:t>دولار؛</w:t>
      </w:r>
      <w:r w:rsidR="00F32B28">
        <w:rPr>
          <w:rtl/>
        </w:rPr>
        <w:t xml:space="preserve"> </w:t>
      </w:r>
      <w:r w:rsidR="00F32B28" w:rsidRPr="00F32B28">
        <w:rPr>
          <w:rtl/>
        </w:rPr>
        <w:t>وذلك</w:t>
      </w:r>
      <w:r w:rsidR="00F32B28">
        <w:rPr>
          <w:rtl/>
        </w:rPr>
        <w:t xml:space="preserve"> </w:t>
      </w:r>
      <w:r w:rsidR="00F32B28" w:rsidRPr="00F32B28">
        <w:rPr>
          <w:rtl/>
        </w:rPr>
        <w:t>لصعوبة</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رخص</w:t>
      </w:r>
      <w:r w:rsidR="00F32B28">
        <w:rPr>
          <w:rtl/>
        </w:rPr>
        <w:t xml:space="preserve"> </w:t>
      </w:r>
      <w:r w:rsidR="00F32B28" w:rsidRPr="00F32B28">
        <w:rPr>
          <w:rtl/>
        </w:rPr>
        <w:t>لبناء</w:t>
      </w:r>
      <w:r w:rsidR="00F32B28">
        <w:rPr>
          <w:rtl/>
        </w:rPr>
        <w:t xml:space="preserve"> </w:t>
      </w:r>
      <w:r w:rsidR="00F32B28" w:rsidRPr="00F32B28">
        <w:rPr>
          <w:rtl/>
        </w:rPr>
        <w:t>المدارس</w:t>
      </w:r>
      <w:r w:rsidR="00F32B28">
        <w:rPr>
          <w:rtl/>
        </w:rPr>
        <w:t xml:space="preserve"> </w:t>
      </w:r>
      <w:r w:rsidR="00F32B28" w:rsidRPr="00F32B28">
        <w:rPr>
          <w:rtl/>
        </w:rPr>
        <w:t>نتيجة</w:t>
      </w:r>
      <w:r w:rsidR="00F32B28">
        <w:rPr>
          <w:rtl/>
        </w:rPr>
        <w:t xml:space="preserve"> </w:t>
      </w:r>
      <w:r w:rsidR="00F32B28" w:rsidRPr="00F32B28">
        <w:rPr>
          <w:rtl/>
        </w:rPr>
        <w:t>السياسة</w:t>
      </w:r>
      <w:r w:rsidR="00F32B28">
        <w:rPr>
          <w:rtl/>
        </w:rPr>
        <w:t xml:space="preserve"> </w:t>
      </w:r>
      <w:r w:rsidR="00F32B28" w:rsidRPr="00F32B28">
        <w:rPr>
          <w:rtl/>
        </w:rPr>
        <w:t>العنصرية</w:t>
      </w:r>
      <w:r w:rsidR="00F32B28">
        <w:rPr>
          <w:rtl/>
        </w:rPr>
        <w:t xml:space="preserve"> </w:t>
      </w:r>
      <w:r w:rsidR="00F32B28" w:rsidRPr="00F32B28">
        <w:rPr>
          <w:rtl/>
        </w:rPr>
        <w:t>التي</w:t>
      </w:r>
      <w:r w:rsidR="00F32B28">
        <w:rPr>
          <w:rtl/>
        </w:rPr>
        <w:t xml:space="preserve"> </w:t>
      </w:r>
      <w:r w:rsidR="00F32B28" w:rsidRPr="00F32B28">
        <w:rPr>
          <w:rtl/>
        </w:rPr>
        <w:t>تمارسها</w:t>
      </w:r>
      <w:r w:rsidR="00F32B28">
        <w:rPr>
          <w:rtl/>
        </w:rPr>
        <w:t xml:space="preserve"> </w:t>
      </w:r>
      <w:r w:rsidR="00F32B28" w:rsidRPr="00F32B28">
        <w:rPr>
          <w:rtl/>
        </w:rPr>
        <w:t>بلدية</w:t>
      </w:r>
      <w:r w:rsidR="00F32B28">
        <w:rPr>
          <w:rtl/>
        </w:rPr>
        <w:t xml:space="preserve"> </w:t>
      </w:r>
      <w:r w:rsidR="00F32B28" w:rsidRPr="00F32B28">
        <w:rPr>
          <w:rtl/>
        </w:rPr>
        <w:t>القدس؛</w:t>
      </w:r>
    </w:p>
    <w:p w:rsidR="00F32B28" w:rsidRPr="00F32B28" w:rsidRDefault="0007328B" w:rsidP="0007328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فرض</w:t>
      </w:r>
      <w:r w:rsidR="00F32B28">
        <w:rPr>
          <w:rtl/>
        </w:rPr>
        <w:t xml:space="preserve"> </w:t>
      </w:r>
      <w:r w:rsidR="00F32B28" w:rsidRPr="00F32B28">
        <w:rPr>
          <w:rtl/>
        </w:rPr>
        <w:t>مخالفات</w:t>
      </w:r>
      <w:r w:rsidR="00F32B28">
        <w:rPr>
          <w:rtl/>
        </w:rPr>
        <w:t xml:space="preserve"> </w:t>
      </w:r>
      <w:r w:rsidR="00F32B28" w:rsidRPr="00F32B28">
        <w:rPr>
          <w:rtl/>
        </w:rPr>
        <w:t>وغرامات</w:t>
      </w:r>
      <w:r w:rsidR="00F32B28">
        <w:rPr>
          <w:rtl/>
        </w:rPr>
        <w:t xml:space="preserve"> </w:t>
      </w:r>
      <w:r w:rsidR="00F32B28" w:rsidRPr="00F32B28">
        <w:rPr>
          <w:rtl/>
        </w:rPr>
        <w:t>مالية</w:t>
      </w:r>
      <w:r w:rsidR="00F32B28">
        <w:rPr>
          <w:rtl/>
        </w:rPr>
        <w:t xml:space="preserve"> </w:t>
      </w:r>
      <w:r w:rsidR="00F32B28" w:rsidRPr="00F32B28">
        <w:rPr>
          <w:rtl/>
        </w:rPr>
        <w:t>طائلة</w:t>
      </w:r>
      <w:r w:rsidR="00F32B28">
        <w:rPr>
          <w:rtl/>
        </w:rPr>
        <w:t xml:space="preserve"> </w:t>
      </w:r>
      <w:r w:rsidR="00F32B28" w:rsidRPr="00F32B28">
        <w:rPr>
          <w:rtl/>
        </w:rPr>
        <w:t>تعسفية</w:t>
      </w:r>
      <w:r w:rsidR="00F32B28">
        <w:rPr>
          <w:rtl/>
        </w:rPr>
        <w:t xml:space="preserve"> </w:t>
      </w:r>
      <w:r w:rsidR="00F32B28" w:rsidRPr="00F32B28">
        <w:rPr>
          <w:rtl/>
        </w:rPr>
        <w:t>على</w:t>
      </w:r>
      <w:r w:rsidR="00F32B28">
        <w:rPr>
          <w:rtl/>
        </w:rPr>
        <w:t xml:space="preserve"> </w:t>
      </w:r>
      <w:r w:rsidR="00F32B28" w:rsidRPr="00F32B28">
        <w:rPr>
          <w:rtl/>
        </w:rPr>
        <w:t>المدارس؛</w:t>
      </w:r>
      <w:r w:rsidR="00F32B28">
        <w:rPr>
          <w:rtl/>
        </w:rPr>
        <w:t xml:space="preserve"> </w:t>
      </w:r>
      <w:r w:rsidR="00F32B28" w:rsidRPr="00F32B28">
        <w:rPr>
          <w:rtl/>
        </w:rPr>
        <w:t>كإصدار</w:t>
      </w:r>
      <w:r w:rsidR="00F32B28">
        <w:rPr>
          <w:rtl/>
        </w:rPr>
        <w:t xml:space="preserve"> </w:t>
      </w:r>
      <w:r w:rsidR="00F32B28" w:rsidRPr="00F32B28">
        <w:rPr>
          <w:rtl/>
        </w:rPr>
        <w:t>مخالفات</w:t>
      </w:r>
      <w:r w:rsidR="00F32B28">
        <w:rPr>
          <w:rtl/>
        </w:rPr>
        <w:t xml:space="preserve"> </w:t>
      </w:r>
      <w:r w:rsidR="00F32B28" w:rsidRPr="00F32B28">
        <w:rPr>
          <w:rtl/>
        </w:rPr>
        <w:t>بسبب</w:t>
      </w:r>
      <w:r w:rsidR="00F32B28">
        <w:rPr>
          <w:rtl/>
        </w:rPr>
        <w:t xml:space="preserve"> </w:t>
      </w:r>
      <w:r w:rsidR="00F32B28" w:rsidRPr="00F32B28">
        <w:rPr>
          <w:rtl/>
        </w:rPr>
        <w:t>وضع</w:t>
      </w:r>
      <w:r w:rsidR="00F32B28">
        <w:rPr>
          <w:rtl/>
        </w:rPr>
        <w:t xml:space="preserve"> </w:t>
      </w:r>
      <w:r w:rsidR="00F32B28" w:rsidRPr="00F32B28">
        <w:rPr>
          <w:rtl/>
        </w:rPr>
        <w:t>مظلة</w:t>
      </w:r>
      <w:r w:rsidR="00F32B28">
        <w:rPr>
          <w:rtl/>
        </w:rPr>
        <w:t xml:space="preserve"> </w:t>
      </w:r>
      <w:r w:rsidR="00F32B28" w:rsidRPr="00F32B28">
        <w:rPr>
          <w:rtl/>
        </w:rPr>
        <w:t>على</w:t>
      </w:r>
      <w:r w:rsidR="00F32B28">
        <w:rPr>
          <w:rtl/>
        </w:rPr>
        <w:t xml:space="preserve"> </w:t>
      </w:r>
      <w:r w:rsidR="00F32B28" w:rsidRPr="00F32B28">
        <w:rPr>
          <w:rtl/>
        </w:rPr>
        <w:t>سطح</w:t>
      </w:r>
      <w:r w:rsidR="00F32B28">
        <w:rPr>
          <w:rtl/>
        </w:rPr>
        <w:t xml:space="preserve"> </w:t>
      </w:r>
      <w:r w:rsidR="00F32B28" w:rsidRPr="00F32B28">
        <w:rPr>
          <w:rtl/>
        </w:rPr>
        <w:t>المدرسة</w:t>
      </w:r>
      <w:r w:rsidR="00F32B28">
        <w:rPr>
          <w:rtl/>
        </w:rPr>
        <w:t xml:space="preserve"> </w:t>
      </w:r>
      <w:r w:rsidR="00F32B28" w:rsidRPr="00F32B28">
        <w:rPr>
          <w:rtl/>
        </w:rPr>
        <w:t>لحماية</w:t>
      </w:r>
      <w:r w:rsidR="00F32B28">
        <w:rPr>
          <w:rtl/>
        </w:rPr>
        <w:t xml:space="preserve"> </w:t>
      </w:r>
      <w:r w:rsidR="00F32B28" w:rsidRPr="00F32B28">
        <w:rPr>
          <w:rtl/>
        </w:rPr>
        <w:t>الطلبة</w:t>
      </w:r>
      <w:r w:rsidR="00F32B28">
        <w:rPr>
          <w:rtl/>
        </w:rPr>
        <w:t xml:space="preserve"> </w:t>
      </w:r>
      <w:r w:rsidR="00F32B28" w:rsidRPr="00F32B28">
        <w:rPr>
          <w:rtl/>
        </w:rPr>
        <w:t>من</w:t>
      </w:r>
      <w:r w:rsidR="00F32B28">
        <w:rPr>
          <w:rtl/>
        </w:rPr>
        <w:t xml:space="preserve"> </w:t>
      </w:r>
      <w:r w:rsidR="00F32B28" w:rsidRPr="00F32B28">
        <w:rPr>
          <w:rtl/>
        </w:rPr>
        <w:t>المطر</w:t>
      </w:r>
      <w:r w:rsidR="00F32B28">
        <w:rPr>
          <w:rtl/>
        </w:rPr>
        <w:t xml:space="preserve"> </w:t>
      </w:r>
      <w:r w:rsidR="00F32B28" w:rsidRPr="00F32B28">
        <w:rPr>
          <w:rtl/>
        </w:rPr>
        <w:t>وأشعة</w:t>
      </w:r>
      <w:r w:rsidR="00F32B28">
        <w:rPr>
          <w:rtl/>
        </w:rPr>
        <w:t xml:space="preserve"> </w:t>
      </w:r>
      <w:r w:rsidR="00F32B28" w:rsidRPr="00F32B28">
        <w:rPr>
          <w:rtl/>
        </w:rPr>
        <w:t>الشمس،</w:t>
      </w:r>
      <w:r w:rsidR="00F32B28">
        <w:rPr>
          <w:rtl/>
        </w:rPr>
        <w:t xml:space="preserve"> </w:t>
      </w:r>
      <w:r w:rsidR="00F32B28" w:rsidRPr="00F32B28">
        <w:rPr>
          <w:rtl/>
        </w:rPr>
        <w:t>أو</w:t>
      </w:r>
      <w:r w:rsidR="00F32B28">
        <w:rPr>
          <w:rtl/>
        </w:rPr>
        <w:t xml:space="preserve"> </w:t>
      </w:r>
      <w:r w:rsidR="00F32B28" w:rsidRPr="00F32B28">
        <w:rPr>
          <w:rtl/>
        </w:rPr>
        <w:t>بسبب</w:t>
      </w:r>
      <w:r w:rsidR="00F32B28">
        <w:rPr>
          <w:rtl/>
        </w:rPr>
        <w:t xml:space="preserve"> </w:t>
      </w:r>
      <w:r w:rsidR="00F32B28" w:rsidRPr="00F32B28">
        <w:rPr>
          <w:rtl/>
        </w:rPr>
        <w:t>أن</w:t>
      </w:r>
      <w:r w:rsidR="00F32B28">
        <w:rPr>
          <w:rtl/>
        </w:rPr>
        <w:t xml:space="preserve"> </w:t>
      </w:r>
      <w:r w:rsidR="00F32B28" w:rsidRPr="00F32B28">
        <w:rPr>
          <w:rtl/>
        </w:rPr>
        <w:t>المدرسة</w:t>
      </w:r>
      <w:r w:rsidR="00F32B28">
        <w:rPr>
          <w:rtl/>
        </w:rPr>
        <w:t xml:space="preserve"> </w:t>
      </w:r>
      <w:r w:rsidR="00F32B28" w:rsidRPr="00F32B28">
        <w:rPr>
          <w:rtl/>
        </w:rPr>
        <w:t>تقع</w:t>
      </w:r>
      <w:r w:rsidR="00F32B28">
        <w:rPr>
          <w:rtl/>
        </w:rPr>
        <w:t xml:space="preserve"> </w:t>
      </w:r>
      <w:r w:rsidR="00F32B28" w:rsidRPr="00F32B28">
        <w:rPr>
          <w:rtl/>
        </w:rPr>
        <w:t>في</w:t>
      </w:r>
      <w:r w:rsidR="00F32B28">
        <w:rPr>
          <w:rtl/>
        </w:rPr>
        <w:t xml:space="preserve"> </w:t>
      </w:r>
      <w:r w:rsidR="00F32B28" w:rsidRPr="00F32B28">
        <w:rPr>
          <w:rtl/>
        </w:rPr>
        <w:t>أبنية</w:t>
      </w:r>
      <w:r w:rsidR="00F32B28">
        <w:rPr>
          <w:rtl/>
        </w:rPr>
        <w:t xml:space="preserve"> </w:t>
      </w:r>
      <w:r w:rsidR="00F32B28" w:rsidRPr="00F32B28">
        <w:rPr>
          <w:rtl/>
        </w:rPr>
        <w:t>غير</w:t>
      </w:r>
      <w:r w:rsidR="00F32B28">
        <w:rPr>
          <w:rtl/>
        </w:rPr>
        <w:t xml:space="preserve"> </w:t>
      </w:r>
      <w:r w:rsidR="00F32B28" w:rsidRPr="00F32B28">
        <w:rPr>
          <w:rtl/>
        </w:rPr>
        <w:t>مرخصة</w:t>
      </w:r>
      <w:r w:rsidR="00F32B28">
        <w:rPr>
          <w:rtl/>
        </w:rPr>
        <w:t xml:space="preserve"> </w:t>
      </w:r>
      <w:r w:rsidR="00F32B28" w:rsidRPr="00F32B28">
        <w:rPr>
          <w:rtl/>
        </w:rPr>
        <w:t>بحسب</w:t>
      </w:r>
      <w:r w:rsidR="00F32B28">
        <w:rPr>
          <w:rtl/>
        </w:rPr>
        <w:t xml:space="preserve"> </w:t>
      </w:r>
      <w:r w:rsidR="00F32B28" w:rsidRPr="00F32B28">
        <w:rPr>
          <w:rtl/>
        </w:rPr>
        <w:t>القوانين</w:t>
      </w:r>
      <w:r w:rsidR="00F32B28">
        <w:rPr>
          <w:rtl/>
        </w:rPr>
        <w:t xml:space="preserve"> </w:t>
      </w:r>
      <w:r w:rsidR="00F32B28" w:rsidRPr="00F32B28">
        <w:rPr>
          <w:rtl/>
        </w:rPr>
        <w:t>الإسرائيلية</w:t>
      </w:r>
      <w:r w:rsidR="00F32B28">
        <w:rPr>
          <w:rtl/>
        </w:rPr>
        <w:t xml:space="preserve"> </w:t>
      </w:r>
      <w:r w:rsidR="00F32B28" w:rsidRPr="00F32B28">
        <w:rPr>
          <w:rtl/>
        </w:rPr>
        <w:t>العنصرية،</w:t>
      </w:r>
      <w:r w:rsidR="00F32B28">
        <w:rPr>
          <w:rtl/>
        </w:rPr>
        <w:t xml:space="preserve"> </w:t>
      </w:r>
      <w:r w:rsidR="00F32B28" w:rsidRPr="00F32B28">
        <w:rPr>
          <w:rtl/>
        </w:rPr>
        <w:t>ورفض</w:t>
      </w:r>
      <w:r w:rsidR="00F32B28">
        <w:rPr>
          <w:rtl/>
        </w:rPr>
        <w:t xml:space="preserve"> </w:t>
      </w:r>
      <w:r w:rsidR="00F32B28" w:rsidRPr="00F32B28">
        <w:rPr>
          <w:rtl/>
        </w:rPr>
        <w:t>ترخيصها،</w:t>
      </w:r>
      <w:r w:rsidR="00F32B28">
        <w:rPr>
          <w:rtl/>
        </w:rPr>
        <w:t xml:space="preserve"> </w:t>
      </w:r>
      <w:r w:rsidR="00F32B28" w:rsidRPr="00F32B28">
        <w:rPr>
          <w:rtl/>
        </w:rPr>
        <w:t>أو</w:t>
      </w:r>
      <w:r w:rsidR="00F32B28">
        <w:rPr>
          <w:rtl/>
        </w:rPr>
        <w:t xml:space="preserve"> </w:t>
      </w:r>
      <w:r w:rsidR="00F32B28" w:rsidRPr="00F32B28">
        <w:rPr>
          <w:rtl/>
        </w:rPr>
        <w:t>بسبب</w:t>
      </w:r>
      <w:r w:rsidR="00F32B28">
        <w:rPr>
          <w:rtl/>
        </w:rPr>
        <w:t xml:space="preserve"> </w:t>
      </w:r>
      <w:r w:rsidR="00F32B28" w:rsidRPr="00F32B28">
        <w:rPr>
          <w:rtl/>
        </w:rPr>
        <w:t>توسعة</w:t>
      </w:r>
      <w:r w:rsidR="00F32B28">
        <w:rPr>
          <w:rtl/>
        </w:rPr>
        <w:t xml:space="preserve"> </w:t>
      </w:r>
      <w:r w:rsidR="00F32B28" w:rsidRPr="00F32B28">
        <w:rPr>
          <w:rtl/>
        </w:rPr>
        <w:t>إحدى</w:t>
      </w:r>
      <w:r w:rsidR="00F32B28">
        <w:rPr>
          <w:rtl/>
        </w:rPr>
        <w:t xml:space="preserve"> </w:t>
      </w:r>
      <w:r w:rsidR="00F32B28" w:rsidRPr="00F32B28">
        <w:rPr>
          <w:rtl/>
        </w:rPr>
        <w:t>الصفوف،</w:t>
      </w:r>
      <w:r w:rsidR="00F32B28">
        <w:rPr>
          <w:rtl/>
        </w:rPr>
        <w:t xml:space="preserve"> </w:t>
      </w:r>
      <w:r w:rsidR="00F32B28" w:rsidRPr="00F32B28">
        <w:rPr>
          <w:rtl/>
        </w:rPr>
        <w:t>وكثيراً</w:t>
      </w:r>
      <w:r w:rsidR="00F32B28">
        <w:rPr>
          <w:rtl/>
        </w:rPr>
        <w:t xml:space="preserve"> </w:t>
      </w:r>
      <w:r w:rsidR="00F32B28" w:rsidRPr="00F32B28">
        <w:rPr>
          <w:rtl/>
        </w:rPr>
        <w:t>ما</w:t>
      </w:r>
      <w:r w:rsidR="00F32B28">
        <w:rPr>
          <w:rtl/>
        </w:rPr>
        <w:t xml:space="preserve"> </w:t>
      </w:r>
      <w:r w:rsidR="00F32B28" w:rsidRPr="00F32B28">
        <w:rPr>
          <w:rtl/>
        </w:rPr>
        <w:t>تقوم</w:t>
      </w:r>
      <w:r w:rsidR="00F32B28">
        <w:rPr>
          <w:rtl/>
        </w:rPr>
        <w:t xml:space="preserve"> </w:t>
      </w:r>
      <w:r w:rsidR="00F32B28" w:rsidRPr="00F32B28">
        <w:rPr>
          <w:rtl/>
        </w:rPr>
        <w:t>سلطات</w:t>
      </w:r>
      <w:r w:rsidR="00F32B28">
        <w:rPr>
          <w:rtl/>
        </w:rPr>
        <w:t xml:space="preserve"> </w:t>
      </w:r>
      <w:r w:rsidR="00F32B28" w:rsidRPr="00F32B28">
        <w:rPr>
          <w:rtl/>
        </w:rPr>
        <w:t>الاحتلال</w:t>
      </w:r>
      <w:r w:rsidR="00F32B28">
        <w:rPr>
          <w:rtl/>
        </w:rPr>
        <w:t xml:space="preserve"> </w:t>
      </w:r>
      <w:r w:rsidR="00F32B28" w:rsidRPr="00F32B28">
        <w:rPr>
          <w:rtl/>
        </w:rPr>
        <w:t>بتحرير</w:t>
      </w:r>
      <w:r w:rsidR="00F32B28">
        <w:rPr>
          <w:rtl/>
        </w:rPr>
        <w:t xml:space="preserve"> </w:t>
      </w:r>
      <w:r w:rsidR="00F32B28" w:rsidRPr="00F32B28">
        <w:rPr>
          <w:rtl/>
        </w:rPr>
        <w:t>هذه</w:t>
      </w:r>
      <w:r w:rsidR="00F32B28">
        <w:rPr>
          <w:rtl/>
        </w:rPr>
        <w:t xml:space="preserve"> </w:t>
      </w:r>
      <w:r w:rsidR="00F32B28" w:rsidRPr="00F32B28">
        <w:rPr>
          <w:rtl/>
        </w:rPr>
        <w:t>المخالفات</w:t>
      </w:r>
      <w:r w:rsidR="00F32B28">
        <w:rPr>
          <w:rtl/>
        </w:rPr>
        <w:t xml:space="preserve"> </w:t>
      </w:r>
      <w:r w:rsidR="00F32B28" w:rsidRPr="00F32B28">
        <w:rPr>
          <w:rtl/>
        </w:rPr>
        <w:t>والغرامات</w:t>
      </w:r>
      <w:r w:rsidR="00F32B28">
        <w:rPr>
          <w:rtl/>
        </w:rPr>
        <w:t xml:space="preserve"> </w:t>
      </w:r>
      <w:r w:rsidR="00F32B28" w:rsidRPr="00F32B28">
        <w:rPr>
          <w:rtl/>
        </w:rPr>
        <w:t>باسم</w:t>
      </w:r>
      <w:r w:rsidR="00F32B28">
        <w:rPr>
          <w:rtl/>
        </w:rPr>
        <w:t xml:space="preserve"> </w:t>
      </w:r>
      <w:r w:rsidR="00F32B28" w:rsidRPr="00F32B28">
        <w:rPr>
          <w:rtl/>
        </w:rPr>
        <w:t>مدير</w:t>
      </w:r>
      <w:r w:rsidR="00F32B28">
        <w:rPr>
          <w:rtl/>
        </w:rPr>
        <w:t xml:space="preserve"> </w:t>
      </w:r>
      <w:r w:rsidR="00F32B28" w:rsidRPr="00F32B28">
        <w:rPr>
          <w:rtl/>
        </w:rPr>
        <w:t>المدرسة</w:t>
      </w:r>
      <w:r w:rsidR="00F32B28">
        <w:rPr>
          <w:rtl/>
        </w:rPr>
        <w:t xml:space="preserve"> </w:t>
      </w:r>
      <w:r w:rsidR="00F32B28" w:rsidRPr="00F32B28">
        <w:rPr>
          <w:rtl/>
        </w:rPr>
        <w:t>وملاحقته</w:t>
      </w:r>
      <w:r w:rsidR="00F32B28">
        <w:rPr>
          <w:rtl/>
        </w:rPr>
        <w:t xml:space="preserve"> </w:t>
      </w:r>
      <w:r w:rsidR="00F32B28" w:rsidRPr="00F32B28">
        <w:rPr>
          <w:rtl/>
        </w:rPr>
        <w:t>بشكل</w:t>
      </w:r>
      <w:r w:rsidR="00F32B28">
        <w:rPr>
          <w:rtl/>
        </w:rPr>
        <w:t xml:space="preserve"> </w:t>
      </w:r>
      <w:r w:rsidR="00F32B28" w:rsidRPr="00F32B28">
        <w:rPr>
          <w:rtl/>
        </w:rPr>
        <w:t>شخصي؛</w:t>
      </w:r>
    </w:p>
    <w:p w:rsidR="00F32B28" w:rsidRPr="00F32B28" w:rsidRDefault="0007328B" w:rsidP="0007328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lastRenderedPageBreak/>
        <w:tab/>
      </w:r>
      <w:r>
        <w:rPr>
          <w:rFonts w:hint="eastAsia"/>
          <w:rtl/>
        </w:rPr>
        <w:t>•</w:t>
      </w:r>
      <w:r>
        <w:rPr>
          <w:rFonts w:hint="cs"/>
          <w:rtl/>
        </w:rPr>
        <w:tab/>
      </w:r>
      <w:r w:rsidR="00F32B28" w:rsidRPr="00F32B28">
        <w:rPr>
          <w:rtl/>
        </w:rPr>
        <w:t>تحريف</w:t>
      </w:r>
      <w:r w:rsidR="00F32B28">
        <w:rPr>
          <w:rtl/>
        </w:rPr>
        <w:t xml:space="preserve"> </w:t>
      </w:r>
      <w:r w:rsidR="00F32B28" w:rsidRPr="00F32B28">
        <w:rPr>
          <w:rtl/>
        </w:rPr>
        <w:t>الكتب</w:t>
      </w:r>
      <w:r w:rsidR="00F32B28">
        <w:rPr>
          <w:rtl/>
        </w:rPr>
        <w:t xml:space="preserve"> </w:t>
      </w:r>
      <w:r w:rsidR="00F32B28" w:rsidRPr="00F32B28">
        <w:rPr>
          <w:rtl/>
        </w:rPr>
        <w:t>والمناهج</w:t>
      </w:r>
      <w:r w:rsidR="00F32B28">
        <w:rPr>
          <w:rtl/>
        </w:rPr>
        <w:t xml:space="preserve"> </w:t>
      </w:r>
      <w:r w:rsidR="00F32B28" w:rsidRPr="00F32B28">
        <w:rPr>
          <w:rtl/>
        </w:rPr>
        <w:t>الفلسطينية</w:t>
      </w:r>
      <w:r w:rsidR="00F32B28">
        <w:rPr>
          <w:rtl/>
        </w:rPr>
        <w:t xml:space="preserve"> </w:t>
      </w:r>
      <w:r w:rsidR="00F32B28" w:rsidRPr="00F32B28">
        <w:rPr>
          <w:rtl/>
        </w:rPr>
        <w:t>بقصد</w:t>
      </w:r>
      <w:r w:rsidR="00F32B28">
        <w:rPr>
          <w:rtl/>
        </w:rPr>
        <w:t xml:space="preserve"> </w:t>
      </w:r>
      <w:r w:rsidR="00F32B28" w:rsidRPr="00F32B28">
        <w:rPr>
          <w:rtl/>
        </w:rPr>
        <w:t>طمس</w:t>
      </w:r>
      <w:r w:rsidR="00F32B28">
        <w:rPr>
          <w:rtl/>
        </w:rPr>
        <w:t xml:space="preserve"> </w:t>
      </w:r>
      <w:r w:rsidR="00F32B28" w:rsidRPr="00F32B28">
        <w:rPr>
          <w:rtl/>
        </w:rPr>
        <w:t>الهوية</w:t>
      </w:r>
      <w:r w:rsidR="00F32B28">
        <w:rPr>
          <w:rtl/>
        </w:rPr>
        <w:t xml:space="preserve"> </w:t>
      </w:r>
      <w:r w:rsidR="00F32B28" w:rsidRPr="00F32B28">
        <w:rPr>
          <w:rtl/>
        </w:rPr>
        <w:t>الفلسطينية</w:t>
      </w:r>
      <w:r w:rsidR="00F32B28">
        <w:rPr>
          <w:rtl/>
        </w:rPr>
        <w:t xml:space="preserve"> </w:t>
      </w:r>
      <w:r w:rsidR="00F32B28" w:rsidRPr="00F32B28">
        <w:rPr>
          <w:rtl/>
        </w:rPr>
        <w:t>وتغييبها</w:t>
      </w:r>
      <w:r w:rsidR="00F32B28">
        <w:rPr>
          <w:rtl/>
        </w:rPr>
        <w:t xml:space="preserve"> </w:t>
      </w:r>
      <w:r w:rsidR="00F32B28" w:rsidRPr="00F32B28">
        <w:rPr>
          <w:rtl/>
        </w:rPr>
        <w:t>لدى</w:t>
      </w:r>
      <w:r w:rsidR="00F32B28">
        <w:rPr>
          <w:rtl/>
        </w:rPr>
        <w:t xml:space="preserve"> </w:t>
      </w:r>
      <w:r w:rsidR="00F32B28" w:rsidRPr="00F32B28">
        <w:rPr>
          <w:rtl/>
        </w:rPr>
        <w:t>الطلبة</w:t>
      </w:r>
      <w:r w:rsidR="00F32B28">
        <w:rPr>
          <w:rtl/>
        </w:rPr>
        <w:t xml:space="preserve"> </w:t>
      </w:r>
      <w:r w:rsidR="00F32B28" w:rsidRPr="00F32B28">
        <w:rPr>
          <w:rtl/>
        </w:rPr>
        <w:t>وشطب</w:t>
      </w:r>
      <w:r w:rsidR="00F32B28">
        <w:rPr>
          <w:rtl/>
        </w:rPr>
        <w:t xml:space="preserve"> </w:t>
      </w:r>
      <w:r w:rsidR="00F32B28" w:rsidRPr="00F32B28">
        <w:rPr>
          <w:rtl/>
        </w:rPr>
        <w:t>كل</w:t>
      </w:r>
      <w:r w:rsidR="00F32B28">
        <w:rPr>
          <w:rtl/>
        </w:rPr>
        <w:t xml:space="preserve"> </w:t>
      </w:r>
      <w:r w:rsidR="00F32B28" w:rsidRPr="00F32B28">
        <w:rPr>
          <w:rtl/>
        </w:rPr>
        <w:t>ما</w:t>
      </w:r>
      <w:r w:rsidR="00F32B28">
        <w:rPr>
          <w:rtl/>
        </w:rPr>
        <w:t xml:space="preserve"> </w:t>
      </w:r>
      <w:r w:rsidR="00F32B28" w:rsidRPr="00F32B28">
        <w:rPr>
          <w:rtl/>
        </w:rPr>
        <w:t>يشير</w:t>
      </w:r>
      <w:r w:rsidR="00F32B28">
        <w:rPr>
          <w:rtl/>
        </w:rPr>
        <w:t xml:space="preserve"> </w:t>
      </w:r>
      <w:r w:rsidR="00F32B28" w:rsidRPr="00F32B28">
        <w:rPr>
          <w:rtl/>
        </w:rPr>
        <w:t>فيها</w:t>
      </w:r>
      <w:r w:rsidR="00F32B28">
        <w:rPr>
          <w:rtl/>
        </w:rPr>
        <w:t xml:space="preserve"> </w:t>
      </w:r>
      <w:r w:rsidR="00F32B28" w:rsidRPr="00F32B28">
        <w:rPr>
          <w:rtl/>
        </w:rPr>
        <w:t>إلى</w:t>
      </w:r>
      <w:r w:rsidR="00F32B28">
        <w:rPr>
          <w:rtl/>
        </w:rPr>
        <w:t xml:space="preserve"> </w:t>
      </w:r>
      <w:r w:rsidR="00F32B28" w:rsidRPr="00F32B28">
        <w:rPr>
          <w:rtl/>
        </w:rPr>
        <w:t>القضية</w:t>
      </w:r>
      <w:r w:rsidR="00F32B28">
        <w:rPr>
          <w:rtl/>
        </w:rPr>
        <w:t xml:space="preserve"> </w:t>
      </w:r>
      <w:r w:rsidR="00F32B28" w:rsidRPr="00F32B28">
        <w:rPr>
          <w:rtl/>
        </w:rPr>
        <w:t>الفلسطينية</w:t>
      </w:r>
      <w:r w:rsidR="00F32B28">
        <w:rPr>
          <w:rtl/>
        </w:rPr>
        <w:t xml:space="preserve"> </w:t>
      </w:r>
      <w:r w:rsidR="00F32B28" w:rsidRPr="00F32B28">
        <w:rPr>
          <w:rtl/>
        </w:rPr>
        <w:t>وحق</w:t>
      </w:r>
      <w:r w:rsidR="00F32B28">
        <w:rPr>
          <w:rtl/>
        </w:rPr>
        <w:t xml:space="preserve"> </w:t>
      </w:r>
      <w:r w:rsidR="00F32B28" w:rsidRPr="00F32B28">
        <w:rPr>
          <w:rtl/>
        </w:rPr>
        <w:t>العودة</w:t>
      </w:r>
      <w:r w:rsidR="00F32B28">
        <w:rPr>
          <w:rtl/>
        </w:rPr>
        <w:t xml:space="preserve"> </w:t>
      </w:r>
      <w:r w:rsidR="00F32B28" w:rsidRPr="00F32B28">
        <w:rPr>
          <w:rtl/>
        </w:rPr>
        <w:t>وغيرها</w:t>
      </w:r>
      <w:r w:rsidR="00F32B28">
        <w:rPr>
          <w:rtl/>
        </w:rPr>
        <w:t xml:space="preserve"> </w:t>
      </w:r>
      <w:r w:rsidR="00F32B28" w:rsidRPr="00F32B28">
        <w:rPr>
          <w:rtl/>
        </w:rPr>
        <w:t>من</w:t>
      </w:r>
      <w:r w:rsidR="00F32B28">
        <w:rPr>
          <w:rtl/>
        </w:rPr>
        <w:t xml:space="preserve"> </w:t>
      </w:r>
      <w:r w:rsidR="00F32B28" w:rsidRPr="00F32B28">
        <w:rPr>
          <w:rtl/>
        </w:rPr>
        <w:t>القضايا</w:t>
      </w:r>
      <w:r w:rsidR="00F32B28">
        <w:rPr>
          <w:rtl/>
        </w:rPr>
        <w:t xml:space="preserve"> </w:t>
      </w:r>
      <w:r w:rsidR="00F32B28" w:rsidRPr="00F32B28">
        <w:rPr>
          <w:rtl/>
        </w:rPr>
        <w:t>الوطنية،</w:t>
      </w:r>
      <w:r w:rsidR="00F32B28">
        <w:rPr>
          <w:rtl/>
        </w:rPr>
        <w:t xml:space="preserve"> </w:t>
      </w:r>
      <w:r w:rsidR="00F32B28" w:rsidRPr="00F32B28">
        <w:rPr>
          <w:rtl/>
        </w:rPr>
        <w:t>الأمر</w:t>
      </w:r>
      <w:r w:rsidR="00F32B28">
        <w:rPr>
          <w:rtl/>
        </w:rPr>
        <w:t xml:space="preserve"> </w:t>
      </w:r>
      <w:r w:rsidR="00F32B28" w:rsidRPr="00F32B28">
        <w:rPr>
          <w:rtl/>
        </w:rPr>
        <w:t>الذي</w:t>
      </w:r>
      <w:r w:rsidR="00F32B28">
        <w:rPr>
          <w:rtl/>
        </w:rPr>
        <w:t xml:space="preserve"> </w:t>
      </w:r>
      <w:r w:rsidR="00F32B28" w:rsidRPr="00F32B28">
        <w:rPr>
          <w:rtl/>
        </w:rPr>
        <w:t>ينتهك</w:t>
      </w:r>
      <w:r w:rsidR="00F32B28">
        <w:rPr>
          <w:rtl/>
        </w:rPr>
        <w:t xml:space="preserve"> </w:t>
      </w:r>
      <w:r w:rsidR="00F32B28" w:rsidRPr="00F32B28">
        <w:rPr>
          <w:rtl/>
        </w:rPr>
        <w:t>حق</w:t>
      </w:r>
      <w:r w:rsidR="00F32B28">
        <w:rPr>
          <w:rtl/>
        </w:rPr>
        <w:t xml:space="preserve"> </w:t>
      </w:r>
      <w:r w:rsidR="00F32B28" w:rsidRPr="00F32B28">
        <w:rPr>
          <w:rtl/>
        </w:rPr>
        <w:t>الآباء</w:t>
      </w:r>
      <w:r w:rsidR="00F32B28">
        <w:rPr>
          <w:rtl/>
        </w:rPr>
        <w:t xml:space="preserve"> </w:t>
      </w:r>
      <w:r w:rsidR="00F32B28" w:rsidRPr="00F32B28">
        <w:rPr>
          <w:rtl/>
        </w:rPr>
        <w:t>وأولادهم</w:t>
      </w:r>
      <w:r w:rsidR="00F32B28">
        <w:rPr>
          <w:rtl/>
        </w:rPr>
        <w:t xml:space="preserve"> </w:t>
      </w:r>
      <w:r w:rsidR="00F32B28" w:rsidRPr="00F32B28">
        <w:rPr>
          <w:rtl/>
        </w:rPr>
        <w:t>الطلبة</w:t>
      </w:r>
      <w:r w:rsidR="00F32B28">
        <w:rPr>
          <w:rtl/>
        </w:rPr>
        <w:t xml:space="preserve"> </w:t>
      </w:r>
      <w:r w:rsidR="00F32B28" w:rsidRPr="00F32B28">
        <w:rPr>
          <w:rtl/>
        </w:rPr>
        <w:t>في</w:t>
      </w:r>
      <w:r w:rsidR="00F32B28">
        <w:rPr>
          <w:rtl/>
        </w:rPr>
        <w:t xml:space="preserve"> </w:t>
      </w:r>
      <w:r w:rsidR="00F32B28" w:rsidRPr="00F32B28">
        <w:rPr>
          <w:rtl/>
        </w:rPr>
        <w:t>تلقي</w:t>
      </w:r>
      <w:r w:rsidR="00F32B28">
        <w:rPr>
          <w:rtl/>
        </w:rPr>
        <w:t xml:space="preserve"> </w:t>
      </w:r>
      <w:r w:rsidR="00F32B28" w:rsidRPr="00F32B28">
        <w:rPr>
          <w:rtl/>
        </w:rPr>
        <w:t>تعليم</w:t>
      </w:r>
      <w:r w:rsidR="00F32B28">
        <w:rPr>
          <w:rtl/>
        </w:rPr>
        <w:t xml:space="preserve"> </w:t>
      </w:r>
      <w:r w:rsidR="00F32B28" w:rsidRPr="00F32B28">
        <w:rPr>
          <w:rtl/>
        </w:rPr>
        <w:t>يتوافق</w:t>
      </w:r>
      <w:r w:rsidR="00F32B28">
        <w:rPr>
          <w:rtl/>
        </w:rPr>
        <w:t xml:space="preserve"> </w:t>
      </w:r>
      <w:r w:rsidR="00F32B28" w:rsidRPr="00F32B28">
        <w:rPr>
          <w:rtl/>
        </w:rPr>
        <w:t>وقناعاتهم</w:t>
      </w:r>
      <w:r w:rsidR="00F32B28">
        <w:rPr>
          <w:rtl/>
        </w:rPr>
        <w:t xml:space="preserve"> </w:t>
      </w:r>
      <w:r w:rsidR="00F32B28" w:rsidRPr="00F32B28">
        <w:rPr>
          <w:rtl/>
        </w:rPr>
        <w:t>الخاصة.</w:t>
      </w:r>
      <w:r w:rsidR="00F32B28">
        <w:rPr>
          <w:rtl/>
        </w:rPr>
        <w:t xml:space="preserve"> </w:t>
      </w:r>
    </w:p>
    <w:p w:rsidR="00D95D28" w:rsidRPr="00D95D28" w:rsidRDefault="00D95D28" w:rsidP="00D95D28">
      <w:pPr>
        <w:pStyle w:val="SingleTxt"/>
        <w:spacing w:after="0" w:line="120" w:lineRule="exact"/>
        <w:rPr>
          <w:sz w:val="10"/>
          <w:rtl/>
        </w:rPr>
      </w:pPr>
    </w:p>
    <w:p w:rsidR="00F32B28" w:rsidRPr="00F32B28" w:rsidRDefault="0007328B" w:rsidP="0007328B">
      <w:pPr>
        <w:pStyle w:val="SingleTxt"/>
        <w:rPr>
          <w:rtl/>
        </w:rPr>
      </w:pPr>
      <w:r>
        <w:rPr>
          <w:rFonts w:hint="cs"/>
          <w:rtl/>
        </w:rPr>
        <w:t xml:space="preserve">196 - </w:t>
      </w:r>
      <w:r w:rsidR="00F32B28" w:rsidRPr="00F32B28">
        <w:rPr>
          <w:rtl/>
        </w:rPr>
        <w:t>كل</w:t>
      </w:r>
      <w:r w:rsidR="00F32B28">
        <w:rPr>
          <w:rtl/>
        </w:rPr>
        <w:t xml:space="preserve"> </w:t>
      </w:r>
      <w:r w:rsidR="00F32B28" w:rsidRPr="00F32B28">
        <w:rPr>
          <w:rtl/>
        </w:rPr>
        <w:t>هذه</w:t>
      </w:r>
      <w:r w:rsidR="00F32B28">
        <w:rPr>
          <w:rtl/>
        </w:rPr>
        <w:t xml:space="preserve"> </w:t>
      </w:r>
      <w:r w:rsidR="00F32B28" w:rsidRPr="00F32B28">
        <w:rPr>
          <w:rtl/>
        </w:rPr>
        <w:t>العوامل،</w:t>
      </w:r>
      <w:r w:rsidR="00F32B28">
        <w:rPr>
          <w:rtl/>
        </w:rPr>
        <w:t xml:space="preserve"> </w:t>
      </w:r>
      <w:r w:rsidR="00F32B28" w:rsidRPr="00F32B28">
        <w:rPr>
          <w:rtl/>
        </w:rPr>
        <w:t>بالإضافة</w:t>
      </w:r>
      <w:r w:rsidR="00F32B28">
        <w:rPr>
          <w:rtl/>
        </w:rPr>
        <w:t xml:space="preserve"> </w:t>
      </w:r>
      <w:r w:rsidR="00F32B28" w:rsidRPr="00F32B28">
        <w:rPr>
          <w:rtl/>
        </w:rPr>
        <w:t>إلى</w:t>
      </w:r>
      <w:r w:rsidR="00F32B28">
        <w:rPr>
          <w:rtl/>
        </w:rPr>
        <w:t xml:space="preserve"> </w:t>
      </w:r>
      <w:r w:rsidR="00F32B28" w:rsidRPr="00F32B28">
        <w:rPr>
          <w:rtl/>
        </w:rPr>
        <w:t>السياسات</w:t>
      </w:r>
      <w:r w:rsidR="00F32B28">
        <w:rPr>
          <w:rtl/>
        </w:rPr>
        <w:t xml:space="preserve"> </w:t>
      </w:r>
      <w:r w:rsidR="00F32B28" w:rsidRPr="00F32B28">
        <w:rPr>
          <w:rtl/>
        </w:rPr>
        <w:t>العنصرية</w:t>
      </w:r>
      <w:r w:rsidR="00F32B28">
        <w:rPr>
          <w:rtl/>
        </w:rPr>
        <w:t xml:space="preserve"> </w:t>
      </w:r>
      <w:r w:rsidR="00F32B28" w:rsidRPr="00F32B28">
        <w:rPr>
          <w:rtl/>
        </w:rPr>
        <w:t>والتحديات</w:t>
      </w:r>
      <w:r w:rsidR="00F32B28">
        <w:rPr>
          <w:rtl/>
        </w:rPr>
        <w:t xml:space="preserve"> </w:t>
      </w:r>
      <w:r w:rsidR="00F32B28" w:rsidRPr="00F32B28">
        <w:rPr>
          <w:rtl/>
        </w:rPr>
        <w:t>الاقتصادية</w:t>
      </w:r>
      <w:r w:rsidR="00F32B28">
        <w:rPr>
          <w:rtl/>
        </w:rPr>
        <w:t xml:space="preserve"> </w:t>
      </w:r>
      <w:r w:rsidR="00F32B28" w:rsidRPr="00F32B28">
        <w:rPr>
          <w:rtl/>
        </w:rPr>
        <w:t>التي</w:t>
      </w:r>
      <w:r w:rsidR="00F32B28">
        <w:rPr>
          <w:rtl/>
        </w:rPr>
        <w:t xml:space="preserve"> </w:t>
      </w:r>
      <w:r w:rsidR="00F32B28" w:rsidRPr="00F32B28">
        <w:rPr>
          <w:rtl/>
        </w:rPr>
        <w:t>تفرضها</w:t>
      </w:r>
      <w:r w:rsidR="00F32B28">
        <w:rPr>
          <w:rtl/>
        </w:rPr>
        <w:t xml:space="preserve"> </w:t>
      </w:r>
      <w:r w:rsidR="00F32B28" w:rsidRPr="00F32B28">
        <w:rPr>
          <w:rtl/>
        </w:rPr>
        <w:t>سلطات</w:t>
      </w:r>
      <w:r w:rsidR="00F32B28">
        <w:rPr>
          <w:rtl/>
        </w:rPr>
        <w:t xml:space="preserve"> </w:t>
      </w:r>
      <w:r w:rsidR="00F32B28" w:rsidRPr="00F32B28">
        <w:rPr>
          <w:rtl/>
        </w:rPr>
        <w:t>الاحتلال</w:t>
      </w:r>
      <w:r w:rsidR="00F32B28">
        <w:rPr>
          <w:rtl/>
        </w:rPr>
        <w:t xml:space="preserve"> </w:t>
      </w:r>
      <w:r w:rsidR="00F32B28" w:rsidRPr="00F32B28">
        <w:rPr>
          <w:rtl/>
        </w:rPr>
        <w:t>على</w:t>
      </w:r>
      <w:r w:rsidR="00F32B28">
        <w:rPr>
          <w:rtl/>
        </w:rPr>
        <w:t xml:space="preserve"> </w:t>
      </w:r>
      <w:r w:rsidR="00F32B28" w:rsidRPr="00F32B28">
        <w:rPr>
          <w:rtl/>
        </w:rPr>
        <w:t>الفلسطينيين</w:t>
      </w:r>
      <w:r w:rsidR="00F32B28">
        <w:rPr>
          <w:rtl/>
        </w:rPr>
        <w:t xml:space="preserve"> </w:t>
      </w:r>
      <w:r w:rsidR="00F32B28" w:rsidRPr="00F32B28">
        <w:rPr>
          <w:rtl/>
        </w:rPr>
        <w:t>المقدسيين،</w:t>
      </w:r>
      <w:r w:rsidR="00F32B28">
        <w:rPr>
          <w:rtl/>
        </w:rPr>
        <w:t xml:space="preserve"> </w:t>
      </w:r>
      <w:r w:rsidR="00F32B28" w:rsidRPr="00F32B28">
        <w:rPr>
          <w:rtl/>
        </w:rPr>
        <w:t>أدت</w:t>
      </w:r>
      <w:r w:rsidR="00F32B28">
        <w:rPr>
          <w:rtl/>
        </w:rPr>
        <w:t xml:space="preserve"> </w:t>
      </w:r>
      <w:r w:rsidR="00F32B28" w:rsidRPr="00F32B28">
        <w:rPr>
          <w:rtl/>
        </w:rPr>
        <w:t>إلى</w:t>
      </w:r>
      <w:r w:rsidR="00F32B28">
        <w:rPr>
          <w:rtl/>
        </w:rPr>
        <w:t xml:space="preserve"> </w:t>
      </w:r>
      <w:r w:rsidR="00F32B28" w:rsidRPr="00F32B28">
        <w:rPr>
          <w:rtl/>
        </w:rPr>
        <w:t>تسرب</w:t>
      </w:r>
      <w:r w:rsidR="00F32B28">
        <w:rPr>
          <w:rtl/>
        </w:rPr>
        <w:t xml:space="preserve"> </w:t>
      </w:r>
      <w:r w:rsidR="00F32B28" w:rsidRPr="00F32B28">
        <w:rPr>
          <w:rtl/>
        </w:rPr>
        <w:t>الطلبة</w:t>
      </w:r>
      <w:r w:rsidR="00F32B28">
        <w:rPr>
          <w:rtl/>
        </w:rPr>
        <w:t xml:space="preserve"> </w:t>
      </w:r>
      <w:r w:rsidR="00F32B28" w:rsidRPr="00F32B28">
        <w:rPr>
          <w:rtl/>
        </w:rPr>
        <w:t>من</w:t>
      </w:r>
      <w:r w:rsidR="00F32B28">
        <w:rPr>
          <w:rtl/>
        </w:rPr>
        <w:t xml:space="preserve"> </w:t>
      </w:r>
      <w:r w:rsidR="00F32B28" w:rsidRPr="00F32B28">
        <w:rPr>
          <w:rtl/>
        </w:rPr>
        <w:t>المدارس</w:t>
      </w:r>
      <w:r w:rsidR="00F32B28">
        <w:rPr>
          <w:rtl/>
        </w:rPr>
        <w:t xml:space="preserve"> </w:t>
      </w:r>
      <w:r w:rsidR="00F32B28" w:rsidRPr="00F32B28">
        <w:rPr>
          <w:rtl/>
        </w:rPr>
        <w:t>بنسب</w:t>
      </w:r>
      <w:r w:rsidR="00F32B28">
        <w:rPr>
          <w:rtl/>
        </w:rPr>
        <w:t xml:space="preserve"> </w:t>
      </w:r>
      <w:r w:rsidR="00F32B28" w:rsidRPr="00F32B28">
        <w:rPr>
          <w:rtl/>
        </w:rPr>
        <w:t>مرتفعة</w:t>
      </w:r>
      <w:r w:rsidR="00F32B28">
        <w:rPr>
          <w:rtl/>
        </w:rPr>
        <w:t xml:space="preserve"> </w:t>
      </w:r>
      <w:r w:rsidR="00F32B28" w:rsidRPr="00F32B28">
        <w:rPr>
          <w:rtl/>
        </w:rPr>
        <w:t>جداً،</w:t>
      </w:r>
      <w:r w:rsidR="00F32B28">
        <w:rPr>
          <w:rtl/>
        </w:rPr>
        <w:t xml:space="preserve"> </w:t>
      </w:r>
      <w:r w:rsidR="00F32B28" w:rsidRPr="00F32B28">
        <w:rPr>
          <w:rtl/>
        </w:rPr>
        <w:t>وبخاصة</w:t>
      </w:r>
      <w:r w:rsidR="00F32B28">
        <w:rPr>
          <w:rtl/>
        </w:rPr>
        <w:t xml:space="preserve"> </w:t>
      </w:r>
      <w:r w:rsidR="00F32B28" w:rsidRPr="00F32B28">
        <w:rPr>
          <w:rtl/>
        </w:rPr>
        <w:t>في</w:t>
      </w:r>
      <w:r w:rsidR="00F32B28">
        <w:rPr>
          <w:rtl/>
        </w:rPr>
        <w:t xml:space="preserve"> </w:t>
      </w:r>
      <w:r w:rsidR="00F32B28" w:rsidRPr="00F32B28">
        <w:rPr>
          <w:rtl/>
        </w:rPr>
        <w:t>المرحلة</w:t>
      </w:r>
      <w:r w:rsidR="00F32B28">
        <w:rPr>
          <w:rtl/>
        </w:rPr>
        <w:t xml:space="preserve"> </w:t>
      </w:r>
      <w:r w:rsidR="00F32B28" w:rsidRPr="00F32B28">
        <w:rPr>
          <w:rtl/>
        </w:rPr>
        <w:t>الثانوية</w:t>
      </w:r>
      <w:r w:rsidR="00F32B28">
        <w:rPr>
          <w:rtl/>
        </w:rPr>
        <w:t xml:space="preserve"> </w:t>
      </w:r>
      <w:r w:rsidR="00F32B28" w:rsidRPr="00F32B28">
        <w:rPr>
          <w:rtl/>
        </w:rPr>
        <w:t>فيما</w:t>
      </w:r>
      <w:r w:rsidR="00F32B28">
        <w:rPr>
          <w:rtl/>
        </w:rPr>
        <w:t xml:space="preserve"> </w:t>
      </w:r>
      <w:r w:rsidR="00F32B28" w:rsidRPr="00F32B28">
        <w:rPr>
          <w:rtl/>
        </w:rPr>
        <w:t>بين</w:t>
      </w:r>
      <w:r w:rsidR="00F32B28">
        <w:rPr>
          <w:rtl/>
        </w:rPr>
        <w:t xml:space="preserve"> </w:t>
      </w:r>
      <w:r w:rsidR="00F32B28" w:rsidRPr="00F32B28">
        <w:rPr>
          <w:rtl/>
        </w:rPr>
        <w:t>الإناث.</w:t>
      </w:r>
    </w:p>
    <w:p w:rsidR="00F32B28" w:rsidRPr="00F32B28" w:rsidRDefault="0007328B" w:rsidP="0007328B">
      <w:pPr>
        <w:pStyle w:val="SingleTxt"/>
        <w:rPr>
          <w:rtl/>
          <w:lang w:bidi="ar-SY"/>
        </w:rPr>
      </w:pPr>
      <w:r>
        <w:rPr>
          <w:rFonts w:hint="cs"/>
          <w:rtl/>
        </w:rPr>
        <w:t xml:space="preserve">197 - </w:t>
      </w:r>
      <w:r w:rsidR="00F32B28" w:rsidRPr="00F32B28">
        <w:rPr>
          <w:rtl/>
        </w:rPr>
        <w:t>أما</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يشكل</w:t>
      </w:r>
      <w:r w:rsidR="00F32B28">
        <w:rPr>
          <w:rtl/>
        </w:rPr>
        <w:t xml:space="preserve"> </w:t>
      </w:r>
      <w:r w:rsidR="00F32B28" w:rsidRPr="00F32B28">
        <w:rPr>
          <w:rtl/>
        </w:rPr>
        <w:t>الحصار</w:t>
      </w:r>
      <w:r w:rsidR="00F32B28">
        <w:rPr>
          <w:rtl/>
        </w:rPr>
        <w:t xml:space="preserve"> </w:t>
      </w:r>
      <w:r w:rsidR="00F32B28" w:rsidRPr="00F32B28">
        <w:rPr>
          <w:rtl/>
        </w:rPr>
        <w:t>غير</w:t>
      </w:r>
      <w:r w:rsidR="00F32B28">
        <w:rPr>
          <w:rtl/>
        </w:rPr>
        <w:t xml:space="preserve"> </w:t>
      </w:r>
      <w:r w:rsidR="00F32B28" w:rsidRPr="00F32B28">
        <w:rPr>
          <w:rtl/>
        </w:rPr>
        <w:t>القانوني</w:t>
      </w:r>
      <w:r w:rsidR="00F32B28">
        <w:rPr>
          <w:rtl/>
        </w:rPr>
        <w:t xml:space="preserve"> </w:t>
      </w:r>
      <w:r w:rsidR="00F32B28" w:rsidRPr="00F32B28">
        <w:rPr>
          <w:rtl/>
        </w:rPr>
        <w:t>تهديداً</w:t>
      </w:r>
      <w:r w:rsidR="00F32B28">
        <w:rPr>
          <w:rtl/>
        </w:rPr>
        <w:t xml:space="preserve"> </w:t>
      </w:r>
      <w:r w:rsidR="00F32B28" w:rsidRPr="00F32B28">
        <w:rPr>
          <w:rtl/>
        </w:rPr>
        <w:t>خطيراً</w:t>
      </w:r>
      <w:r w:rsidR="00F32B28">
        <w:rPr>
          <w:rtl/>
        </w:rPr>
        <w:t xml:space="preserve"> </w:t>
      </w:r>
      <w:r w:rsidR="00F32B28" w:rsidRPr="00F32B28">
        <w:rPr>
          <w:rtl/>
        </w:rPr>
        <w:t>على</w:t>
      </w:r>
      <w:r w:rsidR="00F32B28">
        <w:rPr>
          <w:rtl/>
        </w:rPr>
        <w:t xml:space="preserve"> </w:t>
      </w:r>
      <w:r w:rsidR="00F32B28" w:rsidRPr="00F32B28">
        <w:rPr>
          <w:rtl/>
        </w:rPr>
        <w:t>مسيرة</w:t>
      </w:r>
      <w:r w:rsidR="00F32B28">
        <w:rPr>
          <w:rtl/>
        </w:rPr>
        <w:t xml:space="preserve"> </w:t>
      </w:r>
      <w:r w:rsidR="00F32B28" w:rsidRPr="00F32B28">
        <w:rPr>
          <w:rtl/>
        </w:rPr>
        <w:t>التعليم</w:t>
      </w:r>
      <w:r w:rsidR="00F32B28">
        <w:rPr>
          <w:rtl/>
        </w:rPr>
        <w:t xml:space="preserve"> </w:t>
      </w:r>
      <w:r w:rsidR="00F32B28" w:rsidRPr="00F32B28">
        <w:rPr>
          <w:rtl/>
        </w:rPr>
        <w:t>المدرسي</w:t>
      </w:r>
      <w:r w:rsidR="00F32B28">
        <w:rPr>
          <w:rtl/>
        </w:rPr>
        <w:t xml:space="preserve"> </w:t>
      </w:r>
      <w:r w:rsidR="00F32B28" w:rsidRPr="00F32B28">
        <w:rPr>
          <w:rtl/>
        </w:rPr>
        <w:t>والجامعي</w:t>
      </w:r>
      <w:r>
        <w:rPr>
          <w:rFonts w:hint="cs"/>
          <w:rtl/>
        </w:rPr>
        <w:t xml:space="preserve"> </w:t>
      </w:r>
      <w:r w:rsidR="00F32B28" w:rsidRPr="00F32B28">
        <w:rPr>
          <w:rtl/>
        </w:rPr>
        <w:t>هناك.</w:t>
      </w:r>
      <w:r>
        <w:rPr>
          <w:rFonts w:hint="cs"/>
          <w:rtl/>
        </w:rPr>
        <w:t xml:space="preserve"> </w:t>
      </w:r>
      <w:r w:rsidR="00F32B28" w:rsidRPr="00F32B28">
        <w:rPr>
          <w:rtl/>
        </w:rPr>
        <w:t>إذ</w:t>
      </w:r>
      <w:r w:rsidR="00F32B28">
        <w:rPr>
          <w:rtl/>
        </w:rPr>
        <w:t xml:space="preserve"> </w:t>
      </w:r>
      <w:r w:rsidR="00F32B28" w:rsidRPr="00F32B28">
        <w:rPr>
          <w:rtl/>
        </w:rPr>
        <w:t>تواصل</w:t>
      </w:r>
      <w:r w:rsidR="00F32B28">
        <w:rPr>
          <w:rtl/>
        </w:rPr>
        <w:t xml:space="preserve"> </w:t>
      </w:r>
      <w:r w:rsidR="00F32B28" w:rsidRPr="00F32B28">
        <w:rPr>
          <w:rtl/>
        </w:rPr>
        <w:t>قوات</w:t>
      </w:r>
      <w:r w:rsidR="00F32B28">
        <w:rPr>
          <w:rtl/>
        </w:rPr>
        <w:t xml:space="preserve"> </w:t>
      </w:r>
      <w:r w:rsidR="00F32B28" w:rsidRPr="00F32B28">
        <w:rPr>
          <w:rtl/>
        </w:rPr>
        <w:t>الاحتلال</w:t>
      </w:r>
      <w:r w:rsidR="00F32B28">
        <w:rPr>
          <w:rtl/>
        </w:rPr>
        <w:t xml:space="preserve"> </w:t>
      </w:r>
      <w:r w:rsidR="00F32B28" w:rsidRPr="00F32B28">
        <w:rPr>
          <w:rtl/>
        </w:rPr>
        <w:t>منع</w:t>
      </w:r>
      <w:r w:rsidR="00F32B28">
        <w:rPr>
          <w:rtl/>
        </w:rPr>
        <w:t xml:space="preserve"> </w:t>
      </w:r>
      <w:r w:rsidR="00F32B28" w:rsidRPr="00F32B28">
        <w:rPr>
          <w:rtl/>
        </w:rPr>
        <w:t>إدخال</w:t>
      </w:r>
      <w:r w:rsidR="00F32B28">
        <w:rPr>
          <w:rtl/>
        </w:rPr>
        <w:t xml:space="preserve"> </w:t>
      </w:r>
      <w:r w:rsidR="00F32B28" w:rsidRPr="00F32B28">
        <w:rPr>
          <w:rtl/>
        </w:rPr>
        <w:t>مواد</w:t>
      </w:r>
      <w:r w:rsidR="00F32B28">
        <w:rPr>
          <w:rtl/>
        </w:rPr>
        <w:t xml:space="preserve"> </w:t>
      </w:r>
      <w:r w:rsidR="00F32B28" w:rsidRPr="00F32B28">
        <w:rPr>
          <w:rtl/>
        </w:rPr>
        <w:t>البناء</w:t>
      </w:r>
      <w:r w:rsidR="00F32B28">
        <w:rPr>
          <w:rtl/>
        </w:rPr>
        <w:t xml:space="preserve"> </w:t>
      </w:r>
      <w:r w:rsidR="00F32B28" w:rsidRPr="00F32B28">
        <w:rPr>
          <w:rtl/>
        </w:rPr>
        <w:t>اللازمة</w:t>
      </w:r>
      <w:r w:rsidR="00F32B28">
        <w:rPr>
          <w:rtl/>
        </w:rPr>
        <w:t xml:space="preserve"> </w:t>
      </w:r>
      <w:r w:rsidR="00F32B28" w:rsidRPr="00F32B28">
        <w:rPr>
          <w:rtl/>
        </w:rPr>
        <w:t>لبناء</w:t>
      </w:r>
      <w:r w:rsidR="00F32B28">
        <w:rPr>
          <w:rtl/>
        </w:rPr>
        <w:t xml:space="preserve"> </w:t>
      </w:r>
      <w:r w:rsidR="00F32B28" w:rsidRPr="00F32B28">
        <w:rPr>
          <w:rtl/>
        </w:rPr>
        <w:t>مدارس</w:t>
      </w:r>
      <w:r w:rsidR="00F32B28">
        <w:rPr>
          <w:rtl/>
        </w:rPr>
        <w:t xml:space="preserve"> </w:t>
      </w:r>
      <w:r w:rsidR="00F32B28" w:rsidRPr="00F32B28">
        <w:rPr>
          <w:rtl/>
        </w:rPr>
        <w:t>جديدة</w:t>
      </w:r>
      <w:r w:rsidR="00F32B28">
        <w:rPr>
          <w:rtl/>
        </w:rPr>
        <w:t xml:space="preserve"> </w:t>
      </w:r>
      <w:r w:rsidR="00F32B28" w:rsidRPr="00F32B28">
        <w:rPr>
          <w:rtl/>
        </w:rPr>
        <w:t>أو</w:t>
      </w:r>
      <w:r w:rsidR="00F32B28">
        <w:rPr>
          <w:rtl/>
        </w:rPr>
        <w:t xml:space="preserve"> </w:t>
      </w:r>
      <w:r w:rsidR="00F32B28" w:rsidRPr="00F32B28">
        <w:rPr>
          <w:rtl/>
        </w:rPr>
        <w:t>ترميم</w:t>
      </w:r>
      <w:r w:rsidR="00F32B28">
        <w:rPr>
          <w:rtl/>
        </w:rPr>
        <w:t xml:space="preserve"> </w:t>
      </w:r>
      <w:r w:rsidR="00F32B28" w:rsidRPr="00F32B28">
        <w:rPr>
          <w:rtl/>
        </w:rPr>
        <w:t>المدارس</w:t>
      </w:r>
      <w:r w:rsidR="00F32B28">
        <w:rPr>
          <w:rtl/>
        </w:rPr>
        <w:t xml:space="preserve"> </w:t>
      </w:r>
      <w:r w:rsidR="00F32B28" w:rsidRPr="00F32B28">
        <w:rPr>
          <w:rtl/>
        </w:rPr>
        <w:t>التي</w:t>
      </w:r>
      <w:r w:rsidR="00F32B28">
        <w:rPr>
          <w:rtl/>
        </w:rPr>
        <w:t xml:space="preserve"> </w:t>
      </w:r>
      <w:r w:rsidR="00F32B28" w:rsidRPr="00F32B28">
        <w:rPr>
          <w:rtl/>
        </w:rPr>
        <w:t>تضررت</w:t>
      </w:r>
      <w:r w:rsidR="00F32B28">
        <w:rPr>
          <w:rtl/>
        </w:rPr>
        <w:t xml:space="preserve"> </w:t>
      </w:r>
      <w:r w:rsidR="00F32B28" w:rsidRPr="00F32B28">
        <w:rPr>
          <w:rtl/>
        </w:rPr>
        <w:t>بفعل</w:t>
      </w:r>
      <w:r w:rsidR="00F32B28">
        <w:rPr>
          <w:rtl/>
        </w:rPr>
        <w:t xml:space="preserve"> </w:t>
      </w:r>
      <w:r w:rsidR="00F32B28" w:rsidRPr="00F32B28">
        <w:rPr>
          <w:rtl/>
        </w:rPr>
        <w:t>الحروب</w:t>
      </w:r>
      <w:r w:rsidR="00F32B28">
        <w:rPr>
          <w:rtl/>
        </w:rPr>
        <w:t xml:space="preserve"> </w:t>
      </w:r>
      <w:r w:rsidR="00F32B28" w:rsidRPr="00F32B28">
        <w:rPr>
          <w:rtl/>
        </w:rPr>
        <w:t>المستمرة</w:t>
      </w:r>
      <w:r w:rsidR="00F32B28">
        <w:rPr>
          <w:rtl/>
        </w:rPr>
        <w:t xml:space="preserve"> </w:t>
      </w:r>
      <w:r w:rsidR="00F32B28" w:rsidRPr="00F32B28">
        <w:rPr>
          <w:rtl/>
        </w:rPr>
        <w:t>على</w:t>
      </w:r>
      <w:r w:rsidR="00F32B28">
        <w:rPr>
          <w:rtl/>
        </w:rPr>
        <w:t xml:space="preserve"> </w:t>
      </w:r>
      <w:r w:rsidR="00F32B28" w:rsidRPr="00F32B28">
        <w:rPr>
          <w:rtl/>
        </w:rPr>
        <w:t>القطاع.</w:t>
      </w:r>
      <w:r>
        <w:rPr>
          <w:rFonts w:hint="cs"/>
          <w:rtl/>
        </w:rPr>
        <w:t xml:space="preserve"> </w:t>
      </w:r>
      <w:r w:rsidR="00F32B28" w:rsidRPr="00F32B28">
        <w:rPr>
          <w:rtl/>
        </w:rPr>
        <w:t>حيث</w:t>
      </w:r>
      <w:r w:rsidR="00F32B28">
        <w:rPr>
          <w:rtl/>
        </w:rPr>
        <w:t xml:space="preserve"> </w:t>
      </w:r>
      <w:r w:rsidR="00F32B28" w:rsidRPr="00F32B28">
        <w:rPr>
          <w:rtl/>
        </w:rPr>
        <w:t>تحتاج</w:t>
      </w:r>
      <w:r w:rsidR="00F32B28">
        <w:rPr>
          <w:rtl/>
        </w:rPr>
        <w:t xml:space="preserve"> </w:t>
      </w:r>
      <w:r w:rsidR="00F32B28" w:rsidRPr="00F32B28">
        <w:rPr>
          <w:rtl/>
        </w:rPr>
        <w:t>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إلى</w:t>
      </w:r>
      <w:r w:rsidR="00F32B28">
        <w:rPr>
          <w:rtl/>
        </w:rPr>
        <w:t xml:space="preserve"> </w:t>
      </w:r>
      <w:r w:rsidR="00F32B28" w:rsidRPr="00F32B28">
        <w:rPr>
          <w:rtl/>
        </w:rPr>
        <w:t>بناء</w:t>
      </w:r>
      <w:r w:rsidR="00F32B28">
        <w:rPr>
          <w:rtl/>
        </w:rPr>
        <w:t xml:space="preserve"> </w:t>
      </w:r>
      <w:r w:rsidR="00F32B28" w:rsidRPr="00F32B28">
        <w:rPr>
          <w:rtl/>
        </w:rPr>
        <w:t>(139)</w:t>
      </w:r>
      <w:r w:rsidR="00F32B28">
        <w:rPr>
          <w:rtl/>
        </w:rPr>
        <w:t xml:space="preserve"> </w:t>
      </w:r>
      <w:r w:rsidR="00F32B28" w:rsidRPr="00F32B28">
        <w:rPr>
          <w:rtl/>
        </w:rPr>
        <w:t>مدرسة</w:t>
      </w:r>
      <w:r w:rsidR="00F32B28">
        <w:rPr>
          <w:rtl/>
        </w:rPr>
        <w:t xml:space="preserve"> </w:t>
      </w:r>
      <w:r w:rsidR="00F32B28" w:rsidRPr="00F32B28">
        <w:rPr>
          <w:rtl/>
        </w:rPr>
        <w:t>جديدة</w:t>
      </w:r>
      <w:r w:rsidR="00F32B28">
        <w:rPr>
          <w:rtl/>
        </w:rPr>
        <w:t xml:space="preserve"> </w:t>
      </w:r>
      <w:r w:rsidR="00F32B28" w:rsidRPr="00F32B28">
        <w:rPr>
          <w:rtl/>
        </w:rPr>
        <w:t>لاستيعاب</w:t>
      </w:r>
      <w:r w:rsidR="00F32B28">
        <w:rPr>
          <w:rtl/>
        </w:rPr>
        <w:t xml:space="preserve"> </w:t>
      </w:r>
      <w:r w:rsidR="00F32B28" w:rsidRPr="00F32B28">
        <w:rPr>
          <w:rtl/>
        </w:rPr>
        <w:t>الطلبة</w:t>
      </w:r>
      <w:r w:rsidR="00F32B28">
        <w:rPr>
          <w:rtl/>
        </w:rPr>
        <w:t xml:space="preserve"> </w:t>
      </w:r>
      <w:r w:rsidR="00F32B28" w:rsidRPr="00F32B28">
        <w:rPr>
          <w:rtl/>
        </w:rPr>
        <w:t>وتوفير</w:t>
      </w:r>
      <w:r w:rsidR="00F32B28">
        <w:rPr>
          <w:rtl/>
        </w:rPr>
        <w:t xml:space="preserve"> </w:t>
      </w:r>
      <w:r w:rsidR="00F32B28" w:rsidRPr="00F32B28">
        <w:rPr>
          <w:rtl/>
        </w:rPr>
        <w:t>تعليم</w:t>
      </w:r>
      <w:r w:rsidR="00F32B28">
        <w:rPr>
          <w:rtl/>
        </w:rPr>
        <w:t xml:space="preserve"> </w:t>
      </w:r>
      <w:r w:rsidR="00F32B28" w:rsidRPr="00F32B28">
        <w:rPr>
          <w:rtl/>
        </w:rPr>
        <w:t>مناسب</w:t>
      </w:r>
      <w:r w:rsidR="00F32B28">
        <w:rPr>
          <w:rtl/>
        </w:rPr>
        <w:t xml:space="preserve"> </w:t>
      </w:r>
      <w:r w:rsidR="00F32B28" w:rsidRPr="00F32B28">
        <w:rPr>
          <w:rtl/>
        </w:rPr>
        <w:t>لهم،</w:t>
      </w:r>
      <w:r w:rsidR="00F32B28">
        <w:rPr>
          <w:rtl/>
        </w:rPr>
        <w:t xml:space="preserve"> </w:t>
      </w:r>
      <w:r w:rsidR="00F32B28" w:rsidRPr="00F32B28">
        <w:rPr>
          <w:rtl/>
        </w:rPr>
        <w:t>كما</w:t>
      </w:r>
      <w:r w:rsidR="00F32B28">
        <w:rPr>
          <w:rtl/>
        </w:rPr>
        <w:t xml:space="preserve"> </w:t>
      </w:r>
      <w:r w:rsidR="00F32B28" w:rsidRPr="00F32B28">
        <w:rPr>
          <w:rtl/>
        </w:rPr>
        <w:t>وتحتاج</w:t>
      </w:r>
      <w:r w:rsidR="00F32B28">
        <w:rPr>
          <w:rtl/>
        </w:rPr>
        <w:t xml:space="preserve"> </w:t>
      </w:r>
      <w:r w:rsidR="00D06D08">
        <w:rPr>
          <w:rFonts w:hint="cs"/>
          <w:rtl/>
        </w:rPr>
        <w:t>”</w:t>
      </w:r>
      <w:r w:rsidR="00F32B28" w:rsidRPr="00F32B28">
        <w:rPr>
          <w:rtl/>
        </w:rPr>
        <w:t>الأونروا</w:t>
      </w:r>
      <w:r w:rsidR="00D06D08">
        <w:rPr>
          <w:rFonts w:hint="cs"/>
          <w:rtl/>
        </w:rPr>
        <w:t>“</w:t>
      </w:r>
      <w:r w:rsidR="00F32B28">
        <w:rPr>
          <w:rtl/>
        </w:rPr>
        <w:t xml:space="preserve"> </w:t>
      </w:r>
      <w:r w:rsidR="00F32B28" w:rsidRPr="00F32B28">
        <w:rPr>
          <w:rtl/>
        </w:rPr>
        <w:t>إلى</w:t>
      </w:r>
      <w:r w:rsidR="00F32B28">
        <w:rPr>
          <w:rtl/>
        </w:rPr>
        <w:t xml:space="preserve"> </w:t>
      </w:r>
      <w:r w:rsidR="00F32B28" w:rsidRPr="00F32B28">
        <w:rPr>
          <w:rtl/>
        </w:rPr>
        <w:t>بناء</w:t>
      </w:r>
      <w:r w:rsidR="00F32B28">
        <w:rPr>
          <w:rtl/>
        </w:rPr>
        <w:t xml:space="preserve"> </w:t>
      </w:r>
      <w:r w:rsidR="00F32B28" w:rsidRPr="00F32B28">
        <w:rPr>
          <w:rtl/>
        </w:rPr>
        <w:t>(104)</w:t>
      </w:r>
      <w:r w:rsidR="00F32B28">
        <w:rPr>
          <w:rtl/>
        </w:rPr>
        <w:t xml:space="preserve"> </w:t>
      </w:r>
      <w:r w:rsidR="00F32B28" w:rsidRPr="00F32B28">
        <w:rPr>
          <w:rtl/>
        </w:rPr>
        <w:t>مدرسة</w:t>
      </w:r>
      <w:r w:rsidR="00F32B28">
        <w:rPr>
          <w:rtl/>
        </w:rPr>
        <w:t xml:space="preserve"> </w:t>
      </w:r>
      <w:r w:rsidR="00F32B28" w:rsidRPr="00F32B28">
        <w:rPr>
          <w:rtl/>
        </w:rPr>
        <w:t>جديدة</w:t>
      </w:r>
      <w:r w:rsidR="00F32B28">
        <w:rPr>
          <w:rtl/>
        </w:rPr>
        <w:t xml:space="preserve"> </w:t>
      </w:r>
      <w:r w:rsidR="00F32B28" w:rsidRPr="00F32B28">
        <w:rPr>
          <w:rtl/>
        </w:rPr>
        <w:t>لتجنب</w:t>
      </w:r>
      <w:r w:rsidR="00F32B28">
        <w:rPr>
          <w:rtl/>
        </w:rPr>
        <w:t xml:space="preserve"> </w:t>
      </w:r>
      <w:r w:rsidR="00F32B28" w:rsidRPr="00F32B28">
        <w:rPr>
          <w:rtl/>
        </w:rPr>
        <w:t>عمل</w:t>
      </w:r>
      <w:r w:rsidR="00F32B28">
        <w:rPr>
          <w:rtl/>
        </w:rPr>
        <w:t xml:space="preserve"> </w:t>
      </w:r>
      <w:r w:rsidR="00F32B28" w:rsidRPr="00F32B28">
        <w:rPr>
          <w:rtl/>
        </w:rPr>
        <w:t>مدارسها</w:t>
      </w:r>
      <w:r w:rsidR="00F32B28">
        <w:rPr>
          <w:rtl/>
        </w:rPr>
        <w:t xml:space="preserve"> </w:t>
      </w:r>
      <w:r w:rsidR="00F32B28" w:rsidRPr="00F32B28">
        <w:rPr>
          <w:rtl/>
        </w:rPr>
        <w:t>بنظام</w:t>
      </w:r>
      <w:r w:rsidR="00F32B28">
        <w:rPr>
          <w:rtl/>
        </w:rPr>
        <w:t xml:space="preserve"> </w:t>
      </w:r>
      <w:r w:rsidR="00F32B28" w:rsidRPr="00F32B28">
        <w:rPr>
          <w:rtl/>
        </w:rPr>
        <w:t>الفترتين</w:t>
      </w:r>
      <w:r w:rsidR="00F32B28">
        <w:rPr>
          <w:rtl/>
        </w:rPr>
        <w:t xml:space="preserve"> </w:t>
      </w:r>
      <w:r w:rsidR="00F32B28" w:rsidRPr="00F32B28">
        <w:rPr>
          <w:rtl/>
        </w:rPr>
        <w:t>والثلاث</w:t>
      </w:r>
      <w:r w:rsidR="00F32B28">
        <w:rPr>
          <w:rtl/>
        </w:rPr>
        <w:t xml:space="preserve"> </w:t>
      </w:r>
      <w:r w:rsidR="00F32B28" w:rsidRPr="00F32B28">
        <w:rPr>
          <w:rtl/>
        </w:rPr>
        <w:t>فترات.</w:t>
      </w:r>
      <w:r w:rsidR="00F32B28">
        <w:rPr>
          <w:rtl/>
        </w:rPr>
        <w:t xml:space="preserve"> </w:t>
      </w:r>
    </w:p>
    <w:p w:rsidR="00F32B28" w:rsidRPr="00F32B28" w:rsidRDefault="0007328B" w:rsidP="0007328B">
      <w:pPr>
        <w:pStyle w:val="SingleTxt"/>
        <w:rPr>
          <w:rtl/>
        </w:rPr>
      </w:pPr>
      <w:r>
        <w:rPr>
          <w:rFonts w:hint="cs"/>
          <w:rtl/>
        </w:rPr>
        <w:t xml:space="preserve">198 - </w:t>
      </w:r>
      <w:r w:rsidR="00F32B28" w:rsidRPr="00F32B28">
        <w:rPr>
          <w:rtl/>
        </w:rPr>
        <w:t>كما</w:t>
      </w:r>
      <w:r w:rsidR="00F32B28">
        <w:rPr>
          <w:rtl/>
        </w:rPr>
        <w:t xml:space="preserve"> </w:t>
      </w:r>
      <w:r w:rsidR="00F32B28" w:rsidRPr="00F32B28">
        <w:rPr>
          <w:rtl/>
        </w:rPr>
        <w:t>وتفرض</w:t>
      </w:r>
      <w:r w:rsidR="00F32B28">
        <w:rPr>
          <w:rtl/>
        </w:rPr>
        <w:t xml:space="preserve"> </w:t>
      </w:r>
      <w:r w:rsidR="00F32B28" w:rsidRPr="00F32B28">
        <w:rPr>
          <w:rtl/>
        </w:rPr>
        <w:t>سلطات</w:t>
      </w:r>
      <w:r w:rsidR="00F32B28">
        <w:rPr>
          <w:rtl/>
        </w:rPr>
        <w:t xml:space="preserve"> </w:t>
      </w:r>
      <w:r w:rsidR="00F32B28" w:rsidRPr="00F32B28">
        <w:rPr>
          <w:rtl/>
        </w:rPr>
        <w:t>الاحتلال</w:t>
      </w:r>
      <w:r w:rsidR="00F32B28">
        <w:rPr>
          <w:rtl/>
        </w:rPr>
        <w:t xml:space="preserve"> </w:t>
      </w:r>
      <w:r w:rsidR="00F32B28" w:rsidRPr="00F32B28">
        <w:rPr>
          <w:rtl/>
        </w:rPr>
        <w:t>قيود</w:t>
      </w:r>
      <w:r w:rsidR="00F32B28">
        <w:rPr>
          <w:rtl/>
        </w:rPr>
        <w:t xml:space="preserve"> </w:t>
      </w:r>
      <w:r w:rsidR="00F32B28" w:rsidRPr="00F32B28">
        <w:rPr>
          <w:rtl/>
        </w:rPr>
        <w:t>شديدة</w:t>
      </w:r>
      <w:r w:rsidR="00F32B28">
        <w:rPr>
          <w:rtl/>
        </w:rPr>
        <w:t xml:space="preserve"> </w:t>
      </w:r>
      <w:r w:rsidR="00F32B28" w:rsidRPr="00F32B28">
        <w:rPr>
          <w:rtl/>
        </w:rPr>
        <w:t>على</w:t>
      </w:r>
      <w:r w:rsidR="00F32B28">
        <w:rPr>
          <w:rtl/>
        </w:rPr>
        <w:t xml:space="preserve"> </w:t>
      </w:r>
      <w:r w:rsidR="00F32B28" w:rsidRPr="00F32B28">
        <w:rPr>
          <w:rtl/>
        </w:rPr>
        <w:t>إدخال</w:t>
      </w:r>
      <w:r w:rsidR="00F32B28">
        <w:rPr>
          <w:rtl/>
        </w:rPr>
        <w:t xml:space="preserve"> </w:t>
      </w:r>
      <w:r w:rsidR="00F32B28" w:rsidRPr="00F32B28">
        <w:rPr>
          <w:rtl/>
        </w:rPr>
        <w:t>كثير</w:t>
      </w:r>
      <w:r w:rsidR="00F32B28">
        <w:rPr>
          <w:rtl/>
        </w:rPr>
        <w:t xml:space="preserve"> </w:t>
      </w:r>
      <w:r w:rsidR="00F32B28" w:rsidRPr="00F32B28">
        <w:rPr>
          <w:rtl/>
        </w:rPr>
        <w:t>من</w:t>
      </w:r>
      <w:r w:rsidR="00F32B28">
        <w:rPr>
          <w:rtl/>
        </w:rPr>
        <w:t xml:space="preserve"> </w:t>
      </w:r>
      <w:r w:rsidR="00F32B28" w:rsidRPr="00F32B28">
        <w:rPr>
          <w:rtl/>
        </w:rPr>
        <w:t>متطلبات</w:t>
      </w:r>
      <w:r w:rsidR="00F32B28">
        <w:rPr>
          <w:rtl/>
        </w:rPr>
        <w:t xml:space="preserve"> </w:t>
      </w:r>
      <w:r w:rsidR="00F32B28" w:rsidRPr="00F32B28">
        <w:rPr>
          <w:rtl/>
        </w:rPr>
        <w:t>العملية</w:t>
      </w:r>
      <w:r w:rsidR="00F32B28">
        <w:rPr>
          <w:rtl/>
        </w:rPr>
        <w:t xml:space="preserve"> </w:t>
      </w:r>
      <w:r w:rsidR="00F32B28" w:rsidRPr="00F32B28">
        <w:rPr>
          <w:rtl/>
        </w:rPr>
        <w:t>التعليمية،</w:t>
      </w:r>
      <w:r w:rsidR="00F32B28">
        <w:rPr>
          <w:rtl/>
        </w:rPr>
        <w:t xml:space="preserve"> </w:t>
      </w:r>
      <w:r w:rsidR="00F32B28" w:rsidRPr="00F32B28">
        <w:rPr>
          <w:rtl/>
        </w:rPr>
        <w:t>مما</w:t>
      </w:r>
      <w:r w:rsidR="00F32B28">
        <w:rPr>
          <w:rtl/>
        </w:rPr>
        <w:t xml:space="preserve"> </w:t>
      </w:r>
      <w:r w:rsidR="00F32B28" w:rsidRPr="00F32B28">
        <w:rPr>
          <w:rtl/>
        </w:rPr>
        <w:t>يسبب</w:t>
      </w:r>
      <w:r w:rsidR="00F32B28">
        <w:rPr>
          <w:rtl/>
        </w:rPr>
        <w:t xml:space="preserve"> </w:t>
      </w:r>
      <w:r w:rsidR="00F32B28" w:rsidRPr="00F32B28">
        <w:rPr>
          <w:rtl/>
        </w:rPr>
        <w:t>في</w:t>
      </w:r>
      <w:r w:rsidR="00F32B28">
        <w:rPr>
          <w:rtl/>
        </w:rPr>
        <w:t xml:space="preserve"> </w:t>
      </w:r>
      <w:r w:rsidR="00F32B28" w:rsidRPr="00F32B28">
        <w:rPr>
          <w:rtl/>
        </w:rPr>
        <w:t>خلق</w:t>
      </w:r>
      <w:r w:rsidR="00F32B28">
        <w:rPr>
          <w:rtl/>
        </w:rPr>
        <w:t xml:space="preserve"> </w:t>
      </w:r>
      <w:r w:rsidR="00F32B28" w:rsidRPr="00F32B28">
        <w:rPr>
          <w:rtl/>
        </w:rPr>
        <w:t>حالة</w:t>
      </w:r>
      <w:r w:rsidR="00F32B28">
        <w:rPr>
          <w:rtl/>
        </w:rPr>
        <w:t xml:space="preserve"> </w:t>
      </w:r>
      <w:r w:rsidR="00F32B28" w:rsidRPr="00F32B28">
        <w:rPr>
          <w:rtl/>
        </w:rPr>
        <w:t>عجز</w:t>
      </w:r>
      <w:r w:rsidR="00F32B28">
        <w:rPr>
          <w:rtl/>
        </w:rPr>
        <w:t xml:space="preserve"> </w:t>
      </w:r>
      <w:r w:rsidR="00F32B28" w:rsidRPr="00F32B28">
        <w:rPr>
          <w:rtl/>
        </w:rPr>
        <w:t>في</w:t>
      </w:r>
      <w:r w:rsidR="00F32B28">
        <w:rPr>
          <w:rtl/>
        </w:rPr>
        <w:t xml:space="preserve"> </w:t>
      </w:r>
      <w:r w:rsidR="00F32B28" w:rsidRPr="00F32B28">
        <w:rPr>
          <w:rtl/>
        </w:rPr>
        <w:t>توفير</w:t>
      </w:r>
      <w:r w:rsidR="00F32B28">
        <w:rPr>
          <w:rtl/>
        </w:rPr>
        <w:t xml:space="preserve"> </w:t>
      </w:r>
      <w:r w:rsidR="00F32B28" w:rsidRPr="00F32B28">
        <w:rPr>
          <w:rtl/>
        </w:rPr>
        <w:t>القرطاسية</w:t>
      </w:r>
      <w:r w:rsidR="00F32B28">
        <w:rPr>
          <w:rtl/>
        </w:rPr>
        <w:t xml:space="preserve"> </w:t>
      </w:r>
      <w:r w:rsidR="00F32B28" w:rsidRPr="00F32B28">
        <w:rPr>
          <w:rtl/>
        </w:rPr>
        <w:t>والكتب</w:t>
      </w:r>
      <w:r w:rsidR="00F32B28">
        <w:rPr>
          <w:rtl/>
        </w:rPr>
        <w:t xml:space="preserve"> </w:t>
      </w:r>
      <w:r w:rsidR="00F32B28" w:rsidRPr="00F32B28">
        <w:rPr>
          <w:rtl/>
        </w:rPr>
        <w:t>والمواد</w:t>
      </w:r>
      <w:r w:rsidR="00F32B28">
        <w:rPr>
          <w:rtl/>
        </w:rPr>
        <w:t xml:space="preserve"> </w:t>
      </w:r>
      <w:r w:rsidR="00F32B28" w:rsidRPr="00F32B28">
        <w:rPr>
          <w:rtl/>
        </w:rPr>
        <w:t>المخبرية</w:t>
      </w:r>
      <w:r w:rsidR="00F32B28">
        <w:rPr>
          <w:rtl/>
        </w:rPr>
        <w:t xml:space="preserve"> </w:t>
      </w:r>
      <w:r w:rsidR="00F32B28" w:rsidRPr="00F32B28">
        <w:rPr>
          <w:rtl/>
        </w:rPr>
        <w:t>والمواد</w:t>
      </w:r>
      <w:r w:rsidR="00F32B28">
        <w:rPr>
          <w:rtl/>
        </w:rPr>
        <w:t xml:space="preserve"> </w:t>
      </w:r>
      <w:r w:rsidR="00F32B28" w:rsidRPr="00F32B28">
        <w:rPr>
          <w:rtl/>
        </w:rPr>
        <w:t>الأخرى</w:t>
      </w:r>
      <w:r w:rsidR="00F32B28">
        <w:rPr>
          <w:rtl/>
        </w:rPr>
        <w:t xml:space="preserve"> </w:t>
      </w:r>
      <w:r w:rsidR="00F32B28" w:rsidRPr="00F32B28">
        <w:rPr>
          <w:rtl/>
        </w:rPr>
        <w:t>الضرورية</w:t>
      </w:r>
      <w:r w:rsidR="00F32B28">
        <w:rPr>
          <w:rtl/>
        </w:rPr>
        <w:t xml:space="preserve"> </w:t>
      </w:r>
      <w:r w:rsidR="00F32B28" w:rsidRPr="00F32B28">
        <w:rPr>
          <w:rtl/>
        </w:rPr>
        <w:t>لتقديم</w:t>
      </w:r>
      <w:r w:rsidR="00F32B28">
        <w:rPr>
          <w:rtl/>
        </w:rPr>
        <w:t xml:space="preserve"> </w:t>
      </w:r>
      <w:r w:rsidR="00F32B28" w:rsidRPr="00F32B28">
        <w:rPr>
          <w:rtl/>
        </w:rPr>
        <w:t>الخدمات</w:t>
      </w:r>
      <w:r w:rsidR="00F32B28">
        <w:rPr>
          <w:rtl/>
        </w:rPr>
        <w:t xml:space="preserve"> </w:t>
      </w:r>
      <w:r w:rsidR="00F32B28" w:rsidRPr="00F32B28">
        <w:rPr>
          <w:rtl/>
        </w:rPr>
        <w:t>التعليمية.</w:t>
      </w:r>
      <w:r w:rsidR="00F32B28">
        <w:rPr>
          <w:rtl/>
        </w:rPr>
        <w:t xml:space="preserve"> </w:t>
      </w:r>
      <w:r w:rsidR="00F32B28" w:rsidRPr="00F32B28">
        <w:rPr>
          <w:rtl/>
        </w:rPr>
        <w:t>كما</w:t>
      </w:r>
      <w:r w:rsidR="00F32B28">
        <w:rPr>
          <w:rtl/>
        </w:rPr>
        <w:t xml:space="preserve"> </w:t>
      </w:r>
      <w:r w:rsidR="00F32B28" w:rsidRPr="00F32B28">
        <w:rPr>
          <w:rtl/>
        </w:rPr>
        <w:t>يؤثر</w:t>
      </w:r>
      <w:r w:rsidR="00F32B28">
        <w:rPr>
          <w:rtl/>
        </w:rPr>
        <w:t xml:space="preserve"> </w:t>
      </w:r>
      <w:r w:rsidR="00F32B28" w:rsidRPr="00F32B28">
        <w:rPr>
          <w:rtl/>
        </w:rPr>
        <w:t>انقطاع</w:t>
      </w:r>
      <w:r w:rsidR="00F32B28">
        <w:rPr>
          <w:rtl/>
        </w:rPr>
        <w:t xml:space="preserve"> </w:t>
      </w:r>
      <w:r w:rsidR="00F32B28" w:rsidRPr="00F32B28">
        <w:rPr>
          <w:rtl/>
        </w:rPr>
        <w:t>التيار</w:t>
      </w:r>
      <w:r w:rsidR="00F32B28">
        <w:rPr>
          <w:rtl/>
        </w:rPr>
        <w:t xml:space="preserve"> </w:t>
      </w:r>
      <w:r w:rsidR="00F32B28" w:rsidRPr="00F32B28">
        <w:rPr>
          <w:rtl/>
        </w:rPr>
        <w:t>الكهربائي</w:t>
      </w:r>
      <w:r w:rsidR="00F32B28">
        <w:rPr>
          <w:rtl/>
        </w:rPr>
        <w:t xml:space="preserve"> </w:t>
      </w:r>
      <w:r w:rsidR="00F32B28" w:rsidRPr="00F32B28">
        <w:rPr>
          <w:rtl/>
        </w:rPr>
        <w:t>المتكرر</w:t>
      </w:r>
      <w:r w:rsidR="00F32B28">
        <w:rPr>
          <w:rtl/>
        </w:rPr>
        <w:t xml:space="preserve"> </w:t>
      </w:r>
      <w:r w:rsidR="00F32B28" w:rsidRPr="00F32B28">
        <w:rPr>
          <w:rtl/>
        </w:rPr>
        <w:t>ولفترات</w:t>
      </w:r>
      <w:r w:rsidR="00F32B28">
        <w:rPr>
          <w:rtl/>
        </w:rPr>
        <w:t xml:space="preserve"> </w:t>
      </w:r>
      <w:r w:rsidR="00F32B28" w:rsidRPr="00F32B28">
        <w:rPr>
          <w:rtl/>
        </w:rPr>
        <w:t>زمنية</w:t>
      </w:r>
      <w:r w:rsidR="00F32B28">
        <w:rPr>
          <w:rtl/>
        </w:rPr>
        <w:t xml:space="preserve"> </w:t>
      </w:r>
      <w:r w:rsidR="00F32B28" w:rsidRPr="00F32B28">
        <w:rPr>
          <w:rtl/>
        </w:rPr>
        <w:t>طويلة</w:t>
      </w:r>
      <w:r w:rsidR="00F32B28">
        <w:rPr>
          <w:rtl/>
        </w:rPr>
        <w:t xml:space="preserve"> </w:t>
      </w:r>
      <w:r w:rsidR="00F32B28" w:rsidRPr="00F32B28">
        <w:rPr>
          <w:rtl/>
        </w:rPr>
        <w:t>سلباً</w:t>
      </w:r>
      <w:r w:rsidR="00F32B28">
        <w:rPr>
          <w:rtl/>
        </w:rPr>
        <w:t xml:space="preserve"> </w:t>
      </w:r>
      <w:r w:rsidR="00F32B28" w:rsidRPr="00F32B28">
        <w:rPr>
          <w:rtl/>
        </w:rPr>
        <w:t>على</w:t>
      </w:r>
      <w:r w:rsidR="00F32B28">
        <w:rPr>
          <w:rtl/>
        </w:rPr>
        <w:t xml:space="preserve"> </w:t>
      </w:r>
      <w:r w:rsidR="00F32B28" w:rsidRPr="00F32B28">
        <w:rPr>
          <w:rtl/>
        </w:rPr>
        <w:t>قطاع</w:t>
      </w:r>
      <w:r w:rsidR="00F32B28">
        <w:rPr>
          <w:rtl/>
        </w:rPr>
        <w:t xml:space="preserve"> </w:t>
      </w:r>
      <w:r w:rsidR="00F32B28" w:rsidRPr="00F32B28">
        <w:rPr>
          <w:rtl/>
        </w:rPr>
        <w:t>التعليم</w:t>
      </w:r>
      <w:r w:rsidR="00F32B28">
        <w:rPr>
          <w:rtl/>
        </w:rPr>
        <w:t xml:space="preserve"> </w:t>
      </w:r>
      <w:r w:rsidR="00F32B28" w:rsidRPr="00F32B28">
        <w:rPr>
          <w:rtl/>
        </w:rPr>
        <w:t>بأكمله</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حيث</w:t>
      </w:r>
      <w:r w:rsidR="00F32B28">
        <w:rPr>
          <w:rtl/>
        </w:rPr>
        <w:t xml:space="preserve"> </w:t>
      </w:r>
      <w:r w:rsidR="00F32B28" w:rsidRPr="00F32B28">
        <w:rPr>
          <w:rtl/>
        </w:rPr>
        <w:t>تقوم</w:t>
      </w:r>
      <w:r w:rsidR="00F32B28">
        <w:rPr>
          <w:rtl/>
        </w:rPr>
        <w:t xml:space="preserve"> </w:t>
      </w:r>
      <w:r w:rsidR="00F32B28" w:rsidRPr="00F32B28">
        <w:rPr>
          <w:rtl/>
        </w:rPr>
        <w:t>قوات</w:t>
      </w:r>
      <w:r w:rsidR="00F32B28">
        <w:rPr>
          <w:rtl/>
        </w:rPr>
        <w:t xml:space="preserve"> </w:t>
      </w:r>
      <w:r w:rsidR="00F32B28" w:rsidRPr="00F32B28">
        <w:rPr>
          <w:rtl/>
        </w:rPr>
        <w:t>الاحتلال</w:t>
      </w:r>
      <w:r w:rsidR="00F32B28">
        <w:rPr>
          <w:rtl/>
        </w:rPr>
        <w:t xml:space="preserve"> </w:t>
      </w:r>
      <w:r w:rsidR="00F32B28" w:rsidRPr="00F32B28">
        <w:rPr>
          <w:rtl/>
        </w:rPr>
        <w:t>منذ</w:t>
      </w:r>
      <w:r w:rsidR="00F32B28">
        <w:rPr>
          <w:rtl/>
        </w:rPr>
        <w:t xml:space="preserve"> </w:t>
      </w:r>
      <w:r w:rsidR="00F32B28" w:rsidRPr="00F32B28">
        <w:rPr>
          <w:rtl/>
        </w:rPr>
        <w:t>تدميرها</w:t>
      </w:r>
      <w:r w:rsidR="00F32B28">
        <w:rPr>
          <w:rtl/>
        </w:rPr>
        <w:t xml:space="preserve"> </w:t>
      </w:r>
      <w:r w:rsidR="00F32B28" w:rsidRPr="00F32B28">
        <w:rPr>
          <w:rtl/>
        </w:rPr>
        <w:t>لمحطة</w:t>
      </w:r>
      <w:r w:rsidR="00F32B28">
        <w:rPr>
          <w:rtl/>
        </w:rPr>
        <w:t xml:space="preserve"> </w:t>
      </w:r>
      <w:r w:rsidR="00F32B28" w:rsidRPr="00F32B28">
        <w:rPr>
          <w:rtl/>
        </w:rPr>
        <w:t>توليد</w:t>
      </w:r>
      <w:r w:rsidR="00F32B28">
        <w:rPr>
          <w:rtl/>
        </w:rPr>
        <w:t xml:space="preserve"> </w:t>
      </w:r>
      <w:r w:rsidR="00F32B28" w:rsidRPr="00F32B28">
        <w:rPr>
          <w:rtl/>
        </w:rPr>
        <w:t>الكهرباء</w:t>
      </w:r>
      <w:r w:rsidR="00F32B28">
        <w:rPr>
          <w:rtl/>
        </w:rPr>
        <w:t xml:space="preserve"> </w:t>
      </w:r>
      <w:r w:rsidR="00F32B28" w:rsidRPr="00F32B28">
        <w:rPr>
          <w:rtl/>
        </w:rPr>
        <w:t>الوحيدة</w:t>
      </w:r>
      <w:r w:rsidR="00F32B28">
        <w:rPr>
          <w:rtl/>
        </w:rPr>
        <w:t xml:space="preserve"> </w:t>
      </w:r>
      <w:r w:rsidR="00F32B28" w:rsidRPr="00F32B28">
        <w:rPr>
          <w:rtl/>
        </w:rPr>
        <w:t>في</w:t>
      </w:r>
      <w:r w:rsidR="00F32B28">
        <w:rPr>
          <w:rtl/>
        </w:rPr>
        <w:t xml:space="preserve"> </w:t>
      </w:r>
      <w:r w:rsidR="00F32B28" w:rsidRPr="00F32B28">
        <w:rPr>
          <w:rtl/>
        </w:rPr>
        <w:t>غزة</w:t>
      </w:r>
      <w:r w:rsidR="00F32B28">
        <w:rPr>
          <w:rtl/>
        </w:rPr>
        <w:t xml:space="preserve"> </w:t>
      </w:r>
      <w:r w:rsidR="00F32B28" w:rsidRPr="00F32B28">
        <w:rPr>
          <w:rtl/>
        </w:rPr>
        <w:t>في</w:t>
      </w:r>
      <w:r w:rsidR="00F32B28">
        <w:rPr>
          <w:rtl/>
        </w:rPr>
        <w:t xml:space="preserve"> </w:t>
      </w:r>
      <w:r w:rsidR="00F32B28" w:rsidRPr="00F32B28">
        <w:rPr>
          <w:rtl/>
        </w:rPr>
        <w:t>أواخر</w:t>
      </w:r>
      <w:r w:rsidR="00F32B28">
        <w:rPr>
          <w:rtl/>
        </w:rPr>
        <w:t xml:space="preserve"> </w:t>
      </w:r>
      <w:r w:rsidR="00F32B28" w:rsidRPr="00F32B28">
        <w:rPr>
          <w:rtl/>
        </w:rPr>
        <w:t>حزيران</w:t>
      </w:r>
      <w:r w:rsidR="00EE4046">
        <w:rPr>
          <w:rFonts w:hint="cs"/>
          <w:rtl/>
        </w:rPr>
        <w:t>/يونيه</w:t>
      </w:r>
      <w:r w:rsidR="00F32B28">
        <w:rPr>
          <w:rtl/>
        </w:rPr>
        <w:t xml:space="preserve"> </w:t>
      </w:r>
      <w:r w:rsidR="00F32B28" w:rsidRPr="00F32B28">
        <w:rPr>
          <w:rtl/>
        </w:rPr>
        <w:t>2006،</w:t>
      </w:r>
      <w:r w:rsidR="00F32B28">
        <w:rPr>
          <w:rtl/>
        </w:rPr>
        <w:t xml:space="preserve"> </w:t>
      </w:r>
      <w:r w:rsidR="00F32B28" w:rsidRPr="00F32B28">
        <w:rPr>
          <w:rtl/>
        </w:rPr>
        <w:t>بالحيلولة</w:t>
      </w:r>
      <w:r w:rsidR="00F32B28">
        <w:rPr>
          <w:rtl/>
        </w:rPr>
        <w:t xml:space="preserve"> </w:t>
      </w:r>
      <w:r w:rsidR="00F32B28" w:rsidRPr="00F32B28">
        <w:rPr>
          <w:rtl/>
        </w:rPr>
        <w:t>دون</w:t>
      </w:r>
      <w:r w:rsidR="00F32B28">
        <w:rPr>
          <w:rtl/>
        </w:rPr>
        <w:t xml:space="preserve"> </w:t>
      </w:r>
      <w:r w:rsidR="00F32B28" w:rsidRPr="00F32B28">
        <w:rPr>
          <w:rtl/>
        </w:rPr>
        <w:t>السماح</w:t>
      </w:r>
      <w:r w:rsidR="00F32B28">
        <w:rPr>
          <w:rtl/>
        </w:rPr>
        <w:t xml:space="preserve"> </w:t>
      </w:r>
      <w:r w:rsidR="00F32B28" w:rsidRPr="00F32B28">
        <w:rPr>
          <w:rtl/>
        </w:rPr>
        <w:t>بإعادة</w:t>
      </w:r>
      <w:r w:rsidR="00F32B28">
        <w:rPr>
          <w:rtl/>
        </w:rPr>
        <w:t xml:space="preserve"> </w:t>
      </w:r>
      <w:r w:rsidR="00F32B28" w:rsidRPr="00F32B28">
        <w:rPr>
          <w:rtl/>
        </w:rPr>
        <w:t>بناء</w:t>
      </w:r>
      <w:r w:rsidR="00F32B28">
        <w:rPr>
          <w:rtl/>
        </w:rPr>
        <w:t xml:space="preserve"> </w:t>
      </w:r>
      <w:r w:rsidR="00F32B28" w:rsidRPr="00F32B28">
        <w:rPr>
          <w:rtl/>
        </w:rPr>
        <w:t>وتجهيز</w:t>
      </w:r>
      <w:r w:rsidR="00F32B28">
        <w:rPr>
          <w:rtl/>
        </w:rPr>
        <w:t xml:space="preserve"> </w:t>
      </w:r>
      <w:r w:rsidR="00F32B28" w:rsidRPr="00F32B28">
        <w:rPr>
          <w:rtl/>
        </w:rPr>
        <w:t>المحطة</w:t>
      </w:r>
      <w:r w:rsidR="00F32B28">
        <w:rPr>
          <w:rtl/>
        </w:rPr>
        <w:t xml:space="preserve"> </w:t>
      </w:r>
      <w:r w:rsidR="00F32B28" w:rsidRPr="00F32B28">
        <w:rPr>
          <w:rtl/>
        </w:rPr>
        <w:t>لإعادة</w:t>
      </w:r>
      <w:r w:rsidR="00F32B28">
        <w:rPr>
          <w:rtl/>
        </w:rPr>
        <w:t xml:space="preserve"> </w:t>
      </w:r>
      <w:r w:rsidR="00F32B28" w:rsidRPr="00F32B28">
        <w:rPr>
          <w:rtl/>
        </w:rPr>
        <w:t>تشغيلها</w:t>
      </w:r>
      <w:r w:rsidR="00F32B28">
        <w:rPr>
          <w:rtl/>
        </w:rPr>
        <w:t xml:space="preserve"> </w:t>
      </w:r>
      <w:r w:rsidR="00F32B28" w:rsidRPr="00F32B28">
        <w:rPr>
          <w:rtl/>
        </w:rPr>
        <w:t>بالقدرة</w:t>
      </w:r>
      <w:r w:rsidR="00F32B28">
        <w:rPr>
          <w:rtl/>
        </w:rPr>
        <w:t xml:space="preserve"> </w:t>
      </w:r>
      <w:r w:rsidR="00F32B28" w:rsidRPr="00F32B28">
        <w:rPr>
          <w:rtl/>
        </w:rPr>
        <w:t>السابقة</w:t>
      </w:r>
      <w:r w:rsidR="00F32B28">
        <w:rPr>
          <w:rtl/>
        </w:rPr>
        <w:t xml:space="preserve"> </w:t>
      </w:r>
      <w:r w:rsidR="00F32B28" w:rsidRPr="00F32B28">
        <w:rPr>
          <w:rtl/>
        </w:rPr>
        <w:t>لتوليد</w:t>
      </w:r>
      <w:r w:rsidR="00F32B28">
        <w:rPr>
          <w:rtl/>
        </w:rPr>
        <w:t xml:space="preserve"> </w:t>
      </w:r>
      <w:r w:rsidR="00F32B28" w:rsidRPr="00F32B28">
        <w:rPr>
          <w:rtl/>
        </w:rPr>
        <w:t>التيار</w:t>
      </w:r>
      <w:r w:rsidR="00F32B28">
        <w:rPr>
          <w:rtl/>
        </w:rPr>
        <w:t xml:space="preserve"> </w:t>
      </w:r>
      <w:r w:rsidR="00F32B28" w:rsidRPr="00F32B28">
        <w:rPr>
          <w:rtl/>
        </w:rPr>
        <w:t>الكهربائي،</w:t>
      </w:r>
      <w:r w:rsidR="00F32B28">
        <w:rPr>
          <w:rtl/>
        </w:rPr>
        <w:t xml:space="preserve"> </w:t>
      </w:r>
      <w:r w:rsidR="00F32B28" w:rsidRPr="00F32B28">
        <w:rPr>
          <w:rtl/>
        </w:rPr>
        <w:t>علاوة</w:t>
      </w:r>
      <w:r w:rsidR="00F32B28">
        <w:rPr>
          <w:rtl/>
        </w:rPr>
        <w:t xml:space="preserve"> </w:t>
      </w:r>
      <w:r w:rsidR="00F32B28" w:rsidRPr="00F32B28">
        <w:rPr>
          <w:rtl/>
        </w:rPr>
        <w:t>على</w:t>
      </w:r>
      <w:r w:rsidR="00F32B28">
        <w:rPr>
          <w:rtl/>
        </w:rPr>
        <w:t xml:space="preserve"> </w:t>
      </w:r>
      <w:r w:rsidR="00F32B28" w:rsidRPr="00F32B28">
        <w:rPr>
          <w:rtl/>
        </w:rPr>
        <w:t>منعها</w:t>
      </w:r>
      <w:r w:rsidR="00F32B28">
        <w:rPr>
          <w:rtl/>
        </w:rPr>
        <w:t xml:space="preserve"> </w:t>
      </w:r>
      <w:r w:rsidR="00F32B28" w:rsidRPr="00F32B28">
        <w:rPr>
          <w:rtl/>
        </w:rPr>
        <w:t>إدخال</w:t>
      </w:r>
      <w:r w:rsidR="00F32B28">
        <w:rPr>
          <w:rtl/>
        </w:rPr>
        <w:t xml:space="preserve"> </w:t>
      </w:r>
      <w:r w:rsidR="00F32B28" w:rsidRPr="00F32B28">
        <w:rPr>
          <w:rtl/>
        </w:rPr>
        <w:t>احتياجات</w:t>
      </w:r>
      <w:r w:rsidR="00F32B28">
        <w:rPr>
          <w:rtl/>
        </w:rPr>
        <w:t xml:space="preserve"> </w:t>
      </w:r>
      <w:r w:rsidR="00F32B28" w:rsidRPr="00F32B28">
        <w:rPr>
          <w:rtl/>
        </w:rPr>
        <w:t>المحطة</w:t>
      </w:r>
      <w:r w:rsidR="00F32B28">
        <w:rPr>
          <w:rtl/>
        </w:rPr>
        <w:t xml:space="preserve"> </w:t>
      </w:r>
      <w:r w:rsidR="00F32B28" w:rsidRPr="00F32B28">
        <w:rPr>
          <w:rtl/>
        </w:rPr>
        <w:t>من</w:t>
      </w:r>
      <w:r w:rsidR="00F32B28">
        <w:rPr>
          <w:rtl/>
        </w:rPr>
        <w:t xml:space="preserve"> </w:t>
      </w:r>
      <w:r w:rsidR="00F32B28" w:rsidRPr="00F32B28">
        <w:rPr>
          <w:rtl/>
        </w:rPr>
        <w:t>السولار</w:t>
      </w:r>
      <w:r w:rsidR="00F32B28">
        <w:rPr>
          <w:rtl/>
        </w:rPr>
        <w:t xml:space="preserve"> </w:t>
      </w:r>
      <w:r w:rsidR="00F32B28" w:rsidRPr="00F32B28">
        <w:rPr>
          <w:rtl/>
        </w:rPr>
        <w:t>الصناعي</w:t>
      </w:r>
      <w:r w:rsidR="00F32B28">
        <w:rPr>
          <w:rtl/>
        </w:rPr>
        <w:t xml:space="preserve"> </w:t>
      </w:r>
      <w:r w:rsidR="00F32B28" w:rsidRPr="00F32B28">
        <w:rPr>
          <w:rtl/>
        </w:rPr>
        <w:t>بالكميات</w:t>
      </w:r>
      <w:r w:rsidR="00F32B28">
        <w:rPr>
          <w:rtl/>
        </w:rPr>
        <w:t xml:space="preserve"> </w:t>
      </w:r>
      <w:r w:rsidR="00F32B28" w:rsidRPr="00F32B28">
        <w:rPr>
          <w:rtl/>
        </w:rPr>
        <w:t>المطلوبة،</w:t>
      </w:r>
      <w:r w:rsidR="00F32B28">
        <w:rPr>
          <w:rtl/>
        </w:rPr>
        <w:t xml:space="preserve"> </w:t>
      </w:r>
      <w:r w:rsidR="00F32B28" w:rsidRPr="00F32B28">
        <w:rPr>
          <w:rtl/>
        </w:rPr>
        <w:t>والتكلفة</w:t>
      </w:r>
      <w:r w:rsidR="00F32B28">
        <w:rPr>
          <w:rtl/>
        </w:rPr>
        <w:t xml:space="preserve"> </w:t>
      </w:r>
      <w:r w:rsidR="00F32B28" w:rsidRPr="00F32B28">
        <w:rPr>
          <w:rtl/>
        </w:rPr>
        <w:t>الكبيرة</w:t>
      </w:r>
      <w:r w:rsidR="00F32B28">
        <w:rPr>
          <w:rtl/>
        </w:rPr>
        <w:t xml:space="preserve"> </w:t>
      </w:r>
      <w:r w:rsidR="00F32B28" w:rsidRPr="00F32B28">
        <w:rPr>
          <w:rtl/>
        </w:rPr>
        <w:t>للسولار</w:t>
      </w:r>
      <w:r w:rsidR="00F32B28">
        <w:rPr>
          <w:rtl/>
        </w:rPr>
        <w:t xml:space="preserve"> </w:t>
      </w:r>
      <w:r w:rsidR="00F32B28" w:rsidRPr="00F32B28">
        <w:rPr>
          <w:rtl/>
        </w:rPr>
        <w:t>المشغل</w:t>
      </w:r>
      <w:r w:rsidR="00F32B28">
        <w:rPr>
          <w:rtl/>
        </w:rPr>
        <w:t xml:space="preserve"> </w:t>
      </w:r>
      <w:r w:rsidR="00F32B28" w:rsidRPr="00F32B28">
        <w:rPr>
          <w:rtl/>
        </w:rPr>
        <w:t>للمولدات</w:t>
      </w:r>
      <w:r w:rsidR="00F32B28">
        <w:rPr>
          <w:rtl/>
        </w:rPr>
        <w:t xml:space="preserve"> </w:t>
      </w:r>
      <w:r w:rsidR="00F32B28" w:rsidRPr="00F32B28">
        <w:rPr>
          <w:rtl/>
        </w:rPr>
        <w:t>الكهربائية</w:t>
      </w:r>
      <w:r w:rsidR="00F32B28">
        <w:rPr>
          <w:rtl/>
        </w:rPr>
        <w:t xml:space="preserve"> </w:t>
      </w:r>
      <w:r w:rsidR="00F32B28" w:rsidRPr="00F32B28">
        <w:rPr>
          <w:rtl/>
        </w:rPr>
        <w:t>والذي</w:t>
      </w:r>
      <w:r w:rsidR="00F32B28">
        <w:rPr>
          <w:rtl/>
        </w:rPr>
        <w:t xml:space="preserve"> </w:t>
      </w:r>
      <w:r w:rsidR="00F32B28" w:rsidRPr="00F32B28">
        <w:rPr>
          <w:rtl/>
        </w:rPr>
        <w:t>يثقل</w:t>
      </w:r>
      <w:r w:rsidR="00F32B28">
        <w:rPr>
          <w:rtl/>
        </w:rPr>
        <w:t xml:space="preserve"> </w:t>
      </w:r>
      <w:r w:rsidR="00F32B28" w:rsidRPr="00F32B28">
        <w:rPr>
          <w:rtl/>
        </w:rPr>
        <w:t>كاهل</w:t>
      </w:r>
      <w:r w:rsidR="00F32B28">
        <w:rPr>
          <w:rtl/>
        </w:rPr>
        <w:t xml:space="preserve"> </w:t>
      </w:r>
      <w:r w:rsidR="00F32B28" w:rsidRPr="00F32B28">
        <w:rPr>
          <w:rtl/>
        </w:rPr>
        <w:t>مؤسسات</w:t>
      </w:r>
      <w:r w:rsidR="00F32B28">
        <w:rPr>
          <w:rtl/>
        </w:rPr>
        <w:t xml:space="preserve"> </w:t>
      </w:r>
      <w:r w:rsidR="00F32B28" w:rsidRPr="00F32B28">
        <w:rPr>
          <w:rtl/>
        </w:rPr>
        <w:t>التعليم</w:t>
      </w:r>
      <w:r w:rsidR="00F32B28">
        <w:rPr>
          <w:rtl/>
        </w:rPr>
        <w:t xml:space="preserve"> </w:t>
      </w:r>
      <w:r w:rsidR="00F32B28" w:rsidRPr="00F32B28">
        <w:rPr>
          <w:rtl/>
        </w:rPr>
        <w:t>في</w:t>
      </w:r>
      <w:r w:rsidR="00F32B28">
        <w:rPr>
          <w:rtl/>
        </w:rPr>
        <w:t xml:space="preserve"> </w:t>
      </w:r>
      <w:r w:rsidR="00F32B28" w:rsidRPr="00F32B28">
        <w:rPr>
          <w:rtl/>
        </w:rPr>
        <w:t>ظل</w:t>
      </w:r>
      <w:r w:rsidR="00F32B28">
        <w:rPr>
          <w:rtl/>
        </w:rPr>
        <w:t xml:space="preserve"> </w:t>
      </w:r>
      <w:r w:rsidR="00F32B28" w:rsidRPr="00F32B28">
        <w:rPr>
          <w:rtl/>
        </w:rPr>
        <w:t>الأزمة</w:t>
      </w:r>
      <w:r w:rsidR="00F32B28">
        <w:rPr>
          <w:rtl/>
        </w:rPr>
        <w:t xml:space="preserve"> </w:t>
      </w:r>
      <w:r w:rsidR="00F32B28" w:rsidRPr="00F32B28">
        <w:rPr>
          <w:rtl/>
        </w:rPr>
        <w:t>المالية</w:t>
      </w:r>
      <w:r w:rsidR="00F32B28">
        <w:rPr>
          <w:rtl/>
        </w:rPr>
        <w:t xml:space="preserve"> </w:t>
      </w:r>
      <w:r w:rsidR="00F32B28" w:rsidRPr="00F32B28">
        <w:rPr>
          <w:rtl/>
        </w:rPr>
        <w:t>الخانقة</w:t>
      </w:r>
      <w:r w:rsidR="00F32B28">
        <w:rPr>
          <w:rtl/>
        </w:rPr>
        <w:t xml:space="preserve"> </w:t>
      </w:r>
      <w:r w:rsidR="00F32B28" w:rsidRPr="00F32B28">
        <w:rPr>
          <w:rtl/>
        </w:rPr>
        <w:t>التي</w:t>
      </w:r>
      <w:r w:rsidR="00F32B28">
        <w:rPr>
          <w:rtl/>
        </w:rPr>
        <w:t xml:space="preserve"> </w:t>
      </w:r>
      <w:r w:rsidR="00F32B28" w:rsidRPr="00F32B28">
        <w:rPr>
          <w:rtl/>
        </w:rPr>
        <w:t>تمر</w:t>
      </w:r>
      <w:r w:rsidR="00F32B28">
        <w:rPr>
          <w:rtl/>
        </w:rPr>
        <w:t xml:space="preserve"> </w:t>
      </w:r>
      <w:r w:rsidR="00F32B28" w:rsidRPr="00F32B28">
        <w:rPr>
          <w:rtl/>
        </w:rPr>
        <w:t>بها.</w:t>
      </w:r>
      <w:r w:rsidR="00F32B28">
        <w:rPr>
          <w:rtl/>
        </w:rPr>
        <w:t xml:space="preserve"> </w:t>
      </w:r>
      <w:r w:rsidR="00F32B28" w:rsidRPr="00F32B28">
        <w:rPr>
          <w:rtl/>
        </w:rPr>
        <w:t>ويتسبب</w:t>
      </w:r>
      <w:r w:rsidR="00F32B28">
        <w:rPr>
          <w:rtl/>
        </w:rPr>
        <w:t xml:space="preserve"> </w:t>
      </w:r>
      <w:r w:rsidR="00F32B28" w:rsidRPr="00F32B28">
        <w:rPr>
          <w:rtl/>
        </w:rPr>
        <w:t>انقطاع</w:t>
      </w:r>
      <w:r w:rsidR="00F32B28">
        <w:rPr>
          <w:rtl/>
        </w:rPr>
        <w:t xml:space="preserve"> </w:t>
      </w:r>
      <w:r w:rsidR="00F32B28" w:rsidRPr="00F32B28">
        <w:rPr>
          <w:rtl/>
        </w:rPr>
        <w:t>التيار</w:t>
      </w:r>
      <w:r w:rsidR="00F32B28">
        <w:rPr>
          <w:rtl/>
        </w:rPr>
        <w:t xml:space="preserve"> </w:t>
      </w:r>
      <w:r w:rsidR="00F32B28" w:rsidRPr="00F32B28">
        <w:rPr>
          <w:rtl/>
        </w:rPr>
        <w:t>الكهربائي</w:t>
      </w:r>
      <w:r w:rsidR="00F32B28">
        <w:rPr>
          <w:rtl/>
        </w:rPr>
        <w:t xml:space="preserve"> </w:t>
      </w:r>
      <w:r w:rsidR="00F32B28" w:rsidRPr="00F32B28">
        <w:rPr>
          <w:rtl/>
        </w:rPr>
        <w:t>بمشكلات</w:t>
      </w:r>
      <w:r w:rsidR="00F32B28">
        <w:rPr>
          <w:rtl/>
        </w:rPr>
        <w:t xml:space="preserve"> </w:t>
      </w:r>
      <w:r w:rsidR="00F32B28" w:rsidRPr="00F32B28">
        <w:rPr>
          <w:rtl/>
        </w:rPr>
        <w:t>عديدة،</w:t>
      </w:r>
      <w:r w:rsidR="00F32B28">
        <w:rPr>
          <w:rtl/>
        </w:rPr>
        <w:t xml:space="preserve"> </w:t>
      </w:r>
      <w:r w:rsidR="00F32B28" w:rsidRPr="00F32B28">
        <w:rPr>
          <w:rtl/>
        </w:rPr>
        <w:t>منها؛</w:t>
      </w:r>
      <w:r w:rsidR="00F32B28">
        <w:rPr>
          <w:rtl/>
        </w:rPr>
        <w:t xml:space="preserve"> </w:t>
      </w:r>
      <w:r w:rsidR="00F32B28" w:rsidRPr="00F32B28">
        <w:rPr>
          <w:rtl/>
        </w:rPr>
        <w:t>تعطل</w:t>
      </w:r>
      <w:r w:rsidR="00F32B28">
        <w:rPr>
          <w:rtl/>
        </w:rPr>
        <w:t xml:space="preserve"> </w:t>
      </w:r>
      <w:r w:rsidR="00F32B28" w:rsidRPr="00F32B28">
        <w:rPr>
          <w:rtl/>
        </w:rPr>
        <w:t>الحواسيب</w:t>
      </w:r>
      <w:r w:rsidR="00F32B28">
        <w:rPr>
          <w:rtl/>
        </w:rPr>
        <w:t xml:space="preserve"> </w:t>
      </w:r>
      <w:r w:rsidR="00F32B28" w:rsidRPr="00F32B28">
        <w:rPr>
          <w:rtl/>
        </w:rPr>
        <w:t>أثناء</w:t>
      </w:r>
      <w:r w:rsidR="00F32B28">
        <w:rPr>
          <w:rtl/>
        </w:rPr>
        <w:t xml:space="preserve"> </w:t>
      </w:r>
      <w:r w:rsidR="00F32B28" w:rsidRPr="00F32B28">
        <w:rPr>
          <w:rtl/>
        </w:rPr>
        <w:t>المحاضرات؛</w:t>
      </w:r>
      <w:r w:rsidR="00F32B28">
        <w:rPr>
          <w:rtl/>
        </w:rPr>
        <w:t xml:space="preserve"> </w:t>
      </w:r>
      <w:r w:rsidR="00F32B28" w:rsidRPr="00F32B28">
        <w:rPr>
          <w:rtl/>
        </w:rPr>
        <w:t>وانقطاع</w:t>
      </w:r>
      <w:r w:rsidR="00F32B28">
        <w:rPr>
          <w:rtl/>
        </w:rPr>
        <w:t xml:space="preserve"> </w:t>
      </w:r>
      <w:r w:rsidR="00F32B28" w:rsidRPr="00F32B28">
        <w:rPr>
          <w:rtl/>
        </w:rPr>
        <w:t>الإنارة</w:t>
      </w:r>
      <w:r w:rsidR="00F32B28">
        <w:rPr>
          <w:rtl/>
        </w:rPr>
        <w:t xml:space="preserve"> </w:t>
      </w:r>
      <w:r w:rsidR="00F32B28" w:rsidRPr="00F32B28">
        <w:rPr>
          <w:rtl/>
        </w:rPr>
        <w:t>بشكل</w:t>
      </w:r>
      <w:r w:rsidR="00F32B28">
        <w:rPr>
          <w:rtl/>
        </w:rPr>
        <w:t xml:space="preserve"> </w:t>
      </w:r>
      <w:r w:rsidR="00F32B28" w:rsidRPr="00F32B28">
        <w:rPr>
          <w:rtl/>
        </w:rPr>
        <w:t>يؤثر</w:t>
      </w:r>
      <w:r w:rsidR="00F32B28">
        <w:rPr>
          <w:rtl/>
        </w:rPr>
        <w:t xml:space="preserve"> </w:t>
      </w:r>
      <w:r w:rsidR="00F32B28" w:rsidRPr="00F32B28">
        <w:rPr>
          <w:rtl/>
        </w:rPr>
        <w:t>على</w:t>
      </w:r>
      <w:r w:rsidR="00F32B28">
        <w:rPr>
          <w:rtl/>
        </w:rPr>
        <w:t xml:space="preserve"> </w:t>
      </w:r>
      <w:r w:rsidR="00F32B28" w:rsidRPr="00F32B28">
        <w:rPr>
          <w:rtl/>
        </w:rPr>
        <w:t>المسيرة</w:t>
      </w:r>
      <w:r w:rsidR="00F32B28">
        <w:rPr>
          <w:rtl/>
        </w:rPr>
        <w:t xml:space="preserve"> </w:t>
      </w:r>
      <w:r w:rsidR="00F32B28" w:rsidRPr="00F32B28">
        <w:rPr>
          <w:rtl/>
        </w:rPr>
        <w:t>وخاصة</w:t>
      </w:r>
      <w:r w:rsidR="00F32B28">
        <w:rPr>
          <w:rtl/>
        </w:rPr>
        <w:t xml:space="preserve"> </w:t>
      </w:r>
      <w:r w:rsidR="00F32B28" w:rsidRPr="00F32B28">
        <w:rPr>
          <w:rtl/>
        </w:rPr>
        <w:t>في</w:t>
      </w:r>
      <w:r w:rsidR="00F32B28">
        <w:rPr>
          <w:rtl/>
        </w:rPr>
        <w:t xml:space="preserve"> </w:t>
      </w:r>
      <w:r w:rsidR="00F32B28" w:rsidRPr="00F32B28">
        <w:rPr>
          <w:rtl/>
        </w:rPr>
        <w:t>فترات</w:t>
      </w:r>
      <w:r w:rsidR="00F32B28">
        <w:rPr>
          <w:rtl/>
        </w:rPr>
        <w:t xml:space="preserve"> </w:t>
      </w:r>
      <w:r w:rsidR="00F32B28" w:rsidRPr="00F32B28">
        <w:rPr>
          <w:rtl/>
        </w:rPr>
        <w:t>الدوام</w:t>
      </w:r>
      <w:r w:rsidR="00F32B28">
        <w:rPr>
          <w:rtl/>
        </w:rPr>
        <w:t xml:space="preserve"> </w:t>
      </w:r>
      <w:r w:rsidR="00F32B28" w:rsidRPr="00F32B28">
        <w:rPr>
          <w:rtl/>
        </w:rPr>
        <w:t>المسائية؛</w:t>
      </w:r>
      <w:r w:rsidR="00F32B28">
        <w:rPr>
          <w:rtl/>
        </w:rPr>
        <w:t xml:space="preserve"> </w:t>
      </w:r>
      <w:r w:rsidR="00F32B28" w:rsidRPr="00F32B28">
        <w:rPr>
          <w:rtl/>
        </w:rPr>
        <w:t>عدم</w:t>
      </w:r>
      <w:r w:rsidR="00F32B28">
        <w:rPr>
          <w:rtl/>
        </w:rPr>
        <w:t xml:space="preserve"> </w:t>
      </w:r>
      <w:r w:rsidR="00F32B28" w:rsidRPr="00F32B28">
        <w:rPr>
          <w:rtl/>
        </w:rPr>
        <w:t>القدرة</w:t>
      </w:r>
      <w:r w:rsidR="00F32B28">
        <w:rPr>
          <w:rtl/>
        </w:rPr>
        <w:t xml:space="preserve"> </w:t>
      </w:r>
      <w:r w:rsidR="00F32B28" w:rsidRPr="00F32B28">
        <w:rPr>
          <w:rtl/>
        </w:rPr>
        <w:t>على</w:t>
      </w:r>
      <w:r w:rsidR="00F32B28">
        <w:rPr>
          <w:rtl/>
        </w:rPr>
        <w:t xml:space="preserve"> </w:t>
      </w:r>
      <w:r w:rsidR="00F32B28" w:rsidRPr="00F32B28">
        <w:rPr>
          <w:rtl/>
        </w:rPr>
        <w:t>الولوج</w:t>
      </w:r>
      <w:r w:rsidR="00F32B28">
        <w:rPr>
          <w:rtl/>
        </w:rPr>
        <w:t xml:space="preserve"> </w:t>
      </w:r>
      <w:r w:rsidR="00F32B28" w:rsidRPr="00F32B28">
        <w:rPr>
          <w:rtl/>
        </w:rPr>
        <w:t>لشبكات</w:t>
      </w:r>
      <w:r w:rsidR="00F32B28">
        <w:rPr>
          <w:rtl/>
        </w:rPr>
        <w:t xml:space="preserve"> </w:t>
      </w:r>
      <w:r w:rsidR="00D06D08">
        <w:rPr>
          <w:rFonts w:hint="cs"/>
          <w:rtl/>
        </w:rPr>
        <w:t>”</w:t>
      </w:r>
      <w:r w:rsidR="00F32B28" w:rsidRPr="00F32B28">
        <w:rPr>
          <w:rtl/>
        </w:rPr>
        <w:t>الإنترنت</w:t>
      </w:r>
      <w:r w:rsidR="00D06D08">
        <w:rPr>
          <w:rFonts w:hint="cs"/>
          <w:rtl/>
        </w:rPr>
        <w:t>“</w:t>
      </w:r>
      <w:r w:rsidR="00F32B28">
        <w:rPr>
          <w:rtl/>
        </w:rPr>
        <w:t xml:space="preserve"> </w:t>
      </w:r>
      <w:r w:rsidR="00F32B28" w:rsidRPr="00F32B28">
        <w:rPr>
          <w:rtl/>
        </w:rPr>
        <w:t>وللمراجع</w:t>
      </w:r>
      <w:r w:rsidR="00F32B28">
        <w:rPr>
          <w:rtl/>
        </w:rPr>
        <w:t xml:space="preserve"> </w:t>
      </w:r>
      <w:r w:rsidR="00F32B28" w:rsidRPr="00F32B28">
        <w:rPr>
          <w:rtl/>
        </w:rPr>
        <w:t>الإلكتروني</w:t>
      </w:r>
      <w:r w:rsidR="00F32B28">
        <w:rPr>
          <w:rtl/>
        </w:rPr>
        <w:t xml:space="preserve"> </w:t>
      </w:r>
      <w:r w:rsidR="00F32B28" w:rsidRPr="00F32B28">
        <w:rPr>
          <w:rtl/>
        </w:rPr>
        <w:t>وتحميل</w:t>
      </w:r>
      <w:r w:rsidR="00F32B28">
        <w:rPr>
          <w:rtl/>
        </w:rPr>
        <w:t xml:space="preserve"> </w:t>
      </w:r>
      <w:r w:rsidR="00F32B28" w:rsidRPr="00F32B28">
        <w:rPr>
          <w:rtl/>
        </w:rPr>
        <w:t>المواد</w:t>
      </w:r>
      <w:r w:rsidR="00F32B28">
        <w:rPr>
          <w:rtl/>
        </w:rPr>
        <w:t xml:space="preserve"> </w:t>
      </w:r>
      <w:r w:rsidR="00F32B28" w:rsidRPr="00F32B28">
        <w:rPr>
          <w:rtl/>
        </w:rPr>
        <w:t>الدراسية،</w:t>
      </w:r>
      <w:r w:rsidR="00F32B28">
        <w:rPr>
          <w:rtl/>
        </w:rPr>
        <w:t xml:space="preserve"> </w:t>
      </w:r>
      <w:r w:rsidR="00F32B28" w:rsidRPr="00F32B28">
        <w:rPr>
          <w:rtl/>
        </w:rPr>
        <w:t>الأمر</w:t>
      </w:r>
      <w:r w:rsidR="00F32B28">
        <w:rPr>
          <w:rtl/>
        </w:rPr>
        <w:t xml:space="preserve"> </w:t>
      </w:r>
      <w:r w:rsidR="00F32B28" w:rsidRPr="00F32B28">
        <w:rPr>
          <w:rtl/>
        </w:rPr>
        <w:t>الذي</w:t>
      </w:r>
      <w:r w:rsidR="00F32B28">
        <w:rPr>
          <w:rtl/>
        </w:rPr>
        <w:t xml:space="preserve"> </w:t>
      </w:r>
      <w:r w:rsidR="00F32B28" w:rsidRPr="00F32B28">
        <w:rPr>
          <w:rtl/>
        </w:rPr>
        <w:t>يحول</w:t>
      </w:r>
      <w:r w:rsidR="00F32B28">
        <w:rPr>
          <w:rtl/>
        </w:rPr>
        <w:t xml:space="preserve"> </w:t>
      </w:r>
      <w:r w:rsidR="00F32B28" w:rsidRPr="00F32B28">
        <w:rPr>
          <w:rtl/>
        </w:rPr>
        <w:t>دون</w:t>
      </w:r>
      <w:r w:rsidR="00F32B28">
        <w:rPr>
          <w:rtl/>
        </w:rPr>
        <w:t xml:space="preserve"> </w:t>
      </w:r>
      <w:r w:rsidR="00F32B28" w:rsidRPr="00F32B28">
        <w:rPr>
          <w:rtl/>
        </w:rPr>
        <w:t>تمكن</w:t>
      </w:r>
      <w:r w:rsidR="00F32B28">
        <w:rPr>
          <w:rtl/>
        </w:rPr>
        <w:t xml:space="preserve"> </w:t>
      </w:r>
      <w:r w:rsidR="00F32B28" w:rsidRPr="00F32B28">
        <w:rPr>
          <w:rtl/>
        </w:rPr>
        <w:t>الطلبة</w:t>
      </w:r>
      <w:r w:rsidR="00F32B28">
        <w:rPr>
          <w:rtl/>
        </w:rPr>
        <w:t xml:space="preserve"> </w:t>
      </w:r>
      <w:r w:rsidR="00F32B28" w:rsidRPr="00F32B28">
        <w:rPr>
          <w:rtl/>
        </w:rPr>
        <w:t>من</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التعليم</w:t>
      </w:r>
      <w:r w:rsidR="00F32B28">
        <w:rPr>
          <w:rtl/>
        </w:rPr>
        <w:t xml:space="preserve"> </w:t>
      </w:r>
      <w:r w:rsidR="00F32B28" w:rsidRPr="00F32B28">
        <w:rPr>
          <w:rtl/>
        </w:rPr>
        <w:t>المناسب،</w:t>
      </w:r>
      <w:r w:rsidR="00F32B28">
        <w:rPr>
          <w:rtl/>
        </w:rPr>
        <w:t xml:space="preserve"> </w:t>
      </w:r>
      <w:r w:rsidR="00F32B28" w:rsidRPr="00F32B28">
        <w:rPr>
          <w:rtl/>
        </w:rPr>
        <w:t>والتأخر</w:t>
      </w:r>
      <w:r w:rsidR="00F32B28">
        <w:rPr>
          <w:rtl/>
        </w:rPr>
        <w:t xml:space="preserve"> </w:t>
      </w:r>
      <w:r w:rsidR="00F32B28" w:rsidRPr="00F32B28">
        <w:rPr>
          <w:rtl/>
        </w:rPr>
        <w:t>في</w:t>
      </w:r>
      <w:r w:rsidR="00F32B28">
        <w:rPr>
          <w:rtl/>
        </w:rPr>
        <w:t xml:space="preserve"> </w:t>
      </w:r>
      <w:r w:rsidR="00F32B28" w:rsidRPr="00F32B28">
        <w:rPr>
          <w:rtl/>
        </w:rPr>
        <w:t>الدراسة.</w:t>
      </w:r>
    </w:p>
    <w:p w:rsidR="00F32B28" w:rsidRPr="00F32B28" w:rsidRDefault="0007328B" w:rsidP="00362769">
      <w:pPr>
        <w:pStyle w:val="SingleTxt"/>
        <w:rPr>
          <w:rtl/>
        </w:rPr>
      </w:pPr>
      <w:r>
        <w:rPr>
          <w:rFonts w:hint="cs"/>
          <w:rtl/>
        </w:rPr>
        <w:t xml:space="preserve">199 - </w:t>
      </w:r>
      <w:r w:rsidR="00F32B28" w:rsidRPr="00F32B28">
        <w:rPr>
          <w:rtl/>
        </w:rPr>
        <w:t>ويرافق</w:t>
      </w:r>
      <w:r w:rsidR="00F32B28">
        <w:rPr>
          <w:rtl/>
        </w:rPr>
        <w:t xml:space="preserve"> </w:t>
      </w:r>
      <w:r w:rsidR="00F32B28" w:rsidRPr="00F32B28">
        <w:rPr>
          <w:rtl/>
        </w:rPr>
        <w:t>الحصار</w:t>
      </w:r>
      <w:r w:rsidR="00F32B28">
        <w:rPr>
          <w:rtl/>
        </w:rPr>
        <w:t xml:space="preserve"> </w:t>
      </w:r>
      <w:r w:rsidR="00F32B28" w:rsidRPr="00F32B28">
        <w:rPr>
          <w:rtl/>
        </w:rPr>
        <w:t>غير</w:t>
      </w:r>
      <w:r w:rsidR="00F32B28">
        <w:rPr>
          <w:rtl/>
        </w:rPr>
        <w:t xml:space="preserve"> </w:t>
      </w:r>
      <w:r w:rsidR="00F32B28" w:rsidRPr="00F32B28">
        <w:rPr>
          <w:rtl/>
        </w:rPr>
        <w:t>القانوني</w:t>
      </w:r>
      <w:r w:rsidR="00F32B28">
        <w:rPr>
          <w:rtl/>
        </w:rPr>
        <w:t xml:space="preserve"> </w:t>
      </w:r>
      <w:r w:rsidR="00F32B28" w:rsidRPr="00F32B28">
        <w:rPr>
          <w:rtl/>
        </w:rPr>
        <w:t>هذا،</w:t>
      </w:r>
      <w:r w:rsidR="00F32B28">
        <w:rPr>
          <w:rtl/>
        </w:rPr>
        <w:t xml:space="preserve"> </w:t>
      </w:r>
      <w:r w:rsidR="00F32B28" w:rsidRPr="00F32B28">
        <w:rPr>
          <w:rFonts w:hint="cs"/>
          <w:rtl/>
        </w:rPr>
        <w:t>ا</w:t>
      </w:r>
      <w:r w:rsidR="00362769">
        <w:rPr>
          <w:rFonts w:hint="cs"/>
          <w:rtl/>
        </w:rPr>
        <w:t>لا</w:t>
      </w:r>
      <w:r w:rsidR="00F32B28" w:rsidRPr="00F32B28">
        <w:rPr>
          <w:rFonts w:hint="cs"/>
          <w:rtl/>
        </w:rPr>
        <w:t>عتداءات</w:t>
      </w:r>
      <w:r w:rsidR="00F32B28">
        <w:rPr>
          <w:rtl/>
        </w:rPr>
        <w:t xml:space="preserve"> </w:t>
      </w:r>
      <w:r w:rsidR="00F32B28" w:rsidRPr="00F32B28">
        <w:rPr>
          <w:rtl/>
        </w:rPr>
        <w:t>الإسرائيلية</w:t>
      </w:r>
      <w:r w:rsidR="00362769">
        <w:rPr>
          <w:rFonts w:hint="cs"/>
          <w:rtl/>
        </w:rPr>
        <w:t xml:space="preserve"> </w:t>
      </w:r>
      <w:r w:rsidR="00F32B28" w:rsidRPr="00F32B28">
        <w:rPr>
          <w:rFonts w:hint="cs"/>
          <w:rtl/>
        </w:rPr>
        <w:t>المتواصلة</w:t>
      </w:r>
      <w:r w:rsidR="00F32B28">
        <w:rPr>
          <w:rtl/>
        </w:rPr>
        <w:t xml:space="preserve"> </w:t>
      </w:r>
      <w:r w:rsidR="00F32B28" w:rsidRPr="00F32B28">
        <w:rPr>
          <w:rtl/>
        </w:rPr>
        <w:t>ضد</w:t>
      </w:r>
      <w:r w:rsidR="00F32B28">
        <w:rPr>
          <w:rtl/>
        </w:rPr>
        <w:t xml:space="preserve"> </w:t>
      </w:r>
      <w:r w:rsidR="00F32B28" w:rsidRPr="00F32B28">
        <w:rPr>
          <w:rtl/>
        </w:rPr>
        <w:t>القطاع</w:t>
      </w:r>
      <w:r w:rsidR="00F32B28">
        <w:rPr>
          <w:rtl/>
        </w:rPr>
        <w:t xml:space="preserve"> </w:t>
      </w:r>
      <w:r w:rsidR="00F32B28" w:rsidRPr="00F32B28">
        <w:rPr>
          <w:rtl/>
        </w:rPr>
        <w:t>وسكانه</w:t>
      </w:r>
      <w:r w:rsidR="00F32B28">
        <w:rPr>
          <w:rtl/>
        </w:rPr>
        <w:t xml:space="preserve"> </w:t>
      </w:r>
      <w:r w:rsidR="00F32B28" w:rsidRPr="00F32B28">
        <w:rPr>
          <w:rtl/>
        </w:rPr>
        <w:t>المدنيين</w:t>
      </w:r>
      <w:r w:rsidR="00F32B28">
        <w:rPr>
          <w:rtl/>
        </w:rPr>
        <w:t xml:space="preserve"> </w:t>
      </w:r>
      <w:r w:rsidR="00F32B28" w:rsidRPr="00F32B28">
        <w:rPr>
          <w:rtl/>
        </w:rPr>
        <w:t>ومنشآته</w:t>
      </w:r>
      <w:r w:rsidR="00F32B28">
        <w:rPr>
          <w:rtl/>
        </w:rPr>
        <w:t xml:space="preserve"> </w:t>
      </w:r>
      <w:r w:rsidR="00F32B28" w:rsidRPr="00F32B28">
        <w:rPr>
          <w:rtl/>
        </w:rPr>
        <w:t>الثقافية</w:t>
      </w:r>
      <w:r w:rsidR="00F32B28">
        <w:rPr>
          <w:rtl/>
        </w:rPr>
        <w:t xml:space="preserve"> </w:t>
      </w:r>
      <w:r w:rsidR="00F32B28" w:rsidRPr="00F32B28">
        <w:rPr>
          <w:rtl/>
        </w:rPr>
        <w:t>والتعليمية،</w:t>
      </w:r>
      <w:r w:rsidR="00F32B28">
        <w:rPr>
          <w:rtl/>
        </w:rPr>
        <w:t xml:space="preserve"> </w:t>
      </w:r>
      <w:r w:rsidR="00F32B28" w:rsidRPr="00F32B28">
        <w:rPr>
          <w:rtl/>
        </w:rPr>
        <w:t>التي</w:t>
      </w:r>
      <w:r w:rsidR="00F32B28">
        <w:rPr>
          <w:rtl/>
        </w:rPr>
        <w:t xml:space="preserve"> </w:t>
      </w:r>
      <w:r w:rsidR="00F32B28" w:rsidRPr="00F32B28">
        <w:rPr>
          <w:rtl/>
        </w:rPr>
        <w:t>تمنع</w:t>
      </w:r>
      <w:r w:rsidR="00F32B28">
        <w:rPr>
          <w:rtl/>
        </w:rPr>
        <w:t xml:space="preserve"> </w:t>
      </w:r>
      <w:r w:rsidR="00F32B28" w:rsidRPr="00F32B28">
        <w:rPr>
          <w:rtl/>
        </w:rPr>
        <w:t>سير</w:t>
      </w:r>
      <w:r w:rsidR="00F32B28">
        <w:rPr>
          <w:rtl/>
        </w:rPr>
        <w:t xml:space="preserve"> </w:t>
      </w:r>
      <w:r w:rsidR="00F32B28" w:rsidRPr="00F32B28">
        <w:rPr>
          <w:rtl/>
        </w:rPr>
        <w:t>العملية</w:t>
      </w:r>
      <w:r w:rsidR="00F32B28">
        <w:rPr>
          <w:rtl/>
        </w:rPr>
        <w:t xml:space="preserve"> </w:t>
      </w:r>
      <w:r w:rsidR="00F32B28" w:rsidRPr="00F32B28">
        <w:rPr>
          <w:rtl/>
        </w:rPr>
        <w:t>التعليمية</w:t>
      </w:r>
      <w:r w:rsidR="00F32B28">
        <w:rPr>
          <w:rtl/>
        </w:rPr>
        <w:t xml:space="preserve"> </w:t>
      </w:r>
      <w:r w:rsidR="00F32B28" w:rsidRPr="00F32B28">
        <w:rPr>
          <w:rtl/>
        </w:rPr>
        <w:t>وتحرم</w:t>
      </w:r>
      <w:r w:rsidR="00F32B28">
        <w:rPr>
          <w:rtl/>
        </w:rPr>
        <w:t xml:space="preserve"> </w:t>
      </w:r>
      <w:r w:rsidR="00F32B28" w:rsidRPr="00F32B28">
        <w:rPr>
          <w:rtl/>
        </w:rPr>
        <w:t>مئات</w:t>
      </w:r>
      <w:r w:rsidR="00F32B28">
        <w:rPr>
          <w:rtl/>
        </w:rPr>
        <w:t xml:space="preserve"> </w:t>
      </w:r>
      <w:r w:rsidR="00F32B28" w:rsidRPr="00F32B28">
        <w:rPr>
          <w:rtl/>
        </w:rPr>
        <w:t>آلاف</w:t>
      </w:r>
      <w:r w:rsidR="00F32B28">
        <w:rPr>
          <w:rtl/>
        </w:rPr>
        <w:t xml:space="preserve"> </w:t>
      </w:r>
      <w:r w:rsidR="00F32B28" w:rsidRPr="00F32B28">
        <w:rPr>
          <w:rtl/>
        </w:rPr>
        <w:t>من</w:t>
      </w:r>
      <w:r w:rsidR="00F32B28">
        <w:rPr>
          <w:rtl/>
        </w:rPr>
        <w:t xml:space="preserve"> </w:t>
      </w:r>
      <w:r w:rsidR="00F32B28" w:rsidRPr="00F32B28">
        <w:rPr>
          <w:rtl/>
        </w:rPr>
        <w:t>الطلاب</w:t>
      </w:r>
      <w:r w:rsidR="00F32B28">
        <w:rPr>
          <w:rtl/>
        </w:rPr>
        <w:t xml:space="preserve"> </w:t>
      </w:r>
      <w:r w:rsidR="00F32B28" w:rsidRPr="00F32B28">
        <w:rPr>
          <w:rtl/>
        </w:rPr>
        <w:t>والطالبات</w:t>
      </w:r>
      <w:r w:rsidR="00F32B28">
        <w:rPr>
          <w:rtl/>
        </w:rPr>
        <w:t xml:space="preserve"> </w:t>
      </w:r>
      <w:r w:rsidR="00F32B28" w:rsidRPr="00F32B28">
        <w:rPr>
          <w:rtl/>
        </w:rPr>
        <w:t>بالالتحاق</w:t>
      </w:r>
      <w:r w:rsidR="00F32B28">
        <w:rPr>
          <w:rtl/>
        </w:rPr>
        <w:t xml:space="preserve"> </w:t>
      </w:r>
      <w:r w:rsidR="00F32B28" w:rsidRPr="00F32B28">
        <w:rPr>
          <w:rtl/>
        </w:rPr>
        <w:t>بمدارسهم</w:t>
      </w:r>
      <w:r w:rsidR="00F32B28">
        <w:rPr>
          <w:rtl/>
        </w:rPr>
        <w:t xml:space="preserve"> </w:t>
      </w:r>
      <w:r w:rsidR="00F32B28" w:rsidRPr="00F32B28">
        <w:rPr>
          <w:rtl/>
        </w:rPr>
        <w:t>وجامعاتهم،</w:t>
      </w:r>
      <w:r w:rsidR="00F32B28">
        <w:rPr>
          <w:rtl/>
        </w:rPr>
        <w:t xml:space="preserve"> </w:t>
      </w:r>
      <w:r w:rsidR="00F32B28" w:rsidRPr="00F32B28">
        <w:rPr>
          <w:rtl/>
        </w:rPr>
        <w:t>ونضرب</w:t>
      </w:r>
      <w:r w:rsidR="00F32B28">
        <w:rPr>
          <w:rtl/>
        </w:rPr>
        <w:t xml:space="preserve"> </w:t>
      </w:r>
      <w:r w:rsidR="00F32B28" w:rsidRPr="00F32B28">
        <w:rPr>
          <w:rtl/>
        </w:rPr>
        <w:t>هنا</w:t>
      </w:r>
      <w:r w:rsidR="00F32B28">
        <w:rPr>
          <w:rtl/>
        </w:rPr>
        <w:t xml:space="preserve"> </w:t>
      </w:r>
      <w:r w:rsidR="00F32B28" w:rsidRPr="00F32B28">
        <w:rPr>
          <w:rtl/>
        </w:rPr>
        <w:t>مثال</w:t>
      </w:r>
      <w:r w:rsidR="00F32B28">
        <w:rPr>
          <w:rtl/>
        </w:rPr>
        <w:t xml:space="preserve"> </w:t>
      </w:r>
      <w:r w:rsidR="00F32B28" w:rsidRPr="00F32B28">
        <w:rPr>
          <w:rtl/>
        </w:rPr>
        <w:t>العدوان</w:t>
      </w:r>
      <w:r w:rsidR="00F32B28">
        <w:rPr>
          <w:rtl/>
        </w:rPr>
        <w:t xml:space="preserve"> </w:t>
      </w:r>
      <w:r w:rsidR="00F32B28" w:rsidRPr="00F32B28">
        <w:rPr>
          <w:rtl/>
        </w:rPr>
        <w:t>الأخير</w:t>
      </w:r>
      <w:r w:rsidR="00F32B28">
        <w:rPr>
          <w:rtl/>
        </w:rPr>
        <w:t xml:space="preserve"> </w:t>
      </w:r>
      <w:r w:rsidR="00F32B28" w:rsidRPr="00F32B28">
        <w:rPr>
          <w:rtl/>
        </w:rPr>
        <w:t>على</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2014</w:t>
      </w:r>
      <w:r w:rsidR="00F32B28">
        <w:rPr>
          <w:rtl/>
        </w:rPr>
        <w:t xml:space="preserve"> </w:t>
      </w:r>
      <w:r w:rsidR="00F32B28" w:rsidRPr="00F32B28">
        <w:rPr>
          <w:rtl/>
        </w:rPr>
        <w:t>وأثره</w:t>
      </w:r>
      <w:r w:rsidR="00F32B28">
        <w:rPr>
          <w:rtl/>
        </w:rPr>
        <w:t xml:space="preserve"> </w:t>
      </w:r>
      <w:r w:rsidR="00F32B28" w:rsidRPr="00F32B28">
        <w:rPr>
          <w:rtl/>
        </w:rPr>
        <w:t>على</w:t>
      </w:r>
      <w:r w:rsidR="00F32B28">
        <w:rPr>
          <w:rtl/>
        </w:rPr>
        <w:t xml:space="preserve"> </w:t>
      </w:r>
      <w:r w:rsidR="00F32B28" w:rsidRPr="00F32B28">
        <w:rPr>
          <w:rtl/>
        </w:rPr>
        <w:t>التعليم،</w:t>
      </w:r>
      <w:r w:rsidR="00F32B28">
        <w:rPr>
          <w:rtl/>
        </w:rPr>
        <w:t xml:space="preserve"> </w:t>
      </w:r>
      <w:r w:rsidR="00F32B28" w:rsidRPr="00F32B28">
        <w:rPr>
          <w:rtl/>
        </w:rPr>
        <w:t>على</w:t>
      </w:r>
      <w:r w:rsidR="00F32B28">
        <w:rPr>
          <w:rtl/>
        </w:rPr>
        <w:t xml:space="preserve"> </w:t>
      </w:r>
      <w:r w:rsidR="00F32B28" w:rsidRPr="00F32B28">
        <w:rPr>
          <w:rtl/>
        </w:rPr>
        <w:t>النحو</w:t>
      </w:r>
      <w:r w:rsidR="00F32B28">
        <w:rPr>
          <w:rtl/>
        </w:rPr>
        <w:t xml:space="preserve"> </w:t>
      </w:r>
      <w:r w:rsidR="00F32B28" w:rsidRPr="00F32B28">
        <w:rPr>
          <w:rtl/>
        </w:rPr>
        <w:t>التالي:</w:t>
      </w:r>
      <w:r w:rsidR="00F32B28">
        <w:rPr>
          <w:rtl/>
        </w:rPr>
        <w:t xml:space="preserve"> </w:t>
      </w:r>
    </w:p>
    <w:p w:rsidR="00F32B28" w:rsidRPr="00F32B28" w:rsidRDefault="00D652E9" w:rsidP="0036276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تضرر</w:t>
      </w:r>
      <w:r w:rsidR="00F32B28">
        <w:rPr>
          <w:rtl/>
        </w:rPr>
        <w:t xml:space="preserve"> </w:t>
      </w:r>
      <w:r w:rsidR="00F32B28" w:rsidRPr="00F32B28">
        <w:rPr>
          <w:rtl/>
        </w:rPr>
        <w:t>(235)</w:t>
      </w:r>
      <w:r w:rsidR="00F32B28">
        <w:rPr>
          <w:rtl/>
        </w:rPr>
        <w:t xml:space="preserve"> </w:t>
      </w:r>
      <w:r w:rsidR="00F32B28" w:rsidRPr="00F32B28">
        <w:rPr>
          <w:rtl/>
        </w:rPr>
        <w:t>مدرسة،</w:t>
      </w:r>
      <w:r w:rsidR="00F32B28">
        <w:rPr>
          <w:rtl/>
        </w:rPr>
        <w:t xml:space="preserve"> </w:t>
      </w:r>
      <w:r w:rsidR="00F32B28" w:rsidRPr="00F32B28">
        <w:rPr>
          <w:rtl/>
        </w:rPr>
        <w:t>منها</w:t>
      </w:r>
      <w:r w:rsidR="00F32B28">
        <w:rPr>
          <w:rtl/>
        </w:rPr>
        <w:t xml:space="preserve"> </w:t>
      </w:r>
      <w:r w:rsidR="00F32B28" w:rsidRPr="00F32B28">
        <w:rPr>
          <w:rtl/>
        </w:rPr>
        <w:t>(24)</w:t>
      </w:r>
      <w:r w:rsidR="00F32B28">
        <w:rPr>
          <w:rtl/>
        </w:rPr>
        <w:t xml:space="preserve"> </w:t>
      </w:r>
      <w:r w:rsidR="00F32B28" w:rsidRPr="00F32B28">
        <w:rPr>
          <w:rtl/>
        </w:rPr>
        <w:t>مدرسة</w:t>
      </w:r>
      <w:r w:rsidR="00F32B28">
        <w:rPr>
          <w:rtl/>
        </w:rPr>
        <w:t xml:space="preserve"> </w:t>
      </w:r>
      <w:r w:rsidR="00F32B28" w:rsidRPr="00F32B28">
        <w:rPr>
          <w:rtl/>
        </w:rPr>
        <w:t>بشكل</w:t>
      </w:r>
      <w:r w:rsidR="00F32B28">
        <w:rPr>
          <w:rtl/>
        </w:rPr>
        <w:t xml:space="preserve"> </w:t>
      </w:r>
      <w:r w:rsidR="00F32B28" w:rsidRPr="00F32B28">
        <w:rPr>
          <w:rtl/>
        </w:rPr>
        <w:t>كلي</w:t>
      </w:r>
      <w:r w:rsidR="00362769">
        <w:rPr>
          <w:rFonts w:hint="cs"/>
          <w:rtl/>
        </w:rPr>
        <w:t xml:space="preserve"> </w:t>
      </w:r>
      <w:r w:rsidR="00F32B28" w:rsidRPr="00F32B28">
        <w:rPr>
          <w:rtl/>
        </w:rPr>
        <w:t>بشكل</w:t>
      </w:r>
      <w:r w:rsidR="00F32B28">
        <w:rPr>
          <w:rtl/>
        </w:rPr>
        <w:t xml:space="preserve"> </w:t>
      </w:r>
      <w:r w:rsidR="00F32B28" w:rsidRPr="00F32B28">
        <w:rPr>
          <w:rtl/>
        </w:rPr>
        <w:t>لم</w:t>
      </w:r>
      <w:r w:rsidR="00F32B28">
        <w:rPr>
          <w:rtl/>
        </w:rPr>
        <w:t xml:space="preserve"> </w:t>
      </w:r>
      <w:r w:rsidR="00F32B28" w:rsidRPr="00F32B28">
        <w:rPr>
          <w:rtl/>
        </w:rPr>
        <w:t>يتيح</w:t>
      </w:r>
      <w:r w:rsidR="00F32B28">
        <w:rPr>
          <w:rtl/>
        </w:rPr>
        <w:t xml:space="preserve"> </w:t>
      </w:r>
      <w:r w:rsidR="00F32B28" w:rsidRPr="00F32B28">
        <w:rPr>
          <w:rtl/>
        </w:rPr>
        <w:t>استخدامها</w:t>
      </w:r>
      <w:r w:rsidR="00F32B28">
        <w:rPr>
          <w:rtl/>
        </w:rPr>
        <w:t xml:space="preserve"> </w:t>
      </w:r>
      <w:r w:rsidR="00F32B28" w:rsidRPr="00F32B28">
        <w:rPr>
          <w:rtl/>
        </w:rPr>
        <w:t>عند</w:t>
      </w:r>
      <w:r w:rsidR="00F32B28">
        <w:rPr>
          <w:rtl/>
        </w:rPr>
        <w:t xml:space="preserve"> </w:t>
      </w:r>
      <w:r w:rsidR="00F32B28" w:rsidRPr="00F32B28">
        <w:rPr>
          <w:rtl/>
        </w:rPr>
        <w:t>افتتاح</w:t>
      </w:r>
      <w:r w:rsidR="00F32B28">
        <w:rPr>
          <w:rtl/>
        </w:rPr>
        <w:t xml:space="preserve"> </w:t>
      </w:r>
      <w:r w:rsidR="00F32B28" w:rsidRPr="00F32B28">
        <w:rPr>
          <w:rtl/>
        </w:rPr>
        <w:t>العام</w:t>
      </w:r>
      <w:r>
        <w:rPr>
          <w:rFonts w:hint="cs"/>
          <w:rtl/>
        </w:rPr>
        <w:t xml:space="preserve"> </w:t>
      </w:r>
      <w:r w:rsidR="00F32B28" w:rsidRPr="00F32B28">
        <w:rPr>
          <w:rtl/>
        </w:rPr>
        <w:t>الدراسي</w:t>
      </w:r>
      <w:r w:rsidR="00F32B28">
        <w:rPr>
          <w:rtl/>
        </w:rPr>
        <w:t xml:space="preserve"> </w:t>
      </w:r>
      <w:r w:rsidR="00F32B28" w:rsidRPr="00F32B28">
        <w:rPr>
          <w:rtl/>
        </w:rPr>
        <w:t>الجديد؛</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استخدام</w:t>
      </w:r>
      <w:r w:rsidR="00F32B28">
        <w:rPr>
          <w:rtl/>
        </w:rPr>
        <w:t xml:space="preserve"> </w:t>
      </w:r>
      <w:r w:rsidR="00F32B28" w:rsidRPr="00F32B28">
        <w:rPr>
          <w:rtl/>
        </w:rPr>
        <w:t>(115)</w:t>
      </w:r>
      <w:r w:rsidR="00F32B28">
        <w:rPr>
          <w:rtl/>
        </w:rPr>
        <w:t xml:space="preserve"> </w:t>
      </w:r>
      <w:r w:rsidR="00F32B28" w:rsidRPr="00F32B28">
        <w:rPr>
          <w:rtl/>
        </w:rPr>
        <w:t>مدرسة</w:t>
      </w:r>
      <w:r w:rsidR="00F32B28">
        <w:rPr>
          <w:rtl/>
        </w:rPr>
        <w:t xml:space="preserve"> </w:t>
      </w:r>
      <w:r w:rsidR="00F32B28" w:rsidRPr="00F32B28">
        <w:rPr>
          <w:rtl/>
        </w:rPr>
        <w:t>كمراكز</w:t>
      </w:r>
      <w:r w:rsidR="00F32B28">
        <w:rPr>
          <w:rtl/>
        </w:rPr>
        <w:t xml:space="preserve"> </w:t>
      </w:r>
      <w:r w:rsidR="00F32B28" w:rsidRPr="00F32B28">
        <w:rPr>
          <w:rtl/>
        </w:rPr>
        <w:t>إيواء</w:t>
      </w:r>
      <w:r w:rsidR="00F32B28">
        <w:rPr>
          <w:rtl/>
        </w:rPr>
        <w:t xml:space="preserve"> </w:t>
      </w:r>
      <w:r w:rsidR="00F32B28" w:rsidRPr="00F32B28">
        <w:rPr>
          <w:rtl/>
        </w:rPr>
        <w:t>للنازحين</w:t>
      </w:r>
      <w:r w:rsidR="00F32B28">
        <w:rPr>
          <w:rtl/>
        </w:rPr>
        <w:t xml:space="preserve"> </w:t>
      </w:r>
      <w:r w:rsidR="00F32B28" w:rsidRPr="00F32B28">
        <w:rPr>
          <w:rtl/>
        </w:rPr>
        <w:t>المدنيين،</w:t>
      </w:r>
      <w:r w:rsidR="00F32B28">
        <w:rPr>
          <w:rtl/>
        </w:rPr>
        <w:t xml:space="preserve"> </w:t>
      </w:r>
      <w:r w:rsidR="00F32B28" w:rsidRPr="00F32B28">
        <w:rPr>
          <w:rtl/>
        </w:rPr>
        <w:t>مما</w:t>
      </w:r>
      <w:r w:rsidR="00F32B28">
        <w:rPr>
          <w:rtl/>
        </w:rPr>
        <w:t xml:space="preserve"> </w:t>
      </w:r>
      <w:r w:rsidR="00F32B28" w:rsidRPr="00F32B28">
        <w:rPr>
          <w:rtl/>
        </w:rPr>
        <w:t>أدى</w:t>
      </w:r>
      <w:r w:rsidR="00F32B28">
        <w:rPr>
          <w:rtl/>
        </w:rPr>
        <w:t xml:space="preserve"> </w:t>
      </w:r>
      <w:r w:rsidR="00F32B28" w:rsidRPr="00F32B28">
        <w:rPr>
          <w:rtl/>
        </w:rPr>
        <w:t>إلى</w:t>
      </w:r>
      <w:r w:rsidR="00F32B28">
        <w:rPr>
          <w:rtl/>
        </w:rPr>
        <w:t xml:space="preserve"> </w:t>
      </w:r>
      <w:r w:rsidR="00F32B28" w:rsidRPr="00F32B28">
        <w:rPr>
          <w:rtl/>
        </w:rPr>
        <w:t>تأجيل</w:t>
      </w:r>
      <w:r w:rsidR="00F32B28">
        <w:rPr>
          <w:rtl/>
        </w:rPr>
        <w:t xml:space="preserve"> </w:t>
      </w:r>
      <w:r w:rsidR="00F32B28" w:rsidRPr="00F32B28">
        <w:rPr>
          <w:rtl/>
        </w:rPr>
        <w:t>بدء</w:t>
      </w:r>
      <w:r w:rsidR="00F32B28">
        <w:rPr>
          <w:rtl/>
        </w:rPr>
        <w:t xml:space="preserve"> </w:t>
      </w:r>
      <w:r w:rsidR="00F32B28" w:rsidRPr="00F32B28">
        <w:rPr>
          <w:rtl/>
        </w:rPr>
        <w:t>العام</w:t>
      </w:r>
      <w:r w:rsidR="00F32B28">
        <w:rPr>
          <w:rtl/>
        </w:rPr>
        <w:t xml:space="preserve"> </w:t>
      </w:r>
      <w:r w:rsidR="00F32B28" w:rsidRPr="00F32B28">
        <w:rPr>
          <w:rtl/>
        </w:rPr>
        <w:t>الدراسي؛</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استهداف</w:t>
      </w:r>
      <w:r w:rsidR="00F32B28">
        <w:rPr>
          <w:rtl/>
        </w:rPr>
        <w:t xml:space="preserve"> </w:t>
      </w:r>
      <w:r w:rsidR="00F32B28" w:rsidRPr="00F32B28">
        <w:rPr>
          <w:rtl/>
        </w:rPr>
        <w:t>(6)</w:t>
      </w:r>
      <w:r w:rsidR="00F32B28">
        <w:rPr>
          <w:rtl/>
        </w:rPr>
        <w:t xml:space="preserve"> </w:t>
      </w:r>
      <w:r w:rsidR="00F32B28" w:rsidRPr="00F32B28">
        <w:rPr>
          <w:rtl/>
        </w:rPr>
        <w:t>مدارس</w:t>
      </w:r>
      <w:r w:rsidR="00F32B28">
        <w:rPr>
          <w:rtl/>
        </w:rPr>
        <w:t xml:space="preserve"> </w:t>
      </w:r>
      <w:r w:rsidR="00F32B28" w:rsidRPr="00F32B28">
        <w:rPr>
          <w:rtl/>
        </w:rPr>
        <w:t>اتخذها</w:t>
      </w:r>
      <w:r w:rsidR="00F32B28">
        <w:rPr>
          <w:rtl/>
        </w:rPr>
        <w:t xml:space="preserve"> </w:t>
      </w:r>
      <w:r w:rsidR="00F32B28" w:rsidRPr="00F32B28">
        <w:rPr>
          <w:rtl/>
        </w:rPr>
        <w:t>النازحين</w:t>
      </w:r>
      <w:r w:rsidR="00F32B28">
        <w:rPr>
          <w:rtl/>
        </w:rPr>
        <w:t xml:space="preserve"> </w:t>
      </w:r>
      <w:r w:rsidR="00F32B28" w:rsidRPr="00F32B28">
        <w:rPr>
          <w:rtl/>
        </w:rPr>
        <w:t>كمراكز</w:t>
      </w:r>
      <w:r w:rsidR="00F32B28">
        <w:rPr>
          <w:rtl/>
        </w:rPr>
        <w:t xml:space="preserve"> </w:t>
      </w:r>
      <w:r w:rsidR="00F32B28" w:rsidRPr="00F32B28">
        <w:rPr>
          <w:rtl/>
        </w:rPr>
        <w:t>للإيواء،</w:t>
      </w:r>
      <w:r w:rsidR="00F32B28">
        <w:rPr>
          <w:rtl/>
        </w:rPr>
        <w:t xml:space="preserve"> </w:t>
      </w:r>
      <w:r w:rsidR="00F32B28" w:rsidRPr="00F32B28">
        <w:rPr>
          <w:rtl/>
        </w:rPr>
        <w:t>بالرغم</w:t>
      </w:r>
      <w:r w:rsidR="00F32B28">
        <w:rPr>
          <w:rtl/>
        </w:rPr>
        <w:t xml:space="preserve"> </w:t>
      </w:r>
      <w:r w:rsidR="00F32B28" w:rsidRPr="00F32B28">
        <w:rPr>
          <w:rtl/>
        </w:rPr>
        <w:t>من</w:t>
      </w:r>
      <w:r w:rsidR="00F32B28">
        <w:rPr>
          <w:rtl/>
        </w:rPr>
        <w:t xml:space="preserve"> </w:t>
      </w:r>
      <w:r w:rsidR="00F32B28" w:rsidRPr="00F32B28">
        <w:rPr>
          <w:rtl/>
        </w:rPr>
        <w:t>قيام</w:t>
      </w:r>
      <w:r w:rsidR="00F32B28">
        <w:rPr>
          <w:rtl/>
        </w:rPr>
        <w:t xml:space="preserve"> </w:t>
      </w:r>
      <w:r w:rsidR="00D06D08">
        <w:rPr>
          <w:rFonts w:hint="cs"/>
          <w:rtl/>
        </w:rPr>
        <w:t>”</w:t>
      </w:r>
      <w:r w:rsidR="00F32B28" w:rsidRPr="00F32B28">
        <w:rPr>
          <w:rtl/>
        </w:rPr>
        <w:t>الأونروا</w:t>
      </w:r>
      <w:r w:rsidR="00D06D08">
        <w:rPr>
          <w:rFonts w:hint="cs"/>
          <w:rtl/>
        </w:rPr>
        <w:t>“</w:t>
      </w:r>
      <w:r w:rsidR="00F32B28">
        <w:rPr>
          <w:rtl/>
        </w:rPr>
        <w:t xml:space="preserve"> </w:t>
      </w:r>
      <w:r w:rsidR="00F32B28" w:rsidRPr="00F32B28">
        <w:rPr>
          <w:rtl/>
        </w:rPr>
        <w:t>بإبلاغ</w:t>
      </w:r>
      <w:r w:rsidR="00F32B28">
        <w:rPr>
          <w:rtl/>
        </w:rPr>
        <w:t xml:space="preserve"> </w:t>
      </w:r>
      <w:r w:rsidR="00F32B28" w:rsidRPr="00F32B28">
        <w:rPr>
          <w:rtl/>
        </w:rPr>
        <w:t>سلطات</w:t>
      </w:r>
      <w:r w:rsidR="00F32B28">
        <w:rPr>
          <w:rtl/>
        </w:rPr>
        <w:t xml:space="preserve"> </w:t>
      </w:r>
      <w:r w:rsidR="00F32B28" w:rsidRPr="00F32B28">
        <w:rPr>
          <w:rtl/>
        </w:rPr>
        <w:t>الاحتلال</w:t>
      </w:r>
      <w:r w:rsidR="00F32B28">
        <w:rPr>
          <w:rtl/>
        </w:rPr>
        <w:t xml:space="preserve"> </w:t>
      </w:r>
      <w:r w:rsidR="00F32B28" w:rsidRPr="00F32B28">
        <w:rPr>
          <w:rtl/>
        </w:rPr>
        <w:t>بإحداثيات</w:t>
      </w:r>
      <w:r w:rsidR="00F32B28">
        <w:rPr>
          <w:rtl/>
        </w:rPr>
        <w:t xml:space="preserve"> </w:t>
      </w:r>
      <w:r w:rsidR="00F32B28" w:rsidRPr="00F32B28">
        <w:rPr>
          <w:rtl/>
        </w:rPr>
        <w:t>هذه</w:t>
      </w:r>
      <w:r w:rsidR="00F32B28">
        <w:rPr>
          <w:rtl/>
        </w:rPr>
        <w:t xml:space="preserve"> </w:t>
      </w:r>
      <w:r w:rsidR="00F32B28" w:rsidRPr="00F32B28">
        <w:rPr>
          <w:rtl/>
        </w:rPr>
        <w:t>المدارس</w:t>
      </w:r>
      <w:r w:rsidR="00F32B28">
        <w:rPr>
          <w:rtl/>
        </w:rPr>
        <w:t xml:space="preserve"> </w:t>
      </w:r>
      <w:r w:rsidR="00F32B28" w:rsidRPr="00F32B28">
        <w:rPr>
          <w:rtl/>
        </w:rPr>
        <w:t>العاملة</w:t>
      </w:r>
      <w:r w:rsidR="00F32B28">
        <w:rPr>
          <w:rtl/>
        </w:rPr>
        <w:t xml:space="preserve"> </w:t>
      </w:r>
      <w:r w:rsidR="00F32B28" w:rsidRPr="00F32B28">
        <w:rPr>
          <w:rtl/>
        </w:rPr>
        <w:t>كمراكز</w:t>
      </w:r>
      <w:r w:rsidR="00F32B28">
        <w:rPr>
          <w:rtl/>
        </w:rPr>
        <w:t xml:space="preserve"> </w:t>
      </w:r>
      <w:r w:rsidR="00F32B28" w:rsidRPr="00F32B28">
        <w:rPr>
          <w:rtl/>
        </w:rPr>
        <w:t>إيواء،</w:t>
      </w:r>
      <w:r w:rsidR="00F32B28">
        <w:rPr>
          <w:rtl/>
        </w:rPr>
        <w:t xml:space="preserve"> </w:t>
      </w:r>
      <w:r w:rsidR="00F32B28" w:rsidRPr="00F32B28">
        <w:rPr>
          <w:rtl/>
        </w:rPr>
        <w:t>حيث</w:t>
      </w:r>
      <w:r w:rsidR="00F32B28">
        <w:rPr>
          <w:rtl/>
        </w:rPr>
        <w:t xml:space="preserve"> </w:t>
      </w:r>
      <w:r w:rsidR="00F32B28" w:rsidRPr="00F32B28">
        <w:rPr>
          <w:rtl/>
        </w:rPr>
        <w:t>قتل(44)</w:t>
      </w:r>
      <w:r w:rsidR="00F32B28">
        <w:rPr>
          <w:rtl/>
        </w:rPr>
        <w:t xml:space="preserve"> </w:t>
      </w:r>
      <w:r w:rsidR="00F32B28" w:rsidRPr="00F32B28">
        <w:rPr>
          <w:rtl/>
        </w:rPr>
        <w:t>شخص،</w:t>
      </w:r>
      <w:r w:rsidR="00F32B28">
        <w:rPr>
          <w:rtl/>
        </w:rPr>
        <w:t xml:space="preserve"> </w:t>
      </w:r>
      <w:r w:rsidR="00F32B28" w:rsidRPr="00F32B28">
        <w:rPr>
          <w:rtl/>
        </w:rPr>
        <w:t>وأصيب(222)شخص</w:t>
      </w:r>
      <w:r w:rsidR="00F32B28">
        <w:rPr>
          <w:rtl/>
        </w:rPr>
        <w:t xml:space="preserve"> </w:t>
      </w:r>
      <w:r w:rsidR="00F32B28" w:rsidRPr="00F32B28">
        <w:rPr>
          <w:rtl/>
        </w:rPr>
        <w:t>داخل</w:t>
      </w:r>
      <w:r w:rsidR="00F32B28">
        <w:rPr>
          <w:rtl/>
        </w:rPr>
        <w:t xml:space="preserve"> </w:t>
      </w:r>
      <w:r w:rsidR="00F32B28" w:rsidRPr="00F32B28">
        <w:rPr>
          <w:rtl/>
        </w:rPr>
        <w:t>هذه</w:t>
      </w:r>
      <w:r w:rsidR="00F32B28">
        <w:rPr>
          <w:rtl/>
        </w:rPr>
        <w:t xml:space="preserve"> </w:t>
      </w:r>
      <w:r w:rsidR="00F32B28" w:rsidRPr="00F32B28">
        <w:rPr>
          <w:rtl/>
        </w:rPr>
        <w:t>المدارس</w:t>
      </w:r>
      <w:r w:rsidR="00F32B28">
        <w:rPr>
          <w:rtl/>
        </w:rPr>
        <w:t xml:space="preserve"> </w:t>
      </w:r>
      <w:r w:rsidR="00F32B28" w:rsidRPr="00F32B28">
        <w:rPr>
          <w:rtl/>
        </w:rPr>
        <w:t>أو</w:t>
      </w:r>
      <w:r w:rsidR="00F32B28">
        <w:rPr>
          <w:rtl/>
        </w:rPr>
        <w:t xml:space="preserve"> </w:t>
      </w:r>
      <w:r w:rsidR="00F32B28" w:rsidRPr="00F32B28">
        <w:rPr>
          <w:rtl/>
        </w:rPr>
        <w:t>في</w:t>
      </w:r>
      <w:r w:rsidR="00F32B28">
        <w:rPr>
          <w:rtl/>
        </w:rPr>
        <w:t xml:space="preserve"> </w:t>
      </w:r>
      <w:r w:rsidR="00F32B28" w:rsidRPr="00F32B28">
        <w:rPr>
          <w:rtl/>
        </w:rPr>
        <w:t>محيطها؛</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lastRenderedPageBreak/>
        <w:tab/>
      </w:r>
      <w:r>
        <w:rPr>
          <w:rFonts w:hint="eastAsia"/>
          <w:rtl/>
        </w:rPr>
        <w:t>•</w:t>
      </w:r>
      <w:r>
        <w:rPr>
          <w:rFonts w:hint="cs"/>
          <w:rtl/>
        </w:rPr>
        <w:tab/>
      </w:r>
      <w:r w:rsidR="00F32B28" w:rsidRPr="00F32B28">
        <w:rPr>
          <w:rtl/>
        </w:rPr>
        <w:t>إلحاق</w:t>
      </w:r>
      <w:r w:rsidR="00F32B28">
        <w:rPr>
          <w:rtl/>
        </w:rPr>
        <w:t xml:space="preserve"> </w:t>
      </w:r>
      <w:r w:rsidR="00F32B28" w:rsidRPr="00F32B28">
        <w:rPr>
          <w:rtl/>
        </w:rPr>
        <w:t>أضرار</w:t>
      </w:r>
      <w:r w:rsidR="00F32B28">
        <w:rPr>
          <w:rtl/>
        </w:rPr>
        <w:t xml:space="preserve"> </w:t>
      </w:r>
      <w:r w:rsidR="00F32B28" w:rsidRPr="00F32B28">
        <w:rPr>
          <w:rtl/>
        </w:rPr>
        <w:t>متفاوتة،</w:t>
      </w:r>
      <w:r w:rsidR="00F32B28">
        <w:rPr>
          <w:rtl/>
        </w:rPr>
        <w:t xml:space="preserve"> </w:t>
      </w:r>
      <w:r w:rsidR="00F32B28" w:rsidRPr="00F32B28">
        <w:rPr>
          <w:rtl/>
        </w:rPr>
        <w:t>منها</w:t>
      </w:r>
      <w:r w:rsidR="00F32B28">
        <w:rPr>
          <w:rtl/>
        </w:rPr>
        <w:t xml:space="preserve"> </w:t>
      </w:r>
      <w:r w:rsidR="00F32B28" w:rsidRPr="00F32B28">
        <w:rPr>
          <w:rtl/>
        </w:rPr>
        <w:t>ما</w:t>
      </w:r>
      <w:r w:rsidR="00F32B28">
        <w:rPr>
          <w:rtl/>
        </w:rPr>
        <w:t xml:space="preserve"> </w:t>
      </w:r>
      <w:r w:rsidR="00F32B28" w:rsidRPr="00F32B28">
        <w:rPr>
          <w:rtl/>
        </w:rPr>
        <w:t>هو</w:t>
      </w:r>
      <w:r w:rsidR="00F32B28">
        <w:rPr>
          <w:rtl/>
        </w:rPr>
        <w:t xml:space="preserve"> </w:t>
      </w:r>
      <w:r w:rsidR="00F32B28" w:rsidRPr="00F32B28">
        <w:rPr>
          <w:rtl/>
        </w:rPr>
        <w:t>جسيم</w:t>
      </w:r>
      <w:r w:rsidR="00F32B28">
        <w:rPr>
          <w:rtl/>
        </w:rPr>
        <w:t xml:space="preserve"> </w:t>
      </w:r>
      <w:r w:rsidR="00F32B28" w:rsidRPr="00F32B28">
        <w:rPr>
          <w:rtl/>
        </w:rPr>
        <w:t>في</w:t>
      </w:r>
      <w:r w:rsidR="00F32B28">
        <w:rPr>
          <w:rtl/>
        </w:rPr>
        <w:t xml:space="preserve"> </w:t>
      </w:r>
      <w:r w:rsidR="00F32B28" w:rsidRPr="00F32B28">
        <w:rPr>
          <w:rtl/>
        </w:rPr>
        <w:t>(6)</w:t>
      </w:r>
      <w:r w:rsidR="00F32B28">
        <w:rPr>
          <w:rtl/>
        </w:rPr>
        <w:t xml:space="preserve"> </w:t>
      </w:r>
      <w:r w:rsidR="00F32B28" w:rsidRPr="00F32B28">
        <w:rPr>
          <w:rtl/>
        </w:rPr>
        <w:t>مؤسسات</w:t>
      </w:r>
      <w:r w:rsidR="00F32B28">
        <w:rPr>
          <w:rtl/>
        </w:rPr>
        <w:t xml:space="preserve"> </w:t>
      </w:r>
      <w:r w:rsidR="00F32B28" w:rsidRPr="00F32B28">
        <w:rPr>
          <w:rtl/>
        </w:rPr>
        <w:t>للتعليم</w:t>
      </w:r>
      <w:r w:rsidR="00F32B28">
        <w:rPr>
          <w:rtl/>
        </w:rPr>
        <w:t xml:space="preserve"> </w:t>
      </w:r>
      <w:r w:rsidR="00F32B28" w:rsidRPr="00F32B28">
        <w:rPr>
          <w:rtl/>
        </w:rPr>
        <w:t>العالي؛</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استشهاد</w:t>
      </w:r>
      <w:r w:rsidR="00F32B28">
        <w:rPr>
          <w:rtl/>
        </w:rPr>
        <w:t xml:space="preserve"> </w:t>
      </w:r>
      <w:r w:rsidR="00F32B28" w:rsidRPr="00F32B28">
        <w:rPr>
          <w:rtl/>
        </w:rPr>
        <w:t>(19)</w:t>
      </w:r>
      <w:r w:rsidR="00F32B28">
        <w:rPr>
          <w:rtl/>
        </w:rPr>
        <w:t xml:space="preserve"> </w:t>
      </w:r>
      <w:r w:rsidR="00F32B28" w:rsidRPr="00F32B28">
        <w:rPr>
          <w:rtl/>
        </w:rPr>
        <w:t>موظفاً</w:t>
      </w:r>
      <w:r w:rsidR="00F32B28">
        <w:rPr>
          <w:rtl/>
        </w:rPr>
        <w:t xml:space="preserve"> </w:t>
      </w:r>
      <w:r w:rsidR="00F32B28" w:rsidRPr="00F32B28">
        <w:rPr>
          <w:rtl/>
        </w:rPr>
        <w:t>عاملا</w:t>
      </w:r>
      <w:r w:rsidR="00F32B28">
        <w:rPr>
          <w:rtl/>
        </w:rPr>
        <w:t xml:space="preserve"> </w:t>
      </w:r>
      <w:r w:rsidR="00F32B28" w:rsidRPr="00F32B28">
        <w:rPr>
          <w:rtl/>
        </w:rPr>
        <w:t>في</w:t>
      </w:r>
      <w:r w:rsidR="00F32B28">
        <w:rPr>
          <w:rtl/>
        </w:rPr>
        <w:t xml:space="preserve"> </w:t>
      </w:r>
      <w:r w:rsidR="00F32B28" w:rsidRPr="00F32B28">
        <w:rPr>
          <w:rtl/>
        </w:rPr>
        <w:t>وزارة</w:t>
      </w:r>
      <w:r w:rsidR="00F32B28">
        <w:rPr>
          <w:rtl/>
        </w:rPr>
        <w:t xml:space="preserve"> </w:t>
      </w:r>
      <w:r w:rsidR="00F32B28" w:rsidRPr="00F32B28">
        <w:rPr>
          <w:rtl/>
        </w:rPr>
        <w:t>التربية</w:t>
      </w:r>
      <w:r w:rsidR="00F32B28">
        <w:rPr>
          <w:rtl/>
        </w:rPr>
        <w:t xml:space="preserve"> </w:t>
      </w:r>
      <w:r w:rsidR="00F32B28" w:rsidRPr="00F32B28">
        <w:rPr>
          <w:rtl/>
        </w:rPr>
        <w:t>والتعليم</w:t>
      </w:r>
      <w:r w:rsidR="00F32B28">
        <w:rPr>
          <w:rtl/>
        </w:rPr>
        <w:t xml:space="preserve"> </w:t>
      </w:r>
      <w:r w:rsidR="00F32B28" w:rsidRPr="00F32B28">
        <w:rPr>
          <w:rtl/>
        </w:rPr>
        <w:t>العالي</w:t>
      </w:r>
      <w:r w:rsidR="00F32B28">
        <w:rPr>
          <w:rtl/>
        </w:rPr>
        <w:t xml:space="preserve"> </w:t>
      </w:r>
      <w:r w:rsidR="00F32B28" w:rsidRPr="00F32B28">
        <w:rPr>
          <w:rtl/>
        </w:rPr>
        <w:t>بالإضافة</w:t>
      </w:r>
      <w:r w:rsidR="00F32B28">
        <w:rPr>
          <w:rtl/>
        </w:rPr>
        <w:t xml:space="preserve"> </w:t>
      </w:r>
      <w:r w:rsidR="00F32B28" w:rsidRPr="00F32B28">
        <w:rPr>
          <w:rtl/>
        </w:rPr>
        <w:t>إلى</w:t>
      </w:r>
      <w:r w:rsidR="00F32B28">
        <w:rPr>
          <w:rtl/>
        </w:rPr>
        <w:t xml:space="preserve"> </w:t>
      </w:r>
      <w:r w:rsidR="00F32B28" w:rsidRPr="00F32B28">
        <w:rPr>
          <w:rtl/>
        </w:rPr>
        <w:t>إصابة</w:t>
      </w:r>
      <w:r w:rsidR="00F32B28">
        <w:rPr>
          <w:rtl/>
        </w:rPr>
        <w:t xml:space="preserve"> </w:t>
      </w:r>
      <w:r w:rsidR="00F32B28" w:rsidRPr="00F32B28">
        <w:rPr>
          <w:rtl/>
        </w:rPr>
        <w:t>عدد</w:t>
      </w:r>
      <w:r w:rsidR="00F32B28">
        <w:rPr>
          <w:rtl/>
        </w:rPr>
        <w:t xml:space="preserve"> </w:t>
      </w:r>
      <w:r w:rsidR="00F32B28" w:rsidRPr="00F32B28">
        <w:rPr>
          <w:rtl/>
        </w:rPr>
        <w:t>آخر</w:t>
      </w:r>
      <w:r>
        <w:rPr>
          <w:rFonts w:hint="cs"/>
          <w:rtl/>
        </w:rPr>
        <w:t> </w:t>
      </w:r>
      <w:r w:rsidR="00F32B28" w:rsidRPr="00F32B28">
        <w:rPr>
          <w:rtl/>
        </w:rPr>
        <w:t>منهم؛</w:t>
      </w:r>
      <w:r w:rsidR="00F32B28">
        <w:rPr>
          <w:rtl/>
        </w:rPr>
        <w:t xml:space="preserve"> </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استشهاد</w:t>
      </w:r>
      <w:r w:rsidR="00F32B28">
        <w:rPr>
          <w:rtl/>
        </w:rPr>
        <w:t xml:space="preserve"> </w:t>
      </w:r>
      <w:r w:rsidR="00F32B28" w:rsidRPr="00F32B28">
        <w:rPr>
          <w:rtl/>
        </w:rPr>
        <w:t>وجرح</w:t>
      </w:r>
      <w:r w:rsidR="00F32B28">
        <w:rPr>
          <w:rtl/>
        </w:rPr>
        <w:t xml:space="preserve"> </w:t>
      </w:r>
      <w:r w:rsidR="00F32B28" w:rsidRPr="00F32B28">
        <w:rPr>
          <w:rtl/>
        </w:rPr>
        <w:t>الآلاف</w:t>
      </w:r>
      <w:r w:rsidR="00F32B28">
        <w:rPr>
          <w:rtl/>
        </w:rPr>
        <w:t xml:space="preserve"> </w:t>
      </w:r>
      <w:r w:rsidR="00F32B28" w:rsidRPr="00F32B28">
        <w:rPr>
          <w:rtl/>
        </w:rPr>
        <w:t>من</w:t>
      </w:r>
      <w:r w:rsidR="00F32B28">
        <w:rPr>
          <w:rtl/>
        </w:rPr>
        <w:t xml:space="preserve"> </w:t>
      </w:r>
      <w:r w:rsidR="00F32B28" w:rsidRPr="00F32B28">
        <w:rPr>
          <w:rtl/>
        </w:rPr>
        <w:t>الأطفال</w:t>
      </w:r>
      <w:r w:rsidR="00F32B28">
        <w:rPr>
          <w:rtl/>
        </w:rPr>
        <w:t xml:space="preserve"> </w:t>
      </w:r>
      <w:r w:rsidR="00F32B28" w:rsidRPr="00F32B28">
        <w:rPr>
          <w:rtl/>
        </w:rPr>
        <w:t>الطلبة</w:t>
      </w:r>
      <w:r w:rsidR="00F32B28">
        <w:rPr>
          <w:rtl/>
        </w:rPr>
        <w:t xml:space="preserve"> </w:t>
      </w:r>
      <w:r w:rsidR="00F32B28" w:rsidRPr="00F32B28">
        <w:rPr>
          <w:rtl/>
        </w:rPr>
        <w:t>في</w:t>
      </w:r>
      <w:r w:rsidR="00F32B28">
        <w:rPr>
          <w:rtl/>
        </w:rPr>
        <w:t xml:space="preserve"> </w:t>
      </w:r>
      <w:r w:rsidR="00F32B28" w:rsidRPr="00F32B28">
        <w:rPr>
          <w:rtl/>
        </w:rPr>
        <w:t>مختلف</w:t>
      </w:r>
      <w:r w:rsidR="00F32B28">
        <w:rPr>
          <w:rtl/>
        </w:rPr>
        <w:t xml:space="preserve"> </w:t>
      </w:r>
      <w:r w:rsidR="00F32B28" w:rsidRPr="00F32B28">
        <w:rPr>
          <w:rtl/>
        </w:rPr>
        <w:t>المراحل</w:t>
      </w:r>
      <w:r w:rsidR="00F32B28">
        <w:rPr>
          <w:rtl/>
        </w:rPr>
        <w:t xml:space="preserve"> </w:t>
      </w:r>
      <w:r w:rsidR="00F32B28" w:rsidRPr="00F32B28">
        <w:rPr>
          <w:rtl/>
        </w:rPr>
        <w:t>التعليمية؛</w:t>
      </w:r>
      <w:r w:rsidR="00F32B28">
        <w:rPr>
          <w:rtl/>
        </w:rPr>
        <w:t xml:space="preserve"> </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إصابة</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الطلبة</w:t>
      </w:r>
      <w:r w:rsidR="00F32B28">
        <w:rPr>
          <w:rtl/>
        </w:rPr>
        <w:t xml:space="preserve"> </w:t>
      </w:r>
      <w:r w:rsidR="00F32B28" w:rsidRPr="00F32B28">
        <w:rPr>
          <w:rtl/>
        </w:rPr>
        <w:t>بإعاقات</w:t>
      </w:r>
      <w:r w:rsidR="00F32B28">
        <w:rPr>
          <w:rtl/>
        </w:rPr>
        <w:t xml:space="preserve"> </w:t>
      </w:r>
      <w:r w:rsidR="00F32B28" w:rsidRPr="00F32B28">
        <w:rPr>
          <w:rtl/>
        </w:rPr>
        <w:t>متنوعة،</w:t>
      </w:r>
      <w:r w:rsidR="00F32B28">
        <w:rPr>
          <w:rtl/>
        </w:rPr>
        <w:t xml:space="preserve"> </w:t>
      </w:r>
      <w:r w:rsidR="00F32B28" w:rsidRPr="00F32B28">
        <w:rPr>
          <w:rtl/>
        </w:rPr>
        <w:t>مما</w:t>
      </w:r>
      <w:r w:rsidR="00F32B28">
        <w:rPr>
          <w:rtl/>
        </w:rPr>
        <w:t xml:space="preserve"> </w:t>
      </w:r>
      <w:r w:rsidR="00F32B28" w:rsidRPr="00F32B28">
        <w:rPr>
          <w:rtl/>
        </w:rPr>
        <w:t>يرفع</w:t>
      </w:r>
      <w:r w:rsidR="00F32B28">
        <w:rPr>
          <w:rtl/>
        </w:rPr>
        <w:t xml:space="preserve"> </w:t>
      </w:r>
      <w:r w:rsidR="00F32B28" w:rsidRPr="00F32B28">
        <w:rPr>
          <w:rtl/>
        </w:rPr>
        <w:t>من</w:t>
      </w:r>
      <w:r w:rsidR="00F32B28">
        <w:rPr>
          <w:rtl/>
        </w:rPr>
        <w:t xml:space="preserve"> </w:t>
      </w:r>
      <w:r w:rsidR="00F32B28" w:rsidRPr="00F32B28">
        <w:rPr>
          <w:rtl/>
        </w:rPr>
        <w:t>إشكاليات</w:t>
      </w:r>
      <w:r w:rsidR="00F32B28">
        <w:rPr>
          <w:rtl/>
        </w:rPr>
        <w:t xml:space="preserve"> </w:t>
      </w:r>
      <w:r w:rsidR="00F32B28" w:rsidRPr="00F32B28">
        <w:rPr>
          <w:rtl/>
        </w:rPr>
        <w:t>المؤسسات</w:t>
      </w:r>
      <w:r w:rsidR="00F32B28">
        <w:rPr>
          <w:rtl/>
        </w:rPr>
        <w:t xml:space="preserve"> </w:t>
      </w:r>
      <w:r w:rsidR="00F32B28" w:rsidRPr="00F32B28">
        <w:rPr>
          <w:rtl/>
        </w:rPr>
        <w:t>التعليمية</w:t>
      </w:r>
      <w:r w:rsidR="00F32B28">
        <w:rPr>
          <w:rtl/>
        </w:rPr>
        <w:t xml:space="preserve"> </w:t>
      </w:r>
      <w:r w:rsidR="00F32B28" w:rsidRPr="00F32B28">
        <w:rPr>
          <w:rtl/>
        </w:rPr>
        <w:t>في</w:t>
      </w:r>
      <w:r w:rsidR="00F32B28">
        <w:rPr>
          <w:rtl/>
        </w:rPr>
        <w:t xml:space="preserve"> </w:t>
      </w:r>
      <w:r w:rsidR="00F32B28" w:rsidRPr="00F32B28">
        <w:rPr>
          <w:rtl/>
        </w:rPr>
        <w:t>التعامل</w:t>
      </w:r>
      <w:r w:rsidR="00F32B28">
        <w:rPr>
          <w:rtl/>
        </w:rPr>
        <w:t xml:space="preserve"> </w:t>
      </w:r>
      <w:r w:rsidR="00F32B28" w:rsidRPr="00F32B28">
        <w:rPr>
          <w:rtl/>
        </w:rPr>
        <w:t>معهم؛</w:t>
      </w:r>
      <w:r w:rsidR="00F32B28">
        <w:rPr>
          <w:rtl/>
        </w:rPr>
        <w:t xml:space="preserve"> </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تدهور</w:t>
      </w:r>
      <w:r w:rsidR="00F32B28">
        <w:rPr>
          <w:rtl/>
        </w:rPr>
        <w:t xml:space="preserve"> </w:t>
      </w:r>
      <w:r w:rsidR="00F32B28" w:rsidRPr="00F32B28">
        <w:rPr>
          <w:rtl/>
        </w:rPr>
        <w:t>الحالة</w:t>
      </w:r>
      <w:r w:rsidR="00F32B28">
        <w:rPr>
          <w:rtl/>
        </w:rPr>
        <w:t xml:space="preserve"> </w:t>
      </w:r>
      <w:r w:rsidR="00F32B28" w:rsidRPr="00F32B28">
        <w:rPr>
          <w:rtl/>
        </w:rPr>
        <w:t>النفسية</w:t>
      </w:r>
      <w:r w:rsidR="00F32B28">
        <w:rPr>
          <w:rtl/>
        </w:rPr>
        <w:t xml:space="preserve"> </w:t>
      </w:r>
      <w:r w:rsidR="00F32B28" w:rsidRPr="00F32B28">
        <w:rPr>
          <w:rtl/>
        </w:rPr>
        <w:t>للطلبة</w:t>
      </w:r>
      <w:r w:rsidR="00F32B28">
        <w:rPr>
          <w:rtl/>
        </w:rPr>
        <w:t xml:space="preserve"> </w:t>
      </w:r>
      <w:r w:rsidR="00F32B28" w:rsidRPr="00F32B28">
        <w:rPr>
          <w:rtl/>
        </w:rPr>
        <w:t>بشكل</w:t>
      </w:r>
      <w:r w:rsidR="00F32B28">
        <w:rPr>
          <w:rtl/>
        </w:rPr>
        <w:t xml:space="preserve"> </w:t>
      </w:r>
      <w:r w:rsidR="00F32B28" w:rsidRPr="00F32B28">
        <w:rPr>
          <w:rtl/>
        </w:rPr>
        <w:t>كبير،</w:t>
      </w:r>
      <w:r w:rsidR="00F32B28">
        <w:rPr>
          <w:rtl/>
        </w:rPr>
        <w:t xml:space="preserve"> </w:t>
      </w:r>
      <w:r w:rsidR="00F32B28" w:rsidRPr="00F32B28">
        <w:rPr>
          <w:rtl/>
        </w:rPr>
        <w:t>الأمر</w:t>
      </w:r>
      <w:r w:rsidR="00F32B28">
        <w:rPr>
          <w:rtl/>
        </w:rPr>
        <w:t xml:space="preserve"> </w:t>
      </w:r>
      <w:r w:rsidR="00F32B28" w:rsidRPr="00F32B28">
        <w:rPr>
          <w:rtl/>
        </w:rPr>
        <w:t>الذي</w:t>
      </w:r>
      <w:r w:rsidR="00F32B28">
        <w:rPr>
          <w:rtl/>
        </w:rPr>
        <w:t xml:space="preserve"> </w:t>
      </w:r>
      <w:r w:rsidR="00F32B28" w:rsidRPr="00F32B28">
        <w:rPr>
          <w:rtl/>
        </w:rPr>
        <w:t>يؤثر</w:t>
      </w:r>
      <w:r w:rsidR="00F32B28">
        <w:rPr>
          <w:rtl/>
        </w:rPr>
        <w:t xml:space="preserve"> </w:t>
      </w:r>
      <w:r w:rsidR="00F32B28" w:rsidRPr="00F32B28">
        <w:rPr>
          <w:rtl/>
        </w:rPr>
        <w:t>حتما</w:t>
      </w:r>
      <w:r w:rsidR="00F32B28">
        <w:rPr>
          <w:rtl/>
        </w:rPr>
        <w:t xml:space="preserve"> </w:t>
      </w:r>
      <w:r w:rsidR="00F32B28" w:rsidRPr="00F32B28">
        <w:rPr>
          <w:rtl/>
        </w:rPr>
        <w:t>على</w:t>
      </w:r>
      <w:r w:rsidR="00F32B28">
        <w:rPr>
          <w:rtl/>
        </w:rPr>
        <w:t xml:space="preserve"> </w:t>
      </w:r>
      <w:r w:rsidR="00F32B28" w:rsidRPr="00F32B28">
        <w:rPr>
          <w:rtl/>
        </w:rPr>
        <w:t>قدرتهم</w:t>
      </w:r>
      <w:r w:rsidR="00F32B28">
        <w:rPr>
          <w:rtl/>
        </w:rPr>
        <w:t xml:space="preserve"> </w:t>
      </w:r>
      <w:r w:rsidR="00F32B28" w:rsidRPr="00F32B28">
        <w:rPr>
          <w:rtl/>
        </w:rPr>
        <w:t>في</w:t>
      </w:r>
      <w:r w:rsidR="00F32B28">
        <w:rPr>
          <w:rtl/>
        </w:rPr>
        <w:t xml:space="preserve"> </w:t>
      </w:r>
      <w:r w:rsidR="00F32B28" w:rsidRPr="00F32B28">
        <w:rPr>
          <w:rtl/>
        </w:rPr>
        <w:t>التحصيل</w:t>
      </w:r>
      <w:r>
        <w:rPr>
          <w:rFonts w:hint="cs"/>
          <w:rtl/>
        </w:rPr>
        <w:t> </w:t>
      </w:r>
      <w:r w:rsidR="00F32B28" w:rsidRPr="00F32B28">
        <w:rPr>
          <w:rtl/>
        </w:rPr>
        <w:t>العلمي؛</w:t>
      </w:r>
    </w:p>
    <w:p w:rsidR="00F32B28" w:rsidRPr="00F32B28" w:rsidRDefault="0007328B"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cs"/>
          <w:rtl/>
        </w:rPr>
        <w:tab/>
      </w:r>
      <w:r w:rsidR="00F32B28" w:rsidRPr="00F32B28">
        <w:rPr>
          <w:rtl/>
        </w:rPr>
        <w:t>زيادة</w:t>
      </w:r>
      <w:r w:rsidR="00F32B28">
        <w:rPr>
          <w:rtl/>
        </w:rPr>
        <w:t xml:space="preserve"> </w:t>
      </w:r>
      <w:r w:rsidR="00F32B28" w:rsidRPr="00F32B28">
        <w:rPr>
          <w:rtl/>
        </w:rPr>
        <w:t>اكتظاظ</w:t>
      </w:r>
      <w:r w:rsidR="00F32B28">
        <w:rPr>
          <w:rtl/>
        </w:rPr>
        <w:t xml:space="preserve"> </w:t>
      </w:r>
      <w:r w:rsidR="00F32B28" w:rsidRPr="00F32B28">
        <w:rPr>
          <w:rtl/>
        </w:rPr>
        <w:t>الطلبة</w:t>
      </w:r>
      <w:r w:rsidR="00F32B28">
        <w:rPr>
          <w:rtl/>
        </w:rPr>
        <w:t xml:space="preserve"> </w:t>
      </w:r>
      <w:r w:rsidR="00F32B28" w:rsidRPr="00F32B28">
        <w:rPr>
          <w:rtl/>
        </w:rPr>
        <w:t>في</w:t>
      </w:r>
      <w:r w:rsidR="00F32B28">
        <w:rPr>
          <w:rtl/>
        </w:rPr>
        <w:t xml:space="preserve"> </w:t>
      </w:r>
      <w:r w:rsidR="00F32B28" w:rsidRPr="00F32B28">
        <w:rPr>
          <w:rtl/>
        </w:rPr>
        <w:t>الصف</w:t>
      </w:r>
      <w:r w:rsidR="00F32B28">
        <w:rPr>
          <w:rtl/>
        </w:rPr>
        <w:t xml:space="preserve"> </w:t>
      </w:r>
      <w:r w:rsidR="00F32B28" w:rsidRPr="00F32B28">
        <w:rPr>
          <w:rtl/>
        </w:rPr>
        <w:t>الواحد</w:t>
      </w:r>
      <w:r w:rsidR="00F32B28">
        <w:rPr>
          <w:rtl/>
        </w:rPr>
        <w:t xml:space="preserve"> </w:t>
      </w:r>
      <w:r w:rsidR="00F32B28" w:rsidRPr="00F32B28">
        <w:rPr>
          <w:rtl/>
        </w:rPr>
        <w:t>وزيادة</w:t>
      </w:r>
      <w:r w:rsidR="00F32B28">
        <w:rPr>
          <w:rtl/>
        </w:rPr>
        <w:t xml:space="preserve"> </w:t>
      </w:r>
      <w:r w:rsidR="00F32B28" w:rsidRPr="00F32B28">
        <w:rPr>
          <w:rtl/>
        </w:rPr>
        <w:t>نسبة</w:t>
      </w:r>
      <w:r w:rsidR="00F32B28">
        <w:rPr>
          <w:rtl/>
        </w:rPr>
        <w:t xml:space="preserve"> </w:t>
      </w:r>
      <w:r w:rsidR="00F32B28" w:rsidRPr="00F32B28">
        <w:rPr>
          <w:rtl/>
        </w:rPr>
        <w:t>المدارس</w:t>
      </w:r>
      <w:r w:rsidR="00F32B28">
        <w:rPr>
          <w:rtl/>
        </w:rPr>
        <w:t xml:space="preserve"> </w:t>
      </w:r>
      <w:r w:rsidR="00F32B28" w:rsidRPr="00F32B28">
        <w:rPr>
          <w:rtl/>
        </w:rPr>
        <w:t>التي</w:t>
      </w:r>
      <w:r w:rsidR="00F32B28">
        <w:rPr>
          <w:rtl/>
        </w:rPr>
        <w:t xml:space="preserve"> </w:t>
      </w:r>
      <w:r w:rsidR="00F32B28" w:rsidRPr="00F32B28">
        <w:rPr>
          <w:rtl/>
        </w:rPr>
        <w:t>تعمل</w:t>
      </w:r>
      <w:r w:rsidR="00F32B28">
        <w:rPr>
          <w:rtl/>
        </w:rPr>
        <w:t xml:space="preserve"> </w:t>
      </w:r>
      <w:r w:rsidR="00F32B28" w:rsidRPr="00F32B28">
        <w:rPr>
          <w:rtl/>
        </w:rPr>
        <w:t>بنظام</w:t>
      </w:r>
      <w:r w:rsidR="00F32B28">
        <w:rPr>
          <w:rtl/>
        </w:rPr>
        <w:t xml:space="preserve"> </w:t>
      </w:r>
      <w:r w:rsidR="00F32B28" w:rsidRPr="00F32B28">
        <w:rPr>
          <w:rtl/>
        </w:rPr>
        <w:t>الفترتين،</w:t>
      </w:r>
      <w:r w:rsidR="00F32B28">
        <w:rPr>
          <w:rtl/>
        </w:rPr>
        <w:t xml:space="preserve"> </w:t>
      </w:r>
      <w:r w:rsidR="00F32B28" w:rsidRPr="00F32B28">
        <w:rPr>
          <w:rtl/>
        </w:rPr>
        <w:t>لا</w:t>
      </w:r>
      <w:r w:rsidR="00F32B28">
        <w:rPr>
          <w:rtl/>
        </w:rPr>
        <w:t xml:space="preserve"> </w:t>
      </w:r>
      <w:r w:rsidR="00F32B28" w:rsidRPr="00F32B28">
        <w:rPr>
          <w:rtl/>
        </w:rPr>
        <w:t>سيما</w:t>
      </w:r>
      <w:r w:rsidR="00F32B28">
        <w:rPr>
          <w:rtl/>
        </w:rPr>
        <w:t xml:space="preserve"> </w:t>
      </w:r>
      <w:r w:rsidR="00F32B28" w:rsidRPr="00F32B28">
        <w:rPr>
          <w:rtl/>
        </w:rPr>
        <w:t>بعد</w:t>
      </w:r>
      <w:r w:rsidR="00F32B28">
        <w:rPr>
          <w:rtl/>
        </w:rPr>
        <w:t xml:space="preserve"> </w:t>
      </w:r>
      <w:r w:rsidR="00F32B28" w:rsidRPr="00F32B28">
        <w:rPr>
          <w:rtl/>
        </w:rPr>
        <w:t>الدمار</w:t>
      </w:r>
      <w:r w:rsidR="00F32B28">
        <w:rPr>
          <w:rtl/>
        </w:rPr>
        <w:t xml:space="preserve"> </w:t>
      </w:r>
      <w:r w:rsidR="00F32B28" w:rsidRPr="00F32B28">
        <w:rPr>
          <w:rtl/>
        </w:rPr>
        <w:t>الذي</w:t>
      </w:r>
      <w:r w:rsidR="00F32B28">
        <w:rPr>
          <w:rtl/>
        </w:rPr>
        <w:t xml:space="preserve"> </w:t>
      </w:r>
      <w:r w:rsidR="00F32B28" w:rsidRPr="00F32B28">
        <w:rPr>
          <w:rtl/>
        </w:rPr>
        <w:t>لحق</w:t>
      </w:r>
      <w:r w:rsidR="00F32B28">
        <w:rPr>
          <w:rtl/>
        </w:rPr>
        <w:t xml:space="preserve"> </w:t>
      </w:r>
      <w:r w:rsidR="00F32B28" w:rsidRPr="00F32B28">
        <w:rPr>
          <w:rtl/>
        </w:rPr>
        <w:t>بها</w:t>
      </w:r>
      <w:r w:rsidR="00F32B28">
        <w:rPr>
          <w:rtl/>
        </w:rPr>
        <w:t xml:space="preserve"> </w:t>
      </w:r>
      <w:r w:rsidR="00F32B28" w:rsidRPr="00F32B28">
        <w:rPr>
          <w:rtl/>
        </w:rPr>
        <w:t>خلال</w:t>
      </w:r>
      <w:r w:rsidR="00F32B28">
        <w:rPr>
          <w:rtl/>
        </w:rPr>
        <w:t xml:space="preserve"> </w:t>
      </w:r>
      <w:r w:rsidR="00F32B28" w:rsidRPr="00F32B28">
        <w:rPr>
          <w:rtl/>
        </w:rPr>
        <w:t>العدوان،</w:t>
      </w:r>
      <w:r w:rsidR="00F32B28">
        <w:rPr>
          <w:rtl/>
        </w:rPr>
        <w:t xml:space="preserve"> </w:t>
      </w:r>
      <w:r w:rsidR="00F32B28" w:rsidRPr="00F32B28">
        <w:rPr>
          <w:rtl/>
        </w:rPr>
        <w:t>ونزوح</w:t>
      </w:r>
      <w:r w:rsidR="00F32B28">
        <w:rPr>
          <w:rtl/>
        </w:rPr>
        <w:t xml:space="preserve"> </w:t>
      </w:r>
      <w:r w:rsidR="00F32B28" w:rsidRPr="00F32B28">
        <w:rPr>
          <w:rtl/>
        </w:rPr>
        <w:t>العائلات</w:t>
      </w:r>
      <w:r w:rsidR="00F32B28">
        <w:rPr>
          <w:rtl/>
        </w:rPr>
        <w:t xml:space="preserve"> </w:t>
      </w:r>
      <w:r w:rsidR="00F32B28" w:rsidRPr="00F32B28">
        <w:rPr>
          <w:rtl/>
        </w:rPr>
        <w:t>من</w:t>
      </w:r>
      <w:r w:rsidR="00F32B28">
        <w:rPr>
          <w:rtl/>
        </w:rPr>
        <w:t xml:space="preserve"> </w:t>
      </w:r>
      <w:r w:rsidR="00F32B28" w:rsidRPr="00F32B28">
        <w:rPr>
          <w:rtl/>
        </w:rPr>
        <w:t>المناطق</w:t>
      </w:r>
      <w:r w:rsidR="00F32B28">
        <w:rPr>
          <w:rtl/>
        </w:rPr>
        <w:t xml:space="preserve"> </w:t>
      </w:r>
      <w:r w:rsidR="00F32B28" w:rsidRPr="00F32B28">
        <w:rPr>
          <w:rtl/>
        </w:rPr>
        <w:t>التي</w:t>
      </w:r>
      <w:r w:rsidR="00F32B28">
        <w:rPr>
          <w:rtl/>
        </w:rPr>
        <w:t xml:space="preserve"> </w:t>
      </w:r>
      <w:r w:rsidR="00F32B28" w:rsidRPr="00F32B28">
        <w:rPr>
          <w:rtl/>
        </w:rPr>
        <w:t>لحق</w:t>
      </w:r>
      <w:r w:rsidR="00F32B28">
        <w:rPr>
          <w:rtl/>
        </w:rPr>
        <w:t xml:space="preserve"> </w:t>
      </w:r>
      <w:r w:rsidR="00F32B28" w:rsidRPr="00F32B28">
        <w:rPr>
          <w:rtl/>
        </w:rPr>
        <w:t>بها</w:t>
      </w:r>
      <w:r w:rsidR="00F32B28">
        <w:rPr>
          <w:rtl/>
        </w:rPr>
        <w:t xml:space="preserve"> </w:t>
      </w:r>
      <w:r w:rsidR="00F32B28" w:rsidRPr="00F32B28">
        <w:rPr>
          <w:rtl/>
        </w:rPr>
        <w:t>دمار</w:t>
      </w:r>
      <w:r w:rsidR="00F32B28">
        <w:rPr>
          <w:rtl/>
        </w:rPr>
        <w:t xml:space="preserve"> </w:t>
      </w:r>
      <w:r w:rsidR="00F32B28" w:rsidRPr="00F32B28">
        <w:rPr>
          <w:rtl/>
        </w:rPr>
        <w:t>واسع</w:t>
      </w:r>
      <w:r w:rsidR="00F32B28">
        <w:rPr>
          <w:rtl/>
        </w:rPr>
        <w:t xml:space="preserve"> </w:t>
      </w:r>
      <w:r w:rsidR="00F32B28" w:rsidRPr="00F32B28">
        <w:rPr>
          <w:rtl/>
        </w:rPr>
        <w:t>وتركزها</w:t>
      </w:r>
      <w:r w:rsidR="00F32B28">
        <w:rPr>
          <w:rtl/>
        </w:rPr>
        <w:t xml:space="preserve"> </w:t>
      </w:r>
      <w:r w:rsidR="00F32B28" w:rsidRPr="00F32B28">
        <w:rPr>
          <w:rtl/>
        </w:rPr>
        <w:t>في</w:t>
      </w:r>
      <w:r w:rsidR="00F32B28">
        <w:rPr>
          <w:rtl/>
        </w:rPr>
        <w:t xml:space="preserve"> </w:t>
      </w:r>
      <w:r w:rsidR="00F32B28" w:rsidRPr="00F32B28">
        <w:rPr>
          <w:rtl/>
        </w:rPr>
        <w:t>مراكز</w:t>
      </w:r>
      <w:r w:rsidR="00F32B28">
        <w:rPr>
          <w:rtl/>
        </w:rPr>
        <w:t xml:space="preserve"> </w:t>
      </w:r>
      <w:r w:rsidR="00F32B28" w:rsidRPr="00F32B28">
        <w:rPr>
          <w:rtl/>
        </w:rPr>
        <w:t>المدن،</w:t>
      </w:r>
      <w:r w:rsidR="00F32B28">
        <w:rPr>
          <w:rtl/>
        </w:rPr>
        <w:t xml:space="preserve"> </w:t>
      </w:r>
      <w:r w:rsidR="00F32B28" w:rsidRPr="00F32B28">
        <w:rPr>
          <w:rtl/>
        </w:rPr>
        <w:t>مما</w:t>
      </w:r>
      <w:r w:rsidR="00F32B28">
        <w:rPr>
          <w:rtl/>
        </w:rPr>
        <w:t xml:space="preserve"> </w:t>
      </w:r>
      <w:r w:rsidR="00F32B28" w:rsidRPr="00F32B28">
        <w:rPr>
          <w:rtl/>
        </w:rPr>
        <w:t>سيرفع</w:t>
      </w:r>
      <w:r w:rsidR="00F32B28">
        <w:rPr>
          <w:rtl/>
        </w:rPr>
        <w:t xml:space="preserve"> </w:t>
      </w:r>
      <w:r w:rsidR="00F32B28" w:rsidRPr="00F32B28">
        <w:rPr>
          <w:rtl/>
        </w:rPr>
        <w:t>من</w:t>
      </w:r>
      <w:r w:rsidR="00F32B28">
        <w:rPr>
          <w:rtl/>
        </w:rPr>
        <w:t xml:space="preserve"> </w:t>
      </w:r>
      <w:r w:rsidR="00F32B28" w:rsidRPr="00F32B28">
        <w:rPr>
          <w:rtl/>
        </w:rPr>
        <w:t>تعداد</w:t>
      </w:r>
      <w:r w:rsidR="00F32B28">
        <w:rPr>
          <w:rtl/>
        </w:rPr>
        <w:t xml:space="preserve"> </w:t>
      </w:r>
      <w:r w:rsidR="00F32B28" w:rsidRPr="00F32B28">
        <w:rPr>
          <w:rtl/>
        </w:rPr>
        <w:t>الطلبة</w:t>
      </w:r>
      <w:r w:rsidR="00F32B28">
        <w:rPr>
          <w:rtl/>
        </w:rPr>
        <w:t xml:space="preserve"> </w:t>
      </w:r>
      <w:r w:rsidR="00F32B28" w:rsidRPr="00F32B28">
        <w:rPr>
          <w:rtl/>
        </w:rPr>
        <w:t>في</w:t>
      </w:r>
      <w:r w:rsidR="00F32B28">
        <w:rPr>
          <w:rtl/>
        </w:rPr>
        <w:t xml:space="preserve"> </w:t>
      </w:r>
      <w:r w:rsidR="00F32B28" w:rsidRPr="00F32B28">
        <w:rPr>
          <w:rtl/>
        </w:rPr>
        <w:t>مدارس</w:t>
      </w:r>
      <w:r w:rsidR="00F32B28">
        <w:rPr>
          <w:rtl/>
        </w:rPr>
        <w:t xml:space="preserve"> </w:t>
      </w:r>
      <w:r w:rsidR="00F32B28" w:rsidRPr="00F32B28">
        <w:rPr>
          <w:rtl/>
        </w:rPr>
        <w:t>تلك</w:t>
      </w:r>
      <w:r w:rsidR="00F32B28">
        <w:rPr>
          <w:rtl/>
        </w:rPr>
        <w:t xml:space="preserve"> </w:t>
      </w:r>
      <w:r w:rsidR="00F32B28" w:rsidRPr="00F32B28">
        <w:rPr>
          <w:rtl/>
        </w:rPr>
        <w:t>المدن.</w:t>
      </w:r>
    </w:p>
    <w:p w:rsidR="00D652E9" w:rsidRPr="00D652E9" w:rsidRDefault="00D652E9" w:rsidP="00D652E9">
      <w:pPr>
        <w:pStyle w:val="SingleTxt"/>
        <w:spacing w:after="0" w:line="120" w:lineRule="exact"/>
        <w:rPr>
          <w:b/>
          <w:bCs/>
          <w:sz w:val="10"/>
          <w:rtl/>
        </w:rPr>
      </w:pPr>
    </w:p>
    <w:p w:rsidR="00F32B28" w:rsidRPr="00F32B28" w:rsidRDefault="00F32B28" w:rsidP="00D652E9">
      <w:pPr>
        <w:pStyle w:val="SingleTxt"/>
        <w:rPr>
          <w:b/>
          <w:bCs/>
          <w:rtl/>
        </w:rPr>
      </w:pPr>
      <w:r w:rsidRPr="00F32B28">
        <w:rPr>
          <w:b/>
          <w:bCs/>
          <w:rtl/>
        </w:rPr>
        <w:t>المادة</w:t>
      </w:r>
      <w:r>
        <w:rPr>
          <w:b/>
          <w:bCs/>
          <w:rtl/>
        </w:rPr>
        <w:t xml:space="preserve"> </w:t>
      </w:r>
      <w:r w:rsidRPr="00F32B28">
        <w:rPr>
          <w:b/>
          <w:bCs/>
          <w:rtl/>
        </w:rPr>
        <w:t>(11)</w:t>
      </w:r>
      <w:r w:rsidR="00D652E9">
        <w:rPr>
          <w:rFonts w:hint="cs"/>
          <w:b/>
          <w:bCs/>
          <w:rtl/>
        </w:rPr>
        <w:tab/>
      </w:r>
      <w:r w:rsidR="00D652E9">
        <w:rPr>
          <w:rFonts w:hint="cs"/>
          <w:b/>
          <w:bCs/>
          <w:rtl/>
        </w:rPr>
        <w:br/>
      </w:r>
      <w:r w:rsidRPr="00F32B28">
        <w:rPr>
          <w:b/>
          <w:bCs/>
          <w:rtl/>
        </w:rPr>
        <w:t>المساواة</w:t>
      </w:r>
      <w:r>
        <w:rPr>
          <w:b/>
          <w:bCs/>
          <w:rtl/>
        </w:rPr>
        <w:t xml:space="preserve"> </w:t>
      </w:r>
      <w:r w:rsidRPr="00F32B28">
        <w:rPr>
          <w:b/>
          <w:bCs/>
          <w:rtl/>
        </w:rPr>
        <w:t>في</w:t>
      </w:r>
      <w:r>
        <w:rPr>
          <w:b/>
          <w:bCs/>
          <w:rtl/>
        </w:rPr>
        <w:t xml:space="preserve"> </w:t>
      </w:r>
      <w:r w:rsidRPr="00F32B28">
        <w:rPr>
          <w:b/>
          <w:bCs/>
          <w:rtl/>
        </w:rPr>
        <w:t>العمل</w:t>
      </w:r>
    </w:p>
    <w:p w:rsidR="00F32B28" w:rsidRPr="00F32B28" w:rsidRDefault="00D652E9" w:rsidP="00D652E9">
      <w:pPr>
        <w:pStyle w:val="SingleTxt"/>
        <w:rPr>
          <w:b/>
          <w:bCs/>
          <w:rtl/>
          <w:lang w:bidi="ar-SY"/>
        </w:rPr>
      </w:pPr>
      <w:r>
        <w:rPr>
          <w:rFonts w:hint="cs"/>
          <w:rtl/>
        </w:rPr>
        <w:t xml:space="preserve">200 - </w:t>
      </w:r>
      <w:r w:rsidR="00F32B28" w:rsidRPr="00F32B28">
        <w:rPr>
          <w:rtl/>
        </w:rPr>
        <w:t>ينظم</w:t>
      </w:r>
      <w:r w:rsidR="00F32B28">
        <w:rPr>
          <w:rtl/>
        </w:rPr>
        <w:t xml:space="preserve"> </w:t>
      </w:r>
      <w:r w:rsidR="00F32B28" w:rsidRPr="00F32B28">
        <w:rPr>
          <w:rtl/>
        </w:rPr>
        <w:t>قطاع</w:t>
      </w:r>
      <w:r w:rsidR="00F32B28">
        <w:rPr>
          <w:rtl/>
        </w:rPr>
        <w:t xml:space="preserve"> </w:t>
      </w:r>
      <w:r w:rsidR="00F32B28" w:rsidRPr="00F32B28">
        <w:rPr>
          <w:rtl/>
        </w:rPr>
        <w:t>العمل</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قانونين</w:t>
      </w:r>
      <w:r w:rsidR="00F32B28">
        <w:rPr>
          <w:rtl/>
        </w:rPr>
        <w:t xml:space="preserve"> </w:t>
      </w:r>
      <w:r w:rsidR="00F32B28" w:rsidRPr="00F32B28">
        <w:rPr>
          <w:rtl/>
        </w:rPr>
        <w:t>رئيسيين</w:t>
      </w:r>
      <w:r w:rsidR="00F32B28">
        <w:rPr>
          <w:rtl/>
        </w:rPr>
        <w:t xml:space="preserve"> </w:t>
      </w:r>
      <w:r w:rsidR="00F32B28" w:rsidRPr="00F32B28">
        <w:rPr>
          <w:rtl/>
        </w:rPr>
        <w:t>هما؛</w:t>
      </w:r>
      <w:r w:rsidR="00F32B28">
        <w:rPr>
          <w:rtl/>
        </w:rPr>
        <w:t xml:space="preserve"> </w:t>
      </w:r>
      <w:r w:rsidR="00F32B28" w:rsidRPr="00F32B28">
        <w:rPr>
          <w:rtl/>
        </w:rPr>
        <w:t>قانون</w:t>
      </w:r>
      <w:r w:rsidR="00F32B28">
        <w:rPr>
          <w:rtl/>
        </w:rPr>
        <w:t xml:space="preserve"> </w:t>
      </w:r>
      <w:r w:rsidR="00F32B28" w:rsidRPr="00F32B28">
        <w:rPr>
          <w:rtl/>
        </w:rPr>
        <w:t>الخدمة</w:t>
      </w:r>
      <w:r w:rsidR="00F32B28">
        <w:rPr>
          <w:rtl/>
        </w:rPr>
        <w:t xml:space="preserve"> </w:t>
      </w:r>
      <w:r w:rsidR="00F32B28" w:rsidRPr="00F32B28">
        <w:rPr>
          <w:rtl/>
        </w:rPr>
        <w:t>المدنية</w:t>
      </w:r>
      <w:r w:rsidR="00F32B28">
        <w:rPr>
          <w:rtl/>
        </w:rPr>
        <w:t xml:space="preserve"> </w:t>
      </w:r>
      <w:r w:rsidR="00F32B28" w:rsidRPr="00F32B28">
        <w:rPr>
          <w:rtl/>
        </w:rPr>
        <w:t>رقم</w:t>
      </w:r>
      <w:r w:rsidR="00F32B28">
        <w:rPr>
          <w:rtl/>
        </w:rPr>
        <w:t xml:space="preserve"> </w:t>
      </w:r>
      <w:r w:rsidR="00F32B28" w:rsidRPr="00F32B28">
        <w:rPr>
          <w:rtl/>
        </w:rPr>
        <w:t>(4)</w:t>
      </w:r>
      <w:r w:rsidR="00F32B28">
        <w:rPr>
          <w:rtl/>
        </w:rPr>
        <w:t xml:space="preserve"> </w:t>
      </w:r>
      <w:r w:rsidR="00F32B28" w:rsidRPr="00F32B28">
        <w:rPr>
          <w:rtl/>
        </w:rPr>
        <w:t>لسنة</w:t>
      </w:r>
      <w:r w:rsidR="00F32B28">
        <w:rPr>
          <w:rtl/>
        </w:rPr>
        <w:t xml:space="preserve"> </w:t>
      </w:r>
      <w:r w:rsidR="00EE4046">
        <w:rPr>
          <w:rFonts w:hint="cs"/>
          <w:rtl/>
        </w:rPr>
        <w:t>1998</w:t>
      </w:r>
      <w:r w:rsidR="00F32B28">
        <w:rPr>
          <w:rtl/>
        </w:rPr>
        <w:t xml:space="preserve"> </w:t>
      </w:r>
      <w:r w:rsidR="00F32B28" w:rsidRPr="00F32B28">
        <w:rPr>
          <w:rtl/>
        </w:rPr>
        <w:t>الخاص</w:t>
      </w:r>
      <w:r w:rsidR="00F32B28">
        <w:rPr>
          <w:rtl/>
        </w:rPr>
        <w:t xml:space="preserve"> </w:t>
      </w:r>
      <w:r w:rsidR="00F32B28" w:rsidRPr="00F32B28">
        <w:rPr>
          <w:rtl/>
        </w:rPr>
        <w:t>بالموظفين</w:t>
      </w:r>
      <w:r w:rsidR="00F32B28">
        <w:rPr>
          <w:rtl/>
        </w:rPr>
        <w:t xml:space="preserve"> </w:t>
      </w:r>
      <w:r w:rsidR="00F32B28" w:rsidRPr="00F32B28">
        <w:rPr>
          <w:rtl/>
        </w:rPr>
        <w:t>العامين</w:t>
      </w:r>
      <w:r w:rsidR="00F32B28">
        <w:rPr>
          <w:rtl/>
        </w:rPr>
        <w:t xml:space="preserve"> </w:t>
      </w:r>
      <w:r w:rsidR="00F32B28" w:rsidRPr="00F32B28">
        <w:rPr>
          <w:rtl/>
        </w:rPr>
        <w:t>العاملين</w:t>
      </w:r>
      <w:r w:rsidR="00F32B28">
        <w:rPr>
          <w:rtl/>
        </w:rPr>
        <w:t xml:space="preserve"> </w:t>
      </w:r>
      <w:r w:rsidR="00F32B28" w:rsidRPr="00F32B28">
        <w:rPr>
          <w:rtl/>
        </w:rPr>
        <w:t>في</w:t>
      </w:r>
      <w:r w:rsidR="00F32B28">
        <w:rPr>
          <w:rtl/>
        </w:rPr>
        <w:t xml:space="preserve"> </w:t>
      </w:r>
      <w:r w:rsidR="00F32B28" w:rsidRPr="00F32B28">
        <w:rPr>
          <w:rtl/>
        </w:rPr>
        <w:t>مؤسسات</w:t>
      </w:r>
      <w:r w:rsidR="00F32B28">
        <w:rPr>
          <w:rtl/>
        </w:rPr>
        <w:t xml:space="preserve"> </w:t>
      </w:r>
      <w:r w:rsidR="00F32B28" w:rsidRPr="00F32B28">
        <w:rPr>
          <w:rtl/>
        </w:rPr>
        <w:t>الدولة</w:t>
      </w:r>
      <w:r w:rsidR="00F32B28">
        <w:rPr>
          <w:rtl/>
        </w:rPr>
        <w:t xml:space="preserve"> </w:t>
      </w:r>
      <w:r w:rsidR="00F32B28" w:rsidRPr="00F32B28">
        <w:rPr>
          <w:rtl/>
        </w:rPr>
        <w:t>العامة،</w:t>
      </w:r>
      <w:r w:rsidR="00F32B28">
        <w:rPr>
          <w:rtl/>
        </w:rPr>
        <w:t xml:space="preserve"> </w:t>
      </w:r>
      <w:r w:rsidR="00F32B28" w:rsidRPr="00F32B28">
        <w:rPr>
          <w:rtl/>
        </w:rPr>
        <w:t>وقانون</w:t>
      </w:r>
      <w:r w:rsidR="00F32B28">
        <w:rPr>
          <w:rtl/>
        </w:rPr>
        <w:t xml:space="preserve"> </w:t>
      </w:r>
      <w:r w:rsidR="00F32B28" w:rsidRPr="00F32B28">
        <w:rPr>
          <w:rtl/>
        </w:rPr>
        <w:t>العمل</w:t>
      </w:r>
      <w:r w:rsidR="00F32B28">
        <w:rPr>
          <w:rtl/>
        </w:rPr>
        <w:t xml:space="preserve"> </w:t>
      </w:r>
      <w:r w:rsidR="00F32B28" w:rsidRPr="00F32B28">
        <w:rPr>
          <w:rtl/>
        </w:rPr>
        <w:t>رقم</w:t>
      </w:r>
      <w:r w:rsidR="00F32B28">
        <w:rPr>
          <w:rtl/>
        </w:rPr>
        <w:t xml:space="preserve"> </w:t>
      </w:r>
      <w:r w:rsidR="00F32B28" w:rsidRPr="00F32B28">
        <w:rPr>
          <w:rtl/>
        </w:rPr>
        <w:t>(7)</w:t>
      </w:r>
      <w:r w:rsidR="00F32B28">
        <w:rPr>
          <w:rtl/>
        </w:rPr>
        <w:t xml:space="preserve"> </w:t>
      </w:r>
      <w:r w:rsidR="00F32B28" w:rsidRPr="00F32B28">
        <w:rPr>
          <w:rtl/>
        </w:rPr>
        <w:t>لسنة</w:t>
      </w:r>
      <w:r w:rsidR="00F32B28">
        <w:rPr>
          <w:rtl/>
        </w:rPr>
        <w:t xml:space="preserve"> </w:t>
      </w:r>
      <w:r w:rsidR="00F32B28" w:rsidRPr="00F32B28">
        <w:rPr>
          <w:rtl/>
        </w:rPr>
        <w:t>2000</w:t>
      </w:r>
      <w:r w:rsidR="00F32B28">
        <w:rPr>
          <w:rtl/>
        </w:rPr>
        <w:t xml:space="preserve"> </w:t>
      </w:r>
      <w:r w:rsidR="00F32B28" w:rsidRPr="00F32B28">
        <w:rPr>
          <w:rtl/>
        </w:rPr>
        <w:t>الخاص</w:t>
      </w:r>
      <w:r w:rsidR="00F32B28">
        <w:rPr>
          <w:rtl/>
        </w:rPr>
        <w:t xml:space="preserve"> </w:t>
      </w:r>
      <w:r w:rsidR="00F32B28" w:rsidRPr="00F32B28">
        <w:rPr>
          <w:rtl/>
        </w:rPr>
        <w:t>بجميع</w:t>
      </w:r>
      <w:r w:rsidR="00F32B28">
        <w:rPr>
          <w:rtl/>
        </w:rPr>
        <w:t xml:space="preserve"> </w:t>
      </w:r>
      <w:r w:rsidR="00F32B28" w:rsidRPr="00F32B28">
        <w:rPr>
          <w:rtl/>
        </w:rPr>
        <w:t>العاملين</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الخاص</w:t>
      </w:r>
      <w:r w:rsidR="00F32B28">
        <w:rPr>
          <w:rtl/>
        </w:rPr>
        <w:t xml:space="preserve"> </w:t>
      </w:r>
      <w:r w:rsidR="00F32B28" w:rsidRPr="00F32B28">
        <w:rPr>
          <w:rtl/>
        </w:rPr>
        <w:t>والأهلي،</w:t>
      </w:r>
      <w:r w:rsidR="00F32B28">
        <w:rPr>
          <w:rtl/>
        </w:rPr>
        <w:t xml:space="preserve"> </w:t>
      </w:r>
      <w:r w:rsidR="00F32B28" w:rsidRPr="00F32B28">
        <w:rPr>
          <w:rtl/>
        </w:rPr>
        <w:t>فيما</w:t>
      </w:r>
      <w:r w:rsidR="00F32B28">
        <w:rPr>
          <w:rtl/>
        </w:rPr>
        <w:t xml:space="preserve"> </w:t>
      </w:r>
      <w:r w:rsidR="00F32B28" w:rsidRPr="00F32B28">
        <w:rPr>
          <w:rtl/>
        </w:rPr>
        <w:t>عدا</w:t>
      </w:r>
      <w:r w:rsidR="00F32B28">
        <w:rPr>
          <w:rtl/>
        </w:rPr>
        <w:t xml:space="preserve"> </w:t>
      </w:r>
      <w:r w:rsidR="00F32B28" w:rsidRPr="00F32B28">
        <w:rPr>
          <w:rtl/>
        </w:rPr>
        <w:t>أفراد</w:t>
      </w:r>
      <w:r w:rsidR="00F32B28">
        <w:rPr>
          <w:rtl/>
        </w:rPr>
        <w:t xml:space="preserve"> </w:t>
      </w:r>
      <w:r w:rsidR="00F32B28" w:rsidRPr="00F32B28">
        <w:rPr>
          <w:rtl/>
        </w:rPr>
        <w:t>أسرة</w:t>
      </w:r>
      <w:r w:rsidR="00F32B28">
        <w:rPr>
          <w:rtl/>
        </w:rPr>
        <w:t xml:space="preserve"> </w:t>
      </w:r>
      <w:r w:rsidR="00F32B28" w:rsidRPr="00F32B28">
        <w:rPr>
          <w:rtl/>
        </w:rPr>
        <w:t>صاحب</w:t>
      </w:r>
      <w:r w:rsidR="00F32B28">
        <w:rPr>
          <w:rtl/>
        </w:rPr>
        <w:t xml:space="preserve"> </w:t>
      </w:r>
      <w:r w:rsidR="00F32B28" w:rsidRPr="00F32B28">
        <w:rPr>
          <w:rtl/>
        </w:rPr>
        <w:t>العمل</w:t>
      </w:r>
      <w:r w:rsidR="00F32B28">
        <w:rPr>
          <w:rtl/>
        </w:rPr>
        <w:t xml:space="preserve"> </w:t>
      </w:r>
      <w:r w:rsidR="00F32B28" w:rsidRPr="00F32B28">
        <w:rPr>
          <w:rtl/>
        </w:rPr>
        <w:t>من</w:t>
      </w:r>
      <w:r w:rsidR="00F32B28">
        <w:rPr>
          <w:rtl/>
        </w:rPr>
        <w:t xml:space="preserve"> </w:t>
      </w:r>
      <w:r w:rsidR="00F32B28" w:rsidRPr="00F32B28">
        <w:rPr>
          <w:rtl/>
        </w:rPr>
        <w:t>الدرجة</w:t>
      </w:r>
      <w:r w:rsidR="00F32B28">
        <w:rPr>
          <w:rtl/>
        </w:rPr>
        <w:t xml:space="preserve"> </w:t>
      </w:r>
      <w:r w:rsidR="00F32B28" w:rsidRPr="00F32B28">
        <w:rPr>
          <w:rtl/>
        </w:rPr>
        <w:t>الأولى،</w:t>
      </w:r>
      <w:r w:rsidR="00F32B28">
        <w:rPr>
          <w:rtl/>
        </w:rPr>
        <w:t xml:space="preserve"> </w:t>
      </w:r>
      <w:r w:rsidR="00F32B28" w:rsidRPr="00F32B28">
        <w:rPr>
          <w:rtl/>
        </w:rPr>
        <w:t>وخدم</w:t>
      </w:r>
      <w:r w:rsidR="00F32B28">
        <w:rPr>
          <w:rtl/>
        </w:rPr>
        <w:t xml:space="preserve"> </w:t>
      </w:r>
      <w:r w:rsidR="00F32B28" w:rsidRPr="00F32B28">
        <w:rPr>
          <w:rtl/>
        </w:rPr>
        <w:t>المنازل</w:t>
      </w:r>
      <w:r w:rsidR="00F32B28">
        <w:rPr>
          <w:rtl/>
        </w:rPr>
        <w:t xml:space="preserve"> </w:t>
      </w:r>
      <w:r w:rsidR="00F32B28" w:rsidRPr="00F32B28">
        <w:rPr>
          <w:rtl/>
        </w:rPr>
        <w:t>ومن</w:t>
      </w:r>
      <w:r w:rsidR="00F32B28">
        <w:rPr>
          <w:rtl/>
        </w:rPr>
        <w:t xml:space="preserve"> </w:t>
      </w:r>
      <w:r w:rsidR="00F32B28" w:rsidRPr="00F32B28">
        <w:rPr>
          <w:rtl/>
        </w:rPr>
        <w:t>في</w:t>
      </w:r>
      <w:r w:rsidR="00F32B28">
        <w:rPr>
          <w:rtl/>
        </w:rPr>
        <w:t xml:space="preserve"> </w:t>
      </w:r>
      <w:r w:rsidR="00F32B28" w:rsidRPr="00F32B28">
        <w:rPr>
          <w:rtl/>
        </w:rPr>
        <w:t>حكمهم</w:t>
      </w:r>
      <w:r w:rsidR="00F32B28">
        <w:rPr>
          <w:rtl/>
        </w:rPr>
        <w:t xml:space="preserve"> </w:t>
      </w:r>
      <w:r w:rsidR="00F32B28" w:rsidRPr="00F32B28">
        <w:rPr>
          <w:rtl/>
        </w:rPr>
        <w:t>الذين</w:t>
      </w:r>
      <w:r w:rsidR="00F32B28">
        <w:rPr>
          <w:rtl/>
        </w:rPr>
        <w:t xml:space="preserve"> </w:t>
      </w:r>
      <w:r w:rsidR="00F32B28" w:rsidRPr="00F32B28">
        <w:rPr>
          <w:rtl/>
        </w:rPr>
        <w:t>أصدر</w:t>
      </w:r>
      <w:r w:rsidR="00F32B28">
        <w:rPr>
          <w:rtl/>
        </w:rPr>
        <w:t xml:space="preserve"> </w:t>
      </w:r>
      <w:r w:rsidR="00F32B28" w:rsidRPr="00F32B28">
        <w:rPr>
          <w:rtl/>
        </w:rPr>
        <w:t>وزير</w:t>
      </w:r>
      <w:r w:rsidR="00F32B28">
        <w:rPr>
          <w:rtl/>
        </w:rPr>
        <w:t xml:space="preserve"> </w:t>
      </w:r>
      <w:r w:rsidR="00F32B28" w:rsidRPr="00F32B28">
        <w:rPr>
          <w:rtl/>
        </w:rPr>
        <w:t>العمل</w:t>
      </w:r>
      <w:r w:rsidR="00F32B28">
        <w:rPr>
          <w:rtl/>
        </w:rPr>
        <w:t xml:space="preserve"> </w:t>
      </w:r>
      <w:r w:rsidR="00F32B28" w:rsidRPr="00F32B28">
        <w:rPr>
          <w:rtl/>
        </w:rPr>
        <w:t>نظاماً</w:t>
      </w:r>
      <w:r w:rsidR="00F32B28">
        <w:rPr>
          <w:rtl/>
        </w:rPr>
        <w:t xml:space="preserve"> </w:t>
      </w:r>
      <w:r w:rsidR="00F32B28" w:rsidRPr="00F32B28">
        <w:rPr>
          <w:rtl/>
        </w:rPr>
        <w:t>خاصاً</w:t>
      </w:r>
      <w:r w:rsidR="00F32B28">
        <w:rPr>
          <w:rtl/>
        </w:rPr>
        <w:t xml:space="preserve"> </w:t>
      </w:r>
      <w:r w:rsidR="00F32B28" w:rsidRPr="00F32B28">
        <w:rPr>
          <w:rtl/>
        </w:rPr>
        <w:t>بهم.</w:t>
      </w:r>
      <w:r w:rsidR="00F32B28">
        <w:rPr>
          <w:rtl/>
        </w:rPr>
        <w:t xml:space="preserve"> </w:t>
      </w:r>
      <w:r w:rsidR="00F32B28" w:rsidRPr="00F32B28">
        <w:rPr>
          <w:rtl/>
        </w:rPr>
        <w:t>ولا</w:t>
      </w:r>
      <w:r w:rsidR="00F32B28">
        <w:rPr>
          <w:rtl/>
        </w:rPr>
        <w:t xml:space="preserve"> </w:t>
      </w:r>
      <w:r w:rsidR="00F32B28" w:rsidRPr="00F32B28">
        <w:rPr>
          <w:rtl/>
        </w:rPr>
        <w:t>تميز</w:t>
      </w:r>
      <w:r w:rsidR="00F32B28">
        <w:rPr>
          <w:rtl/>
        </w:rPr>
        <w:t xml:space="preserve"> </w:t>
      </w:r>
      <w:r w:rsidR="00F32B28" w:rsidRPr="00F32B28">
        <w:rPr>
          <w:rtl/>
        </w:rPr>
        <w:t>هذه</w:t>
      </w:r>
      <w:r w:rsidR="00F32B28">
        <w:rPr>
          <w:rtl/>
        </w:rPr>
        <w:t xml:space="preserve"> </w:t>
      </w:r>
      <w:r w:rsidR="00F32B28" w:rsidRPr="00F32B28">
        <w:rPr>
          <w:rtl/>
        </w:rPr>
        <w:t>القوانين،</w:t>
      </w:r>
      <w:r w:rsidR="00F32B28">
        <w:rPr>
          <w:rtl/>
        </w:rPr>
        <w:t xml:space="preserve"> </w:t>
      </w:r>
      <w:r w:rsidR="00F32B28" w:rsidRPr="00F32B28">
        <w:rPr>
          <w:rtl/>
        </w:rPr>
        <w:t>بالإضافة</w:t>
      </w:r>
      <w:r w:rsidR="00F32B28">
        <w:rPr>
          <w:rtl/>
        </w:rPr>
        <w:t xml:space="preserve"> </w:t>
      </w:r>
      <w:r w:rsidR="00F32B28" w:rsidRPr="00F32B28">
        <w:rPr>
          <w:rtl/>
        </w:rPr>
        <w:t>إلى</w:t>
      </w:r>
      <w:r w:rsidR="00F32B28">
        <w:rPr>
          <w:rtl/>
        </w:rPr>
        <w:t xml:space="preserve"> </w:t>
      </w:r>
      <w:r w:rsidR="00F32B28" w:rsidRPr="00F32B28">
        <w:rPr>
          <w:rtl/>
        </w:rPr>
        <w:t>القانون</w:t>
      </w:r>
      <w:r w:rsidR="00F32B28">
        <w:rPr>
          <w:rtl/>
        </w:rPr>
        <w:t xml:space="preserve"> </w:t>
      </w:r>
      <w:r w:rsidR="00F32B28" w:rsidRPr="00F32B28">
        <w:rPr>
          <w:rtl/>
        </w:rPr>
        <w:t>الأساسي</w:t>
      </w:r>
      <w:r w:rsidR="00F32B28">
        <w:rPr>
          <w:rtl/>
        </w:rPr>
        <w:t xml:space="preserve"> </w:t>
      </w:r>
      <w:r w:rsidR="00F32B28" w:rsidRPr="00F32B28">
        <w:rPr>
          <w:rtl/>
        </w:rPr>
        <w:t>المعدل،</w:t>
      </w:r>
      <w:r w:rsidR="00F32B28">
        <w:rPr>
          <w:rtl/>
        </w:rPr>
        <w:t xml:space="preserve"> </w:t>
      </w:r>
      <w:r w:rsidR="00F32B28" w:rsidRPr="00F32B28">
        <w:rPr>
          <w:rtl/>
        </w:rPr>
        <w:t>بين</w:t>
      </w:r>
      <w:r w:rsidR="00F32B28">
        <w:rPr>
          <w:rtl/>
        </w:rPr>
        <w:t xml:space="preserve"> </w:t>
      </w:r>
      <w:r w:rsidR="00F32B28" w:rsidRPr="00F32B28">
        <w:rPr>
          <w:rtl/>
        </w:rPr>
        <w:t>المرأة</w:t>
      </w:r>
      <w:r w:rsidR="00F32B28">
        <w:rPr>
          <w:rtl/>
        </w:rPr>
        <w:t xml:space="preserve"> </w:t>
      </w:r>
      <w:r w:rsidR="00F32B28" w:rsidRPr="00F32B28">
        <w:rPr>
          <w:rtl/>
        </w:rPr>
        <w:t>والرجل</w:t>
      </w:r>
      <w:r w:rsidR="00F32B28">
        <w:rPr>
          <w:rtl/>
        </w:rPr>
        <w:t xml:space="preserve"> </w:t>
      </w:r>
      <w:r w:rsidR="00F32B28" w:rsidRPr="00F32B28">
        <w:rPr>
          <w:rtl/>
        </w:rPr>
        <w:t>في</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العمل،</w:t>
      </w:r>
      <w:r w:rsidR="00F32B28">
        <w:rPr>
          <w:rtl/>
        </w:rPr>
        <w:t xml:space="preserve"> </w:t>
      </w:r>
      <w:r w:rsidR="00F32B28" w:rsidRPr="00F32B28">
        <w:rPr>
          <w:rtl/>
        </w:rPr>
        <w:t>أو</w:t>
      </w:r>
      <w:r w:rsidR="00F32B28">
        <w:rPr>
          <w:rtl/>
        </w:rPr>
        <w:t xml:space="preserve"> </w:t>
      </w:r>
      <w:r w:rsidR="00F32B28" w:rsidRPr="00F32B28">
        <w:rPr>
          <w:rtl/>
        </w:rPr>
        <w:t>في</w:t>
      </w:r>
      <w:r w:rsidR="00F32B28">
        <w:rPr>
          <w:rtl/>
        </w:rPr>
        <w:t xml:space="preserve"> </w:t>
      </w:r>
      <w:r w:rsidR="00F32B28" w:rsidRPr="00F32B28">
        <w:rPr>
          <w:rtl/>
        </w:rPr>
        <w:t>فرص</w:t>
      </w:r>
      <w:r w:rsidR="00F32B28">
        <w:rPr>
          <w:rtl/>
        </w:rPr>
        <w:t xml:space="preserve"> </w:t>
      </w:r>
      <w:r w:rsidR="00F32B28" w:rsidRPr="00F32B28">
        <w:rPr>
          <w:rtl/>
        </w:rPr>
        <w:t>التوظيف،</w:t>
      </w:r>
      <w:r w:rsidR="00F32B28">
        <w:rPr>
          <w:rtl/>
        </w:rPr>
        <w:t xml:space="preserve"> </w:t>
      </w:r>
      <w:r w:rsidR="00F32B28" w:rsidRPr="00F32B28">
        <w:rPr>
          <w:rtl/>
        </w:rPr>
        <w:t>أو</w:t>
      </w:r>
      <w:r w:rsidR="00F32B28">
        <w:rPr>
          <w:rtl/>
        </w:rPr>
        <w:t xml:space="preserve"> </w:t>
      </w:r>
      <w:r w:rsidR="00F32B28" w:rsidRPr="00F32B28">
        <w:rPr>
          <w:rtl/>
        </w:rPr>
        <w:t>في</w:t>
      </w:r>
      <w:r w:rsidR="00F32B28">
        <w:rPr>
          <w:rtl/>
        </w:rPr>
        <w:t xml:space="preserve"> </w:t>
      </w:r>
      <w:r w:rsidR="00F32B28" w:rsidRPr="00F32B28">
        <w:rPr>
          <w:rtl/>
        </w:rPr>
        <w:t>الأجور،</w:t>
      </w:r>
      <w:r w:rsidR="00F32B28">
        <w:rPr>
          <w:rtl/>
        </w:rPr>
        <w:t xml:space="preserve"> </w:t>
      </w:r>
      <w:r w:rsidR="00F32B28" w:rsidRPr="00F32B28">
        <w:rPr>
          <w:rtl/>
        </w:rPr>
        <w:t>أو</w:t>
      </w:r>
      <w:r w:rsidR="00F32B28">
        <w:rPr>
          <w:rtl/>
        </w:rPr>
        <w:t xml:space="preserve"> </w:t>
      </w:r>
      <w:r w:rsidR="00F32B28" w:rsidRPr="00F32B28">
        <w:rPr>
          <w:rtl/>
        </w:rPr>
        <w:t>في</w:t>
      </w:r>
      <w:r w:rsidR="00F32B28">
        <w:rPr>
          <w:rtl/>
        </w:rPr>
        <w:t xml:space="preserve"> </w:t>
      </w:r>
      <w:r w:rsidR="00F32B28" w:rsidRPr="00F32B28">
        <w:rPr>
          <w:rtl/>
        </w:rPr>
        <w:t>أية</w:t>
      </w:r>
      <w:r w:rsidR="00F32B28">
        <w:rPr>
          <w:rtl/>
        </w:rPr>
        <w:t xml:space="preserve"> </w:t>
      </w:r>
      <w:r w:rsidR="00F32B28" w:rsidRPr="00F32B28">
        <w:rPr>
          <w:rtl/>
        </w:rPr>
        <w:t>حقوق</w:t>
      </w:r>
      <w:r w:rsidR="00F32B28">
        <w:rPr>
          <w:rtl/>
        </w:rPr>
        <w:t xml:space="preserve"> </w:t>
      </w:r>
      <w:r w:rsidR="00F32B28" w:rsidRPr="00F32B28">
        <w:rPr>
          <w:rtl/>
        </w:rPr>
        <w:t>أخرى</w:t>
      </w:r>
      <w:r w:rsidR="00F32B28">
        <w:rPr>
          <w:rtl/>
        </w:rPr>
        <w:t xml:space="preserve"> </w:t>
      </w:r>
      <w:r w:rsidR="00F32B28" w:rsidRPr="00F32B28">
        <w:rPr>
          <w:rtl/>
        </w:rPr>
        <w:t>تتصل</w:t>
      </w:r>
      <w:r w:rsidR="00F32B28">
        <w:rPr>
          <w:rtl/>
        </w:rPr>
        <w:t xml:space="preserve"> </w:t>
      </w:r>
      <w:r w:rsidR="00F32B28" w:rsidRPr="00F32B28">
        <w:rPr>
          <w:rtl/>
        </w:rPr>
        <w:t>أو</w:t>
      </w:r>
      <w:r w:rsidR="00F32B28">
        <w:rPr>
          <w:rtl/>
        </w:rPr>
        <w:t xml:space="preserve"> </w:t>
      </w:r>
      <w:r w:rsidR="00F32B28" w:rsidRPr="00F32B28">
        <w:rPr>
          <w:rtl/>
        </w:rPr>
        <w:t>تترتب</w:t>
      </w:r>
      <w:r w:rsidR="00F32B28">
        <w:rPr>
          <w:rtl/>
        </w:rPr>
        <w:t xml:space="preserve"> </w:t>
      </w:r>
      <w:r w:rsidR="00F32B28" w:rsidRPr="00F32B28">
        <w:rPr>
          <w:rtl/>
        </w:rPr>
        <w:t>على</w:t>
      </w:r>
      <w:r w:rsidR="00F32B28">
        <w:rPr>
          <w:rtl/>
        </w:rPr>
        <w:t xml:space="preserve"> </w:t>
      </w:r>
      <w:r w:rsidR="00F32B28" w:rsidRPr="00F32B28">
        <w:rPr>
          <w:rtl/>
        </w:rPr>
        <w:t>الالتحاق</w:t>
      </w:r>
      <w:r w:rsidR="00F32B28">
        <w:rPr>
          <w:rtl/>
        </w:rPr>
        <w:t xml:space="preserve"> </w:t>
      </w:r>
      <w:r w:rsidR="00F32B28" w:rsidRPr="00F32B28">
        <w:rPr>
          <w:rtl/>
        </w:rPr>
        <w:t>بالوظيفة</w:t>
      </w:r>
      <w:r w:rsidR="00F32B28">
        <w:rPr>
          <w:rtl/>
        </w:rPr>
        <w:t xml:space="preserve"> </w:t>
      </w:r>
      <w:r w:rsidR="00F32B28" w:rsidRPr="00F32B28">
        <w:rPr>
          <w:rtl/>
        </w:rPr>
        <w:t>العامة</w:t>
      </w:r>
      <w:r w:rsidR="00F32B28">
        <w:rPr>
          <w:rtl/>
        </w:rPr>
        <w:t xml:space="preserve"> </w:t>
      </w:r>
      <w:r w:rsidR="00F32B28" w:rsidRPr="00F32B28">
        <w:rPr>
          <w:rtl/>
        </w:rPr>
        <w:t>أو</w:t>
      </w:r>
      <w:r w:rsidR="00F32B28">
        <w:rPr>
          <w:rtl/>
        </w:rPr>
        <w:t xml:space="preserve"> </w:t>
      </w:r>
      <w:r w:rsidR="00F32B28" w:rsidRPr="00F32B28">
        <w:rPr>
          <w:rtl/>
        </w:rPr>
        <w:t>الخاصة</w:t>
      </w:r>
      <w:r w:rsidR="00F32B28">
        <w:rPr>
          <w:rtl/>
        </w:rPr>
        <w:t xml:space="preserve"> </w:t>
      </w:r>
      <w:r w:rsidR="00F32B28" w:rsidRPr="00F32B28">
        <w:rPr>
          <w:rtl/>
        </w:rPr>
        <w:t>أو</w:t>
      </w:r>
      <w:r w:rsidR="00F32B28">
        <w:rPr>
          <w:rtl/>
        </w:rPr>
        <w:t xml:space="preserve"> </w:t>
      </w:r>
      <w:r w:rsidR="00F32B28" w:rsidRPr="00F32B28">
        <w:rPr>
          <w:rtl/>
        </w:rPr>
        <w:t>الأهلية،</w:t>
      </w:r>
      <w:r w:rsidR="00F32B28">
        <w:rPr>
          <w:rtl/>
        </w:rPr>
        <w:t xml:space="preserve"> </w:t>
      </w:r>
      <w:r w:rsidR="00F32B28" w:rsidRPr="00F32B28">
        <w:rPr>
          <w:rtl/>
        </w:rPr>
        <w:t>لا</w:t>
      </w:r>
      <w:r w:rsidR="00F32B28">
        <w:rPr>
          <w:rtl/>
        </w:rPr>
        <w:t xml:space="preserve"> </w:t>
      </w:r>
      <w:r w:rsidR="00F32B28" w:rsidRPr="00F32B28">
        <w:rPr>
          <w:rtl/>
        </w:rPr>
        <w:t>بل</w:t>
      </w:r>
      <w:r w:rsidR="00F32B28">
        <w:rPr>
          <w:rtl/>
        </w:rPr>
        <w:t xml:space="preserve"> </w:t>
      </w:r>
      <w:r w:rsidR="00F32B28" w:rsidRPr="00F32B28">
        <w:rPr>
          <w:rtl/>
        </w:rPr>
        <w:t>اعتبرت</w:t>
      </w:r>
      <w:r w:rsidR="00F32B28">
        <w:rPr>
          <w:rtl/>
        </w:rPr>
        <w:t xml:space="preserve"> </w:t>
      </w:r>
      <w:r w:rsidR="00F32B28" w:rsidRPr="00F32B28">
        <w:rPr>
          <w:rtl/>
        </w:rPr>
        <w:t>العمل</w:t>
      </w:r>
      <w:r w:rsidR="00F32B28">
        <w:rPr>
          <w:rtl/>
        </w:rPr>
        <w:t xml:space="preserve"> </w:t>
      </w:r>
      <w:r w:rsidR="00F32B28" w:rsidRPr="00F32B28">
        <w:rPr>
          <w:rtl/>
        </w:rPr>
        <w:t>حق</w:t>
      </w:r>
      <w:r w:rsidR="00F32B28">
        <w:rPr>
          <w:rtl/>
        </w:rPr>
        <w:t xml:space="preserve"> </w:t>
      </w:r>
      <w:r w:rsidR="00F32B28" w:rsidRPr="00F32B28">
        <w:rPr>
          <w:rtl/>
        </w:rPr>
        <w:t>لكل</w:t>
      </w:r>
      <w:r w:rsidR="00F32B28">
        <w:rPr>
          <w:rtl/>
        </w:rPr>
        <w:t xml:space="preserve"> </w:t>
      </w:r>
      <w:r w:rsidR="00F32B28" w:rsidRPr="00F32B28">
        <w:rPr>
          <w:rtl/>
        </w:rPr>
        <w:t>مواطن</w:t>
      </w:r>
      <w:r w:rsidR="00F32B28">
        <w:rPr>
          <w:rtl/>
        </w:rPr>
        <w:t xml:space="preserve"> </w:t>
      </w:r>
      <w:r w:rsidR="00F32B28" w:rsidRPr="00F32B28">
        <w:rPr>
          <w:rtl/>
        </w:rPr>
        <w:t>قادر</w:t>
      </w:r>
      <w:r w:rsidR="00F32B28">
        <w:rPr>
          <w:rtl/>
        </w:rPr>
        <w:t xml:space="preserve"> </w:t>
      </w:r>
      <w:r w:rsidR="00F32B28" w:rsidRPr="00F32B28">
        <w:rPr>
          <w:rtl/>
        </w:rPr>
        <w:t>عليه،</w:t>
      </w:r>
      <w:r w:rsidR="00F32B28">
        <w:rPr>
          <w:rtl/>
        </w:rPr>
        <w:t xml:space="preserve"> </w:t>
      </w:r>
      <w:r w:rsidR="00F32B28" w:rsidRPr="00F32B28">
        <w:rPr>
          <w:rtl/>
        </w:rPr>
        <w:t>تعمل</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على</w:t>
      </w:r>
      <w:r w:rsidR="00F32B28">
        <w:rPr>
          <w:rtl/>
        </w:rPr>
        <w:t xml:space="preserve"> </w:t>
      </w:r>
      <w:r w:rsidR="00F32B28" w:rsidRPr="00F32B28">
        <w:rPr>
          <w:rtl/>
        </w:rPr>
        <w:t>توفيره</w:t>
      </w:r>
      <w:r w:rsidR="00F32B28">
        <w:rPr>
          <w:rtl/>
        </w:rPr>
        <w:t xml:space="preserve"> </w:t>
      </w:r>
      <w:r w:rsidR="00F32B28" w:rsidRPr="00F32B28">
        <w:rPr>
          <w:rtl/>
        </w:rPr>
        <w:t>على</w:t>
      </w:r>
      <w:r w:rsidR="00F32B28">
        <w:rPr>
          <w:rtl/>
        </w:rPr>
        <w:t xml:space="preserve"> </w:t>
      </w:r>
      <w:r w:rsidR="00F32B28" w:rsidRPr="00F32B28">
        <w:rPr>
          <w:rtl/>
        </w:rPr>
        <w:t>أساس</w:t>
      </w:r>
      <w:r w:rsidR="00F32B28">
        <w:rPr>
          <w:rtl/>
        </w:rPr>
        <w:t xml:space="preserve"> </w:t>
      </w:r>
      <w:r w:rsidR="00F32B28" w:rsidRPr="00F32B28">
        <w:rPr>
          <w:rtl/>
        </w:rPr>
        <w:t>تكافؤ</w:t>
      </w:r>
      <w:r w:rsidR="00F32B28">
        <w:rPr>
          <w:rtl/>
        </w:rPr>
        <w:t xml:space="preserve"> </w:t>
      </w:r>
      <w:r w:rsidR="00F32B28" w:rsidRPr="00F32B28">
        <w:rPr>
          <w:rtl/>
        </w:rPr>
        <w:t>الفرص</w:t>
      </w:r>
      <w:r w:rsidR="00F32B28">
        <w:rPr>
          <w:rtl/>
        </w:rPr>
        <w:t xml:space="preserve"> </w:t>
      </w:r>
      <w:r w:rsidR="00F32B28" w:rsidRPr="00F32B28">
        <w:rPr>
          <w:rtl/>
        </w:rPr>
        <w:t>ودون</w:t>
      </w:r>
      <w:r w:rsidR="00F32B28">
        <w:rPr>
          <w:rtl/>
        </w:rPr>
        <w:t xml:space="preserve"> </w:t>
      </w:r>
      <w:r w:rsidR="00F32B28" w:rsidRPr="00F32B28">
        <w:rPr>
          <w:rtl/>
        </w:rPr>
        <w:t>أي</w:t>
      </w:r>
      <w:r w:rsidR="00F32B28">
        <w:rPr>
          <w:rtl/>
        </w:rPr>
        <w:t xml:space="preserve"> </w:t>
      </w:r>
      <w:r w:rsidR="00F32B28" w:rsidRPr="00F32B28">
        <w:rPr>
          <w:rtl/>
        </w:rPr>
        <w:t>نوع</w:t>
      </w:r>
      <w:r w:rsidR="00F32B28">
        <w:rPr>
          <w:rtl/>
        </w:rPr>
        <w:t xml:space="preserve"> </w:t>
      </w:r>
      <w:r w:rsidR="00F32B28" w:rsidRPr="00F32B28">
        <w:rPr>
          <w:rtl/>
        </w:rPr>
        <w:t>من</w:t>
      </w:r>
      <w:r w:rsidR="00F32B28">
        <w:rPr>
          <w:rtl/>
        </w:rPr>
        <w:t xml:space="preserve"> </w:t>
      </w:r>
      <w:r w:rsidR="00F32B28" w:rsidRPr="00F32B28">
        <w:rPr>
          <w:rtl/>
        </w:rPr>
        <w:t>أنواع</w:t>
      </w:r>
      <w:r w:rsidR="00F32B28">
        <w:rPr>
          <w:rtl/>
        </w:rPr>
        <w:t xml:space="preserve"> </w:t>
      </w:r>
      <w:r w:rsidR="00F32B28" w:rsidRPr="00F32B28">
        <w:rPr>
          <w:rtl/>
        </w:rPr>
        <w:t>التمييز،</w:t>
      </w:r>
      <w:r w:rsidR="00F32B28">
        <w:rPr>
          <w:rtl/>
        </w:rPr>
        <w:t xml:space="preserve"> </w:t>
      </w:r>
      <w:r w:rsidR="00F32B28" w:rsidRPr="00F32B28">
        <w:rPr>
          <w:rtl/>
        </w:rPr>
        <w:t>وأن</w:t>
      </w:r>
      <w:r w:rsidR="00F32B28">
        <w:rPr>
          <w:rtl/>
        </w:rPr>
        <w:t xml:space="preserve"> </w:t>
      </w:r>
      <w:r w:rsidR="00F32B28" w:rsidRPr="00F32B28">
        <w:rPr>
          <w:rtl/>
        </w:rPr>
        <w:t>تقلد</w:t>
      </w:r>
      <w:r w:rsidR="00F32B28">
        <w:rPr>
          <w:rtl/>
        </w:rPr>
        <w:t xml:space="preserve"> </w:t>
      </w:r>
      <w:r w:rsidR="00F32B28" w:rsidRPr="00F32B28">
        <w:rPr>
          <w:rtl/>
        </w:rPr>
        <w:t>المناصب</w:t>
      </w:r>
      <w:r w:rsidR="00F32B28">
        <w:rPr>
          <w:rtl/>
        </w:rPr>
        <w:t xml:space="preserve"> </w:t>
      </w:r>
      <w:r w:rsidR="00F32B28" w:rsidRPr="00F32B28">
        <w:rPr>
          <w:rtl/>
        </w:rPr>
        <w:t>والوظائف</w:t>
      </w:r>
      <w:r w:rsidR="00F32B28">
        <w:rPr>
          <w:rtl/>
        </w:rPr>
        <w:t xml:space="preserve"> </w:t>
      </w:r>
      <w:r w:rsidR="00F32B28" w:rsidRPr="00F32B28">
        <w:rPr>
          <w:rtl/>
        </w:rPr>
        <w:t>العامة</w:t>
      </w:r>
      <w:r w:rsidR="00F32B28">
        <w:rPr>
          <w:rtl/>
        </w:rPr>
        <w:t xml:space="preserve"> </w:t>
      </w:r>
      <w:r w:rsidR="00F32B28" w:rsidRPr="00F32B28">
        <w:rPr>
          <w:rtl/>
        </w:rPr>
        <w:t>يكون</w:t>
      </w:r>
      <w:r w:rsidR="00F32B28">
        <w:rPr>
          <w:rtl/>
        </w:rPr>
        <w:t xml:space="preserve"> </w:t>
      </w:r>
      <w:r w:rsidR="00F32B28" w:rsidRPr="00F32B28">
        <w:rPr>
          <w:rtl/>
        </w:rPr>
        <w:t>على</w:t>
      </w:r>
      <w:r w:rsidR="00F32B28">
        <w:rPr>
          <w:rtl/>
        </w:rPr>
        <w:t xml:space="preserve"> </w:t>
      </w:r>
      <w:r w:rsidR="00F32B28" w:rsidRPr="00F32B28">
        <w:rPr>
          <w:rtl/>
        </w:rPr>
        <w:t>قاعدة</w:t>
      </w:r>
      <w:r w:rsidR="00F32B28">
        <w:rPr>
          <w:rtl/>
        </w:rPr>
        <w:t xml:space="preserve"> </w:t>
      </w:r>
      <w:r w:rsidR="00F32B28" w:rsidRPr="00F32B28">
        <w:rPr>
          <w:rtl/>
        </w:rPr>
        <w:t>تكافؤ</w:t>
      </w:r>
      <w:r>
        <w:rPr>
          <w:rFonts w:hint="cs"/>
          <w:rtl/>
        </w:rPr>
        <w:t> </w:t>
      </w:r>
      <w:r w:rsidR="00F32B28" w:rsidRPr="00F32B28">
        <w:rPr>
          <w:rtl/>
        </w:rPr>
        <w:t>الفرص.</w:t>
      </w:r>
      <w:r w:rsidR="00F32B28">
        <w:rPr>
          <w:rtl/>
        </w:rPr>
        <w:t xml:space="preserve"> </w:t>
      </w:r>
    </w:p>
    <w:p w:rsidR="00F32B28" w:rsidRPr="00F32B28" w:rsidRDefault="00D652E9" w:rsidP="00D652E9">
      <w:pPr>
        <w:pStyle w:val="SingleTxt"/>
        <w:rPr>
          <w:rtl/>
        </w:rPr>
      </w:pPr>
      <w:r>
        <w:rPr>
          <w:rFonts w:hint="cs"/>
          <w:rtl/>
        </w:rPr>
        <w:t xml:space="preserve">201 - </w:t>
      </w:r>
      <w:r w:rsidR="00F32B28" w:rsidRPr="00F32B28">
        <w:rPr>
          <w:rtl/>
        </w:rPr>
        <w:t>فمن</w:t>
      </w:r>
      <w:r w:rsidR="00F32B28">
        <w:rPr>
          <w:rtl/>
        </w:rPr>
        <w:t xml:space="preserve"> </w:t>
      </w:r>
      <w:r w:rsidR="00F32B28" w:rsidRPr="00F32B28">
        <w:rPr>
          <w:rtl/>
        </w:rPr>
        <w:t>حيث</w:t>
      </w:r>
      <w:r w:rsidR="00F32B28">
        <w:rPr>
          <w:rtl/>
        </w:rPr>
        <w:t xml:space="preserve"> </w:t>
      </w:r>
      <w:r w:rsidR="00F32B28" w:rsidRPr="00F32B28">
        <w:rPr>
          <w:rtl/>
        </w:rPr>
        <w:t>الأجور،</w:t>
      </w:r>
      <w:r w:rsidR="00F32B28">
        <w:rPr>
          <w:rtl/>
        </w:rPr>
        <w:t xml:space="preserve"> </w:t>
      </w:r>
      <w:r w:rsidR="00F32B28" w:rsidRPr="00F32B28">
        <w:rPr>
          <w:rtl/>
        </w:rPr>
        <w:t>لا</w:t>
      </w:r>
      <w:r w:rsidR="00F32B28">
        <w:rPr>
          <w:rtl/>
        </w:rPr>
        <w:t xml:space="preserve"> </w:t>
      </w:r>
      <w:r w:rsidR="00F32B28" w:rsidRPr="00F32B28">
        <w:rPr>
          <w:rtl/>
        </w:rPr>
        <w:t>يميز</w:t>
      </w:r>
      <w:r w:rsidR="00F32B28">
        <w:rPr>
          <w:rtl/>
        </w:rPr>
        <w:t xml:space="preserve"> </w:t>
      </w:r>
      <w:r w:rsidR="00F32B28" w:rsidRPr="00F32B28">
        <w:rPr>
          <w:rtl/>
        </w:rPr>
        <w:t>قانون</w:t>
      </w:r>
      <w:r w:rsidR="00F32B28">
        <w:rPr>
          <w:rtl/>
        </w:rPr>
        <w:t xml:space="preserve"> </w:t>
      </w:r>
      <w:r w:rsidR="00F32B28" w:rsidRPr="00F32B28">
        <w:rPr>
          <w:rtl/>
        </w:rPr>
        <w:t>الخدمة</w:t>
      </w:r>
      <w:r w:rsidR="00F32B28">
        <w:rPr>
          <w:rtl/>
        </w:rPr>
        <w:t xml:space="preserve"> </w:t>
      </w:r>
      <w:r w:rsidR="00F32B28" w:rsidRPr="00F32B28">
        <w:rPr>
          <w:rtl/>
        </w:rPr>
        <w:t>المدنية</w:t>
      </w:r>
      <w:r w:rsidR="00F32B28">
        <w:rPr>
          <w:rtl/>
        </w:rPr>
        <w:t xml:space="preserve"> </w:t>
      </w:r>
      <w:r w:rsidR="00F32B28" w:rsidRPr="00F32B28">
        <w:rPr>
          <w:rtl/>
        </w:rPr>
        <w:t>بين</w:t>
      </w:r>
      <w:r w:rsidR="00F32B28">
        <w:rPr>
          <w:rtl/>
        </w:rPr>
        <w:t xml:space="preserve"> </w:t>
      </w:r>
      <w:r w:rsidR="00F32B28" w:rsidRPr="00F32B28">
        <w:rPr>
          <w:rtl/>
        </w:rPr>
        <w:t>الموظف</w:t>
      </w:r>
      <w:r w:rsidR="00F32B28">
        <w:rPr>
          <w:rtl/>
        </w:rPr>
        <w:t xml:space="preserve"> </w:t>
      </w:r>
      <w:r w:rsidR="00F32B28" w:rsidRPr="00F32B28">
        <w:rPr>
          <w:rtl/>
        </w:rPr>
        <w:t>والموظفة</w:t>
      </w:r>
      <w:r w:rsidR="00F32B28">
        <w:rPr>
          <w:rtl/>
        </w:rPr>
        <w:t xml:space="preserve"> </w:t>
      </w:r>
      <w:r w:rsidR="00F32B28" w:rsidRPr="00F32B28">
        <w:rPr>
          <w:rtl/>
        </w:rPr>
        <w:t>فيما</w:t>
      </w:r>
      <w:r w:rsidR="00F32B28">
        <w:rPr>
          <w:rtl/>
        </w:rPr>
        <w:t xml:space="preserve"> </w:t>
      </w:r>
      <w:r w:rsidR="00F32B28" w:rsidRPr="00F32B28">
        <w:rPr>
          <w:rtl/>
        </w:rPr>
        <w:t>يخص</w:t>
      </w:r>
      <w:r w:rsidR="00F32B28">
        <w:rPr>
          <w:rtl/>
        </w:rPr>
        <w:t xml:space="preserve"> </w:t>
      </w:r>
      <w:r w:rsidR="00F32B28" w:rsidRPr="00F32B28">
        <w:rPr>
          <w:rtl/>
        </w:rPr>
        <w:t>الاستحقاقات</w:t>
      </w:r>
      <w:r w:rsidR="00F32B28">
        <w:rPr>
          <w:rtl/>
        </w:rPr>
        <w:t xml:space="preserve"> </w:t>
      </w:r>
      <w:r w:rsidR="00F32B28" w:rsidRPr="00F32B28">
        <w:rPr>
          <w:rtl/>
        </w:rPr>
        <w:t>المالية</w:t>
      </w:r>
      <w:r w:rsidR="00F32B28">
        <w:rPr>
          <w:rtl/>
        </w:rPr>
        <w:t xml:space="preserve"> </w:t>
      </w:r>
      <w:r w:rsidR="00F32B28" w:rsidRPr="00F32B28">
        <w:rPr>
          <w:rtl/>
        </w:rPr>
        <w:t>للوظيفة</w:t>
      </w:r>
      <w:r w:rsidR="00F32B28">
        <w:rPr>
          <w:rtl/>
        </w:rPr>
        <w:t xml:space="preserve"> </w:t>
      </w:r>
      <w:r w:rsidR="00F32B28" w:rsidRPr="00F32B28">
        <w:rPr>
          <w:rtl/>
        </w:rPr>
        <w:t>العامة؛</w:t>
      </w:r>
      <w:r w:rsidR="00F32B28">
        <w:rPr>
          <w:rtl/>
        </w:rPr>
        <w:t xml:space="preserve"> </w:t>
      </w:r>
      <w:r w:rsidR="00F32B28" w:rsidRPr="00F32B28">
        <w:rPr>
          <w:rtl/>
        </w:rPr>
        <w:t>سواء</w:t>
      </w:r>
      <w:r w:rsidR="00F32B28">
        <w:rPr>
          <w:rtl/>
        </w:rPr>
        <w:t xml:space="preserve"> </w:t>
      </w:r>
      <w:r w:rsidR="00F32B28" w:rsidRPr="00F32B28">
        <w:rPr>
          <w:rtl/>
        </w:rPr>
        <w:t>من</w:t>
      </w:r>
      <w:r w:rsidR="00F32B28">
        <w:rPr>
          <w:rtl/>
        </w:rPr>
        <w:t xml:space="preserve"> </w:t>
      </w:r>
      <w:r w:rsidR="00F32B28" w:rsidRPr="00F32B28">
        <w:rPr>
          <w:rtl/>
        </w:rPr>
        <w:t>حيث</w:t>
      </w:r>
      <w:r w:rsidR="00F32B28">
        <w:rPr>
          <w:rtl/>
        </w:rPr>
        <w:t xml:space="preserve"> </w:t>
      </w:r>
      <w:r w:rsidR="00F32B28" w:rsidRPr="00F32B28">
        <w:rPr>
          <w:rtl/>
        </w:rPr>
        <w:t>الراتب</w:t>
      </w:r>
      <w:r w:rsidR="00F32B28">
        <w:rPr>
          <w:rtl/>
        </w:rPr>
        <w:t xml:space="preserve"> </w:t>
      </w:r>
      <w:r w:rsidR="00F32B28" w:rsidRPr="00F32B28">
        <w:rPr>
          <w:rtl/>
        </w:rPr>
        <w:t>الأساسي</w:t>
      </w:r>
      <w:r w:rsidR="00F32B28">
        <w:rPr>
          <w:rtl/>
        </w:rPr>
        <w:t xml:space="preserve"> </w:t>
      </w:r>
      <w:r w:rsidR="00F32B28" w:rsidRPr="00F32B28">
        <w:rPr>
          <w:rtl/>
        </w:rPr>
        <w:t>أو</w:t>
      </w:r>
      <w:r w:rsidR="00F32B28">
        <w:rPr>
          <w:rtl/>
        </w:rPr>
        <w:t xml:space="preserve"> </w:t>
      </w:r>
      <w:r w:rsidR="00F32B28" w:rsidRPr="00F32B28">
        <w:rPr>
          <w:rtl/>
        </w:rPr>
        <w:t>العلاوات</w:t>
      </w:r>
      <w:r w:rsidR="00F32B28">
        <w:rPr>
          <w:rtl/>
        </w:rPr>
        <w:t xml:space="preserve"> </w:t>
      </w:r>
      <w:r w:rsidR="00F32B28" w:rsidRPr="00F32B28">
        <w:rPr>
          <w:rtl/>
        </w:rPr>
        <w:t>أو</w:t>
      </w:r>
      <w:r w:rsidR="00F32B28">
        <w:rPr>
          <w:rtl/>
        </w:rPr>
        <w:t xml:space="preserve"> </w:t>
      </w:r>
      <w:r w:rsidR="00F32B28" w:rsidRPr="00F32B28">
        <w:rPr>
          <w:rtl/>
        </w:rPr>
        <w:t>البدلات،</w:t>
      </w:r>
      <w:r w:rsidR="00F32B28">
        <w:rPr>
          <w:rtl/>
        </w:rPr>
        <w:t xml:space="preserve"> </w:t>
      </w:r>
      <w:r w:rsidR="00F32B28" w:rsidRPr="00F32B28">
        <w:rPr>
          <w:rtl/>
        </w:rPr>
        <w:t>فللموظفة</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الأجر</w:t>
      </w:r>
      <w:r w:rsidR="00F32B28">
        <w:rPr>
          <w:rtl/>
        </w:rPr>
        <w:t xml:space="preserve"> </w:t>
      </w:r>
      <w:r w:rsidR="00F32B28" w:rsidRPr="00F32B28">
        <w:rPr>
          <w:rtl/>
        </w:rPr>
        <w:t>المتساوي</w:t>
      </w:r>
      <w:r w:rsidR="00F32B28">
        <w:rPr>
          <w:rtl/>
        </w:rPr>
        <w:t xml:space="preserve"> </w:t>
      </w:r>
      <w:r w:rsidR="00F32B28" w:rsidRPr="00F32B28">
        <w:rPr>
          <w:rtl/>
        </w:rPr>
        <w:t>لقاء</w:t>
      </w:r>
      <w:r w:rsidR="00F32B28">
        <w:rPr>
          <w:rtl/>
        </w:rPr>
        <w:t xml:space="preserve"> </w:t>
      </w:r>
      <w:r w:rsidR="00F32B28" w:rsidRPr="00F32B28">
        <w:rPr>
          <w:rtl/>
        </w:rPr>
        <w:t>العمل</w:t>
      </w:r>
      <w:r w:rsidR="00F32B28">
        <w:rPr>
          <w:rtl/>
        </w:rPr>
        <w:t xml:space="preserve"> </w:t>
      </w:r>
      <w:r w:rsidR="00F32B28" w:rsidRPr="00F32B28">
        <w:rPr>
          <w:rtl/>
        </w:rPr>
        <w:t>ذي</w:t>
      </w:r>
      <w:r w:rsidR="00F32B28">
        <w:rPr>
          <w:rtl/>
        </w:rPr>
        <w:t xml:space="preserve"> </w:t>
      </w:r>
      <w:r w:rsidR="00F32B28" w:rsidRPr="00F32B28">
        <w:rPr>
          <w:rtl/>
        </w:rPr>
        <w:t>القيمة</w:t>
      </w:r>
      <w:r w:rsidR="00F32B28">
        <w:rPr>
          <w:rtl/>
        </w:rPr>
        <w:t xml:space="preserve"> </w:t>
      </w:r>
      <w:r w:rsidR="00F32B28" w:rsidRPr="00F32B28">
        <w:rPr>
          <w:rtl/>
        </w:rPr>
        <w:t>المتساوية.</w:t>
      </w:r>
      <w:r w:rsidR="00F32B28">
        <w:rPr>
          <w:rtl/>
        </w:rPr>
        <w:t xml:space="preserve"> </w:t>
      </w:r>
      <w:r w:rsidR="00F32B28" w:rsidRPr="00F32B28">
        <w:rPr>
          <w:rtl/>
        </w:rPr>
        <w:t>وكذلك</w:t>
      </w:r>
      <w:r w:rsidR="00F32B28">
        <w:rPr>
          <w:rtl/>
        </w:rPr>
        <w:t xml:space="preserve"> </w:t>
      </w:r>
      <w:r w:rsidR="00F32B28" w:rsidRPr="00F32B28">
        <w:rPr>
          <w:rtl/>
        </w:rPr>
        <w:t>الأمر</w:t>
      </w:r>
      <w:r w:rsidR="00F32B28">
        <w:rPr>
          <w:rtl/>
        </w:rPr>
        <w:t xml:space="preserve"> </w:t>
      </w:r>
      <w:r w:rsidR="00F32B28" w:rsidRPr="00F32B28">
        <w:rPr>
          <w:rtl/>
        </w:rPr>
        <w:t>بالنسبة</w:t>
      </w:r>
      <w:r w:rsidR="00F32B28">
        <w:rPr>
          <w:rtl/>
        </w:rPr>
        <w:t xml:space="preserve"> </w:t>
      </w:r>
      <w:r w:rsidR="00F32B28" w:rsidRPr="00F32B28">
        <w:rPr>
          <w:rtl/>
        </w:rPr>
        <w:t>لقانون</w:t>
      </w:r>
      <w:r w:rsidR="00F32B28">
        <w:rPr>
          <w:rtl/>
        </w:rPr>
        <w:t xml:space="preserve"> </w:t>
      </w:r>
      <w:r w:rsidR="00F32B28" w:rsidRPr="00F32B28">
        <w:rPr>
          <w:rtl/>
        </w:rPr>
        <w:t>العمل</w:t>
      </w:r>
      <w:r w:rsidR="00F32B28">
        <w:rPr>
          <w:rtl/>
        </w:rPr>
        <w:t xml:space="preserve"> </w:t>
      </w:r>
      <w:r w:rsidR="00F32B28" w:rsidRPr="00F32B28">
        <w:rPr>
          <w:rtl/>
        </w:rPr>
        <w:t>الذي</w:t>
      </w:r>
      <w:r w:rsidR="00F32B28">
        <w:rPr>
          <w:rtl/>
        </w:rPr>
        <w:t xml:space="preserve"> </w:t>
      </w:r>
      <w:r w:rsidR="00F32B28" w:rsidRPr="00F32B28">
        <w:rPr>
          <w:rtl/>
        </w:rPr>
        <w:t>حظر</w:t>
      </w:r>
      <w:r w:rsidR="00F32B28">
        <w:rPr>
          <w:rtl/>
        </w:rPr>
        <w:t xml:space="preserve"> </w:t>
      </w:r>
      <w:r w:rsidR="00F32B28" w:rsidRPr="00F32B28">
        <w:rPr>
          <w:rtl/>
        </w:rPr>
        <w:t>صراحةً</w:t>
      </w:r>
      <w:r w:rsidR="00F32B28">
        <w:rPr>
          <w:rtl/>
        </w:rPr>
        <w:t xml:space="preserve"> </w:t>
      </w:r>
      <w:r w:rsidR="00F32B28" w:rsidRPr="00F32B28">
        <w:rPr>
          <w:rtl/>
        </w:rPr>
        <w:t>التمييز</w:t>
      </w:r>
      <w:r w:rsidR="00F32B28">
        <w:rPr>
          <w:rtl/>
        </w:rPr>
        <w:t xml:space="preserve"> </w:t>
      </w:r>
      <w:r w:rsidR="00F32B28" w:rsidRPr="00F32B28">
        <w:rPr>
          <w:rtl/>
        </w:rPr>
        <w:t>بين</w:t>
      </w:r>
      <w:r w:rsidR="00F32B28">
        <w:rPr>
          <w:rtl/>
        </w:rPr>
        <w:t xml:space="preserve"> </w:t>
      </w:r>
      <w:r w:rsidR="00F32B28" w:rsidRPr="00F32B28">
        <w:rPr>
          <w:rtl/>
        </w:rPr>
        <w:t>الرجل</w:t>
      </w:r>
      <w:r w:rsidR="00F32B28">
        <w:rPr>
          <w:rtl/>
        </w:rPr>
        <w:t xml:space="preserve"> </w:t>
      </w:r>
      <w:r w:rsidR="00F32B28" w:rsidRPr="00F32B28">
        <w:rPr>
          <w:rtl/>
        </w:rPr>
        <w:t>والمرأة</w:t>
      </w:r>
      <w:r w:rsidR="00F32B28">
        <w:rPr>
          <w:rtl/>
        </w:rPr>
        <w:t xml:space="preserve"> </w:t>
      </w:r>
      <w:r w:rsidR="00F32B28" w:rsidRPr="00F32B28">
        <w:rPr>
          <w:rtl/>
        </w:rPr>
        <w:t>في</w:t>
      </w:r>
      <w:r w:rsidR="00F32B28">
        <w:rPr>
          <w:rtl/>
        </w:rPr>
        <w:t xml:space="preserve"> </w:t>
      </w:r>
      <w:r w:rsidR="00F32B28" w:rsidRPr="00F32B28">
        <w:rPr>
          <w:rtl/>
        </w:rPr>
        <w:t>ظروف</w:t>
      </w:r>
      <w:r w:rsidR="00F32B28">
        <w:rPr>
          <w:rtl/>
        </w:rPr>
        <w:t xml:space="preserve"> </w:t>
      </w:r>
      <w:r w:rsidR="00F32B28" w:rsidRPr="00F32B28">
        <w:rPr>
          <w:rtl/>
        </w:rPr>
        <w:t>وشروط</w:t>
      </w:r>
      <w:r w:rsidR="00F32B28">
        <w:rPr>
          <w:rtl/>
        </w:rPr>
        <w:t xml:space="preserve"> </w:t>
      </w:r>
      <w:r w:rsidR="00F32B28" w:rsidRPr="00F32B28">
        <w:rPr>
          <w:rtl/>
        </w:rPr>
        <w:t>العمل،</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الاستحقاقات</w:t>
      </w:r>
      <w:r w:rsidR="00F32B28">
        <w:rPr>
          <w:rtl/>
        </w:rPr>
        <w:t xml:space="preserve"> </w:t>
      </w:r>
      <w:r w:rsidR="00F32B28" w:rsidRPr="00F32B28">
        <w:rPr>
          <w:rtl/>
        </w:rPr>
        <w:t>المالية</w:t>
      </w:r>
      <w:r w:rsidR="00F32B28">
        <w:rPr>
          <w:rtl/>
        </w:rPr>
        <w:t xml:space="preserve"> </w:t>
      </w:r>
      <w:r w:rsidR="00F32B28" w:rsidRPr="00F32B28">
        <w:rPr>
          <w:rtl/>
        </w:rPr>
        <w:t>من</w:t>
      </w:r>
      <w:r w:rsidR="00F32B28">
        <w:rPr>
          <w:rtl/>
        </w:rPr>
        <w:t xml:space="preserve"> </w:t>
      </w:r>
      <w:r w:rsidR="00F32B28" w:rsidRPr="00F32B28">
        <w:rPr>
          <w:rtl/>
        </w:rPr>
        <w:t>أجور</w:t>
      </w:r>
      <w:r w:rsidR="00F32B28">
        <w:rPr>
          <w:rtl/>
        </w:rPr>
        <w:t xml:space="preserve"> </w:t>
      </w:r>
      <w:r w:rsidR="00F32B28" w:rsidRPr="00F32B28">
        <w:rPr>
          <w:rtl/>
        </w:rPr>
        <w:t>وبدلات</w:t>
      </w:r>
      <w:r w:rsidR="00F32B28">
        <w:rPr>
          <w:rtl/>
        </w:rPr>
        <w:t xml:space="preserve"> </w:t>
      </w:r>
      <w:r w:rsidR="00F32B28" w:rsidRPr="00F32B28">
        <w:rPr>
          <w:rtl/>
        </w:rPr>
        <w:t>وعلاوات</w:t>
      </w:r>
      <w:r w:rsidR="00F32B28">
        <w:rPr>
          <w:rtl/>
        </w:rPr>
        <w:t xml:space="preserve"> </w:t>
      </w:r>
      <w:r w:rsidR="00F32B28" w:rsidRPr="00F32B28">
        <w:rPr>
          <w:rtl/>
        </w:rPr>
        <w:t>ومكافآت.</w:t>
      </w:r>
    </w:p>
    <w:p w:rsidR="00F32B28" w:rsidRPr="00F32B28" w:rsidRDefault="00D652E9" w:rsidP="00D652E9">
      <w:pPr>
        <w:pStyle w:val="SingleTxt"/>
        <w:rPr>
          <w:rtl/>
        </w:rPr>
      </w:pPr>
      <w:r>
        <w:rPr>
          <w:rFonts w:hint="cs"/>
          <w:rtl/>
        </w:rPr>
        <w:t xml:space="preserve">202 - </w:t>
      </w:r>
      <w:r w:rsidR="00F32B28" w:rsidRPr="00F32B28">
        <w:rPr>
          <w:rtl/>
        </w:rPr>
        <w:t>وللمرأة</w:t>
      </w:r>
      <w:r w:rsidR="00F32B28">
        <w:rPr>
          <w:rtl/>
        </w:rPr>
        <w:t xml:space="preserve"> </w:t>
      </w:r>
      <w:r w:rsidR="00F32B28" w:rsidRPr="00F32B28">
        <w:rPr>
          <w:rtl/>
        </w:rPr>
        <w:t>العاملة</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الخاص</w:t>
      </w:r>
      <w:r w:rsidR="00F32B28">
        <w:rPr>
          <w:rtl/>
        </w:rPr>
        <w:t xml:space="preserve"> </w:t>
      </w:r>
      <w:r w:rsidR="00F32B28" w:rsidRPr="00F32B28">
        <w:rPr>
          <w:rtl/>
        </w:rPr>
        <w:t>والأهلي</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الحد</w:t>
      </w:r>
      <w:r w:rsidR="00F32B28">
        <w:rPr>
          <w:rtl/>
        </w:rPr>
        <w:t xml:space="preserve"> </w:t>
      </w:r>
      <w:r w:rsidR="00F32B28" w:rsidRPr="00F32B28">
        <w:rPr>
          <w:rtl/>
        </w:rPr>
        <w:t>الأدنى</w:t>
      </w:r>
      <w:r w:rsidR="00F32B28">
        <w:rPr>
          <w:rtl/>
        </w:rPr>
        <w:t xml:space="preserve"> </w:t>
      </w:r>
      <w:r w:rsidR="00F32B28" w:rsidRPr="00F32B28">
        <w:rPr>
          <w:rtl/>
        </w:rPr>
        <w:t>للأجور</w:t>
      </w:r>
      <w:r w:rsidR="00F32B28">
        <w:rPr>
          <w:rtl/>
        </w:rPr>
        <w:t xml:space="preserve"> </w:t>
      </w:r>
      <w:r w:rsidR="00F32B28" w:rsidRPr="00F32B28">
        <w:rPr>
          <w:rtl/>
        </w:rPr>
        <w:t>الذي</w:t>
      </w:r>
      <w:r w:rsidR="00F32B28">
        <w:rPr>
          <w:rtl/>
        </w:rPr>
        <w:t xml:space="preserve"> </w:t>
      </w:r>
      <w:r w:rsidR="00F32B28" w:rsidRPr="00F32B28">
        <w:rPr>
          <w:rtl/>
        </w:rPr>
        <w:t>تم</w:t>
      </w:r>
      <w:r w:rsidR="00F32B28">
        <w:rPr>
          <w:rtl/>
        </w:rPr>
        <w:t xml:space="preserve"> </w:t>
      </w:r>
      <w:r w:rsidR="00F32B28" w:rsidRPr="00F32B28">
        <w:rPr>
          <w:rtl/>
        </w:rPr>
        <w:t>إقراره</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مجلس</w:t>
      </w:r>
      <w:r w:rsidR="00F32B28">
        <w:rPr>
          <w:rtl/>
        </w:rPr>
        <w:t xml:space="preserve"> </w:t>
      </w:r>
      <w:r w:rsidR="00F32B28" w:rsidRPr="00F32B28">
        <w:rPr>
          <w:rtl/>
        </w:rPr>
        <w:t>الوزراء</w:t>
      </w:r>
      <w:r w:rsidR="00F32B28">
        <w:rPr>
          <w:rtl/>
        </w:rPr>
        <w:t xml:space="preserve"> </w:t>
      </w:r>
      <w:r w:rsidR="00F32B28" w:rsidRPr="00F32B28">
        <w:rPr>
          <w:rtl/>
        </w:rPr>
        <w:t>في</w:t>
      </w:r>
      <w:r w:rsidR="00F32B28">
        <w:rPr>
          <w:rtl/>
        </w:rPr>
        <w:t xml:space="preserve"> </w:t>
      </w:r>
      <w:r w:rsidR="00F32B28" w:rsidRPr="00F32B28">
        <w:rPr>
          <w:rtl/>
        </w:rPr>
        <w:t>سنة</w:t>
      </w:r>
      <w:r w:rsidR="00F32B28">
        <w:rPr>
          <w:rtl/>
        </w:rPr>
        <w:t xml:space="preserve"> </w:t>
      </w:r>
      <w:r w:rsidR="00F32B28" w:rsidRPr="00F32B28">
        <w:rPr>
          <w:rtl/>
        </w:rPr>
        <w:t>2012،</w:t>
      </w:r>
      <w:r w:rsidR="00F32B28">
        <w:rPr>
          <w:rtl/>
        </w:rPr>
        <w:t xml:space="preserve"> </w:t>
      </w:r>
      <w:r w:rsidR="00F32B28" w:rsidRPr="00F32B28">
        <w:rPr>
          <w:rtl/>
        </w:rPr>
        <w:t>حوالي</w:t>
      </w:r>
      <w:r w:rsidR="00EE4046">
        <w:rPr>
          <w:rFonts w:hint="cs"/>
          <w:rtl/>
        </w:rPr>
        <w:t xml:space="preserve"> </w:t>
      </w:r>
      <w:r w:rsidR="00F32B28" w:rsidRPr="00F32B28">
        <w:rPr>
          <w:rtl/>
        </w:rPr>
        <w:t>(365)</w:t>
      </w:r>
      <w:r w:rsidR="00F32B28">
        <w:rPr>
          <w:rtl/>
        </w:rPr>
        <w:t xml:space="preserve"> </w:t>
      </w:r>
      <w:r w:rsidR="00F32B28" w:rsidRPr="00F32B28">
        <w:rPr>
          <w:rtl/>
        </w:rPr>
        <w:t>دولار</w:t>
      </w:r>
      <w:r w:rsidR="00F32B28">
        <w:rPr>
          <w:rtl/>
        </w:rPr>
        <w:t xml:space="preserve"> </w:t>
      </w:r>
      <w:r w:rsidR="00F32B28" w:rsidRPr="00F32B28">
        <w:rPr>
          <w:rtl/>
        </w:rPr>
        <w:t>أمريكي،</w:t>
      </w:r>
      <w:r w:rsidR="00F32B28">
        <w:rPr>
          <w:rtl/>
        </w:rPr>
        <w:t xml:space="preserve"> </w:t>
      </w:r>
      <w:r w:rsidR="00F32B28" w:rsidRPr="00F32B28">
        <w:rPr>
          <w:rtl/>
        </w:rPr>
        <w:t>دون</w:t>
      </w:r>
      <w:r w:rsidR="00F32B28">
        <w:rPr>
          <w:rtl/>
        </w:rPr>
        <w:t xml:space="preserve"> </w:t>
      </w:r>
      <w:r w:rsidR="00F32B28" w:rsidRPr="00F32B28">
        <w:rPr>
          <w:rtl/>
        </w:rPr>
        <w:t>تمييز</w:t>
      </w:r>
      <w:r w:rsidR="00F32B28">
        <w:rPr>
          <w:rtl/>
        </w:rPr>
        <w:t xml:space="preserve"> </w:t>
      </w:r>
      <w:r w:rsidR="00F32B28" w:rsidRPr="00F32B28">
        <w:rPr>
          <w:rtl/>
        </w:rPr>
        <w:t>فيما</w:t>
      </w:r>
      <w:r w:rsidR="00F32B28">
        <w:rPr>
          <w:rtl/>
        </w:rPr>
        <w:t xml:space="preserve"> </w:t>
      </w:r>
      <w:r w:rsidR="00F32B28" w:rsidRPr="00F32B28">
        <w:rPr>
          <w:rtl/>
        </w:rPr>
        <w:t>بينها</w:t>
      </w:r>
      <w:r w:rsidR="00F32B28">
        <w:rPr>
          <w:rtl/>
        </w:rPr>
        <w:t xml:space="preserve"> </w:t>
      </w:r>
      <w:r w:rsidR="00F32B28" w:rsidRPr="00F32B28">
        <w:rPr>
          <w:rtl/>
        </w:rPr>
        <w:t>وبين</w:t>
      </w:r>
      <w:r w:rsidR="00F32B28">
        <w:rPr>
          <w:rtl/>
        </w:rPr>
        <w:t xml:space="preserve"> </w:t>
      </w:r>
      <w:r w:rsidR="00F32B28" w:rsidRPr="00F32B28">
        <w:rPr>
          <w:rtl/>
        </w:rPr>
        <w:t>والرجل،</w:t>
      </w:r>
      <w:r w:rsidR="00F32B28">
        <w:rPr>
          <w:rtl/>
        </w:rPr>
        <w:t xml:space="preserve"> </w:t>
      </w:r>
      <w:r w:rsidR="00F32B28" w:rsidRPr="00F32B28">
        <w:rPr>
          <w:rtl/>
        </w:rPr>
        <w:t>مع</w:t>
      </w:r>
      <w:r w:rsidR="00F32B28">
        <w:rPr>
          <w:rtl/>
        </w:rPr>
        <w:t xml:space="preserve"> </w:t>
      </w:r>
      <w:r w:rsidR="00F32B28" w:rsidRPr="00F32B28">
        <w:rPr>
          <w:rtl/>
        </w:rPr>
        <w:t>العلم</w:t>
      </w:r>
      <w:r w:rsidR="00F32B28">
        <w:rPr>
          <w:rtl/>
        </w:rPr>
        <w:t xml:space="preserve"> </w:t>
      </w:r>
      <w:r w:rsidR="00F32B28" w:rsidRPr="00F32B28">
        <w:rPr>
          <w:rtl/>
        </w:rPr>
        <w:t>بأن</w:t>
      </w:r>
      <w:r w:rsidR="00F32B28">
        <w:rPr>
          <w:rtl/>
        </w:rPr>
        <w:t xml:space="preserve"> </w:t>
      </w:r>
      <w:r w:rsidR="00F32B28" w:rsidRPr="00F32B28">
        <w:rPr>
          <w:rtl/>
        </w:rPr>
        <w:t>خط</w:t>
      </w:r>
      <w:r w:rsidR="00F32B28">
        <w:rPr>
          <w:rtl/>
        </w:rPr>
        <w:t xml:space="preserve"> </w:t>
      </w:r>
      <w:r w:rsidR="00F32B28" w:rsidRPr="00F32B28">
        <w:rPr>
          <w:rtl/>
        </w:rPr>
        <w:t>الفقر</w:t>
      </w:r>
      <w:r w:rsidR="00F32B28">
        <w:rPr>
          <w:rtl/>
        </w:rPr>
        <w:t xml:space="preserve"> </w:t>
      </w:r>
      <w:r w:rsidR="00F32B28" w:rsidRPr="00F32B28">
        <w:rPr>
          <w:rtl/>
        </w:rPr>
        <w:t>لعام</w:t>
      </w:r>
      <w:r w:rsidR="00F32B28">
        <w:rPr>
          <w:rtl/>
        </w:rPr>
        <w:t xml:space="preserve"> </w:t>
      </w:r>
      <w:r w:rsidR="00F32B28" w:rsidRPr="00F32B28">
        <w:rPr>
          <w:rtl/>
        </w:rPr>
        <w:t>2011</w:t>
      </w:r>
      <w:r w:rsidR="00F32B28">
        <w:rPr>
          <w:rtl/>
        </w:rPr>
        <w:t xml:space="preserve"> </w:t>
      </w:r>
      <w:r w:rsidR="00F32B28" w:rsidRPr="00F32B28">
        <w:rPr>
          <w:rtl/>
        </w:rPr>
        <w:t>قد</w:t>
      </w:r>
      <w:r w:rsidR="00F32B28">
        <w:rPr>
          <w:rtl/>
        </w:rPr>
        <w:t xml:space="preserve"> </w:t>
      </w:r>
      <w:r w:rsidR="00F32B28" w:rsidRPr="00F32B28">
        <w:rPr>
          <w:rtl/>
        </w:rPr>
        <w:t>بلغ</w:t>
      </w:r>
      <w:r w:rsidR="00F32B28">
        <w:rPr>
          <w:rtl/>
        </w:rPr>
        <w:t xml:space="preserve"> </w:t>
      </w:r>
      <w:r w:rsidR="00F32B28" w:rsidRPr="00F32B28">
        <w:rPr>
          <w:rtl/>
        </w:rPr>
        <w:t>600</w:t>
      </w:r>
      <w:r w:rsidR="00EE4046">
        <w:rPr>
          <w:rFonts w:hint="cs"/>
          <w:rtl/>
        </w:rPr>
        <w:t xml:space="preserve"> </w:t>
      </w:r>
      <w:r w:rsidR="00F32B28" w:rsidRPr="00F32B28">
        <w:rPr>
          <w:rtl/>
        </w:rPr>
        <w:t>دولار</w:t>
      </w:r>
      <w:r w:rsidR="00F32B28">
        <w:rPr>
          <w:rtl/>
        </w:rPr>
        <w:t xml:space="preserve"> </w:t>
      </w:r>
      <w:r w:rsidR="00F32B28" w:rsidRPr="00F32B28">
        <w:rPr>
          <w:rtl/>
        </w:rPr>
        <w:t>وخط</w:t>
      </w:r>
      <w:r w:rsidR="00F32B28">
        <w:rPr>
          <w:rtl/>
        </w:rPr>
        <w:t xml:space="preserve"> </w:t>
      </w:r>
      <w:r w:rsidR="00F32B28" w:rsidRPr="00F32B28">
        <w:rPr>
          <w:rtl/>
        </w:rPr>
        <w:t>الفقر</w:t>
      </w:r>
      <w:r w:rsidR="00F32B28">
        <w:rPr>
          <w:rtl/>
        </w:rPr>
        <w:t xml:space="preserve"> </w:t>
      </w:r>
      <w:r w:rsidR="00F32B28" w:rsidRPr="00F32B28">
        <w:rPr>
          <w:rtl/>
        </w:rPr>
        <w:t>المدقع</w:t>
      </w:r>
      <w:r w:rsidR="00F32B28">
        <w:rPr>
          <w:rtl/>
        </w:rPr>
        <w:t xml:space="preserve"> </w:t>
      </w:r>
      <w:r w:rsidR="00F32B28" w:rsidRPr="00F32B28">
        <w:rPr>
          <w:rtl/>
        </w:rPr>
        <w:t>قد</w:t>
      </w:r>
      <w:r w:rsidR="00F32B28">
        <w:rPr>
          <w:rtl/>
        </w:rPr>
        <w:t xml:space="preserve"> </w:t>
      </w:r>
      <w:r w:rsidR="00F32B28" w:rsidRPr="00F32B28">
        <w:rPr>
          <w:rtl/>
        </w:rPr>
        <w:t>بلغ</w:t>
      </w:r>
      <w:r w:rsidR="00F32B28">
        <w:rPr>
          <w:rtl/>
        </w:rPr>
        <w:t xml:space="preserve"> </w:t>
      </w:r>
      <w:r w:rsidR="00F32B28" w:rsidRPr="00F32B28">
        <w:rPr>
          <w:rtl/>
        </w:rPr>
        <w:t>490</w:t>
      </w:r>
      <w:r w:rsidR="00F32B28">
        <w:rPr>
          <w:rtl/>
        </w:rPr>
        <w:t xml:space="preserve"> </w:t>
      </w:r>
      <w:r w:rsidR="00F32B28" w:rsidRPr="00F32B28">
        <w:rPr>
          <w:rtl/>
        </w:rPr>
        <w:t>دولار.</w:t>
      </w:r>
      <w:r w:rsidR="00F32B28">
        <w:rPr>
          <w:rtl/>
        </w:rPr>
        <w:t xml:space="preserve"> </w:t>
      </w:r>
      <w:r w:rsidR="00F32B28" w:rsidRPr="00F32B28">
        <w:rPr>
          <w:rtl/>
        </w:rPr>
        <w:t>أما</w:t>
      </w:r>
      <w:r w:rsidR="00F32B28">
        <w:rPr>
          <w:rtl/>
        </w:rPr>
        <w:t xml:space="preserve"> </w:t>
      </w:r>
      <w:r w:rsidR="00F32B28" w:rsidRPr="00F32B28">
        <w:rPr>
          <w:rtl/>
        </w:rPr>
        <w:t>ما</w:t>
      </w:r>
      <w:r w:rsidR="00062F37">
        <w:rPr>
          <w:rFonts w:hint="cs"/>
          <w:rtl/>
        </w:rPr>
        <w:t> </w:t>
      </w:r>
      <w:r w:rsidR="00F32B28" w:rsidRPr="00F32B28">
        <w:rPr>
          <w:rtl/>
        </w:rPr>
        <w:t>يزيد</w:t>
      </w:r>
      <w:r w:rsidR="00F32B28">
        <w:rPr>
          <w:rtl/>
        </w:rPr>
        <w:t xml:space="preserve"> </w:t>
      </w:r>
      <w:r w:rsidR="00F32B28" w:rsidRPr="00F32B28">
        <w:rPr>
          <w:rtl/>
        </w:rPr>
        <w:t>عن</w:t>
      </w:r>
      <w:r w:rsidR="00F32B28">
        <w:rPr>
          <w:rtl/>
        </w:rPr>
        <w:t xml:space="preserve"> </w:t>
      </w:r>
      <w:r w:rsidR="00F32B28" w:rsidRPr="00F32B28">
        <w:rPr>
          <w:rtl/>
        </w:rPr>
        <w:t>الحد</w:t>
      </w:r>
      <w:r w:rsidR="00F32B28">
        <w:rPr>
          <w:rtl/>
        </w:rPr>
        <w:t xml:space="preserve"> </w:t>
      </w:r>
      <w:r w:rsidR="00F32B28" w:rsidRPr="00F32B28">
        <w:rPr>
          <w:rtl/>
        </w:rPr>
        <w:t>الأدنى،</w:t>
      </w:r>
      <w:r w:rsidR="00F32B28">
        <w:rPr>
          <w:rtl/>
        </w:rPr>
        <w:t xml:space="preserve"> </w:t>
      </w:r>
      <w:r w:rsidR="00F32B28" w:rsidRPr="00F32B28">
        <w:rPr>
          <w:rtl/>
        </w:rPr>
        <w:t>فيخضع</w:t>
      </w:r>
      <w:r w:rsidR="00F32B28">
        <w:rPr>
          <w:rtl/>
        </w:rPr>
        <w:t xml:space="preserve"> </w:t>
      </w:r>
      <w:r w:rsidR="00F32B28" w:rsidRPr="00F32B28">
        <w:rPr>
          <w:rtl/>
        </w:rPr>
        <w:t>لاتفاق</w:t>
      </w:r>
      <w:r w:rsidR="00F32B28">
        <w:rPr>
          <w:rtl/>
        </w:rPr>
        <w:t xml:space="preserve"> </w:t>
      </w:r>
      <w:r w:rsidR="00F32B28" w:rsidRPr="00F32B28">
        <w:rPr>
          <w:rtl/>
        </w:rPr>
        <w:t>العاملة</w:t>
      </w:r>
      <w:r w:rsidR="00F32B28">
        <w:rPr>
          <w:rtl/>
        </w:rPr>
        <w:t xml:space="preserve"> </w:t>
      </w:r>
      <w:r w:rsidR="00F32B28" w:rsidRPr="00F32B28">
        <w:rPr>
          <w:rtl/>
        </w:rPr>
        <w:t>ورب</w:t>
      </w:r>
      <w:r w:rsidR="00F32B28">
        <w:rPr>
          <w:rtl/>
        </w:rPr>
        <w:t xml:space="preserve"> </w:t>
      </w:r>
      <w:r w:rsidR="00F32B28" w:rsidRPr="00F32B28">
        <w:rPr>
          <w:rtl/>
        </w:rPr>
        <w:t>العمل</w:t>
      </w:r>
      <w:r w:rsidR="00F32B28">
        <w:rPr>
          <w:rtl/>
        </w:rPr>
        <w:t xml:space="preserve"> </w:t>
      </w:r>
      <w:r w:rsidR="00F32B28" w:rsidRPr="00F32B28">
        <w:rPr>
          <w:rtl/>
        </w:rPr>
        <w:t>بعقد</w:t>
      </w:r>
      <w:r w:rsidR="00F32B28">
        <w:rPr>
          <w:rtl/>
        </w:rPr>
        <w:t xml:space="preserve"> </w:t>
      </w:r>
      <w:r w:rsidR="00F32B28" w:rsidRPr="00F32B28">
        <w:rPr>
          <w:rtl/>
        </w:rPr>
        <w:t>العمل.</w:t>
      </w:r>
      <w:r w:rsidR="00F32B28">
        <w:rPr>
          <w:rtl/>
        </w:rPr>
        <w:t xml:space="preserve"> </w:t>
      </w:r>
      <w:r w:rsidR="00F32B28" w:rsidRPr="00F32B28">
        <w:rPr>
          <w:rtl/>
        </w:rPr>
        <w:t>وفي</w:t>
      </w:r>
      <w:r w:rsidR="00F32B28">
        <w:rPr>
          <w:rtl/>
        </w:rPr>
        <w:t xml:space="preserve"> </w:t>
      </w:r>
      <w:r w:rsidR="00F32B28" w:rsidRPr="00F32B28">
        <w:rPr>
          <w:rtl/>
        </w:rPr>
        <w:t>جميع</w:t>
      </w:r>
      <w:r w:rsidR="00F32B28">
        <w:rPr>
          <w:rtl/>
        </w:rPr>
        <w:t xml:space="preserve"> </w:t>
      </w:r>
      <w:r w:rsidR="00F32B28" w:rsidRPr="00F32B28">
        <w:rPr>
          <w:rtl/>
        </w:rPr>
        <w:t>الأحوال</w:t>
      </w:r>
      <w:r w:rsidR="00F32B28">
        <w:rPr>
          <w:rtl/>
        </w:rPr>
        <w:t xml:space="preserve"> </w:t>
      </w:r>
      <w:r w:rsidR="00F32B28" w:rsidRPr="00F32B28">
        <w:rPr>
          <w:rtl/>
        </w:rPr>
        <w:t>لا</w:t>
      </w:r>
      <w:r w:rsidR="00F32B28">
        <w:rPr>
          <w:rtl/>
        </w:rPr>
        <w:t xml:space="preserve"> </w:t>
      </w:r>
      <w:r w:rsidR="00F32B28" w:rsidRPr="00F32B28">
        <w:rPr>
          <w:rtl/>
        </w:rPr>
        <w:t>يمكن</w:t>
      </w:r>
      <w:r w:rsidR="00F32B28">
        <w:rPr>
          <w:rtl/>
        </w:rPr>
        <w:t xml:space="preserve"> </w:t>
      </w:r>
      <w:r w:rsidR="00F32B28" w:rsidRPr="00F32B28">
        <w:rPr>
          <w:rtl/>
        </w:rPr>
        <w:t>أن</w:t>
      </w:r>
      <w:r w:rsidR="00F32B28">
        <w:rPr>
          <w:rtl/>
        </w:rPr>
        <w:t xml:space="preserve"> </w:t>
      </w:r>
      <w:r w:rsidR="00F32B28" w:rsidRPr="00F32B28">
        <w:rPr>
          <w:rtl/>
        </w:rPr>
        <w:t>يتضمن</w:t>
      </w:r>
      <w:r w:rsidR="00F32B28">
        <w:rPr>
          <w:rtl/>
        </w:rPr>
        <w:t xml:space="preserve"> </w:t>
      </w:r>
      <w:r w:rsidR="00F32B28" w:rsidRPr="00F32B28">
        <w:rPr>
          <w:rtl/>
        </w:rPr>
        <w:t>العقد</w:t>
      </w:r>
      <w:r w:rsidR="00F32B28">
        <w:rPr>
          <w:rtl/>
        </w:rPr>
        <w:t xml:space="preserve"> </w:t>
      </w:r>
      <w:r w:rsidR="00F32B28" w:rsidRPr="00F32B28">
        <w:rPr>
          <w:rtl/>
        </w:rPr>
        <w:t>أحكاماً</w:t>
      </w:r>
      <w:r w:rsidR="00F32B28">
        <w:rPr>
          <w:rtl/>
        </w:rPr>
        <w:t xml:space="preserve"> </w:t>
      </w:r>
      <w:r w:rsidR="00F32B28" w:rsidRPr="00F32B28">
        <w:rPr>
          <w:rtl/>
        </w:rPr>
        <w:t>تمييزية</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وإلا</w:t>
      </w:r>
      <w:r w:rsidR="00F32B28">
        <w:rPr>
          <w:rtl/>
        </w:rPr>
        <w:t xml:space="preserve"> </w:t>
      </w:r>
      <w:r w:rsidR="00F32B28" w:rsidRPr="00F32B28">
        <w:rPr>
          <w:rtl/>
        </w:rPr>
        <w:t>اعتبرت</w:t>
      </w:r>
      <w:r w:rsidR="00F32B28">
        <w:rPr>
          <w:rtl/>
        </w:rPr>
        <w:t xml:space="preserve"> </w:t>
      </w:r>
      <w:r w:rsidR="00F32B28" w:rsidRPr="00F32B28">
        <w:rPr>
          <w:rtl/>
        </w:rPr>
        <w:t>باطلة</w:t>
      </w:r>
      <w:r w:rsidR="00F32B28">
        <w:rPr>
          <w:rtl/>
        </w:rPr>
        <w:t xml:space="preserve"> </w:t>
      </w:r>
      <w:r w:rsidR="00F32B28" w:rsidRPr="00F32B28">
        <w:rPr>
          <w:rtl/>
        </w:rPr>
        <w:t>وغير</w:t>
      </w:r>
      <w:r w:rsidR="00F32B28">
        <w:rPr>
          <w:rtl/>
        </w:rPr>
        <w:t xml:space="preserve"> </w:t>
      </w:r>
      <w:r w:rsidR="00F32B28" w:rsidRPr="00F32B28">
        <w:rPr>
          <w:rtl/>
        </w:rPr>
        <w:t>نافذة</w:t>
      </w:r>
      <w:r w:rsidR="00F32B28">
        <w:rPr>
          <w:rtl/>
        </w:rPr>
        <w:t xml:space="preserve"> </w:t>
      </w:r>
      <w:r w:rsidR="00F32B28" w:rsidRPr="00F32B28">
        <w:rPr>
          <w:rtl/>
        </w:rPr>
        <w:t>لمخالفتها</w:t>
      </w:r>
      <w:r w:rsidR="00F32B28">
        <w:rPr>
          <w:rtl/>
        </w:rPr>
        <w:t xml:space="preserve"> </w:t>
      </w:r>
      <w:r w:rsidR="00F32B28" w:rsidRPr="00F32B28">
        <w:rPr>
          <w:rtl/>
        </w:rPr>
        <w:t>لقانون</w:t>
      </w:r>
      <w:r w:rsidR="00F32B28">
        <w:rPr>
          <w:rtl/>
        </w:rPr>
        <w:t xml:space="preserve"> </w:t>
      </w:r>
      <w:r w:rsidR="00F32B28" w:rsidRPr="00F32B28">
        <w:rPr>
          <w:rtl/>
        </w:rPr>
        <w:t>العمل،</w:t>
      </w:r>
      <w:r w:rsidR="00F32B28">
        <w:rPr>
          <w:rtl/>
        </w:rPr>
        <w:t xml:space="preserve"> </w:t>
      </w:r>
      <w:r w:rsidR="00F32B28" w:rsidRPr="00F32B28">
        <w:rPr>
          <w:rtl/>
        </w:rPr>
        <w:t>وخضوعها</w:t>
      </w:r>
      <w:r w:rsidR="00F32B28">
        <w:rPr>
          <w:rtl/>
        </w:rPr>
        <w:t xml:space="preserve"> </w:t>
      </w:r>
      <w:r w:rsidR="00F32B28" w:rsidRPr="00F32B28">
        <w:rPr>
          <w:rtl/>
        </w:rPr>
        <w:t>في</w:t>
      </w:r>
      <w:r w:rsidR="00F32B28">
        <w:rPr>
          <w:rtl/>
        </w:rPr>
        <w:t xml:space="preserve"> </w:t>
      </w:r>
      <w:r w:rsidR="00F32B28" w:rsidRPr="00F32B28">
        <w:rPr>
          <w:rtl/>
        </w:rPr>
        <w:t>كل</w:t>
      </w:r>
      <w:r w:rsidR="00F32B28">
        <w:rPr>
          <w:rtl/>
        </w:rPr>
        <w:t xml:space="preserve"> </w:t>
      </w:r>
      <w:r w:rsidR="00F32B28" w:rsidRPr="00F32B28">
        <w:rPr>
          <w:rtl/>
        </w:rPr>
        <w:t>الأحوال</w:t>
      </w:r>
      <w:r w:rsidR="00F32B28">
        <w:rPr>
          <w:rtl/>
        </w:rPr>
        <w:t xml:space="preserve"> </w:t>
      </w:r>
      <w:r w:rsidR="00F32B28" w:rsidRPr="00F32B28">
        <w:rPr>
          <w:rtl/>
        </w:rPr>
        <w:t>لمراقبة</w:t>
      </w:r>
      <w:r w:rsidR="00F32B28">
        <w:rPr>
          <w:rtl/>
        </w:rPr>
        <w:t xml:space="preserve"> </w:t>
      </w:r>
      <w:r w:rsidR="00F32B28" w:rsidRPr="00F32B28">
        <w:rPr>
          <w:rtl/>
        </w:rPr>
        <w:t>وزارة</w:t>
      </w:r>
      <w:r w:rsidR="00F32B28">
        <w:rPr>
          <w:rtl/>
        </w:rPr>
        <w:t xml:space="preserve"> </w:t>
      </w:r>
      <w:r w:rsidR="00F32B28" w:rsidRPr="00F32B28">
        <w:rPr>
          <w:rtl/>
        </w:rPr>
        <w:t>العمل</w:t>
      </w:r>
      <w:r w:rsidR="00F32B28">
        <w:rPr>
          <w:rtl/>
        </w:rPr>
        <w:t xml:space="preserve"> </w:t>
      </w:r>
      <w:r w:rsidR="00F32B28" w:rsidRPr="00F32B28">
        <w:rPr>
          <w:rtl/>
        </w:rPr>
        <w:t>ووزارة</w:t>
      </w:r>
      <w:r w:rsidR="00F32B28">
        <w:rPr>
          <w:rtl/>
        </w:rPr>
        <w:t xml:space="preserve"> </w:t>
      </w:r>
      <w:r w:rsidR="00F32B28" w:rsidRPr="00F32B28">
        <w:rPr>
          <w:rtl/>
        </w:rPr>
        <w:t>الداخلية</w:t>
      </w:r>
      <w:r w:rsidR="00F32B28">
        <w:rPr>
          <w:rtl/>
        </w:rPr>
        <w:t xml:space="preserve"> </w:t>
      </w:r>
      <w:r w:rsidR="00F32B28" w:rsidRPr="00F32B28">
        <w:rPr>
          <w:rtl/>
        </w:rPr>
        <w:t>أو</w:t>
      </w:r>
      <w:r w:rsidR="00F32B28">
        <w:rPr>
          <w:rtl/>
        </w:rPr>
        <w:t xml:space="preserve"> </w:t>
      </w:r>
      <w:r w:rsidR="00F32B28" w:rsidRPr="00F32B28">
        <w:rPr>
          <w:rtl/>
        </w:rPr>
        <w:t>وزارة</w:t>
      </w:r>
      <w:r w:rsidR="00F32B28">
        <w:rPr>
          <w:rtl/>
        </w:rPr>
        <w:t xml:space="preserve"> </w:t>
      </w:r>
      <w:r w:rsidR="00F32B28" w:rsidRPr="00F32B28">
        <w:rPr>
          <w:rtl/>
        </w:rPr>
        <w:t>الاقتصاد</w:t>
      </w:r>
      <w:r w:rsidR="00F32B28">
        <w:rPr>
          <w:rtl/>
        </w:rPr>
        <w:t xml:space="preserve"> </w:t>
      </w:r>
      <w:r w:rsidR="00F32B28" w:rsidRPr="00F32B28">
        <w:rPr>
          <w:rtl/>
        </w:rPr>
        <w:t>الوطني.</w:t>
      </w:r>
      <w:r w:rsidR="00F32B28">
        <w:rPr>
          <w:rtl/>
        </w:rPr>
        <w:t xml:space="preserve"> </w:t>
      </w:r>
    </w:p>
    <w:p w:rsidR="00F32B28" w:rsidRPr="00F32B28" w:rsidRDefault="00D652E9" w:rsidP="00D652E9">
      <w:pPr>
        <w:pStyle w:val="SingleTxt"/>
        <w:rPr>
          <w:rtl/>
        </w:rPr>
      </w:pPr>
      <w:r>
        <w:rPr>
          <w:rFonts w:hint="cs"/>
          <w:rtl/>
        </w:rPr>
        <w:lastRenderedPageBreak/>
        <w:t xml:space="preserve">203 - </w:t>
      </w:r>
      <w:r w:rsidR="00F32B28" w:rsidRPr="00F32B28">
        <w:rPr>
          <w:rtl/>
        </w:rPr>
        <w:t>يميز</w:t>
      </w:r>
      <w:r w:rsidR="00F32B28">
        <w:rPr>
          <w:rtl/>
        </w:rPr>
        <w:t xml:space="preserve"> </w:t>
      </w:r>
      <w:r w:rsidR="00F32B28" w:rsidRPr="00F32B28">
        <w:rPr>
          <w:rtl/>
        </w:rPr>
        <w:t>قانون</w:t>
      </w:r>
      <w:r w:rsidR="00F32B28">
        <w:rPr>
          <w:rtl/>
        </w:rPr>
        <w:t xml:space="preserve"> </w:t>
      </w:r>
      <w:r w:rsidR="00F32B28" w:rsidRPr="00F32B28">
        <w:rPr>
          <w:rtl/>
        </w:rPr>
        <w:t>العمل</w:t>
      </w:r>
      <w:r w:rsidR="00F32B28">
        <w:rPr>
          <w:rtl/>
        </w:rPr>
        <w:t xml:space="preserve"> </w:t>
      </w:r>
      <w:r w:rsidR="00F32B28" w:rsidRPr="00F32B28">
        <w:rPr>
          <w:rtl/>
        </w:rPr>
        <w:t>بين</w:t>
      </w:r>
      <w:r w:rsidR="00F32B28">
        <w:rPr>
          <w:rtl/>
        </w:rPr>
        <w:t xml:space="preserve"> </w:t>
      </w:r>
      <w:r w:rsidR="00F32B28" w:rsidRPr="00F32B28">
        <w:rPr>
          <w:rtl/>
        </w:rPr>
        <w:t>النساء</w:t>
      </w:r>
      <w:r w:rsidR="00F32B28">
        <w:rPr>
          <w:rtl/>
        </w:rPr>
        <w:t xml:space="preserve"> </w:t>
      </w:r>
      <w:r w:rsidR="00F32B28" w:rsidRPr="00F32B28">
        <w:rPr>
          <w:rtl/>
        </w:rPr>
        <w:t>العاملات</w:t>
      </w:r>
      <w:r w:rsidR="00F32B28">
        <w:rPr>
          <w:rtl/>
        </w:rPr>
        <w:t xml:space="preserve"> </w:t>
      </w:r>
      <w:r w:rsidR="00F32B28" w:rsidRPr="00F32B28">
        <w:rPr>
          <w:rtl/>
        </w:rPr>
        <w:t>وبين</w:t>
      </w:r>
      <w:r w:rsidR="00F32B28">
        <w:rPr>
          <w:rtl/>
        </w:rPr>
        <w:t xml:space="preserve"> </w:t>
      </w:r>
      <w:r w:rsidR="00F32B28" w:rsidRPr="00F32B28">
        <w:rPr>
          <w:rtl/>
        </w:rPr>
        <w:t>الرجال</w:t>
      </w:r>
      <w:r w:rsidR="00F32B28">
        <w:rPr>
          <w:rtl/>
        </w:rPr>
        <w:t xml:space="preserve"> </w:t>
      </w:r>
      <w:r w:rsidR="00F32B28" w:rsidRPr="00F32B28">
        <w:rPr>
          <w:rtl/>
        </w:rPr>
        <w:t>العاملين</w:t>
      </w:r>
      <w:r w:rsidR="00F32B28">
        <w:rPr>
          <w:rtl/>
        </w:rPr>
        <w:t xml:space="preserve"> </w:t>
      </w:r>
      <w:r w:rsidR="00F32B28" w:rsidRPr="00F32B28">
        <w:rPr>
          <w:rtl/>
        </w:rPr>
        <w:t>فيما</w:t>
      </w:r>
      <w:r w:rsidR="00F32B28">
        <w:rPr>
          <w:rtl/>
        </w:rPr>
        <w:t xml:space="preserve"> </w:t>
      </w:r>
      <w:r w:rsidR="00F32B28" w:rsidRPr="00F32B28">
        <w:rPr>
          <w:rtl/>
        </w:rPr>
        <w:t>يخص</w:t>
      </w:r>
      <w:r w:rsidR="00F32B28">
        <w:rPr>
          <w:rtl/>
        </w:rPr>
        <w:t xml:space="preserve"> </w:t>
      </w:r>
      <w:r w:rsidR="00F32B28" w:rsidRPr="00F32B28">
        <w:rPr>
          <w:rtl/>
        </w:rPr>
        <w:t>نوع</w:t>
      </w:r>
      <w:r w:rsidR="00F32B28">
        <w:rPr>
          <w:rtl/>
        </w:rPr>
        <w:t xml:space="preserve"> </w:t>
      </w:r>
      <w:r w:rsidR="00F32B28" w:rsidRPr="00F32B28">
        <w:rPr>
          <w:rtl/>
        </w:rPr>
        <w:t>العمل</w:t>
      </w:r>
      <w:r w:rsidR="00F32B28">
        <w:rPr>
          <w:rtl/>
        </w:rPr>
        <w:t xml:space="preserve"> </w:t>
      </w:r>
      <w:r w:rsidR="00F32B28" w:rsidRPr="00F32B28">
        <w:rPr>
          <w:rtl/>
        </w:rPr>
        <w:t>وأوقات</w:t>
      </w:r>
      <w:r w:rsidR="00F32B28">
        <w:rPr>
          <w:rtl/>
        </w:rPr>
        <w:t xml:space="preserve"> </w:t>
      </w:r>
      <w:r w:rsidR="00F32B28" w:rsidRPr="00F32B28">
        <w:rPr>
          <w:rtl/>
        </w:rPr>
        <w:t>ممارسته،</w:t>
      </w:r>
      <w:r w:rsidR="00F32B28">
        <w:rPr>
          <w:rtl/>
        </w:rPr>
        <w:t xml:space="preserve"> </w:t>
      </w:r>
      <w:r w:rsidR="00F32B28" w:rsidRPr="00F32B28">
        <w:rPr>
          <w:rtl/>
        </w:rPr>
        <w:t>ما</w:t>
      </w:r>
      <w:r w:rsidR="00F32B28">
        <w:rPr>
          <w:rtl/>
        </w:rPr>
        <w:t xml:space="preserve"> </w:t>
      </w:r>
      <w:r w:rsidR="00F32B28" w:rsidRPr="00F32B28">
        <w:rPr>
          <w:rtl/>
        </w:rPr>
        <w:t>يؤثر</w:t>
      </w:r>
      <w:r w:rsidR="00F32B28">
        <w:rPr>
          <w:rtl/>
        </w:rPr>
        <w:t xml:space="preserve"> </w:t>
      </w:r>
      <w:r w:rsidR="00F32B28" w:rsidRPr="00F32B28">
        <w:rPr>
          <w:rtl/>
        </w:rPr>
        <w:t>على</w:t>
      </w:r>
      <w:r w:rsidR="00F32B28">
        <w:rPr>
          <w:rtl/>
        </w:rPr>
        <w:t xml:space="preserve"> </w:t>
      </w:r>
      <w:r w:rsidR="00F32B28" w:rsidRPr="00F32B28">
        <w:rPr>
          <w:rtl/>
        </w:rPr>
        <w:t>حق</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حرية</w:t>
      </w:r>
      <w:r w:rsidR="00F32B28">
        <w:rPr>
          <w:rtl/>
        </w:rPr>
        <w:t xml:space="preserve"> </w:t>
      </w:r>
      <w:r w:rsidR="00F32B28" w:rsidRPr="00F32B28">
        <w:rPr>
          <w:rtl/>
        </w:rPr>
        <w:t>الاختيار</w:t>
      </w:r>
      <w:r w:rsidR="00F32B28">
        <w:rPr>
          <w:rtl/>
        </w:rPr>
        <w:t xml:space="preserve"> </w:t>
      </w:r>
      <w:r w:rsidR="00F32B28" w:rsidRPr="00F32B28">
        <w:rPr>
          <w:rtl/>
        </w:rPr>
        <w:t>في</w:t>
      </w:r>
      <w:r w:rsidR="00F32B28">
        <w:rPr>
          <w:rtl/>
        </w:rPr>
        <w:t xml:space="preserve"> </w:t>
      </w:r>
      <w:r w:rsidR="00F32B28" w:rsidRPr="00F32B28">
        <w:rPr>
          <w:rtl/>
        </w:rPr>
        <w:t>هذا</w:t>
      </w:r>
      <w:r w:rsidR="00F32B28">
        <w:rPr>
          <w:rtl/>
        </w:rPr>
        <w:t xml:space="preserve"> </w:t>
      </w:r>
      <w:r w:rsidR="00F32B28" w:rsidRPr="00F32B28">
        <w:rPr>
          <w:rtl/>
        </w:rPr>
        <w:t>المجال،</w:t>
      </w:r>
      <w:r w:rsidR="00F32B28">
        <w:rPr>
          <w:rtl/>
        </w:rPr>
        <w:t xml:space="preserve"> </w:t>
      </w:r>
      <w:r w:rsidR="00F32B28" w:rsidRPr="00F32B28">
        <w:rPr>
          <w:rtl/>
        </w:rPr>
        <w:t>إذ</w:t>
      </w:r>
      <w:r w:rsidR="00F32B28">
        <w:rPr>
          <w:rtl/>
        </w:rPr>
        <w:t xml:space="preserve"> </w:t>
      </w:r>
      <w:r w:rsidR="00F32B28" w:rsidRPr="00F32B28">
        <w:rPr>
          <w:rtl/>
        </w:rPr>
        <w:t>يحظر</w:t>
      </w:r>
      <w:r w:rsidR="00F32B28">
        <w:rPr>
          <w:rtl/>
        </w:rPr>
        <w:t xml:space="preserve"> </w:t>
      </w:r>
      <w:r w:rsidR="00F32B28" w:rsidRPr="00F32B28">
        <w:rPr>
          <w:rtl/>
        </w:rPr>
        <w:t>تشغيل</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الأعمال</w:t>
      </w:r>
      <w:r w:rsidR="00F32B28">
        <w:rPr>
          <w:rtl/>
        </w:rPr>
        <w:t xml:space="preserve"> </w:t>
      </w:r>
      <w:r w:rsidR="00F32B28" w:rsidRPr="00F32B28">
        <w:rPr>
          <w:rtl/>
        </w:rPr>
        <w:t>الميكانيكية</w:t>
      </w:r>
      <w:r w:rsidR="00F32B28">
        <w:rPr>
          <w:rtl/>
        </w:rPr>
        <w:t xml:space="preserve"> </w:t>
      </w:r>
      <w:r w:rsidR="00F32B28" w:rsidRPr="00F32B28">
        <w:rPr>
          <w:rtl/>
        </w:rPr>
        <w:t>والكيماوية</w:t>
      </w:r>
      <w:r w:rsidR="00F32B28">
        <w:rPr>
          <w:rtl/>
        </w:rPr>
        <w:t xml:space="preserve"> </w:t>
      </w:r>
      <w:r w:rsidR="00F32B28" w:rsidRPr="00F32B28">
        <w:rPr>
          <w:rtl/>
        </w:rPr>
        <w:t>واليدوية</w:t>
      </w:r>
      <w:r w:rsidR="00F32B28">
        <w:rPr>
          <w:rtl/>
        </w:rPr>
        <w:t xml:space="preserve"> </w:t>
      </w:r>
      <w:r w:rsidR="00F32B28" w:rsidRPr="00F32B28">
        <w:rPr>
          <w:rtl/>
        </w:rPr>
        <w:t>الخطرة</w:t>
      </w:r>
      <w:r w:rsidR="00F32B28">
        <w:rPr>
          <w:rtl/>
        </w:rPr>
        <w:t xml:space="preserve"> </w:t>
      </w:r>
      <w:r w:rsidR="00F32B28" w:rsidRPr="00F32B28">
        <w:rPr>
          <w:rtl/>
        </w:rPr>
        <w:t>أو</w:t>
      </w:r>
      <w:r w:rsidR="00F32B28">
        <w:rPr>
          <w:rtl/>
        </w:rPr>
        <w:t xml:space="preserve"> </w:t>
      </w:r>
      <w:r w:rsidR="00F32B28" w:rsidRPr="00F32B28">
        <w:rPr>
          <w:rtl/>
        </w:rPr>
        <w:t>الشاقة،</w:t>
      </w:r>
      <w:r w:rsidR="00F32B28">
        <w:rPr>
          <w:rtl/>
        </w:rPr>
        <w:t xml:space="preserve"> </w:t>
      </w:r>
      <w:r w:rsidR="00F32B28" w:rsidRPr="00F32B28">
        <w:rPr>
          <w:rtl/>
        </w:rPr>
        <w:t>كما</w:t>
      </w:r>
      <w:r w:rsidR="00F32B28">
        <w:rPr>
          <w:rtl/>
        </w:rPr>
        <w:t xml:space="preserve"> </w:t>
      </w:r>
      <w:r w:rsidR="00F32B28" w:rsidRPr="00F32B28">
        <w:rPr>
          <w:rtl/>
        </w:rPr>
        <w:t>يحظر</w:t>
      </w:r>
      <w:r w:rsidR="00F32B28">
        <w:rPr>
          <w:rtl/>
        </w:rPr>
        <w:t xml:space="preserve"> </w:t>
      </w:r>
      <w:r w:rsidR="00F32B28" w:rsidRPr="00F32B28">
        <w:rPr>
          <w:rtl/>
        </w:rPr>
        <w:t>تشغيلهن</w:t>
      </w:r>
      <w:r w:rsidR="00F32B28">
        <w:rPr>
          <w:rtl/>
        </w:rPr>
        <w:t xml:space="preserve"> </w:t>
      </w:r>
      <w:r w:rsidR="00F32B28" w:rsidRPr="00F32B28">
        <w:rPr>
          <w:rtl/>
        </w:rPr>
        <w:t>في</w:t>
      </w:r>
      <w:r w:rsidR="00F32B28">
        <w:rPr>
          <w:rtl/>
        </w:rPr>
        <w:t xml:space="preserve"> </w:t>
      </w:r>
      <w:r w:rsidR="00F32B28" w:rsidRPr="00F32B28">
        <w:rPr>
          <w:rtl/>
        </w:rPr>
        <w:t>ساعات</w:t>
      </w:r>
      <w:r w:rsidR="00F32B28">
        <w:rPr>
          <w:rtl/>
        </w:rPr>
        <w:t xml:space="preserve"> </w:t>
      </w:r>
      <w:r w:rsidR="00F32B28" w:rsidRPr="00F32B28">
        <w:rPr>
          <w:rtl/>
        </w:rPr>
        <w:t>الليل،</w:t>
      </w:r>
      <w:r w:rsidR="00F32B28">
        <w:rPr>
          <w:rtl/>
        </w:rPr>
        <w:t xml:space="preserve"> </w:t>
      </w:r>
      <w:r w:rsidR="00F32B28" w:rsidRPr="00F32B28">
        <w:rPr>
          <w:rtl/>
        </w:rPr>
        <w:t>وذلك</w:t>
      </w:r>
      <w:r w:rsidR="00F32B28">
        <w:rPr>
          <w:rtl/>
        </w:rPr>
        <w:t xml:space="preserve"> </w:t>
      </w:r>
      <w:r w:rsidR="00F32B28" w:rsidRPr="00F32B28">
        <w:rPr>
          <w:rtl/>
        </w:rPr>
        <w:t>فيما</w:t>
      </w:r>
      <w:r w:rsidR="00062F37">
        <w:rPr>
          <w:rFonts w:hint="cs"/>
          <w:rtl/>
        </w:rPr>
        <w:t> </w:t>
      </w:r>
      <w:r w:rsidR="00F32B28" w:rsidRPr="00F32B28">
        <w:rPr>
          <w:rtl/>
        </w:rPr>
        <w:t>عدا</w:t>
      </w:r>
      <w:r w:rsidR="00F32B28">
        <w:rPr>
          <w:rtl/>
        </w:rPr>
        <w:t xml:space="preserve"> </w:t>
      </w:r>
      <w:r w:rsidR="00F32B28" w:rsidRPr="00F32B28">
        <w:rPr>
          <w:rtl/>
        </w:rPr>
        <w:t>الأعمال</w:t>
      </w:r>
      <w:r w:rsidR="00F32B28">
        <w:rPr>
          <w:rtl/>
        </w:rPr>
        <w:t xml:space="preserve"> </w:t>
      </w:r>
      <w:r w:rsidR="00F32B28" w:rsidRPr="00F32B28">
        <w:rPr>
          <w:rtl/>
        </w:rPr>
        <w:t>ذات</w:t>
      </w:r>
      <w:r w:rsidR="00F32B28">
        <w:rPr>
          <w:rtl/>
        </w:rPr>
        <w:t xml:space="preserve"> </w:t>
      </w:r>
      <w:r w:rsidR="00F32B28" w:rsidRPr="00F32B28">
        <w:rPr>
          <w:rtl/>
        </w:rPr>
        <w:t>الطبيعة</w:t>
      </w:r>
      <w:r w:rsidR="00F32B28">
        <w:rPr>
          <w:rtl/>
        </w:rPr>
        <w:t xml:space="preserve"> </w:t>
      </w:r>
      <w:r w:rsidR="00F32B28" w:rsidRPr="00F32B28">
        <w:rPr>
          <w:rtl/>
        </w:rPr>
        <w:t>الطبية</w:t>
      </w:r>
      <w:r w:rsidR="00F32B28">
        <w:rPr>
          <w:rtl/>
        </w:rPr>
        <w:t xml:space="preserve"> </w:t>
      </w:r>
      <w:r w:rsidR="00F32B28" w:rsidRPr="00F32B28">
        <w:rPr>
          <w:rtl/>
        </w:rPr>
        <w:t>والاجتماعية</w:t>
      </w:r>
      <w:r w:rsidR="00F32B28">
        <w:rPr>
          <w:rtl/>
        </w:rPr>
        <w:t xml:space="preserve"> </w:t>
      </w:r>
      <w:r w:rsidR="00F32B28" w:rsidRPr="00F32B28">
        <w:rPr>
          <w:rtl/>
        </w:rPr>
        <w:t>والسياحية</w:t>
      </w:r>
      <w:r w:rsidR="00F32B28">
        <w:rPr>
          <w:rtl/>
        </w:rPr>
        <w:t xml:space="preserve"> </w:t>
      </w:r>
      <w:r w:rsidR="00F32B28" w:rsidRPr="00F32B28">
        <w:rPr>
          <w:rtl/>
        </w:rPr>
        <w:t>والإعلامية</w:t>
      </w:r>
      <w:r w:rsidR="00F32B28">
        <w:rPr>
          <w:rtl/>
        </w:rPr>
        <w:t xml:space="preserve"> </w:t>
      </w:r>
      <w:r w:rsidR="00F32B28" w:rsidRPr="00F32B28">
        <w:rPr>
          <w:rtl/>
          <w:lang w:bidi="ar-SY"/>
        </w:rPr>
        <w:t>أ</w:t>
      </w:r>
      <w:r w:rsidR="00F32B28" w:rsidRPr="00F32B28">
        <w:rPr>
          <w:rtl/>
        </w:rPr>
        <w:t>و</w:t>
      </w:r>
      <w:r w:rsidR="00F32B28">
        <w:rPr>
          <w:rtl/>
        </w:rPr>
        <w:t xml:space="preserve"> </w:t>
      </w:r>
      <w:r w:rsidR="00F32B28" w:rsidRPr="00F32B28">
        <w:rPr>
          <w:rtl/>
        </w:rPr>
        <w:t>الضرورية</w:t>
      </w:r>
      <w:r w:rsidR="00F32B28">
        <w:rPr>
          <w:rtl/>
        </w:rPr>
        <w:t xml:space="preserve"> </w:t>
      </w:r>
      <w:r w:rsidR="00F32B28" w:rsidRPr="00F32B28">
        <w:rPr>
          <w:rtl/>
        </w:rPr>
        <w:t>وبشرط</w:t>
      </w:r>
      <w:r w:rsidR="00F32B28">
        <w:rPr>
          <w:rtl/>
        </w:rPr>
        <w:t xml:space="preserve"> </w:t>
      </w:r>
      <w:r w:rsidR="00F32B28" w:rsidRPr="00F32B28">
        <w:rPr>
          <w:rtl/>
        </w:rPr>
        <w:t>تأمين</w:t>
      </w:r>
      <w:r w:rsidR="00F32B28">
        <w:rPr>
          <w:rtl/>
        </w:rPr>
        <w:t xml:space="preserve"> </w:t>
      </w:r>
      <w:r w:rsidR="00F32B28" w:rsidRPr="00F32B28">
        <w:rPr>
          <w:rtl/>
        </w:rPr>
        <w:t>كافة</w:t>
      </w:r>
      <w:r w:rsidR="00F32B28">
        <w:rPr>
          <w:rtl/>
        </w:rPr>
        <w:t xml:space="preserve"> </w:t>
      </w:r>
      <w:r w:rsidR="00F32B28" w:rsidRPr="00F32B28">
        <w:rPr>
          <w:rtl/>
        </w:rPr>
        <w:t>ضمانات</w:t>
      </w:r>
      <w:r w:rsidR="00F32B28">
        <w:rPr>
          <w:rtl/>
        </w:rPr>
        <w:t xml:space="preserve"> </w:t>
      </w:r>
      <w:r w:rsidR="00F32B28" w:rsidRPr="00F32B28">
        <w:rPr>
          <w:rtl/>
        </w:rPr>
        <w:t>الحماية</w:t>
      </w:r>
      <w:r w:rsidR="00F32B28">
        <w:rPr>
          <w:rtl/>
        </w:rPr>
        <w:t xml:space="preserve"> </w:t>
      </w:r>
      <w:r w:rsidR="00F32B28" w:rsidRPr="00F32B28">
        <w:rPr>
          <w:rtl/>
        </w:rPr>
        <w:t>والانتقال</w:t>
      </w:r>
      <w:r w:rsidR="00F32B28">
        <w:rPr>
          <w:rtl/>
        </w:rPr>
        <w:t xml:space="preserve"> </w:t>
      </w:r>
      <w:r w:rsidR="00F32B28" w:rsidRPr="00F32B28">
        <w:rPr>
          <w:rtl/>
        </w:rPr>
        <w:t>لهن.</w:t>
      </w:r>
    </w:p>
    <w:p w:rsidR="00F32B28" w:rsidRPr="00F32B28" w:rsidRDefault="00D652E9" w:rsidP="00D652E9">
      <w:pPr>
        <w:pStyle w:val="SingleTxt"/>
        <w:rPr>
          <w:rtl/>
        </w:rPr>
      </w:pPr>
      <w:r>
        <w:rPr>
          <w:rFonts w:hint="cs"/>
          <w:rtl/>
        </w:rPr>
        <w:t xml:space="preserve">204 - </w:t>
      </w:r>
      <w:r w:rsidR="00F32B28" w:rsidRPr="00F32B28">
        <w:rPr>
          <w:rtl/>
        </w:rPr>
        <w:t>وبخصوص</w:t>
      </w:r>
      <w:r w:rsidR="00F32B28">
        <w:rPr>
          <w:rtl/>
        </w:rPr>
        <w:t xml:space="preserve"> </w:t>
      </w:r>
      <w:r w:rsidR="00F32B28" w:rsidRPr="00F32B28">
        <w:rPr>
          <w:rtl/>
        </w:rPr>
        <w:t>تقييم</w:t>
      </w:r>
      <w:r w:rsidR="00F32B28">
        <w:rPr>
          <w:rtl/>
        </w:rPr>
        <w:t xml:space="preserve"> </w:t>
      </w:r>
      <w:r w:rsidR="00F32B28" w:rsidRPr="00F32B28">
        <w:rPr>
          <w:rtl/>
        </w:rPr>
        <w:t>نوعية</w:t>
      </w:r>
      <w:r w:rsidR="00F32B28">
        <w:rPr>
          <w:rtl/>
        </w:rPr>
        <w:t xml:space="preserve"> </w:t>
      </w:r>
      <w:r w:rsidR="00F32B28" w:rsidRPr="00F32B28">
        <w:rPr>
          <w:rtl/>
        </w:rPr>
        <w:t>العمل،</w:t>
      </w:r>
      <w:r w:rsidR="00F32B28">
        <w:rPr>
          <w:rtl/>
        </w:rPr>
        <w:t xml:space="preserve"> </w:t>
      </w:r>
      <w:r w:rsidR="00F32B28" w:rsidRPr="00F32B28">
        <w:rPr>
          <w:rtl/>
        </w:rPr>
        <w:t>تخضع</w:t>
      </w:r>
      <w:r w:rsidR="00F32B28">
        <w:rPr>
          <w:rtl/>
        </w:rPr>
        <w:t xml:space="preserve"> </w:t>
      </w:r>
      <w:r w:rsidR="00F32B28" w:rsidRPr="00F32B28">
        <w:rPr>
          <w:rtl/>
        </w:rPr>
        <w:t>النساء</w:t>
      </w:r>
      <w:r w:rsidR="00F32B28">
        <w:rPr>
          <w:rtl/>
        </w:rPr>
        <w:t xml:space="preserve"> </w:t>
      </w:r>
      <w:r w:rsidR="00F32B28" w:rsidRPr="00F32B28">
        <w:rPr>
          <w:rtl/>
        </w:rPr>
        <w:t>العاملات/الموظفات</w:t>
      </w:r>
      <w:r w:rsidR="00F32B28">
        <w:rPr>
          <w:rtl/>
        </w:rPr>
        <w:t xml:space="preserve"> </w:t>
      </w:r>
      <w:r w:rsidR="00F32B28" w:rsidRPr="00F32B28">
        <w:rPr>
          <w:rtl/>
        </w:rPr>
        <w:t>لذات</w:t>
      </w:r>
      <w:r w:rsidR="00F32B28">
        <w:rPr>
          <w:rtl/>
        </w:rPr>
        <w:t xml:space="preserve"> </w:t>
      </w:r>
      <w:r w:rsidR="00F32B28" w:rsidRPr="00F32B28">
        <w:rPr>
          <w:rtl/>
        </w:rPr>
        <w:t>الضوابط</w:t>
      </w:r>
      <w:r w:rsidR="00F32B28">
        <w:rPr>
          <w:rtl/>
        </w:rPr>
        <w:t xml:space="preserve"> </w:t>
      </w:r>
      <w:r w:rsidR="00F32B28" w:rsidRPr="00F32B28">
        <w:rPr>
          <w:rtl/>
        </w:rPr>
        <w:t>والإجراءات</w:t>
      </w:r>
      <w:r w:rsidR="00F32B28">
        <w:rPr>
          <w:rtl/>
        </w:rPr>
        <w:t xml:space="preserve"> </w:t>
      </w:r>
      <w:r w:rsidR="00F32B28" w:rsidRPr="00F32B28">
        <w:rPr>
          <w:rtl/>
        </w:rPr>
        <w:t>التي</w:t>
      </w:r>
      <w:r w:rsidR="00F32B28">
        <w:rPr>
          <w:rtl/>
        </w:rPr>
        <w:t xml:space="preserve"> </w:t>
      </w:r>
      <w:r w:rsidR="00F32B28" w:rsidRPr="00F32B28">
        <w:rPr>
          <w:rtl/>
        </w:rPr>
        <w:t>يخضع</w:t>
      </w:r>
      <w:r w:rsidR="00F32B28">
        <w:rPr>
          <w:rtl/>
        </w:rPr>
        <w:t xml:space="preserve"> </w:t>
      </w:r>
      <w:r w:rsidR="00F32B28" w:rsidRPr="00F32B28">
        <w:rPr>
          <w:rtl/>
        </w:rPr>
        <w:t>لها</w:t>
      </w:r>
      <w:r w:rsidR="00F32B28">
        <w:rPr>
          <w:rtl/>
        </w:rPr>
        <w:t xml:space="preserve"> </w:t>
      </w:r>
      <w:r w:rsidR="00F32B28" w:rsidRPr="00F32B28">
        <w:rPr>
          <w:rtl/>
        </w:rPr>
        <w:t>الرجال</w:t>
      </w:r>
      <w:r w:rsidR="00F32B28">
        <w:rPr>
          <w:rtl/>
        </w:rPr>
        <w:t xml:space="preserve"> </w:t>
      </w:r>
      <w:r w:rsidR="00F32B28" w:rsidRPr="00F32B28">
        <w:rPr>
          <w:rtl/>
        </w:rPr>
        <w:t>العاملون/الموظفون</w:t>
      </w:r>
      <w:r w:rsidR="00F32B28">
        <w:rPr>
          <w:rtl/>
        </w:rPr>
        <w:t xml:space="preserve"> </w:t>
      </w:r>
      <w:r w:rsidR="00F32B28" w:rsidRPr="00F32B28">
        <w:rPr>
          <w:rtl/>
        </w:rPr>
        <w:t>المتعلقة</w:t>
      </w:r>
      <w:r w:rsidR="00F32B28">
        <w:rPr>
          <w:rtl/>
        </w:rPr>
        <w:t xml:space="preserve"> </w:t>
      </w:r>
      <w:r w:rsidR="00F32B28" w:rsidRPr="00F32B28">
        <w:rPr>
          <w:rtl/>
        </w:rPr>
        <w:t>بتقييم</w:t>
      </w:r>
      <w:r w:rsidR="00F32B28">
        <w:rPr>
          <w:rtl/>
        </w:rPr>
        <w:t xml:space="preserve"> </w:t>
      </w:r>
      <w:r w:rsidR="00F32B28" w:rsidRPr="00F32B28">
        <w:rPr>
          <w:rtl/>
        </w:rPr>
        <w:t>الأداء</w:t>
      </w:r>
      <w:r w:rsidR="00F32B28">
        <w:rPr>
          <w:rtl/>
        </w:rPr>
        <w:t xml:space="preserve"> </w:t>
      </w:r>
      <w:r w:rsidR="00F32B28" w:rsidRPr="00F32B28">
        <w:rPr>
          <w:rtl/>
        </w:rPr>
        <w:t>الوظيفي</w:t>
      </w:r>
      <w:r w:rsidR="00F32B28">
        <w:rPr>
          <w:rtl/>
        </w:rPr>
        <w:t xml:space="preserve"> </w:t>
      </w:r>
      <w:r w:rsidR="00F32B28" w:rsidRPr="00F32B28">
        <w:rPr>
          <w:rtl/>
        </w:rPr>
        <w:t>الذي</w:t>
      </w:r>
      <w:r w:rsidR="00F32B28">
        <w:rPr>
          <w:rtl/>
        </w:rPr>
        <w:t xml:space="preserve"> </w:t>
      </w:r>
      <w:r w:rsidR="00F32B28" w:rsidRPr="00F32B28">
        <w:rPr>
          <w:rtl/>
        </w:rPr>
        <w:t>يُراعى</w:t>
      </w:r>
      <w:r w:rsidR="00F32B28">
        <w:rPr>
          <w:rtl/>
        </w:rPr>
        <w:t xml:space="preserve"> </w:t>
      </w:r>
      <w:r w:rsidR="00F32B28" w:rsidRPr="00F32B28">
        <w:rPr>
          <w:rtl/>
        </w:rPr>
        <w:t>فيه</w:t>
      </w:r>
      <w:r w:rsidR="00F32B28">
        <w:rPr>
          <w:rtl/>
        </w:rPr>
        <w:t xml:space="preserve"> </w:t>
      </w:r>
      <w:r w:rsidR="00F32B28" w:rsidRPr="00F32B28">
        <w:rPr>
          <w:rtl/>
        </w:rPr>
        <w:t>الإنجاز</w:t>
      </w:r>
      <w:r w:rsidR="00F32B28">
        <w:rPr>
          <w:rtl/>
        </w:rPr>
        <w:t xml:space="preserve"> </w:t>
      </w:r>
      <w:r w:rsidR="00F32B28" w:rsidRPr="00F32B28">
        <w:rPr>
          <w:rtl/>
        </w:rPr>
        <w:t>للواجبات</w:t>
      </w:r>
      <w:r w:rsidR="00F32B28">
        <w:rPr>
          <w:rtl/>
        </w:rPr>
        <w:t xml:space="preserve"> </w:t>
      </w:r>
      <w:r w:rsidR="00F32B28" w:rsidRPr="00F32B28">
        <w:rPr>
          <w:rtl/>
        </w:rPr>
        <w:t>على</w:t>
      </w:r>
      <w:r w:rsidR="00F32B28">
        <w:rPr>
          <w:rtl/>
        </w:rPr>
        <w:t xml:space="preserve"> </w:t>
      </w:r>
      <w:r w:rsidR="00F32B28" w:rsidRPr="00F32B28">
        <w:rPr>
          <w:rtl/>
        </w:rPr>
        <w:t>ضوء</w:t>
      </w:r>
      <w:r w:rsidR="00F32B28">
        <w:rPr>
          <w:rtl/>
        </w:rPr>
        <w:t xml:space="preserve"> </w:t>
      </w:r>
      <w:r w:rsidR="00F32B28" w:rsidRPr="00F32B28">
        <w:rPr>
          <w:rtl/>
        </w:rPr>
        <w:t>المستويات</w:t>
      </w:r>
      <w:r w:rsidR="00F32B28">
        <w:rPr>
          <w:rtl/>
        </w:rPr>
        <w:t xml:space="preserve"> </w:t>
      </w:r>
      <w:r w:rsidR="00F32B28" w:rsidRPr="00F32B28">
        <w:rPr>
          <w:rtl/>
        </w:rPr>
        <w:t>المنتظرة</w:t>
      </w:r>
      <w:r w:rsidR="00F32B28">
        <w:rPr>
          <w:rtl/>
        </w:rPr>
        <w:t xml:space="preserve"> </w:t>
      </w:r>
      <w:r w:rsidR="00F32B28" w:rsidRPr="00F32B28">
        <w:rPr>
          <w:rtl/>
        </w:rPr>
        <w:t>من</w:t>
      </w:r>
      <w:r w:rsidR="00F32B28">
        <w:rPr>
          <w:rtl/>
        </w:rPr>
        <w:t xml:space="preserve"> </w:t>
      </w:r>
      <w:r w:rsidR="00F32B28" w:rsidRPr="00F32B28">
        <w:rPr>
          <w:rtl/>
        </w:rPr>
        <w:t>شاغل</w:t>
      </w:r>
      <w:r w:rsidR="00F32B28">
        <w:rPr>
          <w:rtl/>
        </w:rPr>
        <w:t xml:space="preserve"> </w:t>
      </w:r>
      <w:r w:rsidR="00F32B28" w:rsidRPr="00F32B28">
        <w:rPr>
          <w:rtl/>
        </w:rPr>
        <w:t>الوظيفة</w:t>
      </w:r>
      <w:r w:rsidR="00F32B28">
        <w:rPr>
          <w:rtl/>
        </w:rPr>
        <w:t xml:space="preserve"> </w:t>
      </w:r>
      <w:r w:rsidR="00F32B28" w:rsidRPr="00F32B28">
        <w:rPr>
          <w:rtl/>
        </w:rPr>
        <w:t>كما</w:t>
      </w:r>
      <w:r w:rsidR="00F32B28">
        <w:rPr>
          <w:rtl/>
        </w:rPr>
        <w:t xml:space="preserve"> </w:t>
      </w:r>
      <w:r w:rsidR="00F32B28" w:rsidRPr="00F32B28">
        <w:rPr>
          <w:rtl/>
        </w:rPr>
        <w:t>ونوعاً،</w:t>
      </w:r>
      <w:r w:rsidR="00F32B28">
        <w:rPr>
          <w:rtl/>
        </w:rPr>
        <w:t xml:space="preserve"> </w:t>
      </w:r>
      <w:r w:rsidR="00F32B28" w:rsidRPr="00F32B28">
        <w:rPr>
          <w:rtl/>
        </w:rPr>
        <w:t>وتقييم</w:t>
      </w:r>
      <w:r w:rsidR="00F32B28">
        <w:rPr>
          <w:rtl/>
        </w:rPr>
        <w:t xml:space="preserve"> </w:t>
      </w:r>
      <w:r w:rsidR="00F32B28" w:rsidRPr="00F32B28">
        <w:rPr>
          <w:rtl/>
        </w:rPr>
        <w:t>أساليب</w:t>
      </w:r>
      <w:r w:rsidR="00F32B28">
        <w:rPr>
          <w:rtl/>
        </w:rPr>
        <w:t xml:space="preserve"> </w:t>
      </w:r>
      <w:r w:rsidR="00F32B28" w:rsidRPr="00F32B28">
        <w:rPr>
          <w:rtl/>
        </w:rPr>
        <w:t>العمل</w:t>
      </w:r>
      <w:r w:rsidR="00F32B28">
        <w:rPr>
          <w:rtl/>
        </w:rPr>
        <w:t xml:space="preserve"> </w:t>
      </w:r>
      <w:r w:rsidR="00F32B28" w:rsidRPr="00F32B28">
        <w:rPr>
          <w:rtl/>
        </w:rPr>
        <w:t>من</w:t>
      </w:r>
      <w:r w:rsidR="00F32B28">
        <w:rPr>
          <w:rtl/>
        </w:rPr>
        <w:t xml:space="preserve"> </w:t>
      </w:r>
      <w:r w:rsidR="00F32B28" w:rsidRPr="00F32B28">
        <w:rPr>
          <w:rtl/>
        </w:rPr>
        <w:t>حيث</w:t>
      </w:r>
      <w:r w:rsidR="00F32B28">
        <w:rPr>
          <w:rtl/>
        </w:rPr>
        <w:t xml:space="preserve"> </w:t>
      </w:r>
      <w:r w:rsidR="00F32B28" w:rsidRPr="00F32B28">
        <w:rPr>
          <w:rtl/>
        </w:rPr>
        <w:t>المواظبة</w:t>
      </w:r>
      <w:r w:rsidR="00F32B28">
        <w:rPr>
          <w:rtl/>
        </w:rPr>
        <w:t xml:space="preserve"> </w:t>
      </w:r>
      <w:r w:rsidR="00F32B28" w:rsidRPr="00F32B28">
        <w:rPr>
          <w:rtl/>
        </w:rPr>
        <w:t>والسلوك</w:t>
      </w:r>
      <w:r w:rsidR="00F32B28">
        <w:rPr>
          <w:rtl/>
        </w:rPr>
        <w:t xml:space="preserve"> </w:t>
      </w:r>
      <w:r w:rsidR="00F32B28" w:rsidRPr="00F32B28">
        <w:rPr>
          <w:rtl/>
        </w:rPr>
        <w:t>الشخصي</w:t>
      </w:r>
      <w:r w:rsidR="00F32B28">
        <w:rPr>
          <w:rtl/>
        </w:rPr>
        <w:t xml:space="preserve"> </w:t>
      </w:r>
      <w:r w:rsidR="00F32B28" w:rsidRPr="00F32B28">
        <w:rPr>
          <w:rtl/>
        </w:rPr>
        <w:t>والصفات</w:t>
      </w:r>
      <w:r w:rsidR="00F32B28">
        <w:rPr>
          <w:rtl/>
        </w:rPr>
        <w:t xml:space="preserve"> </w:t>
      </w:r>
      <w:r w:rsidR="00F32B28" w:rsidRPr="00F32B28">
        <w:rPr>
          <w:rtl/>
        </w:rPr>
        <w:t>الذاتية</w:t>
      </w:r>
      <w:r w:rsidR="00F32B28">
        <w:rPr>
          <w:rtl/>
        </w:rPr>
        <w:t xml:space="preserve"> </w:t>
      </w:r>
      <w:r w:rsidR="00F32B28" w:rsidRPr="00F32B28">
        <w:rPr>
          <w:rtl/>
        </w:rPr>
        <w:t>التي</w:t>
      </w:r>
      <w:r w:rsidR="00F32B28">
        <w:rPr>
          <w:rtl/>
        </w:rPr>
        <w:t xml:space="preserve"> </w:t>
      </w:r>
      <w:r w:rsidR="00F32B28" w:rsidRPr="00F32B28">
        <w:rPr>
          <w:rtl/>
        </w:rPr>
        <w:t>يمارس</w:t>
      </w:r>
      <w:r w:rsidR="00F32B28">
        <w:rPr>
          <w:rtl/>
        </w:rPr>
        <w:t xml:space="preserve"> </w:t>
      </w:r>
      <w:r w:rsidR="00F32B28" w:rsidRPr="00F32B28">
        <w:rPr>
          <w:rtl/>
        </w:rPr>
        <w:t>في</w:t>
      </w:r>
      <w:r w:rsidR="00F32B28">
        <w:rPr>
          <w:rtl/>
        </w:rPr>
        <w:t xml:space="preserve"> </w:t>
      </w:r>
      <w:r w:rsidR="00F32B28" w:rsidRPr="00F32B28">
        <w:rPr>
          <w:rtl/>
        </w:rPr>
        <w:t>ظلها</w:t>
      </w:r>
      <w:r w:rsidR="00F32B28">
        <w:rPr>
          <w:rtl/>
        </w:rPr>
        <w:t xml:space="preserve"> </w:t>
      </w:r>
      <w:r w:rsidR="00F32B28" w:rsidRPr="00F32B28">
        <w:rPr>
          <w:rtl/>
        </w:rPr>
        <w:t>الصلاحيات</w:t>
      </w:r>
      <w:r w:rsidR="00F32B28">
        <w:rPr>
          <w:rtl/>
        </w:rPr>
        <w:t xml:space="preserve"> </w:t>
      </w:r>
      <w:r w:rsidR="00F32B28" w:rsidRPr="00F32B28">
        <w:rPr>
          <w:rtl/>
        </w:rPr>
        <w:t>واتخاذ</w:t>
      </w:r>
      <w:r w:rsidR="00F32B28">
        <w:rPr>
          <w:rtl/>
        </w:rPr>
        <w:t xml:space="preserve"> </w:t>
      </w:r>
      <w:r w:rsidR="00F32B28" w:rsidRPr="00F32B28">
        <w:rPr>
          <w:rtl/>
        </w:rPr>
        <w:t>القرارات.</w:t>
      </w:r>
    </w:p>
    <w:p w:rsidR="00F32B28" w:rsidRPr="00F32B28" w:rsidRDefault="00D652E9" w:rsidP="00D652E9">
      <w:pPr>
        <w:pStyle w:val="SingleTxt"/>
        <w:rPr>
          <w:rtl/>
        </w:rPr>
      </w:pPr>
      <w:r>
        <w:rPr>
          <w:rFonts w:hint="cs"/>
          <w:rtl/>
        </w:rPr>
        <w:t xml:space="preserve">205 - </w:t>
      </w:r>
      <w:r w:rsidR="00F32B28" w:rsidRPr="00F32B28">
        <w:rPr>
          <w:rtl/>
        </w:rPr>
        <w:t>كما</w:t>
      </w:r>
      <w:r w:rsidR="00F32B28">
        <w:rPr>
          <w:rtl/>
        </w:rPr>
        <w:t xml:space="preserve"> </w:t>
      </w:r>
      <w:r w:rsidR="00F32B28" w:rsidRPr="00F32B28">
        <w:rPr>
          <w:rtl/>
        </w:rPr>
        <w:t>أن</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الترقي</w:t>
      </w:r>
      <w:r w:rsidR="00F32B28">
        <w:rPr>
          <w:rtl/>
        </w:rPr>
        <w:t xml:space="preserve"> </w:t>
      </w:r>
      <w:r w:rsidR="00F32B28" w:rsidRPr="00F32B28">
        <w:rPr>
          <w:rtl/>
        </w:rPr>
        <w:t>والأمن</w:t>
      </w:r>
      <w:r w:rsidR="00F32B28">
        <w:rPr>
          <w:rtl/>
        </w:rPr>
        <w:t xml:space="preserve"> </w:t>
      </w:r>
      <w:r w:rsidR="00F32B28" w:rsidRPr="00F32B28">
        <w:rPr>
          <w:rtl/>
        </w:rPr>
        <w:t>الوظيفي</w:t>
      </w:r>
      <w:r w:rsidR="00F32B28">
        <w:rPr>
          <w:rtl/>
        </w:rPr>
        <w:t xml:space="preserve"> </w:t>
      </w:r>
      <w:r w:rsidR="00F32B28" w:rsidRPr="00F32B28">
        <w:rPr>
          <w:rtl/>
        </w:rPr>
        <w:t>للنساء</w:t>
      </w:r>
      <w:r w:rsidR="00F32B28">
        <w:rPr>
          <w:rtl/>
        </w:rPr>
        <w:t xml:space="preserve"> </w:t>
      </w:r>
      <w:r w:rsidR="00F32B28" w:rsidRPr="00F32B28">
        <w:rPr>
          <w:rtl/>
        </w:rPr>
        <w:t>العاملات/الموظفات</w:t>
      </w:r>
      <w:r w:rsidR="00F32B28">
        <w:rPr>
          <w:rtl/>
        </w:rPr>
        <w:t xml:space="preserve"> </w:t>
      </w:r>
      <w:r w:rsidR="00F32B28" w:rsidRPr="00F32B28">
        <w:rPr>
          <w:rtl/>
        </w:rPr>
        <w:t>مكفول</w:t>
      </w:r>
      <w:r w:rsidR="00F32B28">
        <w:rPr>
          <w:rtl/>
        </w:rPr>
        <w:t xml:space="preserve"> </w:t>
      </w:r>
      <w:r w:rsidR="00F32B28" w:rsidRPr="00F32B28">
        <w:rPr>
          <w:rtl/>
        </w:rPr>
        <w:t>بموجب</w:t>
      </w:r>
      <w:r w:rsidR="00F32B28">
        <w:rPr>
          <w:rtl/>
        </w:rPr>
        <w:t xml:space="preserve"> </w:t>
      </w:r>
      <w:r w:rsidR="00F32B28" w:rsidRPr="00F32B28">
        <w:rPr>
          <w:rtl/>
        </w:rPr>
        <w:t>قانوني</w:t>
      </w:r>
      <w:r w:rsidR="00F32B28">
        <w:rPr>
          <w:rtl/>
        </w:rPr>
        <w:t xml:space="preserve"> </w:t>
      </w:r>
      <w:r w:rsidR="00F32B28" w:rsidRPr="00F32B28">
        <w:rPr>
          <w:rtl/>
        </w:rPr>
        <w:t>الخدمة</w:t>
      </w:r>
      <w:r w:rsidR="00F32B28">
        <w:rPr>
          <w:rtl/>
        </w:rPr>
        <w:t xml:space="preserve"> </w:t>
      </w:r>
      <w:r w:rsidR="00F32B28" w:rsidRPr="00F32B28">
        <w:rPr>
          <w:rtl/>
        </w:rPr>
        <w:t>المدنية</w:t>
      </w:r>
      <w:r w:rsidR="00F32B28">
        <w:rPr>
          <w:rtl/>
        </w:rPr>
        <w:t xml:space="preserve"> </w:t>
      </w:r>
      <w:r w:rsidR="00F32B28" w:rsidRPr="00F32B28">
        <w:rPr>
          <w:rtl/>
        </w:rPr>
        <w:t>والعمل؛</w:t>
      </w:r>
      <w:r w:rsidR="00F32B28">
        <w:rPr>
          <w:rtl/>
        </w:rPr>
        <w:t xml:space="preserve"> </w:t>
      </w:r>
      <w:r w:rsidR="00F32B28" w:rsidRPr="00F32B28">
        <w:rPr>
          <w:rtl/>
        </w:rPr>
        <w:t>حيث</w:t>
      </w:r>
      <w:r w:rsidR="00F32B28">
        <w:rPr>
          <w:rtl/>
        </w:rPr>
        <w:t xml:space="preserve"> </w:t>
      </w:r>
      <w:r w:rsidR="00F32B28" w:rsidRPr="00F32B28">
        <w:rPr>
          <w:rtl/>
        </w:rPr>
        <w:t>أن</w:t>
      </w:r>
      <w:r w:rsidR="00F32B28">
        <w:rPr>
          <w:rtl/>
        </w:rPr>
        <w:t xml:space="preserve"> </w:t>
      </w:r>
      <w:r w:rsidR="00F32B28" w:rsidRPr="00F32B28">
        <w:rPr>
          <w:rtl/>
        </w:rPr>
        <w:t>الترقيات</w:t>
      </w:r>
      <w:r w:rsidR="00F32B28">
        <w:rPr>
          <w:rtl/>
        </w:rPr>
        <w:t xml:space="preserve"> </w:t>
      </w:r>
      <w:r w:rsidR="00F32B28" w:rsidRPr="00F32B28">
        <w:rPr>
          <w:rtl/>
        </w:rPr>
        <w:t>تكون</w:t>
      </w:r>
      <w:r w:rsidR="00F32B28">
        <w:rPr>
          <w:rtl/>
        </w:rPr>
        <w:t xml:space="preserve"> </w:t>
      </w:r>
      <w:r w:rsidR="00F32B28" w:rsidRPr="00F32B28">
        <w:rPr>
          <w:rtl/>
        </w:rPr>
        <w:t>وفقاً</w:t>
      </w:r>
      <w:r w:rsidR="00F32B28">
        <w:rPr>
          <w:rtl/>
        </w:rPr>
        <w:t xml:space="preserve"> </w:t>
      </w:r>
      <w:r w:rsidR="00F32B28" w:rsidRPr="00F32B28">
        <w:rPr>
          <w:rtl/>
        </w:rPr>
        <w:t>لأداء</w:t>
      </w:r>
      <w:r w:rsidR="00F32B28">
        <w:rPr>
          <w:rtl/>
        </w:rPr>
        <w:t xml:space="preserve"> </w:t>
      </w:r>
      <w:r w:rsidR="00F32B28" w:rsidRPr="00F32B28">
        <w:rPr>
          <w:rtl/>
        </w:rPr>
        <w:t>الوظيفي</w:t>
      </w:r>
      <w:r w:rsidR="00F32B28">
        <w:rPr>
          <w:rtl/>
        </w:rPr>
        <w:t xml:space="preserve"> </w:t>
      </w:r>
      <w:r w:rsidR="00F32B28" w:rsidRPr="00F32B28">
        <w:rPr>
          <w:rtl/>
        </w:rPr>
        <w:t>وتقديره،</w:t>
      </w:r>
      <w:r w:rsidR="00F32B28">
        <w:rPr>
          <w:rtl/>
        </w:rPr>
        <w:t xml:space="preserve"> </w:t>
      </w:r>
      <w:r w:rsidR="00F32B28" w:rsidRPr="00F32B28">
        <w:rPr>
          <w:rtl/>
        </w:rPr>
        <w:t>وعند</w:t>
      </w:r>
      <w:r w:rsidR="00F32B28">
        <w:rPr>
          <w:rtl/>
        </w:rPr>
        <w:t xml:space="preserve"> </w:t>
      </w:r>
      <w:r w:rsidR="00F32B28" w:rsidRPr="00F32B28">
        <w:rPr>
          <w:rtl/>
        </w:rPr>
        <w:t>التساوي</w:t>
      </w:r>
      <w:r w:rsidR="00F32B28">
        <w:rPr>
          <w:rtl/>
        </w:rPr>
        <w:t xml:space="preserve"> </w:t>
      </w:r>
      <w:r w:rsidR="00F32B28" w:rsidRPr="00F32B28">
        <w:rPr>
          <w:rtl/>
        </w:rPr>
        <w:t>تعطى</w:t>
      </w:r>
      <w:r w:rsidR="00F32B28">
        <w:rPr>
          <w:rtl/>
        </w:rPr>
        <w:t xml:space="preserve"> </w:t>
      </w:r>
      <w:r w:rsidR="00F32B28" w:rsidRPr="00F32B28">
        <w:rPr>
          <w:rtl/>
        </w:rPr>
        <w:t>الأولوية</w:t>
      </w:r>
      <w:r w:rsidR="00F32B28">
        <w:rPr>
          <w:rtl/>
        </w:rPr>
        <w:t xml:space="preserve"> </w:t>
      </w:r>
      <w:r w:rsidR="00F32B28" w:rsidRPr="00F32B28">
        <w:rPr>
          <w:rtl/>
        </w:rPr>
        <w:t>حسب</w:t>
      </w:r>
      <w:r w:rsidR="00F32B28">
        <w:rPr>
          <w:rtl/>
        </w:rPr>
        <w:t xml:space="preserve"> </w:t>
      </w:r>
      <w:r w:rsidR="00F32B28" w:rsidRPr="00F32B28">
        <w:rPr>
          <w:rtl/>
        </w:rPr>
        <w:t>الأقدمية</w:t>
      </w:r>
      <w:r w:rsidR="00F32B28">
        <w:rPr>
          <w:rtl/>
        </w:rPr>
        <w:t xml:space="preserve"> </w:t>
      </w:r>
      <w:r w:rsidR="00F32B28" w:rsidRPr="00F32B28">
        <w:rPr>
          <w:rtl/>
        </w:rPr>
        <w:t>فيما</w:t>
      </w:r>
      <w:r w:rsidR="00F32B28">
        <w:rPr>
          <w:rtl/>
        </w:rPr>
        <w:t xml:space="preserve"> </w:t>
      </w:r>
      <w:r w:rsidR="00F32B28" w:rsidRPr="00F32B28">
        <w:rPr>
          <w:rtl/>
        </w:rPr>
        <w:t>بين</w:t>
      </w:r>
      <w:r w:rsidR="00F32B28">
        <w:rPr>
          <w:rtl/>
        </w:rPr>
        <w:t xml:space="preserve"> </w:t>
      </w:r>
      <w:r w:rsidR="00F32B28" w:rsidRPr="00F32B28">
        <w:rPr>
          <w:rtl/>
        </w:rPr>
        <w:t>المستحقين.</w:t>
      </w:r>
      <w:r w:rsidR="00F32B28">
        <w:rPr>
          <w:rtl/>
        </w:rPr>
        <w:t xml:space="preserve"> </w:t>
      </w:r>
      <w:r w:rsidR="00F32B28" w:rsidRPr="00F32B28">
        <w:rPr>
          <w:rtl/>
        </w:rPr>
        <w:t>وتكفل</w:t>
      </w:r>
      <w:r w:rsidR="00F32B28">
        <w:rPr>
          <w:rtl/>
        </w:rPr>
        <w:t xml:space="preserve"> </w:t>
      </w:r>
      <w:r w:rsidR="00F32B28" w:rsidRPr="00F32B28">
        <w:rPr>
          <w:rtl/>
        </w:rPr>
        <w:t>القوانين</w:t>
      </w:r>
      <w:r w:rsidR="00F32B28">
        <w:rPr>
          <w:rtl/>
        </w:rPr>
        <w:t xml:space="preserve"> </w:t>
      </w:r>
      <w:r w:rsidR="00F32B28" w:rsidRPr="00F32B28">
        <w:rPr>
          <w:rtl/>
        </w:rPr>
        <w:t>حق</w:t>
      </w:r>
      <w:r w:rsidR="00F32B28">
        <w:rPr>
          <w:rtl/>
        </w:rPr>
        <w:t xml:space="preserve"> </w:t>
      </w:r>
      <w:r w:rsidR="00F32B28" w:rsidRPr="00F32B28">
        <w:rPr>
          <w:rtl/>
        </w:rPr>
        <w:t>المرأة</w:t>
      </w:r>
      <w:r w:rsidR="00F32B28">
        <w:rPr>
          <w:rtl/>
        </w:rPr>
        <w:t xml:space="preserve"> </w:t>
      </w:r>
      <w:r w:rsidR="00F32B28" w:rsidRPr="00F32B28">
        <w:rPr>
          <w:rtl/>
        </w:rPr>
        <w:t>العاملة</w:t>
      </w:r>
      <w:r w:rsidR="00F32B28">
        <w:rPr>
          <w:rtl/>
        </w:rPr>
        <w:t xml:space="preserve"> </w:t>
      </w:r>
      <w:r w:rsidR="00F32B28" w:rsidRPr="00F32B28">
        <w:rPr>
          <w:rtl/>
        </w:rPr>
        <w:t>في</w:t>
      </w:r>
      <w:r w:rsidR="00F32B28">
        <w:rPr>
          <w:rtl/>
        </w:rPr>
        <w:t xml:space="preserve"> </w:t>
      </w:r>
      <w:r w:rsidR="00F32B28" w:rsidRPr="00F32B28">
        <w:rPr>
          <w:rtl/>
        </w:rPr>
        <w:t>الأمان</w:t>
      </w:r>
      <w:r w:rsidR="00F32B28">
        <w:rPr>
          <w:rtl/>
        </w:rPr>
        <w:t xml:space="preserve"> </w:t>
      </w:r>
      <w:r w:rsidR="00F32B28" w:rsidRPr="00F32B28">
        <w:rPr>
          <w:rtl/>
        </w:rPr>
        <w:t>الوظيفي</w:t>
      </w:r>
      <w:r w:rsidR="00F32B28">
        <w:rPr>
          <w:rtl/>
        </w:rPr>
        <w:t xml:space="preserve"> </w:t>
      </w:r>
      <w:r w:rsidR="00F32B28" w:rsidRPr="00F32B28">
        <w:rPr>
          <w:rtl/>
        </w:rPr>
        <w:t>وعدم</w:t>
      </w:r>
      <w:r w:rsidR="00F32B28">
        <w:rPr>
          <w:rtl/>
        </w:rPr>
        <w:t xml:space="preserve"> </w:t>
      </w:r>
      <w:r w:rsidR="00F32B28" w:rsidRPr="00F32B28">
        <w:rPr>
          <w:rtl/>
        </w:rPr>
        <w:t>التمييز</w:t>
      </w:r>
      <w:r w:rsidR="00F32B28">
        <w:rPr>
          <w:rtl/>
        </w:rPr>
        <w:t xml:space="preserve"> </w:t>
      </w:r>
      <w:r w:rsidR="00F32B28" w:rsidRPr="00F32B28">
        <w:rPr>
          <w:rtl/>
        </w:rPr>
        <w:t>ضدها</w:t>
      </w:r>
      <w:r w:rsidR="00F32B28">
        <w:rPr>
          <w:rtl/>
        </w:rPr>
        <w:t xml:space="preserve"> </w:t>
      </w:r>
      <w:r w:rsidR="00F32B28" w:rsidRPr="00F32B28">
        <w:rPr>
          <w:rtl/>
        </w:rPr>
        <w:t>بسبب</w:t>
      </w:r>
      <w:r w:rsidR="00F32B28">
        <w:rPr>
          <w:rtl/>
        </w:rPr>
        <w:t xml:space="preserve"> </w:t>
      </w:r>
      <w:r w:rsidR="00F32B28" w:rsidRPr="00F32B28">
        <w:rPr>
          <w:rtl/>
        </w:rPr>
        <w:t>الزواج</w:t>
      </w:r>
      <w:r w:rsidR="00F32B28">
        <w:rPr>
          <w:rtl/>
        </w:rPr>
        <w:t xml:space="preserve"> </w:t>
      </w:r>
      <w:r w:rsidR="00F32B28" w:rsidRPr="00F32B28">
        <w:rPr>
          <w:rtl/>
        </w:rPr>
        <w:t>والأمومة</w:t>
      </w:r>
      <w:r w:rsidR="00F32B28">
        <w:rPr>
          <w:rtl/>
        </w:rPr>
        <w:t xml:space="preserve"> </w:t>
      </w:r>
      <w:r w:rsidR="00F32B28" w:rsidRPr="00F32B28">
        <w:rPr>
          <w:rtl/>
        </w:rPr>
        <w:t>وحظر</w:t>
      </w:r>
      <w:r w:rsidR="00F32B28">
        <w:rPr>
          <w:rtl/>
        </w:rPr>
        <w:t xml:space="preserve"> </w:t>
      </w:r>
      <w:r w:rsidR="00F32B28" w:rsidRPr="00F32B28">
        <w:rPr>
          <w:rtl/>
        </w:rPr>
        <w:t>فصلها</w:t>
      </w:r>
      <w:r w:rsidR="00F32B28">
        <w:rPr>
          <w:rtl/>
        </w:rPr>
        <w:t xml:space="preserve"> </w:t>
      </w:r>
      <w:r w:rsidR="00F32B28" w:rsidRPr="00F32B28">
        <w:rPr>
          <w:rtl/>
        </w:rPr>
        <w:t>أو</w:t>
      </w:r>
      <w:r w:rsidR="00F32B28">
        <w:rPr>
          <w:rtl/>
        </w:rPr>
        <w:t xml:space="preserve"> </w:t>
      </w:r>
      <w:r w:rsidR="00F32B28" w:rsidRPr="00F32B28">
        <w:rPr>
          <w:rtl/>
        </w:rPr>
        <w:t>إيقاع</w:t>
      </w:r>
      <w:r w:rsidR="00F32B28">
        <w:rPr>
          <w:rtl/>
        </w:rPr>
        <w:t xml:space="preserve"> </w:t>
      </w:r>
      <w:r w:rsidR="00F32B28" w:rsidRPr="00F32B28">
        <w:rPr>
          <w:rtl/>
        </w:rPr>
        <w:t>أية</w:t>
      </w:r>
      <w:r w:rsidR="00F32B28">
        <w:rPr>
          <w:rtl/>
        </w:rPr>
        <w:t xml:space="preserve"> </w:t>
      </w:r>
      <w:r w:rsidR="00F32B28" w:rsidRPr="00F32B28">
        <w:rPr>
          <w:rtl/>
        </w:rPr>
        <w:t>من</w:t>
      </w:r>
      <w:r w:rsidR="00F32B28">
        <w:rPr>
          <w:rtl/>
        </w:rPr>
        <w:t xml:space="preserve"> </w:t>
      </w:r>
      <w:r w:rsidR="00F32B28" w:rsidRPr="00F32B28">
        <w:rPr>
          <w:rtl/>
        </w:rPr>
        <w:t>العقوبات</w:t>
      </w:r>
      <w:r w:rsidR="00F32B28">
        <w:rPr>
          <w:rtl/>
        </w:rPr>
        <w:t xml:space="preserve"> </w:t>
      </w:r>
      <w:r w:rsidR="00F32B28" w:rsidRPr="00F32B28">
        <w:rPr>
          <w:rtl/>
        </w:rPr>
        <w:t>التأديبية</w:t>
      </w:r>
      <w:r w:rsidR="00F32B28">
        <w:rPr>
          <w:rtl/>
        </w:rPr>
        <w:t xml:space="preserve"> </w:t>
      </w:r>
      <w:r w:rsidR="00F32B28" w:rsidRPr="00F32B28">
        <w:rPr>
          <w:rtl/>
        </w:rPr>
        <w:t>بحقها</w:t>
      </w:r>
      <w:r w:rsidR="00F32B28">
        <w:rPr>
          <w:rtl/>
        </w:rPr>
        <w:t xml:space="preserve"> </w:t>
      </w:r>
      <w:r w:rsidR="00F32B28" w:rsidRPr="00F32B28">
        <w:rPr>
          <w:rtl/>
        </w:rPr>
        <w:t>لأحدى</w:t>
      </w:r>
      <w:r w:rsidR="00F32B28">
        <w:rPr>
          <w:rtl/>
        </w:rPr>
        <w:t xml:space="preserve"> </w:t>
      </w:r>
      <w:r w:rsidR="00F32B28" w:rsidRPr="00F32B28">
        <w:rPr>
          <w:rtl/>
        </w:rPr>
        <w:t>هذه</w:t>
      </w:r>
      <w:r w:rsidR="00F32B28">
        <w:rPr>
          <w:rtl/>
        </w:rPr>
        <w:t xml:space="preserve"> </w:t>
      </w:r>
      <w:r w:rsidR="00F32B28" w:rsidRPr="00F32B28">
        <w:rPr>
          <w:rtl/>
        </w:rPr>
        <w:t>الأسباب.</w:t>
      </w:r>
    </w:p>
    <w:p w:rsidR="00F32B28" w:rsidRPr="00F32B28" w:rsidRDefault="00D652E9" w:rsidP="00D652E9">
      <w:pPr>
        <w:pStyle w:val="SingleTxt"/>
        <w:rPr>
          <w:rtl/>
        </w:rPr>
      </w:pPr>
      <w:r>
        <w:rPr>
          <w:rFonts w:hint="cs"/>
          <w:rtl/>
        </w:rPr>
        <w:t xml:space="preserve">206 - </w:t>
      </w:r>
      <w:r w:rsidR="00F32B28" w:rsidRPr="00F32B28">
        <w:rPr>
          <w:rtl/>
        </w:rPr>
        <w:t>كما</w:t>
      </w:r>
      <w:r w:rsidR="00F32B28">
        <w:rPr>
          <w:rtl/>
        </w:rPr>
        <w:t xml:space="preserve"> </w:t>
      </w:r>
      <w:r w:rsidR="00F32B28" w:rsidRPr="00F32B28">
        <w:rPr>
          <w:rtl/>
        </w:rPr>
        <w:t>تخلو</w:t>
      </w:r>
      <w:r w:rsidR="00F32B28">
        <w:rPr>
          <w:rtl/>
        </w:rPr>
        <w:t xml:space="preserve"> </w:t>
      </w:r>
      <w:r w:rsidR="00F32B28" w:rsidRPr="00F32B28">
        <w:rPr>
          <w:rtl/>
        </w:rPr>
        <w:t>النصوص</w:t>
      </w:r>
      <w:r w:rsidR="00F32B28">
        <w:rPr>
          <w:rtl/>
        </w:rPr>
        <w:t xml:space="preserve"> </w:t>
      </w:r>
      <w:r w:rsidR="00F32B28" w:rsidRPr="00F32B28">
        <w:rPr>
          <w:rtl/>
        </w:rPr>
        <w:t>القانونية</w:t>
      </w:r>
      <w:r w:rsidR="00F32B28">
        <w:rPr>
          <w:rtl/>
        </w:rPr>
        <w:t xml:space="preserve"> </w:t>
      </w:r>
      <w:r w:rsidR="00F32B28" w:rsidRPr="00F32B28">
        <w:rPr>
          <w:rtl/>
        </w:rPr>
        <w:t>من</w:t>
      </w:r>
      <w:r w:rsidR="00F32B28">
        <w:rPr>
          <w:rtl/>
        </w:rPr>
        <w:t xml:space="preserve"> </w:t>
      </w:r>
      <w:r w:rsidR="00F32B28" w:rsidRPr="00F32B28">
        <w:rPr>
          <w:rtl/>
        </w:rPr>
        <w:t>أية</w:t>
      </w:r>
      <w:r w:rsidR="00F32B28">
        <w:rPr>
          <w:rtl/>
        </w:rPr>
        <w:t xml:space="preserve"> </w:t>
      </w:r>
      <w:r w:rsidR="00F32B28" w:rsidRPr="00F32B28">
        <w:rPr>
          <w:rtl/>
        </w:rPr>
        <w:t>أحكام</w:t>
      </w:r>
      <w:r w:rsidR="00F32B28">
        <w:rPr>
          <w:rtl/>
        </w:rPr>
        <w:t xml:space="preserve"> </w:t>
      </w:r>
      <w:r w:rsidR="00F32B28" w:rsidRPr="00F32B28">
        <w:rPr>
          <w:rtl/>
        </w:rPr>
        <w:t>تمييزية</w:t>
      </w:r>
      <w:r w:rsidR="00F32B28">
        <w:rPr>
          <w:rtl/>
        </w:rPr>
        <w:t xml:space="preserve"> </w:t>
      </w:r>
      <w:r w:rsidR="00F32B28" w:rsidRPr="00F32B28">
        <w:rPr>
          <w:rtl/>
        </w:rPr>
        <w:t>ضد</w:t>
      </w:r>
      <w:r w:rsidR="00F32B28">
        <w:rPr>
          <w:rtl/>
        </w:rPr>
        <w:t xml:space="preserve"> </w:t>
      </w:r>
      <w:r w:rsidR="00F32B28" w:rsidRPr="00F32B28">
        <w:rPr>
          <w:rtl/>
        </w:rPr>
        <w:t>المرأة</w:t>
      </w:r>
      <w:r w:rsidR="00F32B28">
        <w:rPr>
          <w:rtl/>
        </w:rPr>
        <w:t xml:space="preserve"> </w:t>
      </w:r>
      <w:r w:rsidR="00F32B28" w:rsidRPr="00F32B28">
        <w:rPr>
          <w:rtl/>
        </w:rPr>
        <w:t>بخصوص</w:t>
      </w:r>
      <w:r w:rsidR="00F32B28">
        <w:rPr>
          <w:rtl/>
        </w:rPr>
        <w:t xml:space="preserve"> </w:t>
      </w:r>
      <w:r w:rsidR="00F32B28" w:rsidRPr="00F32B28">
        <w:rPr>
          <w:rtl/>
        </w:rPr>
        <w:t>حقها</w:t>
      </w:r>
      <w:r w:rsidR="00F32B28">
        <w:rPr>
          <w:rtl/>
        </w:rPr>
        <w:t xml:space="preserve"> </w:t>
      </w:r>
      <w:r w:rsidR="00F32B28" w:rsidRPr="00F32B28">
        <w:rPr>
          <w:rtl/>
        </w:rPr>
        <w:t>في</w:t>
      </w:r>
      <w:r w:rsidR="00F32B28">
        <w:rPr>
          <w:rtl/>
        </w:rPr>
        <w:t xml:space="preserve"> </w:t>
      </w:r>
      <w:r w:rsidR="00F32B28" w:rsidRPr="00F32B28">
        <w:rPr>
          <w:rtl/>
        </w:rPr>
        <w:t>تلقي</w:t>
      </w:r>
      <w:r w:rsidR="00F32B28">
        <w:rPr>
          <w:rtl/>
        </w:rPr>
        <w:t xml:space="preserve"> </w:t>
      </w:r>
      <w:r w:rsidR="00F32B28" w:rsidRPr="00F32B28">
        <w:rPr>
          <w:rtl/>
        </w:rPr>
        <w:t>التدريب</w:t>
      </w:r>
      <w:r w:rsidR="00F32B28">
        <w:rPr>
          <w:rtl/>
        </w:rPr>
        <w:t xml:space="preserve"> </w:t>
      </w:r>
      <w:r w:rsidR="00F32B28" w:rsidRPr="00F32B28">
        <w:rPr>
          <w:rtl/>
        </w:rPr>
        <w:t>المهني،</w:t>
      </w:r>
      <w:r w:rsidR="00F32B28">
        <w:rPr>
          <w:rtl/>
        </w:rPr>
        <w:t xml:space="preserve"> </w:t>
      </w:r>
      <w:r w:rsidR="00F32B28" w:rsidRPr="00F32B28">
        <w:rPr>
          <w:rtl/>
        </w:rPr>
        <w:t>فقانون</w:t>
      </w:r>
      <w:r w:rsidR="00F32B28">
        <w:rPr>
          <w:rtl/>
        </w:rPr>
        <w:t xml:space="preserve"> </w:t>
      </w:r>
      <w:r w:rsidR="00F32B28" w:rsidRPr="00F32B28">
        <w:rPr>
          <w:rtl/>
        </w:rPr>
        <w:t>العمل</w:t>
      </w:r>
      <w:r w:rsidR="00F32B28">
        <w:rPr>
          <w:rtl/>
        </w:rPr>
        <w:t xml:space="preserve"> </w:t>
      </w:r>
      <w:r w:rsidR="00F32B28" w:rsidRPr="00F32B28">
        <w:rPr>
          <w:rtl/>
        </w:rPr>
        <w:t>على</w:t>
      </w:r>
      <w:r w:rsidR="00F32B28">
        <w:rPr>
          <w:rtl/>
        </w:rPr>
        <w:t xml:space="preserve"> </w:t>
      </w:r>
      <w:r w:rsidR="00F32B28" w:rsidRPr="00F32B28">
        <w:rPr>
          <w:rtl/>
        </w:rPr>
        <w:t>سبيل</w:t>
      </w:r>
      <w:r w:rsidR="00F32B28">
        <w:rPr>
          <w:rtl/>
        </w:rPr>
        <w:t xml:space="preserve"> </w:t>
      </w:r>
      <w:r w:rsidR="00F32B28" w:rsidRPr="00F32B28">
        <w:rPr>
          <w:rtl/>
        </w:rPr>
        <w:t>المثال،</w:t>
      </w:r>
      <w:r w:rsidR="00F32B28">
        <w:rPr>
          <w:rtl/>
        </w:rPr>
        <w:t xml:space="preserve"> </w:t>
      </w:r>
      <w:r w:rsidR="00F32B28" w:rsidRPr="00F32B28">
        <w:rPr>
          <w:rtl/>
        </w:rPr>
        <w:t>ألزم</w:t>
      </w:r>
      <w:r w:rsidR="00F32B28">
        <w:rPr>
          <w:rtl/>
        </w:rPr>
        <w:t xml:space="preserve"> </w:t>
      </w:r>
      <w:r w:rsidR="00F32B28" w:rsidRPr="00F32B28">
        <w:rPr>
          <w:rtl/>
        </w:rPr>
        <w:t>وزارة</w:t>
      </w:r>
      <w:r w:rsidR="00F32B28">
        <w:rPr>
          <w:rtl/>
        </w:rPr>
        <w:t xml:space="preserve"> </w:t>
      </w:r>
      <w:r w:rsidR="00F32B28" w:rsidRPr="00F32B28">
        <w:rPr>
          <w:rtl/>
        </w:rPr>
        <w:t>العمل</w:t>
      </w:r>
      <w:r w:rsidR="00F32B28">
        <w:rPr>
          <w:rtl/>
        </w:rPr>
        <w:t xml:space="preserve"> </w:t>
      </w:r>
      <w:r w:rsidR="00F32B28" w:rsidRPr="00F32B28">
        <w:rPr>
          <w:rtl/>
        </w:rPr>
        <w:t>بوضع</w:t>
      </w:r>
      <w:r w:rsidR="00F32B28">
        <w:rPr>
          <w:rtl/>
        </w:rPr>
        <w:t xml:space="preserve"> </w:t>
      </w:r>
      <w:r w:rsidR="00F32B28" w:rsidRPr="00F32B28">
        <w:rPr>
          <w:rtl/>
        </w:rPr>
        <w:t>وتطبيق</w:t>
      </w:r>
      <w:r w:rsidR="00F32B28">
        <w:rPr>
          <w:rtl/>
        </w:rPr>
        <w:t xml:space="preserve"> </w:t>
      </w:r>
      <w:r w:rsidR="00F32B28" w:rsidRPr="00F32B28">
        <w:rPr>
          <w:rtl/>
        </w:rPr>
        <w:t>سياسات</w:t>
      </w:r>
      <w:r w:rsidR="00F32B28">
        <w:rPr>
          <w:rtl/>
        </w:rPr>
        <w:t xml:space="preserve"> </w:t>
      </w:r>
      <w:r w:rsidR="00F32B28" w:rsidRPr="00F32B28">
        <w:rPr>
          <w:rtl/>
        </w:rPr>
        <w:t>التدريب</w:t>
      </w:r>
      <w:r w:rsidR="00F32B28">
        <w:rPr>
          <w:rtl/>
        </w:rPr>
        <w:t xml:space="preserve"> </w:t>
      </w:r>
      <w:r w:rsidR="00F32B28" w:rsidRPr="00F32B28">
        <w:rPr>
          <w:rtl/>
        </w:rPr>
        <w:t>المهني</w:t>
      </w:r>
      <w:r w:rsidR="00F32B28">
        <w:rPr>
          <w:rtl/>
        </w:rPr>
        <w:t xml:space="preserve"> </w:t>
      </w:r>
      <w:r w:rsidR="00F32B28" w:rsidRPr="00F32B28">
        <w:rPr>
          <w:rtl/>
        </w:rPr>
        <w:t>التي</w:t>
      </w:r>
      <w:r w:rsidR="00F32B28">
        <w:rPr>
          <w:rtl/>
        </w:rPr>
        <w:t xml:space="preserve"> </w:t>
      </w:r>
      <w:r w:rsidR="00F32B28" w:rsidRPr="00F32B28">
        <w:rPr>
          <w:rtl/>
        </w:rPr>
        <w:t>تتناسب</w:t>
      </w:r>
      <w:r w:rsidR="00F32B28">
        <w:rPr>
          <w:rtl/>
        </w:rPr>
        <w:t xml:space="preserve"> </w:t>
      </w:r>
      <w:r w:rsidR="00F32B28" w:rsidRPr="00F32B28">
        <w:rPr>
          <w:rtl/>
        </w:rPr>
        <w:t>مع</w:t>
      </w:r>
      <w:r w:rsidR="00F32B28">
        <w:rPr>
          <w:rtl/>
        </w:rPr>
        <w:t xml:space="preserve"> </w:t>
      </w:r>
      <w:r w:rsidR="00F32B28" w:rsidRPr="00F32B28">
        <w:rPr>
          <w:rtl/>
        </w:rPr>
        <w:t>مهارات</w:t>
      </w:r>
      <w:r w:rsidR="00F32B28">
        <w:rPr>
          <w:rtl/>
        </w:rPr>
        <w:t xml:space="preserve"> </w:t>
      </w:r>
      <w:r w:rsidR="00F32B28" w:rsidRPr="00F32B28">
        <w:rPr>
          <w:rtl/>
        </w:rPr>
        <w:t>العمال</w:t>
      </w:r>
      <w:r w:rsidR="00F32B28">
        <w:rPr>
          <w:rtl/>
        </w:rPr>
        <w:t xml:space="preserve"> </w:t>
      </w:r>
      <w:r w:rsidR="00F32B28" w:rsidRPr="00F32B28">
        <w:rPr>
          <w:rtl/>
        </w:rPr>
        <w:t>والعاملات</w:t>
      </w:r>
      <w:r w:rsidR="00F32B28">
        <w:rPr>
          <w:rtl/>
        </w:rPr>
        <w:t xml:space="preserve"> </w:t>
      </w:r>
      <w:r w:rsidR="00F32B28" w:rsidRPr="00F32B28">
        <w:rPr>
          <w:rtl/>
        </w:rPr>
        <w:t>وميولهم</w:t>
      </w:r>
      <w:r w:rsidR="00F32B28">
        <w:rPr>
          <w:rtl/>
        </w:rPr>
        <w:t xml:space="preserve"> </w:t>
      </w:r>
      <w:r w:rsidR="00F32B28" w:rsidRPr="00F32B28">
        <w:rPr>
          <w:rtl/>
        </w:rPr>
        <w:t>وقدراتهم</w:t>
      </w:r>
      <w:r w:rsidR="00F32B28">
        <w:rPr>
          <w:rtl/>
        </w:rPr>
        <w:t xml:space="preserve"> </w:t>
      </w:r>
      <w:r w:rsidR="00F32B28" w:rsidRPr="00F32B28">
        <w:rPr>
          <w:rtl/>
        </w:rPr>
        <w:t>وتطويرها</w:t>
      </w:r>
      <w:r w:rsidR="00F32B28">
        <w:rPr>
          <w:rtl/>
        </w:rPr>
        <w:t xml:space="preserve"> </w:t>
      </w:r>
      <w:r w:rsidR="00F32B28" w:rsidRPr="00F32B28">
        <w:rPr>
          <w:rtl/>
        </w:rPr>
        <w:t>بصفة</w:t>
      </w:r>
      <w:r w:rsidR="00F32B28">
        <w:rPr>
          <w:rtl/>
        </w:rPr>
        <w:t xml:space="preserve"> </w:t>
      </w:r>
      <w:r w:rsidR="00F32B28" w:rsidRPr="00F32B28">
        <w:rPr>
          <w:rtl/>
        </w:rPr>
        <w:t>مستمرة،</w:t>
      </w:r>
      <w:r w:rsidR="00F32B28">
        <w:rPr>
          <w:rtl/>
        </w:rPr>
        <w:t xml:space="preserve"> </w:t>
      </w:r>
      <w:r w:rsidR="00F32B28" w:rsidRPr="00F32B28">
        <w:rPr>
          <w:rtl/>
        </w:rPr>
        <w:t>وذلك</w:t>
      </w:r>
      <w:r w:rsidR="00F32B28">
        <w:rPr>
          <w:rtl/>
        </w:rPr>
        <w:t xml:space="preserve"> </w:t>
      </w:r>
      <w:r w:rsidR="00F32B28" w:rsidRPr="00F32B28">
        <w:rPr>
          <w:rtl/>
        </w:rPr>
        <w:t>كله</w:t>
      </w:r>
      <w:r w:rsidR="00F32B28">
        <w:rPr>
          <w:rtl/>
        </w:rPr>
        <w:t xml:space="preserve"> </w:t>
      </w:r>
      <w:r w:rsidR="00F32B28" w:rsidRPr="00F32B28">
        <w:rPr>
          <w:rtl/>
        </w:rPr>
        <w:t>وفقاً</w:t>
      </w:r>
      <w:r w:rsidR="00F32B28">
        <w:rPr>
          <w:rtl/>
        </w:rPr>
        <w:t xml:space="preserve"> </w:t>
      </w:r>
      <w:r w:rsidR="00F32B28" w:rsidRPr="00F32B28">
        <w:rPr>
          <w:rtl/>
        </w:rPr>
        <w:t>لقاعدة</w:t>
      </w:r>
      <w:r w:rsidR="00F32B28">
        <w:rPr>
          <w:rtl/>
        </w:rPr>
        <w:t xml:space="preserve"> </w:t>
      </w:r>
      <w:r w:rsidR="00F32B28" w:rsidRPr="00F32B28">
        <w:rPr>
          <w:rtl/>
        </w:rPr>
        <w:t>تكافؤ</w:t>
      </w:r>
      <w:r w:rsidR="00F32B28">
        <w:rPr>
          <w:rtl/>
        </w:rPr>
        <w:t xml:space="preserve"> </w:t>
      </w:r>
      <w:r w:rsidR="00F32B28" w:rsidRPr="00F32B28">
        <w:rPr>
          <w:rtl/>
        </w:rPr>
        <w:t>الفرص</w:t>
      </w:r>
      <w:r w:rsidR="00F32B28">
        <w:rPr>
          <w:rtl/>
        </w:rPr>
        <w:t xml:space="preserve"> </w:t>
      </w:r>
      <w:r w:rsidR="00F32B28" w:rsidRPr="00F32B28">
        <w:rPr>
          <w:rtl/>
        </w:rPr>
        <w:t>مع</w:t>
      </w:r>
      <w:r w:rsidR="00F32B28">
        <w:rPr>
          <w:rtl/>
        </w:rPr>
        <w:t xml:space="preserve"> </w:t>
      </w:r>
      <w:r w:rsidR="00F32B28" w:rsidRPr="00F32B28">
        <w:rPr>
          <w:rtl/>
        </w:rPr>
        <w:t>مراعاة</w:t>
      </w:r>
      <w:r w:rsidR="00F32B28">
        <w:rPr>
          <w:rtl/>
        </w:rPr>
        <w:t xml:space="preserve"> </w:t>
      </w:r>
      <w:r w:rsidR="00F32B28" w:rsidRPr="00F32B28">
        <w:rPr>
          <w:rtl/>
        </w:rPr>
        <w:t>حرية</w:t>
      </w:r>
      <w:r w:rsidR="00F32B28">
        <w:rPr>
          <w:rtl/>
        </w:rPr>
        <w:t xml:space="preserve"> </w:t>
      </w:r>
      <w:r w:rsidR="00F32B28" w:rsidRPr="00F32B28">
        <w:rPr>
          <w:rtl/>
        </w:rPr>
        <w:t>الاختيار.</w:t>
      </w:r>
      <w:r w:rsidR="00F32B28">
        <w:rPr>
          <w:rtl/>
        </w:rPr>
        <w:t xml:space="preserve"> </w:t>
      </w:r>
    </w:p>
    <w:p w:rsidR="00F32B28" w:rsidRPr="00F32B28" w:rsidRDefault="00D652E9" w:rsidP="00D652E9">
      <w:pPr>
        <w:pStyle w:val="SingleTxt"/>
        <w:rPr>
          <w:rtl/>
        </w:rPr>
      </w:pPr>
      <w:r>
        <w:rPr>
          <w:rFonts w:hint="cs"/>
          <w:rtl/>
        </w:rPr>
        <w:t xml:space="preserve">207 - </w:t>
      </w:r>
      <w:r w:rsidR="00F32B28" w:rsidRPr="00F32B28">
        <w:rPr>
          <w:rtl/>
        </w:rPr>
        <w:t>ومن</w:t>
      </w:r>
      <w:r w:rsidR="00F32B28">
        <w:rPr>
          <w:rtl/>
        </w:rPr>
        <w:t xml:space="preserve"> </w:t>
      </w:r>
      <w:r w:rsidR="00F32B28" w:rsidRPr="00F32B28">
        <w:rPr>
          <w:rtl/>
        </w:rPr>
        <w:t>حيث</w:t>
      </w:r>
      <w:r w:rsidR="00F32B28">
        <w:rPr>
          <w:rtl/>
        </w:rPr>
        <w:t xml:space="preserve"> </w:t>
      </w:r>
      <w:r w:rsidR="00F32B28" w:rsidRPr="00F32B28">
        <w:rPr>
          <w:rtl/>
        </w:rPr>
        <w:t>حماية</w:t>
      </w:r>
      <w:r w:rsidR="00F32B28">
        <w:rPr>
          <w:rtl/>
        </w:rPr>
        <w:t xml:space="preserve"> </w:t>
      </w:r>
      <w:r w:rsidR="00F32B28" w:rsidRPr="00F32B28">
        <w:rPr>
          <w:rtl/>
        </w:rPr>
        <w:t>الأمومة</w:t>
      </w:r>
      <w:r w:rsidR="00F32B28">
        <w:rPr>
          <w:rtl/>
        </w:rPr>
        <w:t xml:space="preserve"> </w:t>
      </w:r>
      <w:r w:rsidR="00F32B28" w:rsidRPr="00F32B28">
        <w:rPr>
          <w:rtl/>
        </w:rPr>
        <w:t>للمرأة</w:t>
      </w:r>
      <w:r w:rsidR="00F32B28">
        <w:rPr>
          <w:rtl/>
        </w:rPr>
        <w:t xml:space="preserve"> </w:t>
      </w:r>
      <w:r w:rsidR="00F32B28" w:rsidRPr="00F32B28">
        <w:rPr>
          <w:rtl/>
        </w:rPr>
        <w:t>العاملة</w:t>
      </w:r>
      <w:r w:rsidR="00F32B28">
        <w:rPr>
          <w:rtl/>
        </w:rPr>
        <w:t xml:space="preserve"> </w:t>
      </w:r>
      <w:r w:rsidR="00F32B28" w:rsidRPr="00F32B28">
        <w:rPr>
          <w:rtl/>
        </w:rPr>
        <w:t>ورعاية</w:t>
      </w:r>
      <w:r w:rsidR="00F32B28">
        <w:rPr>
          <w:rtl/>
        </w:rPr>
        <w:t xml:space="preserve"> </w:t>
      </w:r>
      <w:r w:rsidR="00F32B28" w:rsidRPr="00F32B28">
        <w:rPr>
          <w:rtl/>
        </w:rPr>
        <w:t>أطفالها</w:t>
      </w:r>
      <w:r w:rsidR="00F32B28">
        <w:rPr>
          <w:rtl/>
        </w:rPr>
        <w:t xml:space="preserve"> </w:t>
      </w:r>
      <w:r w:rsidR="00F32B28" w:rsidRPr="00F32B28">
        <w:rPr>
          <w:rtl/>
        </w:rPr>
        <w:t>خلال</w:t>
      </w:r>
      <w:r w:rsidR="00F32B28">
        <w:rPr>
          <w:rtl/>
        </w:rPr>
        <w:t xml:space="preserve"> </w:t>
      </w:r>
      <w:r w:rsidR="00F32B28" w:rsidRPr="00F32B28">
        <w:rPr>
          <w:rtl/>
        </w:rPr>
        <w:t>العمل،</w:t>
      </w:r>
      <w:r w:rsidR="00F32B28">
        <w:rPr>
          <w:rtl/>
        </w:rPr>
        <w:t xml:space="preserve"> </w:t>
      </w:r>
      <w:r w:rsidR="00F32B28" w:rsidRPr="00F32B28">
        <w:rPr>
          <w:rtl/>
        </w:rPr>
        <w:t>تحترم</w:t>
      </w:r>
      <w:r w:rsidR="00F32B28">
        <w:rPr>
          <w:rtl/>
        </w:rPr>
        <w:t xml:space="preserve"> </w:t>
      </w:r>
      <w:r w:rsidR="00F32B28" w:rsidRPr="00F32B28">
        <w:rPr>
          <w:rtl/>
        </w:rPr>
        <w:t>التشريعات</w:t>
      </w:r>
      <w:r w:rsidR="00F32B28">
        <w:rPr>
          <w:rtl/>
        </w:rPr>
        <w:t xml:space="preserve"> </w:t>
      </w:r>
      <w:r w:rsidR="00F32B28" w:rsidRPr="00F32B28">
        <w:rPr>
          <w:rtl/>
        </w:rPr>
        <w:t>دور</w:t>
      </w:r>
      <w:r w:rsidR="00F32B28">
        <w:rPr>
          <w:rtl/>
        </w:rPr>
        <w:t xml:space="preserve"> </w:t>
      </w:r>
      <w:r w:rsidR="00F32B28" w:rsidRPr="00F32B28">
        <w:rPr>
          <w:rtl/>
        </w:rPr>
        <w:t>المرأة</w:t>
      </w:r>
      <w:r w:rsidR="00F32B28">
        <w:rPr>
          <w:rtl/>
        </w:rPr>
        <w:t xml:space="preserve"> </w:t>
      </w:r>
      <w:r w:rsidR="00F32B28" w:rsidRPr="00F32B28">
        <w:rPr>
          <w:rtl/>
        </w:rPr>
        <w:t>الإنجابي</w:t>
      </w:r>
      <w:r w:rsidR="00F32B28">
        <w:rPr>
          <w:rtl/>
        </w:rPr>
        <w:t xml:space="preserve"> </w:t>
      </w:r>
      <w:r w:rsidR="00F32B28" w:rsidRPr="00F32B28">
        <w:rPr>
          <w:rtl/>
        </w:rPr>
        <w:t>وتكفل</w:t>
      </w:r>
      <w:r w:rsidR="00F32B28">
        <w:rPr>
          <w:rtl/>
        </w:rPr>
        <w:t xml:space="preserve"> </w:t>
      </w:r>
      <w:r w:rsidR="00F32B28" w:rsidRPr="00F32B28">
        <w:rPr>
          <w:rtl/>
        </w:rPr>
        <w:t>حقها</w:t>
      </w:r>
      <w:r w:rsidR="00F32B28">
        <w:rPr>
          <w:rtl/>
        </w:rPr>
        <w:t xml:space="preserve"> </w:t>
      </w:r>
      <w:r w:rsidR="00F32B28" w:rsidRPr="00F32B28">
        <w:rPr>
          <w:rtl/>
        </w:rPr>
        <w:t>الفعلي</w:t>
      </w:r>
      <w:r w:rsidR="00F32B28">
        <w:rPr>
          <w:rtl/>
        </w:rPr>
        <w:t xml:space="preserve"> </w:t>
      </w:r>
      <w:r w:rsidR="00F32B28" w:rsidRPr="00F32B28">
        <w:rPr>
          <w:rtl/>
        </w:rPr>
        <w:t>في</w:t>
      </w:r>
      <w:r w:rsidR="00F32B28">
        <w:rPr>
          <w:rtl/>
        </w:rPr>
        <w:t xml:space="preserve"> </w:t>
      </w:r>
      <w:r w:rsidR="00F32B28" w:rsidRPr="00F32B28">
        <w:rPr>
          <w:rtl/>
        </w:rPr>
        <w:t>العمل</w:t>
      </w:r>
      <w:r w:rsidR="00F32B28">
        <w:rPr>
          <w:rtl/>
        </w:rPr>
        <w:t xml:space="preserve"> </w:t>
      </w:r>
      <w:r w:rsidR="00F32B28" w:rsidRPr="00F32B28">
        <w:rPr>
          <w:rtl/>
        </w:rPr>
        <w:t>وعدم</w:t>
      </w:r>
      <w:r w:rsidR="00F32B28">
        <w:rPr>
          <w:rtl/>
        </w:rPr>
        <w:t xml:space="preserve"> </w:t>
      </w:r>
      <w:r w:rsidR="00F32B28" w:rsidRPr="00F32B28">
        <w:rPr>
          <w:rtl/>
        </w:rPr>
        <w:t>التمييز</w:t>
      </w:r>
      <w:r w:rsidR="00F32B28">
        <w:rPr>
          <w:rtl/>
        </w:rPr>
        <w:t xml:space="preserve"> </w:t>
      </w:r>
      <w:r w:rsidR="00F32B28" w:rsidRPr="00F32B28">
        <w:rPr>
          <w:rtl/>
        </w:rPr>
        <w:t>ضدها</w:t>
      </w:r>
      <w:r w:rsidR="00F32B28">
        <w:rPr>
          <w:rtl/>
        </w:rPr>
        <w:t xml:space="preserve"> </w:t>
      </w:r>
      <w:r w:rsidR="00F32B28" w:rsidRPr="00F32B28">
        <w:rPr>
          <w:rtl/>
        </w:rPr>
        <w:t>بسبب</w:t>
      </w:r>
      <w:r w:rsidR="00F32B28">
        <w:rPr>
          <w:rtl/>
        </w:rPr>
        <w:t xml:space="preserve"> </w:t>
      </w:r>
      <w:r w:rsidR="00F32B28" w:rsidRPr="00F32B28">
        <w:rPr>
          <w:rtl/>
        </w:rPr>
        <w:t>دورها</w:t>
      </w:r>
      <w:r w:rsidR="00F32B28">
        <w:rPr>
          <w:rtl/>
        </w:rPr>
        <w:t xml:space="preserve"> </w:t>
      </w:r>
      <w:r w:rsidR="00F32B28" w:rsidRPr="00F32B28">
        <w:rPr>
          <w:rtl/>
        </w:rPr>
        <w:t>هذا،</w:t>
      </w:r>
      <w:r w:rsidR="00F32B28">
        <w:rPr>
          <w:rtl/>
        </w:rPr>
        <w:t xml:space="preserve"> </w:t>
      </w:r>
      <w:r w:rsidR="00F32B28" w:rsidRPr="00F32B28">
        <w:rPr>
          <w:rtl/>
        </w:rPr>
        <w:t>فأقر</w:t>
      </w:r>
      <w:r w:rsidR="00F32B28">
        <w:rPr>
          <w:rtl/>
        </w:rPr>
        <w:t xml:space="preserve"> </w:t>
      </w:r>
      <w:r w:rsidR="00F32B28" w:rsidRPr="00F32B28">
        <w:rPr>
          <w:rtl/>
        </w:rPr>
        <w:t>كليهما</w:t>
      </w:r>
      <w:r w:rsidR="00F32B28">
        <w:rPr>
          <w:rtl/>
        </w:rPr>
        <w:t xml:space="preserve"> </w:t>
      </w:r>
      <w:r w:rsidR="00F32B28" w:rsidRPr="00F32B28">
        <w:rPr>
          <w:rtl/>
        </w:rPr>
        <w:t>حق</w:t>
      </w:r>
      <w:r w:rsidR="00F32B28">
        <w:rPr>
          <w:rtl/>
        </w:rPr>
        <w:t xml:space="preserve"> </w:t>
      </w:r>
      <w:r w:rsidR="00F32B28" w:rsidRPr="00F32B28">
        <w:rPr>
          <w:rtl/>
        </w:rPr>
        <w:t>الموظفة/العاملة</w:t>
      </w:r>
      <w:r w:rsidR="00F32B28">
        <w:rPr>
          <w:rtl/>
        </w:rPr>
        <w:t xml:space="preserve"> </w:t>
      </w:r>
      <w:r w:rsidR="00F32B28" w:rsidRPr="00F32B28">
        <w:rPr>
          <w:rtl/>
        </w:rPr>
        <w:t>في</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إجازة</w:t>
      </w:r>
      <w:r w:rsidR="00F32B28">
        <w:rPr>
          <w:rtl/>
        </w:rPr>
        <w:t xml:space="preserve"> </w:t>
      </w:r>
      <w:r w:rsidR="00F32B28" w:rsidRPr="00F32B28">
        <w:rPr>
          <w:rtl/>
        </w:rPr>
        <w:t>الولادة</w:t>
      </w:r>
      <w:r w:rsidR="00F32B28">
        <w:rPr>
          <w:rtl/>
        </w:rPr>
        <w:t xml:space="preserve"> </w:t>
      </w:r>
      <w:r w:rsidR="00F32B28" w:rsidRPr="00F32B28">
        <w:rPr>
          <w:rtl/>
        </w:rPr>
        <w:t>والأمومة</w:t>
      </w:r>
      <w:r w:rsidR="00F32B28">
        <w:rPr>
          <w:rtl/>
        </w:rPr>
        <w:t xml:space="preserve"> </w:t>
      </w:r>
      <w:r w:rsidR="00F32B28" w:rsidRPr="00F32B28">
        <w:rPr>
          <w:rtl/>
        </w:rPr>
        <w:t>مدفوعة</w:t>
      </w:r>
      <w:r w:rsidR="00F32B28">
        <w:rPr>
          <w:rtl/>
        </w:rPr>
        <w:t xml:space="preserve"> </w:t>
      </w:r>
      <w:r w:rsidR="00F32B28" w:rsidRPr="00F32B28">
        <w:rPr>
          <w:rtl/>
        </w:rPr>
        <w:t>الأجر</w:t>
      </w:r>
      <w:r w:rsidR="00F32B28">
        <w:rPr>
          <w:rtl/>
        </w:rPr>
        <w:t xml:space="preserve"> </w:t>
      </w:r>
      <w:r w:rsidR="00F32B28" w:rsidRPr="00F32B28">
        <w:rPr>
          <w:rtl/>
        </w:rPr>
        <w:t>بشكل</w:t>
      </w:r>
      <w:r w:rsidR="00F32B28">
        <w:rPr>
          <w:rtl/>
        </w:rPr>
        <w:t xml:space="preserve"> </w:t>
      </w:r>
      <w:r w:rsidR="00F32B28" w:rsidRPr="00F32B28">
        <w:rPr>
          <w:rtl/>
        </w:rPr>
        <w:t>كامل</w:t>
      </w:r>
      <w:r w:rsidR="00F32B28">
        <w:rPr>
          <w:rtl/>
        </w:rPr>
        <w:t xml:space="preserve"> </w:t>
      </w:r>
      <w:r w:rsidR="00F32B28" w:rsidRPr="00F32B28">
        <w:rPr>
          <w:rtl/>
        </w:rPr>
        <w:t>ومتصلة</w:t>
      </w:r>
      <w:r w:rsidR="00F32B28">
        <w:rPr>
          <w:rtl/>
        </w:rPr>
        <w:t xml:space="preserve"> </w:t>
      </w:r>
      <w:r w:rsidR="00F32B28" w:rsidRPr="00F32B28">
        <w:rPr>
          <w:rtl/>
        </w:rPr>
        <w:t>قبل</w:t>
      </w:r>
      <w:r w:rsidR="00F32B28">
        <w:rPr>
          <w:rtl/>
        </w:rPr>
        <w:t xml:space="preserve"> </w:t>
      </w:r>
      <w:r w:rsidR="00F32B28" w:rsidRPr="00F32B28">
        <w:rPr>
          <w:rtl/>
        </w:rPr>
        <w:t>الوضع</w:t>
      </w:r>
      <w:r w:rsidR="00F32B28">
        <w:rPr>
          <w:rtl/>
        </w:rPr>
        <w:t xml:space="preserve"> </w:t>
      </w:r>
      <w:r w:rsidR="00F32B28" w:rsidRPr="00F32B28">
        <w:rPr>
          <w:rtl/>
        </w:rPr>
        <w:t>وبعده،</w:t>
      </w:r>
      <w:r w:rsidR="00F32B28">
        <w:rPr>
          <w:rtl/>
        </w:rPr>
        <w:t xml:space="preserve"> </w:t>
      </w:r>
      <w:r w:rsidR="00F32B28" w:rsidRPr="00F32B28">
        <w:rPr>
          <w:rtl/>
        </w:rPr>
        <w:t>وحظرا</w:t>
      </w:r>
      <w:r w:rsidR="00F32B28">
        <w:rPr>
          <w:rtl/>
        </w:rPr>
        <w:t xml:space="preserve"> </w:t>
      </w:r>
      <w:r w:rsidR="00F32B28" w:rsidRPr="00F32B28">
        <w:rPr>
          <w:rtl/>
        </w:rPr>
        <w:t>فصل</w:t>
      </w:r>
      <w:r w:rsidR="00F32B28">
        <w:rPr>
          <w:rtl/>
        </w:rPr>
        <w:t xml:space="preserve"> </w:t>
      </w:r>
      <w:r w:rsidR="00F32B28" w:rsidRPr="00F32B28">
        <w:rPr>
          <w:rtl/>
        </w:rPr>
        <w:t>المرأة</w:t>
      </w:r>
      <w:r w:rsidR="00F32B28">
        <w:rPr>
          <w:rtl/>
        </w:rPr>
        <w:t xml:space="preserve"> </w:t>
      </w:r>
      <w:r w:rsidR="00F32B28" w:rsidRPr="00F32B28">
        <w:rPr>
          <w:rtl/>
        </w:rPr>
        <w:t>العاملة</w:t>
      </w:r>
      <w:r w:rsidR="00F32B28">
        <w:rPr>
          <w:rtl/>
        </w:rPr>
        <w:t xml:space="preserve"> </w:t>
      </w:r>
      <w:r w:rsidR="00F32B28" w:rsidRPr="00F32B28">
        <w:rPr>
          <w:rtl/>
        </w:rPr>
        <w:t>بسبب</w:t>
      </w:r>
      <w:r w:rsidR="00F32B28">
        <w:rPr>
          <w:rtl/>
        </w:rPr>
        <w:t xml:space="preserve"> </w:t>
      </w:r>
      <w:r w:rsidR="00F32B28" w:rsidRPr="00F32B28">
        <w:rPr>
          <w:rtl/>
        </w:rPr>
        <w:t>هذه</w:t>
      </w:r>
      <w:r w:rsidR="00F32B28">
        <w:rPr>
          <w:rtl/>
        </w:rPr>
        <w:t xml:space="preserve"> </w:t>
      </w:r>
      <w:r w:rsidR="00F32B28" w:rsidRPr="00F32B28">
        <w:rPr>
          <w:rtl/>
        </w:rPr>
        <w:t>الإجازة</w:t>
      </w:r>
      <w:r w:rsidR="00F32B28">
        <w:rPr>
          <w:rtl/>
        </w:rPr>
        <w:t xml:space="preserve"> </w:t>
      </w:r>
      <w:r w:rsidR="00F32B28" w:rsidRPr="00F32B28">
        <w:rPr>
          <w:rtl/>
        </w:rPr>
        <w:t>إلا</w:t>
      </w:r>
      <w:r w:rsidR="00F32B28">
        <w:rPr>
          <w:rtl/>
        </w:rPr>
        <w:t xml:space="preserve"> </w:t>
      </w:r>
      <w:r w:rsidR="00F32B28" w:rsidRPr="00F32B28">
        <w:rPr>
          <w:rtl/>
        </w:rPr>
        <w:t>إذا</w:t>
      </w:r>
      <w:r w:rsidR="00F32B28">
        <w:rPr>
          <w:rtl/>
        </w:rPr>
        <w:t xml:space="preserve"> </w:t>
      </w:r>
      <w:r w:rsidR="00F32B28" w:rsidRPr="00F32B28">
        <w:rPr>
          <w:rtl/>
        </w:rPr>
        <w:t>ثبت</w:t>
      </w:r>
      <w:r w:rsidR="00F32B28">
        <w:rPr>
          <w:rtl/>
        </w:rPr>
        <w:t xml:space="preserve"> </w:t>
      </w:r>
      <w:r w:rsidR="00F32B28" w:rsidRPr="00F32B28">
        <w:rPr>
          <w:rtl/>
        </w:rPr>
        <w:t>أنها</w:t>
      </w:r>
      <w:r w:rsidR="00F32B28">
        <w:rPr>
          <w:rtl/>
        </w:rPr>
        <w:t xml:space="preserve"> </w:t>
      </w:r>
      <w:r w:rsidR="00F32B28" w:rsidRPr="00F32B28">
        <w:rPr>
          <w:rtl/>
        </w:rPr>
        <w:t>اشتغلت</w:t>
      </w:r>
      <w:r w:rsidR="00F32B28">
        <w:rPr>
          <w:rtl/>
        </w:rPr>
        <w:t xml:space="preserve"> </w:t>
      </w:r>
      <w:r w:rsidR="00F32B28" w:rsidRPr="00F32B28">
        <w:rPr>
          <w:rtl/>
        </w:rPr>
        <w:t>بعمل</w:t>
      </w:r>
      <w:r w:rsidR="00F32B28">
        <w:rPr>
          <w:rtl/>
        </w:rPr>
        <w:t xml:space="preserve"> </w:t>
      </w:r>
      <w:r w:rsidR="00F32B28" w:rsidRPr="00F32B28">
        <w:rPr>
          <w:rtl/>
        </w:rPr>
        <w:t>آخر</w:t>
      </w:r>
      <w:r w:rsidR="00F32B28">
        <w:rPr>
          <w:rtl/>
        </w:rPr>
        <w:t xml:space="preserve"> </w:t>
      </w:r>
      <w:r w:rsidR="00F32B28" w:rsidRPr="00F32B28">
        <w:rPr>
          <w:rtl/>
        </w:rPr>
        <w:t>خلالها.</w:t>
      </w:r>
      <w:r w:rsidR="00F32B28">
        <w:rPr>
          <w:rtl/>
        </w:rPr>
        <w:t xml:space="preserve"> </w:t>
      </w:r>
      <w:r w:rsidR="00F32B28" w:rsidRPr="00F32B28">
        <w:rPr>
          <w:rtl/>
        </w:rPr>
        <w:t>ولا</w:t>
      </w:r>
      <w:r w:rsidR="00062F37">
        <w:rPr>
          <w:rFonts w:hint="cs"/>
          <w:rtl/>
        </w:rPr>
        <w:t> </w:t>
      </w:r>
      <w:r w:rsidR="00F32B28" w:rsidRPr="00F32B28">
        <w:rPr>
          <w:rtl/>
        </w:rPr>
        <w:t>تفقد</w:t>
      </w:r>
      <w:r w:rsidR="00F32B28">
        <w:rPr>
          <w:rtl/>
        </w:rPr>
        <w:t xml:space="preserve"> </w:t>
      </w:r>
      <w:r w:rsidR="00F32B28" w:rsidRPr="00F32B28">
        <w:rPr>
          <w:rtl/>
        </w:rPr>
        <w:t>المرأة</w:t>
      </w:r>
      <w:r w:rsidR="00F32B28">
        <w:rPr>
          <w:rtl/>
        </w:rPr>
        <w:t xml:space="preserve"> </w:t>
      </w:r>
      <w:r w:rsidR="00F32B28" w:rsidRPr="00F32B28">
        <w:rPr>
          <w:rtl/>
        </w:rPr>
        <w:t>أقدميتها</w:t>
      </w:r>
      <w:r w:rsidR="00F32B28">
        <w:rPr>
          <w:rtl/>
        </w:rPr>
        <w:t xml:space="preserve"> </w:t>
      </w:r>
      <w:r w:rsidR="00F32B28" w:rsidRPr="00F32B28">
        <w:rPr>
          <w:rtl/>
        </w:rPr>
        <w:t>أو</w:t>
      </w:r>
      <w:r w:rsidR="00F32B28">
        <w:rPr>
          <w:rtl/>
        </w:rPr>
        <w:t xml:space="preserve"> </w:t>
      </w:r>
      <w:r w:rsidR="00F32B28" w:rsidRPr="00F32B28">
        <w:rPr>
          <w:rtl/>
        </w:rPr>
        <w:t>العلاوات</w:t>
      </w:r>
      <w:r w:rsidR="00F32B28">
        <w:rPr>
          <w:rtl/>
        </w:rPr>
        <w:t xml:space="preserve"> </w:t>
      </w:r>
      <w:r w:rsidR="00F32B28" w:rsidRPr="00F32B28">
        <w:rPr>
          <w:rtl/>
        </w:rPr>
        <w:t>أو</w:t>
      </w:r>
      <w:r w:rsidR="00F32B28">
        <w:rPr>
          <w:rtl/>
        </w:rPr>
        <w:t xml:space="preserve"> </w:t>
      </w:r>
      <w:r w:rsidR="00F32B28" w:rsidRPr="00F32B28">
        <w:rPr>
          <w:rtl/>
        </w:rPr>
        <w:t>الترقيات</w:t>
      </w:r>
      <w:r w:rsidR="00F32B28">
        <w:rPr>
          <w:rtl/>
        </w:rPr>
        <w:t xml:space="preserve"> </w:t>
      </w:r>
      <w:r w:rsidR="00F32B28" w:rsidRPr="00F32B28">
        <w:rPr>
          <w:rtl/>
        </w:rPr>
        <w:t>المقررة</w:t>
      </w:r>
      <w:r w:rsidR="00F32B28">
        <w:rPr>
          <w:rtl/>
        </w:rPr>
        <w:t xml:space="preserve"> </w:t>
      </w:r>
      <w:r w:rsidR="00F32B28" w:rsidRPr="00F32B28">
        <w:rPr>
          <w:rtl/>
        </w:rPr>
        <w:t>لها</w:t>
      </w:r>
      <w:r w:rsidR="00F32B28">
        <w:rPr>
          <w:rtl/>
        </w:rPr>
        <w:t xml:space="preserve"> </w:t>
      </w:r>
      <w:r w:rsidR="00F32B28" w:rsidRPr="00F32B28">
        <w:rPr>
          <w:rtl/>
        </w:rPr>
        <w:t>بسبب</w:t>
      </w:r>
      <w:r w:rsidR="00F32B28">
        <w:rPr>
          <w:rtl/>
        </w:rPr>
        <w:t xml:space="preserve"> </w:t>
      </w:r>
      <w:r w:rsidR="00F32B28" w:rsidRPr="00F32B28">
        <w:rPr>
          <w:rtl/>
        </w:rPr>
        <w:t>هذه</w:t>
      </w:r>
      <w:r w:rsidR="00F32B28">
        <w:rPr>
          <w:rtl/>
        </w:rPr>
        <w:t xml:space="preserve"> </w:t>
      </w:r>
      <w:r w:rsidR="00F32B28" w:rsidRPr="00F32B28">
        <w:rPr>
          <w:rtl/>
        </w:rPr>
        <w:t>الإجازة.</w:t>
      </w:r>
      <w:r w:rsidR="00F32B28">
        <w:rPr>
          <w:rtl/>
        </w:rPr>
        <w:t xml:space="preserve"> </w:t>
      </w:r>
      <w:r w:rsidR="00F32B28" w:rsidRPr="00F32B28">
        <w:rPr>
          <w:rtl/>
        </w:rPr>
        <w:t>وكذلك</w:t>
      </w:r>
      <w:r w:rsidR="00F32B28">
        <w:rPr>
          <w:rtl/>
        </w:rPr>
        <w:t xml:space="preserve"> </w:t>
      </w:r>
      <w:r w:rsidR="00F32B28" w:rsidRPr="00F32B28">
        <w:rPr>
          <w:rtl/>
        </w:rPr>
        <w:t>للموظفة/العاملة</w:t>
      </w:r>
      <w:r w:rsidR="00F32B28">
        <w:rPr>
          <w:rtl/>
        </w:rPr>
        <w:t xml:space="preserve"> </w:t>
      </w:r>
      <w:r w:rsidR="00F32B28" w:rsidRPr="00F32B28">
        <w:rPr>
          <w:rtl/>
        </w:rPr>
        <w:t>المرضعة</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ساعة</w:t>
      </w:r>
      <w:r w:rsidR="00F32B28">
        <w:rPr>
          <w:rtl/>
        </w:rPr>
        <w:t xml:space="preserve"> </w:t>
      </w:r>
      <w:r w:rsidR="00F32B28" w:rsidRPr="00F32B28">
        <w:rPr>
          <w:rtl/>
        </w:rPr>
        <w:t>رضاعة</w:t>
      </w:r>
      <w:r w:rsidR="00F32B28">
        <w:rPr>
          <w:rtl/>
        </w:rPr>
        <w:t xml:space="preserve"> </w:t>
      </w:r>
      <w:r w:rsidR="00F32B28" w:rsidRPr="00F32B28">
        <w:rPr>
          <w:rtl/>
        </w:rPr>
        <w:t>مدفوعة</w:t>
      </w:r>
      <w:r w:rsidR="00F32B28">
        <w:rPr>
          <w:rtl/>
        </w:rPr>
        <w:t xml:space="preserve"> </w:t>
      </w:r>
      <w:r w:rsidR="00F32B28" w:rsidRPr="00F32B28">
        <w:rPr>
          <w:rtl/>
        </w:rPr>
        <w:t>الأجر</w:t>
      </w:r>
      <w:r w:rsidR="00F32B28">
        <w:rPr>
          <w:rtl/>
        </w:rPr>
        <w:t xml:space="preserve"> </w:t>
      </w:r>
      <w:r w:rsidR="00F32B28" w:rsidRPr="00F32B28">
        <w:rPr>
          <w:rtl/>
        </w:rPr>
        <w:t>أثناء</w:t>
      </w:r>
      <w:r w:rsidR="00F32B28">
        <w:rPr>
          <w:rtl/>
        </w:rPr>
        <w:t xml:space="preserve"> </w:t>
      </w:r>
      <w:r w:rsidR="00F32B28" w:rsidRPr="00F32B28">
        <w:rPr>
          <w:rtl/>
        </w:rPr>
        <w:t>العمل</w:t>
      </w:r>
      <w:r w:rsidR="00F32B28">
        <w:rPr>
          <w:rtl/>
        </w:rPr>
        <w:t xml:space="preserve"> </w:t>
      </w:r>
      <w:r w:rsidR="00F32B28" w:rsidRPr="00F32B28">
        <w:rPr>
          <w:rtl/>
        </w:rPr>
        <w:t>يومياً.</w:t>
      </w:r>
      <w:r w:rsidR="00F32B28">
        <w:rPr>
          <w:rtl/>
        </w:rPr>
        <w:t xml:space="preserve"> </w:t>
      </w:r>
    </w:p>
    <w:p w:rsidR="00F32B28" w:rsidRPr="00F32B28" w:rsidRDefault="00D652E9" w:rsidP="00D652E9">
      <w:pPr>
        <w:pStyle w:val="SingleTxt"/>
        <w:rPr>
          <w:rtl/>
        </w:rPr>
      </w:pPr>
      <w:r>
        <w:rPr>
          <w:rFonts w:hint="cs"/>
          <w:rtl/>
        </w:rPr>
        <w:t xml:space="preserve">208 - </w:t>
      </w:r>
      <w:r w:rsidR="00F32B28" w:rsidRPr="00F32B28">
        <w:rPr>
          <w:rtl/>
        </w:rPr>
        <w:t>يلزم</w:t>
      </w:r>
      <w:r w:rsidR="00F32B28">
        <w:rPr>
          <w:rtl/>
        </w:rPr>
        <w:t xml:space="preserve"> </w:t>
      </w:r>
      <w:r w:rsidR="00F32B28" w:rsidRPr="00F32B28">
        <w:rPr>
          <w:rtl/>
        </w:rPr>
        <w:t>قانون</w:t>
      </w:r>
      <w:r w:rsidR="00F32B28">
        <w:rPr>
          <w:rtl/>
        </w:rPr>
        <w:t xml:space="preserve"> </w:t>
      </w:r>
      <w:r w:rsidR="00F32B28" w:rsidRPr="00F32B28">
        <w:rPr>
          <w:rtl/>
        </w:rPr>
        <w:t>العمل</w:t>
      </w:r>
      <w:r w:rsidR="00F32B28">
        <w:rPr>
          <w:rtl/>
        </w:rPr>
        <w:t xml:space="preserve"> </w:t>
      </w:r>
      <w:r w:rsidR="00F32B28" w:rsidRPr="00F32B28">
        <w:rPr>
          <w:rtl/>
        </w:rPr>
        <w:t>المنشآت</w:t>
      </w:r>
      <w:r w:rsidR="00F32B28">
        <w:rPr>
          <w:rtl/>
        </w:rPr>
        <w:t xml:space="preserve"> </w:t>
      </w:r>
      <w:r w:rsidR="00F32B28" w:rsidRPr="00F32B28">
        <w:rPr>
          <w:rtl/>
        </w:rPr>
        <w:t>وأرباب</w:t>
      </w:r>
      <w:r w:rsidR="00F32B28">
        <w:rPr>
          <w:rtl/>
        </w:rPr>
        <w:t xml:space="preserve"> </w:t>
      </w:r>
      <w:r w:rsidR="00F32B28" w:rsidRPr="00F32B28">
        <w:rPr>
          <w:rtl/>
        </w:rPr>
        <w:t>العمل</w:t>
      </w:r>
      <w:r w:rsidR="00F32B28">
        <w:rPr>
          <w:rtl/>
        </w:rPr>
        <w:t xml:space="preserve"> </w:t>
      </w:r>
      <w:r w:rsidR="00F32B28" w:rsidRPr="00F32B28">
        <w:rPr>
          <w:rtl/>
        </w:rPr>
        <w:t>بالقيام</w:t>
      </w:r>
      <w:r w:rsidR="00F32B28">
        <w:rPr>
          <w:rtl/>
        </w:rPr>
        <w:t xml:space="preserve"> </w:t>
      </w:r>
      <w:r w:rsidR="00F32B28" w:rsidRPr="00F32B28">
        <w:rPr>
          <w:rtl/>
        </w:rPr>
        <w:t>بتوفير</w:t>
      </w:r>
      <w:r w:rsidR="00F32B28">
        <w:rPr>
          <w:rtl/>
        </w:rPr>
        <w:t xml:space="preserve"> </w:t>
      </w:r>
      <w:r w:rsidR="00F32B28" w:rsidRPr="00F32B28">
        <w:rPr>
          <w:rtl/>
        </w:rPr>
        <w:t>وسائل</w:t>
      </w:r>
      <w:r w:rsidR="00F32B28">
        <w:rPr>
          <w:rtl/>
        </w:rPr>
        <w:t xml:space="preserve"> </w:t>
      </w:r>
      <w:r w:rsidR="00F32B28" w:rsidRPr="00F32B28">
        <w:rPr>
          <w:rtl/>
        </w:rPr>
        <w:t>راحة</w:t>
      </w:r>
      <w:r w:rsidR="00F32B28">
        <w:rPr>
          <w:rtl/>
        </w:rPr>
        <w:t xml:space="preserve"> </w:t>
      </w:r>
      <w:r w:rsidR="00F32B28" w:rsidRPr="00F32B28">
        <w:rPr>
          <w:rtl/>
        </w:rPr>
        <w:t>خاصة</w:t>
      </w:r>
      <w:r w:rsidR="00F32B28">
        <w:rPr>
          <w:rtl/>
        </w:rPr>
        <w:t xml:space="preserve"> </w:t>
      </w:r>
      <w:r w:rsidR="00F32B28" w:rsidRPr="00F32B28">
        <w:rPr>
          <w:rtl/>
        </w:rPr>
        <w:t>بالعاملات،</w:t>
      </w:r>
      <w:r w:rsidR="00F32B28">
        <w:rPr>
          <w:rtl/>
        </w:rPr>
        <w:t xml:space="preserve"> </w:t>
      </w:r>
      <w:r w:rsidR="00F32B28" w:rsidRPr="00F32B28">
        <w:rPr>
          <w:rtl/>
        </w:rPr>
        <w:t>وبتعليق</w:t>
      </w:r>
      <w:r w:rsidR="00F32B28">
        <w:rPr>
          <w:rtl/>
        </w:rPr>
        <w:t xml:space="preserve"> </w:t>
      </w:r>
      <w:r w:rsidR="00F32B28" w:rsidRPr="00F32B28">
        <w:rPr>
          <w:rtl/>
        </w:rPr>
        <w:t>الأحكام</w:t>
      </w:r>
      <w:r w:rsidR="00F32B28">
        <w:rPr>
          <w:rtl/>
        </w:rPr>
        <w:t xml:space="preserve"> </w:t>
      </w:r>
      <w:r w:rsidR="00F32B28" w:rsidRPr="00F32B28">
        <w:rPr>
          <w:rtl/>
        </w:rPr>
        <w:t>الخاصة</w:t>
      </w:r>
      <w:r w:rsidR="00F32B28">
        <w:rPr>
          <w:rtl/>
        </w:rPr>
        <w:t xml:space="preserve"> </w:t>
      </w:r>
      <w:r w:rsidR="00F32B28" w:rsidRPr="00F32B28">
        <w:rPr>
          <w:rtl/>
        </w:rPr>
        <w:t>بتشغيل</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مكان</w:t>
      </w:r>
      <w:r w:rsidR="00F32B28">
        <w:rPr>
          <w:rtl/>
        </w:rPr>
        <w:t xml:space="preserve"> </w:t>
      </w:r>
      <w:r w:rsidR="00F32B28" w:rsidRPr="00F32B28">
        <w:rPr>
          <w:rtl/>
        </w:rPr>
        <w:t>العمل</w:t>
      </w:r>
      <w:r w:rsidR="00F32B28">
        <w:rPr>
          <w:rtl/>
        </w:rPr>
        <w:t xml:space="preserve"> </w:t>
      </w:r>
      <w:r w:rsidR="00F32B28" w:rsidRPr="00F32B28">
        <w:rPr>
          <w:rtl/>
        </w:rPr>
        <w:t>وهذا</w:t>
      </w:r>
      <w:r w:rsidR="00F32B28">
        <w:rPr>
          <w:rtl/>
        </w:rPr>
        <w:t xml:space="preserve"> </w:t>
      </w:r>
      <w:r w:rsidR="00F32B28" w:rsidRPr="00F32B28">
        <w:rPr>
          <w:rtl/>
        </w:rPr>
        <w:t>يأتي</w:t>
      </w:r>
      <w:r w:rsidR="00F32B28">
        <w:rPr>
          <w:rtl/>
        </w:rPr>
        <w:t xml:space="preserve"> </w:t>
      </w:r>
      <w:r w:rsidR="00F32B28" w:rsidRPr="00F32B28">
        <w:rPr>
          <w:rtl/>
        </w:rPr>
        <w:t>في</w:t>
      </w:r>
      <w:r w:rsidR="00F32B28">
        <w:rPr>
          <w:rtl/>
        </w:rPr>
        <w:t xml:space="preserve"> </w:t>
      </w:r>
      <w:r w:rsidR="00F32B28" w:rsidRPr="00F32B28">
        <w:rPr>
          <w:rtl/>
        </w:rPr>
        <w:t>معرض</w:t>
      </w:r>
      <w:r w:rsidR="00F32B28">
        <w:rPr>
          <w:rtl/>
        </w:rPr>
        <w:t xml:space="preserve"> </w:t>
      </w:r>
      <w:r w:rsidR="00F32B28" w:rsidRPr="00F32B28">
        <w:rPr>
          <w:rtl/>
        </w:rPr>
        <w:t>الحرص</w:t>
      </w:r>
      <w:r w:rsidR="00F32B28">
        <w:rPr>
          <w:rtl/>
        </w:rPr>
        <w:t xml:space="preserve"> </w:t>
      </w:r>
      <w:r w:rsidR="00F32B28" w:rsidRPr="00F32B28">
        <w:rPr>
          <w:rtl/>
        </w:rPr>
        <w:t>على</w:t>
      </w:r>
      <w:r w:rsidR="00F32B28">
        <w:rPr>
          <w:rtl/>
        </w:rPr>
        <w:t xml:space="preserve"> </w:t>
      </w:r>
      <w:r w:rsidR="00F32B28" w:rsidRPr="00F32B28">
        <w:rPr>
          <w:rtl/>
        </w:rPr>
        <w:t>معرفة</w:t>
      </w:r>
      <w:r w:rsidR="00F32B28">
        <w:rPr>
          <w:rtl/>
        </w:rPr>
        <w:t xml:space="preserve"> </w:t>
      </w:r>
      <w:r w:rsidR="00F32B28" w:rsidRPr="00F32B28">
        <w:rPr>
          <w:rtl/>
        </w:rPr>
        <w:t>النساء</w:t>
      </w:r>
      <w:r w:rsidR="00F32B28">
        <w:rPr>
          <w:rtl/>
        </w:rPr>
        <w:t xml:space="preserve"> </w:t>
      </w:r>
      <w:r w:rsidR="00F32B28" w:rsidRPr="00F32B28">
        <w:rPr>
          <w:rtl/>
        </w:rPr>
        <w:t>لحقوقهن</w:t>
      </w:r>
      <w:r w:rsidR="00F32B28">
        <w:rPr>
          <w:rtl/>
        </w:rPr>
        <w:t xml:space="preserve"> </w:t>
      </w:r>
      <w:r w:rsidR="00F32B28" w:rsidRPr="00F32B28">
        <w:rPr>
          <w:rtl/>
        </w:rPr>
        <w:t>والتزاماتهن</w:t>
      </w:r>
      <w:r w:rsidR="00F32B28">
        <w:rPr>
          <w:rtl/>
        </w:rPr>
        <w:t xml:space="preserve"> </w:t>
      </w:r>
      <w:r w:rsidR="00F32B28" w:rsidRPr="00F32B28">
        <w:rPr>
          <w:rtl/>
        </w:rPr>
        <w:t>العمالية</w:t>
      </w:r>
      <w:r w:rsidR="00F32B28">
        <w:rPr>
          <w:rtl/>
        </w:rPr>
        <w:t xml:space="preserve"> </w:t>
      </w:r>
      <w:r w:rsidR="00F32B28" w:rsidRPr="00F32B28">
        <w:rPr>
          <w:rtl/>
        </w:rPr>
        <w:t>وأوجه</w:t>
      </w:r>
      <w:r w:rsidR="00F32B28">
        <w:rPr>
          <w:rtl/>
        </w:rPr>
        <w:t xml:space="preserve"> </w:t>
      </w:r>
      <w:r w:rsidR="00F32B28" w:rsidRPr="00F32B28">
        <w:rPr>
          <w:rtl/>
        </w:rPr>
        <w:t>الانتصاف</w:t>
      </w:r>
      <w:r w:rsidR="00F32B28">
        <w:rPr>
          <w:rtl/>
        </w:rPr>
        <w:t xml:space="preserve"> </w:t>
      </w:r>
      <w:r w:rsidR="00F32B28" w:rsidRPr="00F32B28">
        <w:rPr>
          <w:rtl/>
        </w:rPr>
        <w:t>العمالية</w:t>
      </w:r>
      <w:r w:rsidR="00F32B28">
        <w:rPr>
          <w:rtl/>
        </w:rPr>
        <w:t xml:space="preserve"> </w:t>
      </w:r>
      <w:r w:rsidR="00F32B28" w:rsidRPr="00F32B28">
        <w:rPr>
          <w:rtl/>
        </w:rPr>
        <w:t>المتاحة</w:t>
      </w:r>
      <w:r w:rsidR="00F32B28">
        <w:rPr>
          <w:rtl/>
        </w:rPr>
        <w:t xml:space="preserve"> </w:t>
      </w:r>
      <w:r w:rsidR="00F32B28" w:rsidRPr="00F32B28">
        <w:rPr>
          <w:rtl/>
        </w:rPr>
        <w:t>أمامهن</w:t>
      </w:r>
      <w:r w:rsidR="00F32B28">
        <w:rPr>
          <w:rtl/>
        </w:rPr>
        <w:t xml:space="preserve"> </w:t>
      </w:r>
      <w:r w:rsidR="00F32B28" w:rsidRPr="00F32B28">
        <w:rPr>
          <w:rtl/>
        </w:rPr>
        <w:t>وتعزيز</w:t>
      </w:r>
      <w:r w:rsidR="00F32B28">
        <w:rPr>
          <w:rtl/>
        </w:rPr>
        <w:t xml:space="preserve"> </w:t>
      </w:r>
      <w:r w:rsidR="00F32B28" w:rsidRPr="00F32B28">
        <w:rPr>
          <w:rtl/>
        </w:rPr>
        <w:t>قدرتهن</w:t>
      </w:r>
      <w:r w:rsidR="00F32B28">
        <w:rPr>
          <w:rtl/>
        </w:rPr>
        <w:t xml:space="preserve"> </w:t>
      </w:r>
      <w:r w:rsidR="00F32B28" w:rsidRPr="00F32B28">
        <w:rPr>
          <w:rtl/>
        </w:rPr>
        <w:t>على</w:t>
      </w:r>
      <w:r w:rsidR="00F32B28">
        <w:rPr>
          <w:rtl/>
        </w:rPr>
        <w:t xml:space="preserve"> </w:t>
      </w:r>
      <w:r w:rsidR="00F32B28" w:rsidRPr="00F32B28">
        <w:rPr>
          <w:rtl/>
        </w:rPr>
        <w:t>المطالبة</w:t>
      </w:r>
      <w:r w:rsidR="00F32B28">
        <w:rPr>
          <w:rtl/>
        </w:rPr>
        <w:t xml:space="preserve"> </w:t>
      </w:r>
      <w:r w:rsidR="00F32B28" w:rsidRPr="00F32B28">
        <w:rPr>
          <w:rtl/>
        </w:rPr>
        <w:t>بها.</w:t>
      </w:r>
    </w:p>
    <w:p w:rsidR="00F32B28" w:rsidRPr="00F32B28" w:rsidRDefault="00D652E9" w:rsidP="00D652E9">
      <w:pPr>
        <w:pStyle w:val="SingleTxt"/>
      </w:pPr>
      <w:r>
        <w:rPr>
          <w:rFonts w:hint="cs"/>
          <w:rtl/>
        </w:rPr>
        <w:t xml:space="preserve">209 - </w:t>
      </w:r>
      <w:r w:rsidR="00F32B28" w:rsidRPr="00F32B28">
        <w:rPr>
          <w:rtl/>
        </w:rPr>
        <w:t>أما</w:t>
      </w:r>
      <w:r w:rsidR="00F32B28">
        <w:rPr>
          <w:rtl/>
        </w:rPr>
        <w:t xml:space="preserve"> </w:t>
      </w:r>
      <w:r w:rsidR="00F32B28" w:rsidRPr="00F32B28">
        <w:rPr>
          <w:rtl/>
        </w:rPr>
        <w:t>بالنسبة</w:t>
      </w:r>
      <w:r w:rsidR="00F32B28">
        <w:rPr>
          <w:rtl/>
        </w:rPr>
        <w:t xml:space="preserve"> </w:t>
      </w:r>
      <w:r w:rsidR="00F32B28" w:rsidRPr="00F32B28">
        <w:rPr>
          <w:rtl/>
        </w:rPr>
        <w:t>للعاملات</w:t>
      </w:r>
      <w:r w:rsidR="00F32B28">
        <w:rPr>
          <w:rtl/>
        </w:rPr>
        <w:t xml:space="preserve"> </w:t>
      </w:r>
      <w:r w:rsidR="00F32B28" w:rsidRPr="00F32B28">
        <w:rPr>
          <w:rtl/>
        </w:rPr>
        <w:t>الحوامل</w:t>
      </w:r>
      <w:r w:rsidR="00F32B28">
        <w:rPr>
          <w:rtl/>
        </w:rPr>
        <w:t xml:space="preserve"> </w:t>
      </w:r>
      <w:r w:rsidR="00F32B28" w:rsidRPr="00F32B28">
        <w:rPr>
          <w:rtl/>
        </w:rPr>
        <w:t>والمرضعات،</w:t>
      </w:r>
      <w:r w:rsidR="00F32B28">
        <w:rPr>
          <w:rtl/>
        </w:rPr>
        <w:t xml:space="preserve"> </w:t>
      </w:r>
      <w:r w:rsidR="00F32B28" w:rsidRPr="00F32B28">
        <w:rPr>
          <w:rtl/>
        </w:rPr>
        <w:t>تحظر</w:t>
      </w:r>
      <w:r w:rsidR="00F32B28">
        <w:rPr>
          <w:rtl/>
        </w:rPr>
        <w:t xml:space="preserve"> </w:t>
      </w:r>
      <w:r w:rsidR="00F32B28" w:rsidRPr="00F32B28">
        <w:rPr>
          <w:rtl/>
        </w:rPr>
        <w:t>التشريعات</w:t>
      </w:r>
      <w:r w:rsidR="00F32B28">
        <w:rPr>
          <w:rtl/>
        </w:rPr>
        <w:t xml:space="preserve"> </w:t>
      </w:r>
      <w:r w:rsidR="00F32B28" w:rsidRPr="00F32B28">
        <w:rPr>
          <w:rtl/>
        </w:rPr>
        <w:t>تشغيلهن</w:t>
      </w:r>
      <w:r w:rsidR="00F32B28">
        <w:rPr>
          <w:rtl/>
        </w:rPr>
        <w:t xml:space="preserve"> </w:t>
      </w:r>
      <w:r w:rsidR="00F32B28" w:rsidRPr="00F32B28">
        <w:rPr>
          <w:rtl/>
        </w:rPr>
        <w:t>لساعات</w:t>
      </w:r>
      <w:r w:rsidR="00F32B28">
        <w:rPr>
          <w:rtl/>
        </w:rPr>
        <w:t xml:space="preserve"> </w:t>
      </w:r>
      <w:r w:rsidR="00F32B28" w:rsidRPr="00F32B28">
        <w:rPr>
          <w:rtl/>
        </w:rPr>
        <w:t>عمل</w:t>
      </w:r>
      <w:r w:rsidR="00F32B28">
        <w:rPr>
          <w:rtl/>
        </w:rPr>
        <w:t xml:space="preserve"> </w:t>
      </w:r>
      <w:r w:rsidR="00F32B28" w:rsidRPr="00F32B28">
        <w:rPr>
          <w:rtl/>
        </w:rPr>
        <w:t>إضافية</w:t>
      </w:r>
      <w:r w:rsidR="00F32B28">
        <w:rPr>
          <w:rtl/>
        </w:rPr>
        <w:t xml:space="preserve"> </w:t>
      </w:r>
      <w:r w:rsidR="00F32B28" w:rsidRPr="00F32B28">
        <w:rPr>
          <w:rtl/>
        </w:rPr>
        <w:t>أثناء</w:t>
      </w:r>
      <w:r w:rsidR="00F32B28">
        <w:rPr>
          <w:rtl/>
        </w:rPr>
        <w:t xml:space="preserve"> </w:t>
      </w:r>
      <w:r w:rsidR="00F32B28" w:rsidRPr="00F32B28">
        <w:rPr>
          <w:rtl/>
        </w:rPr>
        <w:t>الحمل</w:t>
      </w:r>
      <w:r w:rsidR="00F32B28">
        <w:rPr>
          <w:rtl/>
        </w:rPr>
        <w:t xml:space="preserve"> </w:t>
      </w:r>
      <w:r w:rsidR="00F32B28" w:rsidRPr="00F32B28">
        <w:rPr>
          <w:rtl/>
        </w:rPr>
        <w:t>والستة</w:t>
      </w:r>
      <w:r w:rsidR="00F32B28">
        <w:rPr>
          <w:rtl/>
        </w:rPr>
        <w:t xml:space="preserve"> </w:t>
      </w:r>
      <w:r w:rsidR="00F32B28" w:rsidRPr="00F32B28">
        <w:rPr>
          <w:rtl/>
        </w:rPr>
        <w:t>أشهر</w:t>
      </w:r>
      <w:r w:rsidR="00F32B28">
        <w:rPr>
          <w:rtl/>
        </w:rPr>
        <w:t xml:space="preserve"> </w:t>
      </w:r>
      <w:r w:rsidR="00F32B28" w:rsidRPr="00F32B28">
        <w:rPr>
          <w:rtl/>
        </w:rPr>
        <w:t>التالية</w:t>
      </w:r>
      <w:r w:rsidR="00F32B28">
        <w:rPr>
          <w:rtl/>
        </w:rPr>
        <w:t xml:space="preserve"> </w:t>
      </w:r>
      <w:r w:rsidR="00F32B28" w:rsidRPr="00F32B28">
        <w:rPr>
          <w:rtl/>
        </w:rPr>
        <w:t>للولادة</w:t>
      </w:r>
      <w:r w:rsidR="00F32B28">
        <w:rPr>
          <w:rtl/>
        </w:rPr>
        <w:t xml:space="preserve"> </w:t>
      </w:r>
      <w:r w:rsidR="00F32B28" w:rsidRPr="00F32B28">
        <w:rPr>
          <w:rtl/>
        </w:rPr>
        <w:t>في</w:t>
      </w:r>
      <w:r w:rsidR="00F32B28">
        <w:rPr>
          <w:rtl/>
        </w:rPr>
        <w:t xml:space="preserve"> </w:t>
      </w:r>
      <w:r w:rsidR="00F32B28" w:rsidRPr="00F32B28">
        <w:rPr>
          <w:rtl/>
        </w:rPr>
        <w:t>أي</w:t>
      </w:r>
      <w:r w:rsidR="00F32B28">
        <w:rPr>
          <w:rtl/>
        </w:rPr>
        <w:t xml:space="preserve"> </w:t>
      </w:r>
      <w:r w:rsidR="00F32B28" w:rsidRPr="00F32B28">
        <w:rPr>
          <w:rtl/>
        </w:rPr>
        <w:t>عمل</w:t>
      </w:r>
      <w:r w:rsidR="00F32B28">
        <w:rPr>
          <w:rtl/>
        </w:rPr>
        <w:t xml:space="preserve"> </w:t>
      </w:r>
      <w:r w:rsidR="00F32B28" w:rsidRPr="00F32B28">
        <w:rPr>
          <w:rtl/>
        </w:rPr>
        <w:t>كان،</w:t>
      </w:r>
      <w:r w:rsidR="00F32B28">
        <w:rPr>
          <w:rtl/>
        </w:rPr>
        <w:t xml:space="preserve"> </w:t>
      </w:r>
      <w:r w:rsidR="00F32B28" w:rsidRPr="00F32B28">
        <w:rPr>
          <w:rtl/>
        </w:rPr>
        <w:t>كما</w:t>
      </w:r>
      <w:r w:rsidR="00F32B28">
        <w:rPr>
          <w:rtl/>
        </w:rPr>
        <w:t xml:space="preserve"> </w:t>
      </w:r>
      <w:r w:rsidR="00F32B28" w:rsidRPr="00F32B28">
        <w:rPr>
          <w:rtl/>
        </w:rPr>
        <w:t>تحظر</w:t>
      </w:r>
      <w:r w:rsidR="00F32B28">
        <w:rPr>
          <w:rtl/>
        </w:rPr>
        <w:t xml:space="preserve"> </w:t>
      </w:r>
      <w:r w:rsidR="00F32B28" w:rsidRPr="00F32B28">
        <w:rPr>
          <w:rtl/>
        </w:rPr>
        <w:t>تشغيلهن</w:t>
      </w:r>
      <w:r w:rsidR="00F32B28">
        <w:rPr>
          <w:rtl/>
        </w:rPr>
        <w:t xml:space="preserve"> </w:t>
      </w:r>
      <w:r w:rsidR="00F32B28" w:rsidRPr="00F32B28">
        <w:rPr>
          <w:rtl/>
        </w:rPr>
        <w:t>في</w:t>
      </w:r>
      <w:r w:rsidR="00F32B28">
        <w:rPr>
          <w:rtl/>
        </w:rPr>
        <w:t xml:space="preserve"> </w:t>
      </w:r>
      <w:r w:rsidR="00F32B28" w:rsidRPr="00F32B28">
        <w:rPr>
          <w:rtl/>
        </w:rPr>
        <w:t>ال</w:t>
      </w:r>
      <w:r w:rsidR="00F32B28" w:rsidRPr="00F32B28">
        <w:rPr>
          <w:rtl/>
          <w:lang w:bidi="ar-LB"/>
        </w:rPr>
        <w:t>أ</w:t>
      </w:r>
      <w:r w:rsidR="00F32B28" w:rsidRPr="00F32B28">
        <w:rPr>
          <w:rtl/>
        </w:rPr>
        <w:t>عمال</w:t>
      </w:r>
      <w:r w:rsidR="00F32B28">
        <w:rPr>
          <w:rtl/>
        </w:rPr>
        <w:t xml:space="preserve"> </w:t>
      </w:r>
      <w:r w:rsidR="00F32B28" w:rsidRPr="00F32B28">
        <w:rPr>
          <w:rtl/>
        </w:rPr>
        <w:t>ذات</w:t>
      </w:r>
      <w:r w:rsidR="00F32B28">
        <w:rPr>
          <w:rtl/>
        </w:rPr>
        <w:t xml:space="preserve"> </w:t>
      </w:r>
      <w:r w:rsidR="00F32B28" w:rsidRPr="00F32B28">
        <w:rPr>
          <w:rtl/>
        </w:rPr>
        <w:t>طبيعة</w:t>
      </w:r>
      <w:r w:rsidR="00F32B28">
        <w:rPr>
          <w:rtl/>
        </w:rPr>
        <w:t xml:space="preserve"> </w:t>
      </w:r>
      <w:r w:rsidR="00F32B28" w:rsidRPr="00F32B28">
        <w:rPr>
          <w:rtl/>
        </w:rPr>
        <w:t>خطرة</w:t>
      </w:r>
      <w:r w:rsidR="00F32B28">
        <w:rPr>
          <w:rtl/>
        </w:rPr>
        <w:t xml:space="preserve"> </w:t>
      </w:r>
      <w:r w:rsidR="00F32B28" w:rsidRPr="00F32B28">
        <w:rPr>
          <w:rtl/>
        </w:rPr>
        <w:t>تؤثر</w:t>
      </w:r>
      <w:r w:rsidR="00F32B28">
        <w:rPr>
          <w:rtl/>
        </w:rPr>
        <w:t xml:space="preserve"> </w:t>
      </w:r>
      <w:r w:rsidR="00F32B28" w:rsidRPr="00F32B28">
        <w:rPr>
          <w:rtl/>
        </w:rPr>
        <w:t>سلبا</w:t>
      </w:r>
      <w:r w:rsidR="00F32B28" w:rsidRPr="00F32B28">
        <w:rPr>
          <w:rtl/>
          <w:lang w:bidi="ar-LB"/>
        </w:rPr>
        <w:t>ًفي</w:t>
      </w:r>
      <w:r w:rsidR="00F32B28">
        <w:rPr>
          <w:rtl/>
        </w:rPr>
        <w:t xml:space="preserve"> </w:t>
      </w:r>
      <w:r w:rsidR="00F32B28" w:rsidRPr="00F32B28">
        <w:rPr>
          <w:rtl/>
        </w:rPr>
        <w:t>صحتهن</w:t>
      </w:r>
      <w:r w:rsidR="00F32B28">
        <w:rPr>
          <w:rtl/>
        </w:rPr>
        <w:t xml:space="preserve"> </w:t>
      </w:r>
      <w:r w:rsidR="00F32B28" w:rsidRPr="00F32B28">
        <w:rPr>
          <w:rtl/>
        </w:rPr>
        <w:t>وصحة</w:t>
      </w:r>
      <w:r w:rsidR="00F32B28">
        <w:rPr>
          <w:rtl/>
        </w:rPr>
        <w:t xml:space="preserve"> </w:t>
      </w:r>
      <w:r w:rsidR="00F32B28" w:rsidRPr="00F32B28">
        <w:rPr>
          <w:rtl/>
        </w:rPr>
        <w:t>الجنين</w:t>
      </w:r>
      <w:r w:rsidR="00F32B28">
        <w:rPr>
          <w:rtl/>
        </w:rPr>
        <w:t xml:space="preserve"> </w:t>
      </w:r>
      <w:r w:rsidR="00F32B28" w:rsidRPr="00F32B28">
        <w:rPr>
          <w:rtl/>
        </w:rPr>
        <w:t>وصحة</w:t>
      </w:r>
      <w:r w:rsidR="00F32B28">
        <w:rPr>
          <w:rtl/>
        </w:rPr>
        <w:t xml:space="preserve"> </w:t>
      </w:r>
      <w:r w:rsidR="00F32B28" w:rsidRPr="00F32B28">
        <w:rPr>
          <w:rtl/>
        </w:rPr>
        <w:t>أطفالهن.</w:t>
      </w:r>
      <w:r w:rsidR="00F32B28">
        <w:rPr>
          <w:rtl/>
        </w:rPr>
        <w:t xml:space="preserve"> </w:t>
      </w:r>
      <w:r w:rsidR="00F32B28" w:rsidRPr="00F32B28">
        <w:rPr>
          <w:rtl/>
        </w:rPr>
        <w:t>ويلتزم</w:t>
      </w:r>
      <w:r w:rsidR="00F32B28">
        <w:rPr>
          <w:rtl/>
        </w:rPr>
        <w:t xml:space="preserve"> </w:t>
      </w:r>
      <w:r w:rsidR="00F32B28" w:rsidRPr="00F32B28">
        <w:rPr>
          <w:rtl/>
        </w:rPr>
        <w:t>رب</w:t>
      </w:r>
      <w:r w:rsidR="00F32B28">
        <w:rPr>
          <w:rtl/>
        </w:rPr>
        <w:t xml:space="preserve"> </w:t>
      </w:r>
      <w:r w:rsidR="00F32B28" w:rsidRPr="00F32B28">
        <w:rPr>
          <w:rtl/>
        </w:rPr>
        <w:t>العمل</w:t>
      </w:r>
      <w:r w:rsidR="00F32B28">
        <w:rPr>
          <w:rtl/>
        </w:rPr>
        <w:t xml:space="preserve"> </w:t>
      </w:r>
      <w:r w:rsidR="00F32B28" w:rsidRPr="00F32B28">
        <w:rPr>
          <w:rtl/>
        </w:rPr>
        <w:t>بتوفير</w:t>
      </w:r>
      <w:r w:rsidR="00F32B28">
        <w:rPr>
          <w:rtl/>
        </w:rPr>
        <w:t xml:space="preserve"> </w:t>
      </w:r>
      <w:r w:rsidR="00F32B28" w:rsidRPr="00F32B28">
        <w:rPr>
          <w:rtl/>
        </w:rPr>
        <w:t>وسائل</w:t>
      </w:r>
      <w:r w:rsidR="00F32B28">
        <w:rPr>
          <w:rtl/>
        </w:rPr>
        <w:t xml:space="preserve"> </w:t>
      </w:r>
      <w:r w:rsidR="00F32B28" w:rsidRPr="00F32B28">
        <w:rPr>
          <w:rtl/>
        </w:rPr>
        <w:t>الحماية</w:t>
      </w:r>
      <w:r w:rsidR="00F32B28">
        <w:rPr>
          <w:rtl/>
        </w:rPr>
        <w:t xml:space="preserve"> </w:t>
      </w:r>
      <w:r w:rsidR="00F32B28" w:rsidRPr="00F32B28">
        <w:rPr>
          <w:rtl/>
        </w:rPr>
        <w:t>الشخصية</w:t>
      </w:r>
      <w:r w:rsidR="00F32B28">
        <w:rPr>
          <w:rtl/>
        </w:rPr>
        <w:t xml:space="preserve"> </w:t>
      </w:r>
      <w:r w:rsidR="00F32B28" w:rsidRPr="00F32B28">
        <w:rPr>
          <w:rtl/>
        </w:rPr>
        <w:t>والوقاية</w:t>
      </w:r>
      <w:r w:rsidR="00F32B28">
        <w:rPr>
          <w:rtl/>
        </w:rPr>
        <w:t xml:space="preserve"> </w:t>
      </w:r>
      <w:r w:rsidR="00F32B28" w:rsidRPr="00F32B28">
        <w:rPr>
          <w:rtl/>
        </w:rPr>
        <w:t>للعاملين</w:t>
      </w:r>
      <w:r w:rsidR="00F32B28">
        <w:rPr>
          <w:rtl/>
        </w:rPr>
        <w:t xml:space="preserve"> </w:t>
      </w:r>
      <w:r w:rsidR="00F32B28" w:rsidRPr="00F32B28">
        <w:rPr>
          <w:rtl/>
        </w:rPr>
        <w:t>من</w:t>
      </w:r>
      <w:r w:rsidR="00F32B28">
        <w:rPr>
          <w:rtl/>
        </w:rPr>
        <w:t xml:space="preserve"> </w:t>
      </w:r>
      <w:r w:rsidR="00F32B28" w:rsidRPr="00F32B28">
        <w:rPr>
          <w:rtl/>
        </w:rPr>
        <w:t>أخطار</w:t>
      </w:r>
      <w:r w:rsidR="00F32B28">
        <w:rPr>
          <w:rtl/>
        </w:rPr>
        <w:t xml:space="preserve"> </w:t>
      </w:r>
      <w:r w:rsidR="00F32B28" w:rsidRPr="00F32B28">
        <w:rPr>
          <w:rtl/>
        </w:rPr>
        <w:t>العمل</w:t>
      </w:r>
      <w:r w:rsidR="00F32B28">
        <w:rPr>
          <w:rtl/>
        </w:rPr>
        <w:t xml:space="preserve"> </w:t>
      </w:r>
      <w:r w:rsidR="00F32B28" w:rsidRPr="00F32B28">
        <w:rPr>
          <w:rtl/>
        </w:rPr>
        <w:t>وأمراض</w:t>
      </w:r>
      <w:r w:rsidR="00F32B28">
        <w:rPr>
          <w:rtl/>
        </w:rPr>
        <w:t xml:space="preserve"> </w:t>
      </w:r>
      <w:r w:rsidR="00F32B28" w:rsidRPr="00F32B28">
        <w:rPr>
          <w:rtl/>
        </w:rPr>
        <w:t>المهنة</w:t>
      </w:r>
      <w:r w:rsidR="00F32B28">
        <w:rPr>
          <w:rtl/>
        </w:rPr>
        <w:t xml:space="preserve"> </w:t>
      </w:r>
      <w:r w:rsidR="00F32B28" w:rsidRPr="00F32B28">
        <w:rPr>
          <w:rtl/>
        </w:rPr>
        <w:t>الشروط</w:t>
      </w:r>
      <w:r w:rsidR="00F32B28">
        <w:rPr>
          <w:rtl/>
        </w:rPr>
        <w:t xml:space="preserve"> </w:t>
      </w:r>
      <w:r w:rsidR="00F32B28" w:rsidRPr="00F32B28">
        <w:rPr>
          <w:rtl/>
        </w:rPr>
        <w:t>الصحية</w:t>
      </w:r>
      <w:r w:rsidR="00F32B28">
        <w:rPr>
          <w:rtl/>
        </w:rPr>
        <w:t xml:space="preserve"> </w:t>
      </w:r>
      <w:r w:rsidR="00F32B28" w:rsidRPr="00F32B28">
        <w:rPr>
          <w:rtl/>
        </w:rPr>
        <w:t>اللازمة</w:t>
      </w:r>
      <w:r w:rsidR="00F32B28">
        <w:rPr>
          <w:rtl/>
        </w:rPr>
        <w:t xml:space="preserve"> </w:t>
      </w:r>
      <w:r w:rsidR="00F32B28" w:rsidRPr="00F32B28">
        <w:rPr>
          <w:rtl/>
        </w:rPr>
        <w:t>في</w:t>
      </w:r>
      <w:r w:rsidR="00F32B28">
        <w:rPr>
          <w:rtl/>
        </w:rPr>
        <w:t xml:space="preserve"> </w:t>
      </w:r>
      <w:r w:rsidR="00F32B28" w:rsidRPr="00F32B28">
        <w:rPr>
          <w:rtl/>
        </w:rPr>
        <w:t>أماكن</w:t>
      </w:r>
      <w:r w:rsidR="00F32B28">
        <w:rPr>
          <w:rtl/>
        </w:rPr>
        <w:t xml:space="preserve"> </w:t>
      </w:r>
      <w:r w:rsidR="00F32B28" w:rsidRPr="00F32B28">
        <w:rPr>
          <w:rtl/>
        </w:rPr>
        <w:t>العمل</w:t>
      </w:r>
      <w:r>
        <w:rPr>
          <w:rFonts w:hint="cs"/>
          <w:rtl/>
        </w:rPr>
        <w:t xml:space="preserve"> </w:t>
      </w:r>
      <w:r w:rsidR="00F32B28" w:rsidRPr="00F32B28">
        <w:rPr>
          <w:rtl/>
        </w:rPr>
        <w:t>ووسائل</w:t>
      </w:r>
      <w:r w:rsidR="00F32B28">
        <w:rPr>
          <w:rtl/>
        </w:rPr>
        <w:t xml:space="preserve"> </w:t>
      </w:r>
      <w:r w:rsidR="00F32B28" w:rsidRPr="00F32B28">
        <w:rPr>
          <w:rtl/>
        </w:rPr>
        <w:t>الإسعاف</w:t>
      </w:r>
      <w:r w:rsidR="00F32B28">
        <w:rPr>
          <w:rtl/>
        </w:rPr>
        <w:t xml:space="preserve"> </w:t>
      </w:r>
      <w:r w:rsidR="00F32B28" w:rsidRPr="00F32B28">
        <w:rPr>
          <w:rtl/>
        </w:rPr>
        <w:t>الطبي</w:t>
      </w:r>
      <w:r w:rsidR="00F32B28">
        <w:rPr>
          <w:rtl/>
        </w:rPr>
        <w:t xml:space="preserve"> </w:t>
      </w:r>
      <w:r w:rsidR="00F32B28" w:rsidRPr="00F32B28">
        <w:rPr>
          <w:rtl/>
        </w:rPr>
        <w:t>للعمال</w:t>
      </w:r>
      <w:r w:rsidR="00F32B28">
        <w:rPr>
          <w:rtl/>
        </w:rPr>
        <w:t xml:space="preserve"> </w:t>
      </w:r>
      <w:r w:rsidR="00F32B28" w:rsidRPr="00F32B28">
        <w:rPr>
          <w:rtl/>
        </w:rPr>
        <w:t>في</w:t>
      </w:r>
      <w:r w:rsidR="00F32B28">
        <w:rPr>
          <w:rtl/>
        </w:rPr>
        <w:t xml:space="preserve"> </w:t>
      </w:r>
      <w:r w:rsidR="00F32B28" w:rsidRPr="00F32B28">
        <w:rPr>
          <w:rtl/>
        </w:rPr>
        <w:t>المنشأة</w:t>
      </w:r>
      <w:r>
        <w:rPr>
          <w:rFonts w:hint="cs"/>
          <w:rtl/>
        </w:rPr>
        <w:t xml:space="preserve"> </w:t>
      </w:r>
      <w:r w:rsidR="00F32B28" w:rsidRPr="00F32B28">
        <w:rPr>
          <w:rtl/>
        </w:rPr>
        <w:t>والفحص</w:t>
      </w:r>
      <w:r w:rsidR="00F32B28">
        <w:rPr>
          <w:rtl/>
        </w:rPr>
        <w:t xml:space="preserve"> </w:t>
      </w:r>
      <w:r w:rsidR="00F32B28" w:rsidRPr="00F32B28">
        <w:rPr>
          <w:rtl/>
        </w:rPr>
        <w:t>الطبي</w:t>
      </w:r>
      <w:r w:rsidR="00F32B28">
        <w:rPr>
          <w:rtl/>
        </w:rPr>
        <w:t xml:space="preserve"> </w:t>
      </w:r>
      <w:r w:rsidR="00F32B28" w:rsidRPr="00F32B28">
        <w:rPr>
          <w:rtl/>
        </w:rPr>
        <w:t>الدوري</w:t>
      </w:r>
      <w:r w:rsidR="00F32B28">
        <w:rPr>
          <w:rtl/>
        </w:rPr>
        <w:t xml:space="preserve"> </w:t>
      </w:r>
      <w:r w:rsidR="00F32B28" w:rsidRPr="00F32B28">
        <w:rPr>
          <w:rtl/>
        </w:rPr>
        <w:t>للعمال</w:t>
      </w:r>
      <w:r w:rsidR="00F32B28">
        <w:rPr>
          <w:rtl/>
        </w:rPr>
        <w:t xml:space="preserve"> </w:t>
      </w:r>
      <w:r w:rsidR="00F32B28" w:rsidRPr="00F32B28">
        <w:rPr>
          <w:rtl/>
        </w:rPr>
        <w:t>والعاملات،</w:t>
      </w:r>
      <w:r w:rsidR="00F32B28">
        <w:rPr>
          <w:rtl/>
        </w:rPr>
        <w:t xml:space="preserve"> </w:t>
      </w:r>
      <w:r w:rsidR="00F32B28" w:rsidRPr="00F32B28">
        <w:rPr>
          <w:rtl/>
        </w:rPr>
        <w:t>وحظر</w:t>
      </w:r>
      <w:r w:rsidR="00F32B28">
        <w:rPr>
          <w:rtl/>
        </w:rPr>
        <w:t xml:space="preserve"> </w:t>
      </w:r>
      <w:r w:rsidR="00F32B28" w:rsidRPr="00F32B28">
        <w:rPr>
          <w:rtl/>
        </w:rPr>
        <w:t>تحميل</w:t>
      </w:r>
      <w:r w:rsidR="00F32B28">
        <w:rPr>
          <w:rtl/>
        </w:rPr>
        <w:t xml:space="preserve"> </w:t>
      </w:r>
      <w:r w:rsidR="00F32B28" w:rsidRPr="00F32B28">
        <w:rPr>
          <w:rtl/>
        </w:rPr>
        <w:t>العامل</w:t>
      </w:r>
      <w:r w:rsidR="00F32B28">
        <w:rPr>
          <w:rtl/>
        </w:rPr>
        <w:t xml:space="preserve"> </w:t>
      </w:r>
      <w:r w:rsidR="00F32B28" w:rsidRPr="00F32B28">
        <w:rPr>
          <w:rtl/>
        </w:rPr>
        <w:t>أو</w:t>
      </w:r>
      <w:r w:rsidR="00F32B28">
        <w:rPr>
          <w:rtl/>
        </w:rPr>
        <w:t xml:space="preserve"> </w:t>
      </w:r>
      <w:r w:rsidR="00F32B28" w:rsidRPr="00F32B28">
        <w:rPr>
          <w:rtl/>
        </w:rPr>
        <w:t>العاملة</w:t>
      </w:r>
      <w:r w:rsidR="00F32B28">
        <w:rPr>
          <w:rtl/>
        </w:rPr>
        <w:t xml:space="preserve"> </w:t>
      </w:r>
      <w:r w:rsidR="00F32B28" w:rsidRPr="00F32B28">
        <w:rPr>
          <w:rtl/>
        </w:rPr>
        <w:t>أية</w:t>
      </w:r>
      <w:r w:rsidR="00F32B28">
        <w:rPr>
          <w:rtl/>
        </w:rPr>
        <w:t xml:space="preserve"> </w:t>
      </w:r>
      <w:r w:rsidR="00F32B28" w:rsidRPr="00F32B28">
        <w:rPr>
          <w:rtl/>
        </w:rPr>
        <w:t>نفقات</w:t>
      </w:r>
      <w:r w:rsidR="00F32B28">
        <w:rPr>
          <w:rtl/>
        </w:rPr>
        <w:t xml:space="preserve"> </w:t>
      </w:r>
      <w:r w:rsidR="00F32B28" w:rsidRPr="00F32B28">
        <w:rPr>
          <w:rtl/>
        </w:rPr>
        <w:t>لتوفير</w:t>
      </w:r>
      <w:r w:rsidR="00F32B28">
        <w:rPr>
          <w:rtl/>
        </w:rPr>
        <w:t xml:space="preserve"> </w:t>
      </w:r>
      <w:r w:rsidR="00F32B28" w:rsidRPr="00F32B28">
        <w:rPr>
          <w:rtl/>
        </w:rPr>
        <w:t>هذه</w:t>
      </w:r>
      <w:r w:rsidR="00F32B28">
        <w:rPr>
          <w:rtl/>
        </w:rPr>
        <w:t xml:space="preserve"> </w:t>
      </w:r>
      <w:r w:rsidR="00F32B28" w:rsidRPr="00F32B28">
        <w:rPr>
          <w:rtl/>
        </w:rPr>
        <w:t>توفير</w:t>
      </w:r>
      <w:r w:rsidR="00F32B28">
        <w:rPr>
          <w:rtl/>
        </w:rPr>
        <w:t xml:space="preserve"> </w:t>
      </w:r>
      <w:r w:rsidR="00F32B28" w:rsidRPr="00F32B28">
        <w:rPr>
          <w:rtl/>
        </w:rPr>
        <w:t>شروط</w:t>
      </w:r>
      <w:r w:rsidR="00F32B28">
        <w:rPr>
          <w:rtl/>
        </w:rPr>
        <w:t xml:space="preserve"> </w:t>
      </w:r>
      <w:r w:rsidR="00F32B28" w:rsidRPr="00F32B28">
        <w:rPr>
          <w:rtl/>
        </w:rPr>
        <w:t>السلامة</w:t>
      </w:r>
      <w:r w:rsidR="00F32B28">
        <w:rPr>
          <w:rtl/>
        </w:rPr>
        <w:t xml:space="preserve"> </w:t>
      </w:r>
      <w:r w:rsidR="00F32B28" w:rsidRPr="00F32B28">
        <w:rPr>
          <w:rtl/>
        </w:rPr>
        <w:t>والصحة</w:t>
      </w:r>
      <w:r w:rsidR="00F32B28">
        <w:rPr>
          <w:rtl/>
        </w:rPr>
        <w:t xml:space="preserve"> </w:t>
      </w:r>
      <w:r w:rsidR="00F32B28" w:rsidRPr="00F32B28">
        <w:rPr>
          <w:rtl/>
        </w:rPr>
        <w:t>المهنية.</w:t>
      </w:r>
    </w:p>
    <w:p w:rsidR="00F32B28" w:rsidRPr="00F32B28" w:rsidRDefault="00D652E9" w:rsidP="00D652E9">
      <w:pPr>
        <w:pStyle w:val="SingleTxt"/>
      </w:pPr>
      <w:r>
        <w:rPr>
          <w:rFonts w:hint="cs"/>
          <w:rtl/>
        </w:rPr>
        <w:lastRenderedPageBreak/>
        <w:t xml:space="preserve">210 - </w:t>
      </w:r>
      <w:r w:rsidR="00F32B28" w:rsidRPr="00F32B28">
        <w:rPr>
          <w:rtl/>
        </w:rPr>
        <w:t>تخصص</w:t>
      </w:r>
      <w:r w:rsidR="00F32B28">
        <w:rPr>
          <w:rtl/>
        </w:rPr>
        <w:t xml:space="preserve"> </w:t>
      </w:r>
      <w:r w:rsidR="00F32B28" w:rsidRPr="00F32B28">
        <w:rPr>
          <w:rtl/>
        </w:rPr>
        <w:t>التشريعات</w:t>
      </w:r>
      <w:r w:rsidR="00F32B28">
        <w:rPr>
          <w:rtl/>
        </w:rPr>
        <w:t xml:space="preserve"> </w:t>
      </w:r>
      <w:r w:rsidR="00F32B28" w:rsidRPr="00F32B28">
        <w:rPr>
          <w:rtl/>
        </w:rPr>
        <w:t>السارية</w:t>
      </w:r>
      <w:r w:rsidR="00F32B28">
        <w:rPr>
          <w:rtl/>
        </w:rPr>
        <w:t xml:space="preserve"> </w:t>
      </w:r>
      <w:r w:rsidR="00F32B28" w:rsidRPr="00F32B28">
        <w:rPr>
          <w:rtl/>
        </w:rPr>
        <w:t>نسبة</w:t>
      </w:r>
      <w:r w:rsidR="00F32B28">
        <w:rPr>
          <w:rtl/>
        </w:rPr>
        <w:t xml:space="preserve"> </w:t>
      </w:r>
      <w:r w:rsidR="00F32B28" w:rsidRPr="00F32B28">
        <w:rPr>
          <w:rtl/>
        </w:rPr>
        <w:t>لا</w:t>
      </w:r>
      <w:r w:rsidR="00F32B28">
        <w:rPr>
          <w:rtl/>
        </w:rPr>
        <w:t xml:space="preserve"> </w:t>
      </w:r>
      <w:r w:rsidR="00F32B28" w:rsidRPr="00F32B28">
        <w:rPr>
          <w:rtl/>
        </w:rPr>
        <w:t>تقل</w:t>
      </w:r>
      <w:r w:rsidR="00F32B28">
        <w:rPr>
          <w:rtl/>
        </w:rPr>
        <w:t xml:space="preserve"> </w:t>
      </w:r>
      <w:r w:rsidR="00F32B28" w:rsidRPr="00F32B28">
        <w:rPr>
          <w:rtl/>
        </w:rPr>
        <w:t>عن</w:t>
      </w:r>
      <w:r w:rsidR="00F32B28">
        <w:rPr>
          <w:rtl/>
        </w:rPr>
        <w:t xml:space="preserve"> </w:t>
      </w:r>
      <w:r w:rsidR="00F32B28" w:rsidRPr="00F32B28">
        <w:rPr>
          <w:rtl/>
        </w:rPr>
        <w:t>5</w:t>
      </w:r>
      <w:r w:rsidR="00851F93">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الوظائف</w:t>
      </w:r>
      <w:r w:rsidR="00F32B28">
        <w:rPr>
          <w:rtl/>
        </w:rPr>
        <w:t xml:space="preserve"> </w:t>
      </w:r>
      <w:r w:rsidR="00F32B28" w:rsidRPr="00F32B28">
        <w:rPr>
          <w:rtl/>
        </w:rPr>
        <w:t>للأشخاص</w:t>
      </w:r>
      <w:r w:rsidR="00F32B28">
        <w:rPr>
          <w:rtl/>
        </w:rPr>
        <w:t xml:space="preserve"> </w:t>
      </w:r>
      <w:r w:rsidR="00F32B28" w:rsidRPr="00F32B28">
        <w:rPr>
          <w:rtl/>
        </w:rPr>
        <w:t>ذوي</w:t>
      </w:r>
      <w:r w:rsidR="00F32B28">
        <w:rPr>
          <w:rtl/>
        </w:rPr>
        <w:t xml:space="preserve"> </w:t>
      </w:r>
      <w:r w:rsidR="00F32B28" w:rsidRPr="00F32B28">
        <w:rPr>
          <w:rtl/>
        </w:rPr>
        <w:t>الإعاقة</w:t>
      </w:r>
      <w:r w:rsidR="00F32B28">
        <w:rPr>
          <w:rtl/>
        </w:rPr>
        <w:t xml:space="preserve"> </w:t>
      </w:r>
      <w:r w:rsidR="00F32B28" w:rsidRPr="00F32B28">
        <w:rPr>
          <w:rtl/>
        </w:rPr>
        <w:t>في</w:t>
      </w:r>
      <w:r w:rsidR="00F32B28">
        <w:rPr>
          <w:rtl/>
        </w:rPr>
        <w:t xml:space="preserve"> </w:t>
      </w:r>
      <w:r w:rsidR="00F32B28" w:rsidRPr="00F32B28">
        <w:rPr>
          <w:rtl/>
        </w:rPr>
        <w:t>جميع</w:t>
      </w:r>
      <w:r w:rsidR="00F32B28">
        <w:rPr>
          <w:rtl/>
        </w:rPr>
        <w:t xml:space="preserve"> </w:t>
      </w:r>
      <w:r w:rsidR="00F32B28" w:rsidRPr="00F32B28">
        <w:rPr>
          <w:rtl/>
        </w:rPr>
        <w:t>المؤسسات</w:t>
      </w:r>
      <w:r w:rsidR="00F32B28">
        <w:rPr>
          <w:rtl/>
        </w:rPr>
        <w:t xml:space="preserve"> </w:t>
      </w:r>
      <w:r w:rsidR="00F32B28" w:rsidRPr="00F32B28">
        <w:rPr>
          <w:rtl/>
        </w:rPr>
        <w:t>الحكومية</w:t>
      </w:r>
      <w:r w:rsidR="00F32B28">
        <w:rPr>
          <w:rtl/>
        </w:rPr>
        <w:t xml:space="preserve"> </w:t>
      </w:r>
      <w:r w:rsidR="00F32B28" w:rsidRPr="00F32B28">
        <w:rPr>
          <w:rtl/>
        </w:rPr>
        <w:t>وغير</w:t>
      </w:r>
      <w:r w:rsidR="00F32B28">
        <w:rPr>
          <w:rtl/>
        </w:rPr>
        <w:t xml:space="preserve"> </w:t>
      </w:r>
      <w:r w:rsidR="00F32B28" w:rsidRPr="00F32B28">
        <w:rPr>
          <w:rtl/>
        </w:rPr>
        <w:t>الحكومية</w:t>
      </w:r>
      <w:r w:rsidR="00F32B28">
        <w:rPr>
          <w:rtl/>
        </w:rPr>
        <w:t xml:space="preserve"> </w:t>
      </w:r>
      <w:r w:rsidR="00F32B28" w:rsidRPr="00F32B28">
        <w:rPr>
          <w:rtl/>
        </w:rPr>
        <w:t>وبما</w:t>
      </w:r>
      <w:r w:rsidR="00F32B28">
        <w:rPr>
          <w:rtl/>
        </w:rPr>
        <w:t xml:space="preserve"> </w:t>
      </w:r>
      <w:r w:rsidR="00F32B28" w:rsidRPr="00F32B28">
        <w:rPr>
          <w:rtl/>
        </w:rPr>
        <w:t>يتناسب</w:t>
      </w:r>
      <w:r w:rsidR="00F32B28">
        <w:rPr>
          <w:rtl/>
        </w:rPr>
        <w:t xml:space="preserve"> </w:t>
      </w:r>
      <w:r w:rsidR="00F32B28" w:rsidRPr="00F32B28">
        <w:rPr>
          <w:rtl/>
        </w:rPr>
        <w:t>مع</w:t>
      </w:r>
      <w:r w:rsidR="00F32B28">
        <w:rPr>
          <w:rtl/>
        </w:rPr>
        <w:t xml:space="preserve"> </w:t>
      </w:r>
      <w:r w:rsidR="00F32B28" w:rsidRPr="00F32B28">
        <w:rPr>
          <w:rtl/>
        </w:rPr>
        <w:t>طبيعة</w:t>
      </w:r>
      <w:r w:rsidR="00F32B28">
        <w:rPr>
          <w:rtl/>
        </w:rPr>
        <w:t xml:space="preserve"> </w:t>
      </w:r>
      <w:r w:rsidR="00F32B28" w:rsidRPr="00F32B28">
        <w:rPr>
          <w:rtl/>
        </w:rPr>
        <w:t>العمل</w:t>
      </w:r>
      <w:r w:rsidR="00F32B28">
        <w:rPr>
          <w:rtl/>
        </w:rPr>
        <w:t xml:space="preserve"> </w:t>
      </w:r>
      <w:r w:rsidR="00F32B28" w:rsidRPr="00F32B28">
        <w:rPr>
          <w:rtl/>
        </w:rPr>
        <w:t>في</w:t>
      </w:r>
      <w:r w:rsidR="00F32B28">
        <w:rPr>
          <w:rtl/>
        </w:rPr>
        <w:t xml:space="preserve"> </w:t>
      </w:r>
      <w:r w:rsidR="00F32B28" w:rsidRPr="00F32B28">
        <w:rPr>
          <w:rtl/>
        </w:rPr>
        <w:t>تلك</w:t>
      </w:r>
      <w:r w:rsidR="00F32B28">
        <w:rPr>
          <w:rtl/>
        </w:rPr>
        <w:t xml:space="preserve"> </w:t>
      </w:r>
      <w:r w:rsidR="00F32B28" w:rsidRPr="00F32B28">
        <w:rPr>
          <w:rtl/>
        </w:rPr>
        <w:t>المؤسسات،</w:t>
      </w:r>
      <w:r w:rsidR="00F32B28">
        <w:rPr>
          <w:rtl/>
        </w:rPr>
        <w:t xml:space="preserve"> </w:t>
      </w:r>
      <w:r w:rsidR="00F32B28" w:rsidRPr="00F32B28">
        <w:rPr>
          <w:rtl/>
        </w:rPr>
        <w:t>كما</w:t>
      </w:r>
      <w:r w:rsidR="00F32B28">
        <w:rPr>
          <w:rtl/>
        </w:rPr>
        <w:t xml:space="preserve"> </w:t>
      </w:r>
      <w:r w:rsidR="00F32B28" w:rsidRPr="00F32B28">
        <w:rPr>
          <w:rtl/>
        </w:rPr>
        <w:t>وتلتزم</w:t>
      </w:r>
      <w:r w:rsidR="00F32B28">
        <w:rPr>
          <w:rtl/>
        </w:rPr>
        <w:t xml:space="preserve"> </w:t>
      </w:r>
      <w:r w:rsidR="00F32B28" w:rsidRPr="00F32B28">
        <w:rPr>
          <w:rtl/>
        </w:rPr>
        <w:t>وزارة</w:t>
      </w:r>
      <w:r w:rsidR="00F32B28">
        <w:rPr>
          <w:rtl/>
        </w:rPr>
        <w:t xml:space="preserve"> </w:t>
      </w:r>
      <w:r w:rsidR="00F32B28" w:rsidRPr="00F32B28">
        <w:rPr>
          <w:rtl/>
        </w:rPr>
        <w:t>العمل</w:t>
      </w:r>
      <w:r w:rsidR="00F32B28">
        <w:rPr>
          <w:rtl/>
        </w:rPr>
        <w:t xml:space="preserve"> </w:t>
      </w:r>
      <w:r w:rsidR="00F32B28" w:rsidRPr="00F32B28">
        <w:rPr>
          <w:rtl/>
        </w:rPr>
        <w:t>بتطوير</w:t>
      </w:r>
      <w:r w:rsidR="00F32B28">
        <w:rPr>
          <w:rtl/>
        </w:rPr>
        <w:t xml:space="preserve"> </w:t>
      </w:r>
      <w:r w:rsidR="00F32B28" w:rsidRPr="00F32B28">
        <w:rPr>
          <w:rtl/>
        </w:rPr>
        <w:t>برامج</w:t>
      </w:r>
      <w:r w:rsidR="00F32B28">
        <w:rPr>
          <w:rtl/>
        </w:rPr>
        <w:t xml:space="preserve"> </w:t>
      </w:r>
      <w:r w:rsidR="00F32B28" w:rsidRPr="00F32B28">
        <w:rPr>
          <w:rtl/>
        </w:rPr>
        <w:t>التدريب</w:t>
      </w:r>
      <w:r w:rsidR="00F32B28">
        <w:rPr>
          <w:rtl/>
        </w:rPr>
        <w:t xml:space="preserve"> </w:t>
      </w:r>
      <w:r w:rsidR="00F32B28" w:rsidRPr="00F32B28">
        <w:rPr>
          <w:rtl/>
        </w:rPr>
        <w:t>المهني</w:t>
      </w:r>
      <w:r w:rsidR="00F32B28">
        <w:rPr>
          <w:rtl/>
        </w:rPr>
        <w:t xml:space="preserve"> </w:t>
      </w:r>
      <w:r w:rsidR="00F32B28" w:rsidRPr="00F32B28">
        <w:rPr>
          <w:rtl/>
        </w:rPr>
        <w:t>الهادفة</w:t>
      </w:r>
      <w:r w:rsidR="00F32B28">
        <w:rPr>
          <w:rtl/>
        </w:rPr>
        <w:t xml:space="preserve"> </w:t>
      </w:r>
      <w:r w:rsidR="00F32B28" w:rsidRPr="00F32B28">
        <w:rPr>
          <w:rtl/>
        </w:rPr>
        <w:t>لتأهيل</w:t>
      </w:r>
      <w:r w:rsidR="00F32B28">
        <w:rPr>
          <w:rtl/>
        </w:rPr>
        <w:t xml:space="preserve"> </w:t>
      </w:r>
      <w:r w:rsidR="00F32B28" w:rsidRPr="00F32B28">
        <w:rPr>
          <w:rtl/>
        </w:rPr>
        <w:t>العمل</w:t>
      </w:r>
      <w:r w:rsidR="00F32B28">
        <w:rPr>
          <w:rtl/>
        </w:rPr>
        <w:t xml:space="preserve"> </w:t>
      </w:r>
      <w:r w:rsidR="00F32B28" w:rsidRPr="00F32B28">
        <w:rPr>
          <w:rtl/>
        </w:rPr>
        <w:t>وفق</w:t>
      </w:r>
      <w:r w:rsidR="00F32B28">
        <w:rPr>
          <w:rtl/>
        </w:rPr>
        <w:t xml:space="preserve"> </w:t>
      </w:r>
      <w:r w:rsidR="00F32B28" w:rsidRPr="00F32B28">
        <w:rPr>
          <w:rtl/>
        </w:rPr>
        <w:t>احتياجات</w:t>
      </w:r>
      <w:r w:rsidR="00F32B28">
        <w:rPr>
          <w:rtl/>
        </w:rPr>
        <w:t xml:space="preserve"> </w:t>
      </w:r>
      <w:r w:rsidR="00F32B28" w:rsidRPr="00F32B28">
        <w:rPr>
          <w:rtl/>
        </w:rPr>
        <w:t>ذوي</w:t>
      </w:r>
      <w:r w:rsidR="00F32B28">
        <w:rPr>
          <w:rtl/>
        </w:rPr>
        <w:t xml:space="preserve"> </w:t>
      </w:r>
      <w:r w:rsidR="00F32B28" w:rsidRPr="00F32B28">
        <w:rPr>
          <w:rtl/>
        </w:rPr>
        <w:t>الإعاقة.</w:t>
      </w:r>
    </w:p>
    <w:p w:rsidR="00D652E9" w:rsidRPr="00D652E9" w:rsidRDefault="00D652E9" w:rsidP="00D652E9">
      <w:pPr>
        <w:pStyle w:val="SingleTxt"/>
        <w:spacing w:after="0" w:line="120" w:lineRule="exact"/>
        <w:rPr>
          <w:b/>
          <w:bCs/>
          <w:sz w:val="10"/>
          <w:rtl/>
        </w:rPr>
      </w:pPr>
    </w:p>
    <w:p w:rsidR="00F32B28" w:rsidRPr="00F32B28" w:rsidRDefault="00F32B28" w:rsidP="00F32B28">
      <w:pPr>
        <w:pStyle w:val="SingleTxt"/>
        <w:rPr>
          <w:b/>
          <w:bCs/>
        </w:rPr>
      </w:pPr>
      <w:r w:rsidRPr="00F32B28">
        <w:rPr>
          <w:b/>
          <w:bCs/>
          <w:rtl/>
        </w:rPr>
        <w:t>الحق</w:t>
      </w:r>
      <w:r>
        <w:rPr>
          <w:b/>
          <w:bCs/>
          <w:rtl/>
        </w:rPr>
        <w:t xml:space="preserve"> </w:t>
      </w:r>
      <w:r w:rsidRPr="00F32B28">
        <w:rPr>
          <w:b/>
          <w:bCs/>
          <w:rtl/>
        </w:rPr>
        <w:t>في</w:t>
      </w:r>
      <w:r>
        <w:rPr>
          <w:b/>
          <w:bCs/>
          <w:rtl/>
        </w:rPr>
        <w:t xml:space="preserve"> </w:t>
      </w:r>
      <w:r w:rsidRPr="00F32B28">
        <w:rPr>
          <w:b/>
          <w:bCs/>
          <w:rtl/>
        </w:rPr>
        <w:t>الضمان</w:t>
      </w:r>
      <w:r>
        <w:rPr>
          <w:b/>
          <w:bCs/>
          <w:rtl/>
        </w:rPr>
        <w:t xml:space="preserve"> </w:t>
      </w:r>
      <w:r w:rsidRPr="00F32B28">
        <w:rPr>
          <w:b/>
          <w:bCs/>
          <w:rtl/>
        </w:rPr>
        <w:t>الاجتماعي</w:t>
      </w:r>
    </w:p>
    <w:p w:rsidR="00F32B28" w:rsidRPr="00F32B28" w:rsidRDefault="00D652E9" w:rsidP="00D652E9">
      <w:pPr>
        <w:pStyle w:val="SingleTxt"/>
        <w:rPr>
          <w:rtl/>
        </w:rPr>
      </w:pPr>
      <w:r>
        <w:rPr>
          <w:rFonts w:hint="cs"/>
          <w:rtl/>
          <w:lang w:bidi="ar-SY"/>
        </w:rPr>
        <w:t xml:space="preserve">211 - </w:t>
      </w:r>
      <w:r w:rsidR="00F32B28" w:rsidRPr="00F32B28">
        <w:rPr>
          <w:rtl/>
          <w:lang w:bidi="ar-SY"/>
        </w:rPr>
        <w:t>تنظم</w:t>
      </w:r>
      <w:r w:rsidR="00F32B28">
        <w:rPr>
          <w:rtl/>
          <w:lang w:bidi="ar-SY"/>
        </w:rPr>
        <w:t xml:space="preserve"> </w:t>
      </w:r>
      <w:r w:rsidR="00F32B28" w:rsidRPr="00F32B28">
        <w:rPr>
          <w:rtl/>
          <w:lang w:bidi="ar-SY"/>
        </w:rPr>
        <w:t>عدداً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بموضوع</w:t>
      </w:r>
      <w:r w:rsidR="00F32B28">
        <w:rPr>
          <w:rtl/>
          <w:lang w:bidi="ar-SY"/>
        </w:rPr>
        <w:t xml:space="preserve"> </w:t>
      </w:r>
      <w:r w:rsidR="00F32B28" w:rsidRPr="00F32B28">
        <w:rPr>
          <w:rtl/>
          <w:lang w:bidi="ar-SY"/>
        </w:rPr>
        <w:t>الضمان</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تختلف</w:t>
      </w:r>
      <w:r w:rsidR="00F32B28">
        <w:rPr>
          <w:rtl/>
          <w:lang w:bidi="ar-SY"/>
        </w:rPr>
        <w:t xml:space="preserve"> </w:t>
      </w:r>
      <w:r w:rsidR="00F32B28" w:rsidRPr="00F32B28">
        <w:rPr>
          <w:rtl/>
          <w:lang w:bidi="ar-SY"/>
        </w:rPr>
        <w:t>باختلاف</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يعمل</w:t>
      </w:r>
      <w:r w:rsidR="00F32B28">
        <w:rPr>
          <w:rtl/>
          <w:lang w:bidi="ar-SY"/>
        </w:rPr>
        <w:t xml:space="preserve"> </w:t>
      </w:r>
      <w:r w:rsidR="00F32B28" w:rsidRPr="00F32B28">
        <w:rPr>
          <w:rtl/>
          <w:lang w:bidi="ar-SY"/>
        </w:rPr>
        <w:t>فيه</w:t>
      </w:r>
      <w:r w:rsidR="00F32B28">
        <w:rPr>
          <w:rtl/>
          <w:lang w:bidi="ar-SY"/>
        </w:rPr>
        <w:t xml:space="preserve"> </w:t>
      </w:r>
      <w:r w:rsidR="00F32B28" w:rsidRPr="00F32B28">
        <w:rPr>
          <w:rtl/>
          <w:lang w:bidi="ar-SY"/>
        </w:rPr>
        <w:t>العامل</w:t>
      </w:r>
      <w:r w:rsidR="00F32B28">
        <w:rPr>
          <w:rtl/>
          <w:lang w:bidi="ar-SY"/>
        </w:rPr>
        <w:t xml:space="preserve"> </w:t>
      </w:r>
      <w:r w:rsidR="00F32B28" w:rsidRPr="00F32B28">
        <w:rPr>
          <w:rtl/>
          <w:lang w:bidi="ar-SY"/>
        </w:rPr>
        <w:t>إن</w:t>
      </w:r>
      <w:r w:rsidR="00F32B28">
        <w:rPr>
          <w:rtl/>
          <w:lang w:bidi="ar-SY"/>
        </w:rPr>
        <w:t xml:space="preserve"> </w:t>
      </w:r>
      <w:r w:rsidR="00F32B28" w:rsidRPr="00F32B28">
        <w:rPr>
          <w:rtl/>
          <w:lang w:bidi="ar-SY"/>
        </w:rPr>
        <w:t>كان</w:t>
      </w:r>
      <w:r w:rsidR="00F32B28">
        <w:rPr>
          <w:rtl/>
          <w:lang w:bidi="ar-SY"/>
        </w:rPr>
        <w:t xml:space="preserve"> </w:t>
      </w:r>
      <w:r w:rsidR="00F32B28" w:rsidRPr="00F32B28">
        <w:rPr>
          <w:rtl/>
          <w:lang w:bidi="ar-SY"/>
        </w:rPr>
        <w:t>حكومي</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خاص</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أهلي.</w:t>
      </w:r>
      <w:r w:rsidR="00F32B28">
        <w:rPr>
          <w:rtl/>
          <w:lang w:bidi="ar-SY"/>
        </w:rPr>
        <w:t xml:space="preserve"> </w:t>
      </w:r>
      <w:r w:rsidR="00F32B28" w:rsidRPr="00F32B28">
        <w:rPr>
          <w:rtl/>
          <w:lang w:bidi="ar-SY"/>
        </w:rPr>
        <w:t>وبشكل</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توفر</w:t>
      </w:r>
      <w:r w:rsidR="00F32B28">
        <w:rPr>
          <w:rtl/>
          <w:lang w:bidi="ar-SY"/>
        </w:rPr>
        <w:t xml:space="preserve"> </w:t>
      </w:r>
      <w:r w:rsidR="00F32B28" w:rsidRPr="00F32B28">
        <w:rPr>
          <w:rtl/>
          <w:lang w:bidi="ar-SY"/>
        </w:rPr>
        <w:t>المنظومة</w:t>
      </w:r>
      <w:r w:rsidR="00F32B28">
        <w:rPr>
          <w:rtl/>
          <w:lang w:bidi="ar-SY"/>
        </w:rPr>
        <w:t xml:space="preserve"> </w:t>
      </w:r>
      <w:r w:rsidR="00F32B28" w:rsidRPr="00F32B28">
        <w:rPr>
          <w:rtl/>
          <w:lang w:bidi="ar-SY"/>
        </w:rPr>
        <w:t>التشريعية</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مجموعة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التأمينات</w:t>
      </w:r>
      <w:r w:rsidR="00F32B28">
        <w:rPr>
          <w:rtl/>
          <w:lang w:bidi="ar-SY"/>
        </w:rPr>
        <w:t xml:space="preserve"> </w:t>
      </w:r>
      <w:r w:rsidR="00F32B28" w:rsidRPr="00F32B28">
        <w:rPr>
          <w:rtl/>
          <w:lang w:bidi="ar-SY"/>
        </w:rPr>
        <w:t>والضمانات</w:t>
      </w:r>
      <w:r w:rsidR="00F32B28">
        <w:rPr>
          <w:rtl/>
          <w:lang w:bidi="ar-SY"/>
        </w:rPr>
        <w:t xml:space="preserve"> </w:t>
      </w:r>
      <w:r w:rsidR="00F32B28" w:rsidRPr="00F32B28">
        <w:rPr>
          <w:rtl/>
          <w:lang w:bidi="ar-SY"/>
        </w:rPr>
        <w:t>والتعويضات</w:t>
      </w:r>
      <w:r w:rsidR="00F32B28">
        <w:rPr>
          <w:rtl/>
          <w:lang w:bidi="ar-SY"/>
        </w:rPr>
        <w:t xml:space="preserve"> </w:t>
      </w:r>
      <w:r w:rsidR="00F32B28" w:rsidRPr="00F32B28">
        <w:rPr>
          <w:rtl/>
          <w:lang w:bidi="ar-SY"/>
        </w:rPr>
        <w:t>للمرأة</w:t>
      </w:r>
      <w:r w:rsidR="00F32B28">
        <w:rPr>
          <w:rtl/>
          <w:lang w:bidi="ar-SY"/>
        </w:rPr>
        <w:t xml:space="preserve"> </w:t>
      </w:r>
      <w:r w:rsidR="00F32B28" w:rsidRPr="00F32B28">
        <w:rPr>
          <w:rtl/>
          <w:lang w:bidi="ar-SY"/>
        </w:rPr>
        <w:t>العاملة،</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قدم</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تحققت</w:t>
      </w:r>
      <w:r w:rsidR="00F32B28">
        <w:rPr>
          <w:rtl/>
          <w:lang w:bidi="ar-SY"/>
        </w:rPr>
        <w:t xml:space="preserve"> </w:t>
      </w:r>
      <w:r w:rsidR="00F32B28" w:rsidRPr="00F32B28">
        <w:rPr>
          <w:rtl/>
          <w:lang w:bidi="ar-SY"/>
        </w:rPr>
        <w:t>حالة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حالات</w:t>
      </w:r>
      <w:r w:rsidR="00F32B28">
        <w:rPr>
          <w:rtl/>
          <w:lang w:bidi="ar-SY"/>
        </w:rPr>
        <w:t xml:space="preserve"> </w:t>
      </w:r>
      <w:r w:rsidR="00F32B28" w:rsidRPr="00F32B28">
        <w:rPr>
          <w:rtl/>
          <w:lang w:bidi="ar-SY"/>
        </w:rPr>
        <w:t>عدم</w:t>
      </w:r>
      <w:r w:rsidR="00F32B28">
        <w:rPr>
          <w:rtl/>
          <w:lang w:bidi="ar-SY"/>
        </w:rPr>
        <w:t xml:space="preserve"> </w:t>
      </w:r>
      <w:r w:rsidR="00F32B28" w:rsidRPr="00F32B28">
        <w:rPr>
          <w:rtl/>
          <w:lang w:bidi="ar-SY"/>
        </w:rPr>
        <w:t>القدرة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وغياب</w:t>
      </w:r>
      <w:r w:rsidR="00F32B28">
        <w:rPr>
          <w:rtl/>
          <w:lang w:bidi="ar-SY"/>
        </w:rPr>
        <w:t xml:space="preserve"> </w:t>
      </w:r>
      <w:r w:rsidR="00F32B28" w:rsidRPr="00F32B28">
        <w:rPr>
          <w:rtl/>
          <w:lang w:bidi="ar-SY"/>
        </w:rPr>
        <w:t>الدخل.</w:t>
      </w:r>
      <w:r w:rsidR="00F32B28">
        <w:rPr>
          <w:rtl/>
          <w:lang w:bidi="ar-SY"/>
        </w:rPr>
        <w:t xml:space="preserve"> </w:t>
      </w:r>
      <w:r w:rsidR="00F32B28" w:rsidRPr="00F32B28">
        <w:rPr>
          <w:rtl/>
          <w:lang w:bidi="ar-SY"/>
        </w:rPr>
        <w:t>ففيما</w:t>
      </w:r>
      <w:r w:rsidR="00F32B28">
        <w:rPr>
          <w:rtl/>
          <w:lang w:bidi="ar-SY"/>
        </w:rPr>
        <w:t xml:space="preserve"> </w:t>
      </w:r>
      <w:r w:rsidR="00F32B28" w:rsidRPr="00F32B28">
        <w:rPr>
          <w:rtl/>
          <w:lang w:bidi="ar-SY"/>
        </w:rPr>
        <w:t>يتعلق</w:t>
      </w:r>
      <w:r w:rsidR="00F32B28">
        <w:rPr>
          <w:rtl/>
          <w:lang w:bidi="ar-SY"/>
        </w:rPr>
        <w:t xml:space="preserve"> </w:t>
      </w:r>
      <w:r w:rsidR="00F32B28" w:rsidRPr="00F32B28">
        <w:rPr>
          <w:rtl/>
          <w:lang w:bidi="ar-SY"/>
        </w:rPr>
        <w:t>بالتشريعات</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الصلة</w:t>
      </w:r>
      <w:r w:rsidR="00F32B28">
        <w:rPr>
          <w:rtl/>
          <w:lang w:bidi="ar-SY"/>
        </w:rPr>
        <w:t xml:space="preserve"> </w:t>
      </w:r>
      <w:r w:rsidR="00F32B28" w:rsidRPr="00F32B28">
        <w:rPr>
          <w:rtl/>
          <w:lang w:bidi="ar-SY"/>
        </w:rPr>
        <w:t>بالحق</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الضمان</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للموظفين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lang w:bidi="ar-SY"/>
        </w:rPr>
        <w:t>الحكومي،</w:t>
      </w:r>
      <w:r w:rsidR="00F32B28">
        <w:rPr>
          <w:rtl/>
          <w:lang w:bidi="ar-SY"/>
        </w:rPr>
        <w:t xml:space="preserve"> </w:t>
      </w:r>
      <w:r w:rsidR="00F32B28" w:rsidRPr="00F32B28">
        <w:rPr>
          <w:rtl/>
          <w:lang w:bidi="ar-SY"/>
        </w:rPr>
        <w:t>فهي</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تشتمل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المخاطر</w:t>
      </w:r>
      <w:r w:rsidR="00F32B28">
        <w:rPr>
          <w:rtl/>
          <w:lang w:bidi="ar-SY"/>
        </w:rPr>
        <w:t xml:space="preserve"> </w:t>
      </w:r>
      <w:r w:rsidR="00F32B28" w:rsidRPr="00F32B28">
        <w:rPr>
          <w:rtl/>
          <w:lang w:bidi="ar-SY"/>
        </w:rPr>
        <w:t>والحالات</w:t>
      </w:r>
      <w:r w:rsidR="00F32B28">
        <w:rPr>
          <w:rtl/>
          <w:lang w:bidi="ar-SY"/>
        </w:rPr>
        <w:t xml:space="preserve"> </w:t>
      </w:r>
      <w:r w:rsidR="00F32B28" w:rsidRPr="00F32B28">
        <w:rPr>
          <w:rtl/>
          <w:lang w:bidi="ar-SY"/>
        </w:rPr>
        <w:t>الطارئة</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التالية:</w:t>
      </w:r>
      <w:r w:rsidR="00F32B28">
        <w:rPr>
          <w:rtl/>
          <w:lang w:bidi="ar-SY"/>
        </w:rPr>
        <w:t xml:space="preserve"> </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b/>
          <w:bCs/>
          <w:rtl/>
          <w:lang w:bidi="ar-SY"/>
        </w:rPr>
        <w:tab/>
      </w:r>
      <w:r>
        <w:rPr>
          <w:rFonts w:hint="eastAsia"/>
          <w:b/>
          <w:bCs/>
          <w:rtl/>
          <w:lang w:bidi="ar-SY"/>
        </w:rPr>
        <w:t>•</w:t>
      </w:r>
      <w:r>
        <w:rPr>
          <w:rFonts w:hint="cs"/>
          <w:b/>
          <w:bCs/>
          <w:rtl/>
          <w:lang w:bidi="ar-SY"/>
        </w:rPr>
        <w:tab/>
      </w:r>
      <w:r w:rsidR="00F32B28" w:rsidRPr="00F32B28">
        <w:rPr>
          <w:b/>
          <w:bCs/>
          <w:rtl/>
          <w:lang w:bidi="ar-SY"/>
        </w:rPr>
        <w:t>الشيخوخة:</w:t>
      </w:r>
      <w:r w:rsidR="00F32B28">
        <w:rPr>
          <w:b/>
          <w:bCs/>
          <w:rtl/>
          <w:lang w:bidi="ar-SY"/>
        </w:rPr>
        <w:t xml:space="preserve"> </w:t>
      </w:r>
      <w:r w:rsidR="00F32B28" w:rsidRPr="00F32B28">
        <w:rPr>
          <w:rtl/>
          <w:lang w:bidi="ar-SY"/>
        </w:rPr>
        <w:t>تساوي</w:t>
      </w:r>
      <w:r w:rsidR="00F32B28">
        <w:rPr>
          <w:rtl/>
          <w:lang w:bidi="ar-SY"/>
        </w:rPr>
        <w:t xml:space="preserve"> </w:t>
      </w:r>
      <w:r w:rsidR="00F32B28" w:rsidRPr="00F32B28">
        <w:rPr>
          <w:rtl/>
          <w:lang w:bidi="ar-SY"/>
        </w:rPr>
        <w:t>تشريعات</w:t>
      </w:r>
      <w:r w:rsidR="00F32B28">
        <w:rPr>
          <w:rtl/>
          <w:lang w:bidi="ar-SY"/>
        </w:rPr>
        <w:t xml:space="preserve"> </w:t>
      </w:r>
      <w:r w:rsidR="00F32B28" w:rsidRPr="00F32B28">
        <w:rPr>
          <w:rtl/>
          <w:lang w:bidi="ar-SY"/>
        </w:rPr>
        <w:t>التقاعد</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والمرأة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lang w:bidi="ar-SY"/>
        </w:rPr>
        <w:t>الحكومي</w:t>
      </w:r>
      <w:r w:rsidR="00F32B28">
        <w:rPr>
          <w:rtl/>
          <w:lang w:bidi="ar-SY"/>
        </w:rPr>
        <w:t xml:space="preserve"> </w:t>
      </w:r>
      <w:r w:rsidR="00F32B28" w:rsidRPr="00F32B28">
        <w:rPr>
          <w:rtl/>
          <w:lang w:bidi="ar-SY"/>
        </w:rPr>
        <w:t>المدني</w:t>
      </w:r>
      <w:r w:rsidR="00F32B28">
        <w:rPr>
          <w:rtl/>
          <w:lang w:bidi="ar-SY"/>
        </w:rPr>
        <w:t xml:space="preserve"> </w:t>
      </w:r>
      <w:r w:rsidR="00F32B28" w:rsidRPr="00F32B28">
        <w:rPr>
          <w:rtl/>
        </w:rPr>
        <w:t>والأمني</w:t>
      </w:r>
      <w:r w:rsidR="00F32B28">
        <w:rPr>
          <w:rtl/>
        </w:rPr>
        <w:t xml:space="preserve"> </w:t>
      </w:r>
      <w:r w:rsidR="00F32B28" w:rsidRPr="00F32B28">
        <w:rPr>
          <w:rtl/>
        </w:rPr>
        <w:t>في</w:t>
      </w:r>
      <w:r w:rsidR="00F32B28">
        <w:rPr>
          <w:rtl/>
        </w:rPr>
        <w:t xml:space="preserve"> </w:t>
      </w:r>
      <w:r w:rsidR="00F32B28" w:rsidRPr="00F32B28">
        <w:rPr>
          <w:rtl/>
        </w:rPr>
        <w:t>أهلية</w:t>
      </w:r>
      <w:r w:rsidR="00F32B28">
        <w:rPr>
          <w:rtl/>
        </w:rPr>
        <w:t xml:space="preserve"> </w:t>
      </w:r>
      <w:r w:rsidR="00F32B28" w:rsidRPr="00F32B28">
        <w:rPr>
          <w:rtl/>
        </w:rPr>
        <w:t>الانتفاع</w:t>
      </w:r>
      <w:r w:rsidR="00F32B28">
        <w:rPr>
          <w:rtl/>
        </w:rPr>
        <w:t xml:space="preserve"> </w:t>
      </w:r>
      <w:r w:rsidR="00F32B28" w:rsidRPr="00F32B28">
        <w:rPr>
          <w:rtl/>
        </w:rPr>
        <w:t>بالتقاعد،</w:t>
      </w:r>
      <w:r w:rsidR="00F32B28">
        <w:rPr>
          <w:rtl/>
        </w:rPr>
        <w:t xml:space="preserve"> </w:t>
      </w:r>
      <w:r w:rsidR="00F32B28" w:rsidRPr="00F32B28">
        <w:rPr>
          <w:rtl/>
        </w:rPr>
        <w:t>من</w:t>
      </w:r>
      <w:r w:rsidR="00F32B28">
        <w:rPr>
          <w:rtl/>
        </w:rPr>
        <w:t xml:space="preserve"> </w:t>
      </w:r>
      <w:r w:rsidR="00F32B28" w:rsidRPr="00F32B28">
        <w:rPr>
          <w:rtl/>
        </w:rPr>
        <w:t>حيث</w:t>
      </w:r>
      <w:r w:rsidR="00F32B28">
        <w:rPr>
          <w:rtl/>
        </w:rPr>
        <w:t xml:space="preserve"> </w:t>
      </w:r>
      <w:r w:rsidR="00F32B28" w:rsidRPr="00F32B28">
        <w:rPr>
          <w:rtl/>
        </w:rPr>
        <w:t>سن</w:t>
      </w:r>
      <w:r w:rsidR="00F32B28">
        <w:rPr>
          <w:rtl/>
        </w:rPr>
        <w:t xml:space="preserve"> </w:t>
      </w:r>
      <w:r w:rsidR="00F32B28" w:rsidRPr="00F32B28">
        <w:rPr>
          <w:rtl/>
        </w:rPr>
        <w:t>التقاعد</w:t>
      </w:r>
      <w:r w:rsidR="00F32B28">
        <w:rPr>
          <w:rtl/>
        </w:rPr>
        <w:t xml:space="preserve"> </w:t>
      </w:r>
      <w:r w:rsidR="00F32B28" w:rsidRPr="00F32B28">
        <w:rPr>
          <w:rtl/>
        </w:rPr>
        <w:t>الإلزامي،</w:t>
      </w:r>
      <w:r w:rsidR="00F32B28">
        <w:rPr>
          <w:rtl/>
        </w:rPr>
        <w:t xml:space="preserve"> </w:t>
      </w:r>
      <w:r w:rsidR="00F32B28" w:rsidRPr="00F32B28">
        <w:rPr>
          <w:rtl/>
        </w:rPr>
        <w:t>وعدد</w:t>
      </w:r>
      <w:r w:rsidR="00F32B28">
        <w:rPr>
          <w:rtl/>
        </w:rPr>
        <w:t xml:space="preserve"> </w:t>
      </w:r>
      <w:r w:rsidR="00F32B28" w:rsidRPr="00F32B28">
        <w:rPr>
          <w:rtl/>
        </w:rPr>
        <w:t>سنوات</w:t>
      </w:r>
      <w:r w:rsidR="00F32B28">
        <w:rPr>
          <w:rtl/>
        </w:rPr>
        <w:t xml:space="preserve"> </w:t>
      </w:r>
      <w:r w:rsidR="00F32B28" w:rsidRPr="00F32B28">
        <w:rPr>
          <w:rtl/>
        </w:rPr>
        <w:t>الخدمة</w:t>
      </w:r>
      <w:r w:rsidR="00F32B28">
        <w:rPr>
          <w:rtl/>
        </w:rPr>
        <w:t xml:space="preserve"> </w:t>
      </w:r>
      <w:r w:rsidR="00F32B28" w:rsidRPr="00F32B28">
        <w:rPr>
          <w:rtl/>
        </w:rPr>
        <w:t>المقبولة</w:t>
      </w:r>
      <w:r w:rsidR="00F32B28">
        <w:rPr>
          <w:rtl/>
        </w:rPr>
        <w:t xml:space="preserve"> </w:t>
      </w:r>
      <w:r w:rsidR="00F32B28" w:rsidRPr="00F32B28">
        <w:rPr>
          <w:rtl/>
        </w:rPr>
        <w:t>لأغراض</w:t>
      </w:r>
      <w:r w:rsidR="00F32B28">
        <w:rPr>
          <w:rtl/>
        </w:rPr>
        <w:t xml:space="preserve"> </w:t>
      </w:r>
      <w:r w:rsidR="00F32B28" w:rsidRPr="00F32B28">
        <w:rPr>
          <w:rtl/>
        </w:rPr>
        <w:t>التقاعد،</w:t>
      </w:r>
      <w:r w:rsidR="00F32B28">
        <w:rPr>
          <w:rtl/>
        </w:rPr>
        <w:t xml:space="preserve"> </w:t>
      </w:r>
      <w:r w:rsidR="00F32B28" w:rsidRPr="00F32B28">
        <w:rPr>
          <w:rtl/>
        </w:rPr>
        <w:t>وأقساط</w:t>
      </w:r>
      <w:r w:rsidR="00F32B28">
        <w:rPr>
          <w:rtl/>
        </w:rPr>
        <w:t xml:space="preserve"> </w:t>
      </w:r>
      <w:r w:rsidR="00F32B28" w:rsidRPr="00F32B28">
        <w:rPr>
          <w:rtl/>
        </w:rPr>
        <w:t>المساهمات</w:t>
      </w:r>
      <w:r w:rsidR="00F32B28">
        <w:rPr>
          <w:rtl/>
        </w:rPr>
        <w:t xml:space="preserve"> </w:t>
      </w:r>
      <w:r w:rsidR="00F32B28" w:rsidRPr="00F32B28">
        <w:rPr>
          <w:rtl/>
        </w:rPr>
        <w:t>الواجب</w:t>
      </w:r>
      <w:r w:rsidR="00F32B28">
        <w:rPr>
          <w:rtl/>
        </w:rPr>
        <w:t xml:space="preserve"> </w:t>
      </w:r>
      <w:r w:rsidR="00F32B28" w:rsidRPr="00F32B28">
        <w:rPr>
          <w:rtl/>
        </w:rPr>
        <w:t>تسديدها.</w:t>
      </w:r>
      <w:r w:rsidR="00F32B28">
        <w:rPr>
          <w:rtl/>
        </w:rPr>
        <w:t xml:space="preserve"> </w:t>
      </w:r>
      <w:r w:rsidR="00F32B28" w:rsidRPr="00F32B28">
        <w:rPr>
          <w:rtl/>
        </w:rPr>
        <w:t>كما</w:t>
      </w:r>
      <w:r w:rsidR="00F32B28">
        <w:rPr>
          <w:rtl/>
        </w:rPr>
        <w:t xml:space="preserve"> </w:t>
      </w:r>
      <w:r w:rsidR="00F32B28" w:rsidRPr="00F32B28">
        <w:rPr>
          <w:rtl/>
        </w:rPr>
        <w:t>أن</w:t>
      </w:r>
      <w:r w:rsidR="00F32B28">
        <w:rPr>
          <w:rtl/>
        </w:rPr>
        <w:t xml:space="preserve"> </w:t>
      </w:r>
      <w:r w:rsidR="00F32B28" w:rsidRPr="00F32B28">
        <w:rPr>
          <w:rtl/>
        </w:rPr>
        <w:t>الأسس</w:t>
      </w:r>
      <w:r w:rsidR="00F32B28">
        <w:rPr>
          <w:rtl/>
        </w:rPr>
        <w:t xml:space="preserve"> </w:t>
      </w:r>
      <w:r w:rsidR="00F32B28" w:rsidRPr="00F32B28">
        <w:rPr>
          <w:rtl/>
        </w:rPr>
        <w:t>المعتمدة</w:t>
      </w:r>
      <w:r w:rsidR="00F32B28">
        <w:rPr>
          <w:rtl/>
        </w:rPr>
        <w:t xml:space="preserve"> </w:t>
      </w:r>
      <w:r w:rsidR="00F32B28" w:rsidRPr="00F32B28">
        <w:rPr>
          <w:rtl/>
        </w:rPr>
        <w:t>لاحتساب</w:t>
      </w:r>
      <w:r w:rsidR="00F32B28">
        <w:rPr>
          <w:rtl/>
        </w:rPr>
        <w:t xml:space="preserve"> </w:t>
      </w:r>
      <w:r w:rsidR="00F32B28" w:rsidRPr="00F32B28">
        <w:rPr>
          <w:rtl/>
        </w:rPr>
        <w:t>رواتب</w:t>
      </w:r>
      <w:r w:rsidR="00F32B28">
        <w:rPr>
          <w:rtl/>
        </w:rPr>
        <w:t xml:space="preserve"> </w:t>
      </w:r>
      <w:r w:rsidR="00F32B28" w:rsidRPr="00F32B28">
        <w:rPr>
          <w:rtl/>
        </w:rPr>
        <w:t>التقاعد</w:t>
      </w:r>
      <w:r w:rsidR="00F32B28">
        <w:rPr>
          <w:rtl/>
        </w:rPr>
        <w:t xml:space="preserve"> </w:t>
      </w:r>
      <w:r w:rsidR="00F32B28" w:rsidRPr="00F32B28">
        <w:rPr>
          <w:rtl/>
        </w:rPr>
        <w:t>هي</w:t>
      </w:r>
      <w:r w:rsidR="00F32B28">
        <w:rPr>
          <w:rtl/>
        </w:rPr>
        <w:t xml:space="preserve"> </w:t>
      </w:r>
      <w:r w:rsidR="00F32B28" w:rsidRPr="00F32B28">
        <w:rPr>
          <w:rtl/>
        </w:rPr>
        <w:t>واحدة</w:t>
      </w:r>
      <w:r w:rsidR="00F32B28">
        <w:rPr>
          <w:rtl/>
        </w:rPr>
        <w:t xml:space="preserve"> </w:t>
      </w:r>
      <w:r w:rsidR="00F32B28" w:rsidRPr="00F32B28">
        <w:rPr>
          <w:rtl/>
        </w:rPr>
        <w:t>للمرأة</w:t>
      </w:r>
      <w:r w:rsidR="00F32B28">
        <w:rPr>
          <w:rtl/>
        </w:rPr>
        <w:t xml:space="preserve"> </w:t>
      </w:r>
      <w:r w:rsidR="00F32B28" w:rsidRPr="00F32B28">
        <w:rPr>
          <w:rtl/>
        </w:rPr>
        <w:t>والرجل،</w:t>
      </w:r>
      <w:r w:rsidR="00F32B28">
        <w:rPr>
          <w:rtl/>
        </w:rPr>
        <w:t xml:space="preserve"> </w:t>
      </w:r>
      <w:r w:rsidR="00F32B28" w:rsidRPr="00F32B28">
        <w:rPr>
          <w:rtl/>
        </w:rPr>
        <w:t>وكذلك</w:t>
      </w:r>
      <w:r w:rsidR="00F32B28">
        <w:rPr>
          <w:rtl/>
        </w:rPr>
        <w:t xml:space="preserve"> </w:t>
      </w:r>
      <w:r w:rsidR="00F32B28" w:rsidRPr="00F32B28">
        <w:rPr>
          <w:rtl/>
        </w:rPr>
        <w:t>فيما</w:t>
      </w:r>
      <w:r w:rsidR="00F32B28">
        <w:rPr>
          <w:rtl/>
        </w:rPr>
        <w:t xml:space="preserve"> </w:t>
      </w:r>
      <w:r w:rsidR="00F32B28" w:rsidRPr="00F32B28">
        <w:rPr>
          <w:rtl/>
        </w:rPr>
        <w:t>يخص</w:t>
      </w:r>
      <w:r w:rsidR="00F32B28">
        <w:rPr>
          <w:rtl/>
        </w:rPr>
        <w:t xml:space="preserve"> </w:t>
      </w:r>
      <w:r w:rsidR="00F32B28" w:rsidRPr="00F32B28">
        <w:rPr>
          <w:rtl/>
        </w:rPr>
        <w:t>شروط</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تقاعد</w:t>
      </w:r>
      <w:r w:rsidR="00F32B28">
        <w:rPr>
          <w:rtl/>
        </w:rPr>
        <w:t xml:space="preserve"> </w:t>
      </w:r>
      <w:r w:rsidR="00F32B28" w:rsidRPr="00F32B28">
        <w:rPr>
          <w:rtl/>
        </w:rPr>
        <w:t>مبكر؛</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b/>
          <w:bCs/>
          <w:rtl/>
          <w:lang w:bidi="ar-SY"/>
        </w:rPr>
        <w:tab/>
      </w:r>
      <w:r>
        <w:rPr>
          <w:rFonts w:hint="eastAsia"/>
          <w:b/>
          <w:bCs/>
          <w:rtl/>
          <w:lang w:bidi="ar-SY"/>
        </w:rPr>
        <w:t>•</w:t>
      </w:r>
      <w:r>
        <w:rPr>
          <w:rFonts w:hint="cs"/>
          <w:b/>
          <w:bCs/>
          <w:rtl/>
          <w:lang w:bidi="ar-SY"/>
        </w:rPr>
        <w:tab/>
      </w:r>
      <w:r w:rsidR="00F32B28" w:rsidRPr="00D652E9">
        <w:rPr>
          <w:b/>
          <w:bCs/>
          <w:rtl/>
        </w:rPr>
        <w:t>الوفاة</w:t>
      </w:r>
      <w:r w:rsidR="00F32B28" w:rsidRPr="00F32B28">
        <w:rPr>
          <w:rtl/>
        </w:rPr>
        <w:t>:</w:t>
      </w:r>
      <w:r w:rsidR="00F32B28">
        <w:rPr>
          <w:rtl/>
        </w:rPr>
        <w:t xml:space="preserve"> </w:t>
      </w:r>
      <w:r w:rsidR="00F32B28" w:rsidRPr="00F32B28">
        <w:rPr>
          <w:rtl/>
        </w:rPr>
        <w:t>يستفيد</w:t>
      </w:r>
      <w:r w:rsidR="00F32B28">
        <w:rPr>
          <w:rtl/>
        </w:rPr>
        <w:t xml:space="preserve"> </w:t>
      </w:r>
      <w:r w:rsidR="00F32B28" w:rsidRPr="00F32B28">
        <w:rPr>
          <w:rtl/>
        </w:rPr>
        <w:t>أبناء</w:t>
      </w:r>
      <w:r w:rsidR="00F32B28">
        <w:rPr>
          <w:rtl/>
        </w:rPr>
        <w:t xml:space="preserve"> </w:t>
      </w:r>
      <w:r w:rsidR="00F32B28" w:rsidRPr="00F32B28">
        <w:rPr>
          <w:rtl/>
        </w:rPr>
        <w:t>وبنات</w:t>
      </w:r>
      <w:r w:rsidR="00F32B28">
        <w:rPr>
          <w:rtl/>
        </w:rPr>
        <w:t xml:space="preserve"> </w:t>
      </w:r>
      <w:r w:rsidR="00F32B28" w:rsidRPr="00F32B28">
        <w:rPr>
          <w:rtl/>
        </w:rPr>
        <w:t>الموظفة</w:t>
      </w:r>
      <w:r w:rsidR="00F32B28">
        <w:rPr>
          <w:rtl/>
        </w:rPr>
        <w:t xml:space="preserve"> </w:t>
      </w:r>
      <w:r w:rsidR="00F32B28" w:rsidRPr="00F32B28">
        <w:rPr>
          <w:rtl/>
        </w:rPr>
        <w:t>المتقاعدة</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الحكومي</w:t>
      </w:r>
      <w:r w:rsidR="00F32B28">
        <w:rPr>
          <w:rtl/>
        </w:rPr>
        <w:t xml:space="preserve"> </w:t>
      </w:r>
      <w:r w:rsidR="00F32B28" w:rsidRPr="00F32B28">
        <w:rPr>
          <w:rtl/>
        </w:rPr>
        <w:t>المتوفاة</w:t>
      </w:r>
      <w:r w:rsidR="00F32B28">
        <w:rPr>
          <w:rtl/>
        </w:rPr>
        <w:t xml:space="preserve"> </w:t>
      </w:r>
      <w:r w:rsidR="00F32B28" w:rsidRPr="00F32B28">
        <w:rPr>
          <w:rtl/>
        </w:rPr>
        <w:t>من</w:t>
      </w:r>
      <w:r w:rsidR="00F32B28">
        <w:rPr>
          <w:rtl/>
        </w:rPr>
        <w:t xml:space="preserve"> </w:t>
      </w:r>
      <w:r w:rsidR="00F32B28" w:rsidRPr="00F32B28">
        <w:rPr>
          <w:rtl/>
        </w:rPr>
        <w:t>مرتبها</w:t>
      </w:r>
      <w:r w:rsidR="00F32B28">
        <w:rPr>
          <w:rtl/>
        </w:rPr>
        <w:t xml:space="preserve"> </w:t>
      </w:r>
      <w:r w:rsidR="00F32B28" w:rsidRPr="00F32B28">
        <w:rPr>
          <w:rtl/>
        </w:rPr>
        <w:t>التقاعدي</w:t>
      </w:r>
      <w:r w:rsidR="00F32B28">
        <w:rPr>
          <w:rtl/>
        </w:rPr>
        <w:t xml:space="preserve"> </w:t>
      </w:r>
      <w:r w:rsidR="00F32B28" w:rsidRPr="00F32B28">
        <w:rPr>
          <w:rtl/>
        </w:rPr>
        <w:t>إذا</w:t>
      </w:r>
      <w:r w:rsidR="00F32B28">
        <w:rPr>
          <w:rtl/>
        </w:rPr>
        <w:t xml:space="preserve"> </w:t>
      </w:r>
      <w:r w:rsidR="00F32B28" w:rsidRPr="00F32B28">
        <w:rPr>
          <w:rtl/>
        </w:rPr>
        <w:t>ما</w:t>
      </w:r>
      <w:r w:rsidR="00F32B28">
        <w:rPr>
          <w:rtl/>
        </w:rPr>
        <w:t xml:space="preserve"> </w:t>
      </w:r>
      <w:r w:rsidR="00F32B28" w:rsidRPr="00F32B28">
        <w:rPr>
          <w:rtl/>
        </w:rPr>
        <w:t>توافرت</w:t>
      </w:r>
      <w:r w:rsidR="00F32B28">
        <w:rPr>
          <w:rtl/>
        </w:rPr>
        <w:t xml:space="preserve"> </w:t>
      </w:r>
      <w:r w:rsidR="00F32B28" w:rsidRPr="00F32B28">
        <w:rPr>
          <w:rtl/>
        </w:rPr>
        <w:t>ذات</w:t>
      </w:r>
      <w:r w:rsidR="00F32B28">
        <w:rPr>
          <w:rtl/>
        </w:rPr>
        <w:t xml:space="preserve"> </w:t>
      </w:r>
      <w:r w:rsidR="00F32B28" w:rsidRPr="00D652E9">
        <w:rPr>
          <w:rtl/>
          <w:lang w:bidi="ar-SY"/>
        </w:rPr>
        <w:t>الشروط</w:t>
      </w:r>
      <w:r w:rsidR="00F32B28">
        <w:rPr>
          <w:rtl/>
        </w:rPr>
        <w:t xml:space="preserve"> </w:t>
      </w:r>
      <w:r w:rsidR="00F32B28" w:rsidRPr="00F32B28">
        <w:rPr>
          <w:rtl/>
        </w:rPr>
        <w:t>المتعلقة</w:t>
      </w:r>
      <w:r w:rsidR="00F32B28">
        <w:rPr>
          <w:rtl/>
        </w:rPr>
        <w:t xml:space="preserve"> </w:t>
      </w:r>
      <w:r w:rsidR="00F32B28" w:rsidRPr="00F32B28">
        <w:rPr>
          <w:rtl/>
        </w:rPr>
        <w:t>باستفادتهم</w:t>
      </w:r>
      <w:r w:rsidR="00F32B28">
        <w:rPr>
          <w:rtl/>
        </w:rPr>
        <w:t xml:space="preserve"> </w:t>
      </w:r>
      <w:r w:rsidR="00F32B28" w:rsidRPr="00F32B28">
        <w:rPr>
          <w:rtl/>
        </w:rPr>
        <w:t>من</w:t>
      </w:r>
      <w:r w:rsidR="00F32B28">
        <w:rPr>
          <w:rtl/>
        </w:rPr>
        <w:t xml:space="preserve"> </w:t>
      </w:r>
      <w:r w:rsidR="00F32B28" w:rsidRPr="00F32B28">
        <w:rPr>
          <w:rtl/>
        </w:rPr>
        <w:t>مرتب</w:t>
      </w:r>
      <w:r w:rsidR="00F32B28">
        <w:rPr>
          <w:rtl/>
        </w:rPr>
        <w:t xml:space="preserve"> </w:t>
      </w:r>
      <w:r w:rsidR="00F32B28" w:rsidRPr="00F32B28">
        <w:rPr>
          <w:rtl/>
        </w:rPr>
        <w:t>أباهم</w:t>
      </w:r>
      <w:r w:rsidR="00F32B28">
        <w:rPr>
          <w:rtl/>
        </w:rPr>
        <w:t xml:space="preserve"> </w:t>
      </w:r>
      <w:r w:rsidR="00F32B28" w:rsidRPr="00F32B28">
        <w:rPr>
          <w:rtl/>
        </w:rPr>
        <w:t>الموظف</w:t>
      </w:r>
      <w:r w:rsidR="00F32B28">
        <w:rPr>
          <w:rtl/>
        </w:rPr>
        <w:t xml:space="preserve"> </w:t>
      </w:r>
      <w:r w:rsidR="00F32B28" w:rsidRPr="00F32B28">
        <w:rPr>
          <w:rtl/>
        </w:rPr>
        <w:t>المتقاعد</w:t>
      </w:r>
      <w:r w:rsidR="00F32B28">
        <w:rPr>
          <w:rtl/>
        </w:rPr>
        <w:t xml:space="preserve"> </w:t>
      </w:r>
      <w:r w:rsidR="00F32B28" w:rsidRPr="00F32B28">
        <w:rPr>
          <w:rtl/>
        </w:rPr>
        <w:t>المتوفي؛</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b/>
          <w:bCs/>
          <w:rtl/>
          <w:lang w:bidi="ar-SY"/>
        </w:rPr>
        <w:tab/>
      </w:r>
      <w:r>
        <w:rPr>
          <w:rFonts w:hint="eastAsia"/>
          <w:b/>
          <w:bCs/>
          <w:rtl/>
          <w:lang w:bidi="ar-SY"/>
        </w:rPr>
        <w:t>•</w:t>
      </w:r>
      <w:r>
        <w:rPr>
          <w:rFonts w:hint="cs"/>
          <w:b/>
          <w:bCs/>
          <w:rtl/>
          <w:lang w:bidi="ar-SY"/>
        </w:rPr>
        <w:tab/>
      </w:r>
      <w:r w:rsidR="00F32B28" w:rsidRPr="00D652E9">
        <w:rPr>
          <w:b/>
          <w:bCs/>
          <w:rtl/>
        </w:rPr>
        <w:t>المرض</w:t>
      </w:r>
      <w:r w:rsidR="00F32B28" w:rsidRPr="00F32B28">
        <w:rPr>
          <w:rtl/>
        </w:rPr>
        <w:t>:</w:t>
      </w:r>
      <w:r w:rsidR="00F32B28">
        <w:rPr>
          <w:rtl/>
        </w:rPr>
        <w:t xml:space="preserve"> </w:t>
      </w:r>
      <w:r w:rsidR="00F32B28" w:rsidRPr="00F32B28">
        <w:rPr>
          <w:rtl/>
        </w:rPr>
        <w:t>تمنح</w:t>
      </w:r>
      <w:r w:rsidR="00F32B28">
        <w:rPr>
          <w:rtl/>
        </w:rPr>
        <w:t xml:space="preserve"> </w:t>
      </w:r>
      <w:r w:rsidR="00F32B28" w:rsidRPr="00F32B28">
        <w:rPr>
          <w:rtl/>
        </w:rPr>
        <w:t>التشريعات</w:t>
      </w:r>
      <w:r w:rsidR="00F32B28">
        <w:rPr>
          <w:rtl/>
        </w:rPr>
        <w:t xml:space="preserve"> </w:t>
      </w:r>
      <w:r w:rsidR="00F32B28" w:rsidRPr="00F32B28">
        <w:rPr>
          <w:rtl/>
        </w:rPr>
        <w:t>المرأة،</w:t>
      </w:r>
      <w:r w:rsidR="00F32B28">
        <w:rPr>
          <w:rtl/>
        </w:rPr>
        <w:t xml:space="preserve"> </w:t>
      </w:r>
      <w:r w:rsidR="00F32B28" w:rsidRPr="00F32B28">
        <w:rPr>
          <w:rtl/>
        </w:rPr>
        <w:t>وعلى</w:t>
      </w:r>
      <w:r w:rsidR="00F32B28">
        <w:rPr>
          <w:rtl/>
        </w:rPr>
        <w:t xml:space="preserve"> </w:t>
      </w:r>
      <w:r w:rsidR="00F32B28" w:rsidRPr="00F32B28">
        <w:rPr>
          <w:rtl/>
        </w:rPr>
        <w:t>قدم</w:t>
      </w:r>
      <w:r w:rsidR="00F32B28">
        <w:rPr>
          <w:rtl/>
        </w:rPr>
        <w:t xml:space="preserve"> </w:t>
      </w:r>
      <w:r w:rsidR="00F32B28" w:rsidRPr="00F32B28">
        <w:rPr>
          <w:rtl/>
        </w:rPr>
        <w:t>المساواة</w:t>
      </w:r>
      <w:r w:rsidR="00F32B28">
        <w:rPr>
          <w:rtl/>
        </w:rPr>
        <w:t xml:space="preserve"> </w:t>
      </w:r>
      <w:r w:rsidR="00F32B28" w:rsidRPr="00F32B28">
        <w:rPr>
          <w:rtl/>
        </w:rPr>
        <w:t>مع</w:t>
      </w:r>
      <w:r w:rsidR="00F32B28">
        <w:rPr>
          <w:rtl/>
        </w:rPr>
        <w:t xml:space="preserve"> </w:t>
      </w:r>
      <w:r w:rsidR="00F32B28" w:rsidRPr="00F32B28">
        <w:rPr>
          <w:rtl/>
        </w:rPr>
        <w:t>الرجل،</w:t>
      </w:r>
      <w:r w:rsidR="00F32B28">
        <w:rPr>
          <w:rtl/>
        </w:rPr>
        <w:t xml:space="preserve"> </w:t>
      </w:r>
      <w:r w:rsidR="00F32B28" w:rsidRPr="00F32B28">
        <w:rPr>
          <w:rtl/>
        </w:rPr>
        <w:t>إجازات</w:t>
      </w:r>
      <w:r w:rsidR="00F32B28">
        <w:rPr>
          <w:rtl/>
        </w:rPr>
        <w:t xml:space="preserve"> </w:t>
      </w:r>
      <w:r w:rsidR="00F32B28" w:rsidRPr="00F32B28">
        <w:rPr>
          <w:rtl/>
        </w:rPr>
        <w:t>مرضية</w:t>
      </w:r>
      <w:r w:rsidR="00F32B28">
        <w:rPr>
          <w:rtl/>
        </w:rPr>
        <w:t xml:space="preserve"> </w:t>
      </w:r>
      <w:r w:rsidR="00F32B28" w:rsidRPr="00F32B28">
        <w:rPr>
          <w:rtl/>
        </w:rPr>
        <w:t>مدفوعة</w:t>
      </w:r>
      <w:r w:rsidR="00F32B28">
        <w:rPr>
          <w:rtl/>
        </w:rPr>
        <w:t xml:space="preserve"> </w:t>
      </w:r>
      <w:r w:rsidR="00F32B28" w:rsidRPr="00F32B28">
        <w:rPr>
          <w:rtl/>
        </w:rPr>
        <w:t>الأجر</w:t>
      </w:r>
      <w:r w:rsidR="00F32B28">
        <w:rPr>
          <w:rtl/>
        </w:rPr>
        <w:t xml:space="preserve"> </w:t>
      </w:r>
      <w:r w:rsidR="00F32B28" w:rsidRPr="00F32B28">
        <w:rPr>
          <w:rtl/>
        </w:rPr>
        <w:t>بسبب</w:t>
      </w:r>
      <w:r w:rsidR="00F32B28">
        <w:rPr>
          <w:rtl/>
        </w:rPr>
        <w:t xml:space="preserve"> </w:t>
      </w:r>
      <w:r w:rsidR="00F32B28" w:rsidRPr="00F32B28">
        <w:rPr>
          <w:rtl/>
        </w:rPr>
        <w:t>المرض.</w:t>
      </w:r>
      <w:r w:rsidR="00F32B28">
        <w:rPr>
          <w:rtl/>
        </w:rPr>
        <w:t xml:space="preserve"> </w:t>
      </w:r>
      <w:r w:rsidR="00F32B28" w:rsidRPr="00F32B28">
        <w:rPr>
          <w:rtl/>
        </w:rPr>
        <w:t>وتستفيد</w:t>
      </w:r>
      <w:r w:rsidR="00F32B28">
        <w:rPr>
          <w:rtl/>
        </w:rPr>
        <w:t xml:space="preserve"> </w:t>
      </w:r>
      <w:r w:rsidR="00F32B28" w:rsidRPr="00F32B28">
        <w:rPr>
          <w:rtl/>
        </w:rPr>
        <w:t>الموظفة</w:t>
      </w:r>
      <w:r w:rsidR="00F32B28">
        <w:rPr>
          <w:rtl/>
        </w:rPr>
        <w:t xml:space="preserve"> </w:t>
      </w:r>
      <w:r w:rsidR="00F32B28" w:rsidRPr="00F32B28">
        <w:rPr>
          <w:rtl/>
        </w:rPr>
        <w:t>العاملة</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الحكومي</w:t>
      </w:r>
      <w:r w:rsidR="00F32B28">
        <w:rPr>
          <w:rtl/>
        </w:rPr>
        <w:t xml:space="preserve"> </w:t>
      </w:r>
      <w:r w:rsidR="00F32B28" w:rsidRPr="00F32B28">
        <w:rPr>
          <w:rtl/>
        </w:rPr>
        <w:t>من</w:t>
      </w:r>
      <w:r w:rsidR="00F32B28">
        <w:rPr>
          <w:rtl/>
        </w:rPr>
        <w:t xml:space="preserve"> </w:t>
      </w:r>
      <w:r w:rsidR="00F32B28" w:rsidRPr="00F32B28">
        <w:rPr>
          <w:rtl/>
        </w:rPr>
        <w:t>التأمين</w:t>
      </w:r>
      <w:r w:rsidR="00F32B28">
        <w:rPr>
          <w:rtl/>
        </w:rPr>
        <w:t xml:space="preserve"> </w:t>
      </w:r>
      <w:r w:rsidR="00F32B28" w:rsidRPr="00F32B28">
        <w:rPr>
          <w:rtl/>
        </w:rPr>
        <w:t>الصحي</w:t>
      </w:r>
      <w:r w:rsidR="00F32B28">
        <w:rPr>
          <w:rtl/>
        </w:rPr>
        <w:t xml:space="preserve"> </w:t>
      </w:r>
      <w:r w:rsidR="00F32B28" w:rsidRPr="00F32B28">
        <w:rPr>
          <w:rtl/>
        </w:rPr>
        <w:t>الحكومي</w:t>
      </w:r>
      <w:r w:rsidR="00F32B28">
        <w:rPr>
          <w:rtl/>
        </w:rPr>
        <w:t xml:space="preserve"> </w:t>
      </w:r>
      <w:r w:rsidR="00F32B28" w:rsidRPr="00F32B28">
        <w:rPr>
          <w:rtl/>
        </w:rPr>
        <w:t>بشكل</w:t>
      </w:r>
      <w:r w:rsidR="00F32B28">
        <w:rPr>
          <w:rtl/>
        </w:rPr>
        <w:t xml:space="preserve"> </w:t>
      </w:r>
      <w:r w:rsidR="00F32B28" w:rsidRPr="00F32B28">
        <w:rPr>
          <w:rtl/>
        </w:rPr>
        <w:t>مساوِ</w:t>
      </w:r>
      <w:r w:rsidR="00F32B28">
        <w:rPr>
          <w:rtl/>
        </w:rPr>
        <w:t xml:space="preserve"> </w:t>
      </w:r>
      <w:r w:rsidR="00F32B28" w:rsidRPr="00F32B28">
        <w:rPr>
          <w:rtl/>
        </w:rPr>
        <w:t>مع</w:t>
      </w:r>
      <w:r w:rsidR="00F32B28">
        <w:rPr>
          <w:rtl/>
        </w:rPr>
        <w:t xml:space="preserve"> </w:t>
      </w:r>
      <w:r w:rsidR="00F32B28" w:rsidRPr="00F32B28">
        <w:rPr>
          <w:rtl/>
        </w:rPr>
        <w:t>الموظف</w:t>
      </w:r>
      <w:r w:rsidR="00F32B28">
        <w:rPr>
          <w:rtl/>
        </w:rPr>
        <w:t xml:space="preserve"> </w:t>
      </w:r>
      <w:r w:rsidR="00F32B28" w:rsidRPr="00F32B28">
        <w:rPr>
          <w:rtl/>
        </w:rPr>
        <w:t>العامل</w:t>
      </w:r>
      <w:r w:rsidR="00F32B28">
        <w:rPr>
          <w:rtl/>
        </w:rPr>
        <w:t xml:space="preserve"> </w:t>
      </w:r>
      <w:r w:rsidR="00F32B28" w:rsidRPr="00F32B28">
        <w:rPr>
          <w:rtl/>
        </w:rPr>
        <w:t>في</w:t>
      </w:r>
      <w:r w:rsidR="00F32B28">
        <w:rPr>
          <w:rtl/>
        </w:rPr>
        <w:t xml:space="preserve"> </w:t>
      </w:r>
      <w:r w:rsidR="00F32B28" w:rsidRPr="00F32B28">
        <w:rPr>
          <w:rtl/>
        </w:rPr>
        <w:t>هذا</w:t>
      </w:r>
      <w:r w:rsidR="00F32B28">
        <w:rPr>
          <w:rtl/>
        </w:rPr>
        <w:t xml:space="preserve"> </w:t>
      </w:r>
      <w:r w:rsidR="00F32B28" w:rsidRPr="00F32B28">
        <w:rPr>
          <w:rtl/>
        </w:rPr>
        <w:t>القطاع؛</w:t>
      </w:r>
      <w:r w:rsidR="00600C43">
        <w:rPr>
          <w:rtl/>
        </w:rPr>
        <w:t xml:space="preserve"> </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b/>
          <w:bCs/>
          <w:rtl/>
          <w:lang w:bidi="ar-SY"/>
        </w:rPr>
        <w:tab/>
      </w:r>
      <w:r>
        <w:rPr>
          <w:rFonts w:hint="eastAsia"/>
          <w:b/>
          <w:bCs/>
          <w:rtl/>
          <w:lang w:bidi="ar-SY"/>
        </w:rPr>
        <w:t>•</w:t>
      </w:r>
      <w:r>
        <w:rPr>
          <w:rFonts w:hint="cs"/>
          <w:b/>
          <w:bCs/>
          <w:rtl/>
          <w:lang w:bidi="ar-SY"/>
        </w:rPr>
        <w:tab/>
      </w:r>
      <w:r w:rsidR="00F32B28" w:rsidRPr="00D652E9">
        <w:rPr>
          <w:b/>
          <w:bCs/>
          <w:rtl/>
        </w:rPr>
        <w:t>العجز الصحي الكلي/إصابات العمل/الأمراض المهنية</w:t>
      </w:r>
      <w:r w:rsidR="00F32B28" w:rsidRPr="00F32B28">
        <w:rPr>
          <w:rtl/>
        </w:rPr>
        <w:t>:</w:t>
      </w:r>
      <w:r w:rsidR="00F32B28">
        <w:rPr>
          <w:rtl/>
        </w:rPr>
        <w:t xml:space="preserve"> </w:t>
      </w:r>
      <w:r w:rsidR="00F32B28" w:rsidRPr="00F32B28">
        <w:rPr>
          <w:rtl/>
        </w:rPr>
        <w:t>تشدد</w:t>
      </w:r>
      <w:r w:rsidR="00F32B28">
        <w:rPr>
          <w:rtl/>
        </w:rPr>
        <w:t xml:space="preserve"> </w:t>
      </w:r>
      <w:r w:rsidR="00F32B28" w:rsidRPr="00F32B28">
        <w:rPr>
          <w:rtl/>
        </w:rPr>
        <w:t>التشريعات</w:t>
      </w:r>
      <w:r w:rsidR="00F32B28">
        <w:rPr>
          <w:rtl/>
        </w:rPr>
        <w:t xml:space="preserve"> </w:t>
      </w:r>
      <w:r w:rsidR="00F32B28" w:rsidRPr="00F32B28">
        <w:rPr>
          <w:rtl/>
        </w:rPr>
        <w:t>ذات</w:t>
      </w:r>
      <w:r w:rsidR="00F32B28">
        <w:rPr>
          <w:rtl/>
        </w:rPr>
        <w:t xml:space="preserve"> </w:t>
      </w:r>
      <w:r w:rsidR="00F32B28" w:rsidRPr="00F32B28">
        <w:rPr>
          <w:rtl/>
        </w:rPr>
        <w:t>الصلة</w:t>
      </w:r>
      <w:r w:rsidR="00F32B28">
        <w:rPr>
          <w:rtl/>
        </w:rPr>
        <w:t xml:space="preserve"> </w:t>
      </w:r>
      <w:r w:rsidR="00F32B28" w:rsidRPr="00F32B28">
        <w:rPr>
          <w:rtl/>
        </w:rPr>
        <w:t>التعويضات</w:t>
      </w:r>
      <w:r>
        <w:rPr>
          <w:rFonts w:hint="cs"/>
          <w:rtl/>
        </w:rPr>
        <w:t xml:space="preserve"> </w:t>
      </w:r>
      <w:r w:rsidR="00F32B28" w:rsidRPr="00F32B28">
        <w:rPr>
          <w:rtl/>
        </w:rPr>
        <w:t>على</w:t>
      </w:r>
      <w:r w:rsidR="00F32B28">
        <w:rPr>
          <w:rtl/>
        </w:rPr>
        <w:t xml:space="preserve"> </w:t>
      </w:r>
      <w:r w:rsidR="00F32B28" w:rsidRPr="00F32B28">
        <w:rPr>
          <w:rtl/>
        </w:rPr>
        <w:t>مختلف</w:t>
      </w:r>
      <w:r w:rsidR="00F32B28">
        <w:rPr>
          <w:rtl/>
        </w:rPr>
        <w:t xml:space="preserve"> </w:t>
      </w:r>
      <w:r w:rsidR="00F32B28" w:rsidRPr="00F32B28">
        <w:rPr>
          <w:rtl/>
        </w:rPr>
        <w:t>أنواعها</w:t>
      </w:r>
      <w:r w:rsidR="00F32B28">
        <w:rPr>
          <w:rtl/>
        </w:rPr>
        <w:t xml:space="preserve"> </w:t>
      </w:r>
      <w:r w:rsidR="00F32B28" w:rsidRPr="00F32B28">
        <w:rPr>
          <w:rtl/>
        </w:rPr>
        <w:t>والمصاريف</w:t>
      </w:r>
      <w:r w:rsidR="00F32B28">
        <w:rPr>
          <w:rtl/>
        </w:rPr>
        <w:t xml:space="preserve"> </w:t>
      </w:r>
      <w:r w:rsidR="00F32B28" w:rsidRPr="00F32B28">
        <w:rPr>
          <w:rtl/>
        </w:rPr>
        <w:t>الطبية</w:t>
      </w:r>
      <w:r w:rsidR="00F32B28">
        <w:rPr>
          <w:rtl/>
        </w:rPr>
        <w:t xml:space="preserve"> </w:t>
      </w:r>
      <w:r w:rsidR="00F32B28" w:rsidRPr="00F32B28">
        <w:rPr>
          <w:rtl/>
        </w:rPr>
        <w:t>التي</w:t>
      </w:r>
      <w:r w:rsidR="00F32B28">
        <w:rPr>
          <w:rtl/>
        </w:rPr>
        <w:t xml:space="preserve"> </w:t>
      </w:r>
      <w:r w:rsidR="00F32B28" w:rsidRPr="00F32B28">
        <w:rPr>
          <w:rtl/>
        </w:rPr>
        <w:t>يستحقها</w:t>
      </w:r>
      <w:r w:rsidR="00F32B28">
        <w:rPr>
          <w:rtl/>
        </w:rPr>
        <w:t xml:space="preserve"> </w:t>
      </w:r>
      <w:r w:rsidR="00F32B28" w:rsidRPr="00F32B28">
        <w:rPr>
          <w:rtl/>
        </w:rPr>
        <w:t>العامل</w:t>
      </w:r>
      <w:r w:rsidR="00F32B28">
        <w:rPr>
          <w:rtl/>
        </w:rPr>
        <w:t xml:space="preserve"> </w:t>
      </w:r>
      <w:r w:rsidR="00F32B28" w:rsidRPr="00F32B28">
        <w:rPr>
          <w:rtl/>
        </w:rPr>
        <w:t>أو</w:t>
      </w:r>
      <w:r w:rsidR="00F32B28">
        <w:rPr>
          <w:rtl/>
        </w:rPr>
        <w:t xml:space="preserve"> </w:t>
      </w:r>
      <w:r w:rsidR="00F32B28" w:rsidRPr="00F32B28">
        <w:rPr>
          <w:rtl/>
        </w:rPr>
        <w:t>العاملة</w:t>
      </w:r>
      <w:r w:rsidR="00F32B28">
        <w:rPr>
          <w:rtl/>
        </w:rPr>
        <w:t xml:space="preserve"> </w:t>
      </w:r>
      <w:r w:rsidR="00F32B28" w:rsidRPr="00F32B28">
        <w:rPr>
          <w:rtl/>
        </w:rPr>
        <w:t>العاجزين</w:t>
      </w:r>
      <w:r w:rsidR="00F32B28">
        <w:rPr>
          <w:rtl/>
        </w:rPr>
        <w:t xml:space="preserve"> </w:t>
      </w:r>
      <w:r w:rsidR="00F32B28" w:rsidRPr="00F32B28">
        <w:rPr>
          <w:rtl/>
        </w:rPr>
        <w:t>لإحدى</w:t>
      </w:r>
      <w:r w:rsidR="00F32B28">
        <w:rPr>
          <w:rtl/>
        </w:rPr>
        <w:t xml:space="preserve"> </w:t>
      </w:r>
      <w:r w:rsidR="00F32B28" w:rsidRPr="00F32B28">
        <w:rPr>
          <w:rtl/>
        </w:rPr>
        <w:t>هذه</w:t>
      </w:r>
      <w:r w:rsidR="00F32B28">
        <w:rPr>
          <w:rtl/>
        </w:rPr>
        <w:t xml:space="preserve"> </w:t>
      </w:r>
      <w:r w:rsidR="00F32B28" w:rsidRPr="00F32B28">
        <w:rPr>
          <w:rtl/>
        </w:rPr>
        <w:t>الأسباب،</w:t>
      </w:r>
      <w:r w:rsidR="00F32B28">
        <w:rPr>
          <w:rtl/>
        </w:rPr>
        <w:t xml:space="preserve"> </w:t>
      </w:r>
      <w:r w:rsidR="00F32B28" w:rsidRPr="00F32B28">
        <w:rPr>
          <w:rtl/>
        </w:rPr>
        <w:t>وعلى</w:t>
      </w:r>
      <w:r w:rsidR="00F32B28">
        <w:rPr>
          <w:rtl/>
        </w:rPr>
        <w:t xml:space="preserve"> </w:t>
      </w:r>
      <w:r w:rsidR="00F32B28" w:rsidRPr="00F32B28">
        <w:rPr>
          <w:rtl/>
        </w:rPr>
        <w:t>قدم</w:t>
      </w:r>
      <w:r w:rsidR="00F32B28">
        <w:rPr>
          <w:rtl/>
        </w:rPr>
        <w:t xml:space="preserve"> </w:t>
      </w:r>
      <w:r w:rsidR="00F32B28" w:rsidRPr="00F32B28">
        <w:rPr>
          <w:rtl/>
        </w:rPr>
        <w:t>المساواة،</w:t>
      </w:r>
      <w:r w:rsidR="00F32B28">
        <w:rPr>
          <w:rtl/>
        </w:rPr>
        <w:t xml:space="preserve"> </w:t>
      </w:r>
      <w:r w:rsidR="00F32B28" w:rsidRPr="00F32B28">
        <w:rPr>
          <w:rtl/>
        </w:rPr>
        <w:t>وألزمت</w:t>
      </w:r>
      <w:r w:rsidR="00F32B28">
        <w:rPr>
          <w:rtl/>
        </w:rPr>
        <w:t xml:space="preserve"> </w:t>
      </w:r>
      <w:r w:rsidR="00F32B28" w:rsidRPr="00F32B28">
        <w:rPr>
          <w:rtl/>
        </w:rPr>
        <w:t>أرباب</w:t>
      </w:r>
      <w:r w:rsidR="00F32B28">
        <w:rPr>
          <w:rtl/>
        </w:rPr>
        <w:t xml:space="preserve"> </w:t>
      </w:r>
      <w:r w:rsidR="00F32B28" w:rsidRPr="00F32B28">
        <w:rPr>
          <w:rtl/>
        </w:rPr>
        <w:t>العمل</w:t>
      </w:r>
      <w:r w:rsidR="00F32B28">
        <w:rPr>
          <w:rtl/>
        </w:rPr>
        <w:t xml:space="preserve"> </w:t>
      </w:r>
      <w:r w:rsidR="00F32B28" w:rsidRPr="00F32B28">
        <w:rPr>
          <w:rtl/>
        </w:rPr>
        <w:t>بتأمين</w:t>
      </w:r>
      <w:r w:rsidR="00F32B28">
        <w:rPr>
          <w:rtl/>
        </w:rPr>
        <w:t xml:space="preserve"> </w:t>
      </w:r>
      <w:r w:rsidR="00F32B28" w:rsidRPr="00F32B28">
        <w:rPr>
          <w:rtl/>
        </w:rPr>
        <w:t>جميع</w:t>
      </w:r>
      <w:r w:rsidR="00F32B28">
        <w:rPr>
          <w:rtl/>
        </w:rPr>
        <w:t xml:space="preserve"> </w:t>
      </w:r>
      <w:r w:rsidR="00F32B28" w:rsidRPr="00F32B28">
        <w:rPr>
          <w:rtl/>
        </w:rPr>
        <w:t>عمالهم</w:t>
      </w:r>
      <w:r w:rsidR="00F32B28">
        <w:rPr>
          <w:rtl/>
        </w:rPr>
        <w:t xml:space="preserve"> </w:t>
      </w:r>
      <w:r w:rsidR="00F32B28" w:rsidRPr="00F32B28">
        <w:rPr>
          <w:rtl/>
        </w:rPr>
        <w:t>ضد</w:t>
      </w:r>
      <w:r w:rsidR="00F32B28">
        <w:rPr>
          <w:rtl/>
        </w:rPr>
        <w:t xml:space="preserve"> </w:t>
      </w:r>
      <w:r w:rsidR="00F32B28" w:rsidRPr="00F32B28">
        <w:rPr>
          <w:rtl/>
        </w:rPr>
        <w:t>إصابات</w:t>
      </w:r>
      <w:r w:rsidR="00F32B28">
        <w:rPr>
          <w:rtl/>
        </w:rPr>
        <w:t xml:space="preserve"> </w:t>
      </w:r>
      <w:r w:rsidR="00F32B28" w:rsidRPr="00F32B28">
        <w:rPr>
          <w:rtl/>
        </w:rPr>
        <w:t>العمل؛</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b/>
          <w:bCs/>
          <w:rtl/>
          <w:lang w:bidi="ar-SY"/>
        </w:rPr>
        <w:tab/>
      </w:r>
      <w:r>
        <w:rPr>
          <w:rFonts w:hint="eastAsia"/>
          <w:b/>
          <w:bCs/>
          <w:rtl/>
          <w:lang w:bidi="ar-SY"/>
        </w:rPr>
        <w:t>•</w:t>
      </w:r>
      <w:r>
        <w:rPr>
          <w:rFonts w:hint="cs"/>
          <w:b/>
          <w:bCs/>
          <w:rtl/>
          <w:lang w:bidi="ar-SY"/>
        </w:rPr>
        <w:tab/>
      </w:r>
      <w:r w:rsidR="00F32B28" w:rsidRPr="00D652E9">
        <w:rPr>
          <w:b/>
          <w:bCs/>
          <w:rtl/>
          <w:lang w:bidi="ar-SY"/>
        </w:rPr>
        <w:t>التعويضات العائلية</w:t>
      </w:r>
      <w:r w:rsidR="00F32B28" w:rsidRPr="00D652E9">
        <w:rPr>
          <w:rtl/>
          <w:lang w:bidi="ar-SY"/>
        </w:rPr>
        <w:t>:</w:t>
      </w:r>
      <w:r w:rsidR="00F32B28">
        <w:rPr>
          <w:b/>
          <w:bCs/>
          <w:rtl/>
          <w:lang w:bidi="ar-SY"/>
        </w:rPr>
        <w:t xml:space="preserve"> </w:t>
      </w:r>
      <w:r w:rsidR="00F32B28" w:rsidRPr="00F32B28">
        <w:rPr>
          <w:rtl/>
          <w:lang w:bidi="ar-SY"/>
        </w:rPr>
        <w:t>نظم</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rPr>
        <w:t>الخدمة</w:t>
      </w:r>
      <w:r w:rsidR="00F32B28">
        <w:rPr>
          <w:rtl/>
          <w:lang w:bidi="ar-SY"/>
        </w:rPr>
        <w:t xml:space="preserve"> </w:t>
      </w:r>
      <w:r w:rsidR="00F32B28" w:rsidRPr="00F32B28">
        <w:rPr>
          <w:rtl/>
          <w:lang w:bidi="ar-SY"/>
        </w:rPr>
        <w:t>المدنية</w:t>
      </w:r>
      <w:r w:rsidR="00F32B28">
        <w:rPr>
          <w:rtl/>
          <w:lang w:bidi="ar-SY"/>
        </w:rPr>
        <w:t xml:space="preserve"> </w:t>
      </w:r>
      <w:r w:rsidR="00F32B28" w:rsidRPr="00F32B28">
        <w:rPr>
          <w:rtl/>
          <w:lang w:bidi="ar-SY"/>
        </w:rPr>
        <w:t>الإعانـات</w:t>
      </w:r>
      <w:r w:rsidR="00F32B28">
        <w:rPr>
          <w:rtl/>
          <w:lang w:bidi="ar-SY"/>
        </w:rPr>
        <w:t xml:space="preserve"> </w:t>
      </w:r>
      <w:r w:rsidR="00F32B28" w:rsidRPr="00F32B28">
        <w:rPr>
          <w:rtl/>
          <w:lang w:bidi="ar-SY"/>
        </w:rPr>
        <w:t>العائلية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يستحقها</w:t>
      </w:r>
      <w:r w:rsidR="00F32B28">
        <w:rPr>
          <w:rtl/>
          <w:lang w:bidi="ar-SY"/>
        </w:rPr>
        <w:t xml:space="preserve"> </w:t>
      </w:r>
      <w:r w:rsidR="00F32B28" w:rsidRPr="00F32B28">
        <w:rPr>
          <w:rtl/>
          <w:lang w:bidi="ar-SY"/>
        </w:rPr>
        <w:t>الموظف</w:t>
      </w:r>
      <w:r w:rsidR="00F32B28">
        <w:rPr>
          <w:rtl/>
          <w:lang w:bidi="ar-SY"/>
        </w:rPr>
        <w:t xml:space="preserve"> </w:t>
      </w:r>
      <w:r w:rsidR="00F32B28" w:rsidRPr="00F32B28">
        <w:rPr>
          <w:rtl/>
          <w:lang w:bidi="ar-SY"/>
        </w:rPr>
        <w:t>أو</w:t>
      </w:r>
      <w:r w:rsidR="00062F37">
        <w:rPr>
          <w:rFonts w:hint="cs"/>
          <w:rtl/>
          <w:lang w:bidi="ar-SY"/>
        </w:rPr>
        <w:t> </w:t>
      </w:r>
      <w:r w:rsidR="00F32B28" w:rsidRPr="00F32B28">
        <w:rPr>
          <w:rtl/>
          <w:lang w:bidi="ar-SY"/>
        </w:rPr>
        <w:t>الموظفة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rPr>
        <w:t>الحكومي،</w:t>
      </w:r>
      <w:r w:rsidR="00F32B28">
        <w:rPr>
          <w:rtl/>
        </w:rPr>
        <w:t xml:space="preserve"> </w:t>
      </w:r>
      <w:r w:rsidR="00F32B28" w:rsidRPr="00F32B28">
        <w:rPr>
          <w:rtl/>
        </w:rPr>
        <w:t>وأعتبرها</w:t>
      </w:r>
      <w:r w:rsidR="00F32B28">
        <w:rPr>
          <w:rtl/>
        </w:rPr>
        <w:t xml:space="preserve"> </w:t>
      </w:r>
      <w:r w:rsidR="00F32B28" w:rsidRPr="00F32B28">
        <w:rPr>
          <w:rtl/>
        </w:rPr>
        <w:t>جزءاً</w:t>
      </w:r>
      <w:r w:rsidR="00F32B28">
        <w:rPr>
          <w:rtl/>
        </w:rPr>
        <w:t xml:space="preserve"> </w:t>
      </w:r>
      <w:r w:rsidR="00F32B28" w:rsidRPr="00F32B28">
        <w:rPr>
          <w:rtl/>
        </w:rPr>
        <w:t>من</w:t>
      </w:r>
      <w:r w:rsidR="00F32B28">
        <w:rPr>
          <w:rtl/>
        </w:rPr>
        <w:t xml:space="preserve"> </w:t>
      </w:r>
      <w:r w:rsidR="00F32B28" w:rsidRPr="00F32B28">
        <w:rPr>
          <w:rtl/>
        </w:rPr>
        <w:t>الراتب،</w:t>
      </w:r>
      <w:r w:rsidR="00F32B28">
        <w:rPr>
          <w:rtl/>
        </w:rPr>
        <w:t xml:space="preserve"> </w:t>
      </w:r>
      <w:r w:rsidR="00F32B28" w:rsidRPr="00F32B28">
        <w:rPr>
          <w:rtl/>
        </w:rPr>
        <w:t>وتكون</w:t>
      </w:r>
      <w:r w:rsidR="00F32B28">
        <w:rPr>
          <w:rtl/>
        </w:rPr>
        <w:t xml:space="preserve"> </w:t>
      </w:r>
      <w:r w:rsidR="00F32B28" w:rsidRPr="00F32B28">
        <w:rPr>
          <w:rtl/>
        </w:rPr>
        <w:t>على</w:t>
      </w:r>
      <w:r w:rsidR="00F32B28">
        <w:rPr>
          <w:rtl/>
        </w:rPr>
        <w:t xml:space="preserve"> </w:t>
      </w:r>
      <w:r w:rsidR="00F32B28" w:rsidRPr="00F32B28">
        <w:rPr>
          <w:rtl/>
        </w:rPr>
        <w:t>شكل</w:t>
      </w:r>
      <w:r w:rsidR="00F32B28">
        <w:rPr>
          <w:rtl/>
        </w:rPr>
        <w:t xml:space="preserve"> </w:t>
      </w:r>
      <w:r w:rsidR="00F32B28" w:rsidRPr="00F32B28">
        <w:rPr>
          <w:rtl/>
        </w:rPr>
        <w:t>علاوات</w:t>
      </w:r>
      <w:r w:rsidR="00F32B28">
        <w:rPr>
          <w:rtl/>
        </w:rPr>
        <w:t xml:space="preserve"> </w:t>
      </w:r>
      <w:r w:rsidR="00F32B28" w:rsidRPr="00F32B28">
        <w:rPr>
          <w:rtl/>
        </w:rPr>
        <w:t>بـدل</w:t>
      </w:r>
      <w:r w:rsidR="00F32B28">
        <w:rPr>
          <w:rtl/>
        </w:rPr>
        <w:t xml:space="preserve"> </w:t>
      </w:r>
      <w:r w:rsidR="00F32B28" w:rsidRPr="00F32B28">
        <w:rPr>
          <w:rtl/>
        </w:rPr>
        <w:t>السكن،</w:t>
      </w:r>
      <w:r w:rsidR="00F32B28">
        <w:rPr>
          <w:rtl/>
        </w:rPr>
        <w:t xml:space="preserve"> </w:t>
      </w:r>
      <w:r w:rsidR="00F32B28" w:rsidRPr="00F32B28">
        <w:rPr>
          <w:rtl/>
        </w:rPr>
        <w:t>وطبيعة</w:t>
      </w:r>
      <w:r w:rsidR="00F32B28">
        <w:rPr>
          <w:rtl/>
        </w:rPr>
        <w:t xml:space="preserve"> </w:t>
      </w:r>
      <w:r w:rsidR="00F32B28" w:rsidRPr="00F32B28">
        <w:rPr>
          <w:rtl/>
        </w:rPr>
        <w:t>العمل،</w:t>
      </w:r>
      <w:r w:rsidR="00F32B28">
        <w:rPr>
          <w:rtl/>
        </w:rPr>
        <w:t xml:space="preserve"> </w:t>
      </w:r>
      <w:r w:rsidR="00F32B28" w:rsidRPr="00F32B28">
        <w:rPr>
          <w:rtl/>
        </w:rPr>
        <w:t>والمخاطرة،</w:t>
      </w:r>
      <w:r w:rsidR="00F32B28">
        <w:rPr>
          <w:rtl/>
        </w:rPr>
        <w:t xml:space="preserve"> </w:t>
      </w:r>
      <w:r w:rsidR="00F32B28" w:rsidRPr="00F32B28">
        <w:rPr>
          <w:rtl/>
        </w:rPr>
        <w:t>وعـلاوات</w:t>
      </w:r>
      <w:r w:rsidR="00F32B28">
        <w:rPr>
          <w:rtl/>
        </w:rPr>
        <w:t xml:space="preserve"> </w:t>
      </w:r>
      <w:r w:rsidR="00F32B28" w:rsidRPr="00F32B28">
        <w:rPr>
          <w:rtl/>
        </w:rPr>
        <w:t>أخرى</w:t>
      </w:r>
      <w:r w:rsidR="00F32B28">
        <w:rPr>
          <w:rtl/>
        </w:rPr>
        <w:t xml:space="preserve"> </w:t>
      </w:r>
      <w:r w:rsidR="00F32B28" w:rsidRPr="00F32B28">
        <w:rPr>
          <w:rtl/>
        </w:rPr>
        <w:t>تحفيزية</w:t>
      </w:r>
      <w:r w:rsidR="00F32B28">
        <w:rPr>
          <w:rtl/>
        </w:rPr>
        <w:t xml:space="preserve"> </w:t>
      </w:r>
      <w:r w:rsidR="00F32B28" w:rsidRPr="00F32B28">
        <w:rPr>
          <w:rtl/>
        </w:rPr>
        <w:t>في</w:t>
      </w:r>
      <w:r w:rsidR="00F32B28">
        <w:rPr>
          <w:rtl/>
        </w:rPr>
        <w:t xml:space="preserve"> </w:t>
      </w:r>
      <w:r w:rsidR="00F32B28" w:rsidRPr="00F32B28">
        <w:rPr>
          <w:rtl/>
        </w:rPr>
        <w:t>حالة</w:t>
      </w:r>
      <w:r w:rsidR="00F32B28">
        <w:rPr>
          <w:rtl/>
        </w:rPr>
        <w:t xml:space="preserve"> </w:t>
      </w:r>
      <w:r w:rsidR="00F32B28" w:rsidRPr="00F32B28">
        <w:rPr>
          <w:rtl/>
        </w:rPr>
        <w:t>كفاءة</w:t>
      </w:r>
      <w:r w:rsidR="00F32B28">
        <w:rPr>
          <w:rtl/>
        </w:rPr>
        <w:t xml:space="preserve"> </w:t>
      </w:r>
      <w:r w:rsidR="00F32B28" w:rsidRPr="00F32B28">
        <w:rPr>
          <w:rtl/>
        </w:rPr>
        <w:t>الأداء،</w:t>
      </w:r>
      <w:r w:rsidR="00F32B28">
        <w:rPr>
          <w:rtl/>
        </w:rPr>
        <w:t xml:space="preserve"> </w:t>
      </w:r>
      <w:r w:rsidR="00F32B28" w:rsidRPr="00F32B28">
        <w:rPr>
          <w:rtl/>
        </w:rPr>
        <w:t>وتقديم</w:t>
      </w:r>
      <w:r w:rsidR="00F32B28">
        <w:rPr>
          <w:rtl/>
        </w:rPr>
        <w:t xml:space="preserve"> </w:t>
      </w:r>
      <w:r w:rsidR="00F32B28" w:rsidRPr="00F32B28">
        <w:rPr>
          <w:rtl/>
        </w:rPr>
        <w:t>أعمالا</w:t>
      </w:r>
      <w:r w:rsidR="00F32B28">
        <w:rPr>
          <w:rtl/>
        </w:rPr>
        <w:t xml:space="preserve"> </w:t>
      </w:r>
      <w:r w:rsidR="00F32B28" w:rsidRPr="00F32B28">
        <w:rPr>
          <w:rtl/>
        </w:rPr>
        <w:t>أو</w:t>
      </w:r>
      <w:r w:rsidR="00F32B28">
        <w:rPr>
          <w:rtl/>
        </w:rPr>
        <w:t xml:space="preserve"> </w:t>
      </w:r>
      <w:r w:rsidR="00F32B28" w:rsidRPr="00F32B28">
        <w:rPr>
          <w:rtl/>
        </w:rPr>
        <w:t>أبحاثاً</w:t>
      </w:r>
      <w:r w:rsidR="00F32B28">
        <w:rPr>
          <w:rtl/>
        </w:rPr>
        <w:t xml:space="preserve"> </w:t>
      </w:r>
      <w:r w:rsidR="00F32B28" w:rsidRPr="00F32B28">
        <w:rPr>
          <w:rtl/>
        </w:rPr>
        <w:t>لرفع</w:t>
      </w:r>
      <w:r w:rsidR="00F32B28">
        <w:rPr>
          <w:rtl/>
        </w:rPr>
        <w:t xml:space="preserve"> </w:t>
      </w:r>
      <w:r w:rsidR="00F32B28" w:rsidRPr="00F32B28">
        <w:rPr>
          <w:rtl/>
        </w:rPr>
        <w:t>كفاءة</w:t>
      </w:r>
      <w:r w:rsidR="00F32B28">
        <w:rPr>
          <w:rtl/>
        </w:rPr>
        <w:t xml:space="preserve"> </w:t>
      </w:r>
      <w:r w:rsidR="00F32B28" w:rsidRPr="00F32B28">
        <w:rPr>
          <w:rtl/>
        </w:rPr>
        <w:t>الأداء</w:t>
      </w:r>
      <w:r w:rsidR="00F32B28">
        <w:rPr>
          <w:rtl/>
        </w:rPr>
        <w:t xml:space="preserve"> </w:t>
      </w:r>
      <w:r w:rsidR="00F32B28" w:rsidRPr="00F32B28">
        <w:rPr>
          <w:rtl/>
        </w:rPr>
        <w:t>وترشيد</w:t>
      </w:r>
      <w:r w:rsidR="00F32B28">
        <w:rPr>
          <w:rtl/>
        </w:rPr>
        <w:t xml:space="preserve"> </w:t>
      </w:r>
      <w:r w:rsidR="00F32B28" w:rsidRPr="00F32B28">
        <w:rPr>
          <w:rtl/>
        </w:rPr>
        <w:t>النفقات.</w:t>
      </w:r>
      <w:r w:rsidR="00F32B28">
        <w:rPr>
          <w:rtl/>
        </w:rPr>
        <w:t xml:space="preserve"> </w:t>
      </w:r>
      <w:r w:rsidR="00F32B28" w:rsidRPr="00F32B28">
        <w:rPr>
          <w:rtl/>
        </w:rPr>
        <w:t>كما</w:t>
      </w:r>
      <w:r w:rsidR="00F32B28">
        <w:rPr>
          <w:rtl/>
        </w:rPr>
        <w:t xml:space="preserve"> </w:t>
      </w:r>
      <w:r w:rsidR="00F32B28" w:rsidRPr="00F32B28">
        <w:rPr>
          <w:rtl/>
        </w:rPr>
        <w:t>تشمل</w:t>
      </w:r>
      <w:r w:rsidR="00F32B28">
        <w:rPr>
          <w:rtl/>
        </w:rPr>
        <w:t xml:space="preserve"> </w:t>
      </w:r>
      <w:r w:rsidR="00F32B28" w:rsidRPr="00F32B28">
        <w:rPr>
          <w:rtl/>
        </w:rPr>
        <w:t>هذه</w:t>
      </w:r>
      <w:r w:rsidR="00F32B28">
        <w:rPr>
          <w:rtl/>
        </w:rPr>
        <w:t xml:space="preserve"> </w:t>
      </w:r>
      <w:r w:rsidR="00F32B28" w:rsidRPr="00F32B28">
        <w:rPr>
          <w:rtl/>
        </w:rPr>
        <w:t>العلاوات</w:t>
      </w:r>
      <w:r w:rsidR="00F32B28">
        <w:rPr>
          <w:rtl/>
        </w:rPr>
        <w:t xml:space="preserve"> </w:t>
      </w:r>
      <w:r w:rsidR="00F32B28" w:rsidRPr="00F32B28">
        <w:rPr>
          <w:rtl/>
        </w:rPr>
        <w:t>علاوات</w:t>
      </w:r>
      <w:r w:rsidR="00F32B28">
        <w:rPr>
          <w:rtl/>
        </w:rPr>
        <w:t xml:space="preserve"> </w:t>
      </w:r>
      <w:r w:rsidR="00F32B28" w:rsidRPr="00F32B28">
        <w:rPr>
          <w:rtl/>
        </w:rPr>
        <w:t>اجتماعية</w:t>
      </w:r>
      <w:r w:rsidR="00F32B28">
        <w:rPr>
          <w:rtl/>
        </w:rPr>
        <w:t xml:space="preserve"> </w:t>
      </w:r>
      <w:r w:rsidR="00F32B28" w:rsidRPr="00F32B28">
        <w:rPr>
          <w:rtl/>
        </w:rPr>
        <w:t>تــصرف</w:t>
      </w:r>
      <w:r w:rsidR="00F32B28">
        <w:rPr>
          <w:rtl/>
        </w:rPr>
        <w:t xml:space="preserve"> </w:t>
      </w:r>
      <w:r w:rsidR="00F32B28" w:rsidRPr="00F32B28">
        <w:rPr>
          <w:rtl/>
        </w:rPr>
        <w:t>عن</w:t>
      </w:r>
      <w:r w:rsidR="00F32B28">
        <w:rPr>
          <w:rtl/>
        </w:rPr>
        <w:t xml:space="preserve"> </w:t>
      </w:r>
      <w:r w:rsidR="00F32B28" w:rsidRPr="00F32B28">
        <w:rPr>
          <w:rtl/>
        </w:rPr>
        <w:t>الــزوج</w:t>
      </w:r>
      <w:r w:rsidR="00F32B28">
        <w:rPr>
          <w:rtl/>
        </w:rPr>
        <w:t xml:space="preserve"> </w:t>
      </w:r>
      <w:r w:rsidR="00F32B28" w:rsidRPr="00F32B28">
        <w:rPr>
          <w:rtl/>
        </w:rPr>
        <w:t>أو</w:t>
      </w:r>
      <w:r w:rsidR="00F32B28">
        <w:rPr>
          <w:rtl/>
        </w:rPr>
        <w:t xml:space="preserve"> </w:t>
      </w:r>
      <w:r w:rsidR="00F32B28" w:rsidRPr="00F32B28">
        <w:rPr>
          <w:rtl/>
        </w:rPr>
        <w:t>الزوجــة</w:t>
      </w:r>
      <w:r w:rsidR="00F32B28">
        <w:rPr>
          <w:rtl/>
        </w:rPr>
        <w:t xml:space="preserve"> </w:t>
      </w:r>
      <w:r w:rsidR="00F32B28" w:rsidRPr="00F32B28">
        <w:rPr>
          <w:rtl/>
        </w:rPr>
        <w:t>غيــر</w:t>
      </w:r>
      <w:r w:rsidR="00F32B28">
        <w:rPr>
          <w:rtl/>
        </w:rPr>
        <w:t xml:space="preserve"> </w:t>
      </w:r>
      <w:r w:rsidR="00F32B28" w:rsidRPr="00F32B28">
        <w:rPr>
          <w:rtl/>
        </w:rPr>
        <w:t>الموظف/الموظفة،</w:t>
      </w:r>
      <w:r w:rsidR="00F32B28">
        <w:rPr>
          <w:rtl/>
        </w:rPr>
        <w:t xml:space="preserve"> </w:t>
      </w:r>
      <w:r w:rsidR="00F32B28" w:rsidRPr="00F32B28">
        <w:rPr>
          <w:rtl/>
        </w:rPr>
        <w:t>وعن</w:t>
      </w:r>
      <w:r w:rsidR="00F32B28">
        <w:rPr>
          <w:rtl/>
        </w:rPr>
        <w:t xml:space="preserve"> </w:t>
      </w:r>
      <w:r w:rsidR="00F32B28" w:rsidRPr="00F32B28">
        <w:rPr>
          <w:rtl/>
        </w:rPr>
        <w:t>الأبناء</w:t>
      </w:r>
      <w:r w:rsidR="00F32B28">
        <w:rPr>
          <w:rtl/>
        </w:rPr>
        <w:t xml:space="preserve"> </w:t>
      </w:r>
      <w:r w:rsidR="00F32B28" w:rsidRPr="00F32B28">
        <w:rPr>
          <w:rtl/>
        </w:rPr>
        <w:t>والبنات</w:t>
      </w:r>
      <w:r w:rsidR="00F32B28">
        <w:rPr>
          <w:rtl/>
        </w:rPr>
        <w:t xml:space="preserve"> </w:t>
      </w:r>
      <w:r w:rsidR="00F32B28" w:rsidRPr="00F32B28">
        <w:rPr>
          <w:rtl/>
        </w:rPr>
        <w:t>حتى</w:t>
      </w:r>
      <w:r w:rsidR="00F32B28">
        <w:rPr>
          <w:rtl/>
        </w:rPr>
        <w:t xml:space="preserve"> </w:t>
      </w:r>
      <w:r w:rsidR="00F32B28" w:rsidRPr="00F32B28">
        <w:rPr>
          <w:rtl/>
        </w:rPr>
        <w:t>بلوغهم</w:t>
      </w:r>
      <w:r w:rsidR="00F32B28">
        <w:rPr>
          <w:rtl/>
        </w:rPr>
        <w:t xml:space="preserve"> </w:t>
      </w:r>
      <w:r w:rsidR="00F32B28" w:rsidRPr="00F32B28">
        <w:rPr>
          <w:rtl/>
        </w:rPr>
        <w:t>سن</w:t>
      </w:r>
      <w:r w:rsidR="00F32B28">
        <w:rPr>
          <w:rtl/>
        </w:rPr>
        <w:t xml:space="preserve"> </w:t>
      </w:r>
      <w:r w:rsidR="00F32B28" w:rsidRPr="00F32B28">
        <w:rPr>
          <w:rtl/>
        </w:rPr>
        <w:t>الثامنة</w:t>
      </w:r>
      <w:r w:rsidR="00F32B28">
        <w:rPr>
          <w:rtl/>
        </w:rPr>
        <w:t xml:space="preserve"> </w:t>
      </w:r>
      <w:r w:rsidR="00F32B28" w:rsidRPr="00F32B28">
        <w:rPr>
          <w:rtl/>
        </w:rPr>
        <w:t>عشر،</w:t>
      </w:r>
      <w:r w:rsidR="00F32B28">
        <w:rPr>
          <w:rtl/>
        </w:rPr>
        <w:t xml:space="preserve"> </w:t>
      </w:r>
      <w:r w:rsidR="00F32B28" w:rsidRPr="00F32B28">
        <w:rPr>
          <w:rtl/>
        </w:rPr>
        <w:t>وتستمر</w:t>
      </w:r>
      <w:r w:rsidR="00F32B28">
        <w:rPr>
          <w:rtl/>
        </w:rPr>
        <w:t xml:space="preserve"> </w:t>
      </w:r>
      <w:r w:rsidR="00F32B28" w:rsidRPr="00F32B28">
        <w:rPr>
          <w:rtl/>
        </w:rPr>
        <w:t>العلاوة</w:t>
      </w:r>
      <w:r w:rsidR="00F32B28">
        <w:rPr>
          <w:rtl/>
        </w:rPr>
        <w:t xml:space="preserve"> </w:t>
      </w:r>
      <w:r w:rsidR="00F32B28" w:rsidRPr="00F32B28">
        <w:rPr>
          <w:rtl/>
        </w:rPr>
        <w:t>لهـم</w:t>
      </w:r>
      <w:r w:rsidR="00F32B28">
        <w:rPr>
          <w:rtl/>
        </w:rPr>
        <w:t xml:space="preserve"> </w:t>
      </w:r>
      <w:r w:rsidR="00F32B28" w:rsidRPr="00F32B28">
        <w:rPr>
          <w:rtl/>
        </w:rPr>
        <w:t>إذا</w:t>
      </w:r>
      <w:r w:rsidR="00F32B28">
        <w:rPr>
          <w:rtl/>
        </w:rPr>
        <w:t xml:space="preserve"> </w:t>
      </w:r>
      <w:r w:rsidR="00F32B28" w:rsidRPr="00F32B28">
        <w:rPr>
          <w:rtl/>
        </w:rPr>
        <w:t>تجاوزوا</w:t>
      </w:r>
      <w:r w:rsidR="00F32B28">
        <w:rPr>
          <w:rtl/>
        </w:rPr>
        <w:t xml:space="preserve"> </w:t>
      </w:r>
      <w:r w:rsidR="00F32B28" w:rsidRPr="00F32B28">
        <w:rPr>
          <w:rtl/>
        </w:rPr>
        <w:t>هذه</w:t>
      </w:r>
      <w:r w:rsidR="00F32B28">
        <w:rPr>
          <w:rtl/>
        </w:rPr>
        <w:t xml:space="preserve"> </w:t>
      </w:r>
      <w:r w:rsidR="00F32B28" w:rsidRPr="00F32B28">
        <w:rPr>
          <w:rtl/>
        </w:rPr>
        <w:t>السن</w:t>
      </w:r>
      <w:r w:rsidR="00F32B28">
        <w:rPr>
          <w:rtl/>
        </w:rPr>
        <w:t xml:space="preserve"> </w:t>
      </w:r>
      <w:r w:rsidR="00F32B28" w:rsidRPr="00F32B28">
        <w:rPr>
          <w:rtl/>
        </w:rPr>
        <w:t>في</w:t>
      </w:r>
      <w:r w:rsidR="00F32B28">
        <w:rPr>
          <w:rtl/>
        </w:rPr>
        <w:t xml:space="preserve"> </w:t>
      </w:r>
      <w:r w:rsidR="00F32B28" w:rsidRPr="00F32B28">
        <w:rPr>
          <w:rtl/>
        </w:rPr>
        <w:t>حالات</w:t>
      </w:r>
      <w:r w:rsidR="00F32B28">
        <w:rPr>
          <w:rtl/>
        </w:rPr>
        <w:t xml:space="preserve"> </w:t>
      </w:r>
      <w:r w:rsidR="00F32B28" w:rsidRPr="00F32B28">
        <w:rPr>
          <w:rtl/>
        </w:rPr>
        <w:t>معينة.</w:t>
      </w:r>
      <w:r w:rsidR="00F32B28">
        <w:rPr>
          <w:rtl/>
        </w:rPr>
        <w:t xml:space="preserve"> </w:t>
      </w:r>
      <w:r w:rsidR="00F32B28" w:rsidRPr="00F32B28">
        <w:rPr>
          <w:rtl/>
        </w:rPr>
        <w:t>أما</w:t>
      </w:r>
      <w:r w:rsidR="00F32B28">
        <w:rPr>
          <w:rtl/>
        </w:rPr>
        <w:t xml:space="preserve"> </w:t>
      </w:r>
      <w:r w:rsidR="00F32B28" w:rsidRPr="00F32B28">
        <w:rPr>
          <w:rtl/>
        </w:rPr>
        <w:t>إذا</w:t>
      </w:r>
      <w:r w:rsidR="00F32B28">
        <w:rPr>
          <w:rtl/>
        </w:rPr>
        <w:t xml:space="preserve"> </w:t>
      </w:r>
      <w:r w:rsidR="00F32B28" w:rsidRPr="00F32B28">
        <w:rPr>
          <w:rtl/>
        </w:rPr>
        <w:t>كان</w:t>
      </w:r>
      <w:r w:rsidR="00F32B28">
        <w:rPr>
          <w:rtl/>
        </w:rPr>
        <w:t xml:space="preserve"> </w:t>
      </w:r>
      <w:r w:rsidR="00F32B28" w:rsidRPr="00F32B28">
        <w:rPr>
          <w:rtl/>
        </w:rPr>
        <w:t>الزوجان</w:t>
      </w:r>
      <w:r w:rsidR="00F32B28">
        <w:rPr>
          <w:rtl/>
        </w:rPr>
        <w:t xml:space="preserve"> </w:t>
      </w:r>
      <w:r w:rsidR="00F32B28" w:rsidRPr="00F32B28">
        <w:rPr>
          <w:rtl/>
        </w:rPr>
        <w:t>موظفين</w:t>
      </w:r>
      <w:r w:rsidR="00F32B28">
        <w:rPr>
          <w:rtl/>
        </w:rPr>
        <w:t xml:space="preserve"> </w:t>
      </w:r>
      <w:r w:rsidR="00F32B28" w:rsidRPr="00F32B28">
        <w:rPr>
          <w:rtl/>
        </w:rPr>
        <w:t>بالخدمة</w:t>
      </w:r>
      <w:r w:rsidR="00F32B28">
        <w:rPr>
          <w:rtl/>
        </w:rPr>
        <w:t xml:space="preserve"> </w:t>
      </w:r>
      <w:r w:rsidR="00F32B28" w:rsidRPr="00F32B28">
        <w:rPr>
          <w:rtl/>
        </w:rPr>
        <w:t>المدنية</w:t>
      </w:r>
      <w:r w:rsidR="00F32B28">
        <w:rPr>
          <w:rtl/>
        </w:rPr>
        <w:t xml:space="preserve"> </w:t>
      </w:r>
      <w:r w:rsidR="00F32B28" w:rsidRPr="00F32B28">
        <w:rPr>
          <w:rtl/>
        </w:rPr>
        <w:t>فتدفع</w:t>
      </w:r>
      <w:r w:rsidR="00F32B28">
        <w:rPr>
          <w:rtl/>
        </w:rPr>
        <w:t xml:space="preserve"> </w:t>
      </w:r>
      <w:r w:rsidR="00F32B28" w:rsidRPr="00F32B28">
        <w:rPr>
          <w:rtl/>
        </w:rPr>
        <w:t>العلاوة</w:t>
      </w:r>
      <w:r w:rsidR="00F32B28">
        <w:rPr>
          <w:rtl/>
        </w:rPr>
        <w:t xml:space="preserve"> </w:t>
      </w:r>
      <w:r w:rsidR="00F32B28" w:rsidRPr="00F32B28">
        <w:rPr>
          <w:rtl/>
        </w:rPr>
        <w:t>الاجتماعية</w:t>
      </w:r>
      <w:r w:rsidR="00F32B28">
        <w:rPr>
          <w:rtl/>
        </w:rPr>
        <w:t xml:space="preserve"> </w:t>
      </w:r>
      <w:r w:rsidR="00F32B28" w:rsidRPr="00F32B28">
        <w:rPr>
          <w:rtl/>
        </w:rPr>
        <w:t>لأحدهما.</w:t>
      </w:r>
      <w:r w:rsidR="00F32B28">
        <w:rPr>
          <w:rtl/>
        </w:rPr>
        <w:t xml:space="preserve"> </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b/>
          <w:bCs/>
          <w:rtl/>
          <w:lang w:bidi="ar-SY"/>
        </w:rPr>
        <w:lastRenderedPageBreak/>
        <w:tab/>
      </w:r>
      <w:r>
        <w:rPr>
          <w:rFonts w:hint="eastAsia"/>
          <w:b/>
          <w:bCs/>
          <w:rtl/>
          <w:lang w:bidi="ar-SY"/>
        </w:rPr>
        <w:t>•</w:t>
      </w:r>
      <w:r>
        <w:rPr>
          <w:rFonts w:hint="cs"/>
          <w:b/>
          <w:bCs/>
          <w:rtl/>
          <w:lang w:bidi="ar-SY"/>
        </w:rPr>
        <w:tab/>
      </w:r>
      <w:r w:rsidR="00F32B28" w:rsidRPr="00D652E9">
        <w:rPr>
          <w:b/>
          <w:bCs/>
          <w:rtl/>
        </w:rPr>
        <w:t>إجازة الأمومة وساعات الرضاعة</w:t>
      </w:r>
      <w:r w:rsidR="00F32B28" w:rsidRPr="00F32B28">
        <w:rPr>
          <w:rtl/>
        </w:rPr>
        <w:t>:</w:t>
      </w:r>
      <w:r w:rsidR="00F32B28">
        <w:rPr>
          <w:rtl/>
        </w:rPr>
        <w:t xml:space="preserve"> </w:t>
      </w:r>
      <w:r w:rsidR="00F32B28" w:rsidRPr="00F32B28">
        <w:rPr>
          <w:rtl/>
        </w:rPr>
        <w:t>تستحق</w:t>
      </w:r>
      <w:r w:rsidR="00F32B28">
        <w:rPr>
          <w:rtl/>
        </w:rPr>
        <w:t xml:space="preserve"> </w:t>
      </w:r>
      <w:r w:rsidR="00F32B28" w:rsidRPr="00F32B28">
        <w:rPr>
          <w:rtl/>
        </w:rPr>
        <w:t>الموظفة</w:t>
      </w:r>
      <w:r w:rsidR="00F32B28">
        <w:rPr>
          <w:rtl/>
        </w:rPr>
        <w:t xml:space="preserve"> </w:t>
      </w:r>
      <w:r w:rsidR="00F32B28" w:rsidRPr="00F32B28">
        <w:rPr>
          <w:rtl/>
        </w:rPr>
        <w:t>الحامل</w:t>
      </w:r>
      <w:r w:rsidR="00F32B28">
        <w:rPr>
          <w:rtl/>
        </w:rPr>
        <w:t xml:space="preserve"> </w:t>
      </w:r>
      <w:r w:rsidR="00F32B28" w:rsidRPr="00F32B28">
        <w:rPr>
          <w:rtl/>
        </w:rPr>
        <w:t>إجازة</w:t>
      </w:r>
      <w:r w:rsidR="00F32B28">
        <w:rPr>
          <w:rtl/>
        </w:rPr>
        <w:t xml:space="preserve"> </w:t>
      </w:r>
      <w:r w:rsidR="00F32B28" w:rsidRPr="00F32B28">
        <w:rPr>
          <w:rtl/>
        </w:rPr>
        <w:t>براتب</w:t>
      </w:r>
      <w:r w:rsidR="00F32B28">
        <w:rPr>
          <w:rtl/>
        </w:rPr>
        <w:t xml:space="preserve"> </w:t>
      </w:r>
      <w:r w:rsidR="00F32B28" w:rsidRPr="00F32B28">
        <w:rPr>
          <w:rtl/>
        </w:rPr>
        <w:t>كامل</w:t>
      </w:r>
      <w:r w:rsidR="00F32B28">
        <w:rPr>
          <w:rtl/>
        </w:rPr>
        <w:t xml:space="preserve"> </w:t>
      </w:r>
      <w:r w:rsidR="00F32B28" w:rsidRPr="00F32B28">
        <w:rPr>
          <w:rtl/>
        </w:rPr>
        <w:t>لمدة</w:t>
      </w:r>
      <w:r w:rsidR="00F32B28">
        <w:rPr>
          <w:rtl/>
        </w:rPr>
        <w:t xml:space="preserve"> </w:t>
      </w:r>
      <w:r w:rsidR="00F32B28" w:rsidRPr="00F32B28">
        <w:rPr>
          <w:rtl/>
        </w:rPr>
        <w:t>عشرة</w:t>
      </w:r>
      <w:r w:rsidR="00F32B28">
        <w:rPr>
          <w:rtl/>
        </w:rPr>
        <w:t xml:space="preserve"> </w:t>
      </w:r>
      <w:r w:rsidR="00F32B28" w:rsidRPr="00F32B28">
        <w:rPr>
          <w:rtl/>
        </w:rPr>
        <w:t>أسابيع</w:t>
      </w:r>
      <w:r w:rsidR="00F32B28">
        <w:rPr>
          <w:rtl/>
        </w:rPr>
        <w:t xml:space="preserve"> </w:t>
      </w:r>
      <w:r w:rsidR="00F32B28" w:rsidRPr="00F32B28">
        <w:rPr>
          <w:rtl/>
        </w:rPr>
        <w:t>متصلة</w:t>
      </w:r>
      <w:r w:rsidR="00F32B28">
        <w:rPr>
          <w:rtl/>
        </w:rPr>
        <w:t xml:space="preserve"> </w:t>
      </w:r>
      <w:r w:rsidR="00F32B28" w:rsidRPr="00F32B28">
        <w:rPr>
          <w:rtl/>
        </w:rPr>
        <w:t>قبل</w:t>
      </w:r>
      <w:r w:rsidR="00F32B28">
        <w:rPr>
          <w:rtl/>
        </w:rPr>
        <w:t xml:space="preserve"> </w:t>
      </w:r>
      <w:r w:rsidR="00F32B28" w:rsidRPr="00F32B28">
        <w:rPr>
          <w:rtl/>
        </w:rPr>
        <w:t>الوضع</w:t>
      </w:r>
      <w:r w:rsidR="00F32B28">
        <w:rPr>
          <w:rtl/>
        </w:rPr>
        <w:t xml:space="preserve"> </w:t>
      </w:r>
      <w:r w:rsidR="00F32B28" w:rsidRPr="00F32B28">
        <w:rPr>
          <w:rtl/>
        </w:rPr>
        <w:t>وبعده،</w:t>
      </w:r>
      <w:r w:rsidR="00F32B28">
        <w:rPr>
          <w:rtl/>
        </w:rPr>
        <w:t xml:space="preserve"> </w:t>
      </w:r>
      <w:r w:rsidR="00F32B28" w:rsidRPr="00F32B28">
        <w:rPr>
          <w:rtl/>
        </w:rPr>
        <w:t>كما</w:t>
      </w:r>
      <w:r w:rsidR="00F32B28">
        <w:rPr>
          <w:rtl/>
        </w:rPr>
        <w:t xml:space="preserve"> </w:t>
      </w:r>
      <w:r w:rsidR="00F32B28" w:rsidRPr="00F32B28">
        <w:rPr>
          <w:rtl/>
        </w:rPr>
        <w:t>تستحق</w:t>
      </w:r>
      <w:r w:rsidR="00F32B28">
        <w:rPr>
          <w:rtl/>
        </w:rPr>
        <w:t xml:space="preserve"> </w:t>
      </w:r>
      <w:r w:rsidR="00F32B28" w:rsidRPr="00F32B28">
        <w:rPr>
          <w:rtl/>
        </w:rPr>
        <w:t>الموظفة</w:t>
      </w:r>
      <w:r w:rsidR="00F32B28">
        <w:rPr>
          <w:rtl/>
        </w:rPr>
        <w:t xml:space="preserve"> </w:t>
      </w:r>
      <w:r w:rsidR="00F32B28" w:rsidRPr="00F32B28">
        <w:rPr>
          <w:rtl/>
        </w:rPr>
        <w:t>المرضعة</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الانصراف</w:t>
      </w:r>
      <w:r w:rsidR="00F32B28">
        <w:rPr>
          <w:rtl/>
        </w:rPr>
        <w:t xml:space="preserve"> </w:t>
      </w:r>
      <w:r w:rsidR="00F32B28" w:rsidRPr="00F32B28">
        <w:rPr>
          <w:rtl/>
        </w:rPr>
        <w:t>من</w:t>
      </w:r>
      <w:r w:rsidR="00F32B28">
        <w:rPr>
          <w:rtl/>
        </w:rPr>
        <w:t xml:space="preserve"> </w:t>
      </w:r>
      <w:r w:rsidR="00F32B28" w:rsidRPr="00F32B28">
        <w:rPr>
          <w:rtl/>
        </w:rPr>
        <w:t>العمل</w:t>
      </w:r>
      <w:r w:rsidR="00F32B28">
        <w:rPr>
          <w:rtl/>
        </w:rPr>
        <w:t xml:space="preserve"> </w:t>
      </w:r>
      <w:r w:rsidR="00F32B28" w:rsidRPr="00F32B28">
        <w:rPr>
          <w:rtl/>
        </w:rPr>
        <w:t>قبل</w:t>
      </w:r>
      <w:r w:rsidR="00F32B28">
        <w:rPr>
          <w:rtl/>
        </w:rPr>
        <w:t xml:space="preserve"> </w:t>
      </w:r>
      <w:r w:rsidR="00F32B28" w:rsidRPr="00F32B28">
        <w:rPr>
          <w:rtl/>
        </w:rPr>
        <w:t>موعد</w:t>
      </w:r>
      <w:r w:rsidR="00F32B28">
        <w:rPr>
          <w:rtl/>
        </w:rPr>
        <w:t xml:space="preserve"> </w:t>
      </w:r>
      <w:r w:rsidR="00F32B28" w:rsidRPr="00F32B28">
        <w:rPr>
          <w:rtl/>
        </w:rPr>
        <w:t>انتهائه</w:t>
      </w:r>
      <w:r w:rsidR="00F32B28">
        <w:rPr>
          <w:rtl/>
        </w:rPr>
        <w:t xml:space="preserve"> </w:t>
      </w:r>
      <w:r w:rsidR="00F32B28" w:rsidRPr="00F32B28">
        <w:rPr>
          <w:rtl/>
        </w:rPr>
        <w:t>بساعة</w:t>
      </w:r>
      <w:r w:rsidR="00F32B28">
        <w:rPr>
          <w:rtl/>
        </w:rPr>
        <w:t xml:space="preserve"> </w:t>
      </w:r>
      <w:r w:rsidR="00F32B28" w:rsidRPr="00F32B28">
        <w:rPr>
          <w:rtl/>
        </w:rPr>
        <w:t>واحدة</w:t>
      </w:r>
      <w:r w:rsidR="00F32B28">
        <w:rPr>
          <w:rtl/>
        </w:rPr>
        <w:t xml:space="preserve"> </w:t>
      </w:r>
      <w:r w:rsidR="00F32B28" w:rsidRPr="00F32B28">
        <w:rPr>
          <w:rtl/>
        </w:rPr>
        <w:t>ولمدة</w:t>
      </w:r>
      <w:r w:rsidR="00F32B28">
        <w:rPr>
          <w:rtl/>
        </w:rPr>
        <w:t xml:space="preserve"> </w:t>
      </w:r>
      <w:r w:rsidR="00F32B28" w:rsidRPr="00F32B28">
        <w:rPr>
          <w:rtl/>
        </w:rPr>
        <w:t>سنة</w:t>
      </w:r>
      <w:r w:rsidR="00F32B28">
        <w:rPr>
          <w:rtl/>
        </w:rPr>
        <w:t xml:space="preserve"> </w:t>
      </w:r>
      <w:r w:rsidR="00F32B28" w:rsidRPr="00F32B28">
        <w:rPr>
          <w:rtl/>
        </w:rPr>
        <w:t>من</w:t>
      </w:r>
      <w:r w:rsidR="00F32B28">
        <w:rPr>
          <w:rtl/>
        </w:rPr>
        <w:t xml:space="preserve"> </w:t>
      </w:r>
      <w:r w:rsidR="00F32B28" w:rsidRPr="00F32B28">
        <w:rPr>
          <w:rtl/>
        </w:rPr>
        <w:t>تاريخ</w:t>
      </w:r>
      <w:r w:rsidR="00F32B28">
        <w:rPr>
          <w:rtl/>
        </w:rPr>
        <w:t xml:space="preserve"> </w:t>
      </w:r>
      <w:r w:rsidR="00F32B28" w:rsidRPr="00F32B28">
        <w:rPr>
          <w:rtl/>
        </w:rPr>
        <w:t>مولد</w:t>
      </w:r>
      <w:r w:rsidR="00F32B28">
        <w:rPr>
          <w:rtl/>
        </w:rPr>
        <w:t xml:space="preserve"> </w:t>
      </w:r>
      <w:r w:rsidR="00F32B28" w:rsidRPr="00F32B28">
        <w:rPr>
          <w:rtl/>
        </w:rPr>
        <w:t>الطفل.</w:t>
      </w:r>
      <w:r w:rsidR="00F32B28">
        <w:rPr>
          <w:rtl/>
        </w:rPr>
        <w:t xml:space="preserve"> </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b/>
          <w:bCs/>
          <w:rtl/>
          <w:lang w:bidi="ar-SY"/>
        </w:rPr>
        <w:tab/>
      </w:r>
      <w:r>
        <w:rPr>
          <w:rFonts w:hint="eastAsia"/>
          <w:b/>
          <w:bCs/>
          <w:rtl/>
          <w:lang w:bidi="ar-SY"/>
        </w:rPr>
        <w:t>•</w:t>
      </w:r>
      <w:r>
        <w:rPr>
          <w:rFonts w:hint="cs"/>
          <w:b/>
          <w:bCs/>
          <w:rtl/>
          <w:lang w:bidi="ar-SY"/>
        </w:rPr>
        <w:tab/>
      </w:r>
      <w:r w:rsidR="00F32B28" w:rsidRPr="00D652E9">
        <w:rPr>
          <w:b/>
          <w:bCs/>
          <w:rtl/>
        </w:rPr>
        <w:t>الإجازات المدفوعة الأجر</w:t>
      </w:r>
      <w:r w:rsidR="00F32B28" w:rsidRPr="00F32B28">
        <w:rPr>
          <w:rtl/>
        </w:rPr>
        <w:t>:</w:t>
      </w:r>
      <w:r w:rsidR="00F32B28">
        <w:rPr>
          <w:rtl/>
        </w:rPr>
        <w:t xml:space="preserve"> </w:t>
      </w:r>
      <w:r w:rsidR="00F32B28" w:rsidRPr="00F32B28">
        <w:rPr>
          <w:rtl/>
        </w:rPr>
        <w:t>تستحق</w:t>
      </w:r>
      <w:r w:rsidR="00F32B28">
        <w:rPr>
          <w:rtl/>
        </w:rPr>
        <w:t xml:space="preserve"> </w:t>
      </w:r>
      <w:r w:rsidR="00F32B28" w:rsidRPr="00F32B28">
        <w:rPr>
          <w:rtl/>
        </w:rPr>
        <w:t>المرأة</w:t>
      </w:r>
      <w:r w:rsidR="00F32B28">
        <w:rPr>
          <w:rtl/>
        </w:rPr>
        <w:t xml:space="preserve"> </w:t>
      </w:r>
      <w:r w:rsidR="00F32B28" w:rsidRPr="00F32B28">
        <w:rPr>
          <w:rtl/>
        </w:rPr>
        <w:t>الموظفة،</w:t>
      </w:r>
      <w:r w:rsidR="00F32B28">
        <w:rPr>
          <w:rtl/>
        </w:rPr>
        <w:t xml:space="preserve"> </w:t>
      </w:r>
      <w:r w:rsidR="00F32B28" w:rsidRPr="00F32B28">
        <w:rPr>
          <w:rtl/>
        </w:rPr>
        <w:t>كما</w:t>
      </w:r>
      <w:r w:rsidR="00F32B28">
        <w:rPr>
          <w:rtl/>
        </w:rPr>
        <w:t xml:space="preserve"> </w:t>
      </w:r>
      <w:r w:rsidR="00F32B28" w:rsidRPr="00F32B28">
        <w:rPr>
          <w:rtl/>
        </w:rPr>
        <w:t>الرجل</w:t>
      </w:r>
      <w:r w:rsidR="00F32B28">
        <w:rPr>
          <w:rtl/>
        </w:rPr>
        <w:t xml:space="preserve"> </w:t>
      </w:r>
      <w:r w:rsidR="00F32B28" w:rsidRPr="00F32B28">
        <w:rPr>
          <w:rtl/>
        </w:rPr>
        <w:t>الموظف،</w:t>
      </w:r>
      <w:r w:rsidR="00F32B28">
        <w:rPr>
          <w:rtl/>
        </w:rPr>
        <w:t xml:space="preserve"> </w:t>
      </w:r>
      <w:r w:rsidR="00F32B28" w:rsidRPr="00F32B28">
        <w:rPr>
          <w:rtl/>
        </w:rPr>
        <w:t>مجموعة</w:t>
      </w:r>
      <w:r w:rsidR="00F32B28">
        <w:rPr>
          <w:rtl/>
        </w:rPr>
        <w:t xml:space="preserve"> </w:t>
      </w:r>
      <w:r w:rsidR="00F32B28" w:rsidRPr="00F32B28">
        <w:rPr>
          <w:rtl/>
        </w:rPr>
        <w:t>من</w:t>
      </w:r>
      <w:r w:rsidR="00F32B28">
        <w:rPr>
          <w:rtl/>
        </w:rPr>
        <w:t xml:space="preserve"> </w:t>
      </w:r>
      <w:r w:rsidR="00F32B28" w:rsidRPr="00F32B28">
        <w:rPr>
          <w:rtl/>
        </w:rPr>
        <w:t>الإجازات</w:t>
      </w:r>
      <w:r w:rsidR="00F32B28">
        <w:rPr>
          <w:rtl/>
        </w:rPr>
        <w:t xml:space="preserve"> </w:t>
      </w:r>
      <w:r w:rsidR="00F32B28" w:rsidRPr="00F32B28">
        <w:rPr>
          <w:rtl/>
        </w:rPr>
        <w:t>الأخرى</w:t>
      </w:r>
      <w:r w:rsidR="00F32B28">
        <w:rPr>
          <w:rtl/>
        </w:rPr>
        <w:t xml:space="preserve"> </w:t>
      </w:r>
      <w:r w:rsidR="00F32B28" w:rsidRPr="00F32B28">
        <w:rPr>
          <w:rtl/>
        </w:rPr>
        <w:t>المدفوعة</w:t>
      </w:r>
      <w:r w:rsidR="00F32B28">
        <w:rPr>
          <w:rtl/>
        </w:rPr>
        <w:t xml:space="preserve"> </w:t>
      </w:r>
      <w:r w:rsidR="00F32B28" w:rsidRPr="00F32B28">
        <w:rPr>
          <w:rtl/>
        </w:rPr>
        <w:t>الأجر؛</w:t>
      </w:r>
      <w:r w:rsidR="00F32B28">
        <w:rPr>
          <w:rtl/>
        </w:rPr>
        <w:t xml:space="preserve"> </w:t>
      </w:r>
      <w:r w:rsidR="00F32B28" w:rsidRPr="00F32B28">
        <w:rPr>
          <w:rtl/>
        </w:rPr>
        <w:t>كالإجازة</w:t>
      </w:r>
      <w:r w:rsidR="00F32B28">
        <w:rPr>
          <w:rtl/>
        </w:rPr>
        <w:t xml:space="preserve"> </w:t>
      </w:r>
      <w:r w:rsidR="00F32B28" w:rsidRPr="00F32B28">
        <w:rPr>
          <w:rtl/>
        </w:rPr>
        <w:t>الأسبوعية</w:t>
      </w:r>
      <w:r w:rsidR="00F32B28">
        <w:rPr>
          <w:rtl/>
        </w:rPr>
        <w:t xml:space="preserve"> </w:t>
      </w:r>
      <w:r w:rsidR="00F32B28" w:rsidRPr="00F32B28">
        <w:rPr>
          <w:rtl/>
        </w:rPr>
        <w:t>وإجازات</w:t>
      </w:r>
      <w:r w:rsidR="00F32B28">
        <w:rPr>
          <w:rtl/>
        </w:rPr>
        <w:t xml:space="preserve"> </w:t>
      </w:r>
      <w:r w:rsidR="00F32B28" w:rsidRPr="00F32B28">
        <w:rPr>
          <w:rtl/>
        </w:rPr>
        <w:t>الأعياد</w:t>
      </w:r>
      <w:r w:rsidR="00F32B28">
        <w:rPr>
          <w:rtl/>
        </w:rPr>
        <w:t xml:space="preserve"> </w:t>
      </w:r>
      <w:r w:rsidR="00F32B28" w:rsidRPr="00F32B28">
        <w:rPr>
          <w:rtl/>
        </w:rPr>
        <w:t>الدينية</w:t>
      </w:r>
      <w:r w:rsidR="00F32B28">
        <w:rPr>
          <w:rtl/>
        </w:rPr>
        <w:t xml:space="preserve"> </w:t>
      </w:r>
      <w:r w:rsidR="00F32B28" w:rsidRPr="00F32B28">
        <w:rPr>
          <w:rtl/>
        </w:rPr>
        <w:t>والرسمية،</w:t>
      </w:r>
      <w:r w:rsidR="00F32B28">
        <w:rPr>
          <w:rtl/>
        </w:rPr>
        <w:t xml:space="preserve"> </w:t>
      </w:r>
      <w:r w:rsidR="00F32B28" w:rsidRPr="00F32B28">
        <w:rPr>
          <w:rtl/>
        </w:rPr>
        <w:t>والإجازة</w:t>
      </w:r>
      <w:r w:rsidR="00F32B28">
        <w:rPr>
          <w:rtl/>
        </w:rPr>
        <w:t xml:space="preserve"> </w:t>
      </w:r>
      <w:r w:rsidR="00F32B28" w:rsidRPr="00F32B28">
        <w:rPr>
          <w:rtl/>
        </w:rPr>
        <w:t>الاعتيادية</w:t>
      </w:r>
      <w:r w:rsidR="00F32B28">
        <w:rPr>
          <w:rtl/>
        </w:rPr>
        <w:t xml:space="preserve"> </w:t>
      </w:r>
      <w:r w:rsidR="00F32B28" w:rsidRPr="00F32B28">
        <w:rPr>
          <w:rtl/>
        </w:rPr>
        <w:t>السنوية،</w:t>
      </w:r>
      <w:r w:rsidR="00F32B28">
        <w:rPr>
          <w:rtl/>
        </w:rPr>
        <w:t xml:space="preserve"> </w:t>
      </w:r>
      <w:r w:rsidR="00F32B28" w:rsidRPr="00F32B28">
        <w:rPr>
          <w:rtl/>
        </w:rPr>
        <w:t>والعارضة،</w:t>
      </w:r>
      <w:r w:rsidR="00F32B28">
        <w:rPr>
          <w:rtl/>
        </w:rPr>
        <w:t xml:space="preserve"> </w:t>
      </w:r>
      <w:r w:rsidR="00F32B28" w:rsidRPr="00F32B28">
        <w:rPr>
          <w:rtl/>
        </w:rPr>
        <w:t>والدراسية،</w:t>
      </w:r>
      <w:r w:rsidR="00F32B28">
        <w:rPr>
          <w:rtl/>
        </w:rPr>
        <w:t xml:space="preserve"> </w:t>
      </w:r>
      <w:r w:rsidR="00F32B28" w:rsidRPr="00F32B28">
        <w:rPr>
          <w:rtl/>
        </w:rPr>
        <w:t>والحج.</w:t>
      </w:r>
      <w:r w:rsidR="00F32B28">
        <w:rPr>
          <w:rtl/>
        </w:rPr>
        <w:t xml:space="preserve"> </w:t>
      </w:r>
    </w:p>
    <w:p w:rsidR="00F32B28" w:rsidRPr="00F32B28" w:rsidRDefault="00D652E9" w:rsidP="00D652E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SY"/>
        </w:rPr>
      </w:pPr>
      <w:r>
        <w:rPr>
          <w:rFonts w:hint="cs"/>
          <w:b/>
          <w:bCs/>
          <w:rtl/>
          <w:lang w:bidi="ar-SY"/>
        </w:rPr>
        <w:tab/>
      </w:r>
      <w:r>
        <w:rPr>
          <w:rFonts w:hint="eastAsia"/>
          <w:b/>
          <w:bCs/>
          <w:rtl/>
          <w:lang w:bidi="ar-SY"/>
        </w:rPr>
        <w:t>•</w:t>
      </w:r>
      <w:r>
        <w:rPr>
          <w:rFonts w:hint="cs"/>
          <w:b/>
          <w:bCs/>
          <w:rtl/>
          <w:lang w:bidi="ar-SY"/>
        </w:rPr>
        <w:tab/>
      </w:r>
      <w:r w:rsidR="00F32B28" w:rsidRPr="00D652E9">
        <w:rPr>
          <w:b/>
          <w:bCs/>
          <w:rtl/>
        </w:rPr>
        <w:t>الإجازات غير مدفوعة الأجر</w:t>
      </w:r>
      <w:r w:rsidR="00F32B28" w:rsidRPr="00F32B28">
        <w:rPr>
          <w:rtl/>
        </w:rPr>
        <w:t>:</w:t>
      </w:r>
      <w:r w:rsidR="00F32B28">
        <w:rPr>
          <w:rtl/>
        </w:rPr>
        <w:t xml:space="preserve"> </w:t>
      </w:r>
      <w:r w:rsidR="00F32B28" w:rsidRPr="00F32B28">
        <w:rPr>
          <w:rtl/>
        </w:rPr>
        <w:t>تستحق</w:t>
      </w:r>
      <w:r w:rsidR="00F32B28">
        <w:rPr>
          <w:rtl/>
        </w:rPr>
        <w:t xml:space="preserve"> </w:t>
      </w:r>
      <w:r w:rsidR="00F32B28" w:rsidRPr="00F32B28">
        <w:rPr>
          <w:rtl/>
        </w:rPr>
        <w:t>الموظفة</w:t>
      </w:r>
      <w:r w:rsidR="00F32B28">
        <w:rPr>
          <w:rtl/>
        </w:rPr>
        <w:t xml:space="preserve"> </w:t>
      </w:r>
      <w:r w:rsidR="00F32B28" w:rsidRPr="00F32B28">
        <w:rPr>
          <w:rtl/>
        </w:rPr>
        <w:t>إجازة</w:t>
      </w:r>
      <w:r w:rsidR="00F32B28">
        <w:rPr>
          <w:rtl/>
        </w:rPr>
        <w:t xml:space="preserve"> </w:t>
      </w:r>
      <w:r w:rsidR="00F32B28" w:rsidRPr="00F32B28">
        <w:rPr>
          <w:rtl/>
        </w:rPr>
        <w:t>دون</w:t>
      </w:r>
      <w:r w:rsidR="00F32B28">
        <w:rPr>
          <w:rtl/>
        </w:rPr>
        <w:t xml:space="preserve"> </w:t>
      </w:r>
      <w:r w:rsidR="00F32B28" w:rsidRPr="00F32B28">
        <w:rPr>
          <w:rtl/>
        </w:rPr>
        <w:t>راتب</w:t>
      </w:r>
      <w:r w:rsidR="00F32B28">
        <w:rPr>
          <w:rtl/>
        </w:rPr>
        <w:t xml:space="preserve"> </w:t>
      </w:r>
      <w:r w:rsidR="00F32B28" w:rsidRPr="00F32B28">
        <w:rPr>
          <w:rtl/>
        </w:rPr>
        <w:t>لمدة</w:t>
      </w:r>
      <w:r w:rsidR="00F32B28">
        <w:rPr>
          <w:rtl/>
        </w:rPr>
        <w:t xml:space="preserve"> </w:t>
      </w:r>
      <w:r w:rsidR="00F32B28" w:rsidRPr="00F32B28">
        <w:rPr>
          <w:rtl/>
        </w:rPr>
        <w:t>عام</w:t>
      </w:r>
      <w:r w:rsidR="00F32B28">
        <w:rPr>
          <w:rtl/>
        </w:rPr>
        <w:t xml:space="preserve"> </w:t>
      </w:r>
      <w:r w:rsidR="00F32B28" w:rsidRPr="00F32B28">
        <w:rPr>
          <w:rtl/>
        </w:rPr>
        <w:t>لرعاية</w:t>
      </w:r>
      <w:r w:rsidR="00F32B28">
        <w:rPr>
          <w:rtl/>
        </w:rPr>
        <w:t xml:space="preserve"> </w:t>
      </w:r>
      <w:r w:rsidR="00F32B28" w:rsidRPr="00F32B28">
        <w:rPr>
          <w:rtl/>
        </w:rPr>
        <w:t>طفلها،</w:t>
      </w:r>
      <w:r w:rsidR="00F32B28">
        <w:rPr>
          <w:rtl/>
        </w:rPr>
        <w:t xml:space="preserve"> </w:t>
      </w:r>
      <w:r w:rsidR="00F32B28" w:rsidRPr="00F32B28">
        <w:rPr>
          <w:rtl/>
        </w:rPr>
        <w:t>أو</w:t>
      </w:r>
      <w:r>
        <w:rPr>
          <w:rFonts w:hint="cs"/>
          <w:rtl/>
        </w:rPr>
        <w:t> </w:t>
      </w:r>
      <w:r w:rsidR="00F32B28" w:rsidRPr="00F32B28">
        <w:rPr>
          <w:rtl/>
        </w:rPr>
        <w:t>لمرافقة</w:t>
      </w:r>
      <w:r w:rsidR="00F32B28">
        <w:rPr>
          <w:rtl/>
        </w:rPr>
        <w:t xml:space="preserve"> </w:t>
      </w:r>
      <w:r w:rsidR="00F32B28" w:rsidRPr="00F32B28">
        <w:rPr>
          <w:rtl/>
        </w:rPr>
        <w:t>زوجها</w:t>
      </w:r>
      <w:r w:rsidR="00F32B28">
        <w:rPr>
          <w:rtl/>
        </w:rPr>
        <w:t xml:space="preserve"> </w:t>
      </w:r>
      <w:r w:rsidR="00F32B28" w:rsidRPr="00F32B28">
        <w:rPr>
          <w:rtl/>
        </w:rPr>
        <w:t>المسافر</w:t>
      </w:r>
      <w:r w:rsidR="00F32B28">
        <w:rPr>
          <w:rtl/>
        </w:rPr>
        <w:t xml:space="preserve"> </w:t>
      </w:r>
      <w:r w:rsidR="00F32B28" w:rsidRPr="00F32B28">
        <w:rPr>
          <w:rtl/>
        </w:rPr>
        <w:t>إلى</w:t>
      </w:r>
      <w:r w:rsidR="00F32B28">
        <w:rPr>
          <w:rtl/>
        </w:rPr>
        <w:t xml:space="preserve"> </w:t>
      </w:r>
      <w:r w:rsidR="00F32B28" w:rsidRPr="00F32B28">
        <w:rPr>
          <w:rtl/>
        </w:rPr>
        <w:t>الخارج</w:t>
      </w:r>
      <w:r w:rsidR="00F32B28">
        <w:rPr>
          <w:rtl/>
        </w:rPr>
        <w:t xml:space="preserve"> </w:t>
      </w:r>
      <w:r w:rsidR="00F32B28" w:rsidRPr="00F32B28">
        <w:rPr>
          <w:rtl/>
        </w:rPr>
        <w:t>للعمل</w:t>
      </w:r>
      <w:r w:rsidR="00F32B28">
        <w:rPr>
          <w:rtl/>
        </w:rPr>
        <w:t xml:space="preserve"> </w:t>
      </w:r>
      <w:r w:rsidR="00F32B28" w:rsidRPr="00F32B28">
        <w:rPr>
          <w:rtl/>
        </w:rPr>
        <w:t>أو</w:t>
      </w:r>
      <w:r w:rsidR="00F32B28">
        <w:rPr>
          <w:rtl/>
        </w:rPr>
        <w:t xml:space="preserve"> </w:t>
      </w:r>
      <w:r w:rsidR="00F32B28" w:rsidRPr="00F32B28">
        <w:rPr>
          <w:rtl/>
        </w:rPr>
        <w:t>الدراسة</w:t>
      </w:r>
      <w:r w:rsidR="00F32B28">
        <w:rPr>
          <w:rtl/>
        </w:rPr>
        <w:t xml:space="preserve"> </w:t>
      </w:r>
      <w:r w:rsidR="00F32B28" w:rsidRPr="00F32B28">
        <w:rPr>
          <w:rtl/>
        </w:rPr>
        <w:t>طيلة</w:t>
      </w:r>
      <w:r w:rsidR="00F32B28">
        <w:rPr>
          <w:rtl/>
        </w:rPr>
        <w:t xml:space="preserve"> </w:t>
      </w:r>
      <w:r w:rsidR="00F32B28" w:rsidRPr="00F32B28">
        <w:rPr>
          <w:rtl/>
        </w:rPr>
        <w:t>فترة</w:t>
      </w:r>
      <w:r w:rsidR="00F32B28">
        <w:rPr>
          <w:rtl/>
        </w:rPr>
        <w:t xml:space="preserve"> </w:t>
      </w:r>
      <w:r w:rsidR="00F32B28" w:rsidRPr="00F32B28">
        <w:rPr>
          <w:rtl/>
        </w:rPr>
        <w:t>بقاؤه</w:t>
      </w:r>
      <w:r w:rsidR="00F32B28">
        <w:rPr>
          <w:rtl/>
        </w:rPr>
        <w:t xml:space="preserve"> </w:t>
      </w:r>
      <w:r w:rsidR="00F32B28" w:rsidRPr="00F32B28">
        <w:rPr>
          <w:rtl/>
        </w:rPr>
        <w:t>في</w:t>
      </w:r>
      <w:r w:rsidR="00F32B28">
        <w:rPr>
          <w:rtl/>
        </w:rPr>
        <w:t xml:space="preserve"> </w:t>
      </w:r>
      <w:r w:rsidR="00F32B28" w:rsidRPr="00F32B28">
        <w:rPr>
          <w:rtl/>
        </w:rPr>
        <w:t>الخارج،</w:t>
      </w:r>
      <w:r w:rsidR="00F32B28">
        <w:rPr>
          <w:rtl/>
        </w:rPr>
        <w:t xml:space="preserve"> </w:t>
      </w:r>
      <w:r w:rsidR="00F32B28" w:rsidRPr="00F32B28">
        <w:rPr>
          <w:rtl/>
        </w:rPr>
        <w:t>أو</w:t>
      </w:r>
      <w:r w:rsidR="00F32B28">
        <w:rPr>
          <w:rtl/>
        </w:rPr>
        <w:t xml:space="preserve"> </w:t>
      </w:r>
      <w:r w:rsidR="00F32B28" w:rsidRPr="00F32B28">
        <w:rPr>
          <w:rtl/>
        </w:rPr>
        <w:t>لأية</w:t>
      </w:r>
      <w:r w:rsidR="00F32B28">
        <w:rPr>
          <w:rtl/>
        </w:rPr>
        <w:t xml:space="preserve"> </w:t>
      </w:r>
      <w:r w:rsidR="00F32B28" w:rsidRPr="00F32B28">
        <w:rPr>
          <w:rtl/>
        </w:rPr>
        <w:t>أسباب</w:t>
      </w:r>
      <w:r w:rsidR="00F32B28">
        <w:rPr>
          <w:rtl/>
        </w:rPr>
        <w:t xml:space="preserve"> </w:t>
      </w:r>
      <w:r w:rsidR="00F32B28" w:rsidRPr="00F32B28">
        <w:rPr>
          <w:rtl/>
        </w:rPr>
        <w:t>أخرى</w:t>
      </w:r>
      <w:r w:rsidR="00F32B28">
        <w:rPr>
          <w:rtl/>
        </w:rPr>
        <w:t xml:space="preserve"> </w:t>
      </w:r>
      <w:r w:rsidR="00F32B28" w:rsidRPr="00F32B28">
        <w:rPr>
          <w:rtl/>
        </w:rPr>
        <w:t>تبديها</w:t>
      </w:r>
      <w:r w:rsidR="00F32B28">
        <w:rPr>
          <w:rtl/>
          <w:lang w:bidi="ar-SY"/>
        </w:rPr>
        <w:t xml:space="preserve"> </w:t>
      </w:r>
      <w:r w:rsidR="00F32B28" w:rsidRPr="00F32B28">
        <w:rPr>
          <w:rtl/>
          <w:lang w:bidi="ar-SY"/>
        </w:rPr>
        <w:t>للإدارة.</w:t>
      </w:r>
      <w:r w:rsidR="00F32B28">
        <w:rPr>
          <w:rtl/>
          <w:lang w:bidi="ar-SY"/>
        </w:rPr>
        <w:t xml:space="preserve"> </w:t>
      </w:r>
    </w:p>
    <w:p w:rsidR="00F32B28" w:rsidRPr="00F32B28" w:rsidRDefault="00D652E9" w:rsidP="00D652E9">
      <w:pPr>
        <w:pStyle w:val="SingleTxt"/>
      </w:pPr>
      <w:r>
        <w:rPr>
          <w:rFonts w:hint="cs"/>
          <w:rtl/>
        </w:rPr>
        <w:t xml:space="preserve">212 - </w:t>
      </w:r>
      <w:r w:rsidR="00F32B28" w:rsidRPr="00F32B28">
        <w:rPr>
          <w:rtl/>
        </w:rPr>
        <w:t>وقد</w:t>
      </w:r>
      <w:r w:rsidR="00F32B28">
        <w:rPr>
          <w:rtl/>
        </w:rPr>
        <w:t xml:space="preserve"> </w:t>
      </w:r>
      <w:r w:rsidR="00F32B28" w:rsidRPr="00F32B28">
        <w:rPr>
          <w:rtl/>
        </w:rPr>
        <w:t>حققت</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تقدما</w:t>
      </w:r>
      <w:r w:rsidR="00F32B28">
        <w:rPr>
          <w:rtl/>
        </w:rPr>
        <w:t xml:space="preserve"> </w:t>
      </w:r>
      <w:r w:rsidR="00F32B28" w:rsidRPr="00F32B28">
        <w:rPr>
          <w:rtl/>
        </w:rPr>
        <w:t>محرزاً</w:t>
      </w:r>
      <w:r w:rsidR="00F32B28">
        <w:rPr>
          <w:rtl/>
        </w:rPr>
        <w:t xml:space="preserve"> </w:t>
      </w:r>
      <w:r w:rsidR="00F32B28" w:rsidRPr="00F32B28">
        <w:rPr>
          <w:rtl/>
        </w:rPr>
        <w:t>على</w:t>
      </w:r>
      <w:r w:rsidR="00F32B28">
        <w:rPr>
          <w:rtl/>
        </w:rPr>
        <w:t xml:space="preserve"> </w:t>
      </w:r>
      <w:r w:rsidR="00F32B28" w:rsidRPr="00F32B28">
        <w:rPr>
          <w:rtl/>
        </w:rPr>
        <w:t>صعيد</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الضمان</w:t>
      </w:r>
      <w:r w:rsidR="00F32B28">
        <w:rPr>
          <w:rtl/>
        </w:rPr>
        <w:t xml:space="preserve"> </w:t>
      </w:r>
      <w:r w:rsidR="00F32B28" w:rsidRPr="00F32B28">
        <w:rPr>
          <w:rtl/>
        </w:rPr>
        <w:t>الاجتماعي،</w:t>
      </w:r>
      <w:r w:rsidR="00F32B28">
        <w:rPr>
          <w:rtl/>
        </w:rPr>
        <w:t xml:space="preserve"> </w:t>
      </w:r>
      <w:r w:rsidR="00F32B28" w:rsidRPr="00F32B28">
        <w:rPr>
          <w:rtl/>
        </w:rPr>
        <w:t>ففي</w:t>
      </w:r>
      <w:r w:rsidR="00F32B28">
        <w:rPr>
          <w:rtl/>
        </w:rPr>
        <w:t xml:space="preserve"> </w:t>
      </w:r>
      <w:r w:rsidR="00F32B28" w:rsidRPr="00F32B28">
        <w:rPr>
          <w:rtl/>
        </w:rPr>
        <w:t>شهر</w:t>
      </w:r>
      <w:r w:rsidR="00F32B28">
        <w:rPr>
          <w:rtl/>
        </w:rPr>
        <w:t xml:space="preserve"> </w:t>
      </w:r>
      <w:r w:rsidR="00F32B28" w:rsidRPr="00F32B28">
        <w:rPr>
          <w:rtl/>
        </w:rPr>
        <w:t>آذار</w:t>
      </w:r>
      <w:r w:rsidR="000B4ABE">
        <w:rPr>
          <w:rFonts w:hint="cs"/>
          <w:rtl/>
        </w:rPr>
        <w:t>/مارس</w:t>
      </w:r>
      <w:r w:rsidR="00F32B28">
        <w:rPr>
          <w:rtl/>
        </w:rPr>
        <w:t xml:space="preserve"> </w:t>
      </w:r>
      <w:r w:rsidR="00F32B28" w:rsidRPr="00F32B28">
        <w:rPr>
          <w:rtl/>
        </w:rPr>
        <w:t>من</w:t>
      </w:r>
      <w:r w:rsidR="00F32B28">
        <w:rPr>
          <w:rtl/>
        </w:rPr>
        <w:t xml:space="preserve"> </w:t>
      </w:r>
      <w:r w:rsidR="00F32B28" w:rsidRPr="00F32B28">
        <w:rPr>
          <w:rtl/>
        </w:rPr>
        <w:t>عام</w:t>
      </w:r>
      <w:r w:rsidR="00F32B28">
        <w:rPr>
          <w:rtl/>
        </w:rPr>
        <w:t xml:space="preserve"> </w:t>
      </w:r>
      <w:r w:rsidR="00F32B28" w:rsidRPr="00F32B28">
        <w:rPr>
          <w:rtl/>
        </w:rPr>
        <w:t>2016،</w:t>
      </w:r>
      <w:r w:rsidR="00F32B28">
        <w:rPr>
          <w:rtl/>
        </w:rPr>
        <w:t xml:space="preserve"> </w:t>
      </w:r>
      <w:r w:rsidR="00F32B28" w:rsidRPr="00F32B28">
        <w:rPr>
          <w:rtl/>
        </w:rPr>
        <w:t>صدر</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بشأن</w:t>
      </w:r>
      <w:r w:rsidR="00F32B28">
        <w:rPr>
          <w:rtl/>
        </w:rPr>
        <w:t xml:space="preserve"> </w:t>
      </w:r>
      <w:r w:rsidR="00F32B28" w:rsidRPr="00F32B28">
        <w:rPr>
          <w:rtl/>
        </w:rPr>
        <w:t>الضمان</w:t>
      </w:r>
      <w:r w:rsidR="00F32B28">
        <w:rPr>
          <w:rtl/>
        </w:rPr>
        <w:t xml:space="preserve"> </w:t>
      </w:r>
      <w:r w:rsidR="00F32B28" w:rsidRPr="00F32B28">
        <w:rPr>
          <w:rtl/>
        </w:rPr>
        <w:t>الاجتماعي،</w:t>
      </w:r>
      <w:r w:rsidR="00F32B28">
        <w:rPr>
          <w:rtl/>
        </w:rPr>
        <w:t xml:space="preserve"> </w:t>
      </w:r>
      <w:r w:rsidR="00F32B28" w:rsidRPr="00F32B28">
        <w:rPr>
          <w:rtl/>
        </w:rPr>
        <w:t>وهي</w:t>
      </w:r>
      <w:r w:rsidR="00F32B28">
        <w:rPr>
          <w:rtl/>
        </w:rPr>
        <w:t xml:space="preserve"> </w:t>
      </w:r>
      <w:r w:rsidR="00F32B28" w:rsidRPr="00F32B28">
        <w:rPr>
          <w:rtl/>
        </w:rPr>
        <w:t>المرة</w:t>
      </w:r>
      <w:r w:rsidR="00F32B28">
        <w:rPr>
          <w:rtl/>
        </w:rPr>
        <w:t xml:space="preserve"> </w:t>
      </w:r>
      <w:r w:rsidR="00F32B28" w:rsidRPr="00F32B28">
        <w:rPr>
          <w:rtl/>
        </w:rPr>
        <w:t>الأولى</w:t>
      </w:r>
      <w:r w:rsidR="00F32B28">
        <w:rPr>
          <w:rtl/>
        </w:rPr>
        <w:t xml:space="preserve"> </w:t>
      </w:r>
      <w:r w:rsidR="00F32B28" w:rsidRPr="00F32B28">
        <w:rPr>
          <w:rtl/>
        </w:rPr>
        <w:t>التي</w:t>
      </w:r>
      <w:r w:rsidR="00F32B28">
        <w:rPr>
          <w:rtl/>
        </w:rPr>
        <w:t xml:space="preserve"> </w:t>
      </w:r>
      <w:r w:rsidR="00F32B28" w:rsidRPr="00F32B28">
        <w:rPr>
          <w:rtl/>
        </w:rPr>
        <w:t>يصدر</w:t>
      </w:r>
      <w:r w:rsidR="00F32B28">
        <w:rPr>
          <w:rtl/>
        </w:rPr>
        <w:t xml:space="preserve"> </w:t>
      </w:r>
      <w:r w:rsidR="00F32B28" w:rsidRPr="00F32B28">
        <w:rPr>
          <w:rtl/>
        </w:rPr>
        <w:t>تشريع</w:t>
      </w:r>
      <w:r w:rsidR="00F32B28">
        <w:rPr>
          <w:rtl/>
        </w:rPr>
        <w:t xml:space="preserve"> </w:t>
      </w:r>
      <w:r w:rsidR="00F32B28" w:rsidRPr="00F32B28">
        <w:rPr>
          <w:rtl/>
        </w:rPr>
        <w:t>خاص</w:t>
      </w:r>
      <w:r w:rsidR="00F32B28">
        <w:rPr>
          <w:rtl/>
        </w:rPr>
        <w:t xml:space="preserve"> </w:t>
      </w:r>
      <w:r w:rsidR="00F32B28" w:rsidRPr="00F32B28">
        <w:rPr>
          <w:rtl/>
        </w:rPr>
        <w:t>بالحق</w:t>
      </w:r>
      <w:r w:rsidR="00F32B28">
        <w:rPr>
          <w:rtl/>
        </w:rPr>
        <w:t xml:space="preserve"> </w:t>
      </w:r>
      <w:r w:rsidR="00F32B28" w:rsidRPr="00F32B28">
        <w:rPr>
          <w:rtl/>
        </w:rPr>
        <w:t>في</w:t>
      </w:r>
      <w:r w:rsidR="00F32B28">
        <w:rPr>
          <w:rtl/>
        </w:rPr>
        <w:t xml:space="preserve"> </w:t>
      </w:r>
      <w:r w:rsidR="00F32B28" w:rsidRPr="00F32B28">
        <w:rPr>
          <w:rtl/>
        </w:rPr>
        <w:t>الضمان</w:t>
      </w:r>
      <w:r w:rsidR="00F32B28">
        <w:rPr>
          <w:rtl/>
        </w:rPr>
        <w:t xml:space="preserve"> </w:t>
      </w:r>
      <w:r w:rsidR="00F32B28" w:rsidRPr="00F32B28">
        <w:rPr>
          <w:rtl/>
        </w:rPr>
        <w:t>الاجتماعي</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إلا</w:t>
      </w:r>
      <w:r w:rsidR="00F32B28">
        <w:rPr>
          <w:rtl/>
        </w:rPr>
        <w:t xml:space="preserve"> </w:t>
      </w:r>
      <w:r w:rsidR="00F32B28" w:rsidRPr="00F32B28">
        <w:rPr>
          <w:rtl/>
        </w:rPr>
        <w:t>أن</w:t>
      </w:r>
      <w:r>
        <w:rPr>
          <w:rFonts w:hint="cs"/>
          <w:rtl/>
        </w:rPr>
        <w:t xml:space="preserve"> </w:t>
      </w:r>
      <w:r w:rsidR="00F32B28" w:rsidRPr="00F32B28">
        <w:rPr>
          <w:rtl/>
        </w:rPr>
        <w:t>الرئيس</w:t>
      </w:r>
      <w:r w:rsidR="00F32B28">
        <w:rPr>
          <w:rtl/>
        </w:rPr>
        <w:t xml:space="preserve"> </w:t>
      </w:r>
      <w:r w:rsidR="00F32B28" w:rsidRPr="00F32B28">
        <w:rPr>
          <w:rtl/>
        </w:rPr>
        <w:t>الفلسطيني</w:t>
      </w:r>
      <w:r w:rsidR="00F32B28">
        <w:rPr>
          <w:rtl/>
        </w:rPr>
        <w:t xml:space="preserve"> </w:t>
      </w:r>
      <w:r w:rsidR="00F32B28" w:rsidRPr="00F32B28">
        <w:rPr>
          <w:rtl/>
        </w:rPr>
        <w:t>أوقف</w:t>
      </w:r>
      <w:r w:rsidR="00F32B28">
        <w:rPr>
          <w:rtl/>
        </w:rPr>
        <w:t xml:space="preserve"> </w:t>
      </w:r>
      <w:r w:rsidR="00F32B28" w:rsidRPr="00F32B28">
        <w:rPr>
          <w:rtl/>
        </w:rPr>
        <w:t>العمل</w:t>
      </w:r>
      <w:r w:rsidR="00F32B28">
        <w:rPr>
          <w:rtl/>
        </w:rPr>
        <w:t xml:space="preserve"> </w:t>
      </w:r>
      <w:r w:rsidR="00F32B28" w:rsidRPr="00F32B28">
        <w:rPr>
          <w:rtl/>
        </w:rPr>
        <w:t>بهذا</w:t>
      </w:r>
      <w:r w:rsidR="00F32B28">
        <w:rPr>
          <w:rtl/>
        </w:rPr>
        <w:t xml:space="preserve"> </w:t>
      </w:r>
      <w:r w:rsidR="00F32B28" w:rsidRPr="00F32B28">
        <w:rPr>
          <w:rtl/>
        </w:rPr>
        <w:t>التشريع</w:t>
      </w:r>
      <w:r w:rsidR="00F32B28">
        <w:rPr>
          <w:rtl/>
        </w:rPr>
        <w:t xml:space="preserve"> </w:t>
      </w:r>
      <w:r w:rsidR="00F32B28" w:rsidRPr="00F32B28">
        <w:rPr>
          <w:rtl/>
        </w:rPr>
        <w:t>تحقيقاً</w:t>
      </w:r>
      <w:r w:rsidR="00F32B28">
        <w:rPr>
          <w:rtl/>
        </w:rPr>
        <w:t xml:space="preserve"> </w:t>
      </w:r>
      <w:r w:rsidR="00F32B28" w:rsidRPr="00F32B28">
        <w:rPr>
          <w:rtl/>
        </w:rPr>
        <w:t>لمطالبات</w:t>
      </w:r>
      <w:r w:rsidR="00F32B28">
        <w:rPr>
          <w:rtl/>
        </w:rPr>
        <w:t xml:space="preserve"> </w:t>
      </w:r>
      <w:r w:rsidR="00F32B28" w:rsidRPr="00F32B28">
        <w:rPr>
          <w:rtl/>
        </w:rPr>
        <w:t>المجتمع</w:t>
      </w:r>
      <w:r w:rsidR="00F32B28">
        <w:rPr>
          <w:rtl/>
        </w:rPr>
        <w:t xml:space="preserve"> </w:t>
      </w:r>
      <w:r w:rsidR="00F32B28" w:rsidRPr="00F32B28">
        <w:rPr>
          <w:rtl/>
        </w:rPr>
        <w:t>المدني</w:t>
      </w:r>
      <w:r w:rsidR="00F32B28">
        <w:rPr>
          <w:rtl/>
        </w:rPr>
        <w:t xml:space="preserve"> </w:t>
      </w:r>
      <w:r w:rsidR="00F32B28" w:rsidRPr="00F32B28">
        <w:rPr>
          <w:rtl/>
        </w:rPr>
        <w:t>بتعديل</w:t>
      </w:r>
      <w:r w:rsidR="00F32B28">
        <w:rPr>
          <w:rtl/>
        </w:rPr>
        <w:t xml:space="preserve"> </w:t>
      </w:r>
      <w:r w:rsidR="00F32B28" w:rsidRPr="00F32B28">
        <w:rPr>
          <w:rtl/>
        </w:rPr>
        <w:t>بعضاً</w:t>
      </w:r>
      <w:r w:rsidR="00F32B28">
        <w:rPr>
          <w:rtl/>
        </w:rPr>
        <w:t xml:space="preserve"> </w:t>
      </w:r>
      <w:r w:rsidR="00F32B28" w:rsidRPr="00F32B28">
        <w:rPr>
          <w:rtl/>
        </w:rPr>
        <w:t>من</w:t>
      </w:r>
      <w:r w:rsidR="00F32B28">
        <w:rPr>
          <w:rtl/>
        </w:rPr>
        <w:t xml:space="preserve"> </w:t>
      </w:r>
      <w:r w:rsidR="00F32B28" w:rsidRPr="00F32B28">
        <w:rPr>
          <w:rtl/>
        </w:rPr>
        <w:t>أحكامه</w:t>
      </w:r>
      <w:r w:rsidR="00F32B28">
        <w:rPr>
          <w:rtl/>
        </w:rPr>
        <w:t xml:space="preserve"> </w:t>
      </w:r>
      <w:r w:rsidR="00F32B28" w:rsidRPr="00F32B28">
        <w:rPr>
          <w:rtl/>
        </w:rPr>
        <w:t>وتحقيق</w:t>
      </w:r>
      <w:r w:rsidR="00F32B28">
        <w:rPr>
          <w:rtl/>
        </w:rPr>
        <w:t xml:space="preserve"> </w:t>
      </w:r>
      <w:r w:rsidR="00F32B28" w:rsidRPr="00F32B28">
        <w:rPr>
          <w:rtl/>
        </w:rPr>
        <w:t>أقصى</w:t>
      </w:r>
      <w:r w:rsidR="00F32B28">
        <w:rPr>
          <w:rtl/>
        </w:rPr>
        <w:t xml:space="preserve"> </w:t>
      </w:r>
      <w:r w:rsidR="00F32B28" w:rsidRPr="00F32B28">
        <w:rPr>
          <w:rtl/>
        </w:rPr>
        <w:t>حماية</w:t>
      </w:r>
      <w:r w:rsidR="00F32B28">
        <w:rPr>
          <w:rtl/>
        </w:rPr>
        <w:t xml:space="preserve"> </w:t>
      </w:r>
      <w:r w:rsidR="00F32B28" w:rsidRPr="00F32B28">
        <w:rPr>
          <w:rtl/>
        </w:rPr>
        <w:t>وعدالة</w:t>
      </w:r>
      <w:r w:rsidR="00F32B28">
        <w:rPr>
          <w:rtl/>
        </w:rPr>
        <w:t xml:space="preserve"> </w:t>
      </w:r>
      <w:r w:rsidR="00F32B28" w:rsidRPr="00F32B28">
        <w:rPr>
          <w:rtl/>
        </w:rPr>
        <w:t>اجتماعية،</w:t>
      </w:r>
      <w:r w:rsidR="00F32B28">
        <w:rPr>
          <w:rtl/>
        </w:rPr>
        <w:t xml:space="preserve"> </w:t>
      </w:r>
      <w:r w:rsidR="00F32B28" w:rsidRPr="00F32B28">
        <w:rPr>
          <w:rtl/>
        </w:rPr>
        <w:t>وبخاصة</w:t>
      </w:r>
      <w:r w:rsidR="00F32B28">
        <w:rPr>
          <w:rtl/>
        </w:rPr>
        <w:t xml:space="preserve"> </w:t>
      </w:r>
      <w:r w:rsidR="00F32B28" w:rsidRPr="00F32B28">
        <w:rPr>
          <w:rtl/>
        </w:rPr>
        <w:t>للفئات</w:t>
      </w:r>
      <w:r w:rsidR="00F32B28">
        <w:rPr>
          <w:rtl/>
        </w:rPr>
        <w:t xml:space="preserve"> </w:t>
      </w:r>
      <w:r w:rsidR="00F32B28" w:rsidRPr="00F32B28">
        <w:rPr>
          <w:rtl/>
        </w:rPr>
        <w:t>الفقيرة</w:t>
      </w:r>
      <w:r w:rsidR="00F32B28">
        <w:rPr>
          <w:rtl/>
        </w:rPr>
        <w:t xml:space="preserve"> </w:t>
      </w:r>
      <w:r w:rsidR="00F32B28" w:rsidRPr="00F32B28">
        <w:rPr>
          <w:rtl/>
        </w:rPr>
        <w:t>والمهمشة.</w:t>
      </w:r>
      <w:r w:rsidR="00F32B28">
        <w:rPr>
          <w:rtl/>
        </w:rPr>
        <w:t xml:space="preserve"> </w:t>
      </w:r>
      <w:r w:rsidR="00F32B28" w:rsidRPr="00F32B28">
        <w:rPr>
          <w:rtl/>
        </w:rPr>
        <w:t>وقد</w:t>
      </w:r>
      <w:r w:rsidR="00F32B28">
        <w:rPr>
          <w:rtl/>
        </w:rPr>
        <w:t xml:space="preserve"> </w:t>
      </w:r>
      <w:r w:rsidR="00F32B28" w:rsidRPr="00F32B28">
        <w:rPr>
          <w:rtl/>
        </w:rPr>
        <w:t>أصدر</w:t>
      </w:r>
      <w:r w:rsidR="00F32B28">
        <w:rPr>
          <w:rtl/>
        </w:rPr>
        <w:t xml:space="preserve"> </w:t>
      </w:r>
      <w:r w:rsidR="00F32B28" w:rsidRPr="00F32B28">
        <w:rPr>
          <w:rtl/>
        </w:rPr>
        <w:t>الرئيس</w:t>
      </w:r>
      <w:r w:rsidR="00F32B28">
        <w:rPr>
          <w:rtl/>
        </w:rPr>
        <w:t xml:space="preserve"> </w:t>
      </w:r>
      <w:r w:rsidR="00F32B28" w:rsidRPr="00F32B28">
        <w:rPr>
          <w:rtl/>
        </w:rPr>
        <w:t>الفلسطيني</w:t>
      </w:r>
      <w:r w:rsidR="00F32B28">
        <w:rPr>
          <w:rtl/>
        </w:rPr>
        <w:t xml:space="preserve"> </w:t>
      </w:r>
      <w:r w:rsidR="00F32B28" w:rsidRPr="00F32B28">
        <w:rPr>
          <w:rtl/>
        </w:rPr>
        <w:t>هذا</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مرة</w:t>
      </w:r>
      <w:r w:rsidR="00F32B28">
        <w:rPr>
          <w:rtl/>
        </w:rPr>
        <w:t xml:space="preserve"> </w:t>
      </w:r>
      <w:r w:rsidR="00F32B28" w:rsidRPr="00F32B28">
        <w:rPr>
          <w:rtl/>
        </w:rPr>
        <w:t>أخرى</w:t>
      </w:r>
      <w:r w:rsidR="00F32B28">
        <w:rPr>
          <w:rtl/>
        </w:rPr>
        <w:t xml:space="preserve"> </w:t>
      </w:r>
      <w:r w:rsidR="00F32B28" w:rsidRPr="00F32B28">
        <w:rPr>
          <w:rtl/>
        </w:rPr>
        <w:t>بعد</w:t>
      </w:r>
      <w:r w:rsidR="00F32B28">
        <w:rPr>
          <w:rtl/>
        </w:rPr>
        <w:t xml:space="preserve"> </w:t>
      </w:r>
      <w:r w:rsidR="00F32B28" w:rsidRPr="00F32B28">
        <w:rPr>
          <w:rtl/>
        </w:rPr>
        <w:t>تعديله</w:t>
      </w:r>
      <w:r w:rsidR="00F32B28">
        <w:rPr>
          <w:rtl/>
        </w:rPr>
        <w:t xml:space="preserve"> </w:t>
      </w:r>
      <w:r w:rsidR="00F32B28" w:rsidRPr="00F32B28">
        <w:rPr>
          <w:rtl/>
        </w:rPr>
        <w:t>والتوافق</w:t>
      </w:r>
      <w:r w:rsidR="00F32B28">
        <w:rPr>
          <w:rtl/>
        </w:rPr>
        <w:t xml:space="preserve"> </w:t>
      </w:r>
      <w:r w:rsidR="00F32B28" w:rsidRPr="00F32B28">
        <w:rPr>
          <w:rtl/>
        </w:rPr>
        <w:t>على</w:t>
      </w:r>
      <w:r w:rsidR="00F32B28">
        <w:rPr>
          <w:rtl/>
        </w:rPr>
        <w:t xml:space="preserve"> </w:t>
      </w:r>
      <w:r w:rsidR="00F32B28" w:rsidRPr="00F32B28">
        <w:rPr>
          <w:rtl/>
        </w:rPr>
        <w:t>صيغته</w:t>
      </w:r>
      <w:r w:rsidR="00F32B28">
        <w:rPr>
          <w:rtl/>
        </w:rPr>
        <w:t xml:space="preserve"> </w:t>
      </w:r>
      <w:r w:rsidR="00F32B28" w:rsidRPr="00F32B28">
        <w:rPr>
          <w:rtl/>
        </w:rPr>
        <w:t>المعدلة</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جميع</w:t>
      </w:r>
      <w:r w:rsidR="00F32B28">
        <w:rPr>
          <w:rtl/>
        </w:rPr>
        <w:t xml:space="preserve"> </w:t>
      </w:r>
      <w:r w:rsidR="00F32B28" w:rsidRPr="00F32B28">
        <w:rPr>
          <w:rtl/>
        </w:rPr>
        <w:t>الجهات</w:t>
      </w:r>
      <w:r w:rsidR="00F32B28">
        <w:rPr>
          <w:rtl/>
        </w:rPr>
        <w:t xml:space="preserve"> </w:t>
      </w:r>
      <w:r w:rsidR="00F32B28" w:rsidRPr="00F32B28">
        <w:rPr>
          <w:rtl/>
        </w:rPr>
        <w:t>الحكومية</w:t>
      </w:r>
      <w:r w:rsidR="00F32B28">
        <w:rPr>
          <w:rtl/>
        </w:rPr>
        <w:t xml:space="preserve"> </w:t>
      </w:r>
      <w:r w:rsidR="00F32B28" w:rsidRPr="00F32B28">
        <w:rPr>
          <w:rtl/>
        </w:rPr>
        <w:t>والأهلية</w:t>
      </w:r>
      <w:r w:rsidR="00F32B28">
        <w:rPr>
          <w:rtl/>
        </w:rPr>
        <w:t xml:space="preserve"> </w:t>
      </w:r>
      <w:r w:rsidR="00F32B28" w:rsidRPr="00F32B28">
        <w:rPr>
          <w:rtl/>
        </w:rPr>
        <w:t>ذات</w:t>
      </w:r>
      <w:r w:rsidR="00F32B28">
        <w:rPr>
          <w:rtl/>
        </w:rPr>
        <w:t xml:space="preserve"> </w:t>
      </w:r>
      <w:r w:rsidR="00F32B28" w:rsidRPr="00F32B28">
        <w:rPr>
          <w:rtl/>
        </w:rPr>
        <w:t>العلاقة</w:t>
      </w:r>
      <w:r w:rsidR="00F32B28">
        <w:rPr>
          <w:rtl/>
        </w:rPr>
        <w:t xml:space="preserve"> </w:t>
      </w:r>
      <w:r w:rsidR="00F32B28" w:rsidRPr="00F32B28">
        <w:rPr>
          <w:rtl/>
        </w:rPr>
        <w:t>في</w:t>
      </w:r>
      <w:r w:rsidR="00F32B28">
        <w:rPr>
          <w:rtl/>
        </w:rPr>
        <w:t xml:space="preserve"> </w:t>
      </w:r>
      <w:r w:rsidR="00F32B28" w:rsidRPr="00F32B28">
        <w:rPr>
          <w:rtl/>
        </w:rPr>
        <w:t>شهر</w:t>
      </w:r>
      <w:r w:rsidR="00F32B28">
        <w:rPr>
          <w:rtl/>
        </w:rPr>
        <w:t xml:space="preserve"> </w:t>
      </w:r>
      <w:r w:rsidR="00F32B28" w:rsidRPr="00F32B28">
        <w:rPr>
          <w:rtl/>
        </w:rPr>
        <w:t>تشرين</w:t>
      </w:r>
      <w:r w:rsidR="00F32B28">
        <w:rPr>
          <w:rtl/>
        </w:rPr>
        <w:t xml:space="preserve"> </w:t>
      </w:r>
      <w:r w:rsidR="000B4ABE">
        <w:rPr>
          <w:rFonts w:hint="cs"/>
          <w:rtl/>
        </w:rPr>
        <w:t>ال</w:t>
      </w:r>
      <w:r w:rsidR="00F32B28" w:rsidRPr="00F32B28">
        <w:rPr>
          <w:rtl/>
        </w:rPr>
        <w:t>أول</w:t>
      </w:r>
      <w:r w:rsidR="000B4ABE">
        <w:rPr>
          <w:rFonts w:hint="cs"/>
          <w:rtl/>
        </w:rPr>
        <w:t>/أكتوبر</w:t>
      </w:r>
      <w:r w:rsidR="00F32B28">
        <w:rPr>
          <w:rtl/>
        </w:rPr>
        <w:t xml:space="preserve"> </w:t>
      </w:r>
      <w:r w:rsidR="00F32B28" w:rsidRPr="00F32B28">
        <w:rPr>
          <w:rtl/>
        </w:rPr>
        <w:t>من</w:t>
      </w:r>
      <w:r w:rsidR="00F32B28">
        <w:rPr>
          <w:rtl/>
        </w:rPr>
        <w:t xml:space="preserve"> </w:t>
      </w:r>
      <w:r w:rsidR="00F32B28" w:rsidRPr="00F32B28">
        <w:rPr>
          <w:rtl/>
        </w:rPr>
        <w:t>العام</w:t>
      </w:r>
      <w:r w:rsidR="00F32B28">
        <w:rPr>
          <w:rtl/>
        </w:rPr>
        <w:t xml:space="preserve"> </w:t>
      </w:r>
      <w:r w:rsidR="00F32B28" w:rsidRPr="00F32B28">
        <w:rPr>
          <w:rtl/>
        </w:rPr>
        <w:t>2016.</w:t>
      </w:r>
      <w:r w:rsidR="00F32B28">
        <w:rPr>
          <w:rtl/>
        </w:rPr>
        <w:t xml:space="preserve"> </w:t>
      </w:r>
    </w:p>
    <w:p w:rsidR="00F32B28" w:rsidRPr="00F32B28" w:rsidRDefault="00D652E9" w:rsidP="00D652E9">
      <w:pPr>
        <w:pStyle w:val="SingleTxt"/>
      </w:pPr>
      <w:r>
        <w:rPr>
          <w:rFonts w:hint="cs"/>
          <w:rtl/>
        </w:rPr>
        <w:t xml:space="preserve">213 - </w:t>
      </w:r>
      <w:r w:rsidR="00F32B28" w:rsidRPr="00F32B28">
        <w:rPr>
          <w:rtl/>
        </w:rPr>
        <w:t>وانسجاماً</w:t>
      </w:r>
      <w:r w:rsidR="00F32B28">
        <w:rPr>
          <w:rtl/>
        </w:rPr>
        <w:t xml:space="preserve"> </w:t>
      </w:r>
      <w:r w:rsidR="00F32B28" w:rsidRPr="00F32B28">
        <w:rPr>
          <w:rtl/>
        </w:rPr>
        <w:t>مع</w:t>
      </w:r>
      <w:r w:rsidR="00F32B28">
        <w:rPr>
          <w:rtl/>
        </w:rPr>
        <w:t xml:space="preserve"> </w:t>
      </w:r>
      <w:r w:rsidR="00F32B28" w:rsidRPr="00F32B28">
        <w:rPr>
          <w:rtl/>
        </w:rPr>
        <w:t>المعايير</w:t>
      </w:r>
      <w:r w:rsidR="00F32B28">
        <w:rPr>
          <w:rtl/>
        </w:rPr>
        <w:t xml:space="preserve"> </w:t>
      </w:r>
      <w:r w:rsidR="00F32B28" w:rsidRPr="00F32B28">
        <w:rPr>
          <w:rtl/>
        </w:rPr>
        <w:t>الدولية</w:t>
      </w:r>
      <w:r w:rsidR="00F32B28">
        <w:rPr>
          <w:rtl/>
        </w:rPr>
        <w:t xml:space="preserve"> </w:t>
      </w:r>
      <w:r w:rsidR="00F32B28" w:rsidRPr="00F32B28">
        <w:rPr>
          <w:rtl/>
        </w:rPr>
        <w:t>ذات</w:t>
      </w:r>
      <w:r w:rsidR="00F32B28">
        <w:rPr>
          <w:rtl/>
        </w:rPr>
        <w:t xml:space="preserve"> </w:t>
      </w:r>
      <w:r w:rsidR="00F32B28" w:rsidRPr="00F32B28">
        <w:rPr>
          <w:rtl/>
        </w:rPr>
        <w:t>الصلة</w:t>
      </w:r>
      <w:r w:rsidR="00F32B28">
        <w:rPr>
          <w:rtl/>
        </w:rPr>
        <w:t xml:space="preserve"> </w:t>
      </w:r>
      <w:r w:rsidR="00F32B28" w:rsidRPr="00F32B28">
        <w:rPr>
          <w:rtl/>
        </w:rPr>
        <w:t>التي</w:t>
      </w:r>
      <w:r w:rsidR="00F32B28">
        <w:rPr>
          <w:rtl/>
        </w:rPr>
        <w:t xml:space="preserve"> </w:t>
      </w:r>
      <w:r w:rsidR="00F32B28" w:rsidRPr="00F32B28">
        <w:rPr>
          <w:rtl/>
        </w:rPr>
        <w:t>أصبحت</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ملتزمة</w:t>
      </w:r>
      <w:r w:rsidR="00F32B28">
        <w:rPr>
          <w:rtl/>
        </w:rPr>
        <w:t xml:space="preserve"> </w:t>
      </w:r>
      <w:r w:rsidR="00F32B28" w:rsidRPr="00F32B28">
        <w:rPr>
          <w:rtl/>
        </w:rPr>
        <w:t>بها،</w:t>
      </w:r>
      <w:r w:rsidR="00F32B28">
        <w:rPr>
          <w:rtl/>
        </w:rPr>
        <w:t xml:space="preserve"> </w:t>
      </w:r>
      <w:r w:rsidR="00F32B28" w:rsidRPr="00F32B28">
        <w:rPr>
          <w:rtl/>
        </w:rPr>
        <w:t>يغطي</w:t>
      </w:r>
      <w:r w:rsidR="00F32B28">
        <w:rPr>
          <w:rtl/>
        </w:rPr>
        <w:t xml:space="preserve"> </w:t>
      </w:r>
      <w:r w:rsidR="00F32B28" w:rsidRPr="00F32B28">
        <w:rPr>
          <w:rtl/>
        </w:rPr>
        <w:t>هذا</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التأمينات</w:t>
      </w:r>
      <w:r w:rsidR="00F32B28">
        <w:rPr>
          <w:rtl/>
        </w:rPr>
        <w:t xml:space="preserve"> </w:t>
      </w:r>
      <w:r w:rsidR="00F32B28" w:rsidRPr="00F32B28">
        <w:rPr>
          <w:rtl/>
        </w:rPr>
        <w:t>الاجتماعية</w:t>
      </w:r>
      <w:r w:rsidR="00F32B28">
        <w:rPr>
          <w:rtl/>
        </w:rPr>
        <w:t xml:space="preserve"> </w:t>
      </w:r>
      <w:r w:rsidR="00F32B28" w:rsidRPr="00F32B28">
        <w:rPr>
          <w:rtl/>
        </w:rPr>
        <w:t>الأساسية،</w:t>
      </w:r>
      <w:r>
        <w:rPr>
          <w:rFonts w:hint="cs"/>
          <w:rtl/>
        </w:rPr>
        <w:t xml:space="preserve"> </w:t>
      </w:r>
      <w:r w:rsidR="00F32B28" w:rsidRPr="00F32B28">
        <w:rPr>
          <w:rtl/>
        </w:rPr>
        <w:t>وهي:</w:t>
      </w:r>
      <w:r w:rsidR="00F32B28">
        <w:rPr>
          <w:rtl/>
        </w:rPr>
        <w:t xml:space="preserve"> </w:t>
      </w:r>
      <w:r w:rsidR="00F32B28" w:rsidRPr="00F32B28">
        <w:rPr>
          <w:rtl/>
        </w:rPr>
        <w:t>الشيخوخة</w:t>
      </w:r>
      <w:r w:rsidR="00F32B28">
        <w:rPr>
          <w:rtl/>
        </w:rPr>
        <w:t xml:space="preserve"> </w:t>
      </w:r>
      <w:r w:rsidR="00F32B28" w:rsidRPr="00F32B28">
        <w:rPr>
          <w:rtl/>
        </w:rPr>
        <w:t>والعجز</w:t>
      </w:r>
      <w:r w:rsidR="00F32B28">
        <w:rPr>
          <w:rtl/>
        </w:rPr>
        <w:t xml:space="preserve"> </w:t>
      </w:r>
      <w:r w:rsidR="00F32B28" w:rsidRPr="00F32B28">
        <w:rPr>
          <w:rtl/>
        </w:rPr>
        <w:t>والوفاة</w:t>
      </w:r>
      <w:r w:rsidR="00F32B28">
        <w:rPr>
          <w:rtl/>
        </w:rPr>
        <w:t xml:space="preserve"> </w:t>
      </w:r>
      <w:r w:rsidR="00F32B28" w:rsidRPr="00F32B28">
        <w:rPr>
          <w:rtl/>
        </w:rPr>
        <w:t>الطبيعيين،</w:t>
      </w:r>
      <w:r w:rsidR="00F32B28">
        <w:rPr>
          <w:rtl/>
        </w:rPr>
        <w:t xml:space="preserve"> </w:t>
      </w:r>
      <w:r w:rsidR="00F32B28" w:rsidRPr="00F32B28">
        <w:rPr>
          <w:rtl/>
        </w:rPr>
        <w:t>وإصابات</w:t>
      </w:r>
      <w:r w:rsidR="00F32B28">
        <w:rPr>
          <w:rtl/>
        </w:rPr>
        <w:t xml:space="preserve"> </w:t>
      </w:r>
      <w:r w:rsidR="00F32B28" w:rsidRPr="00F32B28">
        <w:rPr>
          <w:rtl/>
        </w:rPr>
        <w:t>العمل،</w:t>
      </w:r>
      <w:r w:rsidR="00F32B28">
        <w:rPr>
          <w:rtl/>
        </w:rPr>
        <w:t xml:space="preserve"> </w:t>
      </w:r>
      <w:r w:rsidR="00F32B28" w:rsidRPr="00F32B28">
        <w:rPr>
          <w:rtl/>
        </w:rPr>
        <w:t>والأمومة،</w:t>
      </w:r>
      <w:r w:rsidR="00F32B28">
        <w:rPr>
          <w:rtl/>
        </w:rPr>
        <w:t xml:space="preserve"> </w:t>
      </w:r>
      <w:r w:rsidR="00F32B28" w:rsidRPr="00F32B28">
        <w:rPr>
          <w:rtl/>
        </w:rPr>
        <w:t>والمرض،</w:t>
      </w:r>
      <w:r w:rsidR="00F32B28">
        <w:rPr>
          <w:rtl/>
        </w:rPr>
        <w:t xml:space="preserve"> </w:t>
      </w:r>
      <w:r w:rsidR="00F32B28" w:rsidRPr="00F32B28">
        <w:rPr>
          <w:rtl/>
        </w:rPr>
        <w:t>والتأمين</w:t>
      </w:r>
      <w:r w:rsidR="00F32B28">
        <w:rPr>
          <w:rtl/>
        </w:rPr>
        <w:t xml:space="preserve"> </w:t>
      </w:r>
      <w:r w:rsidR="00F32B28" w:rsidRPr="00F32B28">
        <w:rPr>
          <w:rtl/>
        </w:rPr>
        <w:t>الصحي،</w:t>
      </w:r>
      <w:r w:rsidR="00F32B28">
        <w:rPr>
          <w:rtl/>
        </w:rPr>
        <w:t xml:space="preserve"> </w:t>
      </w:r>
      <w:r w:rsidR="00F32B28" w:rsidRPr="00F32B28">
        <w:rPr>
          <w:rtl/>
        </w:rPr>
        <w:t>والبطالة،</w:t>
      </w:r>
      <w:r w:rsidR="00F32B28">
        <w:rPr>
          <w:rtl/>
        </w:rPr>
        <w:t xml:space="preserve"> </w:t>
      </w:r>
      <w:r w:rsidR="00F32B28" w:rsidRPr="00F32B28">
        <w:rPr>
          <w:rtl/>
        </w:rPr>
        <w:t>والتعويضات</w:t>
      </w:r>
      <w:r w:rsidR="00F32B28">
        <w:rPr>
          <w:rtl/>
        </w:rPr>
        <w:t xml:space="preserve"> </w:t>
      </w:r>
      <w:r w:rsidR="00F32B28" w:rsidRPr="00F32B28">
        <w:rPr>
          <w:rtl/>
        </w:rPr>
        <w:t>العائلية،</w:t>
      </w:r>
      <w:r w:rsidR="00F32B28">
        <w:rPr>
          <w:rtl/>
        </w:rPr>
        <w:t xml:space="preserve"> </w:t>
      </w:r>
      <w:r w:rsidR="00F32B28" w:rsidRPr="00F32B28">
        <w:rPr>
          <w:rtl/>
        </w:rPr>
        <w:t>وتقاعد</w:t>
      </w:r>
      <w:r w:rsidR="00F32B28">
        <w:rPr>
          <w:rtl/>
        </w:rPr>
        <w:t xml:space="preserve"> </w:t>
      </w:r>
      <w:r w:rsidR="00F32B28" w:rsidRPr="00F32B28">
        <w:rPr>
          <w:rtl/>
        </w:rPr>
        <w:t>الشيخوخة</w:t>
      </w:r>
      <w:r w:rsidR="00F32B28">
        <w:rPr>
          <w:rtl/>
        </w:rPr>
        <w:t xml:space="preserve"> </w:t>
      </w:r>
      <w:r w:rsidR="00F32B28" w:rsidRPr="00F32B28">
        <w:rPr>
          <w:rtl/>
        </w:rPr>
        <w:t>التكميلي</w:t>
      </w:r>
      <w:r w:rsidR="00F32B28">
        <w:rPr>
          <w:rtl/>
        </w:rPr>
        <w:t xml:space="preserve"> </w:t>
      </w:r>
      <w:r w:rsidR="00F32B28" w:rsidRPr="00F32B28">
        <w:rPr>
          <w:rtl/>
        </w:rPr>
        <w:t>الاختياري.</w:t>
      </w:r>
      <w:r w:rsidR="00F32B28">
        <w:rPr>
          <w:rtl/>
        </w:rPr>
        <w:t xml:space="preserve"> </w:t>
      </w:r>
      <w:r w:rsidR="00F32B28" w:rsidRPr="00F32B28">
        <w:rPr>
          <w:rtl/>
        </w:rPr>
        <w:t>وتسري</w:t>
      </w:r>
      <w:r w:rsidR="00F32B28">
        <w:rPr>
          <w:rtl/>
        </w:rPr>
        <w:t xml:space="preserve"> </w:t>
      </w:r>
      <w:r w:rsidR="00F32B28" w:rsidRPr="00F32B28">
        <w:rPr>
          <w:rtl/>
        </w:rPr>
        <w:t>أحكامه</w:t>
      </w:r>
      <w:r w:rsidR="00F32B28">
        <w:rPr>
          <w:rtl/>
        </w:rPr>
        <w:t xml:space="preserve"> </w:t>
      </w:r>
      <w:r w:rsidR="00F32B28" w:rsidRPr="00F32B28">
        <w:rPr>
          <w:rtl/>
        </w:rPr>
        <w:t>على</w:t>
      </w:r>
      <w:r w:rsidR="00F32B28">
        <w:rPr>
          <w:rtl/>
        </w:rPr>
        <w:t xml:space="preserve"> </w:t>
      </w:r>
      <w:r w:rsidR="00F32B28" w:rsidRPr="00F32B28">
        <w:rPr>
          <w:rtl/>
        </w:rPr>
        <w:t>كل</w:t>
      </w:r>
      <w:r w:rsidR="00F32B28">
        <w:rPr>
          <w:rtl/>
        </w:rPr>
        <w:t xml:space="preserve"> </w:t>
      </w:r>
      <w:r w:rsidR="00F32B28" w:rsidRPr="00F32B28">
        <w:rPr>
          <w:rtl/>
        </w:rPr>
        <w:t>من</w:t>
      </w:r>
      <w:r w:rsidR="00F32B28">
        <w:rPr>
          <w:rtl/>
        </w:rPr>
        <w:t xml:space="preserve"> </w:t>
      </w:r>
      <w:r w:rsidR="00F32B28" w:rsidRPr="00F32B28">
        <w:rPr>
          <w:rtl/>
        </w:rPr>
        <w:t>العمال</w:t>
      </w:r>
      <w:r w:rsidR="00F32B28">
        <w:rPr>
          <w:rtl/>
        </w:rPr>
        <w:t xml:space="preserve"> </w:t>
      </w:r>
      <w:r w:rsidR="00F32B28" w:rsidRPr="00F32B28">
        <w:rPr>
          <w:rtl/>
        </w:rPr>
        <w:t>المشمولين</w:t>
      </w:r>
      <w:r w:rsidR="00F32B28">
        <w:rPr>
          <w:rtl/>
        </w:rPr>
        <w:t xml:space="preserve"> </w:t>
      </w:r>
      <w:r w:rsidR="00F32B28" w:rsidRPr="00F32B28">
        <w:rPr>
          <w:rtl/>
        </w:rPr>
        <w:t>بأحكام</w:t>
      </w:r>
      <w:r w:rsidR="00F32B28">
        <w:rPr>
          <w:rtl/>
        </w:rPr>
        <w:t xml:space="preserve"> </w:t>
      </w:r>
      <w:r w:rsidR="00F32B28" w:rsidRPr="00F32B28">
        <w:rPr>
          <w:rtl/>
        </w:rPr>
        <w:t>قانون</w:t>
      </w:r>
      <w:r w:rsidR="00F32B28">
        <w:rPr>
          <w:rtl/>
        </w:rPr>
        <w:t xml:space="preserve"> </w:t>
      </w:r>
      <w:r w:rsidR="00F32B28" w:rsidRPr="00F32B28">
        <w:rPr>
          <w:rtl/>
        </w:rPr>
        <w:t>العمل</w:t>
      </w:r>
      <w:r w:rsidR="00F32B28">
        <w:rPr>
          <w:rtl/>
        </w:rPr>
        <w:t xml:space="preserve"> </w:t>
      </w:r>
      <w:r w:rsidR="00F32B28" w:rsidRPr="00F32B28">
        <w:rPr>
          <w:rtl/>
        </w:rPr>
        <w:t>المعمول</w:t>
      </w:r>
      <w:r w:rsidR="00F32B28">
        <w:rPr>
          <w:rtl/>
        </w:rPr>
        <w:t xml:space="preserve"> </w:t>
      </w:r>
      <w:r w:rsidR="00F32B28" w:rsidRPr="00F32B28">
        <w:rPr>
          <w:rtl/>
        </w:rPr>
        <w:t>به،</w:t>
      </w:r>
      <w:r w:rsidR="00F32B28">
        <w:rPr>
          <w:rtl/>
        </w:rPr>
        <w:t xml:space="preserve"> </w:t>
      </w:r>
      <w:r w:rsidR="00F32B28" w:rsidRPr="00F32B28">
        <w:rPr>
          <w:rtl/>
        </w:rPr>
        <w:t>والعاملين</w:t>
      </w:r>
      <w:r w:rsidR="00F32B28">
        <w:rPr>
          <w:rtl/>
        </w:rPr>
        <w:t xml:space="preserve"> </w:t>
      </w:r>
      <w:r w:rsidR="00F32B28" w:rsidRPr="00F32B28">
        <w:rPr>
          <w:rtl/>
        </w:rPr>
        <w:t>غير</w:t>
      </w:r>
      <w:r w:rsidR="00F32B28">
        <w:rPr>
          <w:rtl/>
        </w:rPr>
        <w:t xml:space="preserve"> </w:t>
      </w:r>
      <w:r w:rsidR="00F32B28" w:rsidRPr="00F32B28">
        <w:rPr>
          <w:rtl/>
        </w:rPr>
        <w:t>الخاضعين</w:t>
      </w:r>
      <w:r w:rsidR="00F32B28">
        <w:rPr>
          <w:rtl/>
        </w:rPr>
        <w:t xml:space="preserve"> </w:t>
      </w:r>
      <w:r w:rsidR="00F32B28" w:rsidRPr="00F32B28">
        <w:rPr>
          <w:rtl/>
        </w:rPr>
        <w:t>للتقاعد</w:t>
      </w:r>
      <w:r w:rsidR="00F32B28">
        <w:rPr>
          <w:rtl/>
        </w:rPr>
        <w:t xml:space="preserve"> </w:t>
      </w:r>
      <w:r w:rsidR="00F32B28" w:rsidRPr="00F32B28">
        <w:rPr>
          <w:rtl/>
        </w:rPr>
        <w:t>بموجب</w:t>
      </w:r>
      <w:r w:rsidR="00F32B28">
        <w:rPr>
          <w:rtl/>
        </w:rPr>
        <w:t xml:space="preserve"> </w:t>
      </w:r>
      <w:r w:rsidR="00F32B28" w:rsidRPr="00F32B28">
        <w:rPr>
          <w:rtl/>
        </w:rPr>
        <w:t>أحكام</w:t>
      </w:r>
      <w:r w:rsidR="00F32B28">
        <w:rPr>
          <w:rtl/>
        </w:rPr>
        <w:t xml:space="preserve"> </w:t>
      </w:r>
      <w:r w:rsidR="00F32B28" w:rsidRPr="00F32B28">
        <w:rPr>
          <w:rtl/>
        </w:rPr>
        <w:t>التشريعات</w:t>
      </w:r>
      <w:r w:rsidR="00F32B28">
        <w:rPr>
          <w:rtl/>
        </w:rPr>
        <w:t xml:space="preserve"> </w:t>
      </w:r>
      <w:r w:rsidR="00F32B28" w:rsidRPr="00F32B28">
        <w:rPr>
          <w:rtl/>
        </w:rPr>
        <w:t>التقاعدية</w:t>
      </w:r>
      <w:r w:rsidR="00F32B28">
        <w:rPr>
          <w:rtl/>
        </w:rPr>
        <w:t xml:space="preserve"> </w:t>
      </w:r>
      <w:r w:rsidR="00F32B28" w:rsidRPr="00F32B28">
        <w:rPr>
          <w:rtl/>
        </w:rPr>
        <w:t>الحكومية</w:t>
      </w:r>
      <w:r w:rsidR="00F32B28">
        <w:rPr>
          <w:rtl/>
        </w:rPr>
        <w:t xml:space="preserve"> </w:t>
      </w:r>
      <w:r w:rsidR="00F32B28" w:rsidRPr="00F32B28">
        <w:rPr>
          <w:rtl/>
        </w:rPr>
        <w:t>المدنية</w:t>
      </w:r>
      <w:r w:rsidR="00F32B28">
        <w:rPr>
          <w:rtl/>
        </w:rPr>
        <w:t xml:space="preserve"> </w:t>
      </w:r>
      <w:r w:rsidR="00F32B28" w:rsidRPr="00F32B28">
        <w:rPr>
          <w:rtl/>
        </w:rPr>
        <w:t>والأمنية</w:t>
      </w:r>
      <w:r w:rsidR="00F32B28">
        <w:rPr>
          <w:rtl/>
        </w:rPr>
        <w:t xml:space="preserve"> </w:t>
      </w:r>
      <w:r w:rsidR="00F32B28" w:rsidRPr="00F32B28">
        <w:rPr>
          <w:rtl/>
        </w:rPr>
        <w:t>المعمول</w:t>
      </w:r>
      <w:r w:rsidR="00F32B28">
        <w:rPr>
          <w:rtl/>
        </w:rPr>
        <w:t xml:space="preserve"> </w:t>
      </w:r>
      <w:r w:rsidR="00F32B28" w:rsidRPr="00F32B28">
        <w:rPr>
          <w:rtl/>
        </w:rPr>
        <w:t>بها،</w:t>
      </w:r>
      <w:r w:rsidR="00F32B28">
        <w:rPr>
          <w:rtl/>
        </w:rPr>
        <w:t xml:space="preserve"> </w:t>
      </w:r>
      <w:r w:rsidR="00F32B28" w:rsidRPr="00F32B28">
        <w:rPr>
          <w:rtl/>
        </w:rPr>
        <w:t>والعاملين</w:t>
      </w:r>
      <w:r w:rsidR="00F32B28">
        <w:rPr>
          <w:rtl/>
        </w:rPr>
        <w:t xml:space="preserve"> </w:t>
      </w:r>
      <w:r w:rsidR="00F32B28" w:rsidRPr="00F32B28">
        <w:rPr>
          <w:rtl/>
        </w:rPr>
        <w:t>الفلسطينيين</w:t>
      </w:r>
      <w:r w:rsidR="00F32B28">
        <w:rPr>
          <w:rtl/>
        </w:rPr>
        <w:t xml:space="preserve"> </w:t>
      </w:r>
      <w:r w:rsidR="00F32B28" w:rsidRPr="00F32B28">
        <w:rPr>
          <w:rtl/>
        </w:rPr>
        <w:t>لدى</w:t>
      </w:r>
      <w:r w:rsidR="00F32B28">
        <w:rPr>
          <w:rtl/>
        </w:rPr>
        <w:t xml:space="preserve"> </w:t>
      </w:r>
      <w:r w:rsidR="00F32B28" w:rsidRPr="00F32B28">
        <w:rPr>
          <w:rtl/>
        </w:rPr>
        <w:t>المنظمات</w:t>
      </w:r>
      <w:r w:rsidR="00F32B28">
        <w:rPr>
          <w:rtl/>
        </w:rPr>
        <w:t xml:space="preserve"> </w:t>
      </w:r>
      <w:r w:rsidR="00F32B28" w:rsidRPr="00F32B28">
        <w:rPr>
          <w:rtl/>
        </w:rPr>
        <w:t>الدولية</w:t>
      </w:r>
      <w:r w:rsidR="00F32B28">
        <w:rPr>
          <w:rtl/>
        </w:rPr>
        <w:t xml:space="preserve"> </w:t>
      </w:r>
      <w:r w:rsidR="00F32B28" w:rsidRPr="00F32B28">
        <w:rPr>
          <w:rtl/>
        </w:rPr>
        <w:t>أو</w:t>
      </w:r>
      <w:r w:rsidR="00F32B28">
        <w:rPr>
          <w:rtl/>
        </w:rPr>
        <w:t xml:space="preserve"> </w:t>
      </w:r>
      <w:r w:rsidR="00F32B28" w:rsidRPr="00F32B28">
        <w:rPr>
          <w:rtl/>
        </w:rPr>
        <w:t>الإقليمية</w:t>
      </w:r>
      <w:r w:rsidR="00F32B28">
        <w:rPr>
          <w:rtl/>
        </w:rPr>
        <w:t xml:space="preserve"> </w:t>
      </w:r>
      <w:r w:rsidR="00F32B28" w:rsidRPr="00F32B28">
        <w:rPr>
          <w:rtl/>
        </w:rPr>
        <w:t>أو</w:t>
      </w:r>
      <w:r w:rsidR="00F32B28">
        <w:rPr>
          <w:rtl/>
        </w:rPr>
        <w:t xml:space="preserve"> </w:t>
      </w:r>
      <w:r w:rsidR="00F32B28" w:rsidRPr="00F32B28">
        <w:rPr>
          <w:rtl/>
        </w:rPr>
        <w:t>البعثات</w:t>
      </w:r>
      <w:r w:rsidR="00F32B28">
        <w:rPr>
          <w:rtl/>
        </w:rPr>
        <w:t xml:space="preserve"> </w:t>
      </w:r>
      <w:r w:rsidR="00F32B28" w:rsidRPr="00F32B28">
        <w:rPr>
          <w:rtl/>
        </w:rPr>
        <w:t>الدبلوماسية</w:t>
      </w:r>
      <w:r w:rsidR="00F32B28">
        <w:rPr>
          <w:rtl/>
        </w:rPr>
        <w:t xml:space="preserve"> </w:t>
      </w:r>
      <w:r w:rsidR="00F32B28" w:rsidRPr="00F32B28">
        <w:rPr>
          <w:rtl/>
        </w:rPr>
        <w:t>أو</w:t>
      </w:r>
      <w:r w:rsidR="00F32B28">
        <w:rPr>
          <w:rtl/>
        </w:rPr>
        <w:t xml:space="preserve"> </w:t>
      </w:r>
      <w:r w:rsidR="00F32B28" w:rsidRPr="00F32B28">
        <w:rPr>
          <w:rtl/>
        </w:rPr>
        <w:t>السياسية</w:t>
      </w:r>
      <w:r w:rsidR="00F32B28">
        <w:rPr>
          <w:rtl/>
        </w:rPr>
        <w:t xml:space="preserve"> </w:t>
      </w:r>
      <w:r w:rsidR="00F32B28" w:rsidRPr="00F32B28">
        <w:rPr>
          <w:rtl/>
        </w:rPr>
        <w:t>الأجنبية</w:t>
      </w:r>
      <w:r w:rsidR="00F32B28">
        <w:rPr>
          <w:rtl/>
        </w:rPr>
        <w:t xml:space="preserve"> </w:t>
      </w:r>
      <w:r w:rsidR="00F32B28" w:rsidRPr="00F32B28">
        <w:rPr>
          <w:rtl/>
        </w:rPr>
        <w:t>العاملة</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والعاملين</w:t>
      </w:r>
      <w:r w:rsidR="00F32B28">
        <w:rPr>
          <w:rtl/>
        </w:rPr>
        <w:t xml:space="preserve"> </w:t>
      </w:r>
      <w:r w:rsidR="00F32B28" w:rsidRPr="00F32B28">
        <w:rPr>
          <w:rtl/>
        </w:rPr>
        <w:t>والموظفين</w:t>
      </w:r>
      <w:r w:rsidR="00F32B28">
        <w:rPr>
          <w:rtl/>
        </w:rPr>
        <w:t xml:space="preserve"> </w:t>
      </w:r>
      <w:r w:rsidR="00F32B28" w:rsidRPr="00F32B28">
        <w:rPr>
          <w:rtl/>
        </w:rPr>
        <w:t>في</w:t>
      </w:r>
      <w:r w:rsidR="00F32B28">
        <w:rPr>
          <w:rtl/>
        </w:rPr>
        <w:t xml:space="preserve"> </w:t>
      </w:r>
      <w:r w:rsidR="00F32B28" w:rsidRPr="00F32B28">
        <w:rPr>
          <w:rtl/>
        </w:rPr>
        <w:t>الهيئات</w:t>
      </w:r>
      <w:r w:rsidR="00F32B28">
        <w:rPr>
          <w:rtl/>
        </w:rPr>
        <w:t xml:space="preserve"> </w:t>
      </w:r>
      <w:r w:rsidR="00F32B28" w:rsidRPr="00F32B28">
        <w:rPr>
          <w:rtl/>
        </w:rPr>
        <w:t>المحلية</w:t>
      </w:r>
      <w:r w:rsidR="00F32B28">
        <w:rPr>
          <w:rtl/>
        </w:rPr>
        <w:t xml:space="preserve"> </w:t>
      </w:r>
      <w:r w:rsidR="00F32B28" w:rsidRPr="00F32B28">
        <w:rPr>
          <w:rtl/>
        </w:rPr>
        <w:t>غير</w:t>
      </w:r>
      <w:r w:rsidR="00F32B28">
        <w:rPr>
          <w:rtl/>
        </w:rPr>
        <w:t xml:space="preserve"> </w:t>
      </w:r>
      <w:r w:rsidR="00F32B28" w:rsidRPr="00F32B28">
        <w:rPr>
          <w:rtl/>
        </w:rPr>
        <w:t>الخاضعين</w:t>
      </w:r>
      <w:r w:rsidR="00F32B28">
        <w:rPr>
          <w:rtl/>
        </w:rPr>
        <w:t xml:space="preserve"> </w:t>
      </w:r>
      <w:r w:rsidR="00F32B28" w:rsidRPr="00F32B28">
        <w:rPr>
          <w:rtl/>
        </w:rPr>
        <w:t>لأنظمة</w:t>
      </w:r>
      <w:r w:rsidR="00F32B28">
        <w:rPr>
          <w:rtl/>
        </w:rPr>
        <w:t xml:space="preserve"> </w:t>
      </w:r>
      <w:r w:rsidR="00F32B28" w:rsidRPr="00F32B28">
        <w:rPr>
          <w:rtl/>
        </w:rPr>
        <w:t>تقاعد</w:t>
      </w:r>
      <w:r w:rsidR="00F32B28">
        <w:rPr>
          <w:rtl/>
        </w:rPr>
        <w:t xml:space="preserve"> </w:t>
      </w:r>
      <w:r w:rsidR="00F32B28" w:rsidRPr="00F32B28">
        <w:rPr>
          <w:rtl/>
        </w:rPr>
        <w:t>سابقة،</w:t>
      </w:r>
      <w:r w:rsidR="00F32B28">
        <w:rPr>
          <w:rtl/>
        </w:rPr>
        <w:t xml:space="preserve"> </w:t>
      </w:r>
      <w:r w:rsidR="00F32B28" w:rsidRPr="00F32B28">
        <w:rPr>
          <w:rtl/>
        </w:rPr>
        <w:t>و</w:t>
      </w:r>
      <w:r w:rsidR="00F32B28" w:rsidRPr="00F32B28">
        <w:rPr>
          <w:rFonts w:hint="cs"/>
          <w:rtl/>
        </w:rPr>
        <w:t>عاملي</w:t>
      </w:r>
      <w:r w:rsidR="00F32B28">
        <w:rPr>
          <w:rtl/>
        </w:rPr>
        <w:t xml:space="preserve"> </w:t>
      </w:r>
      <w:r w:rsidR="00F32B28" w:rsidRPr="00F32B28">
        <w:rPr>
          <w:rtl/>
        </w:rPr>
        <w:t>المنازل</w:t>
      </w:r>
      <w:r w:rsidR="00F32B28">
        <w:rPr>
          <w:rtl/>
        </w:rPr>
        <w:t xml:space="preserve"> </w:t>
      </w:r>
      <w:r w:rsidR="00F32B28" w:rsidRPr="00F32B28">
        <w:rPr>
          <w:rtl/>
        </w:rPr>
        <w:t>ومن</w:t>
      </w:r>
      <w:r w:rsidR="00F32B28">
        <w:rPr>
          <w:rtl/>
        </w:rPr>
        <w:t xml:space="preserve"> </w:t>
      </w:r>
      <w:r w:rsidR="00F32B28" w:rsidRPr="00F32B28">
        <w:rPr>
          <w:rtl/>
        </w:rPr>
        <w:t>في</w:t>
      </w:r>
      <w:r w:rsidR="00F32B28">
        <w:rPr>
          <w:rtl/>
        </w:rPr>
        <w:t xml:space="preserve"> </w:t>
      </w:r>
      <w:r w:rsidR="00F32B28" w:rsidRPr="00F32B28">
        <w:rPr>
          <w:rtl/>
        </w:rPr>
        <w:t>حكمهم،</w:t>
      </w:r>
      <w:r w:rsidR="00F32B28">
        <w:rPr>
          <w:rtl/>
        </w:rPr>
        <w:t xml:space="preserve"> </w:t>
      </w:r>
      <w:r w:rsidR="00F32B28" w:rsidRPr="00F32B28">
        <w:rPr>
          <w:rtl/>
        </w:rPr>
        <w:t>كما</w:t>
      </w:r>
      <w:r w:rsidR="00F32B28">
        <w:rPr>
          <w:rtl/>
        </w:rPr>
        <w:t xml:space="preserve"> </w:t>
      </w:r>
      <w:r w:rsidR="00F32B28" w:rsidRPr="00F32B28">
        <w:rPr>
          <w:rtl/>
        </w:rPr>
        <w:t>تقوم</w:t>
      </w:r>
      <w:r w:rsidR="00F32B28">
        <w:rPr>
          <w:rtl/>
        </w:rPr>
        <w:t xml:space="preserve"> </w:t>
      </w:r>
      <w:r w:rsidR="00F32B28" w:rsidRPr="00F32B28">
        <w:rPr>
          <w:rtl/>
        </w:rPr>
        <w:t>مؤسسة</w:t>
      </w:r>
      <w:r w:rsidR="00F32B28">
        <w:rPr>
          <w:rtl/>
        </w:rPr>
        <w:t xml:space="preserve"> </w:t>
      </w:r>
      <w:r w:rsidR="00F32B28" w:rsidRPr="00F32B28">
        <w:rPr>
          <w:rtl/>
        </w:rPr>
        <w:t>الضمان</w:t>
      </w:r>
      <w:r w:rsidR="00F32B28">
        <w:rPr>
          <w:rtl/>
        </w:rPr>
        <w:t xml:space="preserve"> </w:t>
      </w:r>
      <w:r w:rsidR="00F32B28" w:rsidRPr="00F32B28">
        <w:rPr>
          <w:rtl/>
        </w:rPr>
        <w:t>الاجتماعي</w:t>
      </w:r>
      <w:r w:rsidR="00F32B28">
        <w:rPr>
          <w:rtl/>
        </w:rPr>
        <w:t xml:space="preserve"> </w:t>
      </w:r>
      <w:r w:rsidR="00F32B28" w:rsidRPr="00F32B28">
        <w:rPr>
          <w:rtl/>
        </w:rPr>
        <w:t>بمتابعة</w:t>
      </w:r>
      <w:r w:rsidR="00F32B28">
        <w:rPr>
          <w:rtl/>
        </w:rPr>
        <w:t xml:space="preserve"> </w:t>
      </w:r>
      <w:r w:rsidR="00F32B28" w:rsidRPr="00F32B28">
        <w:rPr>
          <w:rtl/>
        </w:rPr>
        <w:t>حقوق</w:t>
      </w:r>
      <w:r w:rsidR="00F32B28">
        <w:rPr>
          <w:rtl/>
        </w:rPr>
        <w:t xml:space="preserve"> </w:t>
      </w:r>
      <w:r w:rsidR="00F32B28" w:rsidRPr="00F32B28">
        <w:rPr>
          <w:rtl/>
        </w:rPr>
        <w:t>العمال</w:t>
      </w:r>
      <w:r w:rsidR="00F32B28">
        <w:rPr>
          <w:rtl/>
        </w:rPr>
        <w:t xml:space="preserve"> </w:t>
      </w:r>
      <w:r w:rsidR="00F32B28" w:rsidRPr="00F32B28">
        <w:rPr>
          <w:rtl/>
        </w:rPr>
        <w:t>الفلسطينيين</w:t>
      </w:r>
      <w:r w:rsidR="00F32B28">
        <w:rPr>
          <w:rtl/>
        </w:rPr>
        <w:t xml:space="preserve"> </w:t>
      </w:r>
      <w:r w:rsidR="00F32B28" w:rsidRPr="00F32B28">
        <w:rPr>
          <w:rtl/>
        </w:rPr>
        <w:t>العاملين</w:t>
      </w:r>
      <w:r w:rsidR="00F32B28">
        <w:rPr>
          <w:rtl/>
        </w:rPr>
        <w:t xml:space="preserve"> </w:t>
      </w:r>
      <w:r w:rsidR="00F32B28" w:rsidRPr="00F32B28">
        <w:rPr>
          <w:rtl/>
        </w:rPr>
        <w:t>خارج</w:t>
      </w:r>
      <w:r w:rsidR="00F32B28">
        <w:rPr>
          <w:rtl/>
        </w:rPr>
        <w:t xml:space="preserve"> </w:t>
      </w:r>
      <w:r w:rsidR="00F32B28" w:rsidRPr="00F32B28">
        <w:rPr>
          <w:rtl/>
        </w:rPr>
        <w:t>الدولة</w:t>
      </w:r>
      <w:r w:rsidR="00F32B28">
        <w:rPr>
          <w:rtl/>
        </w:rPr>
        <w:t xml:space="preserve"> </w:t>
      </w:r>
      <w:r w:rsidR="00F32B28" w:rsidRPr="00F32B28">
        <w:rPr>
          <w:rtl/>
        </w:rPr>
        <w:t>الفلسطينية</w:t>
      </w:r>
      <w:r w:rsidR="00F32B28">
        <w:rPr>
          <w:rtl/>
        </w:rPr>
        <w:t xml:space="preserve"> </w:t>
      </w:r>
      <w:r w:rsidR="00F32B28" w:rsidRPr="00F32B28">
        <w:rPr>
          <w:rtl/>
        </w:rPr>
        <w:t>لتحصيلها</w:t>
      </w:r>
      <w:r w:rsidR="00F32B28">
        <w:rPr>
          <w:rtl/>
        </w:rPr>
        <w:t xml:space="preserve"> </w:t>
      </w:r>
      <w:r w:rsidR="00F32B28" w:rsidRPr="00F32B28">
        <w:rPr>
          <w:rtl/>
        </w:rPr>
        <w:t>لصالح</w:t>
      </w:r>
      <w:r w:rsidR="00F32B28">
        <w:rPr>
          <w:rtl/>
        </w:rPr>
        <w:t xml:space="preserve"> </w:t>
      </w:r>
      <w:r w:rsidR="00F32B28" w:rsidRPr="00F32B28">
        <w:rPr>
          <w:rtl/>
        </w:rPr>
        <w:t>العمال،</w:t>
      </w:r>
      <w:r w:rsidR="00F32B28">
        <w:rPr>
          <w:rtl/>
        </w:rPr>
        <w:t xml:space="preserve"> </w:t>
      </w:r>
      <w:r w:rsidR="00F32B28" w:rsidRPr="00F32B28">
        <w:rPr>
          <w:rtl/>
        </w:rPr>
        <w:t>بما</w:t>
      </w:r>
      <w:r w:rsidR="00F32B28">
        <w:rPr>
          <w:rtl/>
        </w:rPr>
        <w:t xml:space="preserve"> </w:t>
      </w:r>
      <w:r w:rsidR="00F32B28" w:rsidRPr="00F32B28">
        <w:rPr>
          <w:rtl/>
        </w:rPr>
        <w:t>يشمل</w:t>
      </w:r>
      <w:r w:rsidR="00F32B28">
        <w:rPr>
          <w:rtl/>
        </w:rPr>
        <w:t xml:space="preserve"> </w:t>
      </w:r>
      <w:r w:rsidR="00F32B28" w:rsidRPr="00F32B28">
        <w:rPr>
          <w:rtl/>
        </w:rPr>
        <w:t>كافة</w:t>
      </w:r>
      <w:r w:rsidR="00F32B28">
        <w:rPr>
          <w:rtl/>
        </w:rPr>
        <w:t xml:space="preserve"> </w:t>
      </w:r>
      <w:r w:rsidR="00F32B28" w:rsidRPr="00F32B28">
        <w:rPr>
          <w:rtl/>
        </w:rPr>
        <w:t>الحقوق</w:t>
      </w:r>
      <w:r w:rsidR="00F32B28">
        <w:rPr>
          <w:rtl/>
        </w:rPr>
        <w:t xml:space="preserve"> </w:t>
      </w:r>
      <w:r w:rsidR="00F32B28" w:rsidRPr="00F32B28">
        <w:rPr>
          <w:rtl/>
        </w:rPr>
        <w:t>المتراكمة</w:t>
      </w:r>
      <w:r w:rsidR="00F32B28">
        <w:rPr>
          <w:rtl/>
        </w:rPr>
        <w:t xml:space="preserve"> </w:t>
      </w:r>
      <w:r w:rsidR="00F32B28" w:rsidRPr="00F32B28">
        <w:rPr>
          <w:rtl/>
        </w:rPr>
        <w:t>والاستقطاعات.</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يستثنى</w:t>
      </w:r>
      <w:r w:rsidR="00F32B28">
        <w:rPr>
          <w:rtl/>
        </w:rPr>
        <w:t xml:space="preserve"> </w:t>
      </w:r>
      <w:r w:rsidR="00F32B28" w:rsidRPr="00F32B28">
        <w:rPr>
          <w:rtl/>
        </w:rPr>
        <w:t>من</w:t>
      </w:r>
      <w:r w:rsidR="00F32B28">
        <w:rPr>
          <w:rtl/>
        </w:rPr>
        <w:t xml:space="preserve"> </w:t>
      </w:r>
      <w:r w:rsidR="00F32B28" w:rsidRPr="00F32B28">
        <w:rPr>
          <w:rtl/>
        </w:rPr>
        <w:t>أحكام</w:t>
      </w:r>
      <w:r w:rsidR="00F32B28">
        <w:rPr>
          <w:rtl/>
        </w:rPr>
        <w:t xml:space="preserve"> </w:t>
      </w:r>
      <w:r w:rsidR="00F32B28" w:rsidRPr="00F32B28">
        <w:rPr>
          <w:rtl/>
        </w:rPr>
        <w:t>هذا</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العمال</w:t>
      </w:r>
      <w:r w:rsidR="00F32B28">
        <w:rPr>
          <w:rtl/>
        </w:rPr>
        <w:t xml:space="preserve"> </w:t>
      </w:r>
      <w:r w:rsidR="00F32B28" w:rsidRPr="00F32B28">
        <w:rPr>
          <w:rtl/>
        </w:rPr>
        <w:t>الذين</w:t>
      </w:r>
      <w:r w:rsidR="00F32B28">
        <w:rPr>
          <w:rtl/>
        </w:rPr>
        <w:t xml:space="preserve"> </w:t>
      </w:r>
      <w:r w:rsidR="00F32B28" w:rsidRPr="00F32B28">
        <w:rPr>
          <w:rtl/>
        </w:rPr>
        <w:t>تكون</w:t>
      </w:r>
      <w:r w:rsidR="00F32B28">
        <w:rPr>
          <w:rtl/>
        </w:rPr>
        <w:t xml:space="preserve"> </w:t>
      </w:r>
      <w:r w:rsidR="00F32B28" w:rsidRPr="00F32B28">
        <w:rPr>
          <w:rtl/>
        </w:rPr>
        <w:t>علاقتهم</w:t>
      </w:r>
      <w:r w:rsidR="00F32B28">
        <w:rPr>
          <w:rtl/>
        </w:rPr>
        <w:t xml:space="preserve"> </w:t>
      </w:r>
      <w:r w:rsidR="00F32B28" w:rsidRPr="00F32B28">
        <w:rPr>
          <w:rtl/>
        </w:rPr>
        <w:t>بصاحب</w:t>
      </w:r>
      <w:r w:rsidR="00F32B28">
        <w:rPr>
          <w:rtl/>
        </w:rPr>
        <w:t xml:space="preserve"> </w:t>
      </w:r>
      <w:r w:rsidR="00F32B28" w:rsidRPr="00F32B28">
        <w:rPr>
          <w:rtl/>
        </w:rPr>
        <w:t>العمل</w:t>
      </w:r>
      <w:r w:rsidR="00F32B28">
        <w:rPr>
          <w:rtl/>
        </w:rPr>
        <w:t xml:space="preserve"> </w:t>
      </w:r>
      <w:r w:rsidR="00F32B28" w:rsidRPr="00F32B28">
        <w:rPr>
          <w:rtl/>
        </w:rPr>
        <w:t>غير</w:t>
      </w:r>
      <w:r w:rsidR="00F32B28">
        <w:rPr>
          <w:rtl/>
        </w:rPr>
        <w:t xml:space="preserve"> </w:t>
      </w:r>
      <w:r w:rsidR="00F32B28" w:rsidRPr="00F32B28">
        <w:rPr>
          <w:rtl/>
        </w:rPr>
        <w:t>منتظمة؛</w:t>
      </w:r>
      <w:r>
        <w:rPr>
          <w:rFonts w:hint="cs"/>
          <w:rtl/>
        </w:rPr>
        <w:t xml:space="preserve"> </w:t>
      </w:r>
      <w:r w:rsidR="00F32B28" w:rsidRPr="00F32B28">
        <w:rPr>
          <w:rtl/>
        </w:rPr>
        <w:t>مما</w:t>
      </w:r>
      <w:r w:rsidR="00F32B28">
        <w:rPr>
          <w:rtl/>
        </w:rPr>
        <w:t xml:space="preserve"> </w:t>
      </w:r>
      <w:r w:rsidR="00F32B28" w:rsidRPr="00F32B28">
        <w:rPr>
          <w:rtl/>
        </w:rPr>
        <w:t>يجعل</w:t>
      </w:r>
      <w:r w:rsidR="00F32B28">
        <w:rPr>
          <w:rtl/>
        </w:rPr>
        <w:t xml:space="preserve"> </w:t>
      </w:r>
      <w:r w:rsidR="00F32B28" w:rsidRPr="00F32B28">
        <w:rPr>
          <w:rtl/>
        </w:rPr>
        <w:t>شريحة</w:t>
      </w:r>
      <w:r w:rsidR="00F32B28">
        <w:rPr>
          <w:rtl/>
        </w:rPr>
        <w:t xml:space="preserve"> </w:t>
      </w:r>
      <w:r w:rsidR="00F32B28" w:rsidRPr="00F32B28">
        <w:rPr>
          <w:rtl/>
        </w:rPr>
        <w:t>واسعة</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العاملات</w:t>
      </w:r>
      <w:r w:rsidR="00F32B28">
        <w:rPr>
          <w:rtl/>
        </w:rPr>
        <w:t xml:space="preserve"> </w:t>
      </w:r>
      <w:r w:rsidR="00F32B28" w:rsidRPr="00F32B28">
        <w:rPr>
          <w:rtl/>
        </w:rPr>
        <w:t>خارج</w:t>
      </w:r>
      <w:r w:rsidR="00F32B28">
        <w:rPr>
          <w:rtl/>
        </w:rPr>
        <w:t xml:space="preserve"> </w:t>
      </w:r>
      <w:r w:rsidR="00F32B28" w:rsidRPr="00F32B28">
        <w:rPr>
          <w:rtl/>
        </w:rPr>
        <w:t>نطاق</w:t>
      </w:r>
      <w:r w:rsidR="00F32B28">
        <w:rPr>
          <w:rtl/>
        </w:rPr>
        <w:t xml:space="preserve"> </w:t>
      </w:r>
      <w:r w:rsidR="00F32B28" w:rsidRPr="00F32B28">
        <w:rPr>
          <w:rtl/>
        </w:rPr>
        <w:t>تطبيق</w:t>
      </w:r>
      <w:r w:rsidR="00F32B28">
        <w:rPr>
          <w:rtl/>
        </w:rPr>
        <w:t xml:space="preserve"> </w:t>
      </w:r>
      <w:r w:rsidR="00F32B28" w:rsidRPr="00F32B28">
        <w:rPr>
          <w:rtl/>
        </w:rPr>
        <w:t>هذا</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كون</w:t>
      </w:r>
      <w:r w:rsidR="00F32B28">
        <w:rPr>
          <w:rtl/>
        </w:rPr>
        <w:t xml:space="preserve"> </w:t>
      </w:r>
      <w:r w:rsidR="00F32B28" w:rsidRPr="00F32B28">
        <w:rPr>
          <w:rtl/>
        </w:rPr>
        <w:t>أن</w:t>
      </w:r>
      <w:r w:rsidR="00F32B28">
        <w:rPr>
          <w:rtl/>
        </w:rPr>
        <w:t xml:space="preserve"> </w:t>
      </w:r>
      <w:r w:rsidR="00F32B28" w:rsidRPr="00F32B28">
        <w:rPr>
          <w:rtl/>
        </w:rPr>
        <w:t>النسبة</w:t>
      </w:r>
      <w:r w:rsidR="00F32B28">
        <w:rPr>
          <w:rtl/>
        </w:rPr>
        <w:t xml:space="preserve"> </w:t>
      </w:r>
      <w:r w:rsidR="00F32B28" w:rsidRPr="00F32B28">
        <w:rPr>
          <w:rtl/>
        </w:rPr>
        <w:t>الأعلى</w:t>
      </w:r>
      <w:r w:rsidR="00F32B28">
        <w:rPr>
          <w:rtl/>
        </w:rPr>
        <w:t xml:space="preserve"> </w:t>
      </w:r>
      <w:r w:rsidR="00F32B28" w:rsidRPr="00F32B28">
        <w:rPr>
          <w:rtl/>
        </w:rPr>
        <w:t>للعاملين</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غير</w:t>
      </w:r>
      <w:r w:rsidR="00F32B28">
        <w:rPr>
          <w:rtl/>
        </w:rPr>
        <w:t xml:space="preserve"> </w:t>
      </w:r>
      <w:r w:rsidR="00F32B28" w:rsidRPr="00F32B28">
        <w:rPr>
          <w:rtl/>
        </w:rPr>
        <w:t>المنظم</w:t>
      </w:r>
      <w:r w:rsidR="00F32B28">
        <w:rPr>
          <w:rtl/>
        </w:rPr>
        <w:t xml:space="preserve"> </w:t>
      </w:r>
      <w:r w:rsidR="00F32B28" w:rsidRPr="00F32B28">
        <w:rPr>
          <w:rtl/>
        </w:rPr>
        <w:t>هي</w:t>
      </w:r>
      <w:r w:rsidR="00F32B28">
        <w:rPr>
          <w:rtl/>
        </w:rPr>
        <w:t xml:space="preserve"> </w:t>
      </w:r>
      <w:r w:rsidR="00F32B28" w:rsidRPr="00F32B28">
        <w:rPr>
          <w:rtl/>
        </w:rPr>
        <w:t>من</w:t>
      </w:r>
      <w:r w:rsidR="00F32B28">
        <w:rPr>
          <w:rtl/>
        </w:rPr>
        <w:t xml:space="preserve"> </w:t>
      </w:r>
      <w:r w:rsidR="00F32B28" w:rsidRPr="00F32B28">
        <w:rPr>
          <w:rtl/>
        </w:rPr>
        <w:t>بين</w:t>
      </w:r>
      <w:r w:rsidR="00F32B28">
        <w:rPr>
          <w:rtl/>
        </w:rPr>
        <w:t xml:space="preserve"> </w:t>
      </w:r>
      <w:r w:rsidR="00F32B28" w:rsidRPr="00F32B28">
        <w:rPr>
          <w:rtl/>
        </w:rPr>
        <w:t>النساء.</w:t>
      </w:r>
      <w:r w:rsidR="00F32B28">
        <w:rPr>
          <w:rtl/>
        </w:rPr>
        <w:t xml:space="preserve"> </w:t>
      </w:r>
    </w:p>
    <w:p w:rsidR="00F32B28" w:rsidRPr="00F32B28" w:rsidRDefault="00D652E9" w:rsidP="00D652E9">
      <w:pPr>
        <w:pStyle w:val="SingleTxt"/>
      </w:pPr>
      <w:r>
        <w:rPr>
          <w:rFonts w:hint="cs"/>
          <w:rtl/>
        </w:rPr>
        <w:t xml:space="preserve">214 - </w:t>
      </w:r>
      <w:r w:rsidR="00F32B28" w:rsidRPr="00F32B28">
        <w:rPr>
          <w:rtl/>
        </w:rPr>
        <w:t>ويكفل</w:t>
      </w:r>
      <w:r w:rsidR="00F32B28">
        <w:rPr>
          <w:rtl/>
        </w:rPr>
        <w:t xml:space="preserve"> </w:t>
      </w:r>
      <w:r w:rsidR="00F32B28" w:rsidRPr="00F32B28">
        <w:rPr>
          <w:rtl/>
        </w:rPr>
        <w:t>هذا</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التمتع</w:t>
      </w:r>
      <w:r w:rsidR="00F32B28">
        <w:rPr>
          <w:rtl/>
        </w:rPr>
        <w:t xml:space="preserve"> </w:t>
      </w:r>
      <w:r w:rsidR="00F32B28" w:rsidRPr="00F32B28">
        <w:rPr>
          <w:rtl/>
        </w:rPr>
        <w:t>بالحق</w:t>
      </w:r>
      <w:r w:rsidR="00F32B28">
        <w:rPr>
          <w:rtl/>
        </w:rPr>
        <w:t xml:space="preserve"> </w:t>
      </w:r>
      <w:r w:rsidR="00F32B28" w:rsidRPr="00F32B28">
        <w:rPr>
          <w:rtl/>
        </w:rPr>
        <w:t>في</w:t>
      </w:r>
      <w:r w:rsidR="00F32B28">
        <w:rPr>
          <w:rtl/>
        </w:rPr>
        <w:t xml:space="preserve"> </w:t>
      </w:r>
      <w:r w:rsidR="00F32B28" w:rsidRPr="00F32B28">
        <w:rPr>
          <w:rtl/>
        </w:rPr>
        <w:t>الضمان</w:t>
      </w:r>
      <w:r w:rsidR="00F32B28">
        <w:rPr>
          <w:rtl/>
        </w:rPr>
        <w:t xml:space="preserve"> </w:t>
      </w:r>
      <w:r w:rsidR="00F32B28" w:rsidRPr="00F32B28">
        <w:rPr>
          <w:rtl/>
        </w:rPr>
        <w:t>الاجتماعي</w:t>
      </w:r>
      <w:r w:rsidR="00F32B28">
        <w:rPr>
          <w:rtl/>
        </w:rPr>
        <w:t xml:space="preserve"> </w:t>
      </w:r>
      <w:r w:rsidR="00F32B28" w:rsidRPr="00F32B28">
        <w:rPr>
          <w:rtl/>
        </w:rPr>
        <w:t>والحصول</w:t>
      </w:r>
      <w:r w:rsidR="00F32B28">
        <w:rPr>
          <w:rtl/>
        </w:rPr>
        <w:t xml:space="preserve"> </w:t>
      </w:r>
      <w:r w:rsidR="00F32B28" w:rsidRPr="00F32B28">
        <w:rPr>
          <w:rtl/>
        </w:rPr>
        <w:t>على</w:t>
      </w:r>
      <w:r w:rsidR="00F32B28">
        <w:rPr>
          <w:rtl/>
        </w:rPr>
        <w:t xml:space="preserve"> </w:t>
      </w:r>
      <w:r w:rsidR="00F32B28" w:rsidRPr="00F32B28">
        <w:rPr>
          <w:rtl/>
        </w:rPr>
        <w:t>الاستحقاقات</w:t>
      </w:r>
      <w:r w:rsidR="00F32B28">
        <w:rPr>
          <w:rtl/>
        </w:rPr>
        <w:t xml:space="preserve"> </w:t>
      </w:r>
      <w:r w:rsidR="00F32B28" w:rsidRPr="00F32B28">
        <w:rPr>
          <w:rtl/>
        </w:rPr>
        <w:t>والحفاظ</w:t>
      </w:r>
      <w:r w:rsidR="00F32B28">
        <w:rPr>
          <w:rtl/>
        </w:rPr>
        <w:t xml:space="preserve"> </w:t>
      </w:r>
      <w:r w:rsidR="00F32B28" w:rsidRPr="00F32B28">
        <w:rPr>
          <w:rtl/>
        </w:rPr>
        <w:t>عليها</w:t>
      </w:r>
      <w:r w:rsidR="00F32B28">
        <w:rPr>
          <w:rtl/>
        </w:rPr>
        <w:t xml:space="preserve"> </w:t>
      </w:r>
      <w:r w:rsidR="00F32B28" w:rsidRPr="00F32B28">
        <w:rPr>
          <w:rtl/>
        </w:rPr>
        <w:t>دون</w:t>
      </w:r>
      <w:r w:rsidR="00F32B28">
        <w:rPr>
          <w:rtl/>
        </w:rPr>
        <w:t xml:space="preserve"> </w:t>
      </w:r>
      <w:r w:rsidR="00F32B28" w:rsidRPr="00F32B28">
        <w:rPr>
          <w:rtl/>
        </w:rPr>
        <w:t>تمييز،</w:t>
      </w:r>
      <w:r w:rsidR="00F32B28">
        <w:rPr>
          <w:rtl/>
        </w:rPr>
        <w:t xml:space="preserve"> </w:t>
      </w:r>
      <w:r w:rsidR="00F32B28" w:rsidRPr="00F32B28">
        <w:rPr>
          <w:rtl/>
        </w:rPr>
        <w:t>وعلى</w:t>
      </w:r>
      <w:r w:rsidR="00F32B28">
        <w:rPr>
          <w:rtl/>
        </w:rPr>
        <w:t xml:space="preserve"> </w:t>
      </w:r>
      <w:r w:rsidR="00F32B28" w:rsidRPr="00F32B28">
        <w:rPr>
          <w:rtl/>
        </w:rPr>
        <w:t>قدم</w:t>
      </w:r>
      <w:r w:rsidR="00F32B28">
        <w:rPr>
          <w:rtl/>
        </w:rPr>
        <w:t xml:space="preserve"> </w:t>
      </w:r>
      <w:r w:rsidR="00F32B28" w:rsidRPr="00F32B28">
        <w:rPr>
          <w:rtl/>
        </w:rPr>
        <w:t>المساواة</w:t>
      </w:r>
      <w:r w:rsidR="00F32B28">
        <w:rPr>
          <w:rtl/>
        </w:rPr>
        <w:t xml:space="preserve"> </w:t>
      </w:r>
      <w:r w:rsidR="00F32B28" w:rsidRPr="00F32B28">
        <w:rPr>
          <w:rtl/>
        </w:rPr>
        <w:t>بين</w:t>
      </w:r>
      <w:r w:rsidR="00F32B28">
        <w:rPr>
          <w:rtl/>
        </w:rPr>
        <w:t xml:space="preserve"> </w:t>
      </w:r>
      <w:r w:rsidR="00F32B28" w:rsidRPr="00F32B28">
        <w:rPr>
          <w:rtl/>
        </w:rPr>
        <w:t>الرجل</w:t>
      </w:r>
      <w:r w:rsidR="00F32B28">
        <w:rPr>
          <w:rtl/>
        </w:rPr>
        <w:t xml:space="preserve"> </w:t>
      </w:r>
      <w:r w:rsidR="00F32B28" w:rsidRPr="00F32B28">
        <w:rPr>
          <w:rtl/>
        </w:rPr>
        <w:t>والمرأة،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المساواة</w:t>
      </w:r>
      <w:r w:rsidR="00F32B28">
        <w:rPr>
          <w:rtl/>
        </w:rPr>
        <w:t xml:space="preserve"> </w:t>
      </w:r>
      <w:r w:rsidR="00F32B28" w:rsidRPr="00F32B28">
        <w:rPr>
          <w:rtl/>
        </w:rPr>
        <w:t>في</w:t>
      </w:r>
      <w:r w:rsidR="00F32B28">
        <w:rPr>
          <w:rtl/>
        </w:rPr>
        <w:t xml:space="preserve"> </w:t>
      </w:r>
      <w:r w:rsidR="00F32B28" w:rsidRPr="00F32B28">
        <w:rPr>
          <w:rtl/>
        </w:rPr>
        <w:t>السن</w:t>
      </w:r>
      <w:r w:rsidR="00F32B28">
        <w:rPr>
          <w:rtl/>
        </w:rPr>
        <w:t xml:space="preserve"> </w:t>
      </w:r>
      <w:r w:rsidR="00F32B28" w:rsidRPr="00F32B28">
        <w:rPr>
          <w:rtl/>
        </w:rPr>
        <w:t>التقاعدي</w:t>
      </w:r>
      <w:r w:rsidR="00F32B28">
        <w:rPr>
          <w:rtl/>
        </w:rPr>
        <w:t xml:space="preserve"> </w:t>
      </w:r>
      <w:r w:rsidR="00F32B28" w:rsidRPr="00F32B28">
        <w:rPr>
          <w:rtl/>
        </w:rPr>
        <w:t>الإلزامي</w:t>
      </w:r>
      <w:r w:rsidR="00F32B28">
        <w:rPr>
          <w:rtl/>
        </w:rPr>
        <w:t xml:space="preserve"> </w:t>
      </w:r>
      <w:r w:rsidR="00F32B28" w:rsidRPr="00F32B28">
        <w:rPr>
          <w:rtl/>
        </w:rPr>
        <w:t>(60</w:t>
      </w:r>
      <w:r w:rsidR="00F32B28">
        <w:rPr>
          <w:rtl/>
        </w:rPr>
        <w:t xml:space="preserve"> </w:t>
      </w:r>
      <w:r w:rsidR="00F32B28" w:rsidRPr="00F32B28">
        <w:rPr>
          <w:rtl/>
        </w:rPr>
        <w:t>سنة).</w:t>
      </w:r>
      <w:r w:rsidR="00F32B28">
        <w:rPr>
          <w:rtl/>
        </w:rPr>
        <w:t xml:space="preserve"> </w:t>
      </w:r>
      <w:r w:rsidR="00F32B28" w:rsidRPr="00F32B28">
        <w:rPr>
          <w:rtl/>
        </w:rPr>
        <w:t>ولغايات</w:t>
      </w:r>
      <w:r w:rsidR="00F32B28">
        <w:rPr>
          <w:rtl/>
        </w:rPr>
        <w:t xml:space="preserve"> </w:t>
      </w:r>
      <w:r w:rsidR="00F32B28" w:rsidRPr="00F32B28">
        <w:rPr>
          <w:rtl/>
        </w:rPr>
        <w:t>المساهمة</w:t>
      </w:r>
      <w:r w:rsidR="00F32B28">
        <w:rPr>
          <w:rtl/>
        </w:rPr>
        <w:t xml:space="preserve"> </w:t>
      </w:r>
      <w:r w:rsidR="00F32B28" w:rsidRPr="00F32B28">
        <w:rPr>
          <w:rtl/>
        </w:rPr>
        <w:t>في</w:t>
      </w:r>
      <w:r w:rsidR="00F32B28">
        <w:rPr>
          <w:rtl/>
        </w:rPr>
        <w:t xml:space="preserve"> </w:t>
      </w:r>
      <w:r w:rsidR="00F32B28" w:rsidRPr="00F32B28">
        <w:rPr>
          <w:rtl/>
        </w:rPr>
        <w:t>معالجة</w:t>
      </w:r>
      <w:r w:rsidR="00F32B28">
        <w:rPr>
          <w:rtl/>
        </w:rPr>
        <w:t xml:space="preserve"> </w:t>
      </w:r>
      <w:r w:rsidR="00F32B28" w:rsidRPr="00F32B28">
        <w:rPr>
          <w:rtl/>
        </w:rPr>
        <w:t>العوامل</w:t>
      </w:r>
      <w:r w:rsidR="00F32B28">
        <w:rPr>
          <w:rtl/>
        </w:rPr>
        <w:t xml:space="preserve"> </w:t>
      </w:r>
      <w:r w:rsidR="00F32B28" w:rsidRPr="00F32B28">
        <w:rPr>
          <w:rtl/>
        </w:rPr>
        <w:t>التي</w:t>
      </w:r>
      <w:r w:rsidR="00F32B28">
        <w:rPr>
          <w:rtl/>
        </w:rPr>
        <w:t xml:space="preserve"> </w:t>
      </w:r>
      <w:r w:rsidR="00F32B28" w:rsidRPr="00F32B28">
        <w:rPr>
          <w:rtl/>
        </w:rPr>
        <w:t>تحول</w:t>
      </w:r>
      <w:r w:rsidR="00F32B28">
        <w:rPr>
          <w:rtl/>
        </w:rPr>
        <w:t xml:space="preserve"> </w:t>
      </w:r>
      <w:r w:rsidR="00F32B28" w:rsidRPr="00F32B28">
        <w:rPr>
          <w:rtl/>
        </w:rPr>
        <w:t>دون</w:t>
      </w:r>
      <w:r w:rsidR="00F32B28">
        <w:rPr>
          <w:rtl/>
        </w:rPr>
        <w:t xml:space="preserve"> </w:t>
      </w:r>
      <w:r w:rsidR="00F32B28" w:rsidRPr="00F32B28">
        <w:rPr>
          <w:rtl/>
        </w:rPr>
        <w:t>دفع</w:t>
      </w:r>
      <w:r w:rsidR="00F32B28">
        <w:rPr>
          <w:rtl/>
        </w:rPr>
        <w:t xml:space="preserve"> </w:t>
      </w:r>
      <w:r w:rsidR="00F32B28" w:rsidRPr="00F32B28">
        <w:rPr>
          <w:rtl/>
        </w:rPr>
        <w:t>بعض</w:t>
      </w:r>
      <w:r w:rsidR="00F32B28">
        <w:rPr>
          <w:rtl/>
        </w:rPr>
        <w:t xml:space="preserve"> </w:t>
      </w:r>
      <w:r w:rsidR="00F32B28" w:rsidRPr="00F32B28">
        <w:rPr>
          <w:rtl/>
        </w:rPr>
        <w:t>الفئات</w:t>
      </w:r>
      <w:r w:rsidR="00F32B28">
        <w:rPr>
          <w:rtl/>
        </w:rPr>
        <w:t xml:space="preserve"> </w:t>
      </w:r>
      <w:r w:rsidR="00F32B28" w:rsidRPr="00F32B28">
        <w:rPr>
          <w:rtl/>
        </w:rPr>
        <w:t>اشتراكات</w:t>
      </w:r>
      <w:r w:rsidR="00F32B28">
        <w:rPr>
          <w:rtl/>
        </w:rPr>
        <w:t xml:space="preserve"> </w:t>
      </w:r>
      <w:r w:rsidR="00F32B28" w:rsidRPr="00F32B28">
        <w:rPr>
          <w:rtl/>
        </w:rPr>
        <w:t>متكافئة،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النساء</w:t>
      </w:r>
      <w:r w:rsidR="00F32B28">
        <w:rPr>
          <w:rtl/>
        </w:rPr>
        <w:t xml:space="preserve"> </w:t>
      </w:r>
      <w:r w:rsidR="00F32B28" w:rsidRPr="00F32B28">
        <w:rPr>
          <w:rtl/>
        </w:rPr>
        <w:t>بسبب</w:t>
      </w:r>
      <w:r w:rsidR="00F32B28">
        <w:rPr>
          <w:rtl/>
        </w:rPr>
        <w:t xml:space="preserve"> </w:t>
      </w:r>
      <w:r w:rsidR="00F32B28" w:rsidRPr="00F32B28">
        <w:rPr>
          <w:rtl/>
        </w:rPr>
        <w:t>مشاركتهن</w:t>
      </w:r>
      <w:r w:rsidR="00F32B28">
        <w:rPr>
          <w:rtl/>
        </w:rPr>
        <w:t xml:space="preserve"> </w:t>
      </w:r>
      <w:r w:rsidR="00F32B28" w:rsidRPr="00F32B28">
        <w:rPr>
          <w:rtl/>
        </w:rPr>
        <w:t>المتقطعة</w:t>
      </w:r>
      <w:r w:rsidR="00362769">
        <w:rPr>
          <w:rFonts w:hint="cs"/>
          <w:rtl/>
        </w:rPr>
        <w:t xml:space="preserve"> </w:t>
      </w:r>
      <w:r w:rsidR="00F32B28" w:rsidRPr="00F32B28">
        <w:rPr>
          <w:rtl/>
        </w:rPr>
        <w:t>في</w:t>
      </w:r>
      <w:r w:rsidR="00F32B28">
        <w:rPr>
          <w:rtl/>
        </w:rPr>
        <w:t xml:space="preserve"> </w:t>
      </w:r>
      <w:r w:rsidR="00F32B28" w:rsidRPr="00F32B28">
        <w:rPr>
          <w:rtl/>
        </w:rPr>
        <w:t>القوة</w:t>
      </w:r>
      <w:r w:rsidR="00F32B28">
        <w:rPr>
          <w:rtl/>
        </w:rPr>
        <w:t xml:space="preserve"> </w:t>
      </w:r>
      <w:r w:rsidR="00F32B28" w:rsidRPr="00F32B28">
        <w:rPr>
          <w:rtl/>
        </w:rPr>
        <w:t>العاملة</w:t>
      </w:r>
      <w:r w:rsidR="00F32B28">
        <w:rPr>
          <w:rtl/>
        </w:rPr>
        <w:t xml:space="preserve"> </w:t>
      </w:r>
      <w:r w:rsidR="00F32B28" w:rsidRPr="00F32B28">
        <w:rPr>
          <w:rtl/>
        </w:rPr>
        <w:t>من</w:t>
      </w:r>
      <w:r w:rsidR="00F32B28">
        <w:rPr>
          <w:rtl/>
        </w:rPr>
        <w:t xml:space="preserve"> </w:t>
      </w:r>
      <w:r w:rsidR="00F32B28" w:rsidRPr="00F32B28">
        <w:rPr>
          <w:rtl/>
        </w:rPr>
        <w:t>جراء</w:t>
      </w:r>
      <w:r w:rsidR="00F32B28">
        <w:rPr>
          <w:rtl/>
        </w:rPr>
        <w:t xml:space="preserve"> </w:t>
      </w:r>
      <w:r w:rsidR="00F32B28" w:rsidRPr="00F32B28">
        <w:rPr>
          <w:rtl/>
        </w:rPr>
        <w:t>المسؤوليات</w:t>
      </w:r>
      <w:r w:rsidR="00F32B28">
        <w:rPr>
          <w:rtl/>
        </w:rPr>
        <w:t xml:space="preserve"> </w:t>
      </w:r>
      <w:r w:rsidR="00F32B28" w:rsidRPr="00F32B28">
        <w:rPr>
          <w:rtl/>
        </w:rPr>
        <w:t>الأسرية</w:t>
      </w:r>
      <w:r w:rsidR="00F32B28">
        <w:rPr>
          <w:rtl/>
        </w:rPr>
        <w:t xml:space="preserve"> </w:t>
      </w:r>
      <w:r w:rsidR="00F32B28" w:rsidRPr="00F32B28">
        <w:rPr>
          <w:rtl/>
        </w:rPr>
        <w:t>والأجور</w:t>
      </w:r>
      <w:r w:rsidR="00F32B28">
        <w:rPr>
          <w:rtl/>
        </w:rPr>
        <w:t xml:space="preserve"> </w:t>
      </w:r>
      <w:r w:rsidR="00F32B28" w:rsidRPr="00F32B28">
        <w:rPr>
          <w:rtl/>
        </w:rPr>
        <w:t>غير</w:t>
      </w:r>
      <w:r w:rsidR="00F32B28">
        <w:rPr>
          <w:rtl/>
        </w:rPr>
        <w:t xml:space="preserve"> </w:t>
      </w:r>
      <w:r w:rsidR="00F32B28" w:rsidRPr="00F32B28">
        <w:rPr>
          <w:rtl/>
        </w:rPr>
        <w:t>المتكافئة،</w:t>
      </w:r>
      <w:r w:rsidR="00F32B28">
        <w:rPr>
          <w:rtl/>
        </w:rPr>
        <w:t xml:space="preserve"> </w:t>
      </w:r>
      <w:r w:rsidR="00F32B28" w:rsidRPr="00F32B28">
        <w:rPr>
          <w:rtl/>
        </w:rPr>
        <w:t>يمنح</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تقاعدا</w:t>
      </w:r>
      <w:r w:rsidR="00F32B28">
        <w:rPr>
          <w:rtl/>
        </w:rPr>
        <w:t xml:space="preserve"> </w:t>
      </w:r>
      <w:r w:rsidR="00F32B28" w:rsidRPr="00F32B28">
        <w:rPr>
          <w:rtl/>
        </w:rPr>
        <w:t>مبكرا</w:t>
      </w:r>
      <w:r w:rsidR="00F32B28">
        <w:rPr>
          <w:rtl/>
        </w:rPr>
        <w:t xml:space="preserve"> </w:t>
      </w:r>
      <w:r w:rsidR="00F32B28" w:rsidRPr="00F32B28">
        <w:rPr>
          <w:rtl/>
        </w:rPr>
        <w:t>للمستفيدين</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التوقف</w:t>
      </w:r>
      <w:r w:rsidR="00F32B28">
        <w:rPr>
          <w:rtl/>
        </w:rPr>
        <w:t xml:space="preserve"> </w:t>
      </w:r>
      <w:r w:rsidR="00F32B28" w:rsidRPr="00F32B28">
        <w:rPr>
          <w:rtl/>
        </w:rPr>
        <w:t>عن</w:t>
      </w:r>
      <w:r w:rsidR="00F32B28">
        <w:rPr>
          <w:rtl/>
        </w:rPr>
        <w:t xml:space="preserve"> </w:t>
      </w:r>
      <w:r w:rsidR="00F32B28" w:rsidRPr="00F32B28">
        <w:rPr>
          <w:rtl/>
        </w:rPr>
        <w:t>العمل</w:t>
      </w:r>
      <w:r w:rsidR="00F32B28">
        <w:rPr>
          <w:rtl/>
        </w:rPr>
        <w:t xml:space="preserve"> </w:t>
      </w:r>
      <w:r w:rsidR="00F32B28" w:rsidRPr="00F32B28">
        <w:rPr>
          <w:rtl/>
        </w:rPr>
        <w:t>وشريطة</w:t>
      </w:r>
      <w:r w:rsidR="00F32B28">
        <w:rPr>
          <w:rtl/>
        </w:rPr>
        <w:t xml:space="preserve"> </w:t>
      </w:r>
      <w:r w:rsidR="00F32B28" w:rsidRPr="00F32B28">
        <w:rPr>
          <w:rtl/>
        </w:rPr>
        <w:t>بلوغ</w:t>
      </w:r>
      <w:r w:rsidR="00F32B28">
        <w:rPr>
          <w:rtl/>
        </w:rPr>
        <w:t xml:space="preserve"> </w:t>
      </w:r>
      <w:r w:rsidR="00F32B28" w:rsidRPr="00F32B28">
        <w:rPr>
          <w:rtl/>
        </w:rPr>
        <w:t>سن</w:t>
      </w:r>
      <w:r w:rsidR="00F32B28">
        <w:rPr>
          <w:rtl/>
        </w:rPr>
        <w:t xml:space="preserve"> </w:t>
      </w:r>
      <w:r w:rsidR="00F32B28" w:rsidRPr="00F32B28">
        <w:rPr>
          <w:rtl/>
        </w:rPr>
        <w:t>(55)،</w:t>
      </w:r>
      <w:r w:rsidR="00F32B28">
        <w:rPr>
          <w:rtl/>
        </w:rPr>
        <w:t xml:space="preserve"> </w:t>
      </w:r>
      <w:r w:rsidR="00F32B28" w:rsidRPr="00F32B28">
        <w:rPr>
          <w:rtl/>
        </w:rPr>
        <w:t>على</w:t>
      </w:r>
      <w:r w:rsidR="00F32B28">
        <w:rPr>
          <w:rtl/>
        </w:rPr>
        <w:t xml:space="preserve"> </w:t>
      </w:r>
      <w:r w:rsidR="00F32B28" w:rsidRPr="00F32B28">
        <w:rPr>
          <w:rtl/>
        </w:rPr>
        <w:t>ألا</w:t>
      </w:r>
      <w:r w:rsidR="00F32B28">
        <w:rPr>
          <w:rtl/>
        </w:rPr>
        <w:t xml:space="preserve"> </w:t>
      </w:r>
      <w:r w:rsidR="00F32B28" w:rsidRPr="00F32B28">
        <w:rPr>
          <w:rtl/>
        </w:rPr>
        <w:t>يقل</w:t>
      </w:r>
      <w:r w:rsidR="00F32B28">
        <w:rPr>
          <w:rtl/>
        </w:rPr>
        <w:t xml:space="preserve"> </w:t>
      </w:r>
      <w:r w:rsidR="00F32B28" w:rsidRPr="00F32B28">
        <w:rPr>
          <w:rtl/>
        </w:rPr>
        <w:t>إجمالي</w:t>
      </w:r>
      <w:r w:rsidR="00F32B28">
        <w:rPr>
          <w:rtl/>
        </w:rPr>
        <w:t xml:space="preserve"> </w:t>
      </w:r>
      <w:r w:rsidR="00F32B28" w:rsidRPr="00F32B28">
        <w:rPr>
          <w:rtl/>
        </w:rPr>
        <w:t>الاشتراكات</w:t>
      </w:r>
      <w:r w:rsidR="00F32B28">
        <w:rPr>
          <w:rtl/>
        </w:rPr>
        <w:t xml:space="preserve"> </w:t>
      </w:r>
      <w:r w:rsidR="00F32B28" w:rsidRPr="00F32B28">
        <w:rPr>
          <w:rtl/>
        </w:rPr>
        <w:t>الشهرية</w:t>
      </w:r>
      <w:r w:rsidR="00F32B28">
        <w:rPr>
          <w:rtl/>
        </w:rPr>
        <w:t xml:space="preserve"> </w:t>
      </w:r>
      <w:r w:rsidR="00F32B28" w:rsidRPr="00F32B28">
        <w:rPr>
          <w:rtl/>
        </w:rPr>
        <w:t>للمرأة</w:t>
      </w:r>
      <w:r w:rsidR="00F32B28">
        <w:rPr>
          <w:rtl/>
        </w:rPr>
        <w:t xml:space="preserve"> </w:t>
      </w:r>
      <w:r w:rsidR="00F32B28" w:rsidRPr="00F32B28">
        <w:rPr>
          <w:rtl/>
        </w:rPr>
        <w:t>عن</w:t>
      </w:r>
      <w:r w:rsidR="00F32B28">
        <w:rPr>
          <w:rtl/>
        </w:rPr>
        <w:t xml:space="preserve"> </w:t>
      </w:r>
      <w:r w:rsidR="00F32B28" w:rsidRPr="00F32B28">
        <w:rPr>
          <w:rtl/>
        </w:rPr>
        <w:t>(240)</w:t>
      </w:r>
      <w:r w:rsidR="00F32B28">
        <w:rPr>
          <w:rtl/>
        </w:rPr>
        <w:t xml:space="preserve"> </w:t>
      </w:r>
      <w:r w:rsidR="00F32B28" w:rsidRPr="00F32B28">
        <w:rPr>
          <w:rtl/>
        </w:rPr>
        <w:t>اشتراكاً،</w:t>
      </w:r>
      <w:r w:rsidR="00F32B28">
        <w:rPr>
          <w:rtl/>
        </w:rPr>
        <w:t xml:space="preserve"> </w:t>
      </w:r>
      <w:r w:rsidR="00F32B28" w:rsidRPr="00F32B28">
        <w:rPr>
          <w:rtl/>
        </w:rPr>
        <w:t>وللرجل</w:t>
      </w:r>
      <w:r w:rsidR="00F32B28">
        <w:rPr>
          <w:rtl/>
        </w:rPr>
        <w:t xml:space="preserve"> </w:t>
      </w:r>
      <w:r w:rsidR="00F32B28" w:rsidRPr="00F32B28">
        <w:rPr>
          <w:rtl/>
        </w:rPr>
        <w:t>(300)</w:t>
      </w:r>
      <w:r w:rsidR="00F32B28">
        <w:rPr>
          <w:rtl/>
        </w:rPr>
        <w:t xml:space="preserve"> </w:t>
      </w:r>
      <w:r w:rsidR="00F32B28" w:rsidRPr="00F32B28">
        <w:rPr>
          <w:rtl/>
        </w:rPr>
        <w:lastRenderedPageBreak/>
        <w:t>اشتراكاً.</w:t>
      </w:r>
      <w:r w:rsidR="00F32B28">
        <w:rPr>
          <w:rtl/>
        </w:rPr>
        <w:t xml:space="preserve"> </w:t>
      </w:r>
      <w:r w:rsidR="00F32B28" w:rsidRPr="00F32B28">
        <w:rPr>
          <w:rtl/>
        </w:rPr>
        <w:t>وعلى</w:t>
      </w:r>
      <w:r w:rsidR="00F32B28">
        <w:rPr>
          <w:rtl/>
        </w:rPr>
        <w:t xml:space="preserve"> </w:t>
      </w:r>
      <w:r w:rsidR="00F32B28" w:rsidRPr="00F32B28">
        <w:rPr>
          <w:rtl/>
        </w:rPr>
        <w:t>عكس</w:t>
      </w:r>
      <w:r w:rsidR="00F32B28">
        <w:rPr>
          <w:rtl/>
        </w:rPr>
        <w:t xml:space="preserve"> </w:t>
      </w:r>
      <w:r w:rsidR="00F32B28" w:rsidRPr="00F32B28">
        <w:rPr>
          <w:rtl/>
        </w:rPr>
        <w:t>تشريعات</w:t>
      </w:r>
      <w:r w:rsidR="00F32B28">
        <w:rPr>
          <w:rtl/>
        </w:rPr>
        <w:t xml:space="preserve"> </w:t>
      </w:r>
      <w:r w:rsidR="00F32B28" w:rsidRPr="00F32B28">
        <w:rPr>
          <w:rtl/>
        </w:rPr>
        <w:t>التقاعد</w:t>
      </w:r>
      <w:r w:rsidR="00F32B28">
        <w:rPr>
          <w:rtl/>
        </w:rPr>
        <w:t xml:space="preserve"> </w:t>
      </w:r>
      <w:r w:rsidR="00F32B28" w:rsidRPr="00F32B28">
        <w:rPr>
          <w:rtl/>
        </w:rPr>
        <w:t>الحكومية</w:t>
      </w:r>
      <w:r w:rsidR="00F32B28">
        <w:rPr>
          <w:rtl/>
        </w:rPr>
        <w:t xml:space="preserve"> </w:t>
      </w:r>
      <w:r w:rsidR="00F32B28" w:rsidRPr="00F32B28">
        <w:rPr>
          <w:rtl/>
        </w:rPr>
        <w:t>المعمول</w:t>
      </w:r>
      <w:r w:rsidR="00F32B28">
        <w:rPr>
          <w:rtl/>
        </w:rPr>
        <w:t xml:space="preserve"> </w:t>
      </w:r>
      <w:r w:rsidR="00F32B28" w:rsidRPr="00F32B28">
        <w:rPr>
          <w:rtl/>
        </w:rPr>
        <w:t>بها،</w:t>
      </w:r>
      <w:r w:rsidR="00F32B28">
        <w:rPr>
          <w:rtl/>
        </w:rPr>
        <w:t xml:space="preserve"> </w:t>
      </w:r>
      <w:r w:rsidR="00F32B28" w:rsidRPr="00F32B28">
        <w:rPr>
          <w:rtl/>
        </w:rPr>
        <w:t>لا</w:t>
      </w:r>
      <w:r w:rsidR="00F32B28">
        <w:rPr>
          <w:rtl/>
        </w:rPr>
        <w:t xml:space="preserve"> </w:t>
      </w:r>
      <w:r w:rsidR="00F32B28" w:rsidRPr="00F32B28">
        <w:rPr>
          <w:rtl/>
        </w:rPr>
        <w:t>يشترط</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بشأن</w:t>
      </w:r>
      <w:r w:rsidR="00F32B28">
        <w:rPr>
          <w:rtl/>
        </w:rPr>
        <w:t xml:space="preserve"> </w:t>
      </w:r>
      <w:r w:rsidR="00F32B28" w:rsidRPr="00F32B28">
        <w:rPr>
          <w:rtl/>
        </w:rPr>
        <w:t>الضمان</w:t>
      </w:r>
      <w:r w:rsidR="00F32B28">
        <w:rPr>
          <w:rtl/>
        </w:rPr>
        <w:t xml:space="preserve"> </w:t>
      </w:r>
      <w:r w:rsidR="00F32B28" w:rsidRPr="00F32B28">
        <w:rPr>
          <w:rtl/>
        </w:rPr>
        <w:t>الاجتماعي</w:t>
      </w:r>
      <w:r w:rsidR="00F32B28">
        <w:rPr>
          <w:rtl/>
        </w:rPr>
        <w:t xml:space="preserve"> </w:t>
      </w:r>
      <w:r w:rsidR="00F32B28" w:rsidRPr="00F32B28">
        <w:rPr>
          <w:rtl/>
        </w:rPr>
        <w:t>عجز</w:t>
      </w:r>
      <w:r w:rsidR="00F32B28">
        <w:rPr>
          <w:rtl/>
        </w:rPr>
        <w:t xml:space="preserve"> </w:t>
      </w:r>
      <w:r w:rsidR="00F32B28" w:rsidRPr="00F32B28">
        <w:rPr>
          <w:rtl/>
        </w:rPr>
        <w:t>الزوج</w:t>
      </w:r>
      <w:r w:rsidR="00F32B28">
        <w:rPr>
          <w:rtl/>
        </w:rPr>
        <w:t xml:space="preserve"> </w:t>
      </w:r>
      <w:r w:rsidR="00F32B28" w:rsidRPr="00F32B28">
        <w:rPr>
          <w:rtl/>
        </w:rPr>
        <w:t>وعدم</w:t>
      </w:r>
      <w:r w:rsidR="00F32B28">
        <w:rPr>
          <w:rtl/>
        </w:rPr>
        <w:t xml:space="preserve"> </w:t>
      </w:r>
      <w:r w:rsidR="00F32B28" w:rsidRPr="00F32B28">
        <w:rPr>
          <w:rtl/>
        </w:rPr>
        <w:t>قدرته</w:t>
      </w:r>
      <w:r w:rsidR="00F32B28">
        <w:rPr>
          <w:rtl/>
        </w:rPr>
        <w:t xml:space="preserve"> </w:t>
      </w:r>
      <w:r w:rsidR="00F32B28" w:rsidRPr="00F32B28">
        <w:rPr>
          <w:rtl/>
        </w:rPr>
        <w:t>على</w:t>
      </w:r>
      <w:r w:rsidR="00F32B28">
        <w:rPr>
          <w:rtl/>
        </w:rPr>
        <w:t xml:space="preserve"> </w:t>
      </w:r>
      <w:r w:rsidR="00F32B28" w:rsidRPr="00F32B28">
        <w:rPr>
          <w:rtl/>
        </w:rPr>
        <w:t>الكسب</w:t>
      </w:r>
      <w:r w:rsidR="00F32B28">
        <w:rPr>
          <w:rtl/>
        </w:rPr>
        <w:t xml:space="preserve"> </w:t>
      </w:r>
      <w:r w:rsidR="00F32B28" w:rsidRPr="00F32B28">
        <w:rPr>
          <w:rtl/>
        </w:rPr>
        <w:t>ليكون</w:t>
      </w:r>
      <w:r w:rsidR="00F32B28">
        <w:rPr>
          <w:rtl/>
        </w:rPr>
        <w:t xml:space="preserve"> </w:t>
      </w:r>
      <w:r w:rsidR="00F32B28" w:rsidRPr="00F32B28">
        <w:rPr>
          <w:rtl/>
        </w:rPr>
        <w:t>من</w:t>
      </w:r>
      <w:r w:rsidR="00F32B28">
        <w:rPr>
          <w:rtl/>
        </w:rPr>
        <w:t xml:space="preserve"> </w:t>
      </w:r>
      <w:r w:rsidR="00F32B28" w:rsidRPr="00F32B28">
        <w:rPr>
          <w:rtl/>
        </w:rPr>
        <w:t>بين</w:t>
      </w:r>
      <w:r w:rsidR="00F32B28">
        <w:rPr>
          <w:rtl/>
        </w:rPr>
        <w:t xml:space="preserve"> </w:t>
      </w:r>
      <w:r w:rsidR="00F32B28" w:rsidRPr="00F32B28">
        <w:rPr>
          <w:rtl/>
        </w:rPr>
        <w:t>الورثة</w:t>
      </w:r>
      <w:r w:rsidR="00F32B28">
        <w:rPr>
          <w:rtl/>
        </w:rPr>
        <w:t xml:space="preserve"> </w:t>
      </w:r>
      <w:r w:rsidR="00F32B28" w:rsidRPr="00F32B28">
        <w:rPr>
          <w:rtl/>
        </w:rPr>
        <w:t>المستحقين</w:t>
      </w:r>
      <w:r w:rsidR="00F32B28">
        <w:rPr>
          <w:rtl/>
        </w:rPr>
        <w:t xml:space="preserve"> </w:t>
      </w:r>
      <w:r w:rsidR="00F32B28" w:rsidRPr="00F32B28">
        <w:rPr>
          <w:rtl/>
        </w:rPr>
        <w:t>للراتب</w:t>
      </w:r>
      <w:r w:rsidR="00F32B28">
        <w:rPr>
          <w:rtl/>
        </w:rPr>
        <w:t xml:space="preserve"> </w:t>
      </w:r>
      <w:r w:rsidR="00F32B28" w:rsidRPr="00F32B28">
        <w:rPr>
          <w:rtl/>
        </w:rPr>
        <w:t>التقاعدي</w:t>
      </w:r>
      <w:r w:rsidR="00F32B28">
        <w:rPr>
          <w:rtl/>
        </w:rPr>
        <w:t xml:space="preserve"> </w:t>
      </w:r>
      <w:r w:rsidR="00F32B28" w:rsidRPr="00F32B28">
        <w:rPr>
          <w:rtl/>
        </w:rPr>
        <w:t>لزوجته</w:t>
      </w:r>
      <w:r w:rsidR="00F32B28">
        <w:rPr>
          <w:rtl/>
        </w:rPr>
        <w:t xml:space="preserve"> </w:t>
      </w:r>
      <w:r w:rsidR="00F32B28" w:rsidRPr="00F32B28">
        <w:rPr>
          <w:rtl/>
        </w:rPr>
        <w:t>المتوفاة.</w:t>
      </w:r>
      <w:r w:rsidR="00F32B28">
        <w:rPr>
          <w:rtl/>
        </w:rPr>
        <w:t xml:space="preserve"> </w:t>
      </w:r>
    </w:p>
    <w:p w:rsidR="00F32B28" w:rsidRPr="00F32B28" w:rsidRDefault="00D652E9" w:rsidP="00D652E9">
      <w:pPr>
        <w:pStyle w:val="SingleTxt"/>
        <w:rPr>
          <w:rtl/>
        </w:rPr>
      </w:pPr>
      <w:r>
        <w:rPr>
          <w:rFonts w:hint="cs"/>
          <w:rtl/>
        </w:rPr>
        <w:t xml:space="preserve">215 - </w:t>
      </w:r>
      <w:r w:rsidR="00F32B28" w:rsidRPr="00F32B28">
        <w:rPr>
          <w:rtl/>
        </w:rPr>
        <w:t>كما</w:t>
      </w:r>
      <w:r w:rsidR="00F32B28">
        <w:rPr>
          <w:rtl/>
        </w:rPr>
        <w:t xml:space="preserve"> </w:t>
      </w:r>
      <w:r w:rsidR="00F32B28" w:rsidRPr="00F32B28">
        <w:rPr>
          <w:rtl/>
        </w:rPr>
        <w:t>ويمنح</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بشأن</w:t>
      </w:r>
      <w:r w:rsidR="00F32B28">
        <w:rPr>
          <w:rtl/>
        </w:rPr>
        <w:t xml:space="preserve"> </w:t>
      </w:r>
      <w:r w:rsidR="00F32B28" w:rsidRPr="00F32B28">
        <w:rPr>
          <w:rtl/>
        </w:rPr>
        <w:t>الضمان</w:t>
      </w:r>
      <w:r w:rsidR="00F32B28">
        <w:rPr>
          <w:rtl/>
        </w:rPr>
        <w:t xml:space="preserve"> </w:t>
      </w:r>
      <w:r w:rsidR="00F32B28" w:rsidRPr="00F32B28">
        <w:rPr>
          <w:rtl/>
        </w:rPr>
        <w:t>الاجتماعي</w:t>
      </w:r>
      <w:r w:rsidR="00F32B28">
        <w:rPr>
          <w:rtl/>
        </w:rPr>
        <w:t xml:space="preserve"> </w:t>
      </w:r>
      <w:r w:rsidR="00F32B28" w:rsidRPr="00F32B28">
        <w:rPr>
          <w:rtl/>
        </w:rPr>
        <w:t>النساء</w:t>
      </w:r>
      <w:r w:rsidR="00F32B28">
        <w:rPr>
          <w:rtl/>
        </w:rPr>
        <w:t xml:space="preserve"> </w:t>
      </w:r>
      <w:r w:rsidR="00F32B28" w:rsidRPr="00F32B28">
        <w:rPr>
          <w:rtl/>
        </w:rPr>
        <w:t>المشمولات</w:t>
      </w:r>
      <w:r w:rsidR="00F32B28">
        <w:rPr>
          <w:rtl/>
        </w:rPr>
        <w:t xml:space="preserve"> </w:t>
      </w:r>
      <w:r w:rsidR="00F32B28" w:rsidRPr="00F32B28">
        <w:rPr>
          <w:rtl/>
        </w:rPr>
        <w:t>بأحكامه</w:t>
      </w:r>
      <w:r w:rsidR="00F32B28">
        <w:rPr>
          <w:rtl/>
        </w:rPr>
        <w:t xml:space="preserve"> </w:t>
      </w:r>
      <w:r w:rsidR="00F32B28" w:rsidRPr="00F32B28">
        <w:rPr>
          <w:rtl/>
        </w:rPr>
        <w:t>إجازة</w:t>
      </w:r>
      <w:r w:rsidR="00F32B28">
        <w:rPr>
          <w:rtl/>
        </w:rPr>
        <w:t xml:space="preserve"> </w:t>
      </w:r>
      <w:r w:rsidR="00F32B28" w:rsidRPr="00F32B28">
        <w:rPr>
          <w:rtl/>
        </w:rPr>
        <w:t>أمومة</w:t>
      </w:r>
      <w:r w:rsidR="00F32B28">
        <w:rPr>
          <w:rtl/>
        </w:rPr>
        <w:t xml:space="preserve"> </w:t>
      </w:r>
      <w:r w:rsidR="00F32B28" w:rsidRPr="00F32B28">
        <w:rPr>
          <w:rtl/>
        </w:rPr>
        <w:t>لمدة</w:t>
      </w:r>
      <w:r w:rsidR="00F32B28">
        <w:rPr>
          <w:rtl/>
        </w:rPr>
        <w:t xml:space="preserve"> </w:t>
      </w:r>
      <w:r w:rsidR="00F32B28" w:rsidRPr="00F32B28">
        <w:rPr>
          <w:rtl/>
        </w:rPr>
        <w:t>اثني</w:t>
      </w:r>
      <w:r w:rsidR="00F32B28">
        <w:rPr>
          <w:rtl/>
        </w:rPr>
        <w:t xml:space="preserve"> </w:t>
      </w:r>
      <w:r w:rsidR="00F32B28" w:rsidRPr="00F32B28">
        <w:rPr>
          <w:rtl/>
        </w:rPr>
        <w:t>عشر</w:t>
      </w:r>
      <w:r w:rsidR="00F32B28">
        <w:rPr>
          <w:rtl/>
        </w:rPr>
        <w:t xml:space="preserve"> </w:t>
      </w:r>
      <w:r w:rsidR="00F32B28" w:rsidRPr="00F32B28">
        <w:rPr>
          <w:rtl/>
        </w:rPr>
        <w:t>أسبوعاً</w:t>
      </w:r>
      <w:r w:rsidR="00F32B28">
        <w:rPr>
          <w:rtl/>
        </w:rPr>
        <w:t xml:space="preserve"> </w:t>
      </w:r>
      <w:r w:rsidR="00F32B28" w:rsidRPr="00F32B28">
        <w:rPr>
          <w:rtl/>
        </w:rPr>
        <w:t>مدفوعة</w:t>
      </w:r>
      <w:r w:rsidR="00F32B28">
        <w:rPr>
          <w:rtl/>
        </w:rPr>
        <w:t xml:space="preserve"> </w:t>
      </w:r>
      <w:r w:rsidR="00F32B28" w:rsidRPr="00F32B28">
        <w:rPr>
          <w:rtl/>
        </w:rPr>
        <w:t>الأجر؛</w:t>
      </w:r>
      <w:r w:rsidR="00F32B28">
        <w:rPr>
          <w:rtl/>
        </w:rPr>
        <w:t xml:space="preserve"> </w:t>
      </w:r>
      <w:r w:rsidR="00F32B28" w:rsidRPr="00F32B28">
        <w:rPr>
          <w:rtl/>
        </w:rPr>
        <w:t>لا</w:t>
      </w:r>
      <w:r w:rsidR="00F32B28">
        <w:rPr>
          <w:rtl/>
        </w:rPr>
        <w:t xml:space="preserve"> </w:t>
      </w:r>
      <w:r w:rsidR="00F32B28" w:rsidRPr="00F32B28">
        <w:rPr>
          <w:rtl/>
        </w:rPr>
        <w:t>تزيد</w:t>
      </w:r>
      <w:r w:rsidR="00F32B28">
        <w:rPr>
          <w:rtl/>
        </w:rPr>
        <w:t xml:space="preserve"> </w:t>
      </w:r>
      <w:r w:rsidR="00F32B28" w:rsidRPr="00F32B28">
        <w:rPr>
          <w:rtl/>
        </w:rPr>
        <w:t>مدتها</w:t>
      </w:r>
      <w:r w:rsidR="00F32B28">
        <w:rPr>
          <w:rtl/>
        </w:rPr>
        <w:t xml:space="preserve"> </w:t>
      </w:r>
      <w:r w:rsidR="00F32B28" w:rsidRPr="00F32B28">
        <w:rPr>
          <w:rtl/>
        </w:rPr>
        <w:t>على</w:t>
      </w:r>
      <w:r w:rsidR="00F32B28">
        <w:rPr>
          <w:rtl/>
        </w:rPr>
        <w:t xml:space="preserve"> </w:t>
      </w:r>
      <w:r w:rsidR="00F32B28" w:rsidRPr="00F32B28">
        <w:rPr>
          <w:rtl/>
        </w:rPr>
        <w:t>خمسة</w:t>
      </w:r>
      <w:r w:rsidR="00F32B28">
        <w:rPr>
          <w:rtl/>
        </w:rPr>
        <w:t xml:space="preserve"> </w:t>
      </w:r>
      <w:r w:rsidR="00F32B28" w:rsidRPr="00F32B28">
        <w:rPr>
          <w:rtl/>
        </w:rPr>
        <w:t>أسابيع</w:t>
      </w:r>
      <w:r w:rsidR="00F32B28">
        <w:rPr>
          <w:rtl/>
        </w:rPr>
        <w:t xml:space="preserve"> </w:t>
      </w:r>
      <w:r w:rsidR="00F32B28" w:rsidRPr="00F32B28">
        <w:rPr>
          <w:rtl/>
        </w:rPr>
        <w:t>متصلة</w:t>
      </w:r>
      <w:r w:rsidR="00F32B28">
        <w:rPr>
          <w:rtl/>
        </w:rPr>
        <w:t xml:space="preserve"> </w:t>
      </w:r>
      <w:r w:rsidR="00F32B28" w:rsidRPr="00F32B28">
        <w:rPr>
          <w:rtl/>
        </w:rPr>
        <w:t>قبل</w:t>
      </w:r>
      <w:r w:rsidR="00F32B28">
        <w:rPr>
          <w:rtl/>
        </w:rPr>
        <w:t xml:space="preserve"> </w:t>
      </w:r>
      <w:r w:rsidR="00F32B28" w:rsidRPr="00F32B28">
        <w:rPr>
          <w:rtl/>
        </w:rPr>
        <w:t>الولادة،</w:t>
      </w:r>
      <w:r w:rsidR="00F32B28">
        <w:rPr>
          <w:rtl/>
        </w:rPr>
        <w:t xml:space="preserve"> </w:t>
      </w:r>
      <w:r w:rsidR="00F32B28" w:rsidRPr="00F32B28">
        <w:rPr>
          <w:rtl/>
        </w:rPr>
        <w:t>ولا</w:t>
      </w:r>
      <w:r w:rsidR="00F32B28">
        <w:rPr>
          <w:rtl/>
        </w:rPr>
        <w:t xml:space="preserve"> </w:t>
      </w:r>
      <w:r w:rsidR="00F32B28" w:rsidRPr="00F32B28">
        <w:rPr>
          <w:rtl/>
        </w:rPr>
        <w:t>تقل</w:t>
      </w:r>
      <w:r w:rsidR="00F32B28">
        <w:rPr>
          <w:rtl/>
        </w:rPr>
        <w:t xml:space="preserve"> </w:t>
      </w:r>
      <w:r w:rsidR="00F32B28" w:rsidRPr="00F32B28">
        <w:rPr>
          <w:rtl/>
        </w:rPr>
        <w:t>عن</w:t>
      </w:r>
      <w:r w:rsidR="00F32B28">
        <w:rPr>
          <w:rtl/>
        </w:rPr>
        <w:t xml:space="preserve"> </w:t>
      </w:r>
      <w:r w:rsidR="00F32B28" w:rsidRPr="00F32B28">
        <w:rPr>
          <w:rtl/>
        </w:rPr>
        <w:t>سبعة</w:t>
      </w:r>
      <w:r w:rsidR="00F32B28">
        <w:rPr>
          <w:rtl/>
        </w:rPr>
        <w:t xml:space="preserve"> </w:t>
      </w:r>
      <w:r w:rsidR="00F32B28" w:rsidRPr="00F32B28">
        <w:rPr>
          <w:rtl/>
        </w:rPr>
        <w:t>أسابيع</w:t>
      </w:r>
      <w:r w:rsidR="00F32B28">
        <w:rPr>
          <w:rtl/>
        </w:rPr>
        <w:t xml:space="preserve"> </w:t>
      </w:r>
      <w:r w:rsidR="00F32B28" w:rsidRPr="00F32B28">
        <w:rPr>
          <w:rtl/>
        </w:rPr>
        <w:t>بعد</w:t>
      </w:r>
      <w:r w:rsidR="00F32B28">
        <w:rPr>
          <w:rtl/>
        </w:rPr>
        <w:t xml:space="preserve"> </w:t>
      </w:r>
      <w:r w:rsidR="00F32B28" w:rsidRPr="00F32B28">
        <w:rPr>
          <w:rtl/>
        </w:rPr>
        <w:t>الولادة.</w:t>
      </w:r>
    </w:p>
    <w:p w:rsidR="00D652E9" w:rsidRPr="00D652E9" w:rsidRDefault="00D652E9" w:rsidP="00D652E9">
      <w:pPr>
        <w:pStyle w:val="SingleTxt"/>
        <w:spacing w:after="0" w:line="120" w:lineRule="exact"/>
        <w:rPr>
          <w:b/>
          <w:bCs/>
          <w:sz w:val="10"/>
          <w:rtl/>
        </w:rPr>
      </w:pPr>
    </w:p>
    <w:p w:rsidR="00F32B28" w:rsidRPr="00F32B28" w:rsidRDefault="00F32B28" w:rsidP="00F32B28">
      <w:pPr>
        <w:pStyle w:val="SingleTxt"/>
        <w:rPr>
          <w:b/>
          <w:bCs/>
          <w:rtl/>
        </w:rPr>
      </w:pPr>
      <w:r w:rsidRPr="00F32B28">
        <w:rPr>
          <w:b/>
          <w:bCs/>
          <w:rtl/>
        </w:rPr>
        <w:t>آليات</w:t>
      </w:r>
      <w:r>
        <w:rPr>
          <w:b/>
          <w:bCs/>
          <w:rtl/>
        </w:rPr>
        <w:t xml:space="preserve"> </w:t>
      </w:r>
      <w:r w:rsidRPr="00F32B28">
        <w:rPr>
          <w:b/>
          <w:bCs/>
          <w:rtl/>
        </w:rPr>
        <w:t>الرقابة</w:t>
      </w:r>
      <w:r>
        <w:rPr>
          <w:b/>
          <w:bCs/>
          <w:rtl/>
        </w:rPr>
        <w:t xml:space="preserve"> </w:t>
      </w:r>
      <w:r w:rsidRPr="00F32B28">
        <w:rPr>
          <w:b/>
          <w:bCs/>
          <w:rtl/>
        </w:rPr>
        <w:t>والمساءلة</w:t>
      </w:r>
    </w:p>
    <w:p w:rsidR="00F32B28" w:rsidRPr="00F32B28" w:rsidRDefault="00D652E9" w:rsidP="00D652E9">
      <w:pPr>
        <w:pStyle w:val="SingleTxt"/>
      </w:pPr>
      <w:r>
        <w:rPr>
          <w:rFonts w:hint="cs"/>
          <w:rtl/>
        </w:rPr>
        <w:t xml:space="preserve">216 - </w:t>
      </w:r>
      <w:r w:rsidR="00F32B28" w:rsidRPr="00F32B28">
        <w:rPr>
          <w:rtl/>
        </w:rPr>
        <w:t>بموجب</w:t>
      </w:r>
      <w:r w:rsidR="00F32B28">
        <w:rPr>
          <w:rtl/>
        </w:rPr>
        <w:t xml:space="preserve"> </w:t>
      </w:r>
      <w:r w:rsidR="00F32B28" w:rsidRPr="00F32B28">
        <w:rPr>
          <w:rtl/>
        </w:rPr>
        <w:t>قانون</w:t>
      </w:r>
      <w:r w:rsidR="00F32B28">
        <w:rPr>
          <w:rtl/>
        </w:rPr>
        <w:t xml:space="preserve"> </w:t>
      </w:r>
      <w:r w:rsidR="00F32B28" w:rsidRPr="00F32B28">
        <w:rPr>
          <w:rtl/>
        </w:rPr>
        <w:t>العمل،</w:t>
      </w:r>
      <w:r w:rsidR="00F32B28">
        <w:rPr>
          <w:rtl/>
        </w:rPr>
        <w:t xml:space="preserve"> </w:t>
      </w:r>
      <w:r w:rsidR="00F32B28" w:rsidRPr="00F32B28">
        <w:rPr>
          <w:rtl/>
        </w:rPr>
        <w:t>يمكن</w:t>
      </w:r>
      <w:r w:rsidR="00F32B28">
        <w:rPr>
          <w:rtl/>
        </w:rPr>
        <w:t xml:space="preserve"> </w:t>
      </w:r>
      <w:r w:rsidR="00F32B28" w:rsidRPr="00F32B28">
        <w:rPr>
          <w:rtl/>
        </w:rPr>
        <w:t>العاملة،</w:t>
      </w:r>
      <w:r w:rsidR="00F32B28">
        <w:rPr>
          <w:rtl/>
        </w:rPr>
        <w:t xml:space="preserve"> </w:t>
      </w:r>
      <w:r w:rsidR="00F32B28" w:rsidRPr="00F32B28">
        <w:rPr>
          <w:rtl/>
        </w:rPr>
        <w:t>كما</w:t>
      </w:r>
      <w:r w:rsidR="00F32B28">
        <w:rPr>
          <w:rtl/>
        </w:rPr>
        <w:t xml:space="preserve"> </w:t>
      </w:r>
      <w:r w:rsidR="00F32B28" w:rsidRPr="00F32B28">
        <w:rPr>
          <w:rtl/>
        </w:rPr>
        <w:t>العامل،</w:t>
      </w:r>
      <w:r w:rsidR="00F32B28">
        <w:rPr>
          <w:rtl/>
        </w:rPr>
        <w:t xml:space="preserve"> </w:t>
      </w:r>
      <w:r w:rsidR="00F32B28" w:rsidRPr="00F32B28">
        <w:rPr>
          <w:rtl/>
        </w:rPr>
        <w:t>التوجه</w:t>
      </w:r>
      <w:r w:rsidR="00F32B28">
        <w:rPr>
          <w:rtl/>
        </w:rPr>
        <w:t xml:space="preserve"> </w:t>
      </w:r>
      <w:r w:rsidR="00F32B28" w:rsidRPr="00F32B28">
        <w:rPr>
          <w:rtl/>
        </w:rPr>
        <w:t>إلى</w:t>
      </w:r>
      <w:r w:rsidR="00F32B28">
        <w:rPr>
          <w:rtl/>
        </w:rPr>
        <w:t xml:space="preserve"> </w:t>
      </w:r>
      <w:r w:rsidR="00F32B28" w:rsidRPr="00F32B28">
        <w:rPr>
          <w:rtl/>
        </w:rPr>
        <w:t>هيئة</w:t>
      </w:r>
      <w:r w:rsidR="00F32B28">
        <w:rPr>
          <w:rtl/>
        </w:rPr>
        <w:t xml:space="preserve"> </w:t>
      </w:r>
      <w:r w:rsidR="00F32B28" w:rsidRPr="00F32B28">
        <w:rPr>
          <w:rtl/>
        </w:rPr>
        <w:t>تفتيش</w:t>
      </w:r>
      <w:r w:rsidR="00F32B28">
        <w:rPr>
          <w:rtl/>
        </w:rPr>
        <w:t xml:space="preserve"> </w:t>
      </w:r>
      <w:r w:rsidR="00F32B28" w:rsidRPr="00F32B28">
        <w:rPr>
          <w:rtl/>
        </w:rPr>
        <w:t>العمل</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ارتكاب</w:t>
      </w:r>
      <w:r w:rsidR="00F32B28">
        <w:rPr>
          <w:rtl/>
        </w:rPr>
        <w:t xml:space="preserve"> </w:t>
      </w:r>
      <w:r w:rsidR="00F32B28" w:rsidRPr="00F32B28">
        <w:rPr>
          <w:rtl/>
        </w:rPr>
        <w:t>رب</w:t>
      </w:r>
      <w:r w:rsidR="00F32B28">
        <w:rPr>
          <w:rtl/>
        </w:rPr>
        <w:t xml:space="preserve"> </w:t>
      </w:r>
      <w:r w:rsidR="00F32B28" w:rsidRPr="00F32B28">
        <w:rPr>
          <w:rtl/>
        </w:rPr>
        <w:t>العمل</w:t>
      </w:r>
      <w:r w:rsidR="00F32B28">
        <w:rPr>
          <w:rtl/>
        </w:rPr>
        <w:t xml:space="preserve"> </w:t>
      </w:r>
      <w:r w:rsidR="00F32B28" w:rsidRPr="00F32B28">
        <w:rPr>
          <w:rtl/>
        </w:rPr>
        <w:t>لأية</w:t>
      </w:r>
      <w:r w:rsidR="00F32B28">
        <w:rPr>
          <w:rtl/>
        </w:rPr>
        <w:t xml:space="preserve"> </w:t>
      </w:r>
      <w:r w:rsidR="00F32B28" w:rsidRPr="00F32B28">
        <w:rPr>
          <w:rtl/>
        </w:rPr>
        <w:t>مخالفة</w:t>
      </w:r>
      <w:r w:rsidR="00F32B28">
        <w:rPr>
          <w:rtl/>
        </w:rPr>
        <w:t xml:space="preserve"> </w:t>
      </w:r>
      <w:r w:rsidR="00F32B28" w:rsidRPr="00F32B28">
        <w:rPr>
          <w:rtl/>
        </w:rPr>
        <w:t>لأحكام</w:t>
      </w:r>
      <w:r w:rsidR="00F32B28">
        <w:rPr>
          <w:rtl/>
        </w:rPr>
        <w:t xml:space="preserve"> </w:t>
      </w:r>
      <w:r w:rsidR="00F32B28" w:rsidRPr="00F32B28">
        <w:rPr>
          <w:rtl/>
        </w:rPr>
        <w:t>قانون</w:t>
      </w:r>
      <w:r w:rsidR="00F32B28">
        <w:rPr>
          <w:rtl/>
        </w:rPr>
        <w:t xml:space="preserve"> </w:t>
      </w:r>
      <w:r w:rsidR="00F32B28" w:rsidRPr="00F32B28">
        <w:rPr>
          <w:rtl/>
        </w:rPr>
        <w:t>العمل،</w:t>
      </w:r>
      <w:r w:rsidR="00F32B28">
        <w:rPr>
          <w:rtl/>
        </w:rPr>
        <w:t xml:space="preserve"> </w:t>
      </w:r>
      <w:r w:rsidR="00F32B28" w:rsidRPr="00F32B28">
        <w:rPr>
          <w:rtl/>
        </w:rPr>
        <w:t>وفي</w:t>
      </w:r>
      <w:r w:rsidR="00F32B28">
        <w:rPr>
          <w:rtl/>
        </w:rPr>
        <w:t xml:space="preserve"> </w:t>
      </w:r>
      <w:r w:rsidR="00F32B28" w:rsidRPr="00F32B28">
        <w:rPr>
          <w:rtl/>
        </w:rPr>
        <w:t>حال</w:t>
      </w:r>
      <w:r w:rsidR="00F32B28">
        <w:rPr>
          <w:rtl/>
        </w:rPr>
        <w:t xml:space="preserve"> </w:t>
      </w:r>
      <w:r w:rsidR="00F32B28" w:rsidRPr="00F32B28">
        <w:rPr>
          <w:rtl/>
        </w:rPr>
        <w:t>ثبوت</w:t>
      </w:r>
      <w:r w:rsidR="00F32B28">
        <w:rPr>
          <w:rtl/>
        </w:rPr>
        <w:t xml:space="preserve"> </w:t>
      </w:r>
      <w:r w:rsidR="00F32B28" w:rsidRPr="00F32B28">
        <w:rPr>
          <w:rtl/>
        </w:rPr>
        <w:t>هذه</w:t>
      </w:r>
      <w:r w:rsidR="00F32B28">
        <w:rPr>
          <w:rtl/>
        </w:rPr>
        <w:t xml:space="preserve"> </w:t>
      </w:r>
      <w:r w:rsidR="00F32B28" w:rsidRPr="00F32B28">
        <w:rPr>
          <w:rtl/>
        </w:rPr>
        <w:t>المخالفة،</w:t>
      </w:r>
      <w:r w:rsidR="00F32B28">
        <w:rPr>
          <w:rtl/>
        </w:rPr>
        <w:t xml:space="preserve"> </w:t>
      </w:r>
      <w:r w:rsidR="00F32B28" w:rsidRPr="00F32B28">
        <w:rPr>
          <w:rtl/>
        </w:rPr>
        <w:t>تفرض</w:t>
      </w:r>
      <w:r w:rsidR="00F32B28">
        <w:rPr>
          <w:rtl/>
        </w:rPr>
        <w:t xml:space="preserve"> </w:t>
      </w:r>
      <w:r w:rsidR="00F32B28" w:rsidRPr="00F32B28">
        <w:rPr>
          <w:rtl/>
        </w:rPr>
        <w:t>هذه</w:t>
      </w:r>
      <w:r w:rsidR="00F32B28">
        <w:rPr>
          <w:rtl/>
        </w:rPr>
        <w:t xml:space="preserve"> </w:t>
      </w:r>
      <w:r w:rsidR="00F32B28" w:rsidRPr="00F32B28">
        <w:rPr>
          <w:rtl/>
        </w:rPr>
        <w:t>الهيئة</w:t>
      </w:r>
      <w:r w:rsidR="00F32B28">
        <w:rPr>
          <w:rtl/>
        </w:rPr>
        <w:t xml:space="preserve"> </w:t>
      </w:r>
      <w:r w:rsidR="00F32B28" w:rsidRPr="00F32B28">
        <w:rPr>
          <w:rtl/>
        </w:rPr>
        <w:t>على</w:t>
      </w:r>
      <w:r w:rsidR="00F32B28">
        <w:rPr>
          <w:rtl/>
        </w:rPr>
        <w:t xml:space="preserve"> </w:t>
      </w:r>
      <w:r w:rsidR="00F32B28" w:rsidRPr="00F32B28">
        <w:rPr>
          <w:rtl/>
        </w:rPr>
        <w:t>رب</w:t>
      </w:r>
      <w:r w:rsidR="00F32B28">
        <w:rPr>
          <w:rtl/>
        </w:rPr>
        <w:t xml:space="preserve"> </w:t>
      </w:r>
      <w:r w:rsidR="00F32B28" w:rsidRPr="00F32B28">
        <w:rPr>
          <w:rtl/>
        </w:rPr>
        <w:t>العمل</w:t>
      </w:r>
      <w:r w:rsidR="00F32B28">
        <w:rPr>
          <w:rtl/>
        </w:rPr>
        <w:t xml:space="preserve"> </w:t>
      </w:r>
      <w:r w:rsidR="00F32B28" w:rsidRPr="00F32B28">
        <w:rPr>
          <w:rtl/>
        </w:rPr>
        <w:t>المخالف</w:t>
      </w:r>
      <w:r w:rsidR="00F32B28">
        <w:rPr>
          <w:rtl/>
        </w:rPr>
        <w:t xml:space="preserve"> </w:t>
      </w:r>
      <w:r w:rsidR="00F32B28" w:rsidRPr="00F32B28">
        <w:rPr>
          <w:rtl/>
        </w:rPr>
        <w:t>عقوبات</w:t>
      </w:r>
      <w:r w:rsidR="00F32B28">
        <w:rPr>
          <w:rtl/>
        </w:rPr>
        <w:t xml:space="preserve"> </w:t>
      </w:r>
      <w:r w:rsidR="00F32B28" w:rsidRPr="00F32B28">
        <w:rPr>
          <w:rtl/>
        </w:rPr>
        <w:t>مالية</w:t>
      </w:r>
      <w:r w:rsidR="00F32B28">
        <w:rPr>
          <w:rtl/>
        </w:rPr>
        <w:t xml:space="preserve"> </w:t>
      </w:r>
      <w:r w:rsidR="00F32B28" w:rsidRPr="00F32B28">
        <w:rPr>
          <w:rtl/>
        </w:rPr>
        <w:t>تتضاعف</w:t>
      </w:r>
      <w:r w:rsidR="00F32B28">
        <w:rPr>
          <w:rtl/>
        </w:rPr>
        <w:t xml:space="preserve"> </w:t>
      </w:r>
      <w:r w:rsidR="00F32B28" w:rsidRPr="00F32B28">
        <w:rPr>
          <w:rtl/>
        </w:rPr>
        <w:t>كلما</w:t>
      </w:r>
      <w:r w:rsidR="00F32B28">
        <w:rPr>
          <w:rtl/>
        </w:rPr>
        <w:t xml:space="preserve"> </w:t>
      </w:r>
      <w:r w:rsidR="00F32B28" w:rsidRPr="00F32B28">
        <w:rPr>
          <w:rtl/>
        </w:rPr>
        <w:t>تكررت</w:t>
      </w:r>
      <w:r w:rsidR="00F32B28">
        <w:rPr>
          <w:rtl/>
        </w:rPr>
        <w:t xml:space="preserve"> </w:t>
      </w:r>
      <w:r w:rsidR="00F32B28" w:rsidRPr="00F32B28">
        <w:rPr>
          <w:rtl/>
        </w:rPr>
        <w:t>المخالفة،</w:t>
      </w:r>
      <w:r w:rsidR="00F32B28">
        <w:rPr>
          <w:rtl/>
        </w:rPr>
        <w:t xml:space="preserve"> </w:t>
      </w:r>
      <w:r w:rsidR="00F32B28" w:rsidRPr="00F32B28">
        <w:rPr>
          <w:rtl/>
        </w:rPr>
        <w:t>أو</w:t>
      </w:r>
      <w:r w:rsidR="00F32B28">
        <w:rPr>
          <w:rtl/>
        </w:rPr>
        <w:t xml:space="preserve"> </w:t>
      </w:r>
      <w:r w:rsidR="00F32B28" w:rsidRPr="00F32B28">
        <w:rPr>
          <w:rtl/>
        </w:rPr>
        <w:t>تلزمه</w:t>
      </w:r>
      <w:r w:rsidR="00F32B28">
        <w:rPr>
          <w:rtl/>
        </w:rPr>
        <w:t xml:space="preserve"> </w:t>
      </w:r>
      <w:r w:rsidR="00F32B28" w:rsidRPr="00F32B28">
        <w:rPr>
          <w:rtl/>
        </w:rPr>
        <w:t>بدفع</w:t>
      </w:r>
      <w:r w:rsidR="00F32B28">
        <w:rPr>
          <w:rtl/>
        </w:rPr>
        <w:t xml:space="preserve"> </w:t>
      </w:r>
      <w:r w:rsidR="00F32B28" w:rsidRPr="00F32B28">
        <w:rPr>
          <w:rtl/>
        </w:rPr>
        <w:t>فرق</w:t>
      </w:r>
      <w:r w:rsidR="00F32B28">
        <w:rPr>
          <w:rtl/>
        </w:rPr>
        <w:t xml:space="preserve"> </w:t>
      </w:r>
      <w:r w:rsidR="00F32B28" w:rsidRPr="00F32B28">
        <w:rPr>
          <w:rtl/>
        </w:rPr>
        <w:t>الأجر</w:t>
      </w:r>
      <w:r w:rsidR="00F32B28">
        <w:rPr>
          <w:rtl/>
        </w:rPr>
        <w:t xml:space="preserve"> </w:t>
      </w:r>
      <w:r w:rsidR="00F32B28" w:rsidRPr="00F32B28">
        <w:rPr>
          <w:rtl/>
        </w:rPr>
        <w:t>للعاملة،</w:t>
      </w:r>
      <w:r w:rsidR="00F32B28">
        <w:rPr>
          <w:rtl/>
        </w:rPr>
        <w:t xml:space="preserve"> </w:t>
      </w:r>
      <w:r w:rsidR="00F32B28" w:rsidRPr="00F32B28">
        <w:rPr>
          <w:rtl/>
        </w:rPr>
        <w:t>أو</w:t>
      </w:r>
      <w:r w:rsidR="00F32B28">
        <w:rPr>
          <w:rtl/>
        </w:rPr>
        <w:t xml:space="preserve"> </w:t>
      </w:r>
      <w:r w:rsidR="00F32B28" w:rsidRPr="00F32B28">
        <w:rPr>
          <w:rtl/>
        </w:rPr>
        <w:t>تقوم</w:t>
      </w:r>
      <w:r w:rsidR="00F32B28">
        <w:rPr>
          <w:rtl/>
        </w:rPr>
        <w:t xml:space="preserve"> </w:t>
      </w:r>
      <w:r w:rsidR="00F32B28" w:rsidRPr="00F32B28">
        <w:rPr>
          <w:rtl/>
        </w:rPr>
        <w:t>بإغلاق</w:t>
      </w:r>
      <w:r w:rsidR="00F32B28">
        <w:rPr>
          <w:rtl/>
        </w:rPr>
        <w:t xml:space="preserve"> </w:t>
      </w:r>
      <w:r w:rsidR="00F32B28" w:rsidRPr="00F32B28">
        <w:rPr>
          <w:rtl/>
        </w:rPr>
        <w:t>مكان</w:t>
      </w:r>
      <w:r w:rsidR="00F32B28">
        <w:rPr>
          <w:rtl/>
        </w:rPr>
        <w:t xml:space="preserve"> </w:t>
      </w:r>
      <w:r w:rsidR="00F32B28" w:rsidRPr="00F32B28">
        <w:rPr>
          <w:rtl/>
        </w:rPr>
        <w:t>العمل</w:t>
      </w:r>
      <w:r w:rsidR="00F32B28">
        <w:rPr>
          <w:rtl/>
        </w:rPr>
        <w:t xml:space="preserve"> </w:t>
      </w:r>
      <w:r w:rsidR="00F32B28" w:rsidRPr="00F32B28">
        <w:rPr>
          <w:rtl/>
        </w:rPr>
        <w:t>كلياً</w:t>
      </w:r>
      <w:r w:rsidR="00F32B28">
        <w:rPr>
          <w:rtl/>
        </w:rPr>
        <w:t xml:space="preserve"> </w:t>
      </w:r>
      <w:r w:rsidR="00F32B28" w:rsidRPr="00F32B28">
        <w:rPr>
          <w:rtl/>
        </w:rPr>
        <w:t>أو</w:t>
      </w:r>
      <w:r w:rsidR="00F32B28">
        <w:rPr>
          <w:rtl/>
        </w:rPr>
        <w:t xml:space="preserve"> </w:t>
      </w:r>
      <w:r w:rsidR="00F32B28" w:rsidRPr="00F32B28">
        <w:rPr>
          <w:rtl/>
        </w:rPr>
        <w:t>جزئياً.</w:t>
      </w:r>
      <w:r w:rsidR="00F32B28">
        <w:rPr>
          <w:rtl/>
        </w:rPr>
        <w:t xml:space="preserve"> </w:t>
      </w:r>
      <w:r w:rsidR="00F32B28" w:rsidRPr="00F32B28">
        <w:rPr>
          <w:rtl/>
        </w:rPr>
        <w:t>كما</w:t>
      </w:r>
      <w:r w:rsidR="00F32B28">
        <w:rPr>
          <w:rtl/>
        </w:rPr>
        <w:t xml:space="preserve"> </w:t>
      </w:r>
      <w:r w:rsidR="00F32B28" w:rsidRPr="00F32B28">
        <w:rPr>
          <w:rtl/>
        </w:rPr>
        <w:t>يمكن</w:t>
      </w:r>
      <w:r w:rsidR="00F32B28">
        <w:rPr>
          <w:rtl/>
        </w:rPr>
        <w:t xml:space="preserve"> </w:t>
      </w:r>
      <w:r w:rsidR="00F32B28" w:rsidRPr="00F32B28">
        <w:rPr>
          <w:rtl/>
        </w:rPr>
        <w:t>للمرأة</w:t>
      </w:r>
      <w:r w:rsidR="00F32B28">
        <w:rPr>
          <w:rtl/>
        </w:rPr>
        <w:t xml:space="preserve"> </w:t>
      </w:r>
      <w:r w:rsidR="00F32B28" w:rsidRPr="00F32B28">
        <w:rPr>
          <w:rtl/>
        </w:rPr>
        <w:t>العاملة</w:t>
      </w:r>
      <w:r w:rsidR="00F32B28">
        <w:rPr>
          <w:rtl/>
        </w:rPr>
        <w:t xml:space="preserve"> </w:t>
      </w:r>
      <w:r w:rsidR="00F32B28" w:rsidRPr="00F32B28">
        <w:rPr>
          <w:rtl/>
        </w:rPr>
        <w:t>التوجه</w:t>
      </w:r>
      <w:r w:rsidR="00F32B28">
        <w:rPr>
          <w:rtl/>
        </w:rPr>
        <w:t xml:space="preserve"> </w:t>
      </w:r>
      <w:r w:rsidR="00F32B28" w:rsidRPr="00F32B28">
        <w:rPr>
          <w:rtl/>
        </w:rPr>
        <w:t>إلى</w:t>
      </w:r>
      <w:r w:rsidR="00F32B28">
        <w:rPr>
          <w:rtl/>
        </w:rPr>
        <w:t xml:space="preserve"> </w:t>
      </w:r>
      <w:r w:rsidR="00F32B28" w:rsidRPr="00F32B28">
        <w:rPr>
          <w:rtl/>
        </w:rPr>
        <w:t>المحاكم</w:t>
      </w:r>
      <w:r w:rsidR="00F32B28">
        <w:rPr>
          <w:rtl/>
        </w:rPr>
        <w:t xml:space="preserve"> </w:t>
      </w:r>
      <w:r w:rsidR="00F32B28" w:rsidRPr="00F32B28">
        <w:rPr>
          <w:rtl/>
        </w:rPr>
        <w:t>النظامية</w:t>
      </w:r>
      <w:r w:rsidR="00F32B28">
        <w:rPr>
          <w:rtl/>
        </w:rPr>
        <w:t xml:space="preserve"> </w:t>
      </w:r>
      <w:r w:rsidR="00F32B28" w:rsidRPr="00F32B28">
        <w:rPr>
          <w:rtl/>
        </w:rPr>
        <w:t>للمطالبة</w:t>
      </w:r>
      <w:r w:rsidR="00F32B28">
        <w:rPr>
          <w:rtl/>
        </w:rPr>
        <w:t xml:space="preserve"> </w:t>
      </w:r>
      <w:r w:rsidR="00F32B28" w:rsidRPr="00F32B28">
        <w:rPr>
          <w:rtl/>
        </w:rPr>
        <w:t>بحقوقها</w:t>
      </w:r>
      <w:r w:rsidR="00F32B28">
        <w:rPr>
          <w:rtl/>
        </w:rPr>
        <w:t xml:space="preserve"> </w:t>
      </w:r>
      <w:r w:rsidR="00F32B28" w:rsidRPr="00F32B28">
        <w:rPr>
          <w:rtl/>
        </w:rPr>
        <w:t>العمالية</w:t>
      </w:r>
      <w:r w:rsidR="00F32B28">
        <w:rPr>
          <w:rtl/>
        </w:rPr>
        <w:t xml:space="preserve"> </w:t>
      </w:r>
      <w:r w:rsidR="00F32B28" w:rsidRPr="00F32B28">
        <w:rPr>
          <w:rtl/>
        </w:rPr>
        <w:t>وعن</w:t>
      </w:r>
      <w:r w:rsidR="00F32B28">
        <w:rPr>
          <w:rtl/>
        </w:rPr>
        <w:t xml:space="preserve"> </w:t>
      </w:r>
      <w:r w:rsidR="00F32B28" w:rsidRPr="00F32B28">
        <w:rPr>
          <w:rtl/>
        </w:rPr>
        <w:t>أي</w:t>
      </w:r>
      <w:r w:rsidR="00F32B28">
        <w:rPr>
          <w:rtl/>
        </w:rPr>
        <w:t xml:space="preserve"> </w:t>
      </w:r>
      <w:r w:rsidR="00F32B28" w:rsidRPr="00F32B28">
        <w:rPr>
          <w:rtl/>
        </w:rPr>
        <w:t>تعويض</w:t>
      </w:r>
      <w:r w:rsidR="00F32B28">
        <w:rPr>
          <w:rtl/>
        </w:rPr>
        <w:t xml:space="preserve"> </w:t>
      </w:r>
      <w:r w:rsidR="00F32B28" w:rsidRPr="00F32B28">
        <w:rPr>
          <w:rtl/>
        </w:rPr>
        <w:t>عمالي،</w:t>
      </w:r>
      <w:r w:rsidR="00F32B28">
        <w:rPr>
          <w:rtl/>
        </w:rPr>
        <w:t xml:space="preserve"> </w:t>
      </w:r>
      <w:r w:rsidR="00F32B28" w:rsidRPr="00F32B28">
        <w:rPr>
          <w:rtl/>
        </w:rPr>
        <w:t>خاصةً</w:t>
      </w:r>
      <w:r w:rsidR="00F32B28">
        <w:rPr>
          <w:rtl/>
        </w:rPr>
        <w:t xml:space="preserve"> </w:t>
      </w:r>
      <w:r w:rsidR="00F32B28" w:rsidRPr="00F32B28">
        <w:rPr>
          <w:rtl/>
        </w:rPr>
        <w:t>أن</w:t>
      </w:r>
      <w:r w:rsidR="00F32B28">
        <w:rPr>
          <w:rtl/>
        </w:rPr>
        <w:t xml:space="preserve"> </w:t>
      </w:r>
      <w:r w:rsidR="00F32B28" w:rsidRPr="00F32B28">
        <w:rPr>
          <w:rtl/>
        </w:rPr>
        <w:t>العمال</w:t>
      </w:r>
      <w:r w:rsidR="00F32B28">
        <w:rPr>
          <w:rtl/>
        </w:rPr>
        <w:t xml:space="preserve"> </w:t>
      </w:r>
      <w:r w:rsidR="00F32B28" w:rsidRPr="00F32B28">
        <w:rPr>
          <w:rtl/>
        </w:rPr>
        <w:t>جميعاً</w:t>
      </w:r>
      <w:r w:rsidR="00F32B28">
        <w:rPr>
          <w:rtl/>
        </w:rPr>
        <w:t xml:space="preserve"> </w:t>
      </w:r>
      <w:r w:rsidR="00F32B28" w:rsidRPr="00F32B28">
        <w:rPr>
          <w:rtl/>
        </w:rPr>
        <w:t>معفيين</w:t>
      </w:r>
      <w:r w:rsidR="00F32B28">
        <w:rPr>
          <w:rtl/>
        </w:rPr>
        <w:t xml:space="preserve"> </w:t>
      </w:r>
      <w:r w:rsidR="00F32B28" w:rsidRPr="00F32B28">
        <w:rPr>
          <w:rtl/>
        </w:rPr>
        <w:t>من</w:t>
      </w:r>
      <w:r w:rsidR="00F32B28">
        <w:rPr>
          <w:rtl/>
        </w:rPr>
        <w:t xml:space="preserve"> </w:t>
      </w:r>
      <w:r w:rsidR="00F32B28" w:rsidRPr="00F32B28">
        <w:rPr>
          <w:rtl/>
        </w:rPr>
        <w:t>الرسوم</w:t>
      </w:r>
      <w:r w:rsidR="00F32B28">
        <w:rPr>
          <w:rtl/>
        </w:rPr>
        <w:t xml:space="preserve"> </w:t>
      </w:r>
      <w:r w:rsidR="00F32B28" w:rsidRPr="00F32B28">
        <w:rPr>
          <w:rtl/>
        </w:rPr>
        <w:t>القضائية</w:t>
      </w:r>
      <w:r w:rsidR="00F32B28">
        <w:rPr>
          <w:rtl/>
        </w:rPr>
        <w:t xml:space="preserve"> </w:t>
      </w:r>
      <w:r w:rsidR="00F32B28" w:rsidRPr="00F32B28">
        <w:rPr>
          <w:rtl/>
        </w:rPr>
        <w:t>في</w:t>
      </w:r>
      <w:r w:rsidR="00F32B28">
        <w:rPr>
          <w:rtl/>
        </w:rPr>
        <w:t xml:space="preserve"> </w:t>
      </w:r>
      <w:r w:rsidR="00F32B28" w:rsidRPr="00F32B28">
        <w:rPr>
          <w:rtl/>
        </w:rPr>
        <w:t>الدعاوى</w:t>
      </w:r>
      <w:r w:rsidR="00F32B28">
        <w:rPr>
          <w:rtl/>
        </w:rPr>
        <w:t xml:space="preserve"> </w:t>
      </w:r>
      <w:r w:rsidR="00F32B28" w:rsidRPr="00F32B28">
        <w:rPr>
          <w:rtl/>
        </w:rPr>
        <w:t>العمالية</w:t>
      </w:r>
      <w:r w:rsidR="00F32B28">
        <w:rPr>
          <w:rtl/>
        </w:rPr>
        <w:t xml:space="preserve"> </w:t>
      </w:r>
      <w:r w:rsidR="00F32B28" w:rsidRPr="00F32B28">
        <w:rPr>
          <w:rtl/>
        </w:rPr>
        <w:t>التي</w:t>
      </w:r>
      <w:r w:rsidR="00F32B28">
        <w:rPr>
          <w:rtl/>
        </w:rPr>
        <w:t xml:space="preserve"> </w:t>
      </w:r>
      <w:r w:rsidR="00F32B28" w:rsidRPr="00F32B28">
        <w:rPr>
          <w:rtl/>
        </w:rPr>
        <w:t>يرفعونها</w:t>
      </w:r>
      <w:r w:rsidR="00F32B28">
        <w:rPr>
          <w:rtl/>
        </w:rPr>
        <w:t xml:space="preserve"> </w:t>
      </w:r>
      <w:r w:rsidR="00F32B28" w:rsidRPr="00F32B28">
        <w:rPr>
          <w:rtl/>
        </w:rPr>
        <w:t>نتيجة</w:t>
      </w:r>
      <w:r w:rsidR="00F32B28">
        <w:rPr>
          <w:rtl/>
        </w:rPr>
        <w:t xml:space="preserve"> </w:t>
      </w:r>
      <w:r w:rsidR="00F32B28" w:rsidRPr="00F32B28">
        <w:rPr>
          <w:rtl/>
        </w:rPr>
        <w:t>نزاع</w:t>
      </w:r>
      <w:r w:rsidR="00F32B28">
        <w:rPr>
          <w:rtl/>
        </w:rPr>
        <w:t xml:space="preserve"> </w:t>
      </w:r>
      <w:r w:rsidR="00F32B28" w:rsidRPr="00F32B28">
        <w:rPr>
          <w:rtl/>
        </w:rPr>
        <w:t>يتعلق</w:t>
      </w:r>
      <w:r w:rsidR="00F32B28">
        <w:rPr>
          <w:rtl/>
        </w:rPr>
        <w:t xml:space="preserve"> </w:t>
      </w:r>
      <w:r w:rsidR="00F32B28" w:rsidRPr="00F32B28">
        <w:rPr>
          <w:rtl/>
        </w:rPr>
        <w:t>بالأجور</w:t>
      </w:r>
      <w:r w:rsidR="00F32B28">
        <w:rPr>
          <w:rtl/>
        </w:rPr>
        <w:t xml:space="preserve"> </w:t>
      </w:r>
      <w:r w:rsidR="00F32B28" w:rsidRPr="00F32B28">
        <w:rPr>
          <w:rtl/>
        </w:rPr>
        <w:t>أو</w:t>
      </w:r>
      <w:r w:rsidR="00F32B28">
        <w:rPr>
          <w:rtl/>
        </w:rPr>
        <w:t xml:space="preserve"> </w:t>
      </w:r>
      <w:r w:rsidR="00F32B28" w:rsidRPr="00F32B28">
        <w:rPr>
          <w:rtl/>
        </w:rPr>
        <w:t>الإجازات</w:t>
      </w:r>
      <w:r w:rsidR="00F32B28">
        <w:rPr>
          <w:rtl/>
        </w:rPr>
        <w:t xml:space="preserve"> </w:t>
      </w:r>
      <w:r w:rsidR="00F32B28" w:rsidRPr="00F32B28">
        <w:rPr>
          <w:rtl/>
        </w:rPr>
        <w:t>أو</w:t>
      </w:r>
      <w:r w:rsidR="00F32B28">
        <w:rPr>
          <w:rtl/>
        </w:rPr>
        <w:t xml:space="preserve"> </w:t>
      </w:r>
      <w:r w:rsidR="00F32B28" w:rsidRPr="00F32B28">
        <w:rPr>
          <w:rtl/>
        </w:rPr>
        <w:t>بمكافآت</w:t>
      </w:r>
      <w:r w:rsidR="00F32B28">
        <w:rPr>
          <w:rtl/>
        </w:rPr>
        <w:t xml:space="preserve"> </w:t>
      </w:r>
      <w:r w:rsidR="00F32B28" w:rsidRPr="00F32B28">
        <w:rPr>
          <w:rtl/>
        </w:rPr>
        <w:t>نهاية</w:t>
      </w:r>
      <w:r w:rsidR="00F32B28">
        <w:rPr>
          <w:rtl/>
        </w:rPr>
        <w:t xml:space="preserve"> </w:t>
      </w:r>
      <w:r w:rsidR="00F32B28" w:rsidRPr="00F32B28">
        <w:rPr>
          <w:rtl/>
        </w:rPr>
        <w:t>الخدمة</w:t>
      </w:r>
      <w:r w:rsidR="00F32B28">
        <w:rPr>
          <w:rtl/>
        </w:rPr>
        <w:t xml:space="preserve"> </w:t>
      </w:r>
      <w:r w:rsidR="00F32B28" w:rsidRPr="00F32B28">
        <w:rPr>
          <w:rtl/>
        </w:rPr>
        <w:t>أو</w:t>
      </w:r>
      <w:r w:rsidR="00F32B28">
        <w:rPr>
          <w:rtl/>
        </w:rPr>
        <w:t xml:space="preserve"> </w:t>
      </w:r>
      <w:r w:rsidR="00F32B28" w:rsidRPr="00F32B28">
        <w:rPr>
          <w:rtl/>
        </w:rPr>
        <w:t>بالتعويضات</w:t>
      </w:r>
      <w:r w:rsidR="00F32B28">
        <w:rPr>
          <w:rtl/>
        </w:rPr>
        <w:t xml:space="preserve"> </w:t>
      </w:r>
      <w:r w:rsidR="00F32B28" w:rsidRPr="00F32B28">
        <w:rPr>
          <w:rtl/>
        </w:rPr>
        <w:t>عن</w:t>
      </w:r>
      <w:r w:rsidR="00F32B28">
        <w:rPr>
          <w:rtl/>
        </w:rPr>
        <w:t xml:space="preserve"> </w:t>
      </w:r>
      <w:r w:rsidR="00F32B28" w:rsidRPr="00F32B28">
        <w:rPr>
          <w:rtl/>
        </w:rPr>
        <w:t>إصابة</w:t>
      </w:r>
      <w:r w:rsidR="00F32B28">
        <w:rPr>
          <w:rtl/>
        </w:rPr>
        <w:t xml:space="preserve"> </w:t>
      </w:r>
      <w:r w:rsidR="00F32B28" w:rsidRPr="00F32B28">
        <w:rPr>
          <w:rtl/>
        </w:rPr>
        <w:t>العمل</w:t>
      </w:r>
      <w:r w:rsidR="00F32B28">
        <w:rPr>
          <w:rtl/>
        </w:rPr>
        <w:t xml:space="preserve"> </w:t>
      </w:r>
      <w:r w:rsidR="00F32B28" w:rsidRPr="00F32B28">
        <w:rPr>
          <w:rtl/>
        </w:rPr>
        <w:t>أو</w:t>
      </w:r>
      <w:r w:rsidR="00F32B28">
        <w:rPr>
          <w:rtl/>
        </w:rPr>
        <w:t xml:space="preserve"> </w:t>
      </w:r>
      <w:r w:rsidR="00F32B28" w:rsidRPr="00F32B28">
        <w:rPr>
          <w:rtl/>
        </w:rPr>
        <w:t>بفصل</w:t>
      </w:r>
      <w:r w:rsidR="00F32B28">
        <w:rPr>
          <w:rtl/>
        </w:rPr>
        <w:t xml:space="preserve"> </w:t>
      </w:r>
      <w:r w:rsidR="00F32B28" w:rsidRPr="00F32B28">
        <w:rPr>
          <w:rtl/>
        </w:rPr>
        <w:t>العامل</w:t>
      </w:r>
      <w:r w:rsidR="00F32B28">
        <w:rPr>
          <w:rtl/>
        </w:rPr>
        <w:t xml:space="preserve"> </w:t>
      </w:r>
      <w:r w:rsidR="00F32B28" w:rsidRPr="00F32B28">
        <w:rPr>
          <w:rtl/>
        </w:rPr>
        <w:t>فصلاً</w:t>
      </w:r>
      <w:r w:rsidR="00F32B28">
        <w:rPr>
          <w:rtl/>
        </w:rPr>
        <w:t xml:space="preserve"> </w:t>
      </w:r>
      <w:r w:rsidR="00F32B28" w:rsidRPr="00F32B28">
        <w:rPr>
          <w:rtl/>
        </w:rPr>
        <w:t>تعسفياً.</w:t>
      </w:r>
      <w:r w:rsidR="00F32B28">
        <w:rPr>
          <w:rtl/>
        </w:rPr>
        <w:t xml:space="preserve"> </w:t>
      </w:r>
      <w:r w:rsidR="00F32B28" w:rsidRPr="00F32B28">
        <w:rPr>
          <w:rtl/>
        </w:rPr>
        <w:t>أما</w:t>
      </w:r>
      <w:r w:rsidR="00F32B28">
        <w:rPr>
          <w:rtl/>
        </w:rPr>
        <w:t xml:space="preserve"> </w:t>
      </w:r>
      <w:r w:rsidR="00F32B28" w:rsidRPr="00F32B28">
        <w:rPr>
          <w:rtl/>
        </w:rPr>
        <w:t>بالنسبة</w:t>
      </w:r>
      <w:r w:rsidR="00F32B28">
        <w:rPr>
          <w:rtl/>
        </w:rPr>
        <w:t xml:space="preserve"> </w:t>
      </w:r>
      <w:r w:rsidR="00F32B28" w:rsidRPr="00F32B28">
        <w:rPr>
          <w:rtl/>
        </w:rPr>
        <w:t>للقطاع</w:t>
      </w:r>
      <w:r w:rsidR="00F32B28">
        <w:rPr>
          <w:rtl/>
        </w:rPr>
        <w:t xml:space="preserve"> </w:t>
      </w:r>
      <w:r w:rsidR="00F32B28" w:rsidRPr="00F32B28">
        <w:rPr>
          <w:rtl/>
        </w:rPr>
        <w:t>الحكومي،</w:t>
      </w:r>
      <w:r w:rsidR="00F32B28">
        <w:rPr>
          <w:rtl/>
        </w:rPr>
        <w:t xml:space="preserve"> </w:t>
      </w:r>
      <w:r w:rsidR="00F32B28" w:rsidRPr="00F32B28">
        <w:rPr>
          <w:rtl/>
        </w:rPr>
        <w:t>فللموظفة</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التظلم</w:t>
      </w:r>
      <w:r w:rsidR="00F32B28">
        <w:rPr>
          <w:rtl/>
        </w:rPr>
        <w:t xml:space="preserve"> </w:t>
      </w:r>
      <w:r w:rsidR="00F32B28" w:rsidRPr="00F32B28">
        <w:rPr>
          <w:rtl/>
        </w:rPr>
        <w:t>من</w:t>
      </w:r>
      <w:r w:rsidR="00F32B28">
        <w:rPr>
          <w:rtl/>
        </w:rPr>
        <w:t xml:space="preserve"> </w:t>
      </w:r>
      <w:r w:rsidR="00F32B28" w:rsidRPr="00F32B28">
        <w:rPr>
          <w:rtl/>
        </w:rPr>
        <w:t>القرارات</w:t>
      </w:r>
      <w:r w:rsidR="00F32B28">
        <w:rPr>
          <w:rtl/>
        </w:rPr>
        <w:t xml:space="preserve"> </w:t>
      </w:r>
      <w:r w:rsidR="00F32B28" w:rsidRPr="00F32B28">
        <w:rPr>
          <w:rtl/>
        </w:rPr>
        <w:t>الإدارية</w:t>
      </w:r>
      <w:r w:rsidR="00F32B28">
        <w:rPr>
          <w:rtl/>
        </w:rPr>
        <w:t xml:space="preserve"> </w:t>
      </w:r>
      <w:r w:rsidR="00F32B28" w:rsidRPr="00F32B28">
        <w:rPr>
          <w:rtl/>
        </w:rPr>
        <w:t>التي</w:t>
      </w:r>
      <w:r w:rsidR="00F32B28">
        <w:rPr>
          <w:rtl/>
        </w:rPr>
        <w:t xml:space="preserve"> </w:t>
      </w:r>
      <w:r w:rsidR="00F32B28" w:rsidRPr="00F32B28">
        <w:rPr>
          <w:rtl/>
        </w:rPr>
        <w:t>تمس</w:t>
      </w:r>
      <w:r w:rsidR="00F32B28">
        <w:rPr>
          <w:rtl/>
        </w:rPr>
        <w:t xml:space="preserve"> </w:t>
      </w:r>
      <w:r w:rsidR="00F32B28" w:rsidRPr="00F32B28">
        <w:rPr>
          <w:rtl/>
        </w:rPr>
        <w:t>حقوقها،</w:t>
      </w:r>
      <w:r w:rsidR="00F32B28">
        <w:rPr>
          <w:rtl/>
        </w:rPr>
        <w:t xml:space="preserve"> </w:t>
      </w:r>
      <w:r w:rsidR="00F32B28" w:rsidRPr="00F32B28">
        <w:rPr>
          <w:rtl/>
        </w:rPr>
        <w:t>ولها</w:t>
      </w:r>
      <w:r w:rsidR="00F32B28">
        <w:rPr>
          <w:rtl/>
        </w:rPr>
        <w:t xml:space="preserve"> </w:t>
      </w:r>
      <w:r w:rsidR="00F32B28" w:rsidRPr="00F32B28">
        <w:rPr>
          <w:rtl/>
        </w:rPr>
        <w:t>أيضاً</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التوجه</w:t>
      </w:r>
      <w:r w:rsidR="00F32B28">
        <w:rPr>
          <w:rtl/>
        </w:rPr>
        <w:t xml:space="preserve"> </w:t>
      </w:r>
      <w:r w:rsidR="00F32B28" w:rsidRPr="00F32B28">
        <w:rPr>
          <w:rtl/>
        </w:rPr>
        <w:t>إلى</w:t>
      </w:r>
      <w:r w:rsidR="00F32B28">
        <w:rPr>
          <w:rtl/>
        </w:rPr>
        <w:t xml:space="preserve"> </w:t>
      </w:r>
      <w:r w:rsidR="00F32B28" w:rsidRPr="00F32B28">
        <w:rPr>
          <w:rtl/>
        </w:rPr>
        <w:t>محكمة</w:t>
      </w:r>
      <w:r w:rsidR="00F32B28">
        <w:rPr>
          <w:rtl/>
        </w:rPr>
        <w:t xml:space="preserve"> </w:t>
      </w:r>
      <w:r w:rsidR="00F32B28" w:rsidRPr="00F32B28">
        <w:rPr>
          <w:rtl/>
        </w:rPr>
        <w:t>العدل</w:t>
      </w:r>
      <w:r w:rsidR="00F32B28">
        <w:rPr>
          <w:rtl/>
        </w:rPr>
        <w:t xml:space="preserve"> </w:t>
      </w:r>
      <w:r w:rsidR="00F32B28" w:rsidRPr="00F32B28">
        <w:rPr>
          <w:rtl/>
        </w:rPr>
        <w:t>العليا</w:t>
      </w:r>
      <w:r w:rsidR="00F32B28">
        <w:rPr>
          <w:rtl/>
        </w:rPr>
        <w:t xml:space="preserve"> </w:t>
      </w:r>
      <w:r w:rsidR="00F32B28" w:rsidRPr="00F32B28">
        <w:rPr>
          <w:rtl/>
        </w:rPr>
        <w:t>للطعن</w:t>
      </w:r>
      <w:r w:rsidR="00F32B28">
        <w:rPr>
          <w:rtl/>
        </w:rPr>
        <w:t xml:space="preserve"> </w:t>
      </w:r>
      <w:r w:rsidR="00F32B28" w:rsidRPr="00F32B28">
        <w:rPr>
          <w:rtl/>
        </w:rPr>
        <w:t>في</w:t>
      </w:r>
      <w:r w:rsidR="00F32B28">
        <w:rPr>
          <w:rtl/>
        </w:rPr>
        <w:t xml:space="preserve"> </w:t>
      </w:r>
      <w:r w:rsidR="00F32B28" w:rsidRPr="00F32B28">
        <w:rPr>
          <w:rtl/>
        </w:rPr>
        <w:t>هذه</w:t>
      </w:r>
      <w:r w:rsidR="00F32B28">
        <w:rPr>
          <w:rtl/>
        </w:rPr>
        <w:t xml:space="preserve"> </w:t>
      </w:r>
      <w:r w:rsidR="00F32B28" w:rsidRPr="00F32B28">
        <w:rPr>
          <w:rtl/>
        </w:rPr>
        <w:t>القرارات</w:t>
      </w:r>
      <w:r w:rsidR="00F32B28">
        <w:rPr>
          <w:rtl/>
        </w:rPr>
        <w:t xml:space="preserve"> </w:t>
      </w:r>
      <w:r w:rsidR="00F32B28" w:rsidRPr="00F32B28">
        <w:rPr>
          <w:rtl/>
        </w:rPr>
        <w:t>وإلغاءها.</w:t>
      </w:r>
      <w:r w:rsidR="00F32B28">
        <w:rPr>
          <w:rtl/>
        </w:rPr>
        <w:t xml:space="preserve"> </w:t>
      </w:r>
    </w:p>
    <w:p w:rsidR="00D652E9" w:rsidRPr="00D652E9" w:rsidRDefault="00D652E9" w:rsidP="00D652E9">
      <w:pPr>
        <w:pStyle w:val="SingleTxt"/>
        <w:spacing w:after="0" w:line="120" w:lineRule="exact"/>
        <w:rPr>
          <w:b/>
          <w:bCs/>
          <w:sz w:val="10"/>
          <w:rtl/>
        </w:rPr>
      </w:pPr>
    </w:p>
    <w:p w:rsidR="00F32B28" w:rsidRPr="00F32B28" w:rsidRDefault="00F32B28" w:rsidP="00F32B28">
      <w:pPr>
        <w:pStyle w:val="SingleTxt"/>
        <w:rPr>
          <w:b/>
          <w:bCs/>
          <w:rtl/>
        </w:rPr>
      </w:pPr>
      <w:r w:rsidRPr="00F32B28">
        <w:rPr>
          <w:b/>
          <w:bCs/>
          <w:rtl/>
        </w:rPr>
        <w:t>التحرش</w:t>
      </w:r>
      <w:r>
        <w:rPr>
          <w:b/>
          <w:bCs/>
          <w:rtl/>
        </w:rPr>
        <w:t xml:space="preserve"> </w:t>
      </w:r>
      <w:r w:rsidRPr="00F32B28">
        <w:rPr>
          <w:b/>
          <w:bCs/>
          <w:rtl/>
        </w:rPr>
        <w:t>الجنسي</w:t>
      </w:r>
    </w:p>
    <w:p w:rsidR="00F32B28" w:rsidRPr="00F32B28" w:rsidRDefault="00D652E9" w:rsidP="00337510">
      <w:pPr>
        <w:pStyle w:val="SingleTxt"/>
        <w:spacing w:line="340" w:lineRule="exact"/>
        <w:ind w:left="1267" w:right="1267"/>
        <w:rPr>
          <w:rtl/>
        </w:rPr>
      </w:pPr>
      <w:r>
        <w:rPr>
          <w:rFonts w:hint="cs"/>
          <w:rtl/>
        </w:rPr>
        <w:t xml:space="preserve">217 - </w:t>
      </w:r>
      <w:r w:rsidR="00F32B28" w:rsidRPr="00F32B28">
        <w:rPr>
          <w:rtl/>
        </w:rPr>
        <w:t>بخصوص</w:t>
      </w:r>
      <w:r w:rsidR="00F32B28">
        <w:rPr>
          <w:rtl/>
        </w:rPr>
        <w:t xml:space="preserve"> </w:t>
      </w:r>
      <w:r w:rsidR="00F32B28" w:rsidRPr="00F32B28">
        <w:rPr>
          <w:rtl/>
        </w:rPr>
        <w:t>التحرش</w:t>
      </w:r>
      <w:r w:rsidR="00F32B28">
        <w:rPr>
          <w:rtl/>
        </w:rPr>
        <w:t xml:space="preserve"> </w:t>
      </w:r>
      <w:r w:rsidR="00F32B28" w:rsidRPr="00F32B28">
        <w:rPr>
          <w:rtl/>
        </w:rPr>
        <w:t>الجنسي</w:t>
      </w:r>
      <w:r w:rsidR="00F32B28">
        <w:rPr>
          <w:rtl/>
        </w:rPr>
        <w:t xml:space="preserve"> </w:t>
      </w:r>
      <w:r w:rsidR="00F32B28" w:rsidRPr="00F32B28">
        <w:rPr>
          <w:rtl/>
        </w:rPr>
        <w:t>في</w:t>
      </w:r>
      <w:r w:rsidR="00F32B28">
        <w:rPr>
          <w:rtl/>
        </w:rPr>
        <w:t xml:space="preserve"> </w:t>
      </w:r>
      <w:r w:rsidR="00F32B28" w:rsidRPr="00F32B28">
        <w:rPr>
          <w:rtl/>
        </w:rPr>
        <w:t>مكان</w:t>
      </w:r>
      <w:r w:rsidR="00F32B28">
        <w:rPr>
          <w:rtl/>
        </w:rPr>
        <w:t xml:space="preserve"> </w:t>
      </w:r>
      <w:r w:rsidR="00F32B28" w:rsidRPr="00F32B28">
        <w:rPr>
          <w:rtl/>
        </w:rPr>
        <w:t>العمل،</w:t>
      </w:r>
      <w:r w:rsidR="00F32B28">
        <w:rPr>
          <w:rtl/>
        </w:rPr>
        <w:t xml:space="preserve"> </w:t>
      </w:r>
      <w:r w:rsidR="00F32B28" w:rsidRPr="00F32B28">
        <w:rPr>
          <w:rtl/>
        </w:rPr>
        <w:t>فلم</w:t>
      </w:r>
      <w:r w:rsidR="00F32B28">
        <w:rPr>
          <w:rtl/>
        </w:rPr>
        <w:t xml:space="preserve"> </w:t>
      </w:r>
      <w:r w:rsidR="00F32B28" w:rsidRPr="00F32B28">
        <w:rPr>
          <w:rtl/>
        </w:rPr>
        <w:t>يتم</w:t>
      </w:r>
      <w:r w:rsidR="00F32B28">
        <w:rPr>
          <w:rtl/>
        </w:rPr>
        <w:t xml:space="preserve"> </w:t>
      </w:r>
      <w:r w:rsidR="00F32B28" w:rsidRPr="00F32B28">
        <w:rPr>
          <w:rtl/>
        </w:rPr>
        <w:t>التطرق</w:t>
      </w:r>
      <w:r w:rsidR="00F32B28">
        <w:rPr>
          <w:rtl/>
        </w:rPr>
        <w:t xml:space="preserve"> </w:t>
      </w:r>
      <w:r w:rsidR="00F32B28" w:rsidRPr="00F32B28">
        <w:rPr>
          <w:rtl/>
        </w:rPr>
        <w:t>إليه</w:t>
      </w:r>
      <w:r w:rsidR="00F32B28">
        <w:rPr>
          <w:rtl/>
        </w:rPr>
        <w:t xml:space="preserve"> </w:t>
      </w:r>
      <w:r w:rsidR="00F32B28" w:rsidRPr="00F32B28">
        <w:rPr>
          <w:rtl/>
        </w:rPr>
        <w:t>في</w:t>
      </w:r>
      <w:r w:rsidR="00F32B28">
        <w:rPr>
          <w:rtl/>
        </w:rPr>
        <w:t xml:space="preserve"> </w:t>
      </w:r>
      <w:r w:rsidR="00F32B28" w:rsidRPr="00F32B28">
        <w:rPr>
          <w:rtl/>
        </w:rPr>
        <w:t>أي</w:t>
      </w:r>
      <w:r w:rsidR="00F32B28">
        <w:rPr>
          <w:rtl/>
        </w:rPr>
        <w:t xml:space="preserve"> </w:t>
      </w:r>
      <w:r w:rsidR="00F32B28" w:rsidRPr="00F32B28">
        <w:rPr>
          <w:rtl/>
        </w:rPr>
        <w:t>من</w:t>
      </w:r>
      <w:r w:rsidR="00F32B28">
        <w:rPr>
          <w:rtl/>
        </w:rPr>
        <w:t xml:space="preserve"> </w:t>
      </w:r>
      <w:r w:rsidR="00F32B28" w:rsidRPr="00F32B28">
        <w:rPr>
          <w:rtl/>
        </w:rPr>
        <w:t>نصوص</w:t>
      </w:r>
      <w:r w:rsidR="00F32B28">
        <w:rPr>
          <w:rtl/>
        </w:rPr>
        <w:t xml:space="preserve"> </w:t>
      </w:r>
      <w:r w:rsidR="00F32B28" w:rsidRPr="00F32B28">
        <w:rPr>
          <w:rtl/>
        </w:rPr>
        <w:t>قانوني</w:t>
      </w:r>
      <w:r w:rsidR="00F32B28">
        <w:rPr>
          <w:rtl/>
        </w:rPr>
        <w:t xml:space="preserve"> </w:t>
      </w:r>
      <w:r w:rsidR="00F32B28" w:rsidRPr="00F32B28">
        <w:rPr>
          <w:rtl/>
        </w:rPr>
        <w:t>الخدمة</w:t>
      </w:r>
      <w:r w:rsidR="00F32B28">
        <w:rPr>
          <w:rtl/>
        </w:rPr>
        <w:t xml:space="preserve"> </w:t>
      </w:r>
      <w:r w:rsidR="00F32B28" w:rsidRPr="00F32B28">
        <w:rPr>
          <w:rtl/>
        </w:rPr>
        <w:t>المدنية</w:t>
      </w:r>
      <w:r w:rsidR="00F32B28">
        <w:rPr>
          <w:rtl/>
        </w:rPr>
        <w:t xml:space="preserve"> </w:t>
      </w:r>
      <w:r w:rsidR="00F32B28" w:rsidRPr="00F32B28">
        <w:rPr>
          <w:rtl/>
        </w:rPr>
        <w:t>والعمل،</w:t>
      </w:r>
      <w:r w:rsidR="00F32B28">
        <w:rPr>
          <w:rtl/>
        </w:rPr>
        <w:t xml:space="preserve"> </w:t>
      </w:r>
      <w:r w:rsidR="00F32B28" w:rsidRPr="00F32B28">
        <w:rPr>
          <w:rtl/>
        </w:rPr>
        <w:t>كما</w:t>
      </w:r>
      <w:r w:rsidR="00F32B28">
        <w:rPr>
          <w:rtl/>
        </w:rPr>
        <w:t xml:space="preserve"> </w:t>
      </w:r>
      <w:r w:rsidR="00F32B28" w:rsidRPr="00F32B28">
        <w:rPr>
          <w:rtl/>
        </w:rPr>
        <w:t>لم</w:t>
      </w:r>
      <w:r w:rsidR="00F32B28">
        <w:rPr>
          <w:rtl/>
        </w:rPr>
        <w:t xml:space="preserve"> </w:t>
      </w:r>
      <w:r w:rsidR="00F32B28" w:rsidRPr="00F32B28">
        <w:rPr>
          <w:rtl/>
        </w:rPr>
        <w:t>يتم</w:t>
      </w:r>
      <w:r w:rsidR="00F32B28">
        <w:rPr>
          <w:rtl/>
        </w:rPr>
        <w:t xml:space="preserve"> </w:t>
      </w:r>
      <w:r w:rsidR="00F32B28" w:rsidRPr="00F32B28">
        <w:rPr>
          <w:rtl/>
        </w:rPr>
        <w:t>تجريمه</w:t>
      </w:r>
      <w:r w:rsidR="00F32B28">
        <w:rPr>
          <w:rtl/>
        </w:rPr>
        <w:t xml:space="preserve"> </w:t>
      </w:r>
      <w:r w:rsidR="00F32B28" w:rsidRPr="00F32B28">
        <w:rPr>
          <w:rtl/>
        </w:rPr>
        <w:t>بموجب</w:t>
      </w:r>
      <w:r w:rsidR="00F32B28">
        <w:rPr>
          <w:rtl/>
        </w:rPr>
        <w:t xml:space="preserve"> </w:t>
      </w:r>
      <w:r w:rsidR="00F32B28" w:rsidRPr="00F32B28">
        <w:rPr>
          <w:rtl/>
        </w:rPr>
        <w:t>التشريعات</w:t>
      </w:r>
      <w:r w:rsidR="00F32B28">
        <w:rPr>
          <w:rtl/>
        </w:rPr>
        <w:t xml:space="preserve"> </w:t>
      </w:r>
      <w:r w:rsidR="00F32B28" w:rsidRPr="00F32B28">
        <w:rPr>
          <w:rtl/>
        </w:rPr>
        <w:t>العقابية،</w:t>
      </w:r>
      <w:r w:rsidR="00F32B28">
        <w:rPr>
          <w:rtl/>
        </w:rPr>
        <w:t xml:space="preserve"> </w:t>
      </w:r>
      <w:r w:rsidR="00F32B28" w:rsidRPr="00F32B28">
        <w:rPr>
          <w:rtl/>
        </w:rPr>
        <w:t>وبالتالي،</w:t>
      </w:r>
      <w:r w:rsidR="00F32B28">
        <w:rPr>
          <w:rtl/>
        </w:rPr>
        <w:t xml:space="preserve"> </w:t>
      </w:r>
      <w:r w:rsidR="00F32B28" w:rsidRPr="00F32B28">
        <w:rPr>
          <w:rtl/>
        </w:rPr>
        <w:t>يتم</w:t>
      </w:r>
      <w:r w:rsidR="00F32B28">
        <w:rPr>
          <w:rtl/>
        </w:rPr>
        <w:t xml:space="preserve"> </w:t>
      </w:r>
      <w:r w:rsidR="00F32B28" w:rsidRPr="00F32B28">
        <w:rPr>
          <w:rtl/>
        </w:rPr>
        <w:t>الرجوع</w:t>
      </w:r>
      <w:r w:rsidR="00F32B28">
        <w:rPr>
          <w:rtl/>
        </w:rPr>
        <w:t xml:space="preserve"> </w:t>
      </w:r>
      <w:r w:rsidR="00F32B28" w:rsidRPr="00F32B28">
        <w:rPr>
          <w:rtl/>
        </w:rPr>
        <w:t>في</w:t>
      </w:r>
      <w:r w:rsidR="00F32B28">
        <w:rPr>
          <w:rtl/>
        </w:rPr>
        <w:t xml:space="preserve"> </w:t>
      </w:r>
      <w:r w:rsidR="00F32B28" w:rsidRPr="00F32B28">
        <w:rPr>
          <w:rtl/>
        </w:rPr>
        <w:t>هذه</w:t>
      </w:r>
      <w:r w:rsidR="00F32B28">
        <w:rPr>
          <w:rtl/>
        </w:rPr>
        <w:t xml:space="preserve"> </w:t>
      </w:r>
      <w:r w:rsidR="00F32B28" w:rsidRPr="00F32B28">
        <w:rPr>
          <w:rtl/>
        </w:rPr>
        <w:t>الحالة</w:t>
      </w:r>
      <w:r w:rsidR="00F32B28">
        <w:rPr>
          <w:rtl/>
        </w:rPr>
        <w:t xml:space="preserve"> </w:t>
      </w:r>
      <w:r w:rsidR="00F32B28" w:rsidRPr="00F32B28">
        <w:rPr>
          <w:rtl/>
        </w:rPr>
        <w:t>إلى</w:t>
      </w:r>
      <w:r w:rsidR="00F32B28">
        <w:rPr>
          <w:rtl/>
        </w:rPr>
        <w:t xml:space="preserve"> </w:t>
      </w:r>
      <w:r w:rsidR="00F32B28" w:rsidRPr="00F32B28">
        <w:rPr>
          <w:rtl/>
        </w:rPr>
        <w:t>القواعد</w:t>
      </w:r>
      <w:r w:rsidR="00F32B28">
        <w:rPr>
          <w:rtl/>
        </w:rPr>
        <w:t xml:space="preserve"> </w:t>
      </w:r>
      <w:r w:rsidR="00F32B28" w:rsidRPr="00F32B28">
        <w:rPr>
          <w:rtl/>
        </w:rPr>
        <w:t>العامة</w:t>
      </w:r>
      <w:r w:rsidR="00F32B28">
        <w:rPr>
          <w:rtl/>
        </w:rPr>
        <w:t xml:space="preserve"> </w:t>
      </w:r>
      <w:r w:rsidR="00F32B28" w:rsidRPr="00F32B28">
        <w:rPr>
          <w:rtl/>
        </w:rPr>
        <w:t>للجرائم</w:t>
      </w:r>
      <w:r w:rsidR="00F32B28">
        <w:rPr>
          <w:rtl/>
        </w:rPr>
        <w:t xml:space="preserve"> </w:t>
      </w:r>
      <w:r w:rsidR="00F32B28" w:rsidRPr="00F32B28">
        <w:rPr>
          <w:rtl/>
        </w:rPr>
        <w:t>الواقعة</w:t>
      </w:r>
      <w:r w:rsidR="00F32B28">
        <w:rPr>
          <w:rtl/>
        </w:rPr>
        <w:t xml:space="preserve"> </w:t>
      </w:r>
      <w:r w:rsidR="00F32B28" w:rsidRPr="00F32B28">
        <w:rPr>
          <w:rtl/>
        </w:rPr>
        <w:t>على</w:t>
      </w:r>
      <w:r w:rsidR="00F32B28">
        <w:rPr>
          <w:rtl/>
        </w:rPr>
        <w:t xml:space="preserve"> </w:t>
      </w:r>
      <w:r w:rsidR="00F32B28" w:rsidRPr="00F32B28">
        <w:rPr>
          <w:rtl/>
        </w:rPr>
        <w:t>العرض</w:t>
      </w:r>
      <w:r w:rsidR="00F32B28">
        <w:rPr>
          <w:rtl/>
        </w:rPr>
        <w:t xml:space="preserve"> </w:t>
      </w:r>
      <w:r w:rsidR="00F32B28" w:rsidRPr="00F32B28">
        <w:rPr>
          <w:rtl/>
        </w:rPr>
        <w:t>والعقوبات</w:t>
      </w:r>
      <w:r w:rsidR="00F32B28">
        <w:rPr>
          <w:rtl/>
        </w:rPr>
        <w:t xml:space="preserve"> </w:t>
      </w:r>
      <w:r w:rsidR="00F32B28" w:rsidRPr="00F32B28">
        <w:rPr>
          <w:rtl/>
        </w:rPr>
        <w:t>المقررة</w:t>
      </w:r>
      <w:r w:rsidR="00F32B28">
        <w:rPr>
          <w:rtl/>
        </w:rPr>
        <w:t xml:space="preserve"> </w:t>
      </w:r>
      <w:r w:rsidR="00F32B28" w:rsidRPr="00F32B28">
        <w:rPr>
          <w:rtl/>
        </w:rPr>
        <w:t>لها،</w:t>
      </w:r>
      <w:r w:rsidR="00F32B28">
        <w:rPr>
          <w:rtl/>
        </w:rPr>
        <w:t xml:space="preserve"> </w:t>
      </w:r>
      <w:r w:rsidR="00F32B28" w:rsidRPr="00F32B28">
        <w:rPr>
          <w:rtl/>
        </w:rPr>
        <w:t>كالاغتصاب،</w:t>
      </w:r>
      <w:r w:rsidR="00F32B28">
        <w:rPr>
          <w:rtl/>
        </w:rPr>
        <w:t xml:space="preserve"> </w:t>
      </w:r>
      <w:r w:rsidR="00F32B28" w:rsidRPr="00F32B28">
        <w:rPr>
          <w:rtl/>
        </w:rPr>
        <w:t>وهتك</w:t>
      </w:r>
      <w:r w:rsidR="00F32B28">
        <w:rPr>
          <w:rtl/>
        </w:rPr>
        <w:t xml:space="preserve"> </w:t>
      </w:r>
      <w:r w:rsidR="00F32B28" w:rsidRPr="00F32B28">
        <w:rPr>
          <w:rtl/>
        </w:rPr>
        <w:t>العرض،</w:t>
      </w:r>
      <w:r w:rsidR="00F32B28">
        <w:rPr>
          <w:rtl/>
        </w:rPr>
        <w:t xml:space="preserve"> </w:t>
      </w:r>
      <w:r w:rsidR="00F32B28" w:rsidRPr="00F32B28">
        <w:rPr>
          <w:rtl/>
        </w:rPr>
        <w:t>والمداعبة</w:t>
      </w:r>
      <w:r w:rsidR="00F32B28">
        <w:rPr>
          <w:rtl/>
        </w:rPr>
        <w:t xml:space="preserve"> </w:t>
      </w:r>
      <w:r w:rsidR="00F32B28" w:rsidRPr="00F32B28">
        <w:rPr>
          <w:rtl/>
        </w:rPr>
        <w:t>المنافية</w:t>
      </w:r>
      <w:r w:rsidR="00F32B28">
        <w:rPr>
          <w:rtl/>
        </w:rPr>
        <w:t xml:space="preserve"> </w:t>
      </w:r>
      <w:r w:rsidR="00F32B28" w:rsidRPr="00F32B28">
        <w:rPr>
          <w:rtl/>
        </w:rPr>
        <w:t>للحياء،</w:t>
      </w:r>
      <w:r w:rsidR="00F32B28">
        <w:rPr>
          <w:rtl/>
        </w:rPr>
        <w:t xml:space="preserve"> </w:t>
      </w:r>
      <w:r w:rsidR="00F32B28" w:rsidRPr="00F32B28">
        <w:rPr>
          <w:rtl/>
        </w:rPr>
        <w:t>وعرض</w:t>
      </w:r>
      <w:r w:rsidR="00F32B28">
        <w:rPr>
          <w:rtl/>
        </w:rPr>
        <w:t xml:space="preserve"> </w:t>
      </w:r>
      <w:r w:rsidR="00F32B28" w:rsidRPr="00F32B28">
        <w:rPr>
          <w:rtl/>
        </w:rPr>
        <w:t>الأعمال</w:t>
      </w:r>
      <w:r w:rsidR="00F32B28">
        <w:rPr>
          <w:rtl/>
        </w:rPr>
        <w:t xml:space="preserve"> </w:t>
      </w:r>
      <w:r w:rsidR="00F32B28" w:rsidRPr="00F32B28">
        <w:rPr>
          <w:rtl/>
        </w:rPr>
        <w:t>أو</w:t>
      </w:r>
      <w:r w:rsidR="00F32B28">
        <w:rPr>
          <w:rtl/>
        </w:rPr>
        <w:t xml:space="preserve"> </w:t>
      </w:r>
      <w:r w:rsidR="00F32B28" w:rsidRPr="00F32B28">
        <w:rPr>
          <w:rtl/>
        </w:rPr>
        <w:t>توجيه</w:t>
      </w:r>
      <w:r w:rsidR="00F32B28">
        <w:rPr>
          <w:rtl/>
        </w:rPr>
        <w:t xml:space="preserve"> </w:t>
      </w:r>
      <w:r w:rsidR="00F32B28" w:rsidRPr="00F32B28">
        <w:rPr>
          <w:rtl/>
        </w:rPr>
        <w:t>الكلام</w:t>
      </w:r>
      <w:r w:rsidR="00F32B28">
        <w:rPr>
          <w:rtl/>
        </w:rPr>
        <w:t xml:space="preserve"> </w:t>
      </w:r>
      <w:r w:rsidR="00F32B28" w:rsidRPr="00F32B28">
        <w:rPr>
          <w:rtl/>
        </w:rPr>
        <w:t>المنافي</w:t>
      </w:r>
      <w:r w:rsidR="00F32B28">
        <w:rPr>
          <w:rtl/>
        </w:rPr>
        <w:t xml:space="preserve"> </w:t>
      </w:r>
      <w:r w:rsidR="00F32B28" w:rsidRPr="00F32B28">
        <w:rPr>
          <w:rtl/>
        </w:rPr>
        <w:t>للحياء،</w:t>
      </w:r>
      <w:r w:rsidR="00F32B28">
        <w:rPr>
          <w:rtl/>
        </w:rPr>
        <w:t xml:space="preserve"> </w:t>
      </w:r>
      <w:r w:rsidR="00F32B28" w:rsidRPr="00F32B28">
        <w:rPr>
          <w:rtl/>
        </w:rPr>
        <w:t>كما</w:t>
      </w:r>
      <w:r w:rsidR="00F32B28">
        <w:rPr>
          <w:rtl/>
        </w:rPr>
        <w:t xml:space="preserve"> </w:t>
      </w:r>
      <w:r w:rsidR="00F32B28" w:rsidRPr="00F32B28">
        <w:rPr>
          <w:rtl/>
        </w:rPr>
        <w:t>تشدد</w:t>
      </w:r>
      <w:r w:rsidR="00F32B28">
        <w:rPr>
          <w:rtl/>
        </w:rPr>
        <w:t xml:space="preserve"> </w:t>
      </w:r>
      <w:r w:rsidR="00F32B28" w:rsidRPr="00F32B28">
        <w:rPr>
          <w:rtl/>
        </w:rPr>
        <w:t>العقوبة</w:t>
      </w:r>
      <w:r w:rsidR="00F32B28">
        <w:rPr>
          <w:rtl/>
        </w:rPr>
        <w:t xml:space="preserve"> </w:t>
      </w:r>
      <w:r w:rsidR="00F32B28" w:rsidRPr="00F32B28">
        <w:rPr>
          <w:rtl/>
        </w:rPr>
        <w:t>المفروضة</w:t>
      </w:r>
      <w:r w:rsidR="00F32B28">
        <w:rPr>
          <w:rtl/>
        </w:rPr>
        <w:t xml:space="preserve"> </w:t>
      </w:r>
      <w:r w:rsidR="00F32B28" w:rsidRPr="00F32B28">
        <w:rPr>
          <w:rtl/>
        </w:rPr>
        <w:t>على</w:t>
      </w:r>
      <w:r w:rsidR="00F32B28">
        <w:rPr>
          <w:rtl/>
        </w:rPr>
        <w:t xml:space="preserve"> </w:t>
      </w:r>
      <w:r w:rsidR="00F32B28" w:rsidRPr="00F32B28">
        <w:rPr>
          <w:rtl/>
        </w:rPr>
        <w:t>هذه</w:t>
      </w:r>
      <w:r w:rsidR="00F32B28">
        <w:rPr>
          <w:rtl/>
        </w:rPr>
        <w:t xml:space="preserve"> </w:t>
      </w:r>
      <w:r w:rsidR="00F32B28" w:rsidRPr="00F32B28">
        <w:rPr>
          <w:rtl/>
        </w:rPr>
        <w:t>الجرائم</w:t>
      </w:r>
      <w:r w:rsidR="00F32B28">
        <w:rPr>
          <w:rtl/>
        </w:rPr>
        <w:t xml:space="preserve"> </w:t>
      </w:r>
      <w:r w:rsidR="00F32B28" w:rsidRPr="00F32B28">
        <w:rPr>
          <w:rtl/>
        </w:rPr>
        <w:t>بالسجن</w:t>
      </w:r>
      <w:r w:rsidR="00F32B28">
        <w:rPr>
          <w:rtl/>
        </w:rPr>
        <w:t xml:space="preserve"> </w:t>
      </w:r>
      <w:r w:rsidR="00F32B28" w:rsidRPr="00F32B28">
        <w:rPr>
          <w:rtl/>
        </w:rPr>
        <w:t>لمدة</w:t>
      </w:r>
      <w:r w:rsidR="00F32B28">
        <w:rPr>
          <w:rtl/>
        </w:rPr>
        <w:t xml:space="preserve"> </w:t>
      </w:r>
      <w:r w:rsidR="00F32B28" w:rsidRPr="00F32B28">
        <w:rPr>
          <w:rtl/>
        </w:rPr>
        <w:t>لا</w:t>
      </w:r>
      <w:r w:rsidR="00F32B28">
        <w:rPr>
          <w:rtl/>
        </w:rPr>
        <w:t xml:space="preserve"> </w:t>
      </w:r>
      <w:r w:rsidR="00F32B28" w:rsidRPr="00F32B28">
        <w:rPr>
          <w:rtl/>
        </w:rPr>
        <w:t>تقل</w:t>
      </w:r>
      <w:r w:rsidR="00F32B28">
        <w:rPr>
          <w:rtl/>
        </w:rPr>
        <w:t xml:space="preserve"> </w:t>
      </w:r>
      <w:r w:rsidR="00F32B28" w:rsidRPr="00F32B28">
        <w:rPr>
          <w:rtl/>
        </w:rPr>
        <w:t>عن</w:t>
      </w:r>
      <w:r w:rsidR="00F32B28">
        <w:rPr>
          <w:rtl/>
        </w:rPr>
        <w:t xml:space="preserve"> </w:t>
      </w:r>
      <w:r w:rsidR="00F32B28" w:rsidRPr="00F32B28">
        <w:rPr>
          <w:rtl/>
        </w:rPr>
        <w:t>عشر</w:t>
      </w:r>
      <w:r w:rsidR="00F32B28">
        <w:rPr>
          <w:rtl/>
        </w:rPr>
        <w:t xml:space="preserve"> </w:t>
      </w:r>
      <w:r w:rsidR="00F32B28" w:rsidRPr="00F32B28">
        <w:rPr>
          <w:rtl/>
        </w:rPr>
        <w:t>سنوات</w:t>
      </w:r>
      <w:r w:rsidR="00F32B28">
        <w:rPr>
          <w:rtl/>
        </w:rPr>
        <w:t xml:space="preserve"> </w:t>
      </w:r>
      <w:r w:rsidR="00F32B28" w:rsidRPr="00F32B28">
        <w:rPr>
          <w:rtl/>
        </w:rPr>
        <w:t>إذا</w:t>
      </w:r>
      <w:r w:rsidR="00F32B28">
        <w:rPr>
          <w:rtl/>
        </w:rPr>
        <w:t xml:space="preserve"> </w:t>
      </w:r>
      <w:r w:rsidR="00F32B28" w:rsidRPr="00F32B28">
        <w:rPr>
          <w:rtl/>
        </w:rPr>
        <w:t>ما</w:t>
      </w:r>
      <w:r w:rsidR="00F32B28">
        <w:rPr>
          <w:rtl/>
        </w:rPr>
        <w:t xml:space="preserve"> </w:t>
      </w:r>
      <w:r w:rsidR="00F32B28" w:rsidRPr="00F32B28">
        <w:rPr>
          <w:rtl/>
        </w:rPr>
        <w:t>كان</w:t>
      </w:r>
      <w:r w:rsidR="00F32B28">
        <w:rPr>
          <w:rtl/>
        </w:rPr>
        <w:t xml:space="preserve"> </w:t>
      </w:r>
      <w:r w:rsidR="00F32B28" w:rsidRPr="00F32B28">
        <w:rPr>
          <w:rtl/>
        </w:rPr>
        <w:t>الفاعل</w:t>
      </w:r>
      <w:r w:rsidR="00F32B28">
        <w:rPr>
          <w:rtl/>
        </w:rPr>
        <w:t xml:space="preserve"> </w:t>
      </w:r>
      <w:r w:rsidR="00F32B28" w:rsidRPr="00F32B28">
        <w:rPr>
          <w:rtl/>
        </w:rPr>
        <w:t>هو</w:t>
      </w:r>
      <w:r w:rsidR="00F32B28">
        <w:rPr>
          <w:rtl/>
        </w:rPr>
        <w:t xml:space="preserve"> </w:t>
      </w:r>
      <w:r w:rsidR="00F32B28" w:rsidRPr="00F32B28">
        <w:rPr>
          <w:rtl/>
        </w:rPr>
        <w:t>مدير</w:t>
      </w:r>
      <w:r w:rsidR="00F32B28">
        <w:rPr>
          <w:rtl/>
        </w:rPr>
        <w:t xml:space="preserve"> </w:t>
      </w:r>
      <w:r w:rsidR="00F32B28" w:rsidRPr="00F32B28">
        <w:rPr>
          <w:rtl/>
        </w:rPr>
        <w:t>مكتب</w:t>
      </w:r>
      <w:r w:rsidR="00F32B28">
        <w:rPr>
          <w:rtl/>
        </w:rPr>
        <w:t xml:space="preserve"> </w:t>
      </w:r>
      <w:r w:rsidR="00F32B28" w:rsidRPr="00F32B28">
        <w:rPr>
          <w:rtl/>
        </w:rPr>
        <w:t>استخدام،</w:t>
      </w:r>
      <w:r w:rsidR="00F32B28">
        <w:rPr>
          <w:rtl/>
        </w:rPr>
        <w:t xml:space="preserve"> </w:t>
      </w:r>
      <w:r w:rsidR="00F32B28" w:rsidRPr="00F32B28">
        <w:rPr>
          <w:rtl/>
        </w:rPr>
        <w:t>أو</w:t>
      </w:r>
      <w:r w:rsidR="00F32B28">
        <w:rPr>
          <w:rtl/>
        </w:rPr>
        <w:t xml:space="preserve"> </w:t>
      </w:r>
      <w:r w:rsidR="00F32B28" w:rsidRPr="00F32B28">
        <w:rPr>
          <w:rtl/>
        </w:rPr>
        <w:t>عاملاً</w:t>
      </w:r>
      <w:r w:rsidR="00F32B28">
        <w:rPr>
          <w:rtl/>
        </w:rPr>
        <w:t xml:space="preserve"> </w:t>
      </w:r>
      <w:r w:rsidR="00F32B28" w:rsidRPr="00F32B28">
        <w:rPr>
          <w:rtl/>
        </w:rPr>
        <w:t>فيه،</w:t>
      </w:r>
      <w:r w:rsidR="00F32B28">
        <w:rPr>
          <w:rtl/>
        </w:rPr>
        <w:t xml:space="preserve"> </w:t>
      </w:r>
      <w:r w:rsidR="00F32B28" w:rsidRPr="00F32B28">
        <w:rPr>
          <w:rtl/>
        </w:rPr>
        <w:t>وارتكب</w:t>
      </w:r>
      <w:r w:rsidR="00F32B28">
        <w:rPr>
          <w:rtl/>
        </w:rPr>
        <w:t xml:space="preserve"> </w:t>
      </w:r>
      <w:r w:rsidR="00F32B28" w:rsidRPr="00F32B28">
        <w:rPr>
          <w:rtl/>
        </w:rPr>
        <w:t>فعله</w:t>
      </w:r>
      <w:r w:rsidR="00F32B28">
        <w:rPr>
          <w:rtl/>
        </w:rPr>
        <w:t xml:space="preserve"> </w:t>
      </w:r>
      <w:r w:rsidR="00F32B28" w:rsidRPr="00F32B28">
        <w:rPr>
          <w:rtl/>
        </w:rPr>
        <w:t>هذا</w:t>
      </w:r>
      <w:r w:rsidR="00F32B28">
        <w:rPr>
          <w:rtl/>
        </w:rPr>
        <w:t xml:space="preserve"> </w:t>
      </w:r>
      <w:r w:rsidR="00F32B28" w:rsidRPr="00F32B28">
        <w:rPr>
          <w:rtl/>
        </w:rPr>
        <w:t>مستعملاً</w:t>
      </w:r>
      <w:r w:rsidR="00F32B28">
        <w:rPr>
          <w:rtl/>
        </w:rPr>
        <w:t xml:space="preserve"> </w:t>
      </w:r>
      <w:r w:rsidR="00F32B28" w:rsidRPr="00F32B28">
        <w:rPr>
          <w:rtl/>
        </w:rPr>
        <w:t>سلطته</w:t>
      </w:r>
      <w:r w:rsidR="00F32B28">
        <w:rPr>
          <w:rtl/>
        </w:rPr>
        <w:t xml:space="preserve"> </w:t>
      </w:r>
      <w:r w:rsidR="00F32B28" w:rsidRPr="00F32B28">
        <w:rPr>
          <w:rtl/>
        </w:rPr>
        <w:t>أو</w:t>
      </w:r>
      <w:r w:rsidR="00F32B28">
        <w:rPr>
          <w:rtl/>
        </w:rPr>
        <w:t xml:space="preserve"> </w:t>
      </w:r>
      <w:r w:rsidR="00F32B28" w:rsidRPr="00F32B28">
        <w:rPr>
          <w:rtl/>
        </w:rPr>
        <w:t>التسهيلات</w:t>
      </w:r>
      <w:r w:rsidR="00F32B28">
        <w:rPr>
          <w:rtl/>
        </w:rPr>
        <w:t xml:space="preserve"> </w:t>
      </w:r>
      <w:r w:rsidR="00F32B28" w:rsidRPr="00F32B28">
        <w:rPr>
          <w:rtl/>
        </w:rPr>
        <w:t>التي</w:t>
      </w:r>
      <w:r w:rsidR="00F32B28">
        <w:rPr>
          <w:rtl/>
        </w:rPr>
        <w:t xml:space="preserve"> </w:t>
      </w:r>
      <w:r w:rsidR="00F32B28" w:rsidRPr="00F32B28">
        <w:rPr>
          <w:rtl/>
        </w:rPr>
        <w:t>يستمدها</w:t>
      </w:r>
      <w:r w:rsidR="00F32B28">
        <w:rPr>
          <w:rtl/>
        </w:rPr>
        <w:t xml:space="preserve"> </w:t>
      </w:r>
      <w:r w:rsidR="00F32B28" w:rsidRPr="00F32B28">
        <w:rPr>
          <w:rtl/>
        </w:rPr>
        <w:t>من</w:t>
      </w:r>
      <w:r w:rsidR="00F32B28">
        <w:rPr>
          <w:rtl/>
        </w:rPr>
        <w:t xml:space="preserve"> </w:t>
      </w:r>
      <w:r w:rsidR="00F32B28" w:rsidRPr="00F32B28">
        <w:rPr>
          <w:rtl/>
        </w:rPr>
        <w:t>هذه</w:t>
      </w:r>
      <w:r w:rsidR="00F32B28">
        <w:rPr>
          <w:rtl/>
        </w:rPr>
        <w:t xml:space="preserve"> </w:t>
      </w:r>
      <w:r w:rsidR="00F32B28" w:rsidRPr="00F32B28">
        <w:rPr>
          <w:rtl/>
        </w:rPr>
        <w:t>السلطة.</w:t>
      </w:r>
      <w:r w:rsidR="00F32B28">
        <w:rPr>
          <w:rtl/>
        </w:rPr>
        <w:t xml:space="preserve"> </w:t>
      </w:r>
      <w:r w:rsidR="00F32B28" w:rsidRPr="00F32B28">
        <w:rPr>
          <w:rtl/>
        </w:rPr>
        <w:t>ويجرم</w:t>
      </w:r>
      <w:r w:rsidR="00F32B28">
        <w:rPr>
          <w:rtl/>
        </w:rPr>
        <w:t xml:space="preserve"> </w:t>
      </w:r>
      <w:r w:rsidR="00F32B28" w:rsidRPr="00F32B28">
        <w:rPr>
          <w:rtl/>
        </w:rPr>
        <w:t>مشروع</w:t>
      </w:r>
      <w:r w:rsidR="00F32B28">
        <w:rPr>
          <w:rtl/>
        </w:rPr>
        <w:t xml:space="preserve"> </w:t>
      </w:r>
      <w:r w:rsidR="00F32B28" w:rsidRPr="00F32B28">
        <w:rPr>
          <w:rtl/>
        </w:rPr>
        <w:t>قانون</w:t>
      </w:r>
      <w:r w:rsidR="00F32B28">
        <w:rPr>
          <w:rtl/>
        </w:rPr>
        <w:t xml:space="preserve"> </w:t>
      </w:r>
      <w:r w:rsidR="00F32B28" w:rsidRPr="00F32B28">
        <w:rPr>
          <w:rtl/>
        </w:rPr>
        <w:t>العقوبات</w:t>
      </w:r>
      <w:r w:rsidR="00F32B28">
        <w:rPr>
          <w:rtl/>
        </w:rPr>
        <w:t xml:space="preserve"> </w:t>
      </w:r>
      <w:r w:rsidR="00F32B28" w:rsidRPr="00F32B28">
        <w:rPr>
          <w:rtl/>
        </w:rPr>
        <w:t>فعل</w:t>
      </w:r>
      <w:r w:rsidR="00F32B28">
        <w:rPr>
          <w:rtl/>
        </w:rPr>
        <w:t xml:space="preserve"> </w:t>
      </w:r>
      <w:r w:rsidR="00F32B28" w:rsidRPr="00F32B28">
        <w:rPr>
          <w:rtl/>
        </w:rPr>
        <w:t>التحرش</w:t>
      </w:r>
      <w:r w:rsidR="00F32B28">
        <w:rPr>
          <w:rtl/>
        </w:rPr>
        <w:t xml:space="preserve"> </w:t>
      </w:r>
      <w:r w:rsidR="00F32B28" w:rsidRPr="00F32B28">
        <w:rPr>
          <w:rtl/>
        </w:rPr>
        <w:t>الجنسي</w:t>
      </w:r>
      <w:r w:rsidR="00F32B28">
        <w:rPr>
          <w:rtl/>
        </w:rPr>
        <w:t xml:space="preserve"> </w:t>
      </w:r>
      <w:r w:rsidR="00F32B28" w:rsidRPr="00F32B28">
        <w:rPr>
          <w:rtl/>
        </w:rPr>
        <w:t>باعتباره</w:t>
      </w:r>
      <w:r w:rsidR="00F32B28">
        <w:rPr>
          <w:rtl/>
        </w:rPr>
        <w:t xml:space="preserve"> </w:t>
      </w:r>
      <w:r w:rsidR="00D06D08">
        <w:rPr>
          <w:rFonts w:hint="cs"/>
          <w:rtl/>
        </w:rPr>
        <w:t>”</w:t>
      </w:r>
      <w:r w:rsidR="00F32B28" w:rsidRPr="00F32B28">
        <w:rPr>
          <w:i/>
          <w:iCs/>
          <w:rtl/>
        </w:rPr>
        <w:t>...كل</w:t>
      </w:r>
      <w:r w:rsidR="00F32B28">
        <w:rPr>
          <w:i/>
          <w:iCs/>
          <w:rtl/>
        </w:rPr>
        <w:t xml:space="preserve"> </w:t>
      </w:r>
      <w:r w:rsidR="00F32B28" w:rsidRPr="00F32B28">
        <w:rPr>
          <w:i/>
          <w:iCs/>
          <w:rtl/>
        </w:rPr>
        <w:t>إمعان</w:t>
      </w:r>
      <w:r w:rsidR="00F32B28">
        <w:rPr>
          <w:i/>
          <w:iCs/>
          <w:rtl/>
        </w:rPr>
        <w:t xml:space="preserve"> </w:t>
      </w:r>
      <w:r w:rsidR="00F32B28" w:rsidRPr="00F32B28">
        <w:rPr>
          <w:i/>
          <w:iCs/>
          <w:rtl/>
        </w:rPr>
        <w:t>في</w:t>
      </w:r>
      <w:r w:rsidR="00F32B28">
        <w:rPr>
          <w:i/>
          <w:iCs/>
          <w:rtl/>
        </w:rPr>
        <w:t xml:space="preserve"> </w:t>
      </w:r>
      <w:r w:rsidR="00F32B28" w:rsidRPr="00F32B28">
        <w:rPr>
          <w:i/>
          <w:iCs/>
          <w:rtl/>
        </w:rPr>
        <w:t>مضايقة</w:t>
      </w:r>
      <w:r w:rsidR="00F32B28">
        <w:rPr>
          <w:i/>
          <w:iCs/>
          <w:rtl/>
        </w:rPr>
        <w:t xml:space="preserve"> </w:t>
      </w:r>
      <w:r w:rsidR="00F32B28" w:rsidRPr="00F32B28">
        <w:rPr>
          <w:i/>
          <w:iCs/>
          <w:rtl/>
        </w:rPr>
        <w:t>الآخرين</w:t>
      </w:r>
      <w:r w:rsidR="00F32B28">
        <w:rPr>
          <w:i/>
          <w:iCs/>
          <w:rtl/>
        </w:rPr>
        <w:t xml:space="preserve"> </w:t>
      </w:r>
      <w:r w:rsidR="00F32B28" w:rsidRPr="00F32B28">
        <w:rPr>
          <w:i/>
          <w:iCs/>
          <w:rtl/>
        </w:rPr>
        <w:t>بتكرار</w:t>
      </w:r>
      <w:r w:rsidR="00F32B28">
        <w:rPr>
          <w:i/>
          <w:iCs/>
          <w:rtl/>
        </w:rPr>
        <w:t xml:space="preserve"> </w:t>
      </w:r>
      <w:r w:rsidR="00F32B28" w:rsidRPr="00F32B28">
        <w:rPr>
          <w:i/>
          <w:iCs/>
          <w:rtl/>
        </w:rPr>
        <w:t>أفعال،</w:t>
      </w:r>
      <w:r w:rsidR="00F32B28">
        <w:rPr>
          <w:i/>
          <w:iCs/>
          <w:rtl/>
        </w:rPr>
        <w:t xml:space="preserve"> </w:t>
      </w:r>
      <w:r w:rsidR="00F32B28" w:rsidRPr="00F32B28">
        <w:rPr>
          <w:i/>
          <w:iCs/>
          <w:rtl/>
        </w:rPr>
        <w:t>أو</w:t>
      </w:r>
      <w:r w:rsidR="00F32B28">
        <w:rPr>
          <w:i/>
          <w:iCs/>
          <w:rtl/>
        </w:rPr>
        <w:t xml:space="preserve"> </w:t>
      </w:r>
      <w:r w:rsidR="00F32B28" w:rsidRPr="00F32B28">
        <w:rPr>
          <w:i/>
          <w:iCs/>
          <w:rtl/>
        </w:rPr>
        <w:t>أقوال،</w:t>
      </w:r>
      <w:r w:rsidR="00F32B28">
        <w:rPr>
          <w:i/>
          <w:iCs/>
          <w:rtl/>
        </w:rPr>
        <w:t xml:space="preserve"> </w:t>
      </w:r>
      <w:r w:rsidR="00F32B28" w:rsidRPr="00F32B28">
        <w:rPr>
          <w:i/>
          <w:iCs/>
          <w:rtl/>
        </w:rPr>
        <w:t>أو</w:t>
      </w:r>
      <w:r w:rsidR="00F32B28">
        <w:rPr>
          <w:i/>
          <w:iCs/>
          <w:rtl/>
        </w:rPr>
        <w:t xml:space="preserve"> </w:t>
      </w:r>
      <w:r w:rsidR="00F32B28" w:rsidRPr="00F32B28">
        <w:rPr>
          <w:i/>
          <w:iCs/>
          <w:rtl/>
        </w:rPr>
        <w:t>إشارات</w:t>
      </w:r>
      <w:r w:rsidR="00F32B28">
        <w:rPr>
          <w:i/>
          <w:iCs/>
          <w:rtl/>
        </w:rPr>
        <w:t xml:space="preserve"> </w:t>
      </w:r>
      <w:r w:rsidR="00F32B28" w:rsidRPr="00F32B28">
        <w:rPr>
          <w:i/>
          <w:iCs/>
          <w:rtl/>
        </w:rPr>
        <w:t>من</w:t>
      </w:r>
      <w:r w:rsidR="00F32B28">
        <w:rPr>
          <w:i/>
          <w:iCs/>
          <w:rtl/>
        </w:rPr>
        <w:t xml:space="preserve"> </w:t>
      </w:r>
      <w:r w:rsidR="00F32B28" w:rsidRPr="00F32B28">
        <w:rPr>
          <w:i/>
          <w:iCs/>
          <w:rtl/>
        </w:rPr>
        <w:t>شأنها</w:t>
      </w:r>
      <w:r w:rsidR="00F32B28">
        <w:rPr>
          <w:i/>
          <w:iCs/>
          <w:rtl/>
        </w:rPr>
        <w:t xml:space="preserve"> </w:t>
      </w:r>
      <w:r w:rsidR="00F32B28" w:rsidRPr="00F32B28">
        <w:rPr>
          <w:i/>
          <w:iCs/>
          <w:rtl/>
        </w:rPr>
        <w:t>أن</w:t>
      </w:r>
      <w:r w:rsidR="00F32B28">
        <w:rPr>
          <w:i/>
          <w:iCs/>
          <w:rtl/>
        </w:rPr>
        <w:t xml:space="preserve"> </w:t>
      </w:r>
      <w:r w:rsidR="00F32B28" w:rsidRPr="00F32B28">
        <w:rPr>
          <w:i/>
          <w:iCs/>
          <w:rtl/>
        </w:rPr>
        <w:t>تنال</w:t>
      </w:r>
      <w:r w:rsidR="00F32B28">
        <w:rPr>
          <w:i/>
          <w:iCs/>
          <w:rtl/>
        </w:rPr>
        <w:t xml:space="preserve"> </w:t>
      </w:r>
      <w:r w:rsidR="00F32B28" w:rsidRPr="00F32B28">
        <w:rPr>
          <w:i/>
          <w:iCs/>
          <w:rtl/>
        </w:rPr>
        <w:t>من</w:t>
      </w:r>
      <w:r w:rsidR="00F32B28">
        <w:rPr>
          <w:i/>
          <w:iCs/>
          <w:rtl/>
        </w:rPr>
        <w:t xml:space="preserve"> </w:t>
      </w:r>
      <w:r w:rsidR="00F32B28" w:rsidRPr="00F32B28">
        <w:rPr>
          <w:i/>
          <w:iCs/>
          <w:rtl/>
        </w:rPr>
        <w:t>كرامته،</w:t>
      </w:r>
      <w:r w:rsidR="00F32B28">
        <w:rPr>
          <w:i/>
          <w:iCs/>
          <w:rtl/>
        </w:rPr>
        <w:t xml:space="preserve"> </w:t>
      </w:r>
      <w:r w:rsidR="00F32B28" w:rsidRPr="00F32B28">
        <w:rPr>
          <w:i/>
          <w:iCs/>
          <w:rtl/>
        </w:rPr>
        <w:t>أو</w:t>
      </w:r>
      <w:r w:rsidR="00F32B28">
        <w:rPr>
          <w:i/>
          <w:iCs/>
          <w:rtl/>
        </w:rPr>
        <w:t xml:space="preserve"> </w:t>
      </w:r>
      <w:r w:rsidR="00F32B28" w:rsidRPr="00F32B28">
        <w:rPr>
          <w:i/>
          <w:iCs/>
          <w:rtl/>
        </w:rPr>
        <w:t>تخدش</w:t>
      </w:r>
      <w:r w:rsidR="00F32B28">
        <w:rPr>
          <w:i/>
          <w:iCs/>
          <w:rtl/>
        </w:rPr>
        <w:t xml:space="preserve"> </w:t>
      </w:r>
      <w:r w:rsidR="00F32B28" w:rsidRPr="00F32B28">
        <w:rPr>
          <w:i/>
          <w:iCs/>
          <w:rtl/>
        </w:rPr>
        <w:t>حياءه،</w:t>
      </w:r>
      <w:r w:rsidR="00F32B28">
        <w:rPr>
          <w:i/>
          <w:iCs/>
          <w:rtl/>
        </w:rPr>
        <w:t xml:space="preserve"> </w:t>
      </w:r>
      <w:r w:rsidR="00F32B28" w:rsidRPr="00F32B28">
        <w:rPr>
          <w:i/>
          <w:iCs/>
          <w:rtl/>
        </w:rPr>
        <w:t>وذلك</w:t>
      </w:r>
      <w:r w:rsidR="00F32B28">
        <w:rPr>
          <w:i/>
          <w:iCs/>
          <w:rtl/>
        </w:rPr>
        <w:t xml:space="preserve"> </w:t>
      </w:r>
      <w:r w:rsidR="00F32B28" w:rsidRPr="00F32B28">
        <w:rPr>
          <w:i/>
          <w:iCs/>
          <w:rtl/>
        </w:rPr>
        <w:t>بغاية</w:t>
      </w:r>
      <w:r w:rsidR="00F32B28">
        <w:rPr>
          <w:i/>
          <w:iCs/>
          <w:rtl/>
        </w:rPr>
        <w:t xml:space="preserve"> </w:t>
      </w:r>
      <w:r w:rsidR="00F32B28" w:rsidRPr="00F32B28">
        <w:rPr>
          <w:i/>
          <w:iCs/>
          <w:rtl/>
        </w:rPr>
        <w:t>حمله</w:t>
      </w:r>
      <w:r w:rsidR="00F32B28">
        <w:rPr>
          <w:i/>
          <w:iCs/>
          <w:rtl/>
        </w:rPr>
        <w:t xml:space="preserve"> </w:t>
      </w:r>
      <w:r w:rsidR="00F32B28" w:rsidRPr="00F32B28">
        <w:rPr>
          <w:i/>
          <w:iCs/>
          <w:rtl/>
        </w:rPr>
        <w:t>على</w:t>
      </w:r>
      <w:r w:rsidR="00F32B28">
        <w:rPr>
          <w:i/>
          <w:iCs/>
          <w:rtl/>
        </w:rPr>
        <w:t xml:space="preserve"> </w:t>
      </w:r>
      <w:r w:rsidR="00F32B28" w:rsidRPr="00F32B28">
        <w:rPr>
          <w:i/>
          <w:iCs/>
          <w:rtl/>
        </w:rPr>
        <w:t>الاستجابة</w:t>
      </w:r>
      <w:r w:rsidR="00F32B28">
        <w:rPr>
          <w:i/>
          <w:iCs/>
          <w:rtl/>
        </w:rPr>
        <w:t xml:space="preserve"> </w:t>
      </w:r>
      <w:r w:rsidR="00F32B28" w:rsidRPr="00F32B28">
        <w:rPr>
          <w:i/>
          <w:iCs/>
          <w:rtl/>
        </w:rPr>
        <w:t>لرغباته،</w:t>
      </w:r>
      <w:r w:rsidR="00F32B28">
        <w:rPr>
          <w:i/>
          <w:iCs/>
          <w:rtl/>
        </w:rPr>
        <w:t xml:space="preserve"> </w:t>
      </w:r>
      <w:r w:rsidR="00F32B28" w:rsidRPr="00F32B28">
        <w:rPr>
          <w:i/>
          <w:iCs/>
          <w:rtl/>
        </w:rPr>
        <w:t>أو</w:t>
      </w:r>
      <w:r w:rsidR="00F32B28">
        <w:rPr>
          <w:i/>
          <w:iCs/>
          <w:rtl/>
        </w:rPr>
        <w:t xml:space="preserve"> </w:t>
      </w:r>
      <w:r w:rsidR="00F32B28" w:rsidRPr="00F32B28">
        <w:rPr>
          <w:i/>
          <w:iCs/>
          <w:rtl/>
        </w:rPr>
        <w:t>رغبات</w:t>
      </w:r>
      <w:r w:rsidR="00F32B28">
        <w:rPr>
          <w:i/>
          <w:iCs/>
          <w:rtl/>
        </w:rPr>
        <w:t xml:space="preserve"> </w:t>
      </w:r>
      <w:r w:rsidR="00F32B28" w:rsidRPr="00F32B28">
        <w:rPr>
          <w:i/>
          <w:iCs/>
          <w:rtl/>
        </w:rPr>
        <w:t>غيره</w:t>
      </w:r>
      <w:r w:rsidR="00F32B28">
        <w:rPr>
          <w:i/>
          <w:iCs/>
          <w:rtl/>
        </w:rPr>
        <w:t xml:space="preserve"> </w:t>
      </w:r>
      <w:r w:rsidR="00F32B28" w:rsidRPr="00F32B28">
        <w:rPr>
          <w:i/>
          <w:iCs/>
          <w:rtl/>
        </w:rPr>
        <w:t>الجنسية،</w:t>
      </w:r>
      <w:r w:rsidR="00F32B28">
        <w:rPr>
          <w:i/>
          <w:iCs/>
          <w:rtl/>
        </w:rPr>
        <w:t xml:space="preserve"> </w:t>
      </w:r>
      <w:r w:rsidR="00F32B28" w:rsidRPr="00F32B28">
        <w:rPr>
          <w:i/>
          <w:iCs/>
          <w:rtl/>
        </w:rPr>
        <w:t>أو</w:t>
      </w:r>
      <w:r w:rsidR="00F32B28">
        <w:rPr>
          <w:i/>
          <w:iCs/>
          <w:rtl/>
        </w:rPr>
        <w:t xml:space="preserve"> </w:t>
      </w:r>
      <w:r w:rsidR="00F32B28" w:rsidRPr="00F32B28">
        <w:rPr>
          <w:i/>
          <w:iCs/>
          <w:rtl/>
        </w:rPr>
        <w:t>بممارسة</w:t>
      </w:r>
      <w:r w:rsidR="00F32B28">
        <w:rPr>
          <w:i/>
          <w:iCs/>
          <w:rtl/>
        </w:rPr>
        <w:t xml:space="preserve"> </w:t>
      </w:r>
      <w:r w:rsidR="00F32B28" w:rsidRPr="00F32B28">
        <w:rPr>
          <w:i/>
          <w:iCs/>
          <w:rtl/>
        </w:rPr>
        <w:t>ضغوط</w:t>
      </w:r>
      <w:r w:rsidR="00F32B28">
        <w:rPr>
          <w:i/>
          <w:iCs/>
          <w:rtl/>
        </w:rPr>
        <w:t xml:space="preserve"> </w:t>
      </w:r>
      <w:r w:rsidR="00F32B28" w:rsidRPr="00F32B28">
        <w:rPr>
          <w:i/>
          <w:iCs/>
          <w:rtl/>
        </w:rPr>
        <w:t>عليه</w:t>
      </w:r>
      <w:r w:rsidR="00F32B28">
        <w:rPr>
          <w:i/>
          <w:iCs/>
          <w:rtl/>
        </w:rPr>
        <w:t xml:space="preserve"> </w:t>
      </w:r>
      <w:r w:rsidR="00F32B28" w:rsidRPr="00F32B28">
        <w:rPr>
          <w:i/>
          <w:iCs/>
          <w:rtl/>
        </w:rPr>
        <w:t>من</w:t>
      </w:r>
      <w:r w:rsidR="00F32B28">
        <w:rPr>
          <w:i/>
          <w:iCs/>
          <w:rtl/>
        </w:rPr>
        <w:t xml:space="preserve"> </w:t>
      </w:r>
      <w:r w:rsidR="00F32B28" w:rsidRPr="00F32B28">
        <w:rPr>
          <w:i/>
          <w:iCs/>
          <w:rtl/>
        </w:rPr>
        <w:t>شأنها</w:t>
      </w:r>
      <w:r w:rsidR="00F32B28">
        <w:rPr>
          <w:i/>
          <w:iCs/>
          <w:rtl/>
        </w:rPr>
        <w:t xml:space="preserve"> </w:t>
      </w:r>
      <w:r w:rsidR="00F32B28" w:rsidRPr="00F32B28">
        <w:rPr>
          <w:i/>
          <w:iCs/>
          <w:rtl/>
        </w:rPr>
        <w:t>إضعاف</w:t>
      </w:r>
      <w:r w:rsidR="00F32B28">
        <w:rPr>
          <w:i/>
          <w:iCs/>
          <w:rtl/>
        </w:rPr>
        <w:t xml:space="preserve"> </w:t>
      </w:r>
      <w:r w:rsidR="00F32B28" w:rsidRPr="00F32B28">
        <w:rPr>
          <w:i/>
          <w:iCs/>
          <w:rtl/>
        </w:rPr>
        <w:t>إرادته</w:t>
      </w:r>
      <w:r w:rsidR="00F32B28">
        <w:rPr>
          <w:i/>
          <w:iCs/>
          <w:rtl/>
        </w:rPr>
        <w:t xml:space="preserve"> </w:t>
      </w:r>
      <w:r w:rsidR="00F32B28" w:rsidRPr="00F32B28">
        <w:rPr>
          <w:i/>
          <w:iCs/>
          <w:rtl/>
        </w:rPr>
        <w:t>على</w:t>
      </w:r>
      <w:r w:rsidR="00F32B28">
        <w:rPr>
          <w:i/>
          <w:iCs/>
          <w:rtl/>
        </w:rPr>
        <w:t xml:space="preserve"> </w:t>
      </w:r>
      <w:r w:rsidR="00F32B28" w:rsidRPr="00F32B28">
        <w:rPr>
          <w:i/>
          <w:iCs/>
          <w:rtl/>
        </w:rPr>
        <w:t>التصدي</w:t>
      </w:r>
      <w:r w:rsidR="00F32B28">
        <w:rPr>
          <w:i/>
          <w:iCs/>
          <w:rtl/>
        </w:rPr>
        <w:t xml:space="preserve"> </w:t>
      </w:r>
      <w:r w:rsidR="00F32B28" w:rsidRPr="00F32B28">
        <w:rPr>
          <w:i/>
          <w:iCs/>
          <w:rtl/>
        </w:rPr>
        <w:t>لتلك</w:t>
      </w:r>
      <w:r w:rsidR="00F32B28">
        <w:rPr>
          <w:i/>
          <w:iCs/>
          <w:rtl/>
        </w:rPr>
        <w:t xml:space="preserve"> </w:t>
      </w:r>
      <w:r w:rsidR="00F32B28" w:rsidRPr="00F32B28">
        <w:rPr>
          <w:i/>
          <w:iCs/>
          <w:rtl/>
        </w:rPr>
        <w:t>الرغبات</w:t>
      </w:r>
      <w:r w:rsidR="00D06D08">
        <w:rPr>
          <w:rFonts w:hint="cs"/>
          <w:rtl/>
        </w:rPr>
        <w:t>“</w:t>
      </w:r>
      <w:r w:rsidR="00F32B28" w:rsidRPr="00F32B28">
        <w:rPr>
          <w:rtl/>
        </w:rPr>
        <w:t>،</w:t>
      </w:r>
      <w:r w:rsidR="00F32B28">
        <w:rPr>
          <w:rtl/>
        </w:rPr>
        <w:t xml:space="preserve"> </w:t>
      </w:r>
      <w:r w:rsidR="00F32B28" w:rsidRPr="00F32B28">
        <w:rPr>
          <w:rtl/>
        </w:rPr>
        <w:t>ويعاقب</w:t>
      </w:r>
      <w:r w:rsidR="00F32B28">
        <w:rPr>
          <w:rtl/>
        </w:rPr>
        <w:t xml:space="preserve"> </w:t>
      </w:r>
      <w:r w:rsidR="00F32B28" w:rsidRPr="00F32B28">
        <w:rPr>
          <w:rtl/>
        </w:rPr>
        <w:t>فاعله</w:t>
      </w:r>
      <w:r w:rsidR="00F32B28">
        <w:rPr>
          <w:rtl/>
        </w:rPr>
        <w:t xml:space="preserve"> </w:t>
      </w:r>
      <w:r w:rsidR="00F32B28" w:rsidRPr="00F32B28">
        <w:rPr>
          <w:rtl/>
        </w:rPr>
        <w:t>بالغرامة</w:t>
      </w:r>
      <w:r w:rsidR="00F32B28">
        <w:rPr>
          <w:rtl/>
        </w:rPr>
        <w:t xml:space="preserve"> </w:t>
      </w:r>
      <w:r w:rsidR="00F32B28" w:rsidRPr="00F32B28">
        <w:rPr>
          <w:rtl/>
        </w:rPr>
        <w:t>وبالحبس</w:t>
      </w:r>
      <w:r w:rsidR="00F32B28">
        <w:rPr>
          <w:rtl/>
        </w:rPr>
        <w:t xml:space="preserve"> </w:t>
      </w:r>
      <w:r w:rsidR="00F32B28" w:rsidRPr="00F32B28">
        <w:rPr>
          <w:rtl/>
        </w:rPr>
        <w:t>لمدة</w:t>
      </w:r>
      <w:r w:rsidR="00F32B28">
        <w:rPr>
          <w:rtl/>
        </w:rPr>
        <w:t xml:space="preserve"> </w:t>
      </w:r>
      <w:r w:rsidR="00F32B28" w:rsidRPr="00F32B28">
        <w:rPr>
          <w:rtl/>
        </w:rPr>
        <w:t>لا</w:t>
      </w:r>
      <w:r w:rsidR="00F32B28">
        <w:rPr>
          <w:rtl/>
        </w:rPr>
        <w:t xml:space="preserve"> </w:t>
      </w:r>
      <w:r w:rsidR="00F32B28" w:rsidRPr="00F32B28">
        <w:rPr>
          <w:rtl/>
        </w:rPr>
        <w:t>تقل</w:t>
      </w:r>
      <w:r w:rsidR="00F32B28">
        <w:rPr>
          <w:rtl/>
        </w:rPr>
        <w:t xml:space="preserve"> </w:t>
      </w:r>
      <w:r w:rsidR="00F32B28" w:rsidRPr="00F32B28">
        <w:rPr>
          <w:rtl/>
        </w:rPr>
        <w:t>عن</w:t>
      </w:r>
      <w:r w:rsidR="00F32B28">
        <w:rPr>
          <w:rtl/>
        </w:rPr>
        <w:t xml:space="preserve"> </w:t>
      </w:r>
      <w:r w:rsidR="00F32B28" w:rsidRPr="00F32B28">
        <w:rPr>
          <w:rtl/>
        </w:rPr>
        <w:t>ستة</w:t>
      </w:r>
      <w:r w:rsidR="00F32B28">
        <w:rPr>
          <w:rtl/>
        </w:rPr>
        <w:t xml:space="preserve"> </w:t>
      </w:r>
      <w:r w:rsidR="00F32B28" w:rsidRPr="00F32B28">
        <w:rPr>
          <w:rtl/>
        </w:rPr>
        <w:t>أشهر،</w:t>
      </w:r>
      <w:r w:rsidR="00F32B28">
        <w:rPr>
          <w:rtl/>
        </w:rPr>
        <w:t xml:space="preserve"> </w:t>
      </w:r>
      <w:r w:rsidR="00F32B28" w:rsidRPr="00F32B28">
        <w:rPr>
          <w:rtl/>
        </w:rPr>
        <w:t>وتشدد</w:t>
      </w:r>
      <w:r w:rsidR="00F32B28">
        <w:rPr>
          <w:rtl/>
        </w:rPr>
        <w:t xml:space="preserve"> </w:t>
      </w:r>
      <w:r w:rsidR="00F32B28" w:rsidRPr="00F32B28">
        <w:rPr>
          <w:rtl/>
        </w:rPr>
        <w:t>عقوبة</w:t>
      </w:r>
      <w:r w:rsidR="00F32B28">
        <w:rPr>
          <w:rtl/>
        </w:rPr>
        <w:t xml:space="preserve"> </w:t>
      </w:r>
      <w:r w:rsidR="00F32B28" w:rsidRPr="00F32B28">
        <w:rPr>
          <w:rtl/>
        </w:rPr>
        <w:t>الحبس</w:t>
      </w:r>
      <w:r w:rsidR="00F32B28">
        <w:rPr>
          <w:rtl/>
        </w:rPr>
        <w:t xml:space="preserve"> </w:t>
      </w:r>
      <w:r w:rsidR="00F32B28" w:rsidRPr="00F32B28">
        <w:rPr>
          <w:rtl/>
        </w:rPr>
        <w:t>إذا</w:t>
      </w:r>
      <w:r w:rsidR="00F32B28">
        <w:rPr>
          <w:rtl/>
        </w:rPr>
        <w:t xml:space="preserve"> </w:t>
      </w:r>
      <w:r w:rsidR="00F32B28" w:rsidRPr="00F32B28">
        <w:rPr>
          <w:rtl/>
        </w:rPr>
        <w:t>كان</w:t>
      </w:r>
      <w:r w:rsidR="00F32B28">
        <w:rPr>
          <w:rtl/>
        </w:rPr>
        <w:t xml:space="preserve"> </w:t>
      </w:r>
      <w:r w:rsidR="00F32B28" w:rsidRPr="00F32B28">
        <w:rPr>
          <w:rtl/>
        </w:rPr>
        <w:t>الفاعل</w:t>
      </w:r>
      <w:r w:rsidR="00F32B28">
        <w:rPr>
          <w:rtl/>
        </w:rPr>
        <w:t xml:space="preserve"> </w:t>
      </w:r>
      <w:r w:rsidR="00F32B28" w:rsidRPr="00F32B28">
        <w:rPr>
          <w:rtl/>
        </w:rPr>
        <w:t>له</w:t>
      </w:r>
      <w:r w:rsidR="00F32B28">
        <w:rPr>
          <w:rtl/>
        </w:rPr>
        <w:t xml:space="preserve"> </w:t>
      </w:r>
      <w:r w:rsidR="00F32B28" w:rsidRPr="00F32B28">
        <w:rPr>
          <w:rtl/>
        </w:rPr>
        <w:t>سلطة</w:t>
      </w:r>
      <w:r w:rsidR="00F32B28">
        <w:rPr>
          <w:rtl/>
        </w:rPr>
        <w:t xml:space="preserve"> </w:t>
      </w:r>
      <w:r w:rsidR="00F32B28" w:rsidRPr="00F32B28">
        <w:rPr>
          <w:rtl/>
        </w:rPr>
        <w:t>وظيفية</w:t>
      </w:r>
      <w:r w:rsidR="00F32B28">
        <w:rPr>
          <w:rtl/>
        </w:rPr>
        <w:t xml:space="preserve"> </w:t>
      </w:r>
      <w:r w:rsidR="00F32B28" w:rsidRPr="00F32B28">
        <w:rPr>
          <w:rtl/>
        </w:rPr>
        <w:t>أو</w:t>
      </w:r>
      <w:r w:rsidR="00F32B28">
        <w:rPr>
          <w:rtl/>
        </w:rPr>
        <w:t xml:space="preserve"> </w:t>
      </w:r>
      <w:r w:rsidR="00F32B28" w:rsidRPr="00F32B28">
        <w:rPr>
          <w:rtl/>
        </w:rPr>
        <w:t>فعلية</w:t>
      </w:r>
      <w:r w:rsidR="00F32B28">
        <w:rPr>
          <w:rtl/>
        </w:rPr>
        <w:t xml:space="preserve"> </w:t>
      </w:r>
      <w:r w:rsidR="00F32B28" w:rsidRPr="00F32B28">
        <w:rPr>
          <w:rtl/>
        </w:rPr>
        <w:t>على</w:t>
      </w:r>
      <w:r w:rsidR="00F32B28">
        <w:rPr>
          <w:rtl/>
        </w:rPr>
        <w:t xml:space="preserve"> </w:t>
      </w:r>
      <w:r w:rsidR="00F32B28" w:rsidRPr="00F32B28">
        <w:rPr>
          <w:rtl/>
        </w:rPr>
        <w:t>المجني</w:t>
      </w:r>
      <w:r w:rsidR="00F32B28">
        <w:rPr>
          <w:rtl/>
        </w:rPr>
        <w:t xml:space="preserve"> </w:t>
      </w:r>
      <w:r w:rsidR="00F32B28" w:rsidRPr="00F32B28">
        <w:rPr>
          <w:rtl/>
        </w:rPr>
        <w:t>عليها</w:t>
      </w:r>
      <w:r w:rsidR="00F32B28">
        <w:rPr>
          <w:rtl/>
        </w:rPr>
        <w:t xml:space="preserve"> </w:t>
      </w:r>
      <w:r w:rsidR="00F32B28" w:rsidRPr="00F32B28">
        <w:rPr>
          <w:rtl/>
        </w:rPr>
        <w:t>لمدة</w:t>
      </w:r>
      <w:r w:rsidR="00F32B28">
        <w:rPr>
          <w:rtl/>
        </w:rPr>
        <w:t xml:space="preserve"> </w:t>
      </w:r>
      <w:r w:rsidR="00F32B28" w:rsidRPr="00F32B28">
        <w:rPr>
          <w:rtl/>
        </w:rPr>
        <w:t>لا</w:t>
      </w:r>
      <w:r w:rsidR="00F32B28">
        <w:rPr>
          <w:rtl/>
        </w:rPr>
        <w:t xml:space="preserve"> </w:t>
      </w:r>
      <w:r w:rsidR="00F32B28" w:rsidRPr="00F32B28">
        <w:rPr>
          <w:rtl/>
        </w:rPr>
        <w:t>تقل</w:t>
      </w:r>
      <w:r w:rsidR="00F32B28">
        <w:rPr>
          <w:rtl/>
        </w:rPr>
        <w:t xml:space="preserve"> </w:t>
      </w:r>
      <w:r w:rsidR="00F32B28" w:rsidRPr="00F32B28">
        <w:rPr>
          <w:rtl/>
        </w:rPr>
        <w:t>عن</w:t>
      </w:r>
      <w:r w:rsidR="00F32B28">
        <w:rPr>
          <w:rtl/>
        </w:rPr>
        <w:t xml:space="preserve"> </w:t>
      </w:r>
      <w:r w:rsidR="00F32B28" w:rsidRPr="00F32B28">
        <w:rPr>
          <w:rtl/>
        </w:rPr>
        <w:t>سنتين.</w:t>
      </w:r>
    </w:p>
    <w:p w:rsidR="00F32B28" w:rsidRPr="00F32B28" w:rsidRDefault="00294F23" w:rsidP="00294F23">
      <w:pPr>
        <w:pStyle w:val="SingleTxt"/>
      </w:pPr>
      <w:r>
        <w:rPr>
          <w:rFonts w:hint="cs"/>
          <w:rtl/>
          <w:lang w:bidi="ar-SY"/>
        </w:rPr>
        <w:t>218 - و</w:t>
      </w:r>
      <w:r w:rsidR="00F32B28" w:rsidRPr="00F32B28">
        <w:rPr>
          <w:rtl/>
          <w:lang w:bidi="ar-SY"/>
        </w:rPr>
        <w:t>كانت</w:t>
      </w:r>
      <w:r w:rsidR="00F32B28">
        <w:rPr>
          <w:rtl/>
          <w:lang w:bidi="ar-SY"/>
        </w:rPr>
        <w:t xml:space="preserve"> </w:t>
      </w:r>
      <w:r w:rsidR="00F32B28" w:rsidRPr="00F32B28">
        <w:rPr>
          <w:rtl/>
          <w:lang w:bidi="ar-SY"/>
        </w:rPr>
        <w:t>نسبة</w:t>
      </w:r>
      <w:r w:rsidR="00F32B28">
        <w:rPr>
          <w:rtl/>
          <w:lang w:bidi="ar-SY"/>
        </w:rPr>
        <w:t xml:space="preserve"> </w:t>
      </w:r>
      <w:r w:rsidR="00F32B28" w:rsidRPr="00F32B28">
        <w:rPr>
          <w:rtl/>
          <w:lang w:bidi="ar-SY"/>
        </w:rPr>
        <w:t>مشاركة</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15</w:t>
      </w:r>
      <w:r w:rsidR="00F32B28">
        <w:rPr>
          <w:rtl/>
          <w:lang w:bidi="ar-SY"/>
        </w:rPr>
        <w:t xml:space="preserve"> </w:t>
      </w:r>
      <w:r w:rsidR="00F32B28" w:rsidRPr="00F32B28">
        <w:rPr>
          <w:rtl/>
          <w:lang w:bidi="ar-SY"/>
        </w:rPr>
        <w:t>سنة</w:t>
      </w:r>
      <w:r w:rsidR="00F32B28">
        <w:rPr>
          <w:rtl/>
          <w:lang w:bidi="ar-SY"/>
        </w:rPr>
        <w:t xml:space="preserve"> </w:t>
      </w:r>
      <w:r w:rsidR="00F32B28" w:rsidRPr="00F32B28">
        <w:rPr>
          <w:rtl/>
          <w:lang w:bidi="ar-SY"/>
        </w:rPr>
        <w:t>فأكثر،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القوى</w:t>
      </w:r>
      <w:r w:rsidR="00F32B28">
        <w:rPr>
          <w:rtl/>
          <w:lang w:bidi="ar-SY"/>
        </w:rPr>
        <w:t xml:space="preserve"> </w:t>
      </w:r>
      <w:r w:rsidR="00F32B28" w:rsidRPr="00F32B28">
        <w:rPr>
          <w:rtl/>
          <w:lang w:bidi="ar-SY"/>
        </w:rPr>
        <w:t>العاملة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قد</w:t>
      </w:r>
      <w:r w:rsidR="00F32B28">
        <w:rPr>
          <w:rtl/>
          <w:lang w:bidi="ar-SY"/>
        </w:rPr>
        <w:t xml:space="preserve"> </w:t>
      </w:r>
      <w:r w:rsidR="00F32B28" w:rsidRPr="00F32B28">
        <w:rPr>
          <w:rtl/>
          <w:lang w:bidi="ar-SY"/>
        </w:rPr>
        <w:t>شهدت</w:t>
      </w:r>
      <w:r w:rsidR="00F32B28">
        <w:rPr>
          <w:rtl/>
          <w:lang w:bidi="ar-SY"/>
        </w:rPr>
        <w:t xml:space="preserve"> </w:t>
      </w:r>
      <w:r w:rsidR="00F32B28" w:rsidRPr="00F32B28">
        <w:rPr>
          <w:rtl/>
          <w:lang w:bidi="ar-SY"/>
        </w:rPr>
        <w:t>تحسناً</w:t>
      </w:r>
      <w:r w:rsidR="00F32B28">
        <w:rPr>
          <w:rtl/>
          <w:lang w:bidi="ar-SY"/>
        </w:rPr>
        <w:t xml:space="preserve"> </w:t>
      </w:r>
      <w:r w:rsidR="00F32B28" w:rsidRPr="00F32B28">
        <w:rPr>
          <w:rtl/>
          <w:lang w:bidi="ar-SY"/>
        </w:rPr>
        <w:t>ملحوظاً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2015،</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بحسب</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أشارت</w:t>
      </w:r>
      <w:r w:rsidR="00F32B28">
        <w:rPr>
          <w:rtl/>
          <w:lang w:bidi="ar-SY"/>
        </w:rPr>
        <w:t xml:space="preserve"> </w:t>
      </w:r>
      <w:r w:rsidR="00F32B28" w:rsidRPr="00F32B28">
        <w:rPr>
          <w:rtl/>
          <w:lang w:bidi="ar-SY"/>
        </w:rPr>
        <w:t>إليه</w:t>
      </w:r>
      <w:r w:rsidR="00F32B28">
        <w:rPr>
          <w:rtl/>
          <w:lang w:bidi="ar-SY"/>
        </w:rPr>
        <w:t xml:space="preserve"> </w:t>
      </w:r>
      <w:r w:rsidR="00F32B28" w:rsidRPr="00F32B28">
        <w:rPr>
          <w:rtl/>
          <w:lang w:bidi="ar-SY"/>
        </w:rPr>
        <w:t>إحصاءات</w:t>
      </w:r>
      <w:r w:rsidR="00F32B28">
        <w:rPr>
          <w:rtl/>
          <w:lang w:bidi="ar-SY"/>
        </w:rPr>
        <w:t xml:space="preserve"> </w:t>
      </w:r>
      <w:r w:rsidR="00F32B28" w:rsidRPr="00F32B28">
        <w:rPr>
          <w:rtl/>
          <w:lang w:bidi="ar-SY"/>
        </w:rPr>
        <w:t>الجهاز</w:t>
      </w:r>
      <w:r w:rsidR="00F32B28">
        <w:rPr>
          <w:rtl/>
          <w:lang w:bidi="ar-SY"/>
        </w:rPr>
        <w:t xml:space="preserve"> </w:t>
      </w:r>
      <w:r w:rsidR="00F32B28" w:rsidRPr="00F32B28">
        <w:rPr>
          <w:rtl/>
          <w:lang w:bidi="ar-SY"/>
        </w:rPr>
        <w:t>المركزي</w:t>
      </w:r>
      <w:r w:rsidR="00F32B28">
        <w:rPr>
          <w:rtl/>
          <w:lang w:bidi="ar-SY"/>
        </w:rPr>
        <w:t xml:space="preserve"> </w:t>
      </w:r>
      <w:r w:rsidR="00F32B28" w:rsidRPr="00F32B28">
        <w:rPr>
          <w:rtl/>
          <w:lang w:bidi="ar-SY"/>
        </w:rPr>
        <w:t>للإحصاء</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بلغت</w:t>
      </w:r>
      <w:r w:rsidR="00F32B28">
        <w:rPr>
          <w:rtl/>
          <w:lang w:bidi="ar-SY"/>
        </w:rPr>
        <w:t xml:space="preserve"> </w:t>
      </w:r>
      <w:r w:rsidR="00F32B28" w:rsidRPr="00F32B28">
        <w:rPr>
          <w:rtl/>
          <w:lang w:bidi="ar-SY"/>
        </w:rPr>
        <w:t>19.1</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مقابل</w:t>
      </w:r>
      <w:r w:rsidR="00F32B28">
        <w:rPr>
          <w:rtl/>
          <w:lang w:bidi="ar-SY"/>
        </w:rPr>
        <w:t xml:space="preserve"> </w:t>
      </w:r>
      <w:r w:rsidR="00F32B28" w:rsidRPr="00F32B28">
        <w:rPr>
          <w:rtl/>
          <w:lang w:bidi="ar-SY"/>
        </w:rPr>
        <w:t>71.9</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للرجال.</w:t>
      </w:r>
      <w:r w:rsidR="00F32B28">
        <w:rPr>
          <w:rtl/>
          <w:lang w:bidi="ar-SY"/>
        </w:rPr>
        <w:t xml:space="preserve"> </w:t>
      </w:r>
      <w:r w:rsidR="00F32B28" w:rsidRPr="00F32B28">
        <w:rPr>
          <w:rtl/>
          <w:lang w:bidi="ar-SY"/>
        </w:rPr>
        <w:t>وبالرغم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التحسن</w:t>
      </w:r>
      <w:r w:rsidR="00F32B28">
        <w:rPr>
          <w:rtl/>
          <w:lang w:bidi="ar-SY"/>
        </w:rPr>
        <w:t xml:space="preserve"> </w:t>
      </w:r>
      <w:r w:rsidR="00F32B28" w:rsidRPr="00F32B28">
        <w:rPr>
          <w:rtl/>
          <w:lang w:bidi="ar-SY"/>
        </w:rPr>
        <w:t>وما</w:t>
      </w:r>
      <w:r w:rsidR="00F32B28">
        <w:rPr>
          <w:rtl/>
          <w:lang w:bidi="ar-SY"/>
        </w:rPr>
        <w:t xml:space="preserve"> </w:t>
      </w:r>
      <w:r w:rsidR="00F32B28" w:rsidRPr="00F32B28">
        <w:rPr>
          <w:rtl/>
          <w:lang w:bidi="ar-SY"/>
        </w:rPr>
        <w:t>رافقه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انخفاض</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فجوة</w:t>
      </w:r>
      <w:r w:rsidR="00F32B28">
        <w:rPr>
          <w:rtl/>
          <w:lang w:bidi="ar-SY"/>
        </w:rPr>
        <w:t xml:space="preserve"> </w:t>
      </w:r>
      <w:r w:rsidR="00F32B28" w:rsidRPr="00F32B28">
        <w:rPr>
          <w:rtl/>
          <w:lang w:bidi="ar-SY"/>
        </w:rPr>
        <w:t>المشاركة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القوى</w:t>
      </w:r>
      <w:r w:rsidR="00F32B28">
        <w:rPr>
          <w:rtl/>
          <w:lang w:bidi="ar-SY"/>
        </w:rPr>
        <w:t xml:space="preserve"> </w:t>
      </w:r>
      <w:r w:rsidR="00F32B28" w:rsidRPr="00F32B28">
        <w:rPr>
          <w:rtl/>
          <w:lang w:bidi="ar-SY"/>
        </w:rPr>
        <w:t>العاملة</w:t>
      </w:r>
      <w:r w:rsidR="00F32B28">
        <w:rPr>
          <w:rtl/>
          <w:lang w:bidi="ar-SY"/>
        </w:rPr>
        <w:t xml:space="preserve"> </w:t>
      </w:r>
      <w:r w:rsidR="00F32B28" w:rsidRPr="00F32B28">
        <w:rPr>
          <w:rtl/>
          <w:lang w:bidi="ar-SY"/>
        </w:rPr>
        <w:t>لصالح</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مقارنةً</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كانت</w:t>
      </w:r>
      <w:r w:rsidR="00F32B28">
        <w:rPr>
          <w:rtl/>
          <w:lang w:bidi="ar-SY"/>
        </w:rPr>
        <w:t xml:space="preserve"> </w:t>
      </w:r>
      <w:r w:rsidR="00F32B28" w:rsidRPr="00F32B28">
        <w:rPr>
          <w:rtl/>
          <w:lang w:bidi="ar-SY"/>
        </w:rPr>
        <w:t>عليه</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2000،</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بلغت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حينه</w:t>
      </w:r>
      <w:r w:rsidR="00F32B28">
        <w:rPr>
          <w:rtl/>
          <w:lang w:bidi="ar-SY"/>
        </w:rPr>
        <w:t xml:space="preserve"> </w:t>
      </w:r>
      <w:r w:rsidR="00F32B28" w:rsidRPr="00F32B28">
        <w:rPr>
          <w:rtl/>
          <w:lang w:bidi="ar-SY"/>
        </w:rPr>
        <w:t>10.3</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للنساء</w:t>
      </w:r>
      <w:r w:rsidR="00F32B28">
        <w:rPr>
          <w:rtl/>
          <w:lang w:bidi="ar-SY"/>
        </w:rPr>
        <w:t xml:space="preserve"> </w:t>
      </w:r>
      <w:r w:rsidR="00F32B28" w:rsidRPr="00F32B28">
        <w:rPr>
          <w:rtl/>
          <w:lang w:bidi="ar-SY"/>
        </w:rPr>
        <w:t>مقابل</w:t>
      </w:r>
      <w:r w:rsidR="00F32B28">
        <w:rPr>
          <w:rtl/>
          <w:lang w:bidi="ar-SY"/>
        </w:rPr>
        <w:t xml:space="preserve"> </w:t>
      </w:r>
      <w:r w:rsidR="00F32B28" w:rsidRPr="00F32B28">
        <w:rPr>
          <w:rtl/>
          <w:lang w:bidi="ar-SY"/>
        </w:rPr>
        <w:t>66.8</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للرجال،</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أنه</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تزال</w:t>
      </w:r>
      <w:r w:rsidR="00F32B28">
        <w:rPr>
          <w:rtl/>
          <w:lang w:bidi="ar-SY"/>
        </w:rPr>
        <w:t xml:space="preserve"> </w:t>
      </w:r>
      <w:r w:rsidR="00F32B28" w:rsidRPr="00F32B28">
        <w:rPr>
          <w:rtl/>
          <w:lang w:bidi="ar-SY"/>
        </w:rPr>
        <w:t>مشاركة</w:t>
      </w:r>
      <w:r w:rsidR="00F32B28">
        <w:rPr>
          <w:rtl/>
          <w:lang w:bidi="ar-SY"/>
        </w:rPr>
        <w:t xml:space="preserve"> </w:t>
      </w:r>
      <w:r w:rsidR="00F32B28" w:rsidRPr="00F32B28">
        <w:rPr>
          <w:rtl/>
          <w:lang w:bidi="ar-SY"/>
        </w:rPr>
        <w:t>الرجال</w:t>
      </w:r>
      <w:r w:rsidR="00F32B28">
        <w:rPr>
          <w:rtl/>
          <w:lang w:bidi="ar-SY"/>
        </w:rPr>
        <w:t xml:space="preserve"> </w:t>
      </w:r>
      <w:r w:rsidR="00F32B28" w:rsidRPr="00F32B28">
        <w:rPr>
          <w:rtl/>
          <w:lang w:bidi="ar-SY"/>
        </w:rPr>
        <w:t>تزيد</w:t>
      </w:r>
      <w:r w:rsidR="00F32B28">
        <w:rPr>
          <w:rtl/>
          <w:lang w:bidi="ar-SY"/>
        </w:rPr>
        <w:t xml:space="preserve"> </w:t>
      </w:r>
      <w:r w:rsidR="00F32B28" w:rsidRPr="00F32B28">
        <w:rPr>
          <w:rtl/>
          <w:lang w:bidi="ar-SY"/>
        </w:rPr>
        <w:t>بأكثر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4</w:t>
      </w:r>
      <w:r w:rsidR="00F32B28">
        <w:rPr>
          <w:rtl/>
          <w:lang w:bidi="ar-SY"/>
        </w:rPr>
        <w:t xml:space="preserve"> </w:t>
      </w:r>
      <w:r w:rsidR="00F32B28" w:rsidRPr="00F32B28">
        <w:rPr>
          <w:rtl/>
          <w:lang w:bidi="ar-SY"/>
        </w:rPr>
        <w:t>أضعاف</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مشاركة</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2015.</w:t>
      </w:r>
      <w:r w:rsidR="00F32B28">
        <w:rPr>
          <w:rtl/>
          <w:lang w:bidi="ar-SY"/>
        </w:rPr>
        <w:t xml:space="preserve"> </w:t>
      </w:r>
    </w:p>
    <w:p w:rsidR="00F32B28" w:rsidRDefault="00294F23" w:rsidP="00294F23">
      <w:pPr>
        <w:pStyle w:val="SingleTxt"/>
        <w:rPr>
          <w:rtl/>
          <w:lang w:bidi="ar-SY"/>
        </w:rPr>
      </w:pPr>
      <w:r>
        <w:rPr>
          <w:rFonts w:hint="cs"/>
          <w:rtl/>
          <w:lang w:bidi="ar-SY"/>
        </w:rPr>
        <w:lastRenderedPageBreak/>
        <w:t xml:space="preserve">219 - </w:t>
      </w:r>
      <w:r w:rsidR="00F32B28" w:rsidRPr="00F32B28">
        <w:rPr>
          <w:rtl/>
          <w:lang w:bidi="ar-SY"/>
        </w:rPr>
        <w:t>ويبين</w:t>
      </w:r>
      <w:r w:rsidR="00F32B28">
        <w:rPr>
          <w:rtl/>
          <w:lang w:bidi="ar-SY"/>
        </w:rPr>
        <w:t xml:space="preserve"> </w:t>
      </w:r>
      <w:r w:rsidR="00F32B28" w:rsidRPr="00F32B28">
        <w:rPr>
          <w:rtl/>
          <w:lang w:bidi="ar-SY"/>
        </w:rPr>
        <w:t>الجدول</w:t>
      </w:r>
      <w:r w:rsidR="00F32B28">
        <w:rPr>
          <w:rtl/>
          <w:lang w:bidi="ar-SY"/>
        </w:rPr>
        <w:t xml:space="preserve"> </w:t>
      </w:r>
      <w:r w:rsidR="00F32B28" w:rsidRPr="00F32B28">
        <w:rPr>
          <w:rtl/>
          <w:lang w:bidi="ar-SY"/>
        </w:rPr>
        <w:t>التالي</w:t>
      </w:r>
      <w:r w:rsidR="00F32B28">
        <w:rPr>
          <w:rtl/>
          <w:lang w:bidi="ar-SY"/>
        </w:rPr>
        <w:t xml:space="preserve"> </w:t>
      </w:r>
      <w:r w:rsidR="00F32B28" w:rsidRPr="00F32B28">
        <w:rPr>
          <w:rtl/>
          <w:lang w:bidi="ar-SY"/>
        </w:rPr>
        <w:t>توزع</w:t>
      </w:r>
      <w:r w:rsidR="00F32B28">
        <w:rPr>
          <w:rtl/>
          <w:lang w:bidi="ar-SY"/>
        </w:rPr>
        <w:t xml:space="preserve"> </w:t>
      </w:r>
      <w:r w:rsidR="00F32B28" w:rsidRPr="00F32B28">
        <w:rPr>
          <w:rtl/>
          <w:lang w:bidi="ar-SY"/>
        </w:rPr>
        <w:t>القوى</w:t>
      </w:r>
      <w:r w:rsidR="00F32B28">
        <w:rPr>
          <w:rtl/>
          <w:lang w:bidi="ar-SY"/>
        </w:rPr>
        <w:t xml:space="preserve"> </w:t>
      </w:r>
      <w:r w:rsidR="00F32B28" w:rsidRPr="00F32B28">
        <w:rPr>
          <w:rtl/>
          <w:lang w:bidi="ar-SY"/>
        </w:rPr>
        <w:t>العاملة</w:t>
      </w:r>
      <w:r w:rsidR="00F32B28">
        <w:rPr>
          <w:rtl/>
          <w:lang w:bidi="ar-SY"/>
        </w:rPr>
        <w:t xml:space="preserve"> </w:t>
      </w:r>
      <w:r w:rsidR="00F32B28" w:rsidRPr="00F32B28">
        <w:rPr>
          <w:rtl/>
          <w:lang w:bidi="ar-SY"/>
        </w:rPr>
        <w:t>حسب</w:t>
      </w:r>
      <w:r w:rsidR="00F32B28">
        <w:rPr>
          <w:rtl/>
          <w:lang w:bidi="ar-SY"/>
        </w:rPr>
        <w:t xml:space="preserve"> </w:t>
      </w:r>
      <w:r w:rsidR="00F32B28" w:rsidRPr="00F32B28">
        <w:rPr>
          <w:rtl/>
          <w:lang w:bidi="ar-SY"/>
        </w:rPr>
        <w:t>الفئات</w:t>
      </w:r>
      <w:r w:rsidR="00F32B28">
        <w:rPr>
          <w:rtl/>
          <w:lang w:bidi="ar-SY"/>
        </w:rPr>
        <w:t xml:space="preserve"> </w:t>
      </w:r>
      <w:r w:rsidR="00F32B28" w:rsidRPr="00F32B28">
        <w:rPr>
          <w:rtl/>
          <w:lang w:bidi="ar-SY"/>
        </w:rPr>
        <w:t>العمرية</w:t>
      </w:r>
      <w:r w:rsidR="00F32B28">
        <w:rPr>
          <w:rtl/>
          <w:lang w:bidi="ar-SY"/>
        </w:rPr>
        <w:t xml:space="preserve"> </w:t>
      </w:r>
      <w:r w:rsidR="00F32B28" w:rsidRPr="00F32B28">
        <w:rPr>
          <w:rtl/>
          <w:lang w:bidi="ar-SY"/>
        </w:rPr>
        <w:t>والجنس</w:t>
      </w:r>
      <w:r w:rsidR="00F32B28">
        <w:rPr>
          <w:rtl/>
          <w:lang w:bidi="ar-SY"/>
        </w:rPr>
        <w:t xml:space="preserve"> </w:t>
      </w:r>
      <w:r w:rsidR="00F32B28" w:rsidRPr="00F32B28">
        <w:rPr>
          <w:rtl/>
          <w:lang w:bidi="ar-SY"/>
        </w:rPr>
        <w:t>للعام</w:t>
      </w:r>
      <w:r w:rsidR="00F32B28">
        <w:rPr>
          <w:rtl/>
          <w:lang w:bidi="ar-SY"/>
        </w:rPr>
        <w:t xml:space="preserve"> </w:t>
      </w:r>
      <w:r w:rsidR="00F32B28" w:rsidRPr="00F32B28">
        <w:rPr>
          <w:rtl/>
          <w:lang w:bidi="ar-SY"/>
        </w:rPr>
        <w:t>2015:</w:t>
      </w:r>
    </w:p>
    <w:p w:rsidR="00294F23" w:rsidRPr="00294F23" w:rsidRDefault="00294F23" w:rsidP="00294F23">
      <w:pPr>
        <w:pStyle w:val="SingleTxt"/>
        <w:spacing w:after="0" w:line="120" w:lineRule="exact"/>
        <w:rPr>
          <w:sz w:val="10"/>
          <w:rtl/>
          <w:lang w:bidi="ar-SY"/>
        </w:rPr>
      </w:pPr>
    </w:p>
    <w:p w:rsidR="00294F23" w:rsidRDefault="00294F23" w:rsidP="00294F23">
      <w:pPr>
        <w:pStyle w:val="SingleTxt"/>
        <w:rPr>
          <w:lang w:bidi="ar-SY"/>
        </w:rPr>
      </w:pPr>
      <w:r w:rsidRPr="00294F23">
        <w:rPr>
          <w:rtl/>
          <w:lang w:bidi="ar-SY"/>
        </w:rPr>
        <w:t>جدول رقم (4)</w:t>
      </w:r>
      <w:r>
        <w:rPr>
          <w:rFonts w:hint="cs"/>
          <w:rtl/>
          <w:lang w:bidi="ar-SY"/>
        </w:rPr>
        <w:tab/>
      </w:r>
      <w:r>
        <w:rPr>
          <w:rFonts w:hint="cs"/>
          <w:rtl/>
          <w:lang w:bidi="ar-SY"/>
        </w:rPr>
        <w:br/>
      </w:r>
      <w:r w:rsidRPr="00294F23">
        <w:rPr>
          <w:b/>
          <w:bCs/>
          <w:rtl/>
          <w:lang w:bidi="ar-LB"/>
        </w:rPr>
        <w:t>توزع القوى العاملة الفعلية حسب الفئات العمرية والجنس لعام 2015</w:t>
      </w:r>
    </w:p>
    <w:tbl>
      <w:tblPr>
        <w:bidiVisual/>
        <w:tblW w:w="0" w:type="auto"/>
        <w:tblInd w:w="1267" w:type="dxa"/>
        <w:tblLayout w:type="fixed"/>
        <w:tblCellMar>
          <w:left w:w="0" w:type="dxa"/>
          <w:right w:w="0" w:type="dxa"/>
        </w:tblCellMar>
        <w:tblLook w:val="0000" w:firstRow="0" w:lastRow="0" w:firstColumn="0" w:lastColumn="0" w:noHBand="0" w:noVBand="0"/>
      </w:tblPr>
      <w:tblGrid>
        <w:gridCol w:w="3713"/>
        <w:gridCol w:w="1202"/>
        <w:gridCol w:w="1202"/>
        <w:gridCol w:w="1203"/>
      </w:tblGrid>
      <w:tr w:rsidR="00294F23" w:rsidRPr="00294F23" w:rsidTr="009F4D72">
        <w:trPr>
          <w:cantSplit/>
          <w:tblHeader/>
        </w:trPr>
        <w:tc>
          <w:tcPr>
            <w:tcW w:w="3713" w:type="dxa"/>
            <w:tcBorders>
              <w:top w:val="single" w:sz="4" w:space="0" w:color="auto"/>
              <w:bottom w:val="single" w:sz="12" w:space="0" w:color="auto"/>
            </w:tcBorders>
            <w:shd w:val="clear" w:color="auto" w:fill="auto"/>
            <w:vAlign w:val="bottom"/>
          </w:tcPr>
          <w:p w:rsidR="00294F23" w:rsidRPr="00294F23" w:rsidRDefault="00294F23" w:rsidP="00294F23">
            <w:pPr>
              <w:pStyle w:val="DualTxt"/>
              <w:spacing w:before="80" w:after="80" w:line="240" w:lineRule="exact"/>
              <w:ind w:left="43"/>
              <w:rPr>
                <w:i/>
                <w:iCs/>
                <w:sz w:val="16"/>
                <w:szCs w:val="24"/>
                <w:rtl/>
                <w:lang w:bidi="ar-JO"/>
              </w:rPr>
            </w:pPr>
            <w:r w:rsidRPr="00294F23">
              <w:rPr>
                <w:i/>
                <w:iCs/>
                <w:sz w:val="16"/>
                <w:szCs w:val="24"/>
                <w:rtl/>
                <w:lang w:bidi="ar-JO"/>
              </w:rPr>
              <w:t>العمر</w:t>
            </w:r>
          </w:p>
        </w:tc>
        <w:tc>
          <w:tcPr>
            <w:tcW w:w="1202" w:type="dxa"/>
            <w:tcBorders>
              <w:top w:val="single" w:sz="4" w:space="0" w:color="auto"/>
              <w:bottom w:val="single" w:sz="12" w:space="0" w:color="auto"/>
            </w:tcBorders>
            <w:shd w:val="clear" w:color="auto" w:fill="auto"/>
            <w:vAlign w:val="bottom"/>
          </w:tcPr>
          <w:p w:rsidR="00294F23" w:rsidRPr="00294F23" w:rsidRDefault="00294F23" w:rsidP="00294F23">
            <w:pPr>
              <w:pStyle w:val="DualTxt"/>
              <w:spacing w:before="80" w:after="80" w:line="240" w:lineRule="exact"/>
              <w:ind w:left="43"/>
              <w:rPr>
                <w:i/>
                <w:iCs/>
                <w:sz w:val="16"/>
                <w:szCs w:val="24"/>
                <w:rtl/>
                <w:lang w:bidi="ar-JO"/>
              </w:rPr>
            </w:pPr>
            <w:r w:rsidRPr="00294F23">
              <w:rPr>
                <w:i/>
                <w:iCs/>
                <w:sz w:val="16"/>
                <w:szCs w:val="24"/>
                <w:rtl/>
                <w:lang w:bidi="ar-JO"/>
              </w:rPr>
              <w:t>المجموع</w:t>
            </w:r>
          </w:p>
        </w:tc>
        <w:tc>
          <w:tcPr>
            <w:tcW w:w="1202" w:type="dxa"/>
            <w:tcBorders>
              <w:top w:val="single" w:sz="4" w:space="0" w:color="auto"/>
              <w:bottom w:val="single" w:sz="12" w:space="0" w:color="auto"/>
            </w:tcBorders>
            <w:shd w:val="clear" w:color="auto" w:fill="auto"/>
            <w:vAlign w:val="bottom"/>
          </w:tcPr>
          <w:p w:rsidR="00294F23" w:rsidRPr="00294F23" w:rsidRDefault="00294F23" w:rsidP="00294F23">
            <w:pPr>
              <w:pStyle w:val="DualTxt"/>
              <w:spacing w:before="80" w:after="80" w:line="240" w:lineRule="exact"/>
              <w:ind w:left="43"/>
              <w:rPr>
                <w:i/>
                <w:iCs/>
                <w:sz w:val="16"/>
                <w:szCs w:val="24"/>
                <w:rtl/>
                <w:lang w:bidi="ar-JO"/>
              </w:rPr>
            </w:pPr>
            <w:r w:rsidRPr="00294F23">
              <w:rPr>
                <w:i/>
                <w:iCs/>
                <w:sz w:val="16"/>
                <w:szCs w:val="24"/>
                <w:rtl/>
                <w:lang w:bidi="ar-JO"/>
              </w:rPr>
              <w:t>الذكور</w:t>
            </w:r>
          </w:p>
        </w:tc>
        <w:tc>
          <w:tcPr>
            <w:tcW w:w="1203" w:type="dxa"/>
            <w:tcBorders>
              <w:top w:val="single" w:sz="4" w:space="0" w:color="auto"/>
              <w:bottom w:val="single" w:sz="12" w:space="0" w:color="auto"/>
            </w:tcBorders>
            <w:shd w:val="clear" w:color="auto" w:fill="auto"/>
            <w:vAlign w:val="bottom"/>
          </w:tcPr>
          <w:p w:rsidR="00294F23" w:rsidRPr="00294F23" w:rsidRDefault="00294F23" w:rsidP="00294F23">
            <w:pPr>
              <w:pStyle w:val="DualTxt"/>
              <w:spacing w:before="80" w:after="80" w:line="240" w:lineRule="exact"/>
              <w:ind w:left="43"/>
              <w:rPr>
                <w:i/>
                <w:iCs/>
                <w:sz w:val="16"/>
                <w:szCs w:val="24"/>
                <w:rtl/>
                <w:lang w:bidi="ar-JO"/>
              </w:rPr>
            </w:pPr>
            <w:r w:rsidRPr="00294F23">
              <w:rPr>
                <w:i/>
                <w:iCs/>
                <w:sz w:val="16"/>
                <w:szCs w:val="24"/>
                <w:rtl/>
                <w:lang w:bidi="ar-JO"/>
              </w:rPr>
              <w:t>الإناث</w:t>
            </w:r>
          </w:p>
        </w:tc>
      </w:tr>
      <w:tr w:rsidR="00294F23" w:rsidRPr="00294F23" w:rsidTr="009F4D72">
        <w:trPr>
          <w:cantSplit/>
          <w:trHeight w:hRule="exact" w:val="115"/>
          <w:tblHeader/>
        </w:trPr>
        <w:tc>
          <w:tcPr>
            <w:tcW w:w="3713" w:type="dxa"/>
            <w:tcBorders>
              <w:top w:val="single" w:sz="12" w:space="0" w:color="auto"/>
            </w:tcBorders>
            <w:shd w:val="clear" w:color="auto" w:fill="auto"/>
            <w:vAlign w:val="bottom"/>
          </w:tcPr>
          <w:p w:rsidR="00294F23" w:rsidRPr="00294F23" w:rsidRDefault="00294F23" w:rsidP="00294F23">
            <w:pPr>
              <w:pStyle w:val="DualTxt"/>
              <w:spacing w:before="40" w:after="80" w:line="240" w:lineRule="exact"/>
              <w:rPr>
                <w:sz w:val="16"/>
                <w:szCs w:val="24"/>
                <w:rtl/>
              </w:rPr>
            </w:pPr>
          </w:p>
        </w:tc>
        <w:tc>
          <w:tcPr>
            <w:tcW w:w="1202" w:type="dxa"/>
            <w:tcBorders>
              <w:top w:val="single" w:sz="12" w:space="0" w:color="auto"/>
            </w:tcBorders>
            <w:shd w:val="clear" w:color="auto" w:fill="auto"/>
            <w:vAlign w:val="bottom"/>
          </w:tcPr>
          <w:p w:rsidR="00294F23" w:rsidRPr="00294F23" w:rsidRDefault="00294F23" w:rsidP="00294F23">
            <w:pPr>
              <w:tabs>
                <w:tab w:val="left" w:pos="288"/>
                <w:tab w:val="left" w:pos="576"/>
                <w:tab w:val="left" w:pos="864"/>
                <w:tab w:val="left" w:pos="1152"/>
              </w:tabs>
              <w:spacing w:before="40" w:after="80" w:line="240" w:lineRule="exact"/>
              <w:ind w:left="43" w:right="101"/>
              <w:rPr>
                <w:sz w:val="16"/>
                <w:szCs w:val="24"/>
                <w:rtl/>
                <w:lang w:bidi="ar-SY"/>
              </w:rPr>
            </w:pPr>
          </w:p>
        </w:tc>
        <w:tc>
          <w:tcPr>
            <w:tcW w:w="1202" w:type="dxa"/>
            <w:tcBorders>
              <w:top w:val="single" w:sz="12" w:space="0" w:color="auto"/>
            </w:tcBorders>
            <w:shd w:val="clear" w:color="auto" w:fill="auto"/>
            <w:vAlign w:val="bottom"/>
          </w:tcPr>
          <w:p w:rsidR="00294F23" w:rsidRPr="00294F23" w:rsidRDefault="00294F23" w:rsidP="00294F23">
            <w:pPr>
              <w:tabs>
                <w:tab w:val="left" w:pos="288"/>
                <w:tab w:val="left" w:pos="576"/>
                <w:tab w:val="left" w:pos="864"/>
                <w:tab w:val="left" w:pos="1152"/>
              </w:tabs>
              <w:spacing w:before="40" w:after="80" w:line="240" w:lineRule="exact"/>
              <w:ind w:left="43" w:right="101"/>
              <w:rPr>
                <w:sz w:val="16"/>
                <w:szCs w:val="24"/>
                <w:rtl/>
                <w:lang w:bidi="ar-SY"/>
              </w:rPr>
            </w:pPr>
          </w:p>
        </w:tc>
        <w:tc>
          <w:tcPr>
            <w:tcW w:w="1203" w:type="dxa"/>
            <w:tcBorders>
              <w:top w:val="single" w:sz="12" w:space="0" w:color="auto"/>
            </w:tcBorders>
            <w:shd w:val="clear" w:color="auto" w:fill="auto"/>
            <w:vAlign w:val="bottom"/>
          </w:tcPr>
          <w:p w:rsidR="00294F23" w:rsidRPr="00294F23" w:rsidRDefault="00294F23" w:rsidP="00294F23">
            <w:pPr>
              <w:tabs>
                <w:tab w:val="left" w:pos="288"/>
                <w:tab w:val="left" w:pos="576"/>
                <w:tab w:val="left" w:pos="864"/>
                <w:tab w:val="left" w:pos="1152"/>
              </w:tabs>
              <w:spacing w:before="40" w:after="80" w:line="240" w:lineRule="exact"/>
              <w:ind w:left="43" w:right="101"/>
              <w:rPr>
                <w:sz w:val="16"/>
                <w:szCs w:val="24"/>
                <w:rtl/>
                <w:lang w:bidi="ar-SY"/>
              </w:rPr>
            </w:pPr>
          </w:p>
        </w:tc>
      </w:tr>
      <w:tr w:rsidR="00294F23" w:rsidRPr="00294F23" w:rsidTr="009F4D72">
        <w:trPr>
          <w:cantSplit/>
        </w:trPr>
        <w:tc>
          <w:tcPr>
            <w:tcW w:w="3713" w:type="dxa"/>
            <w:shd w:val="clear" w:color="auto" w:fill="auto"/>
            <w:vAlign w:val="bottom"/>
          </w:tcPr>
          <w:p w:rsidR="00294F23" w:rsidRPr="00294F23" w:rsidRDefault="00294F23" w:rsidP="00294F23">
            <w:pPr>
              <w:pStyle w:val="DualTxt"/>
              <w:spacing w:before="40" w:after="80" w:line="240" w:lineRule="exact"/>
              <w:ind w:left="43"/>
              <w:rPr>
                <w:sz w:val="16"/>
                <w:szCs w:val="24"/>
                <w:rtl/>
              </w:rPr>
            </w:pPr>
            <w:r w:rsidRPr="00294F23">
              <w:rPr>
                <w:sz w:val="16"/>
                <w:szCs w:val="24"/>
                <w:rtl/>
              </w:rPr>
              <w:t>15</w:t>
            </w:r>
            <w:r w:rsidRPr="00294F23">
              <w:rPr>
                <w:rFonts w:hint="cs"/>
                <w:sz w:val="16"/>
                <w:szCs w:val="24"/>
                <w:rtl/>
              </w:rPr>
              <w:t>-</w:t>
            </w:r>
            <w:r w:rsidRPr="00294F23">
              <w:rPr>
                <w:sz w:val="16"/>
                <w:szCs w:val="24"/>
                <w:rtl/>
              </w:rPr>
              <w:t>24</w:t>
            </w:r>
          </w:p>
        </w:tc>
        <w:tc>
          <w:tcPr>
            <w:tcW w:w="1202"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32</w:t>
            </w:r>
            <w:r w:rsidRPr="00294F23">
              <w:rPr>
                <w:sz w:val="16"/>
                <w:szCs w:val="24"/>
              </w:rPr>
              <w:t>,</w:t>
            </w:r>
            <w:r w:rsidRPr="00294F23">
              <w:rPr>
                <w:sz w:val="16"/>
                <w:szCs w:val="24"/>
                <w:rtl/>
              </w:rPr>
              <w:t>7</w:t>
            </w:r>
          </w:p>
        </w:tc>
        <w:tc>
          <w:tcPr>
            <w:tcW w:w="1202"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52</w:t>
            </w:r>
            <w:r w:rsidRPr="00294F23">
              <w:rPr>
                <w:sz w:val="16"/>
                <w:szCs w:val="24"/>
              </w:rPr>
              <w:t>,</w:t>
            </w:r>
            <w:r w:rsidRPr="00294F23">
              <w:rPr>
                <w:sz w:val="16"/>
                <w:szCs w:val="24"/>
                <w:rtl/>
              </w:rPr>
              <w:t>9</w:t>
            </w:r>
          </w:p>
        </w:tc>
        <w:tc>
          <w:tcPr>
            <w:tcW w:w="1203"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11</w:t>
            </w:r>
            <w:r w:rsidRPr="00294F23">
              <w:rPr>
                <w:sz w:val="16"/>
                <w:szCs w:val="24"/>
              </w:rPr>
              <w:t>,</w:t>
            </w:r>
            <w:r w:rsidRPr="00294F23">
              <w:rPr>
                <w:sz w:val="16"/>
                <w:szCs w:val="24"/>
                <w:rtl/>
              </w:rPr>
              <w:t>6</w:t>
            </w:r>
          </w:p>
        </w:tc>
      </w:tr>
      <w:tr w:rsidR="00294F23" w:rsidRPr="00294F23" w:rsidTr="009F4D72">
        <w:trPr>
          <w:cantSplit/>
        </w:trPr>
        <w:tc>
          <w:tcPr>
            <w:tcW w:w="3713" w:type="dxa"/>
            <w:shd w:val="clear" w:color="auto" w:fill="auto"/>
            <w:vAlign w:val="bottom"/>
          </w:tcPr>
          <w:p w:rsidR="00294F23" w:rsidRPr="00294F23" w:rsidRDefault="00294F23" w:rsidP="00294F23">
            <w:pPr>
              <w:pStyle w:val="DualTxt"/>
              <w:spacing w:before="40" w:after="80" w:line="240" w:lineRule="exact"/>
              <w:ind w:left="43"/>
              <w:rPr>
                <w:sz w:val="16"/>
                <w:szCs w:val="24"/>
                <w:rtl/>
              </w:rPr>
            </w:pPr>
            <w:r w:rsidRPr="00294F23">
              <w:rPr>
                <w:sz w:val="16"/>
                <w:szCs w:val="24"/>
                <w:rtl/>
              </w:rPr>
              <w:t>25</w:t>
            </w:r>
            <w:r w:rsidRPr="00294F23">
              <w:rPr>
                <w:rFonts w:hint="cs"/>
                <w:sz w:val="16"/>
                <w:szCs w:val="24"/>
                <w:rtl/>
              </w:rPr>
              <w:t>-</w:t>
            </w:r>
            <w:r w:rsidRPr="00294F23">
              <w:rPr>
                <w:sz w:val="16"/>
                <w:szCs w:val="24"/>
                <w:rtl/>
              </w:rPr>
              <w:t>34</w:t>
            </w:r>
          </w:p>
        </w:tc>
        <w:tc>
          <w:tcPr>
            <w:tcW w:w="1202"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61</w:t>
            </w:r>
            <w:r w:rsidRPr="00294F23">
              <w:rPr>
                <w:sz w:val="16"/>
                <w:szCs w:val="24"/>
              </w:rPr>
              <w:t>,</w:t>
            </w:r>
            <w:r w:rsidRPr="00294F23">
              <w:rPr>
                <w:sz w:val="16"/>
                <w:szCs w:val="24"/>
                <w:rtl/>
              </w:rPr>
              <w:t>4</w:t>
            </w:r>
          </w:p>
        </w:tc>
        <w:tc>
          <w:tcPr>
            <w:tcW w:w="1202"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90</w:t>
            </w:r>
            <w:r w:rsidRPr="00294F23">
              <w:rPr>
                <w:sz w:val="16"/>
                <w:szCs w:val="24"/>
              </w:rPr>
              <w:t>,</w:t>
            </w:r>
            <w:r w:rsidRPr="00294F23">
              <w:rPr>
                <w:sz w:val="16"/>
                <w:szCs w:val="24"/>
                <w:rtl/>
              </w:rPr>
              <w:t>5</w:t>
            </w:r>
          </w:p>
        </w:tc>
        <w:tc>
          <w:tcPr>
            <w:tcW w:w="1203"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31</w:t>
            </w:r>
            <w:r w:rsidRPr="00294F23">
              <w:rPr>
                <w:sz w:val="16"/>
                <w:szCs w:val="24"/>
              </w:rPr>
              <w:t>,</w:t>
            </w:r>
            <w:r w:rsidRPr="00294F23">
              <w:rPr>
                <w:sz w:val="16"/>
                <w:szCs w:val="24"/>
                <w:rtl/>
              </w:rPr>
              <w:t>1</w:t>
            </w:r>
          </w:p>
        </w:tc>
      </w:tr>
      <w:tr w:rsidR="00294F23" w:rsidRPr="00294F23" w:rsidTr="009F4D72">
        <w:trPr>
          <w:cantSplit/>
        </w:trPr>
        <w:tc>
          <w:tcPr>
            <w:tcW w:w="3713" w:type="dxa"/>
            <w:shd w:val="clear" w:color="auto" w:fill="auto"/>
            <w:vAlign w:val="bottom"/>
          </w:tcPr>
          <w:p w:rsidR="00294F23" w:rsidRPr="00294F23" w:rsidRDefault="00294F23" w:rsidP="00294F23">
            <w:pPr>
              <w:pStyle w:val="DualTxt"/>
              <w:spacing w:before="40" w:after="80" w:line="240" w:lineRule="exact"/>
              <w:ind w:left="43"/>
              <w:rPr>
                <w:sz w:val="16"/>
                <w:szCs w:val="24"/>
                <w:rtl/>
              </w:rPr>
            </w:pPr>
            <w:r w:rsidRPr="00294F23">
              <w:rPr>
                <w:sz w:val="16"/>
                <w:szCs w:val="24"/>
                <w:rtl/>
              </w:rPr>
              <w:t>35</w:t>
            </w:r>
            <w:r w:rsidRPr="00294F23">
              <w:rPr>
                <w:rFonts w:hint="cs"/>
                <w:sz w:val="16"/>
                <w:szCs w:val="24"/>
                <w:rtl/>
              </w:rPr>
              <w:t>-</w:t>
            </w:r>
            <w:r w:rsidRPr="00294F23">
              <w:rPr>
                <w:sz w:val="16"/>
                <w:szCs w:val="24"/>
                <w:rtl/>
              </w:rPr>
              <w:t>44</w:t>
            </w:r>
          </w:p>
        </w:tc>
        <w:tc>
          <w:tcPr>
            <w:tcW w:w="1202"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59</w:t>
            </w:r>
            <w:r w:rsidRPr="00294F23">
              <w:rPr>
                <w:sz w:val="16"/>
                <w:szCs w:val="24"/>
              </w:rPr>
              <w:t>,</w:t>
            </w:r>
            <w:r w:rsidRPr="00294F23">
              <w:rPr>
                <w:sz w:val="16"/>
                <w:szCs w:val="24"/>
                <w:rtl/>
              </w:rPr>
              <w:t>0</w:t>
            </w:r>
          </w:p>
        </w:tc>
        <w:tc>
          <w:tcPr>
            <w:tcW w:w="1202"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92</w:t>
            </w:r>
            <w:r w:rsidRPr="00294F23">
              <w:rPr>
                <w:sz w:val="16"/>
                <w:szCs w:val="24"/>
              </w:rPr>
              <w:t>,</w:t>
            </w:r>
            <w:r w:rsidRPr="00294F23">
              <w:rPr>
                <w:sz w:val="16"/>
                <w:szCs w:val="24"/>
                <w:rtl/>
              </w:rPr>
              <w:t>5</w:t>
            </w:r>
          </w:p>
        </w:tc>
        <w:tc>
          <w:tcPr>
            <w:tcW w:w="1203"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24</w:t>
            </w:r>
            <w:r w:rsidRPr="00294F23">
              <w:rPr>
                <w:sz w:val="16"/>
                <w:szCs w:val="24"/>
              </w:rPr>
              <w:t>,</w:t>
            </w:r>
            <w:r w:rsidRPr="00294F23">
              <w:rPr>
                <w:sz w:val="16"/>
                <w:szCs w:val="24"/>
                <w:rtl/>
              </w:rPr>
              <w:t>4</w:t>
            </w:r>
          </w:p>
        </w:tc>
      </w:tr>
      <w:tr w:rsidR="00294F23" w:rsidRPr="00294F23" w:rsidTr="009F4D72">
        <w:trPr>
          <w:cantSplit/>
        </w:trPr>
        <w:tc>
          <w:tcPr>
            <w:tcW w:w="3713" w:type="dxa"/>
            <w:shd w:val="clear" w:color="auto" w:fill="auto"/>
            <w:vAlign w:val="bottom"/>
          </w:tcPr>
          <w:p w:rsidR="00294F23" w:rsidRPr="00294F23" w:rsidRDefault="00294F23" w:rsidP="00294F23">
            <w:pPr>
              <w:pStyle w:val="DualTxt"/>
              <w:spacing w:before="40" w:after="80" w:line="240" w:lineRule="exact"/>
              <w:ind w:left="43"/>
              <w:rPr>
                <w:sz w:val="16"/>
                <w:szCs w:val="24"/>
                <w:rtl/>
              </w:rPr>
            </w:pPr>
            <w:r w:rsidRPr="00294F23">
              <w:rPr>
                <w:sz w:val="16"/>
                <w:szCs w:val="24"/>
                <w:rtl/>
              </w:rPr>
              <w:t>45</w:t>
            </w:r>
            <w:r w:rsidRPr="00294F23">
              <w:rPr>
                <w:rFonts w:hint="cs"/>
                <w:sz w:val="16"/>
                <w:szCs w:val="24"/>
                <w:rtl/>
              </w:rPr>
              <w:t>-</w:t>
            </w:r>
            <w:r w:rsidRPr="00294F23">
              <w:rPr>
                <w:sz w:val="16"/>
                <w:szCs w:val="24"/>
                <w:rtl/>
              </w:rPr>
              <w:t>54</w:t>
            </w:r>
          </w:p>
        </w:tc>
        <w:tc>
          <w:tcPr>
            <w:tcW w:w="1202"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54</w:t>
            </w:r>
            <w:r w:rsidRPr="00294F23">
              <w:rPr>
                <w:sz w:val="16"/>
                <w:szCs w:val="24"/>
              </w:rPr>
              <w:t>,</w:t>
            </w:r>
            <w:r w:rsidRPr="00294F23">
              <w:rPr>
                <w:sz w:val="16"/>
                <w:szCs w:val="24"/>
                <w:rtl/>
              </w:rPr>
              <w:t>5</w:t>
            </w:r>
          </w:p>
        </w:tc>
        <w:tc>
          <w:tcPr>
            <w:tcW w:w="1202"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86</w:t>
            </w:r>
            <w:r w:rsidRPr="00294F23">
              <w:rPr>
                <w:sz w:val="16"/>
                <w:szCs w:val="24"/>
              </w:rPr>
              <w:t>,</w:t>
            </w:r>
            <w:r w:rsidRPr="00294F23">
              <w:rPr>
                <w:sz w:val="16"/>
                <w:szCs w:val="24"/>
                <w:rtl/>
              </w:rPr>
              <w:t>9</w:t>
            </w:r>
          </w:p>
        </w:tc>
        <w:tc>
          <w:tcPr>
            <w:tcW w:w="1203"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20</w:t>
            </w:r>
            <w:r w:rsidRPr="00294F23">
              <w:rPr>
                <w:sz w:val="16"/>
                <w:szCs w:val="24"/>
              </w:rPr>
              <w:t>,</w:t>
            </w:r>
            <w:r w:rsidRPr="00294F23">
              <w:rPr>
                <w:sz w:val="16"/>
                <w:szCs w:val="24"/>
                <w:rtl/>
              </w:rPr>
              <w:t>0</w:t>
            </w:r>
          </w:p>
        </w:tc>
      </w:tr>
      <w:tr w:rsidR="00294F23" w:rsidRPr="00294F23" w:rsidTr="009F4D72">
        <w:trPr>
          <w:cantSplit/>
        </w:trPr>
        <w:tc>
          <w:tcPr>
            <w:tcW w:w="3713" w:type="dxa"/>
            <w:shd w:val="clear" w:color="auto" w:fill="auto"/>
            <w:vAlign w:val="bottom"/>
          </w:tcPr>
          <w:p w:rsidR="00294F23" w:rsidRPr="00294F23" w:rsidRDefault="00294F23" w:rsidP="00294F23">
            <w:pPr>
              <w:pStyle w:val="DualTxt"/>
              <w:spacing w:before="40" w:after="80" w:line="240" w:lineRule="exact"/>
              <w:ind w:left="43"/>
              <w:rPr>
                <w:sz w:val="16"/>
                <w:szCs w:val="24"/>
                <w:rtl/>
              </w:rPr>
            </w:pPr>
            <w:r w:rsidRPr="00294F23">
              <w:rPr>
                <w:sz w:val="16"/>
                <w:szCs w:val="24"/>
                <w:rtl/>
              </w:rPr>
              <w:t>55</w:t>
            </w:r>
            <w:r w:rsidRPr="00294F23">
              <w:rPr>
                <w:rFonts w:hint="cs"/>
                <w:sz w:val="16"/>
                <w:szCs w:val="24"/>
                <w:rtl/>
              </w:rPr>
              <w:t>-64</w:t>
            </w:r>
          </w:p>
        </w:tc>
        <w:tc>
          <w:tcPr>
            <w:tcW w:w="1202"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35</w:t>
            </w:r>
            <w:r w:rsidRPr="00294F23">
              <w:rPr>
                <w:sz w:val="16"/>
                <w:szCs w:val="24"/>
              </w:rPr>
              <w:t>,</w:t>
            </w:r>
            <w:r w:rsidRPr="00294F23">
              <w:rPr>
                <w:sz w:val="16"/>
                <w:szCs w:val="24"/>
                <w:rtl/>
              </w:rPr>
              <w:t>6</w:t>
            </w:r>
          </w:p>
        </w:tc>
        <w:tc>
          <w:tcPr>
            <w:tcW w:w="1202"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58</w:t>
            </w:r>
            <w:r w:rsidRPr="00294F23">
              <w:rPr>
                <w:sz w:val="16"/>
                <w:szCs w:val="24"/>
              </w:rPr>
              <w:t>,</w:t>
            </w:r>
            <w:r w:rsidRPr="00294F23">
              <w:rPr>
                <w:sz w:val="16"/>
                <w:szCs w:val="24"/>
                <w:rtl/>
              </w:rPr>
              <w:t>3</w:t>
            </w:r>
          </w:p>
        </w:tc>
        <w:tc>
          <w:tcPr>
            <w:tcW w:w="1203" w:type="dxa"/>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12</w:t>
            </w:r>
            <w:r w:rsidRPr="00294F23">
              <w:rPr>
                <w:sz w:val="16"/>
                <w:szCs w:val="24"/>
              </w:rPr>
              <w:t>,</w:t>
            </w:r>
            <w:r w:rsidRPr="00294F23">
              <w:rPr>
                <w:sz w:val="16"/>
                <w:szCs w:val="24"/>
                <w:rtl/>
              </w:rPr>
              <w:t>3</w:t>
            </w:r>
          </w:p>
        </w:tc>
      </w:tr>
      <w:tr w:rsidR="00294F23" w:rsidRPr="00294F23" w:rsidTr="009F4D72">
        <w:trPr>
          <w:cantSplit/>
        </w:trPr>
        <w:tc>
          <w:tcPr>
            <w:tcW w:w="3713" w:type="dxa"/>
            <w:tcBorders>
              <w:bottom w:val="single" w:sz="4" w:space="0" w:color="auto"/>
            </w:tcBorders>
            <w:shd w:val="clear" w:color="auto" w:fill="auto"/>
            <w:vAlign w:val="bottom"/>
          </w:tcPr>
          <w:p w:rsidR="00294F23" w:rsidRPr="00294F23" w:rsidRDefault="00294F23" w:rsidP="00294F23">
            <w:pPr>
              <w:pStyle w:val="DualTxt"/>
              <w:spacing w:before="40" w:after="80" w:line="240" w:lineRule="exact"/>
              <w:ind w:left="43"/>
              <w:rPr>
                <w:sz w:val="16"/>
                <w:szCs w:val="24"/>
                <w:rtl/>
              </w:rPr>
            </w:pPr>
            <w:r w:rsidRPr="00294F23">
              <w:rPr>
                <w:rFonts w:hint="cs"/>
                <w:sz w:val="16"/>
                <w:szCs w:val="24"/>
                <w:rtl/>
              </w:rPr>
              <w:t>+</w:t>
            </w:r>
            <w:r w:rsidRPr="00294F23">
              <w:rPr>
                <w:sz w:val="16"/>
                <w:szCs w:val="24"/>
                <w:rtl/>
              </w:rPr>
              <w:t>65</w:t>
            </w:r>
          </w:p>
        </w:tc>
        <w:tc>
          <w:tcPr>
            <w:tcW w:w="1202" w:type="dxa"/>
            <w:tcBorders>
              <w:bottom w:val="single" w:sz="4" w:space="0" w:color="auto"/>
            </w:tcBorders>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9</w:t>
            </w:r>
            <w:r w:rsidRPr="00294F23">
              <w:rPr>
                <w:sz w:val="16"/>
                <w:szCs w:val="24"/>
              </w:rPr>
              <w:t>,</w:t>
            </w:r>
            <w:r w:rsidRPr="00294F23">
              <w:rPr>
                <w:sz w:val="16"/>
                <w:szCs w:val="24"/>
                <w:rtl/>
              </w:rPr>
              <w:t>0</w:t>
            </w:r>
          </w:p>
        </w:tc>
        <w:tc>
          <w:tcPr>
            <w:tcW w:w="1202" w:type="dxa"/>
            <w:tcBorders>
              <w:bottom w:val="single" w:sz="4" w:space="0" w:color="auto"/>
            </w:tcBorders>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17</w:t>
            </w:r>
            <w:r w:rsidRPr="00294F23">
              <w:rPr>
                <w:sz w:val="16"/>
                <w:szCs w:val="24"/>
              </w:rPr>
              <w:t>,</w:t>
            </w:r>
            <w:r w:rsidRPr="00294F23">
              <w:rPr>
                <w:sz w:val="16"/>
                <w:szCs w:val="24"/>
                <w:rtl/>
              </w:rPr>
              <w:t>6</w:t>
            </w:r>
          </w:p>
        </w:tc>
        <w:tc>
          <w:tcPr>
            <w:tcW w:w="1203" w:type="dxa"/>
            <w:tcBorders>
              <w:bottom w:val="single" w:sz="4" w:space="0" w:color="auto"/>
            </w:tcBorders>
            <w:shd w:val="clear" w:color="auto" w:fill="auto"/>
            <w:vAlign w:val="bottom"/>
          </w:tcPr>
          <w:p w:rsidR="00294F23" w:rsidRPr="001467C4" w:rsidRDefault="00294F23" w:rsidP="00294F23">
            <w:pPr>
              <w:pStyle w:val="DualTxt"/>
              <w:bidi w:val="0"/>
              <w:spacing w:before="40" w:after="80" w:line="240" w:lineRule="exact"/>
              <w:ind w:right="43"/>
              <w:jc w:val="right"/>
              <w:rPr>
                <w:sz w:val="16"/>
                <w:szCs w:val="24"/>
              </w:rPr>
            </w:pPr>
            <w:r w:rsidRPr="00294F23">
              <w:rPr>
                <w:sz w:val="16"/>
                <w:szCs w:val="24"/>
                <w:rtl/>
              </w:rPr>
              <w:t>2</w:t>
            </w:r>
            <w:r w:rsidRPr="00294F23">
              <w:rPr>
                <w:sz w:val="16"/>
                <w:szCs w:val="24"/>
              </w:rPr>
              <w:t>,</w:t>
            </w:r>
            <w:r w:rsidRPr="00294F23">
              <w:rPr>
                <w:sz w:val="16"/>
                <w:szCs w:val="24"/>
                <w:rtl/>
              </w:rPr>
              <w:t>5</w:t>
            </w:r>
          </w:p>
        </w:tc>
      </w:tr>
      <w:tr w:rsidR="00294F23" w:rsidRPr="00294F23" w:rsidTr="009F4D72">
        <w:trPr>
          <w:cantSplit/>
        </w:trPr>
        <w:tc>
          <w:tcPr>
            <w:tcW w:w="3713" w:type="dxa"/>
            <w:tcBorders>
              <w:top w:val="single" w:sz="4" w:space="0" w:color="auto"/>
              <w:bottom w:val="single" w:sz="12" w:space="0" w:color="auto"/>
            </w:tcBorders>
            <w:shd w:val="clear" w:color="auto" w:fill="auto"/>
            <w:vAlign w:val="bottom"/>
          </w:tcPr>
          <w:p w:rsidR="00294F23" w:rsidRPr="00294F23" w:rsidRDefault="00294F23" w:rsidP="00294F23">
            <w:pPr>
              <w:pStyle w:val="DualTxt"/>
              <w:tabs>
                <w:tab w:val="clear" w:pos="662"/>
                <w:tab w:val="left" w:pos="203"/>
              </w:tabs>
              <w:spacing w:before="40" w:after="80" w:line="240" w:lineRule="exact"/>
              <w:rPr>
                <w:b/>
                <w:bCs/>
                <w:sz w:val="16"/>
                <w:szCs w:val="24"/>
                <w:rtl/>
                <w:lang w:bidi="ar-JO"/>
              </w:rPr>
            </w:pPr>
            <w:r w:rsidRPr="00294F23">
              <w:rPr>
                <w:rFonts w:hint="cs"/>
                <w:b/>
                <w:bCs/>
                <w:sz w:val="16"/>
                <w:szCs w:val="24"/>
                <w:rtl/>
                <w:lang w:bidi="ar-JO"/>
              </w:rPr>
              <w:tab/>
            </w:r>
            <w:r w:rsidRPr="00294F23">
              <w:rPr>
                <w:b/>
                <w:bCs/>
                <w:sz w:val="16"/>
                <w:szCs w:val="24"/>
                <w:rtl/>
                <w:lang w:bidi="ar-JO"/>
              </w:rPr>
              <w:t>المجموع</w:t>
            </w:r>
          </w:p>
        </w:tc>
        <w:tc>
          <w:tcPr>
            <w:tcW w:w="1202" w:type="dxa"/>
            <w:tcBorders>
              <w:top w:val="single" w:sz="4" w:space="0" w:color="auto"/>
              <w:bottom w:val="single" w:sz="12" w:space="0" w:color="auto"/>
            </w:tcBorders>
            <w:shd w:val="clear" w:color="auto" w:fill="auto"/>
            <w:vAlign w:val="bottom"/>
          </w:tcPr>
          <w:p w:rsidR="00294F23" w:rsidRPr="001467C4" w:rsidRDefault="00294F23" w:rsidP="00294F23">
            <w:pPr>
              <w:pStyle w:val="DualTxt"/>
              <w:bidi w:val="0"/>
              <w:spacing w:before="40" w:after="80" w:line="240" w:lineRule="exact"/>
              <w:ind w:right="43"/>
              <w:jc w:val="right"/>
              <w:rPr>
                <w:b/>
                <w:bCs/>
                <w:sz w:val="16"/>
                <w:szCs w:val="24"/>
              </w:rPr>
            </w:pPr>
            <w:r w:rsidRPr="00294F23">
              <w:rPr>
                <w:b/>
                <w:bCs/>
                <w:sz w:val="16"/>
                <w:szCs w:val="24"/>
                <w:rtl/>
              </w:rPr>
              <w:t>45</w:t>
            </w:r>
            <w:r w:rsidRPr="00294F23">
              <w:rPr>
                <w:b/>
                <w:bCs/>
                <w:sz w:val="16"/>
                <w:szCs w:val="24"/>
              </w:rPr>
              <w:t>,</w:t>
            </w:r>
            <w:r w:rsidRPr="00294F23">
              <w:rPr>
                <w:b/>
                <w:bCs/>
                <w:sz w:val="16"/>
                <w:szCs w:val="24"/>
                <w:rtl/>
              </w:rPr>
              <w:t>8</w:t>
            </w:r>
          </w:p>
        </w:tc>
        <w:tc>
          <w:tcPr>
            <w:tcW w:w="1202" w:type="dxa"/>
            <w:tcBorders>
              <w:top w:val="single" w:sz="4" w:space="0" w:color="auto"/>
              <w:bottom w:val="single" w:sz="12" w:space="0" w:color="auto"/>
            </w:tcBorders>
            <w:shd w:val="clear" w:color="auto" w:fill="auto"/>
            <w:vAlign w:val="bottom"/>
          </w:tcPr>
          <w:p w:rsidR="00294F23" w:rsidRPr="001467C4" w:rsidRDefault="00294F23" w:rsidP="00294F23">
            <w:pPr>
              <w:pStyle w:val="DualTxt"/>
              <w:bidi w:val="0"/>
              <w:spacing w:before="40" w:after="80" w:line="240" w:lineRule="exact"/>
              <w:ind w:right="43"/>
              <w:jc w:val="right"/>
              <w:rPr>
                <w:b/>
                <w:bCs/>
                <w:sz w:val="16"/>
                <w:szCs w:val="24"/>
              </w:rPr>
            </w:pPr>
            <w:r w:rsidRPr="00294F23">
              <w:rPr>
                <w:b/>
                <w:bCs/>
                <w:sz w:val="16"/>
                <w:szCs w:val="24"/>
                <w:rtl/>
              </w:rPr>
              <w:t>71</w:t>
            </w:r>
            <w:r w:rsidRPr="00294F23">
              <w:rPr>
                <w:b/>
                <w:bCs/>
                <w:sz w:val="16"/>
                <w:szCs w:val="24"/>
              </w:rPr>
              <w:t>,</w:t>
            </w:r>
            <w:r w:rsidRPr="00294F23">
              <w:rPr>
                <w:b/>
                <w:bCs/>
                <w:sz w:val="16"/>
                <w:szCs w:val="24"/>
                <w:rtl/>
              </w:rPr>
              <w:t>9</w:t>
            </w:r>
          </w:p>
        </w:tc>
        <w:tc>
          <w:tcPr>
            <w:tcW w:w="1203" w:type="dxa"/>
            <w:tcBorders>
              <w:top w:val="single" w:sz="4" w:space="0" w:color="auto"/>
              <w:bottom w:val="single" w:sz="12" w:space="0" w:color="auto"/>
            </w:tcBorders>
            <w:shd w:val="clear" w:color="auto" w:fill="auto"/>
            <w:vAlign w:val="bottom"/>
          </w:tcPr>
          <w:p w:rsidR="00294F23" w:rsidRPr="001467C4" w:rsidRDefault="00294F23" w:rsidP="00294F23">
            <w:pPr>
              <w:pStyle w:val="DualTxt"/>
              <w:bidi w:val="0"/>
              <w:spacing w:before="40" w:after="80" w:line="240" w:lineRule="exact"/>
              <w:ind w:right="43"/>
              <w:jc w:val="right"/>
              <w:rPr>
                <w:b/>
                <w:bCs/>
                <w:sz w:val="16"/>
                <w:szCs w:val="24"/>
              </w:rPr>
            </w:pPr>
            <w:r w:rsidRPr="00294F23">
              <w:rPr>
                <w:b/>
                <w:bCs/>
                <w:sz w:val="16"/>
                <w:szCs w:val="24"/>
                <w:rtl/>
              </w:rPr>
              <w:t>19</w:t>
            </w:r>
            <w:r w:rsidRPr="00294F23">
              <w:rPr>
                <w:b/>
                <w:bCs/>
                <w:sz w:val="16"/>
                <w:szCs w:val="24"/>
              </w:rPr>
              <w:t>,</w:t>
            </w:r>
            <w:r w:rsidRPr="00294F23">
              <w:rPr>
                <w:b/>
                <w:bCs/>
                <w:sz w:val="16"/>
                <w:szCs w:val="24"/>
                <w:rtl/>
              </w:rPr>
              <w:t>1</w:t>
            </w:r>
          </w:p>
        </w:tc>
      </w:tr>
    </w:tbl>
    <w:p w:rsidR="00294F23" w:rsidRPr="00D32EAD" w:rsidRDefault="00294F23" w:rsidP="00D32EAD">
      <w:pPr>
        <w:pStyle w:val="SingleTxt"/>
        <w:spacing w:after="0" w:line="120" w:lineRule="exact"/>
        <w:rPr>
          <w:sz w:val="10"/>
          <w:rtl/>
          <w:lang w:bidi="ar-SY"/>
        </w:rPr>
      </w:pPr>
    </w:p>
    <w:p w:rsidR="00F32B28" w:rsidRPr="00F32B28" w:rsidRDefault="00D32EAD" w:rsidP="00D32EAD">
      <w:pPr>
        <w:pStyle w:val="SingleTxt"/>
        <w:rPr>
          <w:rtl/>
          <w:lang w:bidi="ar-SY"/>
        </w:rPr>
      </w:pPr>
      <w:r>
        <w:rPr>
          <w:rFonts w:hint="cs"/>
          <w:rtl/>
          <w:lang w:bidi="ar-SY"/>
        </w:rPr>
        <w:t xml:space="preserve">220 - </w:t>
      </w:r>
      <w:r w:rsidR="00F32B28" w:rsidRPr="00F32B28">
        <w:rPr>
          <w:rtl/>
          <w:lang w:bidi="ar-SY"/>
        </w:rPr>
        <w:t>كما</w:t>
      </w:r>
      <w:r w:rsidR="00F32B28">
        <w:rPr>
          <w:rtl/>
          <w:lang w:bidi="ar-SY"/>
        </w:rPr>
        <w:t xml:space="preserve"> </w:t>
      </w:r>
      <w:r w:rsidR="00F32B28" w:rsidRPr="00F32B28">
        <w:rPr>
          <w:rtl/>
          <w:lang w:bidi="ar-SY"/>
        </w:rPr>
        <w:t>تشير</w:t>
      </w:r>
      <w:r w:rsidR="00F32B28">
        <w:rPr>
          <w:rtl/>
          <w:lang w:bidi="ar-SY"/>
        </w:rPr>
        <w:t xml:space="preserve"> </w:t>
      </w:r>
      <w:r w:rsidR="00F32B28" w:rsidRPr="00F32B28">
        <w:rPr>
          <w:rtl/>
          <w:lang w:bidi="ar-SY"/>
        </w:rPr>
        <w:t>إحصاءات</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2015</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66.8</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العاملات</w:t>
      </w:r>
      <w:r w:rsidR="00F32B28">
        <w:rPr>
          <w:rtl/>
          <w:lang w:bidi="ar-SY"/>
        </w:rPr>
        <w:t xml:space="preserve"> </w:t>
      </w:r>
      <w:r w:rsidR="00F32B28" w:rsidRPr="00F32B28">
        <w:rPr>
          <w:rtl/>
          <w:lang w:bidi="ar-SY"/>
        </w:rPr>
        <w:t>هنّ</w:t>
      </w:r>
      <w:r w:rsidR="00F32B28">
        <w:rPr>
          <w:rtl/>
          <w:lang w:bidi="ar-SY"/>
        </w:rPr>
        <w:t xml:space="preserve"> </w:t>
      </w:r>
      <w:r w:rsidR="00F32B28" w:rsidRPr="00F32B28">
        <w:rPr>
          <w:rtl/>
          <w:lang w:bidi="ar-SY"/>
        </w:rPr>
        <w:t>مستخدمات</w:t>
      </w:r>
      <w:r w:rsidR="00F32B28">
        <w:rPr>
          <w:rtl/>
          <w:lang w:bidi="ar-SY"/>
        </w:rPr>
        <w:t xml:space="preserve"> </w:t>
      </w:r>
      <w:r w:rsidR="00F32B28" w:rsidRPr="00F32B28">
        <w:rPr>
          <w:rtl/>
          <w:lang w:bidi="ar-SY"/>
        </w:rPr>
        <w:t>بأجر،</w:t>
      </w:r>
      <w:r w:rsidR="00F32B28">
        <w:rPr>
          <w:rtl/>
          <w:lang w:bidi="ar-SY"/>
        </w:rPr>
        <w:t xml:space="preserve"> </w:t>
      </w:r>
      <w:r w:rsidR="00F32B28" w:rsidRPr="00F32B28">
        <w:rPr>
          <w:rtl/>
          <w:lang w:bidi="ar-SY"/>
        </w:rPr>
        <w:t>مقابل</w:t>
      </w:r>
      <w:r w:rsidR="00F32B28">
        <w:rPr>
          <w:rtl/>
          <w:lang w:bidi="ar-SY"/>
        </w:rPr>
        <w:t xml:space="preserve"> </w:t>
      </w:r>
      <w:r w:rsidR="00F32B28" w:rsidRPr="00F32B28">
        <w:rPr>
          <w:rtl/>
          <w:lang w:bidi="ar-SY"/>
        </w:rPr>
        <w:t>69.1</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الرجال،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حين</w:t>
      </w:r>
      <w:r w:rsidR="00F32B28">
        <w:rPr>
          <w:rtl/>
          <w:lang w:bidi="ar-SY"/>
        </w:rPr>
        <w:t xml:space="preserve"> </w:t>
      </w:r>
      <w:r w:rsidR="00F32B28" w:rsidRPr="00F32B28">
        <w:rPr>
          <w:rtl/>
          <w:lang w:bidi="ar-SY"/>
        </w:rPr>
        <w:t>تنخفض</w:t>
      </w:r>
      <w:r w:rsidR="00F32B28">
        <w:rPr>
          <w:rtl/>
          <w:lang w:bidi="ar-SY"/>
        </w:rPr>
        <w:t xml:space="preserve"> </w:t>
      </w:r>
      <w:r w:rsidR="00F32B28" w:rsidRPr="00F32B28">
        <w:rPr>
          <w:rtl/>
          <w:lang w:bidi="ar-SY"/>
        </w:rPr>
        <w:t>نسبة</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اللواتي</w:t>
      </w:r>
      <w:r w:rsidR="00F32B28">
        <w:rPr>
          <w:rtl/>
          <w:lang w:bidi="ar-SY"/>
        </w:rPr>
        <w:t xml:space="preserve"> </w:t>
      </w:r>
      <w:r w:rsidR="00F32B28" w:rsidRPr="00F32B28">
        <w:rPr>
          <w:rtl/>
          <w:lang w:bidi="ar-SY"/>
        </w:rPr>
        <w:t>يعملن</w:t>
      </w:r>
      <w:r w:rsidR="00F32B28">
        <w:rPr>
          <w:rtl/>
          <w:lang w:bidi="ar-SY"/>
        </w:rPr>
        <w:t xml:space="preserve"> </w:t>
      </w:r>
      <w:r w:rsidR="00F32B28" w:rsidRPr="00F32B28">
        <w:rPr>
          <w:rtl/>
          <w:lang w:bidi="ar-SY"/>
        </w:rPr>
        <w:t>لحسابهنّ</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14.0</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مقابل</w:t>
      </w:r>
      <w:r w:rsidR="00F32B28">
        <w:rPr>
          <w:rtl/>
          <w:lang w:bidi="ar-SY"/>
        </w:rPr>
        <w:t xml:space="preserve"> </w:t>
      </w:r>
      <w:r w:rsidR="00F32B28" w:rsidRPr="00F32B28">
        <w:rPr>
          <w:rtl/>
          <w:lang w:bidi="ar-SY"/>
        </w:rPr>
        <w:t>19.1</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الرجال،</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نسبة</w:t>
      </w:r>
      <w:r w:rsidR="00F32B28">
        <w:rPr>
          <w:rtl/>
          <w:lang w:bidi="ar-SY"/>
        </w:rPr>
        <w:t xml:space="preserve"> </w:t>
      </w:r>
      <w:r w:rsidR="00F32B28" w:rsidRPr="00F32B28">
        <w:rPr>
          <w:rtl/>
          <w:lang w:bidi="ar-SY"/>
        </w:rPr>
        <w:t>صاحبات</w:t>
      </w:r>
      <w:r w:rsidR="00F32B28">
        <w:rPr>
          <w:rtl/>
          <w:lang w:bidi="ar-SY"/>
        </w:rPr>
        <w:t xml:space="preserve"> </w:t>
      </w:r>
      <w:r w:rsidR="00F32B28" w:rsidRPr="00F32B28">
        <w:rPr>
          <w:rtl/>
          <w:lang w:bidi="ar-SY"/>
        </w:rPr>
        <w:t>الأعمال</w:t>
      </w:r>
      <w:r w:rsidR="00F32B28">
        <w:rPr>
          <w:rtl/>
          <w:lang w:bidi="ar-SY"/>
        </w:rPr>
        <w:t xml:space="preserve"> </w:t>
      </w:r>
      <w:r w:rsidR="00F32B28" w:rsidRPr="00F32B28">
        <w:rPr>
          <w:rtl/>
          <w:lang w:bidi="ar-SY"/>
        </w:rPr>
        <w:t>يمثلنّ</w:t>
      </w:r>
      <w:r w:rsidR="00F32B28">
        <w:rPr>
          <w:rtl/>
          <w:lang w:bidi="ar-SY"/>
        </w:rPr>
        <w:t xml:space="preserve"> </w:t>
      </w:r>
      <w:r w:rsidR="00F32B28" w:rsidRPr="00F32B28">
        <w:rPr>
          <w:rtl/>
          <w:lang w:bidi="ar-SY"/>
        </w:rPr>
        <w:t>2.1</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مقابل7.1</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الرجال.</w:t>
      </w:r>
      <w:r w:rsidR="00F32B28">
        <w:rPr>
          <w:rtl/>
          <w:lang w:bidi="ar-SY"/>
        </w:rPr>
        <w:t xml:space="preserve"> </w:t>
      </w:r>
    </w:p>
    <w:p w:rsidR="00F32B28" w:rsidRDefault="00D32EAD" w:rsidP="00D32EAD">
      <w:pPr>
        <w:pStyle w:val="SingleTxt"/>
        <w:rPr>
          <w:rtl/>
          <w:lang w:bidi="ar-SY"/>
        </w:rPr>
      </w:pPr>
      <w:r>
        <w:rPr>
          <w:rFonts w:hint="cs"/>
          <w:rtl/>
          <w:lang w:bidi="ar-SY"/>
        </w:rPr>
        <w:t xml:space="preserve">221 - </w:t>
      </w:r>
      <w:r w:rsidR="00F32B28" w:rsidRPr="00F32B28">
        <w:rPr>
          <w:rtl/>
          <w:lang w:bidi="ar-SY"/>
        </w:rPr>
        <w:t>وفيما</w:t>
      </w:r>
      <w:r w:rsidR="00F32B28">
        <w:rPr>
          <w:rtl/>
          <w:lang w:bidi="ar-SY"/>
        </w:rPr>
        <w:t xml:space="preserve"> </w:t>
      </w:r>
      <w:r w:rsidR="00F32B28" w:rsidRPr="00F32B28">
        <w:rPr>
          <w:rtl/>
          <w:lang w:bidi="ar-SY"/>
        </w:rPr>
        <w:t>يلي</w:t>
      </w:r>
      <w:r w:rsidR="00F32B28">
        <w:rPr>
          <w:rtl/>
          <w:lang w:bidi="ar-SY"/>
        </w:rPr>
        <w:t xml:space="preserve"> </w:t>
      </w:r>
      <w:r w:rsidR="00F32B28" w:rsidRPr="00F32B28">
        <w:rPr>
          <w:rtl/>
          <w:lang w:bidi="ar-SY"/>
        </w:rPr>
        <w:t>جداول</w:t>
      </w:r>
      <w:r w:rsidR="00F32B28">
        <w:rPr>
          <w:rtl/>
          <w:lang w:bidi="ar-SY"/>
        </w:rPr>
        <w:t xml:space="preserve"> </w:t>
      </w:r>
      <w:r w:rsidR="00F32B28" w:rsidRPr="00F32B28">
        <w:rPr>
          <w:rtl/>
          <w:lang w:bidi="ar-SY"/>
        </w:rPr>
        <w:t>تبين</w:t>
      </w:r>
      <w:r w:rsidR="00F32B28">
        <w:rPr>
          <w:rtl/>
          <w:lang w:bidi="ar-SY"/>
        </w:rPr>
        <w:t xml:space="preserve"> </w:t>
      </w:r>
      <w:r w:rsidR="00F32B28" w:rsidRPr="00F32B28">
        <w:rPr>
          <w:rtl/>
          <w:lang w:bidi="ar-SY"/>
        </w:rPr>
        <w:t>توزع</w:t>
      </w:r>
      <w:r w:rsidR="00F32B28">
        <w:rPr>
          <w:rtl/>
          <w:lang w:bidi="ar-SY"/>
        </w:rPr>
        <w:t xml:space="preserve"> </w:t>
      </w:r>
      <w:r w:rsidR="00F32B28" w:rsidRPr="00F32B28">
        <w:rPr>
          <w:rtl/>
          <w:lang w:bidi="ar-SY"/>
        </w:rPr>
        <w:t>القوى</w:t>
      </w:r>
      <w:r w:rsidR="00F32B28">
        <w:rPr>
          <w:rtl/>
          <w:lang w:bidi="ar-SY"/>
        </w:rPr>
        <w:t xml:space="preserve"> </w:t>
      </w:r>
      <w:r w:rsidR="00F32B28" w:rsidRPr="00F32B28">
        <w:rPr>
          <w:rtl/>
          <w:lang w:bidi="ar-SY"/>
        </w:rPr>
        <w:t>العاملة</w:t>
      </w:r>
      <w:r w:rsidR="00F32B28">
        <w:rPr>
          <w:rtl/>
          <w:lang w:bidi="ar-SY"/>
        </w:rPr>
        <w:t xml:space="preserve"> </w:t>
      </w:r>
      <w:r w:rsidR="00F32B28" w:rsidRPr="00F32B28">
        <w:rPr>
          <w:rtl/>
          <w:lang w:bidi="ar-SY"/>
        </w:rPr>
        <w:t>حسب</w:t>
      </w:r>
      <w:r w:rsidR="00F32B28">
        <w:rPr>
          <w:rtl/>
          <w:lang w:bidi="ar-SY"/>
        </w:rPr>
        <w:t xml:space="preserve"> </w:t>
      </w:r>
      <w:r w:rsidR="00F32B28" w:rsidRPr="00F32B28">
        <w:rPr>
          <w:rtl/>
          <w:lang w:bidi="ar-SY"/>
        </w:rPr>
        <w:t>المهنة</w:t>
      </w:r>
      <w:r w:rsidR="00F32B28">
        <w:rPr>
          <w:rtl/>
          <w:lang w:bidi="ar-SY"/>
        </w:rPr>
        <w:t xml:space="preserve"> </w:t>
      </w:r>
      <w:r w:rsidR="00F32B28" w:rsidRPr="00F32B28">
        <w:rPr>
          <w:rtl/>
          <w:lang w:bidi="ar-SY"/>
        </w:rPr>
        <w:t>والنشاط</w:t>
      </w:r>
      <w:r w:rsidR="00F32B28">
        <w:rPr>
          <w:rtl/>
          <w:lang w:bidi="ar-SY"/>
        </w:rPr>
        <w:t xml:space="preserve"> </w:t>
      </w:r>
      <w:r w:rsidR="00F32B28" w:rsidRPr="00F32B28">
        <w:rPr>
          <w:rtl/>
          <w:lang w:bidi="ar-SY"/>
        </w:rPr>
        <w:t>الاقتصادي</w:t>
      </w:r>
      <w:r w:rsidR="00F32B28">
        <w:rPr>
          <w:rtl/>
          <w:lang w:bidi="ar-SY"/>
        </w:rPr>
        <w:t xml:space="preserve"> </w:t>
      </w:r>
      <w:r w:rsidR="00F32B28" w:rsidRPr="00F32B28">
        <w:rPr>
          <w:rtl/>
          <w:lang w:bidi="ar-SY"/>
        </w:rPr>
        <w:t>والجنس:</w:t>
      </w:r>
      <w:r w:rsidR="00F32B28">
        <w:rPr>
          <w:rtl/>
          <w:lang w:bidi="ar-SY"/>
        </w:rPr>
        <w:t xml:space="preserve"> </w:t>
      </w:r>
    </w:p>
    <w:p w:rsidR="00D32EAD" w:rsidRPr="00D32EAD" w:rsidRDefault="00D32EAD" w:rsidP="00D32EAD">
      <w:pPr>
        <w:pStyle w:val="SingleTxt"/>
        <w:spacing w:after="0" w:line="120" w:lineRule="exact"/>
        <w:rPr>
          <w:b/>
          <w:bCs/>
          <w:sz w:val="10"/>
          <w:rtl/>
          <w:lang w:bidi="ar-SY"/>
        </w:rPr>
      </w:pPr>
    </w:p>
    <w:p w:rsidR="00D32EAD" w:rsidRDefault="00D32EAD" w:rsidP="00362769">
      <w:pPr>
        <w:pStyle w:val="SingleTxt"/>
      </w:pPr>
      <w:r w:rsidRPr="00D32EAD">
        <w:rPr>
          <w:rtl/>
          <w:lang w:bidi="ar-SY"/>
        </w:rPr>
        <w:t>جدول رقم (5)</w:t>
      </w:r>
      <w:r>
        <w:rPr>
          <w:rFonts w:hint="cs"/>
          <w:rtl/>
          <w:lang w:bidi="ar-SY"/>
        </w:rPr>
        <w:tab/>
      </w:r>
      <w:r>
        <w:rPr>
          <w:rFonts w:hint="cs"/>
          <w:rtl/>
          <w:lang w:bidi="ar-SY"/>
        </w:rPr>
        <w:br/>
      </w:r>
      <w:r w:rsidRPr="00F32B28">
        <w:rPr>
          <w:b/>
          <w:bCs/>
          <w:rtl/>
        </w:rPr>
        <w:t>التوزيع</w:t>
      </w:r>
      <w:r>
        <w:rPr>
          <w:b/>
          <w:bCs/>
          <w:rtl/>
        </w:rPr>
        <w:t xml:space="preserve"> </w:t>
      </w:r>
      <w:r w:rsidRPr="00F32B28">
        <w:rPr>
          <w:b/>
          <w:bCs/>
          <w:rtl/>
        </w:rPr>
        <w:t>النسبي</w:t>
      </w:r>
      <w:r>
        <w:rPr>
          <w:b/>
          <w:bCs/>
          <w:rtl/>
        </w:rPr>
        <w:t xml:space="preserve"> </w:t>
      </w:r>
      <w:r w:rsidRPr="00F32B28">
        <w:rPr>
          <w:b/>
          <w:bCs/>
          <w:rtl/>
        </w:rPr>
        <w:t>للذكور</w:t>
      </w:r>
      <w:r>
        <w:rPr>
          <w:b/>
          <w:bCs/>
          <w:rtl/>
        </w:rPr>
        <w:t xml:space="preserve"> </w:t>
      </w:r>
      <w:r w:rsidRPr="00F32B28">
        <w:rPr>
          <w:b/>
          <w:bCs/>
          <w:rtl/>
        </w:rPr>
        <w:t>والإناث</w:t>
      </w:r>
      <w:r>
        <w:rPr>
          <w:b/>
          <w:bCs/>
          <w:rtl/>
        </w:rPr>
        <w:t xml:space="preserve"> </w:t>
      </w:r>
      <w:r w:rsidRPr="00F32B28">
        <w:rPr>
          <w:b/>
          <w:bCs/>
          <w:rtl/>
        </w:rPr>
        <w:t>العاملون</w:t>
      </w:r>
      <w:r>
        <w:rPr>
          <w:b/>
          <w:bCs/>
          <w:rtl/>
        </w:rPr>
        <w:t xml:space="preserve"> </w:t>
      </w:r>
      <w:r w:rsidRPr="00F32B28">
        <w:rPr>
          <w:b/>
          <w:bCs/>
          <w:rtl/>
        </w:rPr>
        <w:t>15</w:t>
      </w:r>
      <w:r>
        <w:rPr>
          <w:b/>
          <w:bCs/>
          <w:rtl/>
        </w:rPr>
        <w:t xml:space="preserve"> </w:t>
      </w:r>
      <w:r w:rsidRPr="00F32B28">
        <w:rPr>
          <w:b/>
          <w:bCs/>
          <w:rtl/>
        </w:rPr>
        <w:t>سنة</w:t>
      </w:r>
      <w:r>
        <w:rPr>
          <w:b/>
          <w:bCs/>
          <w:rtl/>
        </w:rPr>
        <w:t xml:space="preserve"> </w:t>
      </w:r>
      <w:r w:rsidRPr="00F32B28">
        <w:rPr>
          <w:b/>
          <w:bCs/>
          <w:rtl/>
        </w:rPr>
        <w:t>فأكثر</w:t>
      </w:r>
      <w:r>
        <w:rPr>
          <w:b/>
          <w:bCs/>
          <w:rtl/>
        </w:rPr>
        <w:t xml:space="preserve"> </w:t>
      </w:r>
      <w:r w:rsidRPr="00F32B28">
        <w:rPr>
          <w:b/>
          <w:bCs/>
          <w:rtl/>
        </w:rPr>
        <w:t>حسب</w:t>
      </w:r>
      <w:r>
        <w:rPr>
          <w:b/>
          <w:bCs/>
          <w:rtl/>
        </w:rPr>
        <w:t xml:space="preserve"> </w:t>
      </w:r>
      <w:r w:rsidRPr="00F32B28">
        <w:rPr>
          <w:b/>
          <w:bCs/>
          <w:rtl/>
        </w:rPr>
        <w:t>المهنة</w:t>
      </w:r>
      <w:r>
        <w:rPr>
          <w:b/>
          <w:bCs/>
          <w:rtl/>
        </w:rPr>
        <w:t xml:space="preserve"> </w:t>
      </w:r>
      <w:r w:rsidRPr="00F32B28">
        <w:rPr>
          <w:b/>
          <w:bCs/>
          <w:rtl/>
        </w:rPr>
        <w:t>في</w:t>
      </w:r>
      <w:r>
        <w:rPr>
          <w:b/>
          <w:bCs/>
          <w:rtl/>
        </w:rPr>
        <w:t xml:space="preserve"> </w:t>
      </w:r>
      <w:r w:rsidRPr="00F32B28">
        <w:rPr>
          <w:b/>
          <w:bCs/>
          <w:rtl/>
        </w:rPr>
        <w:t>فلسطين،</w:t>
      </w:r>
      <w:r>
        <w:rPr>
          <w:b/>
          <w:bCs/>
          <w:rtl/>
        </w:rPr>
        <w:t xml:space="preserve"> </w:t>
      </w:r>
      <w:r w:rsidRPr="00F32B28">
        <w:rPr>
          <w:b/>
          <w:bCs/>
          <w:rtl/>
        </w:rPr>
        <w:t>2015</w:t>
      </w:r>
      <w:r>
        <w:rPr>
          <w:b/>
          <w:bCs/>
          <w:rtl/>
        </w:rPr>
        <w:t xml:space="preserve"> </w:t>
      </w:r>
      <w:r w:rsidRPr="00F32B28">
        <w:rPr>
          <w:b/>
          <w:bCs/>
          <w:rtl/>
        </w:rPr>
        <w:t>(بالنسبة</w:t>
      </w:r>
      <w:r>
        <w:rPr>
          <w:b/>
          <w:bCs/>
          <w:rtl/>
        </w:rPr>
        <w:t xml:space="preserve"> </w:t>
      </w:r>
      <w:r w:rsidRPr="00F32B28">
        <w:rPr>
          <w:b/>
          <w:bCs/>
          <w:rtl/>
        </w:rPr>
        <w:t>المئوية)</w:t>
      </w:r>
    </w:p>
    <w:tbl>
      <w:tblPr>
        <w:bidiVisual/>
        <w:tblW w:w="7320" w:type="dxa"/>
        <w:tblInd w:w="1267" w:type="dxa"/>
        <w:tblLayout w:type="fixed"/>
        <w:tblCellMar>
          <w:left w:w="0" w:type="dxa"/>
          <w:right w:w="0" w:type="dxa"/>
        </w:tblCellMar>
        <w:tblLook w:val="0000" w:firstRow="0" w:lastRow="0" w:firstColumn="0" w:lastColumn="0" w:noHBand="0" w:noVBand="0"/>
      </w:tblPr>
      <w:tblGrid>
        <w:gridCol w:w="5423"/>
        <w:gridCol w:w="948"/>
        <w:gridCol w:w="949"/>
      </w:tblGrid>
      <w:tr w:rsidR="00D32EAD" w:rsidRPr="00D32EAD" w:rsidTr="00362769">
        <w:trPr>
          <w:cantSplit/>
          <w:tblHeader/>
        </w:trPr>
        <w:tc>
          <w:tcPr>
            <w:tcW w:w="5423" w:type="dxa"/>
            <w:tcBorders>
              <w:top w:val="single" w:sz="4" w:space="0" w:color="auto"/>
              <w:bottom w:val="single" w:sz="12" w:space="0" w:color="auto"/>
            </w:tcBorders>
            <w:shd w:val="clear" w:color="auto" w:fill="auto"/>
            <w:vAlign w:val="bottom"/>
          </w:tcPr>
          <w:p w:rsidR="00D32EAD" w:rsidRPr="00D32EAD" w:rsidRDefault="00D32EAD" w:rsidP="00D00A7D">
            <w:pPr>
              <w:pStyle w:val="DualTxt"/>
              <w:spacing w:before="80" w:after="80" w:line="240" w:lineRule="exact"/>
              <w:ind w:left="43" w:right="144"/>
              <w:rPr>
                <w:i/>
                <w:iCs/>
                <w:sz w:val="16"/>
                <w:szCs w:val="24"/>
                <w:rtl/>
              </w:rPr>
            </w:pPr>
            <w:r w:rsidRPr="00D32EAD">
              <w:rPr>
                <w:i/>
                <w:iCs/>
                <w:sz w:val="16"/>
                <w:szCs w:val="24"/>
                <w:rtl/>
              </w:rPr>
              <w:t>المهنة</w:t>
            </w:r>
          </w:p>
        </w:tc>
        <w:tc>
          <w:tcPr>
            <w:tcW w:w="948" w:type="dxa"/>
            <w:tcBorders>
              <w:top w:val="single" w:sz="4" w:space="0" w:color="auto"/>
              <w:bottom w:val="single" w:sz="12" w:space="0" w:color="auto"/>
            </w:tcBorders>
            <w:shd w:val="clear" w:color="auto" w:fill="auto"/>
            <w:vAlign w:val="bottom"/>
          </w:tcPr>
          <w:p w:rsidR="00D32EAD" w:rsidRPr="00D32EAD" w:rsidRDefault="00D32EAD" w:rsidP="00D00A7D">
            <w:pPr>
              <w:pStyle w:val="DualTxt"/>
              <w:spacing w:before="80" w:after="80" w:line="240" w:lineRule="exact"/>
              <w:ind w:left="43" w:right="144"/>
              <w:rPr>
                <w:i/>
                <w:iCs/>
                <w:sz w:val="16"/>
                <w:szCs w:val="24"/>
                <w:rtl/>
              </w:rPr>
            </w:pPr>
            <w:r w:rsidRPr="00D32EAD">
              <w:rPr>
                <w:i/>
                <w:iCs/>
                <w:sz w:val="16"/>
                <w:szCs w:val="24"/>
                <w:rtl/>
              </w:rPr>
              <w:t>الذكور</w:t>
            </w:r>
          </w:p>
        </w:tc>
        <w:tc>
          <w:tcPr>
            <w:tcW w:w="949" w:type="dxa"/>
            <w:tcBorders>
              <w:top w:val="single" w:sz="4" w:space="0" w:color="auto"/>
              <w:bottom w:val="single" w:sz="12" w:space="0" w:color="auto"/>
            </w:tcBorders>
            <w:shd w:val="clear" w:color="auto" w:fill="auto"/>
            <w:vAlign w:val="bottom"/>
          </w:tcPr>
          <w:p w:rsidR="00D32EAD" w:rsidRPr="00D32EAD" w:rsidRDefault="00D32EAD" w:rsidP="00D00A7D">
            <w:pPr>
              <w:pStyle w:val="DualTxt"/>
              <w:spacing w:before="80" w:after="80" w:line="240" w:lineRule="exact"/>
              <w:ind w:left="43" w:right="144"/>
              <w:rPr>
                <w:i/>
                <w:iCs/>
                <w:sz w:val="16"/>
                <w:szCs w:val="24"/>
              </w:rPr>
            </w:pPr>
            <w:r w:rsidRPr="00D32EAD">
              <w:rPr>
                <w:i/>
                <w:iCs/>
                <w:sz w:val="16"/>
                <w:szCs w:val="24"/>
                <w:rtl/>
              </w:rPr>
              <w:t>الإناث</w:t>
            </w:r>
          </w:p>
        </w:tc>
      </w:tr>
      <w:tr w:rsidR="00D32EAD" w:rsidRPr="00D32EAD" w:rsidTr="00362769">
        <w:trPr>
          <w:cantSplit/>
          <w:trHeight w:hRule="exact" w:val="115"/>
          <w:tblHeader/>
        </w:trPr>
        <w:tc>
          <w:tcPr>
            <w:tcW w:w="5423" w:type="dxa"/>
            <w:tcBorders>
              <w:top w:val="single" w:sz="12" w:space="0" w:color="auto"/>
            </w:tcBorders>
            <w:shd w:val="clear" w:color="auto" w:fill="auto"/>
            <w:vAlign w:val="bottom"/>
          </w:tcPr>
          <w:p w:rsidR="00D32EAD" w:rsidRPr="00D32EAD" w:rsidRDefault="00D32EAD" w:rsidP="00D00A7D">
            <w:pPr>
              <w:pStyle w:val="DualTxt"/>
              <w:spacing w:before="40" w:after="80" w:line="240" w:lineRule="exact"/>
              <w:ind w:left="43" w:right="144"/>
              <w:rPr>
                <w:sz w:val="16"/>
                <w:szCs w:val="24"/>
                <w:rtl/>
              </w:rPr>
            </w:pPr>
          </w:p>
        </w:tc>
        <w:tc>
          <w:tcPr>
            <w:tcW w:w="948" w:type="dxa"/>
            <w:tcBorders>
              <w:top w:val="single" w:sz="12" w:space="0" w:color="auto"/>
            </w:tcBorders>
            <w:shd w:val="clear" w:color="auto" w:fill="auto"/>
            <w:vAlign w:val="bottom"/>
          </w:tcPr>
          <w:p w:rsidR="00D32EAD" w:rsidRPr="00D32EAD" w:rsidRDefault="00D32EAD" w:rsidP="00D00A7D">
            <w:pPr>
              <w:tabs>
                <w:tab w:val="left" w:pos="288"/>
                <w:tab w:val="left" w:pos="576"/>
                <w:tab w:val="left" w:pos="864"/>
                <w:tab w:val="left" w:pos="1152"/>
              </w:tabs>
              <w:spacing w:before="40" w:after="80" w:line="240" w:lineRule="exact"/>
              <w:ind w:left="43" w:right="144"/>
              <w:rPr>
                <w:sz w:val="16"/>
                <w:szCs w:val="24"/>
                <w:rtl/>
              </w:rPr>
            </w:pPr>
          </w:p>
        </w:tc>
        <w:tc>
          <w:tcPr>
            <w:tcW w:w="949" w:type="dxa"/>
            <w:tcBorders>
              <w:top w:val="single" w:sz="12" w:space="0" w:color="auto"/>
            </w:tcBorders>
            <w:shd w:val="clear" w:color="auto" w:fill="auto"/>
            <w:vAlign w:val="bottom"/>
          </w:tcPr>
          <w:p w:rsidR="00D32EAD" w:rsidRPr="00D32EAD" w:rsidRDefault="00D32EAD" w:rsidP="00D00A7D">
            <w:pPr>
              <w:tabs>
                <w:tab w:val="left" w:pos="288"/>
                <w:tab w:val="left" w:pos="576"/>
                <w:tab w:val="left" w:pos="864"/>
                <w:tab w:val="left" w:pos="1152"/>
              </w:tabs>
              <w:spacing w:before="40" w:after="80" w:line="240" w:lineRule="exact"/>
              <w:ind w:left="43" w:right="144"/>
              <w:rPr>
                <w:sz w:val="16"/>
                <w:szCs w:val="24"/>
                <w:rtl/>
              </w:rPr>
            </w:pPr>
          </w:p>
        </w:tc>
      </w:tr>
      <w:tr w:rsidR="00D00A7D" w:rsidRPr="00D32EAD" w:rsidTr="00362769">
        <w:trPr>
          <w:cantSplit/>
        </w:trPr>
        <w:tc>
          <w:tcPr>
            <w:tcW w:w="5423" w:type="dxa"/>
            <w:shd w:val="clear" w:color="auto" w:fill="auto"/>
            <w:vAlign w:val="bottom"/>
          </w:tcPr>
          <w:p w:rsidR="00D00A7D" w:rsidRPr="00D32EAD" w:rsidRDefault="00D00A7D" w:rsidP="00D00A7D">
            <w:pPr>
              <w:pStyle w:val="DualTxt"/>
              <w:spacing w:before="40" w:after="80" w:line="240" w:lineRule="exact"/>
              <w:ind w:left="43" w:right="144"/>
              <w:rPr>
                <w:sz w:val="16"/>
                <w:szCs w:val="24"/>
              </w:rPr>
            </w:pPr>
            <w:r w:rsidRPr="00D32EAD">
              <w:rPr>
                <w:sz w:val="16"/>
                <w:szCs w:val="24"/>
                <w:rtl/>
              </w:rPr>
              <w:t>المشرعون وموظفو الإدارة العليا</w:t>
            </w:r>
          </w:p>
        </w:tc>
        <w:tc>
          <w:tcPr>
            <w:tcW w:w="948"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3</w:t>
            </w:r>
            <w:r w:rsidRPr="00D00A7D">
              <w:rPr>
                <w:sz w:val="16"/>
                <w:szCs w:val="24"/>
              </w:rPr>
              <w:t>,</w:t>
            </w:r>
            <w:r w:rsidRPr="00D00A7D">
              <w:rPr>
                <w:sz w:val="16"/>
                <w:szCs w:val="24"/>
                <w:rtl/>
              </w:rPr>
              <w:t>3</w:t>
            </w:r>
          </w:p>
        </w:tc>
        <w:tc>
          <w:tcPr>
            <w:tcW w:w="949"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3</w:t>
            </w:r>
            <w:r w:rsidRPr="00D00A7D">
              <w:rPr>
                <w:sz w:val="16"/>
                <w:szCs w:val="24"/>
              </w:rPr>
              <w:t>,</w:t>
            </w:r>
            <w:r w:rsidRPr="00D00A7D">
              <w:rPr>
                <w:sz w:val="16"/>
                <w:szCs w:val="24"/>
                <w:rtl/>
              </w:rPr>
              <w:t>0</w:t>
            </w:r>
          </w:p>
        </w:tc>
      </w:tr>
      <w:tr w:rsidR="00D00A7D" w:rsidRPr="00D32EAD" w:rsidTr="00362769">
        <w:trPr>
          <w:cantSplit/>
        </w:trPr>
        <w:tc>
          <w:tcPr>
            <w:tcW w:w="5423" w:type="dxa"/>
            <w:shd w:val="clear" w:color="auto" w:fill="auto"/>
            <w:vAlign w:val="bottom"/>
          </w:tcPr>
          <w:p w:rsidR="00D00A7D" w:rsidRPr="00D32EAD" w:rsidRDefault="00D00A7D" w:rsidP="00D00A7D">
            <w:pPr>
              <w:pStyle w:val="DualTxt"/>
              <w:spacing w:before="40" w:after="80" w:line="240" w:lineRule="exact"/>
              <w:ind w:left="43" w:right="144"/>
              <w:rPr>
                <w:sz w:val="16"/>
                <w:szCs w:val="24"/>
              </w:rPr>
            </w:pPr>
            <w:r w:rsidRPr="00D32EAD">
              <w:rPr>
                <w:sz w:val="16"/>
                <w:szCs w:val="24"/>
                <w:rtl/>
              </w:rPr>
              <w:t>الفنيون والمتخصصون والمساعدون والكتبة</w:t>
            </w:r>
          </w:p>
        </w:tc>
        <w:tc>
          <w:tcPr>
            <w:tcW w:w="948"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21</w:t>
            </w:r>
            <w:r w:rsidRPr="00D00A7D">
              <w:rPr>
                <w:sz w:val="16"/>
                <w:szCs w:val="24"/>
              </w:rPr>
              <w:t>,</w:t>
            </w:r>
            <w:r w:rsidRPr="00D00A7D">
              <w:rPr>
                <w:sz w:val="16"/>
                <w:szCs w:val="24"/>
                <w:rtl/>
              </w:rPr>
              <w:t>5</w:t>
            </w:r>
          </w:p>
        </w:tc>
        <w:tc>
          <w:tcPr>
            <w:tcW w:w="949"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52</w:t>
            </w:r>
            <w:r w:rsidRPr="00D00A7D">
              <w:rPr>
                <w:sz w:val="16"/>
                <w:szCs w:val="24"/>
              </w:rPr>
              <w:t>,</w:t>
            </w:r>
            <w:r w:rsidRPr="00D00A7D">
              <w:rPr>
                <w:sz w:val="16"/>
                <w:szCs w:val="24"/>
                <w:rtl/>
              </w:rPr>
              <w:t>9</w:t>
            </w:r>
          </w:p>
        </w:tc>
      </w:tr>
      <w:tr w:rsidR="00D00A7D" w:rsidRPr="00D32EAD" w:rsidTr="00362769">
        <w:trPr>
          <w:cantSplit/>
        </w:trPr>
        <w:tc>
          <w:tcPr>
            <w:tcW w:w="5423" w:type="dxa"/>
            <w:shd w:val="clear" w:color="auto" w:fill="auto"/>
            <w:vAlign w:val="bottom"/>
          </w:tcPr>
          <w:p w:rsidR="00D00A7D" w:rsidRPr="00D32EAD" w:rsidRDefault="00D00A7D" w:rsidP="00D00A7D">
            <w:pPr>
              <w:pStyle w:val="DualTxt"/>
              <w:spacing w:before="40" w:after="80" w:line="240" w:lineRule="exact"/>
              <w:ind w:left="43" w:right="144"/>
              <w:rPr>
                <w:sz w:val="16"/>
                <w:szCs w:val="24"/>
              </w:rPr>
            </w:pPr>
            <w:r w:rsidRPr="00D32EAD">
              <w:rPr>
                <w:sz w:val="16"/>
                <w:szCs w:val="24"/>
                <w:rtl/>
              </w:rPr>
              <w:t>عمال الخدمات والباعة في الأسواق</w:t>
            </w:r>
          </w:p>
        </w:tc>
        <w:tc>
          <w:tcPr>
            <w:tcW w:w="948"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20</w:t>
            </w:r>
            <w:r w:rsidRPr="00D00A7D">
              <w:rPr>
                <w:sz w:val="16"/>
                <w:szCs w:val="24"/>
              </w:rPr>
              <w:t>,</w:t>
            </w:r>
            <w:r w:rsidRPr="00D00A7D">
              <w:rPr>
                <w:sz w:val="16"/>
                <w:szCs w:val="24"/>
                <w:rtl/>
              </w:rPr>
              <w:t>1</w:t>
            </w:r>
          </w:p>
        </w:tc>
        <w:tc>
          <w:tcPr>
            <w:tcW w:w="949"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16</w:t>
            </w:r>
            <w:r w:rsidRPr="00D00A7D">
              <w:rPr>
                <w:sz w:val="16"/>
                <w:szCs w:val="24"/>
              </w:rPr>
              <w:t>,</w:t>
            </w:r>
            <w:r w:rsidRPr="00D00A7D">
              <w:rPr>
                <w:sz w:val="16"/>
                <w:szCs w:val="24"/>
                <w:rtl/>
              </w:rPr>
              <w:t>3</w:t>
            </w:r>
          </w:p>
        </w:tc>
      </w:tr>
      <w:tr w:rsidR="00D00A7D" w:rsidRPr="00D32EAD" w:rsidTr="00362769">
        <w:trPr>
          <w:cantSplit/>
        </w:trPr>
        <w:tc>
          <w:tcPr>
            <w:tcW w:w="5423" w:type="dxa"/>
            <w:shd w:val="clear" w:color="auto" w:fill="auto"/>
            <w:vAlign w:val="bottom"/>
          </w:tcPr>
          <w:p w:rsidR="00D00A7D" w:rsidRPr="00D32EAD" w:rsidRDefault="00D00A7D" w:rsidP="00D00A7D">
            <w:pPr>
              <w:pStyle w:val="DualTxt"/>
              <w:spacing w:before="40" w:after="80" w:line="240" w:lineRule="exact"/>
              <w:ind w:left="43" w:right="144"/>
              <w:rPr>
                <w:sz w:val="16"/>
                <w:szCs w:val="24"/>
              </w:rPr>
            </w:pPr>
            <w:r w:rsidRPr="00D32EAD">
              <w:rPr>
                <w:sz w:val="16"/>
                <w:szCs w:val="24"/>
                <w:rtl/>
              </w:rPr>
              <w:t>العمال المهرة في الزراعة والصيد</w:t>
            </w:r>
          </w:p>
        </w:tc>
        <w:tc>
          <w:tcPr>
            <w:tcW w:w="948"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3</w:t>
            </w:r>
            <w:r w:rsidRPr="00D00A7D">
              <w:rPr>
                <w:sz w:val="16"/>
                <w:szCs w:val="24"/>
              </w:rPr>
              <w:t>,</w:t>
            </w:r>
            <w:r w:rsidRPr="00D00A7D">
              <w:rPr>
                <w:sz w:val="16"/>
                <w:szCs w:val="24"/>
                <w:rtl/>
              </w:rPr>
              <w:t>9</w:t>
            </w:r>
          </w:p>
        </w:tc>
        <w:tc>
          <w:tcPr>
            <w:tcW w:w="949"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10</w:t>
            </w:r>
            <w:r w:rsidRPr="00D00A7D">
              <w:rPr>
                <w:sz w:val="16"/>
                <w:szCs w:val="24"/>
              </w:rPr>
              <w:t>,</w:t>
            </w:r>
            <w:r w:rsidRPr="00D00A7D">
              <w:rPr>
                <w:sz w:val="16"/>
                <w:szCs w:val="24"/>
                <w:rtl/>
              </w:rPr>
              <w:t>4</w:t>
            </w:r>
          </w:p>
        </w:tc>
      </w:tr>
      <w:tr w:rsidR="00D00A7D" w:rsidRPr="00D32EAD" w:rsidTr="00362769">
        <w:trPr>
          <w:cantSplit/>
        </w:trPr>
        <w:tc>
          <w:tcPr>
            <w:tcW w:w="5423" w:type="dxa"/>
            <w:shd w:val="clear" w:color="auto" w:fill="auto"/>
            <w:vAlign w:val="bottom"/>
          </w:tcPr>
          <w:p w:rsidR="00D00A7D" w:rsidRPr="00D32EAD" w:rsidRDefault="00D00A7D" w:rsidP="00D00A7D">
            <w:pPr>
              <w:pStyle w:val="DualTxt"/>
              <w:spacing w:before="40" w:after="80" w:line="240" w:lineRule="exact"/>
              <w:ind w:left="43" w:right="144"/>
              <w:rPr>
                <w:sz w:val="16"/>
                <w:szCs w:val="24"/>
              </w:rPr>
            </w:pPr>
            <w:r w:rsidRPr="00D32EAD">
              <w:rPr>
                <w:sz w:val="16"/>
                <w:szCs w:val="24"/>
                <w:rtl/>
              </w:rPr>
              <w:t>العاملون في الحرف وما إليها من المهن</w:t>
            </w:r>
          </w:p>
        </w:tc>
        <w:tc>
          <w:tcPr>
            <w:tcW w:w="948"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20</w:t>
            </w:r>
            <w:r w:rsidRPr="00D00A7D">
              <w:rPr>
                <w:sz w:val="16"/>
                <w:szCs w:val="24"/>
              </w:rPr>
              <w:t>,</w:t>
            </w:r>
            <w:r w:rsidRPr="00D00A7D">
              <w:rPr>
                <w:sz w:val="16"/>
                <w:szCs w:val="24"/>
                <w:rtl/>
              </w:rPr>
              <w:t>7</w:t>
            </w:r>
          </w:p>
        </w:tc>
        <w:tc>
          <w:tcPr>
            <w:tcW w:w="949"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7</w:t>
            </w:r>
            <w:r w:rsidRPr="00D00A7D">
              <w:rPr>
                <w:sz w:val="16"/>
                <w:szCs w:val="24"/>
              </w:rPr>
              <w:t>,</w:t>
            </w:r>
            <w:r w:rsidRPr="00D00A7D">
              <w:rPr>
                <w:sz w:val="16"/>
                <w:szCs w:val="24"/>
                <w:rtl/>
              </w:rPr>
              <w:t>7</w:t>
            </w:r>
          </w:p>
        </w:tc>
      </w:tr>
      <w:tr w:rsidR="00D00A7D" w:rsidRPr="00D32EAD" w:rsidTr="00362769">
        <w:trPr>
          <w:cantSplit/>
        </w:trPr>
        <w:tc>
          <w:tcPr>
            <w:tcW w:w="5423" w:type="dxa"/>
            <w:shd w:val="clear" w:color="auto" w:fill="auto"/>
            <w:vAlign w:val="bottom"/>
          </w:tcPr>
          <w:p w:rsidR="00D00A7D" w:rsidRPr="00D32EAD" w:rsidRDefault="00D00A7D" w:rsidP="00D00A7D">
            <w:pPr>
              <w:pStyle w:val="DualTxt"/>
              <w:spacing w:before="40" w:after="80" w:line="240" w:lineRule="exact"/>
              <w:ind w:left="43" w:right="144"/>
              <w:rPr>
                <w:sz w:val="16"/>
                <w:szCs w:val="24"/>
              </w:rPr>
            </w:pPr>
            <w:r w:rsidRPr="00D32EAD">
              <w:rPr>
                <w:sz w:val="16"/>
                <w:szCs w:val="24"/>
                <w:rtl/>
              </w:rPr>
              <w:t>مشغلو الآلات ومجموعها</w:t>
            </w:r>
          </w:p>
        </w:tc>
        <w:tc>
          <w:tcPr>
            <w:tcW w:w="948"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10</w:t>
            </w:r>
            <w:r w:rsidRPr="00D00A7D">
              <w:rPr>
                <w:sz w:val="16"/>
                <w:szCs w:val="24"/>
              </w:rPr>
              <w:t>,</w:t>
            </w:r>
            <w:r w:rsidRPr="00D00A7D">
              <w:rPr>
                <w:sz w:val="16"/>
                <w:szCs w:val="24"/>
                <w:rtl/>
              </w:rPr>
              <w:t>7</w:t>
            </w:r>
          </w:p>
        </w:tc>
        <w:tc>
          <w:tcPr>
            <w:tcW w:w="949" w:type="dxa"/>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4</w:t>
            </w:r>
            <w:r w:rsidRPr="00D00A7D">
              <w:rPr>
                <w:sz w:val="16"/>
                <w:szCs w:val="24"/>
              </w:rPr>
              <w:t>,</w:t>
            </w:r>
            <w:r w:rsidRPr="00D00A7D">
              <w:rPr>
                <w:sz w:val="16"/>
                <w:szCs w:val="24"/>
                <w:rtl/>
              </w:rPr>
              <w:t>0</w:t>
            </w:r>
          </w:p>
        </w:tc>
      </w:tr>
      <w:tr w:rsidR="00D00A7D" w:rsidRPr="00D32EAD" w:rsidTr="00362769">
        <w:trPr>
          <w:cantSplit/>
        </w:trPr>
        <w:tc>
          <w:tcPr>
            <w:tcW w:w="5423" w:type="dxa"/>
            <w:tcBorders>
              <w:bottom w:val="single" w:sz="12" w:space="0" w:color="auto"/>
            </w:tcBorders>
            <w:shd w:val="clear" w:color="auto" w:fill="auto"/>
            <w:vAlign w:val="bottom"/>
          </w:tcPr>
          <w:p w:rsidR="00D00A7D" w:rsidRPr="00D32EAD" w:rsidRDefault="00D00A7D" w:rsidP="00D00A7D">
            <w:pPr>
              <w:pStyle w:val="DualTxt"/>
              <w:spacing w:before="40" w:after="80" w:line="240" w:lineRule="exact"/>
              <w:ind w:left="43" w:right="144"/>
              <w:rPr>
                <w:sz w:val="16"/>
                <w:szCs w:val="24"/>
                <w:rtl/>
              </w:rPr>
            </w:pPr>
            <w:r w:rsidRPr="00D32EAD">
              <w:rPr>
                <w:sz w:val="16"/>
                <w:szCs w:val="24"/>
                <w:rtl/>
              </w:rPr>
              <w:t>المهن الأولية</w:t>
            </w:r>
          </w:p>
        </w:tc>
        <w:tc>
          <w:tcPr>
            <w:tcW w:w="948" w:type="dxa"/>
            <w:tcBorders>
              <w:bottom w:val="single" w:sz="12" w:space="0" w:color="auto"/>
            </w:tcBorders>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19</w:t>
            </w:r>
            <w:r w:rsidRPr="00D00A7D">
              <w:rPr>
                <w:sz w:val="16"/>
                <w:szCs w:val="24"/>
              </w:rPr>
              <w:t>,</w:t>
            </w:r>
            <w:r w:rsidRPr="00D00A7D">
              <w:rPr>
                <w:sz w:val="16"/>
                <w:szCs w:val="24"/>
                <w:rtl/>
              </w:rPr>
              <w:t>8</w:t>
            </w:r>
          </w:p>
        </w:tc>
        <w:tc>
          <w:tcPr>
            <w:tcW w:w="949" w:type="dxa"/>
            <w:tcBorders>
              <w:bottom w:val="single" w:sz="12" w:space="0" w:color="auto"/>
            </w:tcBorders>
            <w:shd w:val="clear" w:color="auto" w:fill="auto"/>
            <w:vAlign w:val="bottom"/>
          </w:tcPr>
          <w:p w:rsidR="00D00A7D" w:rsidRPr="002B4100" w:rsidRDefault="00D00A7D" w:rsidP="00377C1A">
            <w:pPr>
              <w:pStyle w:val="DualTxt"/>
              <w:bidi w:val="0"/>
              <w:spacing w:before="40" w:after="80" w:line="240" w:lineRule="exact"/>
              <w:ind w:left="43" w:right="43"/>
              <w:jc w:val="right"/>
              <w:rPr>
                <w:sz w:val="16"/>
                <w:szCs w:val="24"/>
              </w:rPr>
            </w:pPr>
            <w:r w:rsidRPr="00D00A7D">
              <w:rPr>
                <w:sz w:val="16"/>
                <w:szCs w:val="24"/>
                <w:rtl/>
              </w:rPr>
              <w:t>5</w:t>
            </w:r>
            <w:r w:rsidRPr="00D00A7D">
              <w:rPr>
                <w:sz w:val="16"/>
                <w:szCs w:val="24"/>
              </w:rPr>
              <w:t>,</w:t>
            </w:r>
            <w:r w:rsidRPr="00D00A7D">
              <w:rPr>
                <w:sz w:val="16"/>
                <w:szCs w:val="24"/>
                <w:rtl/>
              </w:rPr>
              <w:t>7</w:t>
            </w:r>
          </w:p>
        </w:tc>
      </w:tr>
    </w:tbl>
    <w:p w:rsidR="00377C1A" w:rsidRPr="00377C1A" w:rsidRDefault="00377C1A" w:rsidP="00377C1A">
      <w:pPr>
        <w:pStyle w:val="SingleTxt"/>
        <w:spacing w:after="0" w:line="120" w:lineRule="exact"/>
        <w:rPr>
          <w:sz w:val="10"/>
          <w:rtl/>
          <w:lang w:bidi="ar-SY"/>
        </w:rPr>
      </w:pPr>
    </w:p>
    <w:p w:rsidR="00377C1A" w:rsidRPr="00377C1A" w:rsidRDefault="00377C1A" w:rsidP="00377C1A">
      <w:pPr>
        <w:pStyle w:val="SingleTxt"/>
        <w:spacing w:after="0" w:line="120" w:lineRule="exact"/>
        <w:rPr>
          <w:sz w:val="10"/>
          <w:rtl/>
          <w:lang w:bidi="ar-SY"/>
        </w:rPr>
      </w:pPr>
    </w:p>
    <w:p w:rsidR="00337510" w:rsidRDefault="00337510">
      <w:pPr>
        <w:bidi w:val="0"/>
        <w:spacing w:line="240" w:lineRule="auto"/>
        <w:jc w:val="left"/>
        <w:rPr>
          <w:rtl/>
          <w:lang w:bidi="ar-SY"/>
        </w:rPr>
      </w:pPr>
      <w:r>
        <w:rPr>
          <w:rtl/>
          <w:lang w:bidi="ar-SY"/>
        </w:rPr>
        <w:br w:type="page"/>
      </w:r>
    </w:p>
    <w:p w:rsidR="00D32EAD" w:rsidRDefault="00377C1A" w:rsidP="00377C1A">
      <w:pPr>
        <w:pStyle w:val="SingleTxt"/>
      </w:pPr>
      <w:r w:rsidRPr="00377C1A">
        <w:rPr>
          <w:rtl/>
          <w:lang w:bidi="ar-SY"/>
        </w:rPr>
        <w:lastRenderedPageBreak/>
        <w:t>جدول رقم (6)</w:t>
      </w:r>
      <w:r w:rsidRPr="00377C1A">
        <w:rPr>
          <w:rFonts w:hint="cs"/>
          <w:rtl/>
          <w:lang w:bidi="ar-SY"/>
        </w:rPr>
        <w:tab/>
      </w:r>
      <w:r w:rsidRPr="00377C1A">
        <w:rPr>
          <w:rFonts w:hint="cs"/>
          <w:rtl/>
          <w:lang w:bidi="ar-SY"/>
        </w:rPr>
        <w:br/>
      </w:r>
      <w:r w:rsidRPr="00F32B28">
        <w:rPr>
          <w:b/>
          <w:bCs/>
          <w:rtl/>
        </w:rPr>
        <w:t>التوزيع</w:t>
      </w:r>
      <w:r>
        <w:rPr>
          <w:b/>
          <w:bCs/>
          <w:rtl/>
        </w:rPr>
        <w:t xml:space="preserve"> </w:t>
      </w:r>
      <w:r w:rsidRPr="00F32B28">
        <w:rPr>
          <w:b/>
          <w:bCs/>
          <w:rtl/>
        </w:rPr>
        <w:t>النسبي</w:t>
      </w:r>
      <w:r>
        <w:rPr>
          <w:b/>
          <w:bCs/>
          <w:rtl/>
        </w:rPr>
        <w:t xml:space="preserve"> </w:t>
      </w:r>
      <w:r w:rsidRPr="00F32B28">
        <w:rPr>
          <w:b/>
          <w:bCs/>
          <w:rtl/>
        </w:rPr>
        <w:t>للذكور</w:t>
      </w:r>
      <w:r>
        <w:rPr>
          <w:b/>
          <w:bCs/>
          <w:rtl/>
        </w:rPr>
        <w:t xml:space="preserve"> </w:t>
      </w:r>
      <w:r w:rsidRPr="00F32B28">
        <w:rPr>
          <w:b/>
          <w:bCs/>
          <w:rtl/>
        </w:rPr>
        <w:t>والإناث</w:t>
      </w:r>
      <w:r>
        <w:rPr>
          <w:b/>
          <w:bCs/>
          <w:rtl/>
        </w:rPr>
        <w:t xml:space="preserve"> </w:t>
      </w:r>
      <w:r w:rsidRPr="00F32B28">
        <w:rPr>
          <w:b/>
          <w:bCs/>
          <w:rtl/>
        </w:rPr>
        <w:t>العاملون</w:t>
      </w:r>
      <w:r>
        <w:rPr>
          <w:b/>
          <w:bCs/>
          <w:rtl/>
        </w:rPr>
        <w:t xml:space="preserve"> </w:t>
      </w:r>
      <w:r w:rsidRPr="00F32B28">
        <w:rPr>
          <w:b/>
          <w:bCs/>
          <w:rtl/>
        </w:rPr>
        <w:t>15</w:t>
      </w:r>
      <w:r>
        <w:rPr>
          <w:b/>
          <w:bCs/>
          <w:rtl/>
        </w:rPr>
        <w:t xml:space="preserve"> </w:t>
      </w:r>
      <w:r w:rsidRPr="00F32B28">
        <w:rPr>
          <w:b/>
          <w:bCs/>
          <w:rtl/>
        </w:rPr>
        <w:t>سنة</w:t>
      </w:r>
      <w:r>
        <w:rPr>
          <w:b/>
          <w:bCs/>
          <w:rtl/>
        </w:rPr>
        <w:t xml:space="preserve"> </w:t>
      </w:r>
      <w:r w:rsidRPr="00F32B28">
        <w:rPr>
          <w:b/>
          <w:bCs/>
          <w:rtl/>
        </w:rPr>
        <w:t>فأكثر</w:t>
      </w:r>
      <w:r>
        <w:rPr>
          <w:b/>
          <w:bCs/>
          <w:rtl/>
        </w:rPr>
        <w:t xml:space="preserve"> </w:t>
      </w:r>
      <w:r w:rsidRPr="00F32B28">
        <w:rPr>
          <w:b/>
          <w:bCs/>
          <w:rtl/>
        </w:rPr>
        <w:t>حسب</w:t>
      </w:r>
      <w:r>
        <w:rPr>
          <w:b/>
          <w:bCs/>
          <w:rtl/>
        </w:rPr>
        <w:t xml:space="preserve"> </w:t>
      </w:r>
      <w:r w:rsidRPr="00F32B28">
        <w:rPr>
          <w:b/>
          <w:bCs/>
          <w:rtl/>
        </w:rPr>
        <w:t>النشاط</w:t>
      </w:r>
      <w:r>
        <w:rPr>
          <w:b/>
          <w:bCs/>
          <w:rtl/>
        </w:rPr>
        <w:t xml:space="preserve"> </w:t>
      </w:r>
      <w:r w:rsidRPr="00F32B28">
        <w:rPr>
          <w:b/>
          <w:bCs/>
          <w:rtl/>
        </w:rPr>
        <w:t>الاقتصادي</w:t>
      </w:r>
      <w:r>
        <w:rPr>
          <w:b/>
          <w:bCs/>
          <w:rtl/>
        </w:rPr>
        <w:t xml:space="preserve"> </w:t>
      </w:r>
      <w:r w:rsidRPr="00F32B28">
        <w:rPr>
          <w:b/>
          <w:bCs/>
          <w:rtl/>
        </w:rPr>
        <w:t>في</w:t>
      </w:r>
      <w:r>
        <w:rPr>
          <w:b/>
          <w:bCs/>
          <w:rtl/>
        </w:rPr>
        <w:t xml:space="preserve"> </w:t>
      </w:r>
      <w:r w:rsidRPr="00F32B28">
        <w:rPr>
          <w:b/>
          <w:bCs/>
          <w:rtl/>
        </w:rPr>
        <w:t>فلسطين،</w:t>
      </w:r>
      <w:r>
        <w:rPr>
          <w:b/>
          <w:bCs/>
          <w:rtl/>
        </w:rPr>
        <w:t xml:space="preserve"> </w:t>
      </w:r>
      <w:r w:rsidRPr="00F32B28">
        <w:rPr>
          <w:b/>
          <w:bCs/>
          <w:rtl/>
        </w:rPr>
        <w:t>2015</w:t>
      </w:r>
      <w:r>
        <w:rPr>
          <w:b/>
          <w:bCs/>
          <w:rtl/>
        </w:rPr>
        <w:t xml:space="preserve"> </w:t>
      </w:r>
      <w:r w:rsidRPr="00F32B28">
        <w:rPr>
          <w:b/>
          <w:bCs/>
          <w:rtl/>
        </w:rPr>
        <w:t>(بالنسبة</w:t>
      </w:r>
      <w:r>
        <w:rPr>
          <w:b/>
          <w:bCs/>
          <w:rtl/>
        </w:rPr>
        <w:t xml:space="preserve"> </w:t>
      </w:r>
      <w:r w:rsidRPr="00F32B28">
        <w:rPr>
          <w:b/>
          <w:bCs/>
          <w:rtl/>
        </w:rPr>
        <w:t>المئوية)</w:t>
      </w:r>
    </w:p>
    <w:tbl>
      <w:tblPr>
        <w:bidiVisual/>
        <w:tblW w:w="7320" w:type="dxa"/>
        <w:tblInd w:w="1267" w:type="dxa"/>
        <w:tblLayout w:type="fixed"/>
        <w:tblCellMar>
          <w:left w:w="0" w:type="dxa"/>
          <w:right w:w="0" w:type="dxa"/>
        </w:tblCellMar>
        <w:tblLook w:val="0000" w:firstRow="0" w:lastRow="0" w:firstColumn="0" w:lastColumn="0" w:noHBand="0" w:noVBand="0"/>
      </w:tblPr>
      <w:tblGrid>
        <w:gridCol w:w="5423"/>
        <w:gridCol w:w="948"/>
        <w:gridCol w:w="949"/>
      </w:tblGrid>
      <w:tr w:rsidR="00377C1A" w:rsidRPr="00377C1A" w:rsidTr="00362769">
        <w:trPr>
          <w:cantSplit/>
          <w:tblHeader/>
        </w:trPr>
        <w:tc>
          <w:tcPr>
            <w:tcW w:w="5423" w:type="dxa"/>
            <w:tcBorders>
              <w:top w:val="single" w:sz="4" w:space="0" w:color="auto"/>
              <w:bottom w:val="single" w:sz="12" w:space="0" w:color="auto"/>
            </w:tcBorders>
            <w:shd w:val="clear" w:color="auto" w:fill="auto"/>
            <w:vAlign w:val="bottom"/>
          </w:tcPr>
          <w:p w:rsidR="00377C1A" w:rsidRPr="00377C1A" w:rsidRDefault="00377C1A" w:rsidP="00377C1A">
            <w:pPr>
              <w:pStyle w:val="DualTxt"/>
              <w:spacing w:before="80" w:after="80" w:line="240" w:lineRule="exact"/>
              <w:ind w:left="43" w:right="144"/>
              <w:rPr>
                <w:i/>
                <w:iCs/>
                <w:sz w:val="16"/>
                <w:szCs w:val="24"/>
                <w:rtl/>
              </w:rPr>
            </w:pPr>
            <w:r w:rsidRPr="00377C1A">
              <w:rPr>
                <w:i/>
                <w:iCs/>
                <w:sz w:val="16"/>
                <w:szCs w:val="24"/>
                <w:rtl/>
              </w:rPr>
              <w:t>النشاط الاقتصادي</w:t>
            </w:r>
          </w:p>
        </w:tc>
        <w:tc>
          <w:tcPr>
            <w:tcW w:w="948" w:type="dxa"/>
            <w:tcBorders>
              <w:top w:val="single" w:sz="4" w:space="0" w:color="auto"/>
              <w:bottom w:val="single" w:sz="12" w:space="0" w:color="auto"/>
            </w:tcBorders>
            <w:shd w:val="clear" w:color="auto" w:fill="auto"/>
            <w:vAlign w:val="bottom"/>
          </w:tcPr>
          <w:p w:rsidR="00377C1A" w:rsidRPr="00377C1A" w:rsidRDefault="00377C1A" w:rsidP="00377C1A">
            <w:pPr>
              <w:pStyle w:val="DualTxt"/>
              <w:spacing w:before="80" w:after="80" w:line="240" w:lineRule="exact"/>
              <w:ind w:left="43" w:right="144"/>
              <w:rPr>
                <w:i/>
                <w:iCs/>
                <w:sz w:val="16"/>
                <w:szCs w:val="24"/>
                <w:rtl/>
              </w:rPr>
            </w:pPr>
            <w:r w:rsidRPr="00377C1A">
              <w:rPr>
                <w:i/>
                <w:iCs/>
                <w:sz w:val="16"/>
                <w:szCs w:val="24"/>
                <w:rtl/>
              </w:rPr>
              <w:t>الذكور</w:t>
            </w:r>
          </w:p>
        </w:tc>
        <w:tc>
          <w:tcPr>
            <w:tcW w:w="949" w:type="dxa"/>
            <w:tcBorders>
              <w:top w:val="single" w:sz="4" w:space="0" w:color="auto"/>
              <w:bottom w:val="single" w:sz="12" w:space="0" w:color="auto"/>
            </w:tcBorders>
            <w:shd w:val="clear" w:color="auto" w:fill="auto"/>
            <w:vAlign w:val="bottom"/>
          </w:tcPr>
          <w:p w:rsidR="00377C1A" w:rsidRPr="00377C1A" w:rsidRDefault="00377C1A" w:rsidP="00377C1A">
            <w:pPr>
              <w:pStyle w:val="DualTxt"/>
              <w:spacing w:before="80" w:after="80" w:line="240" w:lineRule="exact"/>
              <w:ind w:left="43" w:right="144"/>
              <w:rPr>
                <w:i/>
                <w:iCs/>
                <w:sz w:val="16"/>
                <w:szCs w:val="24"/>
              </w:rPr>
            </w:pPr>
            <w:r w:rsidRPr="00377C1A">
              <w:rPr>
                <w:i/>
                <w:iCs/>
                <w:sz w:val="16"/>
                <w:szCs w:val="24"/>
                <w:rtl/>
              </w:rPr>
              <w:t>الإناث</w:t>
            </w:r>
          </w:p>
        </w:tc>
      </w:tr>
      <w:tr w:rsidR="00377C1A" w:rsidRPr="00377C1A" w:rsidTr="00362769">
        <w:trPr>
          <w:cantSplit/>
          <w:trHeight w:hRule="exact" w:val="115"/>
          <w:tblHeader/>
        </w:trPr>
        <w:tc>
          <w:tcPr>
            <w:tcW w:w="5423" w:type="dxa"/>
            <w:tcBorders>
              <w:top w:val="single" w:sz="12" w:space="0" w:color="auto"/>
            </w:tcBorders>
            <w:shd w:val="clear" w:color="auto" w:fill="auto"/>
            <w:vAlign w:val="bottom"/>
          </w:tcPr>
          <w:p w:rsidR="00377C1A" w:rsidRPr="00377C1A" w:rsidRDefault="00377C1A" w:rsidP="00377C1A">
            <w:pPr>
              <w:pStyle w:val="DualTxt"/>
              <w:spacing w:before="40" w:after="80" w:line="240" w:lineRule="exact"/>
              <w:ind w:left="43" w:right="144"/>
              <w:rPr>
                <w:sz w:val="16"/>
                <w:szCs w:val="24"/>
                <w:rtl/>
              </w:rPr>
            </w:pPr>
          </w:p>
        </w:tc>
        <w:tc>
          <w:tcPr>
            <w:tcW w:w="948" w:type="dxa"/>
            <w:tcBorders>
              <w:top w:val="single" w:sz="12" w:space="0" w:color="auto"/>
            </w:tcBorders>
            <w:shd w:val="clear" w:color="auto" w:fill="auto"/>
            <w:vAlign w:val="bottom"/>
          </w:tcPr>
          <w:p w:rsidR="00377C1A" w:rsidRPr="00377C1A" w:rsidRDefault="00377C1A" w:rsidP="00377C1A">
            <w:pPr>
              <w:tabs>
                <w:tab w:val="left" w:pos="288"/>
                <w:tab w:val="left" w:pos="576"/>
                <w:tab w:val="left" w:pos="864"/>
                <w:tab w:val="left" w:pos="1152"/>
              </w:tabs>
              <w:spacing w:before="40" w:after="80" w:line="240" w:lineRule="exact"/>
              <w:ind w:left="43" w:right="144"/>
              <w:rPr>
                <w:sz w:val="16"/>
                <w:szCs w:val="24"/>
                <w:rtl/>
              </w:rPr>
            </w:pPr>
          </w:p>
        </w:tc>
        <w:tc>
          <w:tcPr>
            <w:tcW w:w="949" w:type="dxa"/>
            <w:tcBorders>
              <w:top w:val="single" w:sz="12" w:space="0" w:color="auto"/>
            </w:tcBorders>
            <w:shd w:val="clear" w:color="auto" w:fill="auto"/>
            <w:vAlign w:val="bottom"/>
          </w:tcPr>
          <w:p w:rsidR="00377C1A" w:rsidRPr="00377C1A" w:rsidRDefault="00377C1A" w:rsidP="00377C1A">
            <w:pPr>
              <w:tabs>
                <w:tab w:val="left" w:pos="288"/>
                <w:tab w:val="left" w:pos="576"/>
                <w:tab w:val="left" w:pos="864"/>
                <w:tab w:val="left" w:pos="1152"/>
              </w:tabs>
              <w:spacing w:before="40" w:after="80" w:line="240" w:lineRule="exact"/>
              <w:ind w:left="43" w:right="144"/>
              <w:rPr>
                <w:sz w:val="16"/>
                <w:szCs w:val="24"/>
                <w:rtl/>
              </w:rPr>
            </w:pPr>
          </w:p>
        </w:tc>
      </w:tr>
      <w:tr w:rsidR="00377C1A" w:rsidRPr="00377C1A" w:rsidTr="00362769">
        <w:trPr>
          <w:cantSplit/>
        </w:trPr>
        <w:tc>
          <w:tcPr>
            <w:tcW w:w="5423" w:type="dxa"/>
            <w:shd w:val="clear" w:color="auto" w:fill="auto"/>
            <w:vAlign w:val="bottom"/>
          </w:tcPr>
          <w:p w:rsidR="00377C1A" w:rsidRPr="00377C1A" w:rsidRDefault="00377C1A" w:rsidP="00377C1A">
            <w:pPr>
              <w:pStyle w:val="DualTxt"/>
              <w:spacing w:before="40" w:after="80" w:line="240" w:lineRule="exact"/>
              <w:ind w:left="43" w:right="144"/>
              <w:rPr>
                <w:sz w:val="16"/>
                <w:szCs w:val="24"/>
              </w:rPr>
            </w:pPr>
            <w:r w:rsidRPr="00377C1A">
              <w:rPr>
                <w:sz w:val="16"/>
                <w:szCs w:val="24"/>
                <w:rtl/>
              </w:rPr>
              <w:t>الزراعة والصيد والحراجة</w:t>
            </w:r>
          </w:p>
        </w:tc>
        <w:tc>
          <w:tcPr>
            <w:tcW w:w="948" w:type="dxa"/>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8</w:t>
            </w:r>
            <w:r w:rsidRPr="00377C1A">
              <w:rPr>
                <w:sz w:val="16"/>
                <w:szCs w:val="24"/>
              </w:rPr>
              <w:t>,</w:t>
            </w:r>
            <w:r w:rsidRPr="00377C1A">
              <w:rPr>
                <w:sz w:val="16"/>
                <w:szCs w:val="24"/>
                <w:rtl/>
              </w:rPr>
              <w:t>3</w:t>
            </w:r>
          </w:p>
        </w:tc>
        <w:tc>
          <w:tcPr>
            <w:tcW w:w="949" w:type="dxa"/>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14</w:t>
            </w:r>
            <w:r w:rsidRPr="00377C1A">
              <w:rPr>
                <w:sz w:val="16"/>
                <w:szCs w:val="24"/>
              </w:rPr>
              <w:t>,</w:t>
            </w:r>
            <w:r w:rsidRPr="00377C1A">
              <w:rPr>
                <w:sz w:val="16"/>
                <w:szCs w:val="24"/>
                <w:rtl/>
              </w:rPr>
              <w:t>9</w:t>
            </w:r>
          </w:p>
        </w:tc>
      </w:tr>
      <w:tr w:rsidR="00377C1A" w:rsidRPr="00377C1A" w:rsidTr="00362769">
        <w:trPr>
          <w:cantSplit/>
        </w:trPr>
        <w:tc>
          <w:tcPr>
            <w:tcW w:w="5423" w:type="dxa"/>
            <w:shd w:val="clear" w:color="auto" w:fill="auto"/>
            <w:vAlign w:val="bottom"/>
          </w:tcPr>
          <w:p w:rsidR="00377C1A" w:rsidRPr="00377C1A" w:rsidRDefault="00377C1A" w:rsidP="00377C1A">
            <w:pPr>
              <w:pStyle w:val="DualTxt"/>
              <w:spacing w:before="40" w:after="80" w:line="240" w:lineRule="exact"/>
              <w:ind w:left="43" w:right="144"/>
              <w:rPr>
                <w:sz w:val="16"/>
                <w:szCs w:val="24"/>
              </w:rPr>
            </w:pPr>
            <w:r w:rsidRPr="00377C1A">
              <w:rPr>
                <w:sz w:val="16"/>
                <w:szCs w:val="24"/>
                <w:rtl/>
              </w:rPr>
              <w:t>التعدين والمحاجر والصناعة التحويلية</w:t>
            </w:r>
          </w:p>
        </w:tc>
        <w:tc>
          <w:tcPr>
            <w:tcW w:w="948" w:type="dxa"/>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16</w:t>
            </w:r>
            <w:r w:rsidRPr="00377C1A">
              <w:rPr>
                <w:sz w:val="16"/>
                <w:szCs w:val="24"/>
              </w:rPr>
              <w:t>,</w:t>
            </w:r>
            <w:r w:rsidRPr="00377C1A">
              <w:rPr>
                <w:sz w:val="16"/>
                <w:szCs w:val="24"/>
                <w:rtl/>
              </w:rPr>
              <w:t>4</w:t>
            </w:r>
          </w:p>
        </w:tc>
        <w:tc>
          <w:tcPr>
            <w:tcW w:w="949" w:type="dxa"/>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13</w:t>
            </w:r>
            <w:r w:rsidRPr="00377C1A">
              <w:rPr>
                <w:sz w:val="16"/>
                <w:szCs w:val="24"/>
              </w:rPr>
              <w:t>,</w:t>
            </w:r>
            <w:r w:rsidRPr="00377C1A">
              <w:rPr>
                <w:sz w:val="16"/>
                <w:szCs w:val="24"/>
                <w:rtl/>
              </w:rPr>
              <w:t>9</w:t>
            </w:r>
          </w:p>
        </w:tc>
      </w:tr>
      <w:tr w:rsidR="00377C1A" w:rsidRPr="00377C1A" w:rsidTr="00362769">
        <w:trPr>
          <w:cantSplit/>
        </w:trPr>
        <w:tc>
          <w:tcPr>
            <w:tcW w:w="5423" w:type="dxa"/>
            <w:shd w:val="clear" w:color="auto" w:fill="auto"/>
            <w:vAlign w:val="bottom"/>
          </w:tcPr>
          <w:p w:rsidR="00377C1A" w:rsidRPr="00377C1A" w:rsidRDefault="00377C1A" w:rsidP="00377C1A">
            <w:pPr>
              <w:pStyle w:val="DualTxt"/>
              <w:spacing w:before="40" w:after="80" w:line="240" w:lineRule="exact"/>
              <w:ind w:left="43" w:right="144"/>
              <w:rPr>
                <w:sz w:val="16"/>
                <w:szCs w:val="24"/>
              </w:rPr>
            </w:pPr>
            <w:r w:rsidRPr="00377C1A">
              <w:rPr>
                <w:sz w:val="16"/>
                <w:szCs w:val="24"/>
                <w:rtl/>
              </w:rPr>
              <w:t>البناء والتشييد</w:t>
            </w:r>
          </w:p>
        </w:tc>
        <w:tc>
          <w:tcPr>
            <w:tcW w:w="948" w:type="dxa"/>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24</w:t>
            </w:r>
            <w:r w:rsidRPr="00377C1A">
              <w:rPr>
                <w:sz w:val="16"/>
                <w:szCs w:val="24"/>
              </w:rPr>
              <w:t>,</w:t>
            </w:r>
            <w:r w:rsidRPr="00377C1A">
              <w:rPr>
                <w:sz w:val="16"/>
                <w:szCs w:val="24"/>
                <w:rtl/>
              </w:rPr>
              <w:t>2</w:t>
            </w:r>
          </w:p>
        </w:tc>
        <w:tc>
          <w:tcPr>
            <w:tcW w:w="949" w:type="dxa"/>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0</w:t>
            </w:r>
            <w:r w:rsidRPr="00377C1A">
              <w:rPr>
                <w:sz w:val="16"/>
                <w:szCs w:val="24"/>
              </w:rPr>
              <w:t>,</w:t>
            </w:r>
            <w:r w:rsidRPr="00377C1A">
              <w:rPr>
                <w:sz w:val="16"/>
                <w:szCs w:val="24"/>
                <w:rtl/>
              </w:rPr>
              <w:t>7</w:t>
            </w:r>
          </w:p>
        </w:tc>
      </w:tr>
      <w:tr w:rsidR="00377C1A" w:rsidRPr="00377C1A" w:rsidTr="00362769">
        <w:trPr>
          <w:cantSplit/>
        </w:trPr>
        <w:tc>
          <w:tcPr>
            <w:tcW w:w="5423" w:type="dxa"/>
            <w:shd w:val="clear" w:color="auto" w:fill="auto"/>
            <w:vAlign w:val="bottom"/>
          </w:tcPr>
          <w:p w:rsidR="00377C1A" w:rsidRPr="00377C1A" w:rsidRDefault="00377C1A" w:rsidP="00377C1A">
            <w:pPr>
              <w:pStyle w:val="DualTxt"/>
              <w:spacing w:before="40" w:after="80" w:line="240" w:lineRule="exact"/>
              <w:ind w:left="43" w:right="144"/>
              <w:rPr>
                <w:sz w:val="16"/>
                <w:szCs w:val="24"/>
              </w:rPr>
            </w:pPr>
            <w:r w:rsidRPr="00377C1A">
              <w:rPr>
                <w:sz w:val="16"/>
                <w:szCs w:val="24"/>
                <w:rtl/>
              </w:rPr>
              <w:t>التجارة والمطاعم والفنادق</w:t>
            </w:r>
          </w:p>
        </w:tc>
        <w:tc>
          <w:tcPr>
            <w:tcW w:w="948" w:type="dxa"/>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22</w:t>
            </w:r>
            <w:r w:rsidRPr="00377C1A">
              <w:rPr>
                <w:sz w:val="16"/>
                <w:szCs w:val="24"/>
              </w:rPr>
              <w:t>,</w:t>
            </w:r>
            <w:r w:rsidRPr="00377C1A">
              <w:rPr>
                <w:sz w:val="16"/>
                <w:szCs w:val="24"/>
                <w:rtl/>
              </w:rPr>
              <w:t>4</w:t>
            </w:r>
          </w:p>
        </w:tc>
        <w:tc>
          <w:tcPr>
            <w:tcW w:w="949" w:type="dxa"/>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13</w:t>
            </w:r>
            <w:r w:rsidRPr="00377C1A">
              <w:rPr>
                <w:sz w:val="16"/>
                <w:szCs w:val="24"/>
              </w:rPr>
              <w:t>,</w:t>
            </w:r>
            <w:r w:rsidRPr="00377C1A">
              <w:rPr>
                <w:sz w:val="16"/>
                <w:szCs w:val="24"/>
                <w:rtl/>
              </w:rPr>
              <w:t>0</w:t>
            </w:r>
          </w:p>
        </w:tc>
      </w:tr>
      <w:tr w:rsidR="00377C1A" w:rsidRPr="00377C1A" w:rsidTr="00362769">
        <w:trPr>
          <w:cantSplit/>
        </w:trPr>
        <w:tc>
          <w:tcPr>
            <w:tcW w:w="5423" w:type="dxa"/>
            <w:shd w:val="clear" w:color="auto" w:fill="auto"/>
            <w:vAlign w:val="bottom"/>
          </w:tcPr>
          <w:p w:rsidR="00377C1A" w:rsidRPr="00377C1A" w:rsidRDefault="00377C1A" w:rsidP="00377C1A">
            <w:pPr>
              <w:pStyle w:val="DualTxt"/>
              <w:spacing w:before="40" w:after="80" w:line="240" w:lineRule="exact"/>
              <w:ind w:left="43" w:right="144"/>
              <w:rPr>
                <w:sz w:val="16"/>
                <w:szCs w:val="24"/>
              </w:rPr>
            </w:pPr>
            <w:r w:rsidRPr="00377C1A">
              <w:rPr>
                <w:sz w:val="16"/>
                <w:szCs w:val="24"/>
                <w:rtl/>
              </w:rPr>
              <w:t>النقل والمواصلات والاتصالات</w:t>
            </w:r>
          </w:p>
        </w:tc>
        <w:tc>
          <w:tcPr>
            <w:tcW w:w="948" w:type="dxa"/>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6</w:t>
            </w:r>
            <w:r w:rsidRPr="00377C1A">
              <w:rPr>
                <w:sz w:val="16"/>
                <w:szCs w:val="24"/>
              </w:rPr>
              <w:t>,</w:t>
            </w:r>
            <w:r w:rsidRPr="00377C1A">
              <w:rPr>
                <w:sz w:val="16"/>
                <w:szCs w:val="24"/>
                <w:rtl/>
              </w:rPr>
              <w:t>1</w:t>
            </w:r>
          </w:p>
        </w:tc>
        <w:tc>
          <w:tcPr>
            <w:tcW w:w="949" w:type="dxa"/>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1</w:t>
            </w:r>
            <w:r w:rsidRPr="00377C1A">
              <w:rPr>
                <w:sz w:val="16"/>
                <w:szCs w:val="24"/>
              </w:rPr>
              <w:t>,</w:t>
            </w:r>
            <w:r w:rsidRPr="00377C1A">
              <w:rPr>
                <w:sz w:val="16"/>
                <w:szCs w:val="24"/>
                <w:rtl/>
              </w:rPr>
              <w:t>2</w:t>
            </w:r>
          </w:p>
        </w:tc>
      </w:tr>
      <w:tr w:rsidR="00377C1A" w:rsidRPr="00377C1A" w:rsidTr="00362769">
        <w:trPr>
          <w:cantSplit/>
        </w:trPr>
        <w:tc>
          <w:tcPr>
            <w:tcW w:w="5423" w:type="dxa"/>
            <w:tcBorders>
              <w:bottom w:val="single" w:sz="12" w:space="0" w:color="auto"/>
            </w:tcBorders>
            <w:shd w:val="clear" w:color="auto" w:fill="auto"/>
            <w:vAlign w:val="bottom"/>
          </w:tcPr>
          <w:p w:rsidR="00377C1A" w:rsidRPr="00377C1A" w:rsidRDefault="00377C1A" w:rsidP="00377C1A">
            <w:pPr>
              <w:pStyle w:val="DualTxt"/>
              <w:spacing w:before="40" w:after="80" w:line="240" w:lineRule="exact"/>
              <w:ind w:left="43" w:right="144"/>
              <w:rPr>
                <w:sz w:val="16"/>
                <w:szCs w:val="24"/>
              </w:rPr>
            </w:pPr>
            <w:r w:rsidRPr="00377C1A">
              <w:rPr>
                <w:sz w:val="16"/>
                <w:szCs w:val="24"/>
                <w:rtl/>
              </w:rPr>
              <w:t>الخدمات والفروع الأخرى</w:t>
            </w:r>
          </w:p>
        </w:tc>
        <w:tc>
          <w:tcPr>
            <w:tcW w:w="948" w:type="dxa"/>
            <w:tcBorders>
              <w:bottom w:val="single" w:sz="12" w:space="0" w:color="auto"/>
            </w:tcBorders>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22</w:t>
            </w:r>
            <w:r w:rsidRPr="00377C1A">
              <w:rPr>
                <w:sz w:val="16"/>
                <w:szCs w:val="24"/>
              </w:rPr>
              <w:t>,</w:t>
            </w:r>
            <w:r w:rsidRPr="00377C1A">
              <w:rPr>
                <w:sz w:val="16"/>
                <w:szCs w:val="24"/>
                <w:rtl/>
              </w:rPr>
              <w:t>6</w:t>
            </w:r>
          </w:p>
        </w:tc>
        <w:tc>
          <w:tcPr>
            <w:tcW w:w="949" w:type="dxa"/>
            <w:tcBorders>
              <w:bottom w:val="single" w:sz="12" w:space="0" w:color="auto"/>
            </w:tcBorders>
            <w:shd w:val="clear" w:color="auto" w:fill="auto"/>
            <w:vAlign w:val="bottom"/>
          </w:tcPr>
          <w:p w:rsidR="00377C1A" w:rsidRPr="002B4100" w:rsidRDefault="00377C1A" w:rsidP="00377C1A">
            <w:pPr>
              <w:pStyle w:val="DualTxt"/>
              <w:bidi w:val="0"/>
              <w:spacing w:before="40" w:after="80" w:line="240" w:lineRule="exact"/>
              <w:ind w:left="43" w:right="43"/>
              <w:jc w:val="right"/>
              <w:rPr>
                <w:sz w:val="16"/>
                <w:szCs w:val="24"/>
              </w:rPr>
            </w:pPr>
            <w:r w:rsidRPr="00377C1A">
              <w:rPr>
                <w:sz w:val="16"/>
                <w:szCs w:val="24"/>
                <w:rtl/>
              </w:rPr>
              <w:t>56</w:t>
            </w:r>
            <w:r w:rsidRPr="00377C1A">
              <w:rPr>
                <w:sz w:val="16"/>
                <w:szCs w:val="24"/>
              </w:rPr>
              <w:t>,</w:t>
            </w:r>
            <w:r w:rsidRPr="00377C1A">
              <w:rPr>
                <w:sz w:val="16"/>
                <w:szCs w:val="24"/>
                <w:rtl/>
              </w:rPr>
              <w:t>3</w:t>
            </w:r>
          </w:p>
        </w:tc>
      </w:tr>
    </w:tbl>
    <w:p w:rsidR="00377C1A" w:rsidRPr="00377C1A" w:rsidRDefault="00377C1A" w:rsidP="00377C1A">
      <w:pPr>
        <w:pStyle w:val="SingleTxt"/>
        <w:spacing w:after="0" w:line="120" w:lineRule="exact"/>
        <w:rPr>
          <w:sz w:val="10"/>
          <w:rtl/>
        </w:rPr>
      </w:pPr>
    </w:p>
    <w:p w:rsidR="00F32B28" w:rsidRPr="00F32B28" w:rsidRDefault="00377C1A" w:rsidP="00377C1A">
      <w:pPr>
        <w:pStyle w:val="SingleTxt"/>
        <w:rPr>
          <w:rtl/>
        </w:rPr>
      </w:pPr>
      <w:r>
        <w:rPr>
          <w:rFonts w:hint="cs"/>
          <w:rtl/>
        </w:rPr>
        <w:t xml:space="preserve">222 - </w:t>
      </w:r>
      <w:r w:rsidR="00F32B28" w:rsidRPr="00F32B28">
        <w:rPr>
          <w:rtl/>
        </w:rPr>
        <w:t>ويتضح</w:t>
      </w:r>
      <w:r w:rsidR="00F32B28">
        <w:rPr>
          <w:rtl/>
        </w:rPr>
        <w:t xml:space="preserve"> </w:t>
      </w:r>
      <w:r w:rsidR="00F32B28" w:rsidRPr="00F32B28">
        <w:rPr>
          <w:rtl/>
        </w:rPr>
        <w:t>من</w:t>
      </w:r>
      <w:r w:rsidR="00F32B28">
        <w:rPr>
          <w:rtl/>
        </w:rPr>
        <w:t xml:space="preserve"> </w:t>
      </w:r>
      <w:r w:rsidR="00F32B28" w:rsidRPr="00F32B28">
        <w:rPr>
          <w:rtl/>
        </w:rPr>
        <w:t>الجداول</w:t>
      </w:r>
      <w:r w:rsidR="00F32B28">
        <w:rPr>
          <w:rtl/>
        </w:rPr>
        <w:t xml:space="preserve"> </w:t>
      </w:r>
      <w:r w:rsidR="00F32B28" w:rsidRPr="00F32B28">
        <w:rPr>
          <w:rtl/>
        </w:rPr>
        <w:t>السابقة</w:t>
      </w:r>
      <w:r w:rsidR="00F32B28">
        <w:rPr>
          <w:rtl/>
        </w:rPr>
        <w:t xml:space="preserve"> </w:t>
      </w:r>
      <w:r w:rsidR="00F32B28" w:rsidRPr="00F32B28">
        <w:rPr>
          <w:rtl/>
        </w:rPr>
        <w:t>أن</w:t>
      </w:r>
      <w:r w:rsidR="00F32B28">
        <w:rPr>
          <w:rtl/>
        </w:rPr>
        <w:t xml:space="preserve"> </w:t>
      </w:r>
      <w:r w:rsidR="00F32B28" w:rsidRPr="00F32B28">
        <w:rPr>
          <w:rtl/>
        </w:rPr>
        <w:t>توزع</w:t>
      </w:r>
      <w:r w:rsidR="00F32B28">
        <w:rPr>
          <w:rtl/>
        </w:rPr>
        <w:t xml:space="preserve"> </w:t>
      </w:r>
      <w:r w:rsidR="00F32B28" w:rsidRPr="00F32B28">
        <w:rPr>
          <w:rtl/>
        </w:rPr>
        <w:t>النساء</w:t>
      </w:r>
      <w:r w:rsidR="00F32B28">
        <w:rPr>
          <w:rtl/>
        </w:rPr>
        <w:t xml:space="preserve"> </w:t>
      </w:r>
      <w:r w:rsidR="00F32B28" w:rsidRPr="00F32B28">
        <w:rPr>
          <w:rtl/>
        </w:rPr>
        <w:t>العاملات</w:t>
      </w:r>
      <w:r w:rsidR="00F32B28">
        <w:rPr>
          <w:rtl/>
        </w:rPr>
        <w:t xml:space="preserve"> </w:t>
      </w:r>
      <w:r w:rsidR="00F32B28" w:rsidRPr="00F32B28">
        <w:rPr>
          <w:rtl/>
        </w:rPr>
        <w:t>على</w:t>
      </w:r>
      <w:r w:rsidR="00F32B28">
        <w:rPr>
          <w:rtl/>
        </w:rPr>
        <w:t xml:space="preserve"> </w:t>
      </w:r>
      <w:r w:rsidR="00F32B28" w:rsidRPr="00F32B28">
        <w:rPr>
          <w:rtl/>
        </w:rPr>
        <w:t>المهن</w:t>
      </w:r>
      <w:r w:rsidR="00F32B28">
        <w:rPr>
          <w:rtl/>
        </w:rPr>
        <w:t xml:space="preserve"> </w:t>
      </w:r>
      <w:r w:rsidR="00F32B28" w:rsidRPr="00F32B28">
        <w:rPr>
          <w:rtl/>
        </w:rPr>
        <w:t>التقليدية</w:t>
      </w:r>
      <w:r w:rsidR="00F32B28">
        <w:rPr>
          <w:rtl/>
        </w:rPr>
        <w:t xml:space="preserve"> </w:t>
      </w:r>
      <w:r w:rsidR="00F32B28" w:rsidRPr="00F32B28">
        <w:rPr>
          <w:rtl/>
        </w:rPr>
        <w:t>والقطاع</w:t>
      </w:r>
      <w:r w:rsidR="00F32B28">
        <w:rPr>
          <w:rtl/>
        </w:rPr>
        <w:t xml:space="preserve"> </w:t>
      </w:r>
      <w:r w:rsidR="00F32B28" w:rsidRPr="00F32B28">
        <w:rPr>
          <w:rtl/>
        </w:rPr>
        <w:t>الخدماتي</w:t>
      </w:r>
      <w:r w:rsidR="00F32B28">
        <w:rPr>
          <w:rtl/>
        </w:rPr>
        <w:t xml:space="preserve"> </w:t>
      </w:r>
      <w:r w:rsidR="00F32B28" w:rsidRPr="00F32B28">
        <w:rPr>
          <w:rtl/>
        </w:rPr>
        <w:t>والزراعي</w:t>
      </w:r>
      <w:r w:rsidR="00F32B28">
        <w:rPr>
          <w:rtl/>
        </w:rPr>
        <w:t xml:space="preserve"> </w:t>
      </w:r>
      <w:r w:rsidR="00F32B28" w:rsidRPr="00F32B28">
        <w:rPr>
          <w:rtl/>
        </w:rPr>
        <w:t>لا</w:t>
      </w:r>
      <w:r w:rsidR="00F32B28">
        <w:rPr>
          <w:rtl/>
        </w:rPr>
        <w:t xml:space="preserve"> </w:t>
      </w:r>
      <w:r w:rsidR="00F32B28" w:rsidRPr="00F32B28">
        <w:rPr>
          <w:rtl/>
        </w:rPr>
        <w:t>يزال</w:t>
      </w:r>
      <w:r w:rsidR="00F32B28">
        <w:rPr>
          <w:rtl/>
        </w:rPr>
        <w:t xml:space="preserve"> </w:t>
      </w:r>
      <w:r w:rsidR="00F32B28" w:rsidRPr="00F32B28">
        <w:rPr>
          <w:rtl/>
        </w:rPr>
        <w:t>له</w:t>
      </w:r>
      <w:r w:rsidR="00F32B28">
        <w:rPr>
          <w:rtl/>
        </w:rPr>
        <w:t xml:space="preserve"> </w:t>
      </w:r>
      <w:r w:rsidR="00F32B28" w:rsidRPr="00F32B28">
        <w:rPr>
          <w:rtl/>
        </w:rPr>
        <w:t>الحصة</w:t>
      </w:r>
      <w:r w:rsidR="00F32B28">
        <w:rPr>
          <w:rtl/>
        </w:rPr>
        <w:t xml:space="preserve"> </w:t>
      </w:r>
      <w:r w:rsidR="00F32B28" w:rsidRPr="00F32B28">
        <w:rPr>
          <w:rtl/>
        </w:rPr>
        <w:t>الأكبر؛</w:t>
      </w:r>
      <w:r w:rsidR="00F32B28">
        <w:rPr>
          <w:rtl/>
        </w:rPr>
        <w:t xml:space="preserve"> </w:t>
      </w:r>
      <w:r w:rsidR="00F32B28" w:rsidRPr="00F32B28">
        <w:rPr>
          <w:rtl/>
        </w:rPr>
        <w:t>حيث</w:t>
      </w:r>
      <w:r w:rsidR="00F32B28">
        <w:rPr>
          <w:rtl/>
        </w:rPr>
        <w:t xml:space="preserve"> </w:t>
      </w:r>
      <w:r w:rsidR="00F32B28" w:rsidRPr="00F32B28">
        <w:rPr>
          <w:rtl/>
        </w:rPr>
        <w:t>أن</w:t>
      </w:r>
      <w:r w:rsidR="00F32B28">
        <w:rPr>
          <w:rtl/>
        </w:rPr>
        <w:t xml:space="preserve"> </w:t>
      </w:r>
      <w:r w:rsidR="00F32B28" w:rsidRPr="00F32B28">
        <w:rPr>
          <w:rtl/>
        </w:rPr>
        <w:t>أكثر</w:t>
      </w:r>
      <w:r w:rsidR="00F32B28">
        <w:rPr>
          <w:rtl/>
        </w:rPr>
        <w:t xml:space="preserve"> </w:t>
      </w:r>
      <w:r w:rsidR="00F32B28" w:rsidRPr="00F32B28">
        <w:rPr>
          <w:rtl/>
        </w:rPr>
        <w:t>من</w:t>
      </w:r>
      <w:r w:rsidR="00F32B28">
        <w:rPr>
          <w:rtl/>
        </w:rPr>
        <w:t xml:space="preserve"> </w:t>
      </w:r>
      <w:r w:rsidR="00F32B28" w:rsidRPr="00F32B28">
        <w:rPr>
          <w:rtl/>
        </w:rPr>
        <w:t>نصف</w:t>
      </w:r>
      <w:r w:rsidR="00F32B28">
        <w:rPr>
          <w:rtl/>
        </w:rPr>
        <w:t xml:space="preserve"> </w:t>
      </w:r>
      <w:r w:rsidR="00F32B28" w:rsidRPr="00F32B28">
        <w:rPr>
          <w:rtl/>
        </w:rPr>
        <w:t>النساء</w:t>
      </w:r>
      <w:r w:rsidR="00F32B28">
        <w:rPr>
          <w:rtl/>
        </w:rPr>
        <w:t xml:space="preserve"> </w:t>
      </w:r>
      <w:r w:rsidR="00F32B28" w:rsidRPr="00F32B28">
        <w:rPr>
          <w:rtl/>
        </w:rPr>
        <w:t>يعملن</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الخدمات،</w:t>
      </w:r>
      <w:r w:rsidR="00F32B28">
        <w:rPr>
          <w:rtl/>
        </w:rPr>
        <w:t xml:space="preserve"> </w:t>
      </w:r>
      <w:r w:rsidR="00F32B28" w:rsidRPr="00F32B28">
        <w:rPr>
          <w:rtl/>
        </w:rPr>
        <w:t>وحوالي</w:t>
      </w:r>
      <w:r w:rsidR="00F32B28">
        <w:rPr>
          <w:rtl/>
        </w:rPr>
        <w:t xml:space="preserve"> </w:t>
      </w:r>
      <w:r w:rsidR="00F32B28" w:rsidRPr="00F32B28">
        <w:rPr>
          <w:rtl/>
        </w:rPr>
        <w:t>خُمسهن</w:t>
      </w:r>
      <w:r w:rsidR="00F32B28">
        <w:rPr>
          <w:rtl/>
        </w:rPr>
        <w:t xml:space="preserve"> </w:t>
      </w:r>
      <w:r w:rsidR="00F32B28" w:rsidRPr="00F32B28">
        <w:rPr>
          <w:rtl/>
        </w:rPr>
        <w:t>يعملن</w:t>
      </w:r>
      <w:r w:rsidR="00F32B28">
        <w:rPr>
          <w:rtl/>
        </w:rPr>
        <w:t xml:space="preserve"> </w:t>
      </w:r>
      <w:r w:rsidR="00F32B28" w:rsidRPr="00F32B28">
        <w:rPr>
          <w:rtl/>
        </w:rPr>
        <w:t>في</w:t>
      </w:r>
      <w:r w:rsidR="00F32B28">
        <w:rPr>
          <w:rtl/>
        </w:rPr>
        <w:t xml:space="preserve"> </w:t>
      </w:r>
      <w:r w:rsidR="00F32B28" w:rsidRPr="00F32B28">
        <w:rPr>
          <w:rtl/>
        </w:rPr>
        <w:t>المهن</w:t>
      </w:r>
      <w:r w:rsidR="00F32B28">
        <w:rPr>
          <w:rtl/>
        </w:rPr>
        <w:t xml:space="preserve"> </w:t>
      </w:r>
      <w:r w:rsidR="00F32B28" w:rsidRPr="00F32B28">
        <w:rPr>
          <w:rtl/>
        </w:rPr>
        <w:t>الزراعية،</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تقل</w:t>
      </w:r>
      <w:r w:rsidR="00F32B28">
        <w:rPr>
          <w:rtl/>
        </w:rPr>
        <w:t xml:space="preserve"> </w:t>
      </w:r>
      <w:r w:rsidR="00F32B28" w:rsidRPr="00F32B28">
        <w:rPr>
          <w:rtl/>
        </w:rPr>
        <w:t>مشاركة</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المراكز</w:t>
      </w:r>
      <w:r w:rsidR="00F32B28">
        <w:rPr>
          <w:rtl/>
        </w:rPr>
        <w:t xml:space="preserve"> </w:t>
      </w:r>
      <w:r w:rsidR="00F32B28" w:rsidRPr="00F32B28">
        <w:rPr>
          <w:rtl/>
        </w:rPr>
        <w:t>الإدارية</w:t>
      </w:r>
      <w:r w:rsidR="00F32B28">
        <w:rPr>
          <w:rtl/>
        </w:rPr>
        <w:t xml:space="preserve"> </w:t>
      </w:r>
      <w:r w:rsidR="00F32B28" w:rsidRPr="00F32B28">
        <w:rPr>
          <w:rtl/>
        </w:rPr>
        <w:t>العليا</w:t>
      </w:r>
      <w:r w:rsidR="00F32B28">
        <w:rPr>
          <w:rtl/>
        </w:rPr>
        <w:t xml:space="preserve"> </w:t>
      </w:r>
      <w:r w:rsidR="00F32B28" w:rsidRPr="00F32B28">
        <w:rPr>
          <w:rtl/>
        </w:rPr>
        <w:t>بشكل</w:t>
      </w:r>
      <w:r w:rsidR="00F32B28">
        <w:rPr>
          <w:rtl/>
        </w:rPr>
        <w:t xml:space="preserve"> </w:t>
      </w:r>
      <w:r w:rsidR="00F32B28" w:rsidRPr="00F32B28">
        <w:rPr>
          <w:rtl/>
        </w:rPr>
        <w:t>ملحوظ.</w:t>
      </w:r>
    </w:p>
    <w:p w:rsidR="00F32B28" w:rsidRPr="00F32B28" w:rsidRDefault="00377C1A" w:rsidP="00377C1A">
      <w:pPr>
        <w:pStyle w:val="SingleTxt"/>
        <w:rPr>
          <w:rtl/>
          <w:lang w:bidi="ar-SY"/>
        </w:rPr>
      </w:pPr>
      <w:r>
        <w:rPr>
          <w:rFonts w:hint="cs"/>
          <w:rtl/>
        </w:rPr>
        <w:t xml:space="preserve">223 - </w:t>
      </w:r>
      <w:r w:rsidR="00F32B28" w:rsidRPr="00F32B28">
        <w:rPr>
          <w:rtl/>
        </w:rPr>
        <w:t>وبحسب</w:t>
      </w:r>
      <w:r w:rsidR="00F32B28">
        <w:rPr>
          <w:rtl/>
        </w:rPr>
        <w:t xml:space="preserve"> </w:t>
      </w:r>
      <w:r w:rsidR="00F32B28" w:rsidRPr="00F32B28">
        <w:rPr>
          <w:rtl/>
          <w:lang w:bidi="ar-SY"/>
        </w:rPr>
        <w:t>بيانات</w:t>
      </w:r>
      <w:r w:rsidR="00F32B28">
        <w:rPr>
          <w:rtl/>
          <w:lang w:bidi="ar-SY"/>
        </w:rPr>
        <w:t xml:space="preserve"> </w:t>
      </w:r>
      <w:r w:rsidR="00F32B28" w:rsidRPr="00F32B28">
        <w:rPr>
          <w:rtl/>
          <w:lang w:bidi="ar-SY"/>
        </w:rPr>
        <w:t>الجهاز</w:t>
      </w:r>
      <w:r w:rsidR="00F32B28">
        <w:rPr>
          <w:rtl/>
          <w:lang w:bidi="ar-SY"/>
        </w:rPr>
        <w:t xml:space="preserve"> </w:t>
      </w:r>
      <w:r w:rsidR="00F32B28" w:rsidRPr="00F32B28">
        <w:rPr>
          <w:rtl/>
          <w:lang w:bidi="ar-SY"/>
        </w:rPr>
        <w:t>المركزي</w:t>
      </w:r>
      <w:r w:rsidR="00F32B28">
        <w:rPr>
          <w:rtl/>
          <w:lang w:bidi="ar-SY"/>
        </w:rPr>
        <w:t xml:space="preserve"> </w:t>
      </w:r>
      <w:r w:rsidR="00F32B28" w:rsidRPr="00F32B28">
        <w:rPr>
          <w:rtl/>
          <w:lang w:bidi="ar-SY"/>
        </w:rPr>
        <w:t>للإحصاء</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للعام</w:t>
      </w:r>
      <w:r w:rsidR="00F32B28">
        <w:rPr>
          <w:rtl/>
          <w:lang w:bidi="ar-SY"/>
        </w:rPr>
        <w:t xml:space="preserve"> </w:t>
      </w:r>
      <w:r w:rsidR="00F32B28" w:rsidRPr="00F32B28">
        <w:rPr>
          <w:rtl/>
          <w:lang w:bidi="ar-SY"/>
        </w:rPr>
        <w:t>2014،</w:t>
      </w:r>
      <w:r w:rsidR="00F32B28">
        <w:rPr>
          <w:rtl/>
          <w:lang w:bidi="ar-SY"/>
        </w:rPr>
        <w:t xml:space="preserve"> </w:t>
      </w:r>
      <w:r w:rsidR="00F32B28" w:rsidRPr="00F32B28">
        <w:rPr>
          <w:rtl/>
          <w:lang w:bidi="ar-SY"/>
        </w:rPr>
        <w:t>يتضح</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هناك</w:t>
      </w:r>
      <w:r w:rsidR="00F32B28">
        <w:rPr>
          <w:rtl/>
          <w:lang w:bidi="ar-SY"/>
        </w:rPr>
        <w:t xml:space="preserve"> </w:t>
      </w:r>
      <w:r w:rsidR="00F32B28" w:rsidRPr="00F32B28">
        <w:rPr>
          <w:rtl/>
          <w:lang w:bidi="ar-SY"/>
        </w:rPr>
        <w:t>ضمور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انتساب</w:t>
      </w:r>
      <w:r w:rsidR="00F32B28">
        <w:rPr>
          <w:rtl/>
          <w:lang w:bidi="ar-SY"/>
        </w:rPr>
        <w:t xml:space="preserve"> </w:t>
      </w:r>
      <w:r w:rsidR="00F32B28" w:rsidRPr="00F32B28">
        <w:rPr>
          <w:rtl/>
          <w:lang w:bidi="ar-SY"/>
        </w:rPr>
        <w:t>الإناث</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وظائف</w:t>
      </w:r>
      <w:r w:rsidR="00F32B28">
        <w:rPr>
          <w:rtl/>
          <w:lang w:bidi="ar-SY"/>
        </w:rPr>
        <w:t xml:space="preserve"> </w:t>
      </w:r>
      <w:r w:rsidR="00F32B28" w:rsidRPr="00F32B28">
        <w:rPr>
          <w:rtl/>
          <w:lang w:bidi="ar-SY"/>
        </w:rPr>
        <w:t>الهندسة</w:t>
      </w:r>
      <w:r w:rsidR="00F32B28">
        <w:rPr>
          <w:rtl/>
          <w:lang w:bidi="ar-SY"/>
        </w:rPr>
        <w:t xml:space="preserve"> </w:t>
      </w:r>
      <w:r w:rsidR="00F32B28" w:rsidRPr="00F32B28">
        <w:rPr>
          <w:rtl/>
          <w:lang w:bidi="ar-SY"/>
        </w:rPr>
        <w:t>والطب،</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حين</w:t>
      </w:r>
      <w:r w:rsidR="00F32B28">
        <w:rPr>
          <w:rtl/>
          <w:lang w:bidi="ar-SY"/>
        </w:rPr>
        <w:t xml:space="preserve"> </w:t>
      </w:r>
      <w:r w:rsidR="00F32B28" w:rsidRPr="00F32B28">
        <w:rPr>
          <w:rtl/>
          <w:lang w:bidi="ar-SY"/>
        </w:rPr>
        <w:t>تشهد</w:t>
      </w:r>
      <w:r w:rsidR="00F32B28">
        <w:rPr>
          <w:rtl/>
          <w:lang w:bidi="ar-SY"/>
        </w:rPr>
        <w:t xml:space="preserve"> </w:t>
      </w:r>
      <w:r w:rsidR="00F32B28" w:rsidRPr="00F32B28">
        <w:rPr>
          <w:rtl/>
          <w:lang w:bidi="ar-SY"/>
        </w:rPr>
        <w:t>المهن</w:t>
      </w:r>
      <w:r w:rsidR="00F32B28">
        <w:rPr>
          <w:rtl/>
          <w:lang w:bidi="ar-SY"/>
        </w:rPr>
        <w:t xml:space="preserve"> </w:t>
      </w:r>
      <w:r w:rsidR="00F32B28" w:rsidRPr="00F32B28">
        <w:rPr>
          <w:rtl/>
          <w:lang w:bidi="ar-SY"/>
        </w:rPr>
        <w:t>شبه</w:t>
      </w:r>
      <w:r w:rsidR="00F32B28">
        <w:rPr>
          <w:rtl/>
          <w:lang w:bidi="ar-SY"/>
        </w:rPr>
        <w:t xml:space="preserve"> </w:t>
      </w:r>
      <w:r w:rsidR="00F32B28" w:rsidRPr="00F32B28">
        <w:rPr>
          <w:rtl/>
          <w:lang w:bidi="ar-SY"/>
        </w:rPr>
        <w:t>الطبية</w:t>
      </w:r>
      <w:r w:rsidR="00F32B28">
        <w:rPr>
          <w:rtl/>
          <w:lang w:bidi="ar-SY"/>
        </w:rPr>
        <w:t xml:space="preserve"> </w:t>
      </w:r>
      <w:r w:rsidR="00F32B28" w:rsidRPr="00F32B28">
        <w:rPr>
          <w:rtl/>
          <w:lang w:bidi="ar-SY"/>
        </w:rPr>
        <w:t>كالصيدلة</w:t>
      </w:r>
      <w:r w:rsidR="00F32B28">
        <w:rPr>
          <w:rtl/>
          <w:lang w:bidi="ar-SY"/>
        </w:rPr>
        <w:t xml:space="preserve"> </w:t>
      </w:r>
      <w:r w:rsidR="00F32B28" w:rsidRPr="00F32B28">
        <w:rPr>
          <w:rtl/>
          <w:lang w:bidi="ar-SY"/>
        </w:rPr>
        <w:t>والتمريض</w:t>
      </w:r>
      <w:r w:rsidR="00F32B28">
        <w:rPr>
          <w:rtl/>
          <w:lang w:bidi="ar-SY"/>
        </w:rPr>
        <w:t xml:space="preserve"> </w:t>
      </w:r>
      <w:r w:rsidR="00F32B28" w:rsidRPr="00F32B28">
        <w:rPr>
          <w:rtl/>
          <w:lang w:bidi="ar-SY"/>
        </w:rPr>
        <w:t>ارتفاعاً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انتسابهن،</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النحو</w:t>
      </w:r>
      <w:r w:rsidR="00F32B28">
        <w:rPr>
          <w:rtl/>
          <w:lang w:bidi="ar-SY"/>
        </w:rPr>
        <w:t xml:space="preserve"> </w:t>
      </w:r>
      <w:r w:rsidR="00F32B28" w:rsidRPr="00F32B28">
        <w:rPr>
          <w:rtl/>
          <w:lang w:bidi="ar-SY"/>
        </w:rPr>
        <w:t>التالي:</w:t>
      </w:r>
      <w:r w:rsidR="00F32B28">
        <w:rPr>
          <w:rtl/>
          <w:lang w:bidi="ar-SY"/>
        </w:rPr>
        <w:t xml:space="preserve"> </w:t>
      </w:r>
    </w:p>
    <w:p w:rsidR="00F32B28" w:rsidRPr="00F32B28" w:rsidRDefault="00377C1A" w:rsidP="00377C1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22.2</w:t>
      </w:r>
      <w:r>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المهندسين</w:t>
      </w:r>
      <w:r w:rsidR="00F32B28">
        <w:rPr>
          <w:rtl/>
        </w:rPr>
        <w:t xml:space="preserve"> </w:t>
      </w:r>
      <w:r w:rsidR="00F32B28" w:rsidRPr="00F32B28">
        <w:rPr>
          <w:rtl/>
        </w:rPr>
        <w:t>المسجلين</w:t>
      </w:r>
      <w:r w:rsidR="00F32B28">
        <w:rPr>
          <w:rtl/>
        </w:rPr>
        <w:t xml:space="preserve"> </w:t>
      </w:r>
      <w:r w:rsidR="00F32B28" w:rsidRPr="00F32B28">
        <w:rPr>
          <w:rtl/>
        </w:rPr>
        <w:t>في</w:t>
      </w:r>
      <w:r w:rsidR="00F32B28">
        <w:rPr>
          <w:rtl/>
        </w:rPr>
        <w:t xml:space="preserve"> </w:t>
      </w:r>
      <w:r w:rsidR="00F32B28" w:rsidRPr="00F32B28">
        <w:rPr>
          <w:rtl/>
        </w:rPr>
        <w:t>نقابة</w:t>
      </w:r>
      <w:r w:rsidR="00F32B28">
        <w:rPr>
          <w:rtl/>
        </w:rPr>
        <w:t xml:space="preserve"> </w:t>
      </w:r>
      <w:r w:rsidR="00F32B28" w:rsidRPr="00F32B28">
        <w:rPr>
          <w:rtl/>
        </w:rPr>
        <w:t>المهندسين</w:t>
      </w:r>
      <w:r w:rsidR="00F32B28">
        <w:rPr>
          <w:rtl/>
        </w:rPr>
        <w:t xml:space="preserve"> </w:t>
      </w:r>
      <w:r w:rsidR="00F32B28" w:rsidRPr="00F32B28">
        <w:rPr>
          <w:rtl/>
        </w:rPr>
        <w:t>هن</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مقارنة</w:t>
      </w:r>
      <w:r w:rsidR="00F32B28">
        <w:rPr>
          <w:rtl/>
        </w:rPr>
        <w:t xml:space="preserve"> </w:t>
      </w:r>
      <w:r w:rsidR="00F32B28" w:rsidRPr="00F32B28">
        <w:rPr>
          <w:rtl/>
        </w:rPr>
        <w:t>بما</w:t>
      </w:r>
      <w:r w:rsidR="00F32B28">
        <w:rPr>
          <w:rtl/>
        </w:rPr>
        <w:t xml:space="preserve"> </w:t>
      </w:r>
      <w:r w:rsidR="00F32B28" w:rsidRPr="00F32B28">
        <w:rPr>
          <w:rtl/>
        </w:rPr>
        <w:t>نسبته</w:t>
      </w:r>
      <w:r w:rsidR="00F32B28">
        <w:rPr>
          <w:rtl/>
        </w:rPr>
        <w:t xml:space="preserve"> </w:t>
      </w:r>
      <w:r w:rsidR="00F32B28" w:rsidRPr="00F32B28">
        <w:rPr>
          <w:rtl/>
        </w:rPr>
        <w:t>77.8</w:t>
      </w:r>
      <w:r w:rsidR="00851F93">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الرجال.</w:t>
      </w:r>
    </w:p>
    <w:p w:rsidR="00F32B28" w:rsidRPr="00F32B28" w:rsidRDefault="00377C1A" w:rsidP="00377C1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cs"/>
          <w:rtl/>
        </w:rPr>
        <w:tab/>
      </w:r>
      <w:r w:rsidR="00F32B28" w:rsidRPr="00F32B28">
        <w:rPr>
          <w:rtl/>
        </w:rPr>
        <w:t>15.2</w:t>
      </w:r>
      <w:r>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الأطباء</w:t>
      </w:r>
      <w:r w:rsidR="00F32B28">
        <w:rPr>
          <w:rtl/>
        </w:rPr>
        <w:t xml:space="preserve"> </w:t>
      </w:r>
      <w:r w:rsidR="00F32B28" w:rsidRPr="00F32B28">
        <w:rPr>
          <w:rtl/>
        </w:rPr>
        <w:t>البشريين</w:t>
      </w:r>
      <w:r w:rsidR="00F32B28">
        <w:rPr>
          <w:rtl/>
        </w:rPr>
        <w:t xml:space="preserve"> </w:t>
      </w:r>
      <w:r w:rsidR="00F32B28" w:rsidRPr="00F32B28">
        <w:rPr>
          <w:rtl/>
        </w:rPr>
        <w:t>المسجلين</w:t>
      </w:r>
      <w:r w:rsidR="00F32B28">
        <w:rPr>
          <w:rtl/>
        </w:rPr>
        <w:t xml:space="preserve"> </w:t>
      </w:r>
      <w:r w:rsidR="00F32B28" w:rsidRPr="00F32B28">
        <w:rPr>
          <w:rtl/>
        </w:rPr>
        <w:t>في</w:t>
      </w:r>
      <w:r w:rsidR="00F32B28">
        <w:rPr>
          <w:rtl/>
        </w:rPr>
        <w:t xml:space="preserve"> </w:t>
      </w:r>
      <w:r w:rsidR="00F32B28" w:rsidRPr="00F32B28">
        <w:rPr>
          <w:rtl/>
        </w:rPr>
        <w:t>نقابة</w:t>
      </w:r>
      <w:r w:rsidR="00F32B28">
        <w:rPr>
          <w:rtl/>
        </w:rPr>
        <w:t xml:space="preserve"> </w:t>
      </w:r>
      <w:r w:rsidR="00F32B28" w:rsidRPr="00F32B28">
        <w:rPr>
          <w:rtl/>
        </w:rPr>
        <w:t>الأطباء</w:t>
      </w:r>
      <w:r w:rsidR="00F32B28">
        <w:rPr>
          <w:rtl/>
        </w:rPr>
        <w:t xml:space="preserve"> </w:t>
      </w:r>
      <w:r w:rsidR="00F32B28" w:rsidRPr="00F32B28">
        <w:rPr>
          <w:rtl/>
        </w:rPr>
        <w:t>هن</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مقارنة</w:t>
      </w:r>
      <w:r w:rsidR="00F32B28">
        <w:rPr>
          <w:rtl/>
        </w:rPr>
        <w:t xml:space="preserve"> </w:t>
      </w:r>
      <w:r w:rsidR="00F32B28" w:rsidRPr="00F32B28">
        <w:rPr>
          <w:rtl/>
        </w:rPr>
        <w:t>مع</w:t>
      </w:r>
      <w:r w:rsidR="00F32B28">
        <w:rPr>
          <w:rtl/>
        </w:rPr>
        <w:t xml:space="preserve"> </w:t>
      </w:r>
      <w:r w:rsidR="00F32B28" w:rsidRPr="00F32B28">
        <w:rPr>
          <w:rtl/>
        </w:rPr>
        <w:t>84.8</w:t>
      </w:r>
      <w:r w:rsidR="00851F93">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الرجال.</w:t>
      </w:r>
      <w:r w:rsidR="00F32B28">
        <w:rPr>
          <w:rtl/>
        </w:rPr>
        <w:t xml:space="preserve"> </w:t>
      </w:r>
    </w:p>
    <w:p w:rsidR="00F32B28" w:rsidRPr="00F32B28" w:rsidRDefault="00377C1A" w:rsidP="00377C1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ما</w:t>
      </w:r>
      <w:r w:rsidR="00F32B28">
        <w:rPr>
          <w:rtl/>
        </w:rPr>
        <w:t xml:space="preserve"> </w:t>
      </w:r>
      <w:r w:rsidR="00F32B28" w:rsidRPr="00F32B28">
        <w:rPr>
          <w:rtl/>
        </w:rPr>
        <w:t>يقارب</w:t>
      </w:r>
      <w:r w:rsidR="00F32B28">
        <w:rPr>
          <w:rtl/>
        </w:rPr>
        <w:t xml:space="preserve"> </w:t>
      </w:r>
      <w:r w:rsidR="00F32B28" w:rsidRPr="00F32B28">
        <w:rPr>
          <w:rtl/>
        </w:rPr>
        <w:t>ثلث</w:t>
      </w:r>
      <w:r w:rsidR="00F32B28">
        <w:rPr>
          <w:rtl/>
        </w:rPr>
        <w:t xml:space="preserve"> </w:t>
      </w:r>
      <w:r w:rsidR="00F32B28" w:rsidRPr="00F32B28">
        <w:rPr>
          <w:rtl/>
        </w:rPr>
        <w:t>أطباء</w:t>
      </w:r>
      <w:r w:rsidR="00F32B28">
        <w:rPr>
          <w:rtl/>
        </w:rPr>
        <w:t xml:space="preserve"> </w:t>
      </w:r>
      <w:r w:rsidR="00F32B28" w:rsidRPr="00F32B28">
        <w:rPr>
          <w:rtl/>
        </w:rPr>
        <w:t>الأسنان</w:t>
      </w:r>
      <w:r w:rsidR="00F32B28">
        <w:rPr>
          <w:rtl/>
        </w:rPr>
        <w:t xml:space="preserve"> </w:t>
      </w:r>
      <w:r w:rsidR="00F32B28" w:rsidRPr="00F32B28">
        <w:rPr>
          <w:rtl/>
        </w:rPr>
        <w:t>المسجلين</w:t>
      </w:r>
      <w:r w:rsidR="00F32B28">
        <w:rPr>
          <w:rtl/>
        </w:rPr>
        <w:t xml:space="preserve"> </w:t>
      </w:r>
      <w:r w:rsidR="00F32B28" w:rsidRPr="00F32B28">
        <w:rPr>
          <w:rtl/>
        </w:rPr>
        <w:t>في</w:t>
      </w:r>
      <w:r w:rsidR="00F32B28">
        <w:rPr>
          <w:rtl/>
        </w:rPr>
        <w:t xml:space="preserve"> </w:t>
      </w:r>
      <w:r w:rsidR="00F32B28" w:rsidRPr="00F32B28">
        <w:rPr>
          <w:rtl/>
        </w:rPr>
        <w:t>نقابة</w:t>
      </w:r>
      <w:r w:rsidR="00F32B28">
        <w:rPr>
          <w:rtl/>
        </w:rPr>
        <w:t xml:space="preserve"> </w:t>
      </w:r>
      <w:r w:rsidR="00F32B28" w:rsidRPr="00F32B28">
        <w:rPr>
          <w:rtl/>
        </w:rPr>
        <w:t>طب</w:t>
      </w:r>
      <w:r w:rsidR="00F32B28">
        <w:rPr>
          <w:rtl/>
        </w:rPr>
        <w:t xml:space="preserve"> </w:t>
      </w:r>
      <w:r w:rsidR="00F32B28" w:rsidRPr="00F32B28">
        <w:rPr>
          <w:rtl/>
        </w:rPr>
        <w:t>الأسنان</w:t>
      </w:r>
      <w:r w:rsidR="00F32B28">
        <w:rPr>
          <w:rtl/>
        </w:rPr>
        <w:t xml:space="preserve"> </w:t>
      </w:r>
      <w:r w:rsidR="00F32B28" w:rsidRPr="00F32B28">
        <w:rPr>
          <w:rtl/>
        </w:rPr>
        <w:t>هن</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مقارنة</w:t>
      </w:r>
      <w:r w:rsidR="00F32B28">
        <w:rPr>
          <w:rtl/>
        </w:rPr>
        <w:t xml:space="preserve"> </w:t>
      </w:r>
      <w:r w:rsidR="00F32B28" w:rsidRPr="00F32B28">
        <w:rPr>
          <w:rtl/>
        </w:rPr>
        <w:t>بـحوالي</w:t>
      </w:r>
      <w:r w:rsidR="00F32B28">
        <w:rPr>
          <w:rtl/>
        </w:rPr>
        <w:t xml:space="preserve"> </w:t>
      </w:r>
      <w:r w:rsidR="00F32B28" w:rsidRPr="00F32B28">
        <w:rPr>
          <w:rtl/>
        </w:rPr>
        <w:t>70.5</w:t>
      </w:r>
      <w:r w:rsidR="00851F93">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الرجال.</w:t>
      </w:r>
    </w:p>
    <w:p w:rsidR="00F32B28" w:rsidRPr="00F32B28" w:rsidRDefault="00377C1A" w:rsidP="00377C1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50.5</w:t>
      </w:r>
      <w:r>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الممرضين</w:t>
      </w:r>
      <w:r w:rsidR="00F32B28">
        <w:rPr>
          <w:rtl/>
        </w:rPr>
        <w:t xml:space="preserve"> </w:t>
      </w:r>
      <w:r w:rsidR="00F32B28" w:rsidRPr="00F32B28">
        <w:rPr>
          <w:rtl/>
        </w:rPr>
        <w:t>المسجلين</w:t>
      </w:r>
      <w:r w:rsidR="00F32B28">
        <w:rPr>
          <w:rtl/>
        </w:rPr>
        <w:t xml:space="preserve"> </w:t>
      </w:r>
      <w:r w:rsidR="00F32B28" w:rsidRPr="00F32B28">
        <w:rPr>
          <w:rtl/>
        </w:rPr>
        <w:t>في</w:t>
      </w:r>
      <w:r w:rsidR="00F32B28">
        <w:rPr>
          <w:rtl/>
        </w:rPr>
        <w:t xml:space="preserve"> </w:t>
      </w:r>
      <w:r w:rsidR="00F32B28" w:rsidRPr="00F32B28">
        <w:rPr>
          <w:rtl/>
        </w:rPr>
        <w:t>نقابة</w:t>
      </w:r>
      <w:r w:rsidR="00F32B28">
        <w:rPr>
          <w:rtl/>
        </w:rPr>
        <w:t xml:space="preserve"> </w:t>
      </w:r>
      <w:r w:rsidR="00F32B28" w:rsidRPr="00F32B28">
        <w:rPr>
          <w:rtl/>
        </w:rPr>
        <w:t>التمريض</w:t>
      </w:r>
      <w:r w:rsidR="00F32B28">
        <w:rPr>
          <w:rtl/>
        </w:rPr>
        <w:t xml:space="preserve"> </w:t>
      </w:r>
      <w:r w:rsidR="00F32B28" w:rsidRPr="00F32B28">
        <w:rPr>
          <w:rtl/>
        </w:rPr>
        <w:t>هن</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مقابل</w:t>
      </w:r>
      <w:r w:rsidR="00F32B28">
        <w:rPr>
          <w:rtl/>
        </w:rPr>
        <w:t xml:space="preserve"> </w:t>
      </w:r>
      <w:r w:rsidR="00F32B28" w:rsidRPr="00F32B28">
        <w:rPr>
          <w:rtl/>
        </w:rPr>
        <w:t>49.5</w:t>
      </w:r>
      <w:r w:rsidR="00851F93">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الرجال.</w:t>
      </w:r>
      <w:r w:rsidR="00F32B28">
        <w:rPr>
          <w:rtl/>
        </w:rPr>
        <w:t xml:space="preserve"> </w:t>
      </w:r>
    </w:p>
    <w:p w:rsidR="00F32B28" w:rsidRPr="00F32B28" w:rsidRDefault="00377C1A" w:rsidP="00377C1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55.8</w:t>
      </w:r>
      <w:r w:rsidR="00851F93">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الصيادلة</w:t>
      </w:r>
      <w:r w:rsidR="00F32B28">
        <w:rPr>
          <w:rtl/>
        </w:rPr>
        <w:t xml:space="preserve"> </w:t>
      </w:r>
      <w:r w:rsidR="00F32B28" w:rsidRPr="00F32B28">
        <w:rPr>
          <w:rtl/>
        </w:rPr>
        <w:t>المسجلين</w:t>
      </w:r>
      <w:r w:rsidR="00F32B28">
        <w:rPr>
          <w:rtl/>
        </w:rPr>
        <w:t xml:space="preserve"> </w:t>
      </w:r>
      <w:r w:rsidR="00F32B28" w:rsidRPr="00F32B28">
        <w:rPr>
          <w:rtl/>
        </w:rPr>
        <w:t>في</w:t>
      </w:r>
      <w:r w:rsidR="00F32B28">
        <w:rPr>
          <w:rtl/>
        </w:rPr>
        <w:t xml:space="preserve"> </w:t>
      </w:r>
      <w:r w:rsidR="00F32B28" w:rsidRPr="00F32B28">
        <w:rPr>
          <w:rtl/>
        </w:rPr>
        <w:t>نقابة</w:t>
      </w:r>
      <w:r w:rsidR="00F32B28">
        <w:rPr>
          <w:rtl/>
        </w:rPr>
        <w:t xml:space="preserve"> </w:t>
      </w:r>
      <w:r w:rsidR="00F32B28" w:rsidRPr="00F32B28">
        <w:rPr>
          <w:rtl/>
        </w:rPr>
        <w:t>الصيادلة</w:t>
      </w:r>
      <w:r w:rsidR="00F32B28">
        <w:rPr>
          <w:rtl/>
        </w:rPr>
        <w:t xml:space="preserve"> </w:t>
      </w:r>
      <w:r w:rsidR="00F32B28" w:rsidRPr="00F32B28">
        <w:rPr>
          <w:rtl/>
        </w:rPr>
        <w:t>هن</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مقارنة</w:t>
      </w:r>
      <w:r w:rsidR="00F32B28">
        <w:rPr>
          <w:rtl/>
        </w:rPr>
        <w:t xml:space="preserve"> </w:t>
      </w:r>
      <w:r w:rsidR="00F32B28" w:rsidRPr="00F32B28">
        <w:rPr>
          <w:rtl/>
        </w:rPr>
        <w:t>بـنسبة</w:t>
      </w:r>
      <w:r w:rsidR="00F32B28">
        <w:rPr>
          <w:rtl/>
        </w:rPr>
        <w:t xml:space="preserve"> </w:t>
      </w:r>
      <w:r w:rsidR="00F32B28" w:rsidRPr="00F32B28">
        <w:rPr>
          <w:rtl/>
        </w:rPr>
        <w:t>44.2</w:t>
      </w:r>
      <w:r w:rsidR="009F4D72">
        <w:rPr>
          <w:rFonts w:hint="eastAsia"/>
          <w:rtl/>
        </w:rPr>
        <w:t>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الرجال</w:t>
      </w:r>
    </w:p>
    <w:p w:rsidR="00F32B28" w:rsidRPr="00F32B28" w:rsidRDefault="00377C1A" w:rsidP="00377C1A">
      <w:pPr>
        <w:pStyle w:val="SingleTxt"/>
        <w:rPr>
          <w:rtl/>
          <w:lang w:bidi="ar-LB"/>
        </w:rPr>
      </w:pPr>
      <w:r>
        <w:rPr>
          <w:rFonts w:hint="cs"/>
          <w:rtl/>
        </w:rPr>
        <w:t xml:space="preserve">224 - </w:t>
      </w:r>
      <w:r w:rsidR="00F32B28" w:rsidRPr="00F32B28">
        <w:rPr>
          <w:rtl/>
        </w:rPr>
        <w:t>وبخصوص</w:t>
      </w:r>
      <w:r w:rsidR="00F32B28">
        <w:rPr>
          <w:rtl/>
        </w:rPr>
        <w:t xml:space="preserve"> </w:t>
      </w:r>
      <w:r w:rsidR="00F32B28" w:rsidRPr="00F32B28">
        <w:rPr>
          <w:rtl/>
        </w:rPr>
        <w:t>معدلات</w:t>
      </w:r>
      <w:r w:rsidR="00F32B28">
        <w:rPr>
          <w:rtl/>
        </w:rPr>
        <w:t xml:space="preserve"> </w:t>
      </w:r>
      <w:r w:rsidR="00F32B28" w:rsidRPr="00F32B28">
        <w:rPr>
          <w:rtl/>
        </w:rPr>
        <w:t>البطالة،</w:t>
      </w:r>
      <w:r w:rsidR="00F32B28">
        <w:rPr>
          <w:rtl/>
        </w:rPr>
        <w:t xml:space="preserve"> </w:t>
      </w:r>
      <w:r w:rsidR="00F32B28" w:rsidRPr="00F32B28">
        <w:rPr>
          <w:rtl/>
        </w:rPr>
        <w:t>فقد</w:t>
      </w:r>
      <w:r w:rsidR="00F32B28">
        <w:rPr>
          <w:rtl/>
        </w:rPr>
        <w:t xml:space="preserve"> </w:t>
      </w:r>
      <w:r w:rsidR="00F32B28" w:rsidRPr="00F32B28">
        <w:rPr>
          <w:rtl/>
        </w:rPr>
        <w:t>أشار</w:t>
      </w:r>
      <w:r w:rsidR="00F32B28">
        <w:rPr>
          <w:rtl/>
        </w:rPr>
        <w:t xml:space="preserve"> </w:t>
      </w:r>
      <w:r w:rsidR="00F32B28" w:rsidRPr="00F32B28">
        <w:rPr>
          <w:rtl/>
        </w:rPr>
        <w:t>مسح</w:t>
      </w:r>
      <w:r w:rsidR="00F32B28">
        <w:rPr>
          <w:rtl/>
        </w:rPr>
        <w:t xml:space="preserve"> </w:t>
      </w:r>
      <w:r w:rsidR="00F32B28" w:rsidRPr="00F32B28">
        <w:rPr>
          <w:rtl/>
        </w:rPr>
        <w:t>القوى</w:t>
      </w:r>
      <w:r w:rsidR="00F32B28">
        <w:rPr>
          <w:rtl/>
        </w:rPr>
        <w:t xml:space="preserve"> </w:t>
      </w:r>
      <w:r w:rsidR="00F32B28" w:rsidRPr="00F32B28">
        <w:rPr>
          <w:rtl/>
        </w:rPr>
        <w:t>العاملة</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الصادر</w:t>
      </w:r>
      <w:r w:rsidR="00F32B28">
        <w:rPr>
          <w:rtl/>
        </w:rPr>
        <w:t xml:space="preserve"> </w:t>
      </w:r>
      <w:r w:rsidR="00F32B28" w:rsidRPr="00F32B28">
        <w:rPr>
          <w:rtl/>
        </w:rPr>
        <w:t>عن</w:t>
      </w:r>
      <w:r w:rsidR="00F32B28">
        <w:rPr>
          <w:rtl/>
        </w:rPr>
        <w:t xml:space="preserve"> </w:t>
      </w:r>
      <w:r w:rsidR="00F32B28" w:rsidRPr="00F32B28">
        <w:rPr>
          <w:rtl/>
        </w:rPr>
        <w:t>الجهاز</w:t>
      </w:r>
      <w:r w:rsidR="00F32B28">
        <w:rPr>
          <w:rtl/>
        </w:rPr>
        <w:t xml:space="preserve"> </w:t>
      </w:r>
      <w:r w:rsidR="00F32B28" w:rsidRPr="00F32B28">
        <w:rPr>
          <w:rtl/>
        </w:rPr>
        <w:t>المركزي</w:t>
      </w:r>
      <w:r w:rsidR="00F32B28">
        <w:rPr>
          <w:rtl/>
        </w:rPr>
        <w:t xml:space="preserve"> </w:t>
      </w:r>
      <w:r w:rsidR="00F32B28" w:rsidRPr="00F32B28">
        <w:rPr>
          <w:rtl/>
        </w:rPr>
        <w:t>للإحصاء</w:t>
      </w:r>
      <w:r w:rsidR="00F32B28">
        <w:rPr>
          <w:rtl/>
        </w:rPr>
        <w:t xml:space="preserve"> </w:t>
      </w:r>
      <w:r w:rsidR="00F32B28" w:rsidRPr="00F32B28">
        <w:rPr>
          <w:rtl/>
        </w:rPr>
        <w:t>الفلسطيني</w:t>
      </w:r>
      <w:r w:rsidR="00F32B28">
        <w:rPr>
          <w:rtl/>
        </w:rPr>
        <w:t xml:space="preserve"> </w:t>
      </w:r>
      <w:r w:rsidR="00F32B28" w:rsidRPr="00F32B28">
        <w:rPr>
          <w:rtl/>
        </w:rPr>
        <w:t>بأن</w:t>
      </w:r>
      <w:r w:rsidR="00F32B28">
        <w:rPr>
          <w:rtl/>
        </w:rPr>
        <w:t xml:space="preserve"> </w:t>
      </w:r>
      <w:r w:rsidR="00F32B28" w:rsidRPr="00F32B28">
        <w:rPr>
          <w:rtl/>
        </w:rPr>
        <w:t>نسبتها</w:t>
      </w:r>
      <w:r w:rsidR="00F32B28">
        <w:rPr>
          <w:rtl/>
        </w:rPr>
        <w:t xml:space="preserve"> </w:t>
      </w:r>
      <w:r w:rsidR="00F32B28" w:rsidRPr="00F32B28">
        <w:rPr>
          <w:rtl/>
        </w:rPr>
        <w:t>الإجمالية</w:t>
      </w:r>
      <w:r w:rsidR="00F32B28">
        <w:rPr>
          <w:rtl/>
        </w:rPr>
        <w:t xml:space="preserve"> </w:t>
      </w:r>
      <w:r w:rsidR="00F32B28" w:rsidRPr="00F32B28">
        <w:rPr>
          <w:rtl/>
        </w:rPr>
        <w:t>قد</w:t>
      </w:r>
      <w:r w:rsidR="00F32B28">
        <w:rPr>
          <w:rtl/>
        </w:rPr>
        <w:t xml:space="preserve"> </w:t>
      </w:r>
      <w:r w:rsidR="00F32B28" w:rsidRPr="00F32B28">
        <w:rPr>
          <w:rtl/>
        </w:rPr>
        <w:t>بلغت</w:t>
      </w:r>
      <w:r w:rsidR="00F32B28">
        <w:rPr>
          <w:rtl/>
        </w:rPr>
        <w:t xml:space="preserve"> </w:t>
      </w:r>
      <w:r w:rsidR="00F32B28" w:rsidRPr="00F32B28">
        <w:rPr>
          <w:rtl/>
        </w:rPr>
        <w:t>في</w:t>
      </w:r>
      <w:r w:rsidR="00F32B28">
        <w:rPr>
          <w:rtl/>
        </w:rPr>
        <w:t xml:space="preserve"> </w:t>
      </w:r>
      <w:r w:rsidR="00F32B28" w:rsidRPr="00F32B28">
        <w:rPr>
          <w:rtl/>
        </w:rPr>
        <w:t>العام</w:t>
      </w:r>
      <w:r w:rsidR="00F32B28">
        <w:rPr>
          <w:rtl/>
        </w:rPr>
        <w:t xml:space="preserve"> </w:t>
      </w:r>
      <w:r w:rsidR="00F32B28" w:rsidRPr="00F32B28">
        <w:rPr>
          <w:rtl/>
        </w:rPr>
        <w:t>2015</w:t>
      </w:r>
      <w:r w:rsidR="00F32B28">
        <w:rPr>
          <w:rtl/>
        </w:rPr>
        <w:t xml:space="preserve"> </w:t>
      </w:r>
      <w:r w:rsidR="00F32B28" w:rsidRPr="00F32B28">
        <w:rPr>
          <w:rtl/>
        </w:rPr>
        <w:t>حوالي</w:t>
      </w:r>
      <w:r w:rsidR="00F32B28">
        <w:rPr>
          <w:rtl/>
        </w:rPr>
        <w:t xml:space="preserve"> </w:t>
      </w:r>
      <w:r w:rsidR="00F32B28" w:rsidRPr="00F32B28">
        <w:rPr>
          <w:rtl/>
        </w:rPr>
        <w:t>25.9</w:t>
      </w:r>
      <w:r w:rsidR="00EE7D94">
        <w:rPr>
          <w:rFonts w:hint="cs"/>
          <w:rtl/>
        </w:rPr>
        <w:t xml:space="preserve"> </w:t>
      </w:r>
      <w:r w:rsidR="00600C43">
        <w:rPr>
          <w:rtl/>
        </w:rPr>
        <w:t>في المائة</w:t>
      </w:r>
      <w:r w:rsidR="00F32B28" w:rsidRPr="00F32B28">
        <w:rPr>
          <w:rtl/>
        </w:rPr>
        <w:t>؛</w:t>
      </w:r>
      <w:r w:rsidR="00F32B28">
        <w:rPr>
          <w:rtl/>
        </w:rPr>
        <w:t xml:space="preserve"> </w:t>
      </w:r>
      <w:r w:rsidR="00F32B28" w:rsidRPr="00F32B28">
        <w:rPr>
          <w:rtl/>
        </w:rPr>
        <w:t>وكانت39.2</w:t>
      </w:r>
      <w:r w:rsidR="00851F93">
        <w:rPr>
          <w:rFonts w:hint="cs"/>
          <w:rtl/>
        </w:rPr>
        <w:t xml:space="preserve"> </w:t>
      </w:r>
      <w:r w:rsidR="00600C43">
        <w:rPr>
          <w:rtl/>
        </w:rPr>
        <w:t>في المائة</w:t>
      </w:r>
      <w:r w:rsidR="00F32B28">
        <w:rPr>
          <w:rtl/>
        </w:rPr>
        <w:t xml:space="preserve"> </w:t>
      </w:r>
      <w:r w:rsidR="00F32B28" w:rsidRPr="00F32B28">
        <w:rPr>
          <w:rtl/>
        </w:rPr>
        <w:t>بين</w:t>
      </w:r>
      <w:r w:rsidR="00F32B28">
        <w:rPr>
          <w:rtl/>
        </w:rPr>
        <w:t xml:space="preserve"> </w:t>
      </w:r>
      <w:r w:rsidR="00F32B28" w:rsidRPr="00F32B28">
        <w:rPr>
          <w:rtl/>
        </w:rPr>
        <w:t>النساء</w:t>
      </w:r>
      <w:r w:rsidR="00F32B28">
        <w:rPr>
          <w:rtl/>
        </w:rPr>
        <w:t xml:space="preserve"> </w:t>
      </w:r>
      <w:r w:rsidR="00F32B28" w:rsidRPr="00F32B28">
        <w:rPr>
          <w:rtl/>
        </w:rPr>
        <w:t>مقابل</w:t>
      </w:r>
      <w:r w:rsidR="00F32B28">
        <w:rPr>
          <w:rtl/>
        </w:rPr>
        <w:t xml:space="preserve"> </w:t>
      </w:r>
      <w:r w:rsidR="00F32B28" w:rsidRPr="00F32B28">
        <w:rPr>
          <w:rtl/>
        </w:rPr>
        <w:t>22.5</w:t>
      </w:r>
      <w:r w:rsidR="00851F93">
        <w:rPr>
          <w:rFonts w:hint="cs"/>
          <w:rtl/>
        </w:rPr>
        <w:t xml:space="preserve"> </w:t>
      </w:r>
      <w:r w:rsidR="00600C43">
        <w:rPr>
          <w:rtl/>
        </w:rPr>
        <w:t>في المائة</w:t>
      </w:r>
      <w:r w:rsidR="00F32B28">
        <w:rPr>
          <w:rtl/>
        </w:rPr>
        <w:t xml:space="preserve"> </w:t>
      </w:r>
      <w:r w:rsidR="00F32B28" w:rsidRPr="00F32B28">
        <w:rPr>
          <w:rtl/>
        </w:rPr>
        <w:t>بين</w:t>
      </w:r>
      <w:r w:rsidR="00F32B28">
        <w:rPr>
          <w:rtl/>
        </w:rPr>
        <w:t xml:space="preserve"> </w:t>
      </w:r>
      <w:r w:rsidR="00F32B28" w:rsidRPr="00F32B28">
        <w:rPr>
          <w:rtl/>
        </w:rPr>
        <w:t>الرجال،</w:t>
      </w:r>
      <w:r w:rsidR="00F32B28">
        <w:rPr>
          <w:rtl/>
        </w:rPr>
        <w:t xml:space="preserve"> </w:t>
      </w:r>
      <w:r w:rsidR="00F32B28" w:rsidRPr="00F32B28">
        <w:rPr>
          <w:rtl/>
        </w:rPr>
        <w:t>وقد</w:t>
      </w:r>
      <w:r w:rsidR="00F32B28">
        <w:rPr>
          <w:rtl/>
        </w:rPr>
        <w:t xml:space="preserve"> </w:t>
      </w:r>
      <w:r w:rsidR="00F32B28" w:rsidRPr="00F32B28">
        <w:rPr>
          <w:rtl/>
        </w:rPr>
        <w:t>بلغ</w:t>
      </w:r>
      <w:r w:rsidR="00F32B28">
        <w:rPr>
          <w:rtl/>
        </w:rPr>
        <w:t xml:space="preserve"> </w:t>
      </w:r>
      <w:r w:rsidR="00F32B28" w:rsidRPr="00F32B28">
        <w:rPr>
          <w:rtl/>
        </w:rPr>
        <w:t>معدل</w:t>
      </w:r>
      <w:r w:rsidR="00F32B28">
        <w:rPr>
          <w:rtl/>
        </w:rPr>
        <w:t xml:space="preserve"> </w:t>
      </w:r>
      <w:r w:rsidR="00F32B28" w:rsidRPr="00F32B28">
        <w:rPr>
          <w:rtl/>
        </w:rPr>
        <w:t>البطالة</w:t>
      </w:r>
      <w:r w:rsidR="00F32B28">
        <w:rPr>
          <w:rtl/>
        </w:rPr>
        <w:t xml:space="preserve"> </w:t>
      </w:r>
      <w:r w:rsidR="00F32B28" w:rsidRPr="00F32B28">
        <w:rPr>
          <w:rtl/>
        </w:rPr>
        <w:t>بين</w:t>
      </w:r>
      <w:r w:rsidR="00F32B28">
        <w:rPr>
          <w:rtl/>
        </w:rPr>
        <w:t xml:space="preserve"> </w:t>
      </w:r>
      <w:r w:rsidR="00F32B28" w:rsidRPr="00F32B28">
        <w:rPr>
          <w:rtl/>
        </w:rPr>
        <w:t>النساء</w:t>
      </w:r>
      <w:r w:rsidR="00F32B28">
        <w:rPr>
          <w:rtl/>
        </w:rPr>
        <w:t xml:space="preserve"> </w:t>
      </w:r>
      <w:r w:rsidR="00F32B28" w:rsidRPr="00F32B28">
        <w:rPr>
          <w:rtl/>
        </w:rPr>
        <w:t>المعيلات</w:t>
      </w:r>
      <w:r w:rsidR="00F32B28">
        <w:rPr>
          <w:rtl/>
        </w:rPr>
        <w:t xml:space="preserve"> </w:t>
      </w:r>
      <w:r w:rsidR="00F32B28" w:rsidRPr="00F32B28">
        <w:rPr>
          <w:rtl/>
        </w:rPr>
        <w:t>لأسرهنّ</w:t>
      </w:r>
      <w:r w:rsidR="00F32B28">
        <w:rPr>
          <w:rtl/>
        </w:rPr>
        <w:t xml:space="preserve"> </w:t>
      </w:r>
      <w:r w:rsidR="00F32B28" w:rsidRPr="00F32B28">
        <w:rPr>
          <w:rtl/>
        </w:rPr>
        <w:t>17.8</w:t>
      </w:r>
      <w:r w:rsidR="00851F93">
        <w:rPr>
          <w:rFonts w:hint="cs"/>
          <w:rtl/>
        </w:rPr>
        <w:t xml:space="preserve"> </w:t>
      </w:r>
      <w:r w:rsidR="00600C43">
        <w:rPr>
          <w:rtl/>
        </w:rPr>
        <w:t>في المائة</w:t>
      </w:r>
      <w:r w:rsidR="00F32B28" w:rsidRPr="00F32B28">
        <w:rPr>
          <w:rtl/>
        </w:rPr>
        <w:t>،</w:t>
      </w:r>
      <w:r w:rsidR="00F32B28">
        <w:rPr>
          <w:rtl/>
        </w:rPr>
        <w:t xml:space="preserve"> </w:t>
      </w:r>
      <w:r w:rsidR="00F32B28" w:rsidRPr="00F32B28">
        <w:rPr>
          <w:rtl/>
        </w:rPr>
        <w:t>مقابل</w:t>
      </w:r>
      <w:r w:rsidR="00F32B28">
        <w:rPr>
          <w:rtl/>
        </w:rPr>
        <w:t xml:space="preserve"> </w:t>
      </w:r>
      <w:r w:rsidR="00F32B28" w:rsidRPr="00F32B28">
        <w:rPr>
          <w:rtl/>
        </w:rPr>
        <w:t>14.3</w:t>
      </w:r>
      <w:r w:rsidR="00851F93">
        <w:rPr>
          <w:rFonts w:hint="cs"/>
          <w:rtl/>
        </w:rPr>
        <w:t xml:space="preserve"> </w:t>
      </w:r>
      <w:r w:rsidR="00600C43">
        <w:rPr>
          <w:rtl/>
        </w:rPr>
        <w:t>في المائة</w:t>
      </w:r>
      <w:r w:rsidR="00F32B28">
        <w:rPr>
          <w:rtl/>
        </w:rPr>
        <w:t xml:space="preserve"> </w:t>
      </w:r>
      <w:r w:rsidR="00F32B28" w:rsidRPr="00F32B28">
        <w:rPr>
          <w:rtl/>
        </w:rPr>
        <w:t>بين</w:t>
      </w:r>
      <w:r w:rsidR="00F32B28">
        <w:rPr>
          <w:rtl/>
        </w:rPr>
        <w:t xml:space="preserve"> </w:t>
      </w:r>
      <w:r w:rsidR="00F32B28" w:rsidRPr="00F32B28">
        <w:rPr>
          <w:rtl/>
        </w:rPr>
        <w:t>الرجال</w:t>
      </w:r>
      <w:r w:rsidR="00F32B28">
        <w:rPr>
          <w:rtl/>
        </w:rPr>
        <w:t xml:space="preserve"> </w:t>
      </w:r>
      <w:r w:rsidR="00F32B28" w:rsidRPr="00F32B28">
        <w:rPr>
          <w:rtl/>
        </w:rPr>
        <w:t>المعيلين</w:t>
      </w:r>
      <w:r w:rsidR="00F32B28">
        <w:rPr>
          <w:rtl/>
        </w:rPr>
        <w:t xml:space="preserve"> </w:t>
      </w:r>
      <w:r w:rsidR="00F32B28" w:rsidRPr="00F32B28">
        <w:rPr>
          <w:rtl/>
        </w:rPr>
        <w:t>لأسرهم.</w:t>
      </w:r>
      <w:r w:rsidR="00F32B28">
        <w:rPr>
          <w:rtl/>
        </w:rPr>
        <w:t xml:space="preserve"> </w:t>
      </w:r>
      <w:r w:rsidR="00F32B28" w:rsidRPr="00F32B28">
        <w:rPr>
          <w:rtl/>
        </w:rPr>
        <w:t>ورغم</w:t>
      </w:r>
      <w:r w:rsidR="00F32B28">
        <w:rPr>
          <w:rtl/>
        </w:rPr>
        <w:t xml:space="preserve"> </w:t>
      </w:r>
      <w:r w:rsidR="00F32B28" w:rsidRPr="00F32B28">
        <w:rPr>
          <w:rtl/>
        </w:rPr>
        <w:t>أن</w:t>
      </w:r>
      <w:r w:rsidR="00F32B28">
        <w:rPr>
          <w:rtl/>
        </w:rPr>
        <w:t xml:space="preserve"> </w:t>
      </w:r>
      <w:r w:rsidR="00F32B28" w:rsidRPr="00F32B28">
        <w:rPr>
          <w:rtl/>
        </w:rPr>
        <w:t>هذه</w:t>
      </w:r>
      <w:r w:rsidR="00F32B28">
        <w:rPr>
          <w:rtl/>
        </w:rPr>
        <w:t xml:space="preserve"> </w:t>
      </w:r>
      <w:r w:rsidR="00F32B28" w:rsidRPr="00F32B28">
        <w:rPr>
          <w:rtl/>
        </w:rPr>
        <w:t>المعدلات</w:t>
      </w:r>
      <w:r w:rsidR="00F32B28">
        <w:rPr>
          <w:rtl/>
        </w:rPr>
        <w:t xml:space="preserve"> </w:t>
      </w:r>
      <w:r w:rsidR="00F32B28" w:rsidRPr="00F32B28">
        <w:rPr>
          <w:rtl/>
        </w:rPr>
        <w:t>تبين</w:t>
      </w:r>
      <w:r w:rsidR="00F32B28">
        <w:rPr>
          <w:rtl/>
        </w:rPr>
        <w:t xml:space="preserve"> </w:t>
      </w:r>
      <w:r w:rsidR="00F32B28" w:rsidRPr="00F32B28">
        <w:rPr>
          <w:rtl/>
        </w:rPr>
        <w:t>الفجوة</w:t>
      </w:r>
      <w:r w:rsidR="00F32B28">
        <w:rPr>
          <w:rtl/>
        </w:rPr>
        <w:t xml:space="preserve"> </w:t>
      </w:r>
      <w:r w:rsidR="00F32B28" w:rsidRPr="00F32B28">
        <w:rPr>
          <w:rtl/>
        </w:rPr>
        <w:t>الواسعة</w:t>
      </w:r>
      <w:r w:rsidR="00F32B28">
        <w:rPr>
          <w:rtl/>
        </w:rPr>
        <w:t xml:space="preserve"> </w:t>
      </w:r>
      <w:r w:rsidR="00F32B28" w:rsidRPr="00F32B28">
        <w:rPr>
          <w:rtl/>
        </w:rPr>
        <w:t>في</w:t>
      </w:r>
      <w:r w:rsidR="00F32B28">
        <w:rPr>
          <w:rtl/>
        </w:rPr>
        <w:t xml:space="preserve"> </w:t>
      </w:r>
      <w:r w:rsidR="00F32B28" w:rsidRPr="00F32B28">
        <w:rPr>
          <w:rtl/>
        </w:rPr>
        <w:t>معدلات</w:t>
      </w:r>
      <w:r w:rsidR="00F32B28">
        <w:rPr>
          <w:rtl/>
        </w:rPr>
        <w:t xml:space="preserve"> </w:t>
      </w:r>
      <w:r w:rsidR="00F32B28" w:rsidRPr="00F32B28">
        <w:rPr>
          <w:rtl/>
        </w:rPr>
        <w:t>البطالة</w:t>
      </w:r>
      <w:r w:rsidR="00F32B28">
        <w:rPr>
          <w:rtl/>
        </w:rPr>
        <w:t xml:space="preserve"> </w:t>
      </w:r>
      <w:r w:rsidR="00F32B28" w:rsidRPr="00F32B28">
        <w:rPr>
          <w:rtl/>
        </w:rPr>
        <w:t>فيما</w:t>
      </w:r>
      <w:r w:rsidR="00F32B28">
        <w:rPr>
          <w:rtl/>
        </w:rPr>
        <w:t xml:space="preserve"> </w:t>
      </w:r>
      <w:r w:rsidR="00F32B28" w:rsidRPr="00F32B28">
        <w:rPr>
          <w:rtl/>
        </w:rPr>
        <w:t>بين</w:t>
      </w:r>
      <w:r w:rsidR="00F32B28">
        <w:rPr>
          <w:rtl/>
        </w:rPr>
        <w:t xml:space="preserve"> </w:t>
      </w:r>
      <w:r w:rsidR="00F32B28" w:rsidRPr="00F32B28">
        <w:rPr>
          <w:rtl/>
        </w:rPr>
        <w:t>النساء</w:t>
      </w:r>
      <w:r w:rsidR="00F32B28">
        <w:rPr>
          <w:rtl/>
        </w:rPr>
        <w:t xml:space="preserve"> </w:t>
      </w:r>
      <w:r w:rsidR="00F32B28" w:rsidRPr="00F32B28">
        <w:rPr>
          <w:rtl/>
        </w:rPr>
        <w:t>والرجال،</w:t>
      </w:r>
      <w:r w:rsidR="00F32B28">
        <w:rPr>
          <w:rtl/>
        </w:rPr>
        <w:t xml:space="preserve"> </w:t>
      </w:r>
      <w:r w:rsidR="00F32B28" w:rsidRPr="00F32B28">
        <w:rPr>
          <w:rtl/>
        </w:rPr>
        <w:t>إلا</w:t>
      </w:r>
      <w:r w:rsidR="00F32B28">
        <w:rPr>
          <w:rtl/>
        </w:rPr>
        <w:t xml:space="preserve"> </w:t>
      </w:r>
      <w:r w:rsidR="00F32B28" w:rsidRPr="00F32B28">
        <w:rPr>
          <w:rtl/>
        </w:rPr>
        <w:t>أنها،</w:t>
      </w:r>
      <w:r w:rsidR="00F32B28">
        <w:rPr>
          <w:rtl/>
        </w:rPr>
        <w:t xml:space="preserve"> </w:t>
      </w:r>
      <w:r w:rsidR="00F32B28" w:rsidRPr="00F32B28">
        <w:rPr>
          <w:rtl/>
        </w:rPr>
        <w:t>بالإضافة</w:t>
      </w:r>
      <w:r w:rsidR="00F32B28">
        <w:rPr>
          <w:rtl/>
        </w:rPr>
        <w:t xml:space="preserve"> </w:t>
      </w:r>
      <w:r w:rsidR="00F32B28" w:rsidRPr="00F32B28">
        <w:rPr>
          <w:rtl/>
        </w:rPr>
        <w:t>إلى</w:t>
      </w:r>
      <w:r w:rsidR="00F32B28">
        <w:rPr>
          <w:rtl/>
        </w:rPr>
        <w:t xml:space="preserve"> </w:t>
      </w:r>
      <w:r w:rsidR="00F32B28" w:rsidRPr="00F32B28">
        <w:rPr>
          <w:rtl/>
        </w:rPr>
        <w:t>ذلك،</w:t>
      </w:r>
      <w:r w:rsidR="00F32B28">
        <w:rPr>
          <w:rtl/>
        </w:rPr>
        <w:t xml:space="preserve"> </w:t>
      </w:r>
      <w:r w:rsidR="00F32B28" w:rsidRPr="00F32B28">
        <w:rPr>
          <w:rtl/>
        </w:rPr>
        <w:t>لا</w:t>
      </w:r>
      <w:r w:rsidR="00F32B28">
        <w:rPr>
          <w:rtl/>
        </w:rPr>
        <w:t xml:space="preserve"> </w:t>
      </w:r>
      <w:r w:rsidR="00F32B28" w:rsidRPr="00F32B28">
        <w:rPr>
          <w:rtl/>
        </w:rPr>
        <w:t>تعكس</w:t>
      </w:r>
      <w:r w:rsidR="00F32B28">
        <w:rPr>
          <w:rtl/>
        </w:rPr>
        <w:t xml:space="preserve"> </w:t>
      </w:r>
      <w:r w:rsidR="00F32B28" w:rsidRPr="00F32B28">
        <w:rPr>
          <w:rtl/>
        </w:rPr>
        <w:t>النسبة</w:t>
      </w:r>
      <w:r w:rsidR="00F32B28">
        <w:rPr>
          <w:rtl/>
        </w:rPr>
        <w:t xml:space="preserve"> </w:t>
      </w:r>
      <w:r w:rsidR="00F32B28" w:rsidRPr="00F32B28">
        <w:rPr>
          <w:rtl/>
        </w:rPr>
        <w:t>الفعلية</w:t>
      </w:r>
      <w:r w:rsidR="00F32B28">
        <w:rPr>
          <w:rtl/>
        </w:rPr>
        <w:t xml:space="preserve"> </w:t>
      </w:r>
      <w:r w:rsidR="00F32B28" w:rsidRPr="00F32B28">
        <w:rPr>
          <w:rtl/>
        </w:rPr>
        <w:t>للنساء</w:t>
      </w:r>
      <w:r w:rsidR="00F32B28">
        <w:rPr>
          <w:rtl/>
        </w:rPr>
        <w:t xml:space="preserve"> </w:t>
      </w:r>
      <w:r w:rsidR="00F32B28" w:rsidRPr="00F32B28">
        <w:rPr>
          <w:rtl/>
        </w:rPr>
        <w:t>العاطلات</w:t>
      </w:r>
      <w:r w:rsidR="00F32B28">
        <w:rPr>
          <w:rtl/>
        </w:rPr>
        <w:t xml:space="preserve"> </w:t>
      </w:r>
      <w:r w:rsidR="00F32B28" w:rsidRPr="00F32B28">
        <w:rPr>
          <w:rtl/>
        </w:rPr>
        <w:t>عن</w:t>
      </w:r>
      <w:r w:rsidR="00F32B28">
        <w:rPr>
          <w:rtl/>
        </w:rPr>
        <w:t xml:space="preserve"> </w:t>
      </w:r>
      <w:r w:rsidR="00F32B28" w:rsidRPr="00F32B28">
        <w:rPr>
          <w:rtl/>
        </w:rPr>
        <w:t>العمل،</w:t>
      </w:r>
      <w:r w:rsidR="00F32B28">
        <w:rPr>
          <w:rtl/>
        </w:rPr>
        <w:t xml:space="preserve"> </w:t>
      </w:r>
      <w:r w:rsidR="00F32B28" w:rsidRPr="00F32B28">
        <w:rPr>
          <w:rtl/>
        </w:rPr>
        <w:t>خاصة</w:t>
      </w:r>
      <w:r w:rsidR="00F32B28">
        <w:rPr>
          <w:rtl/>
        </w:rPr>
        <w:t xml:space="preserve"> </w:t>
      </w:r>
      <w:r w:rsidR="00F32B28" w:rsidRPr="00F32B28">
        <w:rPr>
          <w:rtl/>
        </w:rPr>
        <w:t>أولئك</w:t>
      </w:r>
      <w:r w:rsidR="00F32B28">
        <w:rPr>
          <w:rtl/>
        </w:rPr>
        <w:t xml:space="preserve"> </w:t>
      </w:r>
      <w:r w:rsidR="00F32B28" w:rsidRPr="00F32B28">
        <w:rPr>
          <w:rtl/>
        </w:rPr>
        <w:t>اللواتي</w:t>
      </w:r>
      <w:r w:rsidR="00F32B28">
        <w:rPr>
          <w:rtl/>
        </w:rPr>
        <w:t xml:space="preserve"> </w:t>
      </w:r>
      <w:r w:rsidR="00F32B28" w:rsidRPr="00F32B28">
        <w:rPr>
          <w:rtl/>
        </w:rPr>
        <w:t>استنكفن</w:t>
      </w:r>
      <w:r w:rsidR="00F32B28">
        <w:rPr>
          <w:rtl/>
        </w:rPr>
        <w:t xml:space="preserve"> </w:t>
      </w:r>
      <w:r w:rsidR="00F32B28" w:rsidRPr="00F32B28">
        <w:rPr>
          <w:rtl/>
        </w:rPr>
        <w:t>عن</w:t>
      </w:r>
      <w:r w:rsidR="00F32B28">
        <w:rPr>
          <w:rtl/>
        </w:rPr>
        <w:t xml:space="preserve"> </w:t>
      </w:r>
      <w:r w:rsidR="00F32B28" w:rsidRPr="00F32B28">
        <w:rPr>
          <w:rtl/>
        </w:rPr>
        <w:t>السعي</w:t>
      </w:r>
      <w:r w:rsidR="00F32B28">
        <w:rPr>
          <w:rtl/>
        </w:rPr>
        <w:t xml:space="preserve"> </w:t>
      </w:r>
      <w:r w:rsidR="00F32B28" w:rsidRPr="00F32B28">
        <w:rPr>
          <w:rtl/>
        </w:rPr>
        <w:t>للعمل</w:t>
      </w:r>
      <w:r w:rsidR="00F32B28">
        <w:rPr>
          <w:rtl/>
        </w:rPr>
        <w:t xml:space="preserve"> </w:t>
      </w:r>
      <w:r w:rsidR="00F32B28" w:rsidRPr="00F32B28">
        <w:rPr>
          <w:rtl/>
        </w:rPr>
        <w:t>خارج</w:t>
      </w:r>
      <w:r w:rsidR="00F32B28">
        <w:rPr>
          <w:rtl/>
        </w:rPr>
        <w:t xml:space="preserve"> </w:t>
      </w:r>
      <w:r w:rsidR="00F32B28" w:rsidRPr="00F32B28">
        <w:rPr>
          <w:rtl/>
        </w:rPr>
        <w:t>المنزل</w:t>
      </w:r>
      <w:r w:rsidR="00F32B28">
        <w:rPr>
          <w:rtl/>
        </w:rPr>
        <w:t xml:space="preserve"> </w:t>
      </w:r>
      <w:r w:rsidR="00F32B28" w:rsidRPr="00F32B28">
        <w:rPr>
          <w:rtl/>
        </w:rPr>
        <w:t>لصعوبة</w:t>
      </w:r>
      <w:r w:rsidR="00F32B28">
        <w:rPr>
          <w:rtl/>
        </w:rPr>
        <w:t xml:space="preserve"> </w:t>
      </w:r>
      <w:r w:rsidR="00F32B28" w:rsidRPr="00F32B28">
        <w:rPr>
          <w:rtl/>
        </w:rPr>
        <w:t>المواءمة</w:t>
      </w:r>
      <w:r w:rsidR="00F32B28">
        <w:rPr>
          <w:rtl/>
        </w:rPr>
        <w:t xml:space="preserve"> </w:t>
      </w:r>
      <w:r w:rsidR="00F32B28" w:rsidRPr="00F32B28">
        <w:rPr>
          <w:rtl/>
        </w:rPr>
        <w:t>بين</w:t>
      </w:r>
      <w:r w:rsidR="00F32B28">
        <w:rPr>
          <w:rtl/>
        </w:rPr>
        <w:t xml:space="preserve"> </w:t>
      </w:r>
      <w:r w:rsidR="00F32B28" w:rsidRPr="00F32B28">
        <w:rPr>
          <w:rtl/>
        </w:rPr>
        <w:t>مسؤولياتهن</w:t>
      </w:r>
      <w:r w:rsidR="00F32B28">
        <w:rPr>
          <w:rtl/>
        </w:rPr>
        <w:t xml:space="preserve"> </w:t>
      </w:r>
      <w:r w:rsidR="00F32B28" w:rsidRPr="00F32B28">
        <w:rPr>
          <w:rtl/>
        </w:rPr>
        <w:t>الأسرية</w:t>
      </w:r>
      <w:r w:rsidR="00F32B28">
        <w:rPr>
          <w:rtl/>
        </w:rPr>
        <w:t xml:space="preserve"> </w:t>
      </w:r>
      <w:r w:rsidR="00F32B28" w:rsidRPr="00F32B28">
        <w:rPr>
          <w:rtl/>
        </w:rPr>
        <w:t>وعملهن.</w:t>
      </w:r>
    </w:p>
    <w:p w:rsidR="00F32B28" w:rsidRPr="00F32B28" w:rsidRDefault="00377C1A" w:rsidP="00377C1A">
      <w:pPr>
        <w:pStyle w:val="SingleTxt"/>
      </w:pPr>
      <w:r>
        <w:rPr>
          <w:rFonts w:hint="cs"/>
          <w:rtl/>
          <w:lang w:bidi="ar-LB"/>
        </w:rPr>
        <w:lastRenderedPageBreak/>
        <w:t xml:space="preserve">225 - </w:t>
      </w:r>
      <w:r w:rsidR="00F32B28" w:rsidRPr="00F32B28">
        <w:rPr>
          <w:rtl/>
          <w:lang w:bidi="ar-LB"/>
        </w:rPr>
        <w:t>وبخصوص</w:t>
      </w:r>
      <w:r w:rsidR="00F32B28">
        <w:rPr>
          <w:rtl/>
          <w:lang w:bidi="ar-LB"/>
        </w:rPr>
        <w:t xml:space="preserve"> </w:t>
      </w:r>
      <w:r w:rsidR="00F32B28" w:rsidRPr="00F32B28">
        <w:rPr>
          <w:rtl/>
          <w:lang w:bidi="ar-LB"/>
        </w:rPr>
        <w:t>العمل</w:t>
      </w:r>
      <w:r w:rsidR="00F32B28">
        <w:rPr>
          <w:rtl/>
          <w:lang w:bidi="ar-LB"/>
        </w:rPr>
        <w:t xml:space="preserve"> </w:t>
      </w:r>
      <w:r w:rsidR="00F32B28" w:rsidRPr="00F32B28">
        <w:rPr>
          <w:rtl/>
          <w:lang w:bidi="ar-LB"/>
        </w:rPr>
        <w:t>غير</w:t>
      </w:r>
      <w:r w:rsidR="00F32B28">
        <w:rPr>
          <w:rtl/>
          <w:lang w:bidi="ar-LB"/>
        </w:rPr>
        <w:t xml:space="preserve"> </w:t>
      </w:r>
      <w:r w:rsidR="00F32B28" w:rsidRPr="00F32B28">
        <w:rPr>
          <w:rtl/>
          <w:lang w:bidi="ar-LB"/>
        </w:rPr>
        <w:t>المنظم،</w:t>
      </w:r>
      <w:r w:rsidR="00F32B28">
        <w:rPr>
          <w:rtl/>
          <w:lang w:bidi="ar-LB"/>
        </w:rPr>
        <w:t xml:space="preserve"> </w:t>
      </w:r>
      <w:r w:rsidR="00F32B28" w:rsidRPr="00F32B28">
        <w:rPr>
          <w:rtl/>
          <w:lang w:bidi="ar-LB"/>
        </w:rPr>
        <w:t>استثنى</w:t>
      </w:r>
      <w:r w:rsidR="00F32B28">
        <w:rPr>
          <w:rtl/>
          <w:lang w:bidi="ar-LB"/>
        </w:rPr>
        <w:t xml:space="preserve"> </w:t>
      </w:r>
      <w:r w:rsidR="00F32B28" w:rsidRPr="00F32B28">
        <w:rPr>
          <w:rtl/>
          <w:lang w:bidi="ar-LB"/>
        </w:rPr>
        <w:t>قانون</w:t>
      </w:r>
      <w:r w:rsidR="00F32B28">
        <w:rPr>
          <w:rtl/>
          <w:lang w:bidi="ar-LB"/>
        </w:rPr>
        <w:t xml:space="preserve"> </w:t>
      </w:r>
      <w:r w:rsidR="00F32B28" w:rsidRPr="00F32B28">
        <w:rPr>
          <w:rtl/>
          <w:lang w:bidi="ar-LB"/>
        </w:rPr>
        <w:t>العمل</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أحكامه</w:t>
      </w:r>
      <w:r w:rsidR="00F32B28">
        <w:rPr>
          <w:rtl/>
          <w:lang w:bidi="ar-LB"/>
        </w:rPr>
        <w:t xml:space="preserve"> </w:t>
      </w:r>
      <w:r w:rsidR="00F32B28" w:rsidRPr="00F32B28">
        <w:rPr>
          <w:rtl/>
          <w:lang w:bidi="ar-LB"/>
        </w:rPr>
        <w:t>الخدم</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المنازل</w:t>
      </w:r>
      <w:r w:rsidR="00F32B28">
        <w:rPr>
          <w:rtl/>
          <w:lang w:bidi="ar-LB"/>
        </w:rPr>
        <w:t xml:space="preserve"> </w:t>
      </w:r>
      <w:r w:rsidR="00F32B28" w:rsidRPr="00F32B28">
        <w:rPr>
          <w:rtl/>
          <w:lang w:bidi="ar-LB"/>
        </w:rPr>
        <w:t>ومن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حكمهم،</w:t>
      </w:r>
      <w:r w:rsidR="00F32B28">
        <w:rPr>
          <w:rtl/>
          <w:lang w:bidi="ar-LB"/>
        </w:rPr>
        <w:t xml:space="preserve"> </w:t>
      </w:r>
      <w:r w:rsidR="00F32B28" w:rsidRPr="00F32B28">
        <w:rPr>
          <w:rtl/>
          <w:lang w:bidi="ar-LB"/>
        </w:rPr>
        <w:t>وكذلك</w:t>
      </w:r>
      <w:r w:rsidR="00F32B28">
        <w:rPr>
          <w:rtl/>
          <w:lang w:bidi="ar-LB"/>
        </w:rPr>
        <w:t xml:space="preserve"> </w:t>
      </w:r>
      <w:r w:rsidR="00F32B28" w:rsidRPr="00F32B28">
        <w:rPr>
          <w:rtl/>
          <w:lang w:bidi="ar-LB"/>
        </w:rPr>
        <w:t>أفراد</w:t>
      </w:r>
      <w:r w:rsidR="00F32B28">
        <w:rPr>
          <w:rtl/>
          <w:lang w:bidi="ar-LB"/>
        </w:rPr>
        <w:t xml:space="preserve"> </w:t>
      </w:r>
      <w:r w:rsidR="00F32B28" w:rsidRPr="00F32B28">
        <w:rPr>
          <w:rtl/>
          <w:lang w:bidi="ar-LB"/>
        </w:rPr>
        <w:t>أسرة</w:t>
      </w:r>
      <w:r w:rsidR="00F32B28">
        <w:rPr>
          <w:rtl/>
          <w:lang w:bidi="ar-LB"/>
        </w:rPr>
        <w:t xml:space="preserve"> </w:t>
      </w:r>
      <w:r w:rsidR="00F32B28" w:rsidRPr="00F32B28">
        <w:rPr>
          <w:rtl/>
          <w:lang w:bidi="ar-LB"/>
        </w:rPr>
        <w:t>صاحب</w:t>
      </w:r>
      <w:r w:rsidR="00F32B28">
        <w:rPr>
          <w:rtl/>
          <w:lang w:bidi="ar-LB"/>
        </w:rPr>
        <w:t xml:space="preserve"> </w:t>
      </w:r>
      <w:r w:rsidR="00F32B28" w:rsidRPr="00F32B28">
        <w:rPr>
          <w:rtl/>
          <w:lang w:bidi="ar-LB"/>
        </w:rPr>
        <w:t>العمل</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الدرجة</w:t>
      </w:r>
      <w:r w:rsidR="00F32B28">
        <w:rPr>
          <w:rtl/>
          <w:lang w:bidi="ar-LB"/>
        </w:rPr>
        <w:t xml:space="preserve"> </w:t>
      </w:r>
      <w:r w:rsidR="00F32B28" w:rsidRPr="00F32B28">
        <w:rPr>
          <w:rtl/>
          <w:lang w:bidi="ar-LB"/>
        </w:rPr>
        <w:t>الأولى.</w:t>
      </w:r>
      <w:r w:rsidR="00F32B28">
        <w:rPr>
          <w:rtl/>
          <w:lang w:bidi="ar-LB"/>
        </w:rPr>
        <w:t xml:space="preserve"> </w:t>
      </w:r>
      <w:r w:rsidR="00F32B28" w:rsidRPr="00F32B28">
        <w:rPr>
          <w:rtl/>
          <w:lang w:bidi="ar-LB"/>
        </w:rPr>
        <w:t>فيما</w:t>
      </w:r>
      <w:r w:rsidR="00F32B28">
        <w:rPr>
          <w:rtl/>
          <w:lang w:bidi="ar-LB"/>
        </w:rPr>
        <w:t xml:space="preserve"> </w:t>
      </w:r>
      <w:r w:rsidR="00F32B28" w:rsidRPr="00F32B28">
        <w:rPr>
          <w:rtl/>
          <w:lang w:bidi="ar-LB"/>
        </w:rPr>
        <w:t>أفرد</w:t>
      </w:r>
      <w:r w:rsidR="00F32B28">
        <w:rPr>
          <w:rtl/>
          <w:lang w:bidi="ar-LB"/>
        </w:rPr>
        <w:t xml:space="preserve"> </w:t>
      </w:r>
      <w:r w:rsidR="00F32B28" w:rsidRPr="00F32B28">
        <w:rPr>
          <w:rtl/>
          <w:lang w:bidi="ar-LB"/>
        </w:rPr>
        <w:t>مجلس</w:t>
      </w:r>
      <w:r w:rsidR="00F32B28">
        <w:rPr>
          <w:rtl/>
          <w:lang w:bidi="ar-LB"/>
        </w:rPr>
        <w:t xml:space="preserve"> </w:t>
      </w:r>
      <w:r w:rsidR="00F32B28" w:rsidRPr="00F32B28">
        <w:rPr>
          <w:rtl/>
          <w:lang w:bidi="ar-LB"/>
        </w:rPr>
        <w:t>الوزراء</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قراره</w:t>
      </w:r>
      <w:r w:rsidR="00F32B28">
        <w:rPr>
          <w:rtl/>
          <w:lang w:bidi="ar-LB"/>
        </w:rPr>
        <w:t xml:space="preserve"> </w:t>
      </w:r>
      <w:r w:rsidR="00F32B28" w:rsidRPr="00F32B28">
        <w:rPr>
          <w:rtl/>
          <w:lang w:bidi="ar-LB"/>
        </w:rPr>
        <w:t>رقم</w:t>
      </w:r>
      <w:r w:rsidR="00F32B28">
        <w:rPr>
          <w:rtl/>
          <w:lang w:bidi="ar-LB"/>
        </w:rPr>
        <w:t xml:space="preserve"> </w:t>
      </w:r>
      <w:r w:rsidR="00F32B28" w:rsidRPr="00F32B28">
        <w:rPr>
          <w:rtl/>
          <w:lang w:bidi="ar-LB"/>
        </w:rPr>
        <w:t>(42)</w:t>
      </w:r>
      <w:r w:rsidR="00F32B28">
        <w:rPr>
          <w:rtl/>
          <w:lang w:bidi="ar-LB"/>
        </w:rPr>
        <w:t xml:space="preserve"> </w:t>
      </w:r>
      <w:r w:rsidR="00F32B28" w:rsidRPr="00F32B28">
        <w:rPr>
          <w:rtl/>
          <w:lang w:bidi="ar-LB"/>
        </w:rPr>
        <w:t>لعام</w:t>
      </w:r>
      <w:r w:rsidR="00F32B28">
        <w:rPr>
          <w:rtl/>
          <w:lang w:bidi="ar-LB"/>
        </w:rPr>
        <w:t xml:space="preserve"> </w:t>
      </w:r>
      <w:r w:rsidR="00F32B28" w:rsidRPr="00F32B28">
        <w:rPr>
          <w:rtl/>
          <w:lang w:bidi="ar-LB"/>
        </w:rPr>
        <w:t>2004</w:t>
      </w:r>
      <w:r w:rsidR="00F32B28">
        <w:rPr>
          <w:rtl/>
          <w:lang w:bidi="ar-LB"/>
        </w:rPr>
        <w:t xml:space="preserve"> </w:t>
      </w:r>
      <w:r w:rsidR="00F32B28" w:rsidRPr="00F32B28">
        <w:rPr>
          <w:rtl/>
          <w:lang w:bidi="ar-LB"/>
        </w:rPr>
        <w:t>أحكاماً</w:t>
      </w:r>
      <w:r w:rsidR="00F32B28">
        <w:rPr>
          <w:rtl/>
          <w:lang w:bidi="ar-LB"/>
        </w:rPr>
        <w:t xml:space="preserve"> </w:t>
      </w:r>
      <w:r w:rsidR="00F32B28" w:rsidRPr="00F32B28">
        <w:rPr>
          <w:rtl/>
          <w:lang w:bidi="ar-LB"/>
        </w:rPr>
        <w:t>خاصة</w:t>
      </w:r>
      <w:r w:rsidR="00F32B28">
        <w:rPr>
          <w:rtl/>
          <w:lang w:bidi="ar-LB"/>
        </w:rPr>
        <w:t xml:space="preserve"> </w:t>
      </w:r>
      <w:r w:rsidR="00F32B28" w:rsidRPr="00F32B28">
        <w:rPr>
          <w:rtl/>
          <w:lang w:bidi="ar-LB"/>
        </w:rPr>
        <w:t>للعاملين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القطاع</w:t>
      </w:r>
      <w:r w:rsidR="00F32B28">
        <w:rPr>
          <w:rtl/>
          <w:lang w:bidi="ar-LB"/>
        </w:rPr>
        <w:t xml:space="preserve"> </w:t>
      </w:r>
      <w:r w:rsidR="00F32B28" w:rsidRPr="00F32B28">
        <w:rPr>
          <w:rtl/>
          <w:lang w:bidi="ar-LB"/>
        </w:rPr>
        <w:t>الزراعي</w:t>
      </w:r>
      <w:r w:rsidR="00F32B28">
        <w:rPr>
          <w:rtl/>
          <w:lang w:bidi="ar-LB"/>
        </w:rPr>
        <w:t xml:space="preserve"> </w:t>
      </w:r>
      <w:r w:rsidR="00F32B28" w:rsidRPr="00F32B28">
        <w:rPr>
          <w:rtl/>
          <w:lang w:bidi="ar-LB"/>
        </w:rPr>
        <w:t>الموسمي</w:t>
      </w:r>
      <w:r w:rsidR="00F32B28">
        <w:rPr>
          <w:rtl/>
          <w:lang w:bidi="ar-LB"/>
        </w:rPr>
        <w:t xml:space="preserve"> </w:t>
      </w:r>
      <w:r w:rsidR="00F32B28" w:rsidRPr="00F32B28">
        <w:rPr>
          <w:rtl/>
          <w:lang w:bidi="ar-LB"/>
        </w:rPr>
        <w:t>حدد</w:t>
      </w:r>
      <w:r w:rsidR="00F32B28">
        <w:rPr>
          <w:rtl/>
          <w:lang w:bidi="ar-LB"/>
        </w:rPr>
        <w:t xml:space="preserve"> </w:t>
      </w:r>
      <w:r w:rsidR="00F32B28" w:rsidRPr="00F32B28">
        <w:rPr>
          <w:rtl/>
          <w:lang w:bidi="ar-LB"/>
        </w:rPr>
        <w:t>فيها</w:t>
      </w:r>
      <w:r w:rsidR="00F32B28">
        <w:rPr>
          <w:rtl/>
          <w:lang w:bidi="ar-LB"/>
        </w:rPr>
        <w:t xml:space="preserve"> </w:t>
      </w:r>
      <w:r w:rsidR="00F32B28" w:rsidRPr="00F32B28">
        <w:rPr>
          <w:rtl/>
          <w:lang w:bidi="ar-LB"/>
        </w:rPr>
        <w:t>ساعات</w:t>
      </w:r>
      <w:r w:rsidR="00F32B28">
        <w:rPr>
          <w:rtl/>
          <w:lang w:bidi="ar-LB"/>
        </w:rPr>
        <w:t xml:space="preserve"> </w:t>
      </w:r>
      <w:r w:rsidR="00F32B28" w:rsidRPr="00F32B28">
        <w:rPr>
          <w:rtl/>
          <w:lang w:bidi="ar-LB"/>
        </w:rPr>
        <w:t>العمل</w:t>
      </w:r>
      <w:r w:rsidR="00F32B28">
        <w:rPr>
          <w:rtl/>
          <w:lang w:bidi="ar-LB"/>
        </w:rPr>
        <w:t xml:space="preserve"> </w:t>
      </w:r>
      <w:r w:rsidR="00F32B28" w:rsidRPr="00F32B28">
        <w:rPr>
          <w:rtl/>
          <w:lang w:bidi="ar-LB"/>
        </w:rPr>
        <w:t>والإجازات</w:t>
      </w:r>
      <w:r w:rsidR="00F32B28">
        <w:rPr>
          <w:rtl/>
          <w:lang w:bidi="ar-LB"/>
        </w:rPr>
        <w:t xml:space="preserve"> </w:t>
      </w:r>
      <w:r w:rsidR="00F32B28" w:rsidRPr="00F32B28">
        <w:rPr>
          <w:rtl/>
          <w:lang w:bidi="ar-LB"/>
        </w:rPr>
        <w:t>الخاصة</w:t>
      </w:r>
      <w:r w:rsidR="00F32B28">
        <w:rPr>
          <w:rtl/>
          <w:lang w:bidi="ar-LB"/>
        </w:rPr>
        <w:t xml:space="preserve"> </w:t>
      </w:r>
      <w:r w:rsidR="00F32B28" w:rsidRPr="00F32B28">
        <w:rPr>
          <w:rtl/>
          <w:lang w:bidi="ar-LB"/>
        </w:rPr>
        <w:t>بهؤلاء</w:t>
      </w:r>
      <w:r w:rsidR="00F32B28">
        <w:rPr>
          <w:rtl/>
          <w:lang w:bidi="ar-LB"/>
        </w:rPr>
        <w:t xml:space="preserve"> </w:t>
      </w:r>
      <w:r w:rsidR="00F32B28" w:rsidRPr="00F32B28">
        <w:rPr>
          <w:rtl/>
          <w:lang w:bidi="ar-LB"/>
        </w:rPr>
        <w:t>العاملين.</w:t>
      </w:r>
      <w:r w:rsidR="00F32B28">
        <w:rPr>
          <w:rtl/>
          <w:lang w:bidi="ar-LB"/>
        </w:rPr>
        <w:t xml:space="preserve"> </w:t>
      </w:r>
      <w:r w:rsidR="00F32B28" w:rsidRPr="00F32B28">
        <w:rPr>
          <w:rtl/>
          <w:lang w:bidi="ar-LB"/>
        </w:rPr>
        <w:t>إ</w:t>
      </w:r>
      <w:r w:rsidR="00F32B28" w:rsidRPr="00F32B28">
        <w:rPr>
          <w:rtl/>
        </w:rPr>
        <w:t>لا</w:t>
      </w:r>
      <w:r w:rsidR="00F32B28">
        <w:rPr>
          <w:rtl/>
        </w:rPr>
        <w:t xml:space="preserve"> </w:t>
      </w:r>
      <w:r w:rsidR="00F32B28" w:rsidRPr="00F32B28">
        <w:rPr>
          <w:rtl/>
        </w:rPr>
        <w:t>أنه</w:t>
      </w:r>
      <w:r w:rsidR="00F32B28">
        <w:rPr>
          <w:rtl/>
        </w:rPr>
        <w:t xml:space="preserve"> </w:t>
      </w:r>
      <w:r w:rsidR="00F32B28" w:rsidRPr="00F32B28">
        <w:rPr>
          <w:rtl/>
        </w:rPr>
        <w:t>لا</w:t>
      </w:r>
      <w:r w:rsidR="00F32B28">
        <w:rPr>
          <w:rtl/>
        </w:rPr>
        <w:t xml:space="preserve"> </w:t>
      </w:r>
      <w:r w:rsidR="00F32B28" w:rsidRPr="00F32B28">
        <w:rPr>
          <w:rtl/>
        </w:rPr>
        <w:t>تتوافر</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بيانات</w:t>
      </w:r>
      <w:r w:rsidR="00F32B28">
        <w:rPr>
          <w:rtl/>
        </w:rPr>
        <w:t xml:space="preserve"> </w:t>
      </w:r>
      <w:r w:rsidR="00F32B28" w:rsidRPr="00F32B28">
        <w:rPr>
          <w:rtl/>
        </w:rPr>
        <w:t>وإحصاءات</w:t>
      </w:r>
      <w:r w:rsidR="00F32B28">
        <w:rPr>
          <w:rtl/>
        </w:rPr>
        <w:t xml:space="preserve"> </w:t>
      </w:r>
      <w:r w:rsidR="00F32B28" w:rsidRPr="00F32B28">
        <w:rPr>
          <w:rtl/>
        </w:rPr>
        <w:t>حول</w:t>
      </w:r>
      <w:r w:rsidR="00F32B28">
        <w:rPr>
          <w:rtl/>
        </w:rPr>
        <w:t xml:space="preserve"> </w:t>
      </w:r>
      <w:r w:rsidR="00F32B28" w:rsidRPr="00F32B28">
        <w:rPr>
          <w:rtl/>
        </w:rPr>
        <w:t>العمالة</w:t>
      </w:r>
      <w:r w:rsidR="00F32B28">
        <w:rPr>
          <w:rtl/>
        </w:rPr>
        <w:t xml:space="preserve"> </w:t>
      </w:r>
      <w:r w:rsidR="00F32B28" w:rsidRPr="00F32B28">
        <w:rPr>
          <w:rtl/>
        </w:rPr>
        <w:t>غير</w:t>
      </w:r>
      <w:r w:rsidR="00F32B28">
        <w:rPr>
          <w:rtl/>
        </w:rPr>
        <w:t xml:space="preserve"> </w:t>
      </w:r>
      <w:r w:rsidR="00F32B28" w:rsidRPr="00F32B28">
        <w:rPr>
          <w:rtl/>
        </w:rPr>
        <w:t>المنظمة،</w:t>
      </w:r>
      <w:r w:rsidR="00F32B28">
        <w:rPr>
          <w:rtl/>
        </w:rPr>
        <w:t xml:space="preserve"> </w:t>
      </w:r>
      <w:r w:rsidR="00F32B28" w:rsidRPr="00F32B28">
        <w:rPr>
          <w:rtl/>
        </w:rPr>
        <w:t>كونه</w:t>
      </w:r>
      <w:r w:rsidR="00F32B28">
        <w:rPr>
          <w:rtl/>
        </w:rPr>
        <w:t xml:space="preserve"> </w:t>
      </w:r>
      <w:r w:rsidR="00F32B28" w:rsidRPr="00F32B28">
        <w:rPr>
          <w:rtl/>
        </w:rPr>
        <w:t>لا</w:t>
      </w:r>
      <w:r w:rsidR="00F32B28">
        <w:rPr>
          <w:rtl/>
        </w:rPr>
        <w:t xml:space="preserve"> </w:t>
      </w:r>
      <w:r w:rsidR="00F32B28" w:rsidRPr="00F32B28">
        <w:rPr>
          <w:rtl/>
        </w:rPr>
        <w:t>يدخل</w:t>
      </w:r>
      <w:r w:rsidR="00F32B28">
        <w:rPr>
          <w:rtl/>
        </w:rPr>
        <w:t xml:space="preserve"> </w:t>
      </w:r>
      <w:r w:rsidR="00F32B28" w:rsidRPr="00F32B28">
        <w:rPr>
          <w:rtl/>
        </w:rPr>
        <w:t>ضمن</w:t>
      </w:r>
      <w:r w:rsidR="00F32B28">
        <w:rPr>
          <w:rtl/>
        </w:rPr>
        <w:t xml:space="preserve"> </w:t>
      </w:r>
      <w:r w:rsidR="00F32B28" w:rsidRPr="00F32B28">
        <w:rPr>
          <w:rtl/>
        </w:rPr>
        <w:t>التصنيف</w:t>
      </w:r>
      <w:r w:rsidR="00F32B28">
        <w:rPr>
          <w:rtl/>
        </w:rPr>
        <w:t xml:space="preserve"> </w:t>
      </w:r>
      <w:r w:rsidR="00F32B28" w:rsidRPr="00F32B28">
        <w:rPr>
          <w:rtl/>
        </w:rPr>
        <w:t>الرسمي</w:t>
      </w:r>
      <w:r w:rsidR="00F32B28">
        <w:rPr>
          <w:rtl/>
        </w:rPr>
        <w:t xml:space="preserve"> </w:t>
      </w:r>
      <w:r w:rsidR="00F32B28" w:rsidRPr="00F32B28">
        <w:rPr>
          <w:rtl/>
        </w:rPr>
        <w:t>للعمل،</w:t>
      </w:r>
      <w:r w:rsidR="00F32B28">
        <w:rPr>
          <w:rtl/>
        </w:rPr>
        <w:t xml:space="preserve"> </w:t>
      </w:r>
      <w:r w:rsidR="00F32B28" w:rsidRPr="00F32B28">
        <w:rPr>
          <w:rtl/>
        </w:rPr>
        <w:t>رغم</w:t>
      </w:r>
      <w:r w:rsidR="00F32B28">
        <w:rPr>
          <w:rtl/>
        </w:rPr>
        <w:t xml:space="preserve"> </w:t>
      </w:r>
      <w:r w:rsidR="00F32B28" w:rsidRPr="00F32B28">
        <w:rPr>
          <w:rtl/>
        </w:rPr>
        <w:t>قيمته</w:t>
      </w:r>
      <w:r w:rsidR="00F32B28">
        <w:rPr>
          <w:rtl/>
        </w:rPr>
        <w:t xml:space="preserve"> </w:t>
      </w:r>
      <w:r w:rsidR="00F32B28" w:rsidRPr="00F32B28">
        <w:rPr>
          <w:rtl/>
        </w:rPr>
        <w:t>الإنتاجية</w:t>
      </w:r>
      <w:r w:rsidR="00F32B28">
        <w:rPr>
          <w:rtl/>
        </w:rPr>
        <w:t xml:space="preserve"> </w:t>
      </w:r>
      <w:r w:rsidR="00F32B28" w:rsidRPr="00F32B28">
        <w:rPr>
          <w:rtl/>
        </w:rPr>
        <w:t>النوعية</w:t>
      </w:r>
      <w:r w:rsidR="00F32B28">
        <w:rPr>
          <w:rtl/>
        </w:rPr>
        <w:t xml:space="preserve"> </w:t>
      </w:r>
      <w:r w:rsidR="00F32B28" w:rsidRPr="00F32B28">
        <w:rPr>
          <w:rtl/>
        </w:rPr>
        <w:t>على</w:t>
      </w:r>
      <w:r w:rsidR="00F32B28">
        <w:rPr>
          <w:rtl/>
        </w:rPr>
        <w:t xml:space="preserve"> </w:t>
      </w:r>
      <w:r w:rsidR="00F32B28" w:rsidRPr="00F32B28">
        <w:rPr>
          <w:rtl/>
        </w:rPr>
        <w:t>مستوى</w:t>
      </w:r>
      <w:r w:rsidR="00F32B28">
        <w:rPr>
          <w:rtl/>
        </w:rPr>
        <w:t xml:space="preserve"> </w:t>
      </w:r>
      <w:r w:rsidR="00F32B28" w:rsidRPr="00F32B28">
        <w:rPr>
          <w:rtl/>
        </w:rPr>
        <w:t>الأسر</w:t>
      </w:r>
      <w:r w:rsidR="00F32B28">
        <w:rPr>
          <w:rtl/>
        </w:rPr>
        <w:t xml:space="preserve"> </w:t>
      </w:r>
      <w:r w:rsidR="00F32B28" w:rsidRPr="00F32B28">
        <w:rPr>
          <w:rtl/>
        </w:rPr>
        <w:t>وعلى</w:t>
      </w:r>
      <w:r w:rsidR="00F32B28">
        <w:rPr>
          <w:rtl/>
        </w:rPr>
        <w:t xml:space="preserve"> </w:t>
      </w:r>
      <w:r w:rsidR="00F32B28" w:rsidRPr="00F32B28">
        <w:rPr>
          <w:rtl/>
        </w:rPr>
        <w:t>عملية</w:t>
      </w:r>
      <w:r w:rsidR="00F32B28">
        <w:rPr>
          <w:rtl/>
        </w:rPr>
        <w:t xml:space="preserve"> </w:t>
      </w:r>
      <w:r w:rsidR="00F32B28" w:rsidRPr="00F32B28">
        <w:rPr>
          <w:rtl/>
        </w:rPr>
        <w:t>التنمية</w:t>
      </w:r>
      <w:r w:rsidR="00F32B28">
        <w:rPr>
          <w:rtl/>
        </w:rPr>
        <w:t xml:space="preserve"> </w:t>
      </w:r>
      <w:r w:rsidR="00F32B28" w:rsidRPr="00F32B28">
        <w:rPr>
          <w:rtl/>
        </w:rPr>
        <w:t>الوطنية.</w:t>
      </w:r>
      <w:r w:rsidR="00F32B28">
        <w:rPr>
          <w:rtl/>
        </w:rPr>
        <w:t xml:space="preserve"> </w:t>
      </w:r>
      <w:r w:rsidR="00F32B28" w:rsidRPr="00F32B28">
        <w:rPr>
          <w:rtl/>
        </w:rPr>
        <w:t>و</w:t>
      </w:r>
      <w:r w:rsidR="00F32B28" w:rsidRPr="00F32B28">
        <w:rPr>
          <w:rtl/>
          <w:lang w:bidi="ar-SY"/>
        </w:rPr>
        <w:t>تمارس</w:t>
      </w:r>
      <w:r w:rsidR="00F32B28">
        <w:rPr>
          <w:rtl/>
        </w:rPr>
        <w:t xml:space="preserve"> </w:t>
      </w:r>
      <w:r w:rsidR="00F32B28" w:rsidRPr="00F32B28">
        <w:rPr>
          <w:rtl/>
        </w:rPr>
        <w:t>نسبة</w:t>
      </w:r>
      <w:r w:rsidR="00F32B28">
        <w:rPr>
          <w:rtl/>
        </w:rPr>
        <w:t xml:space="preserve"> </w:t>
      </w:r>
      <w:r w:rsidR="00F32B28" w:rsidRPr="00F32B28">
        <w:rPr>
          <w:rtl/>
        </w:rPr>
        <w:t>مهمة</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أنشطة</w:t>
      </w:r>
      <w:r w:rsidR="00F32B28">
        <w:rPr>
          <w:rtl/>
        </w:rPr>
        <w:t xml:space="preserve"> </w:t>
      </w:r>
      <w:r w:rsidR="00F32B28" w:rsidRPr="00F32B28">
        <w:rPr>
          <w:rtl/>
        </w:rPr>
        <w:t>هذا</w:t>
      </w:r>
      <w:r w:rsidR="00F32B28">
        <w:rPr>
          <w:rtl/>
        </w:rPr>
        <w:t xml:space="preserve"> </w:t>
      </w:r>
      <w:r w:rsidR="00F32B28" w:rsidRPr="00F32B28">
        <w:rPr>
          <w:rtl/>
        </w:rPr>
        <w:t>القطاع،</w:t>
      </w:r>
      <w:r w:rsidR="00F32B28">
        <w:rPr>
          <w:rtl/>
        </w:rPr>
        <w:t xml:space="preserve"> </w:t>
      </w:r>
      <w:r w:rsidR="00F32B28" w:rsidRPr="00F32B28">
        <w:rPr>
          <w:rtl/>
        </w:rPr>
        <w:t>أبرزها</w:t>
      </w:r>
      <w:r w:rsidR="00F32B28">
        <w:rPr>
          <w:rtl/>
        </w:rPr>
        <w:t xml:space="preserve"> </w:t>
      </w:r>
      <w:r w:rsidR="00F32B28" w:rsidRPr="00F32B28">
        <w:rPr>
          <w:rtl/>
        </w:rPr>
        <w:t>الصناعات</w:t>
      </w:r>
      <w:r w:rsidR="00F32B28">
        <w:rPr>
          <w:rtl/>
        </w:rPr>
        <w:t xml:space="preserve"> </w:t>
      </w:r>
      <w:r w:rsidR="00F32B28" w:rsidRPr="00F32B28">
        <w:rPr>
          <w:rtl/>
        </w:rPr>
        <w:t>التحويلية</w:t>
      </w:r>
      <w:r w:rsidR="00F32B28">
        <w:rPr>
          <w:rtl/>
        </w:rPr>
        <w:t xml:space="preserve"> </w:t>
      </w:r>
      <w:r w:rsidR="00F32B28" w:rsidRPr="00F32B28">
        <w:rPr>
          <w:rtl/>
        </w:rPr>
        <w:t>الخفيفة</w:t>
      </w:r>
      <w:r w:rsidR="00F32B28">
        <w:rPr>
          <w:rtl/>
        </w:rPr>
        <w:t xml:space="preserve"> </w:t>
      </w:r>
      <w:r w:rsidR="00F32B28" w:rsidRPr="00F32B28">
        <w:rPr>
          <w:rtl/>
        </w:rPr>
        <w:t>كالخياطة</w:t>
      </w:r>
      <w:r w:rsidR="00F32B28">
        <w:rPr>
          <w:rtl/>
        </w:rPr>
        <w:t xml:space="preserve"> </w:t>
      </w:r>
      <w:r w:rsidR="00F32B28" w:rsidRPr="00F32B28">
        <w:rPr>
          <w:rtl/>
        </w:rPr>
        <w:t>والنسيج،</w:t>
      </w:r>
      <w:r w:rsidR="00F32B28">
        <w:rPr>
          <w:rtl/>
        </w:rPr>
        <w:t xml:space="preserve"> </w:t>
      </w:r>
      <w:r w:rsidR="00F32B28" w:rsidRPr="00F32B28">
        <w:rPr>
          <w:rtl/>
        </w:rPr>
        <w:t>والأعمال</w:t>
      </w:r>
      <w:r w:rsidR="00F32B28">
        <w:rPr>
          <w:rtl/>
        </w:rPr>
        <w:t xml:space="preserve"> </w:t>
      </w:r>
      <w:r w:rsidR="00F32B28" w:rsidRPr="00F32B28">
        <w:rPr>
          <w:rtl/>
        </w:rPr>
        <w:t>الزراعية</w:t>
      </w:r>
      <w:r w:rsidR="00F32B28">
        <w:rPr>
          <w:rtl/>
        </w:rPr>
        <w:t xml:space="preserve"> </w:t>
      </w:r>
      <w:r w:rsidR="00F32B28" w:rsidRPr="00F32B28">
        <w:rPr>
          <w:rtl/>
        </w:rPr>
        <w:t>الموسمية،</w:t>
      </w:r>
      <w:r w:rsidR="00F32B28">
        <w:rPr>
          <w:rtl/>
        </w:rPr>
        <w:t xml:space="preserve"> </w:t>
      </w:r>
      <w:r w:rsidR="00F32B28" w:rsidRPr="00F32B28">
        <w:rPr>
          <w:rtl/>
        </w:rPr>
        <w:t>والمشاريع</w:t>
      </w:r>
      <w:r w:rsidR="00F32B28">
        <w:rPr>
          <w:rtl/>
        </w:rPr>
        <w:t xml:space="preserve"> </w:t>
      </w:r>
      <w:r w:rsidR="00F32B28" w:rsidRPr="00F32B28">
        <w:rPr>
          <w:rtl/>
        </w:rPr>
        <w:t>الأسرية</w:t>
      </w:r>
      <w:r w:rsidR="00F32B28">
        <w:rPr>
          <w:rtl/>
        </w:rPr>
        <w:t xml:space="preserve"> </w:t>
      </w:r>
      <w:r w:rsidR="00F32B28" w:rsidRPr="00F32B28">
        <w:rPr>
          <w:rtl/>
        </w:rPr>
        <w:t>غير</w:t>
      </w:r>
      <w:r w:rsidR="00F32B28">
        <w:rPr>
          <w:rtl/>
        </w:rPr>
        <w:t xml:space="preserve"> </w:t>
      </w:r>
      <w:r w:rsidR="00F32B28" w:rsidRPr="00F32B28">
        <w:rPr>
          <w:rtl/>
        </w:rPr>
        <w:t>الرسمية،</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هؤلاء</w:t>
      </w:r>
      <w:r w:rsidR="00F32B28">
        <w:rPr>
          <w:rtl/>
        </w:rPr>
        <w:t xml:space="preserve"> </w:t>
      </w:r>
      <w:r w:rsidR="00F32B28" w:rsidRPr="00F32B28">
        <w:rPr>
          <w:rtl/>
        </w:rPr>
        <w:t>النساء</w:t>
      </w:r>
      <w:r w:rsidR="00F32B28">
        <w:rPr>
          <w:rtl/>
        </w:rPr>
        <w:t xml:space="preserve"> </w:t>
      </w:r>
      <w:r w:rsidR="00F32B28" w:rsidRPr="00F32B28">
        <w:rPr>
          <w:rtl/>
        </w:rPr>
        <w:t>العاملات</w:t>
      </w:r>
      <w:r w:rsidR="00F32B28">
        <w:rPr>
          <w:rtl/>
        </w:rPr>
        <w:t xml:space="preserve"> </w:t>
      </w:r>
      <w:r w:rsidR="00F32B28" w:rsidRPr="00F32B28">
        <w:rPr>
          <w:rtl/>
        </w:rPr>
        <w:t>هن</w:t>
      </w:r>
      <w:r w:rsidR="00F32B28">
        <w:rPr>
          <w:rtl/>
        </w:rPr>
        <w:t xml:space="preserve"> </w:t>
      </w:r>
      <w:r w:rsidR="00F32B28" w:rsidRPr="00F32B28">
        <w:rPr>
          <w:rtl/>
        </w:rPr>
        <w:t>مستثنيات</w:t>
      </w:r>
      <w:r w:rsidR="00F32B28">
        <w:rPr>
          <w:rtl/>
        </w:rPr>
        <w:t xml:space="preserve"> </w:t>
      </w:r>
      <w:r w:rsidR="00F32B28" w:rsidRPr="00F32B28">
        <w:rPr>
          <w:rtl/>
        </w:rPr>
        <w:t>من</w:t>
      </w:r>
      <w:r w:rsidR="00F32B28">
        <w:rPr>
          <w:rtl/>
        </w:rPr>
        <w:t xml:space="preserve"> </w:t>
      </w:r>
      <w:r w:rsidR="00F32B28" w:rsidRPr="00F32B28">
        <w:rPr>
          <w:rtl/>
        </w:rPr>
        <w:t>أطر</w:t>
      </w:r>
      <w:r w:rsidR="00F32B28">
        <w:rPr>
          <w:rtl/>
        </w:rPr>
        <w:t xml:space="preserve"> </w:t>
      </w:r>
      <w:r w:rsidR="00F32B28" w:rsidRPr="00F32B28">
        <w:rPr>
          <w:rtl/>
        </w:rPr>
        <w:t>الضمانات</w:t>
      </w:r>
      <w:r w:rsidR="00F32B28">
        <w:rPr>
          <w:rtl/>
        </w:rPr>
        <w:t xml:space="preserve"> </w:t>
      </w:r>
      <w:r w:rsidR="00F32B28" w:rsidRPr="00F32B28">
        <w:rPr>
          <w:rtl/>
        </w:rPr>
        <w:t>القانونية</w:t>
      </w:r>
      <w:r w:rsidR="00F32B28">
        <w:rPr>
          <w:rtl/>
        </w:rPr>
        <w:t xml:space="preserve"> </w:t>
      </w:r>
      <w:r w:rsidR="00F32B28" w:rsidRPr="00F32B28">
        <w:rPr>
          <w:rtl/>
        </w:rPr>
        <w:t>التي</w:t>
      </w:r>
      <w:r w:rsidR="00F32B28">
        <w:rPr>
          <w:rtl/>
        </w:rPr>
        <w:t xml:space="preserve"> </w:t>
      </w:r>
      <w:r w:rsidR="00F32B28" w:rsidRPr="00F32B28">
        <w:rPr>
          <w:rtl/>
        </w:rPr>
        <w:t>تحمي</w:t>
      </w:r>
      <w:r w:rsidR="00F32B28">
        <w:rPr>
          <w:rtl/>
        </w:rPr>
        <w:t xml:space="preserve"> </w:t>
      </w:r>
      <w:r w:rsidR="00F32B28" w:rsidRPr="00F32B28">
        <w:rPr>
          <w:rtl/>
        </w:rPr>
        <w:t>حقوقهم</w:t>
      </w:r>
      <w:r w:rsidR="00F32B28">
        <w:rPr>
          <w:rtl/>
        </w:rPr>
        <w:t xml:space="preserve"> </w:t>
      </w:r>
      <w:r w:rsidR="00F32B28" w:rsidRPr="00F32B28">
        <w:rPr>
          <w:rtl/>
        </w:rPr>
        <w:t>الأساسية</w:t>
      </w:r>
      <w:r w:rsidR="00F32B28">
        <w:rPr>
          <w:rtl/>
        </w:rPr>
        <w:t xml:space="preserve"> </w:t>
      </w:r>
      <w:r w:rsidR="00F32B28" w:rsidRPr="00F32B28">
        <w:rPr>
          <w:rtl/>
        </w:rPr>
        <w:t>في</w:t>
      </w:r>
      <w:r w:rsidR="00F32B28">
        <w:rPr>
          <w:rtl/>
        </w:rPr>
        <w:t xml:space="preserve"> </w:t>
      </w:r>
      <w:r w:rsidR="00F32B28" w:rsidRPr="00F32B28">
        <w:rPr>
          <w:rtl/>
        </w:rPr>
        <w:t>العمل،</w:t>
      </w:r>
      <w:r w:rsidR="00F32B28">
        <w:rPr>
          <w:rtl/>
        </w:rPr>
        <w:t xml:space="preserve"> </w:t>
      </w:r>
      <w:r w:rsidR="00F32B28" w:rsidRPr="00F32B28">
        <w:rPr>
          <w:rtl/>
        </w:rPr>
        <w:t>كالحصول</w:t>
      </w:r>
      <w:r w:rsidR="00F32B28">
        <w:rPr>
          <w:rtl/>
        </w:rPr>
        <w:t xml:space="preserve"> </w:t>
      </w:r>
      <w:r w:rsidR="00F32B28" w:rsidRPr="00F32B28">
        <w:rPr>
          <w:rtl/>
        </w:rPr>
        <w:t>على</w:t>
      </w:r>
      <w:r w:rsidR="00F32B28">
        <w:rPr>
          <w:rtl/>
        </w:rPr>
        <w:t xml:space="preserve"> </w:t>
      </w:r>
      <w:r w:rsidR="00F32B28" w:rsidRPr="00F32B28">
        <w:rPr>
          <w:rtl/>
        </w:rPr>
        <w:t>الضمان</w:t>
      </w:r>
      <w:r w:rsidR="00F32B28">
        <w:rPr>
          <w:rtl/>
        </w:rPr>
        <w:t xml:space="preserve"> </w:t>
      </w:r>
      <w:r w:rsidR="00F32B28" w:rsidRPr="00F32B28">
        <w:rPr>
          <w:rtl/>
        </w:rPr>
        <w:t>الاجتماعي.</w:t>
      </w:r>
      <w:r>
        <w:rPr>
          <w:rFonts w:hint="cs"/>
          <w:rtl/>
        </w:rPr>
        <w:t xml:space="preserve"> </w:t>
      </w:r>
      <w:r w:rsidR="00F32B28" w:rsidRPr="00F32B28">
        <w:rPr>
          <w:rtl/>
        </w:rPr>
        <w:t>بالإضافة</w:t>
      </w:r>
      <w:r w:rsidR="00F32B28">
        <w:rPr>
          <w:rtl/>
        </w:rPr>
        <w:t xml:space="preserve"> </w:t>
      </w:r>
      <w:r w:rsidR="00F32B28" w:rsidRPr="00F32B28">
        <w:rPr>
          <w:rtl/>
        </w:rPr>
        <w:t>إلى</w:t>
      </w:r>
      <w:r w:rsidR="00F32B28">
        <w:rPr>
          <w:rtl/>
        </w:rPr>
        <w:t xml:space="preserve"> </w:t>
      </w:r>
      <w:r w:rsidR="00F32B28" w:rsidRPr="00F32B28">
        <w:rPr>
          <w:rtl/>
        </w:rPr>
        <w:t>ذلك،</w:t>
      </w:r>
      <w:r w:rsidR="00F32B28">
        <w:rPr>
          <w:rtl/>
        </w:rPr>
        <w:t xml:space="preserve"> </w:t>
      </w:r>
      <w:r w:rsidR="00F32B28" w:rsidRPr="00F32B28">
        <w:rPr>
          <w:rtl/>
        </w:rPr>
        <w:t>إن</w:t>
      </w:r>
      <w:r w:rsidR="00F32B28">
        <w:rPr>
          <w:rtl/>
        </w:rPr>
        <w:t xml:space="preserve"> </w:t>
      </w:r>
      <w:r w:rsidR="00F32B28" w:rsidRPr="00F32B28">
        <w:rPr>
          <w:rtl/>
        </w:rPr>
        <w:t>نسبة</w:t>
      </w:r>
      <w:r w:rsidR="00F32B28">
        <w:rPr>
          <w:rtl/>
        </w:rPr>
        <w:t xml:space="preserve"> </w:t>
      </w:r>
      <w:r w:rsidR="00F32B28" w:rsidRPr="00F32B28">
        <w:rPr>
          <w:rtl/>
        </w:rPr>
        <w:t>المساهمة</w:t>
      </w:r>
      <w:r w:rsidR="00F32B28">
        <w:rPr>
          <w:rtl/>
        </w:rPr>
        <w:t xml:space="preserve"> </w:t>
      </w:r>
      <w:r w:rsidR="00F32B28" w:rsidRPr="00F32B28">
        <w:rPr>
          <w:rtl/>
        </w:rPr>
        <w:t>الكلية</w:t>
      </w:r>
      <w:r w:rsidR="00F32B28">
        <w:rPr>
          <w:rtl/>
        </w:rPr>
        <w:t xml:space="preserve"> </w:t>
      </w:r>
      <w:r w:rsidR="00F32B28" w:rsidRPr="00F32B28">
        <w:rPr>
          <w:rtl/>
        </w:rPr>
        <w:t>الفعلية</w:t>
      </w:r>
      <w:r w:rsidR="00F32B28">
        <w:rPr>
          <w:rtl/>
        </w:rPr>
        <w:t xml:space="preserve"> </w:t>
      </w:r>
      <w:r w:rsidR="00F32B28" w:rsidRPr="00F32B28">
        <w:rPr>
          <w:rtl/>
        </w:rPr>
        <w:t>للنساء</w:t>
      </w:r>
      <w:r w:rsidR="00F32B28">
        <w:rPr>
          <w:rtl/>
        </w:rPr>
        <w:t xml:space="preserve"> </w:t>
      </w:r>
      <w:r w:rsidR="00F32B28" w:rsidRPr="00F32B28">
        <w:rPr>
          <w:rtl/>
        </w:rPr>
        <w:t>في</w:t>
      </w:r>
      <w:r w:rsidR="00F32B28">
        <w:rPr>
          <w:rtl/>
        </w:rPr>
        <w:t xml:space="preserve"> </w:t>
      </w:r>
      <w:r w:rsidR="00F32B28" w:rsidRPr="00F32B28">
        <w:rPr>
          <w:rtl/>
        </w:rPr>
        <w:t>العمل</w:t>
      </w:r>
      <w:r w:rsidR="00F32B28">
        <w:rPr>
          <w:rtl/>
        </w:rPr>
        <w:t xml:space="preserve"> </w:t>
      </w:r>
      <w:r w:rsidR="00F32B28" w:rsidRPr="00F32B28">
        <w:rPr>
          <w:rtl/>
        </w:rPr>
        <w:t>والاقتصاد</w:t>
      </w:r>
      <w:r w:rsidR="00F32B28">
        <w:rPr>
          <w:rtl/>
        </w:rPr>
        <w:t xml:space="preserve"> </w:t>
      </w:r>
      <w:r w:rsidR="00F32B28" w:rsidRPr="00F32B28">
        <w:rPr>
          <w:rtl/>
        </w:rPr>
        <w:t>منتقصة</w:t>
      </w:r>
      <w:r w:rsidR="00F32B28">
        <w:rPr>
          <w:rtl/>
        </w:rPr>
        <w:t xml:space="preserve"> </w:t>
      </w:r>
      <w:r w:rsidR="00F32B28" w:rsidRPr="00F32B28">
        <w:rPr>
          <w:rtl/>
        </w:rPr>
        <w:t>ومقدرة</w:t>
      </w:r>
      <w:r w:rsidR="00F32B28">
        <w:rPr>
          <w:rtl/>
        </w:rPr>
        <w:t xml:space="preserve"> </w:t>
      </w:r>
      <w:r w:rsidR="00F32B28" w:rsidRPr="00F32B28">
        <w:rPr>
          <w:rtl/>
        </w:rPr>
        <w:t>بأقل</w:t>
      </w:r>
      <w:r w:rsidR="00F32B28">
        <w:rPr>
          <w:rtl/>
        </w:rPr>
        <w:t xml:space="preserve"> </w:t>
      </w:r>
      <w:r w:rsidR="00F32B28" w:rsidRPr="00F32B28">
        <w:rPr>
          <w:rtl/>
        </w:rPr>
        <w:t>من</w:t>
      </w:r>
      <w:r w:rsidR="00F32B28">
        <w:rPr>
          <w:rtl/>
        </w:rPr>
        <w:t xml:space="preserve"> </w:t>
      </w:r>
      <w:r w:rsidR="00F32B28" w:rsidRPr="00F32B28">
        <w:rPr>
          <w:rtl/>
        </w:rPr>
        <w:t>حقيقتها،</w:t>
      </w:r>
      <w:r w:rsidR="00F32B28">
        <w:rPr>
          <w:rtl/>
        </w:rPr>
        <w:t xml:space="preserve"> </w:t>
      </w:r>
      <w:r w:rsidR="00F32B28" w:rsidRPr="00F32B28">
        <w:rPr>
          <w:rtl/>
        </w:rPr>
        <w:t>كون</w:t>
      </w:r>
      <w:r w:rsidR="00F32B28">
        <w:rPr>
          <w:rtl/>
        </w:rPr>
        <w:t xml:space="preserve"> </w:t>
      </w:r>
      <w:r w:rsidR="00F32B28" w:rsidRPr="00F32B28">
        <w:rPr>
          <w:rtl/>
        </w:rPr>
        <w:t>أن</w:t>
      </w:r>
      <w:r w:rsidR="00F32B28">
        <w:rPr>
          <w:rtl/>
        </w:rPr>
        <w:t xml:space="preserve"> </w:t>
      </w:r>
      <w:r w:rsidR="00F32B28" w:rsidRPr="00F32B28">
        <w:rPr>
          <w:rtl/>
        </w:rPr>
        <w:t>الأنشطة</w:t>
      </w:r>
      <w:r w:rsidR="00F32B28">
        <w:rPr>
          <w:rtl/>
        </w:rPr>
        <w:t xml:space="preserve"> </w:t>
      </w:r>
      <w:r w:rsidR="00F32B28" w:rsidRPr="00F32B28">
        <w:rPr>
          <w:rtl/>
        </w:rPr>
        <w:t>المنزلية</w:t>
      </w:r>
      <w:r w:rsidR="00F32B28">
        <w:rPr>
          <w:rtl/>
        </w:rPr>
        <w:t xml:space="preserve"> </w:t>
      </w:r>
      <w:r w:rsidR="00F32B28" w:rsidRPr="00F32B28">
        <w:rPr>
          <w:rtl/>
        </w:rPr>
        <w:t>التي</w:t>
      </w:r>
      <w:r w:rsidR="00F32B28">
        <w:rPr>
          <w:rtl/>
        </w:rPr>
        <w:t xml:space="preserve"> </w:t>
      </w:r>
      <w:r w:rsidR="00F32B28" w:rsidRPr="00F32B28">
        <w:rPr>
          <w:rtl/>
        </w:rPr>
        <w:t>تمارسها</w:t>
      </w:r>
      <w:r w:rsidR="00F32B28">
        <w:rPr>
          <w:rtl/>
        </w:rPr>
        <w:t xml:space="preserve"> </w:t>
      </w:r>
      <w:r w:rsidR="00F32B28" w:rsidRPr="00F32B28">
        <w:rPr>
          <w:rtl/>
        </w:rPr>
        <w:t>النساء</w:t>
      </w:r>
      <w:r w:rsidR="00F32B28">
        <w:rPr>
          <w:rtl/>
        </w:rPr>
        <w:t xml:space="preserve"> </w:t>
      </w:r>
      <w:r w:rsidR="00F32B28" w:rsidRPr="00F32B28">
        <w:rPr>
          <w:rtl/>
        </w:rPr>
        <w:t>دون</w:t>
      </w:r>
      <w:r w:rsidR="00F32B28">
        <w:rPr>
          <w:rtl/>
        </w:rPr>
        <w:t xml:space="preserve"> </w:t>
      </w:r>
      <w:r w:rsidR="00F32B28" w:rsidRPr="00F32B28">
        <w:rPr>
          <w:rtl/>
        </w:rPr>
        <w:t>أجر</w:t>
      </w:r>
      <w:r w:rsidR="00F32B28">
        <w:rPr>
          <w:rtl/>
        </w:rPr>
        <w:t xml:space="preserve"> </w:t>
      </w:r>
      <w:r w:rsidR="00F32B28" w:rsidRPr="00F32B28">
        <w:rPr>
          <w:rtl/>
        </w:rPr>
        <w:t>لا</w:t>
      </w:r>
      <w:r w:rsidR="00F32B28">
        <w:rPr>
          <w:rtl/>
        </w:rPr>
        <w:t xml:space="preserve"> </w:t>
      </w:r>
      <w:r w:rsidR="00F32B28" w:rsidRPr="00F32B28">
        <w:rPr>
          <w:rtl/>
        </w:rPr>
        <w:t>تندرج</w:t>
      </w:r>
      <w:r w:rsidR="00F32B28">
        <w:rPr>
          <w:rtl/>
        </w:rPr>
        <w:t xml:space="preserve"> </w:t>
      </w:r>
      <w:r w:rsidR="00F32B28" w:rsidRPr="00F32B28">
        <w:rPr>
          <w:rtl/>
        </w:rPr>
        <w:t>حسابات</w:t>
      </w:r>
      <w:r>
        <w:rPr>
          <w:rFonts w:hint="cs"/>
          <w:rtl/>
        </w:rPr>
        <w:t xml:space="preserve"> </w:t>
      </w:r>
      <w:r w:rsidR="00F32B28" w:rsidRPr="00F32B28">
        <w:rPr>
          <w:rtl/>
        </w:rPr>
        <w:t>الناتج</w:t>
      </w:r>
      <w:r w:rsidR="00F32B28">
        <w:rPr>
          <w:rtl/>
        </w:rPr>
        <w:t xml:space="preserve"> </w:t>
      </w:r>
      <w:r w:rsidR="00F32B28" w:rsidRPr="00F32B28">
        <w:rPr>
          <w:rtl/>
        </w:rPr>
        <w:t>القومي</w:t>
      </w:r>
      <w:r w:rsidR="00F32B28">
        <w:rPr>
          <w:rtl/>
        </w:rPr>
        <w:t xml:space="preserve"> </w:t>
      </w:r>
      <w:r w:rsidR="00F32B28" w:rsidRPr="00F32B28">
        <w:rPr>
          <w:rtl/>
        </w:rPr>
        <w:t>الإجمالي.</w:t>
      </w:r>
      <w:r w:rsidR="00F32B28">
        <w:rPr>
          <w:rtl/>
        </w:rPr>
        <w:t xml:space="preserve"> </w:t>
      </w:r>
      <w:r w:rsidR="00F32B28" w:rsidRPr="00F32B28">
        <w:rPr>
          <w:rtl/>
        </w:rPr>
        <w:t>وقد</w:t>
      </w:r>
      <w:r w:rsidR="00F32B28">
        <w:rPr>
          <w:rtl/>
        </w:rPr>
        <w:t xml:space="preserve"> </w:t>
      </w:r>
      <w:r w:rsidR="00F32B28" w:rsidRPr="00F32B28">
        <w:rPr>
          <w:rtl/>
        </w:rPr>
        <w:t>بلغت</w:t>
      </w:r>
      <w:r w:rsidR="00F32B28">
        <w:rPr>
          <w:rtl/>
        </w:rPr>
        <w:t xml:space="preserve"> </w:t>
      </w:r>
      <w:r w:rsidR="00F32B28" w:rsidRPr="00F32B28">
        <w:rPr>
          <w:rtl/>
        </w:rPr>
        <w:t>نسبة</w:t>
      </w:r>
      <w:r w:rsidR="00F32B28">
        <w:rPr>
          <w:rtl/>
        </w:rPr>
        <w:t xml:space="preserve"> </w:t>
      </w:r>
      <w:r w:rsidR="00F32B28" w:rsidRPr="00F32B28">
        <w:rPr>
          <w:rtl/>
        </w:rPr>
        <w:t>العاملين</w:t>
      </w:r>
      <w:r w:rsidR="00F32B28">
        <w:rPr>
          <w:rtl/>
        </w:rPr>
        <w:t xml:space="preserve"> </w:t>
      </w:r>
      <w:r w:rsidR="00F32B28" w:rsidRPr="00F32B28">
        <w:rPr>
          <w:rtl/>
          <w:lang w:bidi="ar-SY"/>
        </w:rPr>
        <w:t>في</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المنظم</w:t>
      </w:r>
      <w:r w:rsidR="00F32B28" w:rsidRPr="00F32B28">
        <w:rPr>
          <w:rtl/>
        </w:rPr>
        <w:t>،</w:t>
      </w:r>
      <w:r w:rsidR="00F32B28">
        <w:rPr>
          <w:rtl/>
        </w:rPr>
        <w:t xml:space="preserve"> </w:t>
      </w:r>
      <w:r w:rsidR="00F32B28" w:rsidRPr="00F32B28">
        <w:rPr>
          <w:rtl/>
        </w:rPr>
        <w:t>باستثناء</w:t>
      </w:r>
      <w:r w:rsidR="00F32B28">
        <w:rPr>
          <w:rtl/>
        </w:rPr>
        <w:t xml:space="preserve"> </w:t>
      </w:r>
      <w:r w:rsidR="00F32B28" w:rsidRPr="00F32B28">
        <w:rPr>
          <w:rtl/>
        </w:rPr>
        <w:t>العاملين</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الزراعي،</w:t>
      </w:r>
      <w:r w:rsidR="00F32B28">
        <w:rPr>
          <w:rtl/>
        </w:rPr>
        <w:t xml:space="preserve"> </w:t>
      </w:r>
      <w:r w:rsidR="00F32B28" w:rsidRPr="00F32B28">
        <w:rPr>
          <w:rtl/>
        </w:rPr>
        <w:t>خلال</w:t>
      </w:r>
      <w:r w:rsidR="00F32B28">
        <w:rPr>
          <w:rtl/>
        </w:rPr>
        <w:t xml:space="preserve"> </w:t>
      </w:r>
      <w:r w:rsidR="00F32B28" w:rsidRPr="00F32B28">
        <w:rPr>
          <w:rtl/>
        </w:rPr>
        <w:t>عام</w:t>
      </w:r>
      <w:r w:rsidR="00F32B28">
        <w:rPr>
          <w:rtl/>
        </w:rPr>
        <w:t xml:space="preserve"> </w:t>
      </w:r>
      <w:r w:rsidR="00F32B28" w:rsidRPr="00F32B28">
        <w:rPr>
          <w:rtl/>
        </w:rPr>
        <w:t>2015</w:t>
      </w:r>
      <w:r w:rsidR="00F32B28">
        <w:rPr>
          <w:rtl/>
        </w:rPr>
        <w:t xml:space="preserve"> </w:t>
      </w:r>
      <w:r w:rsidR="00F32B28" w:rsidRPr="00F32B28">
        <w:rPr>
          <w:rtl/>
        </w:rPr>
        <w:t>حوالي</w:t>
      </w:r>
      <w:r w:rsidR="00F32B28">
        <w:rPr>
          <w:rtl/>
        </w:rPr>
        <w:t xml:space="preserve"> </w:t>
      </w:r>
      <w:r w:rsidR="00F32B28" w:rsidRPr="00F32B28">
        <w:rPr>
          <w:rtl/>
        </w:rPr>
        <w:t>14.2</w:t>
      </w:r>
      <w:r w:rsidR="00EE7D94">
        <w:rPr>
          <w:rFonts w:hint="cs"/>
          <w:rtl/>
        </w:rPr>
        <w:t xml:space="preserve"> </w:t>
      </w:r>
      <w:r w:rsidR="00600C43">
        <w:rPr>
          <w:rtl/>
        </w:rPr>
        <w:t>في المائة</w:t>
      </w:r>
      <w:r w:rsidR="00F32B28">
        <w:rPr>
          <w:rtl/>
        </w:rPr>
        <w:t xml:space="preserve"> </w:t>
      </w:r>
      <w:r w:rsidR="00F32B28" w:rsidRPr="00F32B28">
        <w:rPr>
          <w:rtl/>
        </w:rPr>
        <w:t>للإناث</w:t>
      </w:r>
      <w:r w:rsidR="00F32B28">
        <w:rPr>
          <w:rtl/>
        </w:rPr>
        <w:t xml:space="preserve"> </w:t>
      </w:r>
      <w:r w:rsidR="00F32B28" w:rsidRPr="00F32B28">
        <w:rPr>
          <w:rtl/>
        </w:rPr>
        <w:t>مقابل</w:t>
      </w:r>
      <w:r w:rsidR="00F32B28">
        <w:rPr>
          <w:rtl/>
        </w:rPr>
        <w:t xml:space="preserve"> </w:t>
      </w:r>
      <w:r w:rsidR="00F32B28" w:rsidRPr="00F32B28">
        <w:rPr>
          <w:rtl/>
        </w:rPr>
        <w:t>29.3</w:t>
      </w:r>
      <w:r w:rsidR="00851F93">
        <w:rPr>
          <w:rFonts w:hint="cs"/>
          <w:rtl/>
        </w:rPr>
        <w:t xml:space="preserve"> </w:t>
      </w:r>
      <w:r w:rsidR="00600C43">
        <w:rPr>
          <w:rtl/>
        </w:rPr>
        <w:t>في المائة</w:t>
      </w:r>
      <w:r w:rsidR="00F32B28">
        <w:rPr>
          <w:rtl/>
        </w:rPr>
        <w:t xml:space="preserve"> </w:t>
      </w:r>
      <w:r w:rsidR="00F32B28" w:rsidRPr="00F32B28">
        <w:rPr>
          <w:rtl/>
        </w:rPr>
        <w:t>للذكور.</w:t>
      </w:r>
      <w:r w:rsidR="00F32B28">
        <w:rPr>
          <w:rtl/>
        </w:rPr>
        <w:t xml:space="preserve"> </w:t>
      </w:r>
    </w:p>
    <w:p w:rsidR="00377C1A" w:rsidRPr="00377C1A" w:rsidRDefault="00377C1A" w:rsidP="00377C1A">
      <w:pPr>
        <w:pStyle w:val="SingleTxt"/>
        <w:spacing w:after="0" w:line="120" w:lineRule="exact"/>
        <w:rPr>
          <w:b/>
          <w:bCs/>
          <w:sz w:val="10"/>
          <w:rtl/>
        </w:rPr>
      </w:pPr>
    </w:p>
    <w:p w:rsidR="00F32B28" w:rsidRPr="00377C1A" w:rsidRDefault="00F32B28" w:rsidP="00377C1A">
      <w:pPr>
        <w:pStyle w:val="SingleTxt"/>
        <w:rPr>
          <w:b/>
          <w:bCs/>
          <w:rtl/>
        </w:rPr>
      </w:pPr>
      <w:r w:rsidRPr="00377C1A">
        <w:rPr>
          <w:b/>
          <w:bCs/>
          <w:rtl/>
        </w:rPr>
        <w:t xml:space="preserve">التحديات </w:t>
      </w:r>
    </w:p>
    <w:p w:rsidR="00377C1A" w:rsidRDefault="00377C1A" w:rsidP="00377C1A">
      <w:pPr>
        <w:pStyle w:val="SingleTxt"/>
        <w:rPr>
          <w:rtl/>
        </w:rPr>
      </w:pPr>
      <w:r>
        <w:rPr>
          <w:rFonts w:hint="cs"/>
          <w:rtl/>
        </w:rPr>
        <w:t xml:space="preserve">226 - </w:t>
      </w:r>
    </w:p>
    <w:p w:rsidR="00F32B28" w:rsidRPr="00F32B28" w:rsidRDefault="00377C1A" w:rsidP="00377C1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رغم</w:t>
      </w:r>
      <w:r w:rsidR="00F32B28">
        <w:rPr>
          <w:rtl/>
        </w:rPr>
        <w:t xml:space="preserve"> </w:t>
      </w:r>
      <w:r w:rsidR="00F32B28" w:rsidRPr="00F32B28">
        <w:rPr>
          <w:rtl/>
        </w:rPr>
        <w:t>أن</w:t>
      </w:r>
      <w:r w:rsidR="00F32B28">
        <w:rPr>
          <w:rtl/>
        </w:rPr>
        <w:t xml:space="preserve"> </w:t>
      </w:r>
      <w:r w:rsidR="00F32B28" w:rsidRPr="00F32B28">
        <w:rPr>
          <w:rtl/>
        </w:rPr>
        <w:t>هناك</w:t>
      </w:r>
      <w:r w:rsidR="00F32B28">
        <w:rPr>
          <w:rtl/>
        </w:rPr>
        <w:t xml:space="preserve"> </w:t>
      </w:r>
      <w:r w:rsidR="00F32B28" w:rsidRPr="00F32B28">
        <w:rPr>
          <w:rtl/>
        </w:rPr>
        <w:t>جهودا</w:t>
      </w:r>
      <w:r w:rsidR="00F32B28">
        <w:rPr>
          <w:rtl/>
        </w:rPr>
        <w:t xml:space="preserve"> </w:t>
      </w:r>
      <w:r w:rsidR="00F32B28" w:rsidRPr="00F32B28">
        <w:rPr>
          <w:rtl/>
        </w:rPr>
        <w:t>تبلورت</w:t>
      </w:r>
      <w:r w:rsidR="00F32B28">
        <w:rPr>
          <w:rtl/>
        </w:rPr>
        <w:t xml:space="preserve"> </w:t>
      </w:r>
      <w:r w:rsidR="00F32B28" w:rsidRPr="00F32B28">
        <w:rPr>
          <w:rtl/>
        </w:rPr>
        <w:t>عنها</w:t>
      </w:r>
      <w:r w:rsidR="00F32B28">
        <w:rPr>
          <w:rtl/>
        </w:rPr>
        <w:t xml:space="preserve"> </w:t>
      </w:r>
      <w:r w:rsidR="00F32B28" w:rsidRPr="00F32B28">
        <w:rPr>
          <w:rtl/>
        </w:rPr>
        <w:t>مشاريع</w:t>
      </w:r>
      <w:r w:rsidR="00F32B28">
        <w:rPr>
          <w:rtl/>
        </w:rPr>
        <w:t xml:space="preserve"> </w:t>
      </w:r>
      <w:r w:rsidR="00F32B28" w:rsidRPr="00F32B28">
        <w:rPr>
          <w:rtl/>
        </w:rPr>
        <w:t>قوانين</w:t>
      </w:r>
      <w:r w:rsidR="00F32B28">
        <w:rPr>
          <w:rtl/>
        </w:rPr>
        <w:t xml:space="preserve"> </w:t>
      </w:r>
      <w:r w:rsidR="00F32B28" w:rsidRPr="00F32B28">
        <w:rPr>
          <w:rtl/>
        </w:rPr>
        <w:t>كمسودة</w:t>
      </w:r>
      <w:r w:rsidR="00F32B28">
        <w:rPr>
          <w:rtl/>
        </w:rPr>
        <w:t xml:space="preserve"> </w:t>
      </w:r>
      <w:r w:rsidR="00F32B28" w:rsidRPr="00F32B28">
        <w:rPr>
          <w:rtl/>
        </w:rPr>
        <w:t>قانون</w:t>
      </w:r>
      <w:r w:rsidR="00F32B28">
        <w:rPr>
          <w:rtl/>
        </w:rPr>
        <w:t xml:space="preserve"> </w:t>
      </w:r>
      <w:r w:rsidR="00F32B28" w:rsidRPr="00F32B28">
        <w:rPr>
          <w:rtl/>
        </w:rPr>
        <w:t>الشؤون</w:t>
      </w:r>
      <w:r w:rsidR="00F32B28">
        <w:rPr>
          <w:rtl/>
        </w:rPr>
        <w:t xml:space="preserve"> </w:t>
      </w:r>
      <w:r w:rsidR="00F32B28" w:rsidRPr="00F32B28">
        <w:rPr>
          <w:rtl/>
        </w:rPr>
        <w:t>الاجتماعية،</w:t>
      </w:r>
      <w:r w:rsidR="00F32B28">
        <w:rPr>
          <w:rtl/>
        </w:rPr>
        <w:t xml:space="preserve"> </w:t>
      </w:r>
      <w:r w:rsidR="00F32B28" w:rsidRPr="00F32B28">
        <w:rPr>
          <w:rtl/>
        </w:rPr>
        <w:t>والتأمين</w:t>
      </w:r>
      <w:r w:rsidR="00F32B28">
        <w:rPr>
          <w:rtl/>
        </w:rPr>
        <w:t xml:space="preserve"> </w:t>
      </w:r>
      <w:r w:rsidR="00F32B28" w:rsidRPr="00F32B28">
        <w:rPr>
          <w:rtl/>
        </w:rPr>
        <w:t>الصحي،</w:t>
      </w:r>
      <w:r w:rsidR="00F32B28">
        <w:rPr>
          <w:rtl/>
        </w:rPr>
        <w:t xml:space="preserve"> </w:t>
      </w:r>
      <w:r w:rsidR="00F32B28" w:rsidRPr="00F32B28">
        <w:rPr>
          <w:rtl/>
        </w:rPr>
        <w:t>وحماية</w:t>
      </w:r>
      <w:r w:rsidR="00F32B28">
        <w:rPr>
          <w:rtl/>
        </w:rPr>
        <w:t xml:space="preserve"> </w:t>
      </w:r>
      <w:r w:rsidR="00F32B28" w:rsidRPr="00F32B28">
        <w:rPr>
          <w:rtl/>
        </w:rPr>
        <w:t>الأسرة</w:t>
      </w:r>
      <w:r w:rsidR="00F32B28">
        <w:rPr>
          <w:rtl/>
        </w:rPr>
        <w:t xml:space="preserve"> </w:t>
      </w:r>
      <w:r w:rsidR="00F32B28" w:rsidRPr="00F32B28">
        <w:rPr>
          <w:rtl/>
        </w:rPr>
        <w:t>من</w:t>
      </w:r>
      <w:r w:rsidR="00F32B28">
        <w:rPr>
          <w:rtl/>
        </w:rPr>
        <w:t xml:space="preserve"> </w:t>
      </w:r>
      <w:r w:rsidR="00F32B28" w:rsidRPr="00F32B28">
        <w:rPr>
          <w:rtl/>
        </w:rPr>
        <w:t>العنف،</w:t>
      </w:r>
      <w:r w:rsidR="00F32B28">
        <w:rPr>
          <w:rtl/>
        </w:rPr>
        <w:t xml:space="preserve"> </w:t>
      </w:r>
      <w:r w:rsidR="00F32B28" w:rsidRPr="00F32B28">
        <w:rPr>
          <w:rtl/>
        </w:rPr>
        <w:t>بالإضافة</w:t>
      </w:r>
      <w:r w:rsidR="00F32B28">
        <w:rPr>
          <w:rtl/>
        </w:rPr>
        <w:t xml:space="preserve"> </w:t>
      </w:r>
      <w:r w:rsidR="00F32B28" w:rsidRPr="00F32B28">
        <w:rPr>
          <w:rtl/>
        </w:rPr>
        <w:t>لمشاريع</w:t>
      </w:r>
      <w:r w:rsidR="00F32B28">
        <w:rPr>
          <w:rtl/>
        </w:rPr>
        <w:t xml:space="preserve"> </w:t>
      </w:r>
      <w:r w:rsidR="00F32B28" w:rsidRPr="00F32B28">
        <w:rPr>
          <w:rtl/>
        </w:rPr>
        <w:t>قوانين</w:t>
      </w:r>
      <w:r w:rsidR="00F32B28">
        <w:rPr>
          <w:rtl/>
        </w:rPr>
        <w:t xml:space="preserve"> </w:t>
      </w:r>
      <w:r w:rsidR="00F32B28" w:rsidRPr="00F32B28">
        <w:rPr>
          <w:rtl/>
        </w:rPr>
        <w:t>أخرى</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الحديث</w:t>
      </w:r>
      <w:r w:rsidR="00F32B28">
        <w:rPr>
          <w:rtl/>
        </w:rPr>
        <w:t xml:space="preserve"> </w:t>
      </w:r>
      <w:r w:rsidR="00F32B28" w:rsidRPr="00F32B28">
        <w:rPr>
          <w:rtl/>
        </w:rPr>
        <w:t>عن</w:t>
      </w:r>
      <w:r w:rsidR="00F32B28">
        <w:rPr>
          <w:rtl/>
        </w:rPr>
        <w:t xml:space="preserve"> </w:t>
      </w:r>
      <w:r w:rsidR="00F32B28" w:rsidRPr="00F32B28">
        <w:rPr>
          <w:rtl/>
        </w:rPr>
        <w:t>تنمية</w:t>
      </w:r>
      <w:r w:rsidR="00F32B28">
        <w:rPr>
          <w:rtl/>
        </w:rPr>
        <w:t xml:space="preserve"> </w:t>
      </w:r>
      <w:r w:rsidR="00F32B28" w:rsidRPr="00F32B28">
        <w:rPr>
          <w:rtl/>
        </w:rPr>
        <w:t>مجتمعية</w:t>
      </w:r>
      <w:r w:rsidR="00F32B28">
        <w:rPr>
          <w:rtl/>
        </w:rPr>
        <w:t xml:space="preserve"> </w:t>
      </w:r>
      <w:r w:rsidR="00F32B28" w:rsidRPr="00F32B28">
        <w:rPr>
          <w:rtl/>
        </w:rPr>
        <w:t>وحماية</w:t>
      </w:r>
      <w:r w:rsidR="00F32B28">
        <w:rPr>
          <w:rtl/>
        </w:rPr>
        <w:t xml:space="preserve"> </w:t>
      </w:r>
      <w:r w:rsidR="00F32B28" w:rsidRPr="00F32B28">
        <w:rPr>
          <w:rtl/>
        </w:rPr>
        <w:t>اجتماعية</w:t>
      </w:r>
      <w:r w:rsidR="00F32B28">
        <w:rPr>
          <w:rtl/>
        </w:rPr>
        <w:t xml:space="preserve"> </w:t>
      </w:r>
      <w:r w:rsidR="00F32B28" w:rsidRPr="00F32B28">
        <w:rPr>
          <w:rtl/>
        </w:rPr>
        <w:t>هو</w:t>
      </w:r>
      <w:r w:rsidR="00F32B28">
        <w:rPr>
          <w:rtl/>
        </w:rPr>
        <w:t xml:space="preserve"> </w:t>
      </w:r>
      <w:r w:rsidR="00F32B28" w:rsidRPr="00F32B28">
        <w:rPr>
          <w:rtl/>
        </w:rPr>
        <w:t>أمر</w:t>
      </w:r>
      <w:r w:rsidR="00F32B28">
        <w:rPr>
          <w:rtl/>
        </w:rPr>
        <w:t xml:space="preserve"> </w:t>
      </w:r>
      <w:r w:rsidR="00F32B28" w:rsidRPr="00F32B28">
        <w:rPr>
          <w:rtl/>
        </w:rPr>
        <w:t>صعب</w:t>
      </w:r>
      <w:r w:rsidR="00F32B28">
        <w:rPr>
          <w:rtl/>
        </w:rPr>
        <w:t xml:space="preserve"> </w:t>
      </w:r>
      <w:r w:rsidR="00F32B28" w:rsidRPr="00F32B28">
        <w:rPr>
          <w:rtl/>
        </w:rPr>
        <w:t>في</w:t>
      </w:r>
      <w:r w:rsidR="00F32B28">
        <w:rPr>
          <w:rtl/>
        </w:rPr>
        <w:t xml:space="preserve"> </w:t>
      </w:r>
      <w:r w:rsidR="00F32B28" w:rsidRPr="00F32B28">
        <w:rPr>
          <w:rtl/>
        </w:rPr>
        <w:t>ظل</w:t>
      </w:r>
      <w:r w:rsidR="00F32B28">
        <w:rPr>
          <w:rtl/>
        </w:rPr>
        <w:t xml:space="preserve"> </w:t>
      </w:r>
      <w:r w:rsidR="00F32B28" w:rsidRPr="00F32B28">
        <w:rPr>
          <w:rtl/>
        </w:rPr>
        <w:t>تفاقم</w:t>
      </w:r>
      <w:r w:rsidR="00F32B28">
        <w:rPr>
          <w:rtl/>
        </w:rPr>
        <w:t xml:space="preserve"> </w:t>
      </w:r>
      <w:r w:rsidR="00F32B28" w:rsidRPr="00F32B28">
        <w:rPr>
          <w:rtl/>
        </w:rPr>
        <w:t>الأزمة</w:t>
      </w:r>
      <w:r w:rsidR="00F32B28">
        <w:rPr>
          <w:rtl/>
        </w:rPr>
        <w:t xml:space="preserve"> </w:t>
      </w:r>
      <w:r w:rsidR="00F32B28" w:rsidRPr="00F32B28">
        <w:rPr>
          <w:rtl/>
        </w:rPr>
        <w:t>المالية</w:t>
      </w:r>
      <w:r w:rsidR="00F32B28">
        <w:rPr>
          <w:rtl/>
        </w:rPr>
        <w:t xml:space="preserve"> </w:t>
      </w:r>
      <w:r w:rsidR="00F32B28" w:rsidRPr="00F32B28">
        <w:rPr>
          <w:rtl/>
        </w:rPr>
        <w:t>بسبب</w:t>
      </w:r>
      <w:r w:rsidR="00F32B28">
        <w:rPr>
          <w:rtl/>
        </w:rPr>
        <w:t xml:space="preserve"> </w:t>
      </w:r>
      <w:r w:rsidR="00F32B28" w:rsidRPr="00F32B28">
        <w:rPr>
          <w:rtl/>
        </w:rPr>
        <w:t>التراجع</w:t>
      </w:r>
      <w:r w:rsidR="00F32B28">
        <w:rPr>
          <w:rtl/>
        </w:rPr>
        <w:t xml:space="preserve"> </w:t>
      </w:r>
      <w:r w:rsidR="00F32B28" w:rsidRPr="00F32B28">
        <w:rPr>
          <w:rtl/>
        </w:rPr>
        <w:t>الاقتصادي</w:t>
      </w:r>
      <w:r w:rsidR="00F32B28">
        <w:rPr>
          <w:rtl/>
        </w:rPr>
        <w:t xml:space="preserve"> </w:t>
      </w:r>
      <w:r w:rsidR="00F32B28" w:rsidRPr="00F32B28">
        <w:rPr>
          <w:rtl/>
        </w:rPr>
        <w:t>وتراجع</w:t>
      </w:r>
      <w:r w:rsidR="00F32B28">
        <w:rPr>
          <w:rtl/>
        </w:rPr>
        <w:t xml:space="preserve"> </w:t>
      </w:r>
      <w:r w:rsidR="00F32B28" w:rsidRPr="00F32B28">
        <w:rPr>
          <w:rtl/>
        </w:rPr>
        <w:t>معدلات</w:t>
      </w:r>
      <w:r w:rsidR="00F32B28">
        <w:rPr>
          <w:rtl/>
        </w:rPr>
        <w:t xml:space="preserve"> </w:t>
      </w:r>
      <w:r w:rsidR="00F32B28" w:rsidRPr="00F32B28">
        <w:rPr>
          <w:rtl/>
        </w:rPr>
        <w:t>النمو</w:t>
      </w:r>
      <w:r w:rsidR="00F32B28">
        <w:rPr>
          <w:rtl/>
        </w:rPr>
        <w:t xml:space="preserve"> </w:t>
      </w:r>
      <w:r w:rsidR="00F32B28" w:rsidRPr="00F32B28">
        <w:rPr>
          <w:rtl/>
        </w:rPr>
        <w:t>الاقتصادي،</w:t>
      </w:r>
      <w:r w:rsidR="00F32B28">
        <w:rPr>
          <w:rtl/>
        </w:rPr>
        <w:t xml:space="preserve"> </w:t>
      </w:r>
      <w:r w:rsidR="00F32B28" w:rsidRPr="00F32B28">
        <w:rPr>
          <w:rtl/>
        </w:rPr>
        <w:t>وغياب</w:t>
      </w:r>
      <w:r w:rsidR="00F32B28">
        <w:rPr>
          <w:rtl/>
        </w:rPr>
        <w:t xml:space="preserve"> </w:t>
      </w:r>
      <w:r w:rsidR="00F32B28" w:rsidRPr="00F32B28">
        <w:rPr>
          <w:rtl/>
        </w:rPr>
        <w:t>برامج</w:t>
      </w:r>
      <w:r w:rsidR="00F32B28">
        <w:rPr>
          <w:rtl/>
        </w:rPr>
        <w:t xml:space="preserve"> </w:t>
      </w:r>
      <w:r w:rsidR="00F32B28" w:rsidRPr="00F32B28">
        <w:rPr>
          <w:rtl/>
        </w:rPr>
        <w:t>مستمرة</w:t>
      </w:r>
      <w:r w:rsidR="00F32B28">
        <w:rPr>
          <w:rtl/>
        </w:rPr>
        <w:t xml:space="preserve"> </w:t>
      </w:r>
      <w:r w:rsidR="00F32B28" w:rsidRPr="00F32B28">
        <w:rPr>
          <w:rtl/>
        </w:rPr>
        <w:t>ومستدامة،</w:t>
      </w:r>
      <w:r w:rsidR="00F32B28">
        <w:rPr>
          <w:rtl/>
        </w:rPr>
        <w:t xml:space="preserve"> </w:t>
      </w:r>
      <w:r w:rsidR="00F32B28" w:rsidRPr="00F32B28">
        <w:rPr>
          <w:rtl/>
        </w:rPr>
        <w:t>ويزداد</w:t>
      </w:r>
      <w:r w:rsidR="00F32B28">
        <w:rPr>
          <w:rtl/>
        </w:rPr>
        <w:t xml:space="preserve"> </w:t>
      </w:r>
      <w:r w:rsidR="00F32B28" w:rsidRPr="00F32B28">
        <w:rPr>
          <w:rtl/>
        </w:rPr>
        <w:t>صعوبةً</w:t>
      </w:r>
      <w:r w:rsidR="00F32B28">
        <w:rPr>
          <w:rtl/>
        </w:rPr>
        <w:t xml:space="preserve"> </w:t>
      </w:r>
      <w:r w:rsidR="00F32B28" w:rsidRPr="00F32B28">
        <w:rPr>
          <w:rtl/>
        </w:rPr>
        <w:t>عند</w:t>
      </w:r>
      <w:r w:rsidR="00F32B28">
        <w:rPr>
          <w:rtl/>
        </w:rPr>
        <w:t xml:space="preserve"> </w:t>
      </w:r>
      <w:r w:rsidR="00F32B28" w:rsidRPr="00F32B28">
        <w:rPr>
          <w:rtl/>
        </w:rPr>
        <w:t>الحديث</w:t>
      </w:r>
      <w:r w:rsidR="00F32B28">
        <w:rPr>
          <w:rtl/>
        </w:rPr>
        <w:t xml:space="preserve"> </w:t>
      </w:r>
      <w:r w:rsidR="00F32B28" w:rsidRPr="00F32B28">
        <w:rPr>
          <w:rtl/>
        </w:rPr>
        <w:t>عن</w:t>
      </w:r>
      <w:r w:rsidR="00F32B28">
        <w:rPr>
          <w:rtl/>
        </w:rPr>
        <w:t xml:space="preserve"> </w:t>
      </w:r>
      <w:r w:rsidR="00F32B28" w:rsidRPr="00F32B28">
        <w:rPr>
          <w:rtl/>
        </w:rPr>
        <w:t>استمرار</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وسيطرته</w:t>
      </w:r>
      <w:r w:rsidR="00F32B28">
        <w:rPr>
          <w:rtl/>
        </w:rPr>
        <w:t xml:space="preserve"> </w:t>
      </w:r>
      <w:r w:rsidR="00F32B28" w:rsidRPr="00F32B28">
        <w:rPr>
          <w:rtl/>
        </w:rPr>
        <w:t>الفعلية</w:t>
      </w:r>
      <w:r w:rsidR="00F32B28">
        <w:rPr>
          <w:rtl/>
        </w:rPr>
        <w:t xml:space="preserve"> </w:t>
      </w:r>
      <w:r w:rsidR="00F32B28" w:rsidRPr="00F32B28">
        <w:rPr>
          <w:rtl/>
        </w:rPr>
        <w:t>غير</w:t>
      </w:r>
      <w:r w:rsidR="00F32B28">
        <w:rPr>
          <w:rtl/>
        </w:rPr>
        <w:t xml:space="preserve"> </w:t>
      </w:r>
      <w:r w:rsidR="00F32B28" w:rsidRPr="00F32B28">
        <w:rPr>
          <w:rtl/>
        </w:rPr>
        <w:t>القانونية</w:t>
      </w:r>
      <w:r w:rsidR="00F32B28">
        <w:rPr>
          <w:rtl/>
        </w:rPr>
        <w:t xml:space="preserve"> </w:t>
      </w:r>
      <w:r w:rsidR="00F32B28" w:rsidRPr="00F32B28">
        <w:rPr>
          <w:rtl/>
        </w:rPr>
        <w:t>على</w:t>
      </w:r>
      <w:r w:rsidR="00F32B28">
        <w:rPr>
          <w:rtl/>
        </w:rPr>
        <w:t xml:space="preserve"> </w:t>
      </w:r>
      <w:r w:rsidR="00F32B28" w:rsidRPr="00F32B28">
        <w:rPr>
          <w:rtl/>
        </w:rPr>
        <w:t>حياة</w:t>
      </w:r>
      <w:r w:rsidR="00F32B28">
        <w:rPr>
          <w:rtl/>
        </w:rPr>
        <w:t xml:space="preserve"> </w:t>
      </w:r>
      <w:r w:rsidR="00F32B28" w:rsidRPr="00F32B28">
        <w:rPr>
          <w:rtl/>
        </w:rPr>
        <w:t>الفلسطينيين</w:t>
      </w:r>
      <w:r w:rsidR="00F32B28">
        <w:rPr>
          <w:rtl/>
        </w:rPr>
        <w:t xml:space="preserve"> </w:t>
      </w:r>
      <w:r w:rsidR="00F32B28" w:rsidRPr="00F32B28">
        <w:rPr>
          <w:rtl/>
        </w:rPr>
        <w:t>وجميع</w:t>
      </w:r>
      <w:r w:rsidR="00F32B28">
        <w:rPr>
          <w:rtl/>
        </w:rPr>
        <w:t xml:space="preserve"> </w:t>
      </w:r>
      <w:r w:rsidR="00F32B28" w:rsidRPr="00F32B28">
        <w:rPr>
          <w:rtl/>
        </w:rPr>
        <w:t>موارده</w:t>
      </w:r>
      <w:r w:rsidR="00F32B28">
        <w:rPr>
          <w:rtl/>
        </w:rPr>
        <w:t xml:space="preserve"> </w:t>
      </w:r>
      <w:r w:rsidR="00F32B28" w:rsidRPr="00F32B28">
        <w:rPr>
          <w:rtl/>
        </w:rPr>
        <w:t>وقدراته؛</w:t>
      </w:r>
    </w:p>
    <w:p w:rsidR="00F32B28" w:rsidRPr="00F32B28" w:rsidRDefault="00377C1A" w:rsidP="00377C1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ضعف</w:t>
      </w:r>
      <w:r>
        <w:rPr>
          <w:rFonts w:hint="cs"/>
          <w:rtl/>
        </w:rPr>
        <w:t xml:space="preserve"> </w:t>
      </w:r>
      <w:r w:rsidR="00F32B28" w:rsidRPr="00F32B28">
        <w:rPr>
          <w:rtl/>
        </w:rPr>
        <w:t>آليات</w:t>
      </w:r>
      <w:r w:rsidR="00F32B28">
        <w:rPr>
          <w:rtl/>
        </w:rPr>
        <w:t xml:space="preserve"> </w:t>
      </w:r>
      <w:r w:rsidR="00F32B28" w:rsidRPr="00F32B28">
        <w:rPr>
          <w:rtl/>
        </w:rPr>
        <w:t>المتابعة</w:t>
      </w:r>
      <w:r w:rsidR="00F32B28">
        <w:rPr>
          <w:rtl/>
        </w:rPr>
        <w:t xml:space="preserve"> </w:t>
      </w:r>
      <w:r w:rsidR="00F32B28" w:rsidRPr="00F32B28">
        <w:rPr>
          <w:rtl/>
        </w:rPr>
        <w:t>والرقابة</w:t>
      </w:r>
      <w:r w:rsidR="00F32B28">
        <w:rPr>
          <w:rtl/>
        </w:rPr>
        <w:t xml:space="preserve"> </w:t>
      </w:r>
      <w:r w:rsidR="00F32B28" w:rsidRPr="00F32B28">
        <w:rPr>
          <w:rtl/>
        </w:rPr>
        <w:t>على</w:t>
      </w:r>
      <w:r w:rsidR="00F32B28">
        <w:rPr>
          <w:rtl/>
        </w:rPr>
        <w:t xml:space="preserve"> </w:t>
      </w:r>
      <w:r w:rsidR="00F32B28" w:rsidRPr="00F32B28">
        <w:rPr>
          <w:rtl/>
        </w:rPr>
        <w:t>أماكن</w:t>
      </w:r>
      <w:r w:rsidR="00F32B28">
        <w:rPr>
          <w:rtl/>
        </w:rPr>
        <w:t xml:space="preserve"> </w:t>
      </w:r>
      <w:r w:rsidR="00F32B28" w:rsidRPr="00F32B28">
        <w:rPr>
          <w:rtl/>
        </w:rPr>
        <w:t>العمل</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الخاص</w:t>
      </w:r>
      <w:r w:rsidR="00F32B28">
        <w:rPr>
          <w:rtl/>
        </w:rPr>
        <w:t xml:space="preserve"> </w:t>
      </w:r>
      <w:r w:rsidR="00F32B28" w:rsidRPr="00F32B28">
        <w:rPr>
          <w:rtl/>
        </w:rPr>
        <w:t>والأهلي</w:t>
      </w:r>
      <w:r w:rsidR="00F32B28">
        <w:rPr>
          <w:rtl/>
        </w:rPr>
        <w:t xml:space="preserve"> </w:t>
      </w:r>
      <w:r w:rsidR="00F32B28" w:rsidRPr="00F32B28">
        <w:rPr>
          <w:rtl/>
        </w:rPr>
        <w:t>ومدى</w:t>
      </w:r>
      <w:r w:rsidR="00F32B28">
        <w:rPr>
          <w:rtl/>
        </w:rPr>
        <w:t xml:space="preserve"> </w:t>
      </w:r>
      <w:r w:rsidR="00F32B28" w:rsidRPr="00F32B28">
        <w:rPr>
          <w:rtl/>
        </w:rPr>
        <w:t>توائم</w:t>
      </w:r>
      <w:r w:rsidR="00F32B28">
        <w:rPr>
          <w:rtl/>
        </w:rPr>
        <w:t xml:space="preserve"> </w:t>
      </w:r>
      <w:r w:rsidR="00F32B28" w:rsidRPr="00F32B28">
        <w:rPr>
          <w:rtl/>
        </w:rPr>
        <w:t>الظروف</w:t>
      </w:r>
      <w:r w:rsidR="00F32B28">
        <w:rPr>
          <w:rtl/>
        </w:rPr>
        <w:t xml:space="preserve"> </w:t>
      </w:r>
      <w:r w:rsidR="00F32B28" w:rsidRPr="00F32B28">
        <w:rPr>
          <w:rtl/>
        </w:rPr>
        <w:t>الفعلية</w:t>
      </w:r>
      <w:r>
        <w:rPr>
          <w:rFonts w:hint="cs"/>
          <w:rtl/>
        </w:rPr>
        <w:t xml:space="preserve"> </w:t>
      </w:r>
      <w:r w:rsidR="00F32B28" w:rsidRPr="00F32B28">
        <w:rPr>
          <w:rtl/>
        </w:rPr>
        <w:t>للعاملات</w:t>
      </w:r>
      <w:r w:rsidR="00F32B28">
        <w:rPr>
          <w:rtl/>
        </w:rPr>
        <w:t xml:space="preserve"> </w:t>
      </w:r>
      <w:r w:rsidR="00F32B28" w:rsidRPr="00F32B28">
        <w:rPr>
          <w:rtl/>
        </w:rPr>
        <w:t>والعاملين</w:t>
      </w:r>
      <w:r w:rsidR="00F32B28">
        <w:rPr>
          <w:rtl/>
        </w:rPr>
        <w:t xml:space="preserve"> </w:t>
      </w:r>
      <w:r w:rsidR="00F32B28" w:rsidRPr="00F32B28">
        <w:rPr>
          <w:rtl/>
        </w:rPr>
        <w:t>فيها</w:t>
      </w:r>
      <w:r>
        <w:rPr>
          <w:rFonts w:hint="cs"/>
          <w:rtl/>
        </w:rPr>
        <w:t xml:space="preserve"> </w:t>
      </w:r>
      <w:r w:rsidR="00F32B28" w:rsidRPr="00F32B28">
        <w:rPr>
          <w:rtl/>
        </w:rPr>
        <w:t>مع</w:t>
      </w:r>
      <w:r w:rsidR="00F32B28">
        <w:rPr>
          <w:rtl/>
        </w:rPr>
        <w:t xml:space="preserve"> </w:t>
      </w:r>
      <w:r w:rsidR="00F32B28" w:rsidRPr="00F32B28">
        <w:rPr>
          <w:rtl/>
        </w:rPr>
        <w:t>الحقوق</w:t>
      </w:r>
      <w:r w:rsidR="00F32B28">
        <w:rPr>
          <w:rtl/>
        </w:rPr>
        <w:t xml:space="preserve"> </w:t>
      </w:r>
      <w:r w:rsidR="00F32B28" w:rsidRPr="00F32B28">
        <w:rPr>
          <w:rtl/>
        </w:rPr>
        <w:t>الواردة</w:t>
      </w:r>
      <w:r w:rsidR="00F32B28">
        <w:rPr>
          <w:rtl/>
        </w:rPr>
        <w:t xml:space="preserve"> </w:t>
      </w:r>
      <w:r w:rsidR="00F32B28" w:rsidRPr="00F32B28">
        <w:rPr>
          <w:rtl/>
        </w:rPr>
        <w:t>في</w:t>
      </w:r>
      <w:r w:rsidR="00F32B28">
        <w:rPr>
          <w:rtl/>
        </w:rPr>
        <w:t xml:space="preserve"> </w:t>
      </w:r>
      <w:r w:rsidR="00F32B28" w:rsidRPr="00F32B28">
        <w:rPr>
          <w:rtl/>
        </w:rPr>
        <w:t>التشريعات؛</w:t>
      </w:r>
      <w:r w:rsidR="00F32B28">
        <w:rPr>
          <w:rtl/>
        </w:rPr>
        <w:t xml:space="preserve"> </w:t>
      </w:r>
    </w:p>
    <w:p w:rsidR="00F32B28" w:rsidRPr="00F32B28" w:rsidRDefault="00F32B28" w:rsidP="00F32B28">
      <w:pPr>
        <w:pStyle w:val="SingleTxt"/>
        <w:numPr>
          <w:ilvl w:val="0"/>
          <w:numId w:val="32"/>
        </w:numPr>
        <w:rPr>
          <w:rtl/>
        </w:rPr>
      </w:pPr>
      <w:r w:rsidRPr="00F32B28">
        <w:rPr>
          <w:rtl/>
        </w:rPr>
        <w:t>النقص</w:t>
      </w:r>
      <w:r>
        <w:rPr>
          <w:rtl/>
        </w:rPr>
        <w:t xml:space="preserve"> </w:t>
      </w:r>
      <w:r w:rsidRPr="00F32B28">
        <w:rPr>
          <w:rtl/>
        </w:rPr>
        <w:t>الحاد</w:t>
      </w:r>
      <w:r>
        <w:rPr>
          <w:rtl/>
        </w:rPr>
        <w:t xml:space="preserve"> </w:t>
      </w:r>
      <w:r w:rsidRPr="00F32B28">
        <w:rPr>
          <w:rtl/>
        </w:rPr>
        <w:t>في</w:t>
      </w:r>
      <w:r>
        <w:rPr>
          <w:rtl/>
        </w:rPr>
        <w:t xml:space="preserve"> </w:t>
      </w:r>
      <w:r w:rsidRPr="00F32B28">
        <w:rPr>
          <w:rtl/>
        </w:rPr>
        <w:t>طواقم</w:t>
      </w:r>
      <w:r>
        <w:rPr>
          <w:rtl/>
        </w:rPr>
        <w:t xml:space="preserve"> </w:t>
      </w:r>
      <w:r w:rsidRPr="00F32B28">
        <w:rPr>
          <w:rtl/>
        </w:rPr>
        <w:t>مفتشي</w:t>
      </w:r>
      <w:r>
        <w:rPr>
          <w:rtl/>
        </w:rPr>
        <w:t xml:space="preserve"> </w:t>
      </w:r>
      <w:r w:rsidRPr="00F32B28">
        <w:rPr>
          <w:rtl/>
        </w:rPr>
        <w:t>العمل</w:t>
      </w:r>
      <w:r>
        <w:rPr>
          <w:rtl/>
        </w:rPr>
        <w:t xml:space="preserve"> </w:t>
      </w:r>
      <w:r w:rsidRPr="00F32B28">
        <w:rPr>
          <w:rtl/>
        </w:rPr>
        <w:t>لدى</w:t>
      </w:r>
      <w:r>
        <w:rPr>
          <w:rtl/>
        </w:rPr>
        <w:t xml:space="preserve"> </w:t>
      </w:r>
      <w:r w:rsidRPr="00F32B28">
        <w:rPr>
          <w:rtl/>
        </w:rPr>
        <w:t>وزارة</w:t>
      </w:r>
      <w:r>
        <w:rPr>
          <w:rtl/>
        </w:rPr>
        <w:t xml:space="preserve"> </w:t>
      </w:r>
      <w:r w:rsidRPr="00F32B28">
        <w:rPr>
          <w:rtl/>
        </w:rPr>
        <w:t>العمل</w:t>
      </w:r>
      <w:r>
        <w:rPr>
          <w:rtl/>
        </w:rPr>
        <w:t xml:space="preserve"> </w:t>
      </w:r>
      <w:r w:rsidRPr="00F32B28">
        <w:rPr>
          <w:rtl/>
        </w:rPr>
        <w:t>اللازمة</w:t>
      </w:r>
      <w:r>
        <w:rPr>
          <w:rtl/>
        </w:rPr>
        <w:t xml:space="preserve"> </w:t>
      </w:r>
      <w:r w:rsidRPr="00F32B28">
        <w:rPr>
          <w:rtl/>
        </w:rPr>
        <w:t>لتفتيش</w:t>
      </w:r>
      <w:r>
        <w:rPr>
          <w:rtl/>
        </w:rPr>
        <w:t xml:space="preserve"> </w:t>
      </w:r>
      <w:r w:rsidRPr="00F32B28">
        <w:rPr>
          <w:rtl/>
        </w:rPr>
        <w:t>أماكن</w:t>
      </w:r>
      <w:r>
        <w:rPr>
          <w:rtl/>
        </w:rPr>
        <w:t xml:space="preserve"> </w:t>
      </w:r>
      <w:r w:rsidRPr="00F32B28">
        <w:rPr>
          <w:rtl/>
        </w:rPr>
        <w:t>العمل</w:t>
      </w:r>
      <w:r>
        <w:rPr>
          <w:rtl/>
        </w:rPr>
        <w:t xml:space="preserve"> </w:t>
      </w:r>
      <w:r w:rsidRPr="00F32B28">
        <w:rPr>
          <w:rtl/>
        </w:rPr>
        <w:t>المسجلة</w:t>
      </w:r>
      <w:r>
        <w:rPr>
          <w:rtl/>
        </w:rPr>
        <w:t xml:space="preserve"> </w:t>
      </w:r>
      <w:r w:rsidRPr="00F32B28">
        <w:rPr>
          <w:rtl/>
        </w:rPr>
        <w:t>وغير</w:t>
      </w:r>
      <w:r>
        <w:rPr>
          <w:rtl/>
        </w:rPr>
        <w:t xml:space="preserve"> </w:t>
      </w:r>
      <w:r w:rsidRPr="00F32B28">
        <w:rPr>
          <w:rtl/>
        </w:rPr>
        <w:t>المسجلة</w:t>
      </w:r>
      <w:r>
        <w:rPr>
          <w:rtl/>
        </w:rPr>
        <w:t xml:space="preserve"> </w:t>
      </w:r>
      <w:r w:rsidRPr="00F32B28">
        <w:rPr>
          <w:rtl/>
        </w:rPr>
        <w:t>لدى</w:t>
      </w:r>
      <w:r>
        <w:rPr>
          <w:rtl/>
        </w:rPr>
        <w:t xml:space="preserve"> </w:t>
      </w:r>
      <w:r w:rsidRPr="00F32B28">
        <w:rPr>
          <w:rtl/>
        </w:rPr>
        <w:t>الجهات</w:t>
      </w:r>
      <w:r>
        <w:rPr>
          <w:rtl/>
        </w:rPr>
        <w:t xml:space="preserve"> </w:t>
      </w:r>
      <w:r w:rsidRPr="00F32B28">
        <w:rPr>
          <w:rtl/>
        </w:rPr>
        <w:t>المختصة،</w:t>
      </w:r>
      <w:r>
        <w:rPr>
          <w:rtl/>
        </w:rPr>
        <w:t xml:space="preserve"> </w:t>
      </w:r>
      <w:r w:rsidRPr="00F32B28">
        <w:rPr>
          <w:rtl/>
        </w:rPr>
        <w:t>وضعف</w:t>
      </w:r>
      <w:r>
        <w:rPr>
          <w:rtl/>
        </w:rPr>
        <w:t xml:space="preserve"> </w:t>
      </w:r>
      <w:r w:rsidRPr="00F32B28">
        <w:rPr>
          <w:rtl/>
        </w:rPr>
        <w:t>الإمكانيات</w:t>
      </w:r>
      <w:r>
        <w:rPr>
          <w:rtl/>
        </w:rPr>
        <w:t xml:space="preserve"> </w:t>
      </w:r>
      <w:r w:rsidRPr="00F32B28">
        <w:rPr>
          <w:rtl/>
        </w:rPr>
        <w:t>المادية</w:t>
      </w:r>
      <w:r>
        <w:rPr>
          <w:rtl/>
        </w:rPr>
        <w:t xml:space="preserve"> </w:t>
      </w:r>
      <w:r w:rsidRPr="00F32B28">
        <w:rPr>
          <w:rtl/>
        </w:rPr>
        <w:t>والفنية</w:t>
      </w:r>
      <w:r>
        <w:rPr>
          <w:rtl/>
        </w:rPr>
        <w:t xml:space="preserve"> </w:t>
      </w:r>
      <w:r w:rsidRPr="00F32B28">
        <w:rPr>
          <w:rtl/>
        </w:rPr>
        <w:t>والتقنية</w:t>
      </w:r>
      <w:r>
        <w:rPr>
          <w:rtl/>
        </w:rPr>
        <w:t xml:space="preserve"> </w:t>
      </w:r>
      <w:r w:rsidRPr="00F32B28">
        <w:rPr>
          <w:rtl/>
        </w:rPr>
        <w:t>الضرورية</w:t>
      </w:r>
      <w:r>
        <w:rPr>
          <w:rtl/>
        </w:rPr>
        <w:t xml:space="preserve"> </w:t>
      </w:r>
      <w:r w:rsidRPr="00F32B28">
        <w:rPr>
          <w:rtl/>
        </w:rPr>
        <w:t>لذلك.</w:t>
      </w:r>
    </w:p>
    <w:p w:rsidR="00AF1BC1" w:rsidRPr="00AF1BC1" w:rsidRDefault="00AF1BC1" w:rsidP="00AF1BC1">
      <w:pPr>
        <w:pStyle w:val="SingleTxt"/>
        <w:spacing w:after="0" w:line="120" w:lineRule="exact"/>
        <w:rPr>
          <w:b/>
          <w:bCs/>
          <w:sz w:val="10"/>
          <w:rtl/>
        </w:rPr>
      </w:pPr>
    </w:p>
    <w:p w:rsidR="00F32B28" w:rsidRPr="00F32B28" w:rsidRDefault="00F32B28" w:rsidP="00362769">
      <w:pPr>
        <w:pStyle w:val="SingleTxt"/>
      </w:pPr>
      <w:r w:rsidRPr="00F32B28">
        <w:rPr>
          <w:rFonts w:hint="cs"/>
          <w:b/>
          <w:bCs/>
          <w:rtl/>
        </w:rPr>
        <w:t>ظروف</w:t>
      </w:r>
      <w:r>
        <w:rPr>
          <w:rFonts w:hint="cs"/>
          <w:b/>
          <w:bCs/>
          <w:rtl/>
        </w:rPr>
        <w:t xml:space="preserve"> </w:t>
      </w:r>
      <w:r w:rsidRPr="00F32B28">
        <w:rPr>
          <w:rFonts w:hint="cs"/>
          <w:b/>
          <w:bCs/>
          <w:rtl/>
        </w:rPr>
        <w:t>العمل</w:t>
      </w:r>
      <w:r>
        <w:rPr>
          <w:rFonts w:hint="cs"/>
          <w:b/>
          <w:bCs/>
          <w:rtl/>
        </w:rPr>
        <w:t xml:space="preserve"> </w:t>
      </w:r>
      <w:r w:rsidRPr="00F32B28">
        <w:rPr>
          <w:rFonts w:hint="cs"/>
          <w:b/>
          <w:bCs/>
          <w:rtl/>
        </w:rPr>
        <w:t>لدى</w:t>
      </w:r>
      <w:r>
        <w:rPr>
          <w:rFonts w:hint="cs"/>
          <w:b/>
          <w:bCs/>
          <w:rtl/>
        </w:rPr>
        <w:t xml:space="preserve"> </w:t>
      </w:r>
      <w:r w:rsidRPr="00F32B28">
        <w:rPr>
          <w:rFonts w:hint="cs"/>
          <w:b/>
          <w:bCs/>
          <w:rtl/>
        </w:rPr>
        <w:t>مشغلين</w:t>
      </w:r>
      <w:r>
        <w:rPr>
          <w:rFonts w:hint="cs"/>
          <w:b/>
          <w:bCs/>
          <w:rtl/>
        </w:rPr>
        <w:t xml:space="preserve"> </w:t>
      </w:r>
      <w:r w:rsidRPr="00F32B28">
        <w:rPr>
          <w:rFonts w:hint="cs"/>
          <w:b/>
          <w:bCs/>
          <w:rtl/>
        </w:rPr>
        <w:t>إسرائيليين</w:t>
      </w:r>
    </w:p>
    <w:p w:rsidR="00F32B28" w:rsidRPr="00F32B28" w:rsidRDefault="00AF1BC1" w:rsidP="009F4D72">
      <w:pPr>
        <w:pStyle w:val="SingleTxt"/>
        <w:spacing w:line="340" w:lineRule="exact"/>
        <w:ind w:left="1267" w:right="1267"/>
      </w:pPr>
      <w:r>
        <w:rPr>
          <w:rFonts w:hint="cs"/>
          <w:rtl/>
        </w:rPr>
        <w:t xml:space="preserve">227 - </w:t>
      </w:r>
      <w:r w:rsidR="00F32B28" w:rsidRPr="00F32B28">
        <w:rPr>
          <w:rtl/>
        </w:rPr>
        <w:t>مما</w:t>
      </w:r>
      <w:r w:rsidR="00F32B28">
        <w:rPr>
          <w:rtl/>
        </w:rPr>
        <w:t xml:space="preserve"> </w:t>
      </w:r>
      <w:r w:rsidR="00F32B28" w:rsidRPr="00F32B28">
        <w:rPr>
          <w:rtl/>
        </w:rPr>
        <w:t>لا</w:t>
      </w:r>
      <w:r w:rsidR="00F32B28">
        <w:rPr>
          <w:rtl/>
        </w:rPr>
        <w:t xml:space="preserve"> </w:t>
      </w:r>
      <w:r w:rsidR="00F32B28" w:rsidRPr="00F32B28">
        <w:rPr>
          <w:rtl/>
        </w:rPr>
        <w:t>شك</w:t>
      </w:r>
      <w:r w:rsidR="00F32B28">
        <w:rPr>
          <w:rtl/>
        </w:rPr>
        <w:t xml:space="preserve"> </w:t>
      </w:r>
      <w:r w:rsidR="00F32B28" w:rsidRPr="00F32B28">
        <w:rPr>
          <w:rtl/>
        </w:rPr>
        <w:t>فيه</w:t>
      </w:r>
      <w:r w:rsidR="00F32B28">
        <w:rPr>
          <w:rtl/>
        </w:rPr>
        <w:t xml:space="preserve"> </w:t>
      </w:r>
      <w:r w:rsidR="00F32B28" w:rsidRPr="00F32B28">
        <w:rPr>
          <w:rtl/>
        </w:rPr>
        <w:t>أن</w:t>
      </w:r>
      <w:r w:rsidR="00F32B28">
        <w:rPr>
          <w:rtl/>
        </w:rPr>
        <w:t xml:space="preserve"> </w:t>
      </w:r>
      <w:r w:rsidR="00F32B28" w:rsidRPr="00F32B28">
        <w:rPr>
          <w:rtl/>
        </w:rPr>
        <w:t>مجمل</w:t>
      </w:r>
      <w:r w:rsidR="00F32B28">
        <w:rPr>
          <w:rtl/>
        </w:rPr>
        <w:t xml:space="preserve"> </w:t>
      </w:r>
      <w:r w:rsidR="00F32B28" w:rsidRPr="00F32B28">
        <w:rPr>
          <w:rtl/>
        </w:rPr>
        <w:t>السياسات</w:t>
      </w:r>
      <w:r w:rsidR="00F32B28">
        <w:rPr>
          <w:rtl/>
        </w:rPr>
        <w:t xml:space="preserve"> </w:t>
      </w:r>
      <w:r w:rsidR="00F32B28" w:rsidRPr="00F32B28">
        <w:rPr>
          <w:rtl/>
        </w:rPr>
        <w:t>والممارسات</w:t>
      </w:r>
      <w:r w:rsidR="00F32B28">
        <w:rPr>
          <w:rtl/>
        </w:rPr>
        <w:t xml:space="preserve"> </w:t>
      </w:r>
      <w:r w:rsidR="00F32B28" w:rsidRPr="00F32B28">
        <w:rPr>
          <w:rtl/>
        </w:rPr>
        <w:t>الإسرائيلية</w:t>
      </w:r>
      <w:r w:rsidR="00F32B28">
        <w:rPr>
          <w:rtl/>
        </w:rPr>
        <w:t xml:space="preserve"> </w:t>
      </w:r>
      <w:r w:rsidR="00F32B28" w:rsidRPr="00F32B28">
        <w:rPr>
          <w:rtl/>
        </w:rPr>
        <w:t>المخالفة</w:t>
      </w:r>
      <w:r w:rsidR="00F32B28">
        <w:rPr>
          <w:rtl/>
        </w:rPr>
        <w:t xml:space="preserve"> </w:t>
      </w:r>
      <w:r w:rsidR="00F32B28" w:rsidRPr="00F32B28">
        <w:rPr>
          <w:rtl/>
        </w:rPr>
        <w:t>لقواعد</w:t>
      </w:r>
      <w:r w:rsidR="00F32B28">
        <w:rPr>
          <w:rtl/>
        </w:rPr>
        <w:t xml:space="preserve"> </w:t>
      </w:r>
      <w:r w:rsidR="00F32B28" w:rsidRPr="00F32B28">
        <w:rPr>
          <w:rtl/>
        </w:rPr>
        <w:t>القانون</w:t>
      </w:r>
      <w:r w:rsidR="00F32B28">
        <w:rPr>
          <w:rtl/>
        </w:rPr>
        <w:t xml:space="preserve"> </w:t>
      </w:r>
      <w:r w:rsidR="00F32B28" w:rsidRPr="00F32B28">
        <w:rPr>
          <w:rtl/>
        </w:rPr>
        <w:t>الدولي،</w:t>
      </w:r>
      <w:r w:rsidR="00F32B28">
        <w:rPr>
          <w:rtl/>
        </w:rPr>
        <w:t xml:space="preserve"> </w:t>
      </w:r>
      <w:r w:rsidR="00F32B28" w:rsidRPr="00F32B28">
        <w:rPr>
          <w:rtl/>
        </w:rPr>
        <w:t>قد</w:t>
      </w:r>
      <w:r w:rsidR="00F32B28">
        <w:rPr>
          <w:rtl/>
        </w:rPr>
        <w:t xml:space="preserve"> </w:t>
      </w:r>
      <w:r w:rsidR="00F32B28" w:rsidRPr="00F32B28">
        <w:rPr>
          <w:rtl/>
        </w:rPr>
        <w:t>أثرت</w:t>
      </w:r>
      <w:r w:rsidR="00F32B28">
        <w:rPr>
          <w:rtl/>
        </w:rPr>
        <w:t xml:space="preserve"> </w:t>
      </w:r>
      <w:r w:rsidR="00F32B28" w:rsidRPr="00F32B28">
        <w:rPr>
          <w:rtl/>
        </w:rPr>
        <w:t>على</w:t>
      </w:r>
      <w:r w:rsidR="00F32B28">
        <w:rPr>
          <w:rtl/>
        </w:rPr>
        <w:t xml:space="preserve"> </w:t>
      </w:r>
      <w:r w:rsidR="00F32B28" w:rsidRPr="00F32B28">
        <w:rPr>
          <w:rtl/>
        </w:rPr>
        <w:t>الاقتصاد</w:t>
      </w:r>
      <w:r w:rsidR="00F32B28">
        <w:rPr>
          <w:rtl/>
        </w:rPr>
        <w:t xml:space="preserve"> </w:t>
      </w:r>
      <w:r w:rsidR="00F32B28" w:rsidRPr="00F32B28">
        <w:rPr>
          <w:rtl/>
        </w:rPr>
        <w:t>الفلسطيني</w:t>
      </w:r>
      <w:r w:rsidR="00F32B28">
        <w:rPr>
          <w:rtl/>
        </w:rPr>
        <w:t xml:space="preserve"> </w:t>
      </w:r>
      <w:r w:rsidR="00F32B28" w:rsidRPr="00F32B28">
        <w:rPr>
          <w:rtl/>
        </w:rPr>
        <w:t>بصفة</w:t>
      </w:r>
      <w:r w:rsidR="00F32B28">
        <w:rPr>
          <w:rtl/>
        </w:rPr>
        <w:t xml:space="preserve"> </w:t>
      </w:r>
      <w:r w:rsidR="00F32B28" w:rsidRPr="00F32B28">
        <w:rPr>
          <w:rtl/>
        </w:rPr>
        <w:t>عامة</w:t>
      </w:r>
      <w:r w:rsidR="00F32B28">
        <w:rPr>
          <w:rtl/>
        </w:rPr>
        <w:t xml:space="preserve"> </w:t>
      </w:r>
      <w:r w:rsidR="00F32B28" w:rsidRPr="00F32B28">
        <w:rPr>
          <w:rtl/>
        </w:rPr>
        <w:t>وقطاع</w:t>
      </w:r>
      <w:r w:rsidR="00F32B28">
        <w:rPr>
          <w:rtl/>
        </w:rPr>
        <w:t xml:space="preserve"> </w:t>
      </w:r>
      <w:r w:rsidR="00F32B28" w:rsidRPr="00F32B28">
        <w:rPr>
          <w:rtl/>
        </w:rPr>
        <w:t>العمل</w:t>
      </w:r>
      <w:r w:rsidR="00F32B28">
        <w:rPr>
          <w:rtl/>
        </w:rPr>
        <w:t xml:space="preserve"> </w:t>
      </w:r>
      <w:r w:rsidR="00F32B28" w:rsidRPr="00F32B28">
        <w:rPr>
          <w:rtl/>
        </w:rPr>
        <w:t>بصفة</w:t>
      </w:r>
      <w:r w:rsidR="00F32B28">
        <w:rPr>
          <w:rtl/>
        </w:rPr>
        <w:t xml:space="preserve"> </w:t>
      </w:r>
      <w:r w:rsidR="00F32B28" w:rsidRPr="00F32B28">
        <w:rPr>
          <w:rtl/>
        </w:rPr>
        <w:t>خاصة،</w:t>
      </w:r>
      <w:r w:rsidR="00F32B28">
        <w:rPr>
          <w:rtl/>
        </w:rPr>
        <w:t xml:space="preserve"> </w:t>
      </w:r>
      <w:r w:rsidR="00F32B28" w:rsidRPr="00F32B28">
        <w:rPr>
          <w:rtl/>
        </w:rPr>
        <w:t>الأمر</w:t>
      </w:r>
      <w:r w:rsidR="00F32B28">
        <w:rPr>
          <w:rtl/>
        </w:rPr>
        <w:t xml:space="preserve"> </w:t>
      </w:r>
      <w:r w:rsidR="00F32B28" w:rsidRPr="00F32B28">
        <w:rPr>
          <w:rtl/>
        </w:rPr>
        <w:t>الذي</w:t>
      </w:r>
      <w:r w:rsidR="00F32B28">
        <w:rPr>
          <w:rtl/>
        </w:rPr>
        <w:t xml:space="preserve"> </w:t>
      </w:r>
      <w:r w:rsidR="00F32B28" w:rsidRPr="00F32B28">
        <w:rPr>
          <w:rtl/>
        </w:rPr>
        <w:t>أدى</w:t>
      </w:r>
      <w:r w:rsidR="00F32B28">
        <w:rPr>
          <w:rtl/>
        </w:rPr>
        <w:t xml:space="preserve"> </w:t>
      </w:r>
      <w:r w:rsidR="00F32B28" w:rsidRPr="00F32B28">
        <w:rPr>
          <w:rtl/>
        </w:rPr>
        <w:t>إلى</w:t>
      </w:r>
      <w:r w:rsidR="00F32B28">
        <w:rPr>
          <w:rtl/>
        </w:rPr>
        <w:t xml:space="preserve"> </w:t>
      </w:r>
      <w:r w:rsidR="00F32B28" w:rsidRPr="00F32B28">
        <w:rPr>
          <w:rtl/>
        </w:rPr>
        <w:t>تدني</w:t>
      </w:r>
      <w:r w:rsidR="00F32B28">
        <w:rPr>
          <w:rtl/>
        </w:rPr>
        <w:t xml:space="preserve"> </w:t>
      </w:r>
      <w:r w:rsidR="00F32B28" w:rsidRPr="00F32B28">
        <w:rPr>
          <w:rtl/>
        </w:rPr>
        <w:t>المستوى</w:t>
      </w:r>
      <w:r w:rsidR="00F32B28">
        <w:rPr>
          <w:rtl/>
        </w:rPr>
        <w:t xml:space="preserve"> </w:t>
      </w:r>
      <w:r w:rsidR="00F32B28" w:rsidRPr="00F32B28">
        <w:rPr>
          <w:rtl/>
        </w:rPr>
        <w:t>المعيشي</w:t>
      </w:r>
      <w:r w:rsidR="00F32B28">
        <w:rPr>
          <w:rtl/>
        </w:rPr>
        <w:t xml:space="preserve"> </w:t>
      </w:r>
      <w:r w:rsidR="00F32B28" w:rsidRPr="00F32B28">
        <w:rPr>
          <w:rtl/>
        </w:rPr>
        <w:t>للأسر</w:t>
      </w:r>
      <w:r w:rsidR="00F32B28">
        <w:rPr>
          <w:rtl/>
        </w:rPr>
        <w:t xml:space="preserve"> </w:t>
      </w:r>
      <w:r w:rsidR="00F32B28" w:rsidRPr="00F32B28">
        <w:rPr>
          <w:rtl/>
        </w:rPr>
        <w:t>الفلسطينية،</w:t>
      </w:r>
      <w:r w:rsidR="00F32B28">
        <w:rPr>
          <w:rtl/>
        </w:rPr>
        <w:t xml:space="preserve"> </w:t>
      </w:r>
      <w:r w:rsidR="00F32B28" w:rsidRPr="00F32B28">
        <w:rPr>
          <w:rtl/>
        </w:rPr>
        <w:t>وإلى</w:t>
      </w:r>
      <w:r w:rsidR="00F32B28">
        <w:rPr>
          <w:rtl/>
        </w:rPr>
        <w:t xml:space="preserve"> </w:t>
      </w:r>
      <w:r w:rsidR="00F32B28" w:rsidRPr="00F32B28">
        <w:rPr>
          <w:rtl/>
        </w:rPr>
        <w:t>ارتفاع</w:t>
      </w:r>
      <w:r w:rsidR="00F32B28">
        <w:rPr>
          <w:rtl/>
        </w:rPr>
        <w:t xml:space="preserve"> </w:t>
      </w:r>
      <w:r w:rsidR="00F32B28" w:rsidRPr="00F32B28">
        <w:rPr>
          <w:rtl/>
        </w:rPr>
        <w:t>خطير</w:t>
      </w:r>
      <w:r w:rsidR="00F32B28">
        <w:rPr>
          <w:rtl/>
        </w:rPr>
        <w:t xml:space="preserve"> </w:t>
      </w:r>
      <w:r w:rsidR="00F32B28" w:rsidRPr="00F32B28">
        <w:rPr>
          <w:rtl/>
        </w:rPr>
        <w:t>في</w:t>
      </w:r>
      <w:r w:rsidR="00F32B28">
        <w:rPr>
          <w:rtl/>
        </w:rPr>
        <w:t xml:space="preserve"> </w:t>
      </w:r>
      <w:r w:rsidR="00F32B28" w:rsidRPr="00F32B28">
        <w:rPr>
          <w:rtl/>
        </w:rPr>
        <w:t>معدلات</w:t>
      </w:r>
      <w:r w:rsidR="00F32B28">
        <w:rPr>
          <w:rtl/>
        </w:rPr>
        <w:t xml:space="preserve"> </w:t>
      </w:r>
      <w:r w:rsidR="00F32B28" w:rsidRPr="00F32B28">
        <w:rPr>
          <w:rtl/>
        </w:rPr>
        <w:t>البطالة</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المحتلة،</w:t>
      </w:r>
      <w:r w:rsidR="00F32B28">
        <w:rPr>
          <w:rtl/>
        </w:rPr>
        <w:t xml:space="preserve"> </w:t>
      </w:r>
      <w:r w:rsidR="00F32B28" w:rsidRPr="00F32B28">
        <w:rPr>
          <w:rtl/>
        </w:rPr>
        <w:t>ما</w:t>
      </w:r>
      <w:r w:rsidR="00F32B28">
        <w:rPr>
          <w:rtl/>
        </w:rPr>
        <w:t xml:space="preserve"> </w:t>
      </w:r>
      <w:r w:rsidR="00F32B28" w:rsidRPr="00F32B28">
        <w:rPr>
          <w:rFonts w:hint="cs"/>
          <w:rtl/>
        </w:rPr>
        <w:t>أدى</w:t>
      </w:r>
      <w:r>
        <w:rPr>
          <w:rFonts w:hint="cs"/>
          <w:rtl/>
        </w:rPr>
        <w:t xml:space="preserve"> </w:t>
      </w:r>
      <w:r w:rsidR="00F32B28" w:rsidRPr="00F32B28">
        <w:rPr>
          <w:rFonts w:hint="cs"/>
          <w:rtl/>
        </w:rPr>
        <w:t>ببعض</w:t>
      </w:r>
      <w:r w:rsidR="00F32B28">
        <w:rPr>
          <w:rFonts w:hint="cs"/>
          <w:rtl/>
        </w:rPr>
        <w:t xml:space="preserve"> </w:t>
      </w:r>
      <w:r w:rsidR="00F32B28" w:rsidRPr="00F32B28">
        <w:rPr>
          <w:rtl/>
        </w:rPr>
        <w:t>الفلسطينيون</w:t>
      </w:r>
      <w:r w:rsidR="00F32B28">
        <w:rPr>
          <w:rtl/>
        </w:rPr>
        <w:t xml:space="preserve"> </w:t>
      </w:r>
      <w:r w:rsidR="00F32B28" w:rsidRPr="00F32B28">
        <w:rPr>
          <w:rFonts w:hint="cs"/>
          <w:rtl/>
        </w:rPr>
        <w:t>إلى</w:t>
      </w:r>
      <w:r w:rsidR="00F32B28">
        <w:rPr>
          <w:rFonts w:hint="cs"/>
          <w:rtl/>
        </w:rPr>
        <w:t xml:space="preserve"> </w:t>
      </w:r>
      <w:r w:rsidR="00F32B28" w:rsidRPr="00F32B28">
        <w:rPr>
          <w:rFonts w:hint="cs"/>
          <w:rtl/>
        </w:rPr>
        <w:t>ا</w:t>
      </w:r>
      <w:r>
        <w:rPr>
          <w:rFonts w:hint="cs"/>
          <w:rtl/>
        </w:rPr>
        <w:t>لا</w:t>
      </w:r>
      <w:r w:rsidR="00F32B28" w:rsidRPr="00F32B28">
        <w:rPr>
          <w:rFonts w:hint="cs"/>
          <w:rtl/>
        </w:rPr>
        <w:t>ضطرار</w:t>
      </w:r>
      <w:r w:rsidR="00F32B28">
        <w:rPr>
          <w:rFonts w:hint="cs"/>
          <w:rtl/>
        </w:rPr>
        <w:t xml:space="preserve"> </w:t>
      </w:r>
      <w:r w:rsidR="00F32B28" w:rsidRPr="00F32B28">
        <w:rPr>
          <w:rFonts w:hint="cs"/>
          <w:rtl/>
        </w:rPr>
        <w:t>للعمل</w:t>
      </w:r>
      <w:r>
        <w:rPr>
          <w:rFonts w:hint="cs"/>
          <w:rtl/>
        </w:rPr>
        <w:t xml:space="preserve"> </w:t>
      </w:r>
      <w:r w:rsidR="00F32B28" w:rsidRPr="00F32B28">
        <w:rPr>
          <w:rtl/>
        </w:rPr>
        <w:t>في</w:t>
      </w:r>
      <w:r w:rsidR="00F32B28">
        <w:rPr>
          <w:rtl/>
        </w:rPr>
        <w:t xml:space="preserve"> </w:t>
      </w:r>
      <w:r w:rsidR="00F32B28" w:rsidRPr="00F32B28">
        <w:rPr>
          <w:rtl/>
        </w:rPr>
        <w:t>المستوطنات</w:t>
      </w:r>
      <w:r w:rsidR="00F32B28">
        <w:rPr>
          <w:rtl/>
        </w:rPr>
        <w:t xml:space="preserve"> </w:t>
      </w:r>
      <w:r w:rsidR="00F32B28" w:rsidRPr="00F32B28">
        <w:rPr>
          <w:rtl/>
        </w:rPr>
        <w:t>الإسرائيلية</w:t>
      </w:r>
      <w:r w:rsidR="00F32B28">
        <w:rPr>
          <w:rtl/>
        </w:rPr>
        <w:t xml:space="preserve"> </w:t>
      </w:r>
      <w:r w:rsidR="00F32B28" w:rsidRPr="00F32B28">
        <w:rPr>
          <w:rtl/>
        </w:rPr>
        <w:t>غير</w:t>
      </w:r>
      <w:r w:rsidR="00F32B28">
        <w:rPr>
          <w:rtl/>
        </w:rPr>
        <w:t xml:space="preserve"> </w:t>
      </w:r>
      <w:r w:rsidR="00F32B28" w:rsidRPr="00F32B28">
        <w:rPr>
          <w:rFonts w:hint="cs"/>
          <w:rtl/>
        </w:rPr>
        <w:t>القانونية</w:t>
      </w:r>
      <w:r w:rsidR="00F32B28">
        <w:rPr>
          <w:rtl/>
        </w:rPr>
        <w:t xml:space="preserve"> </w:t>
      </w:r>
      <w:r w:rsidR="00F32B28" w:rsidRPr="00F32B28">
        <w:rPr>
          <w:rtl/>
        </w:rPr>
        <w:t>في</w:t>
      </w:r>
      <w:r w:rsidR="00F32B28">
        <w:rPr>
          <w:rtl/>
        </w:rPr>
        <w:t xml:space="preserve"> </w:t>
      </w:r>
      <w:r w:rsidR="00F32B28" w:rsidRPr="00F32B28">
        <w:rPr>
          <w:rtl/>
        </w:rPr>
        <w:t>ظروف</w:t>
      </w:r>
      <w:r w:rsidR="00F32B28">
        <w:rPr>
          <w:rtl/>
        </w:rPr>
        <w:t xml:space="preserve"> </w:t>
      </w:r>
      <w:r w:rsidR="00F32B28" w:rsidRPr="00F32B28">
        <w:rPr>
          <w:rtl/>
        </w:rPr>
        <w:t>سيئة</w:t>
      </w:r>
      <w:r w:rsidR="00F32B28">
        <w:rPr>
          <w:rtl/>
        </w:rPr>
        <w:t xml:space="preserve"> </w:t>
      </w:r>
      <w:r w:rsidR="00F32B28" w:rsidRPr="00F32B28">
        <w:rPr>
          <w:rtl/>
        </w:rPr>
        <w:t>وأجور</w:t>
      </w:r>
      <w:r w:rsidR="00F32B28">
        <w:rPr>
          <w:rtl/>
        </w:rPr>
        <w:t xml:space="preserve"> </w:t>
      </w:r>
      <w:r w:rsidR="00F32B28" w:rsidRPr="00F32B28">
        <w:rPr>
          <w:rtl/>
        </w:rPr>
        <w:t>متدنية.</w:t>
      </w:r>
      <w:r w:rsidR="00F32B28">
        <w:rPr>
          <w:rtl/>
        </w:rPr>
        <w:t xml:space="preserve"> </w:t>
      </w:r>
      <w:r w:rsidR="00F32B28" w:rsidRPr="00F32B28">
        <w:rPr>
          <w:rtl/>
        </w:rPr>
        <w:t>وقد</w:t>
      </w:r>
      <w:r w:rsidR="00F32B28">
        <w:rPr>
          <w:rtl/>
        </w:rPr>
        <w:t xml:space="preserve"> </w:t>
      </w:r>
      <w:r w:rsidR="00F32B28" w:rsidRPr="00F32B28">
        <w:rPr>
          <w:rtl/>
        </w:rPr>
        <w:t>بلغ</w:t>
      </w:r>
      <w:r w:rsidR="00F32B28">
        <w:rPr>
          <w:rtl/>
        </w:rPr>
        <w:t xml:space="preserve"> </w:t>
      </w:r>
      <w:r w:rsidR="00F32B28" w:rsidRPr="00F32B28">
        <w:rPr>
          <w:rtl/>
        </w:rPr>
        <w:t>عدد</w:t>
      </w:r>
      <w:r w:rsidR="00F32B28">
        <w:rPr>
          <w:rtl/>
        </w:rPr>
        <w:t xml:space="preserve"> </w:t>
      </w:r>
      <w:r w:rsidR="00F32B28" w:rsidRPr="00F32B28">
        <w:rPr>
          <w:rtl/>
        </w:rPr>
        <w:t>العاملين</w:t>
      </w:r>
      <w:r w:rsidR="00F32B28">
        <w:rPr>
          <w:rtl/>
        </w:rPr>
        <w:t xml:space="preserve"> </w:t>
      </w:r>
      <w:r w:rsidR="00F32B28" w:rsidRPr="00F32B28">
        <w:rPr>
          <w:rtl/>
          <w:lang w:bidi="ar-SY"/>
        </w:rPr>
        <w:t>والعاملات</w:t>
      </w:r>
      <w:r w:rsidR="00F32B28">
        <w:rPr>
          <w:rtl/>
          <w:lang w:bidi="ar-SY"/>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المستوطنات</w:t>
      </w:r>
      <w:r w:rsidR="00F32B28" w:rsidRPr="00F32B28">
        <w:rPr>
          <w:rtl/>
          <w:lang w:bidi="ar-SY"/>
        </w:rPr>
        <w:t>الإسرائيلية</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w:t>
      </w:r>
      <w:r w:rsidR="00F32B28" w:rsidRPr="00F32B28">
        <w:rPr>
          <w:rFonts w:hint="cs"/>
          <w:rtl/>
          <w:lang w:bidi="ar-SY"/>
        </w:rPr>
        <w:t>قانونية</w:t>
      </w:r>
      <w:r w:rsidR="00F32B28">
        <w:rPr>
          <w:rtl/>
        </w:rPr>
        <w:t xml:space="preserve"> </w:t>
      </w:r>
      <w:r w:rsidR="00F32B28" w:rsidRPr="00F32B28">
        <w:rPr>
          <w:rtl/>
        </w:rPr>
        <w:t>حوالي</w:t>
      </w:r>
      <w:r w:rsidR="00F32B28">
        <w:rPr>
          <w:rtl/>
          <w:lang w:bidi="ar-SY"/>
        </w:rPr>
        <w:t xml:space="preserve"> </w:t>
      </w:r>
      <w:r w:rsidR="00F32B28" w:rsidRPr="00F32B28">
        <w:rPr>
          <w:rtl/>
          <w:lang w:bidi="ar-SY"/>
        </w:rPr>
        <w:t>(</w:t>
      </w:r>
      <w:r>
        <w:rPr>
          <w:rFonts w:hint="cs"/>
          <w:rtl/>
        </w:rPr>
        <w:t>300 26</w:t>
      </w:r>
      <w:r w:rsidR="00F32B28" w:rsidRPr="00F32B28">
        <w:rPr>
          <w:rtl/>
        </w:rPr>
        <w:t>)</w:t>
      </w:r>
      <w:r w:rsidR="00F32B28">
        <w:rPr>
          <w:rtl/>
        </w:rPr>
        <w:t xml:space="preserve"> </w:t>
      </w:r>
      <w:r w:rsidR="00F32B28" w:rsidRPr="00F32B28">
        <w:rPr>
          <w:rtl/>
        </w:rPr>
        <w:t>عامل</w:t>
      </w:r>
      <w:r w:rsidR="00F32B28">
        <w:rPr>
          <w:rtl/>
        </w:rPr>
        <w:t xml:space="preserve"> </w:t>
      </w:r>
      <w:r w:rsidR="00F32B28" w:rsidRPr="00F32B28">
        <w:rPr>
          <w:rtl/>
        </w:rPr>
        <w:t>وعاملة</w:t>
      </w:r>
      <w:r w:rsidR="00F32B28">
        <w:rPr>
          <w:rtl/>
        </w:rPr>
        <w:t xml:space="preserve"> </w:t>
      </w:r>
      <w:r w:rsidR="00F32B28" w:rsidRPr="00F32B28">
        <w:rPr>
          <w:rtl/>
        </w:rPr>
        <w:t>للعام</w:t>
      </w:r>
      <w:r w:rsidR="00F32B28">
        <w:rPr>
          <w:rtl/>
        </w:rPr>
        <w:t xml:space="preserve"> </w:t>
      </w:r>
      <w:r w:rsidR="00F32B28" w:rsidRPr="00F32B28">
        <w:rPr>
          <w:rtl/>
        </w:rPr>
        <w:t>2015؛</w:t>
      </w:r>
      <w:r w:rsidR="00F32B28">
        <w:rPr>
          <w:rtl/>
        </w:rPr>
        <w:t xml:space="preserve"> </w:t>
      </w:r>
      <w:r w:rsidR="00F32B28" w:rsidRPr="00F32B28">
        <w:rPr>
          <w:rtl/>
        </w:rPr>
        <w:t>موزعين</w:t>
      </w:r>
      <w:r w:rsidR="00F32B28">
        <w:rPr>
          <w:rtl/>
        </w:rPr>
        <w:t xml:space="preserve"> </w:t>
      </w:r>
      <w:r w:rsidR="00F32B28" w:rsidRPr="00F32B28">
        <w:rPr>
          <w:rtl/>
        </w:rPr>
        <w:t>على</w:t>
      </w:r>
      <w:r w:rsidR="00F32B28">
        <w:rPr>
          <w:rtl/>
        </w:rPr>
        <w:t xml:space="preserve"> </w:t>
      </w:r>
      <w:r w:rsidR="00F32B28" w:rsidRPr="00F32B28">
        <w:rPr>
          <w:rtl/>
        </w:rPr>
        <w:t>قطاعات</w:t>
      </w:r>
      <w:r w:rsidR="00F32B28">
        <w:rPr>
          <w:rtl/>
        </w:rPr>
        <w:t xml:space="preserve"> </w:t>
      </w:r>
      <w:r w:rsidR="00F32B28" w:rsidRPr="00F32B28">
        <w:rPr>
          <w:rtl/>
        </w:rPr>
        <w:t>الإنشاءات</w:t>
      </w:r>
      <w:r w:rsidR="00F32B28">
        <w:rPr>
          <w:rtl/>
        </w:rPr>
        <w:t xml:space="preserve"> </w:t>
      </w:r>
      <w:r w:rsidR="00F32B28" w:rsidRPr="00F32B28">
        <w:rPr>
          <w:rtl/>
        </w:rPr>
        <w:t>والبناء</w:t>
      </w:r>
      <w:r w:rsidR="00F32B28">
        <w:rPr>
          <w:rtl/>
        </w:rPr>
        <w:t xml:space="preserve"> </w:t>
      </w:r>
      <w:r w:rsidR="00F32B28" w:rsidRPr="00F32B28">
        <w:rPr>
          <w:rtl/>
        </w:rPr>
        <w:t>والصناعة</w:t>
      </w:r>
      <w:r w:rsidR="00F32B28">
        <w:rPr>
          <w:rtl/>
        </w:rPr>
        <w:t xml:space="preserve"> </w:t>
      </w:r>
      <w:r w:rsidR="00F32B28" w:rsidRPr="00F32B28">
        <w:rPr>
          <w:rtl/>
        </w:rPr>
        <w:t>والزراعة</w:t>
      </w:r>
      <w:r w:rsidR="00F32B28">
        <w:rPr>
          <w:rtl/>
        </w:rPr>
        <w:t xml:space="preserve"> </w:t>
      </w:r>
      <w:r w:rsidR="00F32B28" w:rsidRPr="00F32B28">
        <w:rPr>
          <w:rtl/>
        </w:rPr>
        <w:t>والخدمات</w:t>
      </w:r>
      <w:r w:rsidR="00F32B28">
        <w:rPr>
          <w:rtl/>
        </w:rPr>
        <w:t xml:space="preserve"> </w:t>
      </w:r>
      <w:r w:rsidR="00F32B28" w:rsidRPr="00F32B28">
        <w:rPr>
          <w:rtl/>
        </w:rPr>
        <w:t>والتعدين</w:t>
      </w:r>
      <w:r w:rsidR="00F32B28">
        <w:rPr>
          <w:rtl/>
        </w:rPr>
        <w:t xml:space="preserve"> </w:t>
      </w:r>
      <w:r w:rsidR="00F32B28" w:rsidRPr="00F32B28">
        <w:rPr>
          <w:rtl/>
        </w:rPr>
        <w:t>والفندقة،</w:t>
      </w:r>
      <w:r w:rsidR="00F32B28">
        <w:rPr>
          <w:rtl/>
        </w:rPr>
        <w:t xml:space="preserve"> </w:t>
      </w:r>
      <w:r w:rsidR="00F32B28" w:rsidRPr="00F32B28">
        <w:rPr>
          <w:rtl/>
        </w:rPr>
        <w:t>وذلك</w:t>
      </w:r>
      <w:r w:rsidR="00F32B28">
        <w:rPr>
          <w:rtl/>
        </w:rPr>
        <w:t xml:space="preserve"> </w:t>
      </w:r>
      <w:r w:rsidR="00F32B28" w:rsidRPr="00F32B28">
        <w:rPr>
          <w:rtl/>
        </w:rPr>
        <w:t>بحسب</w:t>
      </w:r>
      <w:r w:rsidR="00F32B28">
        <w:rPr>
          <w:rtl/>
        </w:rPr>
        <w:t xml:space="preserve"> </w:t>
      </w:r>
      <w:r w:rsidR="00F32B28" w:rsidRPr="00F32B28">
        <w:rPr>
          <w:rtl/>
        </w:rPr>
        <w:t>إحصائيات</w:t>
      </w:r>
      <w:r w:rsidR="00F32B28">
        <w:rPr>
          <w:rtl/>
        </w:rPr>
        <w:t xml:space="preserve"> </w:t>
      </w:r>
      <w:r w:rsidR="00F32B28" w:rsidRPr="00F32B28">
        <w:rPr>
          <w:rtl/>
        </w:rPr>
        <w:t>مسح</w:t>
      </w:r>
      <w:r w:rsidR="00F32B28">
        <w:rPr>
          <w:rtl/>
        </w:rPr>
        <w:t xml:space="preserve"> </w:t>
      </w:r>
      <w:r w:rsidR="00F32B28" w:rsidRPr="00F32B28">
        <w:rPr>
          <w:rtl/>
        </w:rPr>
        <w:t>القوى</w:t>
      </w:r>
      <w:r w:rsidR="00F32B28">
        <w:rPr>
          <w:rtl/>
        </w:rPr>
        <w:t xml:space="preserve"> </w:t>
      </w:r>
      <w:r w:rsidR="00F32B28" w:rsidRPr="00F32B28">
        <w:rPr>
          <w:rtl/>
        </w:rPr>
        <w:t>العاملة</w:t>
      </w:r>
      <w:r w:rsidR="00F32B28">
        <w:rPr>
          <w:rtl/>
        </w:rPr>
        <w:t xml:space="preserve"> </w:t>
      </w:r>
      <w:r w:rsidR="00F32B28" w:rsidRPr="00F32B28">
        <w:rPr>
          <w:rtl/>
        </w:rPr>
        <w:t>للجهاز</w:t>
      </w:r>
      <w:r w:rsidR="00F32B28">
        <w:rPr>
          <w:rtl/>
        </w:rPr>
        <w:t xml:space="preserve"> </w:t>
      </w:r>
      <w:r w:rsidR="00F32B28" w:rsidRPr="00F32B28">
        <w:rPr>
          <w:rtl/>
        </w:rPr>
        <w:t>المركزي</w:t>
      </w:r>
      <w:r w:rsidR="00F32B28">
        <w:rPr>
          <w:rtl/>
        </w:rPr>
        <w:t xml:space="preserve"> </w:t>
      </w:r>
      <w:r w:rsidR="00F32B28" w:rsidRPr="00F32B28">
        <w:rPr>
          <w:rtl/>
        </w:rPr>
        <w:t>للإحصاء</w:t>
      </w:r>
      <w:r w:rsidR="00F32B28">
        <w:rPr>
          <w:rtl/>
        </w:rPr>
        <w:t xml:space="preserve"> </w:t>
      </w:r>
      <w:r w:rsidR="00F32B28" w:rsidRPr="00F32B28">
        <w:rPr>
          <w:rtl/>
        </w:rPr>
        <w:t>الفلسطيني</w:t>
      </w:r>
      <w:r w:rsidR="00F32B28">
        <w:rPr>
          <w:rtl/>
        </w:rPr>
        <w:t xml:space="preserve"> </w:t>
      </w:r>
      <w:r w:rsidR="00F32B28" w:rsidRPr="00F32B28">
        <w:rPr>
          <w:rtl/>
        </w:rPr>
        <w:t>للعام</w:t>
      </w:r>
      <w:r w:rsidR="00F32B28">
        <w:rPr>
          <w:rtl/>
        </w:rPr>
        <w:t xml:space="preserve"> </w:t>
      </w:r>
      <w:r w:rsidR="00F32B28" w:rsidRPr="00F32B28">
        <w:rPr>
          <w:rtl/>
        </w:rPr>
        <w:t>2015.</w:t>
      </w:r>
      <w:r w:rsidR="00F32B28">
        <w:rPr>
          <w:rtl/>
        </w:rPr>
        <w:t xml:space="preserve"> </w:t>
      </w:r>
    </w:p>
    <w:p w:rsidR="00F32B28" w:rsidRPr="00F32B28" w:rsidRDefault="00AF1BC1" w:rsidP="00AF1BC1">
      <w:pPr>
        <w:pStyle w:val="SingleTxt"/>
        <w:rPr>
          <w:rtl/>
        </w:rPr>
      </w:pPr>
      <w:r>
        <w:rPr>
          <w:rFonts w:hint="cs"/>
          <w:rtl/>
        </w:rPr>
        <w:lastRenderedPageBreak/>
        <w:t xml:space="preserve">228 - </w:t>
      </w:r>
      <w:r w:rsidR="00F32B28" w:rsidRPr="00F32B28">
        <w:rPr>
          <w:rtl/>
        </w:rPr>
        <w:t>وتشير</w:t>
      </w:r>
      <w:r w:rsidR="00F32B28">
        <w:rPr>
          <w:rtl/>
        </w:rPr>
        <w:t xml:space="preserve"> </w:t>
      </w:r>
      <w:r w:rsidR="00F32B28" w:rsidRPr="00F32B28">
        <w:rPr>
          <w:rtl/>
        </w:rPr>
        <w:t>الدراسات</w:t>
      </w:r>
      <w:r w:rsidR="00F32B28">
        <w:rPr>
          <w:rtl/>
        </w:rPr>
        <w:t xml:space="preserve"> </w:t>
      </w:r>
      <w:r w:rsidR="00F32B28" w:rsidRPr="00F32B28">
        <w:rPr>
          <w:rtl/>
        </w:rPr>
        <w:t>إلى</w:t>
      </w:r>
      <w:r w:rsidR="00F32B28">
        <w:rPr>
          <w:rtl/>
        </w:rPr>
        <w:t xml:space="preserve"> </w:t>
      </w:r>
      <w:r w:rsidR="00F32B28" w:rsidRPr="00F32B28">
        <w:rPr>
          <w:rtl/>
        </w:rPr>
        <w:t>ظروف</w:t>
      </w:r>
      <w:r w:rsidR="00F32B28">
        <w:rPr>
          <w:rtl/>
        </w:rPr>
        <w:t xml:space="preserve"> </w:t>
      </w:r>
      <w:r w:rsidR="00F32B28" w:rsidRPr="00F32B28">
        <w:rPr>
          <w:rtl/>
        </w:rPr>
        <w:t>العمل</w:t>
      </w:r>
      <w:r w:rsidR="00F32B28">
        <w:rPr>
          <w:rtl/>
        </w:rPr>
        <w:t xml:space="preserve"> </w:t>
      </w:r>
      <w:r w:rsidR="00F32B28" w:rsidRPr="00F32B28">
        <w:rPr>
          <w:rtl/>
        </w:rPr>
        <w:t>القهرية</w:t>
      </w:r>
      <w:r w:rsidR="00F32B28">
        <w:rPr>
          <w:rtl/>
        </w:rPr>
        <w:t xml:space="preserve"> </w:t>
      </w:r>
      <w:r w:rsidR="00F32B28" w:rsidRPr="00F32B28">
        <w:rPr>
          <w:rtl/>
        </w:rPr>
        <w:t>والتمييزية</w:t>
      </w:r>
      <w:r w:rsidR="00F32B28">
        <w:rPr>
          <w:rtl/>
        </w:rPr>
        <w:t xml:space="preserve"> </w:t>
      </w:r>
      <w:r w:rsidR="00F32B28" w:rsidRPr="00F32B28">
        <w:rPr>
          <w:rtl/>
        </w:rPr>
        <w:t>ضد</w:t>
      </w:r>
      <w:r w:rsidR="00F32B28">
        <w:rPr>
          <w:rtl/>
        </w:rPr>
        <w:t xml:space="preserve"> </w:t>
      </w:r>
      <w:r w:rsidR="00F32B28" w:rsidRPr="00F32B28">
        <w:rPr>
          <w:rtl/>
        </w:rPr>
        <w:t>الفلسطينيين</w:t>
      </w:r>
      <w:r w:rsidR="00F32B28">
        <w:rPr>
          <w:rtl/>
        </w:rPr>
        <w:t xml:space="preserve"> </w:t>
      </w:r>
      <w:r w:rsidR="00F32B28" w:rsidRPr="00F32B28">
        <w:rPr>
          <w:rtl/>
        </w:rPr>
        <w:t>التي</w:t>
      </w:r>
      <w:r w:rsidR="00F32B28">
        <w:rPr>
          <w:rtl/>
        </w:rPr>
        <w:t xml:space="preserve"> </w:t>
      </w:r>
      <w:r w:rsidR="00F32B28" w:rsidRPr="00F32B28">
        <w:rPr>
          <w:rtl/>
        </w:rPr>
        <w:t>يواجهونها</w:t>
      </w:r>
      <w:r w:rsidR="00F32B28">
        <w:rPr>
          <w:rtl/>
        </w:rPr>
        <w:t xml:space="preserve"> </w:t>
      </w:r>
      <w:r w:rsidR="00F32B28" w:rsidRPr="00F32B28">
        <w:rPr>
          <w:rtl/>
        </w:rPr>
        <w:t>أثناء</w:t>
      </w:r>
      <w:r w:rsidR="00F32B28">
        <w:rPr>
          <w:rtl/>
        </w:rPr>
        <w:t xml:space="preserve"> </w:t>
      </w:r>
      <w:r w:rsidR="00F32B28" w:rsidRPr="00F32B28">
        <w:rPr>
          <w:rtl/>
        </w:rPr>
        <w:t>عملهم</w:t>
      </w:r>
      <w:r w:rsidR="00F32B28">
        <w:rPr>
          <w:rtl/>
        </w:rPr>
        <w:t xml:space="preserve"> </w:t>
      </w:r>
      <w:r w:rsidR="00F32B28" w:rsidRPr="00F32B28">
        <w:rPr>
          <w:rtl/>
        </w:rPr>
        <w:t>في</w:t>
      </w:r>
      <w:r w:rsidR="00F32B28">
        <w:rPr>
          <w:rtl/>
        </w:rPr>
        <w:t xml:space="preserve"> </w:t>
      </w:r>
      <w:r w:rsidR="00F32B28" w:rsidRPr="00F32B28">
        <w:rPr>
          <w:rtl/>
        </w:rPr>
        <w:t>المستوطنات،</w:t>
      </w:r>
      <w:r w:rsidR="00F32B28">
        <w:rPr>
          <w:rtl/>
        </w:rPr>
        <w:t xml:space="preserve"> </w:t>
      </w:r>
      <w:r w:rsidR="00F32B28" w:rsidRPr="00F32B28">
        <w:rPr>
          <w:rtl/>
        </w:rPr>
        <w:t>واستغلال</w:t>
      </w:r>
      <w:r w:rsidR="00F32B28">
        <w:rPr>
          <w:rtl/>
        </w:rPr>
        <w:t xml:space="preserve"> </w:t>
      </w:r>
      <w:r w:rsidR="00F32B28" w:rsidRPr="00F32B28">
        <w:rPr>
          <w:rtl/>
        </w:rPr>
        <w:t>الأطفال</w:t>
      </w:r>
      <w:r w:rsidR="00F32B28">
        <w:rPr>
          <w:rtl/>
        </w:rPr>
        <w:t xml:space="preserve"> </w:t>
      </w:r>
      <w:r w:rsidR="00F32B28" w:rsidRPr="00F32B28">
        <w:rPr>
          <w:rtl/>
        </w:rPr>
        <w:t>الفلسطينيين</w:t>
      </w:r>
      <w:r w:rsidR="00F32B28">
        <w:rPr>
          <w:rFonts w:hint="cs"/>
          <w:rtl/>
        </w:rPr>
        <w:t xml:space="preserve"> </w:t>
      </w:r>
      <w:r w:rsidR="00F32B28" w:rsidRPr="00F32B28">
        <w:rPr>
          <w:rtl/>
        </w:rPr>
        <w:t>للعمل</w:t>
      </w:r>
      <w:r w:rsidR="00F32B28">
        <w:rPr>
          <w:rtl/>
        </w:rPr>
        <w:t xml:space="preserve"> </w:t>
      </w:r>
      <w:r w:rsidR="00F32B28" w:rsidRPr="00F32B28">
        <w:rPr>
          <w:rtl/>
        </w:rPr>
        <w:t>هناك</w:t>
      </w:r>
      <w:r w:rsidR="00F32B28">
        <w:rPr>
          <w:rtl/>
        </w:rPr>
        <w:t xml:space="preserve"> </w:t>
      </w:r>
      <w:r w:rsidR="00F32B28" w:rsidRPr="00F32B28">
        <w:rPr>
          <w:rtl/>
        </w:rPr>
        <w:t>في</w:t>
      </w:r>
      <w:r w:rsidR="00F32B28">
        <w:rPr>
          <w:rtl/>
        </w:rPr>
        <w:t xml:space="preserve"> </w:t>
      </w:r>
      <w:r w:rsidR="00F32B28" w:rsidRPr="00F32B28">
        <w:rPr>
          <w:rtl/>
        </w:rPr>
        <w:t>بيئات</w:t>
      </w:r>
      <w:r w:rsidR="00F32B28">
        <w:rPr>
          <w:rtl/>
        </w:rPr>
        <w:t xml:space="preserve"> </w:t>
      </w:r>
      <w:r w:rsidR="00F32B28" w:rsidRPr="00F32B28">
        <w:rPr>
          <w:rtl/>
        </w:rPr>
        <w:t>خطرة</w:t>
      </w:r>
      <w:r w:rsidR="00F32B28">
        <w:rPr>
          <w:rtl/>
        </w:rPr>
        <w:t xml:space="preserve"> </w:t>
      </w:r>
      <w:r w:rsidR="00F32B28" w:rsidRPr="00F32B28">
        <w:rPr>
          <w:rtl/>
        </w:rPr>
        <w:t>ولساعات</w:t>
      </w:r>
      <w:r w:rsidR="00F32B28">
        <w:rPr>
          <w:rtl/>
        </w:rPr>
        <w:t xml:space="preserve"> </w:t>
      </w:r>
      <w:r w:rsidR="00F32B28" w:rsidRPr="00F32B28">
        <w:rPr>
          <w:rtl/>
        </w:rPr>
        <w:t>عمل</w:t>
      </w:r>
      <w:r w:rsidR="00F32B28">
        <w:rPr>
          <w:rtl/>
        </w:rPr>
        <w:t xml:space="preserve"> </w:t>
      </w:r>
      <w:r w:rsidR="00F32B28" w:rsidRPr="00F32B28">
        <w:rPr>
          <w:rtl/>
        </w:rPr>
        <w:t>طويلة.</w:t>
      </w:r>
      <w:r w:rsidR="00F32B28">
        <w:rPr>
          <w:rtl/>
        </w:rPr>
        <w:t xml:space="preserve"> </w:t>
      </w:r>
      <w:r w:rsidR="00F32B28" w:rsidRPr="00F32B28">
        <w:rPr>
          <w:rtl/>
        </w:rPr>
        <w:t>وبشكل</w:t>
      </w:r>
      <w:r w:rsidR="00F32B28">
        <w:rPr>
          <w:rtl/>
        </w:rPr>
        <w:t xml:space="preserve"> </w:t>
      </w:r>
      <w:r w:rsidR="00F32B28" w:rsidRPr="00F32B28">
        <w:rPr>
          <w:rtl/>
        </w:rPr>
        <w:t>عام،</w:t>
      </w:r>
      <w:r w:rsidR="00F32B28">
        <w:rPr>
          <w:rtl/>
        </w:rPr>
        <w:t xml:space="preserve"> </w:t>
      </w:r>
      <w:r w:rsidR="00F32B28" w:rsidRPr="00F32B28">
        <w:rPr>
          <w:rtl/>
        </w:rPr>
        <w:t>هنالك</w:t>
      </w:r>
      <w:r w:rsidR="00F32B28">
        <w:rPr>
          <w:rtl/>
        </w:rPr>
        <w:t xml:space="preserve"> </w:t>
      </w:r>
      <w:r w:rsidR="00F32B28" w:rsidRPr="00F32B28">
        <w:rPr>
          <w:rtl/>
        </w:rPr>
        <w:t>تمييز</w:t>
      </w:r>
      <w:r w:rsidR="00F32B28">
        <w:rPr>
          <w:rtl/>
        </w:rPr>
        <w:t xml:space="preserve"> </w:t>
      </w:r>
      <w:r w:rsidR="00F32B28" w:rsidRPr="00F32B28">
        <w:rPr>
          <w:rtl/>
        </w:rPr>
        <w:t>ضد</w:t>
      </w:r>
      <w:r w:rsidR="00F32B28">
        <w:rPr>
          <w:rtl/>
        </w:rPr>
        <w:t xml:space="preserve"> </w:t>
      </w:r>
      <w:r w:rsidR="00F32B28" w:rsidRPr="00F32B28">
        <w:rPr>
          <w:rtl/>
        </w:rPr>
        <w:t>العاملين</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تلقيهم</w:t>
      </w:r>
      <w:r w:rsidR="00F32B28">
        <w:rPr>
          <w:rtl/>
        </w:rPr>
        <w:t xml:space="preserve"> </w:t>
      </w:r>
      <w:r w:rsidR="00F32B28" w:rsidRPr="00F32B28">
        <w:rPr>
          <w:rtl/>
        </w:rPr>
        <w:t>لأجور</w:t>
      </w:r>
      <w:r w:rsidR="00F32B28">
        <w:rPr>
          <w:rtl/>
        </w:rPr>
        <w:t xml:space="preserve"> </w:t>
      </w:r>
      <w:r w:rsidR="00F32B28" w:rsidRPr="00F32B28">
        <w:rPr>
          <w:rtl/>
        </w:rPr>
        <w:t>مساوية</w:t>
      </w:r>
      <w:r w:rsidR="00F32B28">
        <w:rPr>
          <w:rtl/>
        </w:rPr>
        <w:t xml:space="preserve"> </w:t>
      </w:r>
      <w:r w:rsidR="00F32B28" w:rsidRPr="00F32B28">
        <w:rPr>
          <w:rtl/>
        </w:rPr>
        <w:t>للعمال</w:t>
      </w:r>
      <w:r w:rsidR="00F32B28">
        <w:rPr>
          <w:rtl/>
        </w:rPr>
        <w:t xml:space="preserve"> </w:t>
      </w:r>
      <w:r w:rsidR="00F32B28" w:rsidRPr="00F32B28">
        <w:rPr>
          <w:rtl/>
        </w:rPr>
        <w:t>الإسرائيليين</w:t>
      </w:r>
      <w:r w:rsidR="00F32B28">
        <w:rPr>
          <w:rtl/>
        </w:rPr>
        <w:t xml:space="preserve"> </w:t>
      </w:r>
      <w:r w:rsidR="00F32B28" w:rsidRPr="00F32B28">
        <w:rPr>
          <w:rtl/>
        </w:rPr>
        <w:t>عن</w:t>
      </w:r>
      <w:r w:rsidR="00F32B28">
        <w:rPr>
          <w:rtl/>
        </w:rPr>
        <w:t xml:space="preserve"> </w:t>
      </w:r>
      <w:r w:rsidR="00F32B28" w:rsidRPr="00F32B28">
        <w:rPr>
          <w:rtl/>
        </w:rPr>
        <w:t>ذات</w:t>
      </w:r>
      <w:r w:rsidR="00F32B28">
        <w:rPr>
          <w:rtl/>
        </w:rPr>
        <w:t xml:space="preserve"> </w:t>
      </w:r>
      <w:r w:rsidR="00F32B28" w:rsidRPr="00F32B28">
        <w:rPr>
          <w:rtl/>
        </w:rPr>
        <w:t>الأعمال،</w:t>
      </w:r>
      <w:r w:rsidR="00F32B28">
        <w:rPr>
          <w:rtl/>
        </w:rPr>
        <w:t xml:space="preserve"> </w:t>
      </w:r>
      <w:r w:rsidR="00F32B28" w:rsidRPr="00F32B28">
        <w:rPr>
          <w:rtl/>
        </w:rPr>
        <w:t>أو</w:t>
      </w:r>
      <w:r w:rsidR="00F32B28">
        <w:rPr>
          <w:rtl/>
        </w:rPr>
        <w:t xml:space="preserve"> </w:t>
      </w:r>
      <w:r w:rsidR="00F32B28" w:rsidRPr="00F32B28">
        <w:rPr>
          <w:rtl/>
        </w:rPr>
        <w:t>حتى</w:t>
      </w:r>
      <w:r w:rsidR="00F32B28">
        <w:rPr>
          <w:rtl/>
        </w:rPr>
        <w:t xml:space="preserve"> </w:t>
      </w:r>
      <w:r w:rsidR="00F32B28" w:rsidRPr="00F32B28">
        <w:rPr>
          <w:rtl/>
        </w:rPr>
        <w:t>تلقيهم</w:t>
      </w:r>
      <w:r w:rsidR="00F32B28">
        <w:rPr>
          <w:rtl/>
        </w:rPr>
        <w:t xml:space="preserve"> </w:t>
      </w:r>
      <w:r w:rsidR="00F32B28" w:rsidRPr="00F32B28">
        <w:rPr>
          <w:rtl/>
        </w:rPr>
        <w:t>للحد</w:t>
      </w:r>
      <w:r w:rsidR="00F32B28">
        <w:rPr>
          <w:rtl/>
        </w:rPr>
        <w:t xml:space="preserve"> </w:t>
      </w:r>
      <w:r w:rsidR="00F32B28" w:rsidRPr="00F32B28">
        <w:rPr>
          <w:rtl/>
        </w:rPr>
        <w:t>الأدنى</w:t>
      </w:r>
      <w:r w:rsidR="00F32B28">
        <w:rPr>
          <w:rtl/>
        </w:rPr>
        <w:t xml:space="preserve"> </w:t>
      </w:r>
      <w:r w:rsidR="00F32B28" w:rsidRPr="00F32B28">
        <w:rPr>
          <w:rtl/>
        </w:rPr>
        <w:t>للأجور</w:t>
      </w:r>
      <w:r w:rsidR="00F32B28">
        <w:rPr>
          <w:rtl/>
        </w:rPr>
        <w:t xml:space="preserve"> </w:t>
      </w:r>
      <w:r w:rsidR="00F32B28" w:rsidRPr="00F32B28">
        <w:rPr>
          <w:rtl/>
        </w:rPr>
        <w:t>أو</w:t>
      </w:r>
      <w:r w:rsidR="00F32B28">
        <w:rPr>
          <w:rtl/>
        </w:rPr>
        <w:t xml:space="preserve"> </w:t>
      </w:r>
      <w:r w:rsidR="00F32B28" w:rsidRPr="00F32B28">
        <w:rPr>
          <w:rtl/>
        </w:rPr>
        <w:t>للحقوق</w:t>
      </w:r>
      <w:r w:rsidR="00F32B28">
        <w:rPr>
          <w:rtl/>
        </w:rPr>
        <w:t xml:space="preserve"> </w:t>
      </w:r>
      <w:r w:rsidR="00F32B28" w:rsidRPr="00F32B28">
        <w:rPr>
          <w:rtl/>
        </w:rPr>
        <w:t>الأساسية</w:t>
      </w:r>
      <w:r w:rsidR="00F32B28">
        <w:rPr>
          <w:rtl/>
        </w:rPr>
        <w:t xml:space="preserve"> </w:t>
      </w:r>
      <w:r w:rsidR="00F32B28" w:rsidRPr="00F32B28">
        <w:rPr>
          <w:rtl/>
        </w:rPr>
        <w:t>الاجتماعية،</w:t>
      </w:r>
      <w:r w:rsidR="00F32B28">
        <w:rPr>
          <w:rtl/>
        </w:rPr>
        <w:t xml:space="preserve"> </w:t>
      </w:r>
      <w:r w:rsidR="00F32B28" w:rsidRPr="00F32B28">
        <w:rPr>
          <w:rtl/>
        </w:rPr>
        <w:t>أو</w:t>
      </w:r>
      <w:r w:rsidR="00F32B28">
        <w:rPr>
          <w:rtl/>
        </w:rPr>
        <w:t xml:space="preserve"> </w:t>
      </w:r>
      <w:r w:rsidR="00F32B28" w:rsidRPr="00F32B28">
        <w:rPr>
          <w:rtl/>
        </w:rPr>
        <w:t>للترقيات.</w:t>
      </w:r>
      <w:r w:rsidR="00F32B28">
        <w:rPr>
          <w:rtl/>
        </w:rPr>
        <w:t xml:space="preserve"> </w:t>
      </w:r>
      <w:r w:rsidR="00F32B28" w:rsidRPr="00F32B28">
        <w:rPr>
          <w:rtl/>
        </w:rPr>
        <w:t>كما</w:t>
      </w:r>
      <w:r w:rsidR="00F32B28">
        <w:rPr>
          <w:rtl/>
        </w:rPr>
        <w:t xml:space="preserve"> </w:t>
      </w:r>
      <w:r w:rsidR="00F32B28" w:rsidRPr="00F32B28">
        <w:rPr>
          <w:rtl/>
        </w:rPr>
        <w:t>يواجه</w:t>
      </w:r>
      <w:r w:rsidR="00F32B28">
        <w:rPr>
          <w:rtl/>
        </w:rPr>
        <w:t xml:space="preserve"> </w:t>
      </w:r>
      <w:r w:rsidR="00F32B28" w:rsidRPr="00F32B28">
        <w:rPr>
          <w:rtl/>
        </w:rPr>
        <w:t>العاملون</w:t>
      </w:r>
      <w:r w:rsidR="00F32B28">
        <w:rPr>
          <w:rtl/>
        </w:rPr>
        <w:t xml:space="preserve"> </w:t>
      </w:r>
      <w:r w:rsidR="00F32B28" w:rsidRPr="00F32B28">
        <w:rPr>
          <w:rtl/>
        </w:rPr>
        <w:t>الفلسطينيون</w:t>
      </w:r>
      <w:r w:rsidR="00F32B28">
        <w:rPr>
          <w:rtl/>
        </w:rPr>
        <w:t xml:space="preserve"> </w:t>
      </w:r>
      <w:r w:rsidR="00F32B28" w:rsidRPr="00F32B28">
        <w:rPr>
          <w:rtl/>
        </w:rPr>
        <w:t>المتوجهون</w:t>
      </w:r>
      <w:r w:rsidR="00F32B28">
        <w:rPr>
          <w:rtl/>
        </w:rPr>
        <w:t xml:space="preserve"> </w:t>
      </w:r>
      <w:r w:rsidR="00F32B28" w:rsidRPr="00F32B28">
        <w:rPr>
          <w:rtl/>
        </w:rPr>
        <w:t>للعمل</w:t>
      </w:r>
      <w:r w:rsidR="00F32B28">
        <w:rPr>
          <w:rtl/>
        </w:rPr>
        <w:t xml:space="preserve"> </w:t>
      </w:r>
      <w:r w:rsidR="00F32B28" w:rsidRPr="00F32B28">
        <w:rPr>
          <w:rtl/>
        </w:rPr>
        <w:t>هناك</w:t>
      </w:r>
      <w:r w:rsidR="00F32B28">
        <w:rPr>
          <w:rtl/>
        </w:rPr>
        <w:t xml:space="preserve"> </w:t>
      </w:r>
      <w:r w:rsidR="00F32B28" w:rsidRPr="00F32B28">
        <w:rPr>
          <w:rtl/>
        </w:rPr>
        <w:t>شتى</w:t>
      </w:r>
      <w:r w:rsidR="00F32B28">
        <w:rPr>
          <w:rtl/>
        </w:rPr>
        <w:t xml:space="preserve"> </w:t>
      </w:r>
      <w:r w:rsidR="00F32B28" w:rsidRPr="00F32B28">
        <w:rPr>
          <w:rtl/>
        </w:rPr>
        <w:t>أنواع</w:t>
      </w:r>
      <w:r w:rsidR="00F32B28">
        <w:rPr>
          <w:rtl/>
        </w:rPr>
        <w:t xml:space="preserve"> </w:t>
      </w:r>
      <w:r w:rsidR="00F32B28" w:rsidRPr="00F32B28">
        <w:rPr>
          <w:rtl/>
        </w:rPr>
        <w:t>سوء</w:t>
      </w:r>
      <w:r w:rsidR="00F32B28">
        <w:rPr>
          <w:rtl/>
        </w:rPr>
        <w:t xml:space="preserve"> </w:t>
      </w:r>
      <w:r w:rsidR="00F32B28" w:rsidRPr="00F32B28">
        <w:rPr>
          <w:rtl/>
        </w:rPr>
        <w:t>المعاملة</w:t>
      </w:r>
      <w:r w:rsidR="00F32B28">
        <w:rPr>
          <w:rtl/>
        </w:rPr>
        <w:t xml:space="preserve"> </w:t>
      </w:r>
      <w:r w:rsidR="00F32B28" w:rsidRPr="00F32B28">
        <w:rPr>
          <w:rtl/>
        </w:rPr>
        <w:t>على</w:t>
      </w:r>
      <w:r w:rsidR="00F32B28">
        <w:rPr>
          <w:rtl/>
        </w:rPr>
        <w:t xml:space="preserve"> </w:t>
      </w:r>
      <w:r w:rsidR="00F32B28" w:rsidRPr="00F32B28">
        <w:rPr>
          <w:rtl/>
        </w:rPr>
        <w:t>نقاط</w:t>
      </w:r>
      <w:r w:rsidR="00F32B28">
        <w:rPr>
          <w:rtl/>
        </w:rPr>
        <w:t xml:space="preserve"> </w:t>
      </w:r>
      <w:r w:rsidR="00F32B28" w:rsidRPr="00F32B28">
        <w:rPr>
          <w:rtl/>
        </w:rPr>
        <w:t>التفتيش</w:t>
      </w:r>
      <w:r w:rsidR="00F32B28">
        <w:rPr>
          <w:rtl/>
        </w:rPr>
        <w:t xml:space="preserve"> </w:t>
      </w:r>
      <w:r w:rsidR="00F32B28" w:rsidRPr="00F32B28">
        <w:rPr>
          <w:rtl/>
        </w:rPr>
        <w:t>والحواجز</w:t>
      </w:r>
      <w:r w:rsidR="00F32B28">
        <w:rPr>
          <w:rtl/>
        </w:rPr>
        <w:t xml:space="preserve"> </w:t>
      </w:r>
      <w:r w:rsidR="00F32B28" w:rsidRPr="00F32B28">
        <w:rPr>
          <w:rtl/>
        </w:rPr>
        <w:t>الإسرائيلية</w:t>
      </w:r>
      <w:r w:rsidR="00F32B28">
        <w:rPr>
          <w:rtl/>
        </w:rPr>
        <w:t xml:space="preserve"> </w:t>
      </w:r>
      <w:r w:rsidR="00F32B28" w:rsidRPr="00F32B28">
        <w:rPr>
          <w:rtl/>
        </w:rPr>
        <w:t>والانتظار</w:t>
      </w:r>
      <w:r w:rsidR="00F32B28">
        <w:rPr>
          <w:rtl/>
        </w:rPr>
        <w:t xml:space="preserve"> </w:t>
      </w:r>
      <w:r w:rsidR="00F32B28" w:rsidRPr="00F32B28">
        <w:rPr>
          <w:rtl/>
        </w:rPr>
        <w:t>لساعات</w:t>
      </w:r>
      <w:r w:rsidR="00F32B28">
        <w:rPr>
          <w:rtl/>
        </w:rPr>
        <w:t xml:space="preserve"> </w:t>
      </w:r>
      <w:r w:rsidR="00F32B28" w:rsidRPr="00F32B28">
        <w:rPr>
          <w:rtl/>
        </w:rPr>
        <w:t>طويلة</w:t>
      </w:r>
      <w:r w:rsidR="00F32B28">
        <w:rPr>
          <w:rtl/>
        </w:rPr>
        <w:t xml:space="preserve"> </w:t>
      </w:r>
      <w:r w:rsidR="00F32B28" w:rsidRPr="00F32B28">
        <w:rPr>
          <w:rtl/>
        </w:rPr>
        <w:t>أمامها،</w:t>
      </w:r>
      <w:r w:rsidR="00F32B28">
        <w:rPr>
          <w:rtl/>
        </w:rPr>
        <w:t xml:space="preserve"> </w:t>
      </w:r>
      <w:r w:rsidR="00F32B28" w:rsidRPr="00F32B28">
        <w:rPr>
          <w:rtl/>
        </w:rPr>
        <w:t>ومنعهم</w:t>
      </w:r>
      <w:r w:rsidR="00F32B28">
        <w:rPr>
          <w:rtl/>
        </w:rPr>
        <w:t xml:space="preserve"> </w:t>
      </w:r>
      <w:r w:rsidR="00F32B28" w:rsidRPr="00F32B28">
        <w:rPr>
          <w:rtl/>
        </w:rPr>
        <w:t>من</w:t>
      </w:r>
      <w:r w:rsidR="00F32B28">
        <w:rPr>
          <w:rtl/>
        </w:rPr>
        <w:t xml:space="preserve"> </w:t>
      </w:r>
      <w:r w:rsidR="00F32B28" w:rsidRPr="00F32B28">
        <w:rPr>
          <w:rtl/>
        </w:rPr>
        <w:t>استعمال</w:t>
      </w:r>
      <w:r w:rsidR="00F32B28">
        <w:rPr>
          <w:rtl/>
        </w:rPr>
        <w:t xml:space="preserve"> </w:t>
      </w:r>
      <w:r w:rsidR="00F32B28" w:rsidRPr="00F32B28">
        <w:rPr>
          <w:rtl/>
        </w:rPr>
        <w:t>المواصلات</w:t>
      </w:r>
      <w:r w:rsidR="00F32B28">
        <w:rPr>
          <w:rtl/>
        </w:rPr>
        <w:t xml:space="preserve"> </w:t>
      </w:r>
      <w:r w:rsidR="00F32B28" w:rsidRPr="00F32B28">
        <w:rPr>
          <w:rtl/>
        </w:rPr>
        <w:t>العامة</w:t>
      </w:r>
      <w:r w:rsidR="00F32B28">
        <w:rPr>
          <w:rtl/>
        </w:rPr>
        <w:t xml:space="preserve"> </w:t>
      </w:r>
      <w:r w:rsidR="00F32B28" w:rsidRPr="00F32B28">
        <w:rPr>
          <w:rtl/>
        </w:rPr>
        <w:t>ورفض</w:t>
      </w:r>
      <w:r w:rsidR="00F32B28">
        <w:rPr>
          <w:rtl/>
        </w:rPr>
        <w:t xml:space="preserve"> </w:t>
      </w:r>
      <w:r w:rsidR="00F32B28" w:rsidRPr="00F32B28">
        <w:rPr>
          <w:rtl/>
        </w:rPr>
        <w:t>السائقين</w:t>
      </w:r>
      <w:r w:rsidR="00F32B28">
        <w:rPr>
          <w:rtl/>
        </w:rPr>
        <w:t xml:space="preserve"> </w:t>
      </w:r>
      <w:r w:rsidR="00F32B28" w:rsidRPr="00F32B28">
        <w:rPr>
          <w:rtl/>
        </w:rPr>
        <w:t>الإسرائيليين</w:t>
      </w:r>
      <w:r w:rsidR="00F32B28">
        <w:rPr>
          <w:rtl/>
        </w:rPr>
        <w:t xml:space="preserve"> </w:t>
      </w:r>
      <w:r w:rsidR="00F32B28" w:rsidRPr="00F32B28">
        <w:rPr>
          <w:rtl/>
        </w:rPr>
        <w:t>نقلهم</w:t>
      </w:r>
      <w:r w:rsidR="00F32B28">
        <w:rPr>
          <w:rtl/>
        </w:rPr>
        <w:t xml:space="preserve"> </w:t>
      </w:r>
      <w:r w:rsidR="00F32B28" w:rsidRPr="00F32B28">
        <w:rPr>
          <w:rtl/>
        </w:rPr>
        <w:t>من</w:t>
      </w:r>
      <w:r w:rsidR="00F32B28">
        <w:rPr>
          <w:rtl/>
        </w:rPr>
        <w:t xml:space="preserve"> </w:t>
      </w:r>
      <w:r w:rsidR="00F32B28" w:rsidRPr="00F32B28">
        <w:rPr>
          <w:rtl/>
        </w:rPr>
        <w:t>وإلى</w:t>
      </w:r>
      <w:r w:rsidR="00F32B28">
        <w:rPr>
          <w:rtl/>
        </w:rPr>
        <w:t xml:space="preserve"> </w:t>
      </w:r>
      <w:r w:rsidR="00F32B28" w:rsidRPr="00F32B28">
        <w:rPr>
          <w:rtl/>
        </w:rPr>
        <w:t>أماكن</w:t>
      </w:r>
      <w:r w:rsidR="00F32B28">
        <w:rPr>
          <w:rtl/>
        </w:rPr>
        <w:t xml:space="preserve"> </w:t>
      </w:r>
      <w:r w:rsidR="00F32B28" w:rsidRPr="00F32B28">
        <w:rPr>
          <w:rtl/>
        </w:rPr>
        <w:t>عملهم،</w:t>
      </w:r>
      <w:r w:rsidR="00F32B28">
        <w:rPr>
          <w:rtl/>
        </w:rPr>
        <w:t xml:space="preserve"> </w:t>
      </w:r>
      <w:r w:rsidR="00F32B28" w:rsidRPr="00F32B28">
        <w:rPr>
          <w:rtl/>
        </w:rPr>
        <w:t>وإلغاء</w:t>
      </w:r>
      <w:r w:rsidR="00F32B28">
        <w:rPr>
          <w:rtl/>
        </w:rPr>
        <w:t xml:space="preserve"> </w:t>
      </w:r>
      <w:r w:rsidR="00F32B28" w:rsidRPr="00F32B28">
        <w:rPr>
          <w:rtl/>
        </w:rPr>
        <w:t>تصاريح</w:t>
      </w:r>
      <w:r w:rsidR="00F32B28">
        <w:rPr>
          <w:rFonts w:hint="cs"/>
          <w:rtl/>
        </w:rPr>
        <w:t xml:space="preserve"> </w:t>
      </w:r>
      <w:r w:rsidR="00F32B28" w:rsidRPr="00F32B28">
        <w:rPr>
          <w:rFonts w:hint="cs"/>
          <w:rtl/>
        </w:rPr>
        <w:t>العمل</w:t>
      </w:r>
      <w:r w:rsidR="00F32B28">
        <w:rPr>
          <w:rtl/>
        </w:rPr>
        <w:t xml:space="preserve"> </w:t>
      </w:r>
      <w:r w:rsidR="00F32B28" w:rsidRPr="00F32B28">
        <w:rPr>
          <w:rtl/>
        </w:rPr>
        <w:t>بشكل</w:t>
      </w:r>
      <w:r w:rsidR="00F32B28">
        <w:rPr>
          <w:rtl/>
        </w:rPr>
        <w:t xml:space="preserve"> </w:t>
      </w:r>
      <w:r w:rsidR="00F32B28" w:rsidRPr="00F32B28">
        <w:rPr>
          <w:rtl/>
        </w:rPr>
        <w:t>تعسفي</w:t>
      </w:r>
      <w:r w:rsidR="00F32B28">
        <w:rPr>
          <w:rtl/>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الإدارة</w:t>
      </w:r>
      <w:r w:rsidR="00F32B28">
        <w:rPr>
          <w:rtl/>
        </w:rPr>
        <w:t xml:space="preserve"> </w:t>
      </w:r>
      <w:r w:rsidR="00F32B28" w:rsidRPr="00F32B28">
        <w:rPr>
          <w:rtl/>
        </w:rPr>
        <w:t>المدنية.</w:t>
      </w:r>
      <w:r w:rsidR="00F32B28">
        <w:rPr>
          <w:rtl/>
        </w:rPr>
        <w:t xml:space="preserve">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ساعات</w:t>
      </w:r>
      <w:r w:rsidR="00F32B28">
        <w:rPr>
          <w:rtl/>
        </w:rPr>
        <w:t xml:space="preserve"> </w:t>
      </w:r>
      <w:r w:rsidR="00F32B28" w:rsidRPr="00F32B28">
        <w:rPr>
          <w:rtl/>
        </w:rPr>
        <w:t>وأوقات</w:t>
      </w:r>
      <w:r w:rsidR="00F32B28">
        <w:rPr>
          <w:rtl/>
        </w:rPr>
        <w:t xml:space="preserve"> </w:t>
      </w:r>
      <w:r w:rsidR="00F32B28" w:rsidRPr="00F32B28">
        <w:rPr>
          <w:rtl/>
        </w:rPr>
        <w:t>العمل،</w:t>
      </w:r>
      <w:r w:rsidR="00F32B28">
        <w:rPr>
          <w:rtl/>
        </w:rPr>
        <w:t xml:space="preserve"> </w:t>
      </w:r>
      <w:r w:rsidR="00F32B28" w:rsidRPr="00F32B28">
        <w:rPr>
          <w:rtl/>
        </w:rPr>
        <w:t>فيضطر</w:t>
      </w:r>
      <w:r w:rsidR="00F32B28">
        <w:rPr>
          <w:rtl/>
        </w:rPr>
        <w:t xml:space="preserve"> </w:t>
      </w:r>
      <w:r w:rsidR="00F32B28" w:rsidRPr="00F32B28">
        <w:rPr>
          <w:rtl/>
        </w:rPr>
        <w:t>العاملون</w:t>
      </w:r>
      <w:r w:rsidR="00F32B28">
        <w:rPr>
          <w:rtl/>
        </w:rPr>
        <w:t xml:space="preserve"> </w:t>
      </w:r>
      <w:r w:rsidR="00F32B28" w:rsidRPr="00F32B28">
        <w:rPr>
          <w:rtl/>
        </w:rPr>
        <w:t>والعاملات</w:t>
      </w:r>
      <w:r w:rsidR="00F32B28">
        <w:rPr>
          <w:rtl/>
        </w:rPr>
        <w:t xml:space="preserve"> </w:t>
      </w:r>
      <w:r w:rsidR="00F32B28" w:rsidRPr="00F32B28">
        <w:rPr>
          <w:rtl/>
        </w:rPr>
        <w:t>هناك</w:t>
      </w:r>
      <w:r w:rsidR="00F32B28">
        <w:rPr>
          <w:rtl/>
        </w:rPr>
        <w:t xml:space="preserve"> </w:t>
      </w:r>
      <w:r w:rsidR="00F32B28" w:rsidRPr="00F32B28">
        <w:rPr>
          <w:rtl/>
        </w:rPr>
        <w:t>للعمل</w:t>
      </w:r>
      <w:r w:rsidR="00F32B28">
        <w:rPr>
          <w:rtl/>
        </w:rPr>
        <w:t xml:space="preserve"> </w:t>
      </w:r>
      <w:r w:rsidR="00F32B28" w:rsidRPr="00F32B28">
        <w:rPr>
          <w:rtl/>
        </w:rPr>
        <w:t>ساعات</w:t>
      </w:r>
      <w:r w:rsidR="00F32B28">
        <w:rPr>
          <w:rtl/>
        </w:rPr>
        <w:t xml:space="preserve"> </w:t>
      </w:r>
      <w:r w:rsidR="00F32B28" w:rsidRPr="00F32B28">
        <w:rPr>
          <w:rtl/>
        </w:rPr>
        <w:t>عمل</w:t>
      </w:r>
      <w:r w:rsidR="00F32B28">
        <w:rPr>
          <w:rtl/>
        </w:rPr>
        <w:t xml:space="preserve"> </w:t>
      </w:r>
      <w:r w:rsidR="00F32B28" w:rsidRPr="00F32B28">
        <w:rPr>
          <w:rtl/>
        </w:rPr>
        <w:t>إضافية</w:t>
      </w:r>
      <w:r w:rsidR="00F32B28">
        <w:rPr>
          <w:rtl/>
        </w:rPr>
        <w:t xml:space="preserve"> </w:t>
      </w:r>
      <w:r w:rsidR="00F32B28" w:rsidRPr="00F32B28">
        <w:rPr>
          <w:rtl/>
        </w:rPr>
        <w:t>رغبة</w:t>
      </w:r>
      <w:r w:rsidR="00F32B28">
        <w:rPr>
          <w:rtl/>
        </w:rPr>
        <w:t xml:space="preserve"> </w:t>
      </w:r>
      <w:r w:rsidR="00F32B28" w:rsidRPr="00F32B28">
        <w:rPr>
          <w:rtl/>
        </w:rPr>
        <w:t>في</w:t>
      </w:r>
      <w:r w:rsidR="00F32B28">
        <w:rPr>
          <w:rtl/>
        </w:rPr>
        <w:t xml:space="preserve"> </w:t>
      </w:r>
      <w:r w:rsidR="00F32B28" w:rsidRPr="00F32B28">
        <w:rPr>
          <w:rtl/>
        </w:rPr>
        <w:t>زيادة</w:t>
      </w:r>
      <w:r w:rsidR="00F32B28">
        <w:rPr>
          <w:rtl/>
        </w:rPr>
        <w:t xml:space="preserve"> </w:t>
      </w:r>
      <w:r w:rsidR="00F32B28" w:rsidRPr="00F32B28">
        <w:rPr>
          <w:rtl/>
        </w:rPr>
        <w:t>الأجر،</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جزءًا</w:t>
      </w:r>
      <w:r w:rsidR="00F32B28">
        <w:rPr>
          <w:rtl/>
        </w:rPr>
        <w:t xml:space="preserve"> </w:t>
      </w:r>
      <w:r w:rsidR="00F32B28" w:rsidRPr="00F32B28">
        <w:rPr>
          <w:rtl/>
        </w:rPr>
        <w:t>كبيرًا</w:t>
      </w:r>
      <w:r w:rsidR="00F32B28">
        <w:rPr>
          <w:rtl/>
        </w:rPr>
        <w:t xml:space="preserve"> </w:t>
      </w:r>
      <w:r w:rsidR="00F32B28" w:rsidRPr="00F32B28">
        <w:rPr>
          <w:rtl/>
        </w:rPr>
        <w:t>منهم</w:t>
      </w:r>
      <w:r w:rsidR="00F32B28">
        <w:rPr>
          <w:rtl/>
        </w:rPr>
        <w:t xml:space="preserve"> </w:t>
      </w:r>
      <w:r w:rsidR="00F32B28" w:rsidRPr="00F32B28">
        <w:rPr>
          <w:rtl/>
        </w:rPr>
        <w:t>لا</w:t>
      </w:r>
      <w:r w:rsidR="00F32B28">
        <w:rPr>
          <w:rtl/>
        </w:rPr>
        <w:t xml:space="preserve"> </w:t>
      </w:r>
      <w:r w:rsidR="00F32B28" w:rsidRPr="00F32B28">
        <w:rPr>
          <w:rtl/>
        </w:rPr>
        <w:t>يتقاضى</w:t>
      </w:r>
      <w:r w:rsidR="00F32B28">
        <w:rPr>
          <w:rtl/>
        </w:rPr>
        <w:t xml:space="preserve"> </w:t>
      </w:r>
      <w:r w:rsidR="00F32B28" w:rsidRPr="00F32B28">
        <w:rPr>
          <w:rtl/>
        </w:rPr>
        <w:t>أجر</w:t>
      </w:r>
      <w:r w:rsidR="00F32B28">
        <w:rPr>
          <w:rtl/>
        </w:rPr>
        <w:t xml:space="preserve"> </w:t>
      </w:r>
      <w:r w:rsidR="00F32B28" w:rsidRPr="00F32B28">
        <w:rPr>
          <w:rtl/>
        </w:rPr>
        <w:t>ذلك.</w:t>
      </w:r>
      <w:r w:rsidR="00F32B28">
        <w:rPr>
          <w:rtl/>
        </w:rPr>
        <w:t xml:space="preserve"> </w:t>
      </w:r>
      <w:r w:rsidR="00F32B28" w:rsidRPr="00F32B28">
        <w:rPr>
          <w:rtl/>
        </w:rPr>
        <w:t>كذلك</w:t>
      </w:r>
      <w:r w:rsidR="00F32B28">
        <w:rPr>
          <w:rtl/>
        </w:rPr>
        <w:t xml:space="preserve"> </w:t>
      </w:r>
      <w:r w:rsidR="00F32B28" w:rsidRPr="00F32B28">
        <w:rPr>
          <w:rtl/>
        </w:rPr>
        <w:t>فإن</w:t>
      </w:r>
      <w:r w:rsidR="00F32B28">
        <w:rPr>
          <w:rtl/>
        </w:rPr>
        <w:t xml:space="preserve"> </w:t>
      </w:r>
      <w:r w:rsidR="00F32B28" w:rsidRPr="00F32B28">
        <w:rPr>
          <w:rtl/>
        </w:rPr>
        <w:t>عدداً</w:t>
      </w:r>
      <w:r w:rsidR="00F32B28">
        <w:rPr>
          <w:rtl/>
        </w:rPr>
        <w:t xml:space="preserve"> </w:t>
      </w:r>
      <w:r w:rsidR="00F32B28" w:rsidRPr="00F32B28">
        <w:rPr>
          <w:rtl/>
        </w:rPr>
        <w:t>كبيراً</w:t>
      </w:r>
      <w:r w:rsidR="00F32B28">
        <w:rPr>
          <w:rtl/>
        </w:rPr>
        <w:t xml:space="preserve"> </w:t>
      </w:r>
      <w:r w:rsidR="00F32B28" w:rsidRPr="00F32B28">
        <w:rPr>
          <w:rtl/>
        </w:rPr>
        <w:t>منهم</w:t>
      </w:r>
      <w:r w:rsidR="00F32B28">
        <w:rPr>
          <w:rtl/>
        </w:rPr>
        <w:t xml:space="preserve"> </w:t>
      </w:r>
      <w:r w:rsidR="00F32B28" w:rsidRPr="00F32B28">
        <w:rPr>
          <w:rtl/>
        </w:rPr>
        <w:t>غير</w:t>
      </w:r>
      <w:r w:rsidR="00F32B28">
        <w:rPr>
          <w:rtl/>
        </w:rPr>
        <w:t xml:space="preserve"> </w:t>
      </w:r>
      <w:r w:rsidR="00F32B28" w:rsidRPr="00F32B28">
        <w:rPr>
          <w:rtl/>
        </w:rPr>
        <w:t>مسجلين</w:t>
      </w:r>
      <w:r w:rsidR="00F32B28">
        <w:rPr>
          <w:rtl/>
        </w:rPr>
        <w:t xml:space="preserve"> </w:t>
      </w:r>
      <w:r w:rsidR="00F32B28" w:rsidRPr="00F32B28">
        <w:rPr>
          <w:rtl/>
        </w:rPr>
        <w:t>في</w:t>
      </w:r>
      <w:r w:rsidR="00F32B28">
        <w:rPr>
          <w:rtl/>
        </w:rPr>
        <w:t xml:space="preserve"> </w:t>
      </w:r>
      <w:r w:rsidR="00F32B28" w:rsidRPr="00F32B28">
        <w:rPr>
          <w:rtl/>
        </w:rPr>
        <w:t>سجلات</w:t>
      </w:r>
      <w:r w:rsidR="00F32B28">
        <w:rPr>
          <w:rtl/>
        </w:rPr>
        <w:t xml:space="preserve"> </w:t>
      </w:r>
      <w:r w:rsidR="00F32B28" w:rsidRPr="00F32B28">
        <w:rPr>
          <w:rtl/>
        </w:rPr>
        <w:t>العمل</w:t>
      </w:r>
      <w:r w:rsidR="00F32B28">
        <w:rPr>
          <w:rtl/>
        </w:rPr>
        <w:t xml:space="preserve"> </w:t>
      </w:r>
      <w:r w:rsidR="00F32B28" w:rsidRPr="00F32B28">
        <w:rPr>
          <w:rtl/>
        </w:rPr>
        <w:t>الخاصة</w:t>
      </w:r>
      <w:r w:rsidR="00F32B28">
        <w:rPr>
          <w:rtl/>
        </w:rPr>
        <w:t xml:space="preserve"> </w:t>
      </w:r>
      <w:r w:rsidR="00F32B28" w:rsidRPr="00F32B28">
        <w:rPr>
          <w:rtl/>
        </w:rPr>
        <w:t>بالعمال؛</w:t>
      </w:r>
      <w:r w:rsidR="00F32B28">
        <w:rPr>
          <w:rtl/>
        </w:rPr>
        <w:t xml:space="preserve"> </w:t>
      </w:r>
      <w:r w:rsidR="00F32B28" w:rsidRPr="00F32B28">
        <w:rPr>
          <w:rtl/>
        </w:rPr>
        <w:t>ما</w:t>
      </w:r>
      <w:r w:rsidR="00F32B28">
        <w:rPr>
          <w:rtl/>
        </w:rPr>
        <w:t xml:space="preserve"> </w:t>
      </w:r>
      <w:r w:rsidR="00F32B28" w:rsidRPr="00F32B28">
        <w:rPr>
          <w:rtl/>
        </w:rPr>
        <w:t>يحرمهم</w:t>
      </w:r>
      <w:r w:rsidR="00F32B28">
        <w:rPr>
          <w:rtl/>
        </w:rPr>
        <w:t xml:space="preserve"> </w:t>
      </w:r>
      <w:r w:rsidR="00F32B28" w:rsidRPr="00F32B28">
        <w:rPr>
          <w:rtl/>
        </w:rPr>
        <w:t>من</w:t>
      </w:r>
      <w:r w:rsidR="00F32B28">
        <w:rPr>
          <w:rtl/>
        </w:rPr>
        <w:t xml:space="preserve"> </w:t>
      </w:r>
      <w:r w:rsidR="00F32B28" w:rsidRPr="00F32B28">
        <w:rPr>
          <w:rtl/>
        </w:rPr>
        <w:t>المستحقات</w:t>
      </w:r>
      <w:r w:rsidR="00F32B28">
        <w:rPr>
          <w:rtl/>
        </w:rPr>
        <w:t xml:space="preserve"> </w:t>
      </w:r>
      <w:r w:rsidR="00F32B28" w:rsidRPr="00F32B28">
        <w:rPr>
          <w:rtl/>
        </w:rPr>
        <w:t>المترتبة</w:t>
      </w:r>
      <w:r w:rsidR="00F32B28">
        <w:rPr>
          <w:rtl/>
        </w:rPr>
        <w:t xml:space="preserve"> </w:t>
      </w:r>
      <w:r w:rsidR="00F32B28" w:rsidRPr="00F32B28">
        <w:rPr>
          <w:rtl/>
        </w:rPr>
        <w:t>على</w:t>
      </w:r>
      <w:r w:rsidR="00F32B28">
        <w:rPr>
          <w:rtl/>
        </w:rPr>
        <w:t xml:space="preserve"> </w:t>
      </w:r>
      <w:r w:rsidR="00F32B28" w:rsidRPr="00F32B28">
        <w:rPr>
          <w:rtl/>
        </w:rPr>
        <w:t>العمل.</w:t>
      </w:r>
      <w:r w:rsidR="00F32B28">
        <w:rPr>
          <w:rtl/>
        </w:rPr>
        <w:t xml:space="preserve"> </w:t>
      </w:r>
      <w:r w:rsidR="00F32B28" w:rsidRPr="00F32B28">
        <w:rPr>
          <w:rtl/>
        </w:rPr>
        <w:t>كما</w:t>
      </w:r>
      <w:r w:rsidR="00F32B28">
        <w:rPr>
          <w:rtl/>
        </w:rPr>
        <w:t xml:space="preserve"> </w:t>
      </w:r>
      <w:r w:rsidR="00F32B28" w:rsidRPr="00F32B28">
        <w:rPr>
          <w:rtl/>
        </w:rPr>
        <w:t>ويتعرض</w:t>
      </w:r>
      <w:r w:rsidR="00F32B28">
        <w:rPr>
          <w:rtl/>
        </w:rPr>
        <w:t xml:space="preserve"> </w:t>
      </w:r>
      <w:r w:rsidR="00F32B28" w:rsidRPr="00F32B28">
        <w:rPr>
          <w:rtl/>
        </w:rPr>
        <w:t>الكثير</w:t>
      </w:r>
      <w:r w:rsidR="00F32B28">
        <w:rPr>
          <w:rtl/>
        </w:rPr>
        <w:t xml:space="preserve"> </w:t>
      </w:r>
      <w:r w:rsidR="00F32B28" w:rsidRPr="00F32B28">
        <w:rPr>
          <w:rtl/>
        </w:rPr>
        <w:t>من</w:t>
      </w:r>
      <w:r w:rsidR="00F32B28">
        <w:rPr>
          <w:rtl/>
        </w:rPr>
        <w:t xml:space="preserve"> </w:t>
      </w:r>
      <w:r w:rsidR="00F32B28" w:rsidRPr="00F32B28">
        <w:rPr>
          <w:rtl/>
        </w:rPr>
        <w:t>العاملين</w:t>
      </w:r>
      <w:r w:rsidR="00F32B28">
        <w:rPr>
          <w:rtl/>
        </w:rPr>
        <w:t xml:space="preserve"> </w:t>
      </w:r>
      <w:r w:rsidR="00F32B28" w:rsidRPr="00F32B28">
        <w:rPr>
          <w:rtl/>
        </w:rPr>
        <w:t>والعاملات</w:t>
      </w:r>
      <w:r w:rsidR="00F32B28">
        <w:rPr>
          <w:rtl/>
        </w:rPr>
        <w:t xml:space="preserve"> </w:t>
      </w:r>
      <w:r w:rsidR="00F32B28" w:rsidRPr="00F32B28">
        <w:rPr>
          <w:rtl/>
        </w:rPr>
        <w:t>إلى</w:t>
      </w:r>
      <w:r w:rsidR="00F32B28">
        <w:rPr>
          <w:rtl/>
        </w:rPr>
        <w:t xml:space="preserve"> </w:t>
      </w:r>
      <w:r w:rsidR="00F32B28" w:rsidRPr="00F32B28">
        <w:rPr>
          <w:rtl/>
        </w:rPr>
        <w:t>عمليات</w:t>
      </w:r>
      <w:r w:rsidR="00F32B28">
        <w:rPr>
          <w:rtl/>
        </w:rPr>
        <w:t xml:space="preserve"> </w:t>
      </w:r>
      <w:r w:rsidR="00F32B28" w:rsidRPr="00F32B28">
        <w:rPr>
          <w:rtl/>
        </w:rPr>
        <w:t>الفصل</w:t>
      </w:r>
      <w:r w:rsidR="00F32B28">
        <w:rPr>
          <w:rtl/>
        </w:rPr>
        <w:t xml:space="preserve"> </w:t>
      </w:r>
      <w:r w:rsidR="00F32B28" w:rsidRPr="00F32B28">
        <w:rPr>
          <w:rtl/>
        </w:rPr>
        <w:t>من</w:t>
      </w:r>
      <w:r w:rsidR="00F32B28">
        <w:rPr>
          <w:rtl/>
        </w:rPr>
        <w:t xml:space="preserve"> </w:t>
      </w:r>
      <w:r w:rsidR="00F32B28" w:rsidRPr="00F32B28">
        <w:rPr>
          <w:rtl/>
        </w:rPr>
        <w:t>العمل</w:t>
      </w:r>
      <w:r w:rsidR="00F32B28">
        <w:rPr>
          <w:rtl/>
        </w:rPr>
        <w:t xml:space="preserve"> </w:t>
      </w:r>
      <w:r w:rsidR="00F32B28" w:rsidRPr="00F32B28">
        <w:rPr>
          <w:rtl/>
        </w:rPr>
        <w:t>بسبب</w:t>
      </w:r>
      <w:r w:rsidR="00F32B28">
        <w:rPr>
          <w:rtl/>
        </w:rPr>
        <w:t xml:space="preserve"> </w:t>
      </w:r>
      <w:r w:rsidR="00F32B28" w:rsidRPr="00F32B28">
        <w:rPr>
          <w:rtl/>
        </w:rPr>
        <w:t>عدم</w:t>
      </w:r>
      <w:r w:rsidR="00F32B28">
        <w:rPr>
          <w:rtl/>
        </w:rPr>
        <w:t xml:space="preserve"> </w:t>
      </w:r>
      <w:r w:rsidR="00F32B28" w:rsidRPr="00F32B28">
        <w:rPr>
          <w:rtl/>
        </w:rPr>
        <w:t>تمكنهم</w:t>
      </w:r>
      <w:r w:rsidR="00F32B28">
        <w:rPr>
          <w:rtl/>
        </w:rPr>
        <w:t xml:space="preserve"> </w:t>
      </w:r>
      <w:r w:rsidR="00F32B28" w:rsidRPr="00F32B28">
        <w:rPr>
          <w:rtl/>
        </w:rPr>
        <w:t>من</w:t>
      </w:r>
      <w:r w:rsidR="00F32B28">
        <w:rPr>
          <w:rtl/>
        </w:rPr>
        <w:t xml:space="preserve"> </w:t>
      </w:r>
      <w:r w:rsidR="00F32B28" w:rsidRPr="00F32B28">
        <w:rPr>
          <w:rtl/>
        </w:rPr>
        <w:t>الوصول</w:t>
      </w:r>
      <w:r w:rsidR="00F32B28">
        <w:rPr>
          <w:rtl/>
        </w:rPr>
        <w:t xml:space="preserve"> </w:t>
      </w:r>
      <w:r w:rsidR="00F32B28" w:rsidRPr="00F32B28">
        <w:rPr>
          <w:rtl/>
        </w:rPr>
        <w:t>إلى</w:t>
      </w:r>
      <w:r w:rsidR="00F32B28">
        <w:rPr>
          <w:rtl/>
        </w:rPr>
        <w:t xml:space="preserve"> </w:t>
      </w:r>
      <w:r w:rsidR="00F32B28" w:rsidRPr="00F32B28">
        <w:rPr>
          <w:rtl/>
        </w:rPr>
        <w:t>أماكن</w:t>
      </w:r>
      <w:r w:rsidR="00F32B28">
        <w:rPr>
          <w:rtl/>
        </w:rPr>
        <w:t xml:space="preserve"> </w:t>
      </w:r>
      <w:r w:rsidR="00F32B28" w:rsidRPr="00F32B28">
        <w:rPr>
          <w:rtl/>
        </w:rPr>
        <w:t>عملهم</w:t>
      </w:r>
      <w:r w:rsidR="00F32B28">
        <w:rPr>
          <w:rtl/>
        </w:rPr>
        <w:t xml:space="preserve"> </w:t>
      </w:r>
      <w:r w:rsidR="00F32B28" w:rsidRPr="00F32B28">
        <w:rPr>
          <w:rtl/>
        </w:rPr>
        <w:t>بانتظام</w:t>
      </w:r>
      <w:r w:rsidR="00F32B28">
        <w:rPr>
          <w:rtl/>
        </w:rPr>
        <w:t xml:space="preserve"> </w:t>
      </w:r>
      <w:r w:rsidR="00F32B28" w:rsidRPr="00F32B28">
        <w:rPr>
          <w:rtl/>
        </w:rPr>
        <w:t>نتيجة</w:t>
      </w:r>
      <w:r w:rsidR="00F32B28">
        <w:rPr>
          <w:rtl/>
        </w:rPr>
        <w:t xml:space="preserve"> </w:t>
      </w:r>
      <w:r w:rsidR="00F32B28" w:rsidRPr="00F32B28">
        <w:rPr>
          <w:rtl/>
        </w:rPr>
        <w:t>الممارسات</w:t>
      </w:r>
      <w:r w:rsidR="00F32B28">
        <w:rPr>
          <w:rtl/>
        </w:rPr>
        <w:t xml:space="preserve"> </w:t>
      </w:r>
      <w:r w:rsidR="00F32B28" w:rsidRPr="00F32B28">
        <w:rPr>
          <w:rtl/>
        </w:rPr>
        <w:t>الإسرائيلية</w:t>
      </w:r>
      <w:r w:rsidR="00F32B28">
        <w:rPr>
          <w:rtl/>
        </w:rPr>
        <w:t xml:space="preserve"> </w:t>
      </w:r>
      <w:r w:rsidR="00F32B28" w:rsidRPr="00F32B28">
        <w:rPr>
          <w:rtl/>
        </w:rPr>
        <w:t>أو</w:t>
      </w:r>
      <w:r w:rsidR="00F32B28">
        <w:rPr>
          <w:rtl/>
        </w:rPr>
        <w:t xml:space="preserve"> </w:t>
      </w:r>
      <w:r w:rsidR="00F32B28" w:rsidRPr="00F32B28">
        <w:rPr>
          <w:rtl/>
        </w:rPr>
        <w:t>لأسباب</w:t>
      </w:r>
      <w:r w:rsidR="00F32B28">
        <w:rPr>
          <w:rtl/>
        </w:rPr>
        <w:t xml:space="preserve"> </w:t>
      </w:r>
      <w:r w:rsidR="00F32B28" w:rsidRPr="00F32B28">
        <w:rPr>
          <w:rtl/>
        </w:rPr>
        <w:t>أمنية</w:t>
      </w:r>
      <w:r w:rsidR="00F32B28">
        <w:rPr>
          <w:rtl/>
        </w:rPr>
        <w:t xml:space="preserve"> </w:t>
      </w:r>
      <w:r w:rsidR="00F32B28" w:rsidRPr="00F32B28">
        <w:rPr>
          <w:rtl/>
        </w:rPr>
        <w:t>أو</w:t>
      </w:r>
      <w:r w:rsidR="00F32B28">
        <w:rPr>
          <w:rtl/>
        </w:rPr>
        <w:t xml:space="preserve"> </w:t>
      </w:r>
      <w:r w:rsidR="00F32B28" w:rsidRPr="00F32B28">
        <w:rPr>
          <w:rtl/>
        </w:rPr>
        <w:t>عند</w:t>
      </w:r>
      <w:r w:rsidR="00F32B28">
        <w:rPr>
          <w:rtl/>
        </w:rPr>
        <w:t xml:space="preserve"> </w:t>
      </w:r>
      <w:r w:rsidR="00F32B28" w:rsidRPr="00F32B28">
        <w:rPr>
          <w:rtl/>
        </w:rPr>
        <w:t>مطالبتهم</w:t>
      </w:r>
      <w:r w:rsidR="00F32B28">
        <w:rPr>
          <w:rtl/>
        </w:rPr>
        <w:t xml:space="preserve"> </w:t>
      </w:r>
      <w:r w:rsidR="00F32B28" w:rsidRPr="00F32B28">
        <w:rPr>
          <w:rtl/>
        </w:rPr>
        <w:t>بحقوقهم.</w:t>
      </w:r>
    </w:p>
    <w:p w:rsidR="00F32B28" w:rsidRPr="00F32B28" w:rsidRDefault="00AF1BC1" w:rsidP="00AF1BC1">
      <w:pPr>
        <w:pStyle w:val="SingleTxt"/>
      </w:pPr>
      <w:r>
        <w:rPr>
          <w:rFonts w:hint="cs"/>
          <w:rtl/>
        </w:rPr>
        <w:t xml:space="preserve">229 - </w:t>
      </w:r>
      <w:r w:rsidR="00F32B28" w:rsidRPr="00F32B28">
        <w:rPr>
          <w:rtl/>
        </w:rPr>
        <w:t>كما</w:t>
      </w:r>
      <w:r w:rsidR="00F32B28">
        <w:rPr>
          <w:rtl/>
        </w:rPr>
        <w:t xml:space="preserve"> </w:t>
      </w:r>
      <w:r w:rsidR="00F32B28" w:rsidRPr="00F32B28">
        <w:rPr>
          <w:rtl/>
        </w:rPr>
        <w:t>لا</w:t>
      </w:r>
      <w:r w:rsidR="00F32B28">
        <w:rPr>
          <w:rtl/>
        </w:rPr>
        <w:t xml:space="preserve"> </w:t>
      </w:r>
      <w:r w:rsidR="00F32B28" w:rsidRPr="00F32B28">
        <w:rPr>
          <w:rtl/>
        </w:rPr>
        <w:t>يلتزم</w:t>
      </w:r>
      <w:r>
        <w:rPr>
          <w:rFonts w:hint="cs"/>
          <w:rtl/>
        </w:rPr>
        <w:t xml:space="preserve"> </w:t>
      </w:r>
      <w:r w:rsidR="00F32B28" w:rsidRPr="00F32B28">
        <w:rPr>
          <w:rFonts w:hint="cs"/>
          <w:rtl/>
        </w:rPr>
        <w:t>المشغلون</w:t>
      </w:r>
      <w:r w:rsidR="00F32B28">
        <w:rPr>
          <w:rtl/>
        </w:rPr>
        <w:t xml:space="preserve"> </w:t>
      </w:r>
      <w:r w:rsidR="00F32B28" w:rsidRPr="00F32B28">
        <w:rPr>
          <w:rtl/>
        </w:rPr>
        <w:t>الإسرائيليون</w:t>
      </w:r>
      <w:r w:rsidR="00F32B28">
        <w:rPr>
          <w:rtl/>
        </w:rPr>
        <w:t xml:space="preserve"> </w:t>
      </w:r>
      <w:r w:rsidR="00F32B28" w:rsidRPr="00F32B28">
        <w:rPr>
          <w:rtl/>
        </w:rPr>
        <w:t>بتنفيذ</w:t>
      </w:r>
      <w:r w:rsidR="00F32B28">
        <w:rPr>
          <w:rtl/>
        </w:rPr>
        <w:t xml:space="preserve"> </w:t>
      </w:r>
      <w:r w:rsidR="00F32B28" w:rsidRPr="00F32B28">
        <w:rPr>
          <w:rtl/>
        </w:rPr>
        <w:t>أحكام</w:t>
      </w:r>
      <w:r w:rsidR="00F32B28">
        <w:rPr>
          <w:rtl/>
        </w:rPr>
        <w:t xml:space="preserve"> </w:t>
      </w:r>
      <w:r w:rsidR="00F32B28" w:rsidRPr="00F32B28">
        <w:rPr>
          <w:rtl/>
        </w:rPr>
        <w:t>قانون</w:t>
      </w:r>
      <w:r w:rsidR="00F32B28">
        <w:rPr>
          <w:rtl/>
        </w:rPr>
        <w:t xml:space="preserve"> </w:t>
      </w:r>
      <w:r w:rsidR="00F32B28" w:rsidRPr="00F32B28">
        <w:rPr>
          <w:rtl/>
        </w:rPr>
        <w:t>العمل</w:t>
      </w:r>
      <w:r w:rsidR="00F32B28">
        <w:rPr>
          <w:rtl/>
        </w:rPr>
        <w:t xml:space="preserve"> </w:t>
      </w:r>
      <w:r w:rsidR="00F32B28" w:rsidRPr="00F32B28">
        <w:rPr>
          <w:rtl/>
        </w:rPr>
        <w:t>على</w:t>
      </w:r>
      <w:r w:rsidR="00F32B28">
        <w:rPr>
          <w:rtl/>
        </w:rPr>
        <w:t xml:space="preserve"> </w:t>
      </w:r>
      <w:r w:rsidR="00F32B28" w:rsidRPr="00F32B28">
        <w:rPr>
          <w:rtl/>
        </w:rPr>
        <w:t>العاملين</w:t>
      </w:r>
      <w:r w:rsidR="00F32B28">
        <w:rPr>
          <w:rtl/>
        </w:rPr>
        <w:t xml:space="preserve"> </w:t>
      </w:r>
      <w:r w:rsidR="00F32B28" w:rsidRPr="00F32B28">
        <w:rPr>
          <w:rtl/>
        </w:rPr>
        <w:t>الفلسطينيين،</w:t>
      </w:r>
      <w:r w:rsidR="00F32B28">
        <w:rPr>
          <w:rtl/>
        </w:rPr>
        <w:t xml:space="preserve"> </w:t>
      </w:r>
      <w:r w:rsidR="00F32B28" w:rsidRPr="00F32B28">
        <w:rPr>
          <w:rtl/>
        </w:rPr>
        <w:t>مستغلين</w:t>
      </w:r>
      <w:r w:rsidR="00F32B28">
        <w:rPr>
          <w:rtl/>
        </w:rPr>
        <w:t xml:space="preserve"> </w:t>
      </w:r>
      <w:r w:rsidR="00F32B28" w:rsidRPr="00F32B28">
        <w:rPr>
          <w:rtl/>
        </w:rPr>
        <w:t>بذلك</w:t>
      </w:r>
      <w:r w:rsidR="00F32B28">
        <w:rPr>
          <w:rtl/>
        </w:rPr>
        <w:t xml:space="preserve"> </w:t>
      </w:r>
      <w:r w:rsidR="00F32B28" w:rsidRPr="00F32B28">
        <w:rPr>
          <w:rtl/>
        </w:rPr>
        <w:t>حاجتهم</w:t>
      </w:r>
      <w:r w:rsidR="00F32B28">
        <w:rPr>
          <w:rtl/>
        </w:rPr>
        <w:t xml:space="preserve"> </w:t>
      </w:r>
      <w:r w:rsidR="00F32B28" w:rsidRPr="00F32B28">
        <w:rPr>
          <w:rtl/>
        </w:rPr>
        <w:t>للعمل،</w:t>
      </w:r>
      <w:r w:rsidR="00F32B28">
        <w:rPr>
          <w:rtl/>
        </w:rPr>
        <w:t xml:space="preserve"> </w:t>
      </w:r>
      <w:r w:rsidR="00F32B28" w:rsidRPr="00F32B28">
        <w:rPr>
          <w:rtl/>
        </w:rPr>
        <w:t>كما</w:t>
      </w:r>
      <w:r w:rsidR="00F32B28">
        <w:rPr>
          <w:rtl/>
        </w:rPr>
        <w:t xml:space="preserve"> </w:t>
      </w:r>
      <w:r w:rsidR="00F32B28" w:rsidRPr="00F32B28">
        <w:rPr>
          <w:rtl/>
        </w:rPr>
        <w:t>ويلجأ</w:t>
      </w:r>
      <w:r w:rsidR="00F32B28">
        <w:rPr>
          <w:rtl/>
        </w:rPr>
        <w:t xml:space="preserve"> </w:t>
      </w:r>
      <w:r w:rsidR="00F32B28" w:rsidRPr="00F32B28">
        <w:rPr>
          <w:rtl/>
        </w:rPr>
        <w:t>معظمهم</w:t>
      </w:r>
      <w:r w:rsidR="00F32B28">
        <w:rPr>
          <w:rtl/>
        </w:rPr>
        <w:t xml:space="preserve"> </w:t>
      </w:r>
      <w:r w:rsidR="00F32B28" w:rsidRPr="00F32B28">
        <w:rPr>
          <w:rtl/>
        </w:rPr>
        <w:t>إلى</w:t>
      </w:r>
      <w:r w:rsidR="00F32B28">
        <w:rPr>
          <w:rtl/>
        </w:rPr>
        <w:t xml:space="preserve"> </w:t>
      </w:r>
      <w:r w:rsidR="00F32B28" w:rsidRPr="00F32B28">
        <w:rPr>
          <w:rtl/>
        </w:rPr>
        <w:t>استخدام</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الوسائل</w:t>
      </w:r>
      <w:r w:rsidR="00F32B28">
        <w:rPr>
          <w:rtl/>
        </w:rPr>
        <w:t xml:space="preserve"> </w:t>
      </w:r>
      <w:r w:rsidR="00F32B28" w:rsidRPr="00F32B28">
        <w:rPr>
          <w:rtl/>
        </w:rPr>
        <w:t>للتحايل</w:t>
      </w:r>
      <w:r w:rsidR="00F32B28">
        <w:rPr>
          <w:rtl/>
        </w:rPr>
        <w:t xml:space="preserve"> </w:t>
      </w:r>
      <w:r w:rsidR="00F32B28" w:rsidRPr="00F32B28">
        <w:rPr>
          <w:rtl/>
        </w:rPr>
        <w:t>على</w:t>
      </w:r>
      <w:r w:rsidR="00F32B28">
        <w:rPr>
          <w:rtl/>
        </w:rPr>
        <w:t xml:space="preserve"> </w:t>
      </w:r>
      <w:r w:rsidR="00F32B28" w:rsidRPr="00F32B28">
        <w:rPr>
          <w:rtl/>
        </w:rPr>
        <w:t>حقوق</w:t>
      </w:r>
      <w:r w:rsidR="00F32B28">
        <w:rPr>
          <w:rtl/>
        </w:rPr>
        <w:t xml:space="preserve"> </w:t>
      </w:r>
      <w:r w:rsidR="00F32B28" w:rsidRPr="00F32B28">
        <w:rPr>
          <w:rtl/>
        </w:rPr>
        <w:t>العاملين،</w:t>
      </w:r>
      <w:r w:rsidR="00F32B28">
        <w:rPr>
          <w:rtl/>
        </w:rPr>
        <w:t xml:space="preserve"> </w:t>
      </w:r>
      <w:r w:rsidR="00F32B28" w:rsidRPr="00F32B28">
        <w:rPr>
          <w:rtl/>
        </w:rPr>
        <w:t>ذلك</w:t>
      </w:r>
      <w:r w:rsidR="00F32B28">
        <w:rPr>
          <w:rtl/>
        </w:rPr>
        <w:t xml:space="preserve"> </w:t>
      </w:r>
      <w:r w:rsidR="00F32B28" w:rsidRPr="00F32B28">
        <w:rPr>
          <w:rtl/>
        </w:rPr>
        <w:t>كله</w:t>
      </w:r>
      <w:r w:rsidR="00F32B28">
        <w:rPr>
          <w:rtl/>
        </w:rPr>
        <w:t xml:space="preserve"> </w:t>
      </w:r>
      <w:r w:rsidR="00F32B28" w:rsidRPr="00F32B28">
        <w:rPr>
          <w:rtl/>
        </w:rPr>
        <w:t>في</w:t>
      </w:r>
      <w:r w:rsidR="00F32B28">
        <w:rPr>
          <w:rtl/>
        </w:rPr>
        <w:t xml:space="preserve"> </w:t>
      </w:r>
      <w:r w:rsidR="00F32B28" w:rsidRPr="00F32B28">
        <w:rPr>
          <w:rtl/>
        </w:rPr>
        <w:t>ظل</w:t>
      </w:r>
      <w:r w:rsidR="00F32B28">
        <w:rPr>
          <w:rtl/>
        </w:rPr>
        <w:t xml:space="preserve"> </w:t>
      </w:r>
      <w:r w:rsidR="00F32B28" w:rsidRPr="00F32B28">
        <w:rPr>
          <w:rtl/>
        </w:rPr>
        <w:t>غياب</w:t>
      </w:r>
      <w:r w:rsidR="00F32B28">
        <w:rPr>
          <w:rtl/>
        </w:rPr>
        <w:t xml:space="preserve"> </w:t>
      </w:r>
      <w:r w:rsidR="00F32B28" w:rsidRPr="00F32B28">
        <w:rPr>
          <w:rtl/>
        </w:rPr>
        <w:t>شبه</w:t>
      </w:r>
      <w:r w:rsidR="00F32B28">
        <w:rPr>
          <w:rtl/>
        </w:rPr>
        <w:t xml:space="preserve"> </w:t>
      </w:r>
      <w:r w:rsidR="00F32B28" w:rsidRPr="00F32B28">
        <w:rPr>
          <w:rtl/>
        </w:rPr>
        <w:t>كامل</w:t>
      </w:r>
      <w:r w:rsidR="00F32B28">
        <w:rPr>
          <w:rtl/>
        </w:rPr>
        <w:t xml:space="preserve"> </w:t>
      </w:r>
      <w:r w:rsidR="00F32B28" w:rsidRPr="00F32B28">
        <w:rPr>
          <w:rtl/>
        </w:rPr>
        <w:t>لإشراف</w:t>
      </w:r>
      <w:r w:rsidR="00F32B28">
        <w:rPr>
          <w:rtl/>
        </w:rPr>
        <w:t xml:space="preserve"> </w:t>
      </w:r>
      <w:r w:rsidR="00F32B28" w:rsidRPr="00F32B28">
        <w:rPr>
          <w:rtl/>
        </w:rPr>
        <w:t>الحكومة</w:t>
      </w:r>
      <w:r w:rsidR="00F32B28">
        <w:rPr>
          <w:rtl/>
        </w:rPr>
        <w:t xml:space="preserve"> </w:t>
      </w:r>
      <w:r w:rsidR="00F32B28" w:rsidRPr="00F32B28">
        <w:rPr>
          <w:rtl/>
        </w:rPr>
        <w:t>الإسرائيلية</w:t>
      </w:r>
      <w:r w:rsidR="00F32B28">
        <w:rPr>
          <w:rtl/>
        </w:rPr>
        <w:t xml:space="preserve"> </w:t>
      </w:r>
      <w:r w:rsidR="00F32B28" w:rsidRPr="00F32B28">
        <w:rPr>
          <w:rtl/>
        </w:rPr>
        <w:t>ورقابتها</w:t>
      </w:r>
      <w:r w:rsidR="00F32B28">
        <w:rPr>
          <w:rtl/>
        </w:rPr>
        <w:t xml:space="preserve"> </w:t>
      </w:r>
      <w:r w:rsidR="00F32B28" w:rsidRPr="00F32B28">
        <w:rPr>
          <w:rtl/>
        </w:rPr>
        <w:t>على</w:t>
      </w:r>
      <w:r w:rsidR="00F32B28">
        <w:rPr>
          <w:rtl/>
        </w:rPr>
        <w:t xml:space="preserve"> </w:t>
      </w:r>
      <w:r w:rsidR="00F32B28" w:rsidRPr="00F32B28">
        <w:rPr>
          <w:rtl/>
        </w:rPr>
        <w:t>أماكن</w:t>
      </w:r>
      <w:r w:rsidR="00F32B28">
        <w:rPr>
          <w:rtl/>
        </w:rPr>
        <w:t xml:space="preserve"> </w:t>
      </w:r>
      <w:r w:rsidR="00F32B28" w:rsidRPr="00F32B28">
        <w:rPr>
          <w:rtl/>
        </w:rPr>
        <w:t>عمل</w:t>
      </w:r>
      <w:r w:rsidR="00F32B28">
        <w:rPr>
          <w:rtl/>
        </w:rPr>
        <w:t xml:space="preserve"> </w:t>
      </w:r>
      <w:r w:rsidR="00F32B28" w:rsidRPr="00F32B28">
        <w:rPr>
          <w:rtl/>
        </w:rPr>
        <w:t>هؤلاء</w:t>
      </w:r>
      <w:r w:rsidR="00F32B28">
        <w:rPr>
          <w:rtl/>
        </w:rPr>
        <w:t xml:space="preserve"> </w:t>
      </w:r>
      <w:r w:rsidR="00F32B28" w:rsidRPr="00F32B28">
        <w:rPr>
          <w:rtl/>
        </w:rPr>
        <w:t>العاملين</w:t>
      </w:r>
      <w:r w:rsidR="00F32B28">
        <w:rPr>
          <w:rtl/>
        </w:rPr>
        <w:t xml:space="preserve"> </w:t>
      </w:r>
      <w:r w:rsidR="00F32B28" w:rsidRPr="00F32B28">
        <w:rPr>
          <w:rtl/>
        </w:rPr>
        <w:t>وظروف</w:t>
      </w:r>
      <w:r w:rsidR="00F32B28">
        <w:rPr>
          <w:rtl/>
        </w:rPr>
        <w:t xml:space="preserve"> </w:t>
      </w:r>
      <w:r w:rsidR="00F32B28" w:rsidRPr="00F32B28">
        <w:rPr>
          <w:rtl/>
        </w:rPr>
        <w:t>عملهم.</w:t>
      </w:r>
      <w:r w:rsidR="00F32B28">
        <w:rPr>
          <w:rtl/>
        </w:rPr>
        <w:t xml:space="preserve"> </w:t>
      </w:r>
      <w:r w:rsidR="00F32B28" w:rsidRPr="00F32B28">
        <w:rPr>
          <w:rtl/>
        </w:rPr>
        <w:t>كما</w:t>
      </w:r>
      <w:r w:rsidR="00F32B28">
        <w:rPr>
          <w:rtl/>
        </w:rPr>
        <w:t xml:space="preserve"> </w:t>
      </w:r>
      <w:r w:rsidR="00F32B28" w:rsidRPr="00F32B28">
        <w:rPr>
          <w:rtl/>
        </w:rPr>
        <w:t>يتعرض</w:t>
      </w:r>
      <w:r w:rsidR="00F32B28">
        <w:rPr>
          <w:rtl/>
        </w:rPr>
        <w:t xml:space="preserve"> </w:t>
      </w:r>
      <w:r w:rsidR="00F32B28" w:rsidRPr="00F32B28">
        <w:rPr>
          <w:rtl/>
        </w:rPr>
        <w:t>العاملين</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المستوطنات</w:t>
      </w:r>
      <w:r w:rsidR="00F32B28">
        <w:rPr>
          <w:rtl/>
        </w:rPr>
        <w:t xml:space="preserve"> </w:t>
      </w:r>
      <w:r w:rsidR="00F32B28" w:rsidRPr="00F32B28">
        <w:rPr>
          <w:rtl/>
        </w:rPr>
        <w:t>للعنف</w:t>
      </w:r>
      <w:r w:rsidR="00F32B28">
        <w:rPr>
          <w:rtl/>
        </w:rPr>
        <w:t xml:space="preserve"> </w:t>
      </w:r>
      <w:r w:rsidR="00F32B28" w:rsidRPr="00F32B28">
        <w:rPr>
          <w:rtl/>
        </w:rPr>
        <w:t>الجسدي</w:t>
      </w:r>
      <w:r w:rsidR="00F32B28">
        <w:rPr>
          <w:rtl/>
        </w:rPr>
        <w:t xml:space="preserve"> </w:t>
      </w:r>
      <w:r w:rsidR="00F32B28" w:rsidRPr="00F32B28">
        <w:rPr>
          <w:rtl/>
        </w:rPr>
        <w:t>والمعنوي،</w:t>
      </w:r>
      <w:r w:rsidR="00F32B28">
        <w:rPr>
          <w:rtl/>
        </w:rPr>
        <w:t xml:space="preserve"> </w:t>
      </w:r>
      <w:r w:rsidR="00F32B28" w:rsidRPr="00F32B28">
        <w:rPr>
          <w:rtl/>
        </w:rPr>
        <w:t>وللتمييز</w:t>
      </w:r>
      <w:r w:rsidR="00F32B28">
        <w:rPr>
          <w:rtl/>
        </w:rPr>
        <w:t xml:space="preserve"> </w:t>
      </w:r>
      <w:r w:rsidR="00F32B28" w:rsidRPr="00F32B28">
        <w:rPr>
          <w:rtl/>
        </w:rPr>
        <w:t>العنصري،</w:t>
      </w:r>
      <w:r w:rsidR="00F32B28">
        <w:rPr>
          <w:rtl/>
        </w:rPr>
        <w:t xml:space="preserve"> </w:t>
      </w:r>
      <w:r w:rsidR="00F32B28" w:rsidRPr="00F32B28">
        <w:rPr>
          <w:rtl/>
        </w:rPr>
        <w:t>وللتهديد</w:t>
      </w:r>
      <w:r w:rsidR="00F32B28">
        <w:rPr>
          <w:rtl/>
        </w:rPr>
        <w:t xml:space="preserve"> </w:t>
      </w:r>
      <w:r w:rsidR="00F32B28" w:rsidRPr="00F32B28">
        <w:rPr>
          <w:rtl/>
        </w:rPr>
        <w:t>بمصادرة</w:t>
      </w:r>
      <w:r w:rsidR="00F32B28">
        <w:rPr>
          <w:rtl/>
        </w:rPr>
        <w:t xml:space="preserve"> </w:t>
      </w:r>
      <w:r w:rsidR="00F32B28" w:rsidRPr="00F32B28">
        <w:rPr>
          <w:rtl/>
        </w:rPr>
        <w:t>تصريح</w:t>
      </w:r>
      <w:r w:rsidR="00F32B28">
        <w:rPr>
          <w:rtl/>
        </w:rPr>
        <w:t xml:space="preserve"> </w:t>
      </w:r>
      <w:r w:rsidR="00F32B28" w:rsidRPr="00F32B28">
        <w:rPr>
          <w:rtl/>
        </w:rPr>
        <w:t>العمل؛</w:t>
      </w:r>
      <w:r w:rsidR="00F32B28">
        <w:rPr>
          <w:rtl/>
          <w:lang w:bidi="ar-JO"/>
        </w:rPr>
        <w:t xml:space="preserve"> </w:t>
      </w:r>
      <w:r w:rsidR="00F32B28" w:rsidRPr="00F32B28">
        <w:rPr>
          <w:rtl/>
          <w:lang w:bidi="ar-JO"/>
        </w:rPr>
        <w:t>وذلك</w:t>
      </w:r>
      <w:r w:rsidR="00F32B28">
        <w:rPr>
          <w:rtl/>
          <w:lang w:bidi="ar-JO"/>
        </w:rPr>
        <w:t xml:space="preserve"> </w:t>
      </w:r>
      <w:r w:rsidR="00F32B28" w:rsidRPr="00F32B28">
        <w:rPr>
          <w:rtl/>
          <w:lang w:bidi="ar-JO"/>
        </w:rPr>
        <w:t>سواء</w:t>
      </w:r>
      <w:r w:rsidR="00F32B28">
        <w:rPr>
          <w:rtl/>
          <w:lang w:bidi="ar-JO"/>
        </w:rPr>
        <w:t xml:space="preserve"> </w:t>
      </w:r>
      <w:r w:rsidR="00F32B28" w:rsidRPr="00F32B28">
        <w:rPr>
          <w:rtl/>
        </w:rPr>
        <w:t>من</w:t>
      </w:r>
      <w:r w:rsidR="00F32B28">
        <w:rPr>
          <w:rtl/>
        </w:rPr>
        <w:t xml:space="preserve"> </w:t>
      </w:r>
      <w:r w:rsidR="00F32B28" w:rsidRPr="00F32B28">
        <w:rPr>
          <w:rtl/>
        </w:rPr>
        <w:t>قبل</w:t>
      </w:r>
      <w:r w:rsidR="00F32B28">
        <w:rPr>
          <w:rtl/>
        </w:rPr>
        <w:t xml:space="preserve"> </w:t>
      </w:r>
      <w:r w:rsidR="00F32B28" w:rsidRPr="00F32B28">
        <w:rPr>
          <w:rtl/>
        </w:rPr>
        <w:t>جيش</w:t>
      </w:r>
      <w:r w:rsidR="00F32B28">
        <w:rPr>
          <w:rtl/>
        </w:rPr>
        <w:t xml:space="preserve"> </w:t>
      </w:r>
      <w:r w:rsidR="00F32B28" w:rsidRPr="00F32B28">
        <w:rPr>
          <w:rtl/>
        </w:rPr>
        <w:t>الاحتلال</w:t>
      </w:r>
      <w:r w:rsidR="00F32B28">
        <w:rPr>
          <w:rtl/>
        </w:rPr>
        <w:t xml:space="preserve"> </w:t>
      </w:r>
      <w:r w:rsidR="00F32B28" w:rsidRPr="00F32B28">
        <w:rPr>
          <w:rtl/>
        </w:rPr>
        <w:t>وأرباب</w:t>
      </w:r>
      <w:r w:rsidR="00F32B28">
        <w:rPr>
          <w:rtl/>
        </w:rPr>
        <w:t xml:space="preserve"> </w:t>
      </w:r>
      <w:r w:rsidR="00F32B28" w:rsidRPr="00F32B28">
        <w:rPr>
          <w:rtl/>
        </w:rPr>
        <w:t>العمل.</w:t>
      </w:r>
      <w:r w:rsidR="00F32B28">
        <w:rPr>
          <w:rtl/>
        </w:rPr>
        <w:t xml:space="preserve"> </w:t>
      </w:r>
    </w:p>
    <w:p w:rsidR="00F32B28" w:rsidRPr="00F32B28" w:rsidRDefault="00AF1BC1" w:rsidP="00AF1BC1">
      <w:pPr>
        <w:pStyle w:val="SingleTxt"/>
      </w:pPr>
      <w:r>
        <w:rPr>
          <w:rFonts w:hint="cs"/>
          <w:rtl/>
        </w:rPr>
        <w:t xml:space="preserve">230 - </w:t>
      </w:r>
      <w:r w:rsidR="00F32B28" w:rsidRPr="00F32B28">
        <w:rPr>
          <w:rtl/>
        </w:rPr>
        <w:t>وتعاني</w:t>
      </w:r>
      <w:r w:rsidR="00F32B28">
        <w:rPr>
          <w:rtl/>
        </w:rPr>
        <w:t xml:space="preserve"> </w:t>
      </w:r>
      <w:r w:rsidR="00F32B28" w:rsidRPr="00F32B28">
        <w:rPr>
          <w:rtl/>
        </w:rPr>
        <w:t>العاملات</w:t>
      </w:r>
      <w:r w:rsidR="00F32B28">
        <w:rPr>
          <w:rtl/>
        </w:rPr>
        <w:t xml:space="preserve"> </w:t>
      </w:r>
      <w:r w:rsidR="00F32B28" w:rsidRPr="00F32B28">
        <w:rPr>
          <w:rtl/>
        </w:rPr>
        <w:t>الفلسطينيات</w:t>
      </w:r>
      <w:r w:rsidR="00F32B28">
        <w:rPr>
          <w:rtl/>
        </w:rPr>
        <w:t xml:space="preserve"> </w:t>
      </w:r>
      <w:r w:rsidR="00F32B28" w:rsidRPr="00F32B28">
        <w:rPr>
          <w:rtl/>
        </w:rPr>
        <w:t>هناك</w:t>
      </w:r>
      <w:r w:rsidR="00F32B28">
        <w:rPr>
          <w:rtl/>
        </w:rPr>
        <w:t xml:space="preserve"> </w:t>
      </w:r>
      <w:r w:rsidR="00F32B28" w:rsidRPr="00F32B28">
        <w:rPr>
          <w:rtl/>
        </w:rPr>
        <w:t>من</w:t>
      </w:r>
      <w:r w:rsidR="00F32B28">
        <w:rPr>
          <w:rtl/>
        </w:rPr>
        <w:t xml:space="preserve"> </w:t>
      </w:r>
      <w:r w:rsidR="00F32B28" w:rsidRPr="00F32B28">
        <w:rPr>
          <w:rtl/>
        </w:rPr>
        <w:t>تمييز</w:t>
      </w:r>
      <w:r w:rsidR="00F32B28">
        <w:rPr>
          <w:rtl/>
        </w:rPr>
        <w:t xml:space="preserve"> </w:t>
      </w:r>
      <w:r w:rsidR="00F32B28" w:rsidRPr="00F32B28">
        <w:rPr>
          <w:rtl/>
        </w:rPr>
        <w:t>من</w:t>
      </w:r>
      <w:r w:rsidR="00F32B28">
        <w:rPr>
          <w:rtl/>
        </w:rPr>
        <w:t xml:space="preserve"> </w:t>
      </w:r>
      <w:r w:rsidR="00F32B28" w:rsidRPr="00F32B28">
        <w:rPr>
          <w:rtl/>
        </w:rPr>
        <w:t>نوع</w:t>
      </w:r>
      <w:r w:rsidR="00F32B28">
        <w:rPr>
          <w:rtl/>
        </w:rPr>
        <w:t xml:space="preserve"> </w:t>
      </w:r>
      <w:r w:rsidR="00F32B28" w:rsidRPr="00F32B28">
        <w:rPr>
          <w:rtl/>
        </w:rPr>
        <w:t>آخر</w:t>
      </w:r>
      <w:r w:rsidR="00F32B28">
        <w:rPr>
          <w:rtl/>
        </w:rPr>
        <w:t xml:space="preserve"> </w:t>
      </w:r>
      <w:r w:rsidR="00F32B28" w:rsidRPr="00F32B28">
        <w:rPr>
          <w:rtl/>
        </w:rPr>
        <w:t>قائم</w:t>
      </w:r>
      <w:r w:rsidR="00F32B28">
        <w:rPr>
          <w:rtl/>
        </w:rPr>
        <w:t xml:space="preserve"> </w:t>
      </w:r>
      <w:r w:rsidR="00F32B28" w:rsidRPr="00F32B28">
        <w:rPr>
          <w:rtl/>
        </w:rPr>
        <w:t>على</w:t>
      </w:r>
      <w:r w:rsidR="00F32B28">
        <w:rPr>
          <w:rtl/>
        </w:rPr>
        <w:t xml:space="preserve"> </w:t>
      </w:r>
      <w:r w:rsidR="00F32B28" w:rsidRPr="00F32B28">
        <w:rPr>
          <w:rtl/>
        </w:rPr>
        <w:t>الجنس؛</w:t>
      </w:r>
      <w:r w:rsidR="00F32B28">
        <w:rPr>
          <w:rtl/>
        </w:rPr>
        <w:t xml:space="preserve"> </w:t>
      </w:r>
      <w:r w:rsidR="00F32B28" w:rsidRPr="00F32B28">
        <w:rPr>
          <w:rtl/>
        </w:rPr>
        <w:t>حيث</w:t>
      </w:r>
      <w:r w:rsidR="00F32B28">
        <w:rPr>
          <w:rtl/>
        </w:rPr>
        <w:t xml:space="preserve"> </w:t>
      </w:r>
      <w:r w:rsidR="00F32B28" w:rsidRPr="00F32B28">
        <w:rPr>
          <w:rtl/>
        </w:rPr>
        <w:t>يصل</w:t>
      </w:r>
      <w:r w:rsidR="00F32B28">
        <w:rPr>
          <w:rtl/>
        </w:rPr>
        <w:t xml:space="preserve"> </w:t>
      </w:r>
      <w:r w:rsidR="00F32B28" w:rsidRPr="00F32B28">
        <w:rPr>
          <w:rtl/>
        </w:rPr>
        <w:t>أجرهن</w:t>
      </w:r>
      <w:r w:rsidR="00F32B28">
        <w:rPr>
          <w:rtl/>
        </w:rPr>
        <w:t xml:space="preserve"> </w:t>
      </w:r>
      <w:r w:rsidR="00F32B28" w:rsidRPr="00F32B28">
        <w:rPr>
          <w:rtl/>
        </w:rPr>
        <w:t>اليومي</w:t>
      </w:r>
      <w:r w:rsidR="00F32B28">
        <w:rPr>
          <w:rtl/>
        </w:rPr>
        <w:t xml:space="preserve"> </w:t>
      </w:r>
      <w:r w:rsidR="00F32B28" w:rsidRPr="00F32B28">
        <w:rPr>
          <w:rtl/>
        </w:rPr>
        <w:t>فقط</w:t>
      </w:r>
      <w:r w:rsidR="00F32B28">
        <w:rPr>
          <w:rtl/>
        </w:rPr>
        <w:t xml:space="preserve"> </w:t>
      </w:r>
      <w:r w:rsidR="00F32B28" w:rsidRPr="00F32B28">
        <w:rPr>
          <w:rtl/>
        </w:rPr>
        <w:t>إلى</w:t>
      </w:r>
      <w:r w:rsidR="00F32B28">
        <w:rPr>
          <w:rtl/>
        </w:rPr>
        <w:t xml:space="preserve"> </w:t>
      </w:r>
      <w:r w:rsidR="00F32B28" w:rsidRPr="00F32B28">
        <w:rPr>
          <w:rtl/>
        </w:rPr>
        <w:t>نصف</w:t>
      </w:r>
      <w:r w:rsidR="00F32B28">
        <w:rPr>
          <w:rtl/>
        </w:rPr>
        <w:t xml:space="preserve"> </w:t>
      </w:r>
      <w:r w:rsidR="00F32B28" w:rsidRPr="00F32B28">
        <w:rPr>
          <w:rtl/>
        </w:rPr>
        <w:t>معدل</w:t>
      </w:r>
      <w:r w:rsidR="00F32B28">
        <w:rPr>
          <w:rtl/>
        </w:rPr>
        <w:t xml:space="preserve"> </w:t>
      </w:r>
      <w:r w:rsidR="00F32B28" w:rsidRPr="00F32B28">
        <w:rPr>
          <w:rtl/>
        </w:rPr>
        <w:t>الأجر</w:t>
      </w:r>
      <w:r w:rsidR="00F32B28">
        <w:rPr>
          <w:rtl/>
        </w:rPr>
        <w:t xml:space="preserve"> </w:t>
      </w:r>
      <w:r w:rsidR="00F32B28" w:rsidRPr="00F32B28">
        <w:rPr>
          <w:rtl/>
        </w:rPr>
        <w:t>اليومي</w:t>
      </w:r>
      <w:r w:rsidR="00F32B28">
        <w:rPr>
          <w:rtl/>
        </w:rPr>
        <w:t xml:space="preserve"> </w:t>
      </w:r>
      <w:r w:rsidR="00F32B28" w:rsidRPr="00F32B28">
        <w:rPr>
          <w:rtl/>
        </w:rPr>
        <w:t>للعامل</w:t>
      </w:r>
      <w:r w:rsidR="00F32B28">
        <w:rPr>
          <w:rtl/>
        </w:rPr>
        <w:t xml:space="preserve"> </w:t>
      </w:r>
      <w:r w:rsidR="00F32B28" w:rsidRPr="00F32B28">
        <w:rPr>
          <w:rtl/>
        </w:rPr>
        <w:t>الرجل،</w:t>
      </w:r>
      <w:r w:rsidR="00F32B28">
        <w:rPr>
          <w:rtl/>
        </w:rPr>
        <w:t xml:space="preserve"> </w:t>
      </w:r>
      <w:r w:rsidR="00F32B28" w:rsidRPr="00F32B28">
        <w:rPr>
          <w:rtl/>
          <w:lang w:bidi="ar-SY"/>
        </w:rPr>
        <w:t>الذي</w:t>
      </w:r>
      <w:r w:rsidR="00F32B28">
        <w:rPr>
          <w:rtl/>
          <w:lang w:bidi="ar-SY"/>
        </w:rPr>
        <w:t xml:space="preserve"> </w:t>
      </w:r>
      <w:r w:rsidR="00F32B28" w:rsidRPr="00F32B28">
        <w:rPr>
          <w:rtl/>
        </w:rPr>
        <w:t>يقل</w:t>
      </w:r>
      <w:r w:rsidR="00F32B28">
        <w:rPr>
          <w:rtl/>
        </w:rPr>
        <w:t xml:space="preserve"> </w:t>
      </w:r>
      <w:r w:rsidR="00F32B28" w:rsidRPr="00F32B28">
        <w:rPr>
          <w:rtl/>
        </w:rPr>
        <w:t>بدوره</w:t>
      </w:r>
      <w:r w:rsidR="00F32B28">
        <w:rPr>
          <w:rtl/>
        </w:rPr>
        <w:t xml:space="preserve"> </w:t>
      </w:r>
      <w:r w:rsidR="00F32B28" w:rsidRPr="00F32B28">
        <w:rPr>
          <w:rtl/>
        </w:rPr>
        <w:t>كثيراً</w:t>
      </w:r>
      <w:r w:rsidR="00F32B28">
        <w:rPr>
          <w:rtl/>
        </w:rPr>
        <w:t xml:space="preserve"> </w:t>
      </w:r>
      <w:r w:rsidR="00F32B28" w:rsidRPr="00F32B28">
        <w:rPr>
          <w:rtl/>
        </w:rPr>
        <w:t>عن</w:t>
      </w:r>
      <w:r w:rsidR="00F32B28">
        <w:rPr>
          <w:rtl/>
        </w:rPr>
        <w:t xml:space="preserve"> </w:t>
      </w:r>
      <w:r w:rsidR="00F32B28" w:rsidRPr="00F32B28">
        <w:rPr>
          <w:rtl/>
        </w:rPr>
        <w:t>الحد</w:t>
      </w:r>
      <w:r w:rsidR="00F32B28">
        <w:rPr>
          <w:rtl/>
        </w:rPr>
        <w:t xml:space="preserve"> </w:t>
      </w:r>
      <w:r w:rsidR="00F32B28" w:rsidRPr="00F32B28">
        <w:rPr>
          <w:rtl/>
        </w:rPr>
        <w:t>الأدنى</w:t>
      </w:r>
      <w:r w:rsidR="00F32B28">
        <w:rPr>
          <w:rtl/>
        </w:rPr>
        <w:t xml:space="preserve"> </w:t>
      </w:r>
      <w:r w:rsidR="00F32B28" w:rsidRPr="00F32B28">
        <w:rPr>
          <w:rtl/>
        </w:rPr>
        <w:t>للأجور</w:t>
      </w:r>
      <w:r w:rsidR="00F32B28">
        <w:rPr>
          <w:rtl/>
        </w:rPr>
        <w:t xml:space="preserve"> </w:t>
      </w:r>
      <w:r w:rsidR="00F32B28" w:rsidRPr="00F32B28">
        <w:rPr>
          <w:rtl/>
        </w:rPr>
        <w:t>في</w:t>
      </w:r>
      <w:r w:rsidR="00F32B28">
        <w:rPr>
          <w:rtl/>
        </w:rPr>
        <w:t xml:space="preserve"> </w:t>
      </w:r>
      <w:r w:rsidR="00F32B28" w:rsidRPr="00F32B28">
        <w:rPr>
          <w:rtl/>
        </w:rPr>
        <w:t>إسرائيل،</w:t>
      </w:r>
      <w:r w:rsidR="00F32B28">
        <w:rPr>
          <w:rtl/>
        </w:rPr>
        <w:t xml:space="preserve"> </w:t>
      </w:r>
      <w:r w:rsidR="00F32B28" w:rsidRPr="00F32B28">
        <w:rPr>
          <w:rtl/>
        </w:rPr>
        <w:t>كما</w:t>
      </w:r>
      <w:r w:rsidR="00F32B28">
        <w:rPr>
          <w:rtl/>
        </w:rPr>
        <w:t xml:space="preserve"> </w:t>
      </w:r>
      <w:r w:rsidR="00F32B28" w:rsidRPr="00F32B28">
        <w:rPr>
          <w:rtl/>
        </w:rPr>
        <w:t>يعملن</w:t>
      </w:r>
      <w:r w:rsidR="00F32B28">
        <w:rPr>
          <w:rtl/>
        </w:rPr>
        <w:t xml:space="preserve"> </w:t>
      </w:r>
      <w:r w:rsidR="00F32B28" w:rsidRPr="00F32B28">
        <w:rPr>
          <w:rtl/>
        </w:rPr>
        <w:t>لساعات</w:t>
      </w:r>
      <w:r w:rsidR="00F32B28">
        <w:rPr>
          <w:rtl/>
        </w:rPr>
        <w:t xml:space="preserve"> </w:t>
      </w:r>
      <w:r w:rsidR="00F32B28" w:rsidRPr="00F32B28">
        <w:rPr>
          <w:rtl/>
        </w:rPr>
        <w:t>أطول،</w:t>
      </w:r>
      <w:r w:rsidR="00F32B28">
        <w:rPr>
          <w:rtl/>
        </w:rPr>
        <w:t xml:space="preserve"> </w:t>
      </w:r>
      <w:r w:rsidR="00F32B28" w:rsidRPr="00F32B28">
        <w:rPr>
          <w:rtl/>
        </w:rPr>
        <w:t>من</w:t>
      </w:r>
      <w:r w:rsidR="00F32B28">
        <w:rPr>
          <w:rtl/>
        </w:rPr>
        <w:t xml:space="preserve"> </w:t>
      </w:r>
      <w:r w:rsidR="00F32B28" w:rsidRPr="00F32B28">
        <w:rPr>
          <w:rtl/>
        </w:rPr>
        <w:t>تلك</w:t>
      </w:r>
      <w:r w:rsidR="00F32B28">
        <w:rPr>
          <w:rtl/>
        </w:rPr>
        <w:t xml:space="preserve"> </w:t>
      </w:r>
      <w:r w:rsidR="00F32B28" w:rsidRPr="00F32B28">
        <w:rPr>
          <w:rtl/>
        </w:rPr>
        <w:t>التي</w:t>
      </w:r>
      <w:r w:rsidR="00F32B28">
        <w:rPr>
          <w:rtl/>
        </w:rPr>
        <w:t xml:space="preserve"> </w:t>
      </w:r>
      <w:r w:rsidR="00F32B28" w:rsidRPr="00F32B28">
        <w:rPr>
          <w:rtl/>
        </w:rPr>
        <w:t>يعملها</w:t>
      </w:r>
      <w:r w:rsidR="00F32B28">
        <w:rPr>
          <w:rtl/>
        </w:rPr>
        <w:t xml:space="preserve"> </w:t>
      </w:r>
      <w:r w:rsidR="00F32B28" w:rsidRPr="00F32B28">
        <w:rPr>
          <w:rtl/>
        </w:rPr>
        <w:t>العاملين</w:t>
      </w:r>
      <w:r w:rsidR="00F32B28">
        <w:rPr>
          <w:rtl/>
        </w:rPr>
        <w:t xml:space="preserve"> </w:t>
      </w:r>
      <w:r w:rsidR="00F32B28" w:rsidRPr="00F32B28">
        <w:rPr>
          <w:rtl/>
        </w:rPr>
        <w:t>الذكور،</w:t>
      </w:r>
      <w:r w:rsidR="00F32B28">
        <w:rPr>
          <w:rtl/>
        </w:rPr>
        <w:t xml:space="preserve"> </w:t>
      </w:r>
      <w:r w:rsidR="00F32B28" w:rsidRPr="00F32B28">
        <w:rPr>
          <w:rtl/>
        </w:rPr>
        <w:t>في</w:t>
      </w:r>
      <w:r w:rsidR="00F32B28">
        <w:rPr>
          <w:rtl/>
        </w:rPr>
        <w:t xml:space="preserve"> </w:t>
      </w:r>
      <w:r w:rsidR="00F32B28" w:rsidRPr="00F32B28">
        <w:rPr>
          <w:rtl/>
        </w:rPr>
        <w:t>قطاعي</w:t>
      </w:r>
      <w:r w:rsidR="00F32B28">
        <w:rPr>
          <w:rtl/>
        </w:rPr>
        <w:t xml:space="preserve"> </w:t>
      </w:r>
      <w:r w:rsidR="00F32B28" w:rsidRPr="00F32B28">
        <w:rPr>
          <w:rtl/>
        </w:rPr>
        <w:t>الخدمات</w:t>
      </w:r>
      <w:r w:rsidR="00F32B28">
        <w:rPr>
          <w:rtl/>
        </w:rPr>
        <w:t xml:space="preserve"> </w:t>
      </w:r>
      <w:r w:rsidR="00F32B28" w:rsidRPr="00F32B28">
        <w:rPr>
          <w:rtl/>
        </w:rPr>
        <w:t>والزراعة</w:t>
      </w:r>
      <w:r w:rsidR="00F32B28">
        <w:rPr>
          <w:rtl/>
        </w:rPr>
        <w:t xml:space="preserve"> </w:t>
      </w:r>
      <w:r w:rsidR="00F32B28" w:rsidRPr="00F32B28">
        <w:rPr>
          <w:rtl/>
        </w:rPr>
        <w:t>دون</w:t>
      </w:r>
      <w:r w:rsidR="00F32B28">
        <w:rPr>
          <w:rtl/>
        </w:rPr>
        <w:t xml:space="preserve"> </w:t>
      </w:r>
      <w:r w:rsidR="00F32B28" w:rsidRPr="00F32B28">
        <w:rPr>
          <w:rtl/>
        </w:rPr>
        <w:t>احتسابها</w:t>
      </w:r>
      <w:r w:rsidR="00F32B28">
        <w:rPr>
          <w:rtl/>
        </w:rPr>
        <w:t xml:space="preserve"> </w:t>
      </w:r>
      <w:r w:rsidR="00F32B28" w:rsidRPr="00F32B28">
        <w:rPr>
          <w:rtl/>
        </w:rPr>
        <w:t>كساعات</w:t>
      </w:r>
      <w:r w:rsidR="00F32B28">
        <w:rPr>
          <w:rtl/>
        </w:rPr>
        <w:t xml:space="preserve"> </w:t>
      </w:r>
      <w:r w:rsidR="00F32B28" w:rsidRPr="00F32B28">
        <w:rPr>
          <w:rtl/>
        </w:rPr>
        <w:t>عمل</w:t>
      </w:r>
      <w:r w:rsidR="00F32B28">
        <w:rPr>
          <w:rtl/>
        </w:rPr>
        <w:t xml:space="preserve"> </w:t>
      </w:r>
      <w:r w:rsidR="00F32B28" w:rsidRPr="00F32B28">
        <w:rPr>
          <w:rtl/>
        </w:rPr>
        <w:t>إضافي.</w:t>
      </w:r>
    </w:p>
    <w:p w:rsidR="00F32B28" w:rsidRPr="00F32B28" w:rsidRDefault="00AF1BC1" w:rsidP="00AF1BC1">
      <w:pPr>
        <w:pStyle w:val="SingleTxt"/>
      </w:pPr>
      <w:r>
        <w:rPr>
          <w:rFonts w:hint="cs"/>
          <w:rtl/>
        </w:rPr>
        <w:t xml:space="preserve">231 -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الصحة</w:t>
      </w:r>
      <w:r w:rsidR="00F32B28">
        <w:rPr>
          <w:rtl/>
        </w:rPr>
        <w:t xml:space="preserve"> </w:t>
      </w:r>
      <w:r w:rsidR="00F32B28" w:rsidRPr="00F32B28">
        <w:rPr>
          <w:rtl/>
        </w:rPr>
        <w:t>السلامة</w:t>
      </w:r>
      <w:r w:rsidR="00F32B28">
        <w:rPr>
          <w:rtl/>
        </w:rPr>
        <w:t xml:space="preserve"> </w:t>
      </w:r>
      <w:r w:rsidR="00F32B28" w:rsidRPr="00F32B28">
        <w:rPr>
          <w:rtl/>
        </w:rPr>
        <w:t>المهنية،</w:t>
      </w:r>
      <w:r>
        <w:rPr>
          <w:rFonts w:hint="cs"/>
          <w:rtl/>
        </w:rPr>
        <w:t xml:space="preserve"> </w:t>
      </w:r>
      <w:r w:rsidR="00F32B28" w:rsidRPr="00F32B28">
        <w:rPr>
          <w:rtl/>
        </w:rPr>
        <w:t>فإن</w:t>
      </w:r>
      <w:r w:rsidR="00F32B28">
        <w:rPr>
          <w:rtl/>
        </w:rPr>
        <w:t xml:space="preserve"> </w:t>
      </w:r>
      <w:r w:rsidR="00F32B28" w:rsidRPr="00F32B28">
        <w:rPr>
          <w:rtl/>
        </w:rPr>
        <w:t>معظم</w:t>
      </w:r>
      <w:r w:rsidR="00F32B28">
        <w:rPr>
          <w:rtl/>
        </w:rPr>
        <w:t xml:space="preserve"> </w:t>
      </w:r>
      <w:r w:rsidR="00F32B28" w:rsidRPr="00F32B28">
        <w:rPr>
          <w:rtl/>
        </w:rPr>
        <w:t>العاملين</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المستوطنات</w:t>
      </w:r>
      <w:r w:rsidR="00F32B28">
        <w:rPr>
          <w:rtl/>
        </w:rPr>
        <w:t xml:space="preserve"> </w:t>
      </w:r>
      <w:r w:rsidR="00F32B28" w:rsidRPr="00F32B28">
        <w:rPr>
          <w:rtl/>
        </w:rPr>
        <w:t>الإسرائيلية</w:t>
      </w:r>
      <w:r w:rsidR="00F32B28">
        <w:rPr>
          <w:rtl/>
        </w:rPr>
        <w:t xml:space="preserve"> </w:t>
      </w:r>
      <w:r w:rsidR="00F32B28" w:rsidRPr="00F32B28">
        <w:rPr>
          <w:rtl/>
        </w:rPr>
        <w:t>غير</w:t>
      </w:r>
      <w:r w:rsidR="00F32B28">
        <w:rPr>
          <w:rtl/>
        </w:rPr>
        <w:t xml:space="preserve"> </w:t>
      </w:r>
      <w:r w:rsidR="00F32B28" w:rsidRPr="00F32B28">
        <w:rPr>
          <w:rtl/>
        </w:rPr>
        <w:t>ال</w:t>
      </w:r>
      <w:r w:rsidR="00F32B28" w:rsidRPr="00F32B28">
        <w:rPr>
          <w:rFonts w:hint="cs"/>
          <w:rtl/>
        </w:rPr>
        <w:t>قانونية</w:t>
      </w:r>
      <w:r w:rsidR="00F32B28">
        <w:rPr>
          <w:rtl/>
        </w:rPr>
        <w:t xml:space="preserve"> </w:t>
      </w:r>
      <w:r w:rsidR="00F32B28" w:rsidRPr="00F32B28">
        <w:rPr>
          <w:rtl/>
        </w:rPr>
        <w:t>يعملون</w:t>
      </w:r>
      <w:r w:rsidR="00F32B28">
        <w:rPr>
          <w:rtl/>
        </w:rPr>
        <w:t xml:space="preserve"> </w:t>
      </w:r>
      <w:r w:rsidR="00F32B28" w:rsidRPr="00F32B28">
        <w:rPr>
          <w:rtl/>
        </w:rPr>
        <w:t>في</w:t>
      </w:r>
      <w:r w:rsidR="00F32B28">
        <w:rPr>
          <w:rtl/>
        </w:rPr>
        <w:t xml:space="preserve"> </w:t>
      </w:r>
      <w:r w:rsidR="00F32B28" w:rsidRPr="00F32B28">
        <w:rPr>
          <w:rtl/>
        </w:rPr>
        <w:t>مواقع</w:t>
      </w:r>
      <w:r w:rsidR="00F32B28">
        <w:rPr>
          <w:rtl/>
        </w:rPr>
        <w:t xml:space="preserve"> </w:t>
      </w:r>
      <w:r w:rsidR="00F32B28" w:rsidRPr="00F32B28">
        <w:rPr>
          <w:rtl/>
        </w:rPr>
        <w:t>عمل</w:t>
      </w:r>
      <w:r w:rsidR="00F32B28">
        <w:rPr>
          <w:rtl/>
        </w:rPr>
        <w:t xml:space="preserve"> </w:t>
      </w:r>
      <w:r w:rsidR="00F32B28" w:rsidRPr="00F32B28">
        <w:rPr>
          <w:rtl/>
        </w:rPr>
        <w:t>لا</w:t>
      </w:r>
      <w:r w:rsidR="00F32B28">
        <w:rPr>
          <w:rtl/>
        </w:rPr>
        <w:t xml:space="preserve"> </w:t>
      </w:r>
      <w:r w:rsidR="00F32B28" w:rsidRPr="00F32B28">
        <w:rPr>
          <w:rtl/>
        </w:rPr>
        <w:t>يتوفر</w:t>
      </w:r>
      <w:r w:rsidR="00F32B28">
        <w:rPr>
          <w:rtl/>
        </w:rPr>
        <w:t xml:space="preserve"> </w:t>
      </w:r>
      <w:r w:rsidR="00F32B28" w:rsidRPr="00F32B28">
        <w:rPr>
          <w:rtl/>
        </w:rPr>
        <w:t>فيها</w:t>
      </w:r>
      <w:r w:rsidR="00F32B28">
        <w:rPr>
          <w:rtl/>
        </w:rPr>
        <w:t xml:space="preserve"> </w:t>
      </w:r>
      <w:r w:rsidR="00F32B28" w:rsidRPr="00F32B28">
        <w:rPr>
          <w:rtl/>
        </w:rPr>
        <w:t>ملابس</w:t>
      </w:r>
      <w:r w:rsidR="00F32B28">
        <w:rPr>
          <w:rtl/>
        </w:rPr>
        <w:t xml:space="preserve"> </w:t>
      </w:r>
      <w:r w:rsidR="00F32B28" w:rsidRPr="00F32B28">
        <w:rPr>
          <w:rtl/>
        </w:rPr>
        <w:t>ومعدات</w:t>
      </w:r>
      <w:r w:rsidR="00F32B28">
        <w:rPr>
          <w:rtl/>
        </w:rPr>
        <w:t xml:space="preserve"> </w:t>
      </w:r>
      <w:r w:rsidR="00F32B28" w:rsidRPr="00F32B28">
        <w:rPr>
          <w:rtl/>
        </w:rPr>
        <w:t>واقية</w:t>
      </w:r>
      <w:r w:rsidR="00F32B28">
        <w:rPr>
          <w:rtl/>
        </w:rPr>
        <w:t xml:space="preserve"> </w:t>
      </w:r>
      <w:r w:rsidR="00F32B28" w:rsidRPr="00F32B28">
        <w:rPr>
          <w:rtl/>
        </w:rPr>
        <w:t>للاستخدام؛</w:t>
      </w:r>
      <w:r>
        <w:rPr>
          <w:rFonts w:hint="cs"/>
          <w:rtl/>
        </w:rPr>
        <w:t xml:space="preserve"> </w:t>
      </w:r>
      <w:r w:rsidR="00F32B28" w:rsidRPr="00F32B28">
        <w:rPr>
          <w:rtl/>
        </w:rPr>
        <w:t>ومعرضون</w:t>
      </w:r>
      <w:r w:rsidR="00F32B28">
        <w:rPr>
          <w:rtl/>
        </w:rPr>
        <w:t xml:space="preserve"> </w:t>
      </w:r>
      <w:r w:rsidR="00F32B28" w:rsidRPr="00F32B28">
        <w:rPr>
          <w:rtl/>
        </w:rPr>
        <w:t>لأشعة</w:t>
      </w:r>
      <w:r w:rsidR="00F32B28">
        <w:rPr>
          <w:rtl/>
        </w:rPr>
        <w:t xml:space="preserve"> </w:t>
      </w:r>
      <w:r w:rsidR="00F32B28" w:rsidRPr="00F32B28">
        <w:rPr>
          <w:rtl/>
        </w:rPr>
        <w:t>الشمس</w:t>
      </w:r>
      <w:r w:rsidR="00F32B28">
        <w:rPr>
          <w:rtl/>
        </w:rPr>
        <w:t xml:space="preserve"> </w:t>
      </w:r>
      <w:r w:rsidR="00F32B28" w:rsidRPr="00F32B28">
        <w:rPr>
          <w:rtl/>
        </w:rPr>
        <w:t>والدخان</w:t>
      </w:r>
      <w:r>
        <w:rPr>
          <w:rFonts w:hint="cs"/>
          <w:rtl/>
        </w:rPr>
        <w:t xml:space="preserve"> </w:t>
      </w:r>
      <w:r w:rsidR="00F32B28" w:rsidRPr="00F32B28">
        <w:rPr>
          <w:rtl/>
        </w:rPr>
        <w:t>والمواد</w:t>
      </w:r>
      <w:r w:rsidR="00F32B28">
        <w:rPr>
          <w:rtl/>
        </w:rPr>
        <w:t xml:space="preserve"> </w:t>
      </w:r>
      <w:r w:rsidR="00F32B28" w:rsidRPr="00F32B28">
        <w:rPr>
          <w:rtl/>
        </w:rPr>
        <w:t>كيماوية</w:t>
      </w:r>
      <w:r w:rsidR="00F32B28">
        <w:rPr>
          <w:rtl/>
        </w:rPr>
        <w:t xml:space="preserve"> </w:t>
      </w:r>
      <w:r w:rsidR="00F32B28" w:rsidRPr="00F32B28">
        <w:rPr>
          <w:rtl/>
        </w:rPr>
        <w:t>ومبيدات</w:t>
      </w:r>
      <w:r w:rsidR="00F32B28">
        <w:rPr>
          <w:rtl/>
        </w:rPr>
        <w:t xml:space="preserve"> </w:t>
      </w:r>
      <w:r w:rsidR="00F32B28" w:rsidRPr="00F32B28">
        <w:rPr>
          <w:rtl/>
        </w:rPr>
        <w:t>حشرية</w:t>
      </w:r>
      <w:r w:rsidR="00F32B28">
        <w:rPr>
          <w:rtl/>
        </w:rPr>
        <w:t xml:space="preserve"> </w:t>
      </w:r>
      <w:r w:rsidR="00F32B28" w:rsidRPr="00F32B28">
        <w:rPr>
          <w:rtl/>
        </w:rPr>
        <w:t>والمواد</w:t>
      </w:r>
      <w:r w:rsidR="00F32B28">
        <w:rPr>
          <w:rtl/>
        </w:rPr>
        <w:t xml:space="preserve"> </w:t>
      </w:r>
      <w:r w:rsidR="00F32B28" w:rsidRPr="00F32B28">
        <w:rPr>
          <w:rtl/>
        </w:rPr>
        <w:t>القابلة</w:t>
      </w:r>
      <w:r w:rsidR="00F32B28">
        <w:rPr>
          <w:rtl/>
        </w:rPr>
        <w:t xml:space="preserve"> </w:t>
      </w:r>
      <w:r w:rsidR="00F32B28" w:rsidRPr="00F32B28">
        <w:rPr>
          <w:rtl/>
        </w:rPr>
        <w:t>للاشتعال.</w:t>
      </w:r>
    </w:p>
    <w:p w:rsidR="00F32B28" w:rsidRPr="00F32B28" w:rsidRDefault="00AF1BC1" w:rsidP="00AF1BC1">
      <w:pPr>
        <w:pStyle w:val="SingleTxt"/>
        <w:rPr>
          <w:rtl/>
        </w:rPr>
      </w:pPr>
      <w:r>
        <w:rPr>
          <w:rFonts w:hint="cs"/>
          <w:rtl/>
        </w:rPr>
        <w:t xml:space="preserve">232 - </w:t>
      </w:r>
      <w:r w:rsidR="00F32B28" w:rsidRPr="00F32B28">
        <w:rPr>
          <w:rtl/>
        </w:rPr>
        <w:t>وفي</w:t>
      </w:r>
      <w:r w:rsidR="00F32B28">
        <w:rPr>
          <w:rtl/>
        </w:rPr>
        <w:t xml:space="preserve"> </w:t>
      </w:r>
      <w:r w:rsidR="00F32B28" w:rsidRPr="00F32B28">
        <w:rPr>
          <w:rtl/>
        </w:rPr>
        <w:t>إطار</w:t>
      </w:r>
      <w:r w:rsidR="00F32B28">
        <w:rPr>
          <w:rtl/>
        </w:rPr>
        <w:t xml:space="preserve"> </w:t>
      </w:r>
      <w:r w:rsidR="00F32B28" w:rsidRPr="00F32B28">
        <w:rPr>
          <w:rtl/>
        </w:rPr>
        <w:t>العمل</w:t>
      </w:r>
      <w:r w:rsidR="00F32B28">
        <w:rPr>
          <w:rtl/>
        </w:rPr>
        <w:t xml:space="preserve"> </w:t>
      </w:r>
      <w:r w:rsidR="00F32B28" w:rsidRPr="00F32B28">
        <w:rPr>
          <w:rtl/>
        </w:rPr>
        <w:t>الوطني</w:t>
      </w:r>
      <w:r w:rsidR="00F32B28">
        <w:rPr>
          <w:rtl/>
        </w:rPr>
        <w:t xml:space="preserve"> </w:t>
      </w:r>
      <w:r w:rsidR="00F32B28" w:rsidRPr="00F32B28">
        <w:rPr>
          <w:rtl/>
        </w:rPr>
        <w:t>الفلسطيني</w:t>
      </w:r>
      <w:r w:rsidR="00F32B28">
        <w:rPr>
          <w:rtl/>
        </w:rPr>
        <w:t xml:space="preserve"> </w:t>
      </w:r>
      <w:r w:rsidR="00F32B28" w:rsidRPr="00F32B28">
        <w:rPr>
          <w:rtl/>
        </w:rPr>
        <w:t>المتوجه</w:t>
      </w:r>
      <w:r w:rsidR="00F32B28">
        <w:rPr>
          <w:rtl/>
        </w:rPr>
        <w:t xml:space="preserve"> </w:t>
      </w:r>
      <w:r w:rsidR="00F32B28" w:rsidRPr="00F32B28">
        <w:rPr>
          <w:rtl/>
        </w:rPr>
        <w:t>لمقاطعة</w:t>
      </w:r>
      <w:r w:rsidR="00F32B28">
        <w:rPr>
          <w:rtl/>
        </w:rPr>
        <w:t xml:space="preserve"> </w:t>
      </w:r>
      <w:r w:rsidR="00F32B28" w:rsidRPr="00F32B28">
        <w:rPr>
          <w:rtl/>
        </w:rPr>
        <w:t>المستوطنات</w:t>
      </w:r>
      <w:r w:rsidR="00F32B28">
        <w:rPr>
          <w:rtl/>
        </w:rPr>
        <w:t xml:space="preserve"> </w:t>
      </w:r>
      <w:r w:rsidR="00F32B28" w:rsidRPr="00F32B28">
        <w:rPr>
          <w:rtl/>
        </w:rPr>
        <w:t>الإسرائيلية</w:t>
      </w:r>
      <w:r w:rsidR="00F32B28">
        <w:rPr>
          <w:rtl/>
        </w:rPr>
        <w:t xml:space="preserve"> </w:t>
      </w:r>
      <w:r w:rsidR="00F32B28" w:rsidRPr="00F32B28">
        <w:rPr>
          <w:rtl/>
        </w:rPr>
        <w:t>غير</w:t>
      </w:r>
      <w:r w:rsidR="00F32B28">
        <w:rPr>
          <w:rtl/>
        </w:rPr>
        <w:t xml:space="preserve"> </w:t>
      </w:r>
      <w:r w:rsidR="00F32B28" w:rsidRPr="00F32B28">
        <w:rPr>
          <w:rtl/>
        </w:rPr>
        <w:t>القانونية</w:t>
      </w:r>
      <w:r w:rsidR="00F32B28">
        <w:rPr>
          <w:rtl/>
        </w:rPr>
        <w:t xml:space="preserve"> </w:t>
      </w:r>
      <w:r w:rsidR="00F32B28" w:rsidRPr="00F32B28">
        <w:rPr>
          <w:rtl/>
        </w:rPr>
        <w:t>المقامة</w:t>
      </w:r>
      <w:r w:rsidR="00F32B28">
        <w:rPr>
          <w:rtl/>
        </w:rPr>
        <w:t xml:space="preserve"> </w:t>
      </w:r>
      <w:r w:rsidR="00F32B28" w:rsidRPr="00F32B28">
        <w:rPr>
          <w:rtl/>
        </w:rPr>
        <w:t>على</w:t>
      </w:r>
      <w:r w:rsidR="00F32B28">
        <w:rPr>
          <w:rtl/>
        </w:rPr>
        <w:t xml:space="preserve"> </w:t>
      </w:r>
      <w:r w:rsidR="00F32B28" w:rsidRPr="00F32B28">
        <w:rPr>
          <w:rtl/>
        </w:rPr>
        <w:t>أرض</w:t>
      </w:r>
      <w:r w:rsidR="00F32B28">
        <w:rPr>
          <w:rtl/>
        </w:rPr>
        <w:t xml:space="preserve"> </w:t>
      </w:r>
      <w:r w:rsidR="00F32B28" w:rsidRPr="00F32B28">
        <w:rPr>
          <w:rtl/>
        </w:rPr>
        <w:t>فلسطين</w:t>
      </w:r>
      <w:r w:rsidR="00F32B28">
        <w:rPr>
          <w:rtl/>
        </w:rPr>
        <w:t xml:space="preserve"> </w:t>
      </w:r>
      <w:r w:rsidR="00F32B28" w:rsidRPr="00F32B28">
        <w:rPr>
          <w:rtl/>
        </w:rPr>
        <w:t>المحتلة</w:t>
      </w:r>
      <w:r w:rsidR="00F32B28">
        <w:rPr>
          <w:rtl/>
        </w:rPr>
        <w:t xml:space="preserve"> </w:t>
      </w:r>
      <w:r w:rsidR="00F32B28" w:rsidRPr="00F32B28">
        <w:rPr>
          <w:rtl/>
        </w:rPr>
        <w:t>لعام</w:t>
      </w:r>
      <w:r w:rsidR="00F32B28">
        <w:rPr>
          <w:rtl/>
        </w:rPr>
        <w:t xml:space="preserve"> </w:t>
      </w:r>
      <w:r w:rsidR="00F32B28" w:rsidRPr="00F32B28">
        <w:rPr>
          <w:rtl/>
        </w:rPr>
        <w:t>1967،</w:t>
      </w:r>
      <w:r w:rsidR="00F32B28">
        <w:rPr>
          <w:rtl/>
        </w:rPr>
        <w:t xml:space="preserve"> </w:t>
      </w:r>
      <w:r w:rsidR="00F32B28" w:rsidRPr="00F32B28">
        <w:rPr>
          <w:rtl/>
        </w:rPr>
        <w:t>أصدر</w:t>
      </w:r>
      <w:r w:rsidR="00F32B28">
        <w:rPr>
          <w:rtl/>
        </w:rPr>
        <w:t xml:space="preserve"> </w:t>
      </w:r>
      <w:r w:rsidR="00F32B28" w:rsidRPr="00F32B28">
        <w:rPr>
          <w:rtl/>
        </w:rPr>
        <w:t>الرئيس</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رقم</w:t>
      </w:r>
      <w:r w:rsidR="00F32B28">
        <w:rPr>
          <w:rtl/>
        </w:rPr>
        <w:t xml:space="preserve"> </w:t>
      </w:r>
      <w:r w:rsidR="00F32B28" w:rsidRPr="00F32B28">
        <w:rPr>
          <w:rtl/>
        </w:rPr>
        <w:t>(4)</w:t>
      </w:r>
      <w:r w:rsidR="00F32B28">
        <w:rPr>
          <w:rtl/>
        </w:rPr>
        <w:t xml:space="preserve"> </w:t>
      </w:r>
      <w:r w:rsidR="00F32B28" w:rsidRPr="00F32B28">
        <w:rPr>
          <w:rtl/>
        </w:rPr>
        <w:t>لسنة</w:t>
      </w:r>
      <w:r w:rsidR="00F32B28">
        <w:rPr>
          <w:rtl/>
        </w:rPr>
        <w:t xml:space="preserve"> </w:t>
      </w:r>
      <w:r w:rsidR="00F32B28" w:rsidRPr="00F32B28">
        <w:rPr>
          <w:rtl/>
        </w:rPr>
        <w:t>2010</w:t>
      </w:r>
      <w:r w:rsidR="00F32B28">
        <w:rPr>
          <w:rtl/>
        </w:rPr>
        <w:t xml:space="preserve"> </w:t>
      </w:r>
      <w:r w:rsidR="00F32B28" w:rsidRPr="00F32B28">
        <w:rPr>
          <w:rtl/>
        </w:rPr>
        <w:t>بشأن</w:t>
      </w:r>
      <w:r w:rsidR="00F32B28">
        <w:rPr>
          <w:rtl/>
        </w:rPr>
        <w:t xml:space="preserve"> </w:t>
      </w:r>
      <w:r w:rsidR="00F32B28" w:rsidRPr="00F32B28">
        <w:rPr>
          <w:rtl/>
        </w:rPr>
        <w:t>حظر</w:t>
      </w:r>
      <w:r w:rsidR="00F32B28">
        <w:rPr>
          <w:rtl/>
        </w:rPr>
        <w:t xml:space="preserve"> </w:t>
      </w:r>
      <w:r w:rsidR="00F32B28" w:rsidRPr="00F32B28">
        <w:rPr>
          <w:rtl/>
        </w:rPr>
        <w:t>ومكافحة</w:t>
      </w:r>
      <w:r w:rsidR="00F32B28">
        <w:rPr>
          <w:rtl/>
        </w:rPr>
        <w:t xml:space="preserve"> </w:t>
      </w:r>
      <w:r w:rsidR="00F32B28" w:rsidRPr="00F32B28">
        <w:rPr>
          <w:rtl/>
        </w:rPr>
        <w:t>منتجات</w:t>
      </w:r>
      <w:r w:rsidR="00F32B28">
        <w:rPr>
          <w:rtl/>
        </w:rPr>
        <w:t xml:space="preserve"> </w:t>
      </w:r>
      <w:r w:rsidR="00F32B28" w:rsidRPr="00F32B28">
        <w:rPr>
          <w:rtl/>
        </w:rPr>
        <w:t>المستوطنات،</w:t>
      </w:r>
      <w:r w:rsidR="00F32B28">
        <w:rPr>
          <w:rtl/>
        </w:rPr>
        <w:t xml:space="preserve"> </w:t>
      </w:r>
      <w:r w:rsidR="00F32B28" w:rsidRPr="00F32B28">
        <w:rPr>
          <w:rtl/>
        </w:rPr>
        <w:t>ليكتسب</w:t>
      </w:r>
      <w:r w:rsidR="00F32B28">
        <w:rPr>
          <w:rtl/>
        </w:rPr>
        <w:t xml:space="preserve"> </w:t>
      </w:r>
      <w:r w:rsidR="00F32B28" w:rsidRPr="00F32B28">
        <w:rPr>
          <w:rtl/>
        </w:rPr>
        <w:t>بذلك</w:t>
      </w:r>
      <w:r w:rsidR="00F32B28">
        <w:rPr>
          <w:rtl/>
        </w:rPr>
        <w:t xml:space="preserve"> </w:t>
      </w:r>
      <w:r w:rsidR="00F32B28" w:rsidRPr="00F32B28">
        <w:rPr>
          <w:rtl/>
        </w:rPr>
        <w:t>هذا</w:t>
      </w:r>
      <w:r w:rsidR="00F32B28">
        <w:rPr>
          <w:rtl/>
        </w:rPr>
        <w:t xml:space="preserve"> </w:t>
      </w:r>
      <w:r w:rsidR="00F32B28" w:rsidRPr="00F32B28">
        <w:rPr>
          <w:rtl/>
        </w:rPr>
        <w:t>العمل</w:t>
      </w:r>
      <w:r w:rsidR="00F32B28">
        <w:rPr>
          <w:rtl/>
        </w:rPr>
        <w:t xml:space="preserve"> </w:t>
      </w:r>
      <w:r w:rsidR="00F32B28" w:rsidRPr="00F32B28">
        <w:rPr>
          <w:rtl/>
        </w:rPr>
        <w:t>طابعه</w:t>
      </w:r>
      <w:r w:rsidR="00F32B28">
        <w:rPr>
          <w:rtl/>
        </w:rPr>
        <w:t xml:space="preserve"> </w:t>
      </w:r>
      <w:r w:rsidR="00F32B28" w:rsidRPr="00F32B28">
        <w:rPr>
          <w:rtl/>
        </w:rPr>
        <w:t>الإلزامي</w:t>
      </w:r>
      <w:r w:rsidR="00F32B28">
        <w:rPr>
          <w:rtl/>
        </w:rPr>
        <w:t xml:space="preserve"> </w:t>
      </w:r>
      <w:r w:rsidR="00F32B28" w:rsidRPr="00F32B28">
        <w:rPr>
          <w:rtl/>
        </w:rPr>
        <w:t>القطعي.</w:t>
      </w:r>
      <w:r w:rsidR="00F32B28">
        <w:rPr>
          <w:rtl/>
        </w:rPr>
        <w:t xml:space="preserve"> </w:t>
      </w:r>
      <w:r w:rsidR="00F32B28" w:rsidRPr="00F32B28">
        <w:rPr>
          <w:rtl/>
        </w:rPr>
        <w:t>وبموجب</w:t>
      </w:r>
      <w:r w:rsidR="00F32B28">
        <w:rPr>
          <w:rtl/>
        </w:rPr>
        <w:t xml:space="preserve"> </w:t>
      </w:r>
      <w:r w:rsidR="00F32B28" w:rsidRPr="00F32B28">
        <w:rPr>
          <w:rtl/>
        </w:rPr>
        <w:t>هذا</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يحظر</w:t>
      </w:r>
      <w:r w:rsidR="00F32B28">
        <w:rPr>
          <w:rtl/>
        </w:rPr>
        <w:t xml:space="preserve"> </w:t>
      </w:r>
      <w:r w:rsidR="00F32B28" w:rsidRPr="00F32B28">
        <w:rPr>
          <w:rtl/>
        </w:rPr>
        <w:t>على</w:t>
      </w:r>
      <w:r w:rsidR="00F32B28">
        <w:rPr>
          <w:rtl/>
        </w:rPr>
        <w:t xml:space="preserve"> </w:t>
      </w:r>
      <w:r w:rsidR="00F32B28" w:rsidRPr="00F32B28">
        <w:rPr>
          <w:rtl/>
        </w:rPr>
        <w:t>أي</w:t>
      </w:r>
      <w:r w:rsidR="00F32B28">
        <w:rPr>
          <w:rtl/>
        </w:rPr>
        <w:t xml:space="preserve"> </w:t>
      </w:r>
      <w:r w:rsidR="00F32B28" w:rsidRPr="00F32B28">
        <w:rPr>
          <w:rtl/>
        </w:rPr>
        <w:t>شخص</w:t>
      </w:r>
      <w:r w:rsidR="00F32B28">
        <w:rPr>
          <w:rtl/>
        </w:rPr>
        <w:t xml:space="preserve"> </w:t>
      </w:r>
      <w:r w:rsidR="00F32B28" w:rsidRPr="00F32B28">
        <w:rPr>
          <w:rtl/>
        </w:rPr>
        <w:t>تداول</w:t>
      </w:r>
      <w:r w:rsidR="00F32B28">
        <w:rPr>
          <w:rtl/>
        </w:rPr>
        <w:t xml:space="preserve"> </w:t>
      </w:r>
      <w:r w:rsidR="00F32B28" w:rsidRPr="00F32B28">
        <w:rPr>
          <w:rtl/>
        </w:rPr>
        <w:t>أي</w:t>
      </w:r>
      <w:r w:rsidR="00F32B28">
        <w:rPr>
          <w:rtl/>
        </w:rPr>
        <w:t xml:space="preserve"> </w:t>
      </w:r>
      <w:r w:rsidR="00F32B28" w:rsidRPr="00F32B28">
        <w:rPr>
          <w:rtl/>
        </w:rPr>
        <w:t>من</w:t>
      </w:r>
      <w:r w:rsidR="00F32B28">
        <w:rPr>
          <w:rtl/>
        </w:rPr>
        <w:t xml:space="preserve"> </w:t>
      </w:r>
      <w:r w:rsidR="00F32B28" w:rsidRPr="00F32B28">
        <w:rPr>
          <w:rtl/>
        </w:rPr>
        <w:t>منتجات</w:t>
      </w:r>
      <w:r w:rsidR="00F32B28">
        <w:rPr>
          <w:rtl/>
        </w:rPr>
        <w:t xml:space="preserve"> </w:t>
      </w:r>
      <w:r w:rsidR="00F32B28" w:rsidRPr="00F32B28">
        <w:rPr>
          <w:rtl/>
        </w:rPr>
        <w:t>المستوطنات</w:t>
      </w:r>
      <w:r w:rsidR="00F32B28">
        <w:rPr>
          <w:rtl/>
        </w:rPr>
        <w:t xml:space="preserve"> </w:t>
      </w:r>
      <w:r w:rsidR="00F32B28" w:rsidRPr="00F32B28">
        <w:rPr>
          <w:rtl/>
        </w:rPr>
        <w:t>الإسرائيلية</w:t>
      </w:r>
      <w:r w:rsidR="00F32B28">
        <w:rPr>
          <w:rtl/>
        </w:rPr>
        <w:t xml:space="preserve"> </w:t>
      </w:r>
      <w:r w:rsidR="00F32B28" w:rsidRPr="00F32B28">
        <w:rPr>
          <w:rtl/>
        </w:rPr>
        <w:t>داخل</w:t>
      </w:r>
      <w:r w:rsidR="00F32B28">
        <w:rPr>
          <w:rtl/>
        </w:rPr>
        <w:t xml:space="preserve"> </w:t>
      </w:r>
      <w:r w:rsidR="00F32B28" w:rsidRPr="00F32B28">
        <w:rPr>
          <w:rtl/>
        </w:rPr>
        <w:t>السوق</w:t>
      </w:r>
      <w:r w:rsidR="00F32B28">
        <w:rPr>
          <w:rtl/>
        </w:rPr>
        <w:t xml:space="preserve"> </w:t>
      </w:r>
      <w:r w:rsidR="00F32B28" w:rsidRPr="00F32B28">
        <w:rPr>
          <w:rtl/>
        </w:rPr>
        <w:t>الفلسطيني</w:t>
      </w:r>
      <w:r w:rsidR="00F32B28">
        <w:rPr>
          <w:rtl/>
        </w:rPr>
        <w:t xml:space="preserve"> </w:t>
      </w:r>
      <w:r w:rsidR="00F32B28" w:rsidRPr="00F32B28">
        <w:rPr>
          <w:rtl/>
        </w:rPr>
        <w:t>بأي</w:t>
      </w:r>
      <w:r w:rsidR="00F32B28">
        <w:rPr>
          <w:rtl/>
        </w:rPr>
        <w:t xml:space="preserve"> </w:t>
      </w:r>
      <w:r w:rsidR="00F32B28" w:rsidRPr="00F32B28">
        <w:rPr>
          <w:rtl/>
        </w:rPr>
        <w:t>شكل</w:t>
      </w:r>
      <w:r w:rsidR="00F32B28">
        <w:rPr>
          <w:rtl/>
        </w:rPr>
        <w:t xml:space="preserve"> </w:t>
      </w:r>
      <w:r w:rsidR="00F32B28" w:rsidRPr="00F32B28">
        <w:rPr>
          <w:rtl/>
        </w:rPr>
        <w:t>من</w:t>
      </w:r>
      <w:r w:rsidR="00F32B28">
        <w:rPr>
          <w:rtl/>
        </w:rPr>
        <w:t xml:space="preserve"> </w:t>
      </w:r>
      <w:r w:rsidR="00F32B28" w:rsidRPr="00F32B28">
        <w:rPr>
          <w:rtl/>
        </w:rPr>
        <w:t>الأشكال،</w:t>
      </w:r>
      <w:r w:rsidR="00F32B28">
        <w:rPr>
          <w:rtl/>
        </w:rPr>
        <w:t xml:space="preserve"> </w:t>
      </w:r>
      <w:r w:rsidR="00F32B28" w:rsidRPr="00F32B28">
        <w:rPr>
          <w:rtl/>
        </w:rPr>
        <w:t>كما</w:t>
      </w:r>
      <w:r w:rsidR="00F32B28">
        <w:rPr>
          <w:rtl/>
        </w:rPr>
        <w:t xml:space="preserve"> </w:t>
      </w:r>
      <w:r w:rsidR="00F32B28" w:rsidRPr="00F32B28">
        <w:rPr>
          <w:rtl/>
        </w:rPr>
        <w:t>ويحظر</w:t>
      </w:r>
      <w:r w:rsidR="00F32B28">
        <w:rPr>
          <w:rtl/>
        </w:rPr>
        <w:t xml:space="preserve"> </w:t>
      </w:r>
      <w:r w:rsidR="00F32B28" w:rsidRPr="00F32B28">
        <w:rPr>
          <w:rtl/>
        </w:rPr>
        <w:t>على</w:t>
      </w:r>
      <w:r w:rsidR="00F32B28">
        <w:rPr>
          <w:rtl/>
        </w:rPr>
        <w:t xml:space="preserve"> </w:t>
      </w:r>
      <w:r w:rsidR="00F32B28" w:rsidRPr="00F32B28">
        <w:rPr>
          <w:rtl/>
        </w:rPr>
        <w:t>أي</w:t>
      </w:r>
      <w:r w:rsidR="00F32B28">
        <w:rPr>
          <w:rtl/>
        </w:rPr>
        <w:t xml:space="preserve"> </w:t>
      </w:r>
      <w:r w:rsidR="00F32B28" w:rsidRPr="00F32B28">
        <w:rPr>
          <w:rtl/>
        </w:rPr>
        <w:t>شخص</w:t>
      </w:r>
      <w:r w:rsidR="00F32B28">
        <w:rPr>
          <w:rtl/>
        </w:rPr>
        <w:t xml:space="preserve"> </w:t>
      </w:r>
      <w:r w:rsidR="00F32B28" w:rsidRPr="00F32B28">
        <w:rPr>
          <w:rtl/>
        </w:rPr>
        <w:t>القيام</w:t>
      </w:r>
      <w:r w:rsidR="00F32B28">
        <w:rPr>
          <w:rtl/>
        </w:rPr>
        <w:t xml:space="preserve"> </w:t>
      </w:r>
      <w:r w:rsidR="00F32B28" w:rsidRPr="00F32B28">
        <w:rPr>
          <w:rtl/>
        </w:rPr>
        <w:t>بتقديم</w:t>
      </w:r>
      <w:r w:rsidR="00F32B28">
        <w:rPr>
          <w:rtl/>
        </w:rPr>
        <w:t xml:space="preserve"> </w:t>
      </w:r>
      <w:r w:rsidR="00F32B28" w:rsidRPr="00F32B28">
        <w:rPr>
          <w:rtl/>
        </w:rPr>
        <w:t>أية</w:t>
      </w:r>
      <w:r w:rsidR="00F32B28">
        <w:rPr>
          <w:rtl/>
        </w:rPr>
        <w:t xml:space="preserve"> </w:t>
      </w:r>
      <w:r w:rsidR="00F32B28" w:rsidRPr="00F32B28">
        <w:rPr>
          <w:rtl/>
        </w:rPr>
        <w:t>خدمات</w:t>
      </w:r>
      <w:r w:rsidR="00F32B28">
        <w:rPr>
          <w:rtl/>
        </w:rPr>
        <w:t xml:space="preserve"> </w:t>
      </w:r>
      <w:r w:rsidR="00F32B28" w:rsidRPr="00F32B28">
        <w:rPr>
          <w:rtl/>
        </w:rPr>
        <w:t>لصالح</w:t>
      </w:r>
      <w:r w:rsidR="00F32B28">
        <w:rPr>
          <w:rtl/>
        </w:rPr>
        <w:t xml:space="preserve"> </w:t>
      </w:r>
      <w:r w:rsidR="00F32B28" w:rsidRPr="00F32B28">
        <w:rPr>
          <w:rtl/>
        </w:rPr>
        <w:t>هذه</w:t>
      </w:r>
      <w:r w:rsidR="00F32B28">
        <w:rPr>
          <w:rtl/>
        </w:rPr>
        <w:t xml:space="preserve"> </w:t>
      </w:r>
      <w:r w:rsidR="00F32B28" w:rsidRPr="00F32B28">
        <w:rPr>
          <w:rtl/>
        </w:rPr>
        <w:t>المستوطنات،</w:t>
      </w:r>
      <w:r w:rsidR="00F32B28">
        <w:rPr>
          <w:rtl/>
        </w:rPr>
        <w:t xml:space="preserve"> </w:t>
      </w:r>
      <w:r w:rsidR="00F32B28" w:rsidRPr="00F32B28">
        <w:rPr>
          <w:rtl/>
        </w:rPr>
        <w:t>أو</w:t>
      </w:r>
      <w:r w:rsidR="00F32B28">
        <w:rPr>
          <w:rtl/>
        </w:rPr>
        <w:t xml:space="preserve"> </w:t>
      </w:r>
      <w:r w:rsidR="00F32B28" w:rsidRPr="00F32B28">
        <w:rPr>
          <w:rtl/>
        </w:rPr>
        <w:t>العمل</w:t>
      </w:r>
      <w:r w:rsidR="00F32B28">
        <w:rPr>
          <w:rtl/>
        </w:rPr>
        <w:t xml:space="preserve"> </w:t>
      </w:r>
      <w:r w:rsidR="00F32B28" w:rsidRPr="00F32B28">
        <w:rPr>
          <w:rtl/>
        </w:rPr>
        <w:t>فيها.</w:t>
      </w:r>
      <w:r w:rsidR="00F32B28">
        <w:rPr>
          <w:rtl/>
        </w:rPr>
        <w:t xml:space="preserve"> </w:t>
      </w:r>
      <w:r w:rsidR="00F32B28" w:rsidRPr="00F32B28">
        <w:rPr>
          <w:rtl/>
          <w:lang w:bidi="ar-SY"/>
        </w:rPr>
        <w:t>وقد</w:t>
      </w:r>
      <w:r w:rsidR="00F32B28">
        <w:rPr>
          <w:rtl/>
          <w:lang w:bidi="ar-SY"/>
        </w:rPr>
        <w:t xml:space="preserve"> </w:t>
      </w:r>
      <w:r w:rsidR="00F32B28" w:rsidRPr="00F32B28">
        <w:rPr>
          <w:rtl/>
        </w:rPr>
        <w:t>تبنت</w:t>
      </w:r>
      <w:r w:rsidR="00F32B28">
        <w:rPr>
          <w:rtl/>
        </w:rPr>
        <w:t xml:space="preserve"> </w:t>
      </w:r>
      <w:r w:rsidR="00F32B28" w:rsidRPr="00F32B28">
        <w:rPr>
          <w:rtl/>
        </w:rPr>
        <w:t>الحكومة</w:t>
      </w:r>
      <w:r w:rsidR="00F32B28">
        <w:rPr>
          <w:rtl/>
        </w:rPr>
        <w:t xml:space="preserve"> </w:t>
      </w:r>
      <w:r w:rsidR="00F32B28" w:rsidRPr="00F32B28">
        <w:rPr>
          <w:rtl/>
        </w:rPr>
        <w:t>منذ</w:t>
      </w:r>
      <w:r w:rsidR="00F32B28">
        <w:rPr>
          <w:rtl/>
        </w:rPr>
        <w:t xml:space="preserve"> </w:t>
      </w:r>
      <w:r w:rsidR="00F32B28" w:rsidRPr="00F32B28">
        <w:rPr>
          <w:rtl/>
        </w:rPr>
        <w:t>ذلك</w:t>
      </w:r>
      <w:r w:rsidR="00F32B28">
        <w:rPr>
          <w:rtl/>
        </w:rPr>
        <w:t xml:space="preserve"> </w:t>
      </w:r>
      <w:r w:rsidR="00F32B28" w:rsidRPr="00F32B28">
        <w:rPr>
          <w:rtl/>
        </w:rPr>
        <w:t>الحين</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الخطط</w:t>
      </w:r>
      <w:r w:rsidR="00F32B28">
        <w:rPr>
          <w:rtl/>
        </w:rPr>
        <w:t xml:space="preserve"> </w:t>
      </w:r>
      <w:r w:rsidR="00F32B28" w:rsidRPr="00F32B28">
        <w:rPr>
          <w:rtl/>
        </w:rPr>
        <w:t>والبرامج</w:t>
      </w:r>
      <w:r w:rsidR="00F32B28">
        <w:rPr>
          <w:rtl/>
        </w:rPr>
        <w:t xml:space="preserve"> </w:t>
      </w:r>
      <w:r w:rsidR="00F32B28" w:rsidRPr="00F32B28">
        <w:rPr>
          <w:rtl/>
          <w:lang w:bidi="ar-SY"/>
        </w:rPr>
        <w:t>لتنفيذ</w:t>
      </w:r>
      <w:r w:rsidR="00F32B28">
        <w:rPr>
          <w:rtl/>
          <w:lang w:bidi="ar-SY"/>
        </w:rPr>
        <w:t xml:space="preserve"> </w:t>
      </w:r>
      <w:r w:rsidR="00F32B28" w:rsidRPr="00F32B28">
        <w:rPr>
          <w:rtl/>
          <w:lang w:bidi="ar-SY"/>
        </w:rPr>
        <w:t>أحكام</w:t>
      </w:r>
      <w:r w:rsidR="00F32B28">
        <w:rPr>
          <w:rtl/>
          <w:lang w:bidi="ar-SY"/>
        </w:rPr>
        <w:t xml:space="preserve"> </w:t>
      </w:r>
      <w:r w:rsidR="00F32B28" w:rsidRPr="00F32B28">
        <w:rPr>
          <w:rtl/>
        </w:rPr>
        <w:t>هذا</w:t>
      </w:r>
      <w:r w:rsidR="00F32B28">
        <w:rPr>
          <w:rtl/>
        </w:rPr>
        <w:t xml:space="preserve"> </w:t>
      </w:r>
      <w:r w:rsidR="00F32B28" w:rsidRPr="00F32B28">
        <w:rPr>
          <w:rtl/>
        </w:rPr>
        <w:t>القرار</w:t>
      </w:r>
      <w:r w:rsidR="00F32B28">
        <w:rPr>
          <w:rtl/>
        </w:rPr>
        <w:t xml:space="preserve"> </w:t>
      </w:r>
      <w:r w:rsidR="00F32B28" w:rsidRPr="00F32B28">
        <w:rPr>
          <w:rtl/>
        </w:rPr>
        <w:t>بقانون</w:t>
      </w:r>
      <w:r w:rsidR="00F32B28">
        <w:rPr>
          <w:rtl/>
        </w:rPr>
        <w:t xml:space="preserve"> </w:t>
      </w:r>
      <w:r w:rsidR="00F32B28" w:rsidRPr="00F32B28">
        <w:rPr>
          <w:rtl/>
        </w:rPr>
        <w:t>وإيجاد</w:t>
      </w:r>
      <w:r w:rsidR="00F32B28">
        <w:rPr>
          <w:rtl/>
        </w:rPr>
        <w:t xml:space="preserve"> </w:t>
      </w:r>
      <w:r w:rsidR="00F32B28" w:rsidRPr="00F32B28">
        <w:rPr>
          <w:rtl/>
        </w:rPr>
        <w:t>البدائل</w:t>
      </w:r>
      <w:r w:rsidR="00F32B28">
        <w:rPr>
          <w:rtl/>
        </w:rPr>
        <w:t xml:space="preserve"> </w:t>
      </w:r>
      <w:r w:rsidR="00F32B28" w:rsidRPr="00F32B28">
        <w:rPr>
          <w:rtl/>
        </w:rPr>
        <w:t>ودعم</w:t>
      </w:r>
      <w:r w:rsidR="00F32B28">
        <w:rPr>
          <w:rtl/>
        </w:rPr>
        <w:t xml:space="preserve"> </w:t>
      </w:r>
      <w:r w:rsidR="00F32B28" w:rsidRPr="00F32B28">
        <w:rPr>
          <w:rtl/>
        </w:rPr>
        <w:t>الاقتصاد</w:t>
      </w:r>
      <w:r w:rsidR="00F32B28">
        <w:rPr>
          <w:rtl/>
        </w:rPr>
        <w:t xml:space="preserve"> </w:t>
      </w:r>
      <w:r w:rsidR="00F32B28" w:rsidRPr="00F32B28">
        <w:rPr>
          <w:rtl/>
        </w:rPr>
        <w:t>الوطني</w:t>
      </w:r>
      <w:r w:rsidR="00F32B28" w:rsidRPr="00F32B28">
        <w:rPr>
          <w:rFonts w:hint="cs"/>
          <w:rtl/>
        </w:rPr>
        <w:t>.</w:t>
      </w:r>
    </w:p>
    <w:p w:rsidR="00AF1BC1" w:rsidRPr="00AF1BC1" w:rsidRDefault="00AF1BC1" w:rsidP="00AF1BC1">
      <w:pPr>
        <w:pStyle w:val="SingleTxt"/>
        <w:spacing w:after="0" w:line="120" w:lineRule="exact"/>
        <w:rPr>
          <w:b/>
          <w:bCs/>
          <w:sz w:val="10"/>
          <w:rtl/>
          <w:lang w:bidi="ar-LB"/>
        </w:rPr>
      </w:pPr>
    </w:p>
    <w:p w:rsidR="00F32B28" w:rsidRPr="00F32B28" w:rsidRDefault="00F32B28" w:rsidP="00AF1BC1">
      <w:pPr>
        <w:pStyle w:val="SingleTxt"/>
        <w:rPr>
          <w:b/>
          <w:bCs/>
        </w:rPr>
      </w:pPr>
      <w:r w:rsidRPr="00F32B28">
        <w:rPr>
          <w:b/>
          <w:bCs/>
          <w:rtl/>
          <w:lang w:bidi="ar-LB"/>
        </w:rPr>
        <w:lastRenderedPageBreak/>
        <w:t>المادة</w:t>
      </w:r>
      <w:r>
        <w:rPr>
          <w:b/>
          <w:bCs/>
          <w:rtl/>
          <w:lang w:bidi="ar-LB"/>
        </w:rPr>
        <w:t xml:space="preserve"> </w:t>
      </w:r>
      <w:r w:rsidRPr="00F32B28">
        <w:rPr>
          <w:b/>
          <w:bCs/>
          <w:rtl/>
          <w:lang w:bidi="ar-LB"/>
        </w:rPr>
        <w:t>(12</w:t>
      </w:r>
      <w:r w:rsidRPr="00F32B28">
        <w:rPr>
          <w:b/>
          <w:bCs/>
          <w:rtl/>
          <w:lang w:bidi="ar-JO"/>
        </w:rPr>
        <w:t>)</w:t>
      </w:r>
      <w:r w:rsidR="00AF1BC1">
        <w:rPr>
          <w:rFonts w:hint="cs"/>
          <w:b/>
          <w:bCs/>
          <w:rtl/>
          <w:lang w:bidi="ar-JO"/>
        </w:rPr>
        <w:tab/>
      </w:r>
      <w:r w:rsidR="00AF1BC1">
        <w:rPr>
          <w:rFonts w:hint="cs"/>
          <w:b/>
          <w:bCs/>
          <w:rtl/>
          <w:lang w:bidi="ar-JO"/>
        </w:rPr>
        <w:br/>
      </w:r>
      <w:r w:rsidRPr="00F32B28">
        <w:rPr>
          <w:b/>
          <w:bCs/>
          <w:rtl/>
          <w:lang w:bidi="ar-LB"/>
        </w:rPr>
        <w:t>المساواة</w:t>
      </w:r>
      <w:r>
        <w:rPr>
          <w:b/>
          <w:bCs/>
          <w:rtl/>
          <w:lang w:bidi="ar-LB"/>
        </w:rPr>
        <w:t xml:space="preserve"> </w:t>
      </w:r>
      <w:r w:rsidRPr="00F32B28">
        <w:rPr>
          <w:b/>
          <w:bCs/>
          <w:rtl/>
          <w:lang w:bidi="ar-LB"/>
        </w:rPr>
        <w:t>في</w:t>
      </w:r>
      <w:r>
        <w:rPr>
          <w:b/>
          <w:bCs/>
          <w:rtl/>
          <w:lang w:bidi="ar-LB"/>
        </w:rPr>
        <w:t xml:space="preserve"> </w:t>
      </w:r>
      <w:r w:rsidRPr="00F32B28">
        <w:rPr>
          <w:b/>
          <w:bCs/>
          <w:rtl/>
          <w:lang w:bidi="ar-LB"/>
        </w:rPr>
        <w:t>الصحة</w:t>
      </w:r>
      <w:r>
        <w:rPr>
          <w:b/>
          <w:bCs/>
          <w:rtl/>
          <w:lang w:bidi="ar-LB"/>
        </w:rPr>
        <w:t xml:space="preserve"> </w:t>
      </w:r>
    </w:p>
    <w:p w:rsidR="00F32B28" w:rsidRPr="00F32B28" w:rsidRDefault="00AF1BC1" w:rsidP="00AF1BC1">
      <w:pPr>
        <w:pStyle w:val="SingleTxt"/>
        <w:rPr>
          <w:rtl/>
        </w:rPr>
      </w:pPr>
      <w:r>
        <w:rPr>
          <w:rFonts w:hint="cs"/>
          <w:rtl/>
          <w:lang w:bidi="ar-LB"/>
        </w:rPr>
        <w:t xml:space="preserve">233 - </w:t>
      </w:r>
      <w:r w:rsidR="00F32B28" w:rsidRPr="00F32B28">
        <w:rPr>
          <w:rtl/>
          <w:lang w:bidi="ar-LB"/>
        </w:rPr>
        <w:t>لا</w:t>
      </w:r>
      <w:r w:rsidR="00F32B28">
        <w:rPr>
          <w:rtl/>
          <w:lang w:bidi="ar-LB"/>
        </w:rPr>
        <w:t xml:space="preserve"> </w:t>
      </w:r>
      <w:r w:rsidR="00F32B28" w:rsidRPr="00F32B28">
        <w:rPr>
          <w:rtl/>
          <w:lang w:bidi="ar-LB"/>
        </w:rPr>
        <w:t>تميز</w:t>
      </w:r>
      <w:r w:rsidR="00F32B28">
        <w:rPr>
          <w:rtl/>
          <w:lang w:bidi="ar-LB"/>
        </w:rPr>
        <w:t xml:space="preserve"> </w:t>
      </w:r>
      <w:r w:rsidR="00F32B28" w:rsidRPr="00F32B28">
        <w:rPr>
          <w:rtl/>
          <w:lang w:bidi="ar-LB"/>
        </w:rPr>
        <w:t>التشريعات</w:t>
      </w:r>
      <w:r w:rsidR="00F32B28">
        <w:rPr>
          <w:rtl/>
          <w:lang w:bidi="ar-LB"/>
        </w:rPr>
        <w:t xml:space="preserve"> </w:t>
      </w:r>
      <w:r w:rsidR="00F32B28" w:rsidRPr="00F32B28">
        <w:rPr>
          <w:rtl/>
          <w:lang w:bidi="ar-LB"/>
        </w:rPr>
        <w:t>السارية</w:t>
      </w:r>
      <w:r w:rsidR="00F32B28">
        <w:rPr>
          <w:rtl/>
          <w:lang w:bidi="ar-LB"/>
        </w:rPr>
        <w:t xml:space="preserve"> </w:t>
      </w:r>
      <w:r w:rsidR="00F32B28" w:rsidRPr="00F32B28">
        <w:rPr>
          <w:rtl/>
          <w:lang w:bidi="ar-LB"/>
        </w:rPr>
        <w:t>بين</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والرجال</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مجال</w:t>
      </w:r>
      <w:r w:rsidR="00F32B28">
        <w:rPr>
          <w:rtl/>
          <w:lang w:bidi="ar-LB"/>
        </w:rPr>
        <w:t xml:space="preserve"> </w:t>
      </w:r>
      <w:r w:rsidR="00F32B28" w:rsidRPr="00F32B28">
        <w:rPr>
          <w:rtl/>
          <w:lang w:bidi="ar-LB"/>
        </w:rPr>
        <w:t>الحق</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بل</w:t>
      </w:r>
      <w:r w:rsidR="00F32B28">
        <w:rPr>
          <w:rtl/>
          <w:lang w:bidi="ar-LB"/>
        </w:rPr>
        <w:t xml:space="preserve"> </w:t>
      </w:r>
      <w:r w:rsidR="00F32B28" w:rsidRPr="00F32B28">
        <w:rPr>
          <w:rtl/>
          <w:lang w:bidi="ar-LB"/>
        </w:rPr>
        <w:t>أعطى</w:t>
      </w:r>
      <w:r w:rsidR="00F32B28">
        <w:rPr>
          <w:rtl/>
          <w:lang w:bidi="ar-LB"/>
        </w:rPr>
        <w:t xml:space="preserve"> </w:t>
      </w:r>
      <w:r w:rsidR="00F32B28" w:rsidRPr="00F32B28">
        <w:rPr>
          <w:rtl/>
          <w:lang w:bidi="ar-LB"/>
        </w:rPr>
        <w:t>القانون</w:t>
      </w:r>
      <w:r w:rsidR="00F32B28">
        <w:rPr>
          <w:rtl/>
          <w:lang w:bidi="ar-LB"/>
        </w:rPr>
        <w:t xml:space="preserve"> </w:t>
      </w:r>
      <w:r w:rsidR="00F32B28" w:rsidRPr="00F32B28">
        <w:rPr>
          <w:rtl/>
          <w:lang w:bidi="ar-LB"/>
        </w:rPr>
        <w:t>المنُظم</w:t>
      </w:r>
      <w:r w:rsidR="00F32B28">
        <w:rPr>
          <w:rtl/>
          <w:lang w:bidi="ar-LB"/>
        </w:rPr>
        <w:t xml:space="preserve"> </w:t>
      </w:r>
      <w:r w:rsidR="00F32B28" w:rsidRPr="00F32B28">
        <w:rPr>
          <w:rtl/>
          <w:lang w:bidi="ar-LB"/>
        </w:rPr>
        <w:t>للقطاع</w:t>
      </w:r>
      <w:r w:rsidR="00F32B28">
        <w:rPr>
          <w:rtl/>
          <w:lang w:bidi="ar-LB"/>
        </w:rPr>
        <w:t xml:space="preserve"> </w:t>
      </w:r>
      <w:r w:rsidR="00F32B28" w:rsidRPr="00F32B28">
        <w:rPr>
          <w:rtl/>
          <w:lang w:bidi="ar-LB"/>
        </w:rPr>
        <w:t>الصحي</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قانون</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العامة</w:t>
      </w:r>
      <w:r w:rsidR="00F32B28">
        <w:rPr>
          <w:rtl/>
          <w:lang w:bidi="ar-LB"/>
        </w:rPr>
        <w:t xml:space="preserve"> </w:t>
      </w:r>
      <w:r w:rsidR="00F32B28" w:rsidRPr="00F32B28">
        <w:rPr>
          <w:rtl/>
          <w:lang w:bidi="ar-LB"/>
        </w:rPr>
        <w:t>رقم</w:t>
      </w:r>
      <w:r w:rsidR="00F32B28">
        <w:rPr>
          <w:rtl/>
          <w:lang w:bidi="ar-LB"/>
        </w:rPr>
        <w:t xml:space="preserve"> </w:t>
      </w:r>
      <w:r w:rsidR="00F32B28" w:rsidRPr="00F32B28">
        <w:rPr>
          <w:rtl/>
          <w:lang w:bidi="ar-LB"/>
        </w:rPr>
        <w:t>(20)</w:t>
      </w:r>
      <w:r w:rsidR="00F32B28">
        <w:rPr>
          <w:rtl/>
          <w:lang w:bidi="ar-LB"/>
        </w:rPr>
        <w:t xml:space="preserve"> </w:t>
      </w:r>
      <w:r w:rsidR="00F32B28" w:rsidRPr="00F32B28">
        <w:rPr>
          <w:rtl/>
          <w:lang w:bidi="ar-LB"/>
        </w:rPr>
        <w:t>لسنة</w:t>
      </w:r>
      <w:r w:rsidR="00F32B28">
        <w:rPr>
          <w:rtl/>
          <w:lang w:bidi="ar-LB"/>
        </w:rPr>
        <w:t xml:space="preserve"> </w:t>
      </w:r>
      <w:r w:rsidR="00F32B28" w:rsidRPr="00F32B28">
        <w:rPr>
          <w:rtl/>
          <w:lang w:bidi="ar-LB"/>
        </w:rPr>
        <w:t>2004،</w:t>
      </w:r>
      <w:r w:rsidR="00F32B28">
        <w:rPr>
          <w:rtl/>
          <w:lang w:bidi="ar-LB"/>
        </w:rPr>
        <w:t xml:space="preserve"> </w:t>
      </w:r>
      <w:r w:rsidR="00F32B28" w:rsidRPr="00F32B28">
        <w:rPr>
          <w:rtl/>
          <w:lang w:bidi="ar-LB"/>
        </w:rPr>
        <w:t>الأولوية</w:t>
      </w:r>
      <w:r w:rsidR="00F32B28">
        <w:rPr>
          <w:rtl/>
          <w:lang w:bidi="ar-LB"/>
        </w:rPr>
        <w:t xml:space="preserve"> </w:t>
      </w:r>
      <w:r w:rsidR="00F32B28" w:rsidRPr="00F32B28">
        <w:rPr>
          <w:rtl/>
          <w:lang w:bidi="ar-LB"/>
        </w:rPr>
        <w:t>لرعاية</w:t>
      </w:r>
      <w:r w:rsidR="00F32B28">
        <w:rPr>
          <w:rtl/>
          <w:lang w:bidi="ar-LB"/>
        </w:rPr>
        <w:t xml:space="preserve"> </w:t>
      </w:r>
      <w:r w:rsidR="00F32B28" w:rsidRPr="00F32B28">
        <w:rPr>
          <w:rtl/>
          <w:lang w:bidi="ar-LB"/>
        </w:rPr>
        <w:t>صحة</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واعتبارها</w:t>
      </w:r>
      <w:r w:rsidR="00F32B28">
        <w:rPr>
          <w:rtl/>
          <w:lang w:bidi="ar-LB"/>
        </w:rPr>
        <w:t xml:space="preserve"> </w:t>
      </w:r>
      <w:r w:rsidR="00F32B28" w:rsidRPr="00F32B28">
        <w:rPr>
          <w:rtl/>
          <w:lang w:bidi="ar-LB"/>
        </w:rPr>
        <w:t>جزءاً</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يتجزأ</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الاستراتيجية</w:t>
      </w:r>
      <w:r w:rsidR="00F32B28">
        <w:rPr>
          <w:rtl/>
          <w:lang w:bidi="ar-LB"/>
        </w:rPr>
        <w:t xml:space="preserve"> </w:t>
      </w:r>
      <w:r w:rsidR="00F32B28" w:rsidRPr="00F32B28">
        <w:rPr>
          <w:rtl/>
          <w:lang w:bidi="ar-LB"/>
        </w:rPr>
        <w:t>الإنمائية</w:t>
      </w:r>
      <w:r w:rsidR="00F32B28">
        <w:rPr>
          <w:rtl/>
          <w:lang w:bidi="ar-LB"/>
        </w:rPr>
        <w:t xml:space="preserve"> </w:t>
      </w:r>
      <w:r w:rsidR="00F32B28" w:rsidRPr="00F32B28">
        <w:rPr>
          <w:rtl/>
          <w:lang w:bidi="ar-LB"/>
        </w:rPr>
        <w:t>لفلسطين،</w:t>
      </w:r>
      <w:r w:rsidR="00F32B28">
        <w:rPr>
          <w:rtl/>
          <w:lang w:bidi="ar-LB"/>
        </w:rPr>
        <w:t xml:space="preserve"> </w:t>
      </w:r>
      <w:r w:rsidR="00F32B28" w:rsidRPr="00F32B28">
        <w:rPr>
          <w:rtl/>
          <w:lang w:bidi="ar-LB"/>
        </w:rPr>
        <w:t>وألزم</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rPr>
        <w:t>بتوفير</w:t>
      </w:r>
      <w:r w:rsidR="00F32B28">
        <w:rPr>
          <w:rtl/>
        </w:rPr>
        <w:t xml:space="preserve"> </w:t>
      </w:r>
      <w:r w:rsidR="00F32B28" w:rsidRPr="00F32B28">
        <w:rPr>
          <w:rtl/>
        </w:rPr>
        <w:t>الخدمات</w:t>
      </w:r>
      <w:r w:rsidR="00F32B28">
        <w:rPr>
          <w:rtl/>
        </w:rPr>
        <w:t xml:space="preserve"> </w:t>
      </w:r>
      <w:r w:rsidR="00F32B28" w:rsidRPr="00F32B28">
        <w:rPr>
          <w:rtl/>
        </w:rPr>
        <w:t>الوقائية</w:t>
      </w:r>
      <w:r w:rsidR="00F32B28">
        <w:rPr>
          <w:rtl/>
        </w:rPr>
        <w:t xml:space="preserve"> </w:t>
      </w:r>
      <w:r w:rsidR="00F32B28" w:rsidRPr="00F32B28">
        <w:rPr>
          <w:rtl/>
        </w:rPr>
        <w:t>والتشخيصية</w:t>
      </w:r>
      <w:r w:rsidR="00F32B28">
        <w:rPr>
          <w:rtl/>
        </w:rPr>
        <w:t xml:space="preserve"> </w:t>
      </w:r>
      <w:r w:rsidR="00F32B28" w:rsidRPr="00F32B28">
        <w:rPr>
          <w:rtl/>
        </w:rPr>
        <w:t>والعلاجية</w:t>
      </w:r>
      <w:r w:rsidR="00F32B28">
        <w:rPr>
          <w:rtl/>
        </w:rPr>
        <w:t xml:space="preserve"> </w:t>
      </w:r>
      <w:r w:rsidR="00F32B28" w:rsidRPr="00F32B28">
        <w:rPr>
          <w:rtl/>
        </w:rPr>
        <w:t>والتأهيلية</w:t>
      </w:r>
      <w:r w:rsidR="00F32B28">
        <w:rPr>
          <w:rtl/>
        </w:rPr>
        <w:t xml:space="preserve"> </w:t>
      </w:r>
      <w:r w:rsidR="00F32B28" w:rsidRPr="00F32B28">
        <w:rPr>
          <w:rtl/>
        </w:rPr>
        <w:t>المتعلقة</w:t>
      </w:r>
      <w:r w:rsidR="00F32B28">
        <w:rPr>
          <w:rtl/>
        </w:rPr>
        <w:t xml:space="preserve"> </w:t>
      </w:r>
      <w:r w:rsidR="00F32B28" w:rsidRPr="00F32B28">
        <w:rPr>
          <w:rtl/>
        </w:rPr>
        <w:t>بصحة</w:t>
      </w:r>
      <w:r w:rsidR="00F32B28">
        <w:rPr>
          <w:rtl/>
        </w:rPr>
        <w:t xml:space="preserve"> </w:t>
      </w:r>
      <w:r w:rsidR="00F32B28" w:rsidRPr="00F32B28">
        <w:rPr>
          <w:rtl/>
        </w:rPr>
        <w:t>الأم</w:t>
      </w:r>
      <w:r w:rsidR="00F32B28">
        <w:rPr>
          <w:rtl/>
        </w:rPr>
        <w:t xml:space="preserve"> </w:t>
      </w:r>
      <w:r w:rsidR="00F32B28" w:rsidRPr="00F32B28">
        <w:rPr>
          <w:rtl/>
        </w:rPr>
        <w:t>والطفل.</w:t>
      </w:r>
      <w:r w:rsidR="00F32B28">
        <w:rPr>
          <w:rtl/>
        </w:rPr>
        <w:t xml:space="preserve"> </w:t>
      </w:r>
      <w:r w:rsidR="00F32B28" w:rsidRPr="00F32B28">
        <w:rPr>
          <w:rtl/>
        </w:rPr>
        <w:t>كما</w:t>
      </w:r>
      <w:r w:rsidR="00F32B28">
        <w:rPr>
          <w:rtl/>
        </w:rPr>
        <w:t xml:space="preserve"> </w:t>
      </w:r>
      <w:r w:rsidR="00F32B28" w:rsidRPr="00F32B28">
        <w:rPr>
          <w:rtl/>
        </w:rPr>
        <w:t>لم</w:t>
      </w:r>
      <w:r w:rsidR="00F32B28">
        <w:rPr>
          <w:rtl/>
        </w:rPr>
        <w:t xml:space="preserve"> </w:t>
      </w:r>
      <w:r w:rsidR="00F32B28" w:rsidRPr="00F32B28">
        <w:rPr>
          <w:rtl/>
        </w:rPr>
        <w:t>يتم</w:t>
      </w:r>
      <w:r w:rsidR="00F32B28">
        <w:rPr>
          <w:rtl/>
        </w:rPr>
        <w:t xml:space="preserve"> </w:t>
      </w:r>
      <w:r w:rsidR="00F32B28" w:rsidRPr="00F32B28">
        <w:rPr>
          <w:rtl/>
        </w:rPr>
        <w:t>اشتراط</w:t>
      </w:r>
      <w:r w:rsidR="00F32B28">
        <w:rPr>
          <w:rtl/>
        </w:rPr>
        <w:t xml:space="preserve"> </w:t>
      </w:r>
      <w:r w:rsidR="00F32B28" w:rsidRPr="00F32B28">
        <w:rPr>
          <w:rtl/>
        </w:rPr>
        <w:t>حصول</w:t>
      </w:r>
      <w:r w:rsidR="00F32B28">
        <w:rPr>
          <w:rtl/>
        </w:rPr>
        <w:t xml:space="preserve"> </w:t>
      </w:r>
      <w:r w:rsidR="00F32B28" w:rsidRPr="00F32B28">
        <w:rPr>
          <w:rtl/>
        </w:rPr>
        <w:t>المرأة</w:t>
      </w:r>
      <w:r w:rsidR="00F32B28">
        <w:rPr>
          <w:rtl/>
        </w:rPr>
        <w:t xml:space="preserve"> </w:t>
      </w:r>
      <w:r w:rsidR="00F32B28" w:rsidRPr="00F32B28">
        <w:rPr>
          <w:rtl/>
        </w:rPr>
        <w:t>على</w:t>
      </w:r>
      <w:r w:rsidR="00F32B28">
        <w:rPr>
          <w:rtl/>
        </w:rPr>
        <w:t xml:space="preserve"> </w:t>
      </w:r>
      <w:r w:rsidR="00F32B28" w:rsidRPr="00F32B28">
        <w:rPr>
          <w:rtl/>
        </w:rPr>
        <w:t>موافقة</w:t>
      </w:r>
      <w:r w:rsidR="00F32B28">
        <w:rPr>
          <w:rtl/>
        </w:rPr>
        <w:t xml:space="preserve"> </w:t>
      </w:r>
      <w:r w:rsidR="00F32B28" w:rsidRPr="00F32B28">
        <w:rPr>
          <w:rtl/>
        </w:rPr>
        <w:t>وليها</w:t>
      </w:r>
      <w:r w:rsidR="00F32B28">
        <w:rPr>
          <w:rtl/>
        </w:rPr>
        <w:t xml:space="preserve"> </w:t>
      </w:r>
      <w:r w:rsidR="00F32B28" w:rsidRPr="00F32B28">
        <w:rPr>
          <w:rtl/>
        </w:rPr>
        <w:t>أو</w:t>
      </w:r>
      <w:r w:rsidR="00F32B28">
        <w:rPr>
          <w:rtl/>
        </w:rPr>
        <w:t xml:space="preserve"> </w:t>
      </w:r>
      <w:r w:rsidR="00F32B28" w:rsidRPr="00F32B28">
        <w:rPr>
          <w:rtl/>
        </w:rPr>
        <w:t>زوجها</w:t>
      </w:r>
      <w:r w:rsidR="00F32B28">
        <w:rPr>
          <w:rtl/>
        </w:rPr>
        <w:t xml:space="preserve"> </w:t>
      </w:r>
      <w:r w:rsidR="00F32B28" w:rsidRPr="00F32B28">
        <w:rPr>
          <w:rtl/>
        </w:rPr>
        <w:t>حتى</w:t>
      </w:r>
      <w:r w:rsidR="00F32B28">
        <w:rPr>
          <w:rtl/>
        </w:rPr>
        <w:t xml:space="preserve"> </w:t>
      </w:r>
      <w:r w:rsidR="00F32B28" w:rsidRPr="00F32B28">
        <w:rPr>
          <w:rtl/>
        </w:rPr>
        <w:t>تتمكن</w:t>
      </w:r>
      <w:r w:rsidR="00F32B28">
        <w:rPr>
          <w:rtl/>
        </w:rPr>
        <w:t xml:space="preserve"> </w:t>
      </w:r>
      <w:r w:rsidR="00F32B28" w:rsidRPr="00F32B28">
        <w:rPr>
          <w:rtl/>
        </w:rPr>
        <w:t>من</w:t>
      </w:r>
      <w:r w:rsidR="00F32B28">
        <w:rPr>
          <w:rtl/>
        </w:rPr>
        <w:t xml:space="preserve"> </w:t>
      </w:r>
      <w:r w:rsidR="00F32B28" w:rsidRPr="00F32B28">
        <w:rPr>
          <w:rtl/>
        </w:rPr>
        <w:t>تلقي</w:t>
      </w:r>
      <w:r w:rsidR="00F32B28">
        <w:rPr>
          <w:rtl/>
        </w:rPr>
        <w:t xml:space="preserve"> </w:t>
      </w:r>
      <w:r w:rsidR="00F32B28" w:rsidRPr="00F32B28">
        <w:rPr>
          <w:rtl/>
        </w:rPr>
        <w:t>الرعاية</w:t>
      </w:r>
      <w:r w:rsidR="00F32B28">
        <w:rPr>
          <w:rtl/>
        </w:rPr>
        <w:t xml:space="preserve"> </w:t>
      </w:r>
      <w:r w:rsidR="00F32B28" w:rsidRPr="00F32B28">
        <w:rPr>
          <w:rtl/>
        </w:rPr>
        <w:t>الصحية،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استخدام</w:t>
      </w:r>
      <w:r w:rsidR="00F32B28">
        <w:rPr>
          <w:rtl/>
        </w:rPr>
        <w:t xml:space="preserve"> </w:t>
      </w:r>
      <w:r w:rsidR="00F32B28" w:rsidRPr="00F32B28">
        <w:rPr>
          <w:rtl/>
        </w:rPr>
        <w:t>وسائل</w:t>
      </w:r>
      <w:r w:rsidR="00F32B28">
        <w:rPr>
          <w:rtl/>
        </w:rPr>
        <w:t xml:space="preserve"> </w:t>
      </w:r>
      <w:r w:rsidR="00F32B28" w:rsidRPr="00F32B28">
        <w:rPr>
          <w:rtl/>
        </w:rPr>
        <w:t>تنظيم</w:t>
      </w:r>
      <w:r w:rsidR="00F32B28">
        <w:rPr>
          <w:rtl/>
        </w:rPr>
        <w:t xml:space="preserve"> </w:t>
      </w:r>
      <w:r w:rsidR="00F32B28" w:rsidRPr="00F32B28">
        <w:rPr>
          <w:rtl/>
        </w:rPr>
        <w:t>الأسرة،</w:t>
      </w:r>
      <w:r w:rsidR="00F32B28">
        <w:rPr>
          <w:rtl/>
        </w:rPr>
        <w:t xml:space="preserve"> </w:t>
      </w:r>
      <w:r w:rsidR="00F32B28" w:rsidRPr="00F32B28">
        <w:rPr>
          <w:rtl/>
        </w:rPr>
        <w:t>بل</w:t>
      </w:r>
      <w:r w:rsidR="00F32B28">
        <w:rPr>
          <w:rtl/>
        </w:rPr>
        <w:t xml:space="preserve"> </w:t>
      </w:r>
      <w:r w:rsidR="00F32B28" w:rsidRPr="00F32B28">
        <w:rPr>
          <w:rtl/>
        </w:rPr>
        <w:t>على</w:t>
      </w:r>
      <w:r w:rsidR="00F32B28">
        <w:rPr>
          <w:rtl/>
        </w:rPr>
        <w:t xml:space="preserve"> </w:t>
      </w:r>
      <w:r w:rsidR="00F32B28" w:rsidRPr="00F32B28">
        <w:rPr>
          <w:rtl/>
        </w:rPr>
        <w:t>العكس،</w:t>
      </w:r>
      <w:r w:rsidR="00F32B28">
        <w:rPr>
          <w:rtl/>
        </w:rPr>
        <w:t xml:space="preserve"> </w:t>
      </w:r>
      <w:r w:rsidR="00F32B28" w:rsidRPr="00F32B28">
        <w:rPr>
          <w:rtl/>
        </w:rPr>
        <w:t>أقرت</w:t>
      </w:r>
      <w:r w:rsidR="00F32B28">
        <w:rPr>
          <w:rtl/>
        </w:rPr>
        <w:t xml:space="preserve"> </w:t>
      </w:r>
      <w:r w:rsidR="00F32B28" w:rsidRPr="00F32B28">
        <w:rPr>
          <w:rtl/>
        </w:rPr>
        <w:t>هذه</w:t>
      </w:r>
      <w:r w:rsidR="00F32B28">
        <w:rPr>
          <w:rtl/>
        </w:rPr>
        <w:t xml:space="preserve"> </w:t>
      </w:r>
      <w:r w:rsidR="00F32B28" w:rsidRPr="00F32B28">
        <w:rPr>
          <w:rtl/>
        </w:rPr>
        <w:t>القوانين</w:t>
      </w:r>
      <w:r w:rsidR="00F32B28">
        <w:rPr>
          <w:rtl/>
        </w:rPr>
        <w:t xml:space="preserve"> </w:t>
      </w:r>
      <w:r w:rsidR="00F32B28" w:rsidRPr="00F32B28">
        <w:rPr>
          <w:rtl/>
        </w:rPr>
        <w:t>حق</w:t>
      </w:r>
      <w:r w:rsidR="00F32B28">
        <w:rPr>
          <w:rtl/>
        </w:rPr>
        <w:t xml:space="preserve"> </w:t>
      </w:r>
      <w:r w:rsidR="00F32B28" w:rsidRPr="00F32B28">
        <w:rPr>
          <w:rtl/>
        </w:rPr>
        <w:t>كل</w:t>
      </w:r>
      <w:r w:rsidR="00F32B28">
        <w:rPr>
          <w:rtl/>
        </w:rPr>
        <w:t xml:space="preserve"> </w:t>
      </w:r>
      <w:r w:rsidR="00F32B28" w:rsidRPr="00F32B28">
        <w:rPr>
          <w:rtl/>
        </w:rPr>
        <w:t>المرضى،</w:t>
      </w:r>
      <w:r w:rsidR="00F32B28">
        <w:rPr>
          <w:rtl/>
        </w:rPr>
        <w:t xml:space="preserve"> </w:t>
      </w:r>
      <w:r w:rsidR="00F32B28" w:rsidRPr="00F32B28">
        <w:rPr>
          <w:rtl/>
        </w:rPr>
        <w:t>بما</w:t>
      </w:r>
      <w:r w:rsidR="00F32B28">
        <w:rPr>
          <w:rtl/>
        </w:rPr>
        <w:t xml:space="preserve"> </w:t>
      </w:r>
      <w:r w:rsidR="00F32B28" w:rsidRPr="00F32B28">
        <w:rPr>
          <w:rtl/>
        </w:rPr>
        <w:t>فيهم</w:t>
      </w:r>
      <w:r w:rsidR="00F32B28">
        <w:rPr>
          <w:rtl/>
        </w:rPr>
        <w:t xml:space="preserve"> </w:t>
      </w:r>
      <w:r w:rsidR="00F32B28" w:rsidRPr="00F32B28">
        <w:rPr>
          <w:rtl/>
        </w:rPr>
        <w:t>النساء،</w:t>
      </w:r>
      <w:r w:rsidR="00F32B28">
        <w:rPr>
          <w:rtl/>
        </w:rPr>
        <w:t xml:space="preserve"> </w:t>
      </w:r>
      <w:r w:rsidR="00F32B28" w:rsidRPr="00F32B28">
        <w:rPr>
          <w:rtl/>
        </w:rPr>
        <w:t>في</w:t>
      </w:r>
      <w:r w:rsidR="00F32B28">
        <w:rPr>
          <w:rtl/>
        </w:rPr>
        <w:t xml:space="preserve"> </w:t>
      </w:r>
      <w:r w:rsidR="00F32B28" w:rsidRPr="00F32B28">
        <w:rPr>
          <w:rtl/>
        </w:rPr>
        <w:t>الحصول</w:t>
      </w:r>
      <w:r w:rsidR="00F32B28">
        <w:rPr>
          <w:rtl/>
        </w:rPr>
        <w:t xml:space="preserve"> </w:t>
      </w:r>
      <w:r w:rsidR="00F32B28" w:rsidRPr="00F32B28">
        <w:rPr>
          <w:rtl/>
        </w:rPr>
        <w:t>على</w:t>
      </w:r>
      <w:r w:rsidR="00F32B28">
        <w:rPr>
          <w:rtl/>
        </w:rPr>
        <w:t xml:space="preserve"> </w:t>
      </w:r>
      <w:r w:rsidR="00F32B28" w:rsidRPr="00F32B28">
        <w:rPr>
          <w:rtl/>
        </w:rPr>
        <w:t>الرعاية</w:t>
      </w:r>
      <w:r w:rsidR="00F32B28">
        <w:rPr>
          <w:rtl/>
        </w:rPr>
        <w:t xml:space="preserve"> </w:t>
      </w:r>
      <w:r w:rsidR="00F32B28" w:rsidRPr="00F32B28">
        <w:rPr>
          <w:rtl/>
        </w:rPr>
        <w:t>اللازمة،</w:t>
      </w:r>
      <w:r w:rsidR="00F32B28">
        <w:rPr>
          <w:rtl/>
        </w:rPr>
        <w:t xml:space="preserve"> </w:t>
      </w:r>
      <w:r w:rsidR="00F32B28" w:rsidRPr="00F32B28">
        <w:rPr>
          <w:rtl/>
        </w:rPr>
        <w:t>والرعاية</w:t>
      </w:r>
      <w:r w:rsidR="00F32B28">
        <w:rPr>
          <w:rtl/>
        </w:rPr>
        <w:t xml:space="preserve"> </w:t>
      </w:r>
      <w:r w:rsidR="00F32B28" w:rsidRPr="00F32B28">
        <w:rPr>
          <w:rtl/>
        </w:rPr>
        <w:t>الأولية،</w:t>
      </w:r>
      <w:r w:rsidR="00F32B28">
        <w:rPr>
          <w:rtl/>
        </w:rPr>
        <w:t xml:space="preserve"> </w:t>
      </w:r>
      <w:r w:rsidR="00F32B28" w:rsidRPr="00F32B28">
        <w:rPr>
          <w:rtl/>
        </w:rPr>
        <w:t>وعلى</w:t>
      </w:r>
      <w:r w:rsidR="00F32B28">
        <w:rPr>
          <w:rtl/>
        </w:rPr>
        <w:t xml:space="preserve"> </w:t>
      </w:r>
      <w:r w:rsidR="00F32B28" w:rsidRPr="00F32B28">
        <w:rPr>
          <w:rtl/>
        </w:rPr>
        <w:t>العلاج</w:t>
      </w:r>
      <w:r w:rsidR="00F32B28">
        <w:rPr>
          <w:rtl/>
        </w:rPr>
        <w:t xml:space="preserve"> </w:t>
      </w:r>
      <w:r w:rsidR="00F32B28" w:rsidRPr="00F32B28">
        <w:rPr>
          <w:rtl/>
        </w:rPr>
        <w:t>الفوري</w:t>
      </w:r>
      <w:r w:rsidR="00F32B28">
        <w:rPr>
          <w:rtl/>
        </w:rPr>
        <w:t xml:space="preserve"> </w:t>
      </w:r>
      <w:r w:rsidR="00F32B28" w:rsidRPr="00F32B28">
        <w:rPr>
          <w:rtl/>
        </w:rPr>
        <w:t>في</w:t>
      </w:r>
      <w:r w:rsidR="00F32B28">
        <w:rPr>
          <w:rtl/>
        </w:rPr>
        <w:t xml:space="preserve"> </w:t>
      </w:r>
      <w:r w:rsidR="00F32B28" w:rsidRPr="00F32B28">
        <w:rPr>
          <w:rtl/>
        </w:rPr>
        <w:t>الحالات</w:t>
      </w:r>
      <w:r w:rsidR="00F32B28">
        <w:rPr>
          <w:rtl/>
        </w:rPr>
        <w:t xml:space="preserve"> </w:t>
      </w:r>
      <w:r w:rsidR="00F32B28" w:rsidRPr="00F32B28">
        <w:rPr>
          <w:rtl/>
        </w:rPr>
        <w:t>الطارئة،</w:t>
      </w:r>
      <w:r w:rsidR="00F32B28">
        <w:rPr>
          <w:rtl/>
        </w:rPr>
        <w:t xml:space="preserve"> </w:t>
      </w:r>
      <w:r w:rsidR="00F32B28" w:rsidRPr="00F32B28">
        <w:rPr>
          <w:rtl/>
        </w:rPr>
        <w:t>وتلقي</w:t>
      </w:r>
      <w:r w:rsidR="00F32B28">
        <w:rPr>
          <w:rtl/>
        </w:rPr>
        <w:t xml:space="preserve"> </w:t>
      </w:r>
      <w:r w:rsidR="00F32B28" w:rsidRPr="00F32B28">
        <w:rPr>
          <w:rtl/>
        </w:rPr>
        <w:t>شرح</w:t>
      </w:r>
      <w:r w:rsidR="00F32B28">
        <w:rPr>
          <w:rtl/>
        </w:rPr>
        <w:t xml:space="preserve"> </w:t>
      </w:r>
      <w:r w:rsidR="00F32B28" w:rsidRPr="00F32B28">
        <w:rPr>
          <w:rtl/>
        </w:rPr>
        <w:t>واضح</w:t>
      </w:r>
      <w:r w:rsidR="00F32B28">
        <w:rPr>
          <w:rtl/>
        </w:rPr>
        <w:t xml:space="preserve"> </w:t>
      </w:r>
      <w:r w:rsidR="00F32B28" w:rsidRPr="00F32B28">
        <w:rPr>
          <w:rtl/>
        </w:rPr>
        <w:t>للعلاج</w:t>
      </w:r>
      <w:r w:rsidR="00F32B28">
        <w:rPr>
          <w:rtl/>
        </w:rPr>
        <w:t xml:space="preserve"> </w:t>
      </w:r>
      <w:r w:rsidR="00F32B28" w:rsidRPr="00F32B28">
        <w:rPr>
          <w:rtl/>
        </w:rPr>
        <w:t>المقترح</w:t>
      </w:r>
      <w:r w:rsidR="00F32B28">
        <w:rPr>
          <w:rtl/>
        </w:rPr>
        <w:t xml:space="preserve"> </w:t>
      </w:r>
      <w:r w:rsidR="00F32B28" w:rsidRPr="00F32B28">
        <w:rPr>
          <w:rtl/>
        </w:rPr>
        <w:t>ولهم</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الموافقة</w:t>
      </w:r>
      <w:r w:rsidR="00F32B28">
        <w:rPr>
          <w:rtl/>
        </w:rPr>
        <w:t xml:space="preserve"> </w:t>
      </w:r>
      <w:r w:rsidR="00F32B28" w:rsidRPr="00F32B28">
        <w:rPr>
          <w:rtl/>
        </w:rPr>
        <w:t>الشخصية</w:t>
      </w:r>
      <w:r w:rsidR="00F32B28">
        <w:rPr>
          <w:rtl/>
        </w:rPr>
        <w:t xml:space="preserve"> </w:t>
      </w:r>
      <w:r w:rsidR="00F32B28" w:rsidRPr="00F32B28">
        <w:rPr>
          <w:rtl/>
        </w:rPr>
        <w:t>على</w:t>
      </w:r>
      <w:r w:rsidR="00F32B28">
        <w:rPr>
          <w:rtl/>
        </w:rPr>
        <w:t xml:space="preserve"> </w:t>
      </w:r>
      <w:r w:rsidR="00F32B28" w:rsidRPr="00F32B28">
        <w:rPr>
          <w:rtl/>
        </w:rPr>
        <w:t>تعاطي</w:t>
      </w:r>
      <w:r w:rsidR="00F32B28">
        <w:rPr>
          <w:rtl/>
        </w:rPr>
        <w:t xml:space="preserve"> </w:t>
      </w:r>
      <w:r w:rsidR="00F32B28" w:rsidRPr="00F32B28">
        <w:rPr>
          <w:rtl/>
        </w:rPr>
        <w:t>ذلك</w:t>
      </w:r>
      <w:r w:rsidR="00F32B28">
        <w:rPr>
          <w:rtl/>
        </w:rPr>
        <w:t xml:space="preserve"> </w:t>
      </w:r>
      <w:r w:rsidR="00F32B28" w:rsidRPr="00F32B28">
        <w:rPr>
          <w:rtl/>
        </w:rPr>
        <w:t>العلاج</w:t>
      </w:r>
      <w:r w:rsidR="00F32B28">
        <w:rPr>
          <w:rtl/>
        </w:rPr>
        <w:t xml:space="preserve"> </w:t>
      </w:r>
      <w:r w:rsidR="00F32B28" w:rsidRPr="00F32B28">
        <w:rPr>
          <w:rtl/>
        </w:rPr>
        <w:t>أو</w:t>
      </w:r>
      <w:r w:rsidR="00F32B28">
        <w:rPr>
          <w:rtl/>
        </w:rPr>
        <w:t xml:space="preserve"> </w:t>
      </w:r>
      <w:r w:rsidR="00F32B28" w:rsidRPr="00F32B28">
        <w:rPr>
          <w:rtl/>
        </w:rPr>
        <w:t>رفضه،</w:t>
      </w:r>
      <w:r w:rsidR="00F32B28">
        <w:rPr>
          <w:rtl/>
        </w:rPr>
        <w:t xml:space="preserve"> </w:t>
      </w:r>
      <w:r w:rsidR="00F32B28" w:rsidRPr="00F32B28">
        <w:rPr>
          <w:rtl/>
        </w:rPr>
        <w:t>ويجب</w:t>
      </w:r>
      <w:r w:rsidR="00F32B28">
        <w:rPr>
          <w:rtl/>
        </w:rPr>
        <w:t xml:space="preserve"> </w:t>
      </w:r>
      <w:r w:rsidR="00F32B28" w:rsidRPr="00F32B28">
        <w:rPr>
          <w:rtl/>
        </w:rPr>
        <w:t>أن</w:t>
      </w:r>
      <w:r w:rsidR="00F32B28">
        <w:rPr>
          <w:rtl/>
        </w:rPr>
        <w:t xml:space="preserve"> </w:t>
      </w:r>
      <w:r w:rsidR="00F32B28" w:rsidRPr="00F32B28">
        <w:rPr>
          <w:rtl/>
        </w:rPr>
        <w:t>تحترم</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كله</w:t>
      </w:r>
      <w:r w:rsidR="00F32B28">
        <w:rPr>
          <w:rtl/>
        </w:rPr>
        <w:t xml:space="preserve"> </w:t>
      </w:r>
      <w:r w:rsidR="00F32B28" w:rsidRPr="00F32B28">
        <w:rPr>
          <w:rtl/>
        </w:rPr>
        <w:t>خصوصية</w:t>
      </w:r>
      <w:r w:rsidR="00F32B28">
        <w:rPr>
          <w:rtl/>
        </w:rPr>
        <w:t xml:space="preserve"> </w:t>
      </w:r>
      <w:r w:rsidR="00F32B28" w:rsidRPr="00F32B28">
        <w:rPr>
          <w:rtl/>
        </w:rPr>
        <w:t>المرضى</w:t>
      </w:r>
      <w:r w:rsidR="00F32B28">
        <w:rPr>
          <w:rtl/>
        </w:rPr>
        <w:t xml:space="preserve"> </w:t>
      </w:r>
      <w:r w:rsidR="00F32B28" w:rsidRPr="00F32B28">
        <w:rPr>
          <w:rtl/>
        </w:rPr>
        <w:t>وكرامتهم</w:t>
      </w:r>
      <w:r w:rsidR="00F32B28">
        <w:rPr>
          <w:rtl/>
        </w:rPr>
        <w:t xml:space="preserve"> </w:t>
      </w:r>
      <w:r w:rsidR="00F32B28" w:rsidRPr="00F32B28">
        <w:rPr>
          <w:rtl/>
        </w:rPr>
        <w:t>ومعتقداتهم</w:t>
      </w:r>
      <w:r w:rsidR="00F32B28">
        <w:rPr>
          <w:rtl/>
        </w:rPr>
        <w:t xml:space="preserve"> </w:t>
      </w:r>
      <w:r w:rsidR="00F32B28" w:rsidRPr="00F32B28">
        <w:rPr>
          <w:rtl/>
        </w:rPr>
        <w:t>الدينية</w:t>
      </w:r>
      <w:r w:rsidR="00F32B28">
        <w:rPr>
          <w:rtl/>
        </w:rPr>
        <w:t xml:space="preserve"> </w:t>
      </w:r>
      <w:r w:rsidR="00F32B28" w:rsidRPr="00F32B28">
        <w:rPr>
          <w:rtl/>
        </w:rPr>
        <w:t>والثقافية.</w:t>
      </w:r>
    </w:p>
    <w:p w:rsidR="00F32B28" w:rsidRPr="00F32B28" w:rsidRDefault="00AF1BC1" w:rsidP="00AF1BC1">
      <w:pPr>
        <w:pStyle w:val="SingleTxt"/>
        <w:rPr>
          <w:rtl/>
          <w:lang w:bidi="ar-LB"/>
        </w:rPr>
      </w:pPr>
      <w:r>
        <w:rPr>
          <w:rFonts w:hint="cs"/>
          <w:rtl/>
          <w:lang w:bidi="ar-LB"/>
        </w:rPr>
        <w:t xml:space="preserve">234 - </w:t>
      </w:r>
      <w:r w:rsidR="00F32B28" w:rsidRPr="00F32B28">
        <w:rPr>
          <w:rtl/>
          <w:lang w:bidi="ar-LB"/>
        </w:rPr>
        <w:t>تحظر</w:t>
      </w:r>
      <w:r w:rsidR="00F32B28">
        <w:rPr>
          <w:rtl/>
          <w:lang w:bidi="ar-LB"/>
        </w:rPr>
        <w:t xml:space="preserve"> </w:t>
      </w:r>
      <w:r w:rsidR="00F32B28" w:rsidRPr="00F32B28">
        <w:rPr>
          <w:rtl/>
          <w:lang w:bidi="ar-LB"/>
        </w:rPr>
        <w:t>التشريعات</w:t>
      </w:r>
      <w:r w:rsidR="00F32B28">
        <w:rPr>
          <w:rtl/>
          <w:lang w:bidi="ar-LB"/>
        </w:rPr>
        <w:t xml:space="preserve"> </w:t>
      </w:r>
      <w:r w:rsidR="00F32B28" w:rsidRPr="00F32B28">
        <w:rPr>
          <w:rtl/>
          <w:lang w:bidi="ar-LB"/>
        </w:rPr>
        <w:t>السارية</w:t>
      </w:r>
      <w:r w:rsidR="00F32B28">
        <w:rPr>
          <w:rtl/>
          <w:lang w:bidi="ar-LB"/>
        </w:rPr>
        <w:t xml:space="preserve"> </w:t>
      </w:r>
      <w:r w:rsidR="00F32B28" w:rsidRPr="00F32B28">
        <w:rPr>
          <w:rtl/>
          <w:lang w:bidi="ar-LB"/>
        </w:rPr>
        <w:t>الإجهاض،</w:t>
      </w:r>
      <w:r w:rsidR="00F32B28">
        <w:rPr>
          <w:rtl/>
          <w:lang w:bidi="ar-LB"/>
        </w:rPr>
        <w:t xml:space="preserve"> </w:t>
      </w:r>
      <w:r w:rsidR="00F32B28" w:rsidRPr="00F32B28">
        <w:rPr>
          <w:rtl/>
          <w:lang w:bidi="ar-LB"/>
        </w:rPr>
        <w:t>وذلك</w:t>
      </w:r>
      <w:r w:rsidR="00F32B28">
        <w:rPr>
          <w:rtl/>
          <w:lang w:bidi="ar-LB"/>
        </w:rPr>
        <w:t xml:space="preserve"> </w:t>
      </w:r>
      <w:r w:rsidR="00F32B28" w:rsidRPr="00F32B28">
        <w:rPr>
          <w:rtl/>
          <w:lang w:bidi="ar-LB"/>
        </w:rPr>
        <w:t>فيما</w:t>
      </w:r>
      <w:r w:rsidR="00F32B28">
        <w:rPr>
          <w:rtl/>
          <w:lang w:bidi="ar-LB"/>
        </w:rPr>
        <w:t xml:space="preserve"> </w:t>
      </w:r>
      <w:r w:rsidR="00F32B28" w:rsidRPr="00F32B28">
        <w:rPr>
          <w:rtl/>
          <w:lang w:bidi="ar-LB"/>
        </w:rPr>
        <w:t>عدا</w:t>
      </w:r>
      <w:r w:rsidR="00F32B28">
        <w:rPr>
          <w:rtl/>
          <w:lang w:bidi="ar-LB"/>
        </w:rPr>
        <w:t xml:space="preserve"> </w:t>
      </w:r>
      <w:r w:rsidR="00F32B28" w:rsidRPr="00F32B28">
        <w:rPr>
          <w:rtl/>
          <w:lang w:bidi="ar-LB"/>
        </w:rPr>
        <w:t>الإجهاض</w:t>
      </w:r>
      <w:r w:rsidR="00F32B28">
        <w:rPr>
          <w:rtl/>
          <w:lang w:bidi="ar-LB"/>
        </w:rPr>
        <w:t xml:space="preserve"> </w:t>
      </w:r>
      <w:r w:rsidR="00F32B28" w:rsidRPr="00F32B28">
        <w:rPr>
          <w:rtl/>
          <w:lang w:bidi="ar-LB"/>
        </w:rPr>
        <w:t>العلاجي</w:t>
      </w:r>
      <w:r w:rsidR="00F32B28">
        <w:rPr>
          <w:rtl/>
          <w:lang w:bidi="ar-LB"/>
        </w:rPr>
        <w:t xml:space="preserve"> </w:t>
      </w:r>
      <w:r w:rsidR="00F32B28" w:rsidRPr="00F32B28">
        <w:rPr>
          <w:rtl/>
          <w:lang w:bidi="ar-LB"/>
        </w:rPr>
        <w:t>وبشروط</w:t>
      </w:r>
      <w:r w:rsidR="00F32B28">
        <w:rPr>
          <w:rtl/>
          <w:lang w:bidi="ar-LB"/>
        </w:rPr>
        <w:t xml:space="preserve"> </w:t>
      </w:r>
      <w:r w:rsidR="00F32B28" w:rsidRPr="00F32B28">
        <w:rPr>
          <w:rtl/>
          <w:lang w:bidi="ar-LB"/>
        </w:rPr>
        <w:t>محددة.</w:t>
      </w:r>
      <w:r w:rsidR="00F32B28">
        <w:rPr>
          <w:rtl/>
          <w:lang w:bidi="ar-LB"/>
        </w:rPr>
        <w:t xml:space="preserve"> </w:t>
      </w:r>
      <w:r w:rsidR="00F32B28" w:rsidRPr="00F32B28">
        <w:rPr>
          <w:rtl/>
          <w:lang w:bidi="ar-LB"/>
        </w:rPr>
        <w:t>ويعتبر</w:t>
      </w:r>
      <w:r w:rsidR="00F32B28">
        <w:rPr>
          <w:rtl/>
          <w:lang w:bidi="ar-LB"/>
        </w:rPr>
        <w:t xml:space="preserve"> </w:t>
      </w:r>
      <w:r w:rsidR="00F32B28" w:rsidRPr="00F32B28">
        <w:rPr>
          <w:rtl/>
          <w:lang w:bidi="ar-LB"/>
        </w:rPr>
        <w:t>الإجهاض</w:t>
      </w:r>
      <w:r w:rsidR="00F32B28">
        <w:rPr>
          <w:rtl/>
          <w:lang w:bidi="ar-LB"/>
        </w:rPr>
        <w:t xml:space="preserve"> </w:t>
      </w:r>
      <w:r w:rsidR="00F32B28" w:rsidRPr="00F32B28">
        <w:rPr>
          <w:rtl/>
          <w:lang w:bidi="ar-LB"/>
        </w:rPr>
        <w:t>المقصود</w:t>
      </w:r>
      <w:r w:rsidR="00F32B28">
        <w:rPr>
          <w:rtl/>
          <w:lang w:bidi="ar-LB"/>
        </w:rPr>
        <w:t xml:space="preserve"> </w:t>
      </w:r>
      <w:r w:rsidR="00F32B28" w:rsidRPr="00F32B28">
        <w:rPr>
          <w:rtl/>
          <w:lang w:bidi="ar-LB"/>
        </w:rPr>
        <w:t>الحاصل</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سواء</w:t>
      </w:r>
      <w:r w:rsidR="00F32B28">
        <w:rPr>
          <w:rtl/>
          <w:lang w:bidi="ar-LB"/>
        </w:rPr>
        <w:t xml:space="preserve"> </w:t>
      </w:r>
      <w:r w:rsidR="00F32B28" w:rsidRPr="00F32B28">
        <w:rPr>
          <w:rtl/>
          <w:lang w:bidi="ar-LB"/>
        </w:rPr>
        <w:t>برضاها</w:t>
      </w:r>
      <w:r w:rsidR="00F32B28">
        <w:rPr>
          <w:rtl/>
          <w:lang w:bidi="ar-LB"/>
        </w:rPr>
        <w:t xml:space="preserve"> </w:t>
      </w:r>
      <w:r w:rsidR="00F32B28" w:rsidRPr="00F32B28">
        <w:rPr>
          <w:rtl/>
          <w:lang w:bidi="ar-LB"/>
        </w:rPr>
        <w:t>أم</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دون</w:t>
      </w:r>
      <w:r w:rsidR="00F32B28">
        <w:rPr>
          <w:rtl/>
          <w:lang w:bidi="ar-LB"/>
        </w:rPr>
        <w:t xml:space="preserve"> </w:t>
      </w:r>
      <w:r w:rsidR="00F32B28" w:rsidRPr="00F32B28">
        <w:rPr>
          <w:rtl/>
          <w:lang w:bidi="ar-LB"/>
        </w:rPr>
        <w:t>رضاها،</w:t>
      </w:r>
      <w:r w:rsidR="00F32B28">
        <w:rPr>
          <w:rtl/>
          <w:lang w:bidi="ar-LB"/>
        </w:rPr>
        <w:t xml:space="preserve"> </w:t>
      </w:r>
      <w:r w:rsidR="00F32B28" w:rsidRPr="00F32B28">
        <w:rPr>
          <w:rtl/>
          <w:lang w:bidi="ar-LB"/>
        </w:rPr>
        <w:t>جريمة،</w:t>
      </w:r>
      <w:r w:rsidR="00F32B28">
        <w:rPr>
          <w:rtl/>
          <w:lang w:bidi="ar-LB"/>
        </w:rPr>
        <w:t xml:space="preserve"> </w:t>
      </w:r>
      <w:r w:rsidR="00F32B28" w:rsidRPr="00F32B28">
        <w:rPr>
          <w:rtl/>
          <w:lang w:bidi="ar-LB"/>
        </w:rPr>
        <w:t>وكذلك</w:t>
      </w:r>
      <w:r w:rsidR="00F32B28">
        <w:rPr>
          <w:rtl/>
          <w:lang w:bidi="ar-LB"/>
        </w:rPr>
        <w:t xml:space="preserve"> </w:t>
      </w:r>
      <w:r w:rsidR="00F32B28" w:rsidRPr="00F32B28">
        <w:rPr>
          <w:rtl/>
          <w:lang w:bidi="ar-LB"/>
        </w:rPr>
        <w:t>إذا</w:t>
      </w:r>
      <w:r w:rsidR="00F32B28">
        <w:rPr>
          <w:rtl/>
          <w:lang w:bidi="ar-LB"/>
        </w:rPr>
        <w:t xml:space="preserve"> </w:t>
      </w:r>
      <w:r w:rsidR="00F32B28" w:rsidRPr="00F32B28">
        <w:rPr>
          <w:rtl/>
          <w:lang w:bidi="ar-LB"/>
        </w:rPr>
        <w:t>أودى</w:t>
      </w:r>
      <w:r w:rsidR="00F32B28">
        <w:rPr>
          <w:rtl/>
          <w:lang w:bidi="ar-LB"/>
        </w:rPr>
        <w:t xml:space="preserve"> </w:t>
      </w:r>
      <w:r w:rsidR="00F32B28" w:rsidRPr="00F32B28">
        <w:rPr>
          <w:rtl/>
          <w:lang w:bidi="ar-LB"/>
        </w:rPr>
        <w:t>الإجهاض</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الوسائل</w:t>
      </w:r>
      <w:r w:rsidR="00F32B28">
        <w:rPr>
          <w:rtl/>
          <w:lang w:bidi="ar-LB"/>
        </w:rPr>
        <w:t xml:space="preserve"> </w:t>
      </w:r>
      <w:r w:rsidR="00F32B28" w:rsidRPr="00F32B28">
        <w:rPr>
          <w:rtl/>
          <w:lang w:bidi="ar-LB"/>
        </w:rPr>
        <w:t>المستعملة</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موت</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وتختلف</w:t>
      </w:r>
      <w:r w:rsidR="00F32B28">
        <w:rPr>
          <w:rtl/>
          <w:lang w:bidi="ar-LB"/>
        </w:rPr>
        <w:t xml:space="preserve"> </w:t>
      </w:r>
      <w:r w:rsidR="00F32B28" w:rsidRPr="00F32B28">
        <w:rPr>
          <w:rtl/>
          <w:lang w:bidi="ar-LB"/>
        </w:rPr>
        <w:t>العقوبة</w:t>
      </w:r>
      <w:r w:rsidR="00F32B28">
        <w:rPr>
          <w:rtl/>
          <w:lang w:bidi="ar-LB"/>
        </w:rPr>
        <w:t xml:space="preserve"> </w:t>
      </w:r>
      <w:r w:rsidR="00F32B28" w:rsidRPr="00F32B28">
        <w:rPr>
          <w:rtl/>
          <w:lang w:bidi="ar-LB"/>
        </w:rPr>
        <w:t>المقررة</w:t>
      </w:r>
      <w:r w:rsidR="00F32B28">
        <w:rPr>
          <w:rtl/>
          <w:lang w:bidi="ar-LB"/>
        </w:rPr>
        <w:t xml:space="preserve"> </w:t>
      </w:r>
      <w:r w:rsidR="00F32B28" w:rsidRPr="00F32B28">
        <w:rPr>
          <w:rtl/>
          <w:lang w:bidi="ar-LB"/>
        </w:rPr>
        <w:t>لكل</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الظروف.</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تعاقب</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تجهض</w:t>
      </w:r>
      <w:r w:rsidR="00F32B28">
        <w:rPr>
          <w:rtl/>
          <w:lang w:bidi="ar-LB"/>
        </w:rPr>
        <w:t xml:space="preserve"> </w:t>
      </w:r>
      <w:r w:rsidR="00F32B28" w:rsidRPr="00F32B28">
        <w:rPr>
          <w:rtl/>
          <w:lang w:bidi="ar-LB"/>
        </w:rPr>
        <w:t>نفسها،</w:t>
      </w:r>
      <w:r w:rsidR="00F32B28">
        <w:rPr>
          <w:rtl/>
          <w:lang w:bidi="ar-LB"/>
        </w:rPr>
        <w:t xml:space="preserve"> </w:t>
      </w:r>
      <w:r w:rsidR="00F32B28" w:rsidRPr="00F32B28">
        <w:rPr>
          <w:rtl/>
          <w:lang w:bidi="ar-LB"/>
        </w:rPr>
        <w:t>باستعمالها</w:t>
      </w:r>
      <w:r w:rsidR="00F32B28">
        <w:rPr>
          <w:rtl/>
          <w:lang w:bidi="ar-LB"/>
        </w:rPr>
        <w:t xml:space="preserve"> </w:t>
      </w:r>
      <w:r w:rsidR="00F32B28" w:rsidRPr="00F32B28">
        <w:rPr>
          <w:rtl/>
          <w:lang w:bidi="ar-LB"/>
        </w:rPr>
        <w:t>لوسائل</w:t>
      </w:r>
      <w:r w:rsidR="00F32B28">
        <w:rPr>
          <w:rtl/>
          <w:lang w:bidi="ar-LB"/>
        </w:rPr>
        <w:t xml:space="preserve"> </w:t>
      </w:r>
      <w:r w:rsidR="00F32B28" w:rsidRPr="00F32B28">
        <w:rPr>
          <w:rtl/>
          <w:lang w:bidi="ar-LB"/>
        </w:rPr>
        <w:t>بنفسها</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بما</w:t>
      </w:r>
      <w:r w:rsidR="00F32B28">
        <w:rPr>
          <w:rtl/>
          <w:lang w:bidi="ar-LB"/>
        </w:rPr>
        <w:t xml:space="preserve"> </w:t>
      </w:r>
      <w:r w:rsidR="00F32B28" w:rsidRPr="00F32B28">
        <w:rPr>
          <w:rtl/>
          <w:lang w:bidi="ar-LB"/>
        </w:rPr>
        <w:t>يستعمله</w:t>
      </w:r>
      <w:r w:rsidR="00F32B28">
        <w:rPr>
          <w:rtl/>
          <w:lang w:bidi="ar-LB"/>
        </w:rPr>
        <w:t xml:space="preserve"> </w:t>
      </w:r>
      <w:r w:rsidR="00F32B28" w:rsidRPr="00F32B28">
        <w:rPr>
          <w:rtl/>
          <w:lang w:bidi="ar-LB"/>
        </w:rPr>
        <w:t>غيرها</w:t>
      </w:r>
      <w:r w:rsidR="00F32B28">
        <w:rPr>
          <w:rtl/>
          <w:lang w:bidi="ar-LB"/>
        </w:rPr>
        <w:t xml:space="preserve"> </w:t>
      </w:r>
      <w:r w:rsidR="00F32B28" w:rsidRPr="00F32B28">
        <w:rPr>
          <w:rtl/>
          <w:lang w:bidi="ar-LB"/>
        </w:rPr>
        <w:t>برضاها،</w:t>
      </w:r>
      <w:r w:rsidR="00F32B28">
        <w:rPr>
          <w:rtl/>
          <w:lang w:bidi="ar-LB"/>
        </w:rPr>
        <w:t xml:space="preserve"> </w:t>
      </w:r>
      <w:r w:rsidR="00F32B28" w:rsidRPr="00F32B28">
        <w:rPr>
          <w:rtl/>
          <w:lang w:bidi="ar-LB"/>
        </w:rPr>
        <w:t>بالحبس</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ستة</w:t>
      </w:r>
      <w:r w:rsidR="00F32B28">
        <w:rPr>
          <w:rtl/>
          <w:lang w:bidi="ar-LB"/>
        </w:rPr>
        <w:t xml:space="preserve"> </w:t>
      </w:r>
      <w:r w:rsidR="00F32B28" w:rsidRPr="00F32B28">
        <w:rPr>
          <w:rtl/>
          <w:lang w:bidi="ar-LB"/>
        </w:rPr>
        <w:t>أشهر</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ثلاث</w:t>
      </w:r>
      <w:r w:rsidR="00F32B28">
        <w:rPr>
          <w:rtl/>
          <w:lang w:bidi="ar-LB"/>
        </w:rPr>
        <w:t xml:space="preserve"> </w:t>
      </w:r>
      <w:r w:rsidR="00F32B28" w:rsidRPr="00F32B28">
        <w:rPr>
          <w:rtl/>
          <w:lang w:bidi="ar-LB"/>
        </w:rPr>
        <w:t>سنوات.</w:t>
      </w:r>
      <w:r w:rsidR="00F32B28">
        <w:rPr>
          <w:rtl/>
          <w:lang w:bidi="ar-LB"/>
        </w:rPr>
        <w:t xml:space="preserve"> </w:t>
      </w:r>
      <w:r w:rsidR="00F32B28" w:rsidRPr="00F32B28">
        <w:rPr>
          <w:rtl/>
          <w:lang w:bidi="ar-LB"/>
        </w:rPr>
        <w:t>وتستفيد</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العذر</w:t>
      </w:r>
      <w:r w:rsidR="00F32B28">
        <w:rPr>
          <w:rtl/>
          <w:lang w:bidi="ar-LB"/>
        </w:rPr>
        <w:t xml:space="preserve"> </w:t>
      </w:r>
      <w:r w:rsidR="00F32B28" w:rsidRPr="00F32B28">
        <w:rPr>
          <w:rtl/>
          <w:lang w:bidi="ar-LB"/>
        </w:rPr>
        <w:t>المخفف</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تجهض</w:t>
      </w:r>
      <w:r w:rsidR="00F32B28">
        <w:rPr>
          <w:rtl/>
          <w:lang w:bidi="ar-LB"/>
        </w:rPr>
        <w:t xml:space="preserve"> </w:t>
      </w:r>
      <w:r w:rsidR="00F32B28" w:rsidRPr="00F32B28">
        <w:rPr>
          <w:rtl/>
          <w:lang w:bidi="ar-LB"/>
        </w:rPr>
        <w:t>نفسها</w:t>
      </w:r>
      <w:r w:rsidR="00F32B28">
        <w:rPr>
          <w:rtl/>
          <w:lang w:bidi="ar-LB"/>
        </w:rPr>
        <w:t xml:space="preserve"> </w:t>
      </w:r>
      <w:r w:rsidR="00F32B28" w:rsidRPr="00F32B28">
        <w:rPr>
          <w:rtl/>
          <w:lang w:bidi="ar-LB"/>
        </w:rPr>
        <w:t>محافظة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شرفها،</w:t>
      </w:r>
      <w:r w:rsidR="00F32B28">
        <w:rPr>
          <w:rtl/>
          <w:lang w:bidi="ar-LB"/>
        </w:rPr>
        <w:t xml:space="preserve"> </w:t>
      </w:r>
      <w:r w:rsidR="00F32B28" w:rsidRPr="00F32B28">
        <w:rPr>
          <w:rtl/>
          <w:lang w:bidi="ar-LB"/>
        </w:rPr>
        <w:t>ويستفيد</w:t>
      </w:r>
      <w:r w:rsidR="00F32B28">
        <w:rPr>
          <w:rtl/>
          <w:lang w:bidi="ar-LB"/>
        </w:rPr>
        <w:t xml:space="preserve"> </w:t>
      </w:r>
      <w:r w:rsidR="00F32B28" w:rsidRPr="00F32B28">
        <w:rPr>
          <w:rtl/>
          <w:lang w:bidi="ar-LB"/>
        </w:rPr>
        <w:t>كذلك</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العذر</w:t>
      </w:r>
      <w:r w:rsidR="00F32B28">
        <w:rPr>
          <w:rtl/>
          <w:lang w:bidi="ar-LB"/>
        </w:rPr>
        <w:t xml:space="preserve"> </w:t>
      </w:r>
      <w:r w:rsidR="00F32B28" w:rsidRPr="00F32B28">
        <w:rPr>
          <w:rtl/>
          <w:lang w:bidi="ar-LB"/>
        </w:rPr>
        <w:t>المخفف</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يرتكب</w:t>
      </w:r>
      <w:r w:rsidR="00F32B28">
        <w:rPr>
          <w:rtl/>
          <w:lang w:bidi="ar-LB"/>
        </w:rPr>
        <w:t xml:space="preserve"> </w:t>
      </w:r>
      <w:r w:rsidR="00F32B28" w:rsidRPr="00F32B28">
        <w:rPr>
          <w:rtl/>
          <w:lang w:bidi="ar-LB"/>
        </w:rPr>
        <w:t>جريمة</w:t>
      </w:r>
      <w:r w:rsidR="00F32B28">
        <w:rPr>
          <w:rtl/>
          <w:lang w:bidi="ar-LB"/>
        </w:rPr>
        <w:t xml:space="preserve"> </w:t>
      </w:r>
      <w:r w:rsidR="00F32B28" w:rsidRPr="00F32B28">
        <w:rPr>
          <w:rtl/>
          <w:lang w:bidi="ar-LB"/>
        </w:rPr>
        <w:t>الإجهاض</w:t>
      </w:r>
      <w:r w:rsidR="00F32B28">
        <w:rPr>
          <w:rtl/>
          <w:lang w:bidi="ar-LB"/>
        </w:rPr>
        <w:t xml:space="preserve"> </w:t>
      </w:r>
      <w:r w:rsidR="00F32B28" w:rsidRPr="00F32B28">
        <w:rPr>
          <w:rtl/>
          <w:lang w:bidi="ar-LB"/>
        </w:rPr>
        <w:t>للمحافظة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شرف</w:t>
      </w:r>
      <w:r w:rsidR="00F32B28">
        <w:rPr>
          <w:rtl/>
          <w:lang w:bidi="ar-LB"/>
        </w:rPr>
        <w:t xml:space="preserve"> </w:t>
      </w:r>
      <w:r w:rsidR="00F32B28" w:rsidRPr="00F32B28">
        <w:rPr>
          <w:rtl/>
          <w:lang w:bidi="ar-LB"/>
        </w:rPr>
        <w:t>إحدى</w:t>
      </w:r>
      <w:r w:rsidR="00F32B28">
        <w:rPr>
          <w:rtl/>
          <w:lang w:bidi="ar-LB"/>
        </w:rPr>
        <w:t xml:space="preserve"> </w:t>
      </w:r>
      <w:r w:rsidR="00F32B28" w:rsidRPr="00F32B28">
        <w:rPr>
          <w:rtl/>
          <w:lang w:bidi="ar-LB"/>
        </w:rPr>
        <w:t>فروعه</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قريباته</w:t>
      </w:r>
      <w:r w:rsidR="00F32B28">
        <w:rPr>
          <w:rtl/>
          <w:lang w:bidi="ar-LB"/>
        </w:rPr>
        <w:t xml:space="preserve"> </w:t>
      </w:r>
      <w:r w:rsidR="00F32B28" w:rsidRPr="00F32B28">
        <w:rPr>
          <w:rtl/>
          <w:lang w:bidi="ar-LB"/>
        </w:rPr>
        <w:t>حتى</w:t>
      </w:r>
      <w:r w:rsidR="00F32B28">
        <w:rPr>
          <w:rtl/>
          <w:lang w:bidi="ar-LB"/>
        </w:rPr>
        <w:t xml:space="preserve"> </w:t>
      </w:r>
      <w:r w:rsidR="00F32B28" w:rsidRPr="00F32B28">
        <w:rPr>
          <w:rtl/>
          <w:lang w:bidi="ar-LB"/>
        </w:rPr>
        <w:t>الدرجة</w:t>
      </w:r>
      <w:r w:rsidR="00F32B28">
        <w:rPr>
          <w:rtl/>
          <w:lang w:bidi="ar-LB"/>
        </w:rPr>
        <w:t xml:space="preserve"> </w:t>
      </w:r>
      <w:r w:rsidR="00F32B28" w:rsidRPr="00F32B28">
        <w:rPr>
          <w:rtl/>
          <w:lang w:bidi="ar-LB"/>
        </w:rPr>
        <w:t>الثالثة.</w:t>
      </w:r>
      <w:r w:rsidR="00F32B28">
        <w:rPr>
          <w:rtl/>
          <w:lang w:bidi="ar-LB"/>
        </w:rPr>
        <w:t xml:space="preserve"> </w:t>
      </w:r>
      <w:r w:rsidR="00F32B28" w:rsidRPr="00F32B28">
        <w:rPr>
          <w:rtl/>
          <w:lang w:bidi="ar-LB"/>
        </w:rPr>
        <w:t>وأخيراً،</w:t>
      </w:r>
      <w:r w:rsidR="00F32B28">
        <w:rPr>
          <w:rtl/>
          <w:lang w:bidi="ar-LB"/>
        </w:rPr>
        <w:t xml:space="preserve"> </w:t>
      </w:r>
      <w:r w:rsidR="00F32B28" w:rsidRPr="00F32B28">
        <w:rPr>
          <w:rtl/>
          <w:lang w:bidi="ar-LB"/>
        </w:rPr>
        <w:t>تشدد</w:t>
      </w:r>
      <w:r w:rsidR="00F32B28">
        <w:rPr>
          <w:rtl/>
          <w:lang w:bidi="ar-LB"/>
        </w:rPr>
        <w:t xml:space="preserve"> </w:t>
      </w:r>
      <w:r w:rsidR="00F32B28" w:rsidRPr="00F32B28">
        <w:rPr>
          <w:rtl/>
          <w:lang w:bidi="ar-LB"/>
        </w:rPr>
        <w:t>العقوبة</w:t>
      </w:r>
      <w:r w:rsidR="00F32B28">
        <w:rPr>
          <w:rtl/>
          <w:lang w:bidi="ar-LB"/>
        </w:rPr>
        <w:t xml:space="preserve"> </w:t>
      </w:r>
      <w:r w:rsidR="00F32B28" w:rsidRPr="00F32B28">
        <w:rPr>
          <w:rtl/>
          <w:lang w:bidi="ar-LB"/>
        </w:rPr>
        <w:t>إذا</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كان</w:t>
      </w:r>
      <w:r w:rsidR="00F32B28">
        <w:rPr>
          <w:rtl/>
          <w:lang w:bidi="ar-LB"/>
        </w:rPr>
        <w:t xml:space="preserve"> </w:t>
      </w:r>
      <w:r w:rsidR="00F32B28" w:rsidRPr="00F32B28">
        <w:rPr>
          <w:rtl/>
          <w:lang w:bidi="ar-LB"/>
        </w:rPr>
        <w:t>مرتكب</w:t>
      </w:r>
      <w:r w:rsidR="00F32B28">
        <w:rPr>
          <w:rtl/>
          <w:lang w:bidi="ar-LB"/>
        </w:rPr>
        <w:t xml:space="preserve"> </w:t>
      </w:r>
      <w:r w:rsidR="00F32B28" w:rsidRPr="00F32B28">
        <w:rPr>
          <w:rtl/>
          <w:lang w:bidi="ar-LB"/>
        </w:rPr>
        <w:t>جريمة</w:t>
      </w:r>
      <w:r w:rsidR="00F32B28">
        <w:rPr>
          <w:rtl/>
          <w:lang w:bidi="ar-LB"/>
        </w:rPr>
        <w:t xml:space="preserve"> </w:t>
      </w:r>
      <w:r w:rsidR="00F32B28" w:rsidRPr="00F32B28">
        <w:rPr>
          <w:rtl/>
          <w:lang w:bidi="ar-LB"/>
        </w:rPr>
        <w:t>الإجهاض</w:t>
      </w:r>
      <w:r w:rsidR="00F32B28">
        <w:rPr>
          <w:rtl/>
          <w:lang w:bidi="ar-LB"/>
        </w:rPr>
        <w:t xml:space="preserve"> </w:t>
      </w:r>
      <w:r w:rsidR="00F32B28" w:rsidRPr="00F32B28">
        <w:rPr>
          <w:rtl/>
          <w:lang w:bidi="ar-LB"/>
        </w:rPr>
        <w:t>طبيباً</w:t>
      </w:r>
      <w:r w:rsidR="00F32B28">
        <w:rPr>
          <w:rtl/>
          <w:lang w:bidi="ar-LB"/>
        </w:rPr>
        <w:t xml:space="preserve"> </w:t>
      </w:r>
      <w:r w:rsidR="00F32B28" w:rsidRPr="00F32B28">
        <w:rPr>
          <w:rtl/>
          <w:lang w:bidi="ar-LB"/>
        </w:rPr>
        <w:t>أو</w:t>
      </w:r>
      <w:r w:rsidR="009F4D72">
        <w:rPr>
          <w:rFonts w:hint="cs"/>
          <w:rtl/>
          <w:lang w:bidi="ar-LB"/>
        </w:rPr>
        <w:t> </w:t>
      </w:r>
      <w:r w:rsidR="00F32B28" w:rsidRPr="00F32B28">
        <w:rPr>
          <w:rtl/>
          <w:lang w:bidi="ar-LB"/>
        </w:rPr>
        <w:t>جراحاً</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صيدلياً</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قابلة.</w:t>
      </w:r>
      <w:r w:rsidR="00F32B28">
        <w:rPr>
          <w:rtl/>
          <w:lang w:bidi="ar-LB"/>
        </w:rPr>
        <w:t xml:space="preserve"> </w:t>
      </w:r>
    </w:p>
    <w:p w:rsidR="00F32B28" w:rsidRPr="00F32B28" w:rsidRDefault="00AF1BC1" w:rsidP="00AF1BC1">
      <w:pPr>
        <w:pStyle w:val="SingleTxt"/>
        <w:rPr>
          <w:rtl/>
          <w:lang w:bidi="ar-LB"/>
        </w:rPr>
      </w:pPr>
      <w:r>
        <w:rPr>
          <w:rFonts w:hint="cs"/>
          <w:rtl/>
          <w:lang w:bidi="ar-LB"/>
        </w:rPr>
        <w:t xml:space="preserve">235 - </w:t>
      </w:r>
      <w:r w:rsidR="00F32B28" w:rsidRPr="00F32B28">
        <w:rPr>
          <w:rtl/>
          <w:lang w:bidi="ar-LB"/>
        </w:rPr>
        <w:t>أما</w:t>
      </w:r>
      <w:r w:rsidR="00F32B28">
        <w:rPr>
          <w:rtl/>
          <w:lang w:bidi="ar-LB"/>
        </w:rPr>
        <w:t xml:space="preserve"> </w:t>
      </w:r>
      <w:r w:rsidR="00F32B28" w:rsidRPr="00F32B28">
        <w:rPr>
          <w:rtl/>
          <w:lang w:bidi="ar-LB"/>
        </w:rPr>
        <w:t>بخصوص</w:t>
      </w:r>
      <w:r w:rsidR="00F32B28">
        <w:rPr>
          <w:rtl/>
          <w:lang w:bidi="ar-LB"/>
        </w:rPr>
        <w:t xml:space="preserve"> </w:t>
      </w:r>
      <w:r w:rsidR="00F32B28" w:rsidRPr="00F32B28">
        <w:rPr>
          <w:rtl/>
          <w:lang w:bidi="ar-LB"/>
        </w:rPr>
        <w:t>الإجهاض</w:t>
      </w:r>
      <w:r w:rsidR="00F32B28">
        <w:rPr>
          <w:rtl/>
          <w:lang w:bidi="ar-LB"/>
        </w:rPr>
        <w:t xml:space="preserve"> </w:t>
      </w:r>
      <w:r w:rsidR="00F32B28" w:rsidRPr="00F32B28">
        <w:rPr>
          <w:rtl/>
          <w:lang w:bidi="ar-LB"/>
        </w:rPr>
        <w:t>العلاجي،</w:t>
      </w:r>
      <w:r w:rsidR="00F32B28">
        <w:rPr>
          <w:rtl/>
          <w:lang w:bidi="ar-LB"/>
        </w:rPr>
        <w:t xml:space="preserve"> </w:t>
      </w:r>
      <w:r w:rsidR="00F32B28" w:rsidRPr="00F32B28">
        <w:rPr>
          <w:rtl/>
          <w:lang w:bidi="ar-LB"/>
        </w:rPr>
        <w:t>فلا</w:t>
      </w:r>
      <w:r w:rsidR="00F32B28">
        <w:rPr>
          <w:rtl/>
          <w:lang w:bidi="ar-LB"/>
        </w:rPr>
        <w:t xml:space="preserve"> </w:t>
      </w:r>
      <w:r w:rsidR="00F32B28" w:rsidRPr="00F32B28">
        <w:rPr>
          <w:rtl/>
          <w:lang w:bidi="ar-LB"/>
        </w:rPr>
        <w:t>يجوز</w:t>
      </w:r>
      <w:r w:rsidR="00F32B28">
        <w:rPr>
          <w:rtl/>
          <w:lang w:bidi="ar-LB"/>
        </w:rPr>
        <w:t xml:space="preserve"> </w:t>
      </w:r>
      <w:r w:rsidR="00F32B28" w:rsidRPr="00F32B28">
        <w:rPr>
          <w:rtl/>
          <w:lang w:bidi="ar-LB"/>
        </w:rPr>
        <w:t>إجراءه</w:t>
      </w:r>
      <w:r w:rsidR="00F32B28">
        <w:rPr>
          <w:rtl/>
          <w:lang w:bidi="ar-LB"/>
        </w:rPr>
        <w:t xml:space="preserve"> </w:t>
      </w:r>
      <w:r w:rsidR="00F32B28" w:rsidRPr="00F32B28">
        <w:rPr>
          <w:rtl/>
          <w:lang w:bidi="ar-LB"/>
        </w:rPr>
        <w:t>قانوناً</w:t>
      </w:r>
      <w:r w:rsidR="00F32B28">
        <w:rPr>
          <w:rtl/>
          <w:lang w:bidi="ar-LB"/>
        </w:rPr>
        <w:t xml:space="preserve"> </w:t>
      </w:r>
      <w:r w:rsidR="00F32B28" w:rsidRPr="00F32B28">
        <w:rPr>
          <w:rtl/>
          <w:lang w:bidi="ar-LB"/>
        </w:rPr>
        <w:t>إلا</w:t>
      </w:r>
      <w:r w:rsidR="00F32B28">
        <w:rPr>
          <w:rtl/>
          <w:lang w:bidi="ar-LB"/>
        </w:rPr>
        <w:t xml:space="preserve"> </w:t>
      </w:r>
      <w:r w:rsidR="00F32B28" w:rsidRPr="00F32B28">
        <w:rPr>
          <w:rtl/>
          <w:lang w:bidi="ar-LB"/>
        </w:rPr>
        <w:t>إذا</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توافرت</w:t>
      </w:r>
      <w:r w:rsidR="00F32B28">
        <w:rPr>
          <w:rtl/>
          <w:lang w:bidi="ar-LB"/>
        </w:rPr>
        <w:t xml:space="preserve"> </w:t>
      </w:r>
      <w:r w:rsidR="00F32B28" w:rsidRPr="00F32B28">
        <w:rPr>
          <w:rtl/>
          <w:lang w:bidi="ar-LB"/>
        </w:rPr>
        <w:t>شروط</w:t>
      </w:r>
      <w:r w:rsidR="00F32B28">
        <w:rPr>
          <w:rtl/>
          <w:lang w:bidi="ar-LB"/>
        </w:rPr>
        <w:t xml:space="preserve"> </w:t>
      </w:r>
      <w:r w:rsidR="00F32B28" w:rsidRPr="00F32B28">
        <w:rPr>
          <w:rtl/>
          <w:lang w:bidi="ar-LB"/>
        </w:rPr>
        <w:t>محددة</w:t>
      </w:r>
      <w:r w:rsidR="00F32B28">
        <w:rPr>
          <w:rtl/>
          <w:lang w:bidi="ar-LB"/>
        </w:rPr>
        <w:t xml:space="preserve"> </w:t>
      </w:r>
      <w:r w:rsidR="00F32B28" w:rsidRPr="00F32B28">
        <w:rPr>
          <w:rtl/>
          <w:lang w:bidi="ar-LB"/>
        </w:rPr>
        <w:t>هي؛</w:t>
      </w:r>
      <w:r w:rsidR="00F32B28">
        <w:rPr>
          <w:rtl/>
          <w:lang w:bidi="ar-LB"/>
        </w:rPr>
        <w:t xml:space="preserve"> </w:t>
      </w:r>
      <w:r w:rsidR="00F32B28" w:rsidRPr="00F32B28">
        <w:rPr>
          <w:rtl/>
          <w:lang w:bidi="ar-LB"/>
        </w:rPr>
        <w:t>وجود</w:t>
      </w:r>
      <w:r w:rsidR="00F32B28">
        <w:rPr>
          <w:rtl/>
          <w:lang w:bidi="ar-LB"/>
        </w:rPr>
        <w:t xml:space="preserve"> </w:t>
      </w:r>
      <w:r w:rsidR="00F32B28" w:rsidRPr="00F32B28">
        <w:rPr>
          <w:rtl/>
          <w:lang w:bidi="ar-LB"/>
        </w:rPr>
        <w:t>حالة</w:t>
      </w:r>
      <w:r w:rsidR="00F32B28">
        <w:rPr>
          <w:rtl/>
          <w:lang w:bidi="ar-LB"/>
        </w:rPr>
        <w:t xml:space="preserve"> </w:t>
      </w:r>
      <w:r w:rsidR="00F32B28" w:rsidRPr="00F32B28">
        <w:rPr>
          <w:rtl/>
          <w:lang w:bidi="ar-LB"/>
        </w:rPr>
        <w:t>الضرورة</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تستوجب</w:t>
      </w:r>
      <w:r w:rsidR="00F32B28">
        <w:rPr>
          <w:rtl/>
          <w:lang w:bidi="ar-LB"/>
        </w:rPr>
        <w:t xml:space="preserve"> </w:t>
      </w:r>
      <w:r w:rsidR="00F32B28" w:rsidRPr="00F32B28">
        <w:rPr>
          <w:rtl/>
          <w:lang w:bidi="ar-LB"/>
        </w:rPr>
        <w:t>إجراء</w:t>
      </w:r>
      <w:r w:rsidR="00F32B28">
        <w:rPr>
          <w:rtl/>
          <w:lang w:bidi="ar-LB"/>
        </w:rPr>
        <w:t xml:space="preserve"> </w:t>
      </w:r>
      <w:r w:rsidR="00F32B28" w:rsidRPr="00F32B28">
        <w:rPr>
          <w:rtl/>
          <w:lang w:bidi="ar-LB"/>
        </w:rPr>
        <w:t>الإجهاض</w:t>
      </w:r>
      <w:r w:rsidR="00F32B28">
        <w:rPr>
          <w:rtl/>
          <w:lang w:bidi="ar-LB"/>
        </w:rPr>
        <w:t xml:space="preserve"> </w:t>
      </w:r>
      <w:r w:rsidR="00F32B28" w:rsidRPr="00F32B28">
        <w:rPr>
          <w:rtl/>
          <w:lang w:bidi="ar-LB"/>
        </w:rPr>
        <w:t>لإنقاذ</w:t>
      </w:r>
      <w:r w:rsidR="00F32B28">
        <w:rPr>
          <w:rtl/>
          <w:lang w:bidi="ar-LB"/>
        </w:rPr>
        <w:t xml:space="preserve"> </w:t>
      </w:r>
      <w:r w:rsidR="00F32B28" w:rsidRPr="00F32B28">
        <w:rPr>
          <w:rtl/>
          <w:lang w:bidi="ar-LB"/>
        </w:rPr>
        <w:t>حياة</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الحامل</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الخطر؛</w:t>
      </w:r>
      <w:r w:rsidR="00F32B28">
        <w:rPr>
          <w:rtl/>
          <w:lang w:bidi="ar-LB"/>
        </w:rPr>
        <w:t xml:space="preserve"> </w:t>
      </w:r>
      <w:r w:rsidR="00F32B28" w:rsidRPr="00F32B28">
        <w:rPr>
          <w:rtl/>
          <w:lang w:bidi="ar-LB"/>
        </w:rPr>
        <w:t>ووجود</w:t>
      </w:r>
      <w:r w:rsidR="00F32B28">
        <w:rPr>
          <w:rtl/>
          <w:lang w:bidi="ar-LB"/>
        </w:rPr>
        <w:t xml:space="preserve"> </w:t>
      </w:r>
      <w:r w:rsidR="00F32B28" w:rsidRPr="00F32B28">
        <w:rPr>
          <w:rtl/>
          <w:lang w:bidi="ar-LB"/>
        </w:rPr>
        <w:t>شهادة</w:t>
      </w:r>
      <w:r w:rsidR="00F32B28">
        <w:rPr>
          <w:rtl/>
          <w:lang w:bidi="ar-LB"/>
        </w:rPr>
        <w:t xml:space="preserve"> </w:t>
      </w:r>
      <w:r w:rsidR="00F32B28" w:rsidRPr="00F32B28">
        <w:rPr>
          <w:rtl/>
          <w:lang w:bidi="ar-LB"/>
        </w:rPr>
        <w:t>طبيبين</w:t>
      </w:r>
      <w:r w:rsidR="00F32B28">
        <w:rPr>
          <w:rtl/>
          <w:lang w:bidi="ar-LB"/>
        </w:rPr>
        <w:t xml:space="preserve"> </w:t>
      </w:r>
      <w:r w:rsidR="00F32B28" w:rsidRPr="00F32B28">
        <w:rPr>
          <w:rtl/>
          <w:lang w:bidi="ar-LB"/>
        </w:rPr>
        <w:t>اختصاصيين</w:t>
      </w:r>
      <w:r w:rsidR="00F32B28">
        <w:rPr>
          <w:rtl/>
          <w:lang w:bidi="ar-LB"/>
        </w:rPr>
        <w:t xml:space="preserve"> </w:t>
      </w:r>
      <w:r w:rsidR="00F32B28" w:rsidRPr="00F32B28">
        <w:rPr>
          <w:rtl/>
          <w:lang w:bidi="ar-LB"/>
        </w:rPr>
        <w:t>بذلك،</w:t>
      </w:r>
      <w:r w:rsidR="00F32B28">
        <w:rPr>
          <w:rtl/>
          <w:lang w:bidi="ar-LB"/>
        </w:rPr>
        <w:t xml:space="preserve"> </w:t>
      </w:r>
      <w:r w:rsidR="00F32B28" w:rsidRPr="00F32B28">
        <w:rPr>
          <w:rtl/>
          <w:lang w:bidi="ar-LB"/>
        </w:rPr>
        <w:t>يكون</w:t>
      </w:r>
      <w:r w:rsidR="00F32B28">
        <w:rPr>
          <w:rtl/>
          <w:lang w:bidi="ar-LB"/>
        </w:rPr>
        <w:t xml:space="preserve"> </w:t>
      </w:r>
      <w:r w:rsidR="00F32B28" w:rsidRPr="00F32B28">
        <w:rPr>
          <w:rtl/>
          <w:lang w:bidi="ar-LB"/>
        </w:rPr>
        <w:t>أحدهما</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الأقل</w:t>
      </w:r>
      <w:r w:rsidR="00F32B28">
        <w:rPr>
          <w:rtl/>
          <w:lang w:bidi="ar-LB"/>
        </w:rPr>
        <w:t xml:space="preserve"> </w:t>
      </w:r>
      <w:r w:rsidR="00F32B28" w:rsidRPr="00F32B28">
        <w:rPr>
          <w:rtl/>
          <w:lang w:bidi="ar-LB"/>
        </w:rPr>
        <w:t>اختصاصي</w:t>
      </w:r>
      <w:r w:rsidR="00F32B28">
        <w:rPr>
          <w:rtl/>
          <w:lang w:bidi="ar-LB"/>
        </w:rPr>
        <w:t xml:space="preserve"> </w:t>
      </w:r>
      <w:r w:rsidR="00F32B28" w:rsidRPr="00F32B28">
        <w:rPr>
          <w:rtl/>
          <w:lang w:bidi="ar-LB"/>
        </w:rPr>
        <w:t>نساء</w:t>
      </w:r>
      <w:r w:rsidR="00F32B28">
        <w:rPr>
          <w:rtl/>
          <w:lang w:bidi="ar-LB"/>
        </w:rPr>
        <w:t xml:space="preserve"> </w:t>
      </w:r>
      <w:r w:rsidR="00F32B28" w:rsidRPr="00F32B28">
        <w:rPr>
          <w:rtl/>
          <w:lang w:bidi="ar-LB"/>
        </w:rPr>
        <w:t>وولادة؛</w:t>
      </w:r>
      <w:r w:rsidR="00F32B28">
        <w:rPr>
          <w:rtl/>
          <w:lang w:bidi="ar-LB"/>
        </w:rPr>
        <w:t xml:space="preserve"> </w:t>
      </w:r>
      <w:r w:rsidR="00F32B28" w:rsidRPr="00F32B28">
        <w:rPr>
          <w:rtl/>
          <w:lang w:bidi="ar-LB"/>
        </w:rPr>
        <w:t>والحصول</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الموافقة</w:t>
      </w:r>
      <w:r w:rsidR="00F32B28">
        <w:rPr>
          <w:rtl/>
          <w:lang w:bidi="ar-LB"/>
        </w:rPr>
        <w:t xml:space="preserve"> </w:t>
      </w:r>
      <w:r w:rsidR="00F32B28" w:rsidRPr="00F32B28">
        <w:rPr>
          <w:rtl/>
          <w:lang w:bidi="ar-LB"/>
        </w:rPr>
        <w:t>الخطية</w:t>
      </w:r>
      <w:r w:rsidR="00F32B28">
        <w:rPr>
          <w:rtl/>
          <w:lang w:bidi="ar-LB"/>
        </w:rPr>
        <w:t xml:space="preserve"> </w:t>
      </w:r>
      <w:r w:rsidR="00F32B28" w:rsidRPr="00F32B28">
        <w:rPr>
          <w:rtl/>
          <w:lang w:bidi="ar-LB"/>
        </w:rPr>
        <w:t>المسبقة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قبل</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الحامل،</w:t>
      </w:r>
      <w:r w:rsidR="00F32B28">
        <w:rPr>
          <w:rtl/>
          <w:lang w:bidi="ar-LB"/>
        </w:rPr>
        <w:t xml:space="preserve"> </w:t>
      </w:r>
      <w:r w:rsidR="00F32B28" w:rsidRPr="00F32B28">
        <w:rPr>
          <w:rtl/>
          <w:lang w:bidi="ar-LB"/>
        </w:rPr>
        <w:t>أما</w:t>
      </w:r>
      <w:r w:rsidR="00F32B28">
        <w:rPr>
          <w:rtl/>
          <w:lang w:bidi="ar-LB"/>
        </w:rPr>
        <w:t xml:space="preserve"> </w:t>
      </w:r>
      <w:r w:rsidR="00F32B28" w:rsidRPr="00F32B28">
        <w:rPr>
          <w:rtl/>
          <w:lang w:bidi="ar-LB"/>
        </w:rPr>
        <w:t>إذا</w:t>
      </w:r>
      <w:r w:rsidR="00F32B28">
        <w:rPr>
          <w:rtl/>
          <w:lang w:bidi="ar-LB"/>
        </w:rPr>
        <w:t xml:space="preserve"> </w:t>
      </w:r>
      <w:r w:rsidR="00F32B28" w:rsidRPr="00F32B28">
        <w:rPr>
          <w:rtl/>
          <w:lang w:bidi="ar-LB"/>
        </w:rPr>
        <w:t>كانت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حالة</w:t>
      </w:r>
      <w:r w:rsidR="00F32B28">
        <w:rPr>
          <w:rtl/>
          <w:lang w:bidi="ar-LB"/>
        </w:rPr>
        <w:t xml:space="preserve"> </w:t>
      </w:r>
      <w:r w:rsidR="00F32B28" w:rsidRPr="00F32B28">
        <w:rPr>
          <w:rtl/>
          <w:lang w:bidi="ar-LB"/>
        </w:rPr>
        <w:t>تعجز</w:t>
      </w:r>
      <w:r w:rsidR="00F32B28">
        <w:rPr>
          <w:rtl/>
          <w:lang w:bidi="ar-LB"/>
        </w:rPr>
        <w:t xml:space="preserve"> </w:t>
      </w:r>
      <w:r w:rsidR="00F32B28" w:rsidRPr="00F32B28">
        <w:rPr>
          <w:rtl/>
          <w:lang w:bidi="ar-LB"/>
        </w:rPr>
        <w:t>فيها</w:t>
      </w:r>
      <w:r w:rsidR="00F32B28">
        <w:rPr>
          <w:rtl/>
          <w:lang w:bidi="ar-LB"/>
        </w:rPr>
        <w:t xml:space="preserve"> </w:t>
      </w:r>
      <w:r w:rsidR="00F32B28" w:rsidRPr="00F32B28">
        <w:rPr>
          <w:rtl/>
          <w:lang w:bidi="ar-LB"/>
        </w:rPr>
        <w:t>عن</w:t>
      </w:r>
      <w:r w:rsidR="00F32B28">
        <w:rPr>
          <w:rtl/>
          <w:lang w:bidi="ar-LB"/>
        </w:rPr>
        <w:t xml:space="preserve"> </w:t>
      </w:r>
      <w:r w:rsidR="00F32B28" w:rsidRPr="00F32B28">
        <w:rPr>
          <w:rtl/>
          <w:lang w:bidi="ar-LB"/>
        </w:rPr>
        <w:t>إعطائها،</w:t>
      </w:r>
      <w:r w:rsidR="00F32B28">
        <w:rPr>
          <w:rtl/>
          <w:lang w:bidi="ar-LB"/>
        </w:rPr>
        <w:t xml:space="preserve"> </w:t>
      </w:r>
      <w:r w:rsidR="00F32B28" w:rsidRPr="00F32B28">
        <w:rPr>
          <w:rtl/>
          <w:lang w:bidi="ar-LB"/>
        </w:rPr>
        <w:t>فتؤخذ</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زوجها</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وليها؛</w:t>
      </w:r>
      <w:r w:rsidR="00F32B28">
        <w:rPr>
          <w:rtl/>
          <w:lang w:bidi="ar-LB"/>
        </w:rPr>
        <w:t xml:space="preserve"> </w:t>
      </w:r>
      <w:r w:rsidR="00F32B28" w:rsidRPr="00F32B28">
        <w:rPr>
          <w:rtl/>
          <w:lang w:bidi="ar-LB"/>
        </w:rPr>
        <w:t>وأن</w:t>
      </w:r>
      <w:r w:rsidR="00F32B28">
        <w:rPr>
          <w:rtl/>
          <w:lang w:bidi="ar-LB"/>
        </w:rPr>
        <w:t xml:space="preserve"> </w:t>
      </w:r>
      <w:r w:rsidR="00F32B28" w:rsidRPr="00F32B28">
        <w:rPr>
          <w:rtl/>
          <w:lang w:bidi="ar-LB"/>
        </w:rPr>
        <w:t>تتم</w:t>
      </w:r>
      <w:r w:rsidR="00F32B28">
        <w:rPr>
          <w:rtl/>
          <w:lang w:bidi="ar-LB"/>
        </w:rPr>
        <w:t xml:space="preserve"> </w:t>
      </w:r>
      <w:r w:rsidR="00F32B28" w:rsidRPr="00F32B28">
        <w:rPr>
          <w:rtl/>
          <w:lang w:bidi="ar-LB"/>
        </w:rPr>
        <w:t>عملية</w:t>
      </w:r>
      <w:r w:rsidR="00F32B28">
        <w:rPr>
          <w:rtl/>
          <w:lang w:bidi="ar-LB"/>
        </w:rPr>
        <w:t xml:space="preserve"> </w:t>
      </w:r>
      <w:r w:rsidR="00F32B28" w:rsidRPr="00F32B28">
        <w:rPr>
          <w:rtl/>
          <w:lang w:bidi="ar-LB"/>
        </w:rPr>
        <w:t>الإجهاض</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مؤسسة</w:t>
      </w:r>
      <w:r w:rsidR="00F32B28">
        <w:rPr>
          <w:rtl/>
          <w:lang w:bidi="ar-LB"/>
        </w:rPr>
        <w:t xml:space="preserve"> </w:t>
      </w:r>
      <w:r w:rsidR="00F32B28" w:rsidRPr="00F32B28">
        <w:rPr>
          <w:rtl/>
          <w:lang w:bidi="ar-LB"/>
        </w:rPr>
        <w:t>صحية.</w:t>
      </w:r>
    </w:p>
    <w:p w:rsidR="00F32B28" w:rsidRPr="00F32B28" w:rsidRDefault="00AF1BC1" w:rsidP="009F4D72">
      <w:pPr>
        <w:pStyle w:val="SingleTxt"/>
        <w:spacing w:line="340" w:lineRule="exact"/>
        <w:ind w:left="1267" w:right="1267"/>
      </w:pPr>
      <w:r>
        <w:rPr>
          <w:rFonts w:hint="cs"/>
          <w:rtl/>
        </w:rPr>
        <w:t xml:space="preserve">236 - </w:t>
      </w:r>
      <w:r w:rsidR="00F32B28" w:rsidRPr="00F32B28">
        <w:rPr>
          <w:rtl/>
        </w:rPr>
        <w:t>تعتبر</w:t>
      </w:r>
      <w:r w:rsidR="00F32B28">
        <w:rPr>
          <w:rtl/>
        </w:rPr>
        <w:t xml:space="preserve"> </w:t>
      </w:r>
      <w:r w:rsidR="00F32B28" w:rsidRPr="00F32B28">
        <w:rPr>
          <w:rtl/>
        </w:rPr>
        <w:t>وزارة</w:t>
      </w:r>
      <w:r w:rsidR="00F32B28">
        <w:rPr>
          <w:rtl/>
        </w:rPr>
        <w:t xml:space="preserve"> </w:t>
      </w:r>
      <w:r w:rsidR="00F32B28" w:rsidRPr="00F32B28">
        <w:rPr>
          <w:rtl/>
        </w:rPr>
        <w:t>الصحة</w:t>
      </w:r>
      <w:r w:rsidR="00F32B28">
        <w:rPr>
          <w:rtl/>
        </w:rPr>
        <w:t xml:space="preserve"> </w:t>
      </w:r>
      <w:r w:rsidR="00F32B28" w:rsidRPr="00F32B28">
        <w:rPr>
          <w:rtl/>
        </w:rPr>
        <w:t>الفلسطينية</w:t>
      </w:r>
      <w:r w:rsidR="00F32B28">
        <w:rPr>
          <w:rtl/>
        </w:rPr>
        <w:t xml:space="preserve"> </w:t>
      </w:r>
      <w:r w:rsidR="00F32B28" w:rsidRPr="00F32B28">
        <w:rPr>
          <w:rtl/>
        </w:rPr>
        <w:t>الجسم</w:t>
      </w:r>
      <w:r w:rsidR="00F32B28">
        <w:rPr>
          <w:rtl/>
        </w:rPr>
        <w:t xml:space="preserve"> </w:t>
      </w:r>
      <w:r w:rsidR="00F32B28" w:rsidRPr="00F32B28">
        <w:rPr>
          <w:rtl/>
        </w:rPr>
        <w:t>المسؤول</w:t>
      </w:r>
      <w:r w:rsidR="00F32B28">
        <w:rPr>
          <w:rtl/>
        </w:rPr>
        <w:t xml:space="preserve"> </w:t>
      </w:r>
      <w:r w:rsidR="00F32B28" w:rsidRPr="00F32B28">
        <w:rPr>
          <w:rtl/>
        </w:rPr>
        <w:t>عن</w:t>
      </w:r>
      <w:r w:rsidR="00F32B28">
        <w:rPr>
          <w:rtl/>
        </w:rPr>
        <w:t xml:space="preserve"> </w:t>
      </w:r>
      <w:r w:rsidR="00F32B28" w:rsidRPr="00F32B28">
        <w:rPr>
          <w:rtl/>
        </w:rPr>
        <w:t>قيادة</w:t>
      </w:r>
      <w:r w:rsidR="00F32B28">
        <w:rPr>
          <w:rtl/>
        </w:rPr>
        <w:t xml:space="preserve"> </w:t>
      </w:r>
      <w:r w:rsidR="00F32B28" w:rsidRPr="00F32B28">
        <w:rPr>
          <w:rtl/>
        </w:rPr>
        <w:t>وتنظيم</w:t>
      </w:r>
      <w:r w:rsidR="00F32B28">
        <w:rPr>
          <w:rtl/>
        </w:rPr>
        <w:t xml:space="preserve"> </w:t>
      </w:r>
      <w:r w:rsidR="00F32B28" w:rsidRPr="00F32B28">
        <w:rPr>
          <w:rtl/>
        </w:rPr>
        <w:t>عمل</w:t>
      </w:r>
      <w:r w:rsidR="00F32B28">
        <w:rPr>
          <w:rtl/>
        </w:rPr>
        <w:t xml:space="preserve"> </w:t>
      </w:r>
      <w:r w:rsidR="00F32B28" w:rsidRPr="00F32B28">
        <w:rPr>
          <w:rtl/>
        </w:rPr>
        <w:t>القطاع</w:t>
      </w:r>
      <w:r w:rsidR="00F32B28">
        <w:rPr>
          <w:rtl/>
        </w:rPr>
        <w:t xml:space="preserve"> </w:t>
      </w:r>
      <w:r w:rsidR="00F32B28" w:rsidRPr="00F32B28">
        <w:rPr>
          <w:rtl/>
        </w:rPr>
        <w:t>الصحي</w:t>
      </w:r>
      <w:r w:rsidR="00F32B28" w:rsidRPr="00F32B28">
        <w:rPr>
          <w:rtl/>
          <w:lang w:bidi="ar-SY"/>
        </w:rPr>
        <w:t>،</w:t>
      </w:r>
      <w:r w:rsidR="00F32B28">
        <w:rPr>
          <w:rtl/>
          <w:lang w:bidi="ar-SY"/>
        </w:rPr>
        <w:t xml:space="preserve"> </w:t>
      </w:r>
      <w:r w:rsidR="00F32B28" w:rsidRPr="00F32B28">
        <w:rPr>
          <w:rtl/>
          <w:lang w:bidi="ar-SY"/>
        </w:rPr>
        <w:t>فهي</w:t>
      </w:r>
      <w:r w:rsidR="00F32B28">
        <w:rPr>
          <w:rtl/>
          <w:lang w:bidi="ar-SY"/>
        </w:rPr>
        <w:t xml:space="preserve"> </w:t>
      </w:r>
      <w:r w:rsidR="00F32B28" w:rsidRPr="00F32B28">
        <w:rPr>
          <w:rtl/>
          <w:lang w:bidi="ar-SY"/>
        </w:rPr>
        <w:t>المسؤولة</w:t>
      </w:r>
      <w:r w:rsidR="00F32B28" w:rsidRPr="00F32B28">
        <w:rPr>
          <w:rtl/>
        </w:rPr>
        <w:t>عن</w:t>
      </w:r>
      <w:r w:rsidR="00F32B28">
        <w:rPr>
          <w:rtl/>
        </w:rPr>
        <w:t xml:space="preserve"> </w:t>
      </w:r>
      <w:r w:rsidR="00F32B28" w:rsidRPr="00F32B28">
        <w:rPr>
          <w:rtl/>
        </w:rPr>
        <w:t>تقديم</w:t>
      </w:r>
      <w:r w:rsidR="00F32B28">
        <w:rPr>
          <w:rtl/>
        </w:rPr>
        <w:t xml:space="preserve"> </w:t>
      </w:r>
      <w:r w:rsidR="00F32B28" w:rsidRPr="00F32B28">
        <w:rPr>
          <w:rtl/>
        </w:rPr>
        <w:t>الجزء</w:t>
      </w:r>
      <w:r w:rsidR="00F32B28">
        <w:rPr>
          <w:rtl/>
        </w:rPr>
        <w:t xml:space="preserve"> </w:t>
      </w:r>
      <w:r w:rsidR="00F32B28" w:rsidRPr="00F32B28">
        <w:rPr>
          <w:rtl/>
        </w:rPr>
        <w:t>الأكبر</w:t>
      </w:r>
      <w:r w:rsidR="00F32B28">
        <w:rPr>
          <w:rtl/>
        </w:rPr>
        <w:t xml:space="preserve"> </w:t>
      </w:r>
      <w:r w:rsidR="00F32B28" w:rsidRPr="00F32B28">
        <w:rPr>
          <w:rtl/>
        </w:rPr>
        <w:t>من</w:t>
      </w:r>
      <w:r w:rsidR="00F32B28">
        <w:rPr>
          <w:rtl/>
        </w:rPr>
        <w:t xml:space="preserve"> </w:t>
      </w:r>
      <w:r w:rsidR="00F32B28" w:rsidRPr="00F32B28">
        <w:rPr>
          <w:rtl/>
        </w:rPr>
        <w:t>الخدمات</w:t>
      </w:r>
      <w:r w:rsidR="00F32B28">
        <w:rPr>
          <w:rtl/>
        </w:rPr>
        <w:t xml:space="preserve"> </w:t>
      </w:r>
      <w:r w:rsidR="00F32B28" w:rsidRPr="00F32B28">
        <w:rPr>
          <w:rtl/>
        </w:rPr>
        <w:t>الطبية</w:t>
      </w:r>
      <w:r w:rsidR="00F32B28">
        <w:rPr>
          <w:rtl/>
        </w:rPr>
        <w:t xml:space="preserve"> </w:t>
      </w:r>
      <w:r w:rsidR="00F32B28" w:rsidRPr="00F32B28">
        <w:rPr>
          <w:rtl/>
          <w:lang w:bidi="ar-SY"/>
        </w:rPr>
        <w:t>بمستوياتها</w:t>
      </w:r>
      <w:r w:rsidR="00F32B28">
        <w:rPr>
          <w:rtl/>
          <w:lang w:bidi="ar-SY"/>
        </w:rPr>
        <w:t xml:space="preserve"> </w:t>
      </w:r>
      <w:r w:rsidR="00F32B28" w:rsidRPr="00F32B28">
        <w:rPr>
          <w:rtl/>
          <w:lang w:bidi="ar-SY"/>
        </w:rPr>
        <w:t>المختلفة،</w:t>
      </w:r>
      <w:r w:rsidR="00F32B28" w:rsidRPr="00F32B28">
        <w:rPr>
          <w:rtl/>
        </w:rPr>
        <w:t>واقتراح</w:t>
      </w:r>
      <w:r w:rsidR="00F32B28">
        <w:rPr>
          <w:rtl/>
        </w:rPr>
        <w:t xml:space="preserve"> </w:t>
      </w:r>
      <w:r w:rsidR="00F32B28" w:rsidRPr="00F32B28">
        <w:rPr>
          <w:rtl/>
        </w:rPr>
        <w:t>التشريعات،</w:t>
      </w:r>
      <w:r w:rsidR="00F32B28">
        <w:rPr>
          <w:rtl/>
        </w:rPr>
        <w:t xml:space="preserve"> </w:t>
      </w:r>
      <w:r w:rsidR="00F32B28" w:rsidRPr="00F32B28">
        <w:rPr>
          <w:rtl/>
        </w:rPr>
        <w:t>ووضع</w:t>
      </w:r>
      <w:r w:rsidR="00F32B28">
        <w:rPr>
          <w:rtl/>
        </w:rPr>
        <w:t xml:space="preserve"> </w:t>
      </w:r>
      <w:r w:rsidR="00F32B28" w:rsidRPr="00F32B28">
        <w:rPr>
          <w:rtl/>
        </w:rPr>
        <w:t>وتطبيق</w:t>
      </w:r>
      <w:r w:rsidR="00F32B28">
        <w:rPr>
          <w:rtl/>
        </w:rPr>
        <w:t xml:space="preserve"> </w:t>
      </w:r>
      <w:r w:rsidR="00F32B28" w:rsidRPr="00F32B28">
        <w:rPr>
          <w:rtl/>
        </w:rPr>
        <w:t>السياسات</w:t>
      </w:r>
      <w:r w:rsidR="00F32B28">
        <w:rPr>
          <w:rtl/>
        </w:rPr>
        <w:t xml:space="preserve"> </w:t>
      </w:r>
      <w:r w:rsidR="00F32B28" w:rsidRPr="00F32B28">
        <w:rPr>
          <w:rtl/>
        </w:rPr>
        <w:t>المختلفة</w:t>
      </w:r>
      <w:r w:rsidR="00F32B28">
        <w:rPr>
          <w:rtl/>
        </w:rPr>
        <w:t xml:space="preserve"> </w:t>
      </w:r>
      <w:r w:rsidR="00F32B28" w:rsidRPr="00F32B28">
        <w:rPr>
          <w:rtl/>
        </w:rPr>
        <w:t>التي</w:t>
      </w:r>
      <w:r w:rsidR="00F32B28">
        <w:rPr>
          <w:rtl/>
        </w:rPr>
        <w:t xml:space="preserve"> </w:t>
      </w:r>
      <w:r w:rsidR="00F32B28" w:rsidRPr="00F32B28">
        <w:rPr>
          <w:rtl/>
        </w:rPr>
        <w:t>تهدف</w:t>
      </w:r>
      <w:r w:rsidR="00F32B28">
        <w:rPr>
          <w:rtl/>
        </w:rPr>
        <w:t xml:space="preserve"> </w:t>
      </w:r>
      <w:r w:rsidR="00F32B28" w:rsidRPr="00F32B28">
        <w:rPr>
          <w:rtl/>
        </w:rPr>
        <w:t>إلى</w:t>
      </w:r>
      <w:r w:rsidR="00F32B28">
        <w:rPr>
          <w:rtl/>
        </w:rPr>
        <w:t xml:space="preserve"> </w:t>
      </w:r>
      <w:r w:rsidR="00F32B28" w:rsidRPr="00F32B28">
        <w:rPr>
          <w:rtl/>
        </w:rPr>
        <w:t>ضمان</w:t>
      </w:r>
      <w:r w:rsidR="00F32B28">
        <w:rPr>
          <w:rtl/>
        </w:rPr>
        <w:t xml:space="preserve"> </w:t>
      </w:r>
      <w:r w:rsidR="00F32B28" w:rsidRPr="00F32B28">
        <w:rPr>
          <w:rtl/>
        </w:rPr>
        <w:t>حصول</w:t>
      </w:r>
      <w:r w:rsidR="00F32B28">
        <w:rPr>
          <w:rtl/>
        </w:rPr>
        <w:t xml:space="preserve"> </w:t>
      </w:r>
      <w:r w:rsidR="00F32B28" w:rsidRPr="00F32B28">
        <w:rPr>
          <w:rtl/>
        </w:rPr>
        <w:t>الجميع</w:t>
      </w:r>
      <w:r w:rsidR="00F32B28">
        <w:rPr>
          <w:rtl/>
        </w:rPr>
        <w:t xml:space="preserve"> </w:t>
      </w:r>
      <w:r w:rsidR="00F32B28" w:rsidRPr="00F32B28">
        <w:rPr>
          <w:rtl/>
        </w:rPr>
        <w:t>على</w:t>
      </w:r>
      <w:r w:rsidR="00F32B28">
        <w:rPr>
          <w:rtl/>
        </w:rPr>
        <w:t xml:space="preserve"> </w:t>
      </w:r>
      <w:r w:rsidR="00F32B28" w:rsidRPr="00F32B28">
        <w:rPr>
          <w:rtl/>
        </w:rPr>
        <w:t>الخدمات</w:t>
      </w:r>
      <w:r w:rsidR="00F32B28">
        <w:rPr>
          <w:rtl/>
        </w:rPr>
        <w:t xml:space="preserve"> </w:t>
      </w:r>
      <w:r w:rsidR="00F32B28" w:rsidRPr="00F32B28">
        <w:rPr>
          <w:rtl/>
        </w:rPr>
        <w:t>الصحية</w:t>
      </w:r>
      <w:r w:rsidR="00F32B28">
        <w:rPr>
          <w:rtl/>
        </w:rPr>
        <w:t xml:space="preserve"> </w:t>
      </w:r>
      <w:r w:rsidR="00F32B28" w:rsidRPr="00F32B28">
        <w:rPr>
          <w:rtl/>
        </w:rPr>
        <w:t>بمساواة</w:t>
      </w:r>
      <w:r w:rsidR="00F32B28">
        <w:rPr>
          <w:rtl/>
        </w:rPr>
        <w:t xml:space="preserve"> </w:t>
      </w:r>
      <w:r w:rsidR="00F32B28" w:rsidRPr="00F32B28">
        <w:rPr>
          <w:rtl/>
        </w:rPr>
        <w:t>وعدالة</w:t>
      </w:r>
      <w:r w:rsidR="00F32B28">
        <w:rPr>
          <w:rtl/>
        </w:rPr>
        <w:t xml:space="preserve"> </w:t>
      </w:r>
      <w:r w:rsidR="00F32B28" w:rsidRPr="00F32B28">
        <w:rPr>
          <w:rtl/>
        </w:rPr>
        <w:t>للنوع</w:t>
      </w:r>
      <w:r w:rsidR="00F32B28">
        <w:rPr>
          <w:rtl/>
        </w:rPr>
        <w:t xml:space="preserve"> </w:t>
      </w:r>
      <w:r w:rsidR="00F32B28" w:rsidRPr="00F32B28">
        <w:rPr>
          <w:rtl/>
        </w:rPr>
        <w:t>الاجتماعي</w:t>
      </w:r>
      <w:r w:rsidR="00F32B28">
        <w:rPr>
          <w:rtl/>
        </w:rPr>
        <w:t xml:space="preserve"> </w:t>
      </w:r>
      <w:r w:rsidR="00F32B28" w:rsidRPr="00F32B28">
        <w:rPr>
          <w:rtl/>
        </w:rPr>
        <w:t>وذوي</w:t>
      </w:r>
      <w:r w:rsidR="00F32B28">
        <w:rPr>
          <w:rtl/>
        </w:rPr>
        <w:t xml:space="preserve"> </w:t>
      </w:r>
      <w:r w:rsidR="00F32B28" w:rsidRPr="00F32B28">
        <w:rPr>
          <w:rtl/>
        </w:rPr>
        <w:t>الإعاقات</w:t>
      </w:r>
      <w:r w:rsidR="00F32B28">
        <w:rPr>
          <w:rtl/>
        </w:rPr>
        <w:t xml:space="preserve"> </w:t>
      </w:r>
      <w:r w:rsidR="00F32B28" w:rsidRPr="00F32B28">
        <w:rPr>
          <w:rtl/>
        </w:rPr>
        <w:t>والفقراء</w:t>
      </w:r>
      <w:r w:rsidR="00F32B28">
        <w:rPr>
          <w:rtl/>
        </w:rPr>
        <w:t xml:space="preserve"> </w:t>
      </w:r>
      <w:r w:rsidR="00F32B28" w:rsidRPr="00F32B28">
        <w:rPr>
          <w:rtl/>
        </w:rPr>
        <w:t>وبجودة</w:t>
      </w:r>
      <w:r w:rsidR="00F32B28">
        <w:rPr>
          <w:rtl/>
        </w:rPr>
        <w:t xml:space="preserve"> </w:t>
      </w:r>
      <w:r w:rsidR="00F32B28" w:rsidRPr="00F32B28">
        <w:rPr>
          <w:rtl/>
        </w:rPr>
        <w:t>عالية،</w:t>
      </w:r>
      <w:r w:rsidR="00F32B28">
        <w:rPr>
          <w:rtl/>
        </w:rPr>
        <w:t xml:space="preserve"> </w:t>
      </w:r>
      <w:r w:rsidR="00F32B28" w:rsidRPr="00F32B28">
        <w:rPr>
          <w:rtl/>
        </w:rPr>
        <w:t>وذلك</w:t>
      </w:r>
      <w:r w:rsidR="00F32B28">
        <w:rPr>
          <w:rtl/>
        </w:rPr>
        <w:t xml:space="preserve"> </w:t>
      </w:r>
      <w:r w:rsidR="00F32B28" w:rsidRPr="00F32B28">
        <w:rPr>
          <w:rtl/>
        </w:rPr>
        <w:t>بالشراكة</w:t>
      </w:r>
      <w:r w:rsidR="00F32B28">
        <w:rPr>
          <w:rtl/>
        </w:rPr>
        <w:t xml:space="preserve"> </w:t>
      </w:r>
      <w:r w:rsidR="00F32B28" w:rsidRPr="00F32B28">
        <w:rPr>
          <w:rtl/>
        </w:rPr>
        <w:t>والتنسيق</w:t>
      </w:r>
      <w:r w:rsidR="00F32B28">
        <w:rPr>
          <w:rtl/>
        </w:rPr>
        <w:t xml:space="preserve"> </w:t>
      </w:r>
      <w:r w:rsidR="00F32B28" w:rsidRPr="00F32B28">
        <w:rPr>
          <w:rtl/>
        </w:rPr>
        <w:t>مع</w:t>
      </w:r>
      <w:r w:rsidR="00F32B28">
        <w:rPr>
          <w:rtl/>
        </w:rPr>
        <w:t xml:space="preserve"> </w:t>
      </w:r>
      <w:r w:rsidR="00F32B28" w:rsidRPr="00F32B28">
        <w:rPr>
          <w:rtl/>
        </w:rPr>
        <w:t>مختلف</w:t>
      </w:r>
      <w:r w:rsidR="00F32B28">
        <w:rPr>
          <w:rtl/>
        </w:rPr>
        <w:t xml:space="preserve"> </w:t>
      </w:r>
      <w:r w:rsidR="00F32B28" w:rsidRPr="00F32B28">
        <w:rPr>
          <w:rtl/>
        </w:rPr>
        <w:t>مقدمي</w:t>
      </w:r>
      <w:r w:rsidR="00F32B28">
        <w:rPr>
          <w:rtl/>
        </w:rPr>
        <w:t xml:space="preserve"> </w:t>
      </w:r>
      <w:r w:rsidR="00F32B28" w:rsidRPr="00F32B28">
        <w:rPr>
          <w:rtl/>
        </w:rPr>
        <w:t>الخدمات</w:t>
      </w:r>
      <w:r w:rsidR="00F32B28">
        <w:rPr>
          <w:rtl/>
        </w:rPr>
        <w:t xml:space="preserve"> </w:t>
      </w:r>
      <w:r w:rsidR="00F32B28" w:rsidRPr="00F32B28">
        <w:rPr>
          <w:rtl/>
        </w:rPr>
        <w:t>الصحية،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القطاع</w:t>
      </w:r>
      <w:r w:rsidR="00F32B28">
        <w:rPr>
          <w:rtl/>
        </w:rPr>
        <w:t xml:space="preserve"> </w:t>
      </w:r>
      <w:r w:rsidR="00F32B28" w:rsidRPr="00F32B28">
        <w:rPr>
          <w:rtl/>
        </w:rPr>
        <w:t>الخاص</w:t>
      </w:r>
      <w:r w:rsidR="00F32B28">
        <w:rPr>
          <w:rtl/>
        </w:rPr>
        <w:t xml:space="preserve"> </w:t>
      </w:r>
      <w:r w:rsidR="00F32B28" w:rsidRPr="00F32B28">
        <w:rPr>
          <w:rtl/>
        </w:rPr>
        <w:t>والأهلي</w:t>
      </w:r>
      <w:r w:rsidR="00F32B28">
        <w:rPr>
          <w:rtl/>
        </w:rPr>
        <w:t xml:space="preserve"> </w:t>
      </w:r>
      <w:r w:rsidR="00F32B28" w:rsidRPr="00F32B28">
        <w:rPr>
          <w:rtl/>
        </w:rPr>
        <w:t>والخدمات</w:t>
      </w:r>
      <w:r w:rsidR="00F32B28">
        <w:rPr>
          <w:rtl/>
        </w:rPr>
        <w:t xml:space="preserve"> </w:t>
      </w:r>
      <w:r w:rsidR="00F32B28" w:rsidRPr="00F32B28">
        <w:rPr>
          <w:rtl/>
        </w:rPr>
        <w:t>الطبية</w:t>
      </w:r>
      <w:r w:rsidR="00F32B28">
        <w:rPr>
          <w:rtl/>
        </w:rPr>
        <w:t xml:space="preserve"> </w:t>
      </w:r>
      <w:r w:rsidR="00F32B28" w:rsidRPr="00F32B28">
        <w:rPr>
          <w:rtl/>
        </w:rPr>
        <w:t>العسكرية</w:t>
      </w:r>
      <w:r w:rsidR="00D06D08">
        <w:rPr>
          <w:rFonts w:hint="cs"/>
          <w:rtl/>
        </w:rPr>
        <w:t xml:space="preserve"> </w:t>
      </w:r>
      <w:r w:rsidR="00F32B28" w:rsidRPr="00F32B28">
        <w:rPr>
          <w:rtl/>
        </w:rPr>
        <w:t>و</w:t>
      </w:r>
      <w:r w:rsidR="00D06D08">
        <w:rPr>
          <w:rFonts w:hint="cs"/>
          <w:rtl/>
        </w:rPr>
        <w:t xml:space="preserve"> </w:t>
      </w:r>
      <w:r w:rsidR="00D06D08">
        <w:rPr>
          <w:rFonts w:hint="eastAsia"/>
          <w:rtl/>
        </w:rPr>
        <w:t>”</w:t>
      </w:r>
      <w:r w:rsidR="00F32B28" w:rsidRPr="00F32B28">
        <w:rPr>
          <w:rtl/>
        </w:rPr>
        <w:t>الأونروا</w:t>
      </w:r>
      <w:r w:rsidR="00D06D08">
        <w:rPr>
          <w:rFonts w:hint="cs"/>
          <w:rtl/>
        </w:rPr>
        <w:t>“</w:t>
      </w:r>
      <w:r w:rsidR="00F32B28">
        <w:rPr>
          <w:rtl/>
        </w:rPr>
        <w:t xml:space="preserve"> </w:t>
      </w:r>
      <w:r w:rsidR="00F32B28" w:rsidRPr="00F32B28">
        <w:rPr>
          <w:rtl/>
        </w:rPr>
        <w:t>والهلال</w:t>
      </w:r>
      <w:r w:rsidR="00F32B28">
        <w:rPr>
          <w:rtl/>
        </w:rPr>
        <w:t xml:space="preserve"> </w:t>
      </w:r>
      <w:r w:rsidR="00F32B28" w:rsidRPr="00F32B28">
        <w:rPr>
          <w:rtl/>
        </w:rPr>
        <w:t>الأحمر</w:t>
      </w:r>
      <w:r w:rsidR="00F32B28">
        <w:rPr>
          <w:rtl/>
        </w:rPr>
        <w:t xml:space="preserve"> </w:t>
      </w:r>
      <w:r w:rsidR="00F32B28" w:rsidRPr="00F32B28">
        <w:rPr>
          <w:rtl/>
        </w:rPr>
        <w:t>الفلسطيني.</w:t>
      </w:r>
    </w:p>
    <w:p w:rsidR="00F32B28" w:rsidRPr="00F32B28" w:rsidRDefault="00AF1BC1" w:rsidP="00AF1BC1">
      <w:pPr>
        <w:pStyle w:val="SingleTxt"/>
        <w:rPr>
          <w:rtl/>
          <w:lang w:bidi="ar-SY"/>
        </w:rPr>
      </w:pPr>
      <w:r>
        <w:rPr>
          <w:rFonts w:hint="cs"/>
          <w:rtl/>
          <w:lang w:bidi="ar-SY"/>
        </w:rPr>
        <w:t xml:space="preserve">237 - </w:t>
      </w:r>
      <w:r w:rsidR="00F32B28" w:rsidRPr="00F32B28">
        <w:rPr>
          <w:rtl/>
          <w:lang w:bidi="ar-SY"/>
        </w:rPr>
        <w:t>أنشأت</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الصحة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ضمن</w:t>
      </w:r>
      <w:r w:rsidR="00F32B28">
        <w:rPr>
          <w:rtl/>
          <w:lang w:bidi="ar-SY"/>
        </w:rPr>
        <w:t xml:space="preserve"> </w:t>
      </w:r>
      <w:r w:rsidR="00F32B28" w:rsidRPr="00F32B28">
        <w:rPr>
          <w:rtl/>
          <w:lang w:bidi="ar-SY"/>
        </w:rPr>
        <w:t>هيكليتها</w:t>
      </w:r>
      <w:r w:rsidR="00F32B28">
        <w:rPr>
          <w:rtl/>
          <w:lang w:bidi="ar-SY"/>
        </w:rPr>
        <w:t xml:space="preserve"> </w:t>
      </w:r>
      <w:r w:rsidR="00F32B28" w:rsidRPr="00F32B28">
        <w:rPr>
          <w:rtl/>
          <w:lang w:bidi="ar-SY"/>
        </w:rPr>
        <w:t>منذ</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1995</w:t>
      </w:r>
      <w:r w:rsidR="00F32B28">
        <w:rPr>
          <w:rtl/>
          <w:lang w:bidi="ar-SY"/>
        </w:rPr>
        <w:t xml:space="preserve"> </w:t>
      </w:r>
      <w:r w:rsidR="00F32B28" w:rsidRPr="00F32B28">
        <w:rPr>
          <w:rtl/>
          <w:lang w:bidi="ar-SY"/>
        </w:rPr>
        <w:t>الإدارة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لصحة</w:t>
      </w:r>
      <w:r w:rsidR="00F32B28">
        <w:rPr>
          <w:rtl/>
          <w:lang w:bidi="ar-SY"/>
        </w:rPr>
        <w:t xml:space="preserve"> </w:t>
      </w:r>
      <w:r w:rsidR="00F32B28" w:rsidRPr="00F32B28">
        <w:rPr>
          <w:rtl/>
          <w:lang w:bidi="ar-SY"/>
        </w:rPr>
        <w:t>وتنمية</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ودائرة</w:t>
      </w:r>
      <w:r w:rsidR="00F32B28">
        <w:rPr>
          <w:rtl/>
          <w:lang w:bidi="ar-SY"/>
        </w:rPr>
        <w:t xml:space="preserve"> </w:t>
      </w:r>
      <w:r w:rsidR="00F32B28" w:rsidRPr="00F32B28">
        <w:rPr>
          <w:rtl/>
          <w:lang w:bidi="ar-SY"/>
        </w:rPr>
        <w:t>صحة</w:t>
      </w:r>
      <w:r w:rsidR="00F32B28">
        <w:rPr>
          <w:rtl/>
          <w:lang w:bidi="ar-SY"/>
        </w:rPr>
        <w:t xml:space="preserve"> </w:t>
      </w:r>
      <w:r w:rsidR="00F32B28" w:rsidRPr="00F32B28">
        <w:rPr>
          <w:rtl/>
          <w:lang w:bidi="ar-SY"/>
        </w:rPr>
        <w:t>المجتمع</w:t>
      </w:r>
      <w:r w:rsidR="00F32B28">
        <w:rPr>
          <w:rtl/>
          <w:lang w:bidi="ar-SY"/>
        </w:rPr>
        <w:t xml:space="preserve"> </w:t>
      </w:r>
      <w:r w:rsidR="00F32B28" w:rsidRPr="00F32B28">
        <w:rPr>
          <w:rtl/>
          <w:lang w:bidi="ar-SY"/>
        </w:rPr>
        <w:t>بهدف</w:t>
      </w:r>
      <w:r w:rsidR="00F32B28">
        <w:rPr>
          <w:rtl/>
          <w:lang w:bidi="ar-SY"/>
        </w:rPr>
        <w:t xml:space="preserve"> </w:t>
      </w:r>
      <w:r w:rsidR="00F32B28" w:rsidRPr="00F32B28">
        <w:rPr>
          <w:rtl/>
          <w:lang w:bidi="ar-SY"/>
        </w:rPr>
        <w:t>تحسين</w:t>
      </w:r>
      <w:r w:rsidR="00F32B28">
        <w:rPr>
          <w:rtl/>
          <w:lang w:bidi="ar-SY"/>
        </w:rPr>
        <w:t xml:space="preserve"> </w:t>
      </w:r>
      <w:r w:rsidR="00F32B28" w:rsidRPr="00F32B28">
        <w:rPr>
          <w:rtl/>
          <w:lang w:bidi="ar-SY"/>
        </w:rPr>
        <w:t>الوصول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خدمات</w:t>
      </w:r>
      <w:r w:rsidR="00F32B28">
        <w:rPr>
          <w:rtl/>
          <w:lang w:bidi="ar-SY"/>
        </w:rPr>
        <w:t xml:space="preserve"> </w:t>
      </w:r>
      <w:r w:rsidR="00F32B28" w:rsidRPr="00F32B28">
        <w:rPr>
          <w:rtl/>
          <w:lang w:bidi="ar-SY"/>
        </w:rPr>
        <w:t>صحة</w:t>
      </w:r>
      <w:r w:rsidR="00F32B28">
        <w:rPr>
          <w:rtl/>
          <w:lang w:bidi="ar-SY"/>
        </w:rPr>
        <w:t xml:space="preserve"> </w:t>
      </w:r>
      <w:r w:rsidR="00F32B28" w:rsidRPr="00F32B28">
        <w:rPr>
          <w:rtl/>
          <w:lang w:bidi="ar-SY"/>
        </w:rPr>
        <w:t>إنجابية</w:t>
      </w:r>
      <w:r w:rsidR="00F32B28">
        <w:rPr>
          <w:rtl/>
          <w:lang w:bidi="ar-SY"/>
        </w:rPr>
        <w:t xml:space="preserve"> </w:t>
      </w:r>
      <w:r w:rsidR="00F32B28" w:rsidRPr="00F32B28">
        <w:rPr>
          <w:rtl/>
          <w:lang w:bidi="ar-SY"/>
        </w:rPr>
        <w:t>متكاملة</w:t>
      </w:r>
      <w:r w:rsidR="00F32B28">
        <w:rPr>
          <w:rtl/>
          <w:lang w:bidi="ar-SY"/>
        </w:rPr>
        <w:t xml:space="preserve"> </w:t>
      </w:r>
      <w:r w:rsidR="00F32B28" w:rsidRPr="00F32B28">
        <w:rPr>
          <w:rtl/>
          <w:lang w:bidi="ar-SY"/>
        </w:rPr>
        <w:t>وعالية</w:t>
      </w:r>
      <w:r w:rsidR="00F32B28">
        <w:rPr>
          <w:rtl/>
          <w:lang w:bidi="ar-SY"/>
        </w:rPr>
        <w:t xml:space="preserve"> </w:t>
      </w:r>
      <w:r w:rsidR="00F32B28" w:rsidRPr="00F32B28">
        <w:rPr>
          <w:rtl/>
          <w:lang w:bidi="ar-SY"/>
        </w:rPr>
        <w:t>الجودة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مراكز</w:t>
      </w:r>
      <w:r w:rsidR="00F32B28">
        <w:rPr>
          <w:rtl/>
          <w:lang w:bidi="ar-SY"/>
        </w:rPr>
        <w:t xml:space="preserve"> </w:t>
      </w:r>
      <w:r w:rsidR="00F32B28" w:rsidRPr="00F32B28">
        <w:rPr>
          <w:rtl/>
          <w:lang w:bidi="ar-SY"/>
        </w:rPr>
        <w:t>الأمومة</w:t>
      </w:r>
      <w:r w:rsidR="00F32B28">
        <w:rPr>
          <w:rtl/>
          <w:lang w:bidi="ar-SY"/>
        </w:rPr>
        <w:t xml:space="preserve"> </w:t>
      </w:r>
      <w:r w:rsidR="00F32B28" w:rsidRPr="00F32B28">
        <w:rPr>
          <w:rtl/>
          <w:lang w:bidi="ar-SY"/>
        </w:rPr>
        <w:t>والطفولة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الرعاية</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الأولية،</w:t>
      </w:r>
      <w:r w:rsidR="00F32B28">
        <w:rPr>
          <w:rtl/>
          <w:lang w:bidi="ar-SY"/>
        </w:rPr>
        <w:t xml:space="preserve"> </w:t>
      </w:r>
      <w:r w:rsidR="00F32B28" w:rsidRPr="00F32B28">
        <w:rPr>
          <w:rtl/>
          <w:lang w:bidi="ar-SY"/>
        </w:rPr>
        <w:t>وخاصة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المهمشة</w:t>
      </w:r>
      <w:r w:rsidR="00F32B28">
        <w:rPr>
          <w:rtl/>
          <w:lang w:bidi="ar-SY"/>
        </w:rPr>
        <w:t xml:space="preserve"> </w:t>
      </w:r>
      <w:r w:rsidR="00F32B28" w:rsidRPr="00F32B28">
        <w:rPr>
          <w:rtl/>
          <w:lang w:bidi="ar-SY"/>
        </w:rPr>
        <w:t>والمناطق</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يصعب</w:t>
      </w:r>
      <w:r w:rsidR="00F32B28">
        <w:rPr>
          <w:rtl/>
          <w:lang w:bidi="ar-SY"/>
        </w:rPr>
        <w:t xml:space="preserve"> </w:t>
      </w:r>
      <w:r w:rsidR="00F32B28" w:rsidRPr="00F32B28">
        <w:rPr>
          <w:rtl/>
          <w:lang w:bidi="ar-SY"/>
        </w:rPr>
        <w:t>التحرك</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نتيجة</w:t>
      </w:r>
      <w:r w:rsidR="00F32B28">
        <w:rPr>
          <w:rtl/>
          <w:lang w:bidi="ar-SY"/>
        </w:rPr>
        <w:t xml:space="preserve"> </w:t>
      </w:r>
      <w:r w:rsidR="00F32B28" w:rsidRPr="00F32B28">
        <w:rPr>
          <w:rtl/>
          <w:lang w:bidi="ar-SY"/>
        </w:rPr>
        <w:t>للإنشاء</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الشرعي</w:t>
      </w:r>
      <w:r w:rsidR="00F32B28">
        <w:rPr>
          <w:rtl/>
          <w:lang w:bidi="ar-SY"/>
        </w:rPr>
        <w:t xml:space="preserve"> </w:t>
      </w:r>
      <w:r w:rsidR="00F32B28" w:rsidRPr="00F32B28">
        <w:rPr>
          <w:rtl/>
          <w:lang w:bidi="ar-SY"/>
        </w:rPr>
        <w:t>لجدار</w:t>
      </w:r>
      <w:r w:rsidR="00F32B28">
        <w:rPr>
          <w:rtl/>
          <w:lang w:bidi="ar-SY"/>
        </w:rPr>
        <w:t xml:space="preserve"> </w:t>
      </w:r>
      <w:r w:rsidR="00F32B28" w:rsidRPr="00F32B28">
        <w:rPr>
          <w:rtl/>
          <w:lang w:bidi="ar-SY"/>
        </w:rPr>
        <w:t>الضم</w:t>
      </w:r>
      <w:r w:rsidR="00F32B28">
        <w:rPr>
          <w:rtl/>
          <w:lang w:bidi="ar-SY"/>
        </w:rPr>
        <w:t xml:space="preserve"> </w:t>
      </w:r>
      <w:r w:rsidR="00F32B28" w:rsidRPr="00F32B28">
        <w:rPr>
          <w:rtl/>
          <w:lang w:bidi="ar-SY"/>
        </w:rPr>
        <w:t>والتوسع</w:t>
      </w:r>
      <w:r w:rsidR="00F32B28">
        <w:rPr>
          <w:rtl/>
          <w:lang w:bidi="ar-SY"/>
        </w:rPr>
        <w:t xml:space="preserve"> </w:t>
      </w:r>
      <w:r w:rsidR="00F32B28" w:rsidRPr="00F32B28">
        <w:rPr>
          <w:rtl/>
          <w:lang w:bidi="ar-SY"/>
        </w:rPr>
        <w:t>والمستوطنات،</w:t>
      </w:r>
      <w:r w:rsidR="00F32B28">
        <w:rPr>
          <w:rtl/>
          <w:lang w:bidi="ar-SY"/>
        </w:rPr>
        <w:t xml:space="preserve"> </w:t>
      </w:r>
      <w:r w:rsidR="00F32B28" w:rsidRPr="00F32B28">
        <w:rPr>
          <w:rtl/>
          <w:lang w:bidi="ar-SY"/>
        </w:rPr>
        <w:t>وتقديم</w:t>
      </w:r>
      <w:r w:rsidR="00F32B28">
        <w:rPr>
          <w:rtl/>
          <w:lang w:bidi="ar-SY"/>
        </w:rPr>
        <w:t xml:space="preserve"> </w:t>
      </w:r>
      <w:r w:rsidR="00F32B28" w:rsidRPr="00F32B28">
        <w:rPr>
          <w:rtl/>
          <w:lang w:bidi="ar-SY"/>
        </w:rPr>
        <w:t>خدمة</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نوعية</w:t>
      </w:r>
      <w:r w:rsidR="00F32B28">
        <w:rPr>
          <w:rtl/>
          <w:lang w:bidi="ar-SY"/>
        </w:rPr>
        <w:t xml:space="preserve"> </w:t>
      </w:r>
      <w:r w:rsidR="00F32B28" w:rsidRPr="00F32B28">
        <w:rPr>
          <w:rtl/>
          <w:lang w:bidi="ar-SY"/>
        </w:rPr>
        <w:t>جيدة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المستشفيات</w:t>
      </w:r>
      <w:r w:rsidR="00F32B28">
        <w:rPr>
          <w:rtl/>
          <w:lang w:bidi="ar-SY"/>
        </w:rPr>
        <w:t xml:space="preserve"> </w:t>
      </w:r>
      <w:r w:rsidR="00F32B28" w:rsidRPr="00F32B28">
        <w:rPr>
          <w:rtl/>
          <w:lang w:bidi="ar-SY"/>
        </w:rPr>
        <w:t>وخاصة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أقسام</w:t>
      </w:r>
      <w:r w:rsidR="00F32B28">
        <w:rPr>
          <w:rtl/>
          <w:lang w:bidi="ar-SY"/>
        </w:rPr>
        <w:t xml:space="preserve"> </w:t>
      </w:r>
      <w:r w:rsidR="00F32B28" w:rsidRPr="00F32B28">
        <w:rPr>
          <w:rtl/>
          <w:lang w:bidi="ar-SY"/>
        </w:rPr>
        <w:t>الولادة</w:t>
      </w:r>
      <w:r w:rsidR="00F32B28">
        <w:rPr>
          <w:rtl/>
          <w:lang w:bidi="ar-SY"/>
        </w:rPr>
        <w:t xml:space="preserve"> </w:t>
      </w:r>
      <w:r w:rsidR="00F32B28" w:rsidRPr="00F32B28">
        <w:rPr>
          <w:rtl/>
          <w:lang w:bidi="ar-SY"/>
        </w:rPr>
        <w:t>وما</w:t>
      </w:r>
      <w:r w:rsidR="00F32B28">
        <w:rPr>
          <w:rtl/>
          <w:lang w:bidi="ar-SY"/>
        </w:rPr>
        <w:t xml:space="preserve"> </w:t>
      </w:r>
      <w:r w:rsidR="00F32B28" w:rsidRPr="00F32B28">
        <w:rPr>
          <w:rtl/>
          <w:lang w:bidi="ar-SY"/>
        </w:rPr>
        <w:t>بعد</w:t>
      </w:r>
      <w:r w:rsidR="00F32B28">
        <w:rPr>
          <w:rtl/>
          <w:lang w:bidi="ar-SY"/>
        </w:rPr>
        <w:t xml:space="preserve"> </w:t>
      </w:r>
      <w:r w:rsidR="00F32B28" w:rsidRPr="00F32B28">
        <w:rPr>
          <w:rtl/>
          <w:lang w:bidi="ar-SY"/>
        </w:rPr>
        <w:t>الولادة.</w:t>
      </w:r>
      <w:r w:rsidR="00F32B28">
        <w:rPr>
          <w:rtl/>
          <w:lang w:bidi="ar-SY"/>
        </w:rPr>
        <w:t xml:space="preserve"> </w:t>
      </w:r>
    </w:p>
    <w:p w:rsidR="00F32B28" w:rsidRPr="00F32B28" w:rsidRDefault="00AF1BC1" w:rsidP="00AF1BC1">
      <w:pPr>
        <w:pStyle w:val="SingleTxt"/>
        <w:rPr>
          <w:rtl/>
          <w:lang w:bidi="ar-SY"/>
        </w:rPr>
      </w:pPr>
      <w:r>
        <w:rPr>
          <w:rFonts w:hint="cs"/>
          <w:rtl/>
          <w:lang w:bidi="ar-SY"/>
        </w:rPr>
        <w:lastRenderedPageBreak/>
        <w:t xml:space="preserve">238 - </w:t>
      </w:r>
      <w:r w:rsidR="00F32B28" w:rsidRPr="00F32B28">
        <w:rPr>
          <w:rtl/>
          <w:lang w:bidi="ar-SY"/>
        </w:rPr>
        <w:t>أما</w:t>
      </w:r>
      <w:r w:rsidR="00F32B28">
        <w:rPr>
          <w:rtl/>
          <w:lang w:bidi="ar-SY"/>
        </w:rPr>
        <w:t xml:space="preserve"> </w:t>
      </w:r>
      <w:r w:rsidR="00F32B28" w:rsidRPr="00F32B28">
        <w:rPr>
          <w:rtl/>
          <w:lang w:bidi="ar-SY"/>
        </w:rPr>
        <w:t>بخصوص</w:t>
      </w:r>
      <w:r w:rsidR="00F32B28">
        <w:rPr>
          <w:rtl/>
          <w:lang w:bidi="ar-SY"/>
        </w:rPr>
        <w:t xml:space="preserve"> </w:t>
      </w:r>
      <w:r w:rsidR="00F32B28" w:rsidRPr="00F32B28">
        <w:rPr>
          <w:rtl/>
          <w:lang w:bidi="ar-SY"/>
        </w:rPr>
        <w:t>التأمين</w:t>
      </w:r>
      <w:r w:rsidR="00F32B28">
        <w:rPr>
          <w:rtl/>
          <w:lang w:bidi="ar-SY"/>
        </w:rPr>
        <w:t xml:space="preserve"> </w:t>
      </w:r>
      <w:r w:rsidR="00F32B28" w:rsidRPr="00F32B28">
        <w:rPr>
          <w:rtl/>
          <w:lang w:bidi="ar-SY"/>
        </w:rPr>
        <w:t>الصحي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فهنالك</w:t>
      </w:r>
      <w:r w:rsidR="00F32B28">
        <w:rPr>
          <w:rtl/>
          <w:lang w:bidi="ar-SY"/>
        </w:rPr>
        <w:t xml:space="preserve"> </w:t>
      </w:r>
      <w:r w:rsidR="00F32B28" w:rsidRPr="00F32B28">
        <w:rPr>
          <w:rtl/>
          <w:lang w:bidi="ar-SY"/>
        </w:rPr>
        <w:t>ستة</w:t>
      </w:r>
      <w:r w:rsidR="00F32B28">
        <w:rPr>
          <w:rtl/>
          <w:lang w:bidi="ar-SY"/>
        </w:rPr>
        <w:t xml:space="preserve"> </w:t>
      </w:r>
      <w:r w:rsidR="00F32B28" w:rsidRPr="00F32B28">
        <w:rPr>
          <w:rtl/>
          <w:lang w:bidi="ar-SY"/>
        </w:rPr>
        <w:t>أنواع</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أنظمة</w:t>
      </w:r>
      <w:r w:rsidR="00F32B28">
        <w:rPr>
          <w:rtl/>
          <w:lang w:bidi="ar-SY"/>
        </w:rPr>
        <w:t xml:space="preserve"> </w:t>
      </w:r>
      <w:r w:rsidR="00F32B28" w:rsidRPr="00F32B28">
        <w:rPr>
          <w:rtl/>
          <w:lang w:bidi="ar-SY"/>
        </w:rPr>
        <w:t>التأمين</w:t>
      </w:r>
      <w:r w:rsidR="00F32B28">
        <w:rPr>
          <w:rtl/>
          <w:lang w:bidi="ar-SY"/>
        </w:rPr>
        <w:t xml:space="preserve"> </w:t>
      </w:r>
      <w:r w:rsidR="00F32B28" w:rsidRPr="00F32B28">
        <w:rPr>
          <w:rtl/>
          <w:lang w:bidi="ar-SY"/>
        </w:rPr>
        <w:t>الصحي</w:t>
      </w:r>
      <w:r w:rsidR="00F32B28">
        <w:rPr>
          <w:rtl/>
          <w:lang w:bidi="ar-SY"/>
        </w:rPr>
        <w:t xml:space="preserve"> </w:t>
      </w:r>
      <w:r w:rsidR="00F32B28" w:rsidRPr="00F32B28">
        <w:rPr>
          <w:rtl/>
          <w:lang w:bidi="ar-SY"/>
        </w:rPr>
        <w:t>الحكومي،</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التأمين</w:t>
      </w:r>
      <w:r w:rsidR="00F32B28">
        <w:rPr>
          <w:rtl/>
          <w:lang w:bidi="ar-SY"/>
        </w:rPr>
        <w:t xml:space="preserve"> </w:t>
      </w:r>
      <w:r w:rsidR="00F32B28" w:rsidRPr="00F32B28">
        <w:rPr>
          <w:rtl/>
          <w:lang w:bidi="ar-SY"/>
        </w:rPr>
        <w:t>الإجباري</w:t>
      </w:r>
      <w:r w:rsidR="00F32B28">
        <w:rPr>
          <w:rtl/>
          <w:lang w:bidi="ar-SY"/>
        </w:rPr>
        <w:t xml:space="preserve"> </w:t>
      </w:r>
      <w:r w:rsidR="00F32B28" w:rsidRPr="00F32B28">
        <w:rPr>
          <w:rtl/>
          <w:lang w:bidi="ar-SY"/>
        </w:rPr>
        <w:t>(تأمين</w:t>
      </w:r>
      <w:r w:rsidR="00F32B28">
        <w:rPr>
          <w:rtl/>
          <w:lang w:bidi="ar-SY"/>
        </w:rPr>
        <w:t xml:space="preserve"> </w:t>
      </w:r>
      <w:r w:rsidR="00F32B28" w:rsidRPr="00F32B28">
        <w:rPr>
          <w:rtl/>
          <w:lang w:bidi="ar-SY"/>
        </w:rPr>
        <w:t>موظفي</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lang w:bidi="ar-SY"/>
        </w:rPr>
        <w:t>الحكومي</w:t>
      </w:r>
      <w:r w:rsidR="00F32B28">
        <w:rPr>
          <w:rtl/>
          <w:lang w:bidi="ar-SY"/>
        </w:rPr>
        <w:t xml:space="preserve"> </w:t>
      </w:r>
      <w:r w:rsidR="00F32B28" w:rsidRPr="00F32B28">
        <w:rPr>
          <w:rtl/>
          <w:lang w:bidi="ar-SY"/>
        </w:rPr>
        <w:t>والبلديات</w:t>
      </w:r>
      <w:r w:rsidR="00F32B28">
        <w:rPr>
          <w:rtl/>
          <w:lang w:bidi="ar-SY"/>
        </w:rPr>
        <w:t xml:space="preserve"> </w:t>
      </w:r>
      <w:r w:rsidR="00F32B28" w:rsidRPr="00F32B28">
        <w:rPr>
          <w:rtl/>
          <w:lang w:bidi="ar-SY"/>
        </w:rPr>
        <w:t>والمتعاقدين)،</w:t>
      </w:r>
      <w:r w:rsidR="00F32B28">
        <w:rPr>
          <w:rtl/>
          <w:lang w:bidi="ar-SY"/>
        </w:rPr>
        <w:t xml:space="preserve"> </w:t>
      </w:r>
      <w:r w:rsidR="00F32B28" w:rsidRPr="00F32B28">
        <w:rPr>
          <w:rtl/>
          <w:lang w:bidi="ar-SY"/>
        </w:rPr>
        <w:t>والتأمين</w:t>
      </w:r>
      <w:r w:rsidR="00F32B28">
        <w:rPr>
          <w:rtl/>
          <w:lang w:bidi="ar-SY"/>
        </w:rPr>
        <w:t xml:space="preserve"> </w:t>
      </w:r>
      <w:r w:rsidR="00F32B28" w:rsidRPr="00F32B28">
        <w:rPr>
          <w:rtl/>
          <w:lang w:bidi="ar-SY"/>
        </w:rPr>
        <w:t>الطوعي،</w:t>
      </w:r>
      <w:r w:rsidR="00F32B28">
        <w:rPr>
          <w:rtl/>
          <w:lang w:bidi="ar-SY"/>
        </w:rPr>
        <w:t xml:space="preserve"> </w:t>
      </w:r>
      <w:r w:rsidR="00F32B28" w:rsidRPr="00F32B28">
        <w:rPr>
          <w:rtl/>
          <w:lang w:bidi="ar-SY"/>
        </w:rPr>
        <w:t>وتأمين</w:t>
      </w:r>
      <w:r w:rsidR="00F32B28">
        <w:rPr>
          <w:rtl/>
          <w:lang w:bidi="ar-SY"/>
        </w:rPr>
        <w:t xml:space="preserve"> </w:t>
      </w:r>
      <w:r w:rsidR="00F32B28" w:rsidRPr="00F32B28">
        <w:rPr>
          <w:rtl/>
          <w:lang w:bidi="ar-SY"/>
        </w:rPr>
        <w:t>العاملين</w:t>
      </w:r>
      <w:r w:rsidR="00F32B28">
        <w:rPr>
          <w:rtl/>
          <w:lang w:bidi="ar-SY"/>
        </w:rPr>
        <w:t xml:space="preserve"> </w:t>
      </w:r>
      <w:r w:rsidR="00F32B28" w:rsidRPr="00F32B28">
        <w:rPr>
          <w:rtl/>
          <w:lang w:bidi="ar-SY"/>
        </w:rPr>
        <w:t>داخل</w:t>
      </w:r>
      <w:r w:rsidR="00F32B28">
        <w:rPr>
          <w:rtl/>
          <w:lang w:bidi="ar-SY"/>
        </w:rPr>
        <w:t xml:space="preserve"> </w:t>
      </w:r>
      <w:r w:rsidR="00F32B28" w:rsidRPr="00F32B28">
        <w:rPr>
          <w:rtl/>
          <w:lang w:bidi="ar-SY"/>
        </w:rPr>
        <w:t>الخط</w:t>
      </w:r>
      <w:r w:rsidR="00F32B28">
        <w:rPr>
          <w:rtl/>
          <w:lang w:bidi="ar-SY"/>
        </w:rPr>
        <w:t xml:space="preserve"> </w:t>
      </w:r>
      <w:r w:rsidR="00F32B28" w:rsidRPr="00F32B28">
        <w:rPr>
          <w:rtl/>
          <w:lang w:bidi="ar-SY"/>
        </w:rPr>
        <w:t>الأخضر،</w:t>
      </w:r>
      <w:r w:rsidR="00F32B28">
        <w:rPr>
          <w:rtl/>
          <w:lang w:bidi="ar-SY"/>
        </w:rPr>
        <w:t xml:space="preserve"> </w:t>
      </w:r>
      <w:r w:rsidR="00F32B28" w:rsidRPr="00F32B28">
        <w:rPr>
          <w:rtl/>
          <w:lang w:bidi="ar-SY"/>
        </w:rPr>
        <w:t>وتأمين</w:t>
      </w:r>
      <w:r w:rsidR="00F32B28">
        <w:rPr>
          <w:rtl/>
          <w:lang w:bidi="ar-SY"/>
        </w:rPr>
        <w:t xml:space="preserve"> </w:t>
      </w:r>
      <w:r w:rsidR="00F32B28" w:rsidRPr="00F32B28">
        <w:rPr>
          <w:rtl/>
          <w:lang w:bidi="ar-SY"/>
        </w:rPr>
        <w:t>العقود،</w:t>
      </w:r>
      <w:r w:rsidR="00F32B28">
        <w:rPr>
          <w:rtl/>
          <w:lang w:bidi="ar-SY"/>
        </w:rPr>
        <w:t xml:space="preserve"> </w:t>
      </w:r>
      <w:r w:rsidR="00F32B28" w:rsidRPr="00F32B28">
        <w:rPr>
          <w:rtl/>
          <w:lang w:bidi="ar-SY"/>
        </w:rPr>
        <w:t>وتأمين</w:t>
      </w:r>
      <w:r w:rsidR="00F32B28">
        <w:rPr>
          <w:rtl/>
          <w:lang w:bidi="ar-SY"/>
        </w:rPr>
        <w:t xml:space="preserve"> </w:t>
      </w:r>
      <w:r w:rsidR="00F32B28" w:rsidRPr="00F32B28">
        <w:rPr>
          <w:rtl/>
          <w:lang w:bidi="ar-SY"/>
        </w:rPr>
        <w:t>الشؤون</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وتأمين</w:t>
      </w:r>
      <w:r w:rsidR="00F32B28">
        <w:rPr>
          <w:rtl/>
          <w:lang w:bidi="ar-SY"/>
        </w:rPr>
        <w:t xml:space="preserve"> </w:t>
      </w:r>
      <w:r w:rsidR="00F32B28" w:rsidRPr="00F32B28">
        <w:rPr>
          <w:rtl/>
          <w:lang w:bidi="ar-SY"/>
        </w:rPr>
        <w:t>الأسرى</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وعائلاتهم.</w:t>
      </w:r>
      <w:r w:rsidR="00F32B28">
        <w:rPr>
          <w:rtl/>
          <w:lang w:bidi="ar-SY"/>
        </w:rPr>
        <w:t xml:space="preserve"> </w:t>
      </w:r>
      <w:r w:rsidR="00F32B28" w:rsidRPr="00F32B28">
        <w:rPr>
          <w:rtl/>
          <w:lang w:bidi="ar-SY"/>
        </w:rPr>
        <w:t>وقد</w:t>
      </w:r>
      <w:r w:rsidR="00F32B28">
        <w:rPr>
          <w:rtl/>
          <w:lang w:bidi="ar-SY"/>
        </w:rPr>
        <w:t xml:space="preserve"> </w:t>
      </w:r>
      <w:r w:rsidR="00F32B28" w:rsidRPr="00F32B28">
        <w:rPr>
          <w:rtl/>
          <w:lang w:bidi="ar-SY"/>
        </w:rPr>
        <w:t>بلغ</w:t>
      </w:r>
      <w:r w:rsidR="00F32B28">
        <w:rPr>
          <w:rtl/>
          <w:lang w:bidi="ar-SY"/>
        </w:rPr>
        <w:t xml:space="preserve"> </w:t>
      </w:r>
      <w:r w:rsidR="00F32B28" w:rsidRPr="00F32B28">
        <w:rPr>
          <w:rtl/>
          <w:lang w:bidi="ar-SY"/>
        </w:rPr>
        <w:t>عدد</w:t>
      </w:r>
      <w:r w:rsidR="00F32B28">
        <w:rPr>
          <w:rtl/>
          <w:lang w:bidi="ar-SY"/>
        </w:rPr>
        <w:t xml:space="preserve"> </w:t>
      </w:r>
      <w:r w:rsidR="00F32B28" w:rsidRPr="00F32B28">
        <w:rPr>
          <w:rtl/>
          <w:lang w:bidi="ar-SY"/>
        </w:rPr>
        <w:t>العائلات</w:t>
      </w:r>
      <w:r w:rsidR="00F32B28">
        <w:rPr>
          <w:rtl/>
          <w:lang w:bidi="ar-SY"/>
        </w:rPr>
        <w:t xml:space="preserve"> </w:t>
      </w:r>
      <w:r w:rsidR="00F32B28" w:rsidRPr="00F32B28">
        <w:rPr>
          <w:rtl/>
          <w:lang w:bidi="ar-SY"/>
        </w:rPr>
        <w:t>المشتركة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مجموع</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التأمينات</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2015</w:t>
      </w:r>
      <w:r w:rsidR="00F32B28">
        <w:rPr>
          <w:rtl/>
          <w:lang w:bidi="ar-SY"/>
        </w:rPr>
        <w:t xml:space="preserve"> </w:t>
      </w:r>
      <w:r w:rsidR="00F32B28" w:rsidRPr="00F32B28">
        <w:rPr>
          <w:rtl/>
          <w:lang w:bidi="ar-SY"/>
        </w:rPr>
        <w:t>(</w:t>
      </w:r>
      <w:r w:rsidR="00EE7D94">
        <w:rPr>
          <w:rFonts w:hint="cs"/>
          <w:rtl/>
          <w:lang w:bidi="ar-SY"/>
        </w:rPr>
        <w:t>248 175</w:t>
      </w:r>
      <w:r w:rsidR="00F32B28" w:rsidRPr="00F32B28">
        <w:rPr>
          <w:rtl/>
          <w:lang w:bidi="ar-SY"/>
        </w:rPr>
        <w:t>)</w:t>
      </w:r>
      <w:r w:rsidR="00F32B28">
        <w:rPr>
          <w:rtl/>
          <w:lang w:bidi="ar-SY"/>
        </w:rPr>
        <w:t xml:space="preserve"> </w:t>
      </w:r>
      <w:r w:rsidR="00F32B28" w:rsidRPr="00F32B28">
        <w:rPr>
          <w:rtl/>
          <w:lang w:bidi="ar-SY"/>
        </w:rPr>
        <w:t>عائلة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w:t>
      </w:r>
      <w:r w:rsidR="00EE7D94">
        <w:rPr>
          <w:rFonts w:hint="cs"/>
          <w:rtl/>
          <w:lang w:bidi="ar-SY"/>
        </w:rPr>
        <w:t>817 13</w:t>
      </w:r>
      <w:r w:rsidR="00F32B28" w:rsidRPr="00F32B28">
        <w:rPr>
          <w:rtl/>
          <w:lang w:bidi="ar-SY"/>
        </w:rPr>
        <w:t>)</w:t>
      </w:r>
      <w:r w:rsidR="00F32B28">
        <w:rPr>
          <w:rtl/>
          <w:lang w:bidi="ar-SY"/>
        </w:rPr>
        <w:t xml:space="preserve"> </w:t>
      </w:r>
      <w:r w:rsidR="00F32B28" w:rsidRPr="00F32B28">
        <w:rPr>
          <w:rtl/>
          <w:lang w:bidi="ar-SY"/>
        </w:rPr>
        <w:t>عائلة</w:t>
      </w:r>
      <w:r w:rsidR="00F32B28">
        <w:rPr>
          <w:rtl/>
          <w:lang w:bidi="ar-SY"/>
        </w:rPr>
        <w:t xml:space="preserve"> </w:t>
      </w:r>
      <w:r w:rsidR="00F32B28" w:rsidRPr="00F32B28">
        <w:rPr>
          <w:rtl/>
          <w:lang w:bidi="ar-SY"/>
        </w:rPr>
        <w:t>حاصلة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التأمين</w:t>
      </w:r>
      <w:r w:rsidR="00F32B28">
        <w:rPr>
          <w:rtl/>
          <w:lang w:bidi="ar-SY"/>
        </w:rPr>
        <w:t xml:space="preserve"> </w:t>
      </w:r>
      <w:r w:rsidR="00F32B28" w:rsidRPr="00F32B28">
        <w:rPr>
          <w:rtl/>
          <w:lang w:bidi="ar-SY"/>
        </w:rPr>
        <w:t>الصحي</w:t>
      </w:r>
      <w:r w:rsidR="00F32B28">
        <w:rPr>
          <w:rtl/>
          <w:lang w:bidi="ar-SY"/>
        </w:rPr>
        <w:t xml:space="preserve"> </w:t>
      </w:r>
      <w:r w:rsidR="00F32B28" w:rsidRPr="00F32B28">
        <w:rPr>
          <w:rtl/>
          <w:lang w:bidi="ar-SY"/>
        </w:rPr>
        <w:t>المجاني.</w:t>
      </w:r>
      <w:r w:rsidR="00F32B28">
        <w:rPr>
          <w:rtl/>
          <w:lang w:bidi="ar-SY"/>
        </w:rPr>
        <w:t xml:space="preserve"> </w:t>
      </w:r>
      <w:r w:rsidR="00F32B28" w:rsidRPr="00F32B28">
        <w:rPr>
          <w:rtl/>
          <w:lang w:bidi="ar-SY"/>
        </w:rPr>
        <w:t>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تمنح</w:t>
      </w:r>
      <w:r w:rsidR="00F32B28">
        <w:rPr>
          <w:rtl/>
          <w:lang w:bidi="ar-SY"/>
        </w:rPr>
        <w:t xml:space="preserve"> </w:t>
      </w:r>
      <w:r w:rsidR="00F32B28" w:rsidRPr="00F32B28">
        <w:rPr>
          <w:rtl/>
          <w:lang w:bidi="ar-SY"/>
        </w:rPr>
        <w:t>الحكومة</w:t>
      </w:r>
      <w:r w:rsidR="00F32B28">
        <w:rPr>
          <w:rtl/>
          <w:lang w:bidi="ar-SY"/>
        </w:rPr>
        <w:t xml:space="preserve"> </w:t>
      </w:r>
      <w:r w:rsidR="00F32B28" w:rsidRPr="00F32B28">
        <w:rPr>
          <w:rtl/>
          <w:lang w:bidi="ar-SY"/>
        </w:rPr>
        <w:t>منذ</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2000</w:t>
      </w:r>
      <w:r w:rsidR="00F32B28">
        <w:rPr>
          <w:rtl/>
          <w:lang w:bidi="ar-SY"/>
        </w:rPr>
        <w:t xml:space="preserve"> </w:t>
      </w:r>
      <w:r w:rsidR="00F32B28" w:rsidRPr="00F32B28">
        <w:rPr>
          <w:rtl/>
          <w:lang w:bidi="ar-SY"/>
        </w:rPr>
        <w:t>تأمين</w:t>
      </w:r>
      <w:r w:rsidR="00F32B28">
        <w:rPr>
          <w:rtl/>
          <w:lang w:bidi="ar-SY"/>
        </w:rPr>
        <w:t xml:space="preserve"> </w:t>
      </w:r>
      <w:r w:rsidR="00F32B28" w:rsidRPr="00F32B28">
        <w:rPr>
          <w:rtl/>
          <w:lang w:bidi="ar-SY"/>
        </w:rPr>
        <w:t>العاطلين</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العمل</w:t>
      </w:r>
      <w:r w:rsidR="00F32B28">
        <w:rPr>
          <w:rtl/>
          <w:lang w:bidi="ar-SY"/>
        </w:rPr>
        <w:t xml:space="preserve"> </w:t>
      </w:r>
      <w:r w:rsidR="00D06D08">
        <w:rPr>
          <w:rFonts w:hint="cs"/>
          <w:rtl/>
          <w:lang w:bidi="ar-SY"/>
        </w:rPr>
        <w:t>”</w:t>
      </w:r>
      <w:r w:rsidR="00F32B28" w:rsidRPr="00F32B28">
        <w:rPr>
          <w:rtl/>
          <w:lang w:bidi="ar-SY"/>
        </w:rPr>
        <w:t>تأمين</w:t>
      </w:r>
      <w:r w:rsidR="00F32B28">
        <w:rPr>
          <w:rtl/>
          <w:lang w:bidi="ar-SY"/>
        </w:rPr>
        <w:t xml:space="preserve"> </w:t>
      </w:r>
      <w:r w:rsidR="00F32B28" w:rsidRPr="00F32B28">
        <w:rPr>
          <w:rtl/>
          <w:lang w:bidi="ar-SY"/>
        </w:rPr>
        <w:t>الأقصى</w:t>
      </w:r>
      <w:r w:rsidR="00D06D08">
        <w:rPr>
          <w:rFonts w:hint="cs"/>
          <w:rtl/>
        </w:rPr>
        <w:t>“</w:t>
      </w:r>
      <w:r w:rsidR="00F32B28" w:rsidRPr="00F32B28">
        <w:rPr>
          <w:rtl/>
          <w:lang w:bidi="ar-SY"/>
        </w:rPr>
        <w:t>؛</w:t>
      </w:r>
      <w:r w:rsidR="00F32B28">
        <w:rPr>
          <w:rtl/>
          <w:lang w:bidi="ar-SY"/>
        </w:rPr>
        <w:t xml:space="preserve"> </w:t>
      </w:r>
      <w:r w:rsidR="00F32B28" w:rsidRPr="00F32B28">
        <w:rPr>
          <w:rtl/>
          <w:lang w:bidi="ar-SY"/>
        </w:rPr>
        <w:t>وهو</w:t>
      </w:r>
      <w:r w:rsidR="00F32B28">
        <w:rPr>
          <w:rtl/>
          <w:lang w:bidi="ar-SY"/>
        </w:rPr>
        <w:t xml:space="preserve"> </w:t>
      </w:r>
      <w:r w:rsidR="00F32B28" w:rsidRPr="00F32B28">
        <w:rPr>
          <w:rtl/>
          <w:lang w:bidi="ar-SY"/>
        </w:rPr>
        <w:t>تأمين</w:t>
      </w:r>
      <w:r w:rsidR="00F32B28">
        <w:rPr>
          <w:rtl/>
          <w:lang w:bidi="ar-SY"/>
        </w:rPr>
        <w:t xml:space="preserve"> </w:t>
      </w:r>
      <w:r w:rsidR="00F32B28" w:rsidRPr="00F32B28">
        <w:rPr>
          <w:rtl/>
          <w:lang w:bidi="ar-SY"/>
        </w:rPr>
        <w:t>صحي</w:t>
      </w:r>
      <w:r w:rsidR="00F32B28">
        <w:rPr>
          <w:rtl/>
          <w:lang w:bidi="ar-SY"/>
        </w:rPr>
        <w:t xml:space="preserve"> </w:t>
      </w:r>
      <w:r w:rsidR="00F32B28" w:rsidRPr="00F32B28">
        <w:rPr>
          <w:rtl/>
          <w:lang w:bidi="ar-SY"/>
        </w:rPr>
        <w:t>مجاني</w:t>
      </w:r>
      <w:r w:rsidR="00F32B28">
        <w:rPr>
          <w:rtl/>
          <w:lang w:bidi="ar-SY"/>
        </w:rPr>
        <w:t xml:space="preserve"> </w:t>
      </w:r>
      <w:r w:rsidR="00F32B28" w:rsidRPr="00F32B28">
        <w:rPr>
          <w:rtl/>
          <w:lang w:bidi="ar-SY"/>
        </w:rPr>
        <w:t>يمنح</w:t>
      </w:r>
      <w:r w:rsidR="00F32B28">
        <w:rPr>
          <w:rtl/>
          <w:lang w:bidi="ar-SY"/>
        </w:rPr>
        <w:t xml:space="preserve"> </w:t>
      </w:r>
      <w:r w:rsidR="00F32B28" w:rsidRPr="00F32B28">
        <w:rPr>
          <w:rtl/>
          <w:lang w:bidi="ar-SY"/>
        </w:rPr>
        <w:t>للأشخاص</w:t>
      </w:r>
      <w:r w:rsidR="00F32B28">
        <w:rPr>
          <w:rtl/>
          <w:lang w:bidi="ar-SY"/>
        </w:rPr>
        <w:t xml:space="preserve"> </w:t>
      </w:r>
      <w:r w:rsidR="00F32B28" w:rsidRPr="00F32B28">
        <w:rPr>
          <w:rtl/>
          <w:lang w:bidi="ar-SY"/>
        </w:rPr>
        <w:t>العاطلين</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والأسر</w:t>
      </w:r>
      <w:r w:rsidR="00F32B28">
        <w:rPr>
          <w:rtl/>
          <w:lang w:bidi="ar-SY"/>
        </w:rPr>
        <w:t xml:space="preserve"> </w:t>
      </w:r>
      <w:r w:rsidR="00F32B28" w:rsidRPr="00F32B28">
        <w:rPr>
          <w:rtl/>
          <w:lang w:bidi="ar-SY"/>
        </w:rPr>
        <w:t>المحتاجة،</w:t>
      </w:r>
      <w:r w:rsidR="00F32B28">
        <w:rPr>
          <w:rtl/>
          <w:lang w:bidi="ar-SY"/>
        </w:rPr>
        <w:t xml:space="preserve"> </w:t>
      </w:r>
      <w:r w:rsidR="00F32B28" w:rsidRPr="00F32B28">
        <w:rPr>
          <w:rtl/>
          <w:lang w:bidi="ar-SY"/>
        </w:rPr>
        <w:t>والأشخاص</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يتقاضون</w:t>
      </w:r>
      <w:r w:rsidR="00F32B28">
        <w:rPr>
          <w:rtl/>
          <w:lang w:bidi="ar-SY"/>
        </w:rPr>
        <w:t xml:space="preserve"> </w:t>
      </w:r>
      <w:r w:rsidR="00F32B28" w:rsidRPr="00F32B28">
        <w:rPr>
          <w:rtl/>
          <w:lang w:bidi="ar-SY"/>
        </w:rPr>
        <w:t>رواتب</w:t>
      </w:r>
      <w:r w:rsidR="00F32B28">
        <w:rPr>
          <w:rtl/>
          <w:lang w:bidi="ar-SY"/>
        </w:rPr>
        <w:t xml:space="preserve"> </w:t>
      </w:r>
      <w:r w:rsidR="00F32B28" w:rsidRPr="00F32B28">
        <w:rPr>
          <w:rtl/>
          <w:lang w:bidi="ar-SY"/>
        </w:rPr>
        <w:t>أقل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الحد</w:t>
      </w:r>
      <w:r w:rsidR="00F32B28">
        <w:rPr>
          <w:rtl/>
          <w:lang w:bidi="ar-SY"/>
        </w:rPr>
        <w:t xml:space="preserve"> </w:t>
      </w:r>
      <w:r w:rsidR="00F32B28" w:rsidRPr="00F32B28">
        <w:rPr>
          <w:rtl/>
          <w:lang w:bidi="ar-SY"/>
        </w:rPr>
        <w:t>الأدنى</w:t>
      </w:r>
      <w:r w:rsidR="00F32B28">
        <w:rPr>
          <w:rtl/>
          <w:lang w:bidi="ar-SY"/>
        </w:rPr>
        <w:t xml:space="preserve"> </w:t>
      </w:r>
      <w:r w:rsidR="00F32B28" w:rsidRPr="00F32B28">
        <w:rPr>
          <w:rtl/>
          <w:lang w:bidi="ar-SY"/>
        </w:rPr>
        <w:t>للأجور،</w:t>
      </w:r>
      <w:r w:rsidR="00F32B28">
        <w:rPr>
          <w:rtl/>
          <w:lang w:bidi="ar-SY"/>
        </w:rPr>
        <w:t xml:space="preserve"> </w:t>
      </w:r>
      <w:r w:rsidR="00F32B28" w:rsidRPr="00F32B28">
        <w:rPr>
          <w:rtl/>
          <w:lang w:bidi="ar-SY"/>
        </w:rPr>
        <w:t>وقد</w:t>
      </w:r>
      <w:r w:rsidR="00F32B28">
        <w:rPr>
          <w:rtl/>
          <w:lang w:bidi="ar-SY"/>
        </w:rPr>
        <w:t xml:space="preserve"> </w:t>
      </w:r>
      <w:r w:rsidR="00F32B28" w:rsidRPr="00F32B28">
        <w:rPr>
          <w:rtl/>
          <w:lang w:bidi="ar-SY"/>
        </w:rPr>
        <w:t>بلغ</w:t>
      </w:r>
      <w:r w:rsidR="00F32B28">
        <w:rPr>
          <w:rtl/>
          <w:lang w:bidi="ar-SY"/>
        </w:rPr>
        <w:t xml:space="preserve"> </w:t>
      </w:r>
      <w:r w:rsidR="00F32B28" w:rsidRPr="00F32B28">
        <w:rPr>
          <w:rtl/>
          <w:lang w:bidi="ar-SY"/>
        </w:rPr>
        <w:t>عدد</w:t>
      </w:r>
      <w:r w:rsidR="00F32B28">
        <w:rPr>
          <w:rtl/>
          <w:lang w:bidi="ar-SY"/>
        </w:rPr>
        <w:t xml:space="preserve"> </w:t>
      </w:r>
      <w:r w:rsidR="00F32B28" w:rsidRPr="00F32B28">
        <w:rPr>
          <w:rtl/>
          <w:lang w:bidi="ar-SY"/>
        </w:rPr>
        <w:t>الأسر</w:t>
      </w:r>
      <w:r w:rsidR="00F32B28">
        <w:rPr>
          <w:rtl/>
          <w:lang w:bidi="ar-SY"/>
        </w:rPr>
        <w:t xml:space="preserve"> </w:t>
      </w:r>
      <w:r w:rsidR="00F32B28" w:rsidRPr="00F32B28">
        <w:rPr>
          <w:rtl/>
          <w:lang w:bidi="ar-SY"/>
        </w:rPr>
        <w:t>المستفيدة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التأمين</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215</w:t>
      </w:r>
      <w:r w:rsidR="00F32B28">
        <w:rPr>
          <w:rtl/>
          <w:lang w:bidi="ar-SY"/>
        </w:rPr>
        <w:t xml:space="preserve"> </w:t>
      </w:r>
      <w:r w:rsidR="00F32B28" w:rsidRPr="00F32B28">
        <w:rPr>
          <w:rtl/>
          <w:lang w:bidi="ar-SY"/>
        </w:rPr>
        <w:t>ألف</w:t>
      </w:r>
      <w:r w:rsidR="00F32B28">
        <w:rPr>
          <w:rtl/>
          <w:lang w:bidi="ar-SY"/>
        </w:rPr>
        <w:t xml:space="preserve"> </w:t>
      </w:r>
      <w:r w:rsidR="00F32B28" w:rsidRPr="00F32B28">
        <w:rPr>
          <w:rtl/>
          <w:lang w:bidi="ar-SY"/>
        </w:rPr>
        <w:t>أسرة.</w:t>
      </w:r>
      <w:r w:rsidR="00F32B28">
        <w:rPr>
          <w:rtl/>
          <w:lang w:bidi="ar-SY"/>
        </w:rPr>
        <w:t xml:space="preserve"> </w:t>
      </w:r>
      <w:r w:rsidR="00F32B28" w:rsidRPr="00F32B28">
        <w:rPr>
          <w:rtl/>
          <w:lang w:bidi="ar-SY"/>
        </w:rPr>
        <w:t>أما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وبموجب</w:t>
      </w:r>
      <w:r w:rsidR="00F32B28">
        <w:rPr>
          <w:rtl/>
          <w:lang w:bidi="ar-SY"/>
        </w:rPr>
        <w:t xml:space="preserve"> </w:t>
      </w:r>
      <w:r w:rsidR="00F32B28" w:rsidRPr="00F32B28">
        <w:rPr>
          <w:rtl/>
          <w:lang w:bidi="ar-SY"/>
        </w:rPr>
        <w:t>القرار</w:t>
      </w:r>
      <w:r w:rsidR="00F32B28">
        <w:rPr>
          <w:rtl/>
          <w:lang w:bidi="ar-SY"/>
        </w:rPr>
        <w:t xml:space="preserve"> </w:t>
      </w:r>
      <w:r w:rsidR="00F32B28" w:rsidRPr="00F32B28">
        <w:rPr>
          <w:rtl/>
          <w:lang w:bidi="ar-SY"/>
        </w:rPr>
        <w:t>الرئاسي</w:t>
      </w:r>
      <w:r w:rsidR="00F32B28">
        <w:rPr>
          <w:rtl/>
          <w:lang w:bidi="ar-SY"/>
        </w:rPr>
        <w:t xml:space="preserve"> </w:t>
      </w:r>
      <w:r w:rsidR="00F32B28" w:rsidRPr="00F32B28">
        <w:rPr>
          <w:rtl/>
          <w:lang w:bidi="ar-SY"/>
        </w:rPr>
        <w:t>الصادر</w:t>
      </w:r>
      <w:r w:rsidR="00F32B28">
        <w:rPr>
          <w:rtl/>
          <w:lang w:bidi="ar-SY"/>
        </w:rPr>
        <w:t xml:space="preserve"> </w:t>
      </w:r>
      <w:r w:rsidR="00F32B28" w:rsidRPr="00F32B28">
        <w:rPr>
          <w:rtl/>
          <w:lang w:bidi="ar-SY"/>
        </w:rPr>
        <w:t>بتاريخ</w:t>
      </w:r>
      <w:r w:rsidR="00F32B28">
        <w:rPr>
          <w:rtl/>
          <w:lang w:bidi="ar-SY"/>
        </w:rPr>
        <w:t xml:space="preserve"> </w:t>
      </w:r>
      <w:r w:rsidR="00F32B28" w:rsidRPr="00F32B28">
        <w:rPr>
          <w:rtl/>
          <w:lang w:bidi="ar-SY"/>
        </w:rPr>
        <w:t>26</w:t>
      </w:r>
      <w:r w:rsidR="00407D55">
        <w:rPr>
          <w:rFonts w:hint="cs"/>
          <w:rtl/>
          <w:lang w:bidi="ar-SY"/>
        </w:rPr>
        <w:t xml:space="preserve"> حزيران/</w:t>
      </w:r>
      <w:r w:rsidR="009F4D72">
        <w:rPr>
          <w:rFonts w:hint="cs"/>
          <w:rtl/>
          <w:lang w:bidi="ar-SY"/>
        </w:rPr>
        <w:t xml:space="preserve"> </w:t>
      </w:r>
      <w:r w:rsidR="00407D55">
        <w:rPr>
          <w:rFonts w:hint="cs"/>
          <w:rtl/>
          <w:lang w:bidi="ar-SY"/>
        </w:rPr>
        <w:t xml:space="preserve">يونيه </w:t>
      </w:r>
      <w:r w:rsidR="00F32B28" w:rsidRPr="00F32B28">
        <w:rPr>
          <w:rtl/>
          <w:lang w:bidi="ar-SY"/>
        </w:rPr>
        <w:t>2007،</w:t>
      </w:r>
      <w:r w:rsidR="00F32B28">
        <w:rPr>
          <w:rtl/>
          <w:lang w:bidi="ar-SY"/>
        </w:rPr>
        <w:t xml:space="preserve"> </w:t>
      </w:r>
      <w:r w:rsidR="00F32B28" w:rsidRPr="00F32B28">
        <w:rPr>
          <w:rtl/>
          <w:lang w:bidi="ar-SY"/>
        </w:rPr>
        <w:t>فإن</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سكان</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lang w:bidi="ar-SY"/>
        </w:rPr>
        <w:t>معفيين</w:t>
      </w:r>
      <w:r w:rsidR="00F32B28">
        <w:rPr>
          <w:rtl/>
          <w:lang w:bidi="ar-SY"/>
        </w:rPr>
        <w:t xml:space="preserve"> </w:t>
      </w:r>
      <w:r w:rsidR="00F32B28" w:rsidRPr="00F32B28">
        <w:rPr>
          <w:rtl/>
          <w:lang w:bidi="ar-SY"/>
        </w:rPr>
        <w:t>إعفاءً</w:t>
      </w:r>
      <w:r w:rsidR="00F32B28">
        <w:rPr>
          <w:rtl/>
          <w:lang w:bidi="ar-SY"/>
        </w:rPr>
        <w:t xml:space="preserve"> </w:t>
      </w:r>
      <w:r w:rsidR="00F32B28" w:rsidRPr="00F32B28">
        <w:rPr>
          <w:rtl/>
          <w:lang w:bidi="ar-SY"/>
        </w:rPr>
        <w:t>كاملاً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رسوم</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تقدمها</w:t>
      </w:r>
      <w:r w:rsidR="00F32B28">
        <w:rPr>
          <w:rtl/>
          <w:lang w:bidi="ar-SY"/>
        </w:rPr>
        <w:t xml:space="preserve"> </w:t>
      </w:r>
      <w:r w:rsidR="00F32B28" w:rsidRPr="00F32B28">
        <w:rPr>
          <w:rtl/>
          <w:lang w:bidi="ar-SY"/>
        </w:rPr>
        <w:t>الهيئات</w:t>
      </w:r>
      <w:r w:rsidR="00F32B28">
        <w:rPr>
          <w:rtl/>
          <w:lang w:bidi="ar-SY"/>
        </w:rPr>
        <w:t xml:space="preserve"> </w:t>
      </w:r>
      <w:r w:rsidR="00F32B28" w:rsidRPr="00F32B28">
        <w:rPr>
          <w:rtl/>
          <w:lang w:bidi="ar-SY"/>
        </w:rPr>
        <w:t>الحكومية،</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تقدم</w:t>
      </w:r>
      <w:r w:rsidR="00F32B28">
        <w:rPr>
          <w:rtl/>
          <w:lang w:bidi="ar-SY"/>
        </w:rPr>
        <w:t xml:space="preserve"> </w:t>
      </w:r>
      <w:r w:rsidR="00F32B28" w:rsidRPr="00F32B28">
        <w:rPr>
          <w:rtl/>
          <w:lang w:bidi="ar-SY"/>
        </w:rPr>
        <w:t>لأول</w:t>
      </w:r>
      <w:r w:rsidR="00F32B28">
        <w:rPr>
          <w:rtl/>
          <w:lang w:bidi="ar-SY"/>
        </w:rPr>
        <w:t xml:space="preserve"> </w:t>
      </w:r>
      <w:r w:rsidR="00F32B28" w:rsidRPr="00F32B28">
        <w:rPr>
          <w:rtl/>
          <w:lang w:bidi="ar-SY"/>
        </w:rPr>
        <w:t>مرة،</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نسبة</w:t>
      </w:r>
      <w:r w:rsidR="00F32B28">
        <w:rPr>
          <w:rtl/>
          <w:lang w:bidi="ar-SY"/>
        </w:rPr>
        <w:t xml:space="preserve"> </w:t>
      </w:r>
      <w:r w:rsidR="00F32B28" w:rsidRPr="00F32B28">
        <w:rPr>
          <w:rtl/>
          <w:lang w:bidi="ar-SY"/>
        </w:rPr>
        <w:t>تغطية</w:t>
      </w:r>
      <w:r w:rsidR="00F32B28">
        <w:rPr>
          <w:rtl/>
          <w:lang w:bidi="ar-SY"/>
        </w:rPr>
        <w:t xml:space="preserve"> </w:t>
      </w:r>
      <w:r w:rsidR="00F32B28" w:rsidRPr="00F32B28">
        <w:rPr>
          <w:rtl/>
          <w:lang w:bidi="ar-SY"/>
        </w:rPr>
        <w:t>التأمين</w:t>
      </w:r>
      <w:r w:rsidR="00F32B28">
        <w:rPr>
          <w:rtl/>
          <w:lang w:bidi="ar-SY"/>
        </w:rPr>
        <w:t xml:space="preserve"> </w:t>
      </w:r>
      <w:r w:rsidR="00F32B28" w:rsidRPr="00F32B28">
        <w:rPr>
          <w:rtl/>
          <w:lang w:bidi="ar-SY"/>
        </w:rPr>
        <w:t>الصحي</w:t>
      </w:r>
      <w:r w:rsidR="00F32B28">
        <w:rPr>
          <w:rtl/>
          <w:lang w:bidi="ar-SY"/>
        </w:rPr>
        <w:t xml:space="preserve"> </w:t>
      </w:r>
      <w:r w:rsidR="00F32B28" w:rsidRPr="00F32B28">
        <w:rPr>
          <w:rtl/>
          <w:lang w:bidi="ar-SY"/>
        </w:rPr>
        <w:t>المجاني</w:t>
      </w:r>
      <w:r w:rsidR="00F32B28">
        <w:rPr>
          <w:rtl/>
          <w:lang w:bidi="ar-SY"/>
        </w:rPr>
        <w:t xml:space="preserve"> </w:t>
      </w:r>
      <w:r w:rsidR="00F32B28" w:rsidRPr="00F32B28">
        <w:rPr>
          <w:rtl/>
          <w:lang w:bidi="ar-SY"/>
        </w:rPr>
        <w:t>لسكان</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lang w:bidi="ar-SY"/>
        </w:rPr>
        <w:t>تبلغ</w:t>
      </w:r>
      <w:r w:rsidR="00F32B28">
        <w:rPr>
          <w:rtl/>
          <w:lang w:bidi="ar-SY"/>
        </w:rPr>
        <w:t xml:space="preserve"> </w:t>
      </w:r>
      <w:r w:rsidR="00F32B28" w:rsidRPr="00F32B28">
        <w:rPr>
          <w:rtl/>
          <w:lang w:bidi="ar-SY"/>
        </w:rPr>
        <w:t>100</w:t>
      </w:r>
      <w:r w:rsidR="00851F93">
        <w:rPr>
          <w:rFonts w:hint="cs"/>
          <w:rtl/>
          <w:lang w:bidi="ar-SY"/>
        </w:rPr>
        <w:t xml:space="preserve"> </w:t>
      </w:r>
      <w:r w:rsidR="00600C43">
        <w:rPr>
          <w:rtl/>
          <w:lang w:bidi="ar-SY"/>
        </w:rPr>
        <w:t>في المائة</w:t>
      </w:r>
      <w:r w:rsidR="00F32B28" w:rsidRPr="00F32B28">
        <w:rPr>
          <w:rtl/>
          <w:lang w:bidi="ar-SY"/>
        </w:rPr>
        <w:t>.</w:t>
      </w:r>
      <w:r w:rsidR="00F32B28">
        <w:rPr>
          <w:rtl/>
          <w:lang w:bidi="ar-SY"/>
        </w:rPr>
        <w:t xml:space="preserve"> </w:t>
      </w:r>
      <w:r w:rsidR="00F32B28" w:rsidRPr="00F32B28">
        <w:rPr>
          <w:rtl/>
          <w:lang w:bidi="ar-SY"/>
        </w:rPr>
        <w:t>وتساوي</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التأمينات</w:t>
      </w:r>
      <w:r w:rsidR="00F32B28">
        <w:rPr>
          <w:rtl/>
          <w:lang w:bidi="ar-SY"/>
        </w:rPr>
        <w:t xml:space="preserve"> </w:t>
      </w:r>
      <w:r w:rsidR="00F32B28" w:rsidRPr="00F32B28">
        <w:rPr>
          <w:rtl/>
          <w:lang w:bidi="ar-SY"/>
        </w:rPr>
        <w:t>جميعاً</w:t>
      </w:r>
      <w:r w:rsidR="00F32B28">
        <w:rPr>
          <w:rtl/>
          <w:lang w:bidi="ar-JO"/>
        </w:rPr>
        <w:t xml:space="preserve"> </w:t>
      </w:r>
      <w:r w:rsidR="00F32B28" w:rsidRPr="00F32B28">
        <w:rPr>
          <w:rtl/>
          <w:lang w:bidi="ar-JO"/>
        </w:rPr>
        <w:t>بين</w:t>
      </w:r>
      <w:r w:rsidR="00F32B28">
        <w:rPr>
          <w:rtl/>
          <w:lang w:bidi="ar-JO"/>
        </w:rPr>
        <w:t xml:space="preserve"> </w:t>
      </w:r>
      <w:r w:rsidR="00F32B28" w:rsidRPr="00F32B28">
        <w:rPr>
          <w:rtl/>
          <w:lang w:bidi="ar-JO"/>
        </w:rPr>
        <w:t>الزوجة</w:t>
      </w:r>
      <w:r w:rsidR="00F32B28">
        <w:rPr>
          <w:rtl/>
          <w:lang w:bidi="ar-JO"/>
        </w:rPr>
        <w:t xml:space="preserve"> </w:t>
      </w:r>
      <w:r w:rsidR="00F32B28" w:rsidRPr="00F32B28">
        <w:rPr>
          <w:rtl/>
          <w:lang w:bidi="ar-JO"/>
        </w:rPr>
        <w:t>والزوج</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حقوق</w:t>
      </w:r>
      <w:r w:rsidR="00F32B28">
        <w:rPr>
          <w:rtl/>
          <w:lang w:bidi="ar-JO"/>
        </w:rPr>
        <w:t xml:space="preserve"> </w:t>
      </w:r>
      <w:r w:rsidR="00F32B28" w:rsidRPr="00F32B28">
        <w:rPr>
          <w:rtl/>
          <w:lang w:bidi="ar-JO"/>
        </w:rPr>
        <w:t>الانتفاع</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سلة</w:t>
      </w:r>
      <w:r w:rsidR="00F32B28">
        <w:rPr>
          <w:rtl/>
          <w:lang w:bidi="ar-JO"/>
        </w:rPr>
        <w:t xml:space="preserve"> </w:t>
      </w:r>
      <w:r w:rsidR="00F32B28" w:rsidRPr="00F32B28">
        <w:rPr>
          <w:rtl/>
          <w:lang w:bidi="ar-JO"/>
        </w:rPr>
        <w:t>الخدمات</w:t>
      </w:r>
      <w:r w:rsidR="00F32B28">
        <w:rPr>
          <w:rtl/>
          <w:lang w:bidi="ar-JO"/>
        </w:rPr>
        <w:t xml:space="preserve"> </w:t>
      </w:r>
      <w:r w:rsidR="00F32B28" w:rsidRPr="00F32B28">
        <w:rPr>
          <w:rtl/>
          <w:lang w:bidi="ar-JO"/>
        </w:rPr>
        <w:t>الصحية</w:t>
      </w:r>
      <w:r w:rsidR="00F32B28">
        <w:rPr>
          <w:rtl/>
          <w:lang w:bidi="ar-JO"/>
        </w:rPr>
        <w:t xml:space="preserve"> </w:t>
      </w:r>
      <w:r w:rsidR="00F32B28" w:rsidRPr="00F32B28">
        <w:rPr>
          <w:rtl/>
          <w:lang w:bidi="ar-JO"/>
        </w:rPr>
        <w:t>المحددة</w:t>
      </w:r>
      <w:r w:rsidR="00F32B28">
        <w:rPr>
          <w:rtl/>
          <w:lang w:bidi="ar-JO"/>
        </w:rPr>
        <w:t xml:space="preserve"> </w:t>
      </w:r>
      <w:r w:rsidR="00F32B28" w:rsidRPr="00F32B28">
        <w:rPr>
          <w:rtl/>
          <w:lang w:bidi="ar-JO"/>
        </w:rPr>
        <w:t>وفقاً</w:t>
      </w:r>
      <w:r w:rsidR="00F32B28">
        <w:rPr>
          <w:rtl/>
          <w:lang w:bidi="ar-JO"/>
        </w:rPr>
        <w:t xml:space="preserve"> </w:t>
      </w:r>
      <w:r w:rsidR="00F32B28" w:rsidRPr="00F32B28">
        <w:rPr>
          <w:rtl/>
          <w:lang w:bidi="ar-JO"/>
        </w:rPr>
        <w:t>لنظام</w:t>
      </w:r>
      <w:r w:rsidR="00F32B28">
        <w:rPr>
          <w:rtl/>
          <w:lang w:bidi="ar-JO"/>
        </w:rPr>
        <w:t xml:space="preserve"> </w:t>
      </w:r>
      <w:r w:rsidR="00F32B28" w:rsidRPr="00F32B28">
        <w:rPr>
          <w:rtl/>
          <w:lang w:bidi="ar-JO"/>
        </w:rPr>
        <w:t>التأمين</w:t>
      </w:r>
      <w:r w:rsidR="00F32B28">
        <w:rPr>
          <w:rtl/>
          <w:lang w:bidi="ar-JO"/>
        </w:rPr>
        <w:t xml:space="preserve"> </w:t>
      </w:r>
      <w:r w:rsidR="00F32B28" w:rsidRPr="00F32B28">
        <w:rPr>
          <w:rtl/>
          <w:lang w:bidi="ar-JO"/>
        </w:rPr>
        <w:t>الصحي</w:t>
      </w:r>
      <w:r w:rsidR="00F32B28">
        <w:rPr>
          <w:rtl/>
          <w:lang w:bidi="ar-JO"/>
        </w:rPr>
        <w:t xml:space="preserve"> </w:t>
      </w:r>
      <w:r w:rsidR="00F32B28" w:rsidRPr="00F32B28">
        <w:rPr>
          <w:rtl/>
          <w:lang w:bidi="ar-JO"/>
        </w:rPr>
        <w:t>الحكومي</w:t>
      </w:r>
      <w:r w:rsidR="00F32B28">
        <w:rPr>
          <w:rtl/>
          <w:lang w:bidi="ar-JO"/>
        </w:rPr>
        <w:t xml:space="preserve"> </w:t>
      </w:r>
      <w:r w:rsidR="00F32B28" w:rsidRPr="00F32B28">
        <w:rPr>
          <w:rtl/>
          <w:lang w:bidi="ar-JO"/>
        </w:rPr>
        <w:t>لسنة</w:t>
      </w:r>
      <w:r w:rsidR="00F32B28">
        <w:rPr>
          <w:rtl/>
          <w:lang w:bidi="ar-JO"/>
        </w:rPr>
        <w:t xml:space="preserve"> </w:t>
      </w:r>
      <w:r w:rsidR="00F32B28" w:rsidRPr="00F32B28">
        <w:rPr>
          <w:rtl/>
          <w:lang w:bidi="ar-JO"/>
        </w:rPr>
        <w:t>2004،</w:t>
      </w:r>
      <w:r w:rsidR="00F32B28">
        <w:rPr>
          <w:rtl/>
          <w:lang w:bidi="ar-JO"/>
        </w:rPr>
        <w:t xml:space="preserve"> </w:t>
      </w:r>
      <w:r w:rsidR="00F32B28" w:rsidRPr="00F32B28">
        <w:rPr>
          <w:rtl/>
          <w:lang w:bidi="ar-JO"/>
        </w:rPr>
        <w:t>وكذلك</w:t>
      </w:r>
      <w:r w:rsidR="00F32B28">
        <w:rPr>
          <w:rtl/>
          <w:lang w:bidi="ar-JO"/>
        </w:rPr>
        <w:t xml:space="preserve"> </w:t>
      </w:r>
      <w:r w:rsidR="00F32B28" w:rsidRPr="00F32B28">
        <w:rPr>
          <w:rtl/>
          <w:lang w:bidi="ar-JO"/>
        </w:rPr>
        <w:t>المعالين</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قبلهم،</w:t>
      </w:r>
      <w:r w:rsidR="00F32B28">
        <w:rPr>
          <w:rtl/>
          <w:lang w:bidi="ar-JO"/>
        </w:rPr>
        <w:t xml:space="preserve"> </w:t>
      </w:r>
      <w:r w:rsidR="00F32B28" w:rsidRPr="00F32B28">
        <w:rPr>
          <w:rtl/>
          <w:lang w:bidi="ar-JO"/>
        </w:rPr>
        <w:t>بما</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ذلك</w:t>
      </w:r>
      <w:r w:rsidR="00F32B28">
        <w:rPr>
          <w:rtl/>
          <w:lang w:bidi="ar-JO"/>
        </w:rPr>
        <w:t xml:space="preserve"> </w:t>
      </w:r>
      <w:r w:rsidR="00F32B28" w:rsidRPr="00F32B28">
        <w:rPr>
          <w:rtl/>
          <w:lang w:bidi="ar-JO"/>
        </w:rPr>
        <w:t>الأطفال،</w:t>
      </w:r>
      <w:r w:rsidR="00F32B28">
        <w:rPr>
          <w:rtl/>
          <w:lang w:bidi="ar-JO"/>
        </w:rPr>
        <w:t xml:space="preserve"> </w:t>
      </w:r>
      <w:r w:rsidR="00F32B28" w:rsidRPr="00F32B28">
        <w:rPr>
          <w:rtl/>
          <w:lang w:bidi="ar-JO"/>
        </w:rPr>
        <w:t>والوالدين،</w:t>
      </w:r>
      <w:r w:rsidR="00F32B28">
        <w:rPr>
          <w:rtl/>
          <w:lang w:bidi="ar-JO"/>
        </w:rPr>
        <w:t xml:space="preserve"> </w:t>
      </w:r>
      <w:r w:rsidR="00F32B28" w:rsidRPr="00F32B28">
        <w:rPr>
          <w:rtl/>
          <w:lang w:bidi="ar-JO"/>
        </w:rPr>
        <w:t>والأخوة</w:t>
      </w:r>
      <w:r w:rsidR="00F32B28">
        <w:rPr>
          <w:rtl/>
          <w:lang w:bidi="ar-JO"/>
        </w:rPr>
        <w:t xml:space="preserve"> </w:t>
      </w:r>
      <w:r w:rsidR="00F32B28" w:rsidRPr="00F32B28">
        <w:rPr>
          <w:rtl/>
          <w:lang w:bidi="ar-JO"/>
        </w:rPr>
        <w:t>والأخوات.</w:t>
      </w:r>
    </w:p>
    <w:p w:rsidR="00F32B28" w:rsidRPr="00F32B28" w:rsidRDefault="00AF1BC1" w:rsidP="00AF1BC1">
      <w:pPr>
        <w:pStyle w:val="SingleTxt"/>
      </w:pPr>
      <w:r>
        <w:rPr>
          <w:rFonts w:hint="cs"/>
          <w:rtl/>
          <w:lang w:bidi="ar-LB"/>
        </w:rPr>
        <w:t xml:space="preserve">239 - </w:t>
      </w:r>
      <w:r w:rsidR="00F32B28" w:rsidRPr="00F32B28">
        <w:rPr>
          <w:rtl/>
          <w:lang w:bidi="ar-LB"/>
        </w:rPr>
        <w:t>وقد</w:t>
      </w:r>
      <w:r w:rsidR="00F32B28">
        <w:rPr>
          <w:rtl/>
          <w:lang w:bidi="ar-LB"/>
        </w:rPr>
        <w:t xml:space="preserve"> </w:t>
      </w:r>
      <w:r w:rsidR="00F32B28" w:rsidRPr="00F32B28">
        <w:rPr>
          <w:rtl/>
          <w:lang w:bidi="ar-LB"/>
        </w:rPr>
        <w:t>تنبهت</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لحاجات</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ميدان</w:t>
      </w:r>
      <w:r w:rsidR="00F32B28">
        <w:rPr>
          <w:rtl/>
          <w:lang w:bidi="ar-LB"/>
        </w:rPr>
        <w:t xml:space="preserve"> </w:t>
      </w:r>
      <w:r w:rsidR="00F32B28" w:rsidRPr="00F32B28">
        <w:rPr>
          <w:rtl/>
          <w:lang w:bidi="ar-LB"/>
        </w:rPr>
        <w:t>الرعاية</w:t>
      </w:r>
      <w:r w:rsidR="00F32B28">
        <w:rPr>
          <w:rtl/>
          <w:lang w:bidi="ar-LB"/>
        </w:rPr>
        <w:t xml:space="preserve"> </w:t>
      </w:r>
      <w:r w:rsidR="00F32B28" w:rsidRPr="00F32B28">
        <w:rPr>
          <w:rtl/>
          <w:lang w:bidi="ar-LB"/>
        </w:rPr>
        <w:t>الصحية،</w:t>
      </w:r>
      <w:r w:rsidR="00F32B28">
        <w:rPr>
          <w:rtl/>
          <w:lang w:bidi="ar-LB"/>
        </w:rPr>
        <w:t xml:space="preserve"> </w:t>
      </w:r>
      <w:r w:rsidR="00F32B28" w:rsidRPr="00F32B28">
        <w:rPr>
          <w:rtl/>
          <w:lang w:bidi="ar-LB"/>
        </w:rPr>
        <w:t>واتخذت</w:t>
      </w:r>
      <w:r w:rsidR="00F32B28">
        <w:rPr>
          <w:rtl/>
          <w:lang w:bidi="ar-LB"/>
        </w:rPr>
        <w:t xml:space="preserve"> </w:t>
      </w:r>
      <w:r w:rsidR="00F32B28" w:rsidRPr="00F32B28">
        <w:rPr>
          <w:rtl/>
          <w:lang w:bidi="ar-LB"/>
        </w:rPr>
        <w:t>بعض</w:t>
      </w:r>
      <w:r w:rsidR="00F32B28">
        <w:rPr>
          <w:rtl/>
          <w:lang w:bidi="ar-LB"/>
        </w:rPr>
        <w:t xml:space="preserve"> </w:t>
      </w:r>
      <w:r w:rsidR="00F32B28" w:rsidRPr="00F32B28">
        <w:rPr>
          <w:rtl/>
          <w:lang w:bidi="ar-LB"/>
        </w:rPr>
        <w:t>التدابير</w:t>
      </w:r>
      <w:r w:rsidR="00F32B28">
        <w:rPr>
          <w:rtl/>
          <w:lang w:bidi="ar-LB"/>
        </w:rPr>
        <w:t xml:space="preserve"> </w:t>
      </w:r>
      <w:r w:rsidR="00F32B28" w:rsidRPr="00F32B28">
        <w:rPr>
          <w:rtl/>
          <w:lang w:bidi="ar-LB"/>
        </w:rPr>
        <w:t>الإيجابية</w:t>
      </w:r>
      <w:r w:rsidR="00F32B28">
        <w:rPr>
          <w:rtl/>
          <w:lang w:bidi="ar-LB"/>
        </w:rPr>
        <w:t xml:space="preserve"> </w:t>
      </w:r>
      <w:r w:rsidR="00F32B28" w:rsidRPr="00F32B28">
        <w:rPr>
          <w:rtl/>
          <w:lang w:bidi="ar-LB"/>
        </w:rPr>
        <w:t>لصالح</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فعملت</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إدماج</w:t>
      </w:r>
      <w:r w:rsidR="00F32B28">
        <w:rPr>
          <w:rtl/>
          <w:lang w:bidi="ar-LB"/>
        </w:rPr>
        <w:t xml:space="preserve"> </w:t>
      </w:r>
      <w:r w:rsidR="00F32B28" w:rsidRPr="00F32B28">
        <w:rPr>
          <w:rtl/>
          <w:lang w:bidi="ar-LB"/>
        </w:rPr>
        <w:t>خدمات</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الإنجابية</w:t>
      </w:r>
      <w:r w:rsidR="00F32B28">
        <w:rPr>
          <w:rtl/>
          <w:lang w:bidi="ar-LB"/>
        </w:rPr>
        <w:t xml:space="preserve"> </w:t>
      </w:r>
      <w:r w:rsidR="00F32B28" w:rsidRPr="00F32B28">
        <w:rPr>
          <w:rtl/>
          <w:lang w:bidi="ar-LB"/>
        </w:rPr>
        <w:t>ورعاية</w:t>
      </w:r>
      <w:r w:rsidR="00F32B28">
        <w:rPr>
          <w:rtl/>
          <w:lang w:bidi="ar-LB"/>
        </w:rPr>
        <w:t xml:space="preserve"> </w:t>
      </w:r>
      <w:r w:rsidR="00F32B28" w:rsidRPr="00F32B28">
        <w:rPr>
          <w:rtl/>
          <w:lang w:bidi="ar-LB"/>
        </w:rPr>
        <w:t>الحوامل</w:t>
      </w:r>
      <w:r w:rsidR="00F32B28">
        <w:rPr>
          <w:rtl/>
          <w:lang w:bidi="ar-LB"/>
        </w:rPr>
        <w:t xml:space="preserve"> </w:t>
      </w:r>
      <w:r w:rsidR="00F32B28" w:rsidRPr="00F32B28">
        <w:rPr>
          <w:rtl/>
          <w:lang w:bidi="ar-LB"/>
        </w:rPr>
        <w:t>وتنظيم</w:t>
      </w:r>
      <w:r w:rsidR="00F32B28">
        <w:rPr>
          <w:rtl/>
          <w:lang w:bidi="ar-LB"/>
        </w:rPr>
        <w:t xml:space="preserve"> </w:t>
      </w:r>
      <w:r w:rsidR="00F32B28" w:rsidRPr="00F32B28">
        <w:rPr>
          <w:rtl/>
          <w:lang w:bidi="ar-LB"/>
        </w:rPr>
        <w:t>الأسرة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مراكز</w:t>
      </w:r>
      <w:r w:rsidR="00F32B28">
        <w:rPr>
          <w:rtl/>
          <w:lang w:bidi="ar-LB"/>
        </w:rPr>
        <w:t xml:space="preserve"> </w:t>
      </w:r>
      <w:r w:rsidR="00F32B28" w:rsidRPr="00F32B28">
        <w:rPr>
          <w:rtl/>
          <w:lang w:bidi="ar-LB"/>
        </w:rPr>
        <w:t>الرعاية</w:t>
      </w:r>
      <w:r w:rsidR="00F32B28">
        <w:rPr>
          <w:rtl/>
          <w:lang w:bidi="ar-LB"/>
        </w:rPr>
        <w:t xml:space="preserve"> </w:t>
      </w:r>
      <w:r w:rsidR="00F32B28" w:rsidRPr="00F32B28">
        <w:rPr>
          <w:rtl/>
          <w:lang w:bidi="ar-LB"/>
        </w:rPr>
        <w:t>الصحية</w:t>
      </w:r>
      <w:r w:rsidR="00F32B28">
        <w:rPr>
          <w:rtl/>
          <w:lang w:bidi="ar-LB"/>
        </w:rPr>
        <w:t xml:space="preserve"> </w:t>
      </w:r>
      <w:r w:rsidR="00F32B28" w:rsidRPr="00F32B28">
        <w:rPr>
          <w:rtl/>
          <w:lang w:bidi="ar-LB"/>
        </w:rPr>
        <w:t>الأولية،</w:t>
      </w:r>
      <w:r w:rsidR="00F32B28">
        <w:rPr>
          <w:rtl/>
          <w:lang w:bidi="ar-LB"/>
        </w:rPr>
        <w:t xml:space="preserve"> </w:t>
      </w:r>
      <w:r w:rsidR="00F32B28" w:rsidRPr="00F32B28">
        <w:rPr>
          <w:rtl/>
          <w:lang w:bidi="ar-LB"/>
        </w:rPr>
        <w:t>وأوجدت</w:t>
      </w:r>
      <w:r w:rsidR="00F32B28">
        <w:rPr>
          <w:rtl/>
          <w:lang w:bidi="ar-LB"/>
        </w:rPr>
        <w:t xml:space="preserve"> </w:t>
      </w:r>
      <w:r w:rsidR="00F32B28" w:rsidRPr="00F32B28">
        <w:rPr>
          <w:rtl/>
          <w:lang w:bidi="ar-LB"/>
        </w:rPr>
        <w:t>وحدات</w:t>
      </w:r>
      <w:r w:rsidR="00F32B28">
        <w:rPr>
          <w:rtl/>
          <w:lang w:bidi="ar-LB"/>
        </w:rPr>
        <w:t xml:space="preserve"> </w:t>
      </w:r>
      <w:r w:rsidR="00F32B28" w:rsidRPr="00F32B28">
        <w:rPr>
          <w:rtl/>
          <w:lang w:bidi="ar-LB"/>
        </w:rPr>
        <w:t>الأمومة</w:t>
      </w:r>
      <w:r w:rsidR="00F32B28">
        <w:rPr>
          <w:rtl/>
          <w:lang w:bidi="ar-LB"/>
        </w:rPr>
        <w:t xml:space="preserve"> </w:t>
      </w:r>
      <w:r w:rsidR="00F32B28" w:rsidRPr="00F32B28">
        <w:rPr>
          <w:rtl/>
          <w:lang w:bidi="ar-LB"/>
        </w:rPr>
        <w:t>والطفولة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المراكز.</w:t>
      </w:r>
      <w:r w:rsidR="00F32B28">
        <w:rPr>
          <w:rtl/>
          <w:lang w:bidi="ar-LB"/>
        </w:rPr>
        <w:t xml:space="preserve"> </w:t>
      </w:r>
    </w:p>
    <w:p w:rsidR="00F32B28" w:rsidRPr="00F32B28" w:rsidRDefault="00AF1BC1" w:rsidP="00AF1BC1">
      <w:pPr>
        <w:pStyle w:val="SingleTxt"/>
      </w:pPr>
      <w:r>
        <w:rPr>
          <w:rFonts w:hint="cs"/>
          <w:rtl/>
          <w:lang w:bidi="ar-LB"/>
        </w:rPr>
        <w:t xml:space="preserve">240 - </w:t>
      </w:r>
      <w:r w:rsidR="00F32B28" w:rsidRPr="00F32B28">
        <w:rPr>
          <w:rtl/>
          <w:lang w:bidi="ar-LB"/>
        </w:rPr>
        <w:t>كما</w:t>
      </w:r>
      <w:r w:rsidR="00F32B28">
        <w:rPr>
          <w:rtl/>
          <w:lang w:bidi="ar-LB"/>
        </w:rPr>
        <w:t xml:space="preserve"> </w:t>
      </w:r>
      <w:r w:rsidR="00F32B28" w:rsidRPr="00F32B28">
        <w:rPr>
          <w:rtl/>
          <w:lang w:bidi="ar-LB"/>
        </w:rPr>
        <w:t>تعمل</w:t>
      </w:r>
      <w:r w:rsidR="00F32B28">
        <w:rPr>
          <w:rtl/>
          <w:lang w:bidi="ar-LB"/>
        </w:rPr>
        <w:t xml:space="preserve"> </w:t>
      </w:r>
      <w:r w:rsidR="00F32B28" w:rsidRPr="00F32B28">
        <w:rPr>
          <w:rtl/>
          <w:lang w:bidi="ar-LB"/>
        </w:rPr>
        <w:t>الوزارة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تنظيم</w:t>
      </w:r>
      <w:r w:rsidR="00F32B28">
        <w:rPr>
          <w:rtl/>
          <w:lang w:bidi="ar-LB"/>
        </w:rPr>
        <w:t xml:space="preserve"> </w:t>
      </w:r>
      <w:r w:rsidR="00F32B28" w:rsidRPr="00F32B28">
        <w:rPr>
          <w:rtl/>
          <w:lang w:bidi="ar-LB"/>
        </w:rPr>
        <w:t>محاضرات</w:t>
      </w:r>
      <w:r w:rsidR="00F32B28">
        <w:rPr>
          <w:rtl/>
          <w:lang w:bidi="ar-LB"/>
        </w:rPr>
        <w:t xml:space="preserve"> </w:t>
      </w:r>
      <w:r w:rsidR="00F32B28" w:rsidRPr="00F32B28">
        <w:rPr>
          <w:rtl/>
          <w:lang w:bidi="ar-LB"/>
        </w:rPr>
        <w:t>منتظمة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المدارس</w:t>
      </w:r>
      <w:r w:rsidR="00F32B28">
        <w:rPr>
          <w:rtl/>
          <w:lang w:bidi="ar-LB"/>
        </w:rPr>
        <w:t xml:space="preserve"> </w:t>
      </w:r>
      <w:r w:rsidR="00F32B28" w:rsidRPr="00F32B28">
        <w:rPr>
          <w:rtl/>
          <w:lang w:bidi="ar-LB"/>
        </w:rPr>
        <w:t>بالتنسيق</w:t>
      </w:r>
      <w:r w:rsidR="00F32B28">
        <w:rPr>
          <w:rtl/>
          <w:lang w:bidi="ar-LB"/>
        </w:rPr>
        <w:t xml:space="preserve"> </w:t>
      </w:r>
      <w:r w:rsidR="00F32B28" w:rsidRPr="00F32B28">
        <w:rPr>
          <w:rtl/>
          <w:lang w:bidi="ar-LB"/>
        </w:rPr>
        <w:t>مع</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التربية</w:t>
      </w:r>
      <w:r w:rsidR="00F32B28">
        <w:rPr>
          <w:rtl/>
          <w:lang w:bidi="ar-LB"/>
        </w:rPr>
        <w:t xml:space="preserve"> </w:t>
      </w:r>
      <w:r w:rsidR="00F32B28" w:rsidRPr="00F32B28">
        <w:rPr>
          <w:rtl/>
          <w:lang w:bidi="ar-LB"/>
        </w:rPr>
        <w:t>والتعليم</w:t>
      </w:r>
      <w:r w:rsidR="00F32B28">
        <w:rPr>
          <w:rtl/>
          <w:lang w:bidi="ar-LB"/>
        </w:rPr>
        <w:t xml:space="preserve"> </w:t>
      </w:r>
      <w:r w:rsidR="00F32B28" w:rsidRPr="00F32B28">
        <w:rPr>
          <w:rtl/>
          <w:lang w:bidi="ar-LB"/>
        </w:rPr>
        <w:t>حول</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الإنجابية،</w:t>
      </w:r>
      <w:r w:rsidR="00F32B28">
        <w:rPr>
          <w:rtl/>
          <w:lang w:bidi="ar-LB"/>
        </w:rPr>
        <w:t xml:space="preserve"> </w:t>
      </w:r>
      <w:r w:rsidR="00F32B28" w:rsidRPr="00F32B28">
        <w:rPr>
          <w:rtl/>
          <w:lang w:bidi="ar-LB"/>
        </w:rPr>
        <w:t>وإعداد</w:t>
      </w:r>
      <w:r w:rsidR="00F32B28">
        <w:rPr>
          <w:rtl/>
          <w:lang w:bidi="ar-LB"/>
        </w:rPr>
        <w:t xml:space="preserve"> </w:t>
      </w:r>
      <w:r w:rsidR="00F32B28" w:rsidRPr="00F32B28">
        <w:rPr>
          <w:rtl/>
          <w:lang w:bidi="ar-LB"/>
        </w:rPr>
        <w:t>العديد</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البرتوكولات</w:t>
      </w:r>
      <w:r w:rsidR="00F32B28">
        <w:rPr>
          <w:rtl/>
          <w:lang w:bidi="ar-LB"/>
        </w:rPr>
        <w:t xml:space="preserve"> </w:t>
      </w:r>
      <w:r w:rsidR="00D06D08">
        <w:rPr>
          <w:rFonts w:hint="cs"/>
          <w:rtl/>
          <w:lang w:bidi="ar-LB"/>
        </w:rPr>
        <w:t>”</w:t>
      </w:r>
      <w:r w:rsidR="00F32B28" w:rsidRPr="00F32B28">
        <w:rPr>
          <w:rtl/>
          <w:lang w:bidi="ar-LB"/>
        </w:rPr>
        <w:t>الدلائل</w:t>
      </w:r>
      <w:r w:rsidR="00F32B28">
        <w:rPr>
          <w:rtl/>
          <w:lang w:bidi="ar-LB"/>
        </w:rPr>
        <w:t xml:space="preserve"> </w:t>
      </w:r>
      <w:r w:rsidR="00F32B28" w:rsidRPr="00F32B28">
        <w:rPr>
          <w:rtl/>
          <w:lang w:bidi="ar-LB"/>
        </w:rPr>
        <w:t>الإرشادية</w:t>
      </w:r>
      <w:r w:rsidR="00D06D08">
        <w:rPr>
          <w:rFonts w:hint="cs"/>
          <w:rtl/>
        </w:rPr>
        <w:t>“</w:t>
      </w:r>
      <w:r w:rsidR="00F32B28" w:rsidRPr="00F32B28">
        <w:rPr>
          <w:rtl/>
          <w:lang w:bidi="ar-LB"/>
        </w:rPr>
        <w:t>،</w:t>
      </w:r>
      <w:r w:rsidR="00F32B28">
        <w:rPr>
          <w:rtl/>
          <w:lang w:bidi="ar-LB"/>
        </w:rPr>
        <w:t xml:space="preserve"> </w:t>
      </w:r>
      <w:r w:rsidR="00F32B28" w:rsidRPr="00F32B28">
        <w:rPr>
          <w:rtl/>
          <w:lang w:bidi="ar-LB"/>
        </w:rPr>
        <w:t>كالدليل</w:t>
      </w:r>
      <w:r w:rsidR="00F32B28">
        <w:rPr>
          <w:rtl/>
          <w:lang w:bidi="ar-LB"/>
        </w:rPr>
        <w:t xml:space="preserve"> </w:t>
      </w:r>
      <w:r w:rsidR="00F32B28" w:rsidRPr="00F32B28">
        <w:rPr>
          <w:rtl/>
          <w:lang w:bidi="ar-LB"/>
        </w:rPr>
        <w:t>الوطني</w:t>
      </w:r>
      <w:r w:rsidR="00F32B28">
        <w:rPr>
          <w:rtl/>
          <w:lang w:bidi="ar-LB"/>
        </w:rPr>
        <w:t xml:space="preserve"> </w:t>
      </w:r>
      <w:r w:rsidR="00F32B28" w:rsidRPr="00F32B28">
        <w:rPr>
          <w:rtl/>
          <w:lang w:bidi="ar-LB"/>
        </w:rPr>
        <w:t>الموحد</w:t>
      </w:r>
      <w:r w:rsidR="00F32B28">
        <w:rPr>
          <w:rtl/>
          <w:lang w:bidi="ar-LB"/>
        </w:rPr>
        <w:t xml:space="preserve"> </w:t>
      </w:r>
      <w:r w:rsidR="00F32B28" w:rsidRPr="00F32B28">
        <w:rPr>
          <w:rtl/>
          <w:lang w:bidi="ar-LB"/>
        </w:rPr>
        <w:t>لخدمات</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الإنجابية،</w:t>
      </w:r>
      <w:r w:rsidR="00F32B28">
        <w:rPr>
          <w:rtl/>
          <w:lang w:bidi="ar-LB"/>
        </w:rPr>
        <w:t xml:space="preserve"> </w:t>
      </w:r>
      <w:r w:rsidR="00F32B28" w:rsidRPr="00F32B28">
        <w:rPr>
          <w:rtl/>
          <w:lang w:bidi="ar-LB"/>
        </w:rPr>
        <w:t>والدليل</w:t>
      </w:r>
      <w:r w:rsidR="00F32B28">
        <w:rPr>
          <w:rtl/>
          <w:lang w:bidi="ar-LB"/>
        </w:rPr>
        <w:t xml:space="preserve"> </w:t>
      </w:r>
      <w:r w:rsidR="00F32B28" w:rsidRPr="00F32B28">
        <w:rPr>
          <w:rtl/>
          <w:lang w:bidi="ar-LB"/>
        </w:rPr>
        <w:t>الوطني</w:t>
      </w:r>
      <w:r w:rsidR="00F32B28">
        <w:rPr>
          <w:rtl/>
          <w:lang w:bidi="ar-LB"/>
        </w:rPr>
        <w:t xml:space="preserve"> </w:t>
      </w:r>
      <w:r w:rsidR="00F32B28" w:rsidRPr="00F32B28">
        <w:rPr>
          <w:rtl/>
          <w:lang w:bidi="ar-LB"/>
        </w:rPr>
        <w:t>الموحد</w:t>
      </w:r>
      <w:r w:rsidR="00F32B28">
        <w:rPr>
          <w:rtl/>
          <w:lang w:bidi="ar-LB"/>
        </w:rPr>
        <w:t xml:space="preserve"> </w:t>
      </w:r>
      <w:r w:rsidR="00F32B28" w:rsidRPr="00F32B28">
        <w:rPr>
          <w:rtl/>
          <w:lang w:bidi="ar-LB"/>
        </w:rPr>
        <w:t>للولادة</w:t>
      </w:r>
      <w:r w:rsidR="00F32B28">
        <w:rPr>
          <w:rtl/>
          <w:lang w:bidi="ar-LB"/>
        </w:rPr>
        <w:t xml:space="preserve"> </w:t>
      </w:r>
      <w:r w:rsidR="00F32B28" w:rsidRPr="00F32B28">
        <w:rPr>
          <w:rtl/>
          <w:lang w:bidi="ar-LB"/>
        </w:rPr>
        <w:t>الآمنة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المستشفيات،</w:t>
      </w:r>
      <w:r w:rsidR="00F32B28">
        <w:rPr>
          <w:rtl/>
          <w:lang w:bidi="ar-LB"/>
        </w:rPr>
        <w:t xml:space="preserve"> </w:t>
      </w:r>
      <w:r w:rsidR="00F32B28" w:rsidRPr="00F32B28">
        <w:rPr>
          <w:rtl/>
          <w:lang w:bidi="ar-LB"/>
        </w:rPr>
        <w:t>ونظام</w:t>
      </w:r>
      <w:r w:rsidR="00F32B28">
        <w:rPr>
          <w:rtl/>
          <w:lang w:bidi="ar-LB"/>
        </w:rPr>
        <w:t xml:space="preserve"> </w:t>
      </w:r>
      <w:r w:rsidR="00F32B28" w:rsidRPr="00F32B28">
        <w:rPr>
          <w:rtl/>
          <w:lang w:bidi="ar-LB"/>
        </w:rPr>
        <w:t>التحويلات</w:t>
      </w:r>
      <w:r w:rsidR="00F32B28">
        <w:rPr>
          <w:rtl/>
          <w:lang w:bidi="ar-LB"/>
        </w:rPr>
        <w:t xml:space="preserve"> </w:t>
      </w:r>
      <w:r w:rsidR="00F32B28" w:rsidRPr="00F32B28">
        <w:rPr>
          <w:rtl/>
          <w:lang w:bidi="ar-LB"/>
        </w:rPr>
        <w:t>بين</w:t>
      </w:r>
      <w:r w:rsidR="00F32B28">
        <w:rPr>
          <w:rtl/>
          <w:lang w:bidi="ar-LB"/>
        </w:rPr>
        <w:t xml:space="preserve"> </w:t>
      </w:r>
      <w:r w:rsidR="00F32B28" w:rsidRPr="00F32B28">
        <w:rPr>
          <w:rtl/>
          <w:lang w:bidi="ar-LB"/>
        </w:rPr>
        <w:t>الرعاية</w:t>
      </w:r>
      <w:r w:rsidR="00F32B28">
        <w:rPr>
          <w:rtl/>
          <w:lang w:bidi="ar-LB"/>
        </w:rPr>
        <w:t xml:space="preserve"> </w:t>
      </w:r>
      <w:r w:rsidR="00F32B28" w:rsidRPr="00F32B28">
        <w:rPr>
          <w:rtl/>
          <w:lang w:bidi="ar-LB"/>
        </w:rPr>
        <w:t>الأولية</w:t>
      </w:r>
      <w:r w:rsidR="00F32B28">
        <w:rPr>
          <w:rtl/>
          <w:lang w:bidi="ar-LB"/>
        </w:rPr>
        <w:t xml:space="preserve"> </w:t>
      </w:r>
      <w:r w:rsidR="00F32B28" w:rsidRPr="00F32B28">
        <w:rPr>
          <w:rtl/>
          <w:lang w:bidi="ar-LB"/>
        </w:rPr>
        <w:t>والمستشفيات</w:t>
      </w:r>
      <w:r w:rsidR="00F32B28">
        <w:rPr>
          <w:rtl/>
          <w:lang w:bidi="ar-LB"/>
        </w:rPr>
        <w:t xml:space="preserve"> </w:t>
      </w:r>
      <w:r w:rsidR="00F32B28" w:rsidRPr="00F32B28">
        <w:rPr>
          <w:rtl/>
          <w:lang w:bidi="ar-LB"/>
        </w:rPr>
        <w:t>والدوائر</w:t>
      </w:r>
      <w:r w:rsidR="00F32B28">
        <w:rPr>
          <w:rtl/>
          <w:lang w:bidi="ar-LB"/>
        </w:rPr>
        <w:t xml:space="preserve"> </w:t>
      </w:r>
      <w:r w:rsidR="00F32B28" w:rsidRPr="00F32B28">
        <w:rPr>
          <w:rtl/>
          <w:lang w:bidi="ar-LB"/>
        </w:rPr>
        <w:t>المساندة،</w:t>
      </w:r>
      <w:r w:rsidR="00F32B28">
        <w:rPr>
          <w:rtl/>
          <w:lang w:bidi="ar-LB"/>
        </w:rPr>
        <w:t xml:space="preserve"> </w:t>
      </w:r>
      <w:r w:rsidR="00F32B28" w:rsidRPr="00F32B28">
        <w:rPr>
          <w:rtl/>
          <w:lang w:bidi="ar-LB"/>
        </w:rPr>
        <w:t>وإعداد</w:t>
      </w:r>
      <w:r w:rsidR="00F32B28">
        <w:rPr>
          <w:rtl/>
          <w:lang w:bidi="ar-LB"/>
        </w:rPr>
        <w:t xml:space="preserve"> </w:t>
      </w:r>
      <w:r w:rsidR="00F32B28" w:rsidRPr="00F32B28">
        <w:rPr>
          <w:rtl/>
          <w:lang w:bidi="ar-LB"/>
        </w:rPr>
        <w:t>مناهج</w:t>
      </w:r>
      <w:r w:rsidR="00F32B28">
        <w:rPr>
          <w:rtl/>
          <w:lang w:bidi="ar-LB"/>
        </w:rPr>
        <w:t xml:space="preserve"> </w:t>
      </w:r>
      <w:r w:rsidR="00F32B28" w:rsidRPr="00F32B28">
        <w:rPr>
          <w:rtl/>
          <w:lang w:bidi="ar-LB"/>
        </w:rPr>
        <w:t>تدريبية</w:t>
      </w:r>
      <w:r w:rsidR="00F32B28">
        <w:rPr>
          <w:rtl/>
          <w:lang w:bidi="ar-LB"/>
        </w:rPr>
        <w:t xml:space="preserve"> </w:t>
      </w:r>
      <w:r w:rsidR="00F32B28" w:rsidRPr="00F32B28">
        <w:rPr>
          <w:rtl/>
          <w:lang w:bidi="ar-LB"/>
        </w:rPr>
        <w:t>خاصة</w:t>
      </w:r>
      <w:r w:rsidR="00F32B28">
        <w:rPr>
          <w:rtl/>
          <w:lang w:bidi="ar-LB"/>
        </w:rPr>
        <w:t xml:space="preserve"> </w:t>
      </w:r>
      <w:r w:rsidR="00F32B28" w:rsidRPr="00F32B28">
        <w:rPr>
          <w:rtl/>
          <w:lang w:bidi="ar-LB"/>
        </w:rPr>
        <w:t>بصحة</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لتدريب</w:t>
      </w:r>
      <w:r w:rsidR="00F32B28">
        <w:rPr>
          <w:rtl/>
          <w:lang w:bidi="ar-LB"/>
        </w:rPr>
        <w:t xml:space="preserve"> </w:t>
      </w:r>
      <w:r w:rsidR="00F32B28" w:rsidRPr="00F32B28">
        <w:rPr>
          <w:rtl/>
          <w:lang w:bidi="ar-LB"/>
        </w:rPr>
        <w:t>الكوادر</w:t>
      </w:r>
      <w:r w:rsidR="00F32B28">
        <w:rPr>
          <w:rtl/>
          <w:lang w:bidi="ar-LB"/>
        </w:rPr>
        <w:t xml:space="preserve"> </w:t>
      </w:r>
      <w:r w:rsidR="00F32B28" w:rsidRPr="00F32B28">
        <w:rPr>
          <w:rtl/>
          <w:lang w:bidi="ar-LB"/>
        </w:rPr>
        <w:t>وتطويرها،</w:t>
      </w:r>
      <w:r w:rsidR="00F32B28">
        <w:rPr>
          <w:rtl/>
          <w:lang w:bidi="ar-LB"/>
        </w:rPr>
        <w:t xml:space="preserve"> </w:t>
      </w:r>
      <w:r w:rsidR="00F32B28" w:rsidRPr="00F32B28">
        <w:rPr>
          <w:rtl/>
          <w:lang w:bidi="ar-LB"/>
        </w:rPr>
        <w:t>وتقديم</w:t>
      </w:r>
      <w:r w:rsidR="00F32B28">
        <w:rPr>
          <w:rtl/>
          <w:lang w:bidi="ar-LB"/>
        </w:rPr>
        <w:t xml:space="preserve"> </w:t>
      </w:r>
      <w:r w:rsidR="00F32B28" w:rsidRPr="00F32B28">
        <w:rPr>
          <w:rtl/>
          <w:lang w:bidi="ar-LB"/>
        </w:rPr>
        <w:t>الاستشارات</w:t>
      </w:r>
      <w:r w:rsidR="00F32B28">
        <w:rPr>
          <w:rtl/>
          <w:lang w:bidi="ar-LB"/>
        </w:rPr>
        <w:t xml:space="preserve"> </w:t>
      </w:r>
      <w:r w:rsidR="00F32B28" w:rsidRPr="00F32B28">
        <w:rPr>
          <w:rtl/>
          <w:lang w:bidi="ar-LB"/>
        </w:rPr>
        <w:t>الفردية</w:t>
      </w:r>
      <w:r w:rsidR="00F32B28">
        <w:rPr>
          <w:rtl/>
          <w:lang w:bidi="ar-LB"/>
        </w:rPr>
        <w:t xml:space="preserve"> </w:t>
      </w:r>
      <w:r w:rsidR="00F32B28" w:rsidRPr="00F32B28">
        <w:rPr>
          <w:rtl/>
          <w:lang w:bidi="ar-LB"/>
        </w:rPr>
        <w:t>والجماعية</w:t>
      </w:r>
      <w:r w:rsidR="00F32B28">
        <w:rPr>
          <w:rtl/>
          <w:lang w:bidi="ar-LB"/>
        </w:rPr>
        <w:t xml:space="preserve"> </w:t>
      </w:r>
      <w:r w:rsidR="00F32B28" w:rsidRPr="00F32B28">
        <w:rPr>
          <w:rtl/>
          <w:lang w:bidi="ar-LB"/>
        </w:rPr>
        <w:t>وغيرها</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خدمات</w:t>
      </w:r>
      <w:r w:rsidR="00F32B28">
        <w:rPr>
          <w:rtl/>
          <w:lang w:bidi="ar-LB"/>
        </w:rPr>
        <w:t xml:space="preserve"> </w:t>
      </w:r>
      <w:r w:rsidR="00F32B28" w:rsidRPr="00F32B28">
        <w:rPr>
          <w:rtl/>
          <w:lang w:bidi="ar-LB"/>
        </w:rPr>
        <w:t>التثقيف</w:t>
      </w:r>
      <w:r w:rsidR="00F32B28">
        <w:rPr>
          <w:rtl/>
          <w:lang w:bidi="ar-LB"/>
        </w:rPr>
        <w:t xml:space="preserve"> </w:t>
      </w:r>
      <w:r w:rsidR="00F32B28" w:rsidRPr="00F32B28">
        <w:rPr>
          <w:rtl/>
          <w:lang w:bidi="ar-LB"/>
        </w:rPr>
        <w:t>الصحي.</w:t>
      </w:r>
    </w:p>
    <w:p w:rsidR="00F32B28" w:rsidRPr="00F32B28" w:rsidRDefault="00AF1BC1" w:rsidP="00AF1BC1">
      <w:pPr>
        <w:pStyle w:val="SingleTxt"/>
        <w:rPr>
          <w:rtl/>
          <w:lang w:bidi="ar-LB"/>
        </w:rPr>
      </w:pPr>
      <w:r>
        <w:rPr>
          <w:rFonts w:hint="cs"/>
          <w:rtl/>
          <w:lang w:bidi="ar-LB"/>
        </w:rPr>
        <w:t xml:space="preserve">241 - </w:t>
      </w:r>
      <w:r w:rsidR="00F32B28" w:rsidRPr="00F32B28">
        <w:rPr>
          <w:rtl/>
          <w:lang w:bidi="ar-LB"/>
        </w:rPr>
        <w:t>كما</w:t>
      </w:r>
      <w:r w:rsidR="00F32B28">
        <w:rPr>
          <w:rtl/>
          <w:lang w:bidi="ar-LB"/>
        </w:rPr>
        <w:t xml:space="preserve"> </w:t>
      </w:r>
      <w:r w:rsidR="00F32B28" w:rsidRPr="00F32B28">
        <w:rPr>
          <w:rtl/>
          <w:lang w:bidi="ar-LB"/>
        </w:rPr>
        <w:t>تساهم</w:t>
      </w:r>
      <w:r w:rsidR="00F32B28">
        <w:rPr>
          <w:rtl/>
          <w:lang w:bidi="ar-LB"/>
        </w:rPr>
        <w:t xml:space="preserve"> </w:t>
      </w:r>
      <w:r w:rsidR="00F32B28" w:rsidRPr="00F32B28">
        <w:rPr>
          <w:rtl/>
        </w:rPr>
        <w:t>المؤسسات</w:t>
      </w:r>
      <w:r w:rsidR="00F32B28">
        <w:rPr>
          <w:rtl/>
        </w:rPr>
        <w:t xml:space="preserve"> </w:t>
      </w:r>
      <w:r w:rsidR="00F32B28" w:rsidRPr="00F32B28">
        <w:rPr>
          <w:rtl/>
        </w:rPr>
        <w:t>غير</w:t>
      </w:r>
      <w:r w:rsidR="00F32B28">
        <w:rPr>
          <w:rtl/>
        </w:rPr>
        <w:t xml:space="preserve"> </w:t>
      </w:r>
      <w:r w:rsidR="00F32B28" w:rsidRPr="00F32B28">
        <w:rPr>
          <w:rtl/>
        </w:rPr>
        <w:t>الحكومية</w:t>
      </w:r>
      <w:r w:rsidR="00F32B28">
        <w:rPr>
          <w:rtl/>
        </w:rPr>
        <w:t xml:space="preserve"> </w:t>
      </w:r>
      <w:r w:rsidR="00F32B28" w:rsidRPr="00F32B28">
        <w:rPr>
          <w:rtl/>
        </w:rPr>
        <w:t>في</w:t>
      </w:r>
      <w:r w:rsidR="00F32B28">
        <w:rPr>
          <w:rtl/>
        </w:rPr>
        <w:t xml:space="preserve"> </w:t>
      </w:r>
      <w:r w:rsidR="00F32B28" w:rsidRPr="00F32B28">
        <w:rPr>
          <w:rtl/>
        </w:rPr>
        <w:t>تقديم</w:t>
      </w:r>
      <w:r w:rsidR="00F32B28">
        <w:rPr>
          <w:rtl/>
        </w:rPr>
        <w:t xml:space="preserve"> </w:t>
      </w:r>
      <w:r w:rsidR="00F32B28" w:rsidRPr="00F32B28">
        <w:rPr>
          <w:rtl/>
        </w:rPr>
        <w:t>خدمات</w:t>
      </w:r>
      <w:r w:rsidR="00F32B28">
        <w:rPr>
          <w:rtl/>
        </w:rPr>
        <w:t xml:space="preserve"> </w:t>
      </w:r>
      <w:r w:rsidR="00F32B28" w:rsidRPr="00F32B28">
        <w:rPr>
          <w:rtl/>
        </w:rPr>
        <w:t>صحية،</w:t>
      </w:r>
      <w:r w:rsidR="00F32B28">
        <w:rPr>
          <w:rtl/>
        </w:rPr>
        <w:t xml:space="preserve"> </w:t>
      </w:r>
      <w:r w:rsidR="00F32B28" w:rsidRPr="00F32B28">
        <w:rPr>
          <w:rtl/>
        </w:rPr>
        <w:t>وخاصة</w:t>
      </w:r>
      <w:r w:rsidR="00F32B28">
        <w:rPr>
          <w:rtl/>
        </w:rPr>
        <w:t xml:space="preserve"> </w:t>
      </w:r>
      <w:r w:rsidR="00F32B28" w:rsidRPr="00F32B28">
        <w:rPr>
          <w:rtl/>
        </w:rPr>
        <w:t>فيما</w:t>
      </w:r>
      <w:r w:rsidR="00F32B28">
        <w:rPr>
          <w:rtl/>
        </w:rPr>
        <w:t xml:space="preserve"> </w:t>
      </w:r>
      <w:r w:rsidR="00F32B28" w:rsidRPr="00F32B28">
        <w:rPr>
          <w:rtl/>
        </w:rPr>
        <w:t>يتعلق</w:t>
      </w:r>
      <w:r w:rsidR="00F32B28">
        <w:rPr>
          <w:rtl/>
        </w:rPr>
        <w:t xml:space="preserve"> </w:t>
      </w:r>
      <w:r w:rsidR="00F32B28" w:rsidRPr="00F32B28">
        <w:rPr>
          <w:rtl/>
        </w:rPr>
        <w:t>بصحة</w:t>
      </w:r>
      <w:r w:rsidR="00F32B28">
        <w:rPr>
          <w:rtl/>
        </w:rPr>
        <w:t xml:space="preserve"> </w:t>
      </w:r>
      <w:r w:rsidR="00F32B28" w:rsidRPr="00F32B28">
        <w:rPr>
          <w:rtl/>
        </w:rPr>
        <w:t>المرأة</w:t>
      </w:r>
      <w:r w:rsidR="00F32B28">
        <w:rPr>
          <w:rtl/>
        </w:rPr>
        <w:t xml:space="preserve"> </w:t>
      </w:r>
      <w:r w:rsidR="00F32B28" w:rsidRPr="00F32B28">
        <w:rPr>
          <w:rtl/>
        </w:rPr>
        <w:t>كالفحوصات</w:t>
      </w:r>
      <w:r w:rsidR="00F32B28">
        <w:rPr>
          <w:rtl/>
        </w:rPr>
        <w:t xml:space="preserve"> </w:t>
      </w:r>
      <w:r w:rsidR="00F32B28" w:rsidRPr="00F32B28">
        <w:rPr>
          <w:rtl/>
        </w:rPr>
        <w:t>الوقائية،</w:t>
      </w:r>
      <w:r w:rsidR="00F32B28">
        <w:rPr>
          <w:rtl/>
        </w:rPr>
        <w:t xml:space="preserve"> </w:t>
      </w:r>
      <w:r w:rsidR="00F32B28" w:rsidRPr="00F32B28">
        <w:rPr>
          <w:rtl/>
        </w:rPr>
        <w:t>وتنظيم</w:t>
      </w:r>
      <w:r w:rsidR="00F32B28">
        <w:rPr>
          <w:rtl/>
        </w:rPr>
        <w:t xml:space="preserve"> </w:t>
      </w:r>
      <w:r w:rsidR="00F32B28" w:rsidRPr="00F32B28">
        <w:rPr>
          <w:rtl/>
        </w:rPr>
        <w:t>الأسرة</w:t>
      </w:r>
      <w:r w:rsidR="00F32B28" w:rsidRPr="00F32B28">
        <w:rPr>
          <w:rtl/>
          <w:lang w:bidi="ar-SY"/>
        </w:rPr>
        <w:t>،</w:t>
      </w:r>
      <w:r w:rsidR="00F32B28">
        <w:rPr>
          <w:rtl/>
          <w:lang w:bidi="ar-SY"/>
        </w:rPr>
        <w:t xml:space="preserve"> </w:t>
      </w:r>
      <w:r w:rsidR="00F32B28" w:rsidRPr="00F32B28">
        <w:rPr>
          <w:rtl/>
          <w:lang w:bidi="ar-SY"/>
        </w:rPr>
        <w:t>والتثقيف</w:t>
      </w:r>
      <w:r w:rsidR="00F32B28">
        <w:rPr>
          <w:rtl/>
          <w:lang w:bidi="ar-SY"/>
        </w:rPr>
        <w:t xml:space="preserve"> </w:t>
      </w:r>
      <w:r w:rsidR="00F32B28" w:rsidRPr="00F32B28">
        <w:rPr>
          <w:rtl/>
          <w:lang w:bidi="ar-SY"/>
        </w:rPr>
        <w:t>الصحي،</w:t>
      </w:r>
      <w:r w:rsidR="00F32B28" w:rsidRPr="00F32B28">
        <w:rPr>
          <w:rtl/>
        </w:rPr>
        <w:t>ورعاية</w:t>
      </w:r>
      <w:r w:rsidR="00F32B28">
        <w:rPr>
          <w:rtl/>
        </w:rPr>
        <w:t xml:space="preserve"> </w:t>
      </w:r>
      <w:r w:rsidR="00F32B28" w:rsidRPr="00F32B28">
        <w:rPr>
          <w:rtl/>
        </w:rPr>
        <w:t>الحوامل</w:t>
      </w:r>
      <w:r w:rsidR="00F32B28">
        <w:rPr>
          <w:rtl/>
        </w:rPr>
        <w:t xml:space="preserve"> </w:t>
      </w:r>
      <w:r w:rsidR="00F32B28" w:rsidRPr="00F32B28">
        <w:rPr>
          <w:rtl/>
        </w:rPr>
        <w:t>والواضعات،</w:t>
      </w:r>
      <w:r w:rsidR="00F32B28">
        <w:rPr>
          <w:rtl/>
        </w:rPr>
        <w:t xml:space="preserve"> </w:t>
      </w:r>
      <w:r w:rsidR="00F32B28" w:rsidRPr="00F32B28">
        <w:rPr>
          <w:rtl/>
        </w:rPr>
        <w:t>وتشخيص</w:t>
      </w:r>
      <w:r w:rsidR="00F32B28">
        <w:rPr>
          <w:rtl/>
        </w:rPr>
        <w:t xml:space="preserve"> </w:t>
      </w:r>
      <w:r w:rsidR="00F32B28" w:rsidRPr="00F32B28">
        <w:rPr>
          <w:rtl/>
        </w:rPr>
        <w:t>وعلاج</w:t>
      </w:r>
      <w:r w:rsidR="00F32B28">
        <w:rPr>
          <w:rtl/>
        </w:rPr>
        <w:t xml:space="preserve"> </w:t>
      </w:r>
      <w:r w:rsidR="00F32B28" w:rsidRPr="00F32B28">
        <w:rPr>
          <w:rtl/>
        </w:rPr>
        <w:t>أمراض</w:t>
      </w:r>
      <w:r w:rsidR="00F32B28">
        <w:rPr>
          <w:rtl/>
        </w:rPr>
        <w:t xml:space="preserve"> </w:t>
      </w:r>
      <w:r w:rsidR="00F32B28" w:rsidRPr="00F32B28">
        <w:rPr>
          <w:rtl/>
        </w:rPr>
        <w:t>الجهاز</w:t>
      </w:r>
      <w:r w:rsidR="00F32B28">
        <w:rPr>
          <w:rtl/>
        </w:rPr>
        <w:t xml:space="preserve"> </w:t>
      </w:r>
      <w:r w:rsidR="00F32B28" w:rsidRPr="00F32B28">
        <w:rPr>
          <w:rtl/>
        </w:rPr>
        <w:t>التناسلي</w:t>
      </w:r>
      <w:r w:rsidR="00F32B28">
        <w:rPr>
          <w:rtl/>
        </w:rPr>
        <w:t xml:space="preserve"> </w:t>
      </w:r>
      <w:r w:rsidR="00F32B28" w:rsidRPr="00F32B28">
        <w:rPr>
          <w:rtl/>
        </w:rPr>
        <w:t>والأمراض</w:t>
      </w:r>
      <w:r w:rsidR="00F32B28">
        <w:rPr>
          <w:rtl/>
        </w:rPr>
        <w:t xml:space="preserve"> </w:t>
      </w:r>
      <w:r w:rsidR="00F32B28" w:rsidRPr="00F32B28">
        <w:rPr>
          <w:rtl/>
        </w:rPr>
        <w:t>المنقولة</w:t>
      </w:r>
      <w:r w:rsidR="00F32B28">
        <w:rPr>
          <w:rtl/>
        </w:rPr>
        <w:t xml:space="preserve"> </w:t>
      </w:r>
      <w:r w:rsidR="00F32B28" w:rsidRPr="00F32B28">
        <w:rPr>
          <w:rtl/>
        </w:rPr>
        <w:t>جنسياً،</w:t>
      </w:r>
      <w:r w:rsidR="00F32B28">
        <w:rPr>
          <w:rtl/>
        </w:rPr>
        <w:t xml:space="preserve"> </w:t>
      </w:r>
      <w:r w:rsidR="00F32B28" w:rsidRPr="00F32B28">
        <w:rPr>
          <w:rtl/>
        </w:rPr>
        <w:t>وغيرها</w:t>
      </w:r>
      <w:r w:rsidR="00F32B28">
        <w:rPr>
          <w:rtl/>
        </w:rPr>
        <w:t xml:space="preserve"> </w:t>
      </w:r>
      <w:r w:rsidR="00F32B28" w:rsidRPr="00F32B28">
        <w:rPr>
          <w:rtl/>
        </w:rPr>
        <w:t>من</w:t>
      </w:r>
      <w:r w:rsidR="00F32B28">
        <w:rPr>
          <w:rtl/>
        </w:rPr>
        <w:t xml:space="preserve"> </w:t>
      </w:r>
      <w:r w:rsidR="00F32B28" w:rsidRPr="00F32B28">
        <w:rPr>
          <w:rtl/>
        </w:rPr>
        <w:t>الخدمات</w:t>
      </w:r>
      <w:r w:rsidR="00F32B28">
        <w:rPr>
          <w:rtl/>
        </w:rPr>
        <w:t xml:space="preserve"> </w:t>
      </w:r>
      <w:r w:rsidR="00F32B28" w:rsidRPr="00F32B28">
        <w:rPr>
          <w:rtl/>
        </w:rPr>
        <w:t>التي</w:t>
      </w:r>
      <w:r w:rsidR="00F32B28">
        <w:rPr>
          <w:rtl/>
        </w:rPr>
        <w:t xml:space="preserve"> </w:t>
      </w:r>
      <w:r w:rsidR="00F32B28" w:rsidRPr="00F32B28">
        <w:rPr>
          <w:rtl/>
        </w:rPr>
        <w:t>تأخذ</w:t>
      </w:r>
      <w:r w:rsidR="00F32B28">
        <w:rPr>
          <w:rtl/>
        </w:rPr>
        <w:t xml:space="preserve"> </w:t>
      </w:r>
      <w:r w:rsidR="00F32B28" w:rsidRPr="00F32B28">
        <w:rPr>
          <w:rtl/>
        </w:rPr>
        <w:t>بعين</w:t>
      </w:r>
      <w:r w:rsidR="00F32B28">
        <w:rPr>
          <w:rtl/>
        </w:rPr>
        <w:t xml:space="preserve"> </w:t>
      </w:r>
      <w:r w:rsidR="00F32B28" w:rsidRPr="00F32B28">
        <w:rPr>
          <w:rtl/>
        </w:rPr>
        <w:t>الاعتبار</w:t>
      </w:r>
      <w:r w:rsidR="00F32B28">
        <w:rPr>
          <w:rtl/>
        </w:rPr>
        <w:t xml:space="preserve"> </w:t>
      </w:r>
      <w:r w:rsidR="00F32B28" w:rsidRPr="00F32B28">
        <w:rPr>
          <w:rtl/>
        </w:rPr>
        <w:t>احتياجات</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كافة</w:t>
      </w:r>
      <w:r w:rsidR="00F32B28">
        <w:rPr>
          <w:rtl/>
        </w:rPr>
        <w:t xml:space="preserve"> </w:t>
      </w:r>
      <w:r w:rsidR="00F32B28" w:rsidRPr="00F32B28">
        <w:rPr>
          <w:rtl/>
        </w:rPr>
        <w:t>مراحل</w:t>
      </w:r>
      <w:r w:rsidR="00F32B28">
        <w:rPr>
          <w:rtl/>
        </w:rPr>
        <w:t xml:space="preserve"> </w:t>
      </w:r>
      <w:r w:rsidR="00F32B28" w:rsidRPr="00F32B28">
        <w:rPr>
          <w:rtl/>
        </w:rPr>
        <w:t>حياتها.</w:t>
      </w:r>
      <w:r w:rsidR="00F32B28">
        <w:rPr>
          <w:rtl/>
        </w:rPr>
        <w:t xml:space="preserve"> </w:t>
      </w:r>
    </w:p>
    <w:p w:rsidR="00F32B28" w:rsidRPr="00F32B28" w:rsidRDefault="00AF1BC1" w:rsidP="00AF1BC1">
      <w:pPr>
        <w:pStyle w:val="SingleTxt"/>
      </w:pPr>
      <w:r>
        <w:rPr>
          <w:rFonts w:hint="cs"/>
          <w:rtl/>
          <w:lang w:bidi="ar-LB"/>
        </w:rPr>
        <w:t xml:space="preserve">242 - </w:t>
      </w:r>
      <w:r w:rsidR="00F32B28" w:rsidRPr="00F32B28">
        <w:rPr>
          <w:rtl/>
          <w:lang w:bidi="ar-LB"/>
        </w:rPr>
        <w:t>ومن</w:t>
      </w:r>
      <w:r w:rsidR="00F32B28">
        <w:rPr>
          <w:rtl/>
          <w:lang w:bidi="ar-LB"/>
        </w:rPr>
        <w:t xml:space="preserve"> </w:t>
      </w:r>
      <w:r w:rsidR="00F32B28" w:rsidRPr="00F32B28">
        <w:rPr>
          <w:rtl/>
          <w:lang w:bidi="ar-LB"/>
        </w:rPr>
        <w:t>خلال</w:t>
      </w:r>
      <w:r w:rsidR="00F32B28">
        <w:rPr>
          <w:rtl/>
          <w:lang w:bidi="ar-LB"/>
        </w:rPr>
        <w:t xml:space="preserve"> </w:t>
      </w:r>
      <w:r w:rsidR="00F32B28" w:rsidRPr="00F32B28">
        <w:rPr>
          <w:rtl/>
          <w:lang w:bidi="ar-LB"/>
        </w:rPr>
        <w:t>خدمات</w:t>
      </w:r>
      <w:r w:rsidR="00F32B28">
        <w:rPr>
          <w:rtl/>
          <w:lang w:bidi="ar-LB"/>
        </w:rPr>
        <w:t xml:space="preserve"> </w:t>
      </w:r>
      <w:r w:rsidR="00F32B28" w:rsidRPr="00F32B28">
        <w:rPr>
          <w:rtl/>
          <w:lang w:bidi="ar-LB"/>
        </w:rPr>
        <w:t>الرعاية</w:t>
      </w:r>
      <w:r w:rsidR="00F32B28">
        <w:rPr>
          <w:rtl/>
          <w:lang w:bidi="ar-LB"/>
        </w:rPr>
        <w:t xml:space="preserve"> </w:t>
      </w:r>
      <w:r w:rsidR="00F32B28" w:rsidRPr="00F32B28">
        <w:rPr>
          <w:rtl/>
          <w:lang w:bidi="ar-LB"/>
        </w:rPr>
        <w:t>الأولية،</w:t>
      </w:r>
      <w:r w:rsidR="00F32B28">
        <w:rPr>
          <w:rtl/>
          <w:lang w:bidi="ar-LB"/>
        </w:rPr>
        <w:t xml:space="preserve"> </w:t>
      </w:r>
      <w:r w:rsidR="00F32B28" w:rsidRPr="00F32B28">
        <w:rPr>
          <w:rtl/>
          <w:lang w:bidi="ar-SY"/>
        </w:rPr>
        <w:t>تقدم</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الصحة</w:t>
      </w:r>
      <w:r w:rsidR="00F32B28">
        <w:rPr>
          <w:rtl/>
          <w:lang w:bidi="ar-SY"/>
        </w:rPr>
        <w:t xml:space="preserve"> </w:t>
      </w:r>
      <w:r w:rsidR="00F32B28" w:rsidRPr="00F32B28">
        <w:rPr>
          <w:rtl/>
          <w:lang w:bidi="ar-SY"/>
        </w:rPr>
        <w:t>شتى</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المتعلقة</w:t>
      </w:r>
      <w:r w:rsidR="00F32B28">
        <w:rPr>
          <w:rtl/>
          <w:lang w:bidi="ar-SY"/>
        </w:rPr>
        <w:t xml:space="preserve"> </w:t>
      </w:r>
      <w:r w:rsidR="00F32B28" w:rsidRPr="00F32B28">
        <w:rPr>
          <w:rtl/>
          <w:lang w:bidi="ar-SY"/>
        </w:rPr>
        <w:t>بصحة</w:t>
      </w:r>
      <w:r w:rsidR="00F32B28">
        <w:rPr>
          <w:rtl/>
          <w:lang w:bidi="ar-SY"/>
        </w:rPr>
        <w:t xml:space="preserve"> </w:t>
      </w:r>
      <w:r w:rsidR="00F32B28" w:rsidRPr="00F32B28">
        <w:rPr>
          <w:rtl/>
          <w:lang w:bidi="ar-SY"/>
        </w:rPr>
        <w:t>الأمهات</w:t>
      </w:r>
      <w:r w:rsidR="00F32B28">
        <w:rPr>
          <w:rtl/>
          <w:lang w:bidi="ar-SY"/>
        </w:rPr>
        <w:t xml:space="preserve"> </w:t>
      </w:r>
      <w:r w:rsidR="00F32B28" w:rsidRPr="00F32B28">
        <w:rPr>
          <w:rtl/>
          <w:lang w:bidi="ar-SY"/>
        </w:rPr>
        <w:t>والحوامل</w:t>
      </w:r>
      <w:r w:rsidR="00F32B28">
        <w:rPr>
          <w:rtl/>
          <w:lang w:bidi="ar-SY"/>
        </w:rPr>
        <w:t xml:space="preserve"> </w:t>
      </w:r>
      <w:r w:rsidR="00F32B28" w:rsidRPr="00F32B28">
        <w:rPr>
          <w:rtl/>
          <w:lang w:bidi="ar-SY"/>
        </w:rPr>
        <w:t>والأطفال،</w:t>
      </w:r>
      <w:r w:rsidR="00F32B28">
        <w:rPr>
          <w:rtl/>
          <w:lang w:bidi="ar-SY"/>
        </w:rPr>
        <w:t xml:space="preserve"> </w:t>
      </w:r>
      <w:r w:rsidR="00F32B28" w:rsidRPr="00F32B28">
        <w:rPr>
          <w:rtl/>
          <w:lang w:bidi="ar-SY"/>
        </w:rPr>
        <w:t>وتوفرها</w:t>
      </w:r>
      <w:r w:rsidR="00F32B28">
        <w:rPr>
          <w:rtl/>
          <w:lang w:bidi="ar-SY"/>
        </w:rPr>
        <w:t xml:space="preserve"> </w:t>
      </w:r>
      <w:r w:rsidR="00F32B28" w:rsidRPr="00F32B28">
        <w:rPr>
          <w:rtl/>
          <w:lang w:bidi="ar-SY"/>
        </w:rPr>
        <w:t>مجاناً</w:t>
      </w:r>
      <w:r w:rsidR="00F32B28">
        <w:rPr>
          <w:rtl/>
          <w:lang w:bidi="ar-SY"/>
        </w:rPr>
        <w:t xml:space="preserve"> </w:t>
      </w:r>
      <w:r w:rsidR="00F32B28" w:rsidRPr="00F32B28">
        <w:rPr>
          <w:rtl/>
          <w:lang w:bidi="ar-SY"/>
        </w:rPr>
        <w:t>للأمهات</w:t>
      </w:r>
      <w:r w:rsidR="00F32B28">
        <w:rPr>
          <w:rtl/>
          <w:lang w:bidi="ar-SY"/>
        </w:rPr>
        <w:t xml:space="preserve"> </w:t>
      </w:r>
      <w:r w:rsidR="00F32B28" w:rsidRPr="00F32B28">
        <w:rPr>
          <w:rtl/>
          <w:lang w:bidi="ar-SY"/>
        </w:rPr>
        <w:t>الحوامل</w:t>
      </w:r>
      <w:r w:rsidR="00F32B28">
        <w:rPr>
          <w:rtl/>
          <w:lang w:bidi="ar-SY"/>
        </w:rPr>
        <w:t xml:space="preserve"> </w:t>
      </w:r>
      <w:r w:rsidR="00F32B28" w:rsidRPr="00F32B28">
        <w:rPr>
          <w:rtl/>
          <w:lang w:bidi="ar-SY"/>
        </w:rPr>
        <w:t>والأطفال</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سن</w:t>
      </w:r>
      <w:r w:rsidR="00F32B28">
        <w:rPr>
          <w:rtl/>
          <w:lang w:bidi="ar-SY"/>
        </w:rPr>
        <w:t xml:space="preserve"> </w:t>
      </w:r>
      <w:r w:rsidR="00F32B28" w:rsidRPr="00F32B28">
        <w:rPr>
          <w:rtl/>
          <w:lang w:bidi="ar-SY"/>
        </w:rPr>
        <w:t>6</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النحو</w:t>
      </w:r>
      <w:r w:rsidR="009F4D72">
        <w:rPr>
          <w:rFonts w:hint="cs"/>
          <w:rtl/>
          <w:lang w:bidi="ar-SY"/>
        </w:rPr>
        <w:t> </w:t>
      </w:r>
      <w:r w:rsidR="00F32B28" w:rsidRPr="00F32B28">
        <w:rPr>
          <w:rtl/>
          <w:lang w:bidi="ar-SY"/>
        </w:rPr>
        <w:t>التالي:</w:t>
      </w:r>
      <w:r w:rsidR="00F32B28">
        <w:rPr>
          <w:rtl/>
          <w:lang w:bidi="ar-SY"/>
        </w:rPr>
        <w:t xml:space="preserve"> </w:t>
      </w:r>
    </w:p>
    <w:p w:rsidR="00AF1BC1" w:rsidRPr="00AF1BC1" w:rsidRDefault="00AF1BC1" w:rsidP="00AF1BC1">
      <w:pPr>
        <w:pStyle w:val="SingleTxt"/>
        <w:spacing w:after="0" w:line="120" w:lineRule="exact"/>
        <w:rPr>
          <w:b/>
          <w:bCs/>
          <w:sz w:val="10"/>
          <w:rtl/>
        </w:rPr>
      </w:pPr>
    </w:p>
    <w:p w:rsidR="00F32B28" w:rsidRPr="00F32B28" w:rsidRDefault="00F32B28" w:rsidP="00F32B28">
      <w:pPr>
        <w:pStyle w:val="SingleTxt"/>
      </w:pPr>
      <w:r w:rsidRPr="00F32B28">
        <w:rPr>
          <w:b/>
          <w:bCs/>
          <w:rtl/>
        </w:rPr>
        <w:t>الأمومة</w:t>
      </w:r>
      <w:r>
        <w:rPr>
          <w:b/>
          <w:bCs/>
          <w:rtl/>
        </w:rPr>
        <w:t xml:space="preserve"> </w:t>
      </w:r>
      <w:r w:rsidRPr="00F32B28">
        <w:rPr>
          <w:b/>
          <w:bCs/>
          <w:rtl/>
        </w:rPr>
        <w:t>الآمنة</w:t>
      </w:r>
    </w:p>
    <w:p w:rsidR="00F32B28" w:rsidRPr="00F32B28" w:rsidRDefault="00AF1BC1" w:rsidP="00AF1BC1">
      <w:pPr>
        <w:pStyle w:val="SingleTxt"/>
      </w:pPr>
      <w:r>
        <w:rPr>
          <w:rFonts w:hint="cs"/>
          <w:rtl/>
          <w:lang w:bidi="ar-LB"/>
        </w:rPr>
        <w:t xml:space="preserve">243 - </w:t>
      </w:r>
      <w:r w:rsidR="00F32B28" w:rsidRPr="00F32B28">
        <w:rPr>
          <w:rtl/>
          <w:lang w:bidi="ar-LB"/>
        </w:rPr>
        <w:t>توفر</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خدمات</w:t>
      </w:r>
      <w:r w:rsidR="00F32B28">
        <w:rPr>
          <w:rtl/>
          <w:lang w:bidi="ar-LB"/>
        </w:rPr>
        <w:t xml:space="preserve"> </w:t>
      </w:r>
      <w:r w:rsidR="00F32B28" w:rsidRPr="00F32B28">
        <w:rPr>
          <w:rtl/>
          <w:lang w:bidi="ar-LB"/>
        </w:rPr>
        <w:t>الرعاية</w:t>
      </w:r>
      <w:r w:rsidR="00F32B28">
        <w:rPr>
          <w:rtl/>
          <w:lang w:bidi="ar-LB"/>
        </w:rPr>
        <w:t xml:space="preserve"> </w:t>
      </w:r>
      <w:r w:rsidR="00F32B28" w:rsidRPr="00F32B28">
        <w:rPr>
          <w:rtl/>
          <w:lang w:bidi="ar-LB"/>
        </w:rPr>
        <w:t>أثناء</w:t>
      </w:r>
      <w:r w:rsidR="00F32B28">
        <w:rPr>
          <w:rtl/>
          <w:lang w:bidi="ar-LB"/>
        </w:rPr>
        <w:t xml:space="preserve"> </w:t>
      </w:r>
      <w:r w:rsidR="00F32B28" w:rsidRPr="00F32B28">
        <w:rPr>
          <w:rtl/>
          <w:lang w:bidi="ar-LB"/>
        </w:rPr>
        <w:t>الحمل</w:t>
      </w:r>
      <w:r w:rsidR="00F32B28">
        <w:rPr>
          <w:rtl/>
          <w:lang w:bidi="ar-LB"/>
        </w:rPr>
        <w:t xml:space="preserve"> </w:t>
      </w:r>
      <w:r w:rsidR="00F32B28" w:rsidRPr="00F32B28">
        <w:rPr>
          <w:rtl/>
          <w:lang w:bidi="ar-LB"/>
        </w:rPr>
        <w:t>والحمل</w:t>
      </w:r>
      <w:r w:rsidR="00F32B28">
        <w:rPr>
          <w:rtl/>
          <w:lang w:bidi="ar-LB"/>
        </w:rPr>
        <w:t xml:space="preserve"> </w:t>
      </w:r>
      <w:r w:rsidR="00F32B28" w:rsidRPr="00F32B28">
        <w:rPr>
          <w:rtl/>
          <w:lang w:bidi="ar-LB"/>
        </w:rPr>
        <w:t>الخطر</w:t>
      </w:r>
      <w:r w:rsidR="00F32B28">
        <w:rPr>
          <w:rtl/>
          <w:lang w:bidi="ar-LB"/>
        </w:rPr>
        <w:t xml:space="preserve"> </w:t>
      </w:r>
      <w:r w:rsidR="00F32B28" w:rsidRPr="00F32B28">
        <w:rPr>
          <w:rtl/>
          <w:lang w:bidi="ar-LB"/>
        </w:rPr>
        <w:t>وبعد</w:t>
      </w:r>
      <w:r w:rsidR="00F32B28">
        <w:rPr>
          <w:rtl/>
          <w:lang w:bidi="ar-LB"/>
        </w:rPr>
        <w:t xml:space="preserve"> </w:t>
      </w:r>
      <w:r w:rsidR="00F32B28" w:rsidRPr="00F32B28">
        <w:rPr>
          <w:rtl/>
          <w:lang w:bidi="ar-LB"/>
        </w:rPr>
        <w:t>الولادة،</w:t>
      </w:r>
      <w:r w:rsidR="00F32B28">
        <w:rPr>
          <w:rtl/>
          <w:lang w:bidi="ar-LB"/>
        </w:rPr>
        <w:t xml:space="preserve"> </w:t>
      </w:r>
      <w:r w:rsidR="00F32B28" w:rsidRPr="00F32B28">
        <w:rPr>
          <w:rtl/>
          <w:lang w:bidi="ar-LB"/>
        </w:rPr>
        <w:t>وتعمل</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رفع</w:t>
      </w:r>
      <w:r w:rsidR="00F32B28">
        <w:rPr>
          <w:rtl/>
          <w:lang w:bidi="ar-LB"/>
        </w:rPr>
        <w:t xml:space="preserve"> </w:t>
      </w:r>
      <w:r w:rsidR="00F32B28" w:rsidRPr="00F32B28">
        <w:rPr>
          <w:rtl/>
          <w:lang w:bidi="ar-LB"/>
        </w:rPr>
        <w:t>التثقيف</w:t>
      </w:r>
      <w:r w:rsidR="00F32B28">
        <w:rPr>
          <w:rtl/>
          <w:lang w:bidi="ar-LB"/>
        </w:rPr>
        <w:t xml:space="preserve"> </w:t>
      </w:r>
      <w:r w:rsidR="00F32B28" w:rsidRPr="00F32B28">
        <w:rPr>
          <w:rtl/>
          <w:lang w:bidi="ar-LB"/>
        </w:rPr>
        <w:t>الصحي</w:t>
      </w:r>
      <w:r w:rsidR="00F32B28">
        <w:rPr>
          <w:rtl/>
          <w:lang w:bidi="ar-LB"/>
        </w:rPr>
        <w:t xml:space="preserve"> </w:t>
      </w:r>
      <w:r w:rsidR="00F32B28" w:rsidRPr="00F32B28">
        <w:rPr>
          <w:rtl/>
          <w:lang w:bidi="ar-LB"/>
        </w:rPr>
        <w:t>حول</w:t>
      </w:r>
      <w:r w:rsidR="00F32B28">
        <w:rPr>
          <w:rtl/>
          <w:lang w:bidi="ar-LB"/>
        </w:rPr>
        <w:t xml:space="preserve"> </w:t>
      </w:r>
      <w:r w:rsidR="00F32B28" w:rsidRPr="00F32B28">
        <w:rPr>
          <w:rtl/>
          <w:lang w:bidi="ar-LB"/>
        </w:rPr>
        <w:t>الرضاعة</w:t>
      </w:r>
      <w:r w:rsidR="00F32B28">
        <w:rPr>
          <w:rtl/>
          <w:lang w:bidi="ar-LB"/>
        </w:rPr>
        <w:t xml:space="preserve"> </w:t>
      </w:r>
      <w:r w:rsidR="00F32B28" w:rsidRPr="00F32B28">
        <w:rPr>
          <w:rtl/>
          <w:lang w:bidi="ar-LB"/>
        </w:rPr>
        <w:t>الطبيعية</w:t>
      </w:r>
      <w:r w:rsidR="00F32B28">
        <w:rPr>
          <w:rtl/>
          <w:lang w:bidi="ar-LB"/>
        </w:rPr>
        <w:t xml:space="preserve"> </w:t>
      </w:r>
      <w:r w:rsidR="00F32B28" w:rsidRPr="00F32B28">
        <w:rPr>
          <w:rtl/>
          <w:lang w:bidi="ar-LB"/>
        </w:rPr>
        <w:t>والتغذية</w:t>
      </w:r>
      <w:r w:rsidR="00F32B28">
        <w:rPr>
          <w:rtl/>
          <w:lang w:bidi="ar-LB"/>
        </w:rPr>
        <w:t xml:space="preserve"> </w:t>
      </w:r>
      <w:r w:rsidR="00F32B28" w:rsidRPr="00F32B28">
        <w:rPr>
          <w:rtl/>
          <w:lang w:bidi="ar-LB"/>
        </w:rPr>
        <w:t>والنظافة</w:t>
      </w:r>
      <w:r w:rsidR="00F32B28">
        <w:rPr>
          <w:rtl/>
          <w:lang w:bidi="ar-LB"/>
        </w:rPr>
        <w:t xml:space="preserve"> </w:t>
      </w:r>
      <w:r w:rsidR="00F32B28" w:rsidRPr="00F32B28">
        <w:rPr>
          <w:rtl/>
          <w:lang w:bidi="ar-LB"/>
        </w:rPr>
        <w:t>والتطعيم.</w:t>
      </w:r>
      <w:r w:rsidR="00F32B28">
        <w:rPr>
          <w:rtl/>
          <w:lang w:bidi="ar-LB"/>
        </w:rPr>
        <w:t xml:space="preserve"> </w:t>
      </w:r>
      <w:r w:rsidR="00F32B28" w:rsidRPr="00F32B28">
        <w:rPr>
          <w:rtl/>
          <w:lang w:bidi="ar-LB"/>
        </w:rPr>
        <w:t>وتقوم</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المراكز</w:t>
      </w:r>
      <w:r w:rsidR="00F32B28">
        <w:rPr>
          <w:rtl/>
          <w:lang w:bidi="ar-LB"/>
        </w:rPr>
        <w:t xml:space="preserve"> </w:t>
      </w:r>
      <w:r w:rsidR="00F32B28" w:rsidRPr="00F32B28">
        <w:rPr>
          <w:rtl/>
          <w:lang w:bidi="ar-LB"/>
        </w:rPr>
        <w:t>بتقديم</w:t>
      </w:r>
      <w:r w:rsidR="00F32B28">
        <w:rPr>
          <w:rtl/>
          <w:lang w:bidi="ar-LB"/>
        </w:rPr>
        <w:t xml:space="preserve"> </w:t>
      </w:r>
      <w:r w:rsidR="00F32B28" w:rsidRPr="00F32B28">
        <w:rPr>
          <w:rtl/>
          <w:lang w:bidi="ar-LB"/>
        </w:rPr>
        <w:t>الخدمات</w:t>
      </w:r>
      <w:r w:rsidR="00F32B28">
        <w:rPr>
          <w:rtl/>
          <w:lang w:bidi="ar-LB"/>
        </w:rPr>
        <w:t xml:space="preserve"> </w:t>
      </w:r>
      <w:r w:rsidR="00F32B28" w:rsidRPr="00F32B28">
        <w:rPr>
          <w:rtl/>
          <w:lang w:bidi="ar-LB"/>
        </w:rPr>
        <w:t>المجانية</w:t>
      </w:r>
      <w:r w:rsidR="00F32B28">
        <w:rPr>
          <w:rtl/>
          <w:lang w:bidi="ar-LB"/>
        </w:rPr>
        <w:t xml:space="preserve"> </w:t>
      </w:r>
      <w:r w:rsidR="00F32B28" w:rsidRPr="00F32B28">
        <w:rPr>
          <w:rtl/>
          <w:lang w:bidi="ar-LB"/>
        </w:rPr>
        <w:t>للمرأة</w:t>
      </w:r>
      <w:r w:rsidR="00F32B28">
        <w:rPr>
          <w:rtl/>
          <w:lang w:bidi="ar-LB"/>
        </w:rPr>
        <w:t xml:space="preserve"> </w:t>
      </w:r>
      <w:r w:rsidR="00F32B28" w:rsidRPr="00F32B28">
        <w:rPr>
          <w:rtl/>
          <w:lang w:bidi="ar-LB"/>
        </w:rPr>
        <w:t>الحامل،</w:t>
      </w:r>
      <w:r w:rsidR="00F32B28">
        <w:rPr>
          <w:rtl/>
          <w:lang w:bidi="ar-LB"/>
        </w:rPr>
        <w:t xml:space="preserve"> </w:t>
      </w:r>
      <w:r w:rsidR="00F32B28" w:rsidRPr="00F32B28">
        <w:rPr>
          <w:rtl/>
          <w:lang w:bidi="ar-LB"/>
        </w:rPr>
        <w:t>ولو</w:t>
      </w:r>
      <w:r w:rsidR="00F32B28">
        <w:rPr>
          <w:rtl/>
          <w:lang w:bidi="ar-LB"/>
        </w:rPr>
        <w:t xml:space="preserve"> </w:t>
      </w:r>
      <w:r w:rsidR="00F32B28" w:rsidRPr="00F32B28">
        <w:rPr>
          <w:rtl/>
          <w:lang w:bidi="ar-LB"/>
        </w:rPr>
        <w:t>لم</w:t>
      </w:r>
      <w:r w:rsidR="00F32B28">
        <w:rPr>
          <w:rtl/>
          <w:lang w:bidi="ar-LB"/>
        </w:rPr>
        <w:t xml:space="preserve"> </w:t>
      </w:r>
      <w:r w:rsidR="00F32B28" w:rsidRPr="00F32B28">
        <w:rPr>
          <w:rtl/>
          <w:lang w:bidi="ar-LB"/>
        </w:rPr>
        <w:t>تكن</w:t>
      </w:r>
      <w:r w:rsidR="00F32B28">
        <w:rPr>
          <w:rtl/>
          <w:lang w:bidi="ar-LB"/>
        </w:rPr>
        <w:t xml:space="preserve"> </w:t>
      </w:r>
      <w:r w:rsidR="00F32B28" w:rsidRPr="00F32B28">
        <w:rPr>
          <w:rtl/>
          <w:lang w:bidi="ar-LB"/>
        </w:rPr>
        <w:t>مشمولة</w:t>
      </w:r>
      <w:r w:rsidR="00F32B28">
        <w:rPr>
          <w:rtl/>
          <w:lang w:bidi="ar-LB"/>
        </w:rPr>
        <w:t xml:space="preserve"> </w:t>
      </w:r>
      <w:r w:rsidR="00F32B28" w:rsidRPr="00F32B28">
        <w:rPr>
          <w:rtl/>
          <w:lang w:bidi="ar-LB"/>
        </w:rPr>
        <w:t>بتأمين</w:t>
      </w:r>
      <w:r w:rsidR="00F32B28">
        <w:rPr>
          <w:rtl/>
          <w:lang w:bidi="ar-LB"/>
        </w:rPr>
        <w:t xml:space="preserve"> </w:t>
      </w:r>
      <w:r w:rsidR="00F32B28" w:rsidRPr="00F32B28">
        <w:rPr>
          <w:rtl/>
          <w:lang w:bidi="ar-LB"/>
        </w:rPr>
        <w:t>صحي،</w:t>
      </w:r>
      <w:r w:rsidR="00F32B28">
        <w:rPr>
          <w:rtl/>
          <w:lang w:bidi="ar-LB"/>
        </w:rPr>
        <w:t xml:space="preserve"> </w:t>
      </w:r>
      <w:r w:rsidR="00F32B28" w:rsidRPr="00F32B28">
        <w:rPr>
          <w:rtl/>
          <w:lang w:bidi="ar-LB"/>
        </w:rPr>
        <w:t>كالفحوصات</w:t>
      </w:r>
      <w:r w:rsidR="00F32B28">
        <w:rPr>
          <w:rtl/>
          <w:lang w:bidi="ar-LB"/>
        </w:rPr>
        <w:t xml:space="preserve"> </w:t>
      </w:r>
      <w:r w:rsidR="00F32B28" w:rsidRPr="00F32B28">
        <w:rPr>
          <w:rtl/>
          <w:lang w:bidi="ar-LB"/>
        </w:rPr>
        <w:t>العامة،</w:t>
      </w:r>
      <w:r w:rsidR="00F32B28">
        <w:rPr>
          <w:rtl/>
          <w:lang w:bidi="ar-LB"/>
        </w:rPr>
        <w:t xml:space="preserve"> </w:t>
      </w:r>
      <w:r w:rsidR="00F32B28" w:rsidRPr="00F32B28">
        <w:rPr>
          <w:rtl/>
          <w:lang w:bidi="ar-LB"/>
        </w:rPr>
        <w:t>والفحوصات</w:t>
      </w:r>
      <w:r w:rsidR="00F32B28">
        <w:rPr>
          <w:rtl/>
          <w:lang w:bidi="ar-LB"/>
        </w:rPr>
        <w:t xml:space="preserve"> </w:t>
      </w:r>
      <w:r w:rsidR="00F32B28" w:rsidRPr="00F32B28">
        <w:rPr>
          <w:rtl/>
          <w:lang w:bidi="ar-LB"/>
        </w:rPr>
        <w:t>المخبرية،</w:t>
      </w:r>
      <w:r w:rsidR="00F32B28">
        <w:rPr>
          <w:rtl/>
          <w:lang w:bidi="ar-LB"/>
        </w:rPr>
        <w:t xml:space="preserve"> </w:t>
      </w:r>
      <w:r w:rsidR="00F32B28" w:rsidRPr="00F32B28">
        <w:rPr>
          <w:rtl/>
          <w:lang w:bidi="ar-LB"/>
        </w:rPr>
        <w:t>وفحص</w:t>
      </w:r>
      <w:r w:rsidR="00F32B28">
        <w:rPr>
          <w:rtl/>
          <w:lang w:bidi="ar-LB"/>
        </w:rPr>
        <w:t xml:space="preserve"> </w:t>
      </w:r>
      <w:r w:rsidR="00F32B28" w:rsidRPr="00F32B28">
        <w:rPr>
          <w:rtl/>
          <w:lang w:bidi="ar-LB"/>
        </w:rPr>
        <w:t>جهاز</w:t>
      </w:r>
      <w:r w:rsidR="00F32B28">
        <w:rPr>
          <w:rtl/>
          <w:lang w:bidi="ar-LB"/>
        </w:rPr>
        <w:t xml:space="preserve"> </w:t>
      </w:r>
      <w:r w:rsidR="00F32B28" w:rsidRPr="00F32B28">
        <w:rPr>
          <w:rtl/>
          <w:lang w:bidi="ar-LB"/>
        </w:rPr>
        <w:t>الأمواج</w:t>
      </w:r>
      <w:r w:rsidR="00F32B28">
        <w:rPr>
          <w:rtl/>
          <w:lang w:bidi="ar-LB"/>
        </w:rPr>
        <w:t xml:space="preserve"> </w:t>
      </w:r>
      <w:r w:rsidR="00F32B28" w:rsidRPr="00F32B28">
        <w:rPr>
          <w:rtl/>
          <w:lang w:bidi="ar-LB"/>
        </w:rPr>
        <w:t>فوق</w:t>
      </w:r>
      <w:r w:rsidR="00F32B28">
        <w:rPr>
          <w:rtl/>
          <w:lang w:bidi="ar-LB"/>
        </w:rPr>
        <w:t xml:space="preserve"> </w:t>
      </w:r>
      <w:r w:rsidR="00F32B28" w:rsidRPr="00F32B28">
        <w:rPr>
          <w:rtl/>
          <w:lang w:bidi="ar-LB"/>
        </w:rPr>
        <w:t>الصوتية،</w:t>
      </w:r>
      <w:r w:rsidR="00F32B28">
        <w:rPr>
          <w:rtl/>
          <w:lang w:bidi="ar-LB"/>
        </w:rPr>
        <w:t xml:space="preserve"> </w:t>
      </w:r>
      <w:r w:rsidR="00F32B28" w:rsidRPr="00F32B28">
        <w:rPr>
          <w:rtl/>
          <w:lang w:bidi="ar-LB"/>
        </w:rPr>
        <w:t>إلا</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الدخول</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المستشفيات</w:t>
      </w:r>
      <w:r w:rsidR="00F32B28">
        <w:rPr>
          <w:rtl/>
          <w:lang w:bidi="ar-LB"/>
        </w:rPr>
        <w:t xml:space="preserve"> </w:t>
      </w:r>
      <w:r w:rsidR="00F32B28" w:rsidRPr="00F32B28">
        <w:rPr>
          <w:rtl/>
          <w:lang w:bidi="ar-LB"/>
        </w:rPr>
        <w:t>للولادة</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غيرها</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يكون</w:t>
      </w:r>
      <w:r w:rsidR="00F32B28">
        <w:rPr>
          <w:rtl/>
          <w:lang w:bidi="ar-LB"/>
        </w:rPr>
        <w:t xml:space="preserve"> </w:t>
      </w:r>
      <w:r w:rsidR="00F32B28" w:rsidRPr="00F32B28">
        <w:rPr>
          <w:rtl/>
          <w:lang w:bidi="ar-LB"/>
        </w:rPr>
        <w:t>مجاناً</w:t>
      </w:r>
      <w:r w:rsidR="00F32B28">
        <w:rPr>
          <w:rtl/>
          <w:lang w:bidi="ar-LB"/>
        </w:rPr>
        <w:t xml:space="preserve"> </w:t>
      </w:r>
      <w:r w:rsidR="00F32B28" w:rsidRPr="00F32B28">
        <w:rPr>
          <w:rtl/>
          <w:lang w:bidi="ar-LB"/>
        </w:rPr>
        <w:lastRenderedPageBreak/>
        <w:t>إلا</w:t>
      </w:r>
      <w:r w:rsidR="009F4D72">
        <w:rPr>
          <w:rFonts w:hint="cs"/>
          <w:rtl/>
          <w:lang w:bidi="ar-LB"/>
        </w:rPr>
        <w:t> </w:t>
      </w:r>
      <w:r w:rsidR="00F32B28" w:rsidRPr="00F32B28">
        <w:rPr>
          <w:rtl/>
          <w:lang w:bidi="ar-LB"/>
        </w:rPr>
        <w:t>للمشمولات</w:t>
      </w:r>
      <w:r w:rsidR="00F32B28">
        <w:rPr>
          <w:rtl/>
          <w:lang w:bidi="ar-LB"/>
        </w:rPr>
        <w:t xml:space="preserve"> </w:t>
      </w:r>
      <w:r w:rsidR="00F32B28" w:rsidRPr="00F32B28">
        <w:rPr>
          <w:rtl/>
          <w:lang w:bidi="ar-LB"/>
        </w:rPr>
        <w:t>بالتأمين</w:t>
      </w:r>
      <w:r w:rsidR="00F32B28">
        <w:rPr>
          <w:rtl/>
          <w:lang w:bidi="ar-LB"/>
        </w:rPr>
        <w:t xml:space="preserve"> </w:t>
      </w:r>
      <w:r w:rsidR="00F32B28" w:rsidRPr="00F32B28">
        <w:rPr>
          <w:rtl/>
          <w:lang w:bidi="ar-LB"/>
        </w:rPr>
        <w:t>الصحي</w:t>
      </w:r>
      <w:r w:rsidR="00F32B28">
        <w:rPr>
          <w:rtl/>
          <w:lang w:bidi="ar-LB"/>
        </w:rPr>
        <w:t xml:space="preserve"> </w:t>
      </w:r>
      <w:r w:rsidR="00F32B28" w:rsidRPr="00F32B28">
        <w:rPr>
          <w:rtl/>
          <w:lang w:bidi="ar-LB"/>
        </w:rPr>
        <w:t>الحكومي.</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أنشأت</w:t>
      </w:r>
      <w:r w:rsidR="00F32B28">
        <w:rPr>
          <w:rtl/>
          <w:lang w:bidi="ar-LB"/>
        </w:rPr>
        <w:t xml:space="preserve"> </w:t>
      </w:r>
      <w:r w:rsidR="00F32B28" w:rsidRPr="00F32B28">
        <w:rPr>
          <w:rtl/>
          <w:lang w:bidi="ar-LB"/>
        </w:rPr>
        <w:t>ال</w:t>
      </w:r>
      <w:r w:rsidR="00F32B28" w:rsidRPr="00F32B28">
        <w:rPr>
          <w:rtl/>
        </w:rPr>
        <w:t>وزارة</w:t>
      </w:r>
      <w:r w:rsidR="00F32B28">
        <w:rPr>
          <w:rtl/>
        </w:rPr>
        <w:t xml:space="preserve"> </w:t>
      </w:r>
      <w:r w:rsidR="00F32B28" w:rsidRPr="00F32B28">
        <w:rPr>
          <w:rtl/>
        </w:rPr>
        <w:t>عدداً</w:t>
      </w:r>
      <w:r w:rsidR="00F32B28">
        <w:rPr>
          <w:rtl/>
        </w:rPr>
        <w:t xml:space="preserve"> </w:t>
      </w:r>
      <w:r w:rsidR="00F32B28" w:rsidRPr="00F32B28">
        <w:rPr>
          <w:rtl/>
        </w:rPr>
        <w:t>من</w:t>
      </w:r>
      <w:r w:rsidR="00F32B28">
        <w:rPr>
          <w:rtl/>
        </w:rPr>
        <w:t xml:space="preserve"> </w:t>
      </w:r>
      <w:r w:rsidR="00F32B28" w:rsidRPr="00F32B28">
        <w:rPr>
          <w:rtl/>
        </w:rPr>
        <w:t>بيوت</w:t>
      </w:r>
      <w:r w:rsidR="00F32B28">
        <w:rPr>
          <w:rtl/>
        </w:rPr>
        <w:t xml:space="preserve"> </w:t>
      </w:r>
      <w:r w:rsidR="00F32B28" w:rsidRPr="00F32B28">
        <w:rPr>
          <w:rtl/>
        </w:rPr>
        <w:t>الولادة</w:t>
      </w:r>
      <w:r w:rsidR="00F32B28">
        <w:rPr>
          <w:rtl/>
        </w:rPr>
        <w:t xml:space="preserve"> </w:t>
      </w:r>
      <w:r w:rsidR="00F32B28" w:rsidRPr="00F32B28">
        <w:rPr>
          <w:rtl/>
        </w:rPr>
        <w:t>الآمنة</w:t>
      </w:r>
      <w:r w:rsidR="00F32B28">
        <w:rPr>
          <w:rtl/>
        </w:rPr>
        <w:t xml:space="preserve"> </w:t>
      </w:r>
      <w:r w:rsidR="00F32B28" w:rsidRPr="00F32B28">
        <w:rPr>
          <w:rtl/>
        </w:rPr>
        <w:t>في</w:t>
      </w:r>
      <w:r w:rsidR="00F32B28">
        <w:rPr>
          <w:rtl/>
        </w:rPr>
        <w:t xml:space="preserve"> </w:t>
      </w:r>
      <w:r w:rsidR="00F32B28" w:rsidRPr="00F32B28">
        <w:rPr>
          <w:rtl/>
        </w:rPr>
        <w:t>المحافظات</w:t>
      </w:r>
      <w:r w:rsidR="00F32B28">
        <w:rPr>
          <w:rtl/>
        </w:rPr>
        <w:t xml:space="preserve"> </w:t>
      </w:r>
      <w:r w:rsidR="00F32B28" w:rsidRPr="00F32B28">
        <w:rPr>
          <w:rtl/>
        </w:rPr>
        <w:t>وخصوصاً</w:t>
      </w:r>
      <w:r w:rsidR="00F32B28">
        <w:rPr>
          <w:rtl/>
        </w:rPr>
        <w:t xml:space="preserve"> </w:t>
      </w:r>
      <w:r w:rsidR="00F32B28" w:rsidRPr="00F32B28">
        <w:rPr>
          <w:rtl/>
        </w:rPr>
        <w:t>في</w:t>
      </w:r>
      <w:r w:rsidR="00F32B28">
        <w:rPr>
          <w:rtl/>
        </w:rPr>
        <w:t xml:space="preserve"> </w:t>
      </w:r>
      <w:r w:rsidR="00F32B28" w:rsidRPr="00F32B28">
        <w:rPr>
          <w:rtl/>
        </w:rPr>
        <w:t>المناطق</w:t>
      </w:r>
      <w:r w:rsidR="00F32B28">
        <w:rPr>
          <w:rtl/>
        </w:rPr>
        <w:t xml:space="preserve"> </w:t>
      </w:r>
      <w:r w:rsidR="00F32B28" w:rsidRPr="00F32B28">
        <w:rPr>
          <w:rtl/>
        </w:rPr>
        <w:t>المهمشة.</w:t>
      </w:r>
      <w:r w:rsidR="00F32B28">
        <w:rPr>
          <w:rtl/>
        </w:rPr>
        <w:t xml:space="preserve"> </w:t>
      </w:r>
    </w:p>
    <w:p w:rsidR="00F32B28" w:rsidRPr="00F32B28" w:rsidRDefault="00AF1BC1" w:rsidP="00AF1BC1">
      <w:pPr>
        <w:pStyle w:val="SingleTxt"/>
      </w:pPr>
      <w:r>
        <w:rPr>
          <w:rFonts w:hint="cs"/>
          <w:rtl/>
          <w:lang w:bidi="ar-LB"/>
        </w:rPr>
        <w:t xml:space="preserve">244 - </w:t>
      </w:r>
      <w:r w:rsidR="00F32B28" w:rsidRPr="00F32B28">
        <w:rPr>
          <w:rtl/>
          <w:lang w:bidi="ar-LB"/>
        </w:rPr>
        <w:t>وتشير</w:t>
      </w:r>
      <w:r w:rsidR="00F32B28">
        <w:rPr>
          <w:rtl/>
          <w:lang w:bidi="ar-LB"/>
        </w:rPr>
        <w:t xml:space="preserve"> </w:t>
      </w:r>
      <w:r w:rsidR="00F32B28" w:rsidRPr="00F32B28">
        <w:rPr>
          <w:rtl/>
          <w:lang w:bidi="ar-LB"/>
        </w:rPr>
        <w:t>إحصائيات</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للأعوام</w:t>
      </w:r>
      <w:r w:rsidR="00F32B28">
        <w:rPr>
          <w:rtl/>
          <w:lang w:bidi="ar-LB"/>
        </w:rPr>
        <w:t xml:space="preserve"> </w:t>
      </w:r>
      <w:r w:rsidR="00F32B28" w:rsidRPr="00F32B28">
        <w:rPr>
          <w:rtl/>
          <w:lang w:bidi="ar-LB"/>
        </w:rPr>
        <w:t>2013-2014،</w:t>
      </w:r>
      <w:r w:rsidR="00F32B28">
        <w:rPr>
          <w:rtl/>
          <w:lang w:bidi="ar-LB"/>
        </w:rPr>
        <w:t xml:space="preserve"> </w:t>
      </w:r>
      <w:r w:rsidR="00F32B28" w:rsidRPr="00F32B28">
        <w:rPr>
          <w:rtl/>
          <w:lang w:bidi="ar-LB"/>
        </w:rPr>
        <w:t>بأن</w:t>
      </w:r>
      <w:r w:rsidR="00F32B28">
        <w:rPr>
          <w:rtl/>
          <w:lang w:bidi="ar-LB"/>
        </w:rPr>
        <w:t xml:space="preserve"> </w:t>
      </w:r>
      <w:r w:rsidR="00F32B28" w:rsidRPr="00F32B28">
        <w:rPr>
          <w:rtl/>
        </w:rPr>
        <w:t>هنالك</w:t>
      </w:r>
      <w:r w:rsidR="0059300D">
        <w:rPr>
          <w:rFonts w:hint="cs"/>
          <w:rtl/>
        </w:rPr>
        <w:t xml:space="preserve"> </w:t>
      </w:r>
      <w:r w:rsidR="00F32B28" w:rsidRPr="00F32B28">
        <w:rPr>
          <w:rtl/>
        </w:rPr>
        <w:t>تحسناً</w:t>
      </w:r>
      <w:r w:rsidR="00F32B28">
        <w:rPr>
          <w:rtl/>
        </w:rPr>
        <w:t xml:space="preserve"> </w:t>
      </w:r>
      <w:r w:rsidR="00F32B28" w:rsidRPr="00F32B28">
        <w:rPr>
          <w:rtl/>
        </w:rPr>
        <w:t>ملحوظا</w:t>
      </w:r>
      <w:r w:rsidR="00F32B28">
        <w:rPr>
          <w:rtl/>
        </w:rPr>
        <w:t xml:space="preserve"> </w:t>
      </w:r>
      <w:r w:rsidR="00F32B28" w:rsidRPr="00F32B28">
        <w:rPr>
          <w:rtl/>
        </w:rPr>
        <w:t>قد</w:t>
      </w:r>
      <w:r w:rsidR="00EE7D94">
        <w:rPr>
          <w:rFonts w:hint="cs"/>
          <w:rtl/>
        </w:rPr>
        <w:t xml:space="preserve"> </w:t>
      </w:r>
      <w:r w:rsidR="00F32B28" w:rsidRPr="00F32B28">
        <w:rPr>
          <w:rtl/>
        </w:rPr>
        <w:t>طرأ</w:t>
      </w:r>
      <w:r w:rsidR="00EE7D94">
        <w:rPr>
          <w:rFonts w:hint="cs"/>
          <w:rtl/>
        </w:rPr>
        <w:t xml:space="preserve"> </w:t>
      </w:r>
      <w:r w:rsidR="00F32B28" w:rsidRPr="00F32B28">
        <w:rPr>
          <w:rtl/>
        </w:rPr>
        <w:t>على</w:t>
      </w:r>
      <w:r w:rsidR="00EE7D94">
        <w:rPr>
          <w:rFonts w:hint="cs"/>
          <w:rtl/>
        </w:rPr>
        <w:t xml:space="preserve"> </w:t>
      </w:r>
      <w:r w:rsidR="00F32B28" w:rsidRPr="00F32B28">
        <w:rPr>
          <w:rtl/>
        </w:rPr>
        <w:t>مؤشرات</w:t>
      </w:r>
      <w:r w:rsidR="00EE7D94">
        <w:rPr>
          <w:rFonts w:hint="cs"/>
          <w:rtl/>
        </w:rPr>
        <w:t xml:space="preserve"> </w:t>
      </w:r>
      <w:r w:rsidR="00F32B28" w:rsidRPr="00F32B28">
        <w:rPr>
          <w:rtl/>
        </w:rPr>
        <w:t>الصحة</w:t>
      </w:r>
      <w:r w:rsidR="00EE7D94">
        <w:rPr>
          <w:rFonts w:hint="cs"/>
          <w:rtl/>
        </w:rPr>
        <w:t xml:space="preserve"> </w:t>
      </w:r>
      <w:r w:rsidR="00F32B28" w:rsidRPr="00F32B28">
        <w:rPr>
          <w:rtl/>
        </w:rPr>
        <w:t>الإنجابية</w:t>
      </w:r>
      <w:r w:rsidR="00EE7D94">
        <w:rPr>
          <w:rFonts w:hint="cs"/>
          <w:rtl/>
        </w:rPr>
        <w:t xml:space="preserve"> </w:t>
      </w:r>
      <w:r w:rsidR="00F32B28" w:rsidRPr="00F32B28">
        <w:rPr>
          <w:rtl/>
        </w:rPr>
        <w:t>وارتفاع</w:t>
      </w:r>
      <w:r w:rsidR="00EE7D94">
        <w:rPr>
          <w:rFonts w:hint="cs"/>
          <w:rtl/>
        </w:rPr>
        <w:t xml:space="preserve"> </w:t>
      </w:r>
      <w:r w:rsidR="00F32B28" w:rsidRPr="00F32B28">
        <w:rPr>
          <w:rtl/>
        </w:rPr>
        <w:t>نسبة</w:t>
      </w:r>
      <w:r w:rsidR="00EE7D94">
        <w:rPr>
          <w:rFonts w:hint="cs"/>
          <w:rtl/>
        </w:rPr>
        <w:t xml:space="preserve"> </w:t>
      </w:r>
      <w:r w:rsidR="00F32B28" w:rsidRPr="00F32B28">
        <w:rPr>
          <w:rtl/>
        </w:rPr>
        <w:t>النساء</w:t>
      </w:r>
      <w:r w:rsidR="00F32B28">
        <w:rPr>
          <w:rtl/>
        </w:rPr>
        <w:t xml:space="preserve"> </w:t>
      </w:r>
      <w:r w:rsidR="00F32B28" w:rsidRPr="00F32B28">
        <w:rPr>
          <w:rtl/>
        </w:rPr>
        <w:t>اللواتي</w:t>
      </w:r>
      <w:r w:rsidR="00EE7D94">
        <w:rPr>
          <w:rFonts w:hint="cs"/>
          <w:rtl/>
        </w:rPr>
        <w:t xml:space="preserve"> </w:t>
      </w:r>
      <w:r w:rsidR="00F32B28" w:rsidRPr="00F32B28">
        <w:rPr>
          <w:rtl/>
        </w:rPr>
        <w:t>يتلقين</w:t>
      </w:r>
      <w:r w:rsidR="00EE7D94">
        <w:rPr>
          <w:rFonts w:hint="cs"/>
          <w:rtl/>
        </w:rPr>
        <w:t xml:space="preserve"> </w:t>
      </w:r>
      <w:r w:rsidR="00F32B28" w:rsidRPr="00F32B28">
        <w:rPr>
          <w:rtl/>
        </w:rPr>
        <w:t>العناية</w:t>
      </w:r>
      <w:r w:rsidR="00EE7D94">
        <w:rPr>
          <w:rFonts w:hint="cs"/>
          <w:rtl/>
        </w:rPr>
        <w:t xml:space="preserve"> </w:t>
      </w:r>
      <w:r w:rsidR="00F32B28" w:rsidRPr="00F32B28">
        <w:rPr>
          <w:rtl/>
        </w:rPr>
        <w:t>الصحية</w:t>
      </w:r>
      <w:r w:rsidR="00EE7D94">
        <w:rPr>
          <w:rFonts w:hint="cs"/>
          <w:rtl/>
        </w:rPr>
        <w:t xml:space="preserve"> </w:t>
      </w:r>
      <w:r w:rsidR="00F32B28" w:rsidRPr="00F32B28">
        <w:rPr>
          <w:rtl/>
        </w:rPr>
        <w:t>أثناء</w:t>
      </w:r>
      <w:r w:rsidR="00EE7D94">
        <w:rPr>
          <w:rFonts w:hint="cs"/>
          <w:rtl/>
        </w:rPr>
        <w:t xml:space="preserve"> </w:t>
      </w:r>
      <w:r w:rsidR="00F32B28" w:rsidRPr="00F32B28">
        <w:rPr>
          <w:rtl/>
        </w:rPr>
        <w:t>الحمل،</w:t>
      </w:r>
      <w:r w:rsidR="00EE7D94">
        <w:rPr>
          <w:rFonts w:hint="cs"/>
          <w:rtl/>
        </w:rPr>
        <w:t xml:space="preserve"> </w:t>
      </w:r>
      <w:r w:rsidR="00F32B28" w:rsidRPr="00F32B28">
        <w:rPr>
          <w:rtl/>
        </w:rPr>
        <w:t>وانخفاض</w:t>
      </w:r>
      <w:r w:rsidR="00EE7D94">
        <w:rPr>
          <w:rFonts w:hint="cs"/>
          <w:rtl/>
        </w:rPr>
        <w:t xml:space="preserve"> </w:t>
      </w:r>
      <w:r w:rsidR="00F32B28" w:rsidRPr="00F32B28">
        <w:rPr>
          <w:rtl/>
        </w:rPr>
        <w:t>نسبة</w:t>
      </w:r>
      <w:r w:rsidR="00EE7D94">
        <w:rPr>
          <w:rFonts w:hint="cs"/>
          <w:rtl/>
        </w:rPr>
        <w:t xml:space="preserve"> </w:t>
      </w:r>
      <w:r w:rsidR="00F32B28" w:rsidRPr="00F32B28">
        <w:rPr>
          <w:rtl/>
        </w:rPr>
        <w:t>الولادات</w:t>
      </w:r>
      <w:r w:rsidR="00EE7D94">
        <w:rPr>
          <w:rFonts w:hint="cs"/>
          <w:rtl/>
        </w:rPr>
        <w:t xml:space="preserve"> </w:t>
      </w:r>
      <w:r w:rsidR="00F32B28" w:rsidRPr="00F32B28">
        <w:rPr>
          <w:rtl/>
        </w:rPr>
        <w:t>البيتية</w:t>
      </w:r>
      <w:r w:rsidR="00F32B28" w:rsidRPr="00F32B28">
        <w:t>.</w:t>
      </w:r>
      <w:r w:rsidR="00F32B28">
        <w:rPr>
          <w:rtl/>
        </w:rPr>
        <w:t xml:space="preserve"> </w:t>
      </w:r>
      <w:r w:rsidR="00F32B28" w:rsidRPr="00F32B28">
        <w:rPr>
          <w:rtl/>
        </w:rPr>
        <w:t>حيث</w:t>
      </w:r>
      <w:r w:rsidR="00F32B28">
        <w:rPr>
          <w:rtl/>
        </w:rPr>
        <w:t xml:space="preserve"> </w:t>
      </w:r>
      <w:r w:rsidR="00F32B28" w:rsidRPr="00F32B28">
        <w:rPr>
          <w:rtl/>
        </w:rPr>
        <w:t>أن</w:t>
      </w:r>
      <w:r w:rsidR="00F32B28">
        <w:rPr>
          <w:rtl/>
        </w:rPr>
        <w:t xml:space="preserve"> </w:t>
      </w:r>
      <w:r w:rsidR="0059300D">
        <w:rPr>
          <w:rFonts w:hint="cs"/>
          <w:rtl/>
        </w:rPr>
        <w:t xml:space="preserve">95.5 </w:t>
      </w:r>
      <w:r w:rsidR="0059300D">
        <w:rPr>
          <w:rtl/>
        </w:rPr>
        <w:t xml:space="preserve">في </w:t>
      </w:r>
      <w:r w:rsidR="00600C43">
        <w:rPr>
          <w:rtl/>
        </w:rPr>
        <w:t>المائة</w:t>
      </w:r>
      <w:r w:rsidR="00F32B28">
        <w:rPr>
          <w:rtl/>
        </w:rPr>
        <w:t xml:space="preserve"> </w:t>
      </w:r>
      <w:r w:rsidR="00F32B28" w:rsidRPr="00F32B28">
        <w:rPr>
          <w:rtl/>
        </w:rPr>
        <w:t>من</w:t>
      </w:r>
      <w:r w:rsidR="0059300D">
        <w:rPr>
          <w:rFonts w:hint="cs"/>
          <w:rtl/>
        </w:rPr>
        <w:t xml:space="preserve"> </w:t>
      </w:r>
      <w:r w:rsidR="00F32B28" w:rsidRPr="00F32B28">
        <w:rPr>
          <w:rtl/>
        </w:rPr>
        <w:t>النساء</w:t>
      </w:r>
      <w:r w:rsidR="0059300D">
        <w:rPr>
          <w:rFonts w:hint="cs"/>
          <w:rtl/>
        </w:rPr>
        <w:t xml:space="preserve"> </w:t>
      </w:r>
      <w:r w:rsidR="00F32B28" w:rsidRPr="00F32B28">
        <w:rPr>
          <w:rtl/>
        </w:rPr>
        <w:t>(15-49</w:t>
      </w:r>
      <w:r w:rsidR="009F4D72">
        <w:rPr>
          <w:rFonts w:hint="cs"/>
          <w:rtl/>
        </w:rPr>
        <w:t xml:space="preserve"> </w:t>
      </w:r>
      <w:r w:rsidR="00F32B28" w:rsidRPr="00F32B28">
        <w:rPr>
          <w:rtl/>
        </w:rPr>
        <w:t>سنة)</w:t>
      </w:r>
      <w:r w:rsidR="0059300D">
        <w:rPr>
          <w:rFonts w:hint="cs"/>
          <w:rtl/>
        </w:rPr>
        <w:t xml:space="preserve"> </w:t>
      </w:r>
      <w:r w:rsidR="00F32B28" w:rsidRPr="00F32B28">
        <w:rPr>
          <w:rtl/>
        </w:rPr>
        <w:t>قد</w:t>
      </w:r>
      <w:r w:rsidR="0059300D">
        <w:rPr>
          <w:rFonts w:hint="cs"/>
          <w:rtl/>
        </w:rPr>
        <w:t xml:space="preserve"> </w:t>
      </w:r>
      <w:r w:rsidR="00F32B28" w:rsidRPr="00F32B28">
        <w:rPr>
          <w:rtl/>
        </w:rPr>
        <w:t>تلقين</w:t>
      </w:r>
      <w:r w:rsidR="0059300D">
        <w:rPr>
          <w:rFonts w:hint="cs"/>
          <w:rtl/>
        </w:rPr>
        <w:t xml:space="preserve"> </w:t>
      </w:r>
      <w:r w:rsidR="00F32B28" w:rsidRPr="00F32B28">
        <w:rPr>
          <w:rtl/>
        </w:rPr>
        <w:t>رعاية</w:t>
      </w:r>
      <w:r w:rsidR="0059300D">
        <w:rPr>
          <w:rFonts w:hint="cs"/>
          <w:rtl/>
        </w:rPr>
        <w:t xml:space="preserve"> </w:t>
      </w:r>
      <w:r w:rsidR="00F32B28" w:rsidRPr="00F32B28">
        <w:rPr>
          <w:rtl/>
        </w:rPr>
        <w:t>صحية</w:t>
      </w:r>
      <w:r w:rsidR="0059300D">
        <w:rPr>
          <w:rFonts w:hint="cs"/>
          <w:rtl/>
        </w:rPr>
        <w:t xml:space="preserve"> </w:t>
      </w:r>
      <w:r w:rsidR="00F32B28" w:rsidRPr="00F32B28">
        <w:rPr>
          <w:rtl/>
        </w:rPr>
        <w:t>أثناء</w:t>
      </w:r>
      <w:r w:rsidR="0059300D">
        <w:rPr>
          <w:rFonts w:hint="cs"/>
          <w:rtl/>
        </w:rPr>
        <w:t xml:space="preserve"> </w:t>
      </w:r>
      <w:r w:rsidR="00F32B28" w:rsidRPr="00F32B28">
        <w:rPr>
          <w:rtl/>
        </w:rPr>
        <w:t>الحمل</w:t>
      </w:r>
      <w:r w:rsidR="00F32B28">
        <w:rPr>
          <w:rtl/>
        </w:rPr>
        <w:t xml:space="preserve"> </w:t>
      </w:r>
      <w:r w:rsidR="0059300D">
        <w:rPr>
          <w:rFonts w:hint="cs"/>
          <w:rtl/>
        </w:rPr>
        <w:t>4</w:t>
      </w:r>
      <w:r w:rsidR="00F32B28">
        <w:rPr>
          <w:rtl/>
        </w:rPr>
        <w:t xml:space="preserve"> </w:t>
      </w:r>
      <w:r w:rsidR="00F32B28" w:rsidRPr="00F32B28">
        <w:rPr>
          <w:rtl/>
        </w:rPr>
        <w:t>مرات</w:t>
      </w:r>
      <w:r w:rsidR="0059300D">
        <w:rPr>
          <w:rFonts w:hint="cs"/>
          <w:rtl/>
        </w:rPr>
        <w:t xml:space="preserve"> </w:t>
      </w:r>
      <w:r w:rsidR="00F32B28" w:rsidRPr="00F32B28">
        <w:rPr>
          <w:rtl/>
        </w:rPr>
        <w:t>على</w:t>
      </w:r>
      <w:r w:rsidR="0059300D">
        <w:rPr>
          <w:rFonts w:hint="cs"/>
          <w:rtl/>
        </w:rPr>
        <w:t xml:space="preserve"> </w:t>
      </w:r>
      <w:r w:rsidR="00F32B28" w:rsidRPr="00F32B28">
        <w:rPr>
          <w:rtl/>
        </w:rPr>
        <w:t>الأقل</w:t>
      </w:r>
      <w:r w:rsidR="0059300D">
        <w:rPr>
          <w:rFonts w:hint="cs"/>
          <w:rtl/>
        </w:rPr>
        <w:t xml:space="preserve"> </w:t>
      </w:r>
      <w:r w:rsidR="00F32B28" w:rsidRPr="00F32B28">
        <w:rPr>
          <w:rtl/>
        </w:rPr>
        <w:t>من</w:t>
      </w:r>
      <w:r w:rsidR="0059300D">
        <w:rPr>
          <w:rFonts w:hint="cs"/>
          <w:rtl/>
        </w:rPr>
        <w:t xml:space="preserve"> </w:t>
      </w:r>
      <w:r w:rsidR="00F32B28" w:rsidRPr="00F32B28">
        <w:rPr>
          <w:rtl/>
        </w:rPr>
        <w:t>قبل</w:t>
      </w:r>
      <w:r w:rsidR="0059300D">
        <w:rPr>
          <w:rFonts w:hint="cs"/>
          <w:rtl/>
        </w:rPr>
        <w:t xml:space="preserve"> </w:t>
      </w:r>
      <w:r w:rsidR="00F32B28" w:rsidRPr="00F32B28">
        <w:rPr>
          <w:rtl/>
        </w:rPr>
        <w:t>مقدم</w:t>
      </w:r>
      <w:r w:rsidR="0059300D">
        <w:rPr>
          <w:rFonts w:hint="cs"/>
          <w:rtl/>
        </w:rPr>
        <w:t xml:space="preserve"> </w:t>
      </w:r>
      <w:r w:rsidR="00F32B28" w:rsidRPr="00F32B28">
        <w:rPr>
          <w:rtl/>
        </w:rPr>
        <w:t>رعاية</w:t>
      </w:r>
      <w:r w:rsidR="00F32B28">
        <w:rPr>
          <w:rtl/>
        </w:rPr>
        <w:t xml:space="preserve"> </w:t>
      </w:r>
      <w:r w:rsidR="00F32B28" w:rsidRPr="00F32B28">
        <w:rPr>
          <w:rtl/>
        </w:rPr>
        <w:t>صحية؛</w:t>
      </w:r>
      <w:r w:rsidR="00F32B28">
        <w:rPr>
          <w:rtl/>
        </w:rPr>
        <w:t xml:space="preserve"> </w:t>
      </w:r>
      <w:r w:rsidR="0059300D">
        <w:rPr>
          <w:rFonts w:hint="cs"/>
          <w:rtl/>
        </w:rPr>
        <w:t xml:space="preserve">95.7 </w:t>
      </w:r>
      <w:r w:rsidR="00600C43">
        <w:rPr>
          <w:rtl/>
        </w:rPr>
        <w:t>في المائة</w:t>
      </w:r>
      <w:r w:rsidR="00F32B28">
        <w:rPr>
          <w:rtl/>
        </w:rPr>
        <w:t xml:space="preserve"> </w:t>
      </w:r>
      <w:r w:rsidR="00F32B28" w:rsidRPr="00F32B28">
        <w:rPr>
          <w:rtl/>
        </w:rPr>
        <w:t>في</w:t>
      </w:r>
      <w:r w:rsidR="0059300D">
        <w:rPr>
          <w:rFonts w:hint="cs"/>
          <w:rtl/>
        </w:rPr>
        <w:t xml:space="preserve"> </w:t>
      </w:r>
      <w:r w:rsidR="00F32B28" w:rsidRPr="00F32B28">
        <w:rPr>
          <w:rtl/>
        </w:rPr>
        <w:t>الضفة</w:t>
      </w:r>
      <w:r w:rsidR="0059300D">
        <w:rPr>
          <w:rFonts w:hint="cs"/>
          <w:rtl/>
        </w:rPr>
        <w:t xml:space="preserve"> </w:t>
      </w:r>
      <w:r w:rsidR="00F32B28" w:rsidRPr="00F32B28">
        <w:rPr>
          <w:rtl/>
        </w:rPr>
        <w:t>الغربية</w:t>
      </w:r>
      <w:r w:rsidR="0059300D">
        <w:rPr>
          <w:rFonts w:hint="cs"/>
          <w:rtl/>
        </w:rPr>
        <w:t xml:space="preserve"> </w:t>
      </w:r>
      <w:r w:rsidR="00F32B28" w:rsidRPr="00F32B28">
        <w:rPr>
          <w:rtl/>
        </w:rPr>
        <w:t>مقابل</w:t>
      </w:r>
      <w:r w:rsidR="00F32B28">
        <w:rPr>
          <w:rtl/>
        </w:rPr>
        <w:t xml:space="preserve"> </w:t>
      </w:r>
      <w:r w:rsidR="009F4D72">
        <w:rPr>
          <w:rFonts w:hint="cs"/>
          <w:rtl/>
        </w:rPr>
        <w:t>95.3</w:t>
      </w:r>
      <w:r w:rsidR="009F4D72">
        <w:rPr>
          <w:rFonts w:hint="eastAsia"/>
          <w:rtl/>
        </w:rPr>
        <w:t> </w:t>
      </w:r>
      <w:r w:rsidR="00600C43">
        <w:rPr>
          <w:rtl/>
        </w:rPr>
        <w:t>في المائة</w:t>
      </w:r>
      <w:r w:rsidR="00F32B28">
        <w:rPr>
          <w:rtl/>
        </w:rPr>
        <w:t xml:space="preserve"> </w:t>
      </w:r>
      <w:r w:rsidR="00F32B28" w:rsidRPr="00F32B28">
        <w:rPr>
          <w:rtl/>
        </w:rPr>
        <w:t>في</w:t>
      </w:r>
      <w:r w:rsidR="0059300D">
        <w:rPr>
          <w:rFonts w:hint="cs"/>
          <w:rtl/>
        </w:rPr>
        <w:t xml:space="preserve"> </w:t>
      </w:r>
      <w:r w:rsidR="00F32B28" w:rsidRPr="00F32B28">
        <w:rPr>
          <w:rtl/>
        </w:rPr>
        <w:t>قطاع</w:t>
      </w:r>
      <w:r w:rsidR="0059300D">
        <w:rPr>
          <w:rFonts w:hint="cs"/>
          <w:rtl/>
        </w:rPr>
        <w:t xml:space="preserve"> </w:t>
      </w:r>
      <w:r w:rsidR="00F32B28" w:rsidRPr="00F32B28">
        <w:rPr>
          <w:rtl/>
        </w:rPr>
        <w:t>غزة.</w:t>
      </w:r>
    </w:p>
    <w:p w:rsidR="00F32B28" w:rsidRPr="00F32B28" w:rsidRDefault="00AF1BC1" w:rsidP="00AF1BC1">
      <w:pPr>
        <w:pStyle w:val="SingleTxt"/>
      </w:pPr>
      <w:r>
        <w:rPr>
          <w:rFonts w:hint="cs"/>
          <w:rtl/>
          <w:lang w:bidi="ar-LB"/>
        </w:rPr>
        <w:t xml:space="preserve">245 - </w:t>
      </w:r>
      <w:r w:rsidR="00F32B28" w:rsidRPr="00F32B28">
        <w:rPr>
          <w:rtl/>
          <w:lang w:bidi="ar-LB"/>
        </w:rPr>
        <w:t>كما</w:t>
      </w:r>
      <w:r w:rsidR="00F32B28">
        <w:rPr>
          <w:rtl/>
          <w:lang w:bidi="ar-LB"/>
        </w:rPr>
        <w:t xml:space="preserve"> </w:t>
      </w:r>
      <w:r w:rsidR="00F32B28" w:rsidRPr="00F32B28">
        <w:rPr>
          <w:rtl/>
          <w:lang w:bidi="ar-LB"/>
        </w:rPr>
        <w:t>تقوم</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ب</w:t>
      </w:r>
      <w:r w:rsidR="00F32B28" w:rsidRPr="00F32B28">
        <w:rPr>
          <w:rtl/>
        </w:rPr>
        <w:t>تقدم</w:t>
      </w:r>
      <w:r w:rsidR="00F32B28">
        <w:rPr>
          <w:rtl/>
        </w:rPr>
        <w:t xml:space="preserve"> </w:t>
      </w:r>
      <w:r w:rsidR="00F32B28" w:rsidRPr="00F32B28">
        <w:rPr>
          <w:rtl/>
        </w:rPr>
        <w:t>خدمات</w:t>
      </w:r>
      <w:r w:rsidR="00F32B28">
        <w:rPr>
          <w:rtl/>
        </w:rPr>
        <w:t xml:space="preserve"> </w:t>
      </w:r>
      <w:r w:rsidR="00F32B28" w:rsidRPr="00F32B28">
        <w:rPr>
          <w:rtl/>
        </w:rPr>
        <w:t>ما</w:t>
      </w:r>
      <w:r w:rsidR="00F32B28">
        <w:rPr>
          <w:rtl/>
        </w:rPr>
        <w:t xml:space="preserve"> </w:t>
      </w:r>
      <w:r w:rsidR="00F32B28" w:rsidRPr="00F32B28">
        <w:rPr>
          <w:rtl/>
        </w:rPr>
        <w:t>قبل</w:t>
      </w:r>
      <w:r w:rsidR="00F32B28">
        <w:rPr>
          <w:rtl/>
        </w:rPr>
        <w:t xml:space="preserve"> </w:t>
      </w:r>
      <w:r w:rsidR="00F32B28" w:rsidRPr="00F32B28">
        <w:rPr>
          <w:rtl/>
        </w:rPr>
        <w:t>الحمل؛</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lang w:bidi="ar-LB"/>
        </w:rPr>
        <w:t>صرف</w:t>
      </w:r>
      <w:r w:rsidR="00F32B28">
        <w:rPr>
          <w:rtl/>
          <w:lang w:bidi="ar-LB"/>
        </w:rPr>
        <w:t xml:space="preserve"> </w:t>
      </w:r>
      <w:r w:rsidR="00F32B28" w:rsidRPr="00F32B28">
        <w:rPr>
          <w:rtl/>
          <w:lang w:bidi="ar-LB"/>
        </w:rPr>
        <w:t>المقويات</w:t>
      </w:r>
      <w:r w:rsidR="00F32B28">
        <w:rPr>
          <w:rtl/>
          <w:lang w:bidi="ar-LB"/>
        </w:rPr>
        <w:t xml:space="preserve"> </w:t>
      </w:r>
      <w:r w:rsidR="00F32B28" w:rsidRPr="00F32B28">
        <w:rPr>
          <w:rtl/>
          <w:lang w:bidi="ar-LB"/>
        </w:rPr>
        <w:t>للحوامل</w:t>
      </w:r>
      <w:r w:rsidR="00F32B28">
        <w:rPr>
          <w:rtl/>
          <w:lang w:bidi="ar-LB"/>
        </w:rPr>
        <w:t xml:space="preserve"> </w:t>
      </w:r>
      <w:r w:rsidR="00F32B28" w:rsidRPr="00F32B28">
        <w:rPr>
          <w:rtl/>
          <w:lang w:bidi="ar-LB"/>
        </w:rPr>
        <w:t>(كالحديد،</w:t>
      </w:r>
      <w:r w:rsidR="00F32B28">
        <w:rPr>
          <w:rtl/>
          <w:lang w:bidi="ar-LB"/>
        </w:rPr>
        <w:t xml:space="preserve"> </w:t>
      </w:r>
      <w:r w:rsidR="00F32B28" w:rsidRPr="00F32B28">
        <w:rPr>
          <w:rtl/>
          <w:lang w:bidi="ar-LB"/>
        </w:rPr>
        <w:t>والفو</w:t>
      </w:r>
      <w:r w:rsidR="00F32B28" w:rsidRPr="00AF1BC1">
        <w:rPr>
          <w:rtl/>
        </w:rPr>
        <w:t>ل</w:t>
      </w:r>
      <w:r w:rsidR="00F32B28" w:rsidRPr="00F32B28">
        <w:rPr>
          <w:rtl/>
          <w:lang w:bidi="ar-LB"/>
        </w:rPr>
        <w:t>ك</w:t>
      </w:r>
      <w:r w:rsidR="00F32B28">
        <w:rPr>
          <w:rtl/>
          <w:lang w:bidi="ar-LB"/>
        </w:rPr>
        <w:t xml:space="preserve"> </w:t>
      </w:r>
      <w:r w:rsidR="00F32B28" w:rsidRPr="00F32B28">
        <w:rPr>
          <w:rtl/>
          <w:lang w:bidi="ar-LB"/>
        </w:rPr>
        <w:t>أسيد)،</w:t>
      </w:r>
      <w:r w:rsidR="00F32B28">
        <w:rPr>
          <w:rtl/>
          <w:lang w:bidi="ar-LB"/>
        </w:rPr>
        <w:t xml:space="preserve"> </w:t>
      </w:r>
      <w:r w:rsidR="00F32B28" w:rsidRPr="00F32B28">
        <w:rPr>
          <w:rtl/>
          <w:lang w:bidi="ar-LB"/>
        </w:rPr>
        <w:t>فعلى</w:t>
      </w:r>
      <w:r w:rsidR="00F32B28">
        <w:rPr>
          <w:rtl/>
          <w:lang w:bidi="ar-LB"/>
        </w:rPr>
        <w:t xml:space="preserve"> </w:t>
      </w:r>
      <w:r w:rsidR="00F32B28" w:rsidRPr="00F32B28">
        <w:rPr>
          <w:rtl/>
          <w:lang w:bidi="ar-LB"/>
        </w:rPr>
        <w:t>سبيل</w:t>
      </w:r>
      <w:r w:rsidR="00F32B28">
        <w:rPr>
          <w:rtl/>
          <w:lang w:bidi="ar-LB"/>
        </w:rPr>
        <w:t xml:space="preserve"> </w:t>
      </w:r>
      <w:r w:rsidR="00F32B28" w:rsidRPr="00F32B28">
        <w:rPr>
          <w:rtl/>
          <w:lang w:bidi="ar-LB"/>
        </w:rPr>
        <w:t>المثال،</w:t>
      </w:r>
      <w:r w:rsidR="00F32B28">
        <w:rPr>
          <w:rtl/>
          <w:lang w:bidi="ar-LB"/>
        </w:rPr>
        <w:t xml:space="preserve"> </w:t>
      </w:r>
      <w:r w:rsidR="00F32B28" w:rsidRPr="00F32B28">
        <w:rPr>
          <w:rtl/>
          <w:lang w:bidi="ar-LB"/>
        </w:rPr>
        <w:t>بلغ</w:t>
      </w:r>
      <w:r w:rsidR="00F32B28">
        <w:rPr>
          <w:rtl/>
          <w:lang w:bidi="ar-LB"/>
        </w:rPr>
        <w:t xml:space="preserve"> </w:t>
      </w:r>
      <w:r w:rsidR="00F32B28" w:rsidRPr="00F32B28">
        <w:rPr>
          <w:rtl/>
          <w:lang w:bidi="ar-LB"/>
        </w:rPr>
        <w:t>معدل</w:t>
      </w:r>
      <w:r w:rsidR="00F32B28">
        <w:rPr>
          <w:rtl/>
          <w:lang w:bidi="ar-LB"/>
        </w:rPr>
        <w:t xml:space="preserve"> </w:t>
      </w:r>
      <w:r w:rsidR="00F32B28" w:rsidRPr="00F32B28">
        <w:rPr>
          <w:rtl/>
          <w:lang w:bidi="ar-LB"/>
        </w:rPr>
        <w:t>صرف</w:t>
      </w:r>
      <w:r w:rsidR="00F32B28">
        <w:rPr>
          <w:rtl/>
          <w:lang w:bidi="ar-SY"/>
        </w:rPr>
        <w:t xml:space="preserve"> </w:t>
      </w:r>
      <w:r w:rsidR="00F32B28" w:rsidRPr="00F32B28">
        <w:rPr>
          <w:rtl/>
          <w:lang w:bidi="ar-SY"/>
        </w:rPr>
        <w:t>الحديد</w:t>
      </w:r>
      <w:r w:rsidR="00F32B28">
        <w:rPr>
          <w:rtl/>
          <w:lang w:bidi="ar-SY"/>
        </w:rPr>
        <w:t xml:space="preserve"> </w:t>
      </w:r>
      <w:r w:rsidR="00F32B28" w:rsidRPr="00F32B28">
        <w:rPr>
          <w:rtl/>
          <w:lang w:bidi="ar-SY"/>
        </w:rPr>
        <w:t>مع</w:t>
      </w:r>
      <w:r w:rsidR="00F32B28">
        <w:rPr>
          <w:rtl/>
          <w:lang w:bidi="ar-LB"/>
        </w:rPr>
        <w:t xml:space="preserve"> </w:t>
      </w:r>
      <w:r w:rsidR="00F32B28" w:rsidRPr="00F32B28">
        <w:rPr>
          <w:rtl/>
          <w:lang w:bidi="ar-LB"/>
        </w:rPr>
        <w:t>الفولك</w:t>
      </w:r>
      <w:r w:rsidR="00F32B28">
        <w:rPr>
          <w:rtl/>
          <w:lang w:bidi="ar-LB"/>
        </w:rPr>
        <w:t xml:space="preserve"> </w:t>
      </w:r>
      <w:r w:rsidR="00F32B28" w:rsidRPr="00F32B28">
        <w:rPr>
          <w:rtl/>
          <w:lang w:bidi="ar-LB"/>
        </w:rPr>
        <w:t>أسيد</w:t>
      </w:r>
      <w:r w:rsidR="00F32B28">
        <w:rPr>
          <w:rtl/>
          <w:lang w:bidi="ar-LB"/>
        </w:rPr>
        <w:t xml:space="preserve"> </w:t>
      </w:r>
      <w:r w:rsidR="00F32B28" w:rsidRPr="00F32B28">
        <w:rPr>
          <w:rtl/>
          <w:lang w:bidi="ar-LB"/>
        </w:rPr>
        <w:t>2.9</w:t>
      </w:r>
      <w:r w:rsidR="00F32B28">
        <w:rPr>
          <w:rtl/>
          <w:lang w:bidi="ar-LB"/>
        </w:rPr>
        <w:t xml:space="preserve"> </w:t>
      </w:r>
      <w:r w:rsidR="00F32B28" w:rsidRPr="00F32B28">
        <w:rPr>
          <w:rtl/>
          <w:lang w:bidi="ar-LB"/>
        </w:rPr>
        <w:t>وحدة</w:t>
      </w:r>
      <w:r w:rsidR="00F32B28">
        <w:rPr>
          <w:rtl/>
          <w:lang w:bidi="ar-LB"/>
        </w:rPr>
        <w:t xml:space="preserve"> </w:t>
      </w:r>
      <w:r w:rsidR="00F32B28" w:rsidRPr="00F32B28">
        <w:rPr>
          <w:rtl/>
          <w:lang w:bidi="ar-LB"/>
        </w:rPr>
        <w:t>دوائية</w:t>
      </w:r>
      <w:r w:rsidR="00F32B28">
        <w:rPr>
          <w:rtl/>
          <w:lang w:bidi="ar-LB"/>
        </w:rPr>
        <w:t xml:space="preserve"> </w:t>
      </w:r>
      <w:r w:rsidR="00F32B28" w:rsidRPr="00F32B28">
        <w:rPr>
          <w:rtl/>
          <w:lang w:bidi="ar-LB"/>
        </w:rPr>
        <w:t>لكل</w:t>
      </w:r>
      <w:r w:rsidR="00F32B28">
        <w:rPr>
          <w:rtl/>
          <w:lang w:bidi="ar-LB"/>
        </w:rPr>
        <w:t xml:space="preserve"> </w:t>
      </w:r>
      <w:r w:rsidR="00F32B28" w:rsidRPr="00F32B28">
        <w:rPr>
          <w:rtl/>
          <w:lang w:bidi="ar-LB"/>
        </w:rPr>
        <w:t>سيدة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الحوامل</w:t>
      </w:r>
      <w:r w:rsidR="00F32B28">
        <w:rPr>
          <w:rtl/>
          <w:lang w:bidi="ar-LB"/>
        </w:rPr>
        <w:t xml:space="preserve"> </w:t>
      </w:r>
      <w:r w:rsidR="00F32B28" w:rsidRPr="00F32B28">
        <w:rPr>
          <w:rtl/>
          <w:lang w:bidi="ar-LB"/>
        </w:rPr>
        <w:t>المسجلات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مراكز</w:t>
      </w:r>
      <w:r w:rsidR="00F32B28">
        <w:rPr>
          <w:rtl/>
          <w:lang w:bidi="ar-LB"/>
        </w:rPr>
        <w:t xml:space="preserve"> </w:t>
      </w:r>
      <w:r w:rsidR="00F32B28" w:rsidRPr="00F32B28">
        <w:rPr>
          <w:rtl/>
          <w:lang w:bidi="ar-LB"/>
        </w:rPr>
        <w:t>الرعاية</w:t>
      </w:r>
      <w:r w:rsidR="00F32B28">
        <w:rPr>
          <w:rtl/>
          <w:lang w:bidi="ar-LB"/>
        </w:rPr>
        <w:t xml:space="preserve"> </w:t>
      </w:r>
      <w:r w:rsidR="00F32B28" w:rsidRPr="00F32B28">
        <w:rPr>
          <w:rtl/>
          <w:lang w:bidi="ar-LB"/>
        </w:rPr>
        <w:t>الصحية</w:t>
      </w:r>
      <w:r w:rsidR="00F32B28">
        <w:rPr>
          <w:rtl/>
          <w:lang w:bidi="ar-LB"/>
        </w:rPr>
        <w:t xml:space="preserve"> </w:t>
      </w:r>
      <w:r w:rsidR="00F32B28" w:rsidRPr="00F32B28">
        <w:rPr>
          <w:rtl/>
          <w:lang w:bidi="ar-LB"/>
        </w:rPr>
        <w:t>لعام</w:t>
      </w:r>
      <w:r w:rsidR="00F32B28">
        <w:rPr>
          <w:rtl/>
          <w:lang w:bidi="ar-LB"/>
        </w:rPr>
        <w:t xml:space="preserve"> </w:t>
      </w:r>
      <w:r w:rsidR="00F32B28" w:rsidRPr="00F32B28">
        <w:rPr>
          <w:rtl/>
          <w:lang w:bidi="ar-LB"/>
        </w:rPr>
        <w:t>2015.</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إن</w:t>
      </w:r>
      <w:r w:rsidR="00F32B28">
        <w:rPr>
          <w:rtl/>
          <w:lang w:bidi="ar-LB"/>
        </w:rPr>
        <w:t xml:space="preserve"> </w:t>
      </w:r>
      <w:r w:rsidR="00F32B28" w:rsidRPr="00F32B28">
        <w:rPr>
          <w:rtl/>
          <w:lang w:bidi="ar-LB"/>
        </w:rPr>
        <w:t>رعاية</w:t>
      </w:r>
      <w:r w:rsidR="00F32B28">
        <w:rPr>
          <w:rtl/>
          <w:lang w:bidi="ar-LB"/>
        </w:rPr>
        <w:t xml:space="preserve"> </w:t>
      </w:r>
      <w:r w:rsidR="00F32B28" w:rsidRPr="00F32B28">
        <w:rPr>
          <w:rtl/>
          <w:lang w:bidi="ar-LB"/>
        </w:rPr>
        <w:t>الحوامل</w:t>
      </w:r>
      <w:r w:rsidR="00F32B28">
        <w:rPr>
          <w:rtl/>
          <w:lang w:bidi="ar-LB"/>
        </w:rPr>
        <w:t xml:space="preserve"> </w:t>
      </w:r>
      <w:r w:rsidR="00F32B28" w:rsidRPr="00F32B28">
        <w:rPr>
          <w:rtl/>
          <w:lang w:bidi="ar-LB"/>
        </w:rPr>
        <w:t>والواضعات</w:t>
      </w:r>
      <w:r w:rsidR="00F32B28">
        <w:rPr>
          <w:rtl/>
          <w:lang w:bidi="ar-LB"/>
        </w:rPr>
        <w:t xml:space="preserve"> </w:t>
      </w:r>
      <w:r w:rsidR="00F32B28" w:rsidRPr="00F32B28">
        <w:rPr>
          <w:rtl/>
          <w:lang w:bidi="ar-LB"/>
        </w:rPr>
        <w:t>تمتد</w:t>
      </w:r>
      <w:r w:rsidR="00F32B28">
        <w:rPr>
          <w:rtl/>
          <w:lang w:bidi="ar-LB"/>
        </w:rPr>
        <w:t xml:space="preserve"> </w:t>
      </w:r>
      <w:r w:rsidR="00F32B28" w:rsidRPr="00F32B28">
        <w:rPr>
          <w:rtl/>
          <w:lang w:bidi="ar-LB"/>
        </w:rPr>
        <w:t>أيضاً</w:t>
      </w:r>
      <w:r w:rsidR="00F32B28">
        <w:rPr>
          <w:rtl/>
          <w:lang w:bidi="ar-LB"/>
        </w:rPr>
        <w:t xml:space="preserve"> </w:t>
      </w:r>
      <w:r w:rsidR="00F32B28" w:rsidRPr="00F32B28">
        <w:rPr>
          <w:rtl/>
          <w:lang w:bidi="ar-LB"/>
        </w:rPr>
        <w:t>لتشمل</w:t>
      </w:r>
      <w:r w:rsidR="00F32B28">
        <w:rPr>
          <w:rtl/>
          <w:lang w:bidi="ar-LB"/>
        </w:rPr>
        <w:t xml:space="preserve"> </w:t>
      </w:r>
      <w:r w:rsidR="00F32B28" w:rsidRPr="00F32B28">
        <w:rPr>
          <w:rtl/>
          <w:lang w:bidi="ar-LB"/>
        </w:rPr>
        <w:t>الزيارات</w:t>
      </w:r>
      <w:r w:rsidR="00F32B28">
        <w:rPr>
          <w:rtl/>
          <w:lang w:bidi="ar-LB"/>
        </w:rPr>
        <w:t xml:space="preserve"> </w:t>
      </w:r>
      <w:r w:rsidR="00F32B28" w:rsidRPr="00F32B28">
        <w:rPr>
          <w:rtl/>
          <w:lang w:bidi="ar-LB"/>
        </w:rPr>
        <w:t>البيتية؛</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تقوم</w:t>
      </w:r>
      <w:r w:rsidR="00F32B28">
        <w:rPr>
          <w:rtl/>
          <w:lang w:bidi="ar-LB"/>
        </w:rPr>
        <w:t xml:space="preserve"> </w:t>
      </w:r>
      <w:r w:rsidR="00F32B28" w:rsidRPr="00F32B28">
        <w:rPr>
          <w:rtl/>
          <w:lang w:bidi="ar-LB"/>
        </w:rPr>
        <w:t>القابلة</w:t>
      </w:r>
      <w:r w:rsidR="00F32B28">
        <w:rPr>
          <w:rtl/>
          <w:lang w:bidi="ar-LB"/>
        </w:rPr>
        <w:t xml:space="preserve"> </w:t>
      </w:r>
      <w:r w:rsidR="00F32B28" w:rsidRPr="00F32B28">
        <w:rPr>
          <w:rtl/>
          <w:lang w:bidi="ar-LB"/>
        </w:rPr>
        <w:t>بالزيارة</w:t>
      </w:r>
      <w:r w:rsidR="00F32B28">
        <w:rPr>
          <w:rtl/>
          <w:lang w:bidi="ar-LB"/>
        </w:rPr>
        <w:t xml:space="preserve"> </w:t>
      </w:r>
      <w:r w:rsidR="00F32B28" w:rsidRPr="00F32B28">
        <w:rPr>
          <w:rtl/>
          <w:lang w:bidi="ar-LB"/>
        </w:rPr>
        <w:t>للعائلات</w:t>
      </w:r>
      <w:r w:rsidR="00F32B28">
        <w:rPr>
          <w:rtl/>
          <w:lang w:bidi="ar-LB"/>
        </w:rPr>
        <w:t xml:space="preserve"> </w:t>
      </w:r>
      <w:r w:rsidR="00F32B28" w:rsidRPr="00F32B28">
        <w:rPr>
          <w:rtl/>
          <w:lang w:bidi="ar-LB"/>
        </w:rPr>
        <w:t>وفي</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زيارة</w:t>
      </w:r>
      <w:r w:rsidR="00F32B28">
        <w:rPr>
          <w:rtl/>
          <w:lang w:bidi="ar-LB"/>
        </w:rPr>
        <w:t xml:space="preserve"> </w:t>
      </w:r>
      <w:r w:rsidR="00F32B28" w:rsidRPr="00F32B28">
        <w:rPr>
          <w:rtl/>
          <w:lang w:bidi="ar-LB"/>
        </w:rPr>
        <w:t>تقوم</w:t>
      </w:r>
      <w:r w:rsidR="00F32B28">
        <w:rPr>
          <w:rtl/>
          <w:lang w:bidi="ar-LB"/>
        </w:rPr>
        <w:t xml:space="preserve"> </w:t>
      </w:r>
      <w:r w:rsidR="00F32B28" w:rsidRPr="00F32B28">
        <w:rPr>
          <w:rtl/>
          <w:lang w:bidi="ar-LB"/>
        </w:rPr>
        <w:t>القابلة</w:t>
      </w:r>
      <w:r w:rsidR="00F32B28">
        <w:rPr>
          <w:rtl/>
          <w:lang w:bidi="ar-LB"/>
        </w:rPr>
        <w:t xml:space="preserve"> </w:t>
      </w:r>
      <w:r w:rsidR="00F32B28" w:rsidRPr="00F32B28">
        <w:rPr>
          <w:rtl/>
          <w:lang w:bidi="ar-LB"/>
        </w:rPr>
        <w:t>بمراقبة</w:t>
      </w:r>
      <w:r w:rsidR="00F32B28">
        <w:rPr>
          <w:rtl/>
          <w:lang w:bidi="ar-LB"/>
        </w:rPr>
        <w:t xml:space="preserve"> </w:t>
      </w:r>
      <w:r w:rsidR="00F32B28" w:rsidRPr="00F32B28">
        <w:rPr>
          <w:rtl/>
          <w:lang w:bidi="ar-LB"/>
        </w:rPr>
        <w:t>النظافة</w:t>
      </w:r>
      <w:r w:rsidR="00F32B28">
        <w:rPr>
          <w:rtl/>
          <w:lang w:bidi="ar-LB"/>
        </w:rPr>
        <w:t xml:space="preserve"> </w:t>
      </w:r>
      <w:r w:rsidR="00F32B28" w:rsidRPr="00F32B28">
        <w:rPr>
          <w:rtl/>
          <w:lang w:bidi="ar-LB"/>
        </w:rPr>
        <w:t>والحالة</w:t>
      </w:r>
      <w:r w:rsidR="00F32B28">
        <w:rPr>
          <w:rtl/>
          <w:lang w:bidi="ar-LB"/>
        </w:rPr>
        <w:t xml:space="preserve"> </w:t>
      </w:r>
      <w:r w:rsidR="00F32B28" w:rsidRPr="00F32B28">
        <w:rPr>
          <w:rtl/>
          <w:lang w:bidi="ar-LB"/>
        </w:rPr>
        <w:t>الاجتماعية</w:t>
      </w:r>
      <w:r w:rsidR="00F32B28">
        <w:rPr>
          <w:rtl/>
          <w:lang w:bidi="ar-LB"/>
        </w:rPr>
        <w:t xml:space="preserve"> </w:t>
      </w:r>
      <w:r w:rsidR="00F32B28" w:rsidRPr="00F32B28">
        <w:rPr>
          <w:rtl/>
          <w:lang w:bidi="ar-LB"/>
        </w:rPr>
        <w:t>وكذلك</w:t>
      </w:r>
      <w:r w:rsidR="00F32B28">
        <w:rPr>
          <w:rtl/>
          <w:lang w:bidi="ar-LB"/>
        </w:rPr>
        <w:t xml:space="preserve"> </w:t>
      </w:r>
      <w:r w:rsidR="00F32B28" w:rsidRPr="00F32B28">
        <w:rPr>
          <w:rtl/>
          <w:lang w:bidi="ar-LB"/>
        </w:rPr>
        <w:t>التوعية</w:t>
      </w:r>
      <w:r w:rsidR="00F32B28">
        <w:rPr>
          <w:rtl/>
          <w:lang w:bidi="ar-LB"/>
        </w:rPr>
        <w:t xml:space="preserve"> </w:t>
      </w:r>
      <w:r w:rsidR="00F32B28" w:rsidRPr="00F32B28">
        <w:rPr>
          <w:rtl/>
          <w:lang w:bidi="ar-LB"/>
        </w:rPr>
        <w:t>والإرشادات</w:t>
      </w:r>
      <w:r w:rsidR="00F32B28">
        <w:rPr>
          <w:rtl/>
          <w:lang w:bidi="ar-LB"/>
        </w:rPr>
        <w:t xml:space="preserve"> </w:t>
      </w:r>
      <w:r w:rsidR="00F32B28" w:rsidRPr="00F32B28">
        <w:rPr>
          <w:rtl/>
          <w:lang w:bidi="ar-LB"/>
        </w:rPr>
        <w:t>الصحية</w:t>
      </w:r>
      <w:r w:rsidR="00F32B28">
        <w:rPr>
          <w:rtl/>
          <w:lang w:bidi="ar-LB"/>
        </w:rPr>
        <w:t xml:space="preserve"> </w:t>
      </w:r>
      <w:r w:rsidR="00F32B28" w:rsidRPr="00F32B28">
        <w:rPr>
          <w:rtl/>
          <w:lang w:bidi="ar-LB"/>
        </w:rPr>
        <w:t>حول</w:t>
      </w:r>
      <w:r w:rsidR="00F32B28">
        <w:rPr>
          <w:rtl/>
          <w:lang w:bidi="ar-LB"/>
        </w:rPr>
        <w:t xml:space="preserve"> </w:t>
      </w:r>
      <w:r w:rsidR="00F32B28" w:rsidRPr="00F32B28">
        <w:rPr>
          <w:rtl/>
          <w:lang w:bidi="ar-LB"/>
        </w:rPr>
        <w:t>التغذية</w:t>
      </w:r>
      <w:r w:rsidR="00F32B28">
        <w:rPr>
          <w:rtl/>
          <w:lang w:bidi="ar-LB"/>
        </w:rPr>
        <w:t xml:space="preserve"> </w:t>
      </w:r>
      <w:r w:rsidR="00F32B28" w:rsidRPr="00F32B28">
        <w:rPr>
          <w:rtl/>
          <w:lang w:bidi="ar-LB"/>
        </w:rPr>
        <w:t>السليمة</w:t>
      </w:r>
      <w:r w:rsidR="00F32B28">
        <w:rPr>
          <w:rtl/>
          <w:lang w:bidi="ar-LB"/>
        </w:rPr>
        <w:t xml:space="preserve"> </w:t>
      </w:r>
      <w:r w:rsidR="00F32B28" w:rsidRPr="00F32B28">
        <w:rPr>
          <w:rtl/>
          <w:lang w:bidi="ar-LB"/>
        </w:rPr>
        <w:t>وطرق</w:t>
      </w:r>
      <w:r w:rsidR="00F32B28">
        <w:rPr>
          <w:rtl/>
          <w:lang w:bidi="ar-LB"/>
        </w:rPr>
        <w:t xml:space="preserve"> </w:t>
      </w:r>
      <w:r w:rsidR="00F32B28" w:rsidRPr="00F32B28">
        <w:rPr>
          <w:rtl/>
          <w:lang w:bidi="ar-LB"/>
        </w:rPr>
        <w:t>العناية</w:t>
      </w:r>
      <w:r w:rsidR="00F32B28">
        <w:rPr>
          <w:rtl/>
          <w:lang w:bidi="ar-LB"/>
        </w:rPr>
        <w:t xml:space="preserve"> </w:t>
      </w:r>
      <w:r w:rsidR="00F32B28" w:rsidRPr="00F32B28">
        <w:rPr>
          <w:rtl/>
          <w:lang w:bidi="ar-LB"/>
        </w:rPr>
        <w:t>بالأم</w:t>
      </w:r>
      <w:r w:rsidR="00F32B28">
        <w:rPr>
          <w:rtl/>
          <w:lang w:bidi="ar-LB"/>
        </w:rPr>
        <w:t xml:space="preserve"> </w:t>
      </w:r>
      <w:r w:rsidR="00F32B28" w:rsidRPr="00F32B28">
        <w:rPr>
          <w:rtl/>
          <w:lang w:bidi="ar-LB"/>
        </w:rPr>
        <w:t>والمولود.</w:t>
      </w:r>
      <w:r w:rsidR="00F32B28">
        <w:rPr>
          <w:rtl/>
          <w:lang w:bidi="ar-LB"/>
        </w:rPr>
        <w:t xml:space="preserve"> </w:t>
      </w:r>
    </w:p>
    <w:p w:rsidR="0059300D" w:rsidRPr="0059300D" w:rsidRDefault="0059300D" w:rsidP="0059300D">
      <w:pPr>
        <w:pStyle w:val="SingleTxt"/>
        <w:spacing w:after="0" w:line="120" w:lineRule="exact"/>
        <w:rPr>
          <w:b/>
          <w:bCs/>
          <w:sz w:val="10"/>
          <w:rtl/>
          <w:lang w:bidi="ar-LB"/>
        </w:rPr>
      </w:pPr>
    </w:p>
    <w:p w:rsidR="00F32B28" w:rsidRPr="00F32B28" w:rsidRDefault="0059300D" w:rsidP="005930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lang w:bidi="ar-LB"/>
        </w:rPr>
        <w:tab/>
      </w:r>
      <w:r>
        <w:rPr>
          <w:rFonts w:hint="cs"/>
          <w:rtl/>
          <w:lang w:bidi="ar-LB"/>
        </w:rPr>
        <w:tab/>
      </w:r>
      <w:r w:rsidR="00F32B28" w:rsidRPr="00F32B28">
        <w:rPr>
          <w:rtl/>
          <w:lang w:bidi="ar-LB"/>
        </w:rPr>
        <w:t>الخصوبة</w:t>
      </w:r>
    </w:p>
    <w:p w:rsidR="00F32B28" w:rsidRPr="00F32B28" w:rsidRDefault="00AF1BC1" w:rsidP="00AF1BC1">
      <w:pPr>
        <w:pStyle w:val="SingleTxt"/>
        <w:rPr>
          <w:b/>
          <w:bCs/>
        </w:rPr>
      </w:pPr>
      <w:r>
        <w:rPr>
          <w:rFonts w:hint="cs"/>
          <w:rtl/>
        </w:rPr>
        <w:t xml:space="preserve">246 - </w:t>
      </w:r>
      <w:r w:rsidR="00F32B28" w:rsidRPr="00F32B28">
        <w:rPr>
          <w:rtl/>
        </w:rPr>
        <w:t>انخفض</w:t>
      </w:r>
      <w:r w:rsidR="00F32B28">
        <w:rPr>
          <w:rtl/>
        </w:rPr>
        <w:t xml:space="preserve"> </w:t>
      </w:r>
      <w:r w:rsidR="00F32B28" w:rsidRPr="00F32B28">
        <w:rPr>
          <w:rtl/>
        </w:rPr>
        <w:t>معدل</w:t>
      </w:r>
      <w:r w:rsidR="00F32B28">
        <w:rPr>
          <w:rtl/>
        </w:rPr>
        <w:t xml:space="preserve"> </w:t>
      </w:r>
      <w:r w:rsidR="00F32B28" w:rsidRPr="00F32B28">
        <w:rPr>
          <w:rtl/>
        </w:rPr>
        <w:t>الخصوبة</w:t>
      </w:r>
      <w:r w:rsidR="00F32B28">
        <w:rPr>
          <w:rtl/>
        </w:rPr>
        <w:t xml:space="preserve"> </w:t>
      </w:r>
      <w:r w:rsidR="00F32B28" w:rsidRPr="00F32B28">
        <w:rPr>
          <w:rtl/>
        </w:rPr>
        <w:t>الكلي</w:t>
      </w:r>
      <w:r w:rsidR="00F32B28">
        <w:rPr>
          <w:rtl/>
        </w:rPr>
        <w:t xml:space="preserve"> </w:t>
      </w:r>
      <w:r w:rsidR="00F32B28" w:rsidRPr="00F32B28">
        <w:rPr>
          <w:rtl/>
        </w:rPr>
        <w:t>في</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في</w:t>
      </w:r>
      <w:r w:rsidR="00F32B28">
        <w:rPr>
          <w:rtl/>
        </w:rPr>
        <w:t xml:space="preserve"> </w:t>
      </w:r>
      <w:r w:rsidR="00F32B28" w:rsidRPr="00F32B28">
        <w:rPr>
          <w:rtl/>
          <w:lang w:bidi="ar-SY"/>
        </w:rPr>
        <w:t>عام</w:t>
      </w:r>
      <w:r w:rsidR="00F32B28">
        <w:rPr>
          <w:rtl/>
          <w:lang w:bidi="ar-SY"/>
        </w:rPr>
        <w:t xml:space="preserve"> </w:t>
      </w:r>
      <w:r w:rsidR="00F32B28" w:rsidRPr="00F32B28">
        <w:rPr>
          <w:rtl/>
          <w:lang w:bidi="ar-SY"/>
        </w:rPr>
        <w:t>2014</w:t>
      </w:r>
      <w:r w:rsidR="009F4D72">
        <w:rPr>
          <w:rFonts w:hint="cs"/>
          <w:rtl/>
          <w:lang w:bidi="ar-SY"/>
        </w:rPr>
        <w:t xml:space="preserve"> </w:t>
      </w:r>
      <w:r w:rsidR="00F32B28" w:rsidRPr="00F32B28">
        <w:rPr>
          <w:rtl/>
        </w:rPr>
        <w:t>إلى</w:t>
      </w:r>
      <w:r w:rsidR="00F32B28">
        <w:rPr>
          <w:rtl/>
        </w:rPr>
        <w:t xml:space="preserve"> </w:t>
      </w:r>
      <w:r w:rsidR="00F32B28" w:rsidRPr="00F32B28">
        <w:rPr>
          <w:rtl/>
        </w:rPr>
        <w:t>(4.1)</w:t>
      </w:r>
      <w:r w:rsidR="00F32B28">
        <w:rPr>
          <w:rtl/>
        </w:rPr>
        <w:t xml:space="preserve"> </w:t>
      </w:r>
      <w:r w:rsidR="00F32B28" w:rsidRPr="00F32B28">
        <w:rPr>
          <w:rtl/>
        </w:rPr>
        <w:t>مولود</w:t>
      </w:r>
      <w:r w:rsidR="00F32B28">
        <w:rPr>
          <w:rtl/>
        </w:rPr>
        <w:t xml:space="preserve"> </w:t>
      </w:r>
      <w:r w:rsidR="00F32B28" w:rsidRPr="00F32B28">
        <w:rPr>
          <w:rtl/>
        </w:rPr>
        <w:t>لكل</w:t>
      </w:r>
      <w:r w:rsidR="00F32B28">
        <w:rPr>
          <w:rtl/>
        </w:rPr>
        <w:t xml:space="preserve"> </w:t>
      </w:r>
      <w:r w:rsidR="00F32B28" w:rsidRPr="00F32B28">
        <w:rPr>
          <w:rtl/>
        </w:rPr>
        <w:t>امرأة</w:t>
      </w:r>
      <w:r w:rsidR="00F32B28">
        <w:rPr>
          <w:rtl/>
        </w:rPr>
        <w:t xml:space="preserve"> </w:t>
      </w:r>
      <w:r w:rsidR="00F32B28" w:rsidRPr="00F32B28">
        <w:rPr>
          <w:rtl/>
        </w:rPr>
        <w:t>(3.7</w:t>
      </w:r>
      <w:r w:rsidR="00F32B28">
        <w:rPr>
          <w:rtl/>
        </w:rPr>
        <w:t xml:space="preserve"> </w:t>
      </w:r>
      <w:r w:rsidR="00F32B28" w:rsidRPr="00F32B28">
        <w:rPr>
          <w:rtl/>
        </w:rPr>
        <w:t>مولود</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و</w:t>
      </w:r>
      <w:r w:rsidR="00407D55">
        <w:rPr>
          <w:rFonts w:hint="cs"/>
          <w:rtl/>
        </w:rPr>
        <w:t xml:space="preserve"> </w:t>
      </w:r>
      <w:r w:rsidR="00F32B28" w:rsidRPr="00F32B28">
        <w:rPr>
          <w:rtl/>
        </w:rPr>
        <w:t>4.5</w:t>
      </w:r>
      <w:r w:rsidR="00F32B28">
        <w:rPr>
          <w:rtl/>
        </w:rPr>
        <w:t xml:space="preserve"> </w:t>
      </w:r>
      <w:r w:rsidR="00F32B28" w:rsidRPr="00F32B28">
        <w:rPr>
          <w:rtl/>
        </w:rPr>
        <w:t>مولود</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مقارنة</w:t>
      </w:r>
      <w:r w:rsidR="00F32B28">
        <w:rPr>
          <w:rtl/>
        </w:rPr>
        <w:t xml:space="preserve"> </w:t>
      </w:r>
      <w:r w:rsidR="00F32B28" w:rsidRPr="00F32B28">
        <w:rPr>
          <w:rtl/>
        </w:rPr>
        <w:t>مع</w:t>
      </w:r>
      <w:r w:rsidR="00F32B28">
        <w:rPr>
          <w:rtl/>
        </w:rPr>
        <w:t xml:space="preserve"> </w:t>
      </w:r>
      <w:r w:rsidR="00F32B28" w:rsidRPr="00F32B28">
        <w:rPr>
          <w:rtl/>
        </w:rPr>
        <w:t>6.0</w:t>
      </w:r>
      <w:r w:rsidR="00F32B28">
        <w:rPr>
          <w:rtl/>
        </w:rPr>
        <w:t xml:space="preserve"> </w:t>
      </w:r>
      <w:r w:rsidR="00F32B28" w:rsidRPr="00F32B28">
        <w:rPr>
          <w:rtl/>
        </w:rPr>
        <w:t>مواليد</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1997.</w:t>
      </w:r>
    </w:p>
    <w:p w:rsidR="00AF1BC1" w:rsidRPr="00AF1BC1" w:rsidRDefault="00AF1BC1" w:rsidP="00AF1BC1">
      <w:pPr>
        <w:pStyle w:val="SingleTxt"/>
        <w:spacing w:after="0" w:line="120" w:lineRule="exact"/>
        <w:rPr>
          <w:b/>
          <w:bCs/>
          <w:sz w:val="10"/>
          <w:rtl/>
          <w:lang w:bidi="ar-LB"/>
        </w:rPr>
      </w:pPr>
    </w:p>
    <w:p w:rsidR="00F32B28" w:rsidRPr="00F32B28" w:rsidRDefault="00F32B28" w:rsidP="00F32B28">
      <w:pPr>
        <w:pStyle w:val="SingleTxt"/>
        <w:rPr>
          <w:b/>
          <w:bCs/>
          <w:rtl/>
          <w:lang w:bidi="ar-LB"/>
        </w:rPr>
      </w:pPr>
      <w:r w:rsidRPr="00F32B28">
        <w:rPr>
          <w:b/>
          <w:bCs/>
          <w:rtl/>
          <w:lang w:bidi="ar-LB"/>
        </w:rPr>
        <w:t>تنظيم</w:t>
      </w:r>
      <w:r>
        <w:rPr>
          <w:b/>
          <w:bCs/>
          <w:rtl/>
          <w:lang w:bidi="ar-LB"/>
        </w:rPr>
        <w:t xml:space="preserve"> </w:t>
      </w:r>
      <w:r w:rsidRPr="00F32B28">
        <w:rPr>
          <w:b/>
          <w:bCs/>
          <w:rtl/>
          <w:lang w:bidi="ar-LB"/>
        </w:rPr>
        <w:t>الأسرة</w:t>
      </w:r>
    </w:p>
    <w:p w:rsidR="00F32B28" w:rsidRPr="00F32B28" w:rsidRDefault="00AF1BC1" w:rsidP="009F4D72">
      <w:pPr>
        <w:pStyle w:val="SingleTxt"/>
        <w:rPr>
          <w:rtl/>
          <w:lang w:bidi="ar-LB"/>
        </w:rPr>
      </w:pPr>
      <w:r>
        <w:rPr>
          <w:rFonts w:hint="cs"/>
          <w:rtl/>
          <w:lang w:bidi="ar-LB"/>
        </w:rPr>
        <w:t xml:space="preserve">247 - </w:t>
      </w:r>
      <w:r w:rsidR="00F32B28" w:rsidRPr="00F32B28">
        <w:rPr>
          <w:rtl/>
          <w:lang w:bidi="ar-LB"/>
        </w:rPr>
        <w:t>أدخلت</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خدمة</w:t>
      </w:r>
      <w:r w:rsidR="00F32B28">
        <w:rPr>
          <w:rtl/>
          <w:lang w:bidi="ar-LB"/>
        </w:rPr>
        <w:t xml:space="preserve"> </w:t>
      </w:r>
      <w:r w:rsidR="00F32B28" w:rsidRPr="00F32B28">
        <w:rPr>
          <w:rtl/>
          <w:lang w:bidi="ar-LB"/>
        </w:rPr>
        <w:t>تنظيم</w:t>
      </w:r>
      <w:r w:rsidR="00F32B28">
        <w:rPr>
          <w:rtl/>
          <w:lang w:bidi="ar-LB"/>
        </w:rPr>
        <w:t xml:space="preserve"> </w:t>
      </w:r>
      <w:r w:rsidR="00F32B28" w:rsidRPr="00F32B28">
        <w:rPr>
          <w:rtl/>
          <w:lang w:bidi="ar-LB"/>
        </w:rPr>
        <w:t>الأسرة</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مراكز</w:t>
      </w:r>
      <w:r w:rsidR="00F32B28">
        <w:rPr>
          <w:rtl/>
          <w:lang w:bidi="ar-LB"/>
        </w:rPr>
        <w:t xml:space="preserve"> </w:t>
      </w:r>
      <w:r w:rsidR="00F32B28" w:rsidRPr="00F32B28">
        <w:rPr>
          <w:rtl/>
          <w:lang w:bidi="ar-LB"/>
        </w:rPr>
        <w:t>الرعاية</w:t>
      </w:r>
      <w:r w:rsidR="00F32B28">
        <w:rPr>
          <w:rtl/>
          <w:lang w:bidi="ar-LB"/>
        </w:rPr>
        <w:t xml:space="preserve"> </w:t>
      </w:r>
      <w:r w:rsidR="00F32B28" w:rsidRPr="00F32B28">
        <w:rPr>
          <w:rtl/>
          <w:lang w:bidi="ar-LB"/>
        </w:rPr>
        <w:t>الصحية</w:t>
      </w:r>
      <w:r w:rsidR="00F32B28">
        <w:rPr>
          <w:rtl/>
          <w:lang w:bidi="ar-LB"/>
        </w:rPr>
        <w:t xml:space="preserve"> </w:t>
      </w:r>
      <w:r w:rsidR="00F32B28" w:rsidRPr="00F32B28">
        <w:rPr>
          <w:rtl/>
          <w:lang w:bidi="ar-LB"/>
        </w:rPr>
        <w:t>الأولية</w:t>
      </w:r>
      <w:r w:rsidR="00F32B28">
        <w:rPr>
          <w:rtl/>
          <w:lang w:bidi="ar-LB"/>
        </w:rPr>
        <w:t xml:space="preserve"> </w:t>
      </w:r>
      <w:r w:rsidR="00F32B28" w:rsidRPr="00F32B28">
        <w:rPr>
          <w:rtl/>
          <w:lang w:bidi="ar-LB"/>
        </w:rPr>
        <w:t>منذ</w:t>
      </w:r>
      <w:r w:rsidR="00F32B28">
        <w:rPr>
          <w:rtl/>
          <w:lang w:bidi="ar-LB"/>
        </w:rPr>
        <w:t xml:space="preserve"> </w:t>
      </w:r>
      <w:r w:rsidR="00F32B28" w:rsidRPr="00F32B28">
        <w:rPr>
          <w:rtl/>
          <w:lang w:bidi="ar-LB"/>
        </w:rPr>
        <w:t>عام</w:t>
      </w:r>
      <w:r w:rsidR="009F4D72">
        <w:rPr>
          <w:rFonts w:hint="cs"/>
          <w:rtl/>
          <w:lang w:bidi="ar-LB"/>
        </w:rPr>
        <w:br/>
      </w:r>
      <w:r w:rsidR="00F32B28" w:rsidRPr="00F32B28">
        <w:rPr>
          <w:rtl/>
          <w:lang w:bidi="ar-LB"/>
        </w:rPr>
        <w:t>1996-1997</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تقدم</w:t>
      </w:r>
      <w:r w:rsidR="00F32B28">
        <w:rPr>
          <w:rtl/>
          <w:lang w:bidi="ar-LB"/>
        </w:rPr>
        <w:t xml:space="preserve"> </w:t>
      </w:r>
      <w:r w:rsidR="00F32B28" w:rsidRPr="00F32B28">
        <w:rPr>
          <w:rtl/>
          <w:lang w:bidi="ar-LB"/>
        </w:rPr>
        <w:t>وسائل</w:t>
      </w:r>
      <w:r w:rsidR="00F32B28">
        <w:rPr>
          <w:rtl/>
          <w:lang w:bidi="ar-LB"/>
        </w:rPr>
        <w:t xml:space="preserve"> </w:t>
      </w:r>
      <w:r w:rsidR="00F32B28" w:rsidRPr="00F32B28">
        <w:rPr>
          <w:rtl/>
          <w:lang w:bidi="ar-LB"/>
        </w:rPr>
        <w:t>تنظيم</w:t>
      </w:r>
      <w:r w:rsidR="00F32B28">
        <w:rPr>
          <w:rtl/>
          <w:lang w:bidi="ar-LB"/>
        </w:rPr>
        <w:t xml:space="preserve"> </w:t>
      </w:r>
      <w:r w:rsidR="00F32B28" w:rsidRPr="00F32B28">
        <w:rPr>
          <w:rtl/>
          <w:lang w:bidi="ar-LB"/>
        </w:rPr>
        <w:t>الأسرة</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المنتفعات</w:t>
      </w:r>
      <w:r w:rsidR="00F32B28">
        <w:rPr>
          <w:rtl/>
          <w:lang w:bidi="ar-LB"/>
        </w:rPr>
        <w:t xml:space="preserve"> </w:t>
      </w:r>
      <w:r w:rsidR="00F32B28" w:rsidRPr="00F32B28">
        <w:rPr>
          <w:rtl/>
          <w:lang w:bidi="ar-LB"/>
        </w:rPr>
        <w:t>برسوم</w:t>
      </w:r>
      <w:r w:rsidR="00F32B28">
        <w:rPr>
          <w:rtl/>
          <w:lang w:bidi="ar-LB"/>
        </w:rPr>
        <w:t xml:space="preserve"> </w:t>
      </w:r>
      <w:r w:rsidR="00F32B28" w:rsidRPr="00F32B28">
        <w:rPr>
          <w:rtl/>
          <w:lang w:bidi="ar-LB"/>
        </w:rPr>
        <w:t>رمزية.</w:t>
      </w:r>
      <w:r w:rsidR="00F32B28">
        <w:rPr>
          <w:rtl/>
          <w:lang w:bidi="ar-LB"/>
        </w:rPr>
        <w:t xml:space="preserve"> </w:t>
      </w:r>
      <w:r w:rsidR="00F32B28" w:rsidRPr="00F32B28">
        <w:rPr>
          <w:rtl/>
          <w:lang w:bidi="ar-LB"/>
        </w:rPr>
        <w:t>وتقدم</w:t>
      </w:r>
      <w:r w:rsidR="00F32B28">
        <w:rPr>
          <w:rtl/>
          <w:lang w:bidi="ar-LB"/>
        </w:rPr>
        <w:t xml:space="preserve"> </w:t>
      </w:r>
      <w:r w:rsidR="00F32B28" w:rsidRPr="00F32B28">
        <w:rPr>
          <w:rtl/>
          <w:lang w:bidi="ar-LB"/>
        </w:rPr>
        <w:t>خدمات</w:t>
      </w:r>
      <w:r w:rsidR="00F32B28">
        <w:rPr>
          <w:rtl/>
          <w:lang w:bidi="ar-LB"/>
        </w:rPr>
        <w:t xml:space="preserve"> </w:t>
      </w:r>
      <w:r w:rsidR="00F32B28" w:rsidRPr="00F32B28">
        <w:rPr>
          <w:rtl/>
          <w:lang w:bidi="ar-LB"/>
        </w:rPr>
        <w:t>تنظيم</w:t>
      </w:r>
      <w:r w:rsidR="00F32B28">
        <w:rPr>
          <w:rtl/>
          <w:lang w:bidi="ar-LB"/>
        </w:rPr>
        <w:t xml:space="preserve"> </w:t>
      </w:r>
      <w:r w:rsidR="00F32B28" w:rsidRPr="00F32B28">
        <w:rPr>
          <w:rtl/>
          <w:lang w:bidi="ar-LB"/>
        </w:rPr>
        <w:t>الأسرة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306</w:t>
      </w:r>
      <w:r w:rsidR="00F32B28">
        <w:rPr>
          <w:rtl/>
          <w:lang w:bidi="ar-LB"/>
        </w:rPr>
        <w:t xml:space="preserve"> </w:t>
      </w:r>
      <w:r w:rsidR="00F32B28" w:rsidRPr="00F32B28">
        <w:rPr>
          <w:rtl/>
          <w:lang w:bidi="ar-LB"/>
        </w:rPr>
        <w:t>مركز</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وبلغ</w:t>
      </w:r>
      <w:r w:rsidR="00F32B28">
        <w:rPr>
          <w:rtl/>
          <w:lang w:bidi="ar-LB"/>
        </w:rPr>
        <w:t xml:space="preserve"> </w:t>
      </w:r>
      <w:r w:rsidR="00F32B28" w:rsidRPr="00F32B28">
        <w:rPr>
          <w:rtl/>
          <w:lang w:bidi="ar-LB"/>
        </w:rPr>
        <w:t>العدد</w:t>
      </w:r>
      <w:r w:rsidR="00F32B28">
        <w:rPr>
          <w:rtl/>
          <w:lang w:bidi="ar-LB"/>
        </w:rPr>
        <w:t xml:space="preserve"> </w:t>
      </w:r>
      <w:r w:rsidR="00F32B28" w:rsidRPr="00F32B28">
        <w:rPr>
          <w:rtl/>
          <w:lang w:bidi="ar-LB"/>
        </w:rPr>
        <w:t>الإجمالي</w:t>
      </w:r>
      <w:r w:rsidR="00F32B28">
        <w:rPr>
          <w:rtl/>
          <w:lang w:bidi="ar-LB"/>
        </w:rPr>
        <w:t xml:space="preserve"> </w:t>
      </w:r>
      <w:r w:rsidR="00F32B28" w:rsidRPr="00F32B28">
        <w:rPr>
          <w:rtl/>
          <w:lang w:bidi="ar-LB"/>
        </w:rPr>
        <w:t>للزيارات</w:t>
      </w:r>
      <w:r w:rsidR="00F32B28">
        <w:rPr>
          <w:rtl/>
          <w:lang w:bidi="ar-LB"/>
        </w:rPr>
        <w:t xml:space="preserve"> </w:t>
      </w:r>
      <w:r w:rsidR="00F32B28" w:rsidRPr="00F32B28">
        <w:rPr>
          <w:rtl/>
          <w:lang w:bidi="ar-LB"/>
        </w:rPr>
        <w:t>لمراكز</w:t>
      </w:r>
      <w:r w:rsidR="00F32B28">
        <w:rPr>
          <w:rtl/>
          <w:lang w:bidi="ar-LB"/>
        </w:rPr>
        <w:t xml:space="preserve"> </w:t>
      </w:r>
      <w:r w:rsidR="00F32B28" w:rsidRPr="00F32B28">
        <w:rPr>
          <w:rtl/>
          <w:lang w:bidi="ar-LB"/>
        </w:rPr>
        <w:t>تنظيم</w:t>
      </w:r>
      <w:r w:rsidR="00F32B28">
        <w:rPr>
          <w:rtl/>
          <w:lang w:bidi="ar-LB"/>
        </w:rPr>
        <w:t xml:space="preserve"> </w:t>
      </w:r>
      <w:r w:rsidR="00F32B28" w:rsidRPr="00F32B28">
        <w:rPr>
          <w:rtl/>
          <w:lang w:bidi="ar-LB"/>
        </w:rPr>
        <w:t>الأسرة</w:t>
      </w:r>
      <w:r w:rsidR="00F32B28">
        <w:rPr>
          <w:rtl/>
          <w:lang w:bidi="ar-LB"/>
        </w:rPr>
        <w:t xml:space="preserve"> </w:t>
      </w:r>
      <w:r w:rsidR="00F32B28" w:rsidRPr="00F32B28">
        <w:rPr>
          <w:rtl/>
          <w:lang w:bidi="ar-LB"/>
        </w:rPr>
        <w:t>خلال</w:t>
      </w:r>
      <w:r w:rsidR="00F32B28">
        <w:rPr>
          <w:rtl/>
          <w:lang w:bidi="ar-LB"/>
        </w:rPr>
        <w:t xml:space="preserve"> </w:t>
      </w:r>
      <w:r w:rsidR="00F32B28" w:rsidRPr="00F32B28">
        <w:rPr>
          <w:rtl/>
          <w:lang w:bidi="ar-LB"/>
        </w:rPr>
        <w:t>العام</w:t>
      </w:r>
      <w:r w:rsidR="00F32B28">
        <w:rPr>
          <w:rtl/>
          <w:lang w:bidi="ar-LB"/>
        </w:rPr>
        <w:t xml:space="preserve"> </w:t>
      </w:r>
      <w:r w:rsidR="009E20D9">
        <w:rPr>
          <w:rFonts w:hint="cs"/>
          <w:rtl/>
        </w:rPr>
        <w:t xml:space="preserve">2015 </w:t>
      </w:r>
      <w:r w:rsidR="00F32B28" w:rsidRPr="00F32B28">
        <w:rPr>
          <w:rtl/>
          <w:lang w:bidi="ar-LB"/>
        </w:rPr>
        <w:t>لغايات</w:t>
      </w:r>
      <w:r w:rsidR="00F32B28">
        <w:rPr>
          <w:rtl/>
          <w:lang w:bidi="ar-LB"/>
        </w:rPr>
        <w:t xml:space="preserve"> </w:t>
      </w:r>
      <w:r w:rsidR="00F32B28" w:rsidRPr="00F32B28">
        <w:rPr>
          <w:rtl/>
          <w:lang w:bidi="ar-LB"/>
        </w:rPr>
        <w:t>الاستفادة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خدمات</w:t>
      </w:r>
      <w:r w:rsidR="00F32B28">
        <w:rPr>
          <w:rtl/>
          <w:lang w:bidi="ar-LB"/>
        </w:rPr>
        <w:t xml:space="preserve"> </w:t>
      </w:r>
      <w:r w:rsidR="00F32B28" w:rsidRPr="00F32B28">
        <w:rPr>
          <w:rtl/>
          <w:lang w:bidi="ar-LB"/>
        </w:rPr>
        <w:t>تنظيم</w:t>
      </w:r>
      <w:r w:rsidR="00F32B28">
        <w:rPr>
          <w:rtl/>
          <w:lang w:bidi="ar-LB"/>
        </w:rPr>
        <w:t xml:space="preserve"> </w:t>
      </w:r>
      <w:r w:rsidR="00F32B28" w:rsidRPr="00F32B28">
        <w:rPr>
          <w:rtl/>
          <w:lang w:bidi="ar-LB"/>
        </w:rPr>
        <w:t>الأسرة</w:t>
      </w:r>
      <w:r w:rsidR="00F32B28">
        <w:rPr>
          <w:rtl/>
          <w:lang w:bidi="ar-LB"/>
        </w:rPr>
        <w:t xml:space="preserve"> </w:t>
      </w:r>
      <w:r w:rsidR="00F32B28" w:rsidRPr="00F32B28">
        <w:rPr>
          <w:rtl/>
          <w:lang w:bidi="ar-LB"/>
        </w:rPr>
        <w:t>المختلفة</w:t>
      </w:r>
      <w:r w:rsidR="00F32B28">
        <w:rPr>
          <w:rtl/>
          <w:lang w:bidi="ar-LB"/>
        </w:rPr>
        <w:t xml:space="preserve"> </w:t>
      </w:r>
      <w:r w:rsidR="009F4D72">
        <w:rPr>
          <w:rFonts w:hint="cs"/>
          <w:rtl/>
          <w:lang w:bidi="ar-LB"/>
        </w:rPr>
        <w:t xml:space="preserve">115 82 </w:t>
      </w:r>
      <w:r w:rsidR="00F32B28" w:rsidRPr="00F32B28">
        <w:rPr>
          <w:rtl/>
          <w:lang w:bidi="ar-LB"/>
        </w:rPr>
        <w:t>زيارة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الضفة</w:t>
      </w:r>
      <w:r w:rsidR="00F32B28">
        <w:rPr>
          <w:rtl/>
          <w:lang w:bidi="ar-LB"/>
        </w:rPr>
        <w:t xml:space="preserve"> </w:t>
      </w:r>
      <w:r w:rsidR="00F32B28" w:rsidRPr="00F32B28">
        <w:rPr>
          <w:rtl/>
          <w:lang w:bidi="ar-LB"/>
        </w:rPr>
        <w:t>الغربية.</w:t>
      </w:r>
      <w:r w:rsidR="00F32B28">
        <w:rPr>
          <w:rtl/>
          <w:lang w:bidi="ar-LB"/>
        </w:rPr>
        <w:t xml:space="preserve"> </w:t>
      </w:r>
      <w:r w:rsidR="00F32B28" w:rsidRPr="00F32B28">
        <w:rPr>
          <w:rtl/>
          <w:lang w:bidi="ar-LB"/>
        </w:rPr>
        <w:t>وشكلت</w:t>
      </w:r>
      <w:r w:rsidR="00F32B28">
        <w:rPr>
          <w:rtl/>
          <w:lang w:bidi="ar-LB"/>
        </w:rPr>
        <w:t xml:space="preserve"> </w:t>
      </w:r>
      <w:r w:rsidR="00F32B28" w:rsidRPr="00F32B28">
        <w:rPr>
          <w:rtl/>
          <w:lang w:bidi="ar-LB"/>
        </w:rPr>
        <w:t>وسيلة</w:t>
      </w:r>
      <w:r w:rsidR="00F32B28">
        <w:rPr>
          <w:rtl/>
          <w:lang w:bidi="ar-LB"/>
        </w:rPr>
        <w:t xml:space="preserve"> </w:t>
      </w:r>
      <w:r w:rsidR="00F32B28" w:rsidRPr="00F32B28">
        <w:rPr>
          <w:rtl/>
          <w:lang w:bidi="ar-LB"/>
        </w:rPr>
        <w:t>الحبوب</w:t>
      </w:r>
      <w:r w:rsidR="00F32B28">
        <w:rPr>
          <w:rtl/>
          <w:lang w:bidi="ar-LB"/>
        </w:rPr>
        <w:t xml:space="preserve"> </w:t>
      </w:r>
      <w:r w:rsidR="00F32B28" w:rsidRPr="00F32B28">
        <w:rPr>
          <w:rtl/>
          <w:lang w:bidi="ar-LB"/>
        </w:rPr>
        <w:t>أعلى</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الاستخدام،</w:t>
      </w:r>
      <w:r w:rsidR="00715E79">
        <w:rPr>
          <w:rFonts w:hint="cs"/>
          <w:rtl/>
          <w:lang w:bidi="ar-LB"/>
        </w:rPr>
        <w:t xml:space="preserve"> </w:t>
      </w:r>
      <w:r w:rsidR="00F32B28" w:rsidRPr="00F32B28">
        <w:rPr>
          <w:rtl/>
          <w:lang w:bidi="ar-LB"/>
        </w:rPr>
        <w:t>ومن</w:t>
      </w:r>
      <w:r w:rsidR="00F32B28">
        <w:rPr>
          <w:rtl/>
          <w:lang w:bidi="ar-LB"/>
        </w:rPr>
        <w:t xml:space="preserve"> </w:t>
      </w:r>
      <w:r w:rsidR="00F32B28" w:rsidRPr="00F32B28">
        <w:rPr>
          <w:rtl/>
          <w:lang w:bidi="ar-LB"/>
        </w:rPr>
        <w:t>ثم</w:t>
      </w:r>
      <w:r w:rsidR="00715E79">
        <w:rPr>
          <w:rFonts w:hint="cs"/>
          <w:rtl/>
          <w:lang w:bidi="ar-LB"/>
        </w:rPr>
        <w:t xml:space="preserve"> </w:t>
      </w:r>
      <w:r w:rsidR="00F32B28" w:rsidRPr="00F32B28">
        <w:rPr>
          <w:rtl/>
          <w:lang w:bidi="ar-LB"/>
        </w:rPr>
        <w:t>الأكياس</w:t>
      </w:r>
      <w:r w:rsidR="00F32B28">
        <w:rPr>
          <w:rtl/>
          <w:lang w:bidi="ar-LB"/>
        </w:rPr>
        <w:t xml:space="preserve"> </w:t>
      </w:r>
      <w:r w:rsidR="00F32B28" w:rsidRPr="00F32B28">
        <w:rPr>
          <w:rtl/>
          <w:lang w:bidi="ar-LB"/>
        </w:rPr>
        <w:t>مطاطية،</w:t>
      </w:r>
      <w:r w:rsidR="00F32B28">
        <w:rPr>
          <w:rtl/>
          <w:lang w:bidi="ar-LB"/>
        </w:rPr>
        <w:t xml:space="preserve"> </w:t>
      </w:r>
      <w:r w:rsidR="00F32B28" w:rsidRPr="00F32B28">
        <w:rPr>
          <w:rtl/>
          <w:lang w:bidi="ar-LB"/>
        </w:rPr>
        <w:t>ومن</w:t>
      </w:r>
      <w:r w:rsidR="00F32B28">
        <w:rPr>
          <w:rtl/>
          <w:lang w:bidi="ar-LB"/>
        </w:rPr>
        <w:t xml:space="preserve"> </w:t>
      </w:r>
      <w:r w:rsidR="00F32B28" w:rsidRPr="00F32B28">
        <w:rPr>
          <w:rtl/>
          <w:lang w:bidi="ar-LB"/>
        </w:rPr>
        <w:t>ثم</w:t>
      </w:r>
      <w:r w:rsidR="00F32B28">
        <w:rPr>
          <w:rtl/>
          <w:lang w:bidi="ar-LB"/>
        </w:rPr>
        <w:t xml:space="preserve"> </w:t>
      </w:r>
      <w:r w:rsidR="00F32B28" w:rsidRPr="00F32B28">
        <w:rPr>
          <w:rtl/>
          <w:lang w:bidi="ar-LB"/>
        </w:rPr>
        <w:t>تركيب</w:t>
      </w:r>
      <w:r w:rsidR="00F32B28">
        <w:rPr>
          <w:rtl/>
          <w:lang w:bidi="ar-LB"/>
        </w:rPr>
        <w:t xml:space="preserve"> </w:t>
      </w:r>
      <w:r w:rsidR="00F32B28" w:rsidRPr="00F32B28">
        <w:rPr>
          <w:rtl/>
          <w:lang w:bidi="ar-LB"/>
        </w:rPr>
        <w:t>اللولب.</w:t>
      </w:r>
    </w:p>
    <w:p w:rsidR="00AF1BC1" w:rsidRPr="00AF1BC1" w:rsidRDefault="00AF1BC1" w:rsidP="00AF1BC1">
      <w:pPr>
        <w:pStyle w:val="SingleTxt"/>
        <w:spacing w:after="0" w:line="120" w:lineRule="exact"/>
        <w:rPr>
          <w:b/>
          <w:bCs/>
          <w:sz w:val="10"/>
          <w:rtl/>
          <w:lang w:bidi="ar-LB"/>
        </w:rPr>
      </w:pPr>
    </w:p>
    <w:p w:rsidR="00F32B28" w:rsidRPr="00F32B28" w:rsidRDefault="00F32B28" w:rsidP="00F32B28">
      <w:pPr>
        <w:pStyle w:val="SingleTxt"/>
        <w:rPr>
          <w:b/>
          <w:bCs/>
        </w:rPr>
      </w:pPr>
      <w:r w:rsidRPr="00F32B28">
        <w:rPr>
          <w:b/>
          <w:bCs/>
          <w:rtl/>
          <w:lang w:bidi="ar-LB"/>
        </w:rPr>
        <w:t>العمر</w:t>
      </w:r>
      <w:r>
        <w:rPr>
          <w:b/>
          <w:bCs/>
          <w:rtl/>
          <w:lang w:bidi="ar-LB"/>
        </w:rPr>
        <w:t xml:space="preserve"> </w:t>
      </w:r>
      <w:r w:rsidRPr="00F32B28">
        <w:rPr>
          <w:b/>
          <w:bCs/>
          <w:rtl/>
          <w:lang w:bidi="ar-LB"/>
        </w:rPr>
        <w:t>المتوقع</w:t>
      </w:r>
      <w:r>
        <w:rPr>
          <w:b/>
          <w:bCs/>
          <w:rtl/>
          <w:lang w:bidi="ar-LB"/>
        </w:rPr>
        <w:t xml:space="preserve"> </w:t>
      </w:r>
      <w:r w:rsidRPr="00F32B28">
        <w:rPr>
          <w:b/>
          <w:bCs/>
          <w:rtl/>
          <w:lang w:bidi="ar-LB"/>
        </w:rPr>
        <w:t>ومعدل</w:t>
      </w:r>
      <w:r>
        <w:rPr>
          <w:b/>
          <w:bCs/>
          <w:rtl/>
          <w:lang w:bidi="ar-LB"/>
        </w:rPr>
        <w:t xml:space="preserve"> </w:t>
      </w:r>
      <w:r w:rsidRPr="00F32B28">
        <w:rPr>
          <w:b/>
          <w:bCs/>
          <w:rtl/>
          <w:lang w:bidi="ar-JO"/>
        </w:rPr>
        <w:t>ال</w:t>
      </w:r>
      <w:r w:rsidRPr="00F32B28">
        <w:rPr>
          <w:b/>
          <w:bCs/>
          <w:rtl/>
          <w:lang w:bidi="ar-LB"/>
        </w:rPr>
        <w:t>وفيات</w:t>
      </w:r>
    </w:p>
    <w:p w:rsidR="00F32B28" w:rsidRPr="00F32B28" w:rsidRDefault="00AF1BC1" w:rsidP="00AF1BC1">
      <w:pPr>
        <w:pStyle w:val="SingleTxt"/>
        <w:rPr>
          <w:b/>
          <w:bCs/>
          <w:rtl/>
          <w:lang w:bidi="ar-LB"/>
        </w:rPr>
      </w:pPr>
      <w:r>
        <w:rPr>
          <w:rFonts w:hint="cs"/>
          <w:rtl/>
          <w:lang w:bidi="ar-LB"/>
        </w:rPr>
        <w:t xml:space="preserve">248 - </w:t>
      </w:r>
      <w:r w:rsidR="00F32B28" w:rsidRPr="00F32B28">
        <w:rPr>
          <w:rtl/>
          <w:lang w:bidi="ar-LB"/>
        </w:rPr>
        <w:t>يقدر</w:t>
      </w:r>
      <w:r w:rsidR="00F32B28">
        <w:rPr>
          <w:rtl/>
          <w:lang w:bidi="ar-LB"/>
        </w:rPr>
        <w:t xml:space="preserve"> </w:t>
      </w:r>
      <w:r w:rsidR="00F32B28" w:rsidRPr="00F32B28">
        <w:rPr>
          <w:rtl/>
          <w:lang w:bidi="ar-LB"/>
        </w:rPr>
        <w:t>العمر</w:t>
      </w:r>
      <w:r w:rsidR="00F32B28">
        <w:rPr>
          <w:rtl/>
          <w:lang w:bidi="ar-LB"/>
        </w:rPr>
        <w:t xml:space="preserve"> </w:t>
      </w:r>
      <w:r w:rsidR="00F32B28" w:rsidRPr="00F32B28">
        <w:rPr>
          <w:rtl/>
          <w:lang w:bidi="ar-LB"/>
        </w:rPr>
        <w:t>المتوقع</w:t>
      </w:r>
      <w:r w:rsidR="00F32B28">
        <w:rPr>
          <w:rtl/>
          <w:lang w:bidi="ar-LB"/>
        </w:rPr>
        <w:t xml:space="preserve"> </w:t>
      </w:r>
      <w:r w:rsidR="00F32B28" w:rsidRPr="00F32B28">
        <w:rPr>
          <w:rtl/>
          <w:lang w:bidi="ar-LB"/>
        </w:rPr>
        <w:t>للنساء</w:t>
      </w:r>
      <w:r w:rsidR="00F32B28">
        <w:rPr>
          <w:rtl/>
          <w:lang w:bidi="ar-LB"/>
        </w:rPr>
        <w:t xml:space="preserve"> </w:t>
      </w:r>
      <w:r w:rsidR="00F32B28" w:rsidRPr="00F32B28">
        <w:rPr>
          <w:rtl/>
          <w:lang w:bidi="ar-LB"/>
        </w:rPr>
        <w:t>للبقاء</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قيد</w:t>
      </w:r>
      <w:r w:rsidR="00F32B28">
        <w:rPr>
          <w:rtl/>
          <w:lang w:bidi="ar-LB"/>
        </w:rPr>
        <w:t xml:space="preserve"> </w:t>
      </w:r>
      <w:r w:rsidR="00F32B28" w:rsidRPr="00F32B28">
        <w:rPr>
          <w:rtl/>
          <w:lang w:bidi="ar-LB"/>
        </w:rPr>
        <w:t>الحياة</w:t>
      </w:r>
      <w:r w:rsidR="00F32B28">
        <w:rPr>
          <w:rtl/>
          <w:lang w:bidi="ar-LB"/>
        </w:rPr>
        <w:t xml:space="preserve"> </w:t>
      </w:r>
      <w:r w:rsidR="00F32B28" w:rsidRPr="00F32B28">
        <w:rPr>
          <w:rtl/>
          <w:lang w:bidi="ar-LB"/>
        </w:rPr>
        <w:t>بنحو</w:t>
      </w:r>
      <w:r w:rsidR="00F32B28">
        <w:rPr>
          <w:rtl/>
          <w:lang w:bidi="ar-LB"/>
        </w:rPr>
        <w:t xml:space="preserve"> </w:t>
      </w:r>
      <w:r w:rsidR="00F32B28" w:rsidRPr="00F32B28">
        <w:rPr>
          <w:rtl/>
          <w:lang w:bidi="ar-LB"/>
        </w:rPr>
        <w:t>75</w:t>
      </w:r>
      <w:r w:rsidR="00F32B28">
        <w:rPr>
          <w:rtl/>
          <w:lang w:bidi="ar-LB"/>
        </w:rPr>
        <w:t xml:space="preserve"> </w:t>
      </w:r>
      <w:r w:rsidR="00F32B28" w:rsidRPr="00F32B28">
        <w:rPr>
          <w:rtl/>
          <w:lang w:bidi="ar-LB"/>
        </w:rPr>
        <w:t>سنة</w:t>
      </w:r>
      <w:r w:rsidR="00F32B28">
        <w:rPr>
          <w:rtl/>
          <w:lang w:bidi="ar-LB"/>
        </w:rPr>
        <w:t xml:space="preserve"> </w:t>
      </w:r>
      <w:r w:rsidR="00F32B28" w:rsidRPr="00F32B28">
        <w:rPr>
          <w:rtl/>
          <w:lang w:bidi="ar-LB"/>
        </w:rPr>
        <w:t>مقارنة</w:t>
      </w:r>
      <w:r w:rsidR="00F32B28">
        <w:rPr>
          <w:rtl/>
          <w:lang w:bidi="ar-LB"/>
        </w:rPr>
        <w:t xml:space="preserve"> </w:t>
      </w:r>
      <w:r w:rsidR="00F32B28" w:rsidRPr="00F32B28">
        <w:rPr>
          <w:rtl/>
          <w:lang w:bidi="ar-LB"/>
        </w:rPr>
        <w:t>مع</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معدله</w:t>
      </w:r>
      <w:r w:rsidR="00F32B28">
        <w:rPr>
          <w:rtl/>
          <w:lang w:bidi="ar-LB"/>
        </w:rPr>
        <w:t xml:space="preserve"> </w:t>
      </w:r>
      <w:r w:rsidR="00F32B28" w:rsidRPr="00F32B28">
        <w:rPr>
          <w:rtl/>
          <w:lang w:bidi="ar-LB"/>
        </w:rPr>
        <w:t>72</w:t>
      </w:r>
      <w:r w:rsidR="009F4D72">
        <w:rPr>
          <w:rFonts w:hint="cs"/>
          <w:rtl/>
          <w:lang w:bidi="ar-LB"/>
        </w:rPr>
        <w:t xml:space="preserve"> </w:t>
      </w:r>
      <w:r w:rsidR="00F32B28" w:rsidRPr="00F32B28">
        <w:rPr>
          <w:rtl/>
          <w:lang w:bidi="ar-LB"/>
        </w:rPr>
        <w:t>سنة</w:t>
      </w:r>
      <w:r w:rsidR="00F32B28">
        <w:rPr>
          <w:rtl/>
          <w:lang w:bidi="ar-LB"/>
        </w:rPr>
        <w:t xml:space="preserve"> </w:t>
      </w:r>
      <w:r w:rsidR="00F32B28" w:rsidRPr="00F32B28">
        <w:rPr>
          <w:rtl/>
          <w:lang w:bidi="ar-LB"/>
        </w:rPr>
        <w:t>للرجال</w:t>
      </w:r>
      <w:r w:rsidR="00F32B28">
        <w:rPr>
          <w:rtl/>
          <w:lang w:bidi="ar-LB"/>
        </w:rPr>
        <w:t xml:space="preserve"> </w:t>
      </w:r>
      <w:r w:rsidR="00F32B28" w:rsidRPr="00F32B28">
        <w:rPr>
          <w:rtl/>
          <w:lang w:bidi="ar-LB"/>
        </w:rPr>
        <w:t>لسنة</w:t>
      </w:r>
      <w:r w:rsidR="00F32B28">
        <w:rPr>
          <w:rtl/>
          <w:lang w:bidi="ar-LB"/>
        </w:rPr>
        <w:t xml:space="preserve"> </w:t>
      </w:r>
      <w:r w:rsidR="00F32B28" w:rsidRPr="00F32B28">
        <w:rPr>
          <w:rtl/>
          <w:lang w:bidi="ar-LB"/>
        </w:rPr>
        <w:t>2015.</w:t>
      </w:r>
      <w:r w:rsidR="00F32B28">
        <w:rPr>
          <w:rtl/>
          <w:lang w:bidi="ar-LB"/>
        </w:rPr>
        <w:t xml:space="preserve"> </w:t>
      </w:r>
      <w:r w:rsidR="00F32B28" w:rsidRPr="00F32B28">
        <w:rPr>
          <w:rtl/>
          <w:lang w:bidi="ar-LB"/>
        </w:rPr>
        <w:t>وفي</w:t>
      </w:r>
      <w:r w:rsidR="00F32B28">
        <w:rPr>
          <w:rtl/>
          <w:lang w:bidi="ar-LB"/>
        </w:rPr>
        <w:t xml:space="preserve"> </w:t>
      </w:r>
      <w:r w:rsidR="00F32B28" w:rsidRPr="00F32B28">
        <w:rPr>
          <w:rtl/>
          <w:lang w:bidi="ar-LB"/>
        </w:rPr>
        <w:t>سنة</w:t>
      </w:r>
      <w:r w:rsidR="00F32B28">
        <w:rPr>
          <w:rtl/>
          <w:lang w:bidi="ar-LB"/>
        </w:rPr>
        <w:t xml:space="preserve"> </w:t>
      </w:r>
      <w:r w:rsidR="00F32B28" w:rsidRPr="00F32B28">
        <w:rPr>
          <w:rtl/>
          <w:lang w:bidi="ar-LB"/>
        </w:rPr>
        <w:t>2009،</w:t>
      </w:r>
      <w:r w:rsidR="00F32B28">
        <w:rPr>
          <w:rtl/>
          <w:lang w:bidi="ar-LB"/>
        </w:rPr>
        <w:t xml:space="preserve"> </w:t>
      </w:r>
      <w:r w:rsidR="00F32B28" w:rsidRPr="00F32B28">
        <w:rPr>
          <w:rtl/>
          <w:lang w:bidi="ar-LB"/>
        </w:rPr>
        <w:t>تم</w:t>
      </w:r>
      <w:r w:rsidR="00F32B28">
        <w:rPr>
          <w:rtl/>
          <w:lang w:bidi="ar-LB"/>
        </w:rPr>
        <w:t xml:space="preserve"> </w:t>
      </w:r>
      <w:r w:rsidR="00F32B28" w:rsidRPr="00F32B28">
        <w:rPr>
          <w:rtl/>
          <w:lang w:bidi="ar-LB"/>
        </w:rPr>
        <w:t>تشكيل</w:t>
      </w:r>
      <w:r w:rsidR="00F32B28">
        <w:rPr>
          <w:rtl/>
          <w:lang w:bidi="ar-LB"/>
        </w:rPr>
        <w:t xml:space="preserve"> </w:t>
      </w:r>
      <w:r w:rsidR="00F32B28" w:rsidRPr="00F32B28">
        <w:rPr>
          <w:rtl/>
          <w:lang w:bidi="ar-LB"/>
        </w:rPr>
        <w:t>لجنة</w:t>
      </w:r>
      <w:r w:rsidR="00F32B28">
        <w:rPr>
          <w:rtl/>
          <w:lang w:bidi="ar-LB"/>
        </w:rPr>
        <w:t xml:space="preserve"> </w:t>
      </w:r>
      <w:r w:rsidR="00F32B28" w:rsidRPr="00F32B28">
        <w:rPr>
          <w:rtl/>
          <w:lang w:bidi="ar-LB"/>
        </w:rPr>
        <w:t>وطنية</w:t>
      </w:r>
      <w:r w:rsidR="00F32B28">
        <w:rPr>
          <w:rtl/>
          <w:lang w:bidi="ar-LB"/>
        </w:rPr>
        <w:t xml:space="preserve"> </w:t>
      </w:r>
      <w:r w:rsidR="00F32B28" w:rsidRPr="00F32B28">
        <w:rPr>
          <w:rtl/>
          <w:lang w:bidi="ar-LB"/>
        </w:rPr>
        <w:t>لوفيات</w:t>
      </w:r>
      <w:r w:rsidR="00F32B28">
        <w:rPr>
          <w:rtl/>
          <w:lang w:bidi="ar-LB"/>
        </w:rPr>
        <w:t xml:space="preserve"> </w:t>
      </w:r>
      <w:r w:rsidR="00F32B28" w:rsidRPr="00F32B28">
        <w:rPr>
          <w:rtl/>
          <w:lang w:bidi="ar-LB"/>
        </w:rPr>
        <w:t>الأمهات</w:t>
      </w:r>
      <w:r w:rsidR="00F32B28">
        <w:rPr>
          <w:rtl/>
          <w:lang w:bidi="ar-LB"/>
        </w:rPr>
        <w:t xml:space="preserve"> </w:t>
      </w:r>
      <w:r w:rsidR="00F32B28" w:rsidRPr="00F32B28">
        <w:rPr>
          <w:rtl/>
          <w:lang w:bidi="ar-LB"/>
        </w:rPr>
        <w:t>تضم</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مقدمي</w:t>
      </w:r>
      <w:r w:rsidR="00F32B28">
        <w:rPr>
          <w:rtl/>
          <w:lang w:bidi="ar-LB"/>
        </w:rPr>
        <w:t xml:space="preserve"> </w:t>
      </w:r>
      <w:r w:rsidR="00F32B28" w:rsidRPr="00F32B28">
        <w:rPr>
          <w:rtl/>
          <w:lang w:bidi="ar-LB"/>
        </w:rPr>
        <w:t>الخدمات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مجال</w:t>
      </w:r>
      <w:r w:rsidR="00F32B28">
        <w:rPr>
          <w:rtl/>
          <w:lang w:bidi="ar-LB"/>
        </w:rPr>
        <w:t xml:space="preserve"> </w:t>
      </w:r>
      <w:r w:rsidR="00F32B28" w:rsidRPr="00F32B28">
        <w:rPr>
          <w:rtl/>
          <w:lang w:bidi="ar-LB"/>
        </w:rPr>
        <w:t>صحة</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أجل</w:t>
      </w:r>
      <w:r w:rsidR="00F32B28">
        <w:rPr>
          <w:rtl/>
          <w:lang w:bidi="ar-LB"/>
        </w:rPr>
        <w:t xml:space="preserve"> </w:t>
      </w:r>
      <w:r w:rsidR="00F32B28" w:rsidRPr="00F32B28">
        <w:rPr>
          <w:rtl/>
          <w:lang w:bidi="ar-LB"/>
        </w:rPr>
        <w:t>إيجاد</w:t>
      </w:r>
      <w:r w:rsidR="00F32B28">
        <w:rPr>
          <w:rtl/>
          <w:lang w:bidi="ar-LB"/>
        </w:rPr>
        <w:t xml:space="preserve"> </w:t>
      </w:r>
      <w:r w:rsidR="00F32B28" w:rsidRPr="00F32B28">
        <w:rPr>
          <w:rtl/>
          <w:lang w:bidi="ar-LB"/>
        </w:rPr>
        <w:t>آلية</w:t>
      </w:r>
      <w:r w:rsidR="00F32B28">
        <w:rPr>
          <w:rtl/>
          <w:lang w:bidi="ar-LB"/>
        </w:rPr>
        <w:t xml:space="preserve"> </w:t>
      </w:r>
      <w:r w:rsidR="00F32B28" w:rsidRPr="00F32B28">
        <w:rPr>
          <w:rtl/>
          <w:lang w:bidi="ar-LB"/>
        </w:rPr>
        <w:t>دقيقة</w:t>
      </w:r>
      <w:r w:rsidR="00F32B28">
        <w:rPr>
          <w:rtl/>
          <w:lang w:bidi="ar-LB"/>
        </w:rPr>
        <w:t xml:space="preserve"> </w:t>
      </w:r>
      <w:r w:rsidR="00F32B28" w:rsidRPr="00F32B28">
        <w:rPr>
          <w:rtl/>
          <w:lang w:bidi="ar-LB"/>
        </w:rPr>
        <w:t>لضبط</w:t>
      </w:r>
      <w:r w:rsidR="00F32B28">
        <w:rPr>
          <w:rtl/>
          <w:lang w:bidi="ar-LB"/>
        </w:rPr>
        <w:t xml:space="preserve"> </w:t>
      </w:r>
      <w:r w:rsidR="00F32B28" w:rsidRPr="00F32B28">
        <w:rPr>
          <w:rtl/>
          <w:lang w:bidi="ar-LB"/>
        </w:rPr>
        <w:t>عملية</w:t>
      </w:r>
      <w:r w:rsidR="00F32B28">
        <w:rPr>
          <w:rtl/>
          <w:lang w:bidi="ar-LB"/>
        </w:rPr>
        <w:t xml:space="preserve"> </w:t>
      </w:r>
      <w:r w:rsidR="00F32B28" w:rsidRPr="00F32B28">
        <w:rPr>
          <w:rtl/>
          <w:lang w:bidi="ar-LB"/>
        </w:rPr>
        <w:t>وفيات</w:t>
      </w:r>
      <w:r w:rsidR="00F32B28">
        <w:rPr>
          <w:rtl/>
          <w:lang w:bidi="ar-LB"/>
        </w:rPr>
        <w:t xml:space="preserve"> </w:t>
      </w:r>
      <w:r w:rsidR="00F32B28" w:rsidRPr="00F32B28">
        <w:rPr>
          <w:rtl/>
          <w:lang w:bidi="ar-LB"/>
        </w:rPr>
        <w:t>الأمهات</w:t>
      </w:r>
      <w:r w:rsidR="00F32B28">
        <w:rPr>
          <w:rtl/>
          <w:lang w:bidi="ar-LB"/>
        </w:rPr>
        <w:t xml:space="preserve"> </w:t>
      </w:r>
      <w:r w:rsidR="00F32B28" w:rsidRPr="00F32B28">
        <w:rPr>
          <w:rtl/>
          <w:lang w:bidi="ar-LB"/>
        </w:rPr>
        <w:t>وخفض</w:t>
      </w:r>
      <w:r w:rsidR="00F32B28">
        <w:rPr>
          <w:rtl/>
          <w:lang w:bidi="ar-LB"/>
        </w:rPr>
        <w:t xml:space="preserve"> </w:t>
      </w:r>
      <w:r w:rsidR="00F32B28" w:rsidRPr="00F32B28">
        <w:rPr>
          <w:rtl/>
          <w:lang w:bidi="ar-LB"/>
        </w:rPr>
        <w:t>معدلاتها.</w:t>
      </w:r>
      <w:r w:rsidR="00F32B28">
        <w:rPr>
          <w:rtl/>
          <w:lang w:bidi="ar-LB"/>
        </w:rPr>
        <w:t xml:space="preserve"> </w:t>
      </w:r>
      <w:r w:rsidR="00F32B28" w:rsidRPr="00F32B28">
        <w:rPr>
          <w:rtl/>
          <w:lang w:bidi="ar-LB"/>
        </w:rPr>
        <w:t>وقد</w:t>
      </w:r>
      <w:r w:rsidR="00F32B28">
        <w:rPr>
          <w:rtl/>
          <w:lang w:bidi="ar-LB"/>
        </w:rPr>
        <w:t xml:space="preserve"> </w:t>
      </w:r>
      <w:r w:rsidR="00F32B28" w:rsidRPr="00F32B28">
        <w:rPr>
          <w:rtl/>
          <w:lang w:bidi="ar-LB"/>
        </w:rPr>
        <w:t>بلغ</w:t>
      </w:r>
      <w:r w:rsidR="00F32B28">
        <w:rPr>
          <w:rtl/>
          <w:lang w:bidi="ar-LB"/>
        </w:rPr>
        <w:t xml:space="preserve"> </w:t>
      </w:r>
      <w:r w:rsidR="00F32B28" w:rsidRPr="00F32B28">
        <w:rPr>
          <w:rtl/>
          <w:lang w:bidi="ar-LB"/>
        </w:rPr>
        <w:t>المعدل</w:t>
      </w:r>
      <w:r w:rsidR="00F32B28">
        <w:rPr>
          <w:rtl/>
          <w:lang w:bidi="ar-LB"/>
        </w:rPr>
        <w:t xml:space="preserve"> </w:t>
      </w:r>
      <w:r w:rsidR="00F32B28" w:rsidRPr="00F32B28">
        <w:rPr>
          <w:rtl/>
          <w:lang w:bidi="ar-LB"/>
        </w:rPr>
        <w:t>الإجمالي</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لوفيات</w:t>
      </w:r>
      <w:r w:rsidR="00F32B28">
        <w:rPr>
          <w:rtl/>
          <w:lang w:bidi="ar-LB"/>
        </w:rPr>
        <w:t xml:space="preserve"> </w:t>
      </w:r>
      <w:r w:rsidR="00F32B28" w:rsidRPr="00F32B28">
        <w:rPr>
          <w:rtl/>
          <w:lang w:bidi="ar-LB"/>
        </w:rPr>
        <w:t>الأمهات</w:t>
      </w:r>
      <w:r w:rsidR="00F32B28">
        <w:rPr>
          <w:rtl/>
          <w:lang w:bidi="ar-LB"/>
        </w:rPr>
        <w:t xml:space="preserve"> </w:t>
      </w:r>
      <w:r w:rsidR="00F32B28" w:rsidRPr="00F32B28">
        <w:rPr>
          <w:rtl/>
          <w:lang w:bidi="ar-LB"/>
        </w:rPr>
        <w:t>للعام</w:t>
      </w:r>
      <w:r w:rsidR="00F32B28">
        <w:rPr>
          <w:rtl/>
          <w:lang w:bidi="ar-LB"/>
        </w:rPr>
        <w:t xml:space="preserve"> </w:t>
      </w:r>
      <w:r w:rsidR="00F32B28" w:rsidRPr="00F32B28">
        <w:rPr>
          <w:rtl/>
          <w:lang w:bidi="ar-LB"/>
        </w:rPr>
        <w:t>2015</w:t>
      </w:r>
      <w:r w:rsidR="00F32B28">
        <w:rPr>
          <w:rtl/>
          <w:lang w:bidi="ar-LB"/>
        </w:rPr>
        <w:t xml:space="preserve"> </w:t>
      </w:r>
      <w:r w:rsidR="00F32B28" w:rsidRPr="00F32B28">
        <w:rPr>
          <w:rtl/>
          <w:lang w:bidi="ar-LB"/>
        </w:rPr>
        <w:t>حوالي</w:t>
      </w:r>
      <w:r w:rsidR="00F32B28">
        <w:rPr>
          <w:rtl/>
          <w:lang w:bidi="ar-LB"/>
        </w:rPr>
        <w:t xml:space="preserve"> </w:t>
      </w:r>
      <w:r w:rsidR="00F32B28" w:rsidRPr="00F32B28">
        <w:rPr>
          <w:rtl/>
          <w:lang w:bidi="ar-LB"/>
        </w:rPr>
        <w:t>15.7</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بين</w:t>
      </w:r>
      <w:r w:rsidR="00F32B28">
        <w:rPr>
          <w:rtl/>
          <w:lang w:bidi="ar-LB"/>
        </w:rPr>
        <w:t xml:space="preserve"> </w:t>
      </w:r>
      <w:r w:rsidR="00F32B28" w:rsidRPr="00F32B28">
        <w:rPr>
          <w:rtl/>
          <w:lang w:bidi="ar-LB"/>
        </w:rPr>
        <w:t>كل</w:t>
      </w:r>
      <w:r w:rsidR="00F32B28">
        <w:rPr>
          <w:rtl/>
          <w:lang w:bidi="ar-LB"/>
        </w:rPr>
        <w:t xml:space="preserve"> </w:t>
      </w:r>
      <w:r w:rsidR="00715E79">
        <w:rPr>
          <w:rFonts w:hint="cs"/>
          <w:rtl/>
          <w:lang w:bidi="ar-LB"/>
        </w:rPr>
        <w:t>000</w:t>
      </w:r>
      <w:r w:rsidR="00715E79">
        <w:rPr>
          <w:rFonts w:hint="eastAsia"/>
          <w:rtl/>
          <w:lang w:bidi="ar-LB"/>
        </w:rPr>
        <w:t> </w:t>
      </w:r>
      <w:r w:rsidR="00715E79">
        <w:rPr>
          <w:rFonts w:hint="cs"/>
          <w:rtl/>
          <w:lang w:bidi="ar-LB"/>
        </w:rPr>
        <w:t xml:space="preserve">100 </w:t>
      </w:r>
      <w:r w:rsidR="00F32B28" w:rsidRPr="00F32B28">
        <w:rPr>
          <w:rtl/>
          <w:lang w:bidi="ar-LB"/>
        </w:rPr>
        <w:t>ولادة،</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بلغ</w:t>
      </w:r>
      <w:r w:rsidR="00F32B28">
        <w:rPr>
          <w:rtl/>
          <w:lang w:bidi="ar-LB"/>
        </w:rPr>
        <w:t xml:space="preserve"> </w:t>
      </w:r>
      <w:r w:rsidR="00F32B28" w:rsidRPr="00F32B28">
        <w:rPr>
          <w:rtl/>
          <w:lang w:bidi="ar-LB"/>
        </w:rPr>
        <w:t>عدد</w:t>
      </w:r>
      <w:r w:rsidR="00F32B28">
        <w:rPr>
          <w:rtl/>
          <w:lang w:bidi="ar-LB"/>
        </w:rPr>
        <w:t xml:space="preserve"> </w:t>
      </w:r>
      <w:r w:rsidR="00F32B28" w:rsidRPr="00F32B28">
        <w:rPr>
          <w:rtl/>
          <w:lang w:bidi="ar-LB"/>
        </w:rPr>
        <w:t>وفيات</w:t>
      </w:r>
      <w:r w:rsidR="00F32B28">
        <w:rPr>
          <w:rtl/>
          <w:lang w:bidi="ar-LB"/>
        </w:rPr>
        <w:t xml:space="preserve"> </w:t>
      </w:r>
      <w:r w:rsidR="00F32B28" w:rsidRPr="00F32B28">
        <w:rPr>
          <w:rtl/>
          <w:lang w:bidi="ar-LB"/>
        </w:rPr>
        <w:t>الأمهات</w:t>
      </w:r>
      <w:r w:rsidR="00F32B28">
        <w:rPr>
          <w:rtl/>
          <w:lang w:bidi="ar-LB"/>
        </w:rPr>
        <w:t xml:space="preserve"> </w:t>
      </w:r>
      <w:r w:rsidR="00F32B28" w:rsidRPr="00F32B28">
        <w:rPr>
          <w:rtl/>
          <w:lang w:bidi="ar-LB"/>
        </w:rPr>
        <w:t>للعام</w:t>
      </w:r>
      <w:r w:rsidR="00F32B28">
        <w:rPr>
          <w:rtl/>
          <w:lang w:bidi="ar-LB"/>
        </w:rPr>
        <w:t xml:space="preserve"> </w:t>
      </w:r>
      <w:r w:rsidR="00F32B28" w:rsidRPr="00F32B28">
        <w:rPr>
          <w:rtl/>
          <w:lang w:bidi="ar-LB"/>
        </w:rPr>
        <w:t>2015</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20</w:t>
      </w:r>
      <w:r w:rsidR="00F32B28">
        <w:rPr>
          <w:rtl/>
          <w:lang w:bidi="ar-LB"/>
        </w:rPr>
        <w:t xml:space="preserve"> </w:t>
      </w:r>
      <w:r w:rsidR="00F32B28" w:rsidRPr="00F32B28">
        <w:rPr>
          <w:rtl/>
          <w:lang w:bidi="ar-LB"/>
        </w:rPr>
        <w:t>حالة.</w:t>
      </w:r>
    </w:p>
    <w:p w:rsidR="00715E79" w:rsidRPr="00715E79" w:rsidRDefault="00715E79" w:rsidP="00715E79">
      <w:pPr>
        <w:pStyle w:val="SingleTxt"/>
        <w:spacing w:after="0" w:line="120" w:lineRule="exact"/>
        <w:rPr>
          <w:b/>
          <w:bCs/>
          <w:sz w:val="10"/>
          <w:rtl/>
          <w:lang w:bidi="ar-LB"/>
        </w:rPr>
      </w:pPr>
    </w:p>
    <w:p w:rsidR="009F4D72" w:rsidRDefault="009F4D72">
      <w:pPr>
        <w:bidi w:val="0"/>
        <w:spacing w:line="240" w:lineRule="auto"/>
        <w:jc w:val="left"/>
        <w:rPr>
          <w:b/>
          <w:bCs/>
          <w:rtl/>
          <w:lang w:bidi="ar-LB"/>
        </w:rPr>
      </w:pPr>
      <w:r>
        <w:rPr>
          <w:b/>
          <w:bCs/>
          <w:rtl/>
          <w:lang w:bidi="ar-LB"/>
        </w:rPr>
        <w:br w:type="page"/>
      </w:r>
    </w:p>
    <w:p w:rsidR="00F32B28" w:rsidRPr="00F32B28" w:rsidRDefault="00F32B28" w:rsidP="00F32B28">
      <w:pPr>
        <w:pStyle w:val="SingleTxt"/>
        <w:rPr>
          <w:b/>
          <w:bCs/>
        </w:rPr>
      </w:pPr>
      <w:r w:rsidRPr="00F32B28">
        <w:rPr>
          <w:b/>
          <w:bCs/>
          <w:rtl/>
          <w:lang w:bidi="ar-LB"/>
        </w:rPr>
        <w:lastRenderedPageBreak/>
        <w:t>سرطان</w:t>
      </w:r>
      <w:r>
        <w:rPr>
          <w:b/>
          <w:bCs/>
          <w:rtl/>
          <w:lang w:bidi="ar-LB"/>
        </w:rPr>
        <w:t xml:space="preserve"> </w:t>
      </w:r>
      <w:r w:rsidRPr="00F32B28">
        <w:rPr>
          <w:b/>
          <w:bCs/>
          <w:rtl/>
          <w:lang w:bidi="ar-LB"/>
        </w:rPr>
        <w:t>الثدي</w:t>
      </w:r>
      <w:r>
        <w:rPr>
          <w:b/>
          <w:bCs/>
          <w:rtl/>
          <w:lang w:bidi="ar-LB"/>
        </w:rPr>
        <w:t xml:space="preserve"> </w:t>
      </w:r>
      <w:r w:rsidRPr="00F32B28">
        <w:rPr>
          <w:b/>
          <w:bCs/>
          <w:rtl/>
          <w:lang w:bidi="ar-LB"/>
        </w:rPr>
        <w:t>والأمراض</w:t>
      </w:r>
      <w:r>
        <w:rPr>
          <w:b/>
          <w:bCs/>
          <w:rtl/>
          <w:lang w:bidi="ar-LB"/>
        </w:rPr>
        <w:t xml:space="preserve"> </w:t>
      </w:r>
      <w:r w:rsidRPr="00F32B28">
        <w:rPr>
          <w:b/>
          <w:bCs/>
          <w:rtl/>
          <w:lang w:bidi="ar-LB"/>
        </w:rPr>
        <w:t>المتعلقة</w:t>
      </w:r>
      <w:r>
        <w:rPr>
          <w:b/>
          <w:bCs/>
          <w:rtl/>
          <w:lang w:bidi="ar-LB"/>
        </w:rPr>
        <w:t xml:space="preserve"> </w:t>
      </w:r>
      <w:r w:rsidRPr="00F32B28">
        <w:rPr>
          <w:b/>
          <w:bCs/>
          <w:rtl/>
          <w:lang w:bidi="ar-LB"/>
        </w:rPr>
        <w:t>بالجهاز</w:t>
      </w:r>
      <w:r>
        <w:rPr>
          <w:b/>
          <w:bCs/>
          <w:rtl/>
          <w:lang w:bidi="ar-LB"/>
        </w:rPr>
        <w:t xml:space="preserve"> </w:t>
      </w:r>
      <w:r w:rsidRPr="00F32B28">
        <w:rPr>
          <w:b/>
          <w:bCs/>
          <w:rtl/>
          <w:lang w:bidi="ar-LB"/>
        </w:rPr>
        <w:t>الإنجابي</w:t>
      </w:r>
    </w:p>
    <w:p w:rsidR="00F32B28" w:rsidRPr="00F32B28" w:rsidRDefault="00AF1BC1" w:rsidP="00AF1BC1">
      <w:pPr>
        <w:pStyle w:val="SingleTxt"/>
        <w:rPr>
          <w:rtl/>
          <w:lang w:bidi="ar-LB"/>
        </w:rPr>
      </w:pPr>
      <w:r>
        <w:rPr>
          <w:rFonts w:hint="cs"/>
          <w:rtl/>
          <w:lang w:bidi="ar-LB"/>
        </w:rPr>
        <w:t xml:space="preserve">249 - </w:t>
      </w:r>
      <w:r w:rsidR="00F32B28" w:rsidRPr="00F32B28">
        <w:rPr>
          <w:rtl/>
          <w:lang w:bidi="ar-LB"/>
        </w:rPr>
        <w:t>توفر</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مراكز</w:t>
      </w:r>
      <w:r w:rsidR="00F32B28">
        <w:rPr>
          <w:rtl/>
          <w:lang w:bidi="ar-LB"/>
        </w:rPr>
        <w:t xml:space="preserve"> </w:t>
      </w:r>
      <w:r w:rsidR="00F32B28" w:rsidRPr="00F32B28">
        <w:rPr>
          <w:rtl/>
          <w:lang w:bidi="ar-LB"/>
        </w:rPr>
        <w:t>الرعاية</w:t>
      </w:r>
      <w:r w:rsidR="00F32B28">
        <w:rPr>
          <w:rtl/>
          <w:lang w:bidi="ar-LB"/>
        </w:rPr>
        <w:t xml:space="preserve"> </w:t>
      </w:r>
      <w:r w:rsidR="00F32B28" w:rsidRPr="00F32B28">
        <w:rPr>
          <w:rtl/>
          <w:lang w:bidi="ar-LB"/>
        </w:rPr>
        <w:t>الأولية</w:t>
      </w:r>
      <w:r w:rsidR="00F32B28">
        <w:rPr>
          <w:rtl/>
          <w:lang w:bidi="ar-LB"/>
        </w:rPr>
        <w:t xml:space="preserve"> </w:t>
      </w:r>
      <w:r w:rsidR="00F32B28" w:rsidRPr="00F32B28">
        <w:rPr>
          <w:rtl/>
          <w:lang w:bidi="ar-LB"/>
        </w:rPr>
        <w:t>خدمات</w:t>
      </w:r>
      <w:r w:rsidR="00F32B28">
        <w:rPr>
          <w:rtl/>
          <w:lang w:bidi="ar-LB"/>
        </w:rPr>
        <w:t xml:space="preserve"> </w:t>
      </w:r>
      <w:r w:rsidR="00F32B28" w:rsidRPr="00F32B28">
        <w:rPr>
          <w:rtl/>
          <w:lang w:bidi="ar-LB"/>
        </w:rPr>
        <w:t>الكشف</w:t>
      </w:r>
      <w:r w:rsidR="00F32B28">
        <w:rPr>
          <w:rtl/>
          <w:lang w:bidi="ar-LB"/>
        </w:rPr>
        <w:t xml:space="preserve"> </w:t>
      </w:r>
      <w:r w:rsidR="00F32B28" w:rsidRPr="00F32B28">
        <w:rPr>
          <w:rtl/>
          <w:lang w:bidi="ar-LB"/>
        </w:rPr>
        <w:t>المبكر</w:t>
      </w:r>
      <w:r w:rsidR="00F32B28">
        <w:rPr>
          <w:rtl/>
          <w:lang w:bidi="ar-LB"/>
        </w:rPr>
        <w:t xml:space="preserve"> </w:t>
      </w:r>
      <w:r w:rsidR="00F32B28" w:rsidRPr="00F32B28">
        <w:rPr>
          <w:rtl/>
          <w:lang w:bidi="ar-LB"/>
        </w:rPr>
        <w:t>بطريق</w:t>
      </w:r>
      <w:r w:rsidR="00F32B28">
        <w:rPr>
          <w:rtl/>
          <w:lang w:bidi="ar-LB"/>
        </w:rPr>
        <w:t xml:space="preserve"> </w:t>
      </w:r>
      <w:r w:rsidR="00F32B28" w:rsidRPr="00F32B28">
        <w:rPr>
          <w:rtl/>
          <w:lang w:bidi="ar-LB"/>
        </w:rPr>
        <w:t>التصوير</w:t>
      </w:r>
      <w:r w:rsidR="00F32B28">
        <w:rPr>
          <w:rtl/>
          <w:lang w:bidi="ar-LB"/>
        </w:rPr>
        <w:t xml:space="preserve"> </w:t>
      </w:r>
      <w:r w:rsidR="00F32B28" w:rsidRPr="00F32B28">
        <w:rPr>
          <w:rtl/>
          <w:lang w:bidi="ar-LB"/>
        </w:rPr>
        <w:t>الشعاعي</w:t>
      </w:r>
      <w:r w:rsidR="00F32B28">
        <w:rPr>
          <w:rtl/>
          <w:lang w:bidi="ar-LB"/>
        </w:rPr>
        <w:t xml:space="preserve"> </w:t>
      </w:r>
      <w:r w:rsidR="00F32B28" w:rsidRPr="00F32B28">
        <w:rPr>
          <w:rtl/>
          <w:lang w:bidi="ar-LB"/>
        </w:rPr>
        <w:t>للثدي</w:t>
      </w:r>
      <w:r w:rsidR="00F32B28">
        <w:rPr>
          <w:rtl/>
          <w:lang w:bidi="ar-LB"/>
        </w:rPr>
        <w:t xml:space="preserve"> </w:t>
      </w:r>
      <w:r w:rsidR="00F32B28" w:rsidRPr="00F32B28">
        <w:rPr>
          <w:rtl/>
          <w:lang w:bidi="ar-LB"/>
        </w:rPr>
        <w:t>مجاناً،</w:t>
      </w:r>
      <w:r w:rsidR="00F32B28">
        <w:rPr>
          <w:rtl/>
          <w:lang w:bidi="ar-LB"/>
        </w:rPr>
        <w:t xml:space="preserve"> </w:t>
      </w:r>
      <w:r w:rsidR="00F32B28" w:rsidRPr="00F32B28">
        <w:rPr>
          <w:rtl/>
          <w:lang w:bidi="ar-LB"/>
        </w:rPr>
        <w:t>وبحسب</w:t>
      </w:r>
      <w:r w:rsidR="00F32B28">
        <w:rPr>
          <w:rtl/>
          <w:lang w:bidi="ar-LB"/>
        </w:rPr>
        <w:t xml:space="preserve"> </w:t>
      </w:r>
      <w:r w:rsidR="00F32B28" w:rsidRPr="00F32B28">
        <w:rPr>
          <w:rtl/>
          <w:lang w:bidi="ar-LB"/>
        </w:rPr>
        <w:t>بروتوكول</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الإنجابية</w:t>
      </w:r>
      <w:r w:rsidR="00F32B28">
        <w:rPr>
          <w:rtl/>
          <w:lang w:bidi="ar-LB"/>
        </w:rPr>
        <w:t xml:space="preserve"> </w:t>
      </w:r>
      <w:r w:rsidR="00F32B28" w:rsidRPr="00F32B28">
        <w:rPr>
          <w:rtl/>
          <w:lang w:bidi="ar-LB"/>
        </w:rPr>
        <w:t>تحول</w:t>
      </w:r>
      <w:r w:rsidR="00F32B28">
        <w:rPr>
          <w:rtl/>
          <w:lang w:bidi="ar-LB"/>
        </w:rPr>
        <w:t xml:space="preserve"> </w:t>
      </w:r>
      <w:r w:rsidR="00F32B28" w:rsidRPr="00F32B28">
        <w:rPr>
          <w:rtl/>
          <w:lang w:bidi="ar-LB"/>
        </w:rPr>
        <w:t>النساء</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سن</w:t>
      </w:r>
      <w:r w:rsidR="00F32B28">
        <w:rPr>
          <w:rtl/>
          <w:lang w:bidi="ar-LB"/>
        </w:rPr>
        <w:t xml:space="preserve"> </w:t>
      </w:r>
      <w:r w:rsidR="00F32B28" w:rsidRPr="00F32B28">
        <w:rPr>
          <w:rtl/>
          <w:lang w:bidi="ar-LB"/>
        </w:rPr>
        <w:t>40-49</w:t>
      </w:r>
      <w:r w:rsidR="009F4D72">
        <w:rPr>
          <w:rFonts w:hint="cs"/>
          <w:rtl/>
          <w:lang w:bidi="ar-LB"/>
        </w:rPr>
        <w:t xml:space="preserve"> </w:t>
      </w:r>
      <w:r w:rsidR="00F32B28" w:rsidRPr="00F32B28">
        <w:rPr>
          <w:rtl/>
          <w:lang w:bidi="ar-LB"/>
        </w:rPr>
        <w:t>لإجراء</w:t>
      </w:r>
      <w:r w:rsidR="00F32B28">
        <w:rPr>
          <w:rtl/>
          <w:lang w:bidi="ar-LB"/>
        </w:rPr>
        <w:t xml:space="preserve"> </w:t>
      </w:r>
      <w:r w:rsidR="00F32B28" w:rsidRPr="00F32B28">
        <w:rPr>
          <w:rtl/>
          <w:lang w:bidi="ar-LB"/>
        </w:rPr>
        <w:t>الفحص</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سنتين،</w:t>
      </w:r>
      <w:r w:rsidR="00F32B28">
        <w:rPr>
          <w:rtl/>
          <w:lang w:bidi="ar-LB"/>
        </w:rPr>
        <w:t xml:space="preserve"> </w:t>
      </w:r>
      <w:r w:rsidR="00F32B28" w:rsidRPr="00F32B28">
        <w:rPr>
          <w:rtl/>
          <w:lang w:bidi="ar-LB"/>
        </w:rPr>
        <w:t>واللواتي</w:t>
      </w:r>
      <w:r w:rsidR="00F32B28">
        <w:rPr>
          <w:rtl/>
          <w:lang w:bidi="ar-LB"/>
        </w:rPr>
        <w:t xml:space="preserve"> </w:t>
      </w:r>
      <w:r w:rsidR="00F32B28" w:rsidRPr="00F32B28">
        <w:rPr>
          <w:rtl/>
          <w:lang w:bidi="ar-LB"/>
        </w:rPr>
        <w:t>بلغن</w:t>
      </w:r>
      <w:r w:rsidR="00F32B28">
        <w:rPr>
          <w:rtl/>
          <w:lang w:bidi="ar-LB"/>
        </w:rPr>
        <w:t xml:space="preserve"> </w:t>
      </w:r>
      <w:r w:rsidR="00F32B28" w:rsidRPr="00F32B28">
        <w:rPr>
          <w:rtl/>
          <w:lang w:bidi="ar-LB"/>
        </w:rPr>
        <w:t>50</w:t>
      </w:r>
      <w:r w:rsidR="00F32B28">
        <w:rPr>
          <w:rtl/>
          <w:lang w:bidi="ar-LB"/>
        </w:rPr>
        <w:t xml:space="preserve"> </w:t>
      </w:r>
      <w:r w:rsidR="00F32B28" w:rsidRPr="00F32B28">
        <w:rPr>
          <w:rtl/>
          <w:lang w:bidi="ar-LB"/>
        </w:rPr>
        <w:t>سنة</w:t>
      </w:r>
      <w:r w:rsidR="00F32B28">
        <w:rPr>
          <w:rtl/>
          <w:lang w:bidi="ar-LB"/>
        </w:rPr>
        <w:t xml:space="preserve"> </w:t>
      </w:r>
      <w:r w:rsidR="00F32B28" w:rsidRPr="00F32B28">
        <w:rPr>
          <w:rtl/>
          <w:lang w:bidi="ar-LB"/>
        </w:rPr>
        <w:t>وأكثر</w:t>
      </w:r>
      <w:r w:rsidR="00715E79">
        <w:rPr>
          <w:rFonts w:hint="cs"/>
          <w:rtl/>
          <w:lang w:bidi="ar-LB"/>
        </w:rPr>
        <w:t xml:space="preserve"> </w:t>
      </w:r>
      <w:r w:rsidR="00F32B28" w:rsidRPr="00F32B28">
        <w:rPr>
          <w:rtl/>
          <w:lang w:bidi="ar-LB"/>
        </w:rPr>
        <w:t>يتم</w:t>
      </w:r>
      <w:r w:rsidR="00F32B28">
        <w:rPr>
          <w:rtl/>
          <w:lang w:bidi="ar-LB"/>
        </w:rPr>
        <w:t xml:space="preserve"> </w:t>
      </w:r>
      <w:r w:rsidR="00F32B28" w:rsidRPr="00F32B28">
        <w:rPr>
          <w:rtl/>
          <w:lang w:bidi="ar-LB"/>
        </w:rPr>
        <w:t>تحويلهن</w:t>
      </w:r>
      <w:r w:rsidR="00F32B28">
        <w:rPr>
          <w:rtl/>
          <w:lang w:bidi="ar-LB"/>
        </w:rPr>
        <w:t xml:space="preserve"> </w:t>
      </w:r>
      <w:r w:rsidR="00F32B28" w:rsidRPr="00F32B28">
        <w:rPr>
          <w:rtl/>
          <w:lang w:bidi="ar-LB"/>
        </w:rPr>
        <w:t>سنوياً،</w:t>
      </w:r>
      <w:r w:rsidR="00F32B28">
        <w:rPr>
          <w:rtl/>
          <w:lang w:bidi="ar-LB"/>
        </w:rPr>
        <w:t xml:space="preserve"> </w:t>
      </w:r>
      <w:r w:rsidR="00F32B28" w:rsidRPr="00F32B28">
        <w:rPr>
          <w:rtl/>
          <w:lang w:bidi="ar-LB"/>
        </w:rPr>
        <w:t>أما</w:t>
      </w:r>
      <w:r w:rsidR="00F32B28">
        <w:rPr>
          <w:rtl/>
          <w:lang w:bidi="ar-LB"/>
        </w:rPr>
        <w:t xml:space="preserve"> </w:t>
      </w:r>
      <w:r w:rsidR="00F32B28" w:rsidRPr="00F32B28">
        <w:rPr>
          <w:rtl/>
          <w:lang w:bidi="ar-LB"/>
        </w:rPr>
        <w:t>اللواتي</w:t>
      </w:r>
      <w:r w:rsidR="00F32B28">
        <w:rPr>
          <w:rtl/>
          <w:lang w:bidi="ar-LB"/>
        </w:rPr>
        <w:t xml:space="preserve"> </w:t>
      </w:r>
      <w:r w:rsidR="00F32B28" w:rsidRPr="00F32B28">
        <w:rPr>
          <w:rtl/>
          <w:lang w:bidi="ar-LB"/>
        </w:rPr>
        <w:t>لديهن</w:t>
      </w:r>
      <w:r w:rsidR="00F32B28">
        <w:rPr>
          <w:rtl/>
          <w:lang w:bidi="ar-LB"/>
        </w:rPr>
        <w:t xml:space="preserve"> </w:t>
      </w:r>
      <w:r w:rsidR="00F32B28" w:rsidRPr="00F32B28">
        <w:rPr>
          <w:rtl/>
          <w:lang w:bidi="ar-LB"/>
        </w:rPr>
        <w:t>تاريخ</w:t>
      </w:r>
      <w:r w:rsidR="00F32B28">
        <w:rPr>
          <w:rtl/>
          <w:lang w:bidi="ar-LB"/>
        </w:rPr>
        <w:t xml:space="preserve"> </w:t>
      </w:r>
      <w:r w:rsidR="00F32B28" w:rsidRPr="00F32B28">
        <w:rPr>
          <w:rtl/>
          <w:lang w:bidi="ar-LB"/>
        </w:rPr>
        <w:t>مرضي</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العائلة</w:t>
      </w:r>
      <w:r w:rsidR="00F32B28">
        <w:rPr>
          <w:rtl/>
          <w:lang w:bidi="ar-LB"/>
        </w:rPr>
        <w:t xml:space="preserve"> </w:t>
      </w:r>
      <w:r w:rsidR="00F32B28" w:rsidRPr="00F32B28">
        <w:rPr>
          <w:rtl/>
          <w:lang w:bidi="ar-LB"/>
        </w:rPr>
        <w:t>فيتم</w:t>
      </w:r>
      <w:r w:rsidR="00F32B28">
        <w:rPr>
          <w:rtl/>
          <w:lang w:bidi="ar-LB"/>
        </w:rPr>
        <w:t xml:space="preserve"> </w:t>
      </w:r>
      <w:r w:rsidR="00F32B28" w:rsidRPr="00F32B28">
        <w:rPr>
          <w:rtl/>
          <w:lang w:bidi="ar-LB"/>
        </w:rPr>
        <w:t>تحويلهن</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6-12</w:t>
      </w:r>
      <w:r w:rsidR="00F32B28">
        <w:rPr>
          <w:rtl/>
          <w:lang w:bidi="ar-LB"/>
        </w:rPr>
        <w:t xml:space="preserve"> </w:t>
      </w:r>
      <w:r w:rsidR="00F32B28" w:rsidRPr="00F32B28">
        <w:rPr>
          <w:rtl/>
          <w:lang w:bidi="ar-LB"/>
        </w:rPr>
        <w:t>شهر</w:t>
      </w:r>
      <w:r w:rsidR="00F32B28">
        <w:rPr>
          <w:rtl/>
          <w:lang w:bidi="ar-LB"/>
        </w:rPr>
        <w:t xml:space="preserve"> </w:t>
      </w:r>
      <w:r w:rsidR="00F32B28" w:rsidRPr="00F32B28">
        <w:rPr>
          <w:rtl/>
          <w:lang w:bidi="ar-LB"/>
        </w:rPr>
        <w:t>لإجرائه.</w:t>
      </w:r>
      <w:r>
        <w:rPr>
          <w:rFonts w:hint="cs"/>
          <w:rtl/>
          <w:lang w:bidi="ar-LB"/>
        </w:rPr>
        <w:t xml:space="preserve"> </w:t>
      </w:r>
      <w:r w:rsidR="00F32B28" w:rsidRPr="00F32B28">
        <w:rPr>
          <w:rtl/>
          <w:lang w:bidi="ar-LB"/>
        </w:rPr>
        <w:t>كما</w:t>
      </w:r>
      <w:r w:rsidR="00F32B28">
        <w:rPr>
          <w:rtl/>
          <w:lang w:bidi="ar-LB"/>
        </w:rPr>
        <w:t xml:space="preserve"> </w:t>
      </w:r>
      <w:r w:rsidR="00F32B28" w:rsidRPr="00F32B28">
        <w:rPr>
          <w:rtl/>
          <w:lang w:bidi="ar-LB"/>
        </w:rPr>
        <w:t>قامت</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بتوفير</w:t>
      </w:r>
      <w:r w:rsidR="00F32B28">
        <w:rPr>
          <w:rtl/>
          <w:lang w:bidi="ar-LB"/>
        </w:rPr>
        <w:t xml:space="preserve"> </w:t>
      </w:r>
      <w:r w:rsidR="00F32B28" w:rsidRPr="00F32B28">
        <w:rPr>
          <w:rtl/>
          <w:lang w:bidi="ar-LB"/>
        </w:rPr>
        <w:t>خدمة</w:t>
      </w:r>
      <w:r w:rsidR="00F32B28">
        <w:rPr>
          <w:rtl/>
          <w:lang w:bidi="ar-LB"/>
        </w:rPr>
        <w:t xml:space="preserve"> </w:t>
      </w:r>
      <w:r w:rsidR="00F32B28" w:rsidRPr="00F32B28">
        <w:rPr>
          <w:rtl/>
          <w:lang w:bidi="ar-LB"/>
        </w:rPr>
        <w:t>مسحة</w:t>
      </w:r>
      <w:r w:rsidR="00F32B28">
        <w:rPr>
          <w:rtl/>
          <w:lang w:bidi="ar-LB"/>
        </w:rPr>
        <w:t xml:space="preserve"> </w:t>
      </w:r>
      <w:r w:rsidR="00F32B28" w:rsidRPr="00F32B28">
        <w:rPr>
          <w:rtl/>
          <w:lang w:bidi="ar-LB"/>
        </w:rPr>
        <w:t>عنق</w:t>
      </w:r>
      <w:r w:rsidR="00F32B28">
        <w:rPr>
          <w:rtl/>
          <w:lang w:bidi="ar-LB"/>
        </w:rPr>
        <w:t xml:space="preserve"> </w:t>
      </w:r>
      <w:r w:rsidR="00F32B28" w:rsidRPr="00F32B28">
        <w:rPr>
          <w:rtl/>
          <w:lang w:bidi="ar-LB"/>
        </w:rPr>
        <w:t>الرحم</w:t>
      </w:r>
      <w:r w:rsidR="00F32B28">
        <w:rPr>
          <w:rtl/>
          <w:lang w:bidi="ar-LB"/>
        </w:rPr>
        <w:t xml:space="preserve"> </w:t>
      </w:r>
      <w:r w:rsidR="00F32B28" w:rsidRPr="00F32B28">
        <w:rPr>
          <w:rtl/>
          <w:lang w:bidi="ar-LB"/>
        </w:rPr>
        <w:t>للنساء</w:t>
      </w:r>
      <w:r w:rsidR="00F32B28">
        <w:rPr>
          <w:rtl/>
          <w:lang w:bidi="ar-LB"/>
        </w:rPr>
        <w:t xml:space="preserve"> </w:t>
      </w:r>
      <w:r w:rsidR="00F32B28" w:rsidRPr="00F32B28">
        <w:rPr>
          <w:rtl/>
          <w:lang w:bidi="ar-LB"/>
        </w:rPr>
        <w:t>مجاناً،</w:t>
      </w:r>
      <w:r w:rsidR="00F32B28">
        <w:rPr>
          <w:rtl/>
          <w:lang w:bidi="ar-LB"/>
        </w:rPr>
        <w:t xml:space="preserve"> </w:t>
      </w:r>
      <w:r w:rsidR="00F32B28" w:rsidRPr="00F32B28">
        <w:rPr>
          <w:rtl/>
          <w:lang w:bidi="ar-LB"/>
        </w:rPr>
        <w:t>وقد</w:t>
      </w:r>
      <w:r w:rsidR="00F32B28">
        <w:rPr>
          <w:rtl/>
          <w:lang w:bidi="ar-LB"/>
        </w:rPr>
        <w:t xml:space="preserve"> </w:t>
      </w:r>
      <w:r w:rsidR="00F32B28" w:rsidRPr="00F32B28">
        <w:rPr>
          <w:rtl/>
          <w:lang w:bidi="ar-LB"/>
        </w:rPr>
        <w:t>تم</w:t>
      </w:r>
      <w:r w:rsidR="00F32B28">
        <w:rPr>
          <w:rtl/>
          <w:lang w:bidi="ar-LB"/>
        </w:rPr>
        <w:t xml:space="preserve"> </w:t>
      </w:r>
      <w:r w:rsidR="00F32B28" w:rsidRPr="00F32B28">
        <w:rPr>
          <w:rtl/>
          <w:lang w:bidi="ar-LB"/>
        </w:rPr>
        <w:t>شراء</w:t>
      </w:r>
      <w:r w:rsidR="00F32B28">
        <w:rPr>
          <w:rtl/>
          <w:lang w:bidi="ar-LB"/>
        </w:rPr>
        <w:t xml:space="preserve"> </w:t>
      </w:r>
      <w:r w:rsidR="00F32B28" w:rsidRPr="00F32B28">
        <w:rPr>
          <w:rtl/>
          <w:lang w:bidi="ar-LB"/>
        </w:rPr>
        <w:t>جميع</w:t>
      </w:r>
      <w:r w:rsidR="00F32B28">
        <w:rPr>
          <w:rtl/>
          <w:lang w:bidi="ar-LB"/>
        </w:rPr>
        <w:t xml:space="preserve"> </w:t>
      </w:r>
      <w:r w:rsidR="00F32B28" w:rsidRPr="00F32B28">
        <w:rPr>
          <w:rtl/>
          <w:lang w:bidi="ar-LB"/>
        </w:rPr>
        <w:t>المستلزمات</w:t>
      </w:r>
      <w:r w:rsidR="00F32B28">
        <w:rPr>
          <w:rtl/>
          <w:lang w:bidi="ar-LB"/>
        </w:rPr>
        <w:t xml:space="preserve"> </w:t>
      </w:r>
      <w:r w:rsidR="00F32B28" w:rsidRPr="00F32B28">
        <w:rPr>
          <w:rtl/>
          <w:lang w:bidi="ar-LB"/>
        </w:rPr>
        <w:t>والأجهزة</w:t>
      </w:r>
      <w:r w:rsidR="00F32B28">
        <w:rPr>
          <w:rtl/>
          <w:lang w:bidi="ar-LB"/>
        </w:rPr>
        <w:t xml:space="preserve"> </w:t>
      </w:r>
      <w:r w:rsidR="00F32B28" w:rsidRPr="00F32B28">
        <w:rPr>
          <w:rtl/>
          <w:lang w:bidi="ar-LB"/>
        </w:rPr>
        <w:t>الضرورية</w:t>
      </w:r>
      <w:r w:rsidR="00F32B28">
        <w:rPr>
          <w:rtl/>
          <w:lang w:bidi="ar-LB"/>
        </w:rPr>
        <w:t xml:space="preserve"> </w:t>
      </w:r>
      <w:r w:rsidR="00F32B28" w:rsidRPr="00F32B28">
        <w:rPr>
          <w:rtl/>
          <w:lang w:bidi="ar-LB"/>
        </w:rPr>
        <w:t>لاستمرار</w:t>
      </w:r>
      <w:r w:rsidR="00F32B28">
        <w:rPr>
          <w:rtl/>
          <w:lang w:bidi="ar-LB"/>
        </w:rPr>
        <w:t xml:space="preserve"> </w:t>
      </w:r>
      <w:r w:rsidR="00F32B28" w:rsidRPr="00F32B28">
        <w:rPr>
          <w:rtl/>
          <w:lang w:bidi="ar-LB"/>
        </w:rPr>
        <w:t>تقديمها،</w:t>
      </w:r>
      <w:r w:rsidR="00F32B28">
        <w:rPr>
          <w:rtl/>
          <w:lang w:bidi="ar-LB"/>
        </w:rPr>
        <w:t xml:space="preserve"> </w:t>
      </w:r>
      <w:r w:rsidR="00F32B28" w:rsidRPr="00F32B28">
        <w:rPr>
          <w:rtl/>
          <w:lang w:bidi="ar-LB"/>
        </w:rPr>
        <w:t>وتدريب</w:t>
      </w:r>
      <w:r w:rsidR="00F32B28">
        <w:rPr>
          <w:rtl/>
          <w:lang w:bidi="ar-LB"/>
        </w:rPr>
        <w:t xml:space="preserve"> </w:t>
      </w:r>
      <w:r w:rsidR="00F32B28" w:rsidRPr="00F32B28">
        <w:rPr>
          <w:rtl/>
          <w:lang w:bidi="ar-LB"/>
        </w:rPr>
        <w:t>مئات</w:t>
      </w:r>
      <w:r w:rsidR="00F32B28">
        <w:rPr>
          <w:rtl/>
          <w:lang w:bidi="ar-LB"/>
        </w:rPr>
        <w:t xml:space="preserve"> </w:t>
      </w:r>
      <w:r w:rsidR="00F32B28" w:rsidRPr="00F32B28">
        <w:rPr>
          <w:rtl/>
          <w:lang w:bidi="ar-LB"/>
        </w:rPr>
        <w:t>الممرضات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عيادات</w:t>
      </w:r>
      <w:r w:rsidR="00F32B28">
        <w:rPr>
          <w:rtl/>
          <w:lang w:bidi="ar-LB"/>
        </w:rPr>
        <w:t xml:space="preserve"> </w:t>
      </w:r>
      <w:r w:rsidR="00F32B28" w:rsidRPr="00F32B28">
        <w:rPr>
          <w:rtl/>
          <w:lang w:bidi="ar-LB"/>
        </w:rPr>
        <w:t>تنظيم</w:t>
      </w:r>
      <w:r w:rsidR="00F32B28">
        <w:rPr>
          <w:rtl/>
          <w:lang w:bidi="ar-LB"/>
        </w:rPr>
        <w:t xml:space="preserve"> </w:t>
      </w:r>
      <w:r w:rsidR="00F32B28" w:rsidRPr="00F32B28">
        <w:rPr>
          <w:rtl/>
          <w:lang w:bidi="ar-LB"/>
        </w:rPr>
        <w:t>الأسرة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سحب</w:t>
      </w:r>
      <w:r w:rsidR="00F32B28">
        <w:rPr>
          <w:rtl/>
          <w:lang w:bidi="ar-LB"/>
        </w:rPr>
        <w:t xml:space="preserve"> </w:t>
      </w:r>
      <w:r w:rsidR="00F32B28" w:rsidRPr="00F32B28">
        <w:rPr>
          <w:rtl/>
          <w:lang w:bidi="ar-LB"/>
        </w:rPr>
        <w:t>مسحة</w:t>
      </w:r>
      <w:r w:rsidR="00F32B28">
        <w:rPr>
          <w:rtl/>
          <w:lang w:bidi="ar-LB"/>
        </w:rPr>
        <w:t xml:space="preserve"> </w:t>
      </w:r>
      <w:r w:rsidR="00F32B28" w:rsidRPr="00F32B28">
        <w:rPr>
          <w:rtl/>
          <w:lang w:bidi="ar-LB"/>
        </w:rPr>
        <w:t>عنق</w:t>
      </w:r>
      <w:r w:rsidR="00F32B28">
        <w:rPr>
          <w:rtl/>
          <w:lang w:bidi="ar-LB"/>
        </w:rPr>
        <w:t xml:space="preserve"> </w:t>
      </w:r>
      <w:r w:rsidR="00F32B28" w:rsidRPr="00F32B28">
        <w:rPr>
          <w:rtl/>
          <w:lang w:bidi="ar-LB"/>
        </w:rPr>
        <w:t>الرحم.</w:t>
      </w:r>
      <w:r w:rsidR="00F32B28">
        <w:rPr>
          <w:rtl/>
          <w:lang w:bidi="ar-LB"/>
        </w:rPr>
        <w:t xml:space="preserve"> </w:t>
      </w:r>
    </w:p>
    <w:p w:rsidR="00AF1BC1" w:rsidRPr="00AF1BC1" w:rsidRDefault="00AF1BC1" w:rsidP="00AF1BC1">
      <w:pPr>
        <w:pStyle w:val="SingleTxt"/>
        <w:spacing w:after="0" w:line="120" w:lineRule="exact"/>
        <w:rPr>
          <w:b/>
          <w:bCs/>
          <w:sz w:val="10"/>
          <w:rtl/>
          <w:lang w:bidi="ar-LB"/>
        </w:rPr>
      </w:pPr>
    </w:p>
    <w:p w:rsidR="00F32B28" w:rsidRPr="00F32B28" w:rsidRDefault="00F32B28" w:rsidP="00F32B28">
      <w:pPr>
        <w:pStyle w:val="SingleTxt"/>
        <w:rPr>
          <w:b/>
          <w:bCs/>
          <w:rtl/>
          <w:lang w:bidi="ar-LB"/>
        </w:rPr>
      </w:pPr>
      <w:r w:rsidRPr="00F32B28">
        <w:rPr>
          <w:b/>
          <w:bCs/>
          <w:rtl/>
          <w:lang w:bidi="ar-LB"/>
        </w:rPr>
        <w:t>مرض</w:t>
      </w:r>
      <w:r>
        <w:rPr>
          <w:b/>
          <w:bCs/>
          <w:rtl/>
          <w:lang w:bidi="ar-LB"/>
        </w:rPr>
        <w:t xml:space="preserve"> </w:t>
      </w:r>
      <w:r w:rsidRPr="00F32B28">
        <w:rPr>
          <w:b/>
          <w:bCs/>
          <w:rtl/>
          <w:lang w:bidi="ar-LB"/>
        </w:rPr>
        <w:t>نقص</w:t>
      </w:r>
      <w:r>
        <w:rPr>
          <w:b/>
          <w:bCs/>
          <w:rtl/>
          <w:lang w:bidi="ar-LB"/>
        </w:rPr>
        <w:t xml:space="preserve"> </w:t>
      </w:r>
      <w:r w:rsidRPr="00F32B28">
        <w:rPr>
          <w:b/>
          <w:bCs/>
          <w:rtl/>
          <w:lang w:bidi="ar-LB"/>
        </w:rPr>
        <w:t>المناعة</w:t>
      </w:r>
      <w:r>
        <w:rPr>
          <w:b/>
          <w:bCs/>
          <w:rtl/>
          <w:lang w:bidi="ar-LB"/>
        </w:rPr>
        <w:t xml:space="preserve"> </w:t>
      </w:r>
      <w:r w:rsidRPr="00F32B28">
        <w:rPr>
          <w:b/>
          <w:bCs/>
          <w:rtl/>
          <w:lang w:bidi="ar-LB"/>
        </w:rPr>
        <w:t>المكتسبة</w:t>
      </w:r>
      <w:r>
        <w:rPr>
          <w:b/>
          <w:bCs/>
          <w:rtl/>
          <w:lang w:bidi="ar-LB"/>
        </w:rPr>
        <w:t xml:space="preserve"> </w:t>
      </w:r>
      <w:r w:rsidRPr="00F32B28">
        <w:rPr>
          <w:b/>
          <w:bCs/>
          <w:rtl/>
          <w:lang w:bidi="ar-LB"/>
        </w:rPr>
        <w:t>والأمراض</w:t>
      </w:r>
      <w:r>
        <w:rPr>
          <w:b/>
          <w:bCs/>
          <w:rtl/>
          <w:lang w:bidi="ar-LB"/>
        </w:rPr>
        <w:t xml:space="preserve"> </w:t>
      </w:r>
      <w:r w:rsidRPr="00F32B28">
        <w:rPr>
          <w:b/>
          <w:bCs/>
          <w:rtl/>
          <w:lang w:bidi="ar-LB"/>
        </w:rPr>
        <w:t>المنقولة</w:t>
      </w:r>
      <w:r>
        <w:rPr>
          <w:b/>
          <w:bCs/>
          <w:rtl/>
          <w:lang w:bidi="ar-LB"/>
        </w:rPr>
        <w:t xml:space="preserve"> </w:t>
      </w:r>
      <w:r w:rsidRPr="00F32B28">
        <w:rPr>
          <w:b/>
          <w:bCs/>
          <w:rtl/>
          <w:lang w:bidi="ar-LB"/>
        </w:rPr>
        <w:t>جنسياً</w:t>
      </w:r>
    </w:p>
    <w:p w:rsidR="00F32B28" w:rsidRPr="00F32B28" w:rsidRDefault="00AF1BC1" w:rsidP="00AF1BC1">
      <w:pPr>
        <w:pStyle w:val="SingleTxt"/>
        <w:rPr>
          <w:b/>
          <w:bCs/>
        </w:rPr>
      </w:pPr>
      <w:r>
        <w:rPr>
          <w:rFonts w:hint="cs"/>
          <w:rtl/>
          <w:lang w:bidi="ar-LB"/>
        </w:rPr>
        <w:t xml:space="preserve">250 - </w:t>
      </w:r>
      <w:r w:rsidR="00F32B28" w:rsidRPr="00F32B28">
        <w:rPr>
          <w:rtl/>
          <w:lang w:bidi="ar-LB"/>
        </w:rPr>
        <w:t>تقدم</w:t>
      </w:r>
      <w:r w:rsidR="00F32B28">
        <w:rPr>
          <w:rtl/>
          <w:lang w:bidi="ar-LB"/>
        </w:rPr>
        <w:t xml:space="preserve"> </w:t>
      </w:r>
      <w:r w:rsidR="00F32B28" w:rsidRPr="00F32B28">
        <w:rPr>
          <w:rFonts w:hint="cs"/>
          <w:rtl/>
          <w:lang w:bidi="ar-LB"/>
        </w:rPr>
        <w:t>وزارة</w:t>
      </w:r>
      <w:r w:rsidR="00F32B28">
        <w:rPr>
          <w:rFonts w:hint="cs"/>
          <w:rtl/>
          <w:lang w:bidi="ar-LB"/>
        </w:rPr>
        <w:t xml:space="preserve"> </w:t>
      </w:r>
      <w:r w:rsidR="00F32B28" w:rsidRPr="00F32B28">
        <w:rPr>
          <w:rFonts w:hint="cs"/>
          <w:rtl/>
          <w:lang w:bidi="ar-LB"/>
        </w:rPr>
        <w:t>الصحة</w:t>
      </w:r>
      <w:r w:rsidR="00F32B28">
        <w:rPr>
          <w:rFonts w:hint="cs"/>
          <w:rtl/>
          <w:lang w:bidi="ar-LB"/>
        </w:rPr>
        <w:t xml:space="preserve"> </w:t>
      </w:r>
      <w:r w:rsidR="00F32B28" w:rsidRPr="00F32B28">
        <w:rPr>
          <w:rFonts w:hint="cs"/>
          <w:rtl/>
          <w:lang w:bidi="ar-LB"/>
        </w:rPr>
        <w:t>خدمات</w:t>
      </w:r>
      <w:r w:rsidR="00F32B28">
        <w:rPr>
          <w:rFonts w:hint="cs"/>
          <w:rtl/>
          <w:lang w:bidi="ar-LB"/>
        </w:rPr>
        <w:t xml:space="preserve"> </w:t>
      </w:r>
      <w:r w:rsidR="00F32B28" w:rsidRPr="00F32B28">
        <w:rPr>
          <w:rFonts w:hint="cs"/>
          <w:rtl/>
          <w:lang w:bidi="ar-LB"/>
        </w:rPr>
        <w:t>طبية</w:t>
      </w:r>
      <w:r w:rsidR="00F32B28">
        <w:rPr>
          <w:rFonts w:hint="cs"/>
          <w:rtl/>
          <w:lang w:bidi="ar-LB"/>
        </w:rPr>
        <w:t xml:space="preserve"> </w:t>
      </w:r>
      <w:r w:rsidR="00F32B28" w:rsidRPr="00F32B28">
        <w:rPr>
          <w:rFonts w:hint="cs"/>
          <w:rtl/>
          <w:lang w:bidi="ar-LB"/>
        </w:rPr>
        <w:t>مجانية</w:t>
      </w:r>
      <w:r w:rsidR="00F32B28">
        <w:rPr>
          <w:rFonts w:hint="cs"/>
          <w:rtl/>
          <w:lang w:bidi="ar-LB"/>
        </w:rPr>
        <w:t xml:space="preserve"> </w:t>
      </w:r>
      <w:r w:rsidR="00F32B28" w:rsidRPr="00F32B28">
        <w:rPr>
          <w:rFonts w:hint="cs"/>
          <w:rtl/>
          <w:lang w:bidi="ar-LB"/>
        </w:rPr>
        <w:t>لكافة</w:t>
      </w:r>
      <w:r w:rsidR="00F32B28">
        <w:rPr>
          <w:rFonts w:hint="cs"/>
          <w:rtl/>
          <w:lang w:bidi="ar-LB"/>
        </w:rPr>
        <w:t xml:space="preserve"> </w:t>
      </w:r>
      <w:r w:rsidR="00F32B28" w:rsidRPr="00F32B28">
        <w:rPr>
          <w:rFonts w:hint="cs"/>
          <w:rtl/>
          <w:lang w:bidi="ar-LB"/>
        </w:rPr>
        <w:t>المصابين</w:t>
      </w:r>
      <w:r w:rsidR="00F32B28">
        <w:rPr>
          <w:rFonts w:hint="cs"/>
          <w:rtl/>
          <w:lang w:bidi="ar-LB"/>
        </w:rPr>
        <w:t xml:space="preserve"> </w:t>
      </w:r>
      <w:r w:rsidR="00F32B28" w:rsidRPr="00F32B28">
        <w:rPr>
          <w:rFonts w:hint="cs"/>
          <w:rtl/>
          <w:lang w:bidi="ar-LB"/>
        </w:rPr>
        <w:t>بهذه</w:t>
      </w:r>
      <w:r w:rsidR="00F32B28">
        <w:rPr>
          <w:rFonts w:hint="cs"/>
          <w:rtl/>
          <w:lang w:bidi="ar-LB"/>
        </w:rPr>
        <w:t xml:space="preserve"> </w:t>
      </w:r>
      <w:r w:rsidR="00F32B28" w:rsidRPr="00F32B28">
        <w:rPr>
          <w:rFonts w:hint="cs"/>
          <w:rtl/>
          <w:lang w:bidi="ar-LB"/>
        </w:rPr>
        <w:t>الأمراض</w:t>
      </w:r>
      <w:r w:rsidR="00F32B28">
        <w:rPr>
          <w:rFonts w:hint="cs"/>
          <w:rtl/>
          <w:lang w:bidi="ar-LB"/>
        </w:rPr>
        <w:t xml:space="preserve"> </w:t>
      </w:r>
      <w:r w:rsidR="00F32B28" w:rsidRPr="00F32B28">
        <w:rPr>
          <w:rFonts w:hint="cs"/>
          <w:rtl/>
          <w:lang w:bidi="ar-LB"/>
        </w:rPr>
        <w:t>وذلك</w:t>
      </w:r>
      <w:r w:rsidR="00F32B28">
        <w:rPr>
          <w:rFonts w:hint="cs"/>
          <w:rtl/>
          <w:lang w:bidi="ar-LB"/>
        </w:rPr>
        <w:t xml:space="preserve"> </w:t>
      </w:r>
      <w:r w:rsidR="00F32B28" w:rsidRPr="00F32B28">
        <w:rPr>
          <w:rtl/>
          <w:lang w:bidi="ar-LB"/>
        </w:rPr>
        <w:t>بواسطة</w:t>
      </w:r>
      <w:r w:rsidR="00F32B28">
        <w:rPr>
          <w:rtl/>
          <w:lang w:bidi="ar-LB"/>
        </w:rPr>
        <w:t xml:space="preserve"> </w:t>
      </w:r>
      <w:r w:rsidR="00F32B28" w:rsidRPr="00F32B28">
        <w:rPr>
          <w:rtl/>
          <w:lang w:bidi="ar-LB"/>
        </w:rPr>
        <w:t>المستشفيات</w:t>
      </w:r>
      <w:r w:rsidR="00F32B28">
        <w:rPr>
          <w:rtl/>
          <w:lang w:bidi="ar-LB"/>
        </w:rPr>
        <w:t xml:space="preserve"> </w:t>
      </w:r>
      <w:r w:rsidR="00F32B28" w:rsidRPr="00F32B28">
        <w:rPr>
          <w:rtl/>
          <w:lang w:bidi="ar-LB"/>
        </w:rPr>
        <w:t>الحكومية،</w:t>
      </w:r>
      <w:r w:rsidR="00F32B28">
        <w:rPr>
          <w:rFonts w:hint="cs"/>
          <w:rtl/>
          <w:lang w:bidi="ar-LB"/>
        </w:rPr>
        <w:t xml:space="preserve"> </w:t>
      </w:r>
      <w:r w:rsidR="00F32B28" w:rsidRPr="00F32B28">
        <w:rPr>
          <w:rFonts w:hint="cs"/>
          <w:rtl/>
          <w:lang w:bidi="ar-LB"/>
        </w:rPr>
        <w:t>بما</w:t>
      </w:r>
      <w:r w:rsidR="00F32B28">
        <w:rPr>
          <w:rFonts w:hint="cs"/>
          <w:rtl/>
          <w:lang w:bidi="ar-LB"/>
        </w:rPr>
        <w:t xml:space="preserve"> </w:t>
      </w:r>
      <w:r w:rsidR="00F32B28" w:rsidRPr="00F32B28">
        <w:rPr>
          <w:rFonts w:hint="cs"/>
          <w:rtl/>
          <w:lang w:bidi="ar-LB"/>
        </w:rPr>
        <w:t>في</w:t>
      </w:r>
      <w:r w:rsidR="00F32B28">
        <w:rPr>
          <w:rFonts w:hint="cs"/>
          <w:rtl/>
          <w:lang w:bidi="ar-LB"/>
        </w:rPr>
        <w:t xml:space="preserve"> </w:t>
      </w:r>
      <w:r w:rsidR="00F32B28" w:rsidRPr="00F32B28">
        <w:rPr>
          <w:rFonts w:hint="cs"/>
          <w:rtl/>
          <w:lang w:bidi="ar-LB"/>
        </w:rPr>
        <w:t>ذلك</w:t>
      </w:r>
      <w:r w:rsidR="00F32B28">
        <w:rPr>
          <w:rFonts w:hint="cs"/>
          <w:rtl/>
          <w:lang w:bidi="ar-LB"/>
        </w:rPr>
        <w:t xml:space="preserve"> </w:t>
      </w:r>
      <w:r w:rsidR="00F32B28" w:rsidRPr="00F32B28">
        <w:rPr>
          <w:rFonts w:hint="cs"/>
          <w:rtl/>
          <w:lang w:bidi="ar-LB"/>
        </w:rPr>
        <w:t>التشخيص</w:t>
      </w:r>
      <w:r w:rsidR="00F32B28">
        <w:rPr>
          <w:rFonts w:hint="cs"/>
          <w:rtl/>
          <w:lang w:bidi="ar-LB"/>
        </w:rPr>
        <w:t xml:space="preserve"> </w:t>
      </w:r>
      <w:r w:rsidR="00F32B28" w:rsidRPr="00F32B28">
        <w:rPr>
          <w:rFonts w:hint="cs"/>
          <w:rtl/>
          <w:lang w:bidi="ar-LB"/>
        </w:rPr>
        <w:t>والعلاج،</w:t>
      </w:r>
      <w:r w:rsidR="00F32B28">
        <w:rPr>
          <w:rtl/>
          <w:lang w:bidi="ar-LB"/>
        </w:rPr>
        <w:t xml:space="preserve"> </w:t>
      </w:r>
      <w:r w:rsidR="00F32B28" w:rsidRPr="00F32B28">
        <w:rPr>
          <w:rtl/>
          <w:lang w:bidi="ar-LB"/>
        </w:rPr>
        <w:t>وتتحمل</w:t>
      </w:r>
      <w:r w:rsidR="00F32B28">
        <w:rPr>
          <w:rtl/>
          <w:lang w:bidi="ar-LB"/>
        </w:rPr>
        <w:t xml:space="preserve"> </w:t>
      </w:r>
      <w:r w:rsidR="00F32B28" w:rsidRPr="00F32B28">
        <w:rPr>
          <w:rFonts w:hint="cs"/>
          <w:rtl/>
          <w:lang w:bidi="ar-LB"/>
        </w:rPr>
        <w:t>الوزارة</w:t>
      </w:r>
      <w:r w:rsidR="00F32B28">
        <w:rPr>
          <w:rFonts w:hint="cs"/>
          <w:rtl/>
          <w:lang w:bidi="ar-LB"/>
        </w:rPr>
        <w:t xml:space="preserve"> </w:t>
      </w:r>
      <w:r w:rsidR="00F32B28" w:rsidRPr="00F32B28">
        <w:rPr>
          <w:rtl/>
          <w:lang w:bidi="ar-LB"/>
        </w:rPr>
        <w:t>عند</w:t>
      </w:r>
      <w:r w:rsidR="00F32B28">
        <w:rPr>
          <w:rtl/>
          <w:lang w:bidi="ar-LB"/>
        </w:rPr>
        <w:t xml:space="preserve"> </w:t>
      </w:r>
      <w:r w:rsidR="00F32B28" w:rsidRPr="00F32B28">
        <w:rPr>
          <w:rtl/>
          <w:lang w:bidi="ar-LB"/>
        </w:rPr>
        <w:t>الحاجة</w:t>
      </w:r>
      <w:r w:rsidR="00F32B28">
        <w:rPr>
          <w:rtl/>
          <w:lang w:bidi="ar-LB"/>
        </w:rPr>
        <w:t xml:space="preserve"> </w:t>
      </w:r>
      <w:r w:rsidR="00F32B28" w:rsidRPr="00F32B28">
        <w:rPr>
          <w:rFonts w:hint="cs"/>
          <w:rtl/>
          <w:lang w:bidi="ar-LB"/>
        </w:rPr>
        <w:t>نفقات</w:t>
      </w:r>
      <w:r w:rsidR="00F32B28">
        <w:rPr>
          <w:rFonts w:hint="cs"/>
          <w:rtl/>
          <w:lang w:bidi="ar-LB"/>
        </w:rPr>
        <w:t xml:space="preserve"> </w:t>
      </w:r>
      <w:r w:rsidR="00F32B28" w:rsidRPr="00F32B28">
        <w:rPr>
          <w:rFonts w:hint="cs"/>
          <w:rtl/>
          <w:lang w:bidi="ar-LB"/>
        </w:rPr>
        <w:t>العلاج</w:t>
      </w:r>
      <w:r w:rsidR="00F32B28">
        <w:rPr>
          <w:rFonts w:hint="cs"/>
          <w:rtl/>
          <w:lang w:bidi="ar-LB"/>
        </w:rPr>
        <w:t xml:space="preserve"> </w:t>
      </w:r>
      <w:r w:rsidR="00F32B28" w:rsidRPr="00F32B28">
        <w:rPr>
          <w:rtl/>
          <w:lang w:bidi="ar-LB"/>
        </w:rPr>
        <w:t>في</w:t>
      </w:r>
      <w:r w:rsidR="00F32B28">
        <w:rPr>
          <w:rtl/>
          <w:lang w:bidi="ar-LB"/>
        </w:rPr>
        <w:t xml:space="preserve"> </w:t>
      </w:r>
      <w:r w:rsidR="00F32B28" w:rsidRPr="00F32B28">
        <w:rPr>
          <w:rFonts w:hint="cs"/>
          <w:rtl/>
          <w:lang w:bidi="ar-LB"/>
        </w:rPr>
        <w:t>ال</w:t>
      </w:r>
      <w:r w:rsidR="00F32B28" w:rsidRPr="00F32B28">
        <w:rPr>
          <w:rtl/>
          <w:lang w:bidi="ar-LB"/>
        </w:rPr>
        <w:t>مستشفيات</w:t>
      </w:r>
      <w:r w:rsidR="00F32B28">
        <w:rPr>
          <w:rtl/>
          <w:lang w:bidi="ar-LB"/>
        </w:rPr>
        <w:t xml:space="preserve"> </w:t>
      </w:r>
      <w:r w:rsidR="00F32B28" w:rsidRPr="00F32B28">
        <w:rPr>
          <w:rFonts w:hint="cs"/>
          <w:rtl/>
          <w:lang w:bidi="ar-LB"/>
        </w:rPr>
        <w:t>ال</w:t>
      </w:r>
      <w:r w:rsidR="00F32B28" w:rsidRPr="00F32B28">
        <w:rPr>
          <w:rtl/>
          <w:lang w:bidi="ar-LB"/>
        </w:rPr>
        <w:t>خاص</w:t>
      </w:r>
      <w:r w:rsidR="00F32B28" w:rsidRPr="00F32B28">
        <w:rPr>
          <w:rFonts w:hint="cs"/>
          <w:rtl/>
          <w:lang w:bidi="ar-LB"/>
        </w:rPr>
        <w:t>ة.</w:t>
      </w:r>
      <w:r w:rsidR="00F32B28">
        <w:rPr>
          <w:rFonts w:hint="cs"/>
          <w:rtl/>
          <w:lang w:bidi="ar-LB"/>
        </w:rPr>
        <w:t xml:space="preserve"> </w:t>
      </w:r>
      <w:r w:rsidR="00F32B28" w:rsidRPr="00F32B28">
        <w:rPr>
          <w:rFonts w:hint="cs"/>
          <w:rtl/>
          <w:lang w:bidi="ar-LB"/>
        </w:rPr>
        <w:t>كما</w:t>
      </w:r>
      <w:r w:rsidR="00F32B28">
        <w:rPr>
          <w:rFonts w:hint="cs"/>
          <w:rtl/>
          <w:lang w:bidi="ar-LB"/>
        </w:rPr>
        <w:t xml:space="preserve"> </w:t>
      </w:r>
      <w:r w:rsidR="00F32B28" w:rsidRPr="00F32B28">
        <w:rPr>
          <w:rFonts w:hint="cs"/>
          <w:rtl/>
          <w:lang w:bidi="ar-LB"/>
        </w:rPr>
        <w:t>تقوم</w:t>
      </w:r>
      <w:r w:rsidR="00F32B28">
        <w:rPr>
          <w:rFonts w:hint="cs"/>
          <w:rtl/>
          <w:lang w:bidi="ar-LB"/>
        </w:rPr>
        <w:t xml:space="preserve"> </w:t>
      </w:r>
      <w:r w:rsidR="00F32B28" w:rsidRPr="00F32B28">
        <w:rPr>
          <w:rFonts w:hint="cs"/>
          <w:rtl/>
          <w:lang w:bidi="ar-LB"/>
        </w:rPr>
        <w:t>الوزارة،</w:t>
      </w:r>
      <w:r w:rsidR="00F32B28">
        <w:rPr>
          <w:rFonts w:hint="cs"/>
          <w:rtl/>
          <w:lang w:bidi="ar-LB"/>
        </w:rPr>
        <w:t xml:space="preserve"> </w:t>
      </w:r>
      <w:r w:rsidR="00F32B28" w:rsidRPr="00F32B28">
        <w:rPr>
          <w:rFonts w:hint="cs"/>
          <w:rtl/>
          <w:lang w:bidi="ar-LB"/>
        </w:rPr>
        <w:t>لا</w:t>
      </w:r>
      <w:r w:rsidR="00F32B28">
        <w:rPr>
          <w:rFonts w:hint="cs"/>
          <w:rtl/>
          <w:lang w:bidi="ar-LB"/>
        </w:rPr>
        <w:t xml:space="preserve"> </w:t>
      </w:r>
      <w:r w:rsidR="00F32B28" w:rsidRPr="00F32B28">
        <w:rPr>
          <w:rFonts w:hint="cs"/>
          <w:rtl/>
          <w:lang w:bidi="ar-LB"/>
        </w:rPr>
        <w:t>سيما</w:t>
      </w:r>
      <w:r w:rsidR="00F32B28">
        <w:rPr>
          <w:rFonts w:hint="cs"/>
          <w:rtl/>
          <w:lang w:bidi="ar-LB"/>
        </w:rPr>
        <w:t xml:space="preserve"> </w:t>
      </w:r>
      <w:r w:rsidR="00F32B28" w:rsidRPr="00F32B28">
        <w:rPr>
          <w:rFonts w:hint="cs"/>
          <w:rtl/>
          <w:lang w:bidi="ar-LB"/>
        </w:rPr>
        <w:t>من</w:t>
      </w:r>
      <w:r w:rsidR="00F32B28">
        <w:rPr>
          <w:rFonts w:hint="cs"/>
          <w:rtl/>
          <w:lang w:bidi="ar-LB"/>
        </w:rPr>
        <w:t xml:space="preserve"> </w:t>
      </w:r>
      <w:r w:rsidR="00F32B28" w:rsidRPr="00F32B28">
        <w:rPr>
          <w:rFonts w:hint="cs"/>
          <w:rtl/>
          <w:lang w:bidi="ar-LB"/>
        </w:rPr>
        <w:t>خلال</w:t>
      </w:r>
      <w:r w:rsidR="00F32B28">
        <w:rPr>
          <w:rFonts w:hint="cs"/>
          <w:rtl/>
          <w:lang w:bidi="ar-LB"/>
        </w:rPr>
        <w:t xml:space="preserve"> </w:t>
      </w:r>
      <w:r w:rsidR="00F32B28" w:rsidRPr="00F32B28">
        <w:rPr>
          <w:rFonts w:hint="cs"/>
          <w:rtl/>
          <w:lang w:bidi="ar-LB"/>
        </w:rPr>
        <w:t>اللجنة</w:t>
      </w:r>
      <w:r w:rsidR="00F32B28">
        <w:rPr>
          <w:rFonts w:hint="cs"/>
          <w:rtl/>
          <w:lang w:bidi="ar-LB"/>
        </w:rPr>
        <w:t xml:space="preserve"> </w:t>
      </w:r>
      <w:r w:rsidR="00F32B28" w:rsidRPr="00F32B28">
        <w:rPr>
          <w:rFonts w:hint="cs"/>
          <w:rtl/>
          <w:lang w:bidi="ar-LB"/>
        </w:rPr>
        <w:t>الوطنية</w:t>
      </w:r>
      <w:r w:rsidR="00F32B28">
        <w:rPr>
          <w:rFonts w:hint="cs"/>
          <w:rtl/>
          <w:lang w:bidi="ar-LB"/>
        </w:rPr>
        <w:t xml:space="preserve"> </w:t>
      </w:r>
      <w:r w:rsidR="00F32B28" w:rsidRPr="00F32B28">
        <w:rPr>
          <w:rFonts w:hint="cs"/>
          <w:rtl/>
          <w:lang w:bidi="ar-LB"/>
        </w:rPr>
        <w:t>لمكافحة</w:t>
      </w:r>
      <w:r w:rsidR="00F32B28">
        <w:rPr>
          <w:rFonts w:hint="cs"/>
          <w:rtl/>
          <w:lang w:bidi="ar-LB"/>
        </w:rPr>
        <w:t xml:space="preserve"> </w:t>
      </w:r>
      <w:r w:rsidR="00F32B28" w:rsidRPr="00F32B28">
        <w:rPr>
          <w:rFonts w:hint="cs"/>
          <w:rtl/>
          <w:lang w:bidi="ar-LB"/>
        </w:rPr>
        <w:t>مرض</w:t>
      </w:r>
      <w:r w:rsidR="00F32B28">
        <w:rPr>
          <w:rFonts w:hint="cs"/>
          <w:rtl/>
          <w:lang w:bidi="ar-LB"/>
        </w:rPr>
        <w:t xml:space="preserve"> </w:t>
      </w:r>
      <w:r w:rsidR="00F32B28" w:rsidRPr="00F32B28">
        <w:rPr>
          <w:rFonts w:hint="cs"/>
          <w:rtl/>
          <w:lang w:bidi="ar-LB"/>
        </w:rPr>
        <w:t>الإيدز،</w:t>
      </w:r>
      <w:r w:rsidR="00F32B28">
        <w:rPr>
          <w:rFonts w:hint="cs"/>
          <w:rtl/>
          <w:lang w:bidi="ar-LB"/>
        </w:rPr>
        <w:t xml:space="preserve"> </w:t>
      </w:r>
      <w:r w:rsidR="00F32B28" w:rsidRPr="00F32B28">
        <w:rPr>
          <w:rFonts w:hint="cs"/>
          <w:rtl/>
          <w:lang w:bidi="ar-LB"/>
        </w:rPr>
        <w:t>بتنفيذ</w:t>
      </w:r>
      <w:r>
        <w:rPr>
          <w:rFonts w:hint="cs"/>
          <w:rtl/>
          <w:lang w:bidi="ar-LB"/>
        </w:rPr>
        <w:t xml:space="preserve"> </w:t>
      </w:r>
      <w:r w:rsidR="00F32B28" w:rsidRPr="00F32B28">
        <w:rPr>
          <w:rFonts w:hint="cs"/>
          <w:rtl/>
          <w:lang w:bidi="ar-LB"/>
        </w:rPr>
        <w:t>العديد</w:t>
      </w:r>
      <w:r w:rsidR="00F32B28">
        <w:rPr>
          <w:rFonts w:hint="cs"/>
          <w:rtl/>
          <w:lang w:bidi="ar-LB"/>
        </w:rPr>
        <w:t xml:space="preserve"> </w:t>
      </w:r>
      <w:r w:rsidR="00F32B28" w:rsidRPr="00F32B28">
        <w:rPr>
          <w:rFonts w:hint="cs"/>
          <w:rtl/>
          <w:lang w:bidi="ar-LB"/>
        </w:rPr>
        <w:t>من</w:t>
      </w:r>
      <w:r w:rsidR="00F32B28">
        <w:rPr>
          <w:rFonts w:hint="cs"/>
          <w:rtl/>
          <w:lang w:bidi="ar-LB"/>
        </w:rPr>
        <w:t xml:space="preserve"> </w:t>
      </w:r>
      <w:r w:rsidR="00F32B28" w:rsidRPr="00F32B28">
        <w:rPr>
          <w:rFonts w:hint="cs"/>
          <w:rtl/>
          <w:lang w:bidi="ar-LB"/>
        </w:rPr>
        <w:t>البرامج</w:t>
      </w:r>
      <w:r w:rsidR="00F32B28">
        <w:rPr>
          <w:rFonts w:hint="cs"/>
          <w:rtl/>
          <w:lang w:bidi="ar-LB"/>
        </w:rPr>
        <w:t xml:space="preserve"> </w:t>
      </w:r>
      <w:r w:rsidR="00F32B28" w:rsidRPr="00F32B28">
        <w:rPr>
          <w:rFonts w:hint="cs"/>
          <w:rtl/>
          <w:lang w:bidi="ar-LB"/>
        </w:rPr>
        <w:t>التي</w:t>
      </w:r>
      <w:r w:rsidR="00F32B28">
        <w:rPr>
          <w:rFonts w:hint="cs"/>
          <w:rtl/>
          <w:lang w:bidi="ar-LB"/>
        </w:rPr>
        <w:t xml:space="preserve"> </w:t>
      </w:r>
      <w:r w:rsidR="00F32B28" w:rsidRPr="00F32B28">
        <w:rPr>
          <w:rFonts w:hint="cs"/>
          <w:rtl/>
          <w:lang w:bidi="ar-LB"/>
        </w:rPr>
        <w:t>تهدف</w:t>
      </w:r>
      <w:r>
        <w:rPr>
          <w:rFonts w:hint="cs"/>
          <w:rtl/>
          <w:lang w:bidi="ar-LB"/>
        </w:rPr>
        <w:t xml:space="preserve"> </w:t>
      </w:r>
      <w:r w:rsidR="00F32B28" w:rsidRPr="00F32B28">
        <w:rPr>
          <w:rFonts w:hint="cs"/>
          <w:rtl/>
          <w:lang w:bidi="ar-LB"/>
        </w:rPr>
        <w:t>إلى</w:t>
      </w:r>
      <w:r>
        <w:rPr>
          <w:rFonts w:hint="cs"/>
          <w:rtl/>
          <w:lang w:bidi="ar-LB"/>
        </w:rPr>
        <w:t xml:space="preserve"> </w:t>
      </w:r>
      <w:r w:rsidR="00F32B28" w:rsidRPr="00F32B28">
        <w:rPr>
          <w:rFonts w:hint="cs"/>
          <w:rtl/>
          <w:lang w:bidi="ar-LB"/>
        </w:rPr>
        <w:t>الحد</w:t>
      </w:r>
      <w:r>
        <w:rPr>
          <w:rFonts w:hint="cs"/>
          <w:rtl/>
          <w:lang w:bidi="ar-LB"/>
        </w:rPr>
        <w:t xml:space="preserve"> </w:t>
      </w:r>
      <w:r w:rsidR="00F32B28" w:rsidRPr="00F32B28">
        <w:rPr>
          <w:rFonts w:hint="cs"/>
          <w:rtl/>
          <w:lang w:bidi="ar-LB"/>
        </w:rPr>
        <w:t>من</w:t>
      </w:r>
      <w:r>
        <w:rPr>
          <w:rFonts w:hint="cs"/>
          <w:rtl/>
          <w:lang w:bidi="ar-LB"/>
        </w:rPr>
        <w:t xml:space="preserve"> </w:t>
      </w:r>
      <w:r w:rsidR="00F32B28" w:rsidRPr="00F32B28">
        <w:rPr>
          <w:rFonts w:hint="cs"/>
          <w:rtl/>
          <w:lang w:bidi="ar-LB"/>
        </w:rPr>
        <w:t>انتشار</w:t>
      </w:r>
      <w:r>
        <w:rPr>
          <w:rFonts w:hint="cs"/>
          <w:rtl/>
          <w:lang w:bidi="ar-LB"/>
        </w:rPr>
        <w:t xml:space="preserve"> </w:t>
      </w:r>
      <w:r w:rsidR="00F32B28" w:rsidRPr="00F32B28">
        <w:rPr>
          <w:rFonts w:hint="cs"/>
          <w:rtl/>
          <w:lang w:bidi="ar-LB"/>
        </w:rPr>
        <w:t>هذه</w:t>
      </w:r>
      <w:r w:rsidR="00F32B28">
        <w:rPr>
          <w:rFonts w:hint="cs"/>
          <w:rtl/>
          <w:lang w:bidi="ar-LB"/>
        </w:rPr>
        <w:t xml:space="preserve"> </w:t>
      </w:r>
      <w:r w:rsidR="00F32B28" w:rsidRPr="00F32B28">
        <w:rPr>
          <w:rFonts w:hint="cs"/>
          <w:rtl/>
          <w:lang w:bidi="ar-LB"/>
        </w:rPr>
        <w:t>الأمراض</w:t>
      </w:r>
      <w:r w:rsidR="00F32B28">
        <w:rPr>
          <w:rFonts w:hint="cs"/>
          <w:rtl/>
          <w:lang w:bidi="ar-LB"/>
        </w:rPr>
        <w:t xml:space="preserve"> </w:t>
      </w:r>
      <w:r w:rsidR="00F32B28" w:rsidRPr="00F32B28">
        <w:rPr>
          <w:rFonts w:hint="cs"/>
          <w:rtl/>
          <w:lang w:bidi="ar-LB"/>
        </w:rPr>
        <w:t>عن</w:t>
      </w:r>
      <w:r>
        <w:rPr>
          <w:rFonts w:hint="cs"/>
          <w:rtl/>
          <w:lang w:bidi="ar-LB"/>
        </w:rPr>
        <w:t xml:space="preserve"> </w:t>
      </w:r>
      <w:r w:rsidR="00F32B28" w:rsidRPr="00F32B28">
        <w:rPr>
          <w:rFonts w:hint="cs"/>
          <w:rtl/>
          <w:lang w:bidi="ar-LB"/>
        </w:rPr>
        <w:t>طريق</w:t>
      </w:r>
      <w:r>
        <w:rPr>
          <w:rFonts w:hint="cs"/>
          <w:rtl/>
          <w:lang w:bidi="ar-LB"/>
        </w:rPr>
        <w:t xml:space="preserve"> </w:t>
      </w:r>
      <w:r w:rsidR="00F32B28" w:rsidRPr="00F32B28">
        <w:rPr>
          <w:rFonts w:hint="cs"/>
          <w:rtl/>
          <w:lang w:bidi="ar-LB"/>
        </w:rPr>
        <w:t>نشر</w:t>
      </w:r>
      <w:r>
        <w:rPr>
          <w:rFonts w:hint="cs"/>
          <w:rtl/>
          <w:lang w:bidi="ar-LB"/>
        </w:rPr>
        <w:t xml:space="preserve"> </w:t>
      </w:r>
      <w:r w:rsidR="00F32B28" w:rsidRPr="00F32B28">
        <w:rPr>
          <w:rFonts w:hint="cs"/>
          <w:rtl/>
          <w:lang w:bidi="ar-LB"/>
        </w:rPr>
        <w:t>المعرفة</w:t>
      </w:r>
      <w:r>
        <w:rPr>
          <w:rFonts w:hint="cs"/>
          <w:rtl/>
          <w:lang w:bidi="ar-LB"/>
        </w:rPr>
        <w:t xml:space="preserve"> </w:t>
      </w:r>
      <w:r w:rsidR="00F32B28" w:rsidRPr="00F32B28">
        <w:rPr>
          <w:rFonts w:hint="cs"/>
          <w:rtl/>
          <w:lang w:bidi="ar-LB"/>
        </w:rPr>
        <w:t>والتثقيف</w:t>
      </w:r>
      <w:r>
        <w:rPr>
          <w:rFonts w:hint="cs"/>
          <w:rtl/>
          <w:lang w:bidi="ar-LB"/>
        </w:rPr>
        <w:t xml:space="preserve"> </w:t>
      </w:r>
      <w:r w:rsidR="00F32B28" w:rsidRPr="00F32B28">
        <w:rPr>
          <w:rFonts w:hint="cs"/>
          <w:rtl/>
          <w:lang w:bidi="ar-LB"/>
        </w:rPr>
        <w:t>الصحي</w:t>
      </w:r>
      <w:r>
        <w:rPr>
          <w:rFonts w:hint="cs"/>
          <w:rtl/>
          <w:lang w:bidi="ar-LB"/>
        </w:rPr>
        <w:t xml:space="preserve"> </w:t>
      </w:r>
      <w:r w:rsidR="00F32B28" w:rsidRPr="00F32B28">
        <w:rPr>
          <w:rFonts w:hint="cs"/>
          <w:rtl/>
          <w:lang w:bidi="ar-LB"/>
        </w:rPr>
        <w:t>وتوفير</w:t>
      </w:r>
      <w:r>
        <w:rPr>
          <w:rFonts w:hint="cs"/>
          <w:rtl/>
          <w:lang w:bidi="ar-LB"/>
        </w:rPr>
        <w:t xml:space="preserve"> </w:t>
      </w:r>
      <w:r w:rsidR="00F32B28" w:rsidRPr="00F32B28">
        <w:rPr>
          <w:rFonts w:hint="cs"/>
          <w:rtl/>
          <w:lang w:bidi="ar-LB"/>
        </w:rPr>
        <w:t>الدعم</w:t>
      </w:r>
      <w:r>
        <w:rPr>
          <w:rFonts w:hint="cs"/>
          <w:rtl/>
          <w:lang w:bidi="ar-LB"/>
        </w:rPr>
        <w:t xml:space="preserve"> </w:t>
      </w:r>
      <w:r w:rsidR="00F32B28" w:rsidRPr="00F32B28">
        <w:rPr>
          <w:rFonts w:hint="cs"/>
          <w:rtl/>
          <w:lang w:bidi="ar-LB"/>
        </w:rPr>
        <w:t>والرعاية</w:t>
      </w:r>
      <w:r>
        <w:rPr>
          <w:rFonts w:hint="cs"/>
          <w:rtl/>
          <w:lang w:bidi="ar-LB"/>
        </w:rPr>
        <w:t xml:space="preserve"> </w:t>
      </w:r>
      <w:r w:rsidR="00F32B28" w:rsidRPr="00F32B28">
        <w:rPr>
          <w:rFonts w:hint="cs"/>
          <w:rtl/>
          <w:lang w:bidi="ar-LB"/>
        </w:rPr>
        <w:t>للأشخاص</w:t>
      </w:r>
      <w:r>
        <w:rPr>
          <w:rFonts w:hint="cs"/>
          <w:rtl/>
          <w:lang w:bidi="ar-LB"/>
        </w:rPr>
        <w:t xml:space="preserve"> </w:t>
      </w:r>
      <w:r w:rsidR="00F32B28" w:rsidRPr="00F32B28">
        <w:rPr>
          <w:rFonts w:hint="cs"/>
          <w:rtl/>
          <w:lang w:bidi="ar-LB"/>
        </w:rPr>
        <w:t>المصابين</w:t>
      </w:r>
      <w:r>
        <w:rPr>
          <w:rFonts w:hint="cs"/>
          <w:rtl/>
          <w:lang w:bidi="ar-LB"/>
        </w:rPr>
        <w:t xml:space="preserve"> </w:t>
      </w:r>
      <w:r w:rsidR="00F32B28" w:rsidRPr="00F32B28">
        <w:rPr>
          <w:rFonts w:hint="cs"/>
          <w:rtl/>
          <w:lang w:bidi="ar-LB"/>
        </w:rPr>
        <w:t>وعائلاتهم.</w:t>
      </w:r>
      <w:r w:rsidR="00F32B28">
        <w:rPr>
          <w:rFonts w:hint="cs"/>
          <w:rtl/>
          <w:lang w:bidi="ar-LB"/>
        </w:rPr>
        <w:t xml:space="preserve"> </w:t>
      </w:r>
      <w:r w:rsidR="00F32B28" w:rsidRPr="00F32B28">
        <w:rPr>
          <w:rFonts w:hint="cs"/>
          <w:rtl/>
          <w:lang w:bidi="ar-LB"/>
        </w:rPr>
        <w:t>وتشير</w:t>
      </w:r>
      <w:r>
        <w:rPr>
          <w:rFonts w:hint="cs"/>
          <w:rtl/>
          <w:lang w:bidi="ar-LB"/>
        </w:rPr>
        <w:t xml:space="preserve"> </w:t>
      </w:r>
      <w:r w:rsidR="00F32B28" w:rsidRPr="00F32B28">
        <w:rPr>
          <w:rFonts w:hint="cs"/>
          <w:rtl/>
          <w:lang w:bidi="ar-LB"/>
        </w:rPr>
        <w:t>إحصائيات</w:t>
      </w:r>
      <w:r w:rsidR="00F32B28">
        <w:rPr>
          <w:rFonts w:hint="cs"/>
          <w:rtl/>
          <w:lang w:bidi="ar-LB"/>
        </w:rPr>
        <w:t xml:space="preserve"> </w:t>
      </w:r>
      <w:r w:rsidR="00F32B28" w:rsidRPr="00F32B28">
        <w:rPr>
          <w:rFonts w:hint="cs"/>
          <w:rtl/>
          <w:lang w:bidi="ar-LB"/>
        </w:rPr>
        <w:t>منذ</w:t>
      </w:r>
      <w:r w:rsidR="00F32B28">
        <w:rPr>
          <w:rFonts w:hint="cs"/>
          <w:rtl/>
          <w:lang w:bidi="ar-LB"/>
        </w:rPr>
        <w:t xml:space="preserve"> </w:t>
      </w:r>
      <w:r w:rsidR="00F32B28" w:rsidRPr="00F32B28">
        <w:rPr>
          <w:rFonts w:hint="cs"/>
          <w:rtl/>
          <w:lang w:bidi="ar-LB"/>
        </w:rPr>
        <w:t>عام</w:t>
      </w:r>
      <w:r w:rsidR="00F32B28">
        <w:rPr>
          <w:rFonts w:hint="cs"/>
          <w:rtl/>
          <w:lang w:bidi="ar-LB"/>
        </w:rPr>
        <w:t xml:space="preserve"> </w:t>
      </w:r>
      <w:r w:rsidR="00F32B28" w:rsidRPr="00F32B28">
        <w:rPr>
          <w:rFonts w:hint="cs"/>
          <w:rtl/>
          <w:lang w:bidi="ar-LB"/>
        </w:rPr>
        <w:t>1998</w:t>
      </w:r>
      <w:r w:rsidR="00F32B28">
        <w:rPr>
          <w:rFonts w:hint="cs"/>
          <w:rtl/>
          <w:lang w:bidi="ar-LB"/>
        </w:rPr>
        <w:t xml:space="preserve"> </w:t>
      </w:r>
      <w:r w:rsidR="00F32B28" w:rsidRPr="00F32B28">
        <w:rPr>
          <w:rFonts w:hint="cs"/>
          <w:rtl/>
          <w:lang w:bidi="ar-LB"/>
        </w:rPr>
        <w:t>وحتى</w:t>
      </w:r>
      <w:r w:rsidR="00F32B28">
        <w:rPr>
          <w:rFonts w:hint="cs"/>
          <w:rtl/>
          <w:lang w:bidi="ar-LB"/>
        </w:rPr>
        <w:t xml:space="preserve"> </w:t>
      </w:r>
      <w:r w:rsidR="00F32B28" w:rsidRPr="00F32B28">
        <w:rPr>
          <w:rFonts w:hint="cs"/>
          <w:rtl/>
          <w:lang w:bidi="ar-LB"/>
        </w:rPr>
        <w:t>عام</w:t>
      </w:r>
      <w:r w:rsidR="00F32B28">
        <w:rPr>
          <w:rFonts w:hint="cs"/>
          <w:rtl/>
          <w:lang w:bidi="ar-LB"/>
        </w:rPr>
        <w:t xml:space="preserve"> </w:t>
      </w:r>
      <w:r w:rsidR="00F32B28" w:rsidRPr="00F32B28">
        <w:rPr>
          <w:rFonts w:hint="cs"/>
          <w:rtl/>
          <w:lang w:bidi="ar-LB"/>
        </w:rPr>
        <w:t>2016</w:t>
      </w:r>
      <w:r w:rsidR="00F32B28">
        <w:rPr>
          <w:rFonts w:hint="cs"/>
          <w:rtl/>
          <w:lang w:bidi="ar-LB"/>
        </w:rPr>
        <w:t xml:space="preserve"> </w:t>
      </w:r>
      <w:r w:rsidR="00F32B28" w:rsidRPr="00F32B28">
        <w:rPr>
          <w:rFonts w:hint="cs"/>
          <w:rtl/>
          <w:lang w:bidi="ar-LB"/>
        </w:rPr>
        <w:t>إلى</w:t>
      </w:r>
      <w:r w:rsidR="00F32B28">
        <w:rPr>
          <w:rFonts w:hint="cs"/>
          <w:rtl/>
          <w:lang w:bidi="ar-LB"/>
        </w:rPr>
        <w:t xml:space="preserve"> </w:t>
      </w:r>
      <w:r w:rsidR="00F32B28" w:rsidRPr="00F32B28">
        <w:rPr>
          <w:rFonts w:hint="cs"/>
          <w:rtl/>
          <w:lang w:bidi="ar-LB"/>
        </w:rPr>
        <w:t>وجود</w:t>
      </w:r>
      <w:r w:rsidR="00F32B28">
        <w:rPr>
          <w:rFonts w:hint="cs"/>
          <w:rtl/>
          <w:lang w:bidi="ar-LB"/>
        </w:rPr>
        <w:t xml:space="preserve"> </w:t>
      </w:r>
      <w:r w:rsidR="00F32B28" w:rsidRPr="00F32B28">
        <w:rPr>
          <w:rFonts w:hint="cs"/>
          <w:rtl/>
          <w:lang w:bidi="ar-LB"/>
        </w:rPr>
        <w:t>(94)</w:t>
      </w:r>
      <w:r w:rsidR="00F32B28">
        <w:rPr>
          <w:rFonts w:hint="cs"/>
          <w:rtl/>
          <w:lang w:bidi="ar-LB"/>
        </w:rPr>
        <w:t xml:space="preserve"> </w:t>
      </w:r>
      <w:r w:rsidR="00F32B28" w:rsidRPr="00F32B28">
        <w:rPr>
          <w:rFonts w:hint="cs"/>
          <w:rtl/>
          <w:lang w:bidi="ar-LB"/>
        </w:rPr>
        <w:t>حالة</w:t>
      </w:r>
      <w:r w:rsidR="00F32B28">
        <w:rPr>
          <w:rFonts w:hint="cs"/>
          <w:rtl/>
          <w:lang w:bidi="ar-LB"/>
        </w:rPr>
        <w:t xml:space="preserve"> </w:t>
      </w:r>
      <w:r w:rsidR="00F32B28" w:rsidRPr="00F32B28">
        <w:rPr>
          <w:rFonts w:hint="cs"/>
          <w:rtl/>
          <w:lang w:bidi="ar-LB"/>
        </w:rPr>
        <w:t>مرضية</w:t>
      </w:r>
      <w:r w:rsidR="00F32B28">
        <w:rPr>
          <w:rFonts w:hint="cs"/>
          <w:rtl/>
          <w:lang w:bidi="ar-LB"/>
        </w:rPr>
        <w:t xml:space="preserve"> </w:t>
      </w:r>
      <w:r w:rsidR="00F32B28" w:rsidRPr="00F32B28">
        <w:rPr>
          <w:rFonts w:hint="cs"/>
          <w:rtl/>
          <w:lang w:bidi="ar-LB"/>
        </w:rPr>
        <w:t>بالإيدز</w:t>
      </w:r>
      <w:r w:rsidR="00F32B28">
        <w:rPr>
          <w:rFonts w:hint="cs"/>
          <w:rtl/>
          <w:lang w:bidi="ar-LB"/>
        </w:rPr>
        <w:t xml:space="preserve"> </w:t>
      </w:r>
      <w:r w:rsidR="00F32B28" w:rsidRPr="00F32B28">
        <w:rPr>
          <w:rFonts w:hint="cs"/>
          <w:rtl/>
          <w:lang w:bidi="ar-LB"/>
        </w:rPr>
        <w:t>في</w:t>
      </w:r>
      <w:r w:rsidR="00F32B28">
        <w:rPr>
          <w:rFonts w:hint="cs"/>
          <w:rtl/>
          <w:lang w:bidi="ar-LB"/>
        </w:rPr>
        <w:t xml:space="preserve"> </w:t>
      </w:r>
      <w:r w:rsidR="00F32B28" w:rsidRPr="00F32B28">
        <w:rPr>
          <w:rFonts w:hint="cs"/>
          <w:rtl/>
          <w:lang w:bidi="ar-LB"/>
        </w:rPr>
        <w:t>فلسطين،</w:t>
      </w:r>
      <w:r w:rsidR="00F32B28">
        <w:rPr>
          <w:rFonts w:hint="cs"/>
          <w:rtl/>
          <w:lang w:bidi="ar-LB"/>
        </w:rPr>
        <w:t xml:space="preserve"> </w:t>
      </w:r>
      <w:r w:rsidR="00F32B28" w:rsidRPr="00F32B28">
        <w:rPr>
          <w:rFonts w:hint="cs"/>
          <w:rtl/>
          <w:lang w:bidi="ar-LB"/>
        </w:rPr>
        <w:t>منهم</w:t>
      </w:r>
      <w:r w:rsidR="00F32B28">
        <w:rPr>
          <w:rFonts w:hint="cs"/>
          <w:rtl/>
          <w:lang w:bidi="ar-LB"/>
        </w:rPr>
        <w:t xml:space="preserve"> </w:t>
      </w:r>
      <w:r w:rsidR="00F32B28" w:rsidRPr="00F32B28">
        <w:rPr>
          <w:rFonts w:hint="cs"/>
          <w:rtl/>
          <w:lang w:bidi="ar-LB"/>
        </w:rPr>
        <w:t>(17)</w:t>
      </w:r>
      <w:r w:rsidR="00F32B28">
        <w:rPr>
          <w:rFonts w:hint="cs"/>
          <w:rtl/>
          <w:lang w:bidi="ar-LB"/>
        </w:rPr>
        <w:t xml:space="preserve"> </w:t>
      </w:r>
      <w:r w:rsidR="00F32B28" w:rsidRPr="00F32B28">
        <w:rPr>
          <w:rFonts w:hint="cs"/>
          <w:rtl/>
          <w:lang w:bidi="ar-LB"/>
        </w:rPr>
        <w:t>امرأة.</w:t>
      </w:r>
      <w:r w:rsidR="00F32B28">
        <w:rPr>
          <w:rFonts w:hint="cs"/>
          <w:rtl/>
          <w:lang w:bidi="ar-LB"/>
        </w:rPr>
        <w:t xml:space="preserve"> </w:t>
      </w:r>
    </w:p>
    <w:p w:rsidR="009F4D72" w:rsidRPr="009F4D72" w:rsidRDefault="009F4D72" w:rsidP="009F4D72">
      <w:pPr>
        <w:pStyle w:val="SingleTxt"/>
        <w:spacing w:after="0" w:line="120" w:lineRule="exact"/>
        <w:rPr>
          <w:b/>
          <w:bCs/>
          <w:sz w:val="10"/>
          <w:rtl/>
          <w:lang w:bidi="ar-LB"/>
        </w:rPr>
      </w:pPr>
    </w:p>
    <w:p w:rsidR="00F32B28" w:rsidRPr="00F32B28" w:rsidRDefault="00F32B28" w:rsidP="00F32B28">
      <w:pPr>
        <w:pStyle w:val="SingleTxt"/>
        <w:rPr>
          <w:b/>
          <w:bCs/>
          <w:rtl/>
          <w:lang w:bidi="ar-LB"/>
        </w:rPr>
      </w:pPr>
      <w:r w:rsidRPr="00F32B28">
        <w:rPr>
          <w:b/>
          <w:bCs/>
          <w:rtl/>
          <w:lang w:bidi="ar-LB"/>
        </w:rPr>
        <w:t>ختان</w:t>
      </w:r>
      <w:r>
        <w:rPr>
          <w:b/>
          <w:bCs/>
          <w:rtl/>
          <w:lang w:bidi="ar-LB"/>
        </w:rPr>
        <w:t xml:space="preserve"> </w:t>
      </w:r>
      <w:r w:rsidRPr="00F32B28">
        <w:rPr>
          <w:b/>
          <w:bCs/>
          <w:rtl/>
          <w:lang w:bidi="ar-LB"/>
        </w:rPr>
        <w:t>الإناث</w:t>
      </w:r>
    </w:p>
    <w:p w:rsidR="00F32B28" w:rsidRPr="00F32B28" w:rsidRDefault="00AF1BC1" w:rsidP="00AF1BC1">
      <w:pPr>
        <w:pStyle w:val="SingleTxt"/>
      </w:pPr>
      <w:r>
        <w:rPr>
          <w:rFonts w:hint="cs"/>
          <w:rtl/>
          <w:lang w:bidi="ar-LB"/>
        </w:rPr>
        <w:t xml:space="preserve">251 - </w:t>
      </w:r>
      <w:r w:rsidR="00F32B28" w:rsidRPr="00F32B28">
        <w:rPr>
          <w:rtl/>
          <w:lang w:bidi="ar-LB"/>
        </w:rPr>
        <w:t>لا</w:t>
      </w:r>
      <w:r w:rsidR="00F32B28">
        <w:rPr>
          <w:rtl/>
          <w:lang w:bidi="ar-LB"/>
        </w:rPr>
        <w:t xml:space="preserve"> </w:t>
      </w:r>
      <w:r w:rsidR="00F32B28" w:rsidRPr="00F32B28">
        <w:rPr>
          <w:rtl/>
          <w:lang w:bidi="ar-LB"/>
        </w:rPr>
        <w:t>وجود</w:t>
      </w:r>
      <w:r w:rsidR="00F32B28">
        <w:rPr>
          <w:rtl/>
          <w:lang w:bidi="ar-LB"/>
        </w:rPr>
        <w:t xml:space="preserve"> </w:t>
      </w:r>
      <w:r w:rsidR="00F32B28" w:rsidRPr="00F32B28">
        <w:rPr>
          <w:rtl/>
          <w:lang w:bidi="ar-LB"/>
        </w:rPr>
        <w:t>لممارسة</w:t>
      </w:r>
      <w:r w:rsidR="00F32B28">
        <w:rPr>
          <w:rtl/>
          <w:lang w:bidi="ar-LB"/>
        </w:rPr>
        <w:t xml:space="preserve"> </w:t>
      </w:r>
      <w:r w:rsidR="00F32B28" w:rsidRPr="00F32B28">
        <w:rPr>
          <w:rtl/>
          <w:lang w:bidi="ar-LB"/>
        </w:rPr>
        <w:t>ختان</w:t>
      </w:r>
      <w:r w:rsidR="00F32B28">
        <w:rPr>
          <w:rtl/>
          <w:lang w:bidi="ar-LB"/>
        </w:rPr>
        <w:t xml:space="preserve"> </w:t>
      </w:r>
      <w:r w:rsidR="00F32B28" w:rsidRPr="00F32B28">
        <w:rPr>
          <w:rtl/>
          <w:lang w:bidi="ar-LB"/>
        </w:rPr>
        <w:t>الإناث</w:t>
      </w:r>
      <w:r w:rsidR="00F32B28">
        <w:rPr>
          <w:rtl/>
          <w:lang w:bidi="ar-LB"/>
        </w:rPr>
        <w:t xml:space="preserve"> </w:t>
      </w:r>
      <w:r w:rsidR="00F32B28" w:rsidRPr="00F32B28">
        <w:rPr>
          <w:rtl/>
          <w:lang w:bidi="ar-LB"/>
        </w:rPr>
        <w:t>وغيرها</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الممارسات</w:t>
      </w:r>
      <w:r w:rsidR="00F32B28">
        <w:rPr>
          <w:rtl/>
          <w:lang w:bidi="ar-LB"/>
        </w:rPr>
        <w:t xml:space="preserve"> </w:t>
      </w:r>
      <w:r w:rsidR="00F32B28" w:rsidRPr="00F32B28">
        <w:rPr>
          <w:rtl/>
          <w:lang w:bidi="ar-LB"/>
        </w:rPr>
        <w:t>التقليدية</w:t>
      </w:r>
      <w:r w:rsidR="00F32B28">
        <w:rPr>
          <w:rtl/>
          <w:lang w:bidi="ar-LB"/>
        </w:rPr>
        <w:t xml:space="preserve"> </w:t>
      </w:r>
      <w:r w:rsidR="00F32B28" w:rsidRPr="00F32B28">
        <w:rPr>
          <w:rtl/>
          <w:lang w:bidi="ar-LB"/>
        </w:rPr>
        <w:t>الأخرى</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تضر</w:t>
      </w:r>
      <w:r w:rsidR="00F32B28">
        <w:rPr>
          <w:rtl/>
          <w:lang w:bidi="ar-LB"/>
        </w:rPr>
        <w:t xml:space="preserve"> </w:t>
      </w:r>
      <w:r w:rsidR="00F32B28" w:rsidRPr="00F32B28">
        <w:rPr>
          <w:rtl/>
          <w:lang w:bidi="ar-LB"/>
        </w:rPr>
        <w:t>بصحتهن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فلسطين.</w:t>
      </w:r>
    </w:p>
    <w:p w:rsidR="00AF1BC1" w:rsidRPr="00AF1BC1" w:rsidRDefault="00AF1BC1" w:rsidP="00AF1BC1">
      <w:pPr>
        <w:pStyle w:val="SingleTxt"/>
        <w:spacing w:after="0" w:line="120" w:lineRule="exact"/>
        <w:rPr>
          <w:b/>
          <w:bCs/>
          <w:sz w:val="10"/>
          <w:rtl/>
          <w:lang w:bidi="ar-LB"/>
        </w:rPr>
      </w:pPr>
    </w:p>
    <w:p w:rsidR="00F32B28" w:rsidRPr="00F32B28" w:rsidRDefault="00F32B28" w:rsidP="00F32B28">
      <w:pPr>
        <w:pStyle w:val="SingleTxt"/>
        <w:rPr>
          <w:b/>
          <w:bCs/>
        </w:rPr>
      </w:pPr>
      <w:r w:rsidRPr="00F32B28">
        <w:rPr>
          <w:b/>
          <w:bCs/>
          <w:rtl/>
          <w:lang w:bidi="ar-LB"/>
        </w:rPr>
        <w:t>الإعاقة</w:t>
      </w:r>
    </w:p>
    <w:p w:rsidR="00F32B28" w:rsidRPr="00F32B28" w:rsidRDefault="00AF1BC1" w:rsidP="00AF1BC1">
      <w:pPr>
        <w:pStyle w:val="SingleTxt"/>
        <w:rPr>
          <w:b/>
          <w:bCs/>
        </w:rPr>
      </w:pPr>
      <w:r>
        <w:rPr>
          <w:rFonts w:hint="cs"/>
          <w:rtl/>
          <w:lang w:bidi="ar-LB"/>
        </w:rPr>
        <w:t xml:space="preserve">252 - </w:t>
      </w:r>
      <w:r w:rsidR="00F32B28" w:rsidRPr="00F32B28">
        <w:rPr>
          <w:rtl/>
          <w:lang w:bidi="ar-LB"/>
        </w:rPr>
        <w:t>بلغ</w:t>
      </w:r>
      <w:r w:rsidR="00F32B28">
        <w:rPr>
          <w:rtl/>
          <w:lang w:bidi="ar-LB"/>
        </w:rPr>
        <w:t xml:space="preserve"> </w:t>
      </w:r>
      <w:r w:rsidR="00F32B28" w:rsidRPr="00F32B28">
        <w:rPr>
          <w:rtl/>
          <w:lang w:bidi="ar-LB"/>
        </w:rPr>
        <w:t>عدد</w:t>
      </w:r>
      <w:r w:rsidR="00F32B28">
        <w:rPr>
          <w:rtl/>
          <w:lang w:bidi="ar-LB"/>
        </w:rPr>
        <w:t xml:space="preserve"> </w:t>
      </w:r>
      <w:r w:rsidR="00F32B28" w:rsidRPr="00F32B28">
        <w:rPr>
          <w:rtl/>
          <w:lang w:bidi="ar-LB"/>
        </w:rPr>
        <w:t>الأشخاص</w:t>
      </w:r>
      <w:r w:rsidR="00F32B28">
        <w:rPr>
          <w:rtl/>
          <w:lang w:bidi="ar-LB"/>
        </w:rPr>
        <w:t xml:space="preserve"> </w:t>
      </w:r>
      <w:r w:rsidR="00F32B28" w:rsidRPr="00F32B28">
        <w:rPr>
          <w:rtl/>
          <w:lang w:bidi="ar-LB"/>
        </w:rPr>
        <w:t>ذوي</w:t>
      </w:r>
      <w:r w:rsidR="00F32B28">
        <w:rPr>
          <w:rtl/>
          <w:lang w:bidi="ar-LB"/>
        </w:rPr>
        <w:t xml:space="preserve"> </w:t>
      </w:r>
      <w:r w:rsidR="00F32B28" w:rsidRPr="00F32B28">
        <w:rPr>
          <w:rtl/>
          <w:lang w:bidi="ar-LB"/>
        </w:rPr>
        <w:t>الإعاقة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حوالي</w:t>
      </w:r>
      <w:r w:rsidR="00F32B28">
        <w:rPr>
          <w:rtl/>
          <w:lang w:bidi="ar-LB"/>
        </w:rPr>
        <w:t xml:space="preserve"> </w:t>
      </w:r>
      <w:r w:rsidR="00F32B28" w:rsidRPr="00F32B28">
        <w:rPr>
          <w:rtl/>
          <w:lang w:bidi="ar-LB"/>
        </w:rPr>
        <w:t>113</w:t>
      </w:r>
      <w:r w:rsidR="00F32B28">
        <w:rPr>
          <w:rtl/>
          <w:lang w:bidi="ar-LB"/>
        </w:rPr>
        <w:t xml:space="preserve"> </w:t>
      </w:r>
      <w:r w:rsidR="00F32B28" w:rsidRPr="00F32B28">
        <w:rPr>
          <w:rtl/>
          <w:lang w:bidi="ar-LB"/>
        </w:rPr>
        <w:t>ألف</w:t>
      </w:r>
      <w:r w:rsidR="00F32B28">
        <w:rPr>
          <w:rtl/>
          <w:lang w:bidi="ar-LB"/>
        </w:rPr>
        <w:t xml:space="preserve"> </w:t>
      </w:r>
      <w:r w:rsidR="00F32B28" w:rsidRPr="00F32B28">
        <w:rPr>
          <w:rtl/>
          <w:lang w:bidi="ar-LB"/>
        </w:rPr>
        <w:t>فرد،</w:t>
      </w:r>
      <w:r w:rsidR="00F32B28">
        <w:rPr>
          <w:rtl/>
          <w:lang w:bidi="ar-LB"/>
        </w:rPr>
        <w:t xml:space="preserve"> </w:t>
      </w:r>
      <w:r w:rsidR="00F32B28" w:rsidRPr="00F32B28">
        <w:rPr>
          <w:rtl/>
          <w:lang w:bidi="ar-LB"/>
        </w:rPr>
        <w:t>أي</w:t>
      </w:r>
      <w:r w:rsidR="00F32B28">
        <w:rPr>
          <w:rtl/>
          <w:lang w:bidi="ar-LB"/>
        </w:rPr>
        <w:t xml:space="preserve"> </w:t>
      </w:r>
      <w:r w:rsidR="00F32B28" w:rsidRPr="00F32B28">
        <w:rPr>
          <w:rtl/>
          <w:lang w:bidi="ar-LB"/>
        </w:rPr>
        <w:t>2.7</w:t>
      </w:r>
      <w:r w:rsidR="00851F93">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مجمل</w:t>
      </w:r>
      <w:r w:rsidR="00F32B28">
        <w:rPr>
          <w:rtl/>
          <w:lang w:bidi="ar-LB"/>
        </w:rPr>
        <w:t xml:space="preserve"> </w:t>
      </w:r>
      <w:r w:rsidR="00F32B28" w:rsidRPr="00F32B28">
        <w:rPr>
          <w:rtl/>
          <w:lang w:bidi="ar-LB"/>
        </w:rPr>
        <w:t>السكان،</w:t>
      </w:r>
      <w:r w:rsidR="00F32B28">
        <w:rPr>
          <w:rtl/>
          <w:lang w:bidi="ar-LB"/>
        </w:rPr>
        <w:t xml:space="preserve"> </w:t>
      </w:r>
      <w:r w:rsidR="00F32B28" w:rsidRPr="00F32B28">
        <w:rPr>
          <w:rtl/>
          <w:lang w:bidi="ar-LB"/>
        </w:rPr>
        <w:t>بحسب</w:t>
      </w:r>
      <w:r w:rsidR="00F32B28">
        <w:rPr>
          <w:rtl/>
          <w:lang w:bidi="ar-LB"/>
        </w:rPr>
        <w:t xml:space="preserve"> </w:t>
      </w:r>
      <w:r w:rsidR="00F32B28" w:rsidRPr="00F32B28">
        <w:rPr>
          <w:rtl/>
          <w:lang w:bidi="ar-LB"/>
        </w:rPr>
        <w:t>مسح</w:t>
      </w:r>
      <w:r w:rsidR="00F32B28">
        <w:rPr>
          <w:rtl/>
          <w:lang w:bidi="ar-LB"/>
        </w:rPr>
        <w:t xml:space="preserve"> </w:t>
      </w:r>
      <w:r w:rsidR="00F32B28" w:rsidRPr="00F32B28">
        <w:rPr>
          <w:rtl/>
          <w:lang w:bidi="ar-LB"/>
        </w:rPr>
        <w:t>الأفراد</w:t>
      </w:r>
      <w:r w:rsidR="00F32B28">
        <w:rPr>
          <w:rtl/>
          <w:lang w:bidi="ar-LB"/>
        </w:rPr>
        <w:t xml:space="preserve"> </w:t>
      </w:r>
      <w:r w:rsidR="00F32B28" w:rsidRPr="00F32B28">
        <w:rPr>
          <w:rtl/>
          <w:lang w:bidi="ar-LB"/>
        </w:rPr>
        <w:t>ذوي</w:t>
      </w:r>
      <w:r w:rsidR="00F32B28">
        <w:rPr>
          <w:rtl/>
          <w:lang w:bidi="ar-LB"/>
        </w:rPr>
        <w:t xml:space="preserve"> </w:t>
      </w:r>
      <w:r w:rsidR="00F32B28" w:rsidRPr="00F32B28">
        <w:rPr>
          <w:rtl/>
          <w:lang w:bidi="ar-LB"/>
        </w:rPr>
        <w:t>الإعاقة</w:t>
      </w:r>
      <w:r w:rsidR="00F32B28">
        <w:rPr>
          <w:rtl/>
          <w:lang w:bidi="ar-LB"/>
        </w:rPr>
        <w:t xml:space="preserve"> </w:t>
      </w:r>
      <w:r w:rsidR="00F32B28" w:rsidRPr="00F32B28">
        <w:rPr>
          <w:rtl/>
          <w:lang w:bidi="ar-LB"/>
        </w:rPr>
        <w:t>لسنة</w:t>
      </w:r>
      <w:r w:rsidR="00F32B28">
        <w:rPr>
          <w:rtl/>
          <w:lang w:bidi="ar-LB"/>
        </w:rPr>
        <w:t xml:space="preserve"> </w:t>
      </w:r>
      <w:r w:rsidR="00F32B28" w:rsidRPr="00F32B28">
        <w:rPr>
          <w:rtl/>
          <w:lang w:bidi="ar-LB"/>
        </w:rPr>
        <w:t>2011،</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بلغت</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الإعاقة</w:t>
      </w:r>
      <w:r w:rsidR="00F32B28">
        <w:rPr>
          <w:rtl/>
          <w:lang w:bidi="ar-LB"/>
        </w:rPr>
        <w:t xml:space="preserve"> </w:t>
      </w:r>
      <w:r w:rsidR="00F32B28" w:rsidRPr="00F32B28">
        <w:rPr>
          <w:rtl/>
          <w:lang w:bidi="ar-LB"/>
        </w:rPr>
        <w:t>بين</w:t>
      </w:r>
      <w:r w:rsidR="00F32B28">
        <w:rPr>
          <w:rtl/>
          <w:lang w:bidi="ar-LB"/>
        </w:rPr>
        <w:t xml:space="preserve"> </w:t>
      </w:r>
      <w:r w:rsidR="00F32B28" w:rsidRPr="00F32B28">
        <w:rPr>
          <w:rtl/>
          <w:lang w:bidi="ar-LB"/>
        </w:rPr>
        <w:t>الذكور</w:t>
      </w:r>
      <w:r w:rsidR="00F32B28">
        <w:rPr>
          <w:rtl/>
          <w:lang w:bidi="ar-LB"/>
        </w:rPr>
        <w:t xml:space="preserve"> </w:t>
      </w:r>
      <w:r w:rsidR="00F32B28" w:rsidRPr="00F32B28">
        <w:rPr>
          <w:rtl/>
          <w:lang w:bidi="ar-LB"/>
        </w:rPr>
        <w:t>2.9</w:t>
      </w:r>
      <w:r w:rsidR="00851F93">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مقابل</w:t>
      </w:r>
      <w:r w:rsidR="00F32B28">
        <w:rPr>
          <w:rtl/>
          <w:lang w:bidi="ar-LB"/>
        </w:rPr>
        <w:t xml:space="preserve"> </w:t>
      </w:r>
      <w:r w:rsidR="00F32B28" w:rsidRPr="00F32B28">
        <w:rPr>
          <w:rtl/>
          <w:lang w:bidi="ar-LB"/>
        </w:rPr>
        <w:t>2.5</w:t>
      </w:r>
      <w:r w:rsidR="00851F93">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بين</w:t>
      </w:r>
      <w:r w:rsidR="00F32B28">
        <w:rPr>
          <w:rtl/>
          <w:lang w:bidi="ar-LB"/>
        </w:rPr>
        <w:t xml:space="preserve"> </w:t>
      </w:r>
      <w:r w:rsidR="00F32B28" w:rsidRPr="00F32B28">
        <w:rPr>
          <w:rtl/>
          <w:lang w:bidi="ar-LB"/>
        </w:rPr>
        <w:t>الإناث.</w:t>
      </w:r>
      <w:r w:rsidR="00F32B28" w:rsidRPr="00F32B28">
        <w:rPr>
          <w:rtl/>
        </w:rPr>
        <w:t>وتمثّل</w:t>
      </w:r>
      <w:r w:rsidR="00F32B28">
        <w:rPr>
          <w:rtl/>
        </w:rPr>
        <w:t xml:space="preserve"> </w:t>
      </w:r>
      <w:r w:rsidR="00F32B28" w:rsidRPr="00F32B28">
        <w:rPr>
          <w:rtl/>
        </w:rPr>
        <w:t>الإعاقة</w:t>
      </w:r>
      <w:r w:rsidR="00F32B28">
        <w:rPr>
          <w:rtl/>
        </w:rPr>
        <w:t xml:space="preserve"> </w:t>
      </w:r>
      <w:r w:rsidR="00F32B28" w:rsidRPr="00F32B28">
        <w:rPr>
          <w:rtl/>
        </w:rPr>
        <w:t>الحركية</w:t>
      </w:r>
      <w:r w:rsidR="00F32B28">
        <w:rPr>
          <w:rtl/>
        </w:rPr>
        <w:t xml:space="preserve"> </w:t>
      </w:r>
      <w:r w:rsidR="00F32B28" w:rsidRPr="00F32B28">
        <w:rPr>
          <w:rtl/>
        </w:rPr>
        <w:t>النسبة</w:t>
      </w:r>
      <w:r w:rsidR="00F32B28">
        <w:rPr>
          <w:rtl/>
        </w:rPr>
        <w:t xml:space="preserve"> </w:t>
      </w:r>
      <w:r w:rsidR="00F32B28" w:rsidRPr="00F32B28">
        <w:rPr>
          <w:rtl/>
        </w:rPr>
        <w:t>الأكبر</w:t>
      </w:r>
      <w:r w:rsidR="00F32B28">
        <w:rPr>
          <w:rtl/>
        </w:rPr>
        <w:t xml:space="preserve"> </w:t>
      </w:r>
      <w:r w:rsidR="00F32B28" w:rsidRPr="00F32B28">
        <w:rPr>
          <w:rtl/>
          <w:lang w:bidi="ar-LB"/>
        </w:rPr>
        <w:t>لدى</w:t>
      </w:r>
      <w:r w:rsidR="00F32B28">
        <w:rPr>
          <w:rtl/>
        </w:rPr>
        <w:t xml:space="preserve"> </w:t>
      </w:r>
      <w:r w:rsidR="00F32B28" w:rsidRPr="00F32B28">
        <w:rPr>
          <w:rtl/>
        </w:rPr>
        <w:t>النساء</w:t>
      </w:r>
      <w:r w:rsidR="00F32B28">
        <w:rPr>
          <w:rtl/>
        </w:rPr>
        <w:t xml:space="preserve"> </w:t>
      </w:r>
      <w:r w:rsidR="00F32B28" w:rsidRPr="00F32B28">
        <w:rPr>
          <w:rtl/>
          <w:lang w:bidi="ar-LB"/>
        </w:rPr>
        <w:t>والرجال</w:t>
      </w:r>
      <w:r w:rsidR="00F32B28" w:rsidRPr="00F32B28">
        <w:rPr>
          <w:rtl/>
        </w:rPr>
        <w:t>على</w:t>
      </w:r>
      <w:r w:rsidR="00F32B28">
        <w:rPr>
          <w:rtl/>
        </w:rPr>
        <w:t xml:space="preserve"> </w:t>
      </w:r>
      <w:r w:rsidR="00F32B28" w:rsidRPr="00F32B28">
        <w:rPr>
          <w:rtl/>
        </w:rPr>
        <w:t>حد</w:t>
      </w:r>
      <w:r w:rsidR="00F32B28">
        <w:rPr>
          <w:rtl/>
        </w:rPr>
        <w:t xml:space="preserve"> </w:t>
      </w:r>
      <w:r w:rsidR="00F32B28" w:rsidRPr="00F32B28">
        <w:rPr>
          <w:rtl/>
        </w:rPr>
        <w:t>سواء.</w:t>
      </w:r>
      <w:r w:rsidR="00F32B28" w:rsidRPr="00F32B28">
        <w:rPr>
          <w:rtl/>
          <w:lang w:bidi="ar-LB"/>
        </w:rPr>
        <w:t>ويكفل</w:t>
      </w:r>
      <w:r w:rsidR="00F32B28">
        <w:rPr>
          <w:rtl/>
          <w:lang w:bidi="ar-LB"/>
        </w:rPr>
        <w:t xml:space="preserve"> </w:t>
      </w:r>
      <w:r w:rsidR="00F32B28" w:rsidRPr="00F32B28">
        <w:rPr>
          <w:rtl/>
          <w:lang w:bidi="ar-LB"/>
        </w:rPr>
        <w:t>قانون</w:t>
      </w:r>
      <w:r w:rsidR="00F32B28">
        <w:rPr>
          <w:rtl/>
          <w:lang w:bidi="ar-LB"/>
        </w:rPr>
        <w:t xml:space="preserve"> </w:t>
      </w:r>
      <w:r w:rsidR="00F32B28" w:rsidRPr="00F32B28">
        <w:rPr>
          <w:rtl/>
          <w:lang w:bidi="ar-LB"/>
        </w:rPr>
        <w:t>حقوق</w:t>
      </w:r>
      <w:r w:rsidR="00F32B28">
        <w:rPr>
          <w:rtl/>
          <w:lang w:bidi="ar-LB"/>
        </w:rPr>
        <w:t xml:space="preserve"> </w:t>
      </w:r>
      <w:r w:rsidR="00F32B28" w:rsidRPr="00F32B28">
        <w:rPr>
          <w:rtl/>
          <w:lang w:bidi="ar-LB"/>
        </w:rPr>
        <w:t>الأشخاص</w:t>
      </w:r>
      <w:r w:rsidR="00F32B28">
        <w:rPr>
          <w:rtl/>
          <w:lang w:bidi="ar-LB"/>
        </w:rPr>
        <w:t xml:space="preserve"> </w:t>
      </w:r>
      <w:r w:rsidR="00F32B28" w:rsidRPr="00F32B28">
        <w:rPr>
          <w:rtl/>
          <w:lang w:bidi="ar-LB"/>
        </w:rPr>
        <w:t>المعوقين</w:t>
      </w:r>
      <w:r w:rsidR="00851F93">
        <w:rPr>
          <w:rFonts w:hint="cs"/>
          <w:rtl/>
          <w:lang w:bidi="ar-LB"/>
        </w:rPr>
        <w:t xml:space="preserve"> </w:t>
      </w:r>
      <w:r w:rsidR="00F32B28" w:rsidRPr="00F32B28">
        <w:rPr>
          <w:rtl/>
          <w:lang w:bidi="ar-LB"/>
        </w:rPr>
        <w:t>تقديم</w:t>
      </w:r>
      <w:r w:rsidR="00F32B28">
        <w:rPr>
          <w:rtl/>
          <w:lang w:bidi="ar-LB"/>
        </w:rPr>
        <w:t xml:space="preserve"> </w:t>
      </w:r>
      <w:r w:rsidR="00F32B28" w:rsidRPr="00F32B28">
        <w:rPr>
          <w:rtl/>
          <w:lang w:bidi="ar-LB"/>
        </w:rPr>
        <w:t>خدمات</w:t>
      </w:r>
      <w:r w:rsidR="00F32B28">
        <w:rPr>
          <w:rtl/>
          <w:lang w:bidi="ar-LB"/>
        </w:rPr>
        <w:t xml:space="preserve"> </w:t>
      </w:r>
      <w:r w:rsidR="00F32B28" w:rsidRPr="00F32B28">
        <w:rPr>
          <w:rtl/>
          <w:lang w:bidi="ar-LB"/>
        </w:rPr>
        <w:t>الرعاية</w:t>
      </w:r>
      <w:r w:rsidR="00F32B28">
        <w:rPr>
          <w:rtl/>
          <w:lang w:bidi="ar-LB"/>
        </w:rPr>
        <w:t xml:space="preserve"> </w:t>
      </w:r>
      <w:r w:rsidR="00F32B28" w:rsidRPr="00F32B28">
        <w:rPr>
          <w:rtl/>
          <w:lang w:bidi="ar-LB"/>
        </w:rPr>
        <w:t>والتأهيل</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سيما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المجال</w:t>
      </w:r>
      <w:r w:rsidR="00F32B28">
        <w:rPr>
          <w:rtl/>
          <w:lang w:bidi="ar-LB"/>
        </w:rPr>
        <w:t xml:space="preserve"> </w:t>
      </w:r>
      <w:r w:rsidR="00F32B28" w:rsidRPr="00F32B28">
        <w:rPr>
          <w:rtl/>
          <w:lang w:bidi="ar-LB"/>
        </w:rPr>
        <w:t>الصحي؛</w:t>
      </w:r>
      <w:r w:rsidR="00F32B28">
        <w:rPr>
          <w:rtl/>
          <w:lang w:bidi="ar-LB"/>
        </w:rPr>
        <w:t xml:space="preserve"> </w:t>
      </w:r>
      <w:r w:rsidR="00F32B28" w:rsidRPr="00F32B28">
        <w:rPr>
          <w:rtl/>
          <w:lang w:bidi="ar-LB"/>
        </w:rPr>
        <w:t>وذلك</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تشخيص</w:t>
      </w:r>
      <w:r w:rsidR="00F32B28">
        <w:rPr>
          <w:rtl/>
          <w:lang w:bidi="ar-LB"/>
        </w:rPr>
        <w:t xml:space="preserve"> </w:t>
      </w:r>
      <w:r w:rsidR="00F32B28" w:rsidRPr="00F32B28">
        <w:rPr>
          <w:rtl/>
          <w:lang w:bidi="ar-LB"/>
        </w:rPr>
        <w:t>درجة</w:t>
      </w:r>
      <w:r w:rsidR="00F32B28">
        <w:rPr>
          <w:rtl/>
          <w:lang w:bidi="ar-LB"/>
        </w:rPr>
        <w:t xml:space="preserve"> </w:t>
      </w:r>
      <w:r w:rsidR="00F32B28" w:rsidRPr="00F32B28">
        <w:rPr>
          <w:rtl/>
          <w:lang w:bidi="ar-LB"/>
        </w:rPr>
        <w:t>الإعاقة،</w:t>
      </w:r>
      <w:r w:rsidR="00851F93">
        <w:rPr>
          <w:rFonts w:hint="cs"/>
          <w:rtl/>
          <w:lang w:bidi="ar-LB"/>
        </w:rPr>
        <w:t xml:space="preserve"> </w:t>
      </w:r>
      <w:r w:rsidR="00F32B28" w:rsidRPr="00F32B28">
        <w:rPr>
          <w:rtl/>
          <w:lang w:bidi="ar-LB"/>
        </w:rPr>
        <w:t>وتقديم</w:t>
      </w:r>
      <w:r w:rsidR="00F32B28">
        <w:rPr>
          <w:rtl/>
          <w:lang w:bidi="ar-LB"/>
        </w:rPr>
        <w:t xml:space="preserve"> </w:t>
      </w:r>
      <w:r w:rsidR="00F32B28" w:rsidRPr="00F32B28">
        <w:rPr>
          <w:rtl/>
          <w:lang w:bidi="ar-LB"/>
        </w:rPr>
        <w:t>الخدمات</w:t>
      </w:r>
      <w:r w:rsidR="00F32B28">
        <w:rPr>
          <w:rtl/>
          <w:lang w:bidi="ar-LB"/>
        </w:rPr>
        <w:t xml:space="preserve"> </w:t>
      </w:r>
      <w:r w:rsidR="00F32B28" w:rsidRPr="00F32B28">
        <w:rPr>
          <w:rtl/>
          <w:lang w:bidi="ar-LB"/>
        </w:rPr>
        <w:t>الصحية</w:t>
      </w:r>
      <w:r w:rsidR="00F32B28">
        <w:rPr>
          <w:rtl/>
          <w:lang w:bidi="ar-LB"/>
        </w:rPr>
        <w:t xml:space="preserve"> </w:t>
      </w:r>
      <w:r w:rsidR="00F32B28" w:rsidRPr="00F32B28">
        <w:rPr>
          <w:rtl/>
          <w:lang w:bidi="ar-LB"/>
        </w:rPr>
        <w:t>المشمولة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التأمين</w:t>
      </w:r>
      <w:r w:rsidR="00F32B28">
        <w:rPr>
          <w:rtl/>
          <w:lang w:bidi="ar-LB"/>
        </w:rPr>
        <w:t xml:space="preserve"> </w:t>
      </w:r>
      <w:r w:rsidR="00F32B28" w:rsidRPr="00F32B28">
        <w:rPr>
          <w:rtl/>
          <w:lang w:bidi="ar-LB"/>
        </w:rPr>
        <w:t>الصحي</w:t>
      </w:r>
      <w:r w:rsidR="00F32B28">
        <w:rPr>
          <w:rtl/>
          <w:lang w:bidi="ar-LB"/>
        </w:rPr>
        <w:t xml:space="preserve"> </w:t>
      </w:r>
      <w:r w:rsidR="00F32B28" w:rsidRPr="00F32B28">
        <w:rPr>
          <w:rtl/>
          <w:lang w:bidi="ar-LB"/>
        </w:rPr>
        <w:t>الحكومي</w:t>
      </w:r>
      <w:r w:rsidR="00F32B28">
        <w:rPr>
          <w:rtl/>
          <w:lang w:bidi="ar-LB"/>
        </w:rPr>
        <w:t xml:space="preserve"> </w:t>
      </w:r>
      <w:r w:rsidR="00F32B28" w:rsidRPr="00F32B28">
        <w:rPr>
          <w:rtl/>
          <w:lang w:bidi="ar-LB"/>
        </w:rPr>
        <w:t>مجاناً</w:t>
      </w:r>
      <w:r w:rsidR="00F32B28">
        <w:rPr>
          <w:rtl/>
          <w:lang w:bidi="ar-LB"/>
        </w:rPr>
        <w:t xml:space="preserve"> </w:t>
      </w:r>
      <w:r w:rsidR="00F32B28" w:rsidRPr="00F32B28">
        <w:rPr>
          <w:rtl/>
          <w:lang w:bidi="ar-LB"/>
        </w:rPr>
        <w:t>للمعوق</w:t>
      </w:r>
      <w:r w:rsidR="00F32B28">
        <w:rPr>
          <w:rtl/>
          <w:lang w:bidi="ar-LB"/>
        </w:rPr>
        <w:t xml:space="preserve"> </w:t>
      </w:r>
      <w:r w:rsidR="00F32B28" w:rsidRPr="00F32B28">
        <w:rPr>
          <w:rtl/>
          <w:lang w:bidi="ar-LB"/>
        </w:rPr>
        <w:t>ولأسرته،</w:t>
      </w:r>
      <w:r w:rsidR="00F32B28">
        <w:rPr>
          <w:rtl/>
          <w:lang w:bidi="ar-LB"/>
        </w:rPr>
        <w:t xml:space="preserve"> </w:t>
      </w:r>
      <w:r w:rsidR="00F32B28" w:rsidRPr="00F32B28">
        <w:rPr>
          <w:rtl/>
          <w:lang w:bidi="ar-LB"/>
        </w:rPr>
        <w:t>وتوفير</w:t>
      </w:r>
      <w:r w:rsidR="00F32B28">
        <w:rPr>
          <w:rtl/>
          <w:lang w:bidi="ar-LB"/>
        </w:rPr>
        <w:t xml:space="preserve"> </w:t>
      </w:r>
      <w:r w:rsidR="00F32B28" w:rsidRPr="00F32B28">
        <w:rPr>
          <w:rtl/>
          <w:lang w:bidi="ar-LB"/>
        </w:rPr>
        <w:t>الأدوات</w:t>
      </w:r>
      <w:r w:rsidR="00F32B28">
        <w:rPr>
          <w:rtl/>
          <w:lang w:bidi="ar-LB"/>
        </w:rPr>
        <w:t xml:space="preserve"> </w:t>
      </w:r>
      <w:r w:rsidR="00F32B28" w:rsidRPr="00F32B28">
        <w:rPr>
          <w:rtl/>
          <w:lang w:bidi="ar-LB"/>
        </w:rPr>
        <w:t>والأجهزة</w:t>
      </w:r>
      <w:r w:rsidR="00F32B28">
        <w:rPr>
          <w:rtl/>
          <w:lang w:bidi="ar-LB"/>
        </w:rPr>
        <w:t xml:space="preserve"> </w:t>
      </w:r>
      <w:r w:rsidR="00F32B28" w:rsidRPr="00F32B28">
        <w:rPr>
          <w:rtl/>
          <w:lang w:bidi="ar-LB"/>
        </w:rPr>
        <w:t>الطبية</w:t>
      </w:r>
      <w:r w:rsidR="00F32B28">
        <w:rPr>
          <w:rtl/>
          <w:lang w:bidi="ar-LB"/>
        </w:rPr>
        <w:t xml:space="preserve"> </w:t>
      </w:r>
      <w:r w:rsidR="00F32B28" w:rsidRPr="00F32B28">
        <w:rPr>
          <w:rtl/>
          <w:lang w:bidi="ar-LB"/>
        </w:rPr>
        <w:t>اللازمة،</w:t>
      </w:r>
      <w:r w:rsidR="00F32B28">
        <w:rPr>
          <w:rtl/>
          <w:lang w:bidi="ar-LB"/>
        </w:rPr>
        <w:t xml:space="preserve"> </w:t>
      </w:r>
      <w:r w:rsidR="00F32B28" w:rsidRPr="00F32B28">
        <w:rPr>
          <w:rtl/>
          <w:lang w:bidi="ar-LB"/>
        </w:rPr>
        <w:t>وتوفير</w:t>
      </w:r>
      <w:r w:rsidR="00F32B28">
        <w:rPr>
          <w:rtl/>
          <w:lang w:bidi="ar-LB"/>
        </w:rPr>
        <w:t xml:space="preserve"> </w:t>
      </w:r>
      <w:r w:rsidR="00F32B28" w:rsidRPr="00F32B28">
        <w:rPr>
          <w:rtl/>
          <w:lang w:bidi="ar-LB"/>
        </w:rPr>
        <w:t>العلاجات</w:t>
      </w:r>
      <w:r w:rsidR="00F32B28">
        <w:rPr>
          <w:rtl/>
          <w:lang w:bidi="ar-LB"/>
        </w:rPr>
        <w:t xml:space="preserve"> </w:t>
      </w:r>
      <w:r w:rsidR="00F32B28" w:rsidRPr="00F32B28">
        <w:rPr>
          <w:rtl/>
          <w:lang w:bidi="ar-LB"/>
        </w:rPr>
        <w:t>اللازمة</w:t>
      </w:r>
      <w:r w:rsidR="00F32B28">
        <w:rPr>
          <w:rtl/>
          <w:lang w:bidi="ar-LB"/>
        </w:rPr>
        <w:t xml:space="preserve"> </w:t>
      </w:r>
      <w:r w:rsidR="00F32B28" w:rsidRPr="00F32B28">
        <w:rPr>
          <w:rtl/>
          <w:lang w:bidi="ar-LB"/>
        </w:rPr>
        <w:t>وإجراء</w:t>
      </w:r>
      <w:r w:rsidR="00F32B28">
        <w:rPr>
          <w:rtl/>
          <w:lang w:bidi="ar-LB"/>
        </w:rPr>
        <w:t xml:space="preserve"> </w:t>
      </w:r>
      <w:r w:rsidR="00F32B28" w:rsidRPr="00F32B28">
        <w:rPr>
          <w:rtl/>
          <w:lang w:bidi="ar-LB"/>
        </w:rPr>
        <w:t>العمليات</w:t>
      </w:r>
      <w:r w:rsidR="00F32B28">
        <w:rPr>
          <w:rtl/>
          <w:lang w:bidi="ar-LB"/>
        </w:rPr>
        <w:t xml:space="preserve"> </w:t>
      </w:r>
      <w:r w:rsidR="00F32B28" w:rsidRPr="00F32B28">
        <w:rPr>
          <w:rtl/>
          <w:lang w:bidi="ar-LB"/>
        </w:rPr>
        <w:t>الجراحية</w:t>
      </w:r>
      <w:r w:rsidR="00F32B28">
        <w:rPr>
          <w:rtl/>
          <w:lang w:bidi="ar-LB"/>
        </w:rPr>
        <w:t xml:space="preserve"> </w:t>
      </w:r>
      <w:r w:rsidR="00F32B28" w:rsidRPr="00F32B28">
        <w:rPr>
          <w:rtl/>
          <w:lang w:bidi="ar-LB"/>
        </w:rPr>
        <w:t>وفي</w:t>
      </w:r>
      <w:r w:rsidR="00F32B28">
        <w:rPr>
          <w:rtl/>
          <w:lang w:bidi="ar-LB"/>
        </w:rPr>
        <w:t xml:space="preserve"> </w:t>
      </w:r>
      <w:r w:rsidR="00F32B28" w:rsidRPr="00F32B28">
        <w:rPr>
          <w:rtl/>
          <w:lang w:bidi="ar-LB"/>
        </w:rPr>
        <w:t>حالة</w:t>
      </w:r>
      <w:r w:rsidR="00F32B28">
        <w:rPr>
          <w:rtl/>
          <w:lang w:bidi="ar-LB"/>
        </w:rPr>
        <w:t xml:space="preserve"> </w:t>
      </w:r>
      <w:r w:rsidR="00F32B28" w:rsidRPr="00F32B28">
        <w:rPr>
          <w:rtl/>
          <w:lang w:bidi="ar-LB"/>
        </w:rPr>
        <w:t>عدم</w:t>
      </w:r>
      <w:r w:rsidR="00F32B28">
        <w:rPr>
          <w:rtl/>
          <w:lang w:bidi="ar-LB"/>
        </w:rPr>
        <w:t xml:space="preserve"> </w:t>
      </w:r>
      <w:r w:rsidR="00F32B28" w:rsidRPr="00F32B28">
        <w:rPr>
          <w:rtl/>
          <w:lang w:bidi="ar-LB"/>
        </w:rPr>
        <w:t>توفرها</w:t>
      </w:r>
      <w:r w:rsidR="00F32B28">
        <w:rPr>
          <w:rtl/>
          <w:lang w:bidi="ar-LB"/>
        </w:rPr>
        <w:t xml:space="preserve"> </w:t>
      </w:r>
      <w:r w:rsidR="00F32B28" w:rsidRPr="00F32B28">
        <w:rPr>
          <w:rtl/>
          <w:lang w:bidi="ar-LB"/>
        </w:rPr>
        <w:t>تتكفل</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بتسديد</w:t>
      </w:r>
      <w:r w:rsidR="00F32B28">
        <w:rPr>
          <w:rtl/>
          <w:lang w:bidi="ar-LB"/>
        </w:rPr>
        <w:t xml:space="preserve"> </w:t>
      </w:r>
      <w:r w:rsidR="00F32B28" w:rsidRPr="00F32B28">
        <w:rPr>
          <w:rtl/>
          <w:lang w:bidi="ar-LB"/>
        </w:rPr>
        <w:t>النفقات</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شراء</w:t>
      </w:r>
      <w:r w:rsidR="00F32B28">
        <w:rPr>
          <w:rtl/>
          <w:lang w:bidi="ar-LB"/>
        </w:rPr>
        <w:t xml:space="preserve"> </w:t>
      </w:r>
      <w:r w:rsidR="00F32B28" w:rsidRPr="00F32B28">
        <w:rPr>
          <w:rtl/>
          <w:lang w:bidi="ar-LB"/>
        </w:rPr>
        <w:t>الخدمة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القطاع</w:t>
      </w:r>
      <w:r w:rsidR="00F32B28">
        <w:rPr>
          <w:rtl/>
          <w:lang w:bidi="ar-LB"/>
        </w:rPr>
        <w:t xml:space="preserve"> </w:t>
      </w:r>
      <w:r w:rsidR="00F32B28" w:rsidRPr="00F32B28">
        <w:rPr>
          <w:rtl/>
          <w:lang w:bidi="ar-LB"/>
        </w:rPr>
        <w:t>الخاص</w:t>
      </w:r>
      <w:r w:rsidR="00F32B28">
        <w:rPr>
          <w:rtl/>
          <w:lang w:bidi="ar-LB"/>
        </w:rPr>
        <w:t xml:space="preserve"> </w:t>
      </w:r>
      <w:r w:rsidR="00F32B28" w:rsidRPr="00F32B28">
        <w:rPr>
          <w:rtl/>
          <w:lang w:bidi="ar-LB"/>
        </w:rPr>
        <w:t>سواء</w:t>
      </w:r>
      <w:r w:rsidR="00F32B28">
        <w:rPr>
          <w:rtl/>
          <w:lang w:bidi="ar-LB"/>
        </w:rPr>
        <w:t xml:space="preserve"> </w:t>
      </w:r>
      <w:r w:rsidR="00F32B28" w:rsidRPr="00F32B28">
        <w:rPr>
          <w:rtl/>
          <w:lang w:bidi="ar-LB"/>
        </w:rPr>
        <w:t>داخل</w:t>
      </w:r>
      <w:r w:rsidR="00F32B28">
        <w:rPr>
          <w:rtl/>
          <w:lang w:bidi="ar-LB"/>
        </w:rPr>
        <w:t xml:space="preserve"> </w:t>
      </w:r>
      <w:r w:rsidR="00F32B28" w:rsidRPr="00F32B28">
        <w:rPr>
          <w:rtl/>
          <w:lang w:bidi="ar-LB"/>
        </w:rPr>
        <w:t>الوطن</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خارجه.</w:t>
      </w:r>
    </w:p>
    <w:p w:rsidR="00F32B28" w:rsidRPr="00F32B28" w:rsidRDefault="00AF1BC1" w:rsidP="00AF1BC1">
      <w:pPr>
        <w:pStyle w:val="SingleTxt"/>
        <w:rPr>
          <w:b/>
          <w:bCs/>
          <w:rtl/>
          <w:lang w:bidi="ar-LB"/>
        </w:rPr>
      </w:pPr>
      <w:r>
        <w:rPr>
          <w:rFonts w:hint="cs"/>
          <w:rtl/>
          <w:lang w:bidi="ar-LB"/>
        </w:rPr>
        <w:t xml:space="preserve">253 - </w:t>
      </w:r>
      <w:r w:rsidR="00F32B28" w:rsidRPr="00F32B28">
        <w:rPr>
          <w:rtl/>
          <w:lang w:bidi="ar-LB"/>
        </w:rPr>
        <w:t>إن</w:t>
      </w:r>
      <w:r w:rsidR="00F32B28">
        <w:rPr>
          <w:rtl/>
          <w:lang w:bidi="ar-LB"/>
        </w:rPr>
        <w:t xml:space="preserve"> </w:t>
      </w:r>
      <w:r w:rsidR="00F32B28" w:rsidRPr="00F32B28">
        <w:rPr>
          <w:rtl/>
          <w:lang w:bidi="ar-LB"/>
        </w:rPr>
        <w:t>أبرز</w:t>
      </w:r>
      <w:r w:rsidR="00F32B28">
        <w:rPr>
          <w:rtl/>
          <w:lang w:bidi="ar-LB"/>
        </w:rPr>
        <w:t xml:space="preserve"> </w:t>
      </w:r>
      <w:r w:rsidR="00F32B28" w:rsidRPr="00F32B28">
        <w:rPr>
          <w:rtl/>
          <w:lang w:bidi="ar-LB"/>
        </w:rPr>
        <w:t>العوائق</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تواجه</w:t>
      </w:r>
      <w:r w:rsidR="00F32B28">
        <w:rPr>
          <w:rtl/>
          <w:lang w:bidi="ar-LB"/>
        </w:rPr>
        <w:t xml:space="preserve"> </w:t>
      </w:r>
      <w:r w:rsidR="00F32B28" w:rsidRPr="00F32B28">
        <w:rPr>
          <w:rtl/>
          <w:lang w:bidi="ar-LB"/>
        </w:rPr>
        <w:t>الأشخاص</w:t>
      </w:r>
      <w:r w:rsidR="00F32B28">
        <w:rPr>
          <w:rtl/>
          <w:lang w:bidi="ar-LB"/>
        </w:rPr>
        <w:t xml:space="preserve"> </w:t>
      </w:r>
      <w:r w:rsidR="00F32B28" w:rsidRPr="00F32B28">
        <w:rPr>
          <w:rtl/>
          <w:lang w:bidi="ar-LB"/>
        </w:rPr>
        <w:t>ذوي</w:t>
      </w:r>
      <w:r w:rsidR="00F32B28">
        <w:rPr>
          <w:rtl/>
          <w:lang w:bidi="ar-LB"/>
        </w:rPr>
        <w:t xml:space="preserve"> </w:t>
      </w:r>
      <w:r w:rsidR="00F32B28" w:rsidRPr="00F32B28">
        <w:rPr>
          <w:rtl/>
          <w:lang w:bidi="ar-LB"/>
        </w:rPr>
        <w:t>الإعاقة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الاستفادة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التغطية</w:t>
      </w:r>
      <w:r w:rsidR="00F32B28">
        <w:rPr>
          <w:rtl/>
          <w:lang w:bidi="ar-LB"/>
        </w:rPr>
        <w:t xml:space="preserve"> </w:t>
      </w:r>
      <w:r w:rsidR="00F32B28" w:rsidRPr="00F32B28">
        <w:rPr>
          <w:rtl/>
          <w:lang w:bidi="ar-LB"/>
        </w:rPr>
        <w:t>للخدمات</w:t>
      </w:r>
      <w:r w:rsidR="00F32B28">
        <w:rPr>
          <w:rtl/>
          <w:lang w:bidi="ar-LB"/>
        </w:rPr>
        <w:t xml:space="preserve"> </w:t>
      </w:r>
      <w:r w:rsidR="00F32B28" w:rsidRPr="00F32B28">
        <w:rPr>
          <w:rtl/>
          <w:lang w:bidi="ar-LB"/>
        </w:rPr>
        <w:t>الصحية</w:t>
      </w:r>
      <w:r w:rsidR="00F32B28">
        <w:rPr>
          <w:rtl/>
          <w:lang w:bidi="ar-LB"/>
        </w:rPr>
        <w:t xml:space="preserve"> </w:t>
      </w:r>
      <w:r w:rsidR="00F32B28" w:rsidRPr="00F32B28">
        <w:rPr>
          <w:rtl/>
          <w:lang w:bidi="ar-LB"/>
        </w:rPr>
        <w:t>والتأهيلية،</w:t>
      </w:r>
      <w:r w:rsidR="00F32B28">
        <w:rPr>
          <w:rtl/>
          <w:lang w:bidi="ar-LB"/>
        </w:rPr>
        <w:t xml:space="preserve"> </w:t>
      </w:r>
      <w:r w:rsidR="00F32B28" w:rsidRPr="00F32B28">
        <w:rPr>
          <w:rtl/>
          <w:lang w:bidi="ar-LB"/>
        </w:rPr>
        <w:t>هو</w:t>
      </w:r>
      <w:r w:rsidR="00F32B28">
        <w:rPr>
          <w:rtl/>
          <w:lang w:bidi="ar-LB"/>
        </w:rPr>
        <w:t xml:space="preserve"> </w:t>
      </w:r>
      <w:r w:rsidR="00F32B28" w:rsidRPr="00F32B28">
        <w:rPr>
          <w:rtl/>
          <w:lang w:bidi="ar-LB"/>
        </w:rPr>
        <w:t>خضوعها</w:t>
      </w:r>
      <w:r w:rsidR="00F32B28">
        <w:rPr>
          <w:rtl/>
          <w:lang w:bidi="ar-LB"/>
        </w:rPr>
        <w:t xml:space="preserve"> </w:t>
      </w:r>
      <w:r w:rsidR="00F32B28" w:rsidRPr="00F32B28">
        <w:rPr>
          <w:rtl/>
          <w:lang w:bidi="ar-LB"/>
        </w:rPr>
        <w:t>لمحدودية</w:t>
      </w:r>
      <w:r w:rsidR="00F32B28">
        <w:rPr>
          <w:rtl/>
          <w:lang w:bidi="ar-LB"/>
        </w:rPr>
        <w:t xml:space="preserve"> </w:t>
      </w:r>
      <w:r w:rsidR="00F32B28" w:rsidRPr="00F32B28">
        <w:rPr>
          <w:rtl/>
          <w:lang w:bidi="ar-LB"/>
        </w:rPr>
        <w:t>الموازنة</w:t>
      </w:r>
      <w:r w:rsidR="00F32B28">
        <w:rPr>
          <w:rtl/>
          <w:lang w:bidi="ar-LB"/>
        </w:rPr>
        <w:t xml:space="preserve"> </w:t>
      </w:r>
      <w:r w:rsidR="00F32B28" w:rsidRPr="00F32B28">
        <w:rPr>
          <w:rtl/>
          <w:lang w:bidi="ar-LB"/>
        </w:rPr>
        <w:t>والاعتمادات</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موازنة</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الصحة،</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يسبب</w:t>
      </w:r>
      <w:r>
        <w:rPr>
          <w:rFonts w:hint="cs"/>
          <w:rtl/>
          <w:lang w:bidi="ar-LB"/>
        </w:rPr>
        <w:t xml:space="preserve"> </w:t>
      </w:r>
      <w:r w:rsidR="00F32B28" w:rsidRPr="00F32B28">
        <w:rPr>
          <w:rtl/>
          <w:lang w:bidi="ar-LB"/>
        </w:rPr>
        <w:t>غالباً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تراجع</w:t>
      </w:r>
      <w:r w:rsidR="00F32B28">
        <w:rPr>
          <w:rtl/>
          <w:lang w:bidi="ar-LB"/>
        </w:rPr>
        <w:t xml:space="preserve"> </w:t>
      </w:r>
      <w:r w:rsidR="00F32B28" w:rsidRPr="00F32B28">
        <w:rPr>
          <w:rtl/>
          <w:lang w:bidi="ar-LB"/>
        </w:rPr>
        <w:t>استفادة</w:t>
      </w:r>
      <w:r w:rsidR="00F32B28">
        <w:rPr>
          <w:rtl/>
          <w:lang w:bidi="ar-LB"/>
        </w:rPr>
        <w:t xml:space="preserve"> </w:t>
      </w:r>
      <w:r w:rsidR="00F32B28" w:rsidRPr="00F32B28">
        <w:rPr>
          <w:rtl/>
          <w:lang w:bidi="ar-LB"/>
        </w:rPr>
        <w:t>هؤلاء</w:t>
      </w:r>
      <w:r w:rsidR="00F32B28">
        <w:rPr>
          <w:rtl/>
          <w:lang w:bidi="ar-LB"/>
        </w:rPr>
        <w:t xml:space="preserve"> </w:t>
      </w:r>
      <w:r w:rsidR="00F32B28" w:rsidRPr="00F32B28">
        <w:rPr>
          <w:rtl/>
          <w:lang w:bidi="ar-LB"/>
        </w:rPr>
        <w:t>الأشخاص</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الخدمات</w:t>
      </w:r>
      <w:r>
        <w:rPr>
          <w:rFonts w:hint="cs"/>
          <w:rtl/>
          <w:lang w:bidi="ar-LB"/>
        </w:rPr>
        <w:t xml:space="preserve"> </w:t>
      </w:r>
      <w:r w:rsidR="00F32B28" w:rsidRPr="00F32B28">
        <w:rPr>
          <w:rtl/>
          <w:lang w:bidi="ar-LB"/>
        </w:rPr>
        <w:t>وطول</w:t>
      </w:r>
      <w:r w:rsidR="00F32B28">
        <w:rPr>
          <w:rtl/>
          <w:lang w:bidi="ar-LB"/>
        </w:rPr>
        <w:t xml:space="preserve"> </w:t>
      </w:r>
      <w:r w:rsidR="00F32B28" w:rsidRPr="00F32B28">
        <w:rPr>
          <w:rtl/>
          <w:lang w:bidi="ar-LB"/>
        </w:rPr>
        <w:t>فترة</w:t>
      </w:r>
      <w:r w:rsidR="00F32B28">
        <w:rPr>
          <w:rtl/>
          <w:lang w:bidi="ar-LB"/>
        </w:rPr>
        <w:t xml:space="preserve"> </w:t>
      </w:r>
      <w:r w:rsidR="00F32B28" w:rsidRPr="00F32B28">
        <w:rPr>
          <w:rtl/>
          <w:lang w:bidi="ar-LB"/>
        </w:rPr>
        <w:t>الانتظار.</w:t>
      </w:r>
    </w:p>
    <w:p w:rsidR="00AF1BC1" w:rsidRPr="00AF1BC1" w:rsidRDefault="00AF1BC1" w:rsidP="00AF1BC1">
      <w:pPr>
        <w:pStyle w:val="SingleTxt"/>
        <w:spacing w:after="0" w:line="120" w:lineRule="exact"/>
        <w:rPr>
          <w:b/>
          <w:bCs/>
          <w:sz w:val="10"/>
          <w:rtl/>
          <w:lang w:bidi="ar-SY"/>
        </w:rPr>
      </w:pPr>
    </w:p>
    <w:p w:rsidR="009F4D72" w:rsidRDefault="009F4D72" w:rsidP="00F32B28">
      <w:pPr>
        <w:pStyle w:val="SingleTxt"/>
        <w:rPr>
          <w:b/>
          <w:bCs/>
          <w:rtl/>
          <w:lang w:bidi="ar-SY"/>
        </w:rPr>
      </w:pPr>
    </w:p>
    <w:p w:rsidR="00616500" w:rsidRDefault="00616500" w:rsidP="00F32B28">
      <w:pPr>
        <w:pStyle w:val="SingleTxt"/>
        <w:rPr>
          <w:b/>
          <w:bCs/>
          <w:rtl/>
          <w:lang w:bidi="ar-SY"/>
        </w:rPr>
      </w:pPr>
    </w:p>
    <w:p w:rsidR="00F32B28" w:rsidRPr="00F32B28" w:rsidRDefault="00F32B28" w:rsidP="00F32B28">
      <w:pPr>
        <w:pStyle w:val="SingleTxt"/>
        <w:rPr>
          <w:b/>
          <w:bCs/>
          <w:rtl/>
          <w:lang w:bidi="ar-SY"/>
        </w:rPr>
      </w:pPr>
      <w:r w:rsidRPr="00F32B28">
        <w:rPr>
          <w:b/>
          <w:bCs/>
          <w:rtl/>
          <w:lang w:bidi="ar-SY"/>
        </w:rPr>
        <w:lastRenderedPageBreak/>
        <w:t>التحديات</w:t>
      </w:r>
    </w:p>
    <w:p w:rsidR="00F32B28" w:rsidRPr="00F32B28" w:rsidRDefault="00F32B28" w:rsidP="00F32B28">
      <w:pPr>
        <w:pStyle w:val="SingleTxt"/>
        <w:rPr>
          <w:b/>
          <w:bCs/>
          <w:rtl/>
          <w:lang w:bidi="ar-LB"/>
        </w:rPr>
      </w:pPr>
      <w:r w:rsidRPr="00F32B28">
        <w:rPr>
          <w:b/>
          <w:bCs/>
          <w:rtl/>
          <w:lang w:bidi="ar-LB"/>
        </w:rPr>
        <w:t>انتهاك</w:t>
      </w:r>
      <w:r>
        <w:rPr>
          <w:b/>
          <w:bCs/>
          <w:rtl/>
          <w:lang w:bidi="ar-LB"/>
        </w:rPr>
        <w:t xml:space="preserve"> </w:t>
      </w:r>
      <w:r w:rsidRPr="00F32B28">
        <w:rPr>
          <w:b/>
          <w:bCs/>
          <w:rtl/>
          <w:lang w:bidi="ar-LB"/>
        </w:rPr>
        <w:t>الحق</w:t>
      </w:r>
      <w:r>
        <w:rPr>
          <w:b/>
          <w:bCs/>
          <w:rtl/>
          <w:lang w:bidi="ar-LB"/>
        </w:rPr>
        <w:t xml:space="preserve"> </w:t>
      </w:r>
      <w:r w:rsidRPr="00F32B28">
        <w:rPr>
          <w:b/>
          <w:bCs/>
          <w:rtl/>
          <w:lang w:bidi="ar-LB"/>
        </w:rPr>
        <w:t>في</w:t>
      </w:r>
      <w:r>
        <w:rPr>
          <w:b/>
          <w:bCs/>
          <w:rtl/>
          <w:lang w:bidi="ar-LB"/>
        </w:rPr>
        <w:t xml:space="preserve"> </w:t>
      </w:r>
      <w:r w:rsidRPr="00F32B28">
        <w:rPr>
          <w:b/>
          <w:bCs/>
          <w:rtl/>
          <w:lang w:bidi="ar-LB"/>
        </w:rPr>
        <w:t>حرية</w:t>
      </w:r>
      <w:r>
        <w:rPr>
          <w:b/>
          <w:bCs/>
          <w:rtl/>
          <w:lang w:bidi="ar-LB"/>
        </w:rPr>
        <w:t xml:space="preserve"> </w:t>
      </w:r>
      <w:r w:rsidRPr="00F32B28">
        <w:rPr>
          <w:b/>
          <w:bCs/>
          <w:rtl/>
          <w:lang w:bidi="ar-LB"/>
        </w:rPr>
        <w:t>الحركة</w:t>
      </w:r>
      <w:r>
        <w:rPr>
          <w:b/>
          <w:bCs/>
          <w:rtl/>
          <w:lang w:bidi="ar-LB"/>
        </w:rPr>
        <w:t xml:space="preserve"> </w:t>
      </w:r>
      <w:r w:rsidRPr="00F32B28">
        <w:rPr>
          <w:b/>
          <w:bCs/>
          <w:rtl/>
          <w:lang w:bidi="ar-LB"/>
        </w:rPr>
        <w:t>والتنقل</w:t>
      </w:r>
      <w:r>
        <w:rPr>
          <w:b/>
          <w:bCs/>
          <w:rtl/>
          <w:lang w:bidi="ar-LB"/>
        </w:rPr>
        <w:t xml:space="preserve"> </w:t>
      </w:r>
      <w:r w:rsidRPr="00F32B28">
        <w:rPr>
          <w:b/>
          <w:bCs/>
          <w:rtl/>
          <w:lang w:bidi="ar-LB"/>
        </w:rPr>
        <w:t>والوصول</w:t>
      </w:r>
      <w:r>
        <w:rPr>
          <w:b/>
          <w:bCs/>
          <w:rtl/>
          <w:lang w:bidi="ar-LB"/>
        </w:rPr>
        <w:t xml:space="preserve"> </w:t>
      </w:r>
      <w:r w:rsidRPr="00F32B28">
        <w:rPr>
          <w:b/>
          <w:bCs/>
          <w:rtl/>
          <w:lang w:bidi="ar-LB"/>
        </w:rPr>
        <w:t>للخدمات</w:t>
      </w:r>
      <w:r>
        <w:rPr>
          <w:b/>
          <w:bCs/>
          <w:rtl/>
          <w:lang w:bidi="ar-LB"/>
        </w:rPr>
        <w:t xml:space="preserve"> </w:t>
      </w:r>
      <w:r w:rsidRPr="00F32B28">
        <w:rPr>
          <w:b/>
          <w:bCs/>
          <w:rtl/>
          <w:lang w:bidi="ar-LB"/>
        </w:rPr>
        <w:t>الصحية</w:t>
      </w:r>
    </w:p>
    <w:p w:rsidR="00F32B28" w:rsidRPr="00F32B28" w:rsidRDefault="00AF1BC1" w:rsidP="00AF1BC1">
      <w:pPr>
        <w:pStyle w:val="SingleTxt"/>
      </w:pPr>
      <w:r>
        <w:rPr>
          <w:rFonts w:hint="cs"/>
          <w:rtl/>
          <w:lang w:bidi="ar-LB"/>
        </w:rPr>
        <w:t xml:space="preserve">254 - </w:t>
      </w:r>
      <w:r w:rsidR="00F32B28" w:rsidRPr="00F32B28">
        <w:rPr>
          <w:rtl/>
          <w:lang w:bidi="ar-LB"/>
        </w:rPr>
        <w:t>تفرض</w:t>
      </w:r>
      <w:r w:rsidR="00F32B28">
        <w:rPr>
          <w:rtl/>
          <w:lang w:bidi="ar-LB"/>
        </w:rPr>
        <w:t xml:space="preserve"> </w:t>
      </w:r>
      <w:r w:rsidR="00F32B28" w:rsidRPr="00F32B28">
        <w:rPr>
          <w:rtl/>
          <w:lang w:bidi="ar-LB"/>
        </w:rPr>
        <w:t>حكومة</w:t>
      </w:r>
      <w:r w:rsidR="00F32B28">
        <w:rPr>
          <w:rtl/>
          <w:lang w:bidi="ar-LB"/>
        </w:rPr>
        <w:t xml:space="preserve"> </w:t>
      </w:r>
      <w:r w:rsidR="00F32B28" w:rsidRPr="00F32B28">
        <w:rPr>
          <w:rtl/>
          <w:lang w:bidi="ar-LB"/>
        </w:rPr>
        <w:t>الاحتلال</w:t>
      </w:r>
      <w:r w:rsidR="00F32B28">
        <w:rPr>
          <w:rtl/>
          <w:lang w:bidi="ar-LB"/>
        </w:rPr>
        <w:t xml:space="preserve"> </w:t>
      </w:r>
      <w:r w:rsidR="00F32B28" w:rsidRPr="00F32B28">
        <w:rPr>
          <w:rtl/>
          <w:lang w:bidi="ar-LB"/>
        </w:rPr>
        <w:t>الإسرائيلي</w:t>
      </w:r>
      <w:r w:rsidR="00F32B28">
        <w:rPr>
          <w:rtl/>
          <w:lang w:bidi="ar-LB"/>
        </w:rPr>
        <w:t xml:space="preserve"> </w:t>
      </w:r>
      <w:r w:rsidR="00F32B28" w:rsidRPr="00F32B28">
        <w:rPr>
          <w:rtl/>
          <w:lang w:bidi="ar-LB"/>
        </w:rPr>
        <w:t>طوقاً</w:t>
      </w:r>
      <w:r w:rsidR="00F32B28">
        <w:rPr>
          <w:rtl/>
          <w:lang w:bidi="ar-LB"/>
        </w:rPr>
        <w:t xml:space="preserve"> </w:t>
      </w:r>
      <w:r w:rsidR="00F32B28" w:rsidRPr="00F32B28">
        <w:rPr>
          <w:rtl/>
          <w:lang w:bidi="ar-LB"/>
        </w:rPr>
        <w:t>أمنياً</w:t>
      </w:r>
      <w:r w:rsidR="00F32B28">
        <w:rPr>
          <w:rtl/>
          <w:lang w:bidi="ar-LB"/>
        </w:rPr>
        <w:t xml:space="preserve"> </w:t>
      </w:r>
      <w:r w:rsidR="00F32B28" w:rsidRPr="00F32B28">
        <w:rPr>
          <w:rtl/>
          <w:lang w:bidi="ar-LB"/>
        </w:rPr>
        <w:t>شاملاً</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المحتلة،</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له</w:t>
      </w:r>
      <w:r w:rsidR="00F32B28">
        <w:rPr>
          <w:rtl/>
          <w:lang w:bidi="ar-LB"/>
        </w:rPr>
        <w:t xml:space="preserve"> </w:t>
      </w:r>
      <w:r w:rsidR="00F32B28" w:rsidRPr="00F32B28">
        <w:rPr>
          <w:rtl/>
          <w:lang w:bidi="ar-LB"/>
        </w:rPr>
        <w:t>بالغ</w:t>
      </w:r>
      <w:r w:rsidR="00F32B28">
        <w:rPr>
          <w:rtl/>
          <w:lang w:bidi="ar-LB"/>
        </w:rPr>
        <w:t xml:space="preserve"> </w:t>
      </w:r>
      <w:r w:rsidR="00F32B28" w:rsidRPr="00F32B28">
        <w:rPr>
          <w:rtl/>
          <w:lang w:bidi="ar-LB"/>
        </w:rPr>
        <w:t>الأثر</w:t>
      </w:r>
      <w:r w:rsidR="00F32B28">
        <w:rPr>
          <w:rtl/>
          <w:lang w:bidi="ar-LB"/>
        </w:rPr>
        <w:t xml:space="preserve"> </w:t>
      </w:r>
      <w:r w:rsidR="00F32B28" w:rsidRPr="00F32B28">
        <w:rPr>
          <w:rtl/>
        </w:rPr>
        <w:t>على</w:t>
      </w:r>
      <w:r w:rsidR="00F32B28">
        <w:rPr>
          <w:rtl/>
        </w:rPr>
        <w:t xml:space="preserve"> </w:t>
      </w:r>
      <w:r w:rsidR="00F32B28" w:rsidRPr="00F32B28">
        <w:rPr>
          <w:rtl/>
        </w:rPr>
        <w:t>إمكانيــة</w:t>
      </w:r>
      <w:r w:rsidR="00F32B28">
        <w:rPr>
          <w:rtl/>
        </w:rPr>
        <w:t xml:space="preserve"> </w:t>
      </w:r>
      <w:r w:rsidR="00F32B28" w:rsidRPr="00F32B28">
        <w:rPr>
          <w:rtl/>
        </w:rPr>
        <w:t>توفير</w:t>
      </w:r>
      <w:r w:rsidR="00F32B28">
        <w:rPr>
          <w:rtl/>
        </w:rPr>
        <w:t xml:space="preserve"> </w:t>
      </w:r>
      <w:r w:rsidR="00F32B28" w:rsidRPr="00F32B28">
        <w:rPr>
          <w:rtl/>
        </w:rPr>
        <w:t>الرعاية</w:t>
      </w:r>
      <w:r w:rsidR="00F32B28">
        <w:rPr>
          <w:rtl/>
        </w:rPr>
        <w:t xml:space="preserve"> </w:t>
      </w:r>
      <w:r w:rsidR="00F32B28" w:rsidRPr="00F32B28">
        <w:rPr>
          <w:rtl/>
        </w:rPr>
        <w:t>الصحيــة</w:t>
      </w:r>
      <w:r w:rsidR="00F32B28">
        <w:rPr>
          <w:rtl/>
        </w:rPr>
        <w:t xml:space="preserve"> </w:t>
      </w:r>
      <w:r w:rsidR="00F32B28" w:rsidRPr="00F32B28">
        <w:rPr>
          <w:rtl/>
        </w:rPr>
        <w:t>الكاملــة</w:t>
      </w:r>
      <w:r w:rsidR="00F32B28">
        <w:rPr>
          <w:rtl/>
        </w:rPr>
        <w:t xml:space="preserve"> </w:t>
      </w:r>
      <w:r w:rsidR="00F32B28" w:rsidRPr="00F32B28">
        <w:rPr>
          <w:rtl/>
        </w:rPr>
        <w:t>واللازمــة</w:t>
      </w:r>
      <w:r w:rsidR="00F32B28">
        <w:rPr>
          <w:rtl/>
        </w:rPr>
        <w:t xml:space="preserve"> </w:t>
      </w:r>
      <w:r w:rsidR="00F32B28" w:rsidRPr="00F32B28">
        <w:rPr>
          <w:rtl/>
        </w:rPr>
        <w:t>للمرأة</w:t>
      </w:r>
      <w:r w:rsidR="00F32B28">
        <w:rPr>
          <w:rtl/>
        </w:rPr>
        <w:t xml:space="preserve"> </w:t>
      </w:r>
      <w:r w:rsidR="00F32B28" w:rsidRPr="00F32B28">
        <w:rPr>
          <w:rtl/>
        </w:rPr>
        <w:t>والوصول</w:t>
      </w:r>
      <w:r w:rsidR="00F32B28">
        <w:rPr>
          <w:rtl/>
        </w:rPr>
        <w:t xml:space="preserve"> </w:t>
      </w:r>
      <w:r w:rsidR="00F32B28" w:rsidRPr="00F32B28">
        <w:rPr>
          <w:rtl/>
        </w:rPr>
        <w:t>إلى</w:t>
      </w:r>
      <w:r w:rsidR="00F32B28">
        <w:rPr>
          <w:rtl/>
        </w:rPr>
        <w:t xml:space="preserve"> </w:t>
      </w:r>
      <w:r w:rsidR="00F32B28" w:rsidRPr="00F32B28">
        <w:rPr>
          <w:rtl/>
        </w:rPr>
        <w:t>المراكز</w:t>
      </w:r>
      <w:r w:rsidR="00F32B28">
        <w:rPr>
          <w:rtl/>
        </w:rPr>
        <w:t xml:space="preserve"> </w:t>
      </w:r>
      <w:r w:rsidR="00F32B28" w:rsidRPr="00F32B28">
        <w:rPr>
          <w:rtl/>
        </w:rPr>
        <w:t>الصحية</w:t>
      </w:r>
      <w:r w:rsidR="00F32B28">
        <w:rPr>
          <w:rtl/>
        </w:rPr>
        <w:t xml:space="preserve"> </w:t>
      </w:r>
      <w:r w:rsidR="00F32B28" w:rsidRPr="00F32B28">
        <w:rPr>
          <w:rtl/>
        </w:rPr>
        <w:t>والمستشفيات.</w:t>
      </w:r>
      <w:r w:rsidR="00F32B28">
        <w:rPr>
          <w:rtl/>
        </w:rPr>
        <w:t xml:space="preserve"> </w:t>
      </w:r>
      <w:r w:rsidR="00F32B28" w:rsidRPr="00F32B28">
        <w:rPr>
          <w:rtl/>
          <w:lang w:bidi="ar-LB"/>
        </w:rPr>
        <w:t>ففي</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2013،</w:t>
      </w:r>
      <w:r w:rsidR="00F32B28">
        <w:rPr>
          <w:rtl/>
          <w:lang w:bidi="ar-LB"/>
        </w:rPr>
        <w:t xml:space="preserve"> </w:t>
      </w:r>
      <w:r w:rsidR="00F32B28" w:rsidRPr="00F32B28">
        <w:rPr>
          <w:rtl/>
          <w:lang w:bidi="ar-LB"/>
        </w:rPr>
        <w:t>أجبرت</w:t>
      </w:r>
      <w:r w:rsidR="00F32B28">
        <w:rPr>
          <w:rtl/>
          <w:lang w:bidi="ar-LB"/>
        </w:rPr>
        <w:t xml:space="preserve"> </w:t>
      </w:r>
      <w:r w:rsidR="00F32B28" w:rsidRPr="00F32B28">
        <w:rPr>
          <w:rtl/>
          <w:lang w:bidi="ar-LB"/>
        </w:rPr>
        <w:t>68</w:t>
      </w:r>
      <w:r w:rsidR="00F32B28">
        <w:rPr>
          <w:rtl/>
          <w:lang w:bidi="ar-LB"/>
        </w:rPr>
        <w:t xml:space="preserve"> </w:t>
      </w:r>
      <w:r w:rsidR="00F32B28" w:rsidRPr="00F32B28">
        <w:rPr>
          <w:rtl/>
          <w:lang w:bidi="ar-LB"/>
        </w:rPr>
        <w:t>امرأة</w:t>
      </w:r>
      <w:r w:rsidR="00F32B28">
        <w:rPr>
          <w:rtl/>
          <w:lang w:bidi="ar-LB"/>
        </w:rPr>
        <w:t xml:space="preserve"> </w:t>
      </w:r>
      <w:r w:rsidR="00F32B28" w:rsidRPr="00F32B28">
        <w:rPr>
          <w:rtl/>
          <w:lang w:bidi="ar-LB"/>
        </w:rPr>
        <w:t>فلسطينية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الولادة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الحواجز</w:t>
      </w:r>
      <w:r w:rsidR="00F32B28">
        <w:rPr>
          <w:rtl/>
          <w:lang w:bidi="ar-LB"/>
        </w:rPr>
        <w:t xml:space="preserve"> </w:t>
      </w:r>
      <w:r w:rsidR="00F32B28" w:rsidRPr="00F32B28">
        <w:rPr>
          <w:rtl/>
          <w:lang w:bidi="ar-LB"/>
        </w:rPr>
        <w:t>العسكرية</w:t>
      </w:r>
      <w:r w:rsidR="00F32B28">
        <w:rPr>
          <w:rtl/>
          <w:lang w:bidi="ar-LB"/>
        </w:rPr>
        <w:t xml:space="preserve"> </w:t>
      </w:r>
      <w:r w:rsidR="00F32B28" w:rsidRPr="00F32B28">
        <w:rPr>
          <w:rtl/>
          <w:lang w:bidi="ar-LB"/>
        </w:rPr>
        <w:t>الإسرائيلية،</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أودى</w:t>
      </w:r>
      <w:r w:rsidR="00F32B28">
        <w:rPr>
          <w:rtl/>
          <w:lang w:bidi="ar-LB"/>
        </w:rPr>
        <w:t xml:space="preserve"> </w:t>
      </w:r>
      <w:r w:rsidR="00F32B28" w:rsidRPr="00F32B28">
        <w:rPr>
          <w:rtl/>
          <w:lang w:bidi="ar-LB"/>
        </w:rPr>
        <w:t>بحياة</w:t>
      </w:r>
      <w:r w:rsidR="00F32B28">
        <w:rPr>
          <w:rtl/>
          <w:lang w:bidi="ar-LB"/>
        </w:rPr>
        <w:t xml:space="preserve"> </w:t>
      </w:r>
      <w:r w:rsidR="00F32B28" w:rsidRPr="00F32B28">
        <w:rPr>
          <w:rtl/>
          <w:lang w:bidi="ar-LB"/>
        </w:rPr>
        <w:t>5</w:t>
      </w:r>
      <w:r w:rsidR="00F32B28">
        <w:rPr>
          <w:rtl/>
          <w:lang w:bidi="ar-LB"/>
        </w:rPr>
        <w:t xml:space="preserve"> </w:t>
      </w:r>
      <w:r w:rsidR="00F32B28" w:rsidRPr="00F32B28">
        <w:rPr>
          <w:rtl/>
          <w:lang w:bidi="ar-LB"/>
        </w:rPr>
        <w:t>نساء</w:t>
      </w:r>
      <w:r w:rsidR="00F32B28">
        <w:rPr>
          <w:rtl/>
          <w:lang w:bidi="ar-LB"/>
        </w:rPr>
        <w:t xml:space="preserve"> </w:t>
      </w:r>
      <w:r w:rsidR="00F32B28" w:rsidRPr="00F32B28">
        <w:rPr>
          <w:rtl/>
          <w:lang w:bidi="ar-LB"/>
        </w:rPr>
        <w:t>منهن،</w:t>
      </w:r>
      <w:r w:rsidR="00F32B28">
        <w:rPr>
          <w:rtl/>
          <w:lang w:bidi="ar-LB"/>
        </w:rPr>
        <w:t xml:space="preserve"> </w:t>
      </w:r>
      <w:r w:rsidR="00F32B28" w:rsidRPr="00F32B28">
        <w:rPr>
          <w:rtl/>
          <w:lang w:bidi="ar-LB"/>
        </w:rPr>
        <w:t>وإجهاض</w:t>
      </w:r>
      <w:r w:rsidR="00F32B28">
        <w:rPr>
          <w:rtl/>
          <w:lang w:bidi="ar-LB"/>
        </w:rPr>
        <w:t xml:space="preserve"> </w:t>
      </w:r>
      <w:r w:rsidR="00F32B28" w:rsidRPr="00F32B28">
        <w:rPr>
          <w:rtl/>
          <w:lang w:bidi="ar-LB"/>
        </w:rPr>
        <w:t>35</w:t>
      </w:r>
      <w:r w:rsidR="00F32B28">
        <w:rPr>
          <w:rtl/>
          <w:lang w:bidi="ar-LB"/>
        </w:rPr>
        <w:t xml:space="preserve"> </w:t>
      </w:r>
      <w:r w:rsidR="00F32B28" w:rsidRPr="00F32B28">
        <w:rPr>
          <w:rtl/>
          <w:lang w:bidi="ar-LB"/>
        </w:rPr>
        <w:t>جنين.</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تقضي</w:t>
      </w:r>
      <w:r w:rsidR="00F32B28">
        <w:rPr>
          <w:rtl/>
          <w:lang w:bidi="ar-LB"/>
        </w:rPr>
        <w:t xml:space="preserve"> </w:t>
      </w:r>
      <w:r w:rsidR="00F32B28" w:rsidRPr="00F32B28">
        <w:rPr>
          <w:rtl/>
          <w:lang w:bidi="ar-LB"/>
        </w:rPr>
        <w:t>النساء</w:t>
      </w:r>
      <w:r w:rsidR="00F32B28" w:rsidRPr="00F32B28">
        <w:rPr>
          <w:rtl/>
        </w:rPr>
        <w:t>ساعات</w:t>
      </w:r>
      <w:r w:rsidR="00F32B28">
        <w:rPr>
          <w:rtl/>
        </w:rPr>
        <w:t xml:space="preserve"> </w:t>
      </w:r>
      <w:r w:rsidR="00F32B28" w:rsidRPr="00F32B28">
        <w:rPr>
          <w:rtl/>
        </w:rPr>
        <w:t>طويلة،</w:t>
      </w:r>
      <w:r w:rsidR="00F32B28">
        <w:rPr>
          <w:rtl/>
        </w:rPr>
        <w:t xml:space="preserve"> </w:t>
      </w:r>
      <w:r w:rsidR="00F32B28" w:rsidRPr="00F32B28">
        <w:rPr>
          <w:rtl/>
        </w:rPr>
        <w:t>قد</w:t>
      </w:r>
      <w:r w:rsidR="00F32B28">
        <w:rPr>
          <w:rtl/>
        </w:rPr>
        <w:t xml:space="preserve"> </w:t>
      </w:r>
      <w:r w:rsidR="00F32B28" w:rsidRPr="00F32B28">
        <w:rPr>
          <w:rtl/>
        </w:rPr>
        <w:t>تصل</w:t>
      </w:r>
      <w:r w:rsidR="00F32B28">
        <w:rPr>
          <w:rtl/>
        </w:rPr>
        <w:t xml:space="preserve"> </w:t>
      </w:r>
      <w:r w:rsidR="00F32B28" w:rsidRPr="00F32B28">
        <w:rPr>
          <w:rtl/>
        </w:rPr>
        <w:t>إلى</w:t>
      </w:r>
      <w:r w:rsidR="00F32B28">
        <w:rPr>
          <w:rtl/>
        </w:rPr>
        <w:t xml:space="preserve"> </w:t>
      </w:r>
      <w:r w:rsidR="00F32B28" w:rsidRPr="00F32B28">
        <w:rPr>
          <w:rtl/>
        </w:rPr>
        <w:t>أكثر</w:t>
      </w:r>
      <w:r w:rsidR="00F32B28">
        <w:rPr>
          <w:rtl/>
        </w:rPr>
        <w:t xml:space="preserve"> </w:t>
      </w:r>
      <w:r w:rsidR="00F32B28" w:rsidRPr="00F32B28">
        <w:rPr>
          <w:rtl/>
        </w:rPr>
        <w:t>من</w:t>
      </w:r>
      <w:r w:rsidR="00F32B28">
        <w:rPr>
          <w:rtl/>
        </w:rPr>
        <w:t xml:space="preserve"> </w:t>
      </w:r>
      <w:r w:rsidR="00F32B28" w:rsidRPr="00F32B28">
        <w:rPr>
          <w:rtl/>
        </w:rPr>
        <w:t>أربع</w:t>
      </w:r>
      <w:r w:rsidR="00F32B28">
        <w:rPr>
          <w:rtl/>
        </w:rPr>
        <w:t xml:space="preserve"> </w:t>
      </w:r>
      <w:r w:rsidR="00F32B28" w:rsidRPr="00F32B28">
        <w:rPr>
          <w:rtl/>
        </w:rPr>
        <w:t>ساعات،</w:t>
      </w:r>
      <w:r w:rsidR="00F32B28">
        <w:rPr>
          <w:rtl/>
        </w:rPr>
        <w:t xml:space="preserve"> </w:t>
      </w:r>
      <w:r w:rsidR="00F32B28" w:rsidRPr="00F32B28">
        <w:rPr>
          <w:rtl/>
        </w:rPr>
        <w:t>للوصول</w:t>
      </w:r>
      <w:r w:rsidR="00F32B28">
        <w:rPr>
          <w:rtl/>
        </w:rPr>
        <w:t xml:space="preserve"> </w:t>
      </w:r>
      <w:r w:rsidR="00F32B28" w:rsidRPr="00F32B28">
        <w:rPr>
          <w:rtl/>
        </w:rPr>
        <w:t>إلى</w:t>
      </w:r>
      <w:r w:rsidR="00F32B28">
        <w:rPr>
          <w:rtl/>
        </w:rPr>
        <w:t xml:space="preserve"> </w:t>
      </w:r>
      <w:r w:rsidR="00F32B28" w:rsidRPr="00F32B28">
        <w:rPr>
          <w:rtl/>
        </w:rPr>
        <w:t>المراكز</w:t>
      </w:r>
      <w:r w:rsidR="00F32B28">
        <w:rPr>
          <w:rtl/>
        </w:rPr>
        <w:t xml:space="preserve"> </w:t>
      </w:r>
      <w:r w:rsidR="00F32B28" w:rsidRPr="00F32B28">
        <w:rPr>
          <w:rtl/>
        </w:rPr>
        <w:t>الصحية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p>
    <w:p w:rsidR="00AF1BC1" w:rsidRPr="00AF1BC1" w:rsidRDefault="00AF1BC1" w:rsidP="00AF1BC1">
      <w:pPr>
        <w:pStyle w:val="SingleTxt"/>
        <w:spacing w:after="0" w:line="120" w:lineRule="exact"/>
        <w:rPr>
          <w:b/>
          <w:bCs/>
          <w:sz w:val="10"/>
          <w:rtl/>
          <w:lang w:bidi="ar-SY"/>
        </w:rPr>
      </w:pPr>
    </w:p>
    <w:p w:rsidR="00F32B28" w:rsidRPr="00F32B28" w:rsidRDefault="00F32B28" w:rsidP="00F32B28">
      <w:pPr>
        <w:pStyle w:val="SingleTxt"/>
      </w:pPr>
      <w:r w:rsidRPr="00F32B28">
        <w:rPr>
          <w:b/>
          <w:bCs/>
          <w:rtl/>
          <w:lang w:bidi="ar-SY"/>
        </w:rPr>
        <w:t>الأوضاع</w:t>
      </w:r>
      <w:r>
        <w:rPr>
          <w:b/>
          <w:bCs/>
          <w:rtl/>
          <w:lang w:bidi="ar-SY"/>
        </w:rPr>
        <w:t xml:space="preserve"> </w:t>
      </w:r>
      <w:r w:rsidRPr="00F32B28">
        <w:rPr>
          <w:b/>
          <w:bCs/>
          <w:rtl/>
          <w:lang w:bidi="ar-SY"/>
        </w:rPr>
        <w:t>الصحية</w:t>
      </w:r>
      <w:r>
        <w:rPr>
          <w:b/>
          <w:bCs/>
          <w:rtl/>
          <w:lang w:bidi="ar-SY"/>
        </w:rPr>
        <w:t xml:space="preserve"> </w:t>
      </w:r>
      <w:r w:rsidRPr="00F32B28">
        <w:rPr>
          <w:b/>
          <w:bCs/>
          <w:rtl/>
          <w:lang w:bidi="ar-SY"/>
        </w:rPr>
        <w:t>للأسيرات</w:t>
      </w:r>
      <w:r>
        <w:rPr>
          <w:b/>
          <w:bCs/>
          <w:rtl/>
          <w:lang w:bidi="ar-SY"/>
        </w:rPr>
        <w:t xml:space="preserve"> </w:t>
      </w:r>
      <w:r w:rsidRPr="00F32B28">
        <w:rPr>
          <w:b/>
          <w:bCs/>
          <w:rtl/>
          <w:lang w:bidi="ar-SY"/>
        </w:rPr>
        <w:t>الفلسطينيات</w:t>
      </w:r>
      <w:r>
        <w:rPr>
          <w:b/>
          <w:bCs/>
          <w:rtl/>
          <w:lang w:bidi="ar-SY"/>
        </w:rPr>
        <w:t xml:space="preserve"> </w:t>
      </w:r>
      <w:r w:rsidRPr="00F32B28">
        <w:rPr>
          <w:b/>
          <w:bCs/>
          <w:rtl/>
          <w:lang w:bidi="ar-SY"/>
        </w:rPr>
        <w:t>في</w:t>
      </w:r>
      <w:r>
        <w:rPr>
          <w:b/>
          <w:bCs/>
          <w:rtl/>
          <w:lang w:bidi="ar-SY"/>
        </w:rPr>
        <w:t xml:space="preserve"> </w:t>
      </w:r>
      <w:r w:rsidRPr="00F32B28">
        <w:rPr>
          <w:b/>
          <w:bCs/>
          <w:rtl/>
          <w:lang w:bidi="ar-SY"/>
        </w:rPr>
        <w:t>ظل</w:t>
      </w:r>
      <w:r>
        <w:rPr>
          <w:b/>
          <w:bCs/>
          <w:rtl/>
          <w:lang w:bidi="ar-SY"/>
        </w:rPr>
        <w:t xml:space="preserve"> </w:t>
      </w:r>
      <w:r w:rsidRPr="00F32B28">
        <w:rPr>
          <w:b/>
          <w:bCs/>
          <w:rtl/>
          <w:lang w:bidi="ar-SY"/>
        </w:rPr>
        <w:t>ظروف</w:t>
      </w:r>
      <w:r w:rsidR="00AF1BC1">
        <w:rPr>
          <w:rFonts w:hint="cs"/>
          <w:b/>
          <w:bCs/>
          <w:rtl/>
          <w:lang w:bidi="ar-SY"/>
        </w:rPr>
        <w:t xml:space="preserve"> </w:t>
      </w:r>
      <w:r w:rsidRPr="00F32B28">
        <w:rPr>
          <w:b/>
          <w:bCs/>
          <w:rtl/>
          <w:lang w:bidi="ar-SY"/>
        </w:rPr>
        <w:t>الاعتقال</w:t>
      </w:r>
      <w:r>
        <w:rPr>
          <w:b/>
          <w:bCs/>
          <w:rtl/>
          <w:lang w:bidi="ar-SY"/>
        </w:rPr>
        <w:t xml:space="preserve"> </w:t>
      </w:r>
      <w:r w:rsidRPr="00F32B28">
        <w:rPr>
          <w:b/>
          <w:bCs/>
          <w:rtl/>
          <w:lang w:bidi="ar-SY"/>
        </w:rPr>
        <w:t>التعسفي</w:t>
      </w:r>
      <w:r>
        <w:rPr>
          <w:b/>
          <w:bCs/>
          <w:rtl/>
          <w:lang w:bidi="ar-SY"/>
        </w:rPr>
        <w:t xml:space="preserve"> </w:t>
      </w:r>
      <w:r w:rsidRPr="00F32B28">
        <w:rPr>
          <w:rFonts w:hint="cs"/>
          <w:b/>
          <w:bCs/>
          <w:rtl/>
          <w:lang w:bidi="ar-SY"/>
        </w:rPr>
        <w:t>التمييزي</w:t>
      </w:r>
      <w:r>
        <w:rPr>
          <w:rFonts w:hint="cs"/>
          <w:b/>
          <w:bCs/>
          <w:rtl/>
          <w:lang w:bidi="ar-SY"/>
        </w:rPr>
        <w:t xml:space="preserve"> </w:t>
      </w:r>
      <w:r w:rsidRPr="00F32B28">
        <w:rPr>
          <w:b/>
          <w:bCs/>
          <w:rtl/>
          <w:lang w:bidi="ar-SY"/>
        </w:rPr>
        <w:t>والمبن</w:t>
      </w:r>
      <w:r w:rsidRPr="00F32B28">
        <w:rPr>
          <w:rFonts w:hint="cs"/>
          <w:b/>
          <w:bCs/>
          <w:rtl/>
          <w:lang w:bidi="ar-SY"/>
        </w:rPr>
        <w:t>ي</w:t>
      </w:r>
      <w:r>
        <w:rPr>
          <w:b/>
          <w:bCs/>
          <w:rtl/>
          <w:lang w:bidi="ar-SY"/>
        </w:rPr>
        <w:t xml:space="preserve"> </w:t>
      </w:r>
      <w:r w:rsidRPr="00F32B28">
        <w:rPr>
          <w:b/>
          <w:bCs/>
          <w:rtl/>
          <w:lang w:bidi="ar-SY"/>
        </w:rPr>
        <w:t>على</w:t>
      </w:r>
      <w:r>
        <w:rPr>
          <w:b/>
          <w:bCs/>
          <w:rtl/>
          <w:lang w:bidi="ar-SY"/>
        </w:rPr>
        <w:t xml:space="preserve"> </w:t>
      </w:r>
      <w:r w:rsidRPr="00F32B28">
        <w:rPr>
          <w:b/>
          <w:bCs/>
          <w:rtl/>
          <w:lang w:bidi="ar-SY"/>
        </w:rPr>
        <w:t>أساس</w:t>
      </w:r>
      <w:r>
        <w:rPr>
          <w:b/>
          <w:bCs/>
          <w:rtl/>
          <w:lang w:bidi="ar-SY"/>
        </w:rPr>
        <w:t xml:space="preserve"> </w:t>
      </w:r>
      <w:r w:rsidRPr="00F32B28">
        <w:rPr>
          <w:b/>
          <w:bCs/>
          <w:rtl/>
          <w:lang w:bidi="ar-SY"/>
        </w:rPr>
        <w:t>القومية</w:t>
      </w:r>
      <w:r>
        <w:rPr>
          <w:b/>
          <w:bCs/>
          <w:rtl/>
          <w:lang w:bidi="ar-SY"/>
        </w:rPr>
        <w:t xml:space="preserve"> </w:t>
      </w:r>
      <w:r w:rsidRPr="00F32B28">
        <w:rPr>
          <w:b/>
          <w:bCs/>
          <w:rtl/>
          <w:lang w:bidi="ar-SY"/>
        </w:rPr>
        <w:t>والجنس</w:t>
      </w:r>
    </w:p>
    <w:p w:rsidR="00F32B28" w:rsidRPr="00F32B28" w:rsidRDefault="00AF1BC1" w:rsidP="00AF1BC1">
      <w:pPr>
        <w:pStyle w:val="SingleTxt"/>
      </w:pPr>
      <w:r>
        <w:rPr>
          <w:rFonts w:hint="cs"/>
          <w:rtl/>
        </w:rPr>
        <w:t xml:space="preserve">255 - </w:t>
      </w:r>
      <w:r w:rsidR="00F32B28" w:rsidRPr="00F32B28">
        <w:rPr>
          <w:rtl/>
        </w:rPr>
        <w:t>تعيش</w:t>
      </w:r>
      <w:r w:rsidR="00F32B28">
        <w:rPr>
          <w:rtl/>
        </w:rPr>
        <w:t xml:space="preserve"> </w:t>
      </w:r>
      <w:r w:rsidR="00F32B28" w:rsidRPr="00F32B28">
        <w:rPr>
          <w:rtl/>
        </w:rPr>
        <w:t>الأسيرات</w:t>
      </w:r>
      <w:r w:rsidR="00F32B28">
        <w:rPr>
          <w:rtl/>
        </w:rPr>
        <w:t xml:space="preserve"> </w:t>
      </w:r>
      <w:r w:rsidR="00F32B28" w:rsidRPr="00F32B28">
        <w:rPr>
          <w:rtl/>
        </w:rPr>
        <w:t>الفلسطينيات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سجون</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أوضاعاً</w:t>
      </w:r>
      <w:r w:rsidR="00F32B28">
        <w:rPr>
          <w:rtl/>
          <w:lang w:bidi="ar-SY"/>
        </w:rPr>
        <w:t xml:space="preserve"> </w:t>
      </w:r>
      <w:r w:rsidR="00F32B28" w:rsidRPr="00F32B28">
        <w:rPr>
          <w:rtl/>
          <w:lang w:bidi="ar-SY"/>
        </w:rPr>
        <w:t>استثنائية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الناحية</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فبالإضافة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يتعرضن</w:t>
      </w:r>
      <w:r w:rsidR="00F32B28">
        <w:rPr>
          <w:rtl/>
          <w:lang w:bidi="ar-SY"/>
        </w:rPr>
        <w:t xml:space="preserve"> </w:t>
      </w:r>
      <w:r w:rsidR="00F32B28" w:rsidRPr="00F32B28">
        <w:rPr>
          <w:rtl/>
          <w:lang w:bidi="ar-SY"/>
        </w:rPr>
        <w:t>إليه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شتى</w:t>
      </w:r>
      <w:r w:rsidR="00F32B28">
        <w:rPr>
          <w:rtl/>
          <w:lang w:bidi="ar-SY"/>
        </w:rPr>
        <w:t xml:space="preserve"> </w:t>
      </w:r>
      <w:r w:rsidR="00F32B28" w:rsidRPr="00F32B28">
        <w:rPr>
          <w:rtl/>
          <w:lang w:bidi="ar-SY"/>
        </w:rPr>
        <w:t>أنواع</w:t>
      </w:r>
      <w:r w:rsidR="00F32B28">
        <w:rPr>
          <w:rtl/>
          <w:lang w:bidi="ar-SY"/>
        </w:rPr>
        <w:t xml:space="preserve"> </w:t>
      </w:r>
      <w:r w:rsidR="00F32B28" w:rsidRPr="00F32B28">
        <w:rPr>
          <w:rtl/>
          <w:lang w:bidi="ar-SY"/>
        </w:rPr>
        <w:t>التعذيب</w:t>
      </w:r>
      <w:r w:rsidR="00F32B28">
        <w:rPr>
          <w:rtl/>
          <w:lang w:bidi="ar-SY"/>
        </w:rPr>
        <w:t xml:space="preserve"> </w:t>
      </w:r>
      <w:r w:rsidR="00F32B28" w:rsidRPr="00F32B28">
        <w:rPr>
          <w:rtl/>
          <w:lang w:bidi="ar-SY"/>
        </w:rPr>
        <w:t>الجسدي</w:t>
      </w:r>
      <w:r w:rsidR="00F32B28">
        <w:rPr>
          <w:rtl/>
          <w:lang w:bidi="ar-SY"/>
        </w:rPr>
        <w:t xml:space="preserve"> </w:t>
      </w:r>
      <w:r w:rsidR="00F32B28" w:rsidRPr="00F32B28">
        <w:rPr>
          <w:rtl/>
          <w:lang w:bidi="ar-SY"/>
        </w:rPr>
        <w:t>والنفسي</w:t>
      </w:r>
      <w:r w:rsidR="00F32B28">
        <w:rPr>
          <w:rtl/>
          <w:lang w:bidi="ar-SY"/>
        </w:rPr>
        <w:t xml:space="preserve"> </w:t>
      </w:r>
      <w:r w:rsidR="00F32B28" w:rsidRPr="00F32B28">
        <w:rPr>
          <w:rtl/>
          <w:lang w:bidi="ar-SY"/>
        </w:rPr>
        <w:t>المنهجي،</w:t>
      </w:r>
      <w:r w:rsidR="00F32B28">
        <w:rPr>
          <w:rtl/>
          <w:lang w:bidi="ar-SY"/>
        </w:rPr>
        <w:t xml:space="preserve"> </w:t>
      </w:r>
      <w:r w:rsidR="00F32B28" w:rsidRPr="00F32B28">
        <w:rPr>
          <w:rtl/>
          <w:lang w:bidi="ar-SY"/>
        </w:rPr>
        <w:t>فإنهن</w:t>
      </w:r>
      <w:r w:rsidR="00F32B28">
        <w:rPr>
          <w:rtl/>
          <w:lang w:bidi="ar-SY"/>
        </w:rPr>
        <w:t xml:space="preserve"> </w:t>
      </w:r>
      <w:r w:rsidR="00F32B28" w:rsidRPr="00F32B28">
        <w:rPr>
          <w:rtl/>
          <w:lang w:bidi="ar-SY"/>
        </w:rPr>
        <w:t>يعانين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سياسة</w:t>
      </w:r>
      <w:r w:rsidR="00F32B28">
        <w:rPr>
          <w:rtl/>
          <w:lang w:bidi="ar-SY"/>
        </w:rPr>
        <w:t xml:space="preserve"> </w:t>
      </w:r>
      <w:r w:rsidR="00F32B28" w:rsidRPr="00F32B28">
        <w:rPr>
          <w:rtl/>
          <w:lang w:bidi="ar-SY"/>
        </w:rPr>
        <w:t>الإهمال</w:t>
      </w:r>
      <w:r w:rsidR="00F32B28">
        <w:rPr>
          <w:rtl/>
          <w:lang w:bidi="ar-SY"/>
        </w:rPr>
        <w:t xml:space="preserve"> </w:t>
      </w:r>
      <w:r w:rsidR="00F32B28" w:rsidRPr="00F32B28">
        <w:rPr>
          <w:rtl/>
          <w:lang w:bidi="ar-SY"/>
        </w:rPr>
        <w:t>الطبي</w:t>
      </w:r>
      <w:r w:rsidR="00F32B28">
        <w:rPr>
          <w:rtl/>
          <w:lang w:bidi="ar-SY"/>
        </w:rPr>
        <w:t xml:space="preserve"> </w:t>
      </w:r>
      <w:r w:rsidR="00F32B28" w:rsidRPr="00F32B28">
        <w:rPr>
          <w:rtl/>
          <w:lang w:bidi="ar-SY"/>
        </w:rPr>
        <w:t>المتعمدة</w:t>
      </w:r>
      <w:r w:rsidR="00F32B28">
        <w:rPr>
          <w:rtl/>
          <w:lang w:bidi="ar-SY"/>
        </w:rPr>
        <w:t xml:space="preserve"> </w:t>
      </w:r>
      <w:r w:rsidR="00F32B28" w:rsidRPr="00F32B28">
        <w:rPr>
          <w:rtl/>
          <w:lang w:bidi="ar-SY"/>
        </w:rPr>
        <w:t>والقائمة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أساس</w:t>
      </w:r>
      <w:r w:rsidR="00F32B28">
        <w:rPr>
          <w:rtl/>
          <w:lang w:bidi="ar-SY"/>
        </w:rPr>
        <w:t xml:space="preserve"> </w:t>
      </w:r>
      <w:r w:rsidR="00F32B28" w:rsidRPr="00F32B28">
        <w:rPr>
          <w:rtl/>
          <w:lang w:bidi="ar-SY"/>
        </w:rPr>
        <w:t>القومية</w:t>
      </w:r>
      <w:r w:rsidR="00F32B28">
        <w:rPr>
          <w:rtl/>
          <w:lang w:bidi="ar-SY"/>
        </w:rPr>
        <w:t xml:space="preserve"> </w:t>
      </w:r>
      <w:r w:rsidR="00F32B28" w:rsidRPr="00F32B28">
        <w:rPr>
          <w:rtl/>
          <w:lang w:bidi="ar-SY"/>
        </w:rPr>
        <w:t>والجنس،</w:t>
      </w:r>
      <w:r w:rsidR="00F32B28">
        <w:rPr>
          <w:rtl/>
          <w:lang w:bidi="ar-SY"/>
        </w:rPr>
        <w:t xml:space="preserve"> </w:t>
      </w:r>
      <w:r w:rsidR="00F32B28" w:rsidRPr="00F32B28">
        <w:rPr>
          <w:rtl/>
          <w:lang w:bidi="ar-SY"/>
        </w:rPr>
        <w:t>وحرمانهن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أدنى</w:t>
      </w:r>
      <w:r w:rsidR="00F32B28">
        <w:rPr>
          <w:rtl/>
          <w:lang w:bidi="ar-SY"/>
        </w:rPr>
        <w:t xml:space="preserve"> </w:t>
      </w:r>
      <w:r w:rsidR="00F32B28" w:rsidRPr="00F32B28">
        <w:rPr>
          <w:rtl/>
          <w:lang w:bidi="ar-SY"/>
        </w:rPr>
        <w:t>خدمات</w:t>
      </w:r>
      <w:r w:rsidR="00F32B28">
        <w:rPr>
          <w:rtl/>
          <w:lang w:bidi="ar-SY"/>
        </w:rPr>
        <w:t xml:space="preserve"> </w:t>
      </w:r>
      <w:r w:rsidR="00F32B28" w:rsidRPr="00F32B28">
        <w:rPr>
          <w:rtl/>
          <w:lang w:bidi="ar-SY"/>
        </w:rPr>
        <w:t>العناية</w:t>
      </w:r>
      <w:r w:rsidR="00F32B28">
        <w:rPr>
          <w:rtl/>
          <w:lang w:bidi="ar-SY"/>
        </w:rPr>
        <w:t xml:space="preserve"> </w:t>
      </w:r>
      <w:r w:rsidR="00F32B28" w:rsidRPr="00F32B28">
        <w:rPr>
          <w:rtl/>
          <w:lang w:bidi="ar-SY"/>
        </w:rPr>
        <w:t>الطبية</w:t>
      </w:r>
      <w:r w:rsidR="00F32B28">
        <w:rPr>
          <w:rtl/>
          <w:lang w:bidi="ar-SY"/>
        </w:rPr>
        <w:t xml:space="preserve"> </w:t>
      </w:r>
      <w:r w:rsidR="00F32B28" w:rsidRPr="00F32B28">
        <w:rPr>
          <w:rtl/>
          <w:lang w:bidi="ar-SY"/>
        </w:rPr>
        <w:t>والصحة</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حرمانهن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حقهن</w:t>
      </w:r>
      <w:r w:rsidR="00F32B28">
        <w:rPr>
          <w:rtl/>
          <w:lang w:bidi="ar-SY"/>
        </w:rPr>
        <w:t xml:space="preserve"> </w:t>
      </w:r>
      <w:r w:rsidR="00F32B28" w:rsidRPr="00F32B28">
        <w:rPr>
          <w:rtl/>
          <w:lang w:bidi="ar-SY"/>
        </w:rPr>
        <w:t>بالحصول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وجبات</w:t>
      </w:r>
      <w:r w:rsidR="00F32B28">
        <w:rPr>
          <w:rtl/>
          <w:lang w:bidi="ar-SY"/>
        </w:rPr>
        <w:t xml:space="preserve"> </w:t>
      </w:r>
      <w:r w:rsidR="00F32B28" w:rsidRPr="00F32B28">
        <w:rPr>
          <w:rtl/>
          <w:lang w:bidi="ar-SY"/>
        </w:rPr>
        <w:t>لائقة</w:t>
      </w:r>
      <w:r w:rsidR="00F32B28">
        <w:rPr>
          <w:rtl/>
          <w:lang w:bidi="ar-SY"/>
        </w:rPr>
        <w:t xml:space="preserve"> </w:t>
      </w:r>
      <w:r w:rsidR="00F32B28" w:rsidRPr="00F32B28">
        <w:rPr>
          <w:rtl/>
          <w:lang w:bidi="ar-SY"/>
        </w:rPr>
        <w:t>وكافية،</w:t>
      </w:r>
      <w:r w:rsidR="00F32B28">
        <w:rPr>
          <w:rtl/>
          <w:lang w:bidi="ar-SY"/>
        </w:rPr>
        <w:t xml:space="preserve"> </w:t>
      </w:r>
      <w:r w:rsidR="00F32B28" w:rsidRPr="00F32B28">
        <w:rPr>
          <w:rtl/>
          <w:lang w:bidi="ar-SY"/>
        </w:rPr>
        <w:t>والمماطلة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تقديم</w:t>
      </w:r>
      <w:r w:rsidR="00F32B28">
        <w:rPr>
          <w:rtl/>
          <w:lang w:bidi="ar-SY"/>
        </w:rPr>
        <w:t xml:space="preserve"> </w:t>
      </w:r>
      <w:r w:rsidR="00F32B28" w:rsidRPr="00F32B28">
        <w:rPr>
          <w:rtl/>
          <w:lang w:bidi="ar-SY"/>
        </w:rPr>
        <w:t>العلاج،</w:t>
      </w:r>
      <w:r w:rsidR="00F32B28">
        <w:rPr>
          <w:rtl/>
          <w:lang w:bidi="ar-SY"/>
        </w:rPr>
        <w:t xml:space="preserve"> </w:t>
      </w:r>
      <w:r w:rsidR="00F32B28" w:rsidRPr="00F32B28">
        <w:rPr>
          <w:rtl/>
          <w:lang w:bidi="ar-SY"/>
        </w:rPr>
        <w:t>وإعطائهن</w:t>
      </w:r>
      <w:r w:rsidR="00F32B28">
        <w:rPr>
          <w:rtl/>
          <w:lang w:bidi="ar-SY"/>
        </w:rPr>
        <w:t xml:space="preserve"> </w:t>
      </w:r>
      <w:r w:rsidR="00F32B28" w:rsidRPr="00F32B28">
        <w:rPr>
          <w:rtl/>
          <w:lang w:bidi="ar-SY"/>
        </w:rPr>
        <w:t>أدوية</w:t>
      </w:r>
      <w:r w:rsidR="00F32B28">
        <w:rPr>
          <w:rtl/>
          <w:lang w:bidi="ar-SY"/>
        </w:rPr>
        <w:t xml:space="preserve"> </w:t>
      </w:r>
      <w:r w:rsidR="00F32B28" w:rsidRPr="00F32B28">
        <w:rPr>
          <w:rtl/>
          <w:lang w:bidi="ar-SY"/>
        </w:rPr>
        <w:t>منتهية</w:t>
      </w:r>
      <w:r w:rsidR="00F32B28">
        <w:rPr>
          <w:rtl/>
          <w:lang w:bidi="ar-SY"/>
        </w:rPr>
        <w:t xml:space="preserve"> </w:t>
      </w:r>
      <w:r w:rsidR="00F32B28" w:rsidRPr="00F32B28">
        <w:rPr>
          <w:rtl/>
          <w:lang w:bidi="ar-SY"/>
        </w:rPr>
        <w:t>الصلاحيات،</w:t>
      </w:r>
      <w:r w:rsidR="00F32B28">
        <w:rPr>
          <w:rtl/>
          <w:lang w:bidi="ar-SY"/>
        </w:rPr>
        <w:t xml:space="preserve"> </w:t>
      </w:r>
      <w:r w:rsidR="00F32B28" w:rsidRPr="00F32B28">
        <w:rPr>
          <w:rtl/>
          <w:lang w:bidi="ar-SY"/>
        </w:rPr>
        <w:t>وحرمان</w:t>
      </w:r>
      <w:r w:rsidR="00F32B28">
        <w:rPr>
          <w:rtl/>
          <w:lang w:bidi="ar-SY"/>
        </w:rPr>
        <w:t xml:space="preserve"> </w:t>
      </w:r>
      <w:r w:rsidR="00F32B28" w:rsidRPr="00F32B28">
        <w:rPr>
          <w:rtl/>
          <w:lang w:bidi="ar-SY"/>
        </w:rPr>
        <w:t>ذوات</w:t>
      </w:r>
      <w:r w:rsidR="00F32B28">
        <w:rPr>
          <w:rtl/>
          <w:lang w:bidi="ar-SY"/>
        </w:rPr>
        <w:t xml:space="preserve"> </w:t>
      </w:r>
      <w:r w:rsidR="00F32B28" w:rsidRPr="00F32B28">
        <w:rPr>
          <w:rtl/>
          <w:lang w:bidi="ar-SY"/>
        </w:rPr>
        <w:t>الأمراض</w:t>
      </w:r>
      <w:r w:rsidR="00F32B28">
        <w:rPr>
          <w:rtl/>
          <w:lang w:bidi="ar-SY"/>
        </w:rPr>
        <w:t xml:space="preserve"> </w:t>
      </w:r>
      <w:r w:rsidR="00F32B28" w:rsidRPr="00F32B28">
        <w:rPr>
          <w:rtl/>
          <w:lang w:bidi="ar-SY"/>
        </w:rPr>
        <w:t>المزمنة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أدويتهن،</w:t>
      </w:r>
      <w:r w:rsidR="00F32B28">
        <w:rPr>
          <w:rtl/>
          <w:lang w:bidi="ar-SY"/>
        </w:rPr>
        <w:t xml:space="preserve"> </w:t>
      </w:r>
      <w:r w:rsidR="00F32B28" w:rsidRPr="00F32B28">
        <w:rPr>
          <w:rtl/>
          <w:lang w:bidi="ar-SY"/>
        </w:rPr>
        <w:t>والامتناع</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إجراء</w:t>
      </w:r>
      <w:r w:rsidR="00F32B28">
        <w:rPr>
          <w:rtl/>
          <w:lang w:bidi="ar-SY"/>
        </w:rPr>
        <w:t xml:space="preserve"> </w:t>
      </w:r>
      <w:r w:rsidR="00F32B28" w:rsidRPr="00F32B28">
        <w:rPr>
          <w:rtl/>
          <w:lang w:bidi="ar-SY"/>
        </w:rPr>
        <w:t>العمليات</w:t>
      </w:r>
      <w:r w:rsidR="00F32B28">
        <w:rPr>
          <w:rtl/>
          <w:lang w:bidi="ar-SY"/>
        </w:rPr>
        <w:t xml:space="preserve"> </w:t>
      </w:r>
      <w:r w:rsidR="00F32B28" w:rsidRPr="00F32B28">
        <w:rPr>
          <w:rtl/>
          <w:lang w:bidi="ar-SY"/>
        </w:rPr>
        <w:t>الجراحية</w:t>
      </w:r>
      <w:r w:rsidR="00F32B28">
        <w:rPr>
          <w:rtl/>
          <w:lang w:bidi="ar-SY"/>
        </w:rPr>
        <w:t xml:space="preserve"> </w:t>
      </w:r>
      <w:r w:rsidR="00F32B28" w:rsidRPr="00F32B28">
        <w:rPr>
          <w:rtl/>
          <w:lang w:bidi="ar-SY"/>
        </w:rPr>
        <w:t>الضرورية،</w:t>
      </w:r>
      <w:r w:rsidR="00F32B28">
        <w:rPr>
          <w:rtl/>
          <w:lang w:bidi="ar-SY"/>
        </w:rPr>
        <w:t xml:space="preserve"> </w:t>
      </w:r>
      <w:r w:rsidR="00F32B28" w:rsidRPr="00F32B28">
        <w:rPr>
          <w:rtl/>
          <w:lang w:bidi="ar-SY"/>
        </w:rPr>
        <w:t>ومنع</w:t>
      </w:r>
      <w:r w:rsidR="00F32B28">
        <w:rPr>
          <w:rtl/>
          <w:lang w:bidi="ar-SY"/>
        </w:rPr>
        <w:t xml:space="preserve"> </w:t>
      </w:r>
      <w:r w:rsidR="00F32B28" w:rsidRPr="00F32B28">
        <w:rPr>
          <w:rtl/>
          <w:lang w:bidi="ar-SY"/>
        </w:rPr>
        <w:t>دخول</w:t>
      </w:r>
      <w:r w:rsidR="00F32B28">
        <w:rPr>
          <w:rtl/>
          <w:lang w:bidi="ar-SY"/>
        </w:rPr>
        <w:t xml:space="preserve"> </w:t>
      </w:r>
      <w:r w:rsidR="00F32B28" w:rsidRPr="00F32B28">
        <w:rPr>
          <w:rtl/>
          <w:lang w:bidi="ar-SY"/>
        </w:rPr>
        <w:t>الأطباء</w:t>
      </w:r>
      <w:r w:rsidR="00F32B28">
        <w:rPr>
          <w:rtl/>
          <w:lang w:bidi="ar-SY"/>
        </w:rPr>
        <w:t xml:space="preserve"> </w:t>
      </w:r>
      <w:r w:rsidR="00F32B28" w:rsidRPr="00F32B28">
        <w:rPr>
          <w:rtl/>
          <w:lang w:bidi="ar-SY"/>
        </w:rPr>
        <w:t>المتطوعون</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السجون،</w:t>
      </w:r>
      <w:r w:rsidR="00F32B28">
        <w:rPr>
          <w:rtl/>
          <w:lang w:bidi="ar-SY"/>
        </w:rPr>
        <w:t xml:space="preserve"> </w:t>
      </w:r>
      <w:r w:rsidR="00F32B28" w:rsidRPr="00F32B28">
        <w:rPr>
          <w:rtl/>
          <w:lang w:bidi="ar-SY"/>
        </w:rPr>
        <w:t>وعدم</w:t>
      </w:r>
      <w:r w:rsidR="00F32B28">
        <w:rPr>
          <w:rtl/>
          <w:lang w:bidi="ar-SY"/>
        </w:rPr>
        <w:t xml:space="preserve"> </w:t>
      </w:r>
      <w:r w:rsidR="00F32B28" w:rsidRPr="00F32B28">
        <w:rPr>
          <w:rtl/>
          <w:lang w:bidi="ar-SY"/>
        </w:rPr>
        <w:t>عزل</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المريضات</w:t>
      </w:r>
      <w:r w:rsidR="00F32B28">
        <w:rPr>
          <w:rtl/>
          <w:lang w:bidi="ar-SY"/>
        </w:rPr>
        <w:t xml:space="preserve"> </w:t>
      </w:r>
      <w:r w:rsidR="00F32B28" w:rsidRPr="00F32B28">
        <w:rPr>
          <w:rtl/>
          <w:lang w:bidi="ar-SY"/>
        </w:rPr>
        <w:t>المصابات</w:t>
      </w:r>
      <w:r w:rsidR="00F32B28">
        <w:rPr>
          <w:rtl/>
          <w:lang w:bidi="ar-SY"/>
        </w:rPr>
        <w:t xml:space="preserve"> </w:t>
      </w:r>
      <w:r w:rsidR="00F32B28" w:rsidRPr="00F32B28">
        <w:rPr>
          <w:rtl/>
          <w:lang w:bidi="ar-SY"/>
        </w:rPr>
        <w:t>بأمراض</w:t>
      </w:r>
      <w:r w:rsidR="00F32B28">
        <w:rPr>
          <w:rtl/>
          <w:lang w:bidi="ar-SY"/>
        </w:rPr>
        <w:t xml:space="preserve"> </w:t>
      </w:r>
      <w:r w:rsidR="00F32B28" w:rsidRPr="00F32B28">
        <w:rPr>
          <w:rtl/>
          <w:lang w:bidi="ar-SY"/>
        </w:rPr>
        <w:t>معدية.</w:t>
      </w:r>
      <w:r w:rsidR="00F32B28">
        <w:rPr>
          <w:rtl/>
          <w:lang w:bidi="ar-SY"/>
        </w:rPr>
        <w:t xml:space="preserve"> </w:t>
      </w:r>
      <w:r w:rsidR="00F32B28" w:rsidRPr="00F32B28">
        <w:rPr>
          <w:rtl/>
          <w:lang w:bidi="ar-SY"/>
        </w:rPr>
        <w:t>وتعاني</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عدم</w:t>
      </w:r>
      <w:r w:rsidR="00F32B28">
        <w:rPr>
          <w:rtl/>
          <w:lang w:bidi="ar-SY"/>
        </w:rPr>
        <w:t xml:space="preserve"> </w:t>
      </w:r>
      <w:r w:rsidR="00F32B28" w:rsidRPr="00F32B28">
        <w:rPr>
          <w:rtl/>
          <w:lang w:bidi="ar-SY"/>
        </w:rPr>
        <w:t>وجود</w:t>
      </w:r>
      <w:r w:rsidR="00F32B28">
        <w:rPr>
          <w:rtl/>
          <w:lang w:bidi="ar-SY"/>
        </w:rPr>
        <w:t xml:space="preserve"> </w:t>
      </w:r>
      <w:r w:rsidR="00F32B28" w:rsidRPr="00F32B28">
        <w:rPr>
          <w:rtl/>
          <w:lang w:bidi="ar-SY"/>
        </w:rPr>
        <w:t>أخصائي</w:t>
      </w:r>
      <w:r w:rsidR="00F32B28">
        <w:rPr>
          <w:rtl/>
          <w:lang w:bidi="ar-SY"/>
        </w:rPr>
        <w:t xml:space="preserve"> </w:t>
      </w:r>
      <w:r w:rsidR="00F32B28" w:rsidRPr="00F32B28">
        <w:rPr>
          <w:rtl/>
          <w:lang w:bidi="ar-SY"/>
        </w:rPr>
        <w:t>أمراض</w:t>
      </w:r>
      <w:r w:rsidR="00F32B28">
        <w:rPr>
          <w:rtl/>
          <w:lang w:bidi="ar-SY"/>
        </w:rPr>
        <w:t xml:space="preserve"> </w:t>
      </w:r>
      <w:r w:rsidR="00F32B28" w:rsidRPr="00F32B28">
        <w:rPr>
          <w:rtl/>
          <w:lang w:bidi="ar-SY"/>
        </w:rPr>
        <w:t>نسائية،</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تم</w:t>
      </w:r>
      <w:r w:rsidR="00F32B28">
        <w:rPr>
          <w:rtl/>
          <w:lang w:bidi="ar-SY"/>
        </w:rPr>
        <w:t xml:space="preserve"> </w:t>
      </w:r>
      <w:r w:rsidR="00F32B28" w:rsidRPr="00F32B28">
        <w:rPr>
          <w:rtl/>
          <w:lang w:bidi="ar-SY"/>
        </w:rPr>
        <w:t>اعتقالهن</w:t>
      </w:r>
      <w:r w:rsidR="00F32B28">
        <w:rPr>
          <w:rtl/>
          <w:lang w:bidi="ar-SY"/>
        </w:rPr>
        <w:t xml:space="preserve"> </w:t>
      </w:r>
      <w:r w:rsidR="00F32B28" w:rsidRPr="00F32B28">
        <w:rPr>
          <w:rtl/>
          <w:lang w:bidi="ar-SY"/>
        </w:rPr>
        <w:t>وهن</w:t>
      </w:r>
      <w:r w:rsidR="00F32B28">
        <w:rPr>
          <w:rtl/>
          <w:lang w:bidi="ar-SY"/>
        </w:rPr>
        <w:t xml:space="preserve"> </w:t>
      </w:r>
      <w:r w:rsidR="00F32B28" w:rsidRPr="00F32B28">
        <w:rPr>
          <w:rtl/>
          <w:lang w:bidi="ar-SY"/>
        </w:rPr>
        <w:t>حوامل،</w:t>
      </w:r>
      <w:r w:rsidR="00F32B28">
        <w:rPr>
          <w:rtl/>
          <w:lang w:bidi="ar-SY"/>
        </w:rPr>
        <w:t xml:space="preserve"> </w:t>
      </w:r>
      <w:r w:rsidR="00F32B28" w:rsidRPr="00F32B28">
        <w:rPr>
          <w:rtl/>
          <w:lang w:bidi="ar-SY"/>
        </w:rPr>
        <w:t>وبحاجة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متابعة</w:t>
      </w:r>
      <w:r w:rsidR="00F32B28">
        <w:rPr>
          <w:rtl/>
          <w:lang w:bidi="ar-SY"/>
        </w:rPr>
        <w:t xml:space="preserve"> </w:t>
      </w:r>
      <w:r w:rsidR="00F32B28" w:rsidRPr="00F32B28">
        <w:rPr>
          <w:rtl/>
          <w:lang w:bidi="ar-SY"/>
        </w:rPr>
        <w:t>صحية،</w:t>
      </w:r>
      <w:r w:rsidR="00F32B28">
        <w:rPr>
          <w:rtl/>
          <w:lang w:bidi="ar-SY"/>
        </w:rPr>
        <w:t xml:space="preserve"> </w:t>
      </w:r>
      <w:r w:rsidR="00F32B28" w:rsidRPr="00F32B28">
        <w:rPr>
          <w:rtl/>
          <w:lang w:bidi="ar-SY"/>
        </w:rPr>
        <w:t>بل</w:t>
      </w:r>
      <w:r w:rsidR="00F32B28">
        <w:rPr>
          <w:rtl/>
          <w:lang w:bidi="ar-SY"/>
        </w:rPr>
        <w:t xml:space="preserve"> </w:t>
      </w:r>
      <w:r w:rsidR="00F32B28" w:rsidRPr="00F32B28">
        <w:rPr>
          <w:rtl/>
          <w:lang w:bidi="ar-SY"/>
        </w:rPr>
        <w:t>ويتم</w:t>
      </w:r>
      <w:r w:rsidR="00F32B28">
        <w:rPr>
          <w:rtl/>
          <w:lang w:bidi="ar-SY"/>
        </w:rPr>
        <w:t xml:space="preserve"> </w:t>
      </w:r>
      <w:r w:rsidR="00F32B28" w:rsidRPr="00F32B28">
        <w:rPr>
          <w:rtl/>
          <w:lang w:bidi="ar-SY"/>
        </w:rPr>
        <w:t>إجبارهن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أغلب</w:t>
      </w:r>
      <w:r w:rsidR="00F32B28">
        <w:rPr>
          <w:rtl/>
          <w:lang w:bidi="ar-SY"/>
        </w:rPr>
        <w:t xml:space="preserve"> </w:t>
      </w:r>
      <w:r w:rsidR="00F32B28" w:rsidRPr="00F32B28">
        <w:rPr>
          <w:rtl/>
          <w:lang w:bidi="ar-SY"/>
        </w:rPr>
        <w:t>الأحيان</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الولادة</w:t>
      </w:r>
      <w:r w:rsidR="00F32B28">
        <w:rPr>
          <w:rtl/>
          <w:lang w:bidi="ar-SY"/>
        </w:rPr>
        <w:t xml:space="preserve"> </w:t>
      </w:r>
      <w:r w:rsidR="00F32B28" w:rsidRPr="00F32B28">
        <w:rPr>
          <w:rtl/>
          <w:lang w:bidi="ar-SY"/>
        </w:rPr>
        <w:t>وهن</w:t>
      </w:r>
      <w:r w:rsidR="00F32B28">
        <w:rPr>
          <w:rtl/>
          <w:lang w:bidi="ar-SY"/>
        </w:rPr>
        <w:t xml:space="preserve"> </w:t>
      </w:r>
      <w:r w:rsidR="00F32B28" w:rsidRPr="00F32B28">
        <w:rPr>
          <w:rtl/>
          <w:lang w:bidi="ar-SY"/>
        </w:rPr>
        <w:t>مقيدات</w:t>
      </w:r>
      <w:r w:rsidR="00F32B28">
        <w:rPr>
          <w:rtl/>
          <w:lang w:bidi="ar-SY"/>
        </w:rPr>
        <w:t xml:space="preserve"> </w:t>
      </w:r>
      <w:r w:rsidR="00F32B28" w:rsidRPr="00F32B28">
        <w:rPr>
          <w:rtl/>
          <w:lang w:bidi="ar-SY"/>
        </w:rPr>
        <w:t>الأيدي</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مراعاة</w:t>
      </w:r>
      <w:r w:rsidR="00F32B28">
        <w:rPr>
          <w:rtl/>
          <w:lang w:bidi="ar-SY"/>
        </w:rPr>
        <w:t xml:space="preserve"> </w:t>
      </w:r>
      <w:r w:rsidR="00F32B28" w:rsidRPr="00F32B28">
        <w:rPr>
          <w:rtl/>
          <w:lang w:bidi="ar-SY"/>
        </w:rPr>
        <w:t>لآلام</w:t>
      </w:r>
      <w:r w:rsidR="00F32B28">
        <w:rPr>
          <w:rtl/>
          <w:lang w:bidi="ar-SY"/>
        </w:rPr>
        <w:t xml:space="preserve"> </w:t>
      </w:r>
      <w:r w:rsidR="00F32B28" w:rsidRPr="00F32B28">
        <w:rPr>
          <w:rtl/>
          <w:lang w:bidi="ar-SY"/>
        </w:rPr>
        <w:t>المخاض</w:t>
      </w:r>
      <w:r w:rsidR="00F32B28">
        <w:rPr>
          <w:rtl/>
          <w:lang w:bidi="ar-SY"/>
        </w:rPr>
        <w:t xml:space="preserve"> </w:t>
      </w:r>
      <w:r w:rsidR="00F32B28" w:rsidRPr="00F32B28">
        <w:rPr>
          <w:rtl/>
          <w:lang w:bidi="ar-SY"/>
        </w:rPr>
        <w:t>والولادة،</w:t>
      </w:r>
      <w:r w:rsidR="00F32B28">
        <w:rPr>
          <w:rtl/>
          <w:lang w:bidi="ar-SY"/>
        </w:rPr>
        <w:t xml:space="preserve"> </w:t>
      </w:r>
      <w:r w:rsidR="00F32B28" w:rsidRPr="00F32B28">
        <w:rPr>
          <w:rtl/>
          <w:lang w:bidi="ar-SY"/>
        </w:rPr>
        <w:t>ودون</w:t>
      </w:r>
      <w:r w:rsidR="009F4D72">
        <w:rPr>
          <w:rFonts w:hint="cs"/>
          <w:rtl/>
          <w:lang w:bidi="ar-SY"/>
        </w:rPr>
        <w:t> </w:t>
      </w:r>
      <w:r w:rsidR="00F32B28" w:rsidRPr="00F32B28">
        <w:rPr>
          <w:rtl/>
          <w:lang w:bidi="ar-SY"/>
        </w:rPr>
        <w:t>تلقيهن</w:t>
      </w:r>
      <w:r w:rsidR="00F32B28">
        <w:rPr>
          <w:rtl/>
          <w:lang w:bidi="ar-SY"/>
        </w:rPr>
        <w:t xml:space="preserve"> </w:t>
      </w:r>
      <w:r w:rsidR="00F32B28" w:rsidRPr="00F32B28">
        <w:rPr>
          <w:rtl/>
          <w:lang w:bidi="ar-SY"/>
        </w:rPr>
        <w:t>لأي</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خدمات</w:t>
      </w:r>
      <w:r w:rsidR="00F32B28">
        <w:rPr>
          <w:rtl/>
          <w:lang w:bidi="ar-SY"/>
        </w:rPr>
        <w:t xml:space="preserve"> </w:t>
      </w:r>
      <w:r w:rsidR="00F32B28" w:rsidRPr="00F32B28">
        <w:rPr>
          <w:rtl/>
          <w:lang w:bidi="ar-SY"/>
        </w:rPr>
        <w:t>الرعاية</w:t>
      </w:r>
      <w:r w:rsidR="00F32B28">
        <w:rPr>
          <w:rtl/>
          <w:lang w:bidi="ar-SY"/>
        </w:rPr>
        <w:t xml:space="preserve"> </w:t>
      </w:r>
      <w:r w:rsidR="00F32B28" w:rsidRPr="00F32B28">
        <w:rPr>
          <w:rtl/>
          <w:lang w:bidi="ar-SY"/>
        </w:rPr>
        <w:t>الطبية</w:t>
      </w:r>
      <w:r w:rsidR="00F32B28">
        <w:rPr>
          <w:rtl/>
          <w:lang w:bidi="ar-SY"/>
        </w:rPr>
        <w:t xml:space="preserve"> </w:t>
      </w:r>
      <w:r w:rsidR="00F32B28" w:rsidRPr="00F32B28">
        <w:rPr>
          <w:rtl/>
          <w:lang w:bidi="ar-SY"/>
        </w:rPr>
        <w:t>الضرورية</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بعد</w:t>
      </w:r>
      <w:r w:rsidR="00F32B28">
        <w:rPr>
          <w:rtl/>
          <w:lang w:bidi="ar-SY"/>
        </w:rPr>
        <w:t xml:space="preserve"> </w:t>
      </w:r>
      <w:r w:rsidR="00F32B28" w:rsidRPr="00F32B28">
        <w:rPr>
          <w:rtl/>
          <w:lang w:bidi="ar-SY"/>
        </w:rPr>
        <w:t>الولادة،</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يشكل</w:t>
      </w:r>
      <w:r w:rsidR="00F32B28">
        <w:rPr>
          <w:rtl/>
          <w:lang w:bidi="ar-SY"/>
        </w:rPr>
        <w:t xml:space="preserve"> </w:t>
      </w:r>
      <w:r w:rsidR="00F32B28" w:rsidRPr="00F32B28">
        <w:rPr>
          <w:rtl/>
          <w:lang w:bidi="ar-SY"/>
        </w:rPr>
        <w:t>خطراً</w:t>
      </w:r>
      <w:r w:rsidR="00F32B28">
        <w:rPr>
          <w:rtl/>
          <w:lang w:bidi="ar-SY"/>
        </w:rPr>
        <w:t xml:space="preserve"> </w:t>
      </w:r>
      <w:r w:rsidR="00F32B28" w:rsidRPr="00F32B28">
        <w:rPr>
          <w:rtl/>
          <w:lang w:bidi="ar-SY"/>
        </w:rPr>
        <w:t>عليهن</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أطفالهن</w:t>
      </w:r>
      <w:r w:rsidR="00F32B28">
        <w:rPr>
          <w:rtl/>
          <w:lang w:bidi="ar-SY"/>
        </w:rPr>
        <w:t xml:space="preserve"> </w:t>
      </w:r>
      <w:r w:rsidR="00F32B28" w:rsidRPr="00F32B28">
        <w:rPr>
          <w:rtl/>
          <w:lang w:bidi="ar-SY"/>
        </w:rPr>
        <w:t>حديثي</w:t>
      </w:r>
      <w:r w:rsidR="00F32B28">
        <w:rPr>
          <w:rtl/>
          <w:lang w:bidi="ar-SY"/>
        </w:rPr>
        <w:t xml:space="preserve"> </w:t>
      </w:r>
      <w:r w:rsidR="00F32B28" w:rsidRPr="00F32B28">
        <w:rPr>
          <w:rtl/>
          <w:lang w:bidi="ar-SY"/>
        </w:rPr>
        <w:t>الولادة.</w:t>
      </w:r>
      <w:r w:rsidR="00F32B28">
        <w:rPr>
          <w:rtl/>
          <w:lang w:bidi="ar-SY"/>
        </w:rPr>
        <w:t xml:space="preserve"> </w:t>
      </w:r>
      <w:r w:rsidR="00F32B28" w:rsidRPr="00F32B28">
        <w:rPr>
          <w:rtl/>
          <w:lang w:bidi="ar-SY"/>
        </w:rPr>
        <w:t>يترافق</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كله</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إنكار</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الحصول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خدمات</w:t>
      </w:r>
      <w:r w:rsidR="00F32B28">
        <w:rPr>
          <w:rtl/>
          <w:lang w:bidi="ar-SY"/>
        </w:rPr>
        <w:t xml:space="preserve"> </w:t>
      </w:r>
      <w:r w:rsidR="00F32B28" w:rsidRPr="00F32B28">
        <w:rPr>
          <w:rtl/>
          <w:lang w:bidi="ar-SY"/>
        </w:rPr>
        <w:t>طبية</w:t>
      </w:r>
      <w:r w:rsidR="00F32B28">
        <w:rPr>
          <w:rtl/>
          <w:lang w:bidi="ar-SY"/>
        </w:rPr>
        <w:t xml:space="preserve"> </w:t>
      </w:r>
      <w:r w:rsidR="00F32B28" w:rsidRPr="00F32B28">
        <w:rPr>
          <w:rtl/>
          <w:lang w:bidi="ar-SY"/>
        </w:rPr>
        <w:t>تراعي</w:t>
      </w:r>
      <w:r w:rsidR="00F32B28">
        <w:rPr>
          <w:rtl/>
          <w:lang w:bidi="ar-SY"/>
        </w:rPr>
        <w:t xml:space="preserve"> </w:t>
      </w:r>
      <w:r w:rsidR="00F32B28" w:rsidRPr="00F32B28">
        <w:rPr>
          <w:rtl/>
          <w:lang w:bidi="ar-SY"/>
        </w:rPr>
        <w:t>معتقداتهن</w:t>
      </w:r>
      <w:r w:rsidR="00F32B28">
        <w:rPr>
          <w:rtl/>
          <w:lang w:bidi="ar-SY"/>
        </w:rPr>
        <w:t xml:space="preserve"> </w:t>
      </w:r>
      <w:r w:rsidR="00F32B28" w:rsidRPr="00F32B28">
        <w:rPr>
          <w:rtl/>
          <w:lang w:bidi="ar-SY"/>
        </w:rPr>
        <w:t>وخلفياتهن</w:t>
      </w:r>
      <w:r w:rsidR="00F32B28">
        <w:rPr>
          <w:rtl/>
          <w:lang w:bidi="ar-SY"/>
        </w:rPr>
        <w:t xml:space="preserve"> </w:t>
      </w:r>
      <w:r w:rsidR="00F32B28" w:rsidRPr="00F32B28">
        <w:rPr>
          <w:rtl/>
          <w:lang w:bidi="ar-SY"/>
        </w:rPr>
        <w:t>الثقافية،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تراعي</w:t>
      </w:r>
      <w:r w:rsidR="00F32B28">
        <w:rPr>
          <w:rtl/>
          <w:lang w:bidi="ar-SY"/>
        </w:rPr>
        <w:t xml:space="preserve"> </w:t>
      </w:r>
      <w:r w:rsidR="00F32B28" w:rsidRPr="00F32B28">
        <w:rPr>
          <w:rtl/>
          <w:lang w:bidi="ar-SY"/>
        </w:rPr>
        <w:t>نوعهن</w:t>
      </w:r>
      <w:r w:rsidR="00F32B28">
        <w:rPr>
          <w:rtl/>
          <w:lang w:bidi="ar-SY"/>
        </w:rPr>
        <w:t xml:space="preserve"> </w:t>
      </w:r>
      <w:r w:rsidR="00F32B28" w:rsidRPr="00F32B28">
        <w:rPr>
          <w:rtl/>
          <w:lang w:bidi="ar-SY"/>
        </w:rPr>
        <w:t>الاجتماعي،</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يضع</w:t>
      </w:r>
      <w:r w:rsidR="00F32B28">
        <w:rPr>
          <w:rtl/>
          <w:lang w:bidi="ar-SY"/>
        </w:rPr>
        <w:t xml:space="preserve"> </w:t>
      </w:r>
      <w:r w:rsidR="00F32B28" w:rsidRPr="00F32B28">
        <w:rPr>
          <w:rtl/>
          <w:lang w:bidi="ar-SY"/>
        </w:rPr>
        <w:t>معظم</w:t>
      </w:r>
      <w:r w:rsidR="00F32B28">
        <w:rPr>
          <w:rtl/>
          <w:lang w:bidi="ar-SY"/>
        </w:rPr>
        <w:t xml:space="preserve"> </w:t>
      </w:r>
      <w:r w:rsidR="00F32B28" w:rsidRPr="00F32B28">
        <w:rPr>
          <w:rtl/>
          <w:lang w:bidi="ar-SY"/>
        </w:rPr>
        <w:t>هؤلاء</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أوضاع</w:t>
      </w:r>
      <w:r w:rsidR="00F32B28">
        <w:rPr>
          <w:rtl/>
          <w:lang w:bidi="ar-SY"/>
        </w:rPr>
        <w:t xml:space="preserve"> </w:t>
      </w:r>
      <w:r w:rsidR="00F32B28" w:rsidRPr="00F32B28">
        <w:rPr>
          <w:rtl/>
          <w:lang w:bidi="ar-SY"/>
        </w:rPr>
        <w:t>أكثر</w:t>
      </w:r>
      <w:r w:rsidR="00F32B28">
        <w:rPr>
          <w:rtl/>
          <w:lang w:bidi="ar-SY"/>
        </w:rPr>
        <w:t xml:space="preserve"> </w:t>
      </w:r>
      <w:r w:rsidR="00F32B28" w:rsidRPr="00F32B28">
        <w:rPr>
          <w:rtl/>
          <w:lang w:bidi="ar-SY"/>
        </w:rPr>
        <w:t>عرضة</w:t>
      </w:r>
      <w:r w:rsidR="00F32B28">
        <w:rPr>
          <w:rtl/>
          <w:lang w:bidi="ar-SY"/>
        </w:rPr>
        <w:t xml:space="preserve"> </w:t>
      </w:r>
      <w:r w:rsidR="00F32B28" w:rsidRPr="00F32B28">
        <w:rPr>
          <w:rtl/>
          <w:lang w:bidi="ar-SY"/>
        </w:rPr>
        <w:t>للانكشاف</w:t>
      </w:r>
      <w:r w:rsidR="00F32B28">
        <w:rPr>
          <w:rtl/>
          <w:lang w:bidi="ar-SY"/>
        </w:rPr>
        <w:t xml:space="preserve"> </w:t>
      </w:r>
      <w:r w:rsidR="00F32B28" w:rsidRPr="00F32B28">
        <w:rPr>
          <w:rtl/>
          <w:lang w:bidi="ar-SY"/>
        </w:rPr>
        <w:t>والاستضعاف،</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جانب</w:t>
      </w:r>
      <w:r w:rsidR="00F32B28">
        <w:rPr>
          <w:rtl/>
          <w:lang w:bidi="ar-SY"/>
        </w:rPr>
        <w:t xml:space="preserve"> </w:t>
      </w:r>
      <w:r w:rsidR="00F32B28" w:rsidRPr="00F32B28">
        <w:rPr>
          <w:rtl/>
          <w:lang w:bidi="ar-SY"/>
        </w:rPr>
        <w:t>مرضهن.</w:t>
      </w:r>
      <w:r w:rsidR="00F32B28">
        <w:rPr>
          <w:rtl/>
          <w:lang w:bidi="ar-SY"/>
        </w:rPr>
        <w:t xml:space="preserve"> </w:t>
      </w:r>
    </w:p>
    <w:p w:rsidR="00F32B28" w:rsidRPr="00F32B28" w:rsidRDefault="00AF1BC1" w:rsidP="00AF1BC1">
      <w:pPr>
        <w:pStyle w:val="SingleTxt"/>
      </w:pPr>
      <w:r>
        <w:rPr>
          <w:rFonts w:hint="cs"/>
          <w:rtl/>
          <w:lang w:bidi="ar-SY"/>
        </w:rPr>
        <w:t xml:space="preserve">256 - </w:t>
      </w:r>
      <w:r w:rsidR="00F32B28" w:rsidRPr="00F32B28">
        <w:rPr>
          <w:rtl/>
          <w:lang w:bidi="ar-SY"/>
        </w:rPr>
        <w:t>كما</w:t>
      </w:r>
      <w:r w:rsidR="00F32B28">
        <w:rPr>
          <w:rtl/>
          <w:lang w:bidi="ar-SY"/>
        </w:rPr>
        <w:t xml:space="preserve"> </w:t>
      </w:r>
      <w:r w:rsidR="00F32B28" w:rsidRPr="00F32B28">
        <w:rPr>
          <w:rtl/>
          <w:lang w:bidi="ar-SY"/>
        </w:rPr>
        <w:t>وتستغل</w:t>
      </w:r>
      <w:r w:rsidR="00F32B28">
        <w:rPr>
          <w:rtl/>
          <w:lang w:bidi="ar-SY"/>
        </w:rPr>
        <w:t xml:space="preserve"> </w:t>
      </w:r>
      <w:r w:rsidR="00F32B28" w:rsidRPr="00F32B28">
        <w:rPr>
          <w:rtl/>
          <w:lang w:bidi="ar-SY"/>
        </w:rPr>
        <w:t>إدارات</w:t>
      </w:r>
      <w:r w:rsidR="00F32B28">
        <w:rPr>
          <w:rtl/>
          <w:lang w:bidi="ar-SY"/>
        </w:rPr>
        <w:t xml:space="preserve"> </w:t>
      </w:r>
      <w:r w:rsidR="00F32B28" w:rsidRPr="00F32B28">
        <w:rPr>
          <w:rtl/>
          <w:lang w:bidi="ar-SY"/>
        </w:rPr>
        <w:t>السجون</w:t>
      </w:r>
      <w:r w:rsidR="00F32B28">
        <w:rPr>
          <w:rtl/>
          <w:lang w:bidi="ar-SY"/>
        </w:rPr>
        <w:t xml:space="preserve"> </w:t>
      </w:r>
      <w:r w:rsidR="00F32B28" w:rsidRPr="00F32B28">
        <w:rPr>
          <w:rtl/>
          <w:lang w:bidi="ar-SY"/>
        </w:rPr>
        <w:t>والمخابرات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الإصابات</w:t>
      </w:r>
      <w:r w:rsidR="00F32B28">
        <w:rPr>
          <w:rtl/>
          <w:lang w:bidi="ar-SY"/>
        </w:rPr>
        <w:t xml:space="preserve"> </w:t>
      </w:r>
      <w:r w:rsidR="00F32B28" w:rsidRPr="00F32B28">
        <w:rPr>
          <w:rtl/>
          <w:lang w:bidi="ar-SY"/>
        </w:rPr>
        <w:t>والحالة</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للأسيرات،</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الأسرى،</w:t>
      </w:r>
      <w:r w:rsidR="00F32B28">
        <w:rPr>
          <w:rtl/>
          <w:lang w:bidi="ar-SY"/>
        </w:rPr>
        <w:t xml:space="preserve"> </w:t>
      </w:r>
      <w:r w:rsidR="00F32B28" w:rsidRPr="00F32B28">
        <w:rPr>
          <w:rtl/>
          <w:lang w:bidi="ar-SY"/>
        </w:rPr>
        <w:t>كوسيلة</w:t>
      </w:r>
      <w:r w:rsidR="00F32B28">
        <w:rPr>
          <w:rtl/>
          <w:lang w:bidi="ar-SY"/>
        </w:rPr>
        <w:t xml:space="preserve"> </w:t>
      </w:r>
      <w:r w:rsidR="00F32B28" w:rsidRPr="00F32B28">
        <w:rPr>
          <w:rtl/>
          <w:lang w:bidi="ar-SY"/>
        </w:rPr>
        <w:t>للضغط</w:t>
      </w:r>
      <w:r w:rsidR="00F32B28">
        <w:rPr>
          <w:rtl/>
          <w:lang w:bidi="ar-SY"/>
        </w:rPr>
        <w:t xml:space="preserve"> </w:t>
      </w:r>
      <w:r w:rsidR="00F32B28" w:rsidRPr="00F32B28">
        <w:rPr>
          <w:rtl/>
          <w:lang w:bidi="ar-SY"/>
        </w:rPr>
        <w:t>عليهن</w:t>
      </w:r>
      <w:r w:rsidR="00F32B28">
        <w:rPr>
          <w:rtl/>
          <w:lang w:bidi="ar-SY"/>
        </w:rPr>
        <w:t xml:space="preserve"> </w:t>
      </w:r>
      <w:r w:rsidR="00F32B28" w:rsidRPr="00F32B28">
        <w:rPr>
          <w:rtl/>
          <w:lang w:bidi="ar-SY"/>
        </w:rPr>
        <w:t>ومساومتهن</w:t>
      </w:r>
      <w:r w:rsidR="00F32B28">
        <w:rPr>
          <w:rtl/>
          <w:lang w:bidi="ar-SY"/>
        </w:rPr>
        <w:t xml:space="preserve"> </w:t>
      </w:r>
      <w:r w:rsidR="00F32B28" w:rsidRPr="00F32B28">
        <w:rPr>
          <w:rtl/>
          <w:lang w:bidi="ar-SY"/>
        </w:rPr>
        <w:t>للحصول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اعترافات</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معلومات</w:t>
      </w:r>
      <w:r w:rsidR="00F32B28">
        <w:rPr>
          <w:rtl/>
          <w:lang w:bidi="ar-SY"/>
        </w:rPr>
        <w:t xml:space="preserve"> </w:t>
      </w:r>
      <w:r w:rsidR="00F32B28" w:rsidRPr="00F32B28">
        <w:rPr>
          <w:rtl/>
          <w:lang w:bidi="ar-SY"/>
        </w:rPr>
        <w:t>مقابل</w:t>
      </w:r>
      <w:r w:rsidR="00F32B28">
        <w:rPr>
          <w:rtl/>
          <w:lang w:bidi="ar-SY"/>
        </w:rPr>
        <w:t xml:space="preserve"> </w:t>
      </w:r>
      <w:r w:rsidR="00F32B28" w:rsidRPr="00F32B28">
        <w:rPr>
          <w:rtl/>
          <w:lang w:bidi="ar-SY"/>
        </w:rPr>
        <w:t>تقديم</w:t>
      </w:r>
      <w:r w:rsidR="00F32B28">
        <w:rPr>
          <w:rtl/>
          <w:lang w:bidi="ar-SY"/>
        </w:rPr>
        <w:t xml:space="preserve"> </w:t>
      </w:r>
      <w:r w:rsidR="00F32B28" w:rsidRPr="00F32B28">
        <w:rPr>
          <w:rtl/>
          <w:lang w:bidi="ar-SY"/>
        </w:rPr>
        <w:t>العلاج</w:t>
      </w:r>
      <w:r w:rsidR="00F32B28">
        <w:rPr>
          <w:rtl/>
          <w:lang w:bidi="ar-SY"/>
        </w:rPr>
        <w:t xml:space="preserve"> </w:t>
      </w:r>
      <w:r w:rsidR="00F32B28" w:rsidRPr="00F32B28">
        <w:rPr>
          <w:rtl/>
          <w:lang w:bidi="ar-SY"/>
        </w:rPr>
        <w:t>لهن</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قضاء</w:t>
      </w:r>
      <w:r w:rsidR="00F32B28">
        <w:rPr>
          <w:rtl/>
          <w:lang w:bidi="ar-SY"/>
        </w:rPr>
        <w:t xml:space="preserve"> </w:t>
      </w:r>
      <w:r w:rsidR="00F32B28" w:rsidRPr="00F32B28">
        <w:rPr>
          <w:rtl/>
          <w:lang w:bidi="ar-SY"/>
        </w:rPr>
        <w:t>حوائجهن.</w:t>
      </w:r>
    </w:p>
    <w:p w:rsidR="00F32B28" w:rsidRPr="00F32B28" w:rsidRDefault="00AF1BC1" w:rsidP="00AF1BC1">
      <w:pPr>
        <w:pStyle w:val="SingleTxt"/>
        <w:rPr>
          <w:rtl/>
          <w:lang w:bidi="ar-SY"/>
        </w:rPr>
      </w:pPr>
      <w:r>
        <w:rPr>
          <w:rFonts w:hint="cs"/>
          <w:rtl/>
          <w:lang w:bidi="ar-SY"/>
        </w:rPr>
        <w:t xml:space="preserve">257 - </w:t>
      </w:r>
      <w:r w:rsidR="00F32B28" w:rsidRPr="00F32B28">
        <w:rPr>
          <w:rtl/>
          <w:lang w:bidi="ar-SY"/>
        </w:rPr>
        <w:t>وتأسر</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بيئة</w:t>
      </w:r>
      <w:r w:rsidR="00F32B28">
        <w:rPr>
          <w:rtl/>
          <w:lang w:bidi="ar-SY"/>
        </w:rPr>
        <w:t xml:space="preserve"> </w:t>
      </w:r>
      <w:r w:rsidR="00F32B28" w:rsidRPr="00F32B28">
        <w:rPr>
          <w:rtl/>
          <w:lang w:bidi="ar-SY"/>
        </w:rPr>
        <w:t>وظروف</w:t>
      </w:r>
      <w:r w:rsidR="00F32B28">
        <w:rPr>
          <w:rtl/>
          <w:lang w:bidi="ar-SY"/>
        </w:rPr>
        <w:t xml:space="preserve"> </w:t>
      </w:r>
      <w:r w:rsidR="00F32B28" w:rsidRPr="00F32B28">
        <w:rPr>
          <w:rtl/>
          <w:lang w:bidi="ar-SY"/>
        </w:rPr>
        <w:t>قاسية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إنسانية،</w:t>
      </w:r>
      <w:r w:rsidR="00F32B28">
        <w:rPr>
          <w:rtl/>
          <w:lang w:bidi="ar-SY"/>
        </w:rPr>
        <w:t xml:space="preserve"> </w:t>
      </w:r>
      <w:r w:rsidR="00F32B28" w:rsidRPr="00F32B28">
        <w:rPr>
          <w:rtl/>
          <w:lang w:bidi="ar-SY"/>
        </w:rPr>
        <w:t>فمعظم</w:t>
      </w:r>
      <w:r w:rsidR="00F32B28">
        <w:rPr>
          <w:rtl/>
          <w:lang w:bidi="ar-SY"/>
        </w:rPr>
        <w:t xml:space="preserve"> </w:t>
      </w:r>
      <w:r w:rsidR="00F32B28" w:rsidRPr="00F32B28">
        <w:rPr>
          <w:rtl/>
          <w:lang w:bidi="ar-SY"/>
        </w:rPr>
        <w:t>السجون</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سجون</w:t>
      </w:r>
      <w:r w:rsidR="00F32B28">
        <w:rPr>
          <w:rtl/>
          <w:lang w:bidi="ar-SY"/>
        </w:rPr>
        <w:t xml:space="preserve"> </w:t>
      </w:r>
      <w:r w:rsidR="00F32B28" w:rsidRPr="00F32B28">
        <w:rPr>
          <w:rtl/>
          <w:lang w:bidi="ar-SY"/>
        </w:rPr>
        <w:t>قديمة</w:t>
      </w:r>
      <w:r w:rsidR="00F32B28">
        <w:rPr>
          <w:rtl/>
          <w:lang w:bidi="ar-SY"/>
        </w:rPr>
        <w:t xml:space="preserve"> </w:t>
      </w:r>
      <w:r w:rsidR="00F32B28" w:rsidRPr="00F32B28">
        <w:rPr>
          <w:rtl/>
          <w:lang w:bidi="ar-SY"/>
        </w:rPr>
        <w:t>ولا</w:t>
      </w:r>
      <w:r w:rsidR="00F32B28">
        <w:rPr>
          <w:rtl/>
          <w:lang w:bidi="ar-SY"/>
        </w:rPr>
        <w:t xml:space="preserve"> </w:t>
      </w:r>
      <w:r w:rsidR="00F32B28" w:rsidRPr="00F32B28">
        <w:rPr>
          <w:rtl/>
          <w:lang w:bidi="ar-SY"/>
        </w:rPr>
        <w:t>تتفق</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المعايير</w:t>
      </w:r>
      <w:r w:rsidR="00F32B28">
        <w:rPr>
          <w:rtl/>
          <w:lang w:bidi="ar-SY"/>
        </w:rPr>
        <w:t xml:space="preserve"> </w:t>
      </w:r>
      <w:r w:rsidR="00F32B28" w:rsidRPr="00F32B28">
        <w:rPr>
          <w:rtl/>
          <w:lang w:bidi="ar-SY"/>
        </w:rPr>
        <w:t>الدولية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مساحتها</w:t>
      </w:r>
      <w:r w:rsidR="00F32B28">
        <w:rPr>
          <w:rtl/>
          <w:lang w:bidi="ar-SY"/>
        </w:rPr>
        <w:t xml:space="preserve"> </w:t>
      </w:r>
      <w:r w:rsidR="00F32B28" w:rsidRPr="00F32B28">
        <w:rPr>
          <w:rtl/>
          <w:lang w:bidi="ar-SY"/>
        </w:rPr>
        <w:t>وبنائها</w:t>
      </w:r>
      <w:r w:rsidR="00F32B28">
        <w:rPr>
          <w:rtl/>
          <w:lang w:bidi="ar-SY"/>
        </w:rPr>
        <w:t xml:space="preserve"> </w:t>
      </w:r>
      <w:r w:rsidR="00F32B28" w:rsidRPr="00F32B28">
        <w:rPr>
          <w:rtl/>
          <w:lang w:bidi="ar-SY"/>
        </w:rPr>
        <w:t>العمراني،</w:t>
      </w:r>
      <w:r w:rsidR="00F32B28">
        <w:rPr>
          <w:rtl/>
          <w:lang w:bidi="ar-SY"/>
        </w:rPr>
        <w:t xml:space="preserve"> </w:t>
      </w:r>
      <w:r w:rsidR="00F32B28" w:rsidRPr="00F32B28">
        <w:rPr>
          <w:rtl/>
          <w:lang w:bidi="ar-SY"/>
        </w:rPr>
        <w:t>وتنتشر</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الحشرات</w:t>
      </w:r>
      <w:r w:rsidR="00F32B28">
        <w:rPr>
          <w:rtl/>
          <w:lang w:bidi="ar-SY"/>
        </w:rPr>
        <w:t xml:space="preserve"> </w:t>
      </w:r>
      <w:r w:rsidR="00F32B28" w:rsidRPr="00F32B28">
        <w:rPr>
          <w:rtl/>
          <w:lang w:bidi="ar-SY"/>
        </w:rPr>
        <w:t>والقوارض،</w:t>
      </w:r>
      <w:r w:rsidR="00F32B28">
        <w:rPr>
          <w:rtl/>
          <w:lang w:bidi="ar-SY"/>
        </w:rPr>
        <w:t xml:space="preserve"> </w:t>
      </w:r>
      <w:r w:rsidR="00F32B28" w:rsidRPr="00F32B28">
        <w:rPr>
          <w:rtl/>
          <w:lang w:bidi="ar-SY"/>
        </w:rPr>
        <w:t>عدا</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قلة</w:t>
      </w:r>
      <w:r w:rsidR="00F32B28">
        <w:rPr>
          <w:rtl/>
          <w:lang w:bidi="ar-SY"/>
        </w:rPr>
        <w:t xml:space="preserve"> </w:t>
      </w:r>
      <w:r w:rsidR="00F32B28" w:rsidRPr="00F32B28">
        <w:rPr>
          <w:rtl/>
          <w:lang w:bidi="ar-SY"/>
        </w:rPr>
        <w:t>التهوية،</w:t>
      </w:r>
      <w:r w:rsidR="00F32B28">
        <w:rPr>
          <w:rtl/>
          <w:lang w:bidi="ar-SY"/>
        </w:rPr>
        <w:t xml:space="preserve"> </w:t>
      </w:r>
      <w:r w:rsidR="00F32B28" w:rsidRPr="00F32B28">
        <w:rPr>
          <w:rtl/>
          <w:lang w:bidi="ar-SY"/>
        </w:rPr>
        <w:t>والرطوبة</w:t>
      </w:r>
      <w:r w:rsidR="00F32B28">
        <w:rPr>
          <w:rtl/>
          <w:lang w:bidi="ar-SY"/>
        </w:rPr>
        <w:t xml:space="preserve"> </w:t>
      </w:r>
      <w:r w:rsidR="00F32B28" w:rsidRPr="00F32B28">
        <w:rPr>
          <w:rtl/>
          <w:lang w:bidi="ar-SY"/>
        </w:rPr>
        <w:t>الشديدة،</w:t>
      </w:r>
      <w:r w:rsidR="00F32B28">
        <w:rPr>
          <w:rtl/>
          <w:lang w:bidi="ar-SY"/>
        </w:rPr>
        <w:t xml:space="preserve"> </w:t>
      </w:r>
      <w:r w:rsidR="00F32B28" w:rsidRPr="00F32B28">
        <w:rPr>
          <w:rtl/>
          <w:lang w:bidi="ar-SY"/>
        </w:rPr>
        <w:t>والاكتظاظ</w:t>
      </w:r>
      <w:r w:rsidR="00F32B28">
        <w:rPr>
          <w:rtl/>
          <w:lang w:bidi="ar-SY"/>
        </w:rPr>
        <w:t xml:space="preserve"> </w:t>
      </w:r>
      <w:r w:rsidR="00F32B28" w:rsidRPr="00F32B28">
        <w:rPr>
          <w:rtl/>
          <w:lang w:bidi="ar-SY"/>
        </w:rPr>
        <w:t>الكبير،</w:t>
      </w:r>
      <w:r w:rsidR="00F32B28">
        <w:rPr>
          <w:rtl/>
          <w:lang w:bidi="ar-SY"/>
        </w:rPr>
        <w:t xml:space="preserve"> </w:t>
      </w:r>
      <w:r w:rsidR="00F32B28" w:rsidRPr="00F32B28">
        <w:rPr>
          <w:rtl/>
          <w:lang w:bidi="ar-SY"/>
        </w:rPr>
        <w:t>والتعرض</w:t>
      </w:r>
      <w:r w:rsidR="00F32B28">
        <w:rPr>
          <w:rtl/>
          <w:lang w:bidi="ar-SY"/>
        </w:rPr>
        <w:t xml:space="preserve"> </w:t>
      </w:r>
      <w:r w:rsidR="00F32B28" w:rsidRPr="00F32B28">
        <w:rPr>
          <w:rtl/>
          <w:lang w:bidi="ar-SY"/>
        </w:rPr>
        <w:t>لدرجات</w:t>
      </w:r>
      <w:r w:rsidR="00F32B28">
        <w:rPr>
          <w:rtl/>
          <w:lang w:bidi="ar-SY"/>
        </w:rPr>
        <w:t xml:space="preserve"> </w:t>
      </w:r>
      <w:r w:rsidR="00F32B28" w:rsidRPr="00F32B28">
        <w:rPr>
          <w:rtl/>
          <w:lang w:bidi="ar-SY"/>
        </w:rPr>
        <w:t>الحرارة</w:t>
      </w:r>
      <w:r w:rsidR="00F32B28">
        <w:rPr>
          <w:rtl/>
          <w:lang w:bidi="ar-SY"/>
        </w:rPr>
        <w:t xml:space="preserve"> </w:t>
      </w:r>
      <w:r w:rsidR="00F32B28" w:rsidRPr="00F32B28">
        <w:rPr>
          <w:rtl/>
          <w:lang w:bidi="ar-SY"/>
        </w:rPr>
        <w:t>المتطرفة،</w:t>
      </w:r>
      <w:r w:rsidR="00F32B28">
        <w:rPr>
          <w:rtl/>
          <w:lang w:bidi="ar-SY"/>
        </w:rPr>
        <w:t xml:space="preserve"> </w:t>
      </w:r>
      <w:r w:rsidR="00F32B28" w:rsidRPr="00F32B28">
        <w:rPr>
          <w:rtl/>
          <w:lang w:bidi="ar-SY"/>
        </w:rPr>
        <w:t>وانعدام</w:t>
      </w:r>
      <w:r w:rsidR="00F32B28">
        <w:rPr>
          <w:rtl/>
          <w:lang w:bidi="ar-SY"/>
        </w:rPr>
        <w:t xml:space="preserve"> </w:t>
      </w:r>
      <w:r w:rsidR="00F32B28" w:rsidRPr="00F32B28">
        <w:rPr>
          <w:rtl/>
          <w:lang w:bidi="ar-SY"/>
        </w:rPr>
        <w:t>وسائل</w:t>
      </w:r>
      <w:r w:rsidR="00F32B28">
        <w:rPr>
          <w:rtl/>
          <w:lang w:bidi="ar-SY"/>
        </w:rPr>
        <w:t xml:space="preserve"> </w:t>
      </w:r>
      <w:r w:rsidR="00F32B28" w:rsidRPr="00F32B28">
        <w:rPr>
          <w:rtl/>
          <w:lang w:bidi="ar-SY"/>
        </w:rPr>
        <w:t>التدفئة.</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تحرم</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الأسيرات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إدخال</w:t>
      </w:r>
      <w:r w:rsidR="00F32B28">
        <w:rPr>
          <w:rtl/>
          <w:lang w:bidi="ar-SY"/>
        </w:rPr>
        <w:t xml:space="preserve"> </w:t>
      </w:r>
      <w:r w:rsidR="00F32B28" w:rsidRPr="00F32B28">
        <w:rPr>
          <w:rtl/>
          <w:lang w:bidi="ar-SY"/>
        </w:rPr>
        <w:t>الأغطية</w:t>
      </w:r>
      <w:r w:rsidR="00F32B28">
        <w:rPr>
          <w:rtl/>
          <w:lang w:bidi="ar-SY"/>
        </w:rPr>
        <w:t xml:space="preserve"> </w:t>
      </w:r>
      <w:r w:rsidR="00F32B28" w:rsidRPr="00F32B28">
        <w:rPr>
          <w:rtl/>
          <w:lang w:bidi="ar-SY"/>
        </w:rPr>
        <w:t>والملابس</w:t>
      </w:r>
      <w:r w:rsidR="00F32B28">
        <w:rPr>
          <w:rtl/>
          <w:lang w:bidi="ar-SY"/>
        </w:rPr>
        <w:t xml:space="preserve"> </w:t>
      </w:r>
      <w:r w:rsidR="00F32B28" w:rsidRPr="00F32B28">
        <w:rPr>
          <w:rtl/>
          <w:lang w:bidi="ar-SY"/>
        </w:rPr>
        <w:t>الشتوية</w:t>
      </w:r>
      <w:r w:rsidR="00F32B28">
        <w:rPr>
          <w:rtl/>
          <w:lang w:bidi="ar-SY"/>
        </w:rPr>
        <w:t xml:space="preserve"> </w:t>
      </w:r>
      <w:r w:rsidR="00F32B28" w:rsidRPr="00F32B28">
        <w:rPr>
          <w:rtl/>
          <w:lang w:bidi="ar-SY"/>
        </w:rPr>
        <w:t>والفوط</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النسائية،</w:t>
      </w:r>
      <w:r w:rsidR="00F32B28">
        <w:rPr>
          <w:rtl/>
          <w:lang w:bidi="ar-SY"/>
        </w:rPr>
        <w:t xml:space="preserve"> </w:t>
      </w:r>
      <w:r w:rsidR="00F32B28" w:rsidRPr="00F32B28">
        <w:rPr>
          <w:rtl/>
          <w:lang w:bidi="ar-SY"/>
        </w:rPr>
        <w:t>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حرمانهن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حقهن</w:t>
      </w:r>
      <w:r w:rsidR="00F32B28">
        <w:rPr>
          <w:rtl/>
          <w:lang w:bidi="ar-SY"/>
        </w:rPr>
        <w:t xml:space="preserve"> </w:t>
      </w:r>
      <w:r w:rsidR="00F32B28" w:rsidRPr="00F32B28">
        <w:rPr>
          <w:rtl/>
          <w:lang w:bidi="ar-SY"/>
        </w:rPr>
        <w:t>الإنساني</w:t>
      </w:r>
      <w:r w:rsidR="00F32B28">
        <w:rPr>
          <w:rtl/>
          <w:lang w:bidi="ar-SY"/>
        </w:rPr>
        <w:t xml:space="preserve"> </w:t>
      </w:r>
      <w:r w:rsidR="00F32B28" w:rsidRPr="00F32B28">
        <w:rPr>
          <w:rtl/>
          <w:lang w:bidi="ar-SY"/>
        </w:rPr>
        <w:t>بالنظافة</w:t>
      </w:r>
      <w:r>
        <w:rPr>
          <w:rFonts w:hint="cs"/>
          <w:rtl/>
          <w:lang w:bidi="ar-SY"/>
        </w:rPr>
        <w:t xml:space="preserve"> </w:t>
      </w:r>
      <w:r w:rsidR="00F32B28" w:rsidRPr="00F32B28">
        <w:rPr>
          <w:rtl/>
          <w:lang w:bidi="ar-SY"/>
        </w:rPr>
        <w:t>وتغيير</w:t>
      </w:r>
      <w:r w:rsidR="00F32B28">
        <w:rPr>
          <w:rtl/>
          <w:lang w:bidi="ar-SY"/>
        </w:rPr>
        <w:t xml:space="preserve"> </w:t>
      </w:r>
      <w:r w:rsidR="00F32B28" w:rsidRPr="00F32B28">
        <w:rPr>
          <w:rtl/>
          <w:lang w:bidi="ar-SY"/>
        </w:rPr>
        <w:t>ملابسهن،</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النقص</w:t>
      </w:r>
      <w:r w:rsidR="00F32B28">
        <w:rPr>
          <w:rtl/>
          <w:lang w:bidi="ar-SY"/>
        </w:rPr>
        <w:t xml:space="preserve"> </w:t>
      </w:r>
      <w:r w:rsidR="00F32B28" w:rsidRPr="00F32B28">
        <w:rPr>
          <w:rtl/>
          <w:lang w:bidi="ar-SY"/>
        </w:rPr>
        <w:t>الشديد</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مواد</w:t>
      </w:r>
      <w:r w:rsidR="00F32B28">
        <w:rPr>
          <w:rtl/>
          <w:lang w:bidi="ar-SY"/>
        </w:rPr>
        <w:t xml:space="preserve"> </w:t>
      </w:r>
      <w:r w:rsidR="00F32B28" w:rsidRPr="00F32B28">
        <w:rPr>
          <w:rtl/>
          <w:lang w:bidi="ar-SY"/>
        </w:rPr>
        <w:t>التنظيف</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مواد</w:t>
      </w:r>
      <w:r w:rsidR="00F32B28">
        <w:rPr>
          <w:rtl/>
          <w:lang w:bidi="ar-SY"/>
        </w:rPr>
        <w:t xml:space="preserve"> </w:t>
      </w:r>
      <w:r w:rsidR="00F32B28" w:rsidRPr="00F32B28">
        <w:rPr>
          <w:rtl/>
          <w:lang w:bidi="ar-SY"/>
        </w:rPr>
        <w:t>المبيدات</w:t>
      </w:r>
      <w:r w:rsidR="00F32B28">
        <w:rPr>
          <w:rtl/>
          <w:lang w:bidi="ar-SY"/>
        </w:rPr>
        <w:t xml:space="preserve"> </w:t>
      </w:r>
      <w:r w:rsidR="00F32B28" w:rsidRPr="00F32B28">
        <w:rPr>
          <w:rtl/>
          <w:lang w:bidi="ar-SY"/>
        </w:rPr>
        <w:t>الحشرية.</w:t>
      </w:r>
    </w:p>
    <w:p w:rsidR="00AF1BC1" w:rsidRPr="00AF1BC1" w:rsidRDefault="00AF1BC1" w:rsidP="00AF1BC1">
      <w:pPr>
        <w:pStyle w:val="SingleTxt"/>
        <w:spacing w:after="0" w:line="120" w:lineRule="exact"/>
        <w:rPr>
          <w:b/>
          <w:bCs/>
          <w:sz w:val="10"/>
          <w:rtl/>
          <w:lang w:bidi="ar-SY"/>
        </w:rPr>
      </w:pPr>
    </w:p>
    <w:p w:rsidR="009F4D72" w:rsidRDefault="009F4D72">
      <w:pPr>
        <w:bidi w:val="0"/>
        <w:spacing w:line="240" w:lineRule="auto"/>
        <w:jc w:val="left"/>
        <w:rPr>
          <w:b/>
          <w:bCs/>
          <w:rtl/>
          <w:lang w:bidi="ar-SY"/>
        </w:rPr>
      </w:pPr>
      <w:r>
        <w:rPr>
          <w:b/>
          <w:bCs/>
          <w:rtl/>
          <w:lang w:bidi="ar-SY"/>
        </w:rPr>
        <w:br w:type="page"/>
      </w:r>
    </w:p>
    <w:p w:rsidR="00F32B28" w:rsidRPr="00F32B28" w:rsidRDefault="00F32B28" w:rsidP="00F32B28">
      <w:pPr>
        <w:pStyle w:val="SingleTxt"/>
        <w:rPr>
          <w:b/>
          <w:bCs/>
          <w:rtl/>
          <w:lang w:bidi="ar-SY"/>
        </w:rPr>
      </w:pPr>
      <w:r w:rsidRPr="00F32B28">
        <w:rPr>
          <w:b/>
          <w:bCs/>
          <w:rtl/>
          <w:lang w:bidi="ar-SY"/>
        </w:rPr>
        <w:lastRenderedPageBreak/>
        <w:t>انتهاكات</w:t>
      </w:r>
      <w:r>
        <w:rPr>
          <w:b/>
          <w:bCs/>
          <w:rtl/>
          <w:lang w:bidi="ar-SY"/>
        </w:rPr>
        <w:t xml:space="preserve"> </w:t>
      </w:r>
      <w:r w:rsidRPr="00F32B28">
        <w:rPr>
          <w:b/>
          <w:bCs/>
          <w:rtl/>
          <w:lang w:bidi="ar-SY"/>
        </w:rPr>
        <w:t>بحق</w:t>
      </w:r>
      <w:r>
        <w:rPr>
          <w:b/>
          <w:bCs/>
          <w:rtl/>
          <w:lang w:bidi="ar-SY"/>
        </w:rPr>
        <w:t xml:space="preserve"> </w:t>
      </w:r>
      <w:r w:rsidRPr="00F32B28">
        <w:rPr>
          <w:b/>
          <w:bCs/>
          <w:rtl/>
          <w:lang w:bidi="ar-SY"/>
        </w:rPr>
        <w:t>الطواقم</w:t>
      </w:r>
      <w:r>
        <w:rPr>
          <w:b/>
          <w:bCs/>
          <w:rtl/>
          <w:lang w:bidi="ar-SY"/>
        </w:rPr>
        <w:t xml:space="preserve"> </w:t>
      </w:r>
      <w:r w:rsidRPr="00F32B28">
        <w:rPr>
          <w:b/>
          <w:bCs/>
          <w:rtl/>
          <w:lang w:bidi="ar-SY"/>
        </w:rPr>
        <w:t>الطبية</w:t>
      </w:r>
      <w:r>
        <w:rPr>
          <w:b/>
          <w:bCs/>
          <w:rtl/>
          <w:lang w:bidi="ar-SY"/>
        </w:rPr>
        <w:t xml:space="preserve"> </w:t>
      </w:r>
    </w:p>
    <w:p w:rsidR="00F32B28" w:rsidRPr="00F32B28" w:rsidRDefault="00AF1BC1" w:rsidP="00AF1BC1">
      <w:pPr>
        <w:pStyle w:val="SingleTxt"/>
        <w:rPr>
          <w:rtl/>
          <w:lang w:bidi="ar-SY"/>
        </w:rPr>
      </w:pPr>
      <w:r>
        <w:rPr>
          <w:rFonts w:hint="cs"/>
          <w:rtl/>
          <w:lang w:bidi="ar-SY"/>
        </w:rPr>
        <w:t xml:space="preserve">258 - </w:t>
      </w:r>
      <w:r w:rsidR="00F32B28" w:rsidRPr="00F32B28">
        <w:rPr>
          <w:rtl/>
          <w:lang w:bidi="ar-SY"/>
        </w:rPr>
        <w:t>رصدت</w:t>
      </w:r>
      <w:r w:rsidR="00F32B28">
        <w:rPr>
          <w:rtl/>
          <w:lang w:bidi="ar-SY"/>
        </w:rPr>
        <w:t xml:space="preserve"> </w:t>
      </w:r>
      <w:r w:rsidR="00F32B28" w:rsidRPr="00F32B28">
        <w:rPr>
          <w:rtl/>
          <w:lang w:bidi="ar-SY"/>
        </w:rPr>
        <w:t>جمعية</w:t>
      </w:r>
      <w:r w:rsidR="00F32B28">
        <w:rPr>
          <w:rtl/>
          <w:lang w:bidi="ar-SY"/>
        </w:rPr>
        <w:t xml:space="preserve"> </w:t>
      </w:r>
      <w:r w:rsidR="00F32B28" w:rsidRPr="00F32B28">
        <w:rPr>
          <w:rtl/>
          <w:lang w:bidi="ar-SY"/>
        </w:rPr>
        <w:t>الهلال</w:t>
      </w:r>
      <w:r w:rsidR="00F32B28">
        <w:rPr>
          <w:rtl/>
          <w:lang w:bidi="ar-SY"/>
        </w:rPr>
        <w:t xml:space="preserve"> </w:t>
      </w:r>
      <w:r w:rsidR="00F32B28" w:rsidRPr="00F32B28">
        <w:rPr>
          <w:rtl/>
          <w:lang w:bidi="ar-SY"/>
        </w:rPr>
        <w:t>الأحمر</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2014</w:t>
      </w:r>
      <w:r w:rsidR="00F32B28">
        <w:rPr>
          <w:rtl/>
          <w:lang w:bidi="ar-SY"/>
        </w:rPr>
        <w:t xml:space="preserve"> </w:t>
      </w:r>
      <w:r w:rsidR="00F32B28" w:rsidRPr="00F32B28">
        <w:rPr>
          <w:rtl/>
          <w:lang w:bidi="ar-SY"/>
        </w:rPr>
        <w:t>نحو</w:t>
      </w:r>
      <w:r w:rsidR="00F32B28">
        <w:rPr>
          <w:rtl/>
          <w:lang w:bidi="ar-SY"/>
        </w:rPr>
        <w:t xml:space="preserve"> </w:t>
      </w:r>
      <w:r w:rsidR="00715E79">
        <w:rPr>
          <w:rFonts w:hint="cs"/>
          <w:rtl/>
          <w:lang w:bidi="ar-SY"/>
        </w:rPr>
        <w:t>246 1</w:t>
      </w:r>
      <w:r w:rsidR="00F32B28">
        <w:rPr>
          <w:rtl/>
          <w:lang w:bidi="ar-SY"/>
        </w:rPr>
        <w:t xml:space="preserve"> </w:t>
      </w:r>
      <w:r w:rsidR="00F32B28" w:rsidRPr="00F32B28">
        <w:rPr>
          <w:rtl/>
          <w:lang w:bidi="ar-SY"/>
        </w:rPr>
        <w:t>انتهاكاً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بحق</w:t>
      </w:r>
      <w:r w:rsidR="00F32B28">
        <w:rPr>
          <w:rtl/>
          <w:lang w:bidi="ar-SY"/>
        </w:rPr>
        <w:t xml:space="preserve"> </w:t>
      </w:r>
      <w:r w:rsidR="00F32B28" w:rsidRPr="00F32B28">
        <w:rPr>
          <w:rtl/>
          <w:lang w:bidi="ar-SY"/>
        </w:rPr>
        <w:t>طواق</w:t>
      </w:r>
      <w:r w:rsidR="00F32B28" w:rsidRPr="00F32B28">
        <w:rPr>
          <w:rFonts w:hint="cs"/>
          <w:rtl/>
          <w:lang w:bidi="ar-JO"/>
        </w:rPr>
        <w:t>مها</w:t>
      </w:r>
      <w:r w:rsidR="00F32B28">
        <w:rPr>
          <w:rtl/>
          <w:lang w:bidi="ar-SY"/>
        </w:rPr>
        <w:t xml:space="preserve"> </w:t>
      </w:r>
      <w:r w:rsidR="00F32B28" w:rsidRPr="00F32B28">
        <w:rPr>
          <w:rtl/>
          <w:lang w:bidi="ar-SY"/>
        </w:rPr>
        <w:t>الطبية،</w:t>
      </w:r>
      <w:r w:rsidR="00F32B28">
        <w:rPr>
          <w:rtl/>
          <w:lang w:bidi="ar-SY"/>
        </w:rPr>
        <w:t xml:space="preserve"> </w:t>
      </w:r>
      <w:r w:rsidR="00F32B28" w:rsidRPr="00F32B28">
        <w:rPr>
          <w:rtl/>
          <w:lang w:bidi="ar-SY"/>
        </w:rPr>
        <w:t>أثناء</w:t>
      </w:r>
      <w:r w:rsidR="00F32B28">
        <w:rPr>
          <w:rtl/>
          <w:lang w:bidi="ar-SY"/>
        </w:rPr>
        <w:t xml:space="preserve"> </w:t>
      </w:r>
      <w:r w:rsidR="00F32B28" w:rsidRPr="00F32B28">
        <w:rPr>
          <w:rtl/>
          <w:lang w:bidi="ar-SY"/>
        </w:rPr>
        <w:t>أداء</w:t>
      </w:r>
      <w:r w:rsidR="00F32B28">
        <w:rPr>
          <w:rtl/>
          <w:lang w:bidi="ar-SY"/>
        </w:rPr>
        <w:t xml:space="preserve"> </w:t>
      </w:r>
      <w:r w:rsidR="00F32B28" w:rsidRPr="00F32B28">
        <w:rPr>
          <w:rtl/>
          <w:lang w:bidi="ar-SY"/>
        </w:rPr>
        <w:t>مهماتها</w:t>
      </w:r>
      <w:r w:rsidR="00F32B28">
        <w:rPr>
          <w:rtl/>
          <w:lang w:bidi="ar-SY"/>
        </w:rPr>
        <w:t xml:space="preserve"> </w:t>
      </w:r>
      <w:r w:rsidR="00F32B28" w:rsidRPr="00F32B28">
        <w:rPr>
          <w:rtl/>
          <w:lang w:bidi="ar-SY"/>
        </w:rPr>
        <w:t>الإنسانية</w:t>
      </w:r>
      <w:r w:rsidR="00F32B28">
        <w:rPr>
          <w:rtl/>
          <w:lang w:bidi="ar-SY"/>
        </w:rPr>
        <w:t xml:space="preserve"> </w:t>
      </w:r>
      <w:r w:rsidR="00F32B28" w:rsidRPr="00F32B28">
        <w:rPr>
          <w:rtl/>
          <w:lang w:bidi="ar-SY"/>
        </w:rPr>
        <w:t>المتمثلة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إسعاف</w:t>
      </w:r>
      <w:r w:rsidR="00F32B28">
        <w:rPr>
          <w:rtl/>
          <w:lang w:bidi="ar-SY"/>
        </w:rPr>
        <w:t xml:space="preserve"> </w:t>
      </w:r>
      <w:r w:rsidR="00F32B28" w:rsidRPr="00F32B28">
        <w:rPr>
          <w:rtl/>
          <w:lang w:bidi="ar-SY"/>
        </w:rPr>
        <w:t>الجرحى</w:t>
      </w:r>
      <w:r w:rsidR="00F32B28">
        <w:rPr>
          <w:rtl/>
          <w:lang w:bidi="ar-SY"/>
        </w:rPr>
        <w:t xml:space="preserve"> </w:t>
      </w:r>
      <w:r w:rsidR="00F32B28" w:rsidRPr="00F32B28">
        <w:rPr>
          <w:rtl/>
          <w:lang w:bidi="ar-SY"/>
        </w:rPr>
        <w:t>والمرضى</w:t>
      </w:r>
      <w:r w:rsidR="00F32B28">
        <w:rPr>
          <w:rtl/>
          <w:lang w:bidi="ar-SY"/>
        </w:rPr>
        <w:t xml:space="preserve"> </w:t>
      </w:r>
      <w:r w:rsidR="00F32B28" w:rsidRPr="00F32B28">
        <w:rPr>
          <w:rtl/>
          <w:lang w:bidi="ar-SY"/>
        </w:rPr>
        <w:t>ونقلهم،</w:t>
      </w:r>
      <w:r w:rsidR="00F32B28">
        <w:rPr>
          <w:rtl/>
          <w:lang w:bidi="ar-SY"/>
        </w:rPr>
        <w:t xml:space="preserve"> </w:t>
      </w:r>
      <w:r w:rsidR="00F32B28" w:rsidRPr="00F32B28">
        <w:rPr>
          <w:rtl/>
          <w:lang w:bidi="ar-SY"/>
        </w:rPr>
        <w:t>تمثلت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إعاقة</w:t>
      </w:r>
      <w:r w:rsidR="00F32B28">
        <w:rPr>
          <w:rtl/>
          <w:lang w:bidi="ar-SY"/>
        </w:rPr>
        <w:t xml:space="preserve"> </w:t>
      </w:r>
      <w:r w:rsidR="00F32B28" w:rsidRPr="00F32B28">
        <w:rPr>
          <w:rtl/>
          <w:lang w:bidi="ar-SY"/>
        </w:rPr>
        <w:t>ومنع</w:t>
      </w:r>
      <w:r w:rsidR="00F32B28">
        <w:rPr>
          <w:rtl/>
          <w:lang w:bidi="ar-SY"/>
        </w:rPr>
        <w:t xml:space="preserve"> </w:t>
      </w:r>
      <w:r w:rsidR="00F32B28" w:rsidRPr="00F32B28">
        <w:rPr>
          <w:rtl/>
          <w:lang w:bidi="ar-SY"/>
        </w:rPr>
        <w:t>مرور</w:t>
      </w:r>
      <w:r w:rsidR="00F32B28">
        <w:rPr>
          <w:rtl/>
          <w:lang w:bidi="ar-SY"/>
        </w:rPr>
        <w:t xml:space="preserve"> </w:t>
      </w:r>
      <w:r w:rsidR="00F32B28" w:rsidRPr="00F32B28">
        <w:rPr>
          <w:rtl/>
          <w:lang w:bidi="ar-SY"/>
        </w:rPr>
        <w:t>لسيارات</w:t>
      </w:r>
      <w:r w:rsidR="00F32B28">
        <w:rPr>
          <w:rtl/>
          <w:lang w:bidi="ar-SY"/>
        </w:rPr>
        <w:t xml:space="preserve"> </w:t>
      </w:r>
      <w:r w:rsidR="00F32B28" w:rsidRPr="00F32B28">
        <w:rPr>
          <w:rtl/>
          <w:lang w:bidi="ar-SY"/>
        </w:rPr>
        <w:t>الإسعاف</w:t>
      </w:r>
      <w:r w:rsidR="00F32B28">
        <w:rPr>
          <w:rtl/>
          <w:lang w:bidi="ar-SY"/>
        </w:rPr>
        <w:t xml:space="preserve"> </w:t>
      </w:r>
      <w:r w:rsidR="00F32B28" w:rsidRPr="00F32B28">
        <w:rPr>
          <w:rtl/>
          <w:lang w:bidi="ar-SY"/>
        </w:rPr>
        <w:t>أثناء</w:t>
      </w:r>
      <w:r w:rsidR="00F32B28">
        <w:rPr>
          <w:rtl/>
          <w:lang w:bidi="ar-SY"/>
        </w:rPr>
        <w:t xml:space="preserve"> </w:t>
      </w:r>
      <w:r w:rsidR="00F32B28" w:rsidRPr="00F32B28">
        <w:rPr>
          <w:rtl/>
          <w:lang w:bidi="ar-SY"/>
        </w:rPr>
        <w:t>نقلها</w:t>
      </w:r>
      <w:r w:rsidR="00F32B28">
        <w:rPr>
          <w:rtl/>
          <w:lang w:bidi="ar-SY"/>
        </w:rPr>
        <w:t xml:space="preserve"> </w:t>
      </w:r>
      <w:r w:rsidR="00F32B28" w:rsidRPr="00F32B28">
        <w:rPr>
          <w:rtl/>
          <w:lang w:bidi="ar-SY"/>
        </w:rPr>
        <w:t>للمرضى</w:t>
      </w:r>
      <w:r w:rsidR="00F32B28">
        <w:rPr>
          <w:rtl/>
          <w:lang w:bidi="ar-SY"/>
        </w:rPr>
        <w:t xml:space="preserve"> </w:t>
      </w:r>
      <w:r w:rsidR="00F32B28" w:rsidRPr="00F32B28">
        <w:rPr>
          <w:rtl/>
          <w:lang w:bidi="ar-SY"/>
        </w:rPr>
        <w:t>والمريضات،</w:t>
      </w:r>
      <w:r w:rsidR="00F32B28">
        <w:rPr>
          <w:rtl/>
          <w:lang w:bidi="ar-SY"/>
        </w:rPr>
        <w:t xml:space="preserve"> </w:t>
      </w:r>
      <w:r w:rsidR="00F32B28" w:rsidRPr="00F32B28">
        <w:rPr>
          <w:rtl/>
          <w:lang w:bidi="ar-SY"/>
        </w:rPr>
        <w:t>واستهداف</w:t>
      </w:r>
      <w:r w:rsidR="00F32B28">
        <w:rPr>
          <w:rtl/>
          <w:lang w:bidi="ar-SY"/>
        </w:rPr>
        <w:t xml:space="preserve"> </w:t>
      </w:r>
      <w:r w:rsidR="00F32B28" w:rsidRPr="00F32B28">
        <w:rPr>
          <w:rtl/>
          <w:lang w:bidi="ar-SY"/>
        </w:rPr>
        <w:t>مباشر</w:t>
      </w:r>
      <w:r w:rsidR="00F32B28">
        <w:rPr>
          <w:rtl/>
          <w:lang w:bidi="ar-SY"/>
        </w:rPr>
        <w:t xml:space="preserve"> </w:t>
      </w:r>
      <w:r w:rsidR="00F32B28" w:rsidRPr="00F32B28">
        <w:rPr>
          <w:rtl/>
          <w:lang w:bidi="ar-SY"/>
        </w:rPr>
        <w:t>لسيارات</w:t>
      </w:r>
      <w:r w:rsidR="00F32B28">
        <w:rPr>
          <w:rtl/>
          <w:lang w:bidi="ar-SY"/>
        </w:rPr>
        <w:t xml:space="preserve"> </w:t>
      </w:r>
      <w:r w:rsidR="00F32B28" w:rsidRPr="00F32B28">
        <w:rPr>
          <w:rtl/>
          <w:lang w:bidi="ar-SY"/>
        </w:rPr>
        <w:t>الإسعاف</w:t>
      </w:r>
      <w:r w:rsidR="00F32B28">
        <w:rPr>
          <w:rtl/>
          <w:lang w:bidi="ar-SY"/>
        </w:rPr>
        <w:t xml:space="preserve"> </w:t>
      </w:r>
      <w:r w:rsidR="00F32B28" w:rsidRPr="00F32B28">
        <w:rPr>
          <w:rtl/>
          <w:lang w:bidi="ar-SY"/>
        </w:rPr>
        <w:t>والمسعفين</w:t>
      </w:r>
      <w:r w:rsidR="00F32B28">
        <w:rPr>
          <w:rtl/>
          <w:lang w:bidi="ar-SY"/>
        </w:rPr>
        <w:t xml:space="preserve"> </w:t>
      </w:r>
      <w:r w:rsidR="00F32B28" w:rsidRPr="00F32B28">
        <w:rPr>
          <w:rtl/>
          <w:lang w:bidi="ar-SY"/>
        </w:rPr>
        <w:t>بالاعتداء</w:t>
      </w:r>
      <w:r w:rsidR="00F32B28">
        <w:rPr>
          <w:rtl/>
          <w:lang w:bidi="ar-SY"/>
        </w:rPr>
        <w:t xml:space="preserve"> </w:t>
      </w:r>
      <w:r w:rsidR="00F32B28" w:rsidRPr="00F32B28">
        <w:rPr>
          <w:rtl/>
          <w:lang w:bidi="ar-SY"/>
        </w:rPr>
        <w:t>وقنابل</w:t>
      </w:r>
      <w:r w:rsidR="00F32B28">
        <w:rPr>
          <w:rtl/>
          <w:lang w:bidi="ar-SY"/>
        </w:rPr>
        <w:t xml:space="preserve"> </w:t>
      </w:r>
      <w:r w:rsidR="00F32B28" w:rsidRPr="00F32B28">
        <w:rPr>
          <w:rtl/>
          <w:lang w:bidi="ar-SY"/>
        </w:rPr>
        <w:t>الغاز.</w:t>
      </w:r>
    </w:p>
    <w:p w:rsidR="00AF1BC1" w:rsidRPr="00AF1BC1" w:rsidRDefault="00AF1BC1" w:rsidP="00AF1BC1">
      <w:pPr>
        <w:pStyle w:val="SingleTxt"/>
        <w:spacing w:after="0" w:line="120" w:lineRule="exact"/>
        <w:rPr>
          <w:b/>
          <w:bCs/>
          <w:sz w:val="10"/>
          <w:rtl/>
          <w:lang w:bidi="ar-LB"/>
        </w:rPr>
      </w:pPr>
    </w:p>
    <w:p w:rsidR="00F32B28" w:rsidRPr="00F32B28" w:rsidRDefault="00F32B28" w:rsidP="00F32B28">
      <w:pPr>
        <w:pStyle w:val="SingleTxt"/>
        <w:rPr>
          <w:b/>
          <w:bCs/>
          <w:rtl/>
          <w:lang w:bidi="ar-LB"/>
        </w:rPr>
      </w:pPr>
      <w:r w:rsidRPr="00F32B28">
        <w:rPr>
          <w:b/>
          <w:bCs/>
          <w:rtl/>
          <w:lang w:bidi="ar-LB"/>
        </w:rPr>
        <w:t>العدوان</w:t>
      </w:r>
      <w:r>
        <w:rPr>
          <w:b/>
          <w:bCs/>
          <w:rtl/>
          <w:lang w:bidi="ar-LB"/>
        </w:rPr>
        <w:t xml:space="preserve"> </w:t>
      </w:r>
      <w:r w:rsidRPr="00F32B28">
        <w:rPr>
          <w:b/>
          <w:bCs/>
          <w:rtl/>
          <w:lang w:bidi="ar-LB"/>
        </w:rPr>
        <w:t>على</w:t>
      </w:r>
      <w:r>
        <w:rPr>
          <w:b/>
          <w:bCs/>
          <w:rtl/>
          <w:lang w:bidi="ar-LB"/>
        </w:rPr>
        <w:t xml:space="preserve"> </w:t>
      </w:r>
      <w:r w:rsidRPr="00F32B28">
        <w:rPr>
          <w:b/>
          <w:bCs/>
          <w:rtl/>
          <w:lang w:bidi="ar-LB"/>
        </w:rPr>
        <w:t>قطاع</w:t>
      </w:r>
      <w:r>
        <w:rPr>
          <w:b/>
          <w:bCs/>
          <w:rtl/>
          <w:lang w:bidi="ar-LB"/>
        </w:rPr>
        <w:t xml:space="preserve"> </w:t>
      </w:r>
      <w:r w:rsidRPr="00F32B28">
        <w:rPr>
          <w:b/>
          <w:bCs/>
          <w:rtl/>
          <w:lang w:bidi="ar-LB"/>
        </w:rPr>
        <w:t>غزة</w:t>
      </w:r>
      <w:r>
        <w:rPr>
          <w:b/>
          <w:bCs/>
          <w:rtl/>
          <w:lang w:bidi="ar-LB"/>
        </w:rPr>
        <w:t xml:space="preserve"> </w:t>
      </w:r>
      <w:r w:rsidRPr="00F32B28">
        <w:rPr>
          <w:b/>
          <w:bCs/>
          <w:rtl/>
          <w:lang w:bidi="ar-LB"/>
        </w:rPr>
        <w:t>في</w:t>
      </w:r>
      <w:r>
        <w:rPr>
          <w:b/>
          <w:bCs/>
          <w:rtl/>
          <w:lang w:bidi="ar-LB"/>
        </w:rPr>
        <w:t xml:space="preserve"> </w:t>
      </w:r>
      <w:r w:rsidRPr="00F32B28">
        <w:rPr>
          <w:b/>
          <w:bCs/>
          <w:rtl/>
          <w:lang w:bidi="ar-LB"/>
        </w:rPr>
        <w:t>عام</w:t>
      </w:r>
      <w:r>
        <w:rPr>
          <w:b/>
          <w:bCs/>
          <w:rtl/>
          <w:lang w:bidi="ar-LB"/>
        </w:rPr>
        <w:t xml:space="preserve"> </w:t>
      </w:r>
      <w:r w:rsidRPr="00F32B28">
        <w:rPr>
          <w:b/>
          <w:bCs/>
          <w:rtl/>
          <w:lang w:bidi="ar-LB"/>
        </w:rPr>
        <w:t>2014</w:t>
      </w:r>
      <w:r>
        <w:rPr>
          <w:b/>
          <w:bCs/>
          <w:rtl/>
          <w:lang w:bidi="ar-LB"/>
        </w:rPr>
        <w:t xml:space="preserve"> </w:t>
      </w:r>
    </w:p>
    <w:p w:rsidR="00F32B28" w:rsidRPr="00F32B28" w:rsidRDefault="00AF1BC1" w:rsidP="009F4D72">
      <w:pPr>
        <w:pStyle w:val="SingleTxt"/>
        <w:rPr>
          <w:rtl/>
          <w:lang w:bidi="ar-SY"/>
        </w:rPr>
      </w:pPr>
      <w:r>
        <w:rPr>
          <w:rFonts w:hint="cs"/>
          <w:rtl/>
        </w:rPr>
        <w:t xml:space="preserve">259 - </w:t>
      </w:r>
      <w:r w:rsidR="00F32B28" w:rsidRPr="00F32B28">
        <w:rPr>
          <w:rtl/>
        </w:rPr>
        <w:t>خلف</w:t>
      </w:r>
      <w:r w:rsidR="00F32B28">
        <w:rPr>
          <w:rtl/>
        </w:rPr>
        <w:t xml:space="preserve"> </w:t>
      </w:r>
      <w:r w:rsidR="00F32B28" w:rsidRPr="00F32B28">
        <w:rPr>
          <w:rtl/>
        </w:rPr>
        <w:t>العدوان</w:t>
      </w:r>
      <w:r w:rsidR="00F32B28">
        <w:rPr>
          <w:rtl/>
        </w:rPr>
        <w:t xml:space="preserve"> </w:t>
      </w:r>
      <w:r w:rsidR="00F32B28" w:rsidRPr="00F32B28">
        <w:rPr>
          <w:rtl/>
        </w:rPr>
        <w:t>الإسرائيلي</w:t>
      </w:r>
      <w:r w:rsidR="00F32B28">
        <w:rPr>
          <w:rtl/>
        </w:rPr>
        <w:t xml:space="preserve"> </w:t>
      </w:r>
      <w:r w:rsidR="00F32B28" w:rsidRPr="00F32B28">
        <w:rPr>
          <w:rtl/>
        </w:rPr>
        <w:t>الأخير</w:t>
      </w:r>
      <w:r w:rsidR="00F32B28">
        <w:rPr>
          <w:rtl/>
        </w:rPr>
        <w:t xml:space="preserve"> </w:t>
      </w:r>
      <w:r w:rsidR="00F32B28" w:rsidRPr="00F32B28">
        <w:rPr>
          <w:rtl/>
        </w:rPr>
        <w:t>على</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أضرار</w:t>
      </w:r>
      <w:r w:rsidR="00F32B28">
        <w:rPr>
          <w:rtl/>
        </w:rPr>
        <w:t xml:space="preserve"> </w:t>
      </w:r>
      <w:r w:rsidR="00F32B28" w:rsidRPr="00F32B28">
        <w:rPr>
          <w:rtl/>
        </w:rPr>
        <w:t>فادحة</w:t>
      </w:r>
      <w:r w:rsidR="00F32B28">
        <w:rPr>
          <w:rtl/>
        </w:rPr>
        <w:t xml:space="preserve"> </w:t>
      </w:r>
      <w:r w:rsidR="00F32B28" w:rsidRPr="00F32B28">
        <w:rPr>
          <w:rtl/>
        </w:rPr>
        <w:t>على</w:t>
      </w:r>
      <w:r w:rsidR="00F32B28">
        <w:rPr>
          <w:rtl/>
        </w:rPr>
        <w:t xml:space="preserve"> </w:t>
      </w:r>
      <w:r w:rsidR="00F32B28" w:rsidRPr="00F32B28">
        <w:rPr>
          <w:rtl/>
        </w:rPr>
        <w:t>حقوقه</w:t>
      </w:r>
      <w:r w:rsidR="00F32B28">
        <w:rPr>
          <w:rtl/>
        </w:rPr>
        <w:t xml:space="preserve"> </w:t>
      </w:r>
      <w:r w:rsidR="00F32B28" w:rsidRPr="00F32B28">
        <w:rPr>
          <w:rtl/>
        </w:rPr>
        <w:t>النساء</w:t>
      </w:r>
      <w:r w:rsidR="00F32B28">
        <w:rPr>
          <w:rtl/>
        </w:rPr>
        <w:t xml:space="preserve"> </w:t>
      </w:r>
      <w:r w:rsidR="00F32B28" w:rsidRPr="00F32B28">
        <w:rPr>
          <w:rtl/>
        </w:rPr>
        <w:t>الفلسطينيات</w:t>
      </w:r>
      <w:r w:rsidR="00F32B28">
        <w:rPr>
          <w:rtl/>
        </w:rPr>
        <w:t xml:space="preserve"> </w:t>
      </w:r>
      <w:r w:rsidR="00F32B28" w:rsidRPr="00F32B28">
        <w:rPr>
          <w:rtl/>
        </w:rPr>
        <w:t>الأساسية،</w:t>
      </w:r>
      <w:r w:rsidR="00F32B28">
        <w:rPr>
          <w:rtl/>
        </w:rPr>
        <w:t xml:space="preserve"> </w:t>
      </w:r>
      <w:r w:rsidR="00F32B28" w:rsidRPr="00F32B28">
        <w:rPr>
          <w:rtl/>
        </w:rPr>
        <w:t>كالحق</w:t>
      </w:r>
      <w:r w:rsidR="00F32B28">
        <w:rPr>
          <w:rtl/>
        </w:rPr>
        <w:t xml:space="preserve"> </w:t>
      </w:r>
      <w:r w:rsidR="00F32B28" w:rsidRPr="00F32B28">
        <w:rPr>
          <w:rtl/>
        </w:rPr>
        <w:t>في</w:t>
      </w:r>
      <w:r w:rsidR="00F32B28">
        <w:rPr>
          <w:rtl/>
        </w:rPr>
        <w:t xml:space="preserve"> </w:t>
      </w:r>
      <w:r w:rsidR="00F32B28" w:rsidRPr="00F32B28">
        <w:rPr>
          <w:rtl/>
        </w:rPr>
        <w:t>الحياة</w:t>
      </w:r>
      <w:r w:rsidR="00F32B28">
        <w:rPr>
          <w:rtl/>
        </w:rPr>
        <w:t xml:space="preserve"> </w:t>
      </w:r>
      <w:r w:rsidR="00F32B28" w:rsidRPr="00F32B28">
        <w:rPr>
          <w:rtl/>
        </w:rPr>
        <w:t>والحق</w:t>
      </w:r>
      <w:r w:rsidR="00F32B28">
        <w:rPr>
          <w:rtl/>
        </w:rPr>
        <w:t xml:space="preserve"> </w:t>
      </w:r>
      <w:r w:rsidR="00F32B28" w:rsidRPr="00F32B28">
        <w:rPr>
          <w:rtl/>
        </w:rPr>
        <w:t>في</w:t>
      </w:r>
      <w:r w:rsidR="00F32B28">
        <w:rPr>
          <w:rtl/>
        </w:rPr>
        <w:t xml:space="preserve"> </w:t>
      </w:r>
      <w:r w:rsidR="00F32B28" w:rsidRPr="00F32B28">
        <w:rPr>
          <w:rtl/>
        </w:rPr>
        <w:t>السلامة</w:t>
      </w:r>
      <w:r w:rsidR="00F32B28">
        <w:rPr>
          <w:rtl/>
        </w:rPr>
        <w:t xml:space="preserve"> </w:t>
      </w:r>
      <w:r w:rsidR="00F32B28" w:rsidRPr="00F32B28">
        <w:rPr>
          <w:rtl/>
        </w:rPr>
        <w:t>الجسدية</w:t>
      </w:r>
      <w:r w:rsidR="00F32B28">
        <w:rPr>
          <w:rtl/>
        </w:rPr>
        <w:t xml:space="preserve"> </w:t>
      </w:r>
      <w:r w:rsidR="00F32B28" w:rsidRPr="00F32B28">
        <w:rPr>
          <w:rtl/>
        </w:rPr>
        <w:t>والحق</w:t>
      </w:r>
      <w:r w:rsidR="00F32B28">
        <w:rPr>
          <w:rtl/>
        </w:rPr>
        <w:t xml:space="preserve"> </w:t>
      </w:r>
      <w:r w:rsidR="00F32B28" w:rsidRPr="00F32B28">
        <w:rPr>
          <w:rtl/>
        </w:rPr>
        <w:t>في</w:t>
      </w:r>
      <w:r w:rsidR="00F32B28">
        <w:rPr>
          <w:rtl/>
        </w:rPr>
        <w:t xml:space="preserve"> </w:t>
      </w:r>
      <w:r w:rsidR="00F32B28" w:rsidRPr="00F32B28">
        <w:rPr>
          <w:rtl/>
        </w:rPr>
        <w:t>الصحة</w:t>
      </w:r>
      <w:r w:rsidR="00F32B28">
        <w:rPr>
          <w:rtl/>
        </w:rPr>
        <w:t xml:space="preserve"> </w:t>
      </w:r>
      <w:r w:rsidR="00F32B28" w:rsidRPr="00F32B28">
        <w:rPr>
          <w:rtl/>
        </w:rPr>
        <w:t>والحق</w:t>
      </w:r>
      <w:r w:rsidR="00F32B28">
        <w:rPr>
          <w:rtl/>
        </w:rPr>
        <w:t xml:space="preserve"> </w:t>
      </w:r>
      <w:r w:rsidR="00F32B28" w:rsidRPr="00F32B28">
        <w:rPr>
          <w:rtl/>
        </w:rPr>
        <w:t>في</w:t>
      </w:r>
      <w:r w:rsidR="00F32B28">
        <w:rPr>
          <w:rtl/>
        </w:rPr>
        <w:t xml:space="preserve"> </w:t>
      </w:r>
      <w:r w:rsidR="00F32B28" w:rsidRPr="00F32B28">
        <w:rPr>
          <w:rtl/>
        </w:rPr>
        <w:t>حماية</w:t>
      </w:r>
      <w:r w:rsidR="00F32B28">
        <w:rPr>
          <w:rtl/>
        </w:rPr>
        <w:t xml:space="preserve"> </w:t>
      </w:r>
      <w:r w:rsidR="00F32B28" w:rsidRPr="00F32B28">
        <w:rPr>
          <w:rtl/>
        </w:rPr>
        <w:t>المدنيات</w:t>
      </w:r>
      <w:r w:rsidR="00F32B28">
        <w:rPr>
          <w:rtl/>
        </w:rPr>
        <w:t xml:space="preserve"> </w:t>
      </w:r>
      <w:r w:rsidR="00F32B28" w:rsidRPr="00F32B28">
        <w:rPr>
          <w:rtl/>
        </w:rPr>
        <w:t>منهن</w:t>
      </w:r>
      <w:r w:rsidR="00F32B28">
        <w:rPr>
          <w:rtl/>
        </w:rPr>
        <w:t xml:space="preserve"> </w:t>
      </w:r>
      <w:r w:rsidR="00F32B28" w:rsidRPr="00F32B28">
        <w:rPr>
          <w:rtl/>
        </w:rPr>
        <w:t>أثناء</w:t>
      </w:r>
      <w:r w:rsidR="00F32B28">
        <w:rPr>
          <w:rtl/>
        </w:rPr>
        <w:t xml:space="preserve"> </w:t>
      </w:r>
      <w:r w:rsidR="00F32B28" w:rsidRPr="00F32B28">
        <w:rPr>
          <w:rtl/>
        </w:rPr>
        <w:t>النزاعات</w:t>
      </w:r>
      <w:r w:rsidR="00F32B28">
        <w:rPr>
          <w:rtl/>
        </w:rPr>
        <w:t xml:space="preserve"> </w:t>
      </w:r>
      <w:r w:rsidR="00F32B28" w:rsidRPr="00F32B28">
        <w:rPr>
          <w:rtl/>
        </w:rPr>
        <w:t>المسلحة</w:t>
      </w:r>
      <w:r w:rsidR="00F32B28">
        <w:rPr>
          <w:rtl/>
        </w:rPr>
        <w:t xml:space="preserve"> </w:t>
      </w:r>
      <w:r w:rsidR="00F32B28" w:rsidRPr="00F32B28">
        <w:rPr>
          <w:rtl/>
        </w:rPr>
        <w:t>وعدم</w:t>
      </w:r>
      <w:r w:rsidR="00F32B28">
        <w:rPr>
          <w:rtl/>
        </w:rPr>
        <w:t xml:space="preserve"> </w:t>
      </w:r>
      <w:r w:rsidR="00F32B28" w:rsidRPr="00F32B28">
        <w:rPr>
          <w:rtl/>
        </w:rPr>
        <w:t>الاستهداف.</w:t>
      </w:r>
      <w:r w:rsidR="00F32B28">
        <w:rPr>
          <w:rtl/>
        </w:rPr>
        <w:t xml:space="preserve"> </w:t>
      </w:r>
      <w:r w:rsidR="00F32B28" w:rsidRPr="00F32B28">
        <w:rPr>
          <w:rtl/>
        </w:rPr>
        <w:t>أدت</w:t>
      </w:r>
      <w:r>
        <w:rPr>
          <w:rFonts w:hint="cs"/>
          <w:rtl/>
        </w:rPr>
        <w:t xml:space="preserve"> </w:t>
      </w:r>
      <w:r w:rsidR="00F32B28" w:rsidRPr="00F32B28">
        <w:rPr>
          <w:rtl/>
        </w:rPr>
        <w:t>الهجمات</w:t>
      </w:r>
      <w:r w:rsidR="00F32B28">
        <w:rPr>
          <w:rtl/>
        </w:rPr>
        <w:t xml:space="preserve"> </w:t>
      </w:r>
      <w:r w:rsidR="00F32B28" w:rsidRPr="00F32B28">
        <w:rPr>
          <w:rtl/>
        </w:rPr>
        <w:t>الإسرائيلية</w:t>
      </w:r>
      <w:r w:rsidR="00F32B28">
        <w:rPr>
          <w:rtl/>
        </w:rPr>
        <w:t xml:space="preserve"> </w:t>
      </w:r>
      <w:r w:rsidR="00F32B28" w:rsidRPr="00F32B28">
        <w:rPr>
          <w:rtl/>
        </w:rPr>
        <w:t>غير</w:t>
      </w:r>
      <w:r w:rsidR="00F32B28">
        <w:rPr>
          <w:rtl/>
        </w:rPr>
        <w:t xml:space="preserve"> </w:t>
      </w:r>
      <w:r w:rsidR="00F32B28" w:rsidRPr="00F32B28">
        <w:rPr>
          <w:rtl/>
        </w:rPr>
        <w:t>المشروعة</w:t>
      </w:r>
      <w:r w:rsidR="00F32B28">
        <w:rPr>
          <w:rtl/>
        </w:rPr>
        <w:t xml:space="preserve"> </w:t>
      </w:r>
      <w:r w:rsidR="00F32B28" w:rsidRPr="00F32B28">
        <w:rPr>
          <w:rtl/>
        </w:rPr>
        <w:t>ذات</w:t>
      </w:r>
      <w:r w:rsidR="00F32B28">
        <w:rPr>
          <w:rtl/>
        </w:rPr>
        <w:t xml:space="preserve"> </w:t>
      </w:r>
      <w:r w:rsidR="00F32B28" w:rsidRPr="00F32B28">
        <w:rPr>
          <w:rtl/>
        </w:rPr>
        <w:t>الطابع</w:t>
      </w:r>
      <w:r w:rsidR="00F32B28">
        <w:rPr>
          <w:rtl/>
        </w:rPr>
        <w:t xml:space="preserve"> </w:t>
      </w:r>
      <w:r w:rsidR="00F32B28" w:rsidRPr="00F32B28">
        <w:rPr>
          <w:rtl/>
        </w:rPr>
        <w:t>العدواني</w:t>
      </w:r>
      <w:r w:rsidR="00F32B28">
        <w:rPr>
          <w:rtl/>
        </w:rPr>
        <w:t xml:space="preserve"> </w:t>
      </w:r>
      <w:r w:rsidR="00F32B28" w:rsidRPr="00F32B28">
        <w:rPr>
          <w:rtl/>
        </w:rPr>
        <w:t>المتأصل</w:t>
      </w:r>
      <w:r w:rsidR="00F32B28">
        <w:rPr>
          <w:rtl/>
        </w:rPr>
        <w:t xml:space="preserve"> </w:t>
      </w:r>
      <w:r w:rsidR="00F32B28" w:rsidRPr="00F32B28">
        <w:rPr>
          <w:rtl/>
        </w:rPr>
        <w:t>وعدم</w:t>
      </w:r>
      <w:r w:rsidR="00F32B28">
        <w:rPr>
          <w:rtl/>
        </w:rPr>
        <w:t xml:space="preserve"> </w:t>
      </w:r>
      <w:r w:rsidR="00F32B28" w:rsidRPr="00F32B28">
        <w:rPr>
          <w:rtl/>
        </w:rPr>
        <w:t>تمييزها</w:t>
      </w:r>
      <w:r w:rsidR="00F32B28">
        <w:rPr>
          <w:rtl/>
        </w:rPr>
        <w:t xml:space="preserve"> </w:t>
      </w:r>
      <w:r w:rsidR="00F32B28" w:rsidRPr="00F32B28">
        <w:rPr>
          <w:rtl/>
        </w:rPr>
        <w:t>بين</w:t>
      </w:r>
      <w:r w:rsidR="00F32B28">
        <w:rPr>
          <w:rtl/>
        </w:rPr>
        <w:t xml:space="preserve"> </w:t>
      </w:r>
      <w:r w:rsidR="00F32B28" w:rsidRPr="00F32B28">
        <w:rPr>
          <w:rtl/>
        </w:rPr>
        <w:t>الأهداف</w:t>
      </w:r>
      <w:r w:rsidR="00F32B28">
        <w:rPr>
          <w:rtl/>
        </w:rPr>
        <w:t xml:space="preserve"> </w:t>
      </w:r>
      <w:r w:rsidR="00F32B28" w:rsidRPr="00F32B28">
        <w:rPr>
          <w:rtl/>
        </w:rPr>
        <w:t>العسكرية</w:t>
      </w:r>
      <w:r w:rsidR="00F32B28">
        <w:rPr>
          <w:rtl/>
        </w:rPr>
        <w:t xml:space="preserve"> </w:t>
      </w:r>
      <w:r w:rsidR="00F32B28" w:rsidRPr="00F32B28">
        <w:rPr>
          <w:rtl/>
        </w:rPr>
        <w:t>والمدنية</w:t>
      </w:r>
      <w:r w:rsidR="00F32B28">
        <w:rPr>
          <w:rtl/>
        </w:rPr>
        <w:t xml:space="preserve"> </w:t>
      </w:r>
      <w:r w:rsidR="00F32B28" w:rsidRPr="00F32B28">
        <w:rPr>
          <w:rtl/>
        </w:rPr>
        <w:t>وانتهاكها</w:t>
      </w:r>
      <w:r w:rsidR="00F32B28">
        <w:rPr>
          <w:rtl/>
        </w:rPr>
        <w:t xml:space="preserve"> </w:t>
      </w:r>
      <w:r w:rsidR="00F32B28" w:rsidRPr="00F32B28">
        <w:rPr>
          <w:rtl/>
        </w:rPr>
        <w:t>الخطير</w:t>
      </w:r>
      <w:r w:rsidR="00F32B28">
        <w:rPr>
          <w:rtl/>
        </w:rPr>
        <w:t xml:space="preserve"> </w:t>
      </w:r>
      <w:r w:rsidR="00F32B28" w:rsidRPr="00F32B28">
        <w:rPr>
          <w:rtl/>
        </w:rPr>
        <w:t>لمبدأ</w:t>
      </w:r>
      <w:r w:rsidR="00F32B28">
        <w:rPr>
          <w:rtl/>
        </w:rPr>
        <w:t xml:space="preserve"> </w:t>
      </w:r>
      <w:r w:rsidR="00F32B28" w:rsidRPr="00F32B28">
        <w:rPr>
          <w:rtl/>
        </w:rPr>
        <w:t>التناسب</w:t>
      </w:r>
      <w:r w:rsidR="00F32B28">
        <w:rPr>
          <w:rtl/>
        </w:rPr>
        <w:t xml:space="preserve"> </w:t>
      </w:r>
      <w:r w:rsidR="00F32B28" w:rsidRPr="00F32B28">
        <w:rPr>
          <w:rtl/>
        </w:rPr>
        <w:t>والضرورة</w:t>
      </w:r>
      <w:r w:rsidR="00F32B28">
        <w:rPr>
          <w:rtl/>
        </w:rPr>
        <w:t xml:space="preserve"> </w:t>
      </w:r>
      <w:r w:rsidR="00F32B28" w:rsidRPr="00F32B28">
        <w:rPr>
          <w:rtl/>
        </w:rPr>
        <w:t>والإنسانية</w:t>
      </w:r>
      <w:r w:rsidR="00F32B28">
        <w:rPr>
          <w:rtl/>
        </w:rPr>
        <w:t xml:space="preserve"> </w:t>
      </w:r>
      <w:r w:rsidR="00F32B28" w:rsidRPr="00F32B28">
        <w:rPr>
          <w:rtl/>
        </w:rPr>
        <w:t>إلى</w:t>
      </w:r>
      <w:r w:rsidR="00F32B28">
        <w:rPr>
          <w:rtl/>
        </w:rPr>
        <w:t xml:space="preserve"> </w:t>
      </w:r>
      <w:r w:rsidR="00F32B28" w:rsidRPr="00F32B28">
        <w:rPr>
          <w:rtl/>
        </w:rPr>
        <w:t>قتل</w:t>
      </w:r>
      <w:r w:rsidR="00F32B28">
        <w:rPr>
          <w:rtl/>
        </w:rPr>
        <w:t xml:space="preserve"> </w:t>
      </w:r>
      <w:r w:rsidR="00F32B28" w:rsidRPr="00F32B28">
        <w:rPr>
          <w:rtl/>
        </w:rPr>
        <w:t>حوالي</w:t>
      </w:r>
      <w:r w:rsidR="00F32B28">
        <w:rPr>
          <w:rtl/>
        </w:rPr>
        <w:t xml:space="preserve"> </w:t>
      </w:r>
      <w:r w:rsidR="00F32B28" w:rsidRPr="00F32B28">
        <w:rPr>
          <w:rtl/>
        </w:rPr>
        <w:t>489</w:t>
      </w:r>
      <w:r w:rsidR="00F32B28">
        <w:rPr>
          <w:rtl/>
        </w:rPr>
        <w:t xml:space="preserve"> </w:t>
      </w:r>
      <w:r w:rsidR="00F32B28" w:rsidRPr="00F32B28">
        <w:rPr>
          <w:rtl/>
        </w:rPr>
        <w:t>امرأة،</w:t>
      </w:r>
      <w:r w:rsidR="00F32B28">
        <w:rPr>
          <w:rtl/>
        </w:rPr>
        <w:t xml:space="preserve"> </w:t>
      </w:r>
      <w:r w:rsidR="00F32B28" w:rsidRPr="00F32B28">
        <w:rPr>
          <w:rtl/>
        </w:rPr>
        <w:t>أي</w:t>
      </w:r>
      <w:r w:rsidR="00F32B28">
        <w:rPr>
          <w:rtl/>
        </w:rPr>
        <w:t xml:space="preserve"> </w:t>
      </w:r>
      <w:r w:rsidR="00F32B28" w:rsidRPr="00F32B28">
        <w:rPr>
          <w:rtl/>
        </w:rPr>
        <w:t>ما</w:t>
      </w:r>
      <w:r w:rsidR="00F32B28">
        <w:rPr>
          <w:rtl/>
        </w:rPr>
        <w:t xml:space="preserve"> </w:t>
      </w:r>
      <w:r w:rsidR="00F32B28" w:rsidRPr="00F32B28">
        <w:rPr>
          <w:rtl/>
        </w:rPr>
        <w:t>نسبته</w:t>
      </w:r>
      <w:r w:rsidR="00F32B28">
        <w:rPr>
          <w:rtl/>
        </w:rPr>
        <w:t xml:space="preserve"> </w:t>
      </w:r>
      <w:r w:rsidR="00F32B28" w:rsidRPr="00F32B28">
        <w:rPr>
          <w:rtl/>
        </w:rPr>
        <w:t>22</w:t>
      </w:r>
      <w:r w:rsidR="00851F93">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إجمالي</w:t>
      </w:r>
      <w:r w:rsidR="00F32B28">
        <w:rPr>
          <w:rtl/>
        </w:rPr>
        <w:t xml:space="preserve"> </w:t>
      </w:r>
      <w:r w:rsidR="00F32B28" w:rsidRPr="00F32B28">
        <w:rPr>
          <w:rFonts w:hint="cs"/>
          <w:rtl/>
        </w:rPr>
        <w:t>ال</w:t>
      </w:r>
      <w:r w:rsidR="00F32B28" w:rsidRPr="00F32B28">
        <w:rPr>
          <w:rtl/>
        </w:rPr>
        <w:t>ضحايا،</w:t>
      </w:r>
      <w:r w:rsidR="00F32B28">
        <w:rPr>
          <w:rtl/>
        </w:rPr>
        <w:t xml:space="preserve"> </w:t>
      </w:r>
      <w:r w:rsidR="00F32B28" w:rsidRPr="00F32B28">
        <w:rPr>
          <w:rtl/>
        </w:rPr>
        <w:t>منهن</w:t>
      </w:r>
      <w:r w:rsidR="00F32B28">
        <w:rPr>
          <w:rtl/>
        </w:rPr>
        <w:t xml:space="preserve"> </w:t>
      </w:r>
      <w:r w:rsidR="00F32B28" w:rsidRPr="00F32B28">
        <w:rPr>
          <w:rtl/>
        </w:rPr>
        <w:t>16</w:t>
      </w:r>
      <w:r w:rsidR="00F32B28">
        <w:rPr>
          <w:rtl/>
        </w:rPr>
        <w:t xml:space="preserve"> </w:t>
      </w:r>
      <w:r w:rsidR="00F32B28" w:rsidRPr="00F32B28">
        <w:rPr>
          <w:rtl/>
        </w:rPr>
        <w:t>امرأة</w:t>
      </w:r>
      <w:r w:rsidR="00F32B28">
        <w:rPr>
          <w:rtl/>
        </w:rPr>
        <w:t xml:space="preserve"> </w:t>
      </w:r>
      <w:r w:rsidR="00F32B28" w:rsidRPr="00F32B28">
        <w:rPr>
          <w:rtl/>
        </w:rPr>
        <w:t>حاملا،</w:t>
      </w:r>
      <w:r w:rsidR="00F32B28">
        <w:rPr>
          <w:rtl/>
        </w:rPr>
        <w:t xml:space="preserve"> </w:t>
      </w:r>
      <w:r w:rsidR="00F32B28" w:rsidRPr="00F32B28">
        <w:rPr>
          <w:rtl/>
        </w:rPr>
        <w:t>كما</w:t>
      </w:r>
      <w:r w:rsidR="00F32B28">
        <w:rPr>
          <w:rtl/>
        </w:rPr>
        <w:t xml:space="preserve"> </w:t>
      </w:r>
      <w:r w:rsidR="00F32B28" w:rsidRPr="00F32B28">
        <w:rPr>
          <w:rtl/>
        </w:rPr>
        <w:t>بلغ</w:t>
      </w:r>
      <w:r w:rsidR="00F32B28">
        <w:rPr>
          <w:rtl/>
        </w:rPr>
        <w:t xml:space="preserve"> </w:t>
      </w:r>
      <w:r w:rsidR="00F32B28" w:rsidRPr="00F32B28">
        <w:rPr>
          <w:rtl/>
        </w:rPr>
        <w:t>عدد</w:t>
      </w:r>
      <w:r w:rsidR="00F32B28">
        <w:rPr>
          <w:rtl/>
        </w:rPr>
        <w:t xml:space="preserve"> </w:t>
      </w:r>
      <w:r w:rsidR="00F32B28" w:rsidRPr="00F32B28">
        <w:rPr>
          <w:rtl/>
        </w:rPr>
        <w:t>نساء</w:t>
      </w:r>
      <w:r w:rsidR="00F32B28">
        <w:rPr>
          <w:rtl/>
        </w:rPr>
        <w:t xml:space="preserve"> </w:t>
      </w:r>
      <w:r w:rsidR="00F32B28" w:rsidRPr="00F32B28">
        <w:rPr>
          <w:rtl/>
        </w:rPr>
        <w:t>غزة</w:t>
      </w:r>
      <w:r w:rsidR="00F32B28">
        <w:rPr>
          <w:rtl/>
        </w:rPr>
        <w:t xml:space="preserve"> </w:t>
      </w:r>
      <w:r w:rsidR="00F32B28" w:rsidRPr="00F32B28">
        <w:rPr>
          <w:rtl/>
        </w:rPr>
        <w:t>الجريحات</w:t>
      </w:r>
      <w:r w:rsidR="00F32B28">
        <w:rPr>
          <w:rtl/>
        </w:rPr>
        <w:t xml:space="preserve"> </w:t>
      </w:r>
      <w:r w:rsidR="00715E79">
        <w:rPr>
          <w:rFonts w:hint="cs"/>
          <w:rtl/>
        </w:rPr>
        <w:t>532 3</w:t>
      </w:r>
      <w:r w:rsidR="00F32B28">
        <w:rPr>
          <w:rtl/>
        </w:rPr>
        <w:t xml:space="preserve"> </w:t>
      </w:r>
      <w:r w:rsidR="00F32B28" w:rsidRPr="00F32B28">
        <w:rPr>
          <w:rtl/>
        </w:rPr>
        <w:t>جريحة،</w:t>
      </w:r>
      <w:r w:rsidR="00F32B28">
        <w:rPr>
          <w:rtl/>
        </w:rPr>
        <w:t xml:space="preserve"> </w:t>
      </w:r>
      <w:r w:rsidR="00F32B28" w:rsidRPr="00F32B28">
        <w:rPr>
          <w:rtl/>
        </w:rPr>
        <w:t>يشكلن</w:t>
      </w:r>
      <w:r w:rsidR="00F32B28">
        <w:rPr>
          <w:rtl/>
        </w:rPr>
        <w:t xml:space="preserve"> </w:t>
      </w:r>
      <w:r w:rsidR="00F32B28" w:rsidRPr="00F32B28">
        <w:rPr>
          <w:rtl/>
        </w:rPr>
        <w:t>ما</w:t>
      </w:r>
      <w:r w:rsidR="00F32B28">
        <w:rPr>
          <w:rtl/>
        </w:rPr>
        <w:t xml:space="preserve"> </w:t>
      </w:r>
      <w:r w:rsidR="00F32B28" w:rsidRPr="00F32B28">
        <w:rPr>
          <w:rtl/>
        </w:rPr>
        <w:t>نسبته</w:t>
      </w:r>
      <w:r w:rsidR="00F32B28">
        <w:rPr>
          <w:rtl/>
        </w:rPr>
        <w:t xml:space="preserve"> </w:t>
      </w:r>
      <w:r w:rsidR="00F32B28" w:rsidRPr="00F32B28">
        <w:rPr>
          <w:rtl/>
        </w:rPr>
        <w:t>31</w:t>
      </w:r>
      <w:r w:rsidR="00715E79">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إجمالي</w:t>
      </w:r>
      <w:r w:rsidR="00F32B28">
        <w:rPr>
          <w:rtl/>
        </w:rPr>
        <w:t xml:space="preserve"> </w:t>
      </w:r>
      <w:r w:rsidR="00F32B28" w:rsidRPr="00F32B28">
        <w:rPr>
          <w:rtl/>
        </w:rPr>
        <w:t>الجرحى.</w:t>
      </w:r>
      <w:r w:rsidR="00F32B28">
        <w:rPr>
          <w:rtl/>
        </w:rPr>
        <w:t xml:space="preserve"> </w:t>
      </w:r>
      <w:r w:rsidR="00F32B28" w:rsidRPr="00F32B28">
        <w:rPr>
          <w:rtl/>
        </w:rPr>
        <w:t>كما</w:t>
      </w:r>
      <w:r w:rsidR="00F32B28">
        <w:rPr>
          <w:rtl/>
        </w:rPr>
        <w:t xml:space="preserve"> </w:t>
      </w:r>
      <w:r w:rsidR="00F32B28" w:rsidRPr="00F32B28">
        <w:rPr>
          <w:rtl/>
        </w:rPr>
        <w:t>ترك</w:t>
      </w:r>
      <w:r w:rsidR="00F32B28">
        <w:rPr>
          <w:rtl/>
        </w:rPr>
        <w:t xml:space="preserve"> </w:t>
      </w:r>
      <w:r w:rsidR="00F32B28" w:rsidRPr="00F32B28">
        <w:rPr>
          <w:rtl/>
        </w:rPr>
        <w:t>العدوان</w:t>
      </w:r>
      <w:r w:rsidR="00F32B28">
        <w:rPr>
          <w:rtl/>
        </w:rPr>
        <w:t xml:space="preserve"> </w:t>
      </w:r>
      <w:r w:rsidR="00F32B28" w:rsidRPr="00F32B28">
        <w:rPr>
          <w:rtl/>
        </w:rPr>
        <w:t>آثار</w:t>
      </w:r>
      <w:r w:rsidR="00F32B28">
        <w:rPr>
          <w:rtl/>
        </w:rPr>
        <w:t xml:space="preserve"> </w:t>
      </w:r>
      <w:r w:rsidR="00F32B28" w:rsidRPr="00F32B28">
        <w:rPr>
          <w:rtl/>
        </w:rPr>
        <w:t>عميقة</w:t>
      </w:r>
      <w:r w:rsidR="00F32B28">
        <w:rPr>
          <w:rtl/>
        </w:rPr>
        <w:t xml:space="preserve"> </w:t>
      </w:r>
      <w:r w:rsidR="00F32B28" w:rsidRPr="00F32B28">
        <w:rPr>
          <w:rtl/>
        </w:rPr>
        <w:t>على</w:t>
      </w:r>
      <w:r w:rsidR="00F32B28">
        <w:rPr>
          <w:rtl/>
        </w:rPr>
        <w:t xml:space="preserve"> </w:t>
      </w:r>
      <w:r w:rsidR="00F32B28" w:rsidRPr="00F32B28">
        <w:rPr>
          <w:rtl/>
        </w:rPr>
        <w:t>الصحة</w:t>
      </w:r>
      <w:r w:rsidR="00F32B28">
        <w:rPr>
          <w:rtl/>
        </w:rPr>
        <w:t xml:space="preserve"> </w:t>
      </w:r>
      <w:r w:rsidR="00F32B28" w:rsidRPr="00F32B28">
        <w:rPr>
          <w:rtl/>
        </w:rPr>
        <w:t>الإنجابية</w:t>
      </w:r>
      <w:r w:rsidR="00F32B28">
        <w:rPr>
          <w:rtl/>
        </w:rPr>
        <w:t xml:space="preserve"> </w:t>
      </w:r>
      <w:r w:rsidR="00F32B28" w:rsidRPr="00F32B28">
        <w:rPr>
          <w:rtl/>
        </w:rPr>
        <w:t>للمرأة،</w:t>
      </w:r>
      <w:r w:rsidR="00F32B28">
        <w:rPr>
          <w:rtl/>
        </w:rPr>
        <w:t xml:space="preserve"> </w:t>
      </w:r>
      <w:r w:rsidR="00F32B28" w:rsidRPr="00F32B28">
        <w:rPr>
          <w:rtl/>
        </w:rPr>
        <w:t>فلعدم</w:t>
      </w:r>
      <w:r w:rsidR="00F32B28">
        <w:rPr>
          <w:rtl/>
        </w:rPr>
        <w:t xml:space="preserve"> </w:t>
      </w:r>
      <w:r w:rsidR="00F32B28" w:rsidRPr="00F32B28">
        <w:rPr>
          <w:rtl/>
        </w:rPr>
        <w:t>تمكن</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الحوامل</w:t>
      </w:r>
      <w:r w:rsidR="00F32B28">
        <w:rPr>
          <w:rtl/>
        </w:rPr>
        <w:t xml:space="preserve"> </w:t>
      </w:r>
      <w:r w:rsidR="00F32B28" w:rsidRPr="00F32B28">
        <w:rPr>
          <w:rtl/>
        </w:rPr>
        <w:t>من</w:t>
      </w:r>
      <w:r w:rsidR="00F32B28">
        <w:rPr>
          <w:rtl/>
        </w:rPr>
        <w:t xml:space="preserve"> </w:t>
      </w:r>
      <w:r w:rsidR="00F32B28" w:rsidRPr="00F32B28">
        <w:rPr>
          <w:rtl/>
        </w:rPr>
        <w:t>الوصول</w:t>
      </w:r>
      <w:r w:rsidR="00F32B28">
        <w:rPr>
          <w:rtl/>
        </w:rPr>
        <w:t xml:space="preserve"> </w:t>
      </w:r>
      <w:r w:rsidR="00F32B28" w:rsidRPr="00F32B28">
        <w:rPr>
          <w:rtl/>
        </w:rPr>
        <w:t>إلى</w:t>
      </w:r>
      <w:r w:rsidR="00F32B28">
        <w:rPr>
          <w:rtl/>
        </w:rPr>
        <w:t xml:space="preserve"> </w:t>
      </w:r>
      <w:r w:rsidR="00F32B28" w:rsidRPr="00F32B28">
        <w:rPr>
          <w:rtl/>
        </w:rPr>
        <w:t>المستشفيات،</w:t>
      </w:r>
      <w:r w:rsidR="00F32B28">
        <w:rPr>
          <w:rtl/>
        </w:rPr>
        <w:t xml:space="preserve"> </w:t>
      </w:r>
      <w:r w:rsidR="00F32B28" w:rsidRPr="00F32B28">
        <w:rPr>
          <w:rtl/>
        </w:rPr>
        <w:t>فقد</w:t>
      </w:r>
      <w:r w:rsidR="00F32B28">
        <w:rPr>
          <w:rtl/>
        </w:rPr>
        <w:t xml:space="preserve"> </w:t>
      </w:r>
      <w:r w:rsidR="00F32B28" w:rsidRPr="00F32B28">
        <w:rPr>
          <w:rtl/>
        </w:rPr>
        <w:t>توفت</w:t>
      </w:r>
      <w:r w:rsidR="00F32B28">
        <w:rPr>
          <w:rtl/>
        </w:rPr>
        <w:t xml:space="preserve"> </w:t>
      </w:r>
      <w:r w:rsidR="00F32B28" w:rsidRPr="00F32B28">
        <w:rPr>
          <w:rtl/>
        </w:rPr>
        <w:t>4</w:t>
      </w:r>
      <w:r w:rsidR="00F32B28">
        <w:rPr>
          <w:rtl/>
        </w:rPr>
        <w:t xml:space="preserve"> </w:t>
      </w:r>
      <w:r w:rsidR="00F32B28" w:rsidRPr="00F32B28">
        <w:rPr>
          <w:rtl/>
          <w:lang w:bidi="ar-SY"/>
        </w:rPr>
        <w:t>أمهات</w:t>
      </w:r>
      <w:r w:rsidR="00F32B28">
        <w:rPr>
          <w:rtl/>
          <w:lang w:bidi="ar-SY"/>
        </w:rPr>
        <w:t xml:space="preserve"> </w:t>
      </w:r>
      <w:r w:rsidR="00F32B28" w:rsidRPr="00F32B28">
        <w:rPr>
          <w:rtl/>
          <w:lang w:bidi="ar-SY"/>
        </w:rPr>
        <w:t>بسبب</w:t>
      </w:r>
      <w:r w:rsidR="00F32B28">
        <w:rPr>
          <w:rtl/>
          <w:lang w:bidi="ar-SY"/>
        </w:rPr>
        <w:t xml:space="preserve"> </w:t>
      </w:r>
      <w:r w:rsidR="00F32B28" w:rsidRPr="00F32B28">
        <w:rPr>
          <w:rtl/>
          <w:lang w:bidi="ar-SY"/>
        </w:rPr>
        <w:t>التأخير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تلقي</w:t>
      </w:r>
      <w:r w:rsidR="00F32B28">
        <w:rPr>
          <w:rtl/>
          <w:lang w:bidi="ar-SY"/>
        </w:rPr>
        <w:t xml:space="preserve"> </w:t>
      </w:r>
      <w:r w:rsidR="00F32B28" w:rsidRPr="00F32B28">
        <w:rPr>
          <w:rtl/>
          <w:lang w:bidi="ar-SY"/>
        </w:rPr>
        <w:t>الرعاية،</w:t>
      </w:r>
      <w:r w:rsidR="00F32B28">
        <w:rPr>
          <w:rtl/>
          <w:lang w:bidi="ar-SY"/>
        </w:rPr>
        <w:t xml:space="preserve"> </w:t>
      </w:r>
      <w:r w:rsidR="00F32B28" w:rsidRPr="00F32B28">
        <w:rPr>
          <w:rtl/>
          <w:lang w:bidi="ar-SY"/>
        </w:rPr>
        <w:t>و</w:t>
      </w:r>
      <w:r w:rsidR="00F32B28" w:rsidRPr="00F32B28">
        <w:rPr>
          <w:rtl/>
        </w:rPr>
        <w:t>وضعت</w:t>
      </w:r>
      <w:r w:rsidR="00F32B28">
        <w:rPr>
          <w:rtl/>
        </w:rPr>
        <w:t xml:space="preserve"> </w:t>
      </w:r>
      <w:r w:rsidR="00F32B28" w:rsidRPr="00F32B28">
        <w:rPr>
          <w:rtl/>
        </w:rPr>
        <w:t>نحو</w:t>
      </w:r>
      <w:r w:rsidR="00F32B28">
        <w:rPr>
          <w:rtl/>
        </w:rPr>
        <w:t xml:space="preserve"> </w:t>
      </w:r>
      <w:r w:rsidR="00F32B28" w:rsidRPr="00F32B28">
        <w:rPr>
          <w:rtl/>
        </w:rPr>
        <w:t>18</w:t>
      </w:r>
      <w:r w:rsidR="00F32B28">
        <w:rPr>
          <w:rtl/>
        </w:rPr>
        <w:t xml:space="preserve"> </w:t>
      </w:r>
      <w:r w:rsidR="00F32B28" w:rsidRPr="00F32B28">
        <w:rPr>
          <w:rtl/>
        </w:rPr>
        <w:t>امرأة</w:t>
      </w:r>
      <w:r w:rsidR="00F32B28">
        <w:rPr>
          <w:rtl/>
        </w:rPr>
        <w:t xml:space="preserve"> </w:t>
      </w:r>
      <w:r w:rsidR="00F32B28" w:rsidRPr="00F32B28">
        <w:rPr>
          <w:rtl/>
        </w:rPr>
        <w:t>حملها</w:t>
      </w:r>
      <w:r w:rsidR="00F32B28">
        <w:rPr>
          <w:rtl/>
        </w:rPr>
        <w:t xml:space="preserve"> </w:t>
      </w:r>
      <w:r w:rsidR="00F32B28" w:rsidRPr="00F32B28">
        <w:rPr>
          <w:rtl/>
        </w:rPr>
        <w:t>في</w:t>
      </w:r>
      <w:r w:rsidR="00F32B28">
        <w:rPr>
          <w:rtl/>
        </w:rPr>
        <w:t xml:space="preserve"> </w:t>
      </w:r>
      <w:r w:rsidR="00F32B28" w:rsidRPr="00F32B28">
        <w:rPr>
          <w:rtl/>
        </w:rPr>
        <w:t>المنزل.</w:t>
      </w:r>
      <w:r w:rsidR="00F32B28">
        <w:rPr>
          <w:rtl/>
        </w:rPr>
        <w:t xml:space="preserve"> </w:t>
      </w:r>
      <w:r w:rsidR="00F32B28" w:rsidRPr="00F32B28">
        <w:rPr>
          <w:rtl/>
        </w:rPr>
        <w:t>وازداد</w:t>
      </w:r>
      <w:r w:rsidR="00F32B28">
        <w:rPr>
          <w:rtl/>
        </w:rPr>
        <w:t xml:space="preserve"> </w:t>
      </w:r>
      <w:r w:rsidR="00F32B28" w:rsidRPr="00F32B28">
        <w:rPr>
          <w:rtl/>
        </w:rPr>
        <w:t>عدد</w:t>
      </w:r>
      <w:r w:rsidR="00F32B28">
        <w:rPr>
          <w:rtl/>
        </w:rPr>
        <w:t xml:space="preserve"> </w:t>
      </w:r>
      <w:r w:rsidR="00F32B28" w:rsidRPr="00F32B28">
        <w:rPr>
          <w:rtl/>
        </w:rPr>
        <w:t>حالات</w:t>
      </w:r>
      <w:r w:rsidR="00F32B28">
        <w:rPr>
          <w:rtl/>
        </w:rPr>
        <w:t xml:space="preserve"> </w:t>
      </w:r>
      <w:r w:rsidR="00F32B28" w:rsidRPr="00F32B28">
        <w:rPr>
          <w:rtl/>
        </w:rPr>
        <w:t>الولادة</w:t>
      </w:r>
      <w:r w:rsidR="00F32B28">
        <w:rPr>
          <w:rtl/>
        </w:rPr>
        <w:t xml:space="preserve"> </w:t>
      </w:r>
      <w:r w:rsidR="00F32B28" w:rsidRPr="00F32B28">
        <w:rPr>
          <w:rtl/>
        </w:rPr>
        <w:t>المبكرة،</w:t>
      </w:r>
      <w:r w:rsidR="00F32B28">
        <w:rPr>
          <w:rtl/>
        </w:rPr>
        <w:t xml:space="preserve"> </w:t>
      </w:r>
      <w:r w:rsidR="00F32B28" w:rsidRPr="00F32B28">
        <w:rPr>
          <w:rtl/>
        </w:rPr>
        <w:t>نتيجة</w:t>
      </w:r>
      <w:r w:rsidR="00F32B28">
        <w:rPr>
          <w:rtl/>
        </w:rPr>
        <w:t xml:space="preserve"> </w:t>
      </w:r>
      <w:r w:rsidR="00F32B28" w:rsidRPr="00F32B28">
        <w:rPr>
          <w:rtl/>
        </w:rPr>
        <w:t>إصابات</w:t>
      </w:r>
      <w:r w:rsidR="00F32B28">
        <w:rPr>
          <w:rtl/>
        </w:rPr>
        <w:t xml:space="preserve"> </w:t>
      </w:r>
      <w:r w:rsidR="00F32B28" w:rsidRPr="00F32B28">
        <w:rPr>
          <w:rtl/>
        </w:rPr>
        <w:t>الأمهات</w:t>
      </w:r>
      <w:r w:rsidR="00F32B28">
        <w:rPr>
          <w:rtl/>
        </w:rPr>
        <w:t xml:space="preserve"> </w:t>
      </w:r>
      <w:r w:rsidR="00F32B28" w:rsidRPr="00F32B28">
        <w:rPr>
          <w:rtl/>
        </w:rPr>
        <w:t>بالخوف،</w:t>
      </w:r>
      <w:r w:rsidR="00F32B28">
        <w:rPr>
          <w:rtl/>
        </w:rPr>
        <w:t xml:space="preserve"> </w:t>
      </w:r>
      <w:r w:rsidR="00F32B28" w:rsidRPr="00F32B28">
        <w:rPr>
          <w:rtl/>
        </w:rPr>
        <w:t>والتوتر</w:t>
      </w:r>
      <w:r w:rsidR="00F32B28">
        <w:rPr>
          <w:rtl/>
        </w:rPr>
        <w:t xml:space="preserve"> </w:t>
      </w:r>
      <w:r w:rsidR="00F32B28" w:rsidRPr="00F32B28">
        <w:rPr>
          <w:rtl/>
        </w:rPr>
        <w:t>في</w:t>
      </w:r>
      <w:r w:rsidR="00F32B28">
        <w:rPr>
          <w:rtl/>
        </w:rPr>
        <w:t xml:space="preserve"> </w:t>
      </w:r>
      <w:r w:rsidR="00F32B28" w:rsidRPr="00F32B28">
        <w:rPr>
          <w:rtl/>
        </w:rPr>
        <w:t>وقت</w:t>
      </w:r>
      <w:r w:rsidR="00F32B28">
        <w:rPr>
          <w:rtl/>
        </w:rPr>
        <w:t xml:space="preserve"> </w:t>
      </w:r>
      <w:r w:rsidR="00F32B28" w:rsidRPr="00F32B28">
        <w:rPr>
          <w:rtl/>
        </w:rPr>
        <w:t>تضاعف</w:t>
      </w:r>
      <w:r w:rsidR="00F32B28">
        <w:rPr>
          <w:rtl/>
        </w:rPr>
        <w:t xml:space="preserve"> </w:t>
      </w:r>
      <w:r w:rsidR="00F32B28" w:rsidRPr="00F32B28">
        <w:rPr>
          <w:rtl/>
        </w:rPr>
        <w:t>فيه</w:t>
      </w:r>
      <w:r w:rsidR="00F32B28">
        <w:rPr>
          <w:rtl/>
        </w:rPr>
        <w:t xml:space="preserve"> </w:t>
      </w:r>
      <w:r w:rsidR="00F32B28" w:rsidRPr="00F32B28">
        <w:rPr>
          <w:rtl/>
        </w:rPr>
        <w:t>معدل</w:t>
      </w:r>
      <w:r w:rsidR="00F32B28">
        <w:rPr>
          <w:rtl/>
        </w:rPr>
        <w:t xml:space="preserve"> </w:t>
      </w:r>
      <w:r w:rsidR="00F32B28" w:rsidRPr="00F32B28">
        <w:rPr>
          <w:rtl/>
        </w:rPr>
        <w:t>وفيات</w:t>
      </w:r>
      <w:r w:rsidR="00F32B28">
        <w:rPr>
          <w:rtl/>
        </w:rPr>
        <w:t xml:space="preserve"> </w:t>
      </w:r>
      <w:r w:rsidR="00F32B28" w:rsidRPr="00F32B28">
        <w:rPr>
          <w:rtl/>
        </w:rPr>
        <w:t>الأطفال</w:t>
      </w:r>
      <w:r w:rsidR="00F32B28">
        <w:rPr>
          <w:rtl/>
        </w:rPr>
        <w:t xml:space="preserve"> </w:t>
      </w:r>
      <w:r w:rsidR="00F32B28" w:rsidRPr="00F32B28">
        <w:rPr>
          <w:rtl/>
        </w:rPr>
        <w:t>حديثي</w:t>
      </w:r>
      <w:r w:rsidR="00F32B28">
        <w:rPr>
          <w:rtl/>
        </w:rPr>
        <w:t xml:space="preserve"> </w:t>
      </w:r>
      <w:r w:rsidR="00F32B28" w:rsidRPr="00F32B28">
        <w:rPr>
          <w:rtl/>
        </w:rPr>
        <w:t>الولادة</w:t>
      </w:r>
      <w:r w:rsidR="00F32B28">
        <w:rPr>
          <w:rtl/>
        </w:rPr>
        <w:t xml:space="preserve"> </w:t>
      </w:r>
      <w:r w:rsidR="00F32B28" w:rsidRPr="00F32B28">
        <w:rPr>
          <w:rtl/>
        </w:rPr>
        <w:t>أثناء</w:t>
      </w:r>
      <w:r w:rsidR="00F32B28">
        <w:rPr>
          <w:rtl/>
        </w:rPr>
        <w:t xml:space="preserve"> </w:t>
      </w:r>
      <w:r w:rsidR="00F32B28" w:rsidRPr="00F32B28">
        <w:rPr>
          <w:rtl/>
        </w:rPr>
        <w:t>العدوان</w:t>
      </w:r>
      <w:r w:rsidR="00F32B28">
        <w:rPr>
          <w:rtl/>
        </w:rPr>
        <w:t xml:space="preserve"> </w:t>
      </w:r>
      <w:r w:rsidR="00F32B28" w:rsidRPr="00F32B28">
        <w:rPr>
          <w:rtl/>
        </w:rPr>
        <w:t>الإسرائيلي</w:t>
      </w:r>
      <w:r w:rsidR="00F32B28">
        <w:rPr>
          <w:rtl/>
        </w:rPr>
        <w:t xml:space="preserve"> </w:t>
      </w:r>
      <w:r w:rsidR="00F32B28" w:rsidRPr="00F32B28">
        <w:rPr>
          <w:rtl/>
        </w:rPr>
        <w:t>على</w:t>
      </w:r>
      <w:r w:rsidR="00F32B28">
        <w:rPr>
          <w:rtl/>
        </w:rPr>
        <w:t xml:space="preserve"> </w:t>
      </w:r>
      <w:r w:rsidR="00F32B28" w:rsidRPr="00F32B28">
        <w:rPr>
          <w:rtl/>
        </w:rPr>
        <w:t>غزة</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2014،</w:t>
      </w:r>
      <w:r w:rsidR="00F32B28">
        <w:rPr>
          <w:rtl/>
        </w:rPr>
        <w:t xml:space="preserve"> </w:t>
      </w:r>
      <w:r w:rsidR="00F32B28" w:rsidRPr="00F32B28">
        <w:rPr>
          <w:rtl/>
        </w:rPr>
        <w:t>مسجلاً</w:t>
      </w:r>
      <w:r w:rsidR="00F32B28">
        <w:rPr>
          <w:rtl/>
        </w:rPr>
        <w:t xml:space="preserve"> </w:t>
      </w:r>
      <w:r w:rsidR="00F32B28" w:rsidRPr="00F32B28">
        <w:rPr>
          <w:rtl/>
        </w:rPr>
        <w:t>نحو</w:t>
      </w:r>
      <w:r w:rsidR="00F32B28">
        <w:rPr>
          <w:rtl/>
        </w:rPr>
        <w:t xml:space="preserve"> </w:t>
      </w:r>
      <w:r w:rsidR="00F32B28" w:rsidRPr="00F32B28">
        <w:rPr>
          <w:rtl/>
        </w:rPr>
        <w:t>14</w:t>
      </w:r>
      <w:r w:rsidR="00851F93">
        <w:rPr>
          <w:rFonts w:hint="cs"/>
          <w:rtl/>
        </w:rPr>
        <w:t xml:space="preserve"> </w:t>
      </w:r>
      <w:r w:rsidR="00600C43">
        <w:rPr>
          <w:rtl/>
        </w:rPr>
        <w:t>في المائة</w:t>
      </w:r>
      <w:r w:rsidR="00F32B28" w:rsidRPr="00F32B28">
        <w:rPr>
          <w:rtl/>
        </w:rPr>
        <w:t>،</w:t>
      </w:r>
      <w:r w:rsidR="00F32B28">
        <w:rPr>
          <w:rtl/>
        </w:rPr>
        <w:t xml:space="preserve"> </w:t>
      </w:r>
      <w:r w:rsidR="00F32B28" w:rsidRPr="00F32B28">
        <w:rPr>
          <w:rtl/>
        </w:rPr>
        <w:t>مقارنة</w:t>
      </w:r>
      <w:r w:rsidR="00F32B28">
        <w:rPr>
          <w:rtl/>
        </w:rPr>
        <w:t xml:space="preserve"> </w:t>
      </w:r>
      <w:r w:rsidR="00F32B28" w:rsidRPr="00F32B28">
        <w:rPr>
          <w:rtl/>
        </w:rPr>
        <w:t>مع</w:t>
      </w:r>
      <w:r w:rsidR="00F32B28">
        <w:rPr>
          <w:rtl/>
        </w:rPr>
        <w:t xml:space="preserve"> </w:t>
      </w:r>
      <w:r w:rsidR="00F32B28" w:rsidRPr="00F32B28">
        <w:rPr>
          <w:rtl/>
        </w:rPr>
        <w:t>الأشهر</w:t>
      </w:r>
      <w:r w:rsidR="00F32B28">
        <w:rPr>
          <w:rtl/>
        </w:rPr>
        <w:t xml:space="preserve"> </w:t>
      </w:r>
      <w:r w:rsidR="00F32B28" w:rsidRPr="00F32B28">
        <w:rPr>
          <w:rtl/>
        </w:rPr>
        <w:t>التي</w:t>
      </w:r>
      <w:r w:rsidR="00F32B28">
        <w:rPr>
          <w:rtl/>
        </w:rPr>
        <w:t xml:space="preserve"> </w:t>
      </w:r>
      <w:r w:rsidR="00F32B28" w:rsidRPr="00F32B28">
        <w:rPr>
          <w:rtl/>
        </w:rPr>
        <w:t>سبقت</w:t>
      </w:r>
      <w:r w:rsidR="00F32B28">
        <w:rPr>
          <w:rtl/>
        </w:rPr>
        <w:t xml:space="preserve"> </w:t>
      </w:r>
      <w:r w:rsidR="00F32B28" w:rsidRPr="00F32B28">
        <w:rPr>
          <w:rtl/>
        </w:rPr>
        <w:t>العدوان</w:t>
      </w:r>
      <w:r w:rsidR="009F4D72">
        <w:rPr>
          <w:rFonts w:hint="cs"/>
          <w:rtl/>
        </w:rPr>
        <w:br/>
      </w:r>
      <w:r w:rsidR="00F32B28" w:rsidRPr="00F32B28">
        <w:rPr>
          <w:rtl/>
        </w:rPr>
        <w:t>(7</w:t>
      </w:r>
      <w:r w:rsidR="00851F93">
        <w:rPr>
          <w:rFonts w:hint="cs"/>
          <w:rtl/>
        </w:rPr>
        <w:t xml:space="preserve"> </w:t>
      </w:r>
      <w:r w:rsidR="00600C43">
        <w:rPr>
          <w:rtl/>
        </w:rPr>
        <w:t>في المائة</w:t>
      </w:r>
      <w:r w:rsidR="00F32B28" w:rsidRPr="00F32B28">
        <w:rPr>
          <w:rtl/>
        </w:rPr>
        <w:t>)،</w:t>
      </w:r>
      <w:r w:rsidR="00F32B28">
        <w:rPr>
          <w:rtl/>
        </w:rPr>
        <w:t xml:space="preserve"> </w:t>
      </w:r>
      <w:r w:rsidR="00F32B28" w:rsidRPr="00F32B28">
        <w:rPr>
          <w:rtl/>
        </w:rPr>
        <w:t>وذلك</w:t>
      </w:r>
      <w:r w:rsidR="00F32B28">
        <w:rPr>
          <w:rtl/>
        </w:rPr>
        <w:t xml:space="preserve"> </w:t>
      </w:r>
      <w:r w:rsidR="00F32B28" w:rsidRPr="00F32B28">
        <w:rPr>
          <w:rtl/>
        </w:rPr>
        <w:t>بسبب</w:t>
      </w:r>
      <w:r w:rsidR="00F32B28">
        <w:rPr>
          <w:rtl/>
        </w:rPr>
        <w:t xml:space="preserve"> </w:t>
      </w:r>
      <w:r w:rsidR="00F32B28" w:rsidRPr="00F32B28">
        <w:rPr>
          <w:rtl/>
        </w:rPr>
        <w:t>استنشاق</w:t>
      </w:r>
      <w:r w:rsidR="00F32B28">
        <w:rPr>
          <w:rtl/>
        </w:rPr>
        <w:t xml:space="preserve"> </w:t>
      </w:r>
      <w:r w:rsidR="00F32B28" w:rsidRPr="00F32B28">
        <w:rPr>
          <w:rtl/>
        </w:rPr>
        <w:t>الغاز</w:t>
      </w:r>
      <w:r w:rsidR="00F32B28">
        <w:rPr>
          <w:rtl/>
        </w:rPr>
        <w:t xml:space="preserve"> </w:t>
      </w:r>
      <w:r w:rsidR="00F32B28" w:rsidRPr="00F32B28">
        <w:rPr>
          <w:rtl/>
        </w:rPr>
        <w:t>ونقص</w:t>
      </w:r>
      <w:r w:rsidR="00F32B28">
        <w:rPr>
          <w:rtl/>
        </w:rPr>
        <w:t xml:space="preserve"> </w:t>
      </w:r>
      <w:r w:rsidR="00F32B28" w:rsidRPr="00F32B28">
        <w:rPr>
          <w:rtl/>
        </w:rPr>
        <w:t>الأدوية</w:t>
      </w:r>
      <w:r w:rsidR="00F32B28">
        <w:rPr>
          <w:rtl/>
        </w:rPr>
        <w:t xml:space="preserve"> </w:t>
      </w:r>
      <w:r w:rsidR="00F32B28" w:rsidRPr="00F32B28">
        <w:rPr>
          <w:rtl/>
        </w:rPr>
        <w:t>والمعدات</w:t>
      </w:r>
      <w:r w:rsidR="00F32B28">
        <w:rPr>
          <w:rtl/>
        </w:rPr>
        <w:t xml:space="preserve"> </w:t>
      </w:r>
      <w:r w:rsidR="00F32B28" w:rsidRPr="00F32B28">
        <w:rPr>
          <w:rtl/>
        </w:rPr>
        <w:t>الطبية،</w:t>
      </w:r>
      <w:r w:rsidR="00F32B28">
        <w:rPr>
          <w:rtl/>
        </w:rPr>
        <w:t xml:space="preserve"> </w:t>
      </w:r>
      <w:r w:rsidR="00F32B28" w:rsidRPr="00F32B28">
        <w:rPr>
          <w:rtl/>
        </w:rPr>
        <w:t>والإصابات</w:t>
      </w:r>
      <w:r w:rsidR="00F32B28">
        <w:rPr>
          <w:rtl/>
        </w:rPr>
        <w:t xml:space="preserve"> </w:t>
      </w:r>
      <w:r w:rsidR="00F32B28" w:rsidRPr="00F32B28">
        <w:rPr>
          <w:rtl/>
        </w:rPr>
        <w:t>المباشرة</w:t>
      </w:r>
      <w:r w:rsidR="00F32B28">
        <w:rPr>
          <w:rtl/>
        </w:rPr>
        <w:t xml:space="preserve"> </w:t>
      </w:r>
      <w:r w:rsidR="00F32B28" w:rsidRPr="00F32B28">
        <w:rPr>
          <w:rtl/>
        </w:rPr>
        <w:t>للنساء</w:t>
      </w:r>
      <w:r w:rsidR="00F32B28">
        <w:rPr>
          <w:rtl/>
        </w:rPr>
        <w:t xml:space="preserve"> </w:t>
      </w:r>
      <w:r w:rsidR="00F32B28" w:rsidRPr="00F32B28">
        <w:rPr>
          <w:rtl/>
        </w:rPr>
        <w:t>في</w:t>
      </w:r>
      <w:r w:rsidR="00F32B28">
        <w:rPr>
          <w:rtl/>
        </w:rPr>
        <w:t xml:space="preserve"> </w:t>
      </w:r>
      <w:r w:rsidR="00F32B28" w:rsidRPr="00F32B28">
        <w:rPr>
          <w:rtl/>
        </w:rPr>
        <w:t>أماكن</w:t>
      </w:r>
      <w:r w:rsidR="00F32B28">
        <w:rPr>
          <w:rtl/>
        </w:rPr>
        <w:t xml:space="preserve"> </w:t>
      </w:r>
      <w:r w:rsidR="00F32B28" w:rsidRPr="00F32B28">
        <w:rPr>
          <w:rtl/>
        </w:rPr>
        <w:t>متفرقة</w:t>
      </w:r>
      <w:r w:rsidR="00F32B28">
        <w:rPr>
          <w:rtl/>
        </w:rPr>
        <w:t xml:space="preserve"> </w:t>
      </w:r>
      <w:r w:rsidR="00F32B28" w:rsidRPr="00F32B28">
        <w:rPr>
          <w:rtl/>
        </w:rPr>
        <w:t>من</w:t>
      </w:r>
      <w:r w:rsidR="00F32B28">
        <w:rPr>
          <w:rtl/>
        </w:rPr>
        <w:t xml:space="preserve"> </w:t>
      </w:r>
      <w:r w:rsidR="00F32B28" w:rsidRPr="00F32B28">
        <w:rPr>
          <w:rtl/>
        </w:rPr>
        <w:t>الجسم.</w:t>
      </w:r>
    </w:p>
    <w:p w:rsidR="00F32B28" w:rsidRPr="00F32B28" w:rsidRDefault="00AF1BC1" w:rsidP="009F4D72">
      <w:pPr>
        <w:pStyle w:val="SingleTxt"/>
        <w:rPr>
          <w:rtl/>
          <w:lang w:bidi="ar-SY"/>
        </w:rPr>
      </w:pPr>
      <w:r>
        <w:rPr>
          <w:rFonts w:hint="cs"/>
          <w:rtl/>
          <w:lang w:bidi="ar-SY"/>
        </w:rPr>
        <w:t xml:space="preserve">260 - </w:t>
      </w:r>
      <w:r w:rsidR="00F32B28" w:rsidRPr="00F32B28">
        <w:rPr>
          <w:rtl/>
          <w:lang w:bidi="ar-SY"/>
        </w:rPr>
        <w:t>وتم</w:t>
      </w:r>
      <w:r w:rsidR="00F32B28">
        <w:rPr>
          <w:rtl/>
          <w:lang w:bidi="ar-SY"/>
        </w:rPr>
        <w:t xml:space="preserve"> </w:t>
      </w:r>
      <w:r w:rsidR="00F32B28" w:rsidRPr="00F32B28">
        <w:rPr>
          <w:rtl/>
          <w:lang w:bidi="ar-SY"/>
        </w:rPr>
        <w:t>تعليق</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ستة</w:t>
      </w:r>
      <w:r w:rsidR="00F32B28">
        <w:rPr>
          <w:rtl/>
          <w:lang w:bidi="ar-SY"/>
        </w:rPr>
        <w:t xml:space="preserve"> </w:t>
      </w:r>
      <w:r w:rsidR="00F32B28" w:rsidRPr="00F32B28">
        <w:rPr>
          <w:rtl/>
          <w:lang w:bidi="ar-SY"/>
        </w:rPr>
        <w:t>أقسام</w:t>
      </w:r>
      <w:r w:rsidR="00F32B28">
        <w:rPr>
          <w:rtl/>
          <w:lang w:bidi="ar-SY"/>
        </w:rPr>
        <w:t xml:space="preserve"> </w:t>
      </w:r>
      <w:r w:rsidR="00F32B28" w:rsidRPr="00F32B28">
        <w:rPr>
          <w:rtl/>
          <w:lang w:bidi="ar-SY"/>
        </w:rPr>
        <w:t>ولادة</w:t>
      </w:r>
      <w:r w:rsidR="00F32B28">
        <w:rPr>
          <w:rtl/>
          <w:lang w:bidi="ar-SY"/>
        </w:rPr>
        <w:t xml:space="preserve"> </w:t>
      </w:r>
      <w:r w:rsidR="00F32B28" w:rsidRPr="00F32B28">
        <w:rPr>
          <w:rtl/>
          <w:lang w:bidi="ar-SY"/>
        </w:rPr>
        <w:t>بسبب</w:t>
      </w:r>
      <w:r w:rsidR="00F32B28">
        <w:rPr>
          <w:rtl/>
          <w:lang w:bidi="ar-SY"/>
        </w:rPr>
        <w:t xml:space="preserve"> </w:t>
      </w:r>
      <w:r w:rsidR="00F32B28" w:rsidRPr="00F32B28">
        <w:rPr>
          <w:rtl/>
          <w:lang w:bidi="ar-SY"/>
        </w:rPr>
        <w:t>الدمار</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لحق</w:t>
      </w:r>
      <w:r w:rsidR="00F32B28">
        <w:rPr>
          <w:rtl/>
          <w:lang w:bidi="ar-SY"/>
        </w:rPr>
        <w:t xml:space="preserve"> </w:t>
      </w:r>
      <w:r w:rsidR="00F32B28" w:rsidRPr="00F32B28">
        <w:rPr>
          <w:rtl/>
          <w:lang w:bidi="ar-SY"/>
        </w:rPr>
        <w:t>بالمستشفيات،</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تضرر</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117</w:t>
      </w:r>
      <w:r w:rsidR="00F32B28">
        <w:rPr>
          <w:rtl/>
          <w:lang w:bidi="ar-SY"/>
        </w:rPr>
        <w:t xml:space="preserve"> </w:t>
      </w:r>
      <w:r w:rsidR="00F32B28" w:rsidRPr="00F32B28">
        <w:rPr>
          <w:rtl/>
          <w:lang w:bidi="ar-SY"/>
        </w:rPr>
        <w:t>مستشفى</w:t>
      </w:r>
      <w:r w:rsidR="00F32B28">
        <w:rPr>
          <w:rtl/>
          <w:lang w:bidi="ar-SY"/>
        </w:rPr>
        <w:t xml:space="preserve"> </w:t>
      </w:r>
      <w:r w:rsidR="00F32B28" w:rsidRPr="00F32B28">
        <w:rPr>
          <w:rtl/>
          <w:lang w:bidi="ar-SY"/>
        </w:rPr>
        <w:t>وعيادة</w:t>
      </w:r>
      <w:r w:rsidR="00F32B28">
        <w:rPr>
          <w:rtl/>
          <w:lang w:bidi="ar-SY"/>
        </w:rPr>
        <w:t xml:space="preserve"> </w:t>
      </w:r>
      <w:r w:rsidR="00F32B28" w:rsidRPr="00F32B28">
        <w:rPr>
          <w:rtl/>
          <w:lang w:bidi="ar-SY"/>
        </w:rPr>
        <w:t>ومركزاً</w:t>
      </w:r>
      <w:r w:rsidR="00F32B28">
        <w:rPr>
          <w:rtl/>
          <w:lang w:bidi="ar-SY"/>
        </w:rPr>
        <w:t xml:space="preserve"> </w:t>
      </w:r>
      <w:r w:rsidR="00F32B28" w:rsidRPr="00F32B28">
        <w:rPr>
          <w:rtl/>
          <w:lang w:bidi="ar-SY"/>
        </w:rPr>
        <w:t>للرعاية</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الأولية</w:t>
      </w:r>
      <w:r w:rsidR="00F32B28">
        <w:rPr>
          <w:rtl/>
          <w:lang w:bidi="ar-SY"/>
        </w:rPr>
        <w:t xml:space="preserve"> </w:t>
      </w:r>
      <w:r w:rsidR="00F32B28" w:rsidRPr="00F32B28">
        <w:rPr>
          <w:rtl/>
          <w:lang w:bidi="ar-SY"/>
        </w:rPr>
        <w:t>وصيدلية.</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تراجعت</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المقدمة</w:t>
      </w:r>
      <w:r w:rsidR="00F32B28">
        <w:rPr>
          <w:rtl/>
          <w:lang w:bidi="ar-SY"/>
        </w:rPr>
        <w:t xml:space="preserve"> </w:t>
      </w:r>
      <w:r w:rsidR="00F32B28" w:rsidRPr="00F32B28">
        <w:rPr>
          <w:rtl/>
          <w:lang w:bidi="ar-SY"/>
        </w:rPr>
        <w:t>للسيدات</w:t>
      </w:r>
      <w:r w:rsidR="00F32B28">
        <w:rPr>
          <w:rtl/>
          <w:lang w:bidi="ar-SY"/>
        </w:rPr>
        <w:t xml:space="preserve"> </w:t>
      </w:r>
      <w:r w:rsidR="00F32B28" w:rsidRPr="00F32B28">
        <w:rPr>
          <w:rtl/>
          <w:lang w:bidi="ar-SY"/>
        </w:rPr>
        <w:t>الحوامل</w:t>
      </w:r>
      <w:r w:rsidR="00F32B28">
        <w:rPr>
          <w:rtl/>
          <w:lang w:bidi="ar-SY"/>
        </w:rPr>
        <w:t xml:space="preserve"> </w:t>
      </w:r>
      <w:r w:rsidR="00F32B28" w:rsidRPr="00F32B28">
        <w:rPr>
          <w:rtl/>
          <w:lang w:bidi="ar-SY"/>
        </w:rPr>
        <w:t>بسبب</w:t>
      </w:r>
      <w:r w:rsidR="00F32B28">
        <w:rPr>
          <w:rtl/>
          <w:lang w:bidi="ar-SY"/>
        </w:rPr>
        <w:t xml:space="preserve"> </w:t>
      </w:r>
      <w:r w:rsidR="00F32B28" w:rsidRPr="00F32B28">
        <w:rPr>
          <w:rtl/>
          <w:lang w:bidi="ar-SY"/>
        </w:rPr>
        <w:t>استخدام</w:t>
      </w:r>
      <w:r w:rsidR="00F32B28">
        <w:rPr>
          <w:rtl/>
          <w:lang w:bidi="ar-SY"/>
        </w:rPr>
        <w:t xml:space="preserve"> </w:t>
      </w:r>
      <w:r w:rsidR="00F32B28" w:rsidRPr="00F32B28">
        <w:rPr>
          <w:rtl/>
          <w:lang w:bidi="ar-SY"/>
        </w:rPr>
        <w:t>أقسام</w:t>
      </w:r>
      <w:r w:rsidR="00F32B28">
        <w:rPr>
          <w:rtl/>
          <w:lang w:bidi="ar-SY"/>
        </w:rPr>
        <w:t xml:space="preserve"> </w:t>
      </w:r>
      <w:r w:rsidR="00F32B28" w:rsidRPr="00F32B28">
        <w:rPr>
          <w:rtl/>
          <w:lang w:bidi="ar-SY"/>
        </w:rPr>
        <w:t>الولادة</w:t>
      </w:r>
      <w:r w:rsidR="00F32B28">
        <w:rPr>
          <w:rtl/>
          <w:lang w:bidi="ar-SY"/>
        </w:rPr>
        <w:t xml:space="preserve"> </w:t>
      </w:r>
      <w:r w:rsidR="00F32B28" w:rsidRPr="00F32B28">
        <w:rPr>
          <w:rtl/>
          <w:lang w:bidi="ar-SY"/>
        </w:rPr>
        <w:t>لعلاج</w:t>
      </w:r>
      <w:r w:rsidR="00F32B28">
        <w:rPr>
          <w:rtl/>
          <w:lang w:bidi="ar-SY"/>
        </w:rPr>
        <w:t xml:space="preserve"> </w:t>
      </w:r>
      <w:r w:rsidR="00F32B28" w:rsidRPr="00F32B28">
        <w:rPr>
          <w:rtl/>
          <w:lang w:bidi="ar-SY"/>
        </w:rPr>
        <w:t>الحالات</w:t>
      </w:r>
      <w:r w:rsidR="00F32B28">
        <w:rPr>
          <w:rtl/>
          <w:lang w:bidi="ar-SY"/>
        </w:rPr>
        <w:t xml:space="preserve"> </w:t>
      </w:r>
      <w:r w:rsidR="00F32B28" w:rsidRPr="00F32B28">
        <w:rPr>
          <w:rtl/>
          <w:lang w:bidi="ar-SY"/>
        </w:rPr>
        <w:t>الجراحية،</w:t>
      </w:r>
      <w:r w:rsidR="00F32B28">
        <w:rPr>
          <w:rtl/>
          <w:lang w:bidi="ar-SY"/>
        </w:rPr>
        <w:t xml:space="preserve"> </w:t>
      </w:r>
      <w:r w:rsidR="00F32B28" w:rsidRPr="00F32B28">
        <w:rPr>
          <w:rtl/>
          <w:lang w:bidi="ar-SY"/>
        </w:rPr>
        <w:t>وخروجهن</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مبكر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المستشفيات</w:t>
      </w:r>
      <w:r w:rsidR="00F32B28">
        <w:rPr>
          <w:rtl/>
          <w:lang w:bidi="ar-SY"/>
        </w:rPr>
        <w:t xml:space="preserve"> </w:t>
      </w:r>
      <w:r w:rsidR="00F32B28" w:rsidRPr="00F32B28">
        <w:rPr>
          <w:rtl/>
          <w:lang w:bidi="ar-SY"/>
        </w:rPr>
        <w:t>بعد</w:t>
      </w:r>
      <w:r w:rsidR="00F32B28">
        <w:rPr>
          <w:rtl/>
          <w:lang w:bidi="ar-SY"/>
        </w:rPr>
        <w:t xml:space="preserve"> </w:t>
      </w:r>
      <w:r w:rsidR="00F32B28" w:rsidRPr="00F32B28">
        <w:rPr>
          <w:rtl/>
          <w:lang w:bidi="ar-SY"/>
        </w:rPr>
        <w:t>إجراء</w:t>
      </w:r>
      <w:r w:rsidR="00F32B28">
        <w:rPr>
          <w:rtl/>
          <w:lang w:bidi="ar-SY"/>
        </w:rPr>
        <w:t xml:space="preserve"> </w:t>
      </w:r>
      <w:r w:rsidR="00F32B28" w:rsidRPr="00F32B28">
        <w:rPr>
          <w:rtl/>
          <w:lang w:bidi="ar-SY"/>
        </w:rPr>
        <w:t>العمليات</w:t>
      </w:r>
      <w:r w:rsidR="00F32B28">
        <w:rPr>
          <w:rtl/>
          <w:lang w:bidi="ar-SY"/>
        </w:rPr>
        <w:t xml:space="preserve"> </w:t>
      </w:r>
      <w:r w:rsidR="00F32B28" w:rsidRPr="00F32B28">
        <w:rPr>
          <w:rtl/>
          <w:lang w:bidi="ar-SY"/>
        </w:rPr>
        <w:t>القيصرية</w:t>
      </w:r>
      <w:r w:rsidR="00F32B28" w:rsidRPr="00F32B28">
        <w:t>.</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تراجعت</w:t>
      </w:r>
      <w:r w:rsidR="00F32B28">
        <w:rPr>
          <w:rtl/>
          <w:lang w:bidi="ar-SY"/>
        </w:rPr>
        <w:t xml:space="preserve"> </w:t>
      </w:r>
      <w:r w:rsidR="00F32B28" w:rsidRPr="00F32B28">
        <w:rPr>
          <w:rtl/>
          <w:lang w:bidi="ar-SY"/>
        </w:rPr>
        <w:t>خدمات</w:t>
      </w:r>
      <w:r w:rsidR="00F32B28">
        <w:rPr>
          <w:rtl/>
          <w:lang w:bidi="ar-SY"/>
        </w:rPr>
        <w:t xml:space="preserve"> </w:t>
      </w:r>
      <w:r w:rsidR="00F32B28" w:rsidRPr="00F32B28">
        <w:rPr>
          <w:rtl/>
          <w:lang w:bidi="ar-SY"/>
        </w:rPr>
        <w:t>رعاية</w:t>
      </w:r>
      <w:r w:rsidR="00F32B28">
        <w:rPr>
          <w:rtl/>
          <w:lang w:bidi="ar-SY"/>
        </w:rPr>
        <w:t xml:space="preserve"> </w:t>
      </w:r>
      <w:r w:rsidR="00F32B28" w:rsidRPr="00F32B28">
        <w:rPr>
          <w:rtl/>
          <w:lang w:bidi="ar-SY"/>
        </w:rPr>
        <w:t>الحوامل</w:t>
      </w:r>
      <w:r w:rsidR="00F32B28">
        <w:rPr>
          <w:rtl/>
          <w:lang w:bidi="ar-SY"/>
        </w:rPr>
        <w:t xml:space="preserve"> </w:t>
      </w:r>
      <w:r w:rsidR="00F32B28" w:rsidRPr="00F32B28">
        <w:rPr>
          <w:rtl/>
          <w:lang w:bidi="ar-SY"/>
        </w:rPr>
        <w:t>بنسبة</w:t>
      </w:r>
      <w:r w:rsidR="00F32B28">
        <w:rPr>
          <w:rtl/>
          <w:lang w:bidi="ar-SY"/>
        </w:rPr>
        <w:t xml:space="preserve"> </w:t>
      </w:r>
      <w:r w:rsidR="00F32B28" w:rsidRPr="00F32B28">
        <w:rPr>
          <w:rtl/>
          <w:lang w:bidi="ar-SY"/>
        </w:rPr>
        <w:t>تزيد</w:t>
      </w:r>
      <w:r w:rsidR="00F32B28">
        <w:rPr>
          <w:rtl/>
          <w:lang w:bidi="ar-SY"/>
        </w:rPr>
        <w:t xml:space="preserve"> </w:t>
      </w:r>
      <w:r w:rsidR="00F32B28" w:rsidRPr="00F32B28">
        <w:rPr>
          <w:rtl/>
          <w:lang w:bidi="ar-SY"/>
        </w:rPr>
        <w:t>عن</w:t>
      </w:r>
      <w:r w:rsidR="009F4D72">
        <w:rPr>
          <w:rFonts w:hint="cs"/>
          <w:rtl/>
          <w:lang w:bidi="ar-SY"/>
        </w:rPr>
        <w:br/>
      </w:r>
      <w:r w:rsidR="00F32B28" w:rsidRPr="00F32B28">
        <w:rPr>
          <w:rtl/>
          <w:lang w:bidi="ar-SY"/>
        </w:rPr>
        <w:t>70</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العدوان،</w:t>
      </w:r>
      <w:r w:rsidR="00F32B28">
        <w:rPr>
          <w:rtl/>
          <w:lang w:bidi="ar-SY"/>
        </w:rPr>
        <w:t xml:space="preserve"> </w:t>
      </w:r>
      <w:r w:rsidR="00F32B28" w:rsidRPr="00F32B28">
        <w:rPr>
          <w:rtl/>
          <w:lang w:bidi="ar-SY"/>
        </w:rPr>
        <w:t>وتصاحب</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بانخفاض</w:t>
      </w:r>
      <w:r w:rsidR="00F32B28">
        <w:rPr>
          <w:rtl/>
          <w:lang w:bidi="ar-SY"/>
        </w:rPr>
        <w:t xml:space="preserve"> </w:t>
      </w:r>
      <w:r w:rsidR="00F32B28" w:rsidRPr="00F32B28">
        <w:rPr>
          <w:rtl/>
          <w:lang w:bidi="ar-SY"/>
        </w:rPr>
        <w:t>60-90</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لخدمات</w:t>
      </w:r>
      <w:r w:rsidR="00F32B28">
        <w:rPr>
          <w:rtl/>
          <w:lang w:bidi="ar-SY"/>
        </w:rPr>
        <w:t xml:space="preserve"> </w:t>
      </w:r>
      <w:r w:rsidR="00F32B28" w:rsidRPr="00F32B28">
        <w:rPr>
          <w:rtl/>
          <w:lang w:bidi="ar-SY"/>
        </w:rPr>
        <w:t>تنظيم</w:t>
      </w:r>
      <w:r w:rsidR="00F32B28">
        <w:rPr>
          <w:rtl/>
          <w:lang w:bidi="ar-SY"/>
        </w:rPr>
        <w:t xml:space="preserve"> </w:t>
      </w:r>
      <w:r w:rsidR="00F32B28" w:rsidRPr="00F32B28">
        <w:rPr>
          <w:rtl/>
          <w:lang w:bidi="ar-SY"/>
        </w:rPr>
        <w:t>الأسرة</w:t>
      </w:r>
      <w:r w:rsidR="00F32B28">
        <w:rPr>
          <w:rtl/>
          <w:lang w:bidi="ar-SY"/>
        </w:rPr>
        <w:t xml:space="preserve"> </w:t>
      </w:r>
      <w:r w:rsidR="00F32B28" w:rsidRPr="00F32B28">
        <w:rPr>
          <w:rtl/>
          <w:lang w:bidi="ar-SY"/>
        </w:rPr>
        <w:t>لنفس</w:t>
      </w:r>
      <w:r w:rsidR="00EC7A7E">
        <w:rPr>
          <w:rFonts w:hint="cs"/>
          <w:rtl/>
          <w:lang w:bidi="ar-SY"/>
        </w:rPr>
        <w:t> </w:t>
      </w:r>
      <w:r w:rsidR="00F32B28" w:rsidRPr="00F32B28">
        <w:rPr>
          <w:rtl/>
          <w:lang w:bidi="ar-SY"/>
        </w:rPr>
        <w:t>الفترة</w:t>
      </w:r>
      <w:r w:rsidR="00F32B28" w:rsidRPr="00F32B28">
        <w:t>.</w:t>
      </w:r>
    </w:p>
    <w:p w:rsidR="00AF1BC1" w:rsidRPr="00AF1BC1" w:rsidRDefault="00AF1BC1" w:rsidP="00AF1BC1">
      <w:pPr>
        <w:pStyle w:val="SingleTxt"/>
        <w:spacing w:after="0" w:line="120" w:lineRule="exact"/>
        <w:rPr>
          <w:b/>
          <w:bCs/>
          <w:sz w:val="10"/>
          <w:rtl/>
          <w:lang w:bidi="ar-SY"/>
        </w:rPr>
      </w:pPr>
    </w:p>
    <w:p w:rsidR="00F32B28" w:rsidRPr="00F32B28" w:rsidRDefault="00F32B28" w:rsidP="00F32B28">
      <w:pPr>
        <w:pStyle w:val="SingleTxt"/>
        <w:rPr>
          <w:b/>
          <w:bCs/>
          <w:rtl/>
          <w:lang w:bidi="ar-SY"/>
        </w:rPr>
      </w:pPr>
      <w:r w:rsidRPr="00F32B28">
        <w:rPr>
          <w:b/>
          <w:bCs/>
          <w:rtl/>
          <w:lang w:bidi="ar-SY"/>
        </w:rPr>
        <w:t>الحصار</w:t>
      </w:r>
      <w:r>
        <w:rPr>
          <w:b/>
          <w:bCs/>
          <w:rtl/>
          <w:lang w:bidi="ar-SY"/>
        </w:rPr>
        <w:t xml:space="preserve"> </w:t>
      </w:r>
      <w:r w:rsidRPr="00F32B28">
        <w:rPr>
          <w:b/>
          <w:bCs/>
          <w:rtl/>
          <w:lang w:bidi="ar-SY"/>
        </w:rPr>
        <w:t>غير</w:t>
      </w:r>
      <w:r>
        <w:rPr>
          <w:b/>
          <w:bCs/>
          <w:rtl/>
          <w:lang w:bidi="ar-SY"/>
        </w:rPr>
        <w:t xml:space="preserve"> </w:t>
      </w:r>
      <w:r w:rsidRPr="00F32B28">
        <w:rPr>
          <w:b/>
          <w:bCs/>
          <w:rtl/>
          <w:lang w:bidi="ar-SY"/>
        </w:rPr>
        <w:t>القانوني</w:t>
      </w:r>
      <w:r>
        <w:rPr>
          <w:b/>
          <w:bCs/>
          <w:rtl/>
          <w:lang w:bidi="ar-SY"/>
        </w:rPr>
        <w:t xml:space="preserve"> </w:t>
      </w:r>
    </w:p>
    <w:p w:rsidR="00F32B28" w:rsidRPr="00F32B28" w:rsidRDefault="00AF1BC1" w:rsidP="00616500">
      <w:pPr>
        <w:pStyle w:val="SingleTxt"/>
        <w:rPr>
          <w:rtl/>
          <w:lang w:bidi="ar-SY"/>
        </w:rPr>
      </w:pPr>
      <w:r>
        <w:rPr>
          <w:rFonts w:hint="cs"/>
          <w:rtl/>
          <w:lang w:bidi="ar-SY"/>
        </w:rPr>
        <w:t xml:space="preserve">261 - </w:t>
      </w:r>
      <w:r w:rsidR="00F32B28" w:rsidRPr="00F32B28">
        <w:rPr>
          <w:rtl/>
          <w:lang w:bidi="ar-SY"/>
        </w:rPr>
        <w:t>ي</w:t>
      </w:r>
      <w:r w:rsidR="00F32B28" w:rsidRPr="00F32B28">
        <w:rPr>
          <w:rtl/>
        </w:rPr>
        <w:t>قوض</w:t>
      </w:r>
      <w:r w:rsidR="00F32B28">
        <w:rPr>
          <w:rtl/>
        </w:rPr>
        <w:t xml:space="preserve"> </w:t>
      </w:r>
      <w:r w:rsidR="00F32B28" w:rsidRPr="00F32B28">
        <w:rPr>
          <w:rtl/>
        </w:rPr>
        <w:t>الحصار</w:t>
      </w:r>
      <w:r w:rsidR="00F32B28">
        <w:rPr>
          <w:rtl/>
        </w:rPr>
        <w:t xml:space="preserve"> </w:t>
      </w:r>
      <w:r w:rsidR="00F32B28" w:rsidRPr="00F32B28">
        <w:rPr>
          <w:rtl/>
        </w:rPr>
        <w:t>غير</w:t>
      </w:r>
      <w:r w:rsidR="00F32B28">
        <w:rPr>
          <w:rtl/>
        </w:rPr>
        <w:t xml:space="preserve"> </w:t>
      </w:r>
      <w:r w:rsidR="00F32B28" w:rsidRPr="00F32B28">
        <w:rPr>
          <w:rtl/>
        </w:rPr>
        <w:t>القانوني</w:t>
      </w:r>
      <w:r w:rsidR="00F32B28">
        <w:rPr>
          <w:rtl/>
        </w:rPr>
        <w:t xml:space="preserve"> </w:t>
      </w:r>
      <w:r w:rsidR="00F32B28" w:rsidRPr="00F32B28">
        <w:rPr>
          <w:rtl/>
        </w:rPr>
        <w:t>الذي</w:t>
      </w:r>
      <w:r w:rsidR="00F32B28">
        <w:rPr>
          <w:rtl/>
        </w:rPr>
        <w:t xml:space="preserve"> </w:t>
      </w:r>
      <w:r w:rsidR="00F32B28" w:rsidRPr="00F32B28">
        <w:rPr>
          <w:rtl/>
        </w:rPr>
        <w:t>تفرضه</w:t>
      </w:r>
      <w:r w:rsidR="00F32B28">
        <w:rPr>
          <w:rtl/>
        </w:rPr>
        <w:t xml:space="preserve"> </w:t>
      </w:r>
      <w:r w:rsidR="00F32B28" w:rsidRPr="00F32B28">
        <w:rPr>
          <w:rtl/>
        </w:rPr>
        <w:t>إسرائيل،</w:t>
      </w:r>
      <w:r w:rsidR="00F32B28">
        <w:rPr>
          <w:rtl/>
        </w:rPr>
        <w:t xml:space="preserve"> </w:t>
      </w:r>
      <w:r w:rsidR="00F32B28" w:rsidRPr="00F32B28">
        <w:rPr>
          <w:rtl/>
        </w:rPr>
        <w:t>السلطة</w:t>
      </w:r>
      <w:r w:rsidR="00F32B28">
        <w:rPr>
          <w:rtl/>
        </w:rPr>
        <w:t xml:space="preserve"> </w:t>
      </w:r>
      <w:r w:rsidR="00F32B28" w:rsidRPr="00F32B28">
        <w:rPr>
          <w:rtl/>
        </w:rPr>
        <w:t>القائمة</w:t>
      </w:r>
      <w:r w:rsidR="00F32B28">
        <w:rPr>
          <w:rtl/>
        </w:rPr>
        <w:t xml:space="preserve"> </w:t>
      </w:r>
      <w:r w:rsidR="00F32B28" w:rsidRPr="00F32B28">
        <w:rPr>
          <w:rtl/>
        </w:rPr>
        <w:t>بالاحتلال،</w:t>
      </w:r>
      <w:r w:rsidR="00F32B28">
        <w:rPr>
          <w:rtl/>
        </w:rPr>
        <w:t xml:space="preserve"> </w:t>
      </w:r>
      <w:r w:rsidR="00F32B28" w:rsidRPr="00F32B28">
        <w:rPr>
          <w:rtl/>
          <w:lang w:bidi="ar-SY"/>
        </w:rPr>
        <w:t>سير</w:t>
      </w:r>
      <w:r w:rsidR="00F32B28">
        <w:rPr>
          <w:rtl/>
          <w:lang w:bidi="ar-SY"/>
        </w:rPr>
        <w:t xml:space="preserve"> </w:t>
      </w:r>
      <w:r w:rsidR="00F32B28" w:rsidRPr="00F32B28">
        <w:rPr>
          <w:rtl/>
          <w:lang w:bidi="ar-SY"/>
        </w:rPr>
        <w:t>منظومة</w:t>
      </w:r>
      <w:r w:rsidR="00F32B28">
        <w:rPr>
          <w:rtl/>
          <w:lang w:bidi="ar-SY"/>
        </w:rPr>
        <w:t xml:space="preserve"> </w:t>
      </w:r>
      <w:r w:rsidR="00F32B28" w:rsidRPr="00F32B28">
        <w:rPr>
          <w:rtl/>
          <w:lang w:bidi="ar-SY"/>
        </w:rPr>
        <w:t>الرعاية</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الأمر</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يعرض</w:t>
      </w:r>
      <w:r w:rsidR="00F32B28">
        <w:rPr>
          <w:rtl/>
          <w:lang w:bidi="ar-SY"/>
        </w:rPr>
        <w:t xml:space="preserve"> </w:t>
      </w:r>
      <w:r w:rsidR="00F32B28" w:rsidRPr="00F32B28">
        <w:rPr>
          <w:rtl/>
          <w:lang w:bidi="ar-SY"/>
        </w:rPr>
        <w:t>صحة</w:t>
      </w:r>
      <w:r w:rsidR="00F32B28">
        <w:rPr>
          <w:rtl/>
          <w:lang w:bidi="ar-SY"/>
        </w:rPr>
        <w:t xml:space="preserve"> </w:t>
      </w:r>
      <w:r w:rsidR="00F32B28" w:rsidRPr="00F32B28">
        <w:rPr>
          <w:rtl/>
          <w:lang w:bidi="ar-SY"/>
        </w:rPr>
        <w:t>مليون</w:t>
      </w:r>
      <w:r w:rsidR="00F32B28">
        <w:rPr>
          <w:rtl/>
          <w:lang w:bidi="ar-SY"/>
        </w:rPr>
        <w:t xml:space="preserve"> </w:t>
      </w:r>
      <w:r w:rsidR="00F32B28" w:rsidRPr="00F32B28">
        <w:rPr>
          <w:rtl/>
          <w:lang w:bidi="ar-SY"/>
        </w:rPr>
        <w:t>وثمانمائة</w:t>
      </w:r>
      <w:r w:rsidR="00F32B28">
        <w:rPr>
          <w:rtl/>
          <w:lang w:bidi="ar-SY"/>
        </w:rPr>
        <w:t xml:space="preserve"> </w:t>
      </w:r>
      <w:r w:rsidR="00F32B28" w:rsidRPr="00F32B28">
        <w:rPr>
          <w:rtl/>
          <w:lang w:bidi="ar-SY"/>
        </w:rPr>
        <w:t>ألف</w:t>
      </w:r>
      <w:r w:rsidR="00F32B28">
        <w:rPr>
          <w:rtl/>
          <w:lang w:bidi="ar-SY"/>
        </w:rPr>
        <w:t xml:space="preserve"> </w:t>
      </w:r>
      <w:r w:rsidR="00F32B28" w:rsidRPr="00F32B28">
        <w:rPr>
          <w:rtl/>
          <w:lang w:bidi="ar-SY"/>
        </w:rPr>
        <w:t>فلسطينية</w:t>
      </w:r>
      <w:r w:rsidR="00F32B28">
        <w:rPr>
          <w:rtl/>
          <w:lang w:bidi="ar-SY"/>
        </w:rPr>
        <w:t xml:space="preserve"> </w:t>
      </w:r>
      <w:r w:rsidR="00F32B28" w:rsidRPr="00F32B28">
        <w:rPr>
          <w:rtl/>
          <w:lang w:bidi="ar-SY"/>
        </w:rPr>
        <w:t>وفلسطيني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الخطر،</w:t>
      </w:r>
      <w:r w:rsidR="00F32B28">
        <w:rPr>
          <w:rtl/>
          <w:lang w:bidi="ar-SY"/>
        </w:rPr>
        <w:t xml:space="preserve"> </w:t>
      </w:r>
      <w:r w:rsidR="00F32B28" w:rsidRPr="00F32B28">
        <w:rPr>
          <w:rtl/>
          <w:lang w:bidi="ar-SY"/>
        </w:rPr>
        <w:t>بما</w:t>
      </w:r>
      <w:r w:rsidR="0001622C">
        <w:rPr>
          <w:rFonts w:hint="cs"/>
          <w:rtl/>
          <w:lang w:bidi="ar-SY"/>
        </w:rPr>
        <w:t> </w:t>
      </w:r>
      <w:r w:rsidR="00F32B28" w:rsidRPr="00F32B28">
        <w:rPr>
          <w:rtl/>
          <w:lang w:bidi="ar-SY"/>
        </w:rPr>
        <w:t>في</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خطر</w:t>
      </w:r>
      <w:r w:rsidR="00F32B28">
        <w:rPr>
          <w:rtl/>
          <w:lang w:bidi="ar-SY"/>
        </w:rPr>
        <w:t xml:space="preserve"> </w:t>
      </w:r>
      <w:r w:rsidR="00F32B28" w:rsidRPr="00F32B28">
        <w:rPr>
          <w:rtl/>
          <w:lang w:bidi="ar-SY"/>
        </w:rPr>
        <w:t>الموت.</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قوضت</w:t>
      </w:r>
      <w:r w:rsidR="00F32B28">
        <w:rPr>
          <w:rtl/>
          <w:lang w:bidi="ar-SY"/>
        </w:rPr>
        <w:t xml:space="preserve"> </w:t>
      </w:r>
      <w:r w:rsidR="00F32B28" w:rsidRPr="00F32B28">
        <w:rPr>
          <w:rtl/>
        </w:rPr>
        <w:t>قدرة</w:t>
      </w:r>
      <w:r w:rsidR="00F32B28">
        <w:rPr>
          <w:rtl/>
        </w:rPr>
        <w:t xml:space="preserve"> </w:t>
      </w:r>
      <w:r w:rsidR="00F32B28" w:rsidRPr="00F32B28">
        <w:rPr>
          <w:rtl/>
        </w:rPr>
        <w:t>النظام</w:t>
      </w:r>
      <w:r w:rsidR="00F32B28">
        <w:rPr>
          <w:rtl/>
        </w:rPr>
        <w:t xml:space="preserve"> </w:t>
      </w:r>
      <w:r w:rsidR="00F32B28" w:rsidRPr="00F32B28">
        <w:rPr>
          <w:rtl/>
        </w:rPr>
        <w:t>الصحي</w:t>
      </w:r>
      <w:r w:rsidR="00F32B28">
        <w:rPr>
          <w:rtl/>
        </w:rPr>
        <w:t xml:space="preserve"> </w:t>
      </w:r>
      <w:r w:rsidR="00F32B28" w:rsidRPr="00F32B28">
        <w:rPr>
          <w:rtl/>
        </w:rPr>
        <w:t>في</w:t>
      </w:r>
      <w:r w:rsidR="00F32B28">
        <w:rPr>
          <w:rtl/>
        </w:rPr>
        <w:t xml:space="preserve"> </w:t>
      </w:r>
      <w:r w:rsidR="00F32B28" w:rsidRPr="00F32B28">
        <w:rPr>
          <w:rtl/>
        </w:rPr>
        <w:t>غزة</w:t>
      </w:r>
      <w:r w:rsidR="00F32B28">
        <w:rPr>
          <w:rtl/>
        </w:rPr>
        <w:t xml:space="preserve"> </w:t>
      </w:r>
      <w:r w:rsidR="00F32B28" w:rsidRPr="00F32B28">
        <w:rPr>
          <w:rtl/>
        </w:rPr>
        <w:t>إلى</w:t>
      </w:r>
      <w:r w:rsidR="00F32B28">
        <w:rPr>
          <w:rtl/>
        </w:rPr>
        <w:t xml:space="preserve"> </w:t>
      </w:r>
      <w:r w:rsidR="00F32B28" w:rsidRPr="00F32B28">
        <w:rPr>
          <w:rtl/>
        </w:rPr>
        <w:t>حد</w:t>
      </w:r>
      <w:r w:rsidR="00F32B28">
        <w:rPr>
          <w:rtl/>
        </w:rPr>
        <w:t xml:space="preserve"> </w:t>
      </w:r>
      <w:r w:rsidR="00F32B28" w:rsidRPr="00F32B28">
        <w:rPr>
          <w:rtl/>
        </w:rPr>
        <w:t>خطير</w:t>
      </w:r>
      <w:r w:rsidR="00F32B28">
        <w:rPr>
          <w:rtl/>
        </w:rPr>
        <w:t xml:space="preserve"> </w:t>
      </w:r>
      <w:r w:rsidR="00F32B28" w:rsidRPr="00F32B28">
        <w:rPr>
          <w:rtl/>
        </w:rPr>
        <w:t>بسبب</w:t>
      </w:r>
      <w:r w:rsidR="00F32B28">
        <w:rPr>
          <w:rtl/>
        </w:rPr>
        <w:t xml:space="preserve"> </w:t>
      </w:r>
      <w:r w:rsidR="00F32B28" w:rsidRPr="00F32B28">
        <w:rPr>
          <w:rtl/>
        </w:rPr>
        <w:t>العجز</w:t>
      </w:r>
      <w:r w:rsidR="00F32B28">
        <w:rPr>
          <w:rtl/>
        </w:rPr>
        <w:t xml:space="preserve"> </w:t>
      </w:r>
      <w:r w:rsidR="00F32B28" w:rsidRPr="00F32B28">
        <w:rPr>
          <w:rtl/>
        </w:rPr>
        <w:t>عن</w:t>
      </w:r>
      <w:r w:rsidR="00F32B28">
        <w:rPr>
          <w:rtl/>
        </w:rPr>
        <w:t xml:space="preserve"> </w:t>
      </w:r>
      <w:r w:rsidR="00F32B28" w:rsidRPr="00F32B28">
        <w:rPr>
          <w:rtl/>
        </w:rPr>
        <w:t>تحديث</w:t>
      </w:r>
      <w:r w:rsidR="00F32B28">
        <w:rPr>
          <w:rtl/>
        </w:rPr>
        <w:t xml:space="preserve"> </w:t>
      </w:r>
      <w:r w:rsidR="00F32B28" w:rsidRPr="00F32B28">
        <w:rPr>
          <w:rtl/>
        </w:rPr>
        <w:t>البنية</w:t>
      </w:r>
      <w:r w:rsidR="00F32B28">
        <w:rPr>
          <w:rtl/>
        </w:rPr>
        <w:t xml:space="preserve"> </w:t>
      </w:r>
      <w:r w:rsidR="00F32B28" w:rsidRPr="00F32B28">
        <w:rPr>
          <w:rtl/>
        </w:rPr>
        <w:t>التحتية</w:t>
      </w:r>
      <w:r w:rsidR="00F32B28">
        <w:rPr>
          <w:rtl/>
        </w:rPr>
        <w:t xml:space="preserve"> </w:t>
      </w:r>
      <w:r w:rsidR="00F32B28" w:rsidRPr="00F32B28">
        <w:rPr>
          <w:rtl/>
        </w:rPr>
        <w:t>المادية</w:t>
      </w:r>
      <w:r w:rsidR="00F32B28">
        <w:rPr>
          <w:rtl/>
        </w:rPr>
        <w:t xml:space="preserve"> </w:t>
      </w:r>
      <w:r w:rsidR="00F32B28" w:rsidRPr="00F32B28">
        <w:rPr>
          <w:rtl/>
        </w:rPr>
        <w:t>لديه</w:t>
      </w:r>
      <w:r w:rsidR="00F32B28">
        <w:rPr>
          <w:rtl/>
        </w:rPr>
        <w:t xml:space="preserve"> </w:t>
      </w:r>
      <w:r w:rsidR="00F32B28" w:rsidRPr="00F32B28">
        <w:rPr>
          <w:rtl/>
        </w:rPr>
        <w:t>أو</w:t>
      </w:r>
      <w:r w:rsidR="00F32B28">
        <w:rPr>
          <w:rtl/>
        </w:rPr>
        <w:t xml:space="preserve"> </w:t>
      </w:r>
      <w:r w:rsidR="00F32B28" w:rsidRPr="00F32B28">
        <w:rPr>
          <w:rtl/>
        </w:rPr>
        <w:t>إعادة</w:t>
      </w:r>
      <w:r w:rsidR="00F32B28">
        <w:rPr>
          <w:rtl/>
        </w:rPr>
        <w:t xml:space="preserve"> </w:t>
      </w:r>
      <w:r w:rsidR="00F32B28" w:rsidRPr="00F32B28">
        <w:rPr>
          <w:rtl/>
        </w:rPr>
        <w:t>بناؤها</w:t>
      </w:r>
      <w:r w:rsidR="00F32B28">
        <w:rPr>
          <w:rtl/>
        </w:rPr>
        <w:t xml:space="preserve"> </w:t>
      </w:r>
      <w:r w:rsidR="00F32B28" w:rsidRPr="00F32B28">
        <w:rPr>
          <w:rtl/>
        </w:rPr>
        <w:t>أو</w:t>
      </w:r>
      <w:r w:rsidR="00F32B28">
        <w:rPr>
          <w:rtl/>
        </w:rPr>
        <w:t xml:space="preserve"> </w:t>
      </w:r>
      <w:r w:rsidR="00F32B28" w:rsidRPr="00F32B28">
        <w:rPr>
          <w:rtl/>
        </w:rPr>
        <w:t>ترميمها</w:t>
      </w:r>
      <w:r w:rsidR="00F32B28">
        <w:rPr>
          <w:rtl/>
        </w:rPr>
        <w:t xml:space="preserve"> </w:t>
      </w:r>
      <w:r w:rsidR="00F32B28" w:rsidRPr="00F32B28">
        <w:rPr>
          <w:rtl/>
        </w:rPr>
        <w:t>بسبب</w:t>
      </w:r>
      <w:r w:rsidR="00F32B28">
        <w:rPr>
          <w:rtl/>
        </w:rPr>
        <w:t xml:space="preserve"> </w:t>
      </w:r>
      <w:r w:rsidR="00F32B28" w:rsidRPr="00F32B28">
        <w:rPr>
          <w:rtl/>
        </w:rPr>
        <w:t>الأضرار</w:t>
      </w:r>
      <w:r w:rsidR="00F32B28">
        <w:rPr>
          <w:rtl/>
        </w:rPr>
        <w:t xml:space="preserve"> </w:t>
      </w:r>
      <w:r w:rsidR="00F32B28" w:rsidRPr="00F32B28">
        <w:rPr>
          <w:rtl/>
        </w:rPr>
        <w:t>الجسيمة</w:t>
      </w:r>
      <w:r w:rsidR="00F32B28">
        <w:rPr>
          <w:rtl/>
        </w:rPr>
        <w:t xml:space="preserve"> </w:t>
      </w:r>
      <w:r w:rsidR="00F32B28" w:rsidRPr="00F32B28">
        <w:rPr>
          <w:rtl/>
        </w:rPr>
        <w:t>التي</w:t>
      </w:r>
      <w:r w:rsidR="00F32B28">
        <w:rPr>
          <w:rtl/>
        </w:rPr>
        <w:t xml:space="preserve"> </w:t>
      </w:r>
      <w:r w:rsidR="00F32B28" w:rsidRPr="00F32B28">
        <w:rPr>
          <w:rtl/>
        </w:rPr>
        <w:t>لحقت</w:t>
      </w:r>
      <w:r w:rsidR="00F32B28">
        <w:rPr>
          <w:rtl/>
        </w:rPr>
        <w:t xml:space="preserve"> </w:t>
      </w:r>
      <w:r w:rsidR="00F32B28" w:rsidRPr="00F32B28">
        <w:rPr>
          <w:rtl/>
        </w:rPr>
        <w:t>بها</w:t>
      </w:r>
      <w:r w:rsidR="00F32B28">
        <w:rPr>
          <w:rtl/>
        </w:rPr>
        <w:t xml:space="preserve"> </w:t>
      </w:r>
      <w:r w:rsidR="00F32B28" w:rsidRPr="00F32B28">
        <w:rPr>
          <w:rtl/>
        </w:rPr>
        <w:t>جراء</w:t>
      </w:r>
      <w:r w:rsidR="00F32B28">
        <w:rPr>
          <w:rtl/>
        </w:rPr>
        <w:t xml:space="preserve"> </w:t>
      </w:r>
      <w:r w:rsidR="00F32B28" w:rsidRPr="00F32B28">
        <w:rPr>
          <w:rtl/>
        </w:rPr>
        <w:t>الاعتداءات</w:t>
      </w:r>
      <w:r w:rsidR="00F32B28">
        <w:rPr>
          <w:rtl/>
        </w:rPr>
        <w:t xml:space="preserve"> </w:t>
      </w:r>
      <w:r w:rsidR="00F32B28" w:rsidRPr="00F32B28">
        <w:rPr>
          <w:rtl/>
        </w:rPr>
        <w:t>العسكرية</w:t>
      </w:r>
      <w:r w:rsidR="00F32B28">
        <w:rPr>
          <w:rtl/>
        </w:rPr>
        <w:t xml:space="preserve"> </w:t>
      </w:r>
      <w:r w:rsidR="00F32B28" w:rsidRPr="00F32B28">
        <w:rPr>
          <w:rtl/>
        </w:rPr>
        <w:t>الإسرائيلية</w:t>
      </w:r>
      <w:r w:rsidR="00F32B28">
        <w:rPr>
          <w:rtl/>
        </w:rPr>
        <w:t xml:space="preserve"> </w:t>
      </w:r>
      <w:r w:rsidR="00F32B28" w:rsidRPr="00F32B28">
        <w:rPr>
          <w:rtl/>
        </w:rPr>
        <w:t>المستمرة</w:t>
      </w:r>
      <w:r w:rsidR="00F32B28">
        <w:rPr>
          <w:rtl/>
        </w:rPr>
        <w:t xml:space="preserve"> </w:t>
      </w:r>
      <w:r w:rsidR="00F32B28" w:rsidRPr="00F32B28">
        <w:rPr>
          <w:rtl/>
        </w:rPr>
        <w:t>على</w:t>
      </w:r>
      <w:r w:rsidR="00F32B28">
        <w:rPr>
          <w:rtl/>
        </w:rPr>
        <w:t xml:space="preserve"> </w:t>
      </w:r>
      <w:r w:rsidR="00F32B28" w:rsidRPr="00F32B28">
        <w:rPr>
          <w:rtl/>
        </w:rPr>
        <w:t>القطاع.</w:t>
      </w:r>
    </w:p>
    <w:p w:rsidR="00F32B28" w:rsidRPr="00F32B28" w:rsidRDefault="00AF1BC1" w:rsidP="00AF1BC1">
      <w:pPr>
        <w:pStyle w:val="SingleTxt"/>
      </w:pPr>
      <w:r>
        <w:rPr>
          <w:rFonts w:hint="cs"/>
          <w:rtl/>
        </w:rPr>
        <w:t xml:space="preserve">262 - </w:t>
      </w:r>
      <w:r w:rsidR="00F32B28" w:rsidRPr="00F32B28">
        <w:rPr>
          <w:rtl/>
        </w:rPr>
        <w:t>كما</w:t>
      </w:r>
      <w:r w:rsidR="00F32B28">
        <w:rPr>
          <w:rtl/>
        </w:rPr>
        <w:t xml:space="preserve"> </w:t>
      </w:r>
      <w:r w:rsidR="00F32B28" w:rsidRPr="00F32B28">
        <w:rPr>
          <w:rtl/>
        </w:rPr>
        <w:t>وتتعرض</w:t>
      </w:r>
      <w:r w:rsidR="00F32B28">
        <w:rPr>
          <w:rtl/>
        </w:rPr>
        <w:t xml:space="preserve"> </w:t>
      </w:r>
      <w:r w:rsidR="00F32B28" w:rsidRPr="00F32B28">
        <w:rPr>
          <w:rtl/>
        </w:rPr>
        <w:t>الخدمات</w:t>
      </w:r>
      <w:r w:rsidR="00F32B28">
        <w:rPr>
          <w:rtl/>
        </w:rPr>
        <w:t xml:space="preserve"> </w:t>
      </w:r>
      <w:r w:rsidR="00F32B28" w:rsidRPr="00F32B28">
        <w:rPr>
          <w:rtl/>
        </w:rPr>
        <w:t>الطبية</w:t>
      </w:r>
      <w:r w:rsidR="00F32B28">
        <w:rPr>
          <w:rtl/>
        </w:rPr>
        <w:t xml:space="preserve"> </w:t>
      </w:r>
      <w:r w:rsidR="00F32B28" w:rsidRPr="00F32B28">
        <w:rPr>
          <w:rtl/>
        </w:rPr>
        <w:t>ومن</w:t>
      </w:r>
      <w:r w:rsidR="00F32B28">
        <w:rPr>
          <w:rtl/>
        </w:rPr>
        <w:t xml:space="preserve"> </w:t>
      </w:r>
      <w:r w:rsidR="00F32B28" w:rsidRPr="00F32B28">
        <w:rPr>
          <w:rtl/>
        </w:rPr>
        <w:t>بينها</w:t>
      </w:r>
      <w:r w:rsidR="00F32B28">
        <w:rPr>
          <w:rtl/>
        </w:rPr>
        <w:t xml:space="preserve"> </w:t>
      </w:r>
      <w:r w:rsidR="00F32B28" w:rsidRPr="00F32B28">
        <w:rPr>
          <w:rtl/>
        </w:rPr>
        <w:t>الإجراءات</w:t>
      </w:r>
      <w:r w:rsidR="00F32B28">
        <w:rPr>
          <w:rtl/>
        </w:rPr>
        <w:t xml:space="preserve"> </w:t>
      </w:r>
      <w:r w:rsidR="00F32B28" w:rsidRPr="00F32B28">
        <w:rPr>
          <w:rtl/>
        </w:rPr>
        <w:t>الطبية</w:t>
      </w:r>
      <w:r w:rsidR="00F32B28">
        <w:rPr>
          <w:rtl/>
        </w:rPr>
        <w:t xml:space="preserve"> </w:t>
      </w:r>
      <w:r w:rsidR="00F32B28" w:rsidRPr="00F32B28">
        <w:rPr>
          <w:rtl/>
        </w:rPr>
        <w:t>لإنقاذ</w:t>
      </w:r>
      <w:r w:rsidR="00F32B28">
        <w:rPr>
          <w:rtl/>
        </w:rPr>
        <w:t xml:space="preserve"> </w:t>
      </w:r>
      <w:r w:rsidR="00F32B28" w:rsidRPr="00F32B28">
        <w:rPr>
          <w:rtl/>
        </w:rPr>
        <w:t>الحياة،</w:t>
      </w:r>
      <w:r w:rsidR="00F32B28">
        <w:rPr>
          <w:rtl/>
        </w:rPr>
        <w:t xml:space="preserve"> </w:t>
      </w:r>
      <w:r w:rsidR="00F32B28" w:rsidRPr="00F32B28">
        <w:rPr>
          <w:rtl/>
        </w:rPr>
        <w:t>لخطر</w:t>
      </w:r>
      <w:r w:rsidR="00F32B28">
        <w:rPr>
          <w:rtl/>
        </w:rPr>
        <w:t xml:space="preserve"> </w:t>
      </w:r>
      <w:r w:rsidR="00F32B28" w:rsidRPr="00F32B28">
        <w:rPr>
          <w:rtl/>
        </w:rPr>
        <w:t>الانهيار</w:t>
      </w:r>
      <w:r w:rsidR="00F32B28">
        <w:rPr>
          <w:rtl/>
        </w:rPr>
        <w:t xml:space="preserve"> </w:t>
      </w:r>
      <w:r w:rsidR="00F32B28" w:rsidRPr="00F32B28">
        <w:rPr>
          <w:rtl/>
        </w:rPr>
        <w:t>بسبب</w:t>
      </w:r>
      <w:r w:rsidR="00F32B28">
        <w:rPr>
          <w:rtl/>
        </w:rPr>
        <w:t xml:space="preserve"> </w:t>
      </w:r>
      <w:r w:rsidR="00F32B28" w:rsidRPr="00F32B28">
        <w:rPr>
          <w:rtl/>
        </w:rPr>
        <w:t>نفاذ</w:t>
      </w:r>
      <w:r w:rsidR="00F32B28">
        <w:rPr>
          <w:rtl/>
        </w:rPr>
        <w:t xml:space="preserve"> </w:t>
      </w:r>
      <w:r w:rsidR="00F32B28" w:rsidRPr="00F32B28">
        <w:rPr>
          <w:rtl/>
        </w:rPr>
        <w:t>احتياطيات</w:t>
      </w:r>
      <w:r w:rsidR="00F32B28">
        <w:rPr>
          <w:rtl/>
        </w:rPr>
        <w:t xml:space="preserve"> </w:t>
      </w:r>
      <w:r w:rsidR="00F32B28" w:rsidRPr="00F32B28">
        <w:rPr>
          <w:rtl/>
        </w:rPr>
        <w:t>الوقود</w:t>
      </w:r>
      <w:r w:rsidR="00F32B28">
        <w:rPr>
          <w:rtl/>
        </w:rPr>
        <w:t xml:space="preserve"> </w:t>
      </w:r>
      <w:r w:rsidR="00F32B28" w:rsidRPr="00F32B28">
        <w:rPr>
          <w:rtl/>
        </w:rPr>
        <w:t>المستخدمة</w:t>
      </w:r>
      <w:r w:rsidR="00F32B28">
        <w:rPr>
          <w:rtl/>
        </w:rPr>
        <w:t xml:space="preserve"> </w:t>
      </w:r>
      <w:r w:rsidR="00F32B28" w:rsidRPr="00F32B28">
        <w:rPr>
          <w:rtl/>
        </w:rPr>
        <w:t>لتشغيل</w:t>
      </w:r>
      <w:r w:rsidR="00F32B28">
        <w:rPr>
          <w:rtl/>
        </w:rPr>
        <w:t xml:space="preserve"> </w:t>
      </w:r>
      <w:r w:rsidR="00F32B28" w:rsidRPr="00F32B28">
        <w:rPr>
          <w:rtl/>
        </w:rPr>
        <w:t>المولدات</w:t>
      </w:r>
      <w:r w:rsidR="00F32B28">
        <w:rPr>
          <w:rtl/>
        </w:rPr>
        <w:t xml:space="preserve"> </w:t>
      </w:r>
      <w:r w:rsidR="00F32B28" w:rsidRPr="00F32B28">
        <w:rPr>
          <w:rtl/>
        </w:rPr>
        <w:t>الاحتياطية</w:t>
      </w:r>
      <w:r w:rsidR="00F32B28">
        <w:rPr>
          <w:rtl/>
        </w:rPr>
        <w:t xml:space="preserve"> </w:t>
      </w:r>
      <w:r w:rsidR="00F32B28" w:rsidRPr="00F32B28">
        <w:rPr>
          <w:rtl/>
        </w:rPr>
        <w:t>بسبب</w:t>
      </w:r>
      <w:r w:rsidR="00F32B28">
        <w:rPr>
          <w:rtl/>
        </w:rPr>
        <w:t xml:space="preserve"> </w:t>
      </w:r>
      <w:r w:rsidR="00F32B28" w:rsidRPr="00F32B28">
        <w:rPr>
          <w:rtl/>
        </w:rPr>
        <w:t>الحصار</w:t>
      </w:r>
      <w:r w:rsidR="00F32B28">
        <w:rPr>
          <w:rtl/>
        </w:rPr>
        <w:t xml:space="preserve"> </w:t>
      </w:r>
      <w:r w:rsidR="00F32B28" w:rsidRPr="00F32B28">
        <w:rPr>
          <w:rtl/>
        </w:rPr>
        <w:t>غير</w:t>
      </w:r>
      <w:r w:rsidR="00F32B28">
        <w:rPr>
          <w:rtl/>
        </w:rPr>
        <w:t xml:space="preserve"> </w:t>
      </w:r>
      <w:r w:rsidR="00F32B28" w:rsidRPr="00F32B28">
        <w:rPr>
          <w:rtl/>
        </w:rPr>
        <w:t>القانوني</w:t>
      </w:r>
      <w:r w:rsidR="00F32B28">
        <w:rPr>
          <w:rtl/>
        </w:rPr>
        <w:t xml:space="preserve"> </w:t>
      </w:r>
      <w:r w:rsidR="00F32B28" w:rsidRPr="00F32B28">
        <w:rPr>
          <w:rtl/>
        </w:rPr>
        <w:t>والسياسات</w:t>
      </w:r>
      <w:r w:rsidR="00F32B28">
        <w:rPr>
          <w:rtl/>
        </w:rPr>
        <w:t xml:space="preserve"> </w:t>
      </w:r>
      <w:r w:rsidR="00F32B28" w:rsidRPr="00F32B28">
        <w:rPr>
          <w:rtl/>
        </w:rPr>
        <w:lastRenderedPageBreak/>
        <w:t>العنصرية</w:t>
      </w:r>
      <w:r w:rsidR="00F32B28">
        <w:rPr>
          <w:rtl/>
        </w:rPr>
        <w:t xml:space="preserve"> </w:t>
      </w:r>
      <w:r w:rsidR="00F32B28" w:rsidRPr="00F32B28">
        <w:rPr>
          <w:rtl/>
        </w:rPr>
        <w:t>المفروضة</w:t>
      </w:r>
      <w:r w:rsidR="00F32B28">
        <w:rPr>
          <w:rtl/>
        </w:rPr>
        <w:t xml:space="preserve"> </w:t>
      </w:r>
      <w:r w:rsidR="00F32B28" w:rsidRPr="00F32B28">
        <w:rPr>
          <w:rtl/>
        </w:rPr>
        <w:t>على</w:t>
      </w:r>
      <w:r w:rsidR="00F32B28">
        <w:rPr>
          <w:rtl/>
        </w:rPr>
        <w:t xml:space="preserve"> </w:t>
      </w:r>
      <w:r w:rsidR="00F32B28" w:rsidRPr="00F32B28">
        <w:rPr>
          <w:rtl/>
        </w:rPr>
        <w:t>إدخاله،</w:t>
      </w:r>
      <w:r w:rsidR="00F32B28">
        <w:rPr>
          <w:rtl/>
        </w:rPr>
        <w:t xml:space="preserve"> </w:t>
      </w:r>
      <w:r w:rsidR="00F32B28" w:rsidRPr="00F32B28">
        <w:rPr>
          <w:rtl/>
        </w:rPr>
        <w:t>وغالباً</w:t>
      </w:r>
      <w:r w:rsidR="00F32B28">
        <w:rPr>
          <w:rtl/>
        </w:rPr>
        <w:t xml:space="preserve"> </w:t>
      </w:r>
      <w:r w:rsidR="00F32B28" w:rsidRPr="00F32B28">
        <w:rPr>
          <w:rtl/>
        </w:rPr>
        <w:t>ما</w:t>
      </w:r>
      <w:r w:rsidR="00F32B28">
        <w:rPr>
          <w:rtl/>
        </w:rPr>
        <w:t xml:space="preserve"> </w:t>
      </w:r>
      <w:r w:rsidR="00F32B28" w:rsidRPr="00F32B28">
        <w:rPr>
          <w:rtl/>
        </w:rPr>
        <w:t>تؤدي</w:t>
      </w:r>
      <w:r w:rsidR="00F32B28">
        <w:rPr>
          <w:rtl/>
        </w:rPr>
        <w:t xml:space="preserve"> </w:t>
      </w:r>
      <w:r w:rsidR="00F32B28" w:rsidRPr="00F32B28">
        <w:rPr>
          <w:rtl/>
        </w:rPr>
        <w:t>التقلبات</w:t>
      </w:r>
      <w:r w:rsidR="00F32B28">
        <w:rPr>
          <w:rtl/>
        </w:rPr>
        <w:t xml:space="preserve"> </w:t>
      </w:r>
      <w:r w:rsidR="00F32B28" w:rsidRPr="00F32B28">
        <w:rPr>
          <w:rtl/>
        </w:rPr>
        <w:t>المستمرة</w:t>
      </w:r>
      <w:r w:rsidR="00F32B28">
        <w:rPr>
          <w:rtl/>
        </w:rPr>
        <w:t xml:space="preserve"> </w:t>
      </w:r>
      <w:r w:rsidR="00F32B28" w:rsidRPr="00F32B28">
        <w:rPr>
          <w:rtl/>
        </w:rPr>
        <w:t>في</w:t>
      </w:r>
      <w:r w:rsidR="00F32B28">
        <w:rPr>
          <w:rtl/>
        </w:rPr>
        <w:t xml:space="preserve"> </w:t>
      </w:r>
      <w:r w:rsidR="00F32B28" w:rsidRPr="00F32B28">
        <w:rPr>
          <w:rtl/>
        </w:rPr>
        <w:t>تزويد</w:t>
      </w:r>
      <w:r w:rsidR="00F32B28">
        <w:rPr>
          <w:rtl/>
        </w:rPr>
        <w:t xml:space="preserve"> </w:t>
      </w:r>
      <w:r w:rsidR="00F32B28" w:rsidRPr="00F32B28">
        <w:rPr>
          <w:rtl/>
        </w:rPr>
        <w:t>الكهرباء</w:t>
      </w:r>
      <w:r w:rsidR="00F32B28">
        <w:rPr>
          <w:rtl/>
        </w:rPr>
        <w:t xml:space="preserve"> </w:t>
      </w:r>
      <w:r w:rsidR="00F32B28" w:rsidRPr="00F32B28">
        <w:rPr>
          <w:rtl/>
        </w:rPr>
        <w:t>إلى</w:t>
      </w:r>
      <w:r w:rsidR="00F32B28">
        <w:rPr>
          <w:rtl/>
        </w:rPr>
        <w:t xml:space="preserve"> </w:t>
      </w:r>
      <w:r w:rsidR="00F32B28" w:rsidRPr="00F32B28">
        <w:rPr>
          <w:rtl/>
        </w:rPr>
        <w:t>أعطال</w:t>
      </w:r>
      <w:r w:rsidR="00F32B28">
        <w:rPr>
          <w:rtl/>
        </w:rPr>
        <w:t xml:space="preserve"> </w:t>
      </w:r>
      <w:r w:rsidR="00F32B28" w:rsidRPr="00F32B28">
        <w:rPr>
          <w:rtl/>
        </w:rPr>
        <w:t>في</w:t>
      </w:r>
      <w:r w:rsidR="00F32B28">
        <w:rPr>
          <w:rtl/>
        </w:rPr>
        <w:t xml:space="preserve"> </w:t>
      </w:r>
      <w:r w:rsidR="00F32B28" w:rsidRPr="00F32B28">
        <w:rPr>
          <w:rtl/>
        </w:rPr>
        <w:t>المعدات</w:t>
      </w:r>
      <w:r w:rsidR="00F32B28">
        <w:rPr>
          <w:rtl/>
        </w:rPr>
        <w:t xml:space="preserve"> </w:t>
      </w:r>
      <w:r w:rsidR="00F32B28" w:rsidRPr="00F32B28">
        <w:rPr>
          <w:rtl/>
        </w:rPr>
        <w:t>الطبية</w:t>
      </w:r>
      <w:r w:rsidR="00F32B28">
        <w:rPr>
          <w:rtl/>
        </w:rPr>
        <w:t xml:space="preserve"> </w:t>
      </w:r>
      <w:r w:rsidR="00F32B28" w:rsidRPr="00F32B28">
        <w:rPr>
          <w:rtl/>
        </w:rPr>
        <w:t>الحساسة.</w:t>
      </w:r>
      <w:r w:rsidR="00F32B28">
        <w:rPr>
          <w:rtl/>
        </w:rPr>
        <w:t xml:space="preserve"> </w:t>
      </w:r>
      <w:r w:rsidR="00F32B28" w:rsidRPr="00F32B28">
        <w:rPr>
          <w:rtl/>
        </w:rPr>
        <w:t>كما</w:t>
      </w:r>
      <w:r w:rsidR="00F32B28">
        <w:rPr>
          <w:rtl/>
        </w:rPr>
        <w:t xml:space="preserve"> </w:t>
      </w:r>
      <w:r w:rsidR="00F32B28" w:rsidRPr="00F32B28">
        <w:rPr>
          <w:rtl/>
        </w:rPr>
        <w:t>وتفرض</w:t>
      </w:r>
      <w:r w:rsidR="00F32B28">
        <w:rPr>
          <w:rtl/>
        </w:rPr>
        <w:t xml:space="preserve"> </w:t>
      </w:r>
      <w:r w:rsidR="00F32B28" w:rsidRPr="00F32B28">
        <w:rPr>
          <w:rtl/>
        </w:rPr>
        <w:t>سلطات</w:t>
      </w:r>
      <w:r w:rsidR="00F32B28">
        <w:rPr>
          <w:rtl/>
        </w:rPr>
        <w:t xml:space="preserve"> </w:t>
      </w:r>
      <w:r w:rsidR="00F32B28" w:rsidRPr="00F32B28">
        <w:rPr>
          <w:rtl/>
        </w:rPr>
        <w:t>الاحتلال</w:t>
      </w:r>
      <w:r w:rsidR="00F32B28">
        <w:rPr>
          <w:rtl/>
        </w:rPr>
        <w:t xml:space="preserve"> </w:t>
      </w:r>
      <w:r w:rsidR="00F32B28" w:rsidRPr="00F32B28">
        <w:rPr>
          <w:rtl/>
        </w:rPr>
        <w:t>شتى</w:t>
      </w:r>
      <w:r w:rsidR="00F32B28">
        <w:rPr>
          <w:rtl/>
        </w:rPr>
        <w:t xml:space="preserve"> </w:t>
      </w:r>
      <w:r w:rsidR="00F32B28" w:rsidRPr="00F32B28">
        <w:rPr>
          <w:rtl/>
        </w:rPr>
        <w:t>القيود</w:t>
      </w:r>
      <w:r w:rsidR="00F32B28">
        <w:rPr>
          <w:rtl/>
        </w:rPr>
        <w:t xml:space="preserve"> </w:t>
      </w:r>
      <w:r w:rsidR="00F32B28" w:rsidRPr="00F32B28">
        <w:rPr>
          <w:rtl/>
        </w:rPr>
        <w:t>غير</w:t>
      </w:r>
      <w:r w:rsidR="00F32B28">
        <w:rPr>
          <w:rtl/>
        </w:rPr>
        <w:t xml:space="preserve"> </w:t>
      </w:r>
      <w:r w:rsidR="00F32B28" w:rsidRPr="00F32B28">
        <w:rPr>
          <w:rtl/>
        </w:rPr>
        <w:t>القانونية</w:t>
      </w:r>
      <w:r w:rsidR="00F32B28">
        <w:rPr>
          <w:rtl/>
        </w:rPr>
        <w:t xml:space="preserve"> </w:t>
      </w:r>
      <w:r w:rsidR="00F32B28" w:rsidRPr="00F32B28">
        <w:rPr>
          <w:rtl/>
        </w:rPr>
        <w:t>على</w:t>
      </w:r>
      <w:r w:rsidR="00F32B28">
        <w:rPr>
          <w:rtl/>
        </w:rPr>
        <w:t xml:space="preserve"> </w:t>
      </w:r>
      <w:r w:rsidR="00F32B28" w:rsidRPr="00F32B28">
        <w:rPr>
          <w:rtl/>
        </w:rPr>
        <w:t>عمليات</w:t>
      </w:r>
      <w:r w:rsidR="00F32B28">
        <w:rPr>
          <w:rtl/>
        </w:rPr>
        <w:t xml:space="preserve"> </w:t>
      </w:r>
      <w:r w:rsidR="00F32B28" w:rsidRPr="00F32B28">
        <w:rPr>
          <w:rtl/>
        </w:rPr>
        <w:t>إدخال</w:t>
      </w:r>
      <w:r w:rsidR="00F32B28">
        <w:rPr>
          <w:rtl/>
        </w:rPr>
        <w:t xml:space="preserve"> </w:t>
      </w:r>
      <w:r w:rsidR="00F32B28" w:rsidRPr="00F32B28">
        <w:rPr>
          <w:rtl/>
        </w:rPr>
        <w:t>الأدوية</w:t>
      </w:r>
      <w:r w:rsidR="00F32B28">
        <w:rPr>
          <w:rtl/>
        </w:rPr>
        <w:t xml:space="preserve"> </w:t>
      </w:r>
      <w:r w:rsidR="00F32B28" w:rsidRPr="00F32B28">
        <w:rPr>
          <w:rtl/>
        </w:rPr>
        <w:t>ووسائل</w:t>
      </w:r>
      <w:r w:rsidR="00F32B28">
        <w:rPr>
          <w:rtl/>
        </w:rPr>
        <w:t xml:space="preserve"> </w:t>
      </w:r>
      <w:r w:rsidR="00F32B28" w:rsidRPr="00F32B28">
        <w:rPr>
          <w:rtl/>
        </w:rPr>
        <w:t>العلاج</w:t>
      </w:r>
      <w:r w:rsidR="00F32B28">
        <w:rPr>
          <w:rtl/>
        </w:rPr>
        <w:t xml:space="preserve"> </w:t>
      </w:r>
      <w:r w:rsidR="00F32B28" w:rsidRPr="00F32B28">
        <w:rPr>
          <w:rtl/>
        </w:rPr>
        <w:t>والمعدات</w:t>
      </w:r>
      <w:r w:rsidR="00F32B28">
        <w:rPr>
          <w:rtl/>
        </w:rPr>
        <w:t xml:space="preserve"> </w:t>
      </w:r>
      <w:r w:rsidR="00F32B28" w:rsidRPr="00F32B28">
        <w:rPr>
          <w:rtl/>
        </w:rPr>
        <w:t>الطبية</w:t>
      </w:r>
      <w:r w:rsidR="00F32B28">
        <w:rPr>
          <w:rtl/>
        </w:rPr>
        <w:t xml:space="preserve"> </w:t>
      </w:r>
      <w:r w:rsidR="00F32B28" w:rsidRPr="00F32B28">
        <w:rPr>
          <w:rtl/>
        </w:rPr>
        <w:t>وصيانتها.</w:t>
      </w:r>
      <w:r w:rsidR="00F32B28">
        <w:rPr>
          <w:rtl/>
        </w:rPr>
        <w:t xml:space="preserve"> </w:t>
      </w:r>
      <w:r w:rsidR="00F32B28" w:rsidRPr="00F32B28">
        <w:rPr>
          <w:rtl/>
          <w:lang w:bidi="ar-SY"/>
        </w:rPr>
        <w:t>كما</w:t>
      </w:r>
      <w:r w:rsidR="00F32B28">
        <w:rPr>
          <w:rtl/>
          <w:lang w:bidi="ar-SY"/>
        </w:rPr>
        <w:t xml:space="preserve"> </w:t>
      </w:r>
      <w:r w:rsidR="00F32B28" w:rsidRPr="00F32B28">
        <w:rPr>
          <w:rtl/>
          <w:lang w:bidi="ar-SY"/>
        </w:rPr>
        <w:t>أدى</w:t>
      </w:r>
      <w:r w:rsidR="00F32B28">
        <w:rPr>
          <w:rtl/>
          <w:lang w:bidi="ar-SY"/>
        </w:rPr>
        <w:t xml:space="preserve"> </w:t>
      </w:r>
      <w:r w:rsidR="00F32B28" w:rsidRPr="00F32B28">
        <w:rPr>
          <w:rtl/>
          <w:lang w:bidi="ar-SY"/>
        </w:rPr>
        <w:t>منع</w:t>
      </w:r>
      <w:r w:rsidR="00F32B28">
        <w:rPr>
          <w:rtl/>
          <w:lang w:bidi="ar-SY"/>
        </w:rPr>
        <w:t xml:space="preserve"> </w:t>
      </w:r>
      <w:r w:rsidR="00F32B28" w:rsidRPr="00F32B28">
        <w:rPr>
          <w:rtl/>
          <w:lang w:bidi="ar-SY"/>
        </w:rPr>
        <w:t>آلاف</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والفلسطينيون</w:t>
      </w:r>
      <w:r w:rsidR="00F32B28">
        <w:rPr>
          <w:rtl/>
          <w:lang w:bidi="ar-SY"/>
        </w:rPr>
        <w:t xml:space="preserve"> </w:t>
      </w:r>
      <w:r w:rsidR="00F32B28" w:rsidRPr="00F32B28">
        <w:rPr>
          <w:rtl/>
          <w:lang w:bidi="ar-SY"/>
        </w:rPr>
        <w:t>ممن</w:t>
      </w:r>
      <w:r w:rsidR="009F4D72">
        <w:rPr>
          <w:rFonts w:hint="cs"/>
          <w:rtl/>
          <w:lang w:bidi="ar-SY"/>
        </w:rPr>
        <w:t> </w:t>
      </w:r>
      <w:r w:rsidR="00F32B28" w:rsidRPr="00F32B28">
        <w:rPr>
          <w:rtl/>
          <w:lang w:bidi="ar-SY"/>
        </w:rPr>
        <w:t>يعانون</w:t>
      </w:r>
      <w:r w:rsidR="00F32B28">
        <w:rPr>
          <w:rtl/>
          <w:lang w:bidi="ar-SY"/>
        </w:rPr>
        <w:t xml:space="preserve"> </w:t>
      </w:r>
      <w:r w:rsidR="00F32B28" w:rsidRPr="00F32B28">
        <w:rPr>
          <w:rtl/>
          <w:lang w:bidi="ar-SY"/>
        </w:rPr>
        <w:t>أمراضاً</w:t>
      </w:r>
      <w:r w:rsidR="00F32B28">
        <w:rPr>
          <w:rtl/>
          <w:lang w:bidi="ar-SY"/>
        </w:rPr>
        <w:t xml:space="preserve"> </w:t>
      </w:r>
      <w:r w:rsidR="00F32B28" w:rsidRPr="00F32B28">
        <w:rPr>
          <w:rtl/>
          <w:lang w:bidi="ar-SY"/>
        </w:rPr>
        <w:t>خطيرة</w:t>
      </w:r>
      <w:r w:rsidR="00F32B28">
        <w:rPr>
          <w:rtl/>
          <w:lang w:bidi="ar-SY"/>
        </w:rPr>
        <w:t xml:space="preserve"> </w:t>
      </w:r>
      <w:r w:rsidR="00F32B28" w:rsidRPr="00F32B28">
        <w:rPr>
          <w:rtl/>
          <w:lang w:bidi="ar-SY"/>
        </w:rPr>
        <w:t>ومستعصية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السفر</w:t>
      </w:r>
      <w:r w:rsidR="00F32B28">
        <w:rPr>
          <w:rtl/>
          <w:lang w:bidi="ar-SY"/>
        </w:rPr>
        <w:t xml:space="preserve"> </w:t>
      </w:r>
      <w:r w:rsidR="00F32B28" w:rsidRPr="00F32B28">
        <w:rPr>
          <w:rtl/>
          <w:lang w:bidi="ar-SY"/>
        </w:rPr>
        <w:t>للعلاج</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والخارج</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وفاة</w:t>
      </w:r>
      <w:r w:rsidR="00F32B28">
        <w:rPr>
          <w:rtl/>
          <w:lang w:bidi="ar-SY"/>
        </w:rPr>
        <w:t xml:space="preserve"> </w:t>
      </w:r>
      <w:r w:rsidR="00F32B28" w:rsidRPr="00F32B28">
        <w:rPr>
          <w:rtl/>
          <w:lang w:bidi="ar-SY"/>
        </w:rPr>
        <w:t>المئات</w:t>
      </w:r>
      <w:r w:rsidR="00F32B28">
        <w:rPr>
          <w:rtl/>
          <w:lang w:bidi="ar-SY"/>
        </w:rPr>
        <w:t xml:space="preserve"> </w:t>
      </w:r>
      <w:r w:rsidR="00F32B28" w:rsidRPr="00F32B28">
        <w:rPr>
          <w:rtl/>
          <w:lang w:bidi="ar-SY"/>
        </w:rPr>
        <w:t>منهم.</w:t>
      </w:r>
      <w:r w:rsidR="00F32B28">
        <w:rPr>
          <w:rtl/>
          <w:lang w:bidi="ar-SY"/>
        </w:rPr>
        <w:t xml:space="preserve"> </w:t>
      </w:r>
    </w:p>
    <w:p w:rsidR="00851F93" w:rsidRPr="00851F93" w:rsidRDefault="00851F93" w:rsidP="00851F93">
      <w:pPr>
        <w:pStyle w:val="SingleTxt"/>
        <w:spacing w:after="0" w:line="120" w:lineRule="exact"/>
        <w:rPr>
          <w:b/>
          <w:bCs/>
          <w:sz w:val="10"/>
          <w:rtl/>
          <w:lang w:bidi="ar-SY"/>
        </w:rPr>
      </w:pPr>
    </w:p>
    <w:p w:rsidR="00F32B28" w:rsidRPr="00F32B28" w:rsidRDefault="00F32B28" w:rsidP="00851F93">
      <w:pPr>
        <w:pStyle w:val="SingleTxt"/>
        <w:rPr>
          <w:b/>
          <w:bCs/>
          <w:rtl/>
          <w:lang w:bidi="ar-SY"/>
        </w:rPr>
      </w:pPr>
      <w:r w:rsidRPr="00F32B28">
        <w:rPr>
          <w:b/>
          <w:bCs/>
          <w:rtl/>
          <w:lang w:bidi="ar-SY"/>
        </w:rPr>
        <w:t>المادة</w:t>
      </w:r>
      <w:r>
        <w:rPr>
          <w:b/>
          <w:bCs/>
          <w:rtl/>
          <w:lang w:bidi="ar-SY"/>
        </w:rPr>
        <w:t xml:space="preserve"> </w:t>
      </w:r>
      <w:r w:rsidRPr="00F32B28">
        <w:rPr>
          <w:b/>
          <w:bCs/>
          <w:rtl/>
          <w:lang w:bidi="ar-SY"/>
        </w:rPr>
        <w:t>(13)</w:t>
      </w:r>
      <w:r w:rsidR="00851F93">
        <w:rPr>
          <w:rFonts w:hint="cs"/>
          <w:b/>
          <w:bCs/>
          <w:rtl/>
          <w:lang w:bidi="ar-SY"/>
        </w:rPr>
        <w:tab/>
      </w:r>
      <w:r w:rsidR="00851F93">
        <w:rPr>
          <w:rFonts w:hint="cs"/>
          <w:b/>
          <w:bCs/>
          <w:rtl/>
          <w:lang w:bidi="ar-SY"/>
        </w:rPr>
        <w:br/>
      </w:r>
      <w:r w:rsidRPr="00F32B28">
        <w:rPr>
          <w:b/>
          <w:bCs/>
          <w:rtl/>
          <w:lang w:bidi="ar-SY"/>
        </w:rPr>
        <w:t>المساواة</w:t>
      </w:r>
      <w:r>
        <w:rPr>
          <w:b/>
          <w:bCs/>
          <w:rtl/>
          <w:lang w:bidi="ar-SY"/>
        </w:rPr>
        <w:t xml:space="preserve"> </w:t>
      </w:r>
      <w:r w:rsidRPr="00F32B28">
        <w:rPr>
          <w:b/>
          <w:bCs/>
          <w:rtl/>
          <w:lang w:bidi="ar-SY"/>
        </w:rPr>
        <w:t>في</w:t>
      </w:r>
      <w:r>
        <w:rPr>
          <w:b/>
          <w:bCs/>
          <w:rtl/>
          <w:lang w:bidi="ar-SY"/>
        </w:rPr>
        <w:t xml:space="preserve"> </w:t>
      </w:r>
      <w:r w:rsidRPr="00F32B28">
        <w:rPr>
          <w:b/>
          <w:bCs/>
          <w:rtl/>
          <w:lang w:bidi="ar-SY"/>
        </w:rPr>
        <w:t>الحقوق</w:t>
      </w:r>
      <w:r>
        <w:rPr>
          <w:b/>
          <w:bCs/>
          <w:rtl/>
          <w:lang w:bidi="ar-SY"/>
        </w:rPr>
        <w:t xml:space="preserve"> </w:t>
      </w:r>
      <w:r w:rsidRPr="00F32B28">
        <w:rPr>
          <w:b/>
          <w:bCs/>
          <w:rtl/>
          <w:lang w:bidi="ar-SY"/>
        </w:rPr>
        <w:t>الاقتصادية</w:t>
      </w:r>
      <w:r>
        <w:rPr>
          <w:b/>
          <w:bCs/>
          <w:rtl/>
          <w:lang w:bidi="ar-SY"/>
        </w:rPr>
        <w:t xml:space="preserve"> </w:t>
      </w:r>
      <w:r w:rsidRPr="00F32B28">
        <w:rPr>
          <w:b/>
          <w:bCs/>
          <w:rtl/>
          <w:lang w:bidi="ar-SY"/>
        </w:rPr>
        <w:t>والاجتماعية</w:t>
      </w:r>
      <w:r>
        <w:rPr>
          <w:b/>
          <w:bCs/>
          <w:rtl/>
          <w:lang w:bidi="ar-SY"/>
        </w:rPr>
        <w:t xml:space="preserve"> </w:t>
      </w:r>
      <w:r w:rsidRPr="00F32B28">
        <w:rPr>
          <w:b/>
          <w:bCs/>
          <w:rtl/>
          <w:lang w:bidi="ar-SY"/>
        </w:rPr>
        <w:t>والثقافية</w:t>
      </w:r>
    </w:p>
    <w:p w:rsidR="00F32B28" w:rsidRPr="00F32B28" w:rsidRDefault="00851F93" w:rsidP="00851F93">
      <w:pPr>
        <w:pStyle w:val="SingleTxt"/>
      </w:pPr>
      <w:r>
        <w:rPr>
          <w:rFonts w:hint="cs"/>
          <w:rtl/>
          <w:lang w:bidi="ar-SY"/>
        </w:rPr>
        <w:t xml:space="preserve">263 - </w:t>
      </w:r>
      <w:r w:rsidR="00F32B28" w:rsidRPr="00F32B28">
        <w:rPr>
          <w:rtl/>
          <w:lang w:bidi="ar-SY"/>
        </w:rPr>
        <w:t>انضمت</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العهد</w:t>
      </w:r>
      <w:r w:rsidR="00F32B28">
        <w:rPr>
          <w:rtl/>
          <w:lang w:bidi="ar-LB"/>
        </w:rPr>
        <w:t xml:space="preserve"> </w:t>
      </w:r>
      <w:r w:rsidR="00F32B28" w:rsidRPr="00F32B28">
        <w:rPr>
          <w:rtl/>
          <w:lang w:bidi="ar-LB"/>
        </w:rPr>
        <w:t>الدولي</w:t>
      </w:r>
      <w:r w:rsidR="00F32B28">
        <w:rPr>
          <w:rtl/>
          <w:lang w:bidi="ar-LB"/>
        </w:rPr>
        <w:t xml:space="preserve"> </w:t>
      </w:r>
      <w:r w:rsidR="00F32B28" w:rsidRPr="00F32B28">
        <w:rPr>
          <w:rtl/>
          <w:lang w:bidi="ar-LB"/>
        </w:rPr>
        <w:t>الخاص</w:t>
      </w:r>
      <w:r w:rsidR="00F32B28">
        <w:rPr>
          <w:rtl/>
          <w:lang w:bidi="ar-LB"/>
        </w:rPr>
        <w:t xml:space="preserve"> </w:t>
      </w:r>
      <w:r w:rsidR="00F32B28" w:rsidRPr="00F32B28">
        <w:rPr>
          <w:rtl/>
          <w:lang w:bidi="ar-LB"/>
        </w:rPr>
        <w:t>بالحقوق</w:t>
      </w:r>
      <w:r w:rsidR="00F32B28">
        <w:rPr>
          <w:rtl/>
          <w:lang w:bidi="ar-LB"/>
        </w:rPr>
        <w:t xml:space="preserve"> </w:t>
      </w:r>
      <w:r w:rsidR="00F32B28" w:rsidRPr="00F32B28">
        <w:rPr>
          <w:rtl/>
          <w:lang w:bidi="ar-LB"/>
        </w:rPr>
        <w:t>الاقتصادية</w:t>
      </w:r>
      <w:r w:rsidR="00F32B28">
        <w:rPr>
          <w:rtl/>
          <w:lang w:bidi="ar-LB"/>
        </w:rPr>
        <w:t xml:space="preserve"> </w:t>
      </w:r>
      <w:r w:rsidR="00F32B28" w:rsidRPr="00F32B28">
        <w:rPr>
          <w:rtl/>
          <w:lang w:bidi="ar-LB"/>
        </w:rPr>
        <w:t>والاجتماعية</w:t>
      </w:r>
      <w:r w:rsidR="00F32B28">
        <w:rPr>
          <w:rtl/>
          <w:lang w:bidi="ar-LB"/>
        </w:rPr>
        <w:t xml:space="preserve"> </w:t>
      </w:r>
      <w:r w:rsidR="00F32B28" w:rsidRPr="00F32B28">
        <w:rPr>
          <w:rtl/>
          <w:lang w:bidi="ar-LB"/>
        </w:rPr>
        <w:t>والثقافية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2014،</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أكدت</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خلال</w:t>
      </w:r>
      <w:r w:rsidR="00F32B28">
        <w:rPr>
          <w:rtl/>
          <w:lang w:bidi="ar-LB"/>
        </w:rPr>
        <w:t xml:space="preserve"> </w:t>
      </w:r>
      <w:r w:rsidR="00F32B28" w:rsidRPr="00F32B28">
        <w:rPr>
          <w:rtl/>
          <w:lang w:bidi="ar-LB"/>
        </w:rPr>
        <w:t>مقدمة</w:t>
      </w:r>
      <w:r w:rsidR="00F32B28">
        <w:rPr>
          <w:rtl/>
          <w:lang w:bidi="ar-LB"/>
        </w:rPr>
        <w:t xml:space="preserve"> </w:t>
      </w:r>
      <w:r w:rsidR="00F32B28" w:rsidRPr="00F32B28">
        <w:rPr>
          <w:rtl/>
          <w:lang w:bidi="ar-LB"/>
        </w:rPr>
        <w:t>القانون</w:t>
      </w:r>
      <w:r w:rsidR="00F32B28">
        <w:rPr>
          <w:rtl/>
          <w:lang w:bidi="ar-LB"/>
        </w:rPr>
        <w:t xml:space="preserve"> </w:t>
      </w:r>
      <w:r w:rsidR="00F32B28" w:rsidRPr="00F32B28">
        <w:rPr>
          <w:rtl/>
          <w:lang w:bidi="ar-LB"/>
        </w:rPr>
        <w:t>الأساسي</w:t>
      </w:r>
      <w:r w:rsidR="00F32B28">
        <w:rPr>
          <w:rtl/>
          <w:lang w:bidi="ar-LB"/>
        </w:rPr>
        <w:t xml:space="preserve"> </w:t>
      </w:r>
      <w:r w:rsidR="00F32B28" w:rsidRPr="00F32B28">
        <w:rPr>
          <w:rtl/>
          <w:lang w:bidi="ar-LB"/>
        </w:rPr>
        <w:t>الفلسطيني</w:t>
      </w:r>
      <w:r w:rsidR="00F32B28">
        <w:rPr>
          <w:rtl/>
          <w:lang w:bidi="ar-LB"/>
        </w:rPr>
        <w:t xml:space="preserve"> </w:t>
      </w:r>
      <w:r w:rsidR="00F32B28" w:rsidRPr="00F32B28">
        <w:rPr>
          <w:rtl/>
          <w:lang w:bidi="ar-LB"/>
        </w:rPr>
        <w:t>المعدل</w:t>
      </w:r>
      <w:r w:rsidR="00F32B28">
        <w:rPr>
          <w:rtl/>
          <w:lang w:bidi="ar-LB"/>
        </w:rPr>
        <w:t xml:space="preserve"> </w:t>
      </w:r>
      <w:r w:rsidR="00F32B28" w:rsidRPr="00F32B28">
        <w:rPr>
          <w:rtl/>
          <w:lang w:bidi="ar-LB"/>
        </w:rPr>
        <w:t>ومواده</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التزامها</w:t>
      </w:r>
      <w:r w:rsidR="00F32B28">
        <w:rPr>
          <w:rtl/>
          <w:lang w:bidi="ar-LB"/>
        </w:rPr>
        <w:t xml:space="preserve"> </w:t>
      </w:r>
      <w:r w:rsidR="00F32B28" w:rsidRPr="00F32B28">
        <w:rPr>
          <w:rtl/>
          <w:lang w:bidi="ar-LB"/>
        </w:rPr>
        <w:t>بكفالة</w:t>
      </w:r>
      <w:r w:rsidR="00F32B28">
        <w:rPr>
          <w:rtl/>
          <w:lang w:bidi="ar-LB"/>
        </w:rPr>
        <w:t xml:space="preserve"> </w:t>
      </w:r>
      <w:r w:rsidR="00F32B28" w:rsidRPr="00F32B28">
        <w:rPr>
          <w:rtl/>
          <w:lang w:bidi="ar-LB"/>
        </w:rPr>
        <w:t>كافة</w:t>
      </w:r>
      <w:r w:rsidR="00F32B28">
        <w:rPr>
          <w:rtl/>
          <w:lang w:bidi="ar-LB"/>
        </w:rPr>
        <w:t xml:space="preserve"> </w:t>
      </w:r>
      <w:r w:rsidR="00F32B28" w:rsidRPr="00F32B28">
        <w:rPr>
          <w:rtl/>
          <w:lang w:bidi="ar-LB"/>
        </w:rPr>
        <w:t>الحقوق</w:t>
      </w:r>
      <w:r w:rsidR="00F32B28">
        <w:rPr>
          <w:rtl/>
          <w:lang w:bidi="ar-LB"/>
        </w:rPr>
        <w:t xml:space="preserve"> </w:t>
      </w:r>
      <w:r w:rsidR="00F32B28" w:rsidRPr="00F32B28">
        <w:rPr>
          <w:rtl/>
          <w:lang w:bidi="ar-LB"/>
        </w:rPr>
        <w:t>الإنسان</w:t>
      </w:r>
      <w:r w:rsidR="00F32B28">
        <w:rPr>
          <w:rtl/>
          <w:lang w:bidi="ar-LB"/>
        </w:rPr>
        <w:t xml:space="preserve"> </w:t>
      </w:r>
      <w:r w:rsidR="00F32B28" w:rsidRPr="00F32B28">
        <w:rPr>
          <w:rtl/>
          <w:lang w:bidi="ar-LB"/>
        </w:rPr>
        <w:t>وحرياته</w:t>
      </w:r>
      <w:r w:rsidR="00F32B28">
        <w:rPr>
          <w:rtl/>
          <w:lang w:bidi="ar-LB"/>
        </w:rPr>
        <w:t xml:space="preserve"> </w:t>
      </w:r>
      <w:r w:rsidR="00F32B28" w:rsidRPr="00F32B28">
        <w:rPr>
          <w:rtl/>
          <w:lang w:bidi="ar-LB"/>
        </w:rPr>
        <w:t>الأساسية</w:t>
      </w:r>
      <w:r w:rsidR="00F32B28">
        <w:rPr>
          <w:rtl/>
          <w:lang w:bidi="ar-LB"/>
        </w:rPr>
        <w:t xml:space="preserve"> </w:t>
      </w:r>
      <w:r w:rsidR="00F32B28" w:rsidRPr="00F32B28">
        <w:rPr>
          <w:rtl/>
          <w:lang w:bidi="ar-LB"/>
        </w:rPr>
        <w:t>واحترامها.</w:t>
      </w:r>
      <w:r w:rsidR="00F32B28">
        <w:rPr>
          <w:rtl/>
          <w:lang w:bidi="ar-LB"/>
        </w:rPr>
        <w:t xml:space="preserve"> </w:t>
      </w:r>
      <w:r w:rsidR="00F32B28" w:rsidRPr="00F32B28">
        <w:rPr>
          <w:rtl/>
          <w:lang w:bidi="ar-LB"/>
        </w:rPr>
        <w:t>ولا</w:t>
      </w:r>
      <w:r w:rsidR="00F32B28">
        <w:rPr>
          <w:rtl/>
          <w:lang w:bidi="ar-LB"/>
        </w:rPr>
        <w:t xml:space="preserve"> </w:t>
      </w:r>
      <w:r w:rsidR="00F32B28" w:rsidRPr="00F32B28">
        <w:rPr>
          <w:rtl/>
          <w:lang w:bidi="ar-LB"/>
        </w:rPr>
        <w:t>تدخر</w:t>
      </w:r>
      <w:r w:rsidR="00F32B28">
        <w:rPr>
          <w:rtl/>
          <w:lang w:bidi="ar-LB"/>
        </w:rPr>
        <w:t xml:space="preserve"> </w:t>
      </w:r>
      <w:r w:rsidR="00F32B28" w:rsidRPr="00F32B28">
        <w:rPr>
          <w:rtl/>
          <w:lang w:bidi="ar-LB"/>
        </w:rPr>
        <w:t>فلسطين</w:t>
      </w:r>
      <w:r w:rsidR="00F32B28">
        <w:rPr>
          <w:rtl/>
          <w:lang w:bidi="ar-LB"/>
        </w:rPr>
        <w:t xml:space="preserve"> </w:t>
      </w:r>
      <w:r w:rsidR="00F32B28" w:rsidRPr="00F32B28">
        <w:rPr>
          <w:rtl/>
          <w:lang w:bidi="ar-LB"/>
        </w:rPr>
        <w:t>جهداً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تفعيل</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الحقوق</w:t>
      </w:r>
      <w:r w:rsidR="00F32B28">
        <w:rPr>
          <w:rtl/>
          <w:lang w:bidi="ar-LB"/>
        </w:rPr>
        <w:t xml:space="preserve"> </w:t>
      </w:r>
      <w:r w:rsidR="00F32B28" w:rsidRPr="00F32B28">
        <w:rPr>
          <w:rtl/>
          <w:lang w:bidi="ar-LB"/>
        </w:rPr>
        <w:t>والتركيز</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قضايا</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كشريك</w:t>
      </w:r>
      <w:r w:rsidR="00F32B28">
        <w:rPr>
          <w:rtl/>
          <w:lang w:bidi="ar-LB"/>
        </w:rPr>
        <w:t xml:space="preserve"> </w:t>
      </w:r>
      <w:r w:rsidR="00F32B28" w:rsidRPr="00F32B28">
        <w:rPr>
          <w:rtl/>
          <w:lang w:bidi="ar-LB"/>
        </w:rPr>
        <w:t>أساسي</w:t>
      </w:r>
      <w:r w:rsidR="00F32B28">
        <w:rPr>
          <w:rtl/>
          <w:lang w:bidi="ar-LB"/>
        </w:rPr>
        <w:t xml:space="preserve"> </w:t>
      </w:r>
      <w:r w:rsidR="00F32B28" w:rsidRPr="00F32B28">
        <w:rPr>
          <w:rtl/>
          <w:lang w:bidi="ar-LB"/>
        </w:rPr>
        <w:t>وفاعل</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بناء</w:t>
      </w:r>
      <w:r w:rsidR="00F32B28">
        <w:rPr>
          <w:rtl/>
          <w:lang w:bidi="ar-LB"/>
        </w:rPr>
        <w:t xml:space="preserve"> </w:t>
      </w:r>
      <w:r w:rsidR="00F32B28" w:rsidRPr="00F32B28">
        <w:rPr>
          <w:rtl/>
          <w:lang w:bidi="ar-LB"/>
        </w:rPr>
        <w:t>الاقتصاد</w:t>
      </w:r>
      <w:r w:rsidR="00F32B28">
        <w:rPr>
          <w:rtl/>
          <w:lang w:bidi="ar-LB"/>
        </w:rPr>
        <w:t xml:space="preserve"> </w:t>
      </w:r>
      <w:r w:rsidR="00F32B28" w:rsidRPr="00F32B28">
        <w:rPr>
          <w:rtl/>
          <w:lang w:bidi="ar-LB"/>
        </w:rPr>
        <w:t>والمجتمع.</w:t>
      </w:r>
    </w:p>
    <w:p w:rsidR="00851F93" w:rsidRPr="00851F93" w:rsidRDefault="00851F93" w:rsidP="00851F93">
      <w:pPr>
        <w:pStyle w:val="SingleTxt"/>
        <w:spacing w:after="0" w:line="120" w:lineRule="exact"/>
        <w:rPr>
          <w:b/>
          <w:bCs/>
          <w:sz w:val="10"/>
          <w:rtl/>
          <w:lang w:bidi="ar-LB"/>
        </w:rPr>
      </w:pPr>
    </w:p>
    <w:p w:rsidR="00F32B28" w:rsidRPr="00F32B28" w:rsidRDefault="00F32B28" w:rsidP="00F32B28">
      <w:pPr>
        <w:pStyle w:val="SingleTxt"/>
        <w:rPr>
          <w:rtl/>
          <w:lang w:bidi="ar-LB"/>
        </w:rPr>
      </w:pPr>
      <w:r w:rsidRPr="00F32B28">
        <w:rPr>
          <w:b/>
          <w:bCs/>
          <w:rtl/>
          <w:lang w:bidi="ar-LB"/>
        </w:rPr>
        <w:t>الحق</w:t>
      </w:r>
      <w:r>
        <w:rPr>
          <w:b/>
          <w:bCs/>
          <w:rtl/>
          <w:lang w:bidi="ar-LB"/>
        </w:rPr>
        <w:t xml:space="preserve"> </w:t>
      </w:r>
      <w:r w:rsidRPr="00F32B28">
        <w:rPr>
          <w:b/>
          <w:bCs/>
          <w:rtl/>
          <w:lang w:bidi="ar-LB"/>
        </w:rPr>
        <w:t>في</w:t>
      </w:r>
      <w:r>
        <w:rPr>
          <w:b/>
          <w:bCs/>
          <w:rtl/>
          <w:lang w:bidi="ar-LB"/>
        </w:rPr>
        <w:t xml:space="preserve"> </w:t>
      </w:r>
      <w:r w:rsidRPr="00F32B28">
        <w:rPr>
          <w:b/>
          <w:bCs/>
          <w:rtl/>
          <w:lang w:bidi="ar-LB"/>
        </w:rPr>
        <w:t>السكن</w:t>
      </w:r>
      <w:r>
        <w:rPr>
          <w:b/>
          <w:bCs/>
          <w:rtl/>
          <w:lang w:bidi="ar-LB"/>
        </w:rPr>
        <w:t xml:space="preserve"> </w:t>
      </w:r>
      <w:r w:rsidRPr="00F32B28">
        <w:rPr>
          <w:b/>
          <w:bCs/>
          <w:rtl/>
          <w:lang w:bidi="ar-LB"/>
        </w:rPr>
        <w:t>الملائم</w:t>
      </w:r>
    </w:p>
    <w:p w:rsidR="00F32B28" w:rsidRPr="00F32B28" w:rsidRDefault="00851F93" w:rsidP="00851F93">
      <w:pPr>
        <w:pStyle w:val="SingleTxt"/>
        <w:rPr>
          <w:rtl/>
          <w:lang w:bidi="ar-SY"/>
        </w:rPr>
      </w:pPr>
      <w:r>
        <w:rPr>
          <w:rFonts w:hint="cs"/>
          <w:rtl/>
          <w:lang w:bidi="ar-SY"/>
        </w:rPr>
        <w:t xml:space="preserve">264 - </w:t>
      </w:r>
      <w:r w:rsidR="00F32B28" w:rsidRPr="00F32B28">
        <w:rPr>
          <w:rtl/>
          <w:lang w:bidi="ar-SY"/>
        </w:rPr>
        <w:t>أكد</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المعدل</w:t>
      </w:r>
      <w:r w:rsidR="00F32B28">
        <w:rPr>
          <w:rtl/>
          <w:lang w:bidi="ar-SY"/>
        </w:rPr>
        <w:t xml:space="preserve"> </w:t>
      </w:r>
      <w:r w:rsidR="00F32B28" w:rsidRPr="00F32B28">
        <w:rPr>
          <w:rtl/>
          <w:lang w:bidi="ar-SY"/>
        </w:rPr>
        <w:t>بأن</w:t>
      </w:r>
      <w:r w:rsidR="00F32B28">
        <w:rPr>
          <w:rtl/>
          <w:lang w:bidi="ar-SY"/>
        </w:rPr>
        <w:t xml:space="preserve"> </w:t>
      </w:r>
      <w:r w:rsidR="00F32B28" w:rsidRPr="00F32B28">
        <w:rPr>
          <w:rtl/>
          <w:lang w:bidi="ar-SY"/>
        </w:rPr>
        <w:t>المسكن</w:t>
      </w:r>
      <w:r w:rsidR="00F32B28">
        <w:rPr>
          <w:rtl/>
          <w:lang w:bidi="ar-SY"/>
        </w:rPr>
        <w:t xml:space="preserve"> </w:t>
      </w:r>
      <w:r w:rsidR="00F32B28" w:rsidRPr="00F32B28">
        <w:rPr>
          <w:rtl/>
          <w:lang w:bidi="ar-SY"/>
        </w:rPr>
        <w:t>الملائم</w:t>
      </w:r>
      <w:r w:rsidR="00F32B28">
        <w:rPr>
          <w:rtl/>
          <w:lang w:bidi="ar-SY"/>
        </w:rPr>
        <w:t xml:space="preserve"> </w:t>
      </w:r>
      <w:r w:rsidR="00F32B28" w:rsidRPr="00F32B28">
        <w:rPr>
          <w:rtl/>
          <w:lang w:bidi="ar-SY"/>
        </w:rPr>
        <w:t>هو</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لكل</w:t>
      </w:r>
      <w:r w:rsidR="00F32B28">
        <w:rPr>
          <w:rtl/>
          <w:lang w:bidi="ar-SY"/>
        </w:rPr>
        <w:t xml:space="preserve"> </w:t>
      </w:r>
      <w:r w:rsidR="00F32B28" w:rsidRPr="00F32B28">
        <w:rPr>
          <w:rtl/>
          <w:lang w:bidi="ar-SY"/>
        </w:rPr>
        <w:t>مواطن،</w:t>
      </w:r>
      <w:r w:rsidR="00F32B28">
        <w:rPr>
          <w:rtl/>
          <w:lang w:bidi="ar-SY"/>
        </w:rPr>
        <w:t xml:space="preserve"> </w:t>
      </w:r>
      <w:r w:rsidR="00F32B28" w:rsidRPr="00F32B28">
        <w:rPr>
          <w:rtl/>
          <w:lang w:bidi="ar-SY"/>
        </w:rPr>
        <w:t>وتسعى</w:t>
      </w:r>
      <w:r w:rsidR="00F32B28">
        <w:rPr>
          <w:rtl/>
          <w:lang w:bidi="ar-SY"/>
        </w:rPr>
        <w:t xml:space="preserve"> </w:t>
      </w:r>
      <w:r w:rsidR="00F32B28" w:rsidRPr="00F32B28">
        <w:rPr>
          <w:rtl/>
          <w:lang w:bidi="ar-SY"/>
        </w:rPr>
        <w:t>الدولة</w:t>
      </w:r>
      <w:r w:rsidR="00F32B28">
        <w:rPr>
          <w:rtl/>
          <w:lang w:bidi="ar-SY"/>
        </w:rPr>
        <w:t xml:space="preserve"> </w:t>
      </w:r>
      <w:r w:rsidR="00F32B28" w:rsidRPr="00F32B28">
        <w:rPr>
          <w:rtl/>
          <w:lang w:bidi="ar-SY"/>
        </w:rPr>
        <w:t>لتأمينه</w:t>
      </w:r>
      <w:r w:rsidR="00F32B28">
        <w:rPr>
          <w:rtl/>
          <w:lang w:bidi="ar-SY"/>
        </w:rPr>
        <w:t xml:space="preserve"> </w:t>
      </w:r>
      <w:r w:rsidR="00F32B28" w:rsidRPr="00F32B28">
        <w:rPr>
          <w:rtl/>
          <w:lang w:bidi="ar-SY"/>
        </w:rPr>
        <w:t>لمن</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مأوى</w:t>
      </w:r>
      <w:r w:rsidR="00F32B28">
        <w:rPr>
          <w:rtl/>
          <w:lang w:bidi="ar-SY"/>
        </w:rPr>
        <w:t xml:space="preserve"> </w:t>
      </w:r>
      <w:r w:rsidR="00F32B28" w:rsidRPr="00F32B28">
        <w:rPr>
          <w:rtl/>
          <w:lang w:bidi="ar-SY"/>
        </w:rPr>
        <w:t>له.</w:t>
      </w:r>
      <w:r w:rsidR="00F32B28">
        <w:rPr>
          <w:rtl/>
          <w:lang w:bidi="ar-SY"/>
        </w:rPr>
        <w:t xml:space="preserve"> </w:t>
      </w:r>
      <w:r w:rsidR="00F32B28" w:rsidRPr="00F32B28">
        <w:rPr>
          <w:rtl/>
          <w:lang w:bidi="ar-SY"/>
        </w:rPr>
        <w:t>ولم</w:t>
      </w:r>
      <w:r w:rsidR="00F32B28">
        <w:rPr>
          <w:rtl/>
          <w:lang w:bidi="ar-SY"/>
        </w:rPr>
        <w:t xml:space="preserve"> </w:t>
      </w:r>
      <w:r w:rsidR="00F32B28" w:rsidRPr="00F32B28">
        <w:rPr>
          <w:rtl/>
          <w:lang w:bidi="ar-SY"/>
        </w:rPr>
        <w:t>تميز</w:t>
      </w:r>
      <w:r w:rsidR="00F32B28">
        <w:rPr>
          <w:rtl/>
          <w:lang w:bidi="ar-SY"/>
        </w:rPr>
        <w:t xml:space="preserve"> </w:t>
      </w:r>
      <w:r w:rsidR="00F32B28" w:rsidRPr="00F32B28">
        <w:rPr>
          <w:rtl/>
          <w:lang w:bidi="ar-SY"/>
        </w:rPr>
        <w:t>القوانين</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العلاقة،</w:t>
      </w:r>
      <w:r w:rsidR="00F32B28">
        <w:rPr>
          <w:rtl/>
          <w:lang w:bidi="ar-SY"/>
        </w:rPr>
        <w:t xml:space="preserve"> </w:t>
      </w:r>
      <w:r w:rsidR="00F32B28" w:rsidRPr="00F32B28">
        <w:rPr>
          <w:rtl/>
          <w:lang w:bidi="ar-SY"/>
        </w:rPr>
        <w:t>كقانون</w:t>
      </w:r>
      <w:r w:rsidR="00F32B28">
        <w:rPr>
          <w:rtl/>
          <w:lang w:bidi="ar-SY"/>
        </w:rPr>
        <w:t xml:space="preserve"> </w:t>
      </w:r>
      <w:r w:rsidR="00F32B28" w:rsidRPr="00F32B28">
        <w:rPr>
          <w:rtl/>
          <w:lang w:bidi="ar-SY"/>
        </w:rPr>
        <w:t>رقم</w:t>
      </w:r>
      <w:r w:rsidR="00F32B28">
        <w:rPr>
          <w:rtl/>
          <w:lang w:bidi="ar-SY"/>
        </w:rPr>
        <w:t xml:space="preserve"> </w:t>
      </w:r>
      <w:r w:rsidR="00F32B28" w:rsidRPr="00F32B28">
        <w:rPr>
          <w:rtl/>
          <w:lang w:bidi="ar-SY"/>
        </w:rPr>
        <w:t>(1)</w:t>
      </w:r>
      <w:r w:rsidR="00F32B28">
        <w:rPr>
          <w:rtl/>
          <w:lang w:bidi="ar-SY"/>
        </w:rPr>
        <w:t xml:space="preserve"> </w:t>
      </w:r>
      <w:r w:rsidR="00F32B28" w:rsidRPr="00F32B28">
        <w:rPr>
          <w:rtl/>
          <w:lang w:bidi="ar-SY"/>
        </w:rPr>
        <w:t>لسنة</w:t>
      </w:r>
      <w:r w:rsidR="00F32B28">
        <w:rPr>
          <w:rtl/>
          <w:lang w:bidi="ar-SY"/>
        </w:rPr>
        <w:t xml:space="preserve"> </w:t>
      </w:r>
      <w:r w:rsidR="00F32B28" w:rsidRPr="00F32B28">
        <w:rPr>
          <w:rtl/>
          <w:lang w:bidi="ar-SY"/>
        </w:rPr>
        <w:t>1996</w:t>
      </w:r>
      <w:r w:rsidR="009F4D72">
        <w:rPr>
          <w:rFonts w:hint="cs"/>
          <w:rtl/>
          <w:lang w:bidi="ar-SY"/>
        </w:rPr>
        <w:t xml:space="preserve"> </w:t>
      </w:r>
      <w:r w:rsidR="00F32B28" w:rsidRPr="00F32B28">
        <w:rPr>
          <w:rtl/>
          <w:lang w:bidi="ar-SY"/>
        </w:rPr>
        <w:t>بشأن</w:t>
      </w:r>
      <w:r w:rsidR="00F32B28">
        <w:rPr>
          <w:rtl/>
          <w:lang w:bidi="ar-SY"/>
        </w:rPr>
        <w:t xml:space="preserve"> </w:t>
      </w:r>
      <w:r w:rsidR="00F32B28" w:rsidRPr="00F32B28">
        <w:rPr>
          <w:rtl/>
          <w:lang w:bidi="ar-SY"/>
        </w:rPr>
        <w:t>تمليك</w:t>
      </w:r>
      <w:r w:rsidR="00F32B28">
        <w:rPr>
          <w:rtl/>
          <w:lang w:bidi="ar-SY"/>
        </w:rPr>
        <w:t xml:space="preserve"> </w:t>
      </w:r>
      <w:r w:rsidR="00F32B28" w:rsidRPr="00F32B28">
        <w:rPr>
          <w:rtl/>
          <w:lang w:bidi="ar-SY"/>
        </w:rPr>
        <w:t>الطبقات</w:t>
      </w:r>
      <w:r w:rsidR="00F32B28">
        <w:rPr>
          <w:rtl/>
          <w:lang w:bidi="ar-SY"/>
        </w:rPr>
        <w:t xml:space="preserve"> </w:t>
      </w:r>
      <w:r w:rsidR="00F32B28" w:rsidRPr="00F32B28">
        <w:rPr>
          <w:rtl/>
          <w:lang w:bidi="ar-SY"/>
        </w:rPr>
        <w:t>والشقق</w:t>
      </w:r>
      <w:r w:rsidR="00F32B28">
        <w:rPr>
          <w:rtl/>
          <w:lang w:bidi="ar-SY"/>
        </w:rPr>
        <w:t xml:space="preserve"> </w:t>
      </w:r>
      <w:r w:rsidR="00F32B28" w:rsidRPr="00F32B28">
        <w:rPr>
          <w:rtl/>
          <w:lang w:bidi="ar-SY"/>
        </w:rPr>
        <w:t>والمحلات،</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الرجال</w:t>
      </w:r>
      <w:r w:rsidR="00F32B28">
        <w:rPr>
          <w:rtl/>
          <w:lang w:bidi="ar-SY"/>
        </w:rPr>
        <w:t xml:space="preserve"> </w:t>
      </w:r>
      <w:r w:rsidR="00F32B28" w:rsidRPr="00F32B28">
        <w:rPr>
          <w:rtl/>
          <w:lang w:bidi="ar-SY"/>
        </w:rPr>
        <w:t>والنساء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المجال.</w:t>
      </w:r>
      <w:r w:rsidR="00F32B28">
        <w:rPr>
          <w:rtl/>
          <w:lang w:bidi="ar-SY"/>
        </w:rPr>
        <w:t xml:space="preserve"> </w:t>
      </w:r>
    </w:p>
    <w:p w:rsidR="00F32B28" w:rsidRPr="00F32B28" w:rsidRDefault="00851F93" w:rsidP="00851F93">
      <w:pPr>
        <w:pStyle w:val="SingleTxt"/>
        <w:rPr>
          <w:rtl/>
          <w:lang w:bidi="ar-SY"/>
        </w:rPr>
      </w:pPr>
      <w:r>
        <w:rPr>
          <w:rFonts w:hint="cs"/>
          <w:rtl/>
          <w:lang w:bidi="ar-SY"/>
        </w:rPr>
        <w:t xml:space="preserve">265 - </w:t>
      </w:r>
      <w:r w:rsidR="00F32B28" w:rsidRPr="00F32B28">
        <w:rPr>
          <w:rtl/>
          <w:lang w:bidi="ar-SY"/>
        </w:rPr>
        <w:t>وتعمل</w:t>
      </w:r>
      <w:r w:rsidR="00F32B28">
        <w:rPr>
          <w:rtl/>
          <w:lang w:bidi="ar-SY"/>
        </w:rPr>
        <w:t xml:space="preserve"> </w:t>
      </w:r>
      <w:r w:rsidR="00F32B28" w:rsidRPr="00F32B28">
        <w:rPr>
          <w:rtl/>
          <w:lang w:bidi="ar-SY"/>
        </w:rPr>
        <w:t>وزارة</w:t>
      </w:r>
      <w:r w:rsidR="00F32B28">
        <w:rPr>
          <w:rtl/>
          <w:lang w:bidi="ar-SY"/>
        </w:rPr>
        <w:t xml:space="preserve"> </w:t>
      </w:r>
      <w:r w:rsidR="00F32B28" w:rsidRPr="00F32B28">
        <w:rPr>
          <w:rtl/>
          <w:lang w:bidi="ar-SY"/>
        </w:rPr>
        <w:t>الأشغال</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والإسكان</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وضمن</w:t>
      </w:r>
      <w:r w:rsidR="00F32B28">
        <w:rPr>
          <w:rtl/>
          <w:lang w:bidi="ar-SY"/>
        </w:rPr>
        <w:t xml:space="preserve"> </w:t>
      </w:r>
      <w:r w:rsidR="00F32B28" w:rsidRPr="00F32B28">
        <w:rPr>
          <w:rtl/>
          <w:lang w:bidi="ar-SY"/>
        </w:rPr>
        <w:t>خططها</w:t>
      </w:r>
      <w:r w:rsidR="00F32B28">
        <w:rPr>
          <w:rtl/>
          <w:lang w:bidi="ar-SY"/>
        </w:rPr>
        <w:t xml:space="preserve"> </w:t>
      </w:r>
      <w:r w:rsidR="00F32B28" w:rsidRPr="00F32B28">
        <w:rPr>
          <w:rtl/>
          <w:lang w:bidi="ar-SY"/>
        </w:rPr>
        <w:t>الاستراتيجية</w:t>
      </w:r>
      <w:r w:rsidR="00F32B28">
        <w:rPr>
          <w:rtl/>
          <w:lang w:bidi="ar-SY"/>
        </w:rPr>
        <w:t xml:space="preserve"> </w:t>
      </w:r>
      <w:r w:rsidR="00F32B28" w:rsidRPr="00F32B28">
        <w:rPr>
          <w:rtl/>
          <w:lang w:bidi="ar-SY"/>
        </w:rPr>
        <w:t>للأعوام</w:t>
      </w:r>
      <w:r w:rsidR="00F32B28">
        <w:rPr>
          <w:rtl/>
          <w:lang w:bidi="ar-SY"/>
        </w:rPr>
        <w:t xml:space="preserve"> </w:t>
      </w:r>
      <w:r w:rsidR="00F32B28" w:rsidRPr="00F32B28">
        <w:rPr>
          <w:rtl/>
          <w:lang w:bidi="ar-SY"/>
        </w:rPr>
        <w:t>الأخيرة،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تخطيط</w:t>
      </w:r>
      <w:r w:rsidR="00F32B28">
        <w:rPr>
          <w:rtl/>
          <w:lang w:bidi="ar-SY"/>
        </w:rPr>
        <w:t xml:space="preserve"> </w:t>
      </w:r>
      <w:r w:rsidR="00F32B28" w:rsidRPr="00F32B28">
        <w:rPr>
          <w:rtl/>
          <w:lang w:bidi="ar-SY"/>
        </w:rPr>
        <w:t>وتنفيذ</w:t>
      </w:r>
      <w:r w:rsidR="00F32B28">
        <w:rPr>
          <w:rtl/>
          <w:lang w:bidi="ar-SY"/>
        </w:rPr>
        <w:t xml:space="preserve"> </w:t>
      </w:r>
      <w:r w:rsidR="00F32B28" w:rsidRPr="00F32B28">
        <w:rPr>
          <w:rtl/>
          <w:lang w:bidi="ar-SY"/>
        </w:rPr>
        <w:t>عدة</w:t>
      </w:r>
      <w:r w:rsidR="00F32B28">
        <w:rPr>
          <w:rtl/>
          <w:lang w:bidi="ar-SY"/>
        </w:rPr>
        <w:t xml:space="preserve"> </w:t>
      </w:r>
      <w:r w:rsidR="00F32B28" w:rsidRPr="00F32B28">
        <w:rPr>
          <w:rtl/>
          <w:lang w:bidi="ar-SY"/>
        </w:rPr>
        <w:t>مشاريع</w:t>
      </w:r>
      <w:r w:rsidR="00F32B28">
        <w:rPr>
          <w:rtl/>
          <w:lang w:bidi="ar-SY"/>
        </w:rPr>
        <w:t xml:space="preserve"> </w:t>
      </w:r>
      <w:r w:rsidR="00F32B28" w:rsidRPr="00F32B28">
        <w:rPr>
          <w:rtl/>
          <w:lang w:bidi="ar-SY"/>
        </w:rPr>
        <w:t>إسكانية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أجل</w:t>
      </w:r>
      <w:r w:rsidR="00F32B28">
        <w:rPr>
          <w:rtl/>
          <w:lang w:bidi="ar-SY"/>
        </w:rPr>
        <w:t xml:space="preserve"> </w:t>
      </w:r>
      <w:r w:rsidR="00F32B28" w:rsidRPr="00F32B28">
        <w:rPr>
          <w:rtl/>
          <w:lang w:bidi="ar-SY"/>
        </w:rPr>
        <w:t>توفير</w:t>
      </w:r>
      <w:r w:rsidR="00F32B28">
        <w:rPr>
          <w:rtl/>
          <w:lang w:bidi="ar-SY"/>
        </w:rPr>
        <w:t xml:space="preserve"> </w:t>
      </w:r>
      <w:r w:rsidR="00F32B28" w:rsidRPr="00F32B28">
        <w:rPr>
          <w:rtl/>
          <w:lang w:bidi="ar-SY"/>
        </w:rPr>
        <w:t>سكن</w:t>
      </w:r>
      <w:r w:rsidR="00F32B28">
        <w:rPr>
          <w:rtl/>
          <w:lang w:bidi="ar-SY"/>
        </w:rPr>
        <w:t xml:space="preserve"> </w:t>
      </w:r>
      <w:r w:rsidR="00F32B28" w:rsidRPr="00F32B28">
        <w:rPr>
          <w:rtl/>
          <w:lang w:bidi="ar-SY"/>
        </w:rPr>
        <w:t>لائق</w:t>
      </w:r>
      <w:r w:rsidR="00F32B28">
        <w:rPr>
          <w:rtl/>
          <w:lang w:bidi="ar-SY"/>
        </w:rPr>
        <w:t xml:space="preserve"> </w:t>
      </w:r>
      <w:r w:rsidR="00F32B28" w:rsidRPr="00F32B28">
        <w:rPr>
          <w:rtl/>
          <w:lang w:bidi="ar-SY"/>
        </w:rPr>
        <w:t>وصحي</w:t>
      </w:r>
      <w:r w:rsidR="00F32B28">
        <w:rPr>
          <w:rtl/>
          <w:lang w:bidi="ar-SY"/>
        </w:rPr>
        <w:t xml:space="preserve"> </w:t>
      </w:r>
      <w:r w:rsidR="00F32B28" w:rsidRPr="00F32B28">
        <w:rPr>
          <w:rtl/>
          <w:lang w:bidi="ar-SY"/>
        </w:rPr>
        <w:t>وميسور</w:t>
      </w:r>
      <w:r w:rsidR="00F32B28">
        <w:rPr>
          <w:rtl/>
          <w:lang w:bidi="ar-SY"/>
        </w:rPr>
        <w:t xml:space="preserve"> </w:t>
      </w:r>
      <w:r w:rsidR="00F32B28" w:rsidRPr="00F32B28">
        <w:rPr>
          <w:rtl/>
          <w:lang w:bidi="ar-SY"/>
        </w:rPr>
        <w:t>التكلفة</w:t>
      </w:r>
      <w:r w:rsidR="00F32B28">
        <w:rPr>
          <w:rtl/>
          <w:lang w:bidi="ar-SY"/>
        </w:rPr>
        <w:t xml:space="preserve"> </w:t>
      </w:r>
      <w:r w:rsidR="00F32B28" w:rsidRPr="00F32B28">
        <w:rPr>
          <w:rtl/>
          <w:lang w:bidi="ar-SY"/>
        </w:rPr>
        <w:t>لكافة</w:t>
      </w:r>
      <w:r w:rsidR="00F32B28">
        <w:rPr>
          <w:rtl/>
          <w:lang w:bidi="ar-SY"/>
        </w:rPr>
        <w:t xml:space="preserve"> </w:t>
      </w:r>
      <w:r w:rsidR="00F32B28" w:rsidRPr="00F32B28">
        <w:rPr>
          <w:rtl/>
          <w:lang w:bidi="ar-SY"/>
        </w:rPr>
        <w:t>المواطنين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خلالها،</w:t>
      </w:r>
      <w:r w:rsidR="00F32B28">
        <w:rPr>
          <w:rtl/>
          <w:lang w:bidi="ar-SY"/>
        </w:rPr>
        <w:t xml:space="preserve"> </w:t>
      </w:r>
      <w:r w:rsidR="00F32B28" w:rsidRPr="00F32B28">
        <w:rPr>
          <w:rtl/>
          <w:lang w:bidi="ar-SY"/>
        </w:rPr>
        <w:t>وخاصة</w:t>
      </w:r>
      <w:r w:rsidR="00F32B28">
        <w:rPr>
          <w:rtl/>
          <w:lang w:bidi="ar-SY"/>
        </w:rPr>
        <w:t xml:space="preserve"> </w:t>
      </w:r>
      <w:r w:rsidR="00F32B28" w:rsidRPr="00F32B28">
        <w:rPr>
          <w:rtl/>
        </w:rPr>
        <w:t>الأسر</w:t>
      </w:r>
      <w:r w:rsidR="00F32B28">
        <w:rPr>
          <w:rtl/>
        </w:rPr>
        <w:t xml:space="preserve"> </w:t>
      </w:r>
      <w:r w:rsidR="00F32B28" w:rsidRPr="00F32B28">
        <w:rPr>
          <w:rtl/>
        </w:rPr>
        <w:t>التي</w:t>
      </w:r>
      <w:r w:rsidR="00F32B28">
        <w:rPr>
          <w:rtl/>
        </w:rPr>
        <w:t xml:space="preserve"> </w:t>
      </w:r>
      <w:r w:rsidR="00F32B28" w:rsidRPr="00F32B28">
        <w:rPr>
          <w:rtl/>
        </w:rPr>
        <w:t>دخلها</w:t>
      </w:r>
      <w:r w:rsidR="00F32B28">
        <w:rPr>
          <w:rtl/>
        </w:rPr>
        <w:t xml:space="preserve"> </w:t>
      </w:r>
      <w:r w:rsidR="00F32B28" w:rsidRPr="00F32B28">
        <w:rPr>
          <w:rtl/>
        </w:rPr>
        <w:t>أقل</w:t>
      </w:r>
      <w:r w:rsidR="00F32B28">
        <w:rPr>
          <w:rtl/>
        </w:rPr>
        <w:t xml:space="preserve"> </w:t>
      </w:r>
      <w:r w:rsidR="00F32B28" w:rsidRPr="00F32B28">
        <w:rPr>
          <w:rtl/>
        </w:rPr>
        <w:t>من</w:t>
      </w:r>
      <w:r w:rsidR="00F32B28">
        <w:rPr>
          <w:rtl/>
        </w:rPr>
        <w:t xml:space="preserve"> </w:t>
      </w:r>
      <w:r w:rsidR="00F32B28" w:rsidRPr="00F32B28">
        <w:rPr>
          <w:rtl/>
        </w:rPr>
        <w:t>متوسط</w:t>
      </w:r>
      <w:r w:rsidR="00F32B28">
        <w:rPr>
          <w:rtl/>
        </w:rPr>
        <w:t xml:space="preserve"> </w:t>
      </w:r>
      <w:r w:rsidR="00F32B28" w:rsidRPr="00F32B28">
        <w:rPr>
          <w:rtl/>
        </w:rPr>
        <w:t>الدخل،</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الأسر</w:t>
      </w:r>
      <w:r w:rsidR="00F32B28">
        <w:rPr>
          <w:rtl/>
        </w:rPr>
        <w:t xml:space="preserve"> </w:t>
      </w:r>
      <w:r w:rsidR="00F32B28" w:rsidRPr="00F32B28">
        <w:rPr>
          <w:rtl/>
        </w:rPr>
        <w:t>الفقيرة</w:t>
      </w:r>
      <w:r w:rsidR="00F32B28">
        <w:rPr>
          <w:rtl/>
        </w:rPr>
        <w:t xml:space="preserve"> </w:t>
      </w:r>
      <w:r w:rsidR="00F32B28" w:rsidRPr="00F32B28">
        <w:rPr>
          <w:rtl/>
        </w:rPr>
        <w:t>التي</w:t>
      </w:r>
      <w:r w:rsidR="00F32B28">
        <w:rPr>
          <w:rtl/>
        </w:rPr>
        <w:t xml:space="preserve"> </w:t>
      </w:r>
      <w:r w:rsidR="00F32B28" w:rsidRPr="00F32B28">
        <w:rPr>
          <w:rtl/>
        </w:rPr>
        <w:t>تعيلها</w:t>
      </w:r>
      <w:r w:rsidR="00F32B28">
        <w:rPr>
          <w:rtl/>
        </w:rPr>
        <w:t xml:space="preserve"> </w:t>
      </w:r>
      <w:r w:rsidR="00F32B28" w:rsidRPr="00F32B28">
        <w:rPr>
          <w:rtl/>
        </w:rPr>
        <w:t>النساء</w:t>
      </w:r>
      <w:r w:rsidR="00F32B28">
        <w:rPr>
          <w:rtl/>
        </w:rPr>
        <w:t xml:space="preserve"> </w:t>
      </w:r>
      <w:r w:rsidR="00F32B28" w:rsidRPr="00F32B28">
        <w:rPr>
          <w:rtl/>
        </w:rPr>
        <w:t>والأرامل.</w:t>
      </w:r>
      <w:r w:rsidR="00F32B28">
        <w:rPr>
          <w:rtl/>
        </w:rPr>
        <w:t xml:space="preserve"> </w:t>
      </w:r>
      <w:r w:rsidR="00F32B28" w:rsidRPr="00F32B28">
        <w:rPr>
          <w:rtl/>
        </w:rPr>
        <w:t>وبحسب</w:t>
      </w:r>
      <w:r w:rsidR="00F32B28">
        <w:rPr>
          <w:rtl/>
        </w:rPr>
        <w:t xml:space="preserve"> </w:t>
      </w:r>
      <w:r w:rsidR="00F32B28" w:rsidRPr="00F32B28">
        <w:rPr>
          <w:rtl/>
        </w:rPr>
        <w:t>الخطة،</w:t>
      </w:r>
      <w:r w:rsidR="00F32B28">
        <w:rPr>
          <w:rtl/>
        </w:rPr>
        <w:t xml:space="preserve"> </w:t>
      </w:r>
      <w:r w:rsidR="00F32B28" w:rsidRPr="00F32B28">
        <w:rPr>
          <w:rtl/>
        </w:rPr>
        <w:t>تعطي</w:t>
      </w:r>
      <w:r w:rsidR="00F32B28">
        <w:rPr>
          <w:rtl/>
        </w:rPr>
        <w:t xml:space="preserve"> </w:t>
      </w:r>
      <w:r w:rsidR="00F32B28" w:rsidRPr="00F32B28">
        <w:rPr>
          <w:rtl/>
        </w:rPr>
        <w:t>الوزارة</w:t>
      </w:r>
      <w:r w:rsidR="00F32B28">
        <w:rPr>
          <w:rtl/>
        </w:rPr>
        <w:t xml:space="preserve"> </w:t>
      </w:r>
      <w:r w:rsidR="00F32B28" w:rsidRPr="00F32B28">
        <w:rPr>
          <w:rtl/>
        </w:rPr>
        <w:t>الأولوية</w:t>
      </w:r>
      <w:r w:rsidR="00F32B28">
        <w:rPr>
          <w:rtl/>
        </w:rPr>
        <w:t xml:space="preserve"> </w:t>
      </w:r>
      <w:r w:rsidR="00F32B28" w:rsidRPr="00F32B28">
        <w:rPr>
          <w:rtl/>
        </w:rPr>
        <w:t>في</w:t>
      </w:r>
      <w:r w:rsidR="00F32B28">
        <w:rPr>
          <w:rtl/>
        </w:rPr>
        <w:t xml:space="preserve"> </w:t>
      </w:r>
      <w:r w:rsidR="00F32B28" w:rsidRPr="00F32B28">
        <w:rPr>
          <w:rtl/>
        </w:rPr>
        <w:t>بناء</w:t>
      </w:r>
      <w:r w:rsidR="00F32B28">
        <w:rPr>
          <w:rtl/>
        </w:rPr>
        <w:t xml:space="preserve"> </w:t>
      </w:r>
      <w:r w:rsidR="00F32B28" w:rsidRPr="00F32B28">
        <w:rPr>
          <w:rtl/>
        </w:rPr>
        <w:t>هذه</w:t>
      </w:r>
      <w:r w:rsidR="00F32B28">
        <w:rPr>
          <w:rtl/>
        </w:rPr>
        <w:t xml:space="preserve"> </w:t>
      </w:r>
      <w:r w:rsidR="00F32B28" w:rsidRPr="00F32B28">
        <w:rPr>
          <w:rtl/>
        </w:rPr>
        <w:t>المشاريع</w:t>
      </w:r>
      <w:r w:rsidR="00F32B28">
        <w:rPr>
          <w:rtl/>
        </w:rPr>
        <w:t xml:space="preserve"> </w:t>
      </w:r>
      <w:r w:rsidR="00F32B28" w:rsidRPr="00F32B28">
        <w:rPr>
          <w:rtl/>
        </w:rPr>
        <w:t>داخل</w:t>
      </w:r>
      <w:r w:rsidR="00F32B28">
        <w:rPr>
          <w:rtl/>
        </w:rPr>
        <w:t xml:space="preserve"> </w:t>
      </w:r>
      <w:r w:rsidR="00F32B28" w:rsidRPr="00F32B28">
        <w:rPr>
          <w:rtl/>
        </w:rPr>
        <w:t>المدن</w:t>
      </w:r>
      <w:r w:rsidR="00F32B28">
        <w:rPr>
          <w:rtl/>
        </w:rPr>
        <w:t xml:space="preserve"> </w:t>
      </w:r>
      <w:r w:rsidR="00F32B28" w:rsidRPr="00F32B28">
        <w:rPr>
          <w:rtl/>
        </w:rPr>
        <w:t>ومناطق</w:t>
      </w:r>
      <w:r w:rsidR="00F32B28">
        <w:rPr>
          <w:rtl/>
        </w:rPr>
        <w:t xml:space="preserve"> </w:t>
      </w:r>
      <w:r w:rsidR="00F32B28" w:rsidRPr="00F32B28">
        <w:rPr>
          <w:rtl/>
        </w:rPr>
        <w:t>التوسع</w:t>
      </w:r>
      <w:r w:rsidR="00F32B28">
        <w:rPr>
          <w:rtl/>
        </w:rPr>
        <w:t xml:space="preserve"> </w:t>
      </w:r>
      <w:r w:rsidR="00F32B28" w:rsidRPr="00F32B28">
        <w:rPr>
          <w:rtl/>
        </w:rPr>
        <w:t>المتاخمة</w:t>
      </w:r>
      <w:r w:rsidR="00F32B28">
        <w:rPr>
          <w:rtl/>
        </w:rPr>
        <w:t xml:space="preserve"> </w:t>
      </w:r>
      <w:r w:rsidR="00F32B28" w:rsidRPr="00F32B28">
        <w:rPr>
          <w:rtl/>
        </w:rPr>
        <w:t>مباشرة</w:t>
      </w:r>
      <w:r w:rsidR="00F32B28">
        <w:rPr>
          <w:rtl/>
        </w:rPr>
        <w:t xml:space="preserve"> </w:t>
      </w:r>
      <w:r w:rsidR="00F32B28" w:rsidRPr="00F32B28">
        <w:rPr>
          <w:rtl/>
        </w:rPr>
        <w:t>للمدن،</w:t>
      </w:r>
      <w:r w:rsidR="00F32B28">
        <w:rPr>
          <w:rtl/>
        </w:rPr>
        <w:t xml:space="preserve"> </w:t>
      </w:r>
      <w:r w:rsidR="00F32B28" w:rsidRPr="00F32B28">
        <w:rPr>
          <w:rtl/>
        </w:rPr>
        <w:t>وذلك</w:t>
      </w:r>
      <w:r w:rsidR="00F32B28">
        <w:rPr>
          <w:rtl/>
        </w:rPr>
        <w:t xml:space="preserve"> </w:t>
      </w:r>
      <w:r w:rsidR="00F32B28" w:rsidRPr="00F32B28">
        <w:rPr>
          <w:rtl/>
        </w:rPr>
        <w:t>من</w:t>
      </w:r>
      <w:r w:rsidR="00F32B28">
        <w:rPr>
          <w:rtl/>
        </w:rPr>
        <w:t xml:space="preserve"> </w:t>
      </w:r>
      <w:r w:rsidR="00F32B28" w:rsidRPr="00F32B28">
        <w:rPr>
          <w:rtl/>
        </w:rPr>
        <w:t>أجل</w:t>
      </w:r>
      <w:r w:rsidR="00F32B28">
        <w:rPr>
          <w:rtl/>
        </w:rPr>
        <w:t xml:space="preserve"> </w:t>
      </w:r>
      <w:r w:rsidR="00F32B28" w:rsidRPr="00F32B28">
        <w:rPr>
          <w:rtl/>
        </w:rPr>
        <w:t>تقليل</w:t>
      </w:r>
      <w:r w:rsidR="00F32B28">
        <w:rPr>
          <w:rtl/>
        </w:rPr>
        <w:t xml:space="preserve"> </w:t>
      </w:r>
      <w:r w:rsidR="00F32B28" w:rsidRPr="00F32B28">
        <w:rPr>
          <w:rtl/>
        </w:rPr>
        <w:t>تكاليف</w:t>
      </w:r>
      <w:r w:rsidR="00F32B28">
        <w:rPr>
          <w:rtl/>
        </w:rPr>
        <w:t xml:space="preserve"> </w:t>
      </w:r>
      <w:r w:rsidR="00F32B28" w:rsidRPr="00F32B28">
        <w:rPr>
          <w:rtl/>
        </w:rPr>
        <w:t>المواصلات</w:t>
      </w:r>
      <w:r w:rsidR="00F32B28">
        <w:rPr>
          <w:rtl/>
        </w:rPr>
        <w:t xml:space="preserve"> </w:t>
      </w:r>
      <w:r w:rsidR="00F32B28" w:rsidRPr="00F32B28">
        <w:rPr>
          <w:rtl/>
        </w:rPr>
        <w:t>وتسهيل</w:t>
      </w:r>
      <w:r w:rsidR="00F32B28">
        <w:rPr>
          <w:rtl/>
        </w:rPr>
        <w:t xml:space="preserve"> </w:t>
      </w:r>
      <w:r w:rsidR="00F32B28" w:rsidRPr="00F32B28">
        <w:rPr>
          <w:rtl/>
        </w:rPr>
        <w:t>الوصول</w:t>
      </w:r>
      <w:r w:rsidR="00F32B28">
        <w:rPr>
          <w:rtl/>
        </w:rPr>
        <w:t xml:space="preserve"> </w:t>
      </w:r>
      <w:r w:rsidR="00F32B28" w:rsidRPr="00F32B28">
        <w:rPr>
          <w:rtl/>
        </w:rPr>
        <w:t>إليها.</w:t>
      </w:r>
    </w:p>
    <w:p w:rsidR="00F32B28" w:rsidRPr="00F32B28" w:rsidRDefault="00851F93" w:rsidP="00851F93">
      <w:pPr>
        <w:pStyle w:val="SingleTxt"/>
        <w:rPr>
          <w:rtl/>
          <w:lang w:bidi="ar-SY"/>
        </w:rPr>
      </w:pPr>
      <w:r>
        <w:rPr>
          <w:rFonts w:hint="cs"/>
          <w:rtl/>
          <w:lang w:bidi="ar-SY"/>
        </w:rPr>
        <w:t xml:space="preserve">266 - </w:t>
      </w:r>
      <w:r w:rsidR="00F32B28" w:rsidRPr="00F32B28">
        <w:rPr>
          <w:rtl/>
          <w:lang w:bidi="ar-SY"/>
        </w:rPr>
        <w:t>وفي</w:t>
      </w:r>
      <w:r w:rsidR="00F32B28">
        <w:rPr>
          <w:rtl/>
          <w:lang w:bidi="ar-SY"/>
        </w:rPr>
        <w:t xml:space="preserve"> </w:t>
      </w:r>
      <w:r w:rsidR="00F32B28" w:rsidRPr="00F32B28">
        <w:rPr>
          <w:rtl/>
          <w:lang w:bidi="ar-SY"/>
        </w:rPr>
        <w:t>سنة</w:t>
      </w:r>
      <w:r w:rsidR="00F32B28">
        <w:rPr>
          <w:rtl/>
          <w:lang w:bidi="ar-SY"/>
        </w:rPr>
        <w:t xml:space="preserve"> </w:t>
      </w:r>
      <w:r w:rsidR="00F32B28" w:rsidRPr="00F32B28">
        <w:rPr>
          <w:rtl/>
          <w:lang w:bidi="ar-SY"/>
        </w:rPr>
        <w:t>1991،</w:t>
      </w:r>
      <w:r w:rsidR="00F32B28">
        <w:rPr>
          <w:rtl/>
          <w:lang w:bidi="ar-SY"/>
        </w:rPr>
        <w:t xml:space="preserve"> </w:t>
      </w:r>
      <w:r w:rsidR="00F32B28" w:rsidRPr="00F32B28">
        <w:rPr>
          <w:rtl/>
          <w:lang w:bidi="ar-SY"/>
        </w:rPr>
        <w:t>تم</w:t>
      </w:r>
      <w:r w:rsidR="00F32B28">
        <w:rPr>
          <w:rtl/>
          <w:lang w:bidi="ar-SY"/>
        </w:rPr>
        <w:t xml:space="preserve"> </w:t>
      </w:r>
      <w:r w:rsidR="00F32B28" w:rsidRPr="00F32B28">
        <w:rPr>
          <w:rtl/>
          <w:lang w:bidi="ar-SY"/>
        </w:rPr>
        <w:t>إنشاء</w:t>
      </w:r>
      <w:r w:rsidR="00715E79">
        <w:rPr>
          <w:rFonts w:hint="cs"/>
          <w:rtl/>
          <w:lang w:bidi="ar-SY"/>
        </w:rPr>
        <w:t xml:space="preserve"> </w:t>
      </w:r>
      <w:r w:rsidR="00F32B28" w:rsidRPr="00F32B28">
        <w:rPr>
          <w:rtl/>
          <w:lang w:bidi="ar-SY"/>
        </w:rPr>
        <w:t>المجلس</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للإسكان</w:t>
      </w:r>
      <w:r w:rsidR="00F32B28">
        <w:rPr>
          <w:rtl/>
          <w:lang w:bidi="ar-SY"/>
        </w:rPr>
        <w:t xml:space="preserve"> </w:t>
      </w:r>
      <w:r w:rsidR="00F32B28" w:rsidRPr="00F32B28">
        <w:rPr>
          <w:rtl/>
          <w:lang w:bidi="ar-SY"/>
        </w:rPr>
        <w:t>بهدف</w:t>
      </w:r>
      <w:r w:rsidR="00F32B28">
        <w:rPr>
          <w:rtl/>
          <w:lang w:bidi="ar-SY"/>
        </w:rPr>
        <w:t xml:space="preserve"> </w:t>
      </w:r>
      <w:r w:rsidR="00F32B28" w:rsidRPr="00F32B28">
        <w:rPr>
          <w:rtl/>
          <w:lang w:bidi="ar-SY"/>
        </w:rPr>
        <w:t>تخفيف</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ضائقة</w:t>
      </w:r>
      <w:r w:rsidR="00F32B28">
        <w:rPr>
          <w:rtl/>
          <w:lang w:bidi="ar-SY"/>
        </w:rPr>
        <w:t xml:space="preserve"> </w:t>
      </w:r>
      <w:r w:rsidR="00F32B28" w:rsidRPr="00F32B28">
        <w:rPr>
          <w:rtl/>
          <w:lang w:bidi="ar-SY"/>
        </w:rPr>
        <w:t>السكن</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تعاني</w:t>
      </w:r>
      <w:r w:rsidR="00F32B28">
        <w:rPr>
          <w:rtl/>
          <w:lang w:bidi="ar-SY"/>
        </w:rPr>
        <w:t xml:space="preserve"> </w:t>
      </w:r>
      <w:r w:rsidR="00F32B28" w:rsidRPr="00F32B28">
        <w:rPr>
          <w:rtl/>
          <w:lang w:bidi="ar-SY"/>
        </w:rPr>
        <w:t>منها</w:t>
      </w:r>
      <w:r w:rsidR="00F32B28">
        <w:rPr>
          <w:rtl/>
          <w:lang w:bidi="ar-SY"/>
        </w:rPr>
        <w:t xml:space="preserve"> </w:t>
      </w:r>
      <w:r w:rsidR="00F32B28" w:rsidRPr="00F32B28">
        <w:rPr>
          <w:rtl/>
          <w:lang w:bidi="ar-SY"/>
        </w:rPr>
        <w:t>الأسر</w:t>
      </w:r>
      <w:r w:rsidR="00F32B28">
        <w:rPr>
          <w:rtl/>
          <w:lang w:bidi="ar-SY"/>
        </w:rPr>
        <w:t xml:space="preserve"> </w:t>
      </w:r>
      <w:r w:rsidR="00F32B28" w:rsidRPr="00F32B28">
        <w:rPr>
          <w:rtl/>
          <w:lang w:bidi="ar-SY"/>
        </w:rPr>
        <w:t>ذات</w:t>
      </w:r>
      <w:r w:rsidR="00F32B28">
        <w:rPr>
          <w:rtl/>
          <w:lang w:bidi="ar-SY"/>
        </w:rPr>
        <w:t xml:space="preserve"> </w:t>
      </w:r>
      <w:r w:rsidR="00F32B28" w:rsidRPr="00F32B28">
        <w:rPr>
          <w:rtl/>
          <w:lang w:bidi="ar-SY"/>
        </w:rPr>
        <w:t>الدخل</w:t>
      </w:r>
      <w:r w:rsidR="00F32B28">
        <w:rPr>
          <w:rtl/>
          <w:lang w:bidi="ar-SY"/>
        </w:rPr>
        <w:t xml:space="preserve"> </w:t>
      </w:r>
      <w:r w:rsidR="00F32B28" w:rsidRPr="00F32B28">
        <w:rPr>
          <w:rtl/>
          <w:lang w:bidi="ar-SY"/>
        </w:rPr>
        <w:t>المحدود،</w:t>
      </w:r>
      <w:r w:rsidR="00F32B28">
        <w:rPr>
          <w:rtl/>
          <w:lang w:bidi="ar-SY"/>
        </w:rPr>
        <w:t xml:space="preserve"> </w:t>
      </w:r>
      <w:r w:rsidR="00F32B28" w:rsidRPr="00F32B28">
        <w:rPr>
          <w:rtl/>
          <w:lang w:bidi="ar-SY"/>
        </w:rPr>
        <w:t>وتقديم</w:t>
      </w:r>
      <w:r w:rsidR="00F32B28">
        <w:rPr>
          <w:rtl/>
          <w:lang w:bidi="ar-SY"/>
        </w:rPr>
        <w:t xml:space="preserve"> </w:t>
      </w:r>
      <w:r w:rsidR="00F32B28" w:rsidRPr="00F32B28">
        <w:rPr>
          <w:rtl/>
          <w:lang w:bidi="ar-SY"/>
        </w:rPr>
        <w:t>قروض</w:t>
      </w:r>
      <w:r w:rsidR="00F32B28">
        <w:rPr>
          <w:rtl/>
          <w:lang w:bidi="ar-SY"/>
        </w:rPr>
        <w:t xml:space="preserve"> </w:t>
      </w:r>
      <w:r w:rsidR="00F32B28" w:rsidRPr="00F32B28">
        <w:rPr>
          <w:rtl/>
          <w:lang w:bidi="ar-SY"/>
        </w:rPr>
        <w:t>إسكان</w:t>
      </w:r>
      <w:r w:rsidR="00F32B28">
        <w:rPr>
          <w:rtl/>
          <w:lang w:bidi="ar-SY"/>
        </w:rPr>
        <w:t xml:space="preserve"> </w:t>
      </w:r>
      <w:r w:rsidR="00F32B28" w:rsidRPr="00F32B28">
        <w:rPr>
          <w:rtl/>
          <w:lang w:bidi="ar-SY"/>
        </w:rPr>
        <w:t>ميسرة</w:t>
      </w:r>
      <w:r w:rsidR="00F32B28">
        <w:rPr>
          <w:rtl/>
          <w:lang w:bidi="ar-SY"/>
        </w:rPr>
        <w:t xml:space="preserve"> </w:t>
      </w:r>
      <w:r w:rsidR="00F32B28" w:rsidRPr="00F32B28">
        <w:rPr>
          <w:rtl/>
          <w:lang w:bidi="ar-SY"/>
        </w:rPr>
        <w:t>وطويلة</w:t>
      </w:r>
      <w:r w:rsidR="00F32B28">
        <w:rPr>
          <w:rtl/>
          <w:lang w:bidi="ar-SY"/>
        </w:rPr>
        <w:t xml:space="preserve"> </w:t>
      </w:r>
      <w:r w:rsidR="00F32B28" w:rsidRPr="00F32B28">
        <w:rPr>
          <w:rtl/>
          <w:lang w:bidi="ar-SY"/>
        </w:rPr>
        <w:t>الأجل</w:t>
      </w:r>
      <w:r w:rsidR="00F32B28">
        <w:rPr>
          <w:rtl/>
          <w:lang w:bidi="ar-SY"/>
        </w:rPr>
        <w:t xml:space="preserve"> </w:t>
      </w:r>
      <w:r w:rsidR="00F32B28" w:rsidRPr="00F32B28">
        <w:rPr>
          <w:rtl/>
          <w:lang w:bidi="ar-SY"/>
        </w:rPr>
        <w:t>لهذه</w:t>
      </w:r>
      <w:r w:rsidR="00F32B28">
        <w:rPr>
          <w:rtl/>
          <w:lang w:bidi="ar-SY"/>
        </w:rPr>
        <w:t xml:space="preserve"> </w:t>
      </w:r>
      <w:r w:rsidR="00F32B28" w:rsidRPr="00F32B28">
        <w:rPr>
          <w:rtl/>
          <w:lang w:bidi="ar-SY"/>
        </w:rPr>
        <w:t>الأسر،</w:t>
      </w:r>
      <w:r w:rsidR="00F32B28">
        <w:rPr>
          <w:rtl/>
          <w:lang w:bidi="ar-SY"/>
        </w:rPr>
        <w:t xml:space="preserve"> </w:t>
      </w:r>
      <w:r w:rsidR="00F32B28" w:rsidRPr="00F32B28">
        <w:rPr>
          <w:rtl/>
          <w:lang w:bidi="ar-SY"/>
        </w:rPr>
        <w:t>والمساهمة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تحسين</w:t>
      </w:r>
      <w:r w:rsidR="00F32B28">
        <w:rPr>
          <w:rtl/>
          <w:lang w:bidi="ar-SY"/>
        </w:rPr>
        <w:t xml:space="preserve"> </w:t>
      </w:r>
      <w:r w:rsidR="00F32B28" w:rsidRPr="00F32B28">
        <w:rPr>
          <w:rtl/>
          <w:lang w:bidi="ar-SY"/>
        </w:rPr>
        <w:t>بيئة</w:t>
      </w:r>
      <w:r w:rsidR="00F32B28">
        <w:rPr>
          <w:rtl/>
          <w:lang w:bidi="ar-SY"/>
        </w:rPr>
        <w:t xml:space="preserve"> </w:t>
      </w:r>
      <w:r w:rsidR="00F32B28" w:rsidRPr="00F32B28">
        <w:rPr>
          <w:rtl/>
          <w:lang w:bidi="ar-SY"/>
        </w:rPr>
        <w:t>السكن</w:t>
      </w:r>
      <w:r w:rsidR="00F32B28">
        <w:rPr>
          <w:rtl/>
          <w:lang w:bidi="ar-SY"/>
        </w:rPr>
        <w:t xml:space="preserve"> </w:t>
      </w:r>
      <w:r w:rsidR="00F32B28" w:rsidRPr="00F32B28">
        <w:rPr>
          <w:rtl/>
          <w:lang w:bidi="ar-SY"/>
        </w:rPr>
        <w:t>الخاصة</w:t>
      </w:r>
      <w:r w:rsidR="00F32B28">
        <w:rPr>
          <w:rtl/>
          <w:lang w:bidi="ar-SY"/>
        </w:rPr>
        <w:t xml:space="preserve"> </w:t>
      </w:r>
      <w:r w:rsidR="00F32B28" w:rsidRPr="00F32B28">
        <w:rPr>
          <w:rtl/>
          <w:lang w:bidi="ar-SY"/>
        </w:rPr>
        <w:t>بالفئات</w:t>
      </w:r>
      <w:r w:rsidR="00F32B28">
        <w:rPr>
          <w:rtl/>
          <w:lang w:bidi="ar-SY"/>
        </w:rPr>
        <w:t xml:space="preserve"> </w:t>
      </w:r>
      <w:r w:rsidR="00F32B28" w:rsidRPr="00F32B28">
        <w:rPr>
          <w:rtl/>
          <w:lang w:bidi="ar-SY"/>
        </w:rPr>
        <w:t>الفقيرة</w:t>
      </w:r>
      <w:r w:rsidR="00F32B28">
        <w:rPr>
          <w:rtl/>
          <w:lang w:bidi="ar-SY"/>
        </w:rPr>
        <w:t xml:space="preserve"> </w:t>
      </w:r>
      <w:r w:rsidR="00F32B28" w:rsidRPr="00F32B28">
        <w:rPr>
          <w:rtl/>
          <w:lang w:bidi="ar-SY"/>
        </w:rPr>
        <w:t>والمهمشة،</w:t>
      </w:r>
      <w:r w:rsidR="00F32B28">
        <w:rPr>
          <w:rtl/>
          <w:lang w:bidi="ar-SY"/>
        </w:rPr>
        <w:t xml:space="preserve"> </w:t>
      </w:r>
      <w:r w:rsidR="00F32B28" w:rsidRPr="00F32B28">
        <w:rPr>
          <w:rtl/>
          <w:lang w:bidi="ar-SY"/>
        </w:rPr>
        <w:t>وبشكل</w:t>
      </w:r>
      <w:r w:rsidR="00F32B28">
        <w:rPr>
          <w:rtl/>
          <w:lang w:bidi="ar-SY"/>
        </w:rPr>
        <w:t xml:space="preserve"> </w:t>
      </w:r>
      <w:r w:rsidR="00F32B28" w:rsidRPr="00F32B28">
        <w:rPr>
          <w:rtl/>
          <w:lang w:bidi="ar-SY"/>
        </w:rPr>
        <w:t>خاص</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المطلقات</w:t>
      </w:r>
      <w:r w:rsidR="00F32B28">
        <w:rPr>
          <w:rtl/>
          <w:lang w:bidi="ar-SY"/>
        </w:rPr>
        <w:t xml:space="preserve"> </w:t>
      </w:r>
      <w:r w:rsidR="00F32B28" w:rsidRPr="00F32B28">
        <w:rPr>
          <w:rtl/>
          <w:lang w:bidi="ar-SY"/>
        </w:rPr>
        <w:t>والأرامل</w:t>
      </w:r>
      <w:r w:rsidR="00F32B28">
        <w:rPr>
          <w:rtl/>
          <w:lang w:bidi="ar-SY"/>
        </w:rPr>
        <w:t xml:space="preserve"> </w:t>
      </w:r>
      <w:r w:rsidR="00F32B28" w:rsidRPr="00F32B28">
        <w:rPr>
          <w:rtl/>
          <w:lang w:bidi="ar-SY"/>
        </w:rPr>
        <w:t>وكبار</w:t>
      </w:r>
      <w:r w:rsidR="00F32B28">
        <w:rPr>
          <w:rtl/>
          <w:lang w:bidi="ar-SY"/>
        </w:rPr>
        <w:t xml:space="preserve"> </w:t>
      </w:r>
      <w:r w:rsidR="00F32B28" w:rsidRPr="00F32B28">
        <w:rPr>
          <w:rtl/>
          <w:lang w:bidi="ar-SY"/>
        </w:rPr>
        <w:t>السـن،</w:t>
      </w:r>
      <w:r w:rsidR="00F32B28">
        <w:rPr>
          <w:rtl/>
          <w:lang w:bidi="ar-SY"/>
        </w:rPr>
        <w:t xml:space="preserve"> </w:t>
      </w:r>
      <w:r w:rsidR="00F32B28" w:rsidRPr="00F32B28">
        <w:rPr>
          <w:rtl/>
          <w:lang w:bidi="ar-SY"/>
        </w:rPr>
        <w:t>وذوي</w:t>
      </w:r>
      <w:r w:rsidR="00F32B28">
        <w:rPr>
          <w:rtl/>
          <w:lang w:bidi="ar-SY"/>
        </w:rPr>
        <w:t xml:space="preserve"> </w:t>
      </w:r>
      <w:r w:rsidR="00F32B28" w:rsidRPr="00F32B28">
        <w:rPr>
          <w:rtl/>
          <w:lang w:bidi="ar-SY"/>
        </w:rPr>
        <w:t>الاحتياجات</w:t>
      </w:r>
      <w:r w:rsidR="00F32B28">
        <w:rPr>
          <w:rtl/>
          <w:lang w:bidi="ar-SY"/>
        </w:rPr>
        <w:t xml:space="preserve"> </w:t>
      </w:r>
      <w:r w:rsidR="00F32B28" w:rsidRPr="00F32B28">
        <w:rPr>
          <w:rtl/>
          <w:lang w:bidi="ar-SY"/>
        </w:rPr>
        <w:t>الخاصة.</w:t>
      </w:r>
      <w:r w:rsidR="00F32B28">
        <w:rPr>
          <w:rtl/>
          <w:lang w:bidi="ar-SY"/>
        </w:rPr>
        <w:t xml:space="preserve"> </w:t>
      </w:r>
      <w:r w:rsidR="00F32B28" w:rsidRPr="00F32B28">
        <w:rPr>
          <w:rtl/>
          <w:lang w:bidi="ar-SY"/>
        </w:rPr>
        <w:t>واستفاد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برامج</w:t>
      </w:r>
      <w:r w:rsidR="00F32B28">
        <w:rPr>
          <w:rtl/>
          <w:lang w:bidi="ar-SY"/>
        </w:rPr>
        <w:t xml:space="preserve"> </w:t>
      </w:r>
      <w:r w:rsidR="00F32B28" w:rsidRPr="00F32B28">
        <w:rPr>
          <w:rtl/>
          <w:lang w:bidi="ar-SY"/>
        </w:rPr>
        <w:t>ومشاريع</w:t>
      </w:r>
      <w:r w:rsidR="00F32B28">
        <w:rPr>
          <w:rtl/>
          <w:lang w:bidi="ar-SY"/>
        </w:rPr>
        <w:t xml:space="preserve"> </w:t>
      </w:r>
      <w:r w:rsidR="00F32B28" w:rsidRPr="00F32B28">
        <w:rPr>
          <w:rtl/>
          <w:lang w:bidi="ar-SY"/>
        </w:rPr>
        <w:t>المجلس</w:t>
      </w:r>
      <w:r w:rsidR="00F32B28">
        <w:rPr>
          <w:rtl/>
          <w:lang w:bidi="ar-SY"/>
        </w:rPr>
        <w:t xml:space="preserve"> </w:t>
      </w:r>
      <w:r w:rsidR="00F32B28" w:rsidRPr="00F32B28">
        <w:rPr>
          <w:rtl/>
          <w:lang w:bidi="ar-SY"/>
        </w:rPr>
        <w:t>أكثر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7</w:t>
      </w:r>
      <w:r w:rsidR="0001622C">
        <w:rPr>
          <w:rFonts w:hint="cs"/>
          <w:rtl/>
          <w:lang w:bidi="ar-SY"/>
        </w:rPr>
        <w:t> </w:t>
      </w:r>
      <w:r w:rsidR="00F32B28" w:rsidRPr="00F32B28">
        <w:rPr>
          <w:rtl/>
          <w:lang w:bidi="ar-SY"/>
        </w:rPr>
        <w:t>ألاف</w:t>
      </w:r>
      <w:r w:rsidR="00F32B28">
        <w:rPr>
          <w:rtl/>
          <w:lang w:bidi="ar-SY"/>
        </w:rPr>
        <w:t xml:space="preserve"> </w:t>
      </w:r>
      <w:r w:rsidR="00F32B28" w:rsidRPr="00F32B28">
        <w:rPr>
          <w:rtl/>
          <w:lang w:bidi="ar-SY"/>
        </w:rPr>
        <w:t>أسرة</w:t>
      </w:r>
      <w:r w:rsidR="00F32B28">
        <w:rPr>
          <w:rtl/>
          <w:lang w:bidi="ar-SY"/>
        </w:rPr>
        <w:t xml:space="preserve"> </w:t>
      </w:r>
      <w:r w:rsidR="00F32B28" w:rsidRPr="00F32B28">
        <w:rPr>
          <w:rtl/>
          <w:lang w:bidi="ar-SY"/>
        </w:rPr>
        <w:t>فلسطينية،</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أكثر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40</w:t>
      </w:r>
      <w:r w:rsidR="00F32B28">
        <w:rPr>
          <w:rtl/>
          <w:lang w:bidi="ar-SY"/>
        </w:rPr>
        <w:t xml:space="preserve"> </w:t>
      </w:r>
      <w:r w:rsidR="00F32B28" w:rsidRPr="00F32B28">
        <w:rPr>
          <w:rtl/>
          <w:lang w:bidi="ar-SY"/>
        </w:rPr>
        <w:t>ألف</w:t>
      </w:r>
      <w:r w:rsidR="00F32B28">
        <w:rPr>
          <w:rtl/>
          <w:lang w:bidi="ar-SY"/>
        </w:rPr>
        <w:t xml:space="preserve"> </w:t>
      </w:r>
      <w:r w:rsidR="00F32B28" w:rsidRPr="00F32B28">
        <w:rPr>
          <w:rtl/>
          <w:lang w:bidi="ar-SY"/>
        </w:rPr>
        <w:t>فردا</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مباشر،</w:t>
      </w:r>
      <w:r w:rsidR="00F32B28">
        <w:rPr>
          <w:rtl/>
          <w:lang w:bidi="ar-SY"/>
        </w:rPr>
        <w:t xml:space="preserve"> </w:t>
      </w:r>
      <w:r w:rsidR="00F32B28" w:rsidRPr="00F32B28">
        <w:rPr>
          <w:rtl/>
          <w:lang w:bidi="ar-SY"/>
        </w:rPr>
        <w:t>وتمكين</w:t>
      </w:r>
      <w:r w:rsidR="00F32B28">
        <w:rPr>
          <w:rtl/>
          <w:lang w:bidi="ar-SY"/>
        </w:rPr>
        <w:t xml:space="preserve"> </w:t>
      </w:r>
      <w:r w:rsidR="00F32B28" w:rsidRPr="00F32B28">
        <w:rPr>
          <w:rtl/>
          <w:lang w:bidi="ar-SY"/>
        </w:rPr>
        <w:t>1,976</w:t>
      </w:r>
      <w:r w:rsidR="00F32B28">
        <w:rPr>
          <w:rtl/>
          <w:lang w:bidi="ar-SY"/>
        </w:rPr>
        <w:t xml:space="preserve"> </w:t>
      </w:r>
      <w:r w:rsidR="00F32B28" w:rsidRPr="00F32B28">
        <w:rPr>
          <w:rtl/>
          <w:lang w:bidi="ar-SY"/>
        </w:rPr>
        <w:t>أسرة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المهمشين</w:t>
      </w:r>
      <w:r w:rsidR="00F32B28">
        <w:rPr>
          <w:rtl/>
          <w:lang w:bidi="ar-SY"/>
        </w:rPr>
        <w:t xml:space="preserve"> </w:t>
      </w:r>
      <w:r w:rsidR="00F32B28" w:rsidRPr="00F32B28">
        <w:rPr>
          <w:rtl/>
          <w:lang w:bidi="ar-SY"/>
        </w:rPr>
        <w:t>والفقراء</w:t>
      </w:r>
      <w:r w:rsidR="00F32B28">
        <w:rPr>
          <w:rtl/>
          <w:lang w:bidi="ar-SY"/>
        </w:rPr>
        <w:t xml:space="preserve"> </w:t>
      </w:r>
      <w:r w:rsidR="00F32B28" w:rsidRPr="00F32B28">
        <w:rPr>
          <w:rtl/>
          <w:lang w:bidi="ar-SY"/>
        </w:rPr>
        <w:t>وذوي</w:t>
      </w:r>
      <w:r w:rsidR="00F32B28">
        <w:rPr>
          <w:rtl/>
          <w:lang w:bidi="ar-SY"/>
        </w:rPr>
        <w:t xml:space="preserve"> </w:t>
      </w:r>
      <w:r w:rsidR="00F32B28" w:rsidRPr="00F32B28">
        <w:rPr>
          <w:rtl/>
          <w:lang w:bidi="ar-SY"/>
        </w:rPr>
        <w:t>الاحتياجات</w:t>
      </w:r>
      <w:r w:rsidR="00F32B28">
        <w:rPr>
          <w:rtl/>
          <w:lang w:bidi="ar-SY"/>
        </w:rPr>
        <w:t xml:space="preserve"> </w:t>
      </w:r>
      <w:r w:rsidR="00F32B28" w:rsidRPr="00F32B28">
        <w:rPr>
          <w:rtl/>
          <w:lang w:bidi="ar-SY"/>
        </w:rPr>
        <w:t>الخاصة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التمتع</w:t>
      </w:r>
      <w:r w:rsidR="00F32B28">
        <w:rPr>
          <w:rtl/>
          <w:lang w:bidi="ar-SY"/>
        </w:rPr>
        <w:t xml:space="preserve"> </w:t>
      </w:r>
      <w:r w:rsidR="00F32B28" w:rsidRPr="00F32B28">
        <w:rPr>
          <w:rtl/>
          <w:lang w:bidi="ar-SY"/>
        </w:rPr>
        <w:t>بحقهم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السـكن</w:t>
      </w:r>
      <w:r w:rsidR="00F32B28">
        <w:rPr>
          <w:rtl/>
          <w:lang w:bidi="ar-SY"/>
        </w:rPr>
        <w:t xml:space="preserve"> </w:t>
      </w:r>
      <w:r w:rsidR="00F32B28" w:rsidRPr="00F32B28">
        <w:rPr>
          <w:rtl/>
          <w:lang w:bidi="ar-SY"/>
        </w:rPr>
        <w:t>الكريم</w:t>
      </w:r>
      <w:r w:rsidR="00F32B28">
        <w:rPr>
          <w:rtl/>
          <w:lang w:bidi="ar-SY"/>
        </w:rPr>
        <w:t xml:space="preserve"> </w:t>
      </w:r>
      <w:r w:rsidR="00F32B28" w:rsidRPr="00F32B28">
        <w:rPr>
          <w:rtl/>
          <w:lang w:bidi="ar-SY"/>
        </w:rPr>
        <w:t>عبر</w:t>
      </w:r>
      <w:r w:rsidR="00F32B28">
        <w:rPr>
          <w:rtl/>
          <w:lang w:bidi="ar-SY"/>
        </w:rPr>
        <w:t xml:space="preserve"> </w:t>
      </w:r>
      <w:r w:rsidR="00F32B28" w:rsidRPr="00F32B28">
        <w:rPr>
          <w:rtl/>
          <w:lang w:bidi="ar-SY"/>
        </w:rPr>
        <w:t>توفير</w:t>
      </w:r>
      <w:r w:rsidR="00F32B28">
        <w:rPr>
          <w:rtl/>
          <w:lang w:bidi="ar-SY"/>
        </w:rPr>
        <w:t xml:space="preserve"> </w:t>
      </w:r>
      <w:r w:rsidR="00F32B28" w:rsidRPr="00F32B28">
        <w:rPr>
          <w:rtl/>
          <w:lang w:bidi="ar-SY"/>
        </w:rPr>
        <w:t>المنح</w:t>
      </w:r>
      <w:r w:rsidR="00F32B28">
        <w:rPr>
          <w:rtl/>
          <w:lang w:bidi="ar-SY"/>
        </w:rPr>
        <w:t xml:space="preserve"> </w:t>
      </w:r>
      <w:r w:rsidR="00F32B28" w:rsidRPr="00F32B28">
        <w:rPr>
          <w:rtl/>
          <w:lang w:bidi="ar-SY"/>
        </w:rPr>
        <w:t>وتطويع</w:t>
      </w:r>
      <w:r w:rsidR="00F32B28">
        <w:rPr>
          <w:rtl/>
          <w:lang w:bidi="ar-SY"/>
        </w:rPr>
        <w:t xml:space="preserve"> </w:t>
      </w:r>
      <w:r w:rsidR="00F32B28" w:rsidRPr="00F32B28">
        <w:rPr>
          <w:rtl/>
          <w:lang w:bidi="ar-SY"/>
        </w:rPr>
        <w:t>المساكن</w:t>
      </w:r>
      <w:r w:rsidR="00F32B28">
        <w:rPr>
          <w:rtl/>
          <w:lang w:bidi="ar-SY"/>
        </w:rPr>
        <w:t xml:space="preserve"> </w:t>
      </w:r>
      <w:r w:rsidR="00F32B28" w:rsidRPr="00F32B28">
        <w:rPr>
          <w:rtl/>
          <w:lang w:bidi="ar-SY"/>
        </w:rPr>
        <w:t>لمصلحتهم.</w:t>
      </w:r>
      <w:r w:rsidR="00F32B28">
        <w:rPr>
          <w:rtl/>
          <w:lang w:bidi="ar-SY"/>
        </w:rPr>
        <w:t xml:space="preserve"> </w:t>
      </w:r>
    </w:p>
    <w:p w:rsidR="00851F93" w:rsidRPr="00851F93" w:rsidRDefault="00851F93" w:rsidP="00851F93">
      <w:pPr>
        <w:pStyle w:val="SingleTxt"/>
        <w:spacing w:after="0" w:line="120" w:lineRule="exact"/>
        <w:rPr>
          <w:b/>
          <w:bCs/>
          <w:sz w:val="10"/>
          <w:rtl/>
          <w:lang w:bidi="ar-SY"/>
        </w:rPr>
      </w:pPr>
    </w:p>
    <w:p w:rsidR="00F32B28" w:rsidRPr="00F32B28" w:rsidRDefault="00F32B28" w:rsidP="00F32B28">
      <w:pPr>
        <w:pStyle w:val="SingleTxt"/>
        <w:rPr>
          <w:b/>
          <w:bCs/>
          <w:rtl/>
          <w:lang w:bidi="ar-SY"/>
        </w:rPr>
      </w:pPr>
      <w:r w:rsidRPr="00F32B28">
        <w:rPr>
          <w:b/>
          <w:bCs/>
          <w:rtl/>
          <w:lang w:bidi="ar-SY"/>
        </w:rPr>
        <w:t>التحديات</w:t>
      </w:r>
    </w:p>
    <w:p w:rsidR="00F32B28" w:rsidRPr="00F32B28" w:rsidRDefault="00F32B28" w:rsidP="00F32B28">
      <w:pPr>
        <w:pStyle w:val="SingleTxt"/>
        <w:rPr>
          <w:b/>
          <w:bCs/>
          <w:rtl/>
          <w:lang w:bidi="ar-SY"/>
        </w:rPr>
      </w:pPr>
      <w:r w:rsidRPr="00F32B28">
        <w:rPr>
          <w:b/>
          <w:bCs/>
          <w:rtl/>
          <w:lang w:bidi="ar-SY"/>
        </w:rPr>
        <w:t>سياسة</w:t>
      </w:r>
      <w:r>
        <w:rPr>
          <w:b/>
          <w:bCs/>
          <w:rtl/>
          <w:lang w:bidi="ar-SY"/>
        </w:rPr>
        <w:t xml:space="preserve"> </w:t>
      </w:r>
      <w:r w:rsidRPr="00F32B28">
        <w:rPr>
          <w:b/>
          <w:bCs/>
          <w:rtl/>
          <w:lang w:bidi="ar-SY"/>
        </w:rPr>
        <w:t>سلطات</w:t>
      </w:r>
      <w:r>
        <w:rPr>
          <w:b/>
          <w:bCs/>
          <w:rtl/>
          <w:lang w:bidi="ar-SY"/>
        </w:rPr>
        <w:t xml:space="preserve"> </w:t>
      </w:r>
      <w:r w:rsidRPr="00F32B28">
        <w:rPr>
          <w:b/>
          <w:bCs/>
          <w:rtl/>
          <w:lang w:bidi="ar-SY"/>
        </w:rPr>
        <w:t>الاحتلال</w:t>
      </w:r>
      <w:r>
        <w:rPr>
          <w:b/>
          <w:bCs/>
          <w:rtl/>
          <w:lang w:bidi="ar-SY"/>
        </w:rPr>
        <w:t xml:space="preserve"> </w:t>
      </w:r>
      <w:r w:rsidRPr="00F32B28">
        <w:rPr>
          <w:b/>
          <w:bCs/>
          <w:rtl/>
          <w:lang w:bidi="ar-SY"/>
        </w:rPr>
        <w:t>في</w:t>
      </w:r>
      <w:r>
        <w:rPr>
          <w:b/>
          <w:bCs/>
          <w:rtl/>
          <w:lang w:bidi="ar-SY"/>
        </w:rPr>
        <w:t xml:space="preserve"> </w:t>
      </w:r>
      <w:r w:rsidRPr="00F32B28">
        <w:rPr>
          <w:b/>
          <w:bCs/>
          <w:rtl/>
          <w:lang w:bidi="ar-SY"/>
        </w:rPr>
        <w:t>هدم</w:t>
      </w:r>
      <w:r>
        <w:rPr>
          <w:b/>
          <w:bCs/>
          <w:rtl/>
          <w:lang w:bidi="ar-SY"/>
        </w:rPr>
        <w:t xml:space="preserve"> </w:t>
      </w:r>
      <w:r w:rsidRPr="00F32B28">
        <w:rPr>
          <w:b/>
          <w:bCs/>
          <w:rtl/>
          <w:lang w:bidi="ar-SY"/>
        </w:rPr>
        <w:t>المنازل</w:t>
      </w:r>
    </w:p>
    <w:p w:rsidR="00F32B28" w:rsidRPr="00F32B28" w:rsidRDefault="00851F93" w:rsidP="00851F93">
      <w:pPr>
        <w:pStyle w:val="SingleTxt"/>
      </w:pPr>
      <w:r>
        <w:rPr>
          <w:rFonts w:hint="cs"/>
          <w:rtl/>
          <w:lang w:bidi="ar-SY"/>
        </w:rPr>
        <w:t xml:space="preserve">267 - </w:t>
      </w:r>
      <w:r w:rsidR="00F32B28" w:rsidRPr="00F32B28">
        <w:rPr>
          <w:rtl/>
          <w:lang w:bidi="ar-SY"/>
        </w:rPr>
        <w:t>تعاني</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مختلف</w:t>
      </w:r>
      <w:r w:rsidR="00F32B28">
        <w:rPr>
          <w:rtl/>
          <w:lang w:bidi="ar-SY"/>
        </w:rPr>
        <w:t xml:space="preserve"> </w:t>
      </w:r>
      <w:r w:rsidR="00F32B28" w:rsidRPr="00F32B28">
        <w:rPr>
          <w:rtl/>
          <w:lang w:bidi="ar-SY"/>
        </w:rPr>
        <w:t>مناطق</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المحتلة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انتهاكات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وسياساته</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هدم</w:t>
      </w:r>
      <w:r w:rsidR="00F32B28">
        <w:rPr>
          <w:rtl/>
          <w:lang w:bidi="ar-SY"/>
        </w:rPr>
        <w:t xml:space="preserve"> </w:t>
      </w:r>
      <w:r w:rsidR="00F32B28" w:rsidRPr="00F32B28">
        <w:rPr>
          <w:rtl/>
          <w:lang w:bidi="ar-SY"/>
        </w:rPr>
        <w:t>المنازل،</w:t>
      </w:r>
      <w:r w:rsidR="00F32B28">
        <w:rPr>
          <w:rtl/>
          <w:lang w:bidi="ar-SY"/>
        </w:rPr>
        <w:t xml:space="preserve"> </w:t>
      </w:r>
      <w:r w:rsidR="00F32B28" w:rsidRPr="00F32B28">
        <w:rPr>
          <w:rtl/>
          <w:lang w:bidi="ar-SY"/>
        </w:rPr>
        <w:t>حين</w:t>
      </w:r>
      <w:r>
        <w:rPr>
          <w:rFonts w:hint="cs"/>
          <w:rtl/>
          <w:lang w:bidi="ar-SY"/>
        </w:rPr>
        <w:t xml:space="preserve"> </w:t>
      </w:r>
      <w:r w:rsidR="00F32B28" w:rsidRPr="00F32B28">
        <w:rPr>
          <w:rtl/>
          <w:lang w:bidi="ar-SY"/>
        </w:rPr>
        <w:t>يضطررن</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مواجهة</w:t>
      </w:r>
      <w:r w:rsidR="00F32B28">
        <w:rPr>
          <w:rtl/>
          <w:lang w:bidi="ar-SY"/>
        </w:rPr>
        <w:t xml:space="preserve"> </w:t>
      </w:r>
      <w:r w:rsidR="00F32B28" w:rsidRPr="00F32B28">
        <w:rPr>
          <w:rtl/>
          <w:lang w:bidi="ar-SY"/>
        </w:rPr>
        <w:t>تحديات</w:t>
      </w:r>
      <w:r w:rsidR="00F32B28">
        <w:rPr>
          <w:rtl/>
          <w:lang w:bidi="ar-SY"/>
        </w:rPr>
        <w:t xml:space="preserve"> </w:t>
      </w:r>
      <w:r w:rsidR="00F32B28" w:rsidRPr="00F32B28">
        <w:rPr>
          <w:rtl/>
          <w:lang w:bidi="ar-SY"/>
        </w:rPr>
        <w:t>مضاعفة،</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لأنه</w:t>
      </w:r>
      <w:r w:rsidR="00F32B28">
        <w:rPr>
          <w:rtl/>
          <w:lang w:bidi="ar-SY"/>
        </w:rPr>
        <w:t xml:space="preserve"> </w:t>
      </w:r>
      <w:r w:rsidR="00F32B28" w:rsidRPr="00F32B28">
        <w:rPr>
          <w:rtl/>
          <w:lang w:bidi="ar-SY"/>
        </w:rPr>
        <w:t>غالباً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يقع</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lastRenderedPageBreak/>
        <w:t>عاتقهن</w:t>
      </w:r>
      <w:r w:rsidR="00F32B28">
        <w:rPr>
          <w:rtl/>
          <w:lang w:bidi="ar-SY"/>
        </w:rPr>
        <w:t xml:space="preserve"> </w:t>
      </w:r>
      <w:r w:rsidR="00F32B28" w:rsidRPr="00F32B28">
        <w:rPr>
          <w:rtl/>
          <w:lang w:bidi="ar-SY"/>
        </w:rPr>
        <w:t>مسؤولية</w:t>
      </w:r>
      <w:r w:rsidR="00F32B28">
        <w:rPr>
          <w:rtl/>
          <w:lang w:bidi="ar-SY"/>
        </w:rPr>
        <w:t xml:space="preserve"> </w:t>
      </w:r>
      <w:r w:rsidR="00F32B28" w:rsidRPr="00F32B28">
        <w:rPr>
          <w:rtl/>
          <w:lang w:bidi="ar-SY"/>
        </w:rPr>
        <w:t>الاستمرار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القيام</w:t>
      </w:r>
      <w:r w:rsidR="00F32B28">
        <w:rPr>
          <w:rtl/>
          <w:lang w:bidi="ar-SY"/>
        </w:rPr>
        <w:t xml:space="preserve"> </w:t>
      </w:r>
      <w:r w:rsidR="00F32B28" w:rsidRPr="00F32B28">
        <w:rPr>
          <w:rtl/>
          <w:lang w:bidi="ar-SY"/>
        </w:rPr>
        <w:t>بالأدوار</w:t>
      </w:r>
      <w:r w:rsidR="00F32B28">
        <w:rPr>
          <w:rtl/>
          <w:lang w:bidi="ar-SY"/>
        </w:rPr>
        <w:t xml:space="preserve"> </w:t>
      </w:r>
      <w:r w:rsidR="00F32B28" w:rsidRPr="00F32B28">
        <w:rPr>
          <w:rtl/>
          <w:lang w:bidi="ar-SY"/>
        </w:rPr>
        <w:t>المتوقع</w:t>
      </w:r>
      <w:r w:rsidR="00F32B28">
        <w:rPr>
          <w:rtl/>
          <w:lang w:bidi="ar-SY"/>
        </w:rPr>
        <w:t xml:space="preserve"> </w:t>
      </w:r>
      <w:r w:rsidR="00F32B28" w:rsidRPr="00F32B28">
        <w:rPr>
          <w:rtl/>
          <w:lang w:bidi="ar-SY"/>
        </w:rPr>
        <w:t>منهن</w:t>
      </w:r>
      <w:r w:rsidR="00F32B28">
        <w:rPr>
          <w:rtl/>
          <w:lang w:bidi="ar-SY"/>
        </w:rPr>
        <w:t xml:space="preserve"> </w:t>
      </w:r>
      <w:r w:rsidR="00F32B28" w:rsidRPr="00F32B28">
        <w:rPr>
          <w:rtl/>
          <w:lang w:bidi="ar-SY"/>
        </w:rPr>
        <w:t>وتوفير</w:t>
      </w:r>
      <w:r w:rsidR="00F32B28">
        <w:rPr>
          <w:rtl/>
          <w:lang w:bidi="ar-SY"/>
        </w:rPr>
        <w:t xml:space="preserve"> </w:t>
      </w:r>
      <w:r w:rsidR="00F32B28" w:rsidRPr="00F32B28">
        <w:rPr>
          <w:rtl/>
          <w:lang w:bidi="ar-SY"/>
        </w:rPr>
        <w:t>المأوى</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يعني</w:t>
      </w:r>
      <w:r w:rsidR="00F32B28">
        <w:rPr>
          <w:rtl/>
          <w:lang w:bidi="ar-SY"/>
        </w:rPr>
        <w:t xml:space="preserve"> </w:t>
      </w:r>
      <w:r w:rsidR="00F32B28" w:rsidRPr="00F32B28">
        <w:rPr>
          <w:rtl/>
          <w:lang w:bidi="ar-SY"/>
        </w:rPr>
        <w:t>الأمن</w:t>
      </w:r>
      <w:r w:rsidR="00F32B28">
        <w:rPr>
          <w:rtl/>
          <w:lang w:bidi="ar-SY"/>
        </w:rPr>
        <w:t xml:space="preserve"> </w:t>
      </w:r>
      <w:r w:rsidR="00F32B28" w:rsidRPr="00F32B28">
        <w:rPr>
          <w:rtl/>
          <w:lang w:bidi="ar-SY"/>
        </w:rPr>
        <w:t>والأمان</w:t>
      </w:r>
      <w:r w:rsidR="00F32B28">
        <w:rPr>
          <w:rtl/>
          <w:lang w:bidi="ar-SY"/>
        </w:rPr>
        <w:t xml:space="preserve"> </w:t>
      </w:r>
      <w:r w:rsidR="00F32B28" w:rsidRPr="00F32B28">
        <w:rPr>
          <w:rtl/>
          <w:lang w:bidi="ar-SY"/>
        </w:rPr>
        <w:t>للعائلة</w:t>
      </w:r>
      <w:r w:rsidR="00F32B28">
        <w:rPr>
          <w:rtl/>
          <w:lang w:bidi="ar-SY"/>
        </w:rPr>
        <w:t xml:space="preserve"> </w:t>
      </w:r>
      <w:r w:rsidR="00F32B28" w:rsidRPr="00F32B28">
        <w:rPr>
          <w:rtl/>
          <w:lang w:bidi="ar-SY"/>
        </w:rPr>
        <w:t>ولكن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ظروف</w:t>
      </w:r>
      <w:r w:rsidR="00F32B28">
        <w:rPr>
          <w:rtl/>
          <w:lang w:bidi="ar-SY"/>
        </w:rPr>
        <w:t xml:space="preserve"> </w:t>
      </w:r>
      <w:r w:rsidR="00F32B28" w:rsidRPr="00F32B28">
        <w:rPr>
          <w:rtl/>
          <w:lang w:bidi="ar-SY"/>
        </w:rPr>
        <w:t>مختلفة</w:t>
      </w:r>
      <w:r w:rsidR="00F32B28">
        <w:rPr>
          <w:rtl/>
          <w:lang w:bidi="ar-SY"/>
        </w:rPr>
        <w:t xml:space="preserve"> </w:t>
      </w:r>
      <w:r w:rsidR="00F32B28" w:rsidRPr="00F32B28">
        <w:rPr>
          <w:rtl/>
          <w:lang w:bidi="ar-SY"/>
        </w:rPr>
        <w:t>وبالغة</w:t>
      </w:r>
      <w:r w:rsidR="00F32B28">
        <w:rPr>
          <w:rtl/>
          <w:lang w:bidi="ar-SY"/>
        </w:rPr>
        <w:t xml:space="preserve"> </w:t>
      </w:r>
      <w:r w:rsidR="00F32B28" w:rsidRPr="00F32B28">
        <w:rPr>
          <w:rtl/>
          <w:lang w:bidi="ar-SY"/>
        </w:rPr>
        <w:t>الصعوبة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النواحي</w:t>
      </w:r>
      <w:r w:rsidR="00F32B28">
        <w:rPr>
          <w:rtl/>
          <w:lang w:bidi="ar-SY"/>
        </w:rPr>
        <w:t xml:space="preserve"> </w:t>
      </w:r>
      <w:r w:rsidR="00F32B28" w:rsidRPr="00F32B28">
        <w:rPr>
          <w:rtl/>
          <w:lang w:bidi="ar-SY"/>
        </w:rPr>
        <w:t>المادية</w:t>
      </w:r>
      <w:r w:rsidR="00F32B28">
        <w:rPr>
          <w:rtl/>
          <w:lang w:bidi="ar-SY"/>
        </w:rPr>
        <w:t xml:space="preserve"> </w:t>
      </w:r>
      <w:r w:rsidR="00F32B28" w:rsidRPr="00F32B28">
        <w:rPr>
          <w:rtl/>
          <w:lang w:bidi="ar-SY"/>
        </w:rPr>
        <w:t>والنفسية</w:t>
      </w:r>
      <w:r w:rsidR="00F32B28">
        <w:rPr>
          <w:rtl/>
          <w:lang w:bidi="ar-SY"/>
        </w:rPr>
        <w:t xml:space="preserve"> </w:t>
      </w:r>
      <w:r w:rsidR="00F32B28" w:rsidRPr="00F32B28">
        <w:rPr>
          <w:rtl/>
          <w:lang w:bidi="ar-SY"/>
        </w:rPr>
        <w:t>والعملية.</w:t>
      </w:r>
      <w:r w:rsidR="00F32B28">
        <w:rPr>
          <w:rtl/>
          <w:lang w:bidi="ar-SY"/>
        </w:rPr>
        <w:t xml:space="preserve"> </w:t>
      </w:r>
    </w:p>
    <w:p w:rsidR="00F32B28" w:rsidRPr="00F32B28" w:rsidRDefault="00851F93" w:rsidP="00851F93">
      <w:pPr>
        <w:pStyle w:val="SingleTxt"/>
        <w:rPr>
          <w:rtl/>
          <w:lang w:bidi="ar-SY"/>
        </w:rPr>
      </w:pPr>
      <w:r>
        <w:rPr>
          <w:rFonts w:hint="cs"/>
          <w:rtl/>
          <w:lang w:bidi="ar-SY"/>
        </w:rPr>
        <w:t xml:space="preserve">268 - </w:t>
      </w:r>
      <w:r w:rsidR="00F32B28" w:rsidRPr="00F32B28">
        <w:rPr>
          <w:rtl/>
          <w:lang w:bidi="ar-SY"/>
        </w:rPr>
        <w:t>وبالإضافة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المعاناة</w:t>
      </w:r>
      <w:r w:rsidR="00F32B28">
        <w:rPr>
          <w:rtl/>
          <w:lang w:bidi="ar-SY"/>
        </w:rPr>
        <w:t xml:space="preserve"> </w:t>
      </w:r>
      <w:r w:rsidR="00F32B28" w:rsidRPr="00F32B28">
        <w:rPr>
          <w:rtl/>
          <w:lang w:bidi="ar-SY"/>
        </w:rPr>
        <w:t>النفسية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تتعرض</w:t>
      </w:r>
      <w:r w:rsidR="00F32B28">
        <w:rPr>
          <w:rtl/>
          <w:lang w:bidi="ar-SY"/>
        </w:rPr>
        <w:t xml:space="preserve"> </w:t>
      </w:r>
      <w:r w:rsidR="00F32B28" w:rsidRPr="00F32B28">
        <w:rPr>
          <w:rtl/>
          <w:lang w:bidi="ar-SY"/>
        </w:rPr>
        <w:t>لها</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نتيجة</w:t>
      </w:r>
      <w:r w:rsidR="00F32B28">
        <w:rPr>
          <w:rtl/>
          <w:lang w:bidi="ar-SY"/>
        </w:rPr>
        <w:t xml:space="preserve"> </w:t>
      </w:r>
      <w:r w:rsidR="00F32B28" w:rsidRPr="00F32B28">
        <w:rPr>
          <w:rtl/>
          <w:lang w:bidi="ar-SY"/>
        </w:rPr>
        <w:t>هدم</w:t>
      </w:r>
      <w:r w:rsidR="00F32B28">
        <w:rPr>
          <w:rtl/>
          <w:lang w:bidi="ar-SY"/>
        </w:rPr>
        <w:t xml:space="preserve"> </w:t>
      </w:r>
      <w:r w:rsidR="00F32B28" w:rsidRPr="00F32B28">
        <w:rPr>
          <w:rtl/>
          <w:lang w:bidi="ar-SY"/>
        </w:rPr>
        <w:t>بيتها،</w:t>
      </w:r>
      <w:r w:rsidR="00F32B28">
        <w:rPr>
          <w:rtl/>
          <w:lang w:bidi="ar-SY"/>
        </w:rPr>
        <w:t xml:space="preserve"> </w:t>
      </w:r>
      <w:r w:rsidR="00F32B28" w:rsidRPr="00F32B28">
        <w:rPr>
          <w:rtl/>
          <w:lang w:bidi="ar-SY"/>
        </w:rPr>
        <w:t>فقد</w:t>
      </w:r>
      <w:r w:rsidR="00F32B28">
        <w:rPr>
          <w:rtl/>
          <w:lang w:bidi="ar-SY"/>
        </w:rPr>
        <w:t xml:space="preserve"> </w:t>
      </w:r>
      <w:r w:rsidR="00F32B28" w:rsidRPr="00F32B28">
        <w:rPr>
          <w:rtl/>
          <w:lang w:bidi="ar-SY"/>
        </w:rPr>
        <w:t>ساءت</w:t>
      </w:r>
      <w:r w:rsidR="00F32B28">
        <w:rPr>
          <w:rtl/>
          <w:lang w:bidi="ar-SY"/>
        </w:rPr>
        <w:t xml:space="preserve"> </w:t>
      </w:r>
      <w:r w:rsidR="00F32B28" w:rsidRPr="00F32B28">
        <w:rPr>
          <w:rtl/>
          <w:lang w:bidi="ar-SY"/>
        </w:rPr>
        <w:t>الأوضاع</w:t>
      </w:r>
      <w:r w:rsidR="00F32B28">
        <w:rPr>
          <w:rtl/>
          <w:lang w:bidi="ar-SY"/>
        </w:rPr>
        <w:t xml:space="preserve"> </w:t>
      </w:r>
      <w:r w:rsidR="00F32B28" w:rsidRPr="00F32B28">
        <w:rPr>
          <w:rtl/>
          <w:lang w:bidi="ar-SY"/>
        </w:rPr>
        <w:t>الاقتصادية</w:t>
      </w:r>
      <w:r w:rsidR="00F32B28">
        <w:rPr>
          <w:rtl/>
          <w:lang w:bidi="ar-SY"/>
        </w:rPr>
        <w:t xml:space="preserve"> </w:t>
      </w:r>
      <w:r w:rsidR="00F32B28" w:rsidRPr="00F32B28">
        <w:rPr>
          <w:rtl/>
          <w:lang w:bidi="ar-SY"/>
        </w:rPr>
        <w:t>للأسر</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بسبب</w:t>
      </w:r>
      <w:r w:rsidR="00F32B28">
        <w:rPr>
          <w:rtl/>
          <w:lang w:bidi="ar-SY"/>
        </w:rPr>
        <w:t xml:space="preserve"> </w:t>
      </w:r>
      <w:r w:rsidR="00F32B28" w:rsidRPr="00F32B28">
        <w:rPr>
          <w:rtl/>
          <w:lang w:bidi="ar-SY"/>
        </w:rPr>
        <w:t>هدم</w:t>
      </w:r>
      <w:r w:rsidR="00F32B28">
        <w:rPr>
          <w:rtl/>
          <w:lang w:bidi="ar-SY"/>
        </w:rPr>
        <w:t xml:space="preserve"> </w:t>
      </w:r>
      <w:r w:rsidR="00F32B28" w:rsidRPr="00F32B28">
        <w:rPr>
          <w:rtl/>
          <w:lang w:bidi="ar-SY"/>
        </w:rPr>
        <w:t>البيوت</w:t>
      </w:r>
      <w:r w:rsidR="00F32B28">
        <w:rPr>
          <w:rtl/>
          <w:lang w:bidi="ar-SY"/>
        </w:rPr>
        <w:t xml:space="preserve"> </w:t>
      </w:r>
      <w:r w:rsidR="00F32B28" w:rsidRPr="00F32B28">
        <w:rPr>
          <w:rtl/>
          <w:lang w:bidi="ar-SY"/>
        </w:rPr>
        <w:t>وفقدان</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المقتنيات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تحويها،</w:t>
      </w:r>
      <w:r w:rsidR="00F32B28">
        <w:rPr>
          <w:rtl/>
          <w:lang w:bidi="ar-SY"/>
        </w:rPr>
        <w:t xml:space="preserve"> </w:t>
      </w:r>
      <w:r w:rsidR="00F32B28" w:rsidRPr="00F32B28">
        <w:rPr>
          <w:rtl/>
          <w:lang w:bidi="ar-SY"/>
        </w:rPr>
        <w:t>وفقدان</w:t>
      </w:r>
      <w:r w:rsidR="00F32B28">
        <w:rPr>
          <w:rtl/>
          <w:lang w:bidi="ar-SY"/>
        </w:rPr>
        <w:t xml:space="preserve"> </w:t>
      </w:r>
      <w:r w:rsidR="00F32B28" w:rsidRPr="00F32B28">
        <w:rPr>
          <w:rtl/>
          <w:lang w:bidi="ar-SY"/>
        </w:rPr>
        <w:t>فرص</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واضطرار</w:t>
      </w:r>
      <w:r w:rsidR="00F32B28">
        <w:rPr>
          <w:rtl/>
          <w:lang w:bidi="ar-SY"/>
        </w:rPr>
        <w:t xml:space="preserve"> </w:t>
      </w:r>
      <w:r w:rsidR="00F32B28" w:rsidRPr="00F32B28">
        <w:rPr>
          <w:rtl/>
          <w:lang w:bidi="ar-SY"/>
        </w:rPr>
        <w:t>الأبناء</w:t>
      </w:r>
      <w:r w:rsidR="00F32B28">
        <w:rPr>
          <w:rtl/>
          <w:lang w:bidi="ar-SY"/>
        </w:rPr>
        <w:t xml:space="preserve"> </w:t>
      </w:r>
      <w:r w:rsidR="00F32B28" w:rsidRPr="00F32B28">
        <w:rPr>
          <w:rtl/>
          <w:lang w:bidi="ar-SY"/>
        </w:rPr>
        <w:t>والبنات</w:t>
      </w:r>
      <w:r w:rsidR="00F32B28">
        <w:rPr>
          <w:rtl/>
          <w:lang w:bidi="ar-SY"/>
        </w:rPr>
        <w:t xml:space="preserve"> </w:t>
      </w:r>
      <w:r w:rsidR="00F32B28" w:rsidRPr="00F32B28">
        <w:rPr>
          <w:rtl/>
          <w:lang w:bidi="ar-SY"/>
        </w:rPr>
        <w:t>لترك</w:t>
      </w:r>
      <w:r w:rsidR="00F32B28">
        <w:rPr>
          <w:rtl/>
          <w:lang w:bidi="ar-SY"/>
        </w:rPr>
        <w:t xml:space="preserve"> </w:t>
      </w:r>
      <w:r w:rsidR="00F32B28" w:rsidRPr="00F32B28">
        <w:rPr>
          <w:rtl/>
          <w:lang w:bidi="ar-SY"/>
        </w:rPr>
        <w:t>المدارس،</w:t>
      </w:r>
      <w:r w:rsidR="00F32B28">
        <w:rPr>
          <w:rtl/>
          <w:lang w:bidi="ar-SY"/>
        </w:rPr>
        <w:t xml:space="preserve"> </w:t>
      </w:r>
      <w:r w:rsidR="00F32B28" w:rsidRPr="00F32B28">
        <w:rPr>
          <w:rtl/>
          <w:lang w:bidi="ar-SY"/>
        </w:rPr>
        <w:t>وزيادة</w:t>
      </w:r>
      <w:r w:rsidR="00F32B28">
        <w:rPr>
          <w:rtl/>
          <w:lang w:bidi="ar-SY"/>
        </w:rPr>
        <w:t xml:space="preserve"> </w:t>
      </w:r>
      <w:r w:rsidR="00F32B28" w:rsidRPr="00F32B28">
        <w:rPr>
          <w:rtl/>
          <w:lang w:bidi="ar-SY"/>
        </w:rPr>
        <w:t>نسبة</w:t>
      </w:r>
      <w:r w:rsidR="00F32B28">
        <w:rPr>
          <w:rtl/>
          <w:lang w:bidi="ar-SY"/>
        </w:rPr>
        <w:t xml:space="preserve"> </w:t>
      </w:r>
      <w:r w:rsidR="00F32B28" w:rsidRPr="00F32B28">
        <w:rPr>
          <w:rtl/>
          <w:lang w:bidi="ar-SY"/>
        </w:rPr>
        <w:t>الزواج</w:t>
      </w:r>
      <w:r w:rsidR="00F32B28">
        <w:rPr>
          <w:rtl/>
          <w:lang w:bidi="ar-SY"/>
        </w:rPr>
        <w:t xml:space="preserve"> </w:t>
      </w:r>
      <w:r w:rsidR="00F32B28" w:rsidRPr="00F32B28">
        <w:rPr>
          <w:rtl/>
          <w:lang w:bidi="ar-SY"/>
        </w:rPr>
        <w:t>المبكر،</w:t>
      </w:r>
      <w:r w:rsidR="00F32B28">
        <w:rPr>
          <w:rtl/>
          <w:lang w:bidi="ar-SY"/>
        </w:rPr>
        <w:t xml:space="preserve"> </w:t>
      </w:r>
      <w:r w:rsidR="00F32B28" w:rsidRPr="00F32B28">
        <w:rPr>
          <w:rtl/>
          <w:lang w:bidi="ar-SY"/>
        </w:rPr>
        <w:t>وزيادة</w:t>
      </w:r>
      <w:r w:rsidR="00F32B28">
        <w:rPr>
          <w:rtl/>
          <w:lang w:bidi="ar-SY"/>
        </w:rPr>
        <w:t xml:space="preserve"> </w:t>
      </w:r>
      <w:r w:rsidR="00F32B28" w:rsidRPr="00F32B28">
        <w:rPr>
          <w:rtl/>
          <w:lang w:bidi="ar-SY"/>
        </w:rPr>
        <w:t>الأعباء</w:t>
      </w:r>
      <w:r w:rsidR="00F32B28">
        <w:rPr>
          <w:rtl/>
          <w:lang w:bidi="ar-SY"/>
        </w:rPr>
        <w:t xml:space="preserve"> </w:t>
      </w:r>
      <w:r w:rsidR="00F32B28" w:rsidRPr="00F32B28">
        <w:rPr>
          <w:rtl/>
          <w:lang w:bidi="ar-SY"/>
        </w:rPr>
        <w:t>الاقتصادية</w:t>
      </w:r>
      <w:r w:rsidR="00F32B28">
        <w:rPr>
          <w:rtl/>
          <w:lang w:bidi="ar-SY"/>
        </w:rPr>
        <w:t xml:space="preserve"> </w:t>
      </w:r>
      <w:r w:rsidR="00F32B28" w:rsidRPr="00F32B28">
        <w:rPr>
          <w:rtl/>
          <w:lang w:bidi="ar-SY"/>
        </w:rPr>
        <w:t>الملقاة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كاهل</w:t>
      </w:r>
      <w:r w:rsidR="00F32B28">
        <w:rPr>
          <w:rtl/>
          <w:lang w:bidi="ar-SY"/>
        </w:rPr>
        <w:t xml:space="preserve"> </w:t>
      </w:r>
      <w:r w:rsidR="00F32B28" w:rsidRPr="00F32B28">
        <w:rPr>
          <w:rtl/>
          <w:lang w:bidi="ar-SY"/>
        </w:rPr>
        <w:t>الأسرة،</w:t>
      </w:r>
      <w:r w:rsidR="00F32B28">
        <w:rPr>
          <w:rtl/>
          <w:lang w:bidi="ar-SY"/>
        </w:rPr>
        <w:t xml:space="preserve"> </w:t>
      </w:r>
      <w:r w:rsidR="00F32B28" w:rsidRPr="00F32B28">
        <w:rPr>
          <w:rtl/>
          <w:lang w:bidi="ar-SY"/>
        </w:rPr>
        <w:t>وبخاصة</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وتلقي</w:t>
      </w:r>
      <w:r w:rsidR="00F32B28">
        <w:rPr>
          <w:rtl/>
          <w:lang w:bidi="ar-SY"/>
        </w:rPr>
        <w:t xml:space="preserve"> </w:t>
      </w:r>
      <w:r w:rsidR="00F32B28" w:rsidRPr="00F32B28">
        <w:rPr>
          <w:rtl/>
          <w:lang w:bidi="ar-SY"/>
        </w:rPr>
        <w:t>الإحصاءات</w:t>
      </w:r>
      <w:r w:rsidR="00F32B28">
        <w:rPr>
          <w:rtl/>
          <w:lang w:bidi="ar-SY"/>
        </w:rPr>
        <w:t xml:space="preserve"> </w:t>
      </w:r>
      <w:r w:rsidR="00F32B28" w:rsidRPr="00F32B28">
        <w:rPr>
          <w:rtl/>
          <w:lang w:bidi="ar-SY"/>
        </w:rPr>
        <w:t>الآتية</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الضوء</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حجم</w:t>
      </w:r>
      <w:r w:rsidR="00F32B28">
        <w:rPr>
          <w:rtl/>
          <w:lang w:bidi="ar-SY"/>
        </w:rPr>
        <w:t xml:space="preserve"> </w:t>
      </w:r>
      <w:r w:rsidR="00F32B28" w:rsidRPr="00F32B28">
        <w:rPr>
          <w:rtl/>
          <w:lang w:bidi="ar-SY"/>
        </w:rPr>
        <w:t>معاناة</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ظل</w:t>
      </w:r>
      <w:r w:rsidR="00F32B28">
        <w:rPr>
          <w:rtl/>
          <w:lang w:bidi="ar-SY"/>
        </w:rPr>
        <w:t xml:space="preserve"> </w:t>
      </w:r>
      <w:r w:rsidR="00F32B28" w:rsidRPr="00F32B28">
        <w:rPr>
          <w:rtl/>
          <w:lang w:bidi="ar-SY"/>
        </w:rPr>
        <w:t>انتهاج</w:t>
      </w:r>
      <w:r w:rsidR="00F32B28">
        <w:rPr>
          <w:rtl/>
          <w:lang w:bidi="ar-SY"/>
        </w:rPr>
        <w:t xml:space="preserve"> </w:t>
      </w:r>
      <w:r w:rsidR="00F32B28" w:rsidRPr="00F32B28">
        <w:rPr>
          <w:rtl/>
          <w:lang w:bidi="ar-SY"/>
        </w:rPr>
        <w:t>سلطات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لسياسة</w:t>
      </w:r>
      <w:r w:rsidR="00F32B28">
        <w:rPr>
          <w:rtl/>
          <w:lang w:bidi="ar-SY"/>
        </w:rPr>
        <w:t xml:space="preserve"> </w:t>
      </w:r>
      <w:r w:rsidR="00F32B28" w:rsidRPr="00F32B28">
        <w:rPr>
          <w:rtl/>
          <w:lang w:bidi="ar-SY"/>
        </w:rPr>
        <w:t>هدم</w:t>
      </w:r>
      <w:r w:rsidR="00F32B28">
        <w:rPr>
          <w:rtl/>
          <w:lang w:bidi="ar-SY"/>
        </w:rPr>
        <w:t xml:space="preserve"> </w:t>
      </w:r>
      <w:r w:rsidR="00F32B28" w:rsidRPr="00F32B28">
        <w:rPr>
          <w:rtl/>
          <w:lang w:bidi="ar-SY"/>
        </w:rPr>
        <w:t>منازل</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تشكل</w:t>
      </w:r>
      <w:r w:rsidR="00F32B28">
        <w:rPr>
          <w:rtl/>
          <w:lang w:bidi="ar-SY"/>
        </w:rPr>
        <w:t xml:space="preserve"> </w:t>
      </w:r>
      <w:r w:rsidR="00F32B28" w:rsidRPr="00F32B28">
        <w:rPr>
          <w:rtl/>
          <w:lang w:bidi="ar-SY"/>
        </w:rPr>
        <w:t>بالأساس</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مخاطر</w:t>
      </w:r>
      <w:r w:rsidR="00F32B28">
        <w:rPr>
          <w:rtl/>
          <w:lang w:bidi="ar-SY"/>
        </w:rPr>
        <w:t xml:space="preserve"> </w:t>
      </w:r>
      <w:r w:rsidR="00F32B28" w:rsidRPr="00F32B28">
        <w:rPr>
          <w:rtl/>
          <w:lang w:bidi="ar-SY"/>
        </w:rPr>
        <w:t>تذكر</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أمنها.</w:t>
      </w:r>
    </w:p>
    <w:p w:rsidR="00F32B28" w:rsidRPr="00F32B28" w:rsidRDefault="00851F93" w:rsidP="00851F93">
      <w:pPr>
        <w:pStyle w:val="SingleTxt"/>
        <w:rPr>
          <w:rtl/>
          <w:lang w:bidi="ar-SY"/>
        </w:rPr>
      </w:pPr>
      <w:r>
        <w:rPr>
          <w:rFonts w:hint="cs"/>
          <w:rtl/>
          <w:lang w:bidi="ar-SY"/>
        </w:rPr>
        <w:t xml:space="preserve">269 - </w:t>
      </w:r>
      <w:r w:rsidR="00F32B28" w:rsidRPr="00F32B28">
        <w:rPr>
          <w:rtl/>
          <w:lang w:bidi="ar-SY"/>
        </w:rPr>
        <w:t>تتنوع</w:t>
      </w:r>
      <w:r w:rsidR="00F32B28">
        <w:rPr>
          <w:rtl/>
          <w:lang w:bidi="ar-SY"/>
        </w:rPr>
        <w:t xml:space="preserve"> </w:t>
      </w:r>
      <w:r w:rsidR="00F32B28" w:rsidRPr="00F32B28">
        <w:rPr>
          <w:rtl/>
          <w:lang w:bidi="ar-SY"/>
        </w:rPr>
        <w:t>ذرائع</w:t>
      </w:r>
      <w:r w:rsidR="00F32B28">
        <w:rPr>
          <w:rtl/>
          <w:lang w:bidi="ar-SY"/>
        </w:rPr>
        <w:t xml:space="preserve"> </w:t>
      </w:r>
      <w:r w:rsidR="00F32B28" w:rsidRPr="00F32B28">
        <w:rPr>
          <w:rtl/>
          <w:lang w:bidi="ar-SY"/>
        </w:rPr>
        <w:t>سلطات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هدم</w:t>
      </w:r>
      <w:r w:rsidR="00F32B28">
        <w:rPr>
          <w:rtl/>
          <w:lang w:bidi="ar-SY"/>
        </w:rPr>
        <w:t xml:space="preserve"> </w:t>
      </w:r>
      <w:r w:rsidR="00F32B28" w:rsidRPr="00F32B28">
        <w:rPr>
          <w:rtl/>
          <w:lang w:bidi="ar-SY"/>
        </w:rPr>
        <w:t>المنازل</w:t>
      </w:r>
      <w:r w:rsidR="00F32B28">
        <w:rPr>
          <w:rtl/>
          <w:lang w:bidi="ar-SY"/>
        </w:rPr>
        <w:t xml:space="preserve"> </w:t>
      </w:r>
      <w:r w:rsidR="00F32B28" w:rsidRPr="00F32B28">
        <w:rPr>
          <w:rtl/>
          <w:lang w:bidi="ar-SY"/>
        </w:rPr>
        <w:t>السكنية</w:t>
      </w:r>
      <w:r>
        <w:rPr>
          <w:rFonts w:hint="cs"/>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المحتلة،</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تختلف</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عما</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فمنذ</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1967</w:t>
      </w:r>
      <w:r w:rsidR="00F32B28">
        <w:rPr>
          <w:rtl/>
          <w:lang w:bidi="ar-SY"/>
        </w:rPr>
        <w:t xml:space="preserve"> </w:t>
      </w:r>
      <w:r w:rsidR="00F32B28" w:rsidRPr="00F32B28">
        <w:rPr>
          <w:rtl/>
          <w:lang w:bidi="ar-SY"/>
        </w:rPr>
        <w:t>دأبت</w:t>
      </w:r>
      <w:r w:rsidR="00F32B28">
        <w:rPr>
          <w:rtl/>
          <w:lang w:bidi="ar-SY"/>
        </w:rPr>
        <w:t xml:space="preserve"> </w:t>
      </w:r>
      <w:r w:rsidR="00F32B28" w:rsidRPr="00F32B28">
        <w:rPr>
          <w:rtl/>
          <w:lang w:bidi="ar-SY"/>
        </w:rPr>
        <w:t>سلطات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وبالاستناد</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الدفاع</w:t>
      </w:r>
      <w:r w:rsidR="00F32B28">
        <w:rPr>
          <w:rtl/>
          <w:lang w:bidi="ar-SY"/>
        </w:rPr>
        <w:t xml:space="preserve"> </w:t>
      </w:r>
      <w:r w:rsidR="00F32B28" w:rsidRPr="00F32B28">
        <w:rPr>
          <w:rtl/>
          <w:lang w:bidi="ar-SY"/>
        </w:rPr>
        <w:t>الانتداب</w:t>
      </w:r>
      <w:r w:rsidR="00F32B28">
        <w:rPr>
          <w:rtl/>
          <w:lang w:bidi="ar-SY"/>
        </w:rPr>
        <w:t xml:space="preserve"> </w:t>
      </w:r>
      <w:r w:rsidR="00F32B28" w:rsidRPr="00F32B28">
        <w:rPr>
          <w:rtl/>
          <w:lang w:bidi="ar-SY"/>
        </w:rPr>
        <w:t>البريطاني</w:t>
      </w:r>
      <w:r w:rsidR="00F32B28">
        <w:rPr>
          <w:rtl/>
          <w:lang w:bidi="ar-SY"/>
        </w:rPr>
        <w:t xml:space="preserve"> </w:t>
      </w:r>
      <w:r w:rsidR="00F32B28" w:rsidRPr="00F32B28">
        <w:rPr>
          <w:rtl/>
          <w:lang w:bidi="ar-SY"/>
        </w:rPr>
        <w:t>(الطوارئ)</w:t>
      </w:r>
      <w:r w:rsidR="00F32B28">
        <w:rPr>
          <w:rtl/>
          <w:lang w:bidi="ar-SY"/>
        </w:rPr>
        <w:t xml:space="preserve"> </w:t>
      </w:r>
      <w:r w:rsidR="00F32B28" w:rsidRPr="00F32B28">
        <w:rPr>
          <w:rtl/>
          <w:lang w:bidi="ar-SY"/>
        </w:rPr>
        <w:t>لعام</w:t>
      </w:r>
      <w:r w:rsidR="00F32B28">
        <w:rPr>
          <w:rtl/>
          <w:lang w:bidi="ar-SY"/>
        </w:rPr>
        <w:t xml:space="preserve"> </w:t>
      </w:r>
      <w:r w:rsidR="00F32B28" w:rsidRPr="00F32B28">
        <w:rPr>
          <w:rtl/>
          <w:lang w:bidi="ar-SY"/>
        </w:rPr>
        <w:t>1945،</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هدم</w:t>
      </w:r>
      <w:r w:rsidR="00F32B28">
        <w:rPr>
          <w:rtl/>
          <w:lang w:bidi="ar-SY"/>
        </w:rPr>
        <w:t xml:space="preserve"> </w:t>
      </w:r>
      <w:r w:rsidR="00F32B28" w:rsidRPr="00F32B28">
        <w:rPr>
          <w:rtl/>
          <w:lang w:bidi="ar-SY"/>
        </w:rPr>
        <w:t>منازل</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تحت</w:t>
      </w:r>
      <w:r w:rsidR="00F32B28">
        <w:rPr>
          <w:rtl/>
          <w:lang w:bidi="ar-SY"/>
        </w:rPr>
        <w:t xml:space="preserve"> </w:t>
      </w:r>
      <w:r w:rsidR="00F32B28" w:rsidRPr="00F32B28">
        <w:rPr>
          <w:rtl/>
          <w:lang w:bidi="ar-SY"/>
        </w:rPr>
        <w:t>ذرائع</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قانونية</w:t>
      </w:r>
      <w:r w:rsidR="00F32B28">
        <w:rPr>
          <w:rtl/>
          <w:lang w:bidi="ar-SY"/>
        </w:rPr>
        <w:t xml:space="preserve"> </w:t>
      </w:r>
      <w:r w:rsidR="00F32B28" w:rsidRPr="00F32B28">
        <w:rPr>
          <w:rtl/>
          <w:lang w:bidi="ar-SY"/>
        </w:rPr>
        <w:t>كالذرائع</w:t>
      </w:r>
      <w:r w:rsidR="00F32B28">
        <w:rPr>
          <w:rtl/>
          <w:lang w:bidi="ar-SY"/>
        </w:rPr>
        <w:t xml:space="preserve"> </w:t>
      </w:r>
      <w:r w:rsidR="00F32B28" w:rsidRPr="00F32B28">
        <w:rPr>
          <w:rtl/>
          <w:lang w:bidi="ar-SY"/>
        </w:rPr>
        <w:t>الأمنية،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عدم</w:t>
      </w:r>
      <w:r w:rsidR="00F32B28">
        <w:rPr>
          <w:rtl/>
          <w:lang w:bidi="ar-SY"/>
        </w:rPr>
        <w:t xml:space="preserve"> </w:t>
      </w:r>
      <w:r w:rsidR="00F32B28" w:rsidRPr="00F32B28">
        <w:rPr>
          <w:rtl/>
          <w:lang w:bidi="ar-SY"/>
        </w:rPr>
        <w:t>الحصول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تراخيص</w:t>
      </w:r>
      <w:r w:rsidR="00F32B28">
        <w:rPr>
          <w:rtl/>
          <w:lang w:bidi="ar-SY"/>
        </w:rPr>
        <w:t xml:space="preserve"> </w:t>
      </w:r>
      <w:r w:rsidR="00F32B28" w:rsidRPr="00F32B28">
        <w:rPr>
          <w:rtl/>
          <w:lang w:bidi="ar-SY"/>
        </w:rPr>
        <w:t>استنادا</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تشريعات</w:t>
      </w:r>
      <w:r w:rsidR="00F32B28">
        <w:rPr>
          <w:rtl/>
          <w:lang w:bidi="ar-SY"/>
        </w:rPr>
        <w:t xml:space="preserve"> </w:t>
      </w:r>
      <w:r w:rsidR="00F32B28" w:rsidRPr="00F32B28">
        <w:rPr>
          <w:rtl/>
          <w:lang w:bidi="ar-SY"/>
        </w:rPr>
        <w:t>عنصرية،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لمخالفة</w:t>
      </w:r>
      <w:r w:rsidR="00F32B28">
        <w:rPr>
          <w:rtl/>
          <w:lang w:bidi="ar-SY"/>
        </w:rPr>
        <w:t xml:space="preserve"> </w:t>
      </w:r>
      <w:r w:rsidR="00F32B28" w:rsidRPr="00F32B28">
        <w:rPr>
          <w:rtl/>
          <w:lang w:bidi="ar-SY"/>
        </w:rPr>
        <w:t>سياسة</w:t>
      </w:r>
      <w:r w:rsidR="00F32B28">
        <w:rPr>
          <w:rtl/>
          <w:lang w:bidi="ar-SY"/>
        </w:rPr>
        <w:t xml:space="preserve"> </w:t>
      </w:r>
      <w:r w:rsidR="00F32B28" w:rsidRPr="00F32B28">
        <w:rPr>
          <w:rtl/>
          <w:lang w:bidi="ar-SY"/>
        </w:rPr>
        <w:t>السلطات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العنصرية</w:t>
      </w:r>
      <w:r w:rsidR="00F32B28">
        <w:rPr>
          <w:rtl/>
          <w:lang w:bidi="ar-SY"/>
        </w:rPr>
        <w:t xml:space="preserve"> </w:t>
      </w:r>
      <w:r w:rsidR="00F32B28" w:rsidRPr="00F32B28">
        <w:rPr>
          <w:rtl/>
          <w:lang w:bidi="ar-SY"/>
        </w:rPr>
        <w:t>للإسكان،</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قرب</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المنازل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المستوطنات</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w:t>
      </w:r>
      <w:r w:rsidR="00F32B28" w:rsidRPr="00F32B28">
        <w:rPr>
          <w:rFonts w:hint="cs"/>
          <w:rtl/>
          <w:lang w:bidi="ar-SY"/>
        </w:rPr>
        <w:t>قانونية</w:t>
      </w:r>
      <w:r w:rsidR="00F32B28">
        <w:rPr>
          <w:rtl/>
          <w:lang w:bidi="ar-SY"/>
        </w:rPr>
        <w:t xml:space="preserve"> </w:t>
      </w:r>
      <w:r w:rsidR="00F32B28" w:rsidRPr="00F32B28">
        <w:rPr>
          <w:rtl/>
          <w:lang w:bidi="ar-SY"/>
        </w:rPr>
        <w:t>وحدود</w:t>
      </w:r>
      <w:r w:rsidR="00F32B28">
        <w:rPr>
          <w:rtl/>
          <w:lang w:bidi="ar-SY"/>
        </w:rPr>
        <w:t xml:space="preserve"> </w:t>
      </w:r>
      <w:r w:rsidR="00F32B28" w:rsidRPr="00F32B28">
        <w:rPr>
          <w:rtl/>
          <w:lang w:bidi="ar-SY"/>
        </w:rPr>
        <w:t>الفصل</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لوقوعها</w:t>
      </w:r>
      <w:r w:rsidR="00F32B28">
        <w:rPr>
          <w:rtl/>
          <w:lang w:bidi="ar-SY"/>
        </w:rPr>
        <w:t xml:space="preserve"> </w:t>
      </w:r>
      <w:r w:rsidR="00F32B28" w:rsidRPr="00F32B28">
        <w:rPr>
          <w:rtl/>
          <w:lang w:bidi="ar-SY"/>
        </w:rPr>
        <w:t>بمحاذاة</w:t>
      </w:r>
      <w:r w:rsidR="00F32B28">
        <w:rPr>
          <w:rtl/>
          <w:lang w:bidi="ar-SY"/>
        </w:rPr>
        <w:t xml:space="preserve"> </w:t>
      </w:r>
      <w:r w:rsidR="00F32B28" w:rsidRPr="00F32B28">
        <w:rPr>
          <w:rtl/>
          <w:lang w:bidi="ar-SY"/>
        </w:rPr>
        <w:t>الطرق</w:t>
      </w:r>
      <w:r w:rsidR="00F32B28">
        <w:rPr>
          <w:rtl/>
          <w:lang w:bidi="ar-SY"/>
        </w:rPr>
        <w:t xml:space="preserve"> </w:t>
      </w:r>
      <w:r w:rsidR="00F32B28" w:rsidRPr="00F32B28">
        <w:rPr>
          <w:rtl/>
          <w:lang w:bidi="ar-SY"/>
        </w:rPr>
        <w:t>الالتفافية.</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تتنوع</w:t>
      </w:r>
      <w:r w:rsidR="00F32B28">
        <w:rPr>
          <w:rtl/>
          <w:lang w:bidi="ar-SY"/>
        </w:rPr>
        <w:t xml:space="preserve"> </w:t>
      </w:r>
      <w:r w:rsidR="00F32B28" w:rsidRPr="00F32B28">
        <w:rPr>
          <w:rtl/>
          <w:lang w:bidi="ar-SY"/>
        </w:rPr>
        <w:t>طرق</w:t>
      </w:r>
      <w:r w:rsidR="00F32B28">
        <w:rPr>
          <w:rtl/>
          <w:lang w:bidi="ar-SY"/>
        </w:rPr>
        <w:t xml:space="preserve"> </w:t>
      </w:r>
      <w:r w:rsidR="00F32B28" w:rsidRPr="00F32B28">
        <w:rPr>
          <w:rtl/>
          <w:lang w:bidi="ar-SY"/>
        </w:rPr>
        <w:t>ووسائل</w:t>
      </w:r>
      <w:r w:rsidR="00F32B28">
        <w:rPr>
          <w:rtl/>
          <w:lang w:bidi="ar-SY"/>
        </w:rPr>
        <w:t xml:space="preserve"> </w:t>
      </w:r>
      <w:r w:rsidR="00F32B28" w:rsidRPr="00F32B28">
        <w:rPr>
          <w:rtl/>
          <w:lang w:bidi="ar-SY"/>
        </w:rPr>
        <w:t>قوات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هدم</w:t>
      </w:r>
      <w:r w:rsidR="00F32B28">
        <w:rPr>
          <w:rtl/>
          <w:lang w:bidi="ar-SY"/>
        </w:rPr>
        <w:t xml:space="preserve"> </w:t>
      </w:r>
      <w:r w:rsidR="00F32B28" w:rsidRPr="00F32B28">
        <w:rPr>
          <w:rtl/>
          <w:lang w:bidi="ar-SY"/>
        </w:rPr>
        <w:t>المنازل</w:t>
      </w:r>
      <w:r w:rsidR="00F32B28">
        <w:rPr>
          <w:rtl/>
          <w:lang w:bidi="ar-SY"/>
        </w:rPr>
        <w:t xml:space="preserve"> </w:t>
      </w:r>
      <w:r w:rsidR="00F32B28" w:rsidRPr="00F32B28">
        <w:rPr>
          <w:rtl/>
          <w:lang w:bidi="ar-SY"/>
        </w:rPr>
        <w:t>السكنية،</w:t>
      </w:r>
      <w:r w:rsidR="00F32B28">
        <w:rPr>
          <w:rtl/>
          <w:lang w:bidi="ar-SY"/>
        </w:rPr>
        <w:t xml:space="preserve"> </w:t>
      </w:r>
      <w:r w:rsidR="00F32B28" w:rsidRPr="00F32B28">
        <w:rPr>
          <w:rtl/>
          <w:lang w:bidi="ar-SY"/>
        </w:rPr>
        <w:t>كالهدم</w:t>
      </w:r>
      <w:r w:rsidR="00F32B28">
        <w:rPr>
          <w:rtl/>
          <w:lang w:bidi="ar-SY"/>
        </w:rPr>
        <w:t xml:space="preserve"> </w:t>
      </w:r>
      <w:r w:rsidR="00F32B28" w:rsidRPr="00F32B28">
        <w:rPr>
          <w:rtl/>
          <w:lang w:bidi="ar-SY"/>
        </w:rPr>
        <w:t>بالجرافات،</w:t>
      </w:r>
      <w:r w:rsidR="00F32B28">
        <w:rPr>
          <w:rtl/>
          <w:lang w:bidi="ar-SY"/>
        </w:rPr>
        <w:t xml:space="preserve"> </w:t>
      </w:r>
      <w:r w:rsidR="00F32B28" w:rsidRPr="00F32B28">
        <w:rPr>
          <w:rtl/>
          <w:lang w:bidi="ar-SY"/>
        </w:rPr>
        <w:t>القصف</w:t>
      </w:r>
      <w:r w:rsidR="00F32B28">
        <w:rPr>
          <w:rtl/>
          <w:lang w:bidi="ar-SY"/>
        </w:rPr>
        <w:t xml:space="preserve"> </w:t>
      </w:r>
      <w:r w:rsidR="00F32B28" w:rsidRPr="00F32B28">
        <w:rPr>
          <w:rtl/>
          <w:lang w:bidi="ar-SY"/>
        </w:rPr>
        <w:t>بالمدفعية</w:t>
      </w:r>
      <w:r w:rsidR="00F32B28">
        <w:rPr>
          <w:rtl/>
          <w:lang w:bidi="ar-SY"/>
        </w:rPr>
        <w:t xml:space="preserve"> </w:t>
      </w:r>
      <w:r w:rsidR="00F32B28" w:rsidRPr="00F32B28">
        <w:rPr>
          <w:rtl/>
          <w:lang w:bidi="ar-SY"/>
        </w:rPr>
        <w:t>الثقيلة،</w:t>
      </w:r>
      <w:r w:rsidR="00F32B28">
        <w:rPr>
          <w:rtl/>
          <w:lang w:bidi="ar-SY"/>
        </w:rPr>
        <w:t xml:space="preserve"> </w:t>
      </w:r>
      <w:r w:rsidR="00F32B28" w:rsidRPr="00F32B28">
        <w:rPr>
          <w:rtl/>
          <w:lang w:bidi="ar-SY"/>
        </w:rPr>
        <w:t>القصف</w:t>
      </w:r>
      <w:r w:rsidR="00F32B28">
        <w:rPr>
          <w:rtl/>
          <w:lang w:bidi="ar-SY"/>
        </w:rPr>
        <w:t xml:space="preserve"> </w:t>
      </w:r>
      <w:r w:rsidR="00F32B28" w:rsidRPr="00F32B28">
        <w:rPr>
          <w:rtl/>
          <w:lang w:bidi="ar-SY"/>
        </w:rPr>
        <w:t>بصواريخ</w:t>
      </w:r>
      <w:r w:rsidR="00F32B28">
        <w:rPr>
          <w:rtl/>
          <w:lang w:bidi="ar-SY"/>
        </w:rPr>
        <w:t xml:space="preserve"> </w:t>
      </w:r>
      <w:r w:rsidR="00F32B28" w:rsidRPr="00F32B28">
        <w:rPr>
          <w:rtl/>
          <w:lang w:bidi="ar-SY"/>
        </w:rPr>
        <w:t>الطائرات</w:t>
      </w:r>
      <w:r w:rsidR="00F32B28">
        <w:rPr>
          <w:rtl/>
          <w:lang w:bidi="ar-SY"/>
        </w:rPr>
        <w:t xml:space="preserve"> </w:t>
      </w:r>
      <w:r w:rsidR="00F32B28" w:rsidRPr="00F32B28">
        <w:rPr>
          <w:rtl/>
          <w:lang w:bidi="ar-SY"/>
        </w:rPr>
        <w:t>الحربية،</w:t>
      </w:r>
      <w:r w:rsidR="00F32B28">
        <w:rPr>
          <w:rtl/>
          <w:lang w:bidi="ar-SY"/>
        </w:rPr>
        <w:t xml:space="preserve"> </w:t>
      </w:r>
      <w:r w:rsidR="00F32B28" w:rsidRPr="00F32B28">
        <w:rPr>
          <w:rtl/>
          <w:lang w:bidi="ar-SY"/>
        </w:rPr>
        <w:t>القصف</w:t>
      </w:r>
      <w:r w:rsidR="00F32B28">
        <w:rPr>
          <w:rtl/>
          <w:lang w:bidi="ar-SY"/>
        </w:rPr>
        <w:t xml:space="preserve"> </w:t>
      </w:r>
      <w:r w:rsidR="00F32B28" w:rsidRPr="00F32B28">
        <w:rPr>
          <w:rtl/>
          <w:lang w:bidi="ar-SY"/>
        </w:rPr>
        <w:t>بصواريخ</w:t>
      </w:r>
      <w:r w:rsidR="00F32B28">
        <w:rPr>
          <w:rtl/>
          <w:lang w:bidi="ar-SY"/>
        </w:rPr>
        <w:t xml:space="preserve"> </w:t>
      </w:r>
      <w:r w:rsidR="00F32B28" w:rsidRPr="00F32B28">
        <w:rPr>
          <w:rtl/>
          <w:lang w:bidi="ar-SY"/>
        </w:rPr>
        <w:t>أرض-أرض</w:t>
      </w:r>
      <w:r w:rsidR="00F32B28">
        <w:rPr>
          <w:rtl/>
          <w:lang w:bidi="ar-SY"/>
        </w:rPr>
        <w:t xml:space="preserve"> </w:t>
      </w:r>
      <w:r w:rsidR="00F32B28" w:rsidRPr="00F32B28">
        <w:rPr>
          <w:rtl/>
          <w:lang w:bidi="ar-SY"/>
        </w:rPr>
        <w:t>ونسف</w:t>
      </w:r>
      <w:r w:rsidR="00F32B28">
        <w:rPr>
          <w:rtl/>
          <w:lang w:bidi="ar-SY"/>
        </w:rPr>
        <w:t xml:space="preserve"> </w:t>
      </w:r>
      <w:r w:rsidR="00F32B28" w:rsidRPr="00F32B28">
        <w:rPr>
          <w:rtl/>
          <w:lang w:bidi="ar-SY"/>
        </w:rPr>
        <w:t>المنازل</w:t>
      </w:r>
      <w:r w:rsidR="00F32B28">
        <w:rPr>
          <w:rtl/>
          <w:lang w:bidi="ar-SY"/>
        </w:rPr>
        <w:t xml:space="preserve"> </w:t>
      </w:r>
      <w:r w:rsidR="00F32B28" w:rsidRPr="00F32B28">
        <w:rPr>
          <w:rtl/>
          <w:lang w:bidi="ar-SY"/>
        </w:rPr>
        <w:t>بالمتفجرات.</w:t>
      </w:r>
    </w:p>
    <w:p w:rsidR="00F32B28" w:rsidRPr="00F32B28" w:rsidRDefault="00851F93" w:rsidP="00851F93">
      <w:pPr>
        <w:pStyle w:val="SingleTxt"/>
      </w:pPr>
      <w:r>
        <w:rPr>
          <w:rFonts w:hint="cs"/>
          <w:rtl/>
          <w:lang w:bidi="ar-SY"/>
        </w:rPr>
        <w:t xml:space="preserve">270 - </w:t>
      </w:r>
      <w:r w:rsidR="00F32B28" w:rsidRPr="00F32B28">
        <w:rPr>
          <w:rtl/>
          <w:lang w:bidi="ar-SY"/>
        </w:rPr>
        <w:t>ففي</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غزة،</w:t>
      </w:r>
      <w:r>
        <w:rPr>
          <w:rFonts w:hint="cs"/>
          <w:rtl/>
          <w:lang w:bidi="ar-SY"/>
        </w:rPr>
        <w:t xml:space="preserve"> </w:t>
      </w:r>
      <w:r w:rsidR="00F32B28" w:rsidRPr="00F32B28">
        <w:rPr>
          <w:rtl/>
          <w:lang w:bidi="ar-SY"/>
        </w:rPr>
        <w:t>كانت</w:t>
      </w:r>
      <w:r w:rsidR="00F32B28">
        <w:rPr>
          <w:rtl/>
          <w:lang w:bidi="ar-SY"/>
        </w:rPr>
        <w:t xml:space="preserve"> </w:t>
      </w:r>
      <w:r w:rsidR="00F32B28" w:rsidRPr="00F32B28">
        <w:rPr>
          <w:rtl/>
          <w:lang w:bidi="ar-SY"/>
        </w:rPr>
        <w:t>عمليات</w:t>
      </w:r>
      <w:r w:rsidR="00F32B28">
        <w:rPr>
          <w:rtl/>
          <w:lang w:bidi="ar-SY"/>
        </w:rPr>
        <w:t xml:space="preserve"> </w:t>
      </w:r>
      <w:r w:rsidR="00F32B28" w:rsidRPr="00F32B28">
        <w:rPr>
          <w:rtl/>
          <w:lang w:bidi="ar-SY"/>
        </w:rPr>
        <w:t>هدم</w:t>
      </w:r>
      <w:r w:rsidR="00F32B28">
        <w:rPr>
          <w:rtl/>
          <w:lang w:bidi="ar-SY"/>
        </w:rPr>
        <w:t xml:space="preserve"> </w:t>
      </w:r>
      <w:r w:rsidR="00F32B28" w:rsidRPr="00F32B28">
        <w:rPr>
          <w:rtl/>
          <w:lang w:bidi="ar-SY"/>
        </w:rPr>
        <w:t>المنازل</w:t>
      </w:r>
      <w:r w:rsidR="00F32B28">
        <w:rPr>
          <w:rtl/>
          <w:lang w:bidi="ar-SY"/>
        </w:rPr>
        <w:t xml:space="preserve"> </w:t>
      </w:r>
      <w:r w:rsidR="00F32B28" w:rsidRPr="00F32B28">
        <w:rPr>
          <w:rtl/>
          <w:lang w:bidi="ar-SY"/>
        </w:rPr>
        <w:t>والأعين</w:t>
      </w:r>
      <w:r w:rsidR="00F32B28">
        <w:rPr>
          <w:rtl/>
          <w:lang w:bidi="ar-SY"/>
        </w:rPr>
        <w:t xml:space="preserve"> </w:t>
      </w:r>
      <w:r w:rsidR="00F32B28" w:rsidRPr="00F32B28">
        <w:rPr>
          <w:rtl/>
          <w:lang w:bidi="ar-SY"/>
        </w:rPr>
        <w:t>المدنية</w:t>
      </w:r>
      <w:r w:rsidR="00F32B28">
        <w:rPr>
          <w:rtl/>
          <w:lang w:bidi="ar-SY"/>
        </w:rPr>
        <w:t xml:space="preserve"> </w:t>
      </w:r>
      <w:r w:rsidR="00F32B28" w:rsidRPr="00F32B28">
        <w:rPr>
          <w:rtl/>
          <w:lang w:bidi="ar-SY"/>
        </w:rPr>
        <w:t>أخرى</w:t>
      </w:r>
      <w:r w:rsidR="00F32B28">
        <w:rPr>
          <w:rtl/>
          <w:lang w:bidi="ar-SY"/>
        </w:rPr>
        <w:t xml:space="preserve"> </w:t>
      </w:r>
      <w:r w:rsidR="00F32B28" w:rsidRPr="00F32B28">
        <w:rPr>
          <w:rtl/>
          <w:lang w:bidi="ar-SY"/>
        </w:rPr>
        <w:t>تتم</w:t>
      </w:r>
      <w:r w:rsidR="00F32B28">
        <w:rPr>
          <w:rtl/>
          <w:lang w:bidi="ar-SY"/>
        </w:rPr>
        <w:t xml:space="preserve"> </w:t>
      </w:r>
      <w:r w:rsidR="00F32B28" w:rsidRPr="00F32B28">
        <w:rPr>
          <w:rtl/>
          <w:lang w:bidi="ar-SY"/>
        </w:rPr>
        <w:t>بالقصف</w:t>
      </w:r>
      <w:r w:rsidR="00F32B28">
        <w:rPr>
          <w:rtl/>
          <w:lang w:bidi="ar-SY"/>
        </w:rPr>
        <w:t xml:space="preserve"> </w:t>
      </w:r>
      <w:r w:rsidR="00F32B28" w:rsidRPr="00F32B28">
        <w:rPr>
          <w:rtl/>
          <w:lang w:bidi="ar-SY"/>
        </w:rPr>
        <w:t>بالصواريخ</w:t>
      </w:r>
      <w:r w:rsidR="00F32B28">
        <w:rPr>
          <w:rtl/>
          <w:lang w:bidi="ar-SY"/>
        </w:rPr>
        <w:t xml:space="preserve"> </w:t>
      </w:r>
      <w:r w:rsidR="00F32B28" w:rsidRPr="00F32B28">
        <w:rPr>
          <w:rtl/>
          <w:lang w:bidi="ar-SY"/>
        </w:rPr>
        <w:t>والقذائف</w:t>
      </w:r>
      <w:r w:rsidR="00F32B28">
        <w:rPr>
          <w:rtl/>
          <w:lang w:bidi="ar-SY"/>
        </w:rPr>
        <w:t xml:space="preserve"> </w:t>
      </w:r>
      <w:r w:rsidR="00F32B28" w:rsidRPr="00F32B28">
        <w:rPr>
          <w:rtl/>
          <w:lang w:bidi="ar-SY"/>
        </w:rPr>
        <w:t>المدفعية،</w:t>
      </w:r>
      <w:r w:rsidR="00F32B28">
        <w:rPr>
          <w:rtl/>
          <w:lang w:bidi="ar-SY"/>
        </w:rPr>
        <w:t xml:space="preserve"> </w:t>
      </w:r>
      <w:r w:rsidR="00F32B28" w:rsidRPr="00F32B28">
        <w:rPr>
          <w:rtl/>
          <w:lang w:bidi="ar-SY"/>
        </w:rPr>
        <w:t>ودونما</w:t>
      </w:r>
      <w:r w:rsidR="00F32B28">
        <w:rPr>
          <w:rtl/>
          <w:lang w:bidi="ar-SY"/>
        </w:rPr>
        <w:t xml:space="preserve"> </w:t>
      </w:r>
      <w:r w:rsidR="00F32B28" w:rsidRPr="00F32B28">
        <w:rPr>
          <w:rtl/>
          <w:lang w:bidi="ar-SY"/>
        </w:rPr>
        <w:t>تحذير</w:t>
      </w:r>
      <w:r w:rsidR="00F32B28">
        <w:rPr>
          <w:rtl/>
          <w:lang w:bidi="ar-SY"/>
        </w:rPr>
        <w:t xml:space="preserve"> </w:t>
      </w:r>
      <w:r w:rsidR="00F32B28" w:rsidRPr="00F32B28">
        <w:rPr>
          <w:rtl/>
          <w:lang w:bidi="ar-SY"/>
        </w:rPr>
        <w:t>مسبق</w:t>
      </w:r>
      <w:r w:rsidR="00F32B28">
        <w:rPr>
          <w:rtl/>
          <w:lang w:bidi="ar-SY"/>
        </w:rPr>
        <w:t xml:space="preserve"> </w:t>
      </w:r>
      <w:r w:rsidR="00F32B28" w:rsidRPr="00F32B28">
        <w:rPr>
          <w:rtl/>
          <w:lang w:bidi="ar-SY"/>
        </w:rPr>
        <w:t>للسكان،</w:t>
      </w:r>
      <w:r w:rsidR="00F32B28">
        <w:rPr>
          <w:rtl/>
          <w:lang w:bidi="ar-SY"/>
        </w:rPr>
        <w:t xml:space="preserve"> </w:t>
      </w:r>
      <w:r w:rsidR="00F32B28" w:rsidRPr="00F32B28">
        <w:rPr>
          <w:rtl/>
          <w:lang w:bidi="ar-SY"/>
        </w:rPr>
        <w:t>وإن</w:t>
      </w:r>
      <w:r w:rsidR="00F32B28">
        <w:rPr>
          <w:rtl/>
          <w:lang w:bidi="ar-SY"/>
        </w:rPr>
        <w:t xml:space="preserve"> </w:t>
      </w:r>
      <w:r w:rsidR="00F32B28" w:rsidRPr="00F32B28">
        <w:rPr>
          <w:rtl/>
          <w:lang w:bidi="ar-SY"/>
        </w:rPr>
        <w:t>جرى</w:t>
      </w:r>
      <w:r w:rsidR="00F32B28">
        <w:rPr>
          <w:rtl/>
          <w:lang w:bidi="ar-SY"/>
        </w:rPr>
        <w:t xml:space="preserve"> </w:t>
      </w:r>
      <w:r w:rsidR="00F32B28" w:rsidRPr="00F32B28">
        <w:rPr>
          <w:rtl/>
          <w:lang w:bidi="ar-SY"/>
        </w:rPr>
        <w:t>تحذير</w:t>
      </w:r>
      <w:r w:rsidR="00F32B28">
        <w:rPr>
          <w:rtl/>
          <w:lang w:bidi="ar-SY"/>
        </w:rPr>
        <w:t xml:space="preserve"> </w:t>
      </w:r>
      <w:r w:rsidR="00F32B28" w:rsidRPr="00F32B28">
        <w:rPr>
          <w:rtl/>
          <w:lang w:bidi="ar-SY"/>
        </w:rPr>
        <w:t>السكان</w:t>
      </w:r>
      <w:r w:rsidR="00F32B28">
        <w:rPr>
          <w:rtl/>
          <w:lang w:bidi="ar-SY"/>
        </w:rPr>
        <w:t xml:space="preserve"> </w:t>
      </w:r>
      <w:r w:rsidR="00F32B28" w:rsidRPr="00F32B28">
        <w:rPr>
          <w:rtl/>
          <w:lang w:bidi="ar-SY"/>
        </w:rPr>
        <w:t>فقد</w:t>
      </w:r>
      <w:r w:rsidR="00F32B28">
        <w:rPr>
          <w:rtl/>
          <w:lang w:bidi="ar-SY"/>
        </w:rPr>
        <w:t xml:space="preserve"> </w:t>
      </w:r>
      <w:r w:rsidR="00F32B28" w:rsidRPr="00F32B28">
        <w:rPr>
          <w:rtl/>
          <w:lang w:bidi="ar-SY"/>
        </w:rPr>
        <w:t>كان</w:t>
      </w:r>
      <w:r w:rsidR="00F32B28">
        <w:rPr>
          <w:rtl/>
          <w:lang w:bidi="ar-SY"/>
        </w:rPr>
        <w:t xml:space="preserve"> </w:t>
      </w:r>
      <w:r w:rsidR="00F32B28" w:rsidRPr="00F32B28">
        <w:rPr>
          <w:rtl/>
          <w:lang w:bidi="ar-SY"/>
        </w:rPr>
        <w:t>تحذيراً</w:t>
      </w:r>
      <w:r w:rsidR="00F32B28">
        <w:rPr>
          <w:rtl/>
          <w:lang w:bidi="ar-SY"/>
        </w:rPr>
        <w:t xml:space="preserve"> </w:t>
      </w:r>
      <w:r w:rsidR="00F32B28" w:rsidRPr="00F32B28">
        <w:rPr>
          <w:rtl/>
          <w:lang w:bidi="ar-SY"/>
        </w:rPr>
        <w:t>شكلياً</w:t>
      </w:r>
      <w:r w:rsidR="00F32B28">
        <w:rPr>
          <w:rtl/>
          <w:lang w:bidi="ar-SY"/>
        </w:rPr>
        <w:t xml:space="preserve"> </w:t>
      </w:r>
      <w:r w:rsidR="00F32B28" w:rsidRPr="00F32B28">
        <w:rPr>
          <w:rtl/>
          <w:lang w:bidi="ar-SY"/>
        </w:rPr>
        <w:t>يسهم</w:t>
      </w:r>
      <w:r w:rsidR="00F32B28">
        <w:rPr>
          <w:rtl/>
          <w:lang w:bidi="ar-SY"/>
        </w:rPr>
        <w:t xml:space="preserve"> </w:t>
      </w:r>
      <w:r w:rsidR="00F32B28" w:rsidRPr="00F32B28">
        <w:rPr>
          <w:rtl/>
          <w:lang w:bidi="ar-SY"/>
        </w:rPr>
        <w:t>فقط</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ترويعهم</w:t>
      </w:r>
      <w:r w:rsidR="00F32B28">
        <w:rPr>
          <w:rtl/>
          <w:lang w:bidi="ar-SY"/>
        </w:rPr>
        <w:t xml:space="preserve"> </w:t>
      </w:r>
      <w:r w:rsidR="00F32B28" w:rsidRPr="00F32B28">
        <w:rPr>
          <w:rtl/>
          <w:lang w:bidi="ar-SY"/>
        </w:rPr>
        <w:t>ولا</w:t>
      </w:r>
      <w:r w:rsidR="00F32B28">
        <w:rPr>
          <w:rtl/>
          <w:lang w:bidi="ar-SY"/>
        </w:rPr>
        <w:t xml:space="preserve"> </w:t>
      </w:r>
      <w:r w:rsidR="00F32B28" w:rsidRPr="00F32B28">
        <w:rPr>
          <w:rtl/>
          <w:lang w:bidi="ar-SY"/>
        </w:rPr>
        <w:t>يراعي</w:t>
      </w:r>
      <w:r w:rsidR="00F32B28">
        <w:rPr>
          <w:rtl/>
          <w:lang w:bidi="ar-SY"/>
        </w:rPr>
        <w:t xml:space="preserve"> </w:t>
      </w:r>
      <w:r w:rsidR="00F32B28" w:rsidRPr="00F32B28">
        <w:rPr>
          <w:rtl/>
          <w:lang w:bidi="ar-SY"/>
        </w:rPr>
        <w:t>معايير</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الدولي،</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تمنحهم</w:t>
      </w:r>
      <w:r w:rsidR="00F32B28">
        <w:rPr>
          <w:rtl/>
          <w:lang w:bidi="ar-SY"/>
        </w:rPr>
        <w:t xml:space="preserve"> </w:t>
      </w:r>
      <w:r w:rsidR="00F32B28" w:rsidRPr="00F32B28">
        <w:rPr>
          <w:rtl/>
          <w:lang w:bidi="ar-SY"/>
        </w:rPr>
        <w:t>هذه</w:t>
      </w:r>
      <w:r w:rsidR="00F32B28">
        <w:rPr>
          <w:rtl/>
          <w:lang w:bidi="ar-SY"/>
        </w:rPr>
        <w:t xml:space="preserve"> </w:t>
      </w:r>
      <w:r w:rsidR="00D06D08">
        <w:rPr>
          <w:rFonts w:hint="cs"/>
          <w:rtl/>
          <w:lang w:bidi="ar-SY"/>
        </w:rPr>
        <w:t>”</w:t>
      </w:r>
      <w:r w:rsidR="00F32B28" w:rsidRPr="00F32B28">
        <w:rPr>
          <w:rtl/>
          <w:lang w:bidi="ar-SY"/>
        </w:rPr>
        <w:t>الإنذارات</w:t>
      </w:r>
      <w:r w:rsidR="00F32B28">
        <w:rPr>
          <w:rtl/>
          <w:lang w:bidi="ar-SY"/>
        </w:rPr>
        <w:t xml:space="preserve"> </w:t>
      </w:r>
      <w:r w:rsidR="00F32B28" w:rsidRPr="00F32B28">
        <w:rPr>
          <w:rtl/>
          <w:lang w:bidi="ar-SY"/>
        </w:rPr>
        <w:t>المبكرة</w:t>
      </w:r>
      <w:r w:rsidR="00D06D08">
        <w:rPr>
          <w:rFonts w:hint="cs"/>
          <w:rtl/>
        </w:rPr>
        <w:t>“</w:t>
      </w:r>
      <w:r w:rsidR="00F32B28">
        <w:rPr>
          <w:rtl/>
          <w:lang w:bidi="ar-SY"/>
        </w:rPr>
        <w:t xml:space="preserve"> </w:t>
      </w:r>
      <w:r w:rsidR="00F32B28" w:rsidRPr="00F32B28">
        <w:rPr>
          <w:rtl/>
          <w:lang w:bidi="ar-SY"/>
        </w:rPr>
        <w:t>الوقت</w:t>
      </w:r>
      <w:r w:rsidR="00F32B28">
        <w:rPr>
          <w:rtl/>
          <w:lang w:bidi="ar-SY"/>
        </w:rPr>
        <w:t xml:space="preserve"> </w:t>
      </w:r>
      <w:r w:rsidR="00F32B28" w:rsidRPr="00F32B28">
        <w:rPr>
          <w:rtl/>
          <w:lang w:bidi="ar-SY"/>
        </w:rPr>
        <w:t>الكافي</w:t>
      </w:r>
      <w:r w:rsidR="00F32B28">
        <w:rPr>
          <w:rtl/>
          <w:lang w:bidi="ar-SY"/>
        </w:rPr>
        <w:t xml:space="preserve"> </w:t>
      </w:r>
      <w:r w:rsidR="00F32B28" w:rsidRPr="00F32B28">
        <w:rPr>
          <w:rtl/>
          <w:lang w:bidi="ar-SY"/>
        </w:rPr>
        <w:t>لإخلاء</w:t>
      </w:r>
      <w:r w:rsidR="00F32B28">
        <w:rPr>
          <w:rtl/>
          <w:lang w:bidi="ar-SY"/>
        </w:rPr>
        <w:t xml:space="preserve"> </w:t>
      </w:r>
      <w:r w:rsidR="00F32B28" w:rsidRPr="00F32B28">
        <w:rPr>
          <w:rtl/>
          <w:lang w:bidi="ar-SY"/>
        </w:rPr>
        <w:t>المنازل</w:t>
      </w:r>
      <w:r w:rsidR="00F32B28">
        <w:rPr>
          <w:rtl/>
          <w:lang w:bidi="ar-SY"/>
        </w:rPr>
        <w:t xml:space="preserve"> </w:t>
      </w:r>
      <w:r w:rsidR="00F32B28" w:rsidRPr="00F32B28">
        <w:rPr>
          <w:rtl/>
          <w:lang w:bidi="ar-SY"/>
        </w:rPr>
        <w:t>بأمان،</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تتجاوز</w:t>
      </w:r>
      <w:r w:rsidR="00F32B28">
        <w:rPr>
          <w:rtl/>
          <w:lang w:bidi="ar-SY"/>
        </w:rPr>
        <w:t xml:space="preserve"> </w:t>
      </w:r>
      <w:r w:rsidR="00F32B28" w:rsidRPr="00F32B28">
        <w:rPr>
          <w:rtl/>
          <w:lang w:bidi="ar-SY"/>
        </w:rPr>
        <w:t>المهلة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معظمها</w:t>
      </w:r>
      <w:r w:rsidR="00F32B28">
        <w:rPr>
          <w:rtl/>
          <w:lang w:bidi="ar-SY"/>
        </w:rPr>
        <w:t xml:space="preserve"> </w:t>
      </w:r>
      <w:r w:rsidR="00F32B28" w:rsidRPr="00F32B28">
        <w:rPr>
          <w:rtl/>
          <w:lang w:bidi="ar-SY"/>
        </w:rPr>
        <w:t>الدقيقة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الثلاث</w:t>
      </w:r>
      <w:r w:rsidR="00F32B28">
        <w:rPr>
          <w:rtl/>
          <w:lang w:bidi="ar-SY"/>
        </w:rPr>
        <w:t xml:space="preserve"> </w:t>
      </w:r>
      <w:r w:rsidR="00F32B28" w:rsidRPr="00F32B28">
        <w:rPr>
          <w:rtl/>
          <w:lang w:bidi="ar-SY"/>
        </w:rPr>
        <w:t>دقائق،</w:t>
      </w:r>
      <w:r w:rsidR="00F32B28">
        <w:rPr>
          <w:rtl/>
          <w:lang w:bidi="ar-SY"/>
        </w:rPr>
        <w:t xml:space="preserve"> </w:t>
      </w:r>
      <w:r w:rsidR="00F32B28" w:rsidRPr="00F32B28">
        <w:rPr>
          <w:rtl/>
          <w:lang w:bidi="ar-SY"/>
        </w:rPr>
        <w:t>وبأي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الأحوال،</w:t>
      </w:r>
      <w:r w:rsidR="00F32B28">
        <w:rPr>
          <w:rtl/>
          <w:lang w:bidi="ar-SY"/>
        </w:rPr>
        <w:t xml:space="preserve"> </w:t>
      </w:r>
      <w:r w:rsidR="00F32B28" w:rsidRPr="00F32B28">
        <w:rPr>
          <w:rtl/>
          <w:lang w:bidi="ar-SY"/>
        </w:rPr>
        <w:t>وحتى</w:t>
      </w:r>
      <w:r w:rsidR="00F32B28">
        <w:rPr>
          <w:rtl/>
          <w:lang w:bidi="ar-SY"/>
        </w:rPr>
        <w:t xml:space="preserve"> </w:t>
      </w:r>
      <w:r w:rsidR="00F32B28" w:rsidRPr="00F32B28">
        <w:rPr>
          <w:rtl/>
          <w:lang w:bidi="ar-SY"/>
        </w:rPr>
        <w:t>ولو</w:t>
      </w:r>
      <w:r w:rsidR="00F32B28">
        <w:rPr>
          <w:rtl/>
          <w:lang w:bidi="ar-SY"/>
        </w:rPr>
        <w:t xml:space="preserve"> </w:t>
      </w:r>
      <w:r w:rsidR="00F32B28" w:rsidRPr="00F32B28">
        <w:rPr>
          <w:rtl/>
          <w:lang w:bidi="ar-SY"/>
        </w:rPr>
        <w:t>تمكن</w:t>
      </w:r>
      <w:r w:rsidR="00F32B28">
        <w:rPr>
          <w:rtl/>
          <w:lang w:bidi="ar-SY"/>
        </w:rPr>
        <w:t xml:space="preserve"> </w:t>
      </w:r>
      <w:r w:rsidR="00F32B28" w:rsidRPr="00F32B28">
        <w:rPr>
          <w:rtl/>
          <w:lang w:bidi="ar-SY"/>
        </w:rPr>
        <w:t>هؤلاء</w:t>
      </w:r>
      <w:r w:rsidR="00F32B28">
        <w:rPr>
          <w:rtl/>
          <w:lang w:bidi="ar-SY"/>
        </w:rPr>
        <w:t xml:space="preserve"> </w:t>
      </w:r>
      <w:r w:rsidR="00F32B28" w:rsidRPr="00F32B28">
        <w:rPr>
          <w:rtl/>
          <w:lang w:bidi="ar-SY"/>
        </w:rPr>
        <w:t>السكان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إخلاء</w:t>
      </w:r>
      <w:r w:rsidR="00F32B28">
        <w:rPr>
          <w:rtl/>
          <w:lang w:bidi="ar-SY"/>
        </w:rPr>
        <w:t xml:space="preserve"> </w:t>
      </w:r>
      <w:r w:rsidR="00F32B28" w:rsidRPr="00F32B28">
        <w:rPr>
          <w:rtl/>
          <w:lang w:bidi="ar-SY"/>
        </w:rPr>
        <w:t>منازلهم</w:t>
      </w:r>
      <w:r w:rsidR="00F32B28">
        <w:rPr>
          <w:rtl/>
          <w:lang w:bidi="ar-SY"/>
        </w:rPr>
        <w:t xml:space="preserve"> </w:t>
      </w:r>
      <w:r w:rsidR="00F32B28" w:rsidRPr="00F32B28">
        <w:rPr>
          <w:rtl/>
          <w:lang w:bidi="ar-SY"/>
        </w:rPr>
        <w:t>بأمان،</w:t>
      </w:r>
      <w:r w:rsidR="00F32B28">
        <w:rPr>
          <w:rtl/>
          <w:lang w:bidi="ar-SY"/>
        </w:rPr>
        <w:t xml:space="preserve"> </w:t>
      </w:r>
      <w:r w:rsidR="00F32B28" w:rsidRPr="00F32B28">
        <w:rPr>
          <w:rtl/>
          <w:lang w:bidi="ar-SY"/>
        </w:rPr>
        <w:t>فلم</w:t>
      </w:r>
      <w:r w:rsidR="00F32B28">
        <w:rPr>
          <w:rtl/>
          <w:lang w:bidi="ar-SY"/>
        </w:rPr>
        <w:t xml:space="preserve"> </w:t>
      </w:r>
      <w:r w:rsidR="00F32B28" w:rsidRPr="00F32B28">
        <w:rPr>
          <w:rtl/>
          <w:lang w:bidi="ar-SY"/>
        </w:rPr>
        <w:t>يكن</w:t>
      </w:r>
      <w:r w:rsidR="00F32B28">
        <w:rPr>
          <w:rtl/>
          <w:lang w:bidi="ar-SY"/>
        </w:rPr>
        <w:t xml:space="preserve"> </w:t>
      </w:r>
      <w:r w:rsidR="00F32B28" w:rsidRPr="00F32B28">
        <w:rPr>
          <w:rtl/>
          <w:lang w:bidi="ar-SY"/>
        </w:rPr>
        <w:t>هنالك</w:t>
      </w:r>
      <w:r w:rsidR="00F32B28">
        <w:rPr>
          <w:rtl/>
          <w:lang w:bidi="ar-SY"/>
        </w:rPr>
        <w:t xml:space="preserve"> </w:t>
      </w:r>
      <w:r w:rsidR="00F32B28" w:rsidRPr="00F32B28">
        <w:rPr>
          <w:rtl/>
          <w:lang w:bidi="ar-SY"/>
        </w:rPr>
        <w:t>أمامهم</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مكان</w:t>
      </w:r>
      <w:r w:rsidR="00F32B28">
        <w:rPr>
          <w:rtl/>
          <w:lang w:bidi="ar-SY"/>
        </w:rPr>
        <w:t xml:space="preserve"> </w:t>
      </w:r>
      <w:r w:rsidR="00F32B28" w:rsidRPr="00F32B28">
        <w:rPr>
          <w:rtl/>
          <w:lang w:bidi="ar-SY"/>
        </w:rPr>
        <w:t>آمن</w:t>
      </w:r>
      <w:r w:rsidR="00F32B28">
        <w:rPr>
          <w:rtl/>
          <w:lang w:bidi="ar-SY"/>
        </w:rPr>
        <w:t xml:space="preserve"> </w:t>
      </w:r>
      <w:r w:rsidR="00F32B28" w:rsidRPr="00F32B28">
        <w:rPr>
          <w:rtl/>
          <w:lang w:bidi="ar-SY"/>
        </w:rPr>
        <w:t>آخر</w:t>
      </w:r>
      <w:r w:rsidR="00F32B28">
        <w:rPr>
          <w:rtl/>
          <w:lang w:bidi="ar-SY"/>
        </w:rPr>
        <w:t xml:space="preserve"> </w:t>
      </w:r>
      <w:r w:rsidR="00F32B28" w:rsidRPr="00F32B28">
        <w:rPr>
          <w:rtl/>
          <w:lang w:bidi="ar-SY"/>
        </w:rPr>
        <w:t>يلجؤون</w:t>
      </w:r>
      <w:r w:rsidR="00F32B28">
        <w:rPr>
          <w:rtl/>
          <w:lang w:bidi="ar-SY"/>
        </w:rPr>
        <w:t xml:space="preserve"> </w:t>
      </w:r>
      <w:r w:rsidR="00F32B28" w:rsidRPr="00F32B28">
        <w:rPr>
          <w:rtl/>
          <w:lang w:bidi="ar-SY"/>
        </w:rPr>
        <w:t>إليه،</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ظل</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كل</w:t>
      </w:r>
      <w:r w:rsidR="00F32B28">
        <w:rPr>
          <w:rtl/>
          <w:lang w:bidi="ar-SY"/>
        </w:rPr>
        <w:t xml:space="preserve"> </w:t>
      </w:r>
      <w:r w:rsidR="00F32B28" w:rsidRPr="00F32B28">
        <w:rPr>
          <w:rtl/>
          <w:lang w:bidi="ar-SY"/>
        </w:rPr>
        <w:t>الأعين</w:t>
      </w:r>
      <w:r w:rsidR="00F32B28">
        <w:rPr>
          <w:rtl/>
          <w:lang w:bidi="ar-SY"/>
        </w:rPr>
        <w:t xml:space="preserve"> </w:t>
      </w:r>
      <w:r w:rsidR="00F32B28" w:rsidRPr="00F32B28">
        <w:rPr>
          <w:rtl/>
          <w:lang w:bidi="ar-SY"/>
        </w:rPr>
        <w:t>المدنية،</w:t>
      </w:r>
      <w:r w:rsidR="00F32B28">
        <w:rPr>
          <w:rtl/>
          <w:lang w:bidi="ar-SY"/>
        </w:rPr>
        <w:t xml:space="preserve"> </w:t>
      </w:r>
      <w:r w:rsidR="00F32B28" w:rsidRPr="00F32B28">
        <w:rPr>
          <w:rtl/>
          <w:lang w:bidi="ar-SY"/>
        </w:rPr>
        <w:t>وحتى</w:t>
      </w:r>
      <w:r w:rsidR="00F32B28">
        <w:rPr>
          <w:rtl/>
          <w:lang w:bidi="ar-SY"/>
        </w:rPr>
        <w:t xml:space="preserve"> </w:t>
      </w:r>
      <w:r w:rsidR="00F32B28" w:rsidRPr="00F32B28">
        <w:rPr>
          <w:rtl/>
          <w:lang w:bidi="ar-SY"/>
        </w:rPr>
        <w:t>المدارس</w:t>
      </w:r>
      <w:r w:rsidR="00F32B28">
        <w:rPr>
          <w:rtl/>
          <w:lang w:bidi="ar-SY"/>
        </w:rPr>
        <w:t xml:space="preserve"> </w:t>
      </w:r>
      <w:r w:rsidR="00F32B28" w:rsidRPr="00F32B28">
        <w:rPr>
          <w:rtl/>
          <w:lang w:bidi="ar-SY"/>
        </w:rPr>
        <w:t>والملاجئ،</w:t>
      </w:r>
      <w:r w:rsidR="00F32B28">
        <w:rPr>
          <w:rtl/>
          <w:lang w:bidi="ar-SY"/>
        </w:rPr>
        <w:t xml:space="preserve"> </w:t>
      </w:r>
      <w:r w:rsidR="00F32B28" w:rsidRPr="00F32B28">
        <w:rPr>
          <w:rtl/>
          <w:lang w:bidi="ar-SY"/>
        </w:rPr>
        <w:t>كانت</w:t>
      </w:r>
      <w:r w:rsidR="00F32B28">
        <w:rPr>
          <w:rtl/>
          <w:lang w:bidi="ar-SY"/>
        </w:rPr>
        <w:t xml:space="preserve"> </w:t>
      </w:r>
      <w:r w:rsidR="00F32B28" w:rsidRPr="00F32B28">
        <w:rPr>
          <w:rtl/>
          <w:lang w:bidi="ar-SY"/>
        </w:rPr>
        <w:t>محلاً</w:t>
      </w:r>
      <w:r w:rsidR="00F32B28">
        <w:rPr>
          <w:rtl/>
          <w:lang w:bidi="ar-SY"/>
        </w:rPr>
        <w:t xml:space="preserve"> </w:t>
      </w:r>
      <w:r w:rsidR="00F32B28" w:rsidRPr="00F32B28">
        <w:rPr>
          <w:rtl/>
          <w:lang w:bidi="ar-SY"/>
        </w:rPr>
        <w:t>لاستهداف</w:t>
      </w:r>
      <w:r w:rsidR="00F32B28">
        <w:rPr>
          <w:rtl/>
          <w:lang w:bidi="ar-SY"/>
        </w:rPr>
        <w:t xml:space="preserve"> </w:t>
      </w:r>
      <w:r w:rsidR="00F32B28" w:rsidRPr="00F32B28">
        <w:rPr>
          <w:rtl/>
          <w:lang w:bidi="ar-SY"/>
        </w:rPr>
        <w:t>والقصف</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المدفعيات</w:t>
      </w:r>
      <w:r w:rsidR="00F32B28">
        <w:rPr>
          <w:rtl/>
          <w:lang w:bidi="ar-SY"/>
        </w:rPr>
        <w:t xml:space="preserve"> </w:t>
      </w:r>
      <w:r w:rsidR="00F32B28" w:rsidRPr="00F32B28">
        <w:rPr>
          <w:rtl/>
          <w:lang w:bidi="ar-SY"/>
        </w:rPr>
        <w:t>والطائرات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المعتدية.</w:t>
      </w:r>
    </w:p>
    <w:p w:rsidR="00F32B28" w:rsidRPr="00F32B28" w:rsidRDefault="00851F93" w:rsidP="00851F93">
      <w:pPr>
        <w:pStyle w:val="SingleTxt"/>
      </w:pPr>
      <w:r>
        <w:rPr>
          <w:rFonts w:hint="cs"/>
          <w:rtl/>
        </w:rPr>
        <w:t xml:space="preserve">271 - </w:t>
      </w:r>
      <w:r w:rsidR="00F32B28" w:rsidRPr="00F32B28">
        <w:rPr>
          <w:rtl/>
        </w:rPr>
        <w:t>وتبين</w:t>
      </w:r>
      <w:r w:rsidR="00F32B28">
        <w:rPr>
          <w:rtl/>
        </w:rPr>
        <w:t xml:space="preserve"> </w:t>
      </w:r>
      <w:r w:rsidR="00F32B28" w:rsidRPr="00F32B28">
        <w:rPr>
          <w:rtl/>
        </w:rPr>
        <w:t>الإحصاءات،</w:t>
      </w:r>
      <w:r w:rsidR="00F32B28">
        <w:rPr>
          <w:rtl/>
        </w:rPr>
        <w:t xml:space="preserve"> </w:t>
      </w:r>
      <w:r w:rsidR="00F32B28" w:rsidRPr="00F32B28">
        <w:rPr>
          <w:rtl/>
        </w:rPr>
        <w:t>بأن</w:t>
      </w:r>
      <w:r w:rsidR="00F32B28">
        <w:rPr>
          <w:rtl/>
        </w:rPr>
        <w:t xml:space="preserve"> </w:t>
      </w:r>
      <w:r w:rsidR="00F32B28" w:rsidRPr="00F32B28">
        <w:rPr>
          <w:rtl/>
        </w:rPr>
        <w:t>العدوان</w:t>
      </w:r>
      <w:r w:rsidR="00F32B28">
        <w:rPr>
          <w:rtl/>
        </w:rPr>
        <w:t xml:space="preserve"> </w:t>
      </w:r>
      <w:r w:rsidR="00F32B28" w:rsidRPr="00F32B28">
        <w:rPr>
          <w:rtl/>
        </w:rPr>
        <w:t>الإسرائيلي</w:t>
      </w:r>
      <w:r w:rsidR="00715E79">
        <w:rPr>
          <w:rFonts w:hint="cs"/>
          <w:rtl/>
        </w:rPr>
        <w:t xml:space="preserve"> </w:t>
      </w:r>
      <w:r w:rsidR="00F32B28" w:rsidRPr="00F32B28">
        <w:rPr>
          <w:rtl/>
        </w:rPr>
        <w:t>على</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لسنة</w:t>
      </w:r>
      <w:r w:rsidR="00F32B28">
        <w:rPr>
          <w:rtl/>
        </w:rPr>
        <w:t xml:space="preserve"> </w:t>
      </w:r>
      <w:r w:rsidR="00F32B28" w:rsidRPr="00F32B28">
        <w:rPr>
          <w:rtl/>
        </w:rPr>
        <w:t>2014</w:t>
      </w:r>
      <w:r w:rsidR="00F32B28">
        <w:rPr>
          <w:rtl/>
        </w:rPr>
        <w:t xml:space="preserve"> </w:t>
      </w:r>
      <w:r w:rsidR="00F32B28" w:rsidRPr="00F32B28">
        <w:rPr>
          <w:rtl/>
        </w:rPr>
        <w:t>قد</w:t>
      </w:r>
      <w:r w:rsidR="00F32B28">
        <w:rPr>
          <w:rtl/>
        </w:rPr>
        <w:t xml:space="preserve"> </w:t>
      </w:r>
      <w:r w:rsidR="00F32B28" w:rsidRPr="00F32B28">
        <w:rPr>
          <w:rtl/>
        </w:rPr>
        <w:t>أسفر</w:t>
      </w:r>
      <w:r w:rsidR="00F32B28">
        <w:rPr>
          <w:rtl/>
        </w:rPr>
        <w:t xml:space="preserve"> </w:t>
      </w:r>
      <w:r w:rsidR="00F32B28" w:rsidRPr="00F32B28">
        <w:rPr>
          <w:rtl/>
        </w:rPr>
        <w:t>عن</w:t>
      </w:r>
      <w:r w:rsidR="00F32B28">
        <w:rPr>
          <w:rtl/>
        </w:rPr>
        <w:t xml:space="preserve"> </w:t>
      </w:r>
      <w:r w:rsidR="00F32B28" w:rsidRPr="00F32B28">
        <w:rPr>
          <w:rtl/>
        </w:rPr>
        <w:t>تدمير</w:t>
      </w:r>
      <w:r w:rsidR="00F32B28">
        <w:rPr>
          <w:rtl/>
        </w:rPr>
        <w:t xml:space="preserve"> </w:t>
      </w:r>
      <w:r w:rsidR="00F32B28" w:rsidRPr="00F32B28">
        <w:rPr>
          <w:rtl/>
        </w:rPr>
        <w:t>حوالي</w:t>
      </w:r>
      <w:r w:rsidR="00F32B28">
        <w:rPr>
          <w:rtl/>
        </w:rPr>
        <w:t xml:space="preserve"> </w:t>
      </w:r>
      <w:r w:rsidR="00F32B28" w:rsidRPr="00F32B28">
        <w:rPr>
          <w:rtl/>
        </w:rPr>
        <w:t>(</w:t>
      </w:r>
      <w:r w:rsidR="00715E79">
        <w:rPr>
          <w:rFonts w:hint="cs"/>
          <w:rtl/>
        </w:rPr>
        <w:t>217 13</w:t>
      </w:r>
      <w:r w:rsidR="00F32B28" w:rsidRPr="00F32B28">
        <w:rPr>
          <w:rtl/>
        </w:rPr>
        <w:t>)</w:t>
      </w:r>
      <w:r w:rsidR="00F32B28">
        <w:rPr>
          <w:rtl/>
        </w:rPr>
        <w:t xml:space="preserve"> </w:t>
      </w:r>
      <w:r w:rsidR="00F32B28" w:rsidRPr="00F32B28">
        <w:rPr>
          <w:rtl/>
        </w:rPr>
        <w:t>منزلاً،</w:t>
      </w:r>
      <w:r w:rsidR="00F32B28">
        <w:rPr>
          <w:rtl/>
        </w:rPr>
        <w:t xml:space="preserve"> </w:t>
      </w:r>
      <w:r w:rsidR="00F32B28" w:rsidRPr="00F32B28">
        <w:rPr>
          <w:rtl/>
        </w:rPr>
        <w:t>(</w:t>
      </w:r>
      <w:r w:rsidR="00715E79">
        <w:rPr>
          <w:rFonts w:hint="cs"/>
          <w:rtl/>
        </w:rPr>
        <w:t>742 1</w:t>
      </w:r>
      <w:r w:rsidR="00F32B28" w:rsidRPr="00F32B28">
        <w:rPr>
          <w:rtl/>
        </w:rPr>
        <w:t>)</w:t>
      </w:r>
      <w:r w:rsidR="00F32B28">
        <w:rPr>
          <w:rtl/>
        </w:rPr>
        <w:t xml:space="preserve"> </w:t>
      </w:r>
      <w:r w:rsidR="00F32B28" w:rsidRPr="00F32B28">
        <w:rPr>
          <w:rtl/>
        </w:rPr>
        <w:t>منها</w:t>
      </w:r>
      <w:r w:rsidR="00F32B28">
        <w:rPr>
          <w:rtl/>
        </w:rPr>
        <w:t xml:space="preserve"> </w:t>
      </w:r>
      <w:r w:rsidR="00F32B28" w:rsidRPr="00F32B28">
        <w:rPr>
          <w:rtl/>
        </w:rPr>
        <w:t>بشكل</w:t>
      </w:r>
      <w:r w:rsidR="00F32B28">
        <w:rPr>
          <w:rtl/>
        </w:rPr>
        <w:t xml:space="preserve"> </w:t>
      </w:r>
      <w:r w:rsidR="00F32B28" w:rsidRPr="00F32B28">
        <w:rPr>
          <w:rtl/>
        </w:rPr>
        <w:t>كلي</w:t>
      </w:r>
      <w:r w:rsidR="00F32B28" w:rsidRPr="00F32B28">
        <w:rPr>
          <w:rtl/>
          <w:lang w:bidi="ar-SY"/>
        </w:rPr>
        <w:t>،</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إثر</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شرد</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مئة</w:t>
      </w:r>
      <w:r w:rsidR="00F32B28">
        <w:rPr>
          <w:rtl/>
          <w:lang w:bidi="ar-SY"/>
        </w:rPr>
        <w:t xml:space="preserve"> </w:t>
      </w:r>
      <w:r w:rsidR="00F32B28" w:rsidRPr="00F32B28">
        <w:rPr>
          <w:rtl/>
          <w:lang w:bidi="ar-SY"/>
        </w:rPr>
        <w:t>ألف</w:t>
      </w:r>
      <w:r w:rsidR="00F32B28">
        <w:rPr>
          <w:rtl/>
          <w:lang w:bidi="ar-SY"/>
        </w:rPr>
        <w:t xml:space="preserve"> </w:t>
      </w:r>
      <w:r w:rsidR="00F32B28" w:rsidRPr="00F32B28">
        <w:rPr>
          <w:rtl/>
          <w:lang w:bidi="ar-SY"/>
        </w:rPr>
        <w:t>فلسطينية</w:t>
      </w:r>
      <w:r w:rsidR="00F32B28">
        <w:rPr>
          <w:rtl/>
          <w:lang w:bidi="ar-SY"/>
        </w:rPr>
        <w:t xml:space="preserve"> </w:t>
      </w:r>
      <w:r w:rsidR="00F32B28" w:rsidRPr="00F32B28">
        <w:rPr>
          <w:rtl/>
          <w:lang w:bidi="ar-SY"/>
        </w:rPr>
        <w:t>وفلسطيني</w:t>
      </w:r>
      <w:r w:rsidR="00F32B28" w:rsidRPr="00F32B28">
        <w:rPr>
          <w:rtl/>
        </w:rPr>
        <w:t>.</w:t>
      </w:r>
      <w:r w:rsidR="00F32B28">
        <w:rPr>
          <w:rtl/>
        </w:rPr>
        <w:t xml:space="preserve"> </w:t>
      </w:r>
      <w:r w:rsidR="00F32B28" w:rsidRPr="00F32B28">
        <w:rPr>
          <w:rtl/>
        </w:rPr>
        <w:t>كما</w:t>
      </w:r>
      <w:r w:rsidR="00F32B28">
        <w:rPr>
          <w:rtl/>
        </w:rPr>
        <w:t xml:space="preserve"> </w:t>
      </w:r>
      <w:r w:rsidR="00F32B28" w:rsidRPr="00F32B28">
        <w:rPr>
          <w:rtl/>
        </w:rPr>
        <w:t>بلغ</w:t>
      </w:r>
      <w:r w:rsidR="00F32B28">
        <w:rPr>
          <w:rtl/>
        </w:rPr>
        <w:t xml:space="preserve"> </w:t>
      </w:r>
      <w:r w:rsidR="00F32B28" w:rsidRPr="00F32B28">
        <w:rPr>
          <w:rtl/>
        </w:rPr>
        <w:t>عدد</w:t>
      </w:r>
      <w:r w:rsidR="00F32B28">
        <w:rPr>
          <w:rtl/>
        </w:rPr>
        <w:t xml:space="preserve"> </w:t>
      </w:r>
      <w:r w:rsidR="00F32B28" w:rsidRPr="00F32B28">
        <w:rPr>
          <w:rtl/>
        </w:rPr>
        <w:t>المنازل</w:t>
      </w:r>
      <w:r w:rsidR="00F32B28">
        <w:rPr>
          <w:rtl/>
        </w:rPr>
        <w:t xml:space="preserve"> </w:t>
      </w:r>
      <w:r w:rsidR="00F32B28" w:rsidRPr="00F32B28">
        <w:rPr>
          <w:rtl/>
        </w:rPr>
        <w:t>التي</w:t>
      </w:r>
      <w:r w:rsidR="00F32B28">
        <w:rPr>
          <w:rtl/>
        </w:rPr>
        <w:t xml:space="preserve"> </w:t>
      </w:r>
      <w:r w:rsidR="00F32B28" w:rsidRPr="00F32B28">
        <w:rPr>
          <w:rtl/>
        </w:rPr>
        <w:t>هدمتها</w:t>
      </w:r>
      <w:r w:rsidR="00F32B28">
        <w:rPr>
          <w:rtl/>
        </w:rPr>
        <w:t xml:space="preserve"> </w:t>
      </w:r>
      <w:r w:rsidR="00F32B28" w:rsidRPr="00F32B28">
        <w:rPr>
          <w:rtl/>
        </w:rPr>
        <w:t>قوات</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خلال</w:t>
      </w:r>
      <w:r w:rsidR="00F32B28">
        <w:rPr>
          <w:rtl/>
        </w:rPr>
        <w:t xml:space="preserve"> </w:t>
      </w:r>
      <w:r w:rsidR="00F32B28" w:rsidRPr="00F32B28">
        <w:rPr>
          <w:rtl/>
        </w:rPr>
        <w:t>الاعتداءات</w:t>
      </w:r>
      <w:r w:rsidR="00F32B28">
        <w:rPr>
          <w:rtl/>
        </w:rPr>
        <w:t xml:space="preserve"> </w:t>
      </w:r>
      <w:r w:rsidR="00F32B28" w:rsidRPr="00F32B28">
        <w:rPr>
          <w:rtl/>
        </w:rPr>
        <w:t>الإسرائيلية</w:t>
      </w:r>
      <w:r w:rsidR="00F32B28">
        <w:rPr>
          <w:rtl/>
        </w:rPr>
        <w:t xml:space="preserve"> </w:t>
      </w:r>
      <w:r w:rsidR="00F32B28" w:rsidRPr="00F32B28">
        <w:rPr>
          <w:rtl/>
        </w:rPr>
        <w:t>الحربية</w:t>
      </w:r>
      <w:r w:rsidR="00F32B28">
        <w:rPr>
          <w:rtl/>
        </w:rPr>
        <w:t xml:space="preserve"> </w:t>
      </w:r>
      <w:r w:rsidR="00F32B28" w:rsidRPr="00F32B28">
        <w:rPr>
          <w:rtl/>
        </w:rPr>
        <w:t>السابقة</w:t>
      </w:r>
      <w:r w:rsidR="00F32B28">
        <w:rPr>
          <w:rtl/>
        </w:rPr>
        <w:t xml:space="preserve"> </w:t>
      </w:r>
      <w:r w:rsidR="00F32B28" w:rsidRPr="00F32B28">
        <w:rPr>
          <w:rtl/>
        </w:rPr>
        <w:t>وغيرها</w:t>
      </w:r>
      <w:r w:rsidR="00F32B28">
        <w:rPr>
          <w:rtl/>
        </w:rPr>
        <w:t xml:space="preserve"> </w:t>
      </w:r>
      <w:r w:rsidR="00F32B28" w:rsidRPr="00F32B28">
        <w:rPr>
          <w:rtl/>
        </w:rPr>
        <w:t>من</w:t>
      </w:r>
      <w:r w:rsidR="00F32B28">
        <w:rPr>
          <w:rtl/>
        </w:rPr>
        <w:t xml:space="preserve"> </w:t>
      </w:r>
      <w:r w:rsidR="00F32B28" w:rsidRPr="00F32B28">
        <w:rPr>
          <w:rtl/>
        </w:rPr>
        <w:t>العمليات</w:t>
      </w:r>
      <w:r w:rsidR="00F32B28">
        <w:rPr>
          <w:rtl/>
        </w:rPr>
        <w:t xml:space="preserve"> </w:t>
      </w:r>
      <w:r w:rsidR="00F32B28" w:rsidRPr="00F32B28">
        <w:rPr>
          <w:rtl/>
        </w:rPr>
        <w:t>والواقعة</w:t>
      </w:r>
      <w:r w:rsidR="00F32B28">
        <w:rPr>
          <w:rtl/>
        </w:rPr>
        <w:t xml:space="preserve"> </w:t>
      </w:r>
      <w:r w:rsidR="00F32B28" w:rsidRPr="00F32B28">
        <w:rPr>
          <w:rtl/>
        </w:rPr>
        <w:t>في</w:t>
      </w:r>
      <w:r w:rsidR="00F32B28">
        <w:rPr>
          <w:rtl/>
        </w:rPr>
        <w:t xml:space="preserve"> </w:t>
      </w:r>
      <w:r w:rsidR="00F32B28" w:rsidRPr="00F32B28">
        <w:rPr>
          <w:rtl/>
        </w:rPr>
        <w:t>الفترة</w:t>
      </w:r>
      <w:r w:rsidR="00F32B28">
        <w:rPr>
          <w:rtl/>
        </w:rPr>
        <w:t xml:space="preserve"> </w:t>
      </w:r>
      <w:r w:rsidR="00F32B28" w:rsidRPr="00F32B28">
        <w:rPr>
          <w:rtl/>
        </w:rPr>
        <w:t>بين</w:t>
      </w:r>
      <w:r w:rsidR="00F32B28">
        <w:rPr>
          <w:rtl/>
        </w:rPr>
        <w:t xml:space="preserve"> </w:t>
      </w:r>
      <w:r w:rsidR="00F32B28" w:rsidRPr="00F32B28">
        <w:rPr>
          <w:rtl/>
        </w:rPr>
        <w:t>1</w:t>
      </w:r>
      <w:r w:rsidR="00407D55">
        <w:rPr>
          <w:rFonts w:hint="cs"/>
          <w:rtl/>
        </w:rPr>
        <w:t xml:space="preserve"> كانون الثاني/يناير </w:t>
      </w:r>
      <w:r w:rsidR="00F32B28" w:rsidRPr="00F32B28">
        <w:rPr>
          <w:rtl/>
        </w:rPr>
        <w:t>2008</w:t>
      </w:r>
      <w:r w:rsidR="00F32B28">
        <w:rPr>
          <w:rtl/>
        </w:rPr>
        <w:t xml:space="preserve"> </w:t>
      </w:r>
      <w:r w:rsidR="00F32B28" w:rsidRPr="00F32B28">
        <w:rPr>
          <w:rtl/>
        </w:rPr>
        <w:t>وحتى</w:t>
      </w:r>
      <w:r w:rsidR="00F32B28">
        <w:rPr>
          <w:rtl/>
        </w:rPr>
        <w:t xml:space="preserve"> </w:t>
      </w:r>
      <w:r w:rsidR="00F32B28" w:rsidRPr="00F32B28">
        <w:rPr>
          <w:rtl/>
        </w:rPr>
        <w:t>1</w:t>
      </w:r>
      <w:r w:rsidR="00407D55">
        <w:rPr>
          <w:rFonts w:hint="cs"/>
          <w:rtl/>
        </w:rPr>
        <w:t xml:space="preserve"> آب/أغسطس </w:t>
      </w:r>
      <w:r w:rsidR="00F32B28" w:rsidRPr="00F32B28">
        <w:rPr>
          <w:rtl/>
        </w:rPr>
        <w:t>2013</w:t>
      </w:r>
      <w:r w:rsidR="00F32B28">
        <w:rPr>
          <w:rtl/>
        </w:rPr>
        <w:t xml:space="preserve"> </w:t>
      </w:r>
      <w:r w:rsidR="00F32B28" w:rsidRPr="00F32B28">
        <w:rPr>
          <w:rtl/>
        </w:rPr>
        <w:t>حوالي</w:t>
      </w:r>
      <w:r w:rsidR="00F32B28">
        <w:rPr>
          <w:rtl/>
        </w:rPr>
        <w:t xml:space="preserve"> </w:t>
      </w:r>
      <w:r w:rsidR="00F32B28" w:rsidRPr="00F32B28">
        <w:rPr>
          <w:rtl/>
        </w:rPr>
        <w:t>(</w:t>
      </w:r>
      <w:r w:rsidR="00715E79">
        <w:rPr>
          <w:rFonts w:hint="cs"/>
          <w:rtl/>
        </w:rPr>
        <w:t>086 14</w:t>
      </w:r>
      <w:r w:rsidR="00F32B28" w:rsidRPr="00F32B28">
        <w:rPr>
          <w:rtl/>
        </w:rPr>
        <w:t>)</w:t>
      </w:r>
      <w:r w:rsidR="00F32B28">
        <w:rPr>
          <w:rtl/>
        </w:rPr>
        <w:t xml:space="preserve"> </w:t>
      </w:r>
      <w:r w:rsidR="00F32B28" w:rsidRPr="00F32B28">
        <w:rPr>
          <w:rtl/>
        </w:rPr>
        <w:t>منزلاً،</w:t>
      </w:r>
      <w:r w:rsidR="00F32B28">
        <w:rPr>
          <w:rtl/>
        </w:rPr>
        <w:t xml:space="preserve"> </w:t>
      </w:r>
      <w:r w:rsidR="00F32B28" w:rsidRPr="00F32B28">
        <w:rPr>
          <w:rtl/>
        </w:rPr>
        <w:t>(</w:t>
      </w:r>
      <w:r w:rsidR="00715E79">
        <w:rPr>
          <w:rFonts w:hint="cs"/>
          <w:rtl/>
        </w:rPr>
        <w:t>836 2</w:t>
      </w:r>
      <w:r w:rsidR="00F32B28" w:rsidRPr="00F32B28">
        <w:rPr>
          <w:rtl/>
        </w:rPr>
        <w:t>)</w:t>
      </w:r>
      <w:r w:rsidR="00F32B28">
        <w:rPr>
          <w:rtl/>
        </w:rPr>
        <w:t xml:space="preserve"> </w:t>
      </w:r>
      <w:r w:rsidR="00F32B28" w:rsidRPr="00F32B28">
        <w:rPr>
          <w:rtl/>
        </w:rPr>
        <w:t>منها</w:t>
      </w:r>
      <w:r w:rsidR="00F32B28">
        <w:rPr>
          <w:rtl/>
        </w:rPr>
        <w:t xml:space="preserve"> </w:t>
      </w:r>
      <w:r w:rsidR="00F32B28" w:rsidRPr="00F32B28">
        <w:rPr>
          <w:rtl/>
        </w:rPr>
        <w:t>تم</w:t>
      </w:r>
      <w:r w:rsidR="00F32B28">
        <w:rPr>
          <w:rtl/>
        </w:rPr>
        <w:t xml:space="preserve"> </w:t>
      </w:r>
      <w:r w:rsidR="00F32B28" w:rsidRPr="00F32B28">
        <w:rPr>
          <w:rtl/>
        </w:rPr>
        <w:t>تدميره</w:t>
      </w:r>
      <w:r w:rsidR="00F32B28">
        <w:rPr>
          <w:rtl/>
        </w:rPr>
        <w:t xml:space="preserve"> </w:t>
      </w:r>
      <w:r w:rsidR="00F32B28" w:rsidRPr="00F32B28">
        <w:rPr>
          <w:rtl/>
        </w:rPr>
        <w:t>بشكل</w:t>
      </w:r>
      <w:r w:rsidR="00F32B28">
        <w:rPr>
          <w:rtl/>
        </w:rPr>
        <w:t xml:space="preserve"> </w:t>
      </w:r>
      <w:r w:rsidR="00F32B28" w:rsidRPr="00F32B28">
        <w:rPr>
          <w:rtl/>
        </w:rPr>
        <w:t>كلي.</w:t>
      </w:r>
      <w:r w:rsidR="00F32B28">
        <w:rPr>
          <w:rtl/>
        </w:rPr>
        <w:t xml:space="preserve"> </w:t>
      </w:r>
      <w:r w:rsidR="00F32B28" w:rsidRPr="00F32B28">
        <w:rPr>
          <w:rtl/>
        </w:rPr>
        <w:t>وتتفاقم</w:t>
      </w:r>
      <w:r w:rsidR="00F32B28">
        <w:rPr>
          <w:rtl/>
        </w:rPr>
        <w:t xml:space="preserve"> </w:t>
      </w:r>
      <w:r w:rsidR="00F32B28" w:rsidRPr="00F32B28">
        <w:rPr>
          <w:rtl/>
        </w:rPr>
        <w:t>أزمة</w:t>
      </w:r>
      <w:r w:rsidR="00F32B28">
        <w:rPr>
          <w:rtl/>
        </w:rPr>
        <w:t xml:space="preserve"> </w:t>
      </w:r>
      <w:r w:rsidR="00F32B28" w:rsidRPr="00F32B28">
        <w:rPr>
          <w:rtl/>
        </w:rPr>
        <w:t>السكن</w:t>
      </w:r>
      <w:r w:rsidR="00F32B28">
        <w:rPr>
          <w:rtl/>
        </w:rPr>
        <w:t xml:space="preserve"> </w:t>
      </w:r>
      <w:r w:rsidR="00F32B28" w:rsidRPr="00F32B28">
        <w:rPr>
          <w:rtl/>
        </w:rPr>
        <w:t>في</w:t>
      </w:r>
      <w:r w:rsidR="00F32B28">
        <w:rPr>
          <w:rtl/>
        </w:rPr>
        <w:t xml:space="preserve"> </w:t>
      </w:r>
      <w:r w:rsidR="00F32B28" w:rsidRPr="00F32B28">
        <w:rPr>
          <w:rtl/>
        </w:rPr>
        <w:t>القطاع</w:t>
      </w:r>
      <w:r w:rsidR="00F32B28">
        <w:rPr>
          <w:rtl/>
        </w:rPr>
        <w:t xml:space="preserve"> </w:t>
      </w:r>
      <w:r w:rsidR="00F32B28" w:rsidRPr="00F32B28">
        <w:rPr>
          <w:rtl/>
        </w:rPr>
        <w:t>بفعل</w:t>
      </w:r>
      <w:r w:rsidR="00F32B28">
        <w:rPr>
          <w:rtl/>
        </w:rPr>
        <w:t xml:space="preserve"> </w:t>
      </w:r>
      <w:r w:rsidR="00F32B28" w:rsidRPr="00F32B28">
        <w:rPr>
          <w:rtl/>
        </w:rPr>
        <w:t>الحصار</w:t>
      </w:r>
      <w:r w:rsidR="00F32B28">
        <w:rPr>
          <w:rtl/>
        </w:rPr>
        <w:t xml:space="preserve"> </w:t>
      </w:r>
      <w:r w:rsidR="00F32B28" w:rsidRPr="00F32B28">
        <w:rPr>
          <w:rtl/>
        </w:rPr>
        <w:t>الإسرائيلي</w:t>
      </w:r>
      <w:r w:rsidR="00F32B28">
        <w:rPr>
          <w:rtl/>
        </w:rPr>
        <w:t xml:space="preserve"> </w:t>
      </w:r>
      <w:r w:rsidR="00F32B28" w:rsidRPr="00F32B28">
        <w:rPr>
          <w:rtl/>
        </w:rPr>
        <w:t>المفروض</w:t>
      </w:r>
      <w:r w:rsidR="00F32B28">
        <w:rPr>
          <w:rtl/>
        </w:rPr>
        <w:t xml:space="preserve"> </w:t>
      </w:r>
      <w:r w:rsidR="00F32B28" w:rsidRPr="00F32B28">
        <w:rPr>
          <w:rtl/>
        </w:rPr>
        <w:t>منذ</w:t>
      </w:r>
      <w:r w:rsidR="00F32B28">
        <w:rPr>
          <w:rtl/>
        </w:rPr>
        <w:t xml:space="preserve"> </w:t>
      </w:r>
      <w:r w:rsidR="00F32B28" w:rsidRPr="00F32B28">
        <w:rPr>
          <w:rtl/>
        </w:rPr>
        <w:t>عام</w:t>
      </w:r>
      <w:r w:rsidR="00F32B28">
        <w:rPr>
          <w:rtl/>
        </w:rPr>
        <w:t xml:space="preserve"> </w:t>
      </w:r>
      <w:r w:rsidR="00F32B28" w:rsidRPr="00F32B28">
        <w:rPr>
          <w:rtl/>
        </w:rPr>
        <w:t>2006</w:t>
      </w:r>
      <w:r w:rsidR="00F32B28">
        <w:rPr>
          <w:rtl/>
        </w:rPr>
        <w:t xml:space="preserve"> </w:t>
      </w:r>
      <w:r w:rsidR="00F32B28" w:rsidRPr="00F32B28">
        <w:rPr>
          <w:rtl/>
        </w:rPr>
        <w:t>ومنع</w:t>
      </w:r>
      <w:r w:rsidR="00F32B28">
        <w:rPr>
          <w:rtl/>
        </w:rPr>
        <w:t xml:space="preserve"> </w:t>
      </w:r>
      <w:r w:rsidR="00F32B28" w:rsidRPr="00F32B28">
        <w:rPr>
          <w:rtl/>
        </w:rPr>
        <w:t>دخول</w:t>
      </w:r>
      <w:r w:rsidR="00F32B28">
        <w:rPr>
          <w:rtl/>
        </w:rPr>
        <w:t xml:space="preserve"> </w:t>
      </w:r>
      <w:r w:rsidR="00F32B28" w:rsidRPr="00F32B28">
        <w:rPr>
          <w:rtl/>
        </w:rPr>
        <w:t>مواد</w:t>
      </w:r>
      <w:r w:rsidR="00F32B28">
        <w:rPr>
          <w:rtl/>
        </w:rPr>
        <w:t xml:space="preserve"> </w:t>
      </w:r>
      <w:r w:rsidR="00F32B28" w:rsidRPr="00F32B28">
        <w:rPr>
          <w:rtl/>
        </w:rPr>
        <w:t>البناء</w:t>
      </w:r>
      <w:r w:rsidR="00F32B28">
        <w:rPr>
          <w:rtl/>
        </w:rPr>
        <w:t xml:space="preserve"> </w:t>
      </w:r>
      <w:r w:rsidR="00F32B28" w:rsidRPr="00F32B28">
        <w:rPr>
          <w:rtl/>
        </w:rPr>
        <w:t>اللازمة</w:t>
      </w:r>
      <w:r w:rsidR="00F32B28">
        <w:rPr>
          <w:rtl/>
        </w:rPr>
        <w:t xml:space="preserve"> </w:t>
      </w:r>
      <w:r w:rsidR="00F32B28" w:rsidRPr="00F32B28">
        <w:rPr>
          <w:rtl/>
        </w:rPr>
        <w:t>لإعادة</w:t>
      </w:r>
      <w:r w:rsidR="00F32B28">
        <w:rPr>
          <w:rtl/>
        </w:rPr>
        <w:t xml:space="preserve"> </w:t>
      </w:r>
      <w:r w:rsidR="00F32B28" w:rsidRPr="00F32B28">
        <w:rPr>
          <w:rtl/>
        </w:rPr>
        <w:t>إعمار</w:t>
      </w:r>
      <w:r w:rsidR="00F32B28">
        <w:rPr>
          <w:rtl/>
        </w:rPr>
        <w:t xml:space="preserve"> </w:t>
      </w:r>
      <w:r w:rsidR="00F32B28" w:rsidRPr="00F32B28">
        <w:rPr>
          <w:rtl/>
        </w:rPr>
        <w:t>هذه</w:t>
      </w:r>
      <w:r w:rsidR="00F32B28">
        <w:rPr>
          <w:rtl/>
        </w:rPr>
        <w:t xml:space="preserve"> </w:t>
      </w:r>
      <w:r w:rsidR="00F32B28" w:rsidRPr="00F32B28">
        <w:rPr>
          <w:rtl/>
        </w:rPr>
        <w:t>المساكن</w:t>
      </w:r>
      <w:r w:rsidR="00F32B28">
        <w:rPr>
          <w:rtl/>
        </w:rPr>
        <w:t xml:space="preserve"> </w:t>
      </w:r>
      <w:r w:rsidR="00F32B28" w:rsidRPr="00F32B28">
        <w:rPr>
          <w:rtl/>
        </w:rPr>
        <w:t>والبنى</w:t>
      </w:r>
      <w:r w:rsidR="00F32B28">
        <w:rPr>
          <w:rtl/>
        </w:rPr>
        <w:t xml:space="preserve"> </w:t>
      </w:r>
      <w:r w:rsidR="00F32B28" w:rsidRPr="00F32B28">
        <w:rPr>
          <w:rtl/>
        </w:rPr>
        <w:t>التحتية،</w:t>
      </w:r>
      <w:r w:rsidR="00F32B28">
        <w:rPr>
          <w:rtl/>
        </w:rPr>
        <w:t xml:space="preserve"> </w:t>
      </w:r>
      <w:r w:rsidR="00F32B28" w:rsidRPr="00F32B28">
        <w:rPr>
          <w:rtl/>
        </w:rPr>
        <w:t>ومنع</w:t>
      </w:r>
      <w:r w:rsidR="00F32B28">
        <w:rPr>
          <w:rtl/>
        </w:rPr>
        <w:t xml:space="preserve"> </w:t>
      </w:r>
      <w:r w:rsidR="00F32B28" w:rsidRPr="00F32B28">
        <w:rPr>
          <w:rtl/>
        </w:rPr>
        <w:t>الفلسطينيين</w:t>
      </w:r>
      <w:r w:rsidR="00F32B28">
        <w:rPr>
          <w:rtl/>
        </w:rPr>
        <w:t xml:space="preserve"> </w:t>
      </w:r>
      <w:r w:rsidR="00F32B28" w:rsidRPr="00F32B28">
        <w:rPr>
          <w:rtl/>
        </w:rPr>
        <w:t>من</w:t>
      </w:r>
      <w:r w:rsidR="00F32B28">
        <w:rPr>
          <w:rtl/>
        </w:rPr>
        <w:t xml:space="preserve"> </w:t>
      </w:r>
      <w:r w:rsidR="00F32B28" w:rsidRPr="00F32B28">
        <w:rPr>
          <w:rtl/>
        </w:rPr>
        <w:t>استغلال</w:t>
      </w:r>
      <w:r w:rsidR="00F32B28">
        <w:rPr>
          <w:rtl/>
        </w:rPr>
        <w:t xml:space="preserve"> </w:t>
      </w:r>
      <w:r w:rsidR="00F32B28" w:rsidRPr="00F32B28">
        <w:rPr>
          <w:rtl/>
        </w:rPr>
        <w:t>مساحات</w:t>
      </w:r>
      <w:r w:rsidR="00F32B28">
        <w:rPr>
          <w:rtl/>
        </w:rPr>
        <w:t xml:space="preserve"> </w:t>
      </w:r>
      <w:r w:rsidR="00F32B28" w:rsidRPr="00F32B28">
        <w:rPr>
          <w:rtl/>
        </w:rPr>
        <w:t>واسعة</w:t>
      </w:r>
      <w:r w:rsidR="00F32B28">
        <w:rPr>
          <w:rtl/>
        </w:rPr>
        <w:t xml:space="preserve"> </w:t>
      </w:r>
      <w:r w:rsidR="00F32B28" w:rsidRPr="00F32B28">
        <w:rPr>
          <w:rtl/>
        </w:rPr>
        <w:t>من</w:t>
      </w:r>
      <w:r w:rsidR="00F32B28">
        <w:rPr>
          <w:rtl/>
        </w:rPr>
        <w:t xml:space="preserve"> </w:t>
      </w:r>
      <w:r w:rsidR="00F32B28" w:rsidRPr="00F32B28">
        <w:rPr>
          <w:rtl/>
        </w:rPr>
        <w:t>الأراضي</w:t>
      </w:r>
      <w:r w:rsidR="00F32B28">
        <w:rPr>
          <w:rtl/>
        </w:rPr>
        <w:t xml:space="preserve"> </w:t>
      </w:r>
      <w:r w:rsidR="00F32B28" w:rsidRPr="00F32B28">
        <w:rPr>
          <w:rtl/>
        </w:rPr>
        <w:t>القريبة</w:t>
      </w:r>
      <w:r w:rsidR="00F32B28">
        <w:rPr>
          <w:rtl/>
        </w:rPr>
        <w:t xml:space="preserve"> </w:t>
      </w:r>
      <w:r w:rsidR="00F32B28" w:rsidRPr="00F32B28">
        <w:rPr>
          <w:rtl/>
        </w:rPr>
        <w:t>من</w:t>
      </w:r>
      <w:r w:rsidR="00F32B28">
        <w:rPr>
          <w:rtl/>
        </w:rPr>
        <w:t xml:space="preserve"> </w:t>
      </w:r>
      <w:r w:rsidR="00F32B28" w:rsidRPr="00F32B28">
        <w:rPr>
          <w:rtl/>
        </w:rPr>
        <w:t>الحدود.</w:t>
      </w:r>
      <w:r w:rsidR="00F32B28">
        <w:rPr>
          <w:rtl/>
        </w:rPr>
        <w:t xml:space="preserve"> </w:t>
      </w:r>
    </w:p>
    <w:p w:rsidR="00F32B28" w:rsidRPr="00F32B28" w:rsidRDefault="00851F93" w:rsidP="0001622C">
      <w:pPr>
        <w:pStyle w:val="SingleTxt"/>
        <w:rPr>
          <w:rtl/>
          <w:lang w:bidi="ar-SY"/>
        </w:rPr>
      </w:pPr>
      <w:r>
        <w:rPr>
          <w:rFonts w:hint="cs"/>
          <w:rtl/>
          <w:lang w:bidi="ar-SY"/>
        </w:rPr>
        <w:t xml:space="preserve">272 - </w:t>
      </w:r>
      <w:r w:rsidR="00F32B28" w:rsidRPr="00F32B28">
        <w:rPr>
          <w:rtl/>
          <w:lang w:bidi="ar-SY"/>
        </w:rPr>
        <w:t>وفي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rPr>
        <w:t>تتابع</w:t>
      </w:r>
      <w:r w:rsidR="00F32B28">
        <w:rPr>
          <w:rtl/>
        </w:rPr>
        <w:t xml:space="preserve"> </w:t>
      </w:r>
      <w:r w:rsidR="00F32B28" w:rsidRPr="00F32B28">
        <w:rPr>
          <w:rtl/>
        </w:rPr>
        <w:t>السياسات</w:t>
      </w:r>
      <w:r w:rsidR="00F32B28">
        <w:rPr>
          <w:rtl/>
        </w:rPr>
        <w:t xml:space="preserve"> </w:t>
      </w:r>
      <w:r w:rsidR="00F32B28" w:rsidRPr="00F32B28">
        <w:rPr>
          <w:rtl/>
        </w:rPr>
        <w:t>الإسرائيلية</w:t>
      </w:r>
      <w:r w:rsidR="00F32B28">
        <w:rPr>
          <w:rtl/>
        </w:rPr>
        <w:t xml:space="preserve"> </w:t>
      </w:r>
      <w:r w:rsidR="00F32B28" w:rsidRPr="00F32B28">
        <w:rPr>
          <w:rtl/>
        </w:rPr>
        <w:t>تجاه</w:t>
      </w:r>
      <w:r w:rsidR="00F32B28">
        <w:rPr>
          <w:rtl/>
        </w:rPr>
        <w:t xml:space="preserve"> </w:t>
      </w:r>
      <w:r w:rsidR="00F32B28" w:rsidRPr="00F32B28">
        <w:rPr>
          <w:rtl/>
        </w:rPr>
        <w:t>تهويد</w:t>
      </w:r>
      <w:r w:rsidR="00F32B28">
        <w:rPr>
          <w:rtl/>
        </w:rPr>
        <w:t xml:space="preserve"> </w:t>
      </w:r>
      <w:r w:rsidR="00F32B28" w:rsidRPr="00F32B28">
        <w:rPr>
          <w:rtl/>
        </w:rPr>
        <w:t>المدينة</w:t>
      </w:r>
      <w:r w:rsidR="00F32B28">
        <w:rPr>
          <w:rtl/>
        </w:rPr>
        <w:t xml:space="preserve"> </w:t>
      </w:r>
      <w:r w:rsidR="00F32B28" w:rsidRPr="00F32B28">
        <w:rPr>
          <w:rtl/>
        </w:rPr>
        <w:t>وفصلها</w:t>
      </w:r>
      <w:r w:rsidR="00F32B28">
        <w:rPr>
          <w:rtl/>
        </w:rPr>
        <w:t xml:space="preserve"> </w:t>
      </w:r>
      <w:r w:rsidR="00F32B28" w:rsidRPr="00F32B28">
        <w:rPr>
          <w:rtl/>
        </w:rPr>
        <w:t>عن</w:t>
      </w:r>
      <w:r w:rsidR="00F32B28">
        <w:rPr>
          <w:rtl/>
        </w:rPr>
        <w:t xml:space="preserve"> </w:t>
      </w:r>
      <w:r w:rsidR="00F32B28" w:rsidRPr="00F32B28">
        <w:rPr>
          <w:rtl/>
        </w:rPr>
        <w:t>واقعها</w:t>
      </w:r>
      <w:r w:rsidR="00F32B28">
        <w:rPr>
          <w:rtl/>
        </w:rPr>
        <w:t xml:space="preserve"> </w:t>
      </w:r>
      <w:r w:rsidR="00F32B28" w:rsidRPr="00F32B28">
        <w:rPr>
          <w:rtl/>
        </w:rPr>
        <w:t>الفلسطيني،</w:t>
      </w:r>
      <w:r w:rsidR="00F32B28">
        <w:rPr>
          <w:rtl/>
        </w:rPr>
        <w:t xml:space="preserve"> </w:t>
      </w:r>
      <w:r w:rsidR="00F32B28" w:rsidRPr="00F32B28">
        <w:rPr>
          <w:rtl/>
        </w:rPr>
        <w:t>وتستعمل</w:t>
      </w:r>
      <w:r w:rsidR="00F32B28">
        <w:rPr>
          <w:rtl/>
        </w:rPr>
        <w:t xml:space="preserve"> </w:t>
      </w:r>
      <w:r w:rsidR="00F32B28" w:rsidRPr="00F32B28">
        <w:rPr>
          <w:rtl/>
        </w:rPr>
        <w:t>في</w:t>
      </w:r>
      <w:r w:rsidR="00F32B28">
        <w:rPr>
          <w:rtl/>
        </w:rPr>
        <w:t xml:space="preserve"> </w:t>
      </w:r>
      <w:r w:rsidR="00F32B28" w:rsidRPr="00F32B28">
        <w:rPr>
          <w:rtl/>
        </w:rPr>
        <w:t>سبيل</w:t>
      </w:r>
      <w:r w:rsidR="00F32B28">
        <w:rPr>
          <w:rtl/>
        </w:rPr>
        <w:t xml:space="preserve"> </w:t>
      </w:r>
      <w:r w:rsidR="00F32B28" w:rsidRPr="00F32B28">
        <w:rPr>
          <w:rtl/>
        </w:rPr>
        <w:t>ذلك</w:t>
      </w:r>
      <w:r w:rsidR="00F32B28">
        <w:rPr>
          <w:rtl/>
        </w:rPr>
        <w:t xml:space="preserve"> </w:t>
      </w:r>
      <w:r w:rsidR="00F32B28" w:rsidRPr="00F32B28">
        <w:rPr>
          <w:rtl/>
        </w:rPr>
        <w:t>كافة</w:t>
      </w:r>
      <w:r w:rsidR="00F32B28">
        <w:rPr>
          <w:rtl/>
        </w:rPr>
        <w:t xml:space="preserve"> </w:t>
      </w:r>
      <w:r w:rsidR="00F32B28" w:rsidRPr="00F32B28">
        <w:rPr>
          <w:rtl/>
        </w:rPr>
        <w:t>الطرق</w:t>
      </w:r>
      <w:r w:rsidR="00F32B28">
        <w:rPr>
          <w:rtl/>
        </w:rPr>
        <w:t xml:space="preserve"> </w:t>
      </w:r>
      <w:r w:rsidR="00F32B28" w:rsidRPr="00F32B28">
        <w:rPr>
          <w:rtl/>
        </w:rPr>
        <w:t>غير</w:t>
      </w:r>
      <w:r w:rsidR="00F32B28">
        <w:rPr>
          <w:rtl/>
        </w:rPr>
        <w:t xml:space="preserve"> </w:t>
      </w:r>
      <w:r w:rsidR="00F32B28" w:rsidRPr="00F32B28">
        <w:rPr>
          <w:rtl/>
        </w:rPr>
        <w:t>القانونية</w:t>
      </w:r>
      <w:r w:rsidR="00F32B28">
        <w:rPr>
          <w:rtl/>
        </w:rPr>
        <w:t xml:space="preserve"> </w:t>
      </w:r>
      <w:r w:rsidR="00F32B28" w:rsidRPr="00F32B28">
        <w:rPr>
          <w:rtl/>
        </w:rPr>
        <w:t>التي</w:t>
      </w:r>
      <w:r w:rsidR="00F32B28">
        <w:rPr>
          <w:rtl/>
        </w:rPr>
        <w:t xml:space="preserve"> </w:t>
      </w:r>
      <w:r w:rsidR="00F32B28" w:rsidRPr="00F32B28">
        <w:rPr>
          <w:rtl/>
        </w:rPr>
        <w:t>من</w:t>
      </w:r>
      <w:r w:rsidR="00F32B28">
        <w:rPr>
          <w:rtl/>
        </w:rPr>
        <w:t xml:space="preserve"> </w:t>
      </w:r>
      <w:r w:rsidR="00F32B28" w:rsidRPr="00F32B28">
        <w:rPr>
          <w:rtl/>
        </w:rPr>
        <w:t>شأنها</w:t>
      </w:r>
      <w:r w:rsidR="00F32B28">
        <w:rPr>
          <w:rtl/>
        </w:rPr>
        <w:t xml:space="preserve"> </w:t>
      </w:r>
      <w:r w:rsidR="00F32B28" w:rsidRPr="00F32B28">
        <w:rPr>
          <w:rtl/>
        </w:rPr>
        <w:t>أن</w:t>
      </w:r>
      <w:r w:rsidR="00F32B28">
        <w:rPr>
          <w:rtl/>
        </w:rPr>
        <w:t xml:space="preserve"> </w:t>
      </w:r>
      <w:r w:rsidR="00F32B28" w:rsidRPr="00F32B28">
        <w:rPr>
          <w:rtl/>
        </w:rPr>
        <w:t>تؤدي</w:t>
      </w:r>
      <w:r w:rsidR="00F32B28">
        <w:rPr>
          <w:rtl/>
        </w:rPr>
        <w:t xml:space="preserve"> </w:t>
      </w:r>
      <w:r w:rsidR="00F32B28" w:rsidRPr="00F32B28">
        <w:rPr>
          <w:rtl/>
        </w:rPr>
        <w:t>إلى</w:t>
      </w:r>
      <w:r w:rsidR="00F32B28">
        <w:rPr>
          <w:rtl/>
        </w:rPr>
        <w:t xml:space="preserve"> </w:t>
      </w:r>
      <w:r w:rsidR="00F32B28" w:rsidRPr="00F32B28">
        <w:rPr>
          <w:rtl/>
        </w:rPr>
        <w:t>تهجير</w:t>
      </w:r>
      <w:r w:rsidR="00F32B28">
        <w:rPr>
          <w:rtl/>
        </w:rPr>
        <w:t xml:space="preserve"> </w:t>
      </w:r>
      <w:r w:rsidR="00F32B28" w:rsidRPr="00F32B28">
        <w:rPr>
          <w:rtl/>
        </w:rPr>
        <w:t>السكان</w:t>
      </w:r>
      <w:r w:rsidR="00F32B28">
        <w:rPr>
          <w:rtl/>
        </w:rPr>
        <w:t xml:space="preserve"> </w:t>
      </w:r>
      <w:r w:rsidR="00F32B28" w:rsidRPr="00F32B28">
        <w:rPr>
          <w:rtl/>
        </w:rPr>
        <w:t>الفلسطينيين</w:t>
      </w:r>
      <w:r w:rsidR="00F32B28">
        <w:rPr>
          <w:rtl/>
        </w:rPr>
        <w:t xml:space="preserve"> </w:t>
      </w:r>
      <w:r w:rsidR="00F32B28" w:rsidRPr="00F32B28">
        <w:rPr>
          <w:rtl/>
        </w:rPr>
        <w:t>من</w:t>
      </w:r>
      <w:r w:rsidR="00F32B28">
        <w:rPr>
          <w:rtl/>
        </w:rPr>
        <w:t xml:space="preserve"> </w:t>
      </w:r>
      <w:r w:rsidR="00F32B28" w:rsidRPr="00F32B28">
        <w:rPr>
          <w:rtl/>
        </w:rPr>
        <w:t>المدينة</w:t>
      </w:r>
      <w:r w:rsidR="00F32B28">
        <w:rPr>
          <w:rtl/>
        </w:rPr>
        <w:t xml:space="preserve"> </w:t>
      </w:r>
      <w:r w:rsidR="00F32B28" w:rsidRPr="00F32B28">
        <w:rPr>
          <w:rtl/>
        </w:rPr>
        <w:t>بالقوة،</w:t>
      </w:r>
      <w:r w:rsidR="00F32B28">
        <w:rPr>
          <w:rtl/>
        </w:rPr>
        <w:t xml:space="preserve"> </w:t>
      </w:r>
      <w:r w:rsidR="00F32B28" w:rsidRPr="00F32B28">
        <w:rPr>
          <w:rtl/>
        </w:rPr>
        <w:t>ومن</w:t>
      </w:r>
      <w:r w:rsidR="00F32B28">
        <w:rPr>
          <w:rtl/>
        </w:rPr>
        <w:t xml:space="preserve"> </w:t>
      </w:r>
      <w:r w:rsidR="00F32B28" w:rsidRPr="00F32B28">
        <w:rPr>
          <w:rtl/>
        </w:rPr>
        <w:t>أهم</w:t>
      </w:r>
      <w:r w:rsidR="00F32B28">
        <w:rPr>
          <w:rtl/>
        </w:rPr>
        <w:t xml:space="preserve"> </w:t>
      </w:r>
      <w:r w:rsidR="00F32B28" w:rsidRPr="00F32B28">
        <w:rPr>
          <w:rtl/>
        </w:rPr>
        <w:t>هذه</w:t>
      </w:r>
      <w:r w:rsidR="00F32B28">
        <w:rPr>
          <w:rtl/>
        </w:rPr>
        <w:t xml:space="preserve"> </w:t>
      </w:r>
      <w:r w:rsidR="00F32B28" w:rsidRPr="00F32B28">
        <w:rPr>
          <w:rtl/>
        </w:rPr>
        <w:t>الأدوات</w:t>
      </w:r>
      <w:r w:rsidR="00F32B28">
        <w:rPr>
          <w:rtl/>
        </w:rPr>
        <w:t xml:space="preserve"> </w:t>
      </w:r>
      <w:r w:rsidR="00F32B28" w:rsidRPr="00F32B28">
        <w:rPr>
          <w:rtl/>
          <w:lang w:bidi="ar-SY"/>
        </w:rPr>
        <w:t>مصادرة</w:t>
      </w:r>
      <w:r w:rsidR="00F32B28">
        <w:rPr>
          <w:rtl/>
          <w:lang w:bidi="ar-SY"/>
        </w:rPr>
        <w:t xml:space="preserve"> </w:t>
      </w:r>
      <w:r w:rsidR="00F32B28" w:rsidRPr="00F32B28">
        <w:rPr>
          <w:rtl/>
          <w:lang w:bidi="ar-SY"/>
        </w:rPr>
        <w:t>الأراضي</w:t>
      </w:r>
      <w:r w:rsidR="00F32B28">
        <w:rPr>
          <w:rtl/>
          <w:lang w:bidi="ar-SY"/>
        </w:rPr>
        <w:t xml:space="preserve"> </w:t>
      </w:r>
      <w:r w:rsidR="00F32B28" w:rsidRPr="00F32B28">
        <w:rPr>
          <w:rtl/>
          <w:lang w:bidi="ar-SY"/>
        </w:rPr>
        <w:t>و</w:t>
      </w:r>
      <w:r w:rsidR="00F32B28" w:rsidRPr="00F32B28">
        <w:rPr>
          <w:rtl/>
        </w:rPr>
        <w:t>هدم</w:t>
      </w:r>
      <w:r w:rsidR="00F32B28">
        <w:rPr>
          <w:rtl/>
        </w:rPr>
        <w:t xml:space="preserve"> </w:t>
      </w:r>
      <w:r w:rsidR="00F32B28" w:rsidRPr="00F32B28">
        <w:rPr>
          <w:rtl/>
        </w:rPr>
        <w:t>العقارات</w:t>
      </w:r>
      <w:r w:rsidR="00F32B28">
        <w:rPr>
          <w:rtl/>
        </w:rPr>
        <w:t xml:space="preserve"> </w:t>
      </w:r>
      <w:r w:rsidR="00F32B28" w:rsidRPr="00F32B28">
        <w:rPr>
          <w:rtl/>
        </w:rPr>
        <w:t>والمساكن.</w:t>
      </w:r>
      <w:r w:rsidR="00F32B28">
        <w:rPr>
          <w:rtl/>
        </w:rPr>
        <w:t xml:space="preserve"> </w:t>
      </w:r>
      <w:r w:rsidR="00F32B28" w:rsidRPr="00F32B28">
        <w:rPr>
          <w:rtl/>
        </w:rPr>
        <w:lastRenderedPageBreak/>
        <w:t>فبحسب</w:t>
      </w:r>
      <w:r w:rsidR="00F32B28">
        <w:rPr>
          <w:rtl/>
        </w:rPr>
        <w:t xml:space="preserve"> </w:t>
      </w:r>
      <w:r w:rsidR="00F32B28" w:rsidRPr="00F32B28">
        <w:rPr>
          <w:rtl/>
        </w:rPr>
        <w:t>مكتب</w:t>
      </w:r>
      <w:r w:rsidR="00F32B28">
        <w:rPr>
          <w:rtl/>
        </w:rPr>
        <w:t xml:space="preserve"> </w:t>
      </w:r>
      <w:r w:rsidR="00F32B28" w:rsidRPr="00F32B28">
        <w:rPr>
          <w:rtl/>
        </w:rPr>
        <w:t>تنسيق</w:t>
      </w:r>
      <w:r w:rsidR="00F32B28">
        <w:rPr>
          <w:rtl/>
        </w:rPr>
        <w:t xml:space="preserve"> </w:t>
      </w:r>
      <w:r w:rsidR="00F32B28" w:rsidRPr="00F32B28">
        <w:rPr>
          <w:rtl/>
        </w:rPr>
        <w:t>الشؤون</w:t>
      </w:r>
      <w:r w:rsidR="00F32B28">
        <w:rPr>
          <w:rtl/>
        </w:rPr>
        <w:t xml:space="preserve"> </w:t>
      </w:r>
      <w:r w:rsidR="00F32B28" w:rsidRPr="00F32B28">
        <w:rPr>
          <w:rtl/>
        </w:rPr>
        <w:t>الإنسانية</w:t>
      </w:r>
      <w:r w:rsidR="00F32B28">
        <w:rPr>
          <w:rtl/>
        </w:rPr>
        <w:t xml:space="preserve"> </w:t>
      </w:r>
      <w:r w:rsidR="00F32B28" w:rsidRPr="00F32B28">
        <w:rPr>
          <w:rtl/>
        </w:rPr>
        <w:t>الأراضي</w:t>
      </w:r>
      <w:r w:rsidR="00F32B28">
        <w:rPr>
          <w:rtl/>
        </w:rPr>
        <w:t xml:space="preserve"> </w:t>
      </w:r>
      <w:r w:rsidR="00F32B28" w:rsidRPr="00F32B28">
        <w:rPr>
          <w:rtl/>
        </w:rPr>
        <w:t>الفلسطينية</w:t>
      </w:r>
      <w:r w:rsidR="00F32B28">
        <w:rPr>
          <w:rtl/>
        </w:rPr>
        <w:t xml:space="preserve"> </w:t>
      </w:r>
      <w:r w:rsidR="00F32B28" w:rsidRPr="00F32B28">
        <w:rPr>
          <w:rtl/>
        </w:rPr>
        <w:t>المحتلة</w:t>
      </w:r>
      <w:r w:rsidR="00F32B28">
        <w:rPr>
          <w:rtl/>
        </w:rPr>
        <w:t xml:space="preserve"> </w:t>
      </w:r>
      <w:r w:rsidR="00F32B28" w:rsidRPr="00F32B28">
        <w:rPr>
          <w:rtl/>
        </w:rPr>
        <w:t>التابع</w:t>
      </w:r>
      <w:r w:rsidR="00F32B28">
        <w:rPr>
          <w:rtl/>
        </w:rPr>
        <w:t xml:space="preserve"> </w:t>
      </w:r>
      <w:r w:rsidR="00F32B28" w:rsidRPr="00F32B28">
        <w:rPr>
          <w:rtl/>
        </w:rPr>
        <w:t>للأمم</w:t>
      </w:r>
      <w:r w:rsidR="00F32B28">
        <w:rPr>
          <w:rtl/>
        </w:rPr>
        <w:t xml:space="preserve"> </w:t>
      </w:r>
      <w:r w:rsidR="00F32B28" w:rsidRPr="00F32B28">
        <w:rPr>
          <w:rtl/>
        </w:rPr>
        <w:t>المتحدة،</w:t>
      </w:r>
      <w:r w:rsidR="00F32B28">
        <w:rPr>
          <w:rtl/>
        </w:rPr>
        <w:t xml:space="preserve"> </w:t>
      </w:r>
      <w:r w:rsidR="00F32B28" w:rsidRPr="00F32B28">
        <w:rPr>
          <w:rtl/>
        </w:rPr>
        <w:t>فقد</w:t>
      </w:r>
      <w:r w:rsidR="00F32B28">
        <w:rPr>
          <w:rtl/>
        </w:rPr>
        <w:t xml:space="preserve"> </w:t>
      </w:r>
      <w:r w:rsidR="00F32B28" w:rsidRPr="00F32B28">
        <w:rPr>
          <w:rtl/>
        </w:rPr>
        <w:t>تمت</w:t>
      </w:r>
      <w:r w:rsidR="00F32B28">
        <w:rPr>
          <w:rtl/>
        </w:rPr>
        <w:t xml:space="preserve"> </w:t>
      </w:r>
      <w:r w:rsidR="00F32B28" w:rsidRPr="00F32B28">
        <w:rPr>
          <w:rtl/>
          <w:lang w:bidi="ar-SY"/>
        </w:rPr>
        <w:t>مصادرة</w:t>
      </w:r>
      <w:r w:rsidR="00F32B28">
        <w:rPr>
          <w:rtl/>
          <w:lang w:bidi="ar-SY"/>
        </w:rPr>
        <w:t xml:space="preserve"> </w:t>
      </w:r>
      <w:r w:rsidR="00F32B28" w:rsidRPr="00F32B28">
        <w:rPr>
          <w:rtl/>
          <w:lang w:bidi="ar-SY"/>
        </w:rPr>
        <w:t>35</w:t>
      </w:r>
      <w:r>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أراضي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الشرقية</w:t>
      </w:r>
      <w:r w:rsidR="00F32B28">
        <w:rPr>
          <w:rtl/>
          <w:lang w:bidi="ar-SY"/>
        </w:rPr>
        <w:t xml:space="preserve"> </w:t>
      </w:r>
      <w:r w:rsidR="00F32B28" w:rsidRPr="00F32B28">
        <w:rPr>
          <w:rtl/>
          <w:lang w:bidi="ar-SY"/>
        </w:rPr>
        <w:t>لتطوير</w:t>
      </w:r>
      <w:r w:rsidR="00F32B28">
        <w:rPr>
          <w:rtl/>
          <w:lang w:bidi="ar-SY"/>
        </w:rPr>
        <w:t xml:space="preserve"> </w:t>
      </w:r>
      <w:r w:rsidR="00F32B28" w:rsidRPr="00F32B28">
        <w:rPr>
          <w:rtl/>
          <w:lang w:bidi="ar-SY"/>
        </w:rPr>
        <w:t>المستوطنات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w:t>
      </w:r>
      <w:r w:rsidR="00F32B28" w:rsidRPr="00F32B28">
        <w:rPr>
          <w:rFonts w:hint="cs"/>
          <w:rtl/>
          <w:lang w:bidi="ar-SY"/>
        </w:rPr>
        <w:t>قانونية</w:t>
      </w:r>
      <w:r w:rsidR="00F32B28">
        <w:rPr>
          <w:rtl/>
          <w:lang w:bidi="ar-SY"/>
        </w:rPr>
        <w:t xml:space="preserve"> </w:t>
      </w:r>
      <w:r w:rsidR="00F32B28" w:rsidRPr="00F32B28">
        <w:rPr>
          <w:rtl/>
          <w:lang w:bidi="ar-SY"/>
        </w:rPr>
        <w:t>ولم</w:t>
      </w:r>
      <w:r w:rsidR="00F32B28">
        <w:rPr>
          <w:rtl/>
          <w:lang w:bidi="ar-SY"/>
        </w:rPr>
        <w:t xml:space="preserve"> </w:t>
      </w:r>
      <w:r w:rsidR="00F32B28" w:rsidRPr="00F32B28">
        <w:rPr>
          <w:rtl/>
          <w:lang w:bidi="ar-SY"/>
        </w:rPr>
        <w:t>يتم</w:t>
      </w:r>
      <w:r w:rsidR="00F32B28">
        <w:rPr>
          <w:rtl/>
          <w:lang w:bidi="ar-SY"/>
        </w:rPr>
        <w:t xml:space="preserve"> </w:t>
      </w:r>
      <w:r w:rsidR="00F32B28" w:rsidRPr="00F32B28">
        <w:rPr>
          <w:rtl/>
          <w:lang w:bidi="ar-SY"/>
        </w:rPr>
        <w:t>تخصيص</w:t>
      </w:r>
      <w:r w:rsidR="00F32B28">
        <w:rPr>
          <w:rtl/>
          <w:lang w:bidi="ar-SY"/>
        </w:rPr>
        <w:t xml:space="preserve"> </w:t>
      </w:r>
      <w:r w:rsidR="00F32B28" w:rsidRPr="00F32B28">
        <w:rPr>
          <w:rtl/>
          <w:lang w:bidi="ar-SY"/>
        </w:rPr>
        <w:t>سوى</w:t>
      </w:r>
      <w:r w:rsidR="00F32B28">
        <w:rPr>
          <w:rtl/>
          <w:lang w:bidi="ar-SY"/>
        </w:rPr>
        <w:t xml:space="preserve"> </w:t>
      </w:r>
      <w:r w:rsidR="00F32B28" w:rsidRPr="00F32B28">
        <w:rPr>
          <w:rtl/>
          <w:lang w:bidi="ar-SY"/>
        </w:rPr>
        <w:t>13</w:t>
      </w:r>
      <w:r>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الشرقية</w:t>
      </w:r>
      <w:r w:rsidR="00F32B28">
        <w:rPr>
          <w:rtl/>
          <w:lang w:bidi="ar-SY"/>
        </w:rPr>
        <w:t xml:space="preserve"> </w:t>
      </w:r>
      <w:r w:rsidR="00F32B28" w:rsidRPr="00F32B28">
        <w:rPr>
          <w:rtl/>
          <w:lang w:bidi="ar-SY"/>
        </w:rPr>
        <w:t>للبناء</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معظمها</w:t>
      </w:r>
      <w:r w:rsidR="00F32B28">
        <w:rPr>
          <w:rtl/>
          <w:lang w:bidi="ar-SY"/>
        </w:rPr>
        <w:t xml:space="preserve"> </w:t>
      </w:r>
      <w:r w:rsidR="00F32B28" w:rsidRPr="00F32B28">
        <w:rPr>
          <w:rtl/>
          <w:lang w:bidi="ar-SY"/>
        </w:rPr>
        <w:t>كان</w:t>
      </w:r>
      <w:r w:rsidR="00F32B28">
        <w:rPr>
          <w:rtl/>
          <w:lang w:bidi="ar-SY"/>
        </w:rPr>
        <w:t xml:space="preserve"> </w:t>
      </w:r>
      <w:r w:rsidR="00F32B28" w:rsidRPr="00F32B28">
        <w:rPr>
          <w:rtl/>
          <w:lang w:bidi="ar-SY"/>
        </w:rPr>
        <w:t>مقام</w:t>
      </w:r>
      <w:r w:rsidR="00F32B28">
        <w:rPr>
          <w:rtl/>
          <w:lang w:bidi="ar-SY"/>
        </w:rPr>
        <w:t xml:space="preserve"> </w:t>
      </w:r>
      <w:r w:rsidR="00F32B28" w:rsidRPr="00F32B28">
        <w:rPr>
          <w:rtl/>
          <w:lang w:bidi="ar-SY"/>
        </w:rPr>
        <w:t>عليها</w:t>
      </w:r>
      <w:r w:rsidR="00F32B28">
        <w:rPr>
          <w:rtl/>
          <w:lang w:bidi="ar-SY"/>
        </w:rPr>
        <w:t xml:space="preserve"> </w:t>
      </w:r>
      <w:r w:rsidR="00F32B28" w:rsidRPr="00F32B28">
        <w:rPr>
          <w:rtl/>
          <w:lang w:bidi="ar-SY"/>
        </w:rPr>
        <w:t>مبان</w:t>
      </w:r>
      <w:r w:rsidR="00F32B28">
        <w:rPr>
          <w:rtl/>
          <w:lang w:bidi="ar-SY"/>
        </w:rPr>
        <w:t xml:space="preserve"> </w:t>
      </w:r>
      <w:r w:rsidR="00F32B28" w:rsidRPr="00F32B28">
        <w:rPr>
          <w:rtl/>
          <w:lang w:bidi="ar-SY"/>
        </w:rPr>
        <w:t>أصلاً،</w:t>
      </w:r>
      <w:r w:rsidR="00F32B28">
        <w:rPr>
          <w:rtl/>
          <w:lang w:bidi="ar-SY"/>
        </w:rPr>
        <w:t xml:space="preserve"> </w:t>
      </w:r>
      <w:r w:rsidR="00F32B28" w:rsidRPr="00F32B28">
        <w:rPr>
          <w:rtl/>
          <w:lang w:bidi="ar-SY"/>
        </w:rPr>
        <w:t>وهنالك</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يقل</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ثلث</w:t>
      </w:r>
      <w:r w:rsidR="00F32B28">
        <w:rPr>
          <w:rtl/>
          <w:lang w:bidi="ar-SY"/>
        </w:rPr>
        <w:t xml:space="preserve"> </w:t>
      </w:r>
      <w:r w:rsidR="00F32B28" w:rsidRPr="00F32B28">
        <w:rPr>
          <w:rtl/>
          <w:lang w:bidi="ar-SY"/>
        </w:rPr>
        <w:t>منازل</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الشرقية</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حاصلة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تراخيص</w:t>
      </w:r>
      <w:r w:rsidR="00F32B28">
        <w:rPr>
          <w:rtl/>
          <w:lang w:bidi="ar-SY"/>
        </w:rPr>
        <w:t xml:space="preserve"> </w:t>
      </w:r>
      <w:r w:rsidR="00F32B28" w:rsidRPr="00F32B28">
        <w:rPr>
          <w:rtl/>
          <w:lang w:bidi="ar-SY"/>
        </w:rPr>
        <w:t>بناء،</w:t>
      </w:r>
      <w:r w:rsidR="00F32B28">
        <w:rPr>
          <w:rtl/>
          <w:lang w:bidi="ar-SY"/>
        </w:rPr>
        <w:t xml:space="preserve"> </w:t>
      </w:r>
      <w:r w:rsidR="00F32B28" w:rsidRPr="00F32B28">
        <w:rPr>
          <w:rtl/>
          <w:lang w:bidi="ar-SY"/>
        </w:rPr>
        <w:t>وهي</w:t>
      </w:r>
      <w:r w:rsidR="00F32B28">
        <w:rPr>
          <w:rtl/>
          <w:lang w:bidi="ar-SY"/>
        </w:rPr>
        <w:t xml:space="preserve"> </w:t>
      </w:r>
      <w:r w:rsidR="00F32B28" w:rsidRPr="00F32B28">
        <w:rPr>
          <w:rtl/>
          <w:lang w:bidi="ar-SY"/>
        </w:rPr>
        <w:t>تراخيص</w:t>
      </w:r>
      <w:r w:rsidR="00F32B28">
        <w:rPr>
          <w:rtl/>
          <w:lang w:bidi="ar-SY"/>
        </w:rPr>
        <w:t xml:space="preserve"> </w:t>
      </w:r>
      <w:r w:rsidR="00F32B28" w:rsidRPr="00F32B28">
        <w:rPr>
          <w:rtl/>
          <w:lang w:bidi="ar-SY"/>
        </w:rPr>
        <w:t>يصعب</w:t>
      </w:r>
      <w:r w:rsidR="00F32B28">
        <w:rPr>
          <w:rtl/>
          <w:lang w:bidi="ar-SY"/>
        </w:rPr>
        <w:t xml:space="preserve"> </w:t>
      </w:r>
      <w:r w:rsidR="00F32B28" w:rsidRPr="00F32B28">
        <w:rPr>
          <w:rtl/>
          <w:lang w:bidi="ar-SY"/>
        </w:rPr>
        <w:t>الحصول</w:t>
      </w:r>
      <w:r w:rsidR="00F32B28">
        <w:rPr>
          <w:rtl/>
          <w:lang w:bidi="ar-SY"/>
        </w:rPr>
        <w:t xml:space="preserve"> </w:t>
      </w:r>
      <w:r w:rsidR="00F32B28" w:rsidRPr="00F32B28">
        <w:rPr>
          <w:rtl/>
          <w:lang w:bidi="ar-SY"/>
        </w:rPr>
        <w:t>عليها</w:t>
      </w:r>
      <w:r w:rsidR="00F32B28">
        <w:rPr>
          <w:rtl/>
          <w:lang w:bidi="ar-SY"/>
        </w:rPr>
        <w:t xml:space="preserve"> </w:t>
      </w:r>
      <w:r w:rsidR="00F32B28" w:rsidRPr="00F32B28">
        <w:rPr>
          <w:rtl/>
          <w:lang w:bidi="ar-SY"/>
        </w:rPr>
        <w:t>بسبب</w:t>
      </w:r>
      <w:r w:rsidR="00F32B28">
        <w:rPr>
          <w:rtl/>
          <w:lang w:bidi="ar-SY"/>
        </w:rPr>
        <w:t xml:space="preserve"> </w:t>
      </w:r>
      <w:r w:rsidR="00F32B28" w:rsidRPr="00F32B28">
        <w:rPr>
          <w:rtl/>
          <w:lang w:bidi="ar-SY"/>
        </w:rPr>
        <w:t>القوانين</w:t>
      </w:r>
      <w:r w:rsidR="00F32B28">
        <w:rPr>
          <w:rtl/>
          <w:lang w:bidi="ar-SY"/>
        </w:rPr>
        <w:t xml:space="preserve"> </w:t>
      </w:r>
      <w:r w:rsidR="00F32B28" w:rsidRPr="00F32B28">
        <w:rPr>
          <w:rtl/>
          <w:lang w:bidi="ar-SY"/>
        </w:rPr>
        <w:t>العنصرية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تفرضها</w:t>
      </w:r>
      <w:r w:rsidR="00F32B28">
        <w:rPr>
          <w:rtl/>
          <w:lang w:bidi="ar-SY"/>
        </w:rPr>
        <w:t xml:space="preserve"> </w:t>
      </w:r>
      <w:r w:rsidR="00F32B28" w:rsidRPr="00F32B28">
        <w:rPr>
          <w:rtl/>
          <w:lang w:bidi="ar-SY"/>
        </w:rPr>
        <w:t>السلطات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وهو</w:t>
      </w:r>
      <w:r w:rsidR="00F32B28">
        <w:rPr>
          <w:rtl/>
          <w:lang w:bidi="ar-SY"/>
        </w:rPr>
        <w:t xml:space="preserve"> </w:t>
      </w:r>
      <w:r w:rsidR="00F32B28" w:rsidRPr="00F32B28">
        <w:rPr>
          <w:rtl/>
          <w:lang w:bidi="ar-SY"/>
        </w:rPr>
        <w:t>الأمر</w:t>
      </w:r>
      <w:r w:rsidR="00F32B28">
        <w:rPr>
          <w:rtl/>
          <w:lang w:bidi="ar-SY"/>
        </w:rPr>
        <w:t xml:space="preserve"> </w:t>
      </w:r>
      <w:r w:rsidR="00F32B28" w:rsidRPr="00F32B28">
        <w:rPr>
          <w:rtl/>
          <w:lang w:bidi="ar-SY"/>
        </w:rPr>
        <w:t>يجعل</w:t>
      </w:r>
      <w:r w:rsidR="00F32B28">
        <w:rPr>
          <w:rtl/>
          <w:lang w:bidi="ar-SY"/>
        </w:rPr>
        <w:t xml:space="preserve"> </w:t>
      </w:r>
      <w:r w:rsidR="00F32B28" w:rsidRPr="00F32B28">
        <w:rPr>
          <w:rtl/>
          <w:lang w:bidi="ar-SY"/>
        </w:rPr>
        <w:t>أكثر</w:t>
      </w:r>
      <w:r w:rsidR="00F32B28">
        <w:rPr>
          <w:rtl/>
          <w:lang w:bidi="ar-SY"/>
        </w:rPr>
        <w:t xml:space="preserve"> </w:t>
      </w:r>
      <w:r w:rsidR="00F32B28" w:rsidRPr="00F32B28">
        <w:rPr>
          <w:rtl/>
          <w:lang w:bidi="ar-SY"/>
        </w:rPr>
        <w:t>من</w:t>
      </w:r>
      <w:r w:rsidR="00F32B28">
        <w:rPr>
          <w:rtl/>
          <w:lang w:bidi="ar-SY"/>
        </w:rPr>
        <w:t xml:space="preserve"> </w:t>
      </w:r>
      <w:r w:rsidR="0001622C">
        <w:rPr>
          <w:rFonts w:hint="cs"/>
          <w:rtl/>
          <w:lang w:bidi="ar-SY"/>
        </w:rPr>
        <w:t xml:space="preserve">000 90 </w:t>
      </w:r>
      <w:r w:rsidR="00F32B28" w:rsidRPr="00F32B28">
        <w:rPr>
          <w:rtl/>
          <w:lang w:bidi="ar-SY"/>
        </w:rPr>
        <w:t>مواطن</w:t>
      </w:r>
      <w:r w:rsidR="00F32B28">
        <w:rPr>
          <w:rtl/>
          <w:lang w:bidi="ar-SY"/>
        </w:rPr>
        <w:t xml:space="preserve"> </w:t>
      </w:r>
      <w:r w:rsidR="00F32B28" w:rsidRPr="00F32B28">
        <w:rPr>
          <w:rtl/>
          <w:lang w:bidi="ar-SY"/>
        </w:rPr>
        <w:t>ومواطنة</w:t>
      </w:r>
      <w:r w:rsidR="00F32B28">
        <w:rPr>
          <w:rtl/>
          <w:lang w:bidi="ar-SY"/>
        </w:rPr>
        <w:t xml:space="preserve"> </w:t>
      </w:r>
      <w:r w:rsidR="00F32B28" w:rsidRPr="00F32B28">
        <w:rPr>
          <w:rtl/>
        </w:rPr>
        <w:t>يعيشون</w:t>
      </w:r>
      <w:r w:rsidR="00F32B28">
        <w:rPr>
          <w:rtl/>
        </w:rPr>
        <w:t xml:space="preserve"> </w:t>
      </w:r>
      <w:r w:rsidR="00F32B28" w:rsidRPr="00F32B28">
        <w:rPr>
          <w:rtl/>
        </w:rPr>
        <w:t>تحت</w:t>
      </w:r>
      <w:r w:rsidR="00F32B28">
        <w:rPr>
          <w:rtl/>
        </w:rPr>
        <w:t xml:space="preserve"> </w:t>
      </w:r>
      <w:r w:rsidR="00F32B28" w:rsidRPr="00F32B28">
        <w:rPr>
          <w:rtl/>
        </w:rPr>
        <w:t>الخطر</w:t>
      </w:r>
      <w:r w:rsidR="00F32B28">
        <w:rPr>
          <w:rtl/>
        </w:rPr>
        <w:t xml:space="preserve"> </w:t>
      </w:r>
      <w:r w:rsidR="00F32B28" w:rsidRPr="00F32B28">
        <w:rPr>
          <w:rtl/>
        </w:rPr>
        <w:t>الدائم</w:t>
      </w:r>
      <w:r w:rsidR="00F32B28">
        <w:rPr>
          <w:rtl/>
        </w:rPr>
        <w:t xml:space="preserve"> </w:t>
      </w:r>
      <w:r w:rsidR="00F32B28" w:rsidRPr="00F32B28">
        <w:rPr>
          <w:rtl/>
        </w:rPr>
        <w:t>المتمثل</w:t>
      </w:r>
      <w:r w:rsidR="00F32B28">
        <w:rPr>
          <w:rtl/>
        </w:rPr>
        <w:t xml:space="preserve"> </w:t>
      </w:r>
      <w:r w:rsidR="00F32B28" w:rsidRPr="00F32B28">
        <w:rPr>
          <w:rtl/>
        </w:rPr>
        <w:t>في</w:t>
      </w:r>
      <w:r w:rsidR="00F32B28">
        <w:rPr>
          <w:rtl/>
        </w:rPr>
        <w:t xml:space="preserve"> </w:t>
      </w:r>
      <w:r w:rsidR="00F32B28" w:rsidRPr="00F32B28">
        <w:rPr>
          <w:rtl/>
        </w:rPr>
        <w:t>احتمال</w:t>
      </w:r>
      <w:r w:rsidR="00F32B28">
        <w:rPr>
          <w:rtl/>
        </w:rPr>
        <w:t xml:space="preserve"> </w:t>
      </w:r>
      <w:r w:rsidR="00F32B28" w:rsidRPr="00F32B28">
        <w:rPr>
          <w:rtl/>
        </w:rPr>
        <w:t>هدم</w:t>
      </w:r>
      <w:r w:rsidR="00F32B28">
        <w:rPr>
          <w:rtl/>
        </w:rPr>
        <w:t xml:space="preserve"> </w:t>
      </w:r>
      <w:r w:rsidR="00F32B28" w:rsidRPr="00F32B28">
        <w:rPr>
          <w:rtl/>
        </w:rPr>
        <w:t>منازلهم</w:t>
      </w:r>
      <w:r w:rsidR="00F32B28">
        <w:rPr>
          <w:rtl/>
        </w:rPr>
        <w:t xml:space="preserve"> </w:t>
      </w:r>
      <w:r w:rsidR="00F32B28" w:rsidRPr="00F32B28">
        <w:rPr>
          <w:rtl/>
        </w:rPr>
        <w:t>وتهجيرهم</w:t>
      </w:r>
      <w:r w:rsidR="00F32B28" w:rsidRPr="00F32B28">
        <w:rPr>
          <w:rtl/>
          <w:lang w:bidi="ar-SY"/>
        </w:rPr>
        <w:t>،</w:t>
      </w:r>
      <w:r w:rsidR="00F32B28">
        <w:rPr>
          <w:rtl/>
          <w:lang w:bidi="ar-SY"/>
        </w:rPr>
        <w:t xml:space="preserve"> </w:t>
      </w:r>
      <w:r w:rsidR="00F32B28" w:rsidRPr="00F32B28">
        <w:rPr>
          <w:rtl/>
          <w:lang w:bidi="ar-SY"/>
        </w:rPr>
        <w:t>وما</w:t>
      </w:r>
      <w:r w:rsidR="00F32B28">
        <w:rPr>
          <w:rtl/>
          <w:lang w:bidi="ar-SY"/>
        </w:rPr>
        <w:t xml:space="preserve"> </w:t>
      </w:r>
      <w:r w:rsidR="00F32B28" w:rsidRPr="00F32B28">
        <w:rPr>
          <w:rtl/>
          <w:lang w:bidi="ar-SY"/>
        </w:rPr>
        <w:t>يرافق</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آثار</w:t>
      </w:r>
      <w:r w:rsidR="00F32B28">
        <w:rPr>
          <w:rtl/>
          <w:lang w:bidi="ar-SY"/>
        </w:rPr>
        <w:t xml:space="preserve"> </w:t>
      </w:r>
      <w:r w:rsidR="00F32B28" w:rsidRPr="00F32B28">
        <w:rPr>
          <w:rtl/>
          <w:lang w:bidi="ar-SY"/>
        </w:rPr>
        <w:t>نفسية.</w:t>
      </w:r>
      <w:r w:rsidR="00F32B28">
        <w:rPr>
          <w:rtl/>
          <w:lang w:bidi="ar-SY"/>
        </w:rPr>
        <w:t xml:space="preserve"> </w:t>
      </w:r>
    </w:p>
    <w:p w:rsidR="00F32B28" w:rsidRPr="00F32B28" w:rsidRDefault="00851F93" w:rsidP="0001622C">
      <w:pPr>
        <w:pStyle w:val="SingleTxt"/>
        <w:rPr>
          <w:rtl/>
          <w:lang w:bidi="ar-SY"/>
        </w:rPr>
      </w:pPr>
      <w:r>
        <w:rPr>
          <w:rFonts w:hint="cs"/>
          <w:rtl/>
          <w:lang w:bidi="ar-SY"/>
        </w:rPr>
        <w:t xml:space="preserve">273 - </w:t>
      </w:r>
      <w:r w:rsidR="00F32B28" w:rsidRPr="00F32B28">
        <w:rPr>
          <w:rtl/>
          <w:lang w:bidi="ar-SY"/>
        </w:rPr>
        <w:t>كما</w:t>
      </w:r>
      <w:r w:rsidR="00F32B28">
        <w:rPr>
          <w:rtl/>
          <w:lang w:bidi="ar-SY"/>
        </w:rPr>
        <w:t xml:space="preserve"> </w:t>
      </w:r>
      <w:r w:rsidR="00F32B28" w:rsidRPr="00F32B28">
        <w:rPr>
          <w:rtl/>
          <w:lang w:bidi="ar-SY"/>
        </w:rPr>
        <w:t>أشار</w:t>
      </w:r>
      <w:r w:rsidR="00F32B28">
        <w:rPr>
          <w:rtl/>
          <w:lang w:bidi="ar-SY"/>
        </w:rPr>
        <w:t xml:space="preserve"> </w:t>
      </w:r>
      <w:r w:rsidR="00F32B28" w:rsidRPr="00F32B28">
        <w:rPr>
          <w:rtl/>
        </w:rPr>
        <w:t>مكتب</w:t>
      </w:r>
      <w:r w:rsidR="00F32B28">
        <w:rPr>
          <w:rtl/>
        </w:rPr>
        <w:t xml:space="preserve"> </w:t>
      </w:r>
      <w:r w:rsidR="00F32B28" w:rsidRPr="00F32B28">
        <w:rPr>
          <w:rtl/>
        </w:rPr>
        <w:t>تنسيق</w:t>
      </w:r>
      <w:r w:rsidR="00F32B28">
        <w:rPr>
          <w:rtl/>
        </w:rPr>
        <w:t xml:space="preserve"> </w:t>
      </w:r>
      <w:r w:rsidR="00F32B28" w:rsidRPr="00F32B28">
        <w:rPr>
          <w:rtl/>
        </w:rPr>
        <w:t>الشؤون</w:t>
      </w:r>
      <w:r w:rsidR="00F32B28">
        <w:rPr>
          <w:rtl/>
        </w:rPr>
        <w:t xml:space="preserve"> </w:t>
      </w:r>
      <w:r w:rsidR="00F32B28" w:rsidRPr="00F32B28">
        <w:rPr>
          <w:rtl/>
        </w:rPr>
        <w:t>الإنسانية</w:t>
      </w:r>
      <w:r w:rsidR="00F32B28">
        <w:rPr>
          <w:rtl/>
        </w:rPr>
        <w:t xml:space="preserve"> </w:t>
      </w:r>
      <w:r w:rsidR="00F32B28" w:rsidRPr="00F32B28">
        <w:rPr>
          <w:rtl/>
          <w:lang w:bidi="ar-SY"/>
        </w:rPr>
        <w:t>بأن</w:t>
      </w:r>
      <w:r w:rsidR="00F32B28">
        <w:rPr>
          <w:rtl/>
          <w:lang w:bidi="ar-SY"/>
        </w:rPr>
        <w:t xml:space="preserve"> </w:t>
      </w:r>
      <w:r w:rsidR="00F32B28" w:rsidRPr="00F32B28">
        <w:rPr>
          <w:rtl/>
          <w:lang w:bidi="ar-SY"/>
        </w:rPr>
        <w:t>مجموع</w:t>
      </w:r>
      <w:r w:rsidR="00F32B28">
        <w:rPr>
          <w:rtl/>
          <w:lang w:bidi="ar-SY"/>
        </w:rPr>
        <w:t xml:space="preserve"> </w:t>
      </w:r>
      <w:r w:rsidR="00F32B28" w:rsidRPr="00F32B28">
        <w:rPr>
          <w:rtl/>
          <w:lang w:bidi="ar-SY"/>
        </w:rPr>
        <w:t>المنازل</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هدمتها</w:t>
      </w:r>
      <w:r w:rsidR="00F32B28">
        <w:rPr>
          <w:rtl/>
          <w:lang w:bidi="ar-SY"/>
        </w:rPr>
        <w:t xml:space="preserve"> </w:t>
      </w:r>
      <w:r w:rsidR="00F32B28" w:rsidRPr="00F32B28">
        <w:rPr>
          <w:rtl/>
          <w:lang w:bidi="ar-SY"/>
        </w:rPr>
        <w:t>قوات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rPr>
        <w:t>القدس</w:t>
      </w:r>
      <w:r w:rsidR="00F32B28">
        <w:rPr>
          <w:rtl/>
        </w:rPr>
        <w:t xml:space="preserve"> </w:t>
      </w:r>
      <w:r w:rsidR="00F32B28" w:rsidRPr="00F32B28">
        <w:rPr>
          <w:rtl/>
        </w:rPr>
        <w:t>الشرقية</w:t>
      </w:r>
      <w:r w:rsidR="00F32B28">
        <w:rPr>
          <w:rtl/>
          <w:lang w:bidi="ar-SY"/>
        </w:rPr>
        <w:t xml:space="preserve"> </w:t>
      </w:r>
      <w:r w:rsidR="00F32B28" w:rsidRPr="00F32B28">
        <w:rPr>
          <w:rtl/>
          <w:lang w:bidi="ar-SY"/>
        </w:rPr>
        <w:t>منذ</w:t>
      </w:r>
      <w:r w:rsidR="00F32B28">
        <w:rPr>
          <w:rtl/>
          <w:lang w:bidi="ar-SY"/>
        </w:rPr>
        <w:t xml:space="preserve"> </w:t>
      </w:r>
      <w:r w:rsidR="00F32B28" w:rsidRPr="00F32B28">
        <w:rPr>
          <w:rtl/>
          <w:lang w:bidi="ar-SY"/>
        </w:rPr>
        <w:t>العام</w:t>
      </w:r>
      <w:r w:rsidR="00F32B28">
        <w:rPr>
          <w:rtl/>
          <w:lang w:bidi="ar-SY"/>
        </w:rPr>
        <w:t xml:space="preserve"> </w:t>
      </w:r>
      <w:r w:rsidR="00F32B28" w:rsidRPr="00F32B28">
        <w:rPr>
          <w:rtl/>
          <w:lang w:bidi="ar-SY"/>
        </w:rPr>
        <w:t>1967</w:t>
      </w:r>
      <w:r w:rsidR="00F32B28">
        <w:rPr>
          <w:rtl/>
          <w:lang w:bidi="ar-SY"/>
        </w:rPr>
        <w:t xml:space="preserve"> </w:t>
      </w:r>
      <w:r w:rsidR="00F32B28" w:rsidRPr="00F32B28">
        <w:rPr>
          <w:rtl/>
          <w:lang w:bidi="ar-SY"/>
        </w:rPr>
        <w:t>وحتى</w:t>
      </w:r>
      <w:r w:rsidR="00F32B28">
        <w:rPr>
          <w:rtl/>
          <w:lang w:bidi="ar-SY"/>
        </w:rPr>
        <w:t xml:space="preserve"> </w:t>
      </w:r>
      <w:r w:rsidR="00F32B28" w:rsidRPr="00F32B28">
        <w:rPr>
          <w:rtl/>
          <w:lang w:bidi="ar-SY"/>
        </w:rPr>
        <w:t>2014</w:t>
      </w:r>
      <w:r w:rsidR="00F32B28">
        <w:rPr>
          <w:rtl/>
          <w:lang w:bidi="ar-SY"/>
        </w:rPr>
        <w:t xml:space="preserve"> </w:t>
      </w:r>
      <w:r w:rsidR="00F32B28" w:rsidRPr="00F32B28">
        <w:rPr>
          <w:rtl/>
          <w:lang w:bidi="ar-SY"/>
        </w:rPr>
        <w:t>قد</w:t>
      </w:r>
      <w:r w:rsidR="00F32B28">
        <w:rPr>
          <w:rtl/>
          <w:lang w:bidi="ar-SY"/>
        </w:rPr>
        <w:t xml:space="preserve"> </w:t>
      </w:r>
      <w:r w:rsidR="00F32B28" w:rsidRPr="00F32B28">
        <w:rPr>
          <w:rtl/>
          <w:lang w:bidi="ar-SY"/>
        </w:rPr>
        <w:t>بلغ</w:t>
      </w:r>
      <w:r w:rsidR="00F32B28">
        <w:rPr>
          <w:rtl/>
          <w:lang w:bidi="ar-SY"/>
        </w:rPr>
        <w:t xml:space="preserve"> </w:t>
      </w:r>
      <w:r w:rsidR="004C698D">
        <w:rPr>
          <w:rFonts w:hint="cs"/>
          <w:rtl/>
          <w:lang w:bidi="ar-SY"/>
        </w:rPr>
        <w:t>000 2</w:t>
      </w:r>
      <w:r w:rsidR="00F32B28">
        <w:rPr>
          <w:rtl/>
          <w:lang w:bidi="ar-SY"/>
        </w:rPr>
        <w:t xml:space="preserve"> </w:t>
      </w:r>
      <w:r w:rsidR="00F32B28" w:rsidRPr="00F32B28">
        <w:rPr>
          <w:rtl/>
          <w:lang w:bidi="ar-SY"/>
        </w:rPr>
        <w:t>منزلاً؛</w:t>
      </w:r>
      <w:r w:rsidR="00F32B28">
        <w:rPr>
          <w:rtl/>
          <w:lang w:bidi="ar-SY"/>
        </w:rPr>
        <w:t xml:space="preserve"> </w:t>
      </w:r>
      <w:r w:rsidR="00F32B28" w:rsidRPr="00F32B28">
        <w:rPr>
          <w:rtl/>
          <w:lang w:bidi="ar-SY"/>
        </w:rPr>
        <w:t>مما</w:t>
      </w:r>
      <w:r w:rsidR="00F32B28">
        <w:rPr>
          <w:rtl/>
          <w:lang w:bidi="ar-SY"/>
        </w:rPr>
        <w:t xml:space="preserve"> </w:t>
      </w:r>
      <w:r w:rsidR="00F32B28" w:rsidRPr="00F32B28">
        <w:rPr>
          <w:rtl/>
          <w:lang w:bidi="ar-SY"/>
        </w:rPr>
        <w:t>أسفر</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تشريد</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يقارب</w:t>
      </w:r>
      <w:r w:rsidR="00F32B28">
        <w:rPr>
          <w:rtl/>
          <w:lang w:bidi="ar-SY"/>
        </w:rPr>
        <w:t xml:space="preserve"> </w:t>
      </w:r>
      <w:r w:rsidR="0001622C">
        <w:rPr>
          <w:rFonts w:hint="cs"/>
          <w:rtl/>
          <w:lang w:bidi="ar-SY"/>
        </w:rPr>
        <w:t xml:space="preserve">419 5 </w:t>
      </w:r>
      <w:r w:rsidR="00F32B28">
        <w:rPr>
          <w:rtl/>
          <w:lang w:bidi="ar-SY"/>
        </w:rPr>
        <w:t xml:space="preserve"> </w:t>
      </w:r>
      <w:r w:rsidR="00F32B28" w:rsidRPr="00F32B28">
        <w:rPr>
          <w:rtl/>
          <w:lang w:bidi="ar-SY"/>
        </w:rPr>
        <w:t>شخصاً،</w:t>
      </w:r>
      <w:r w:rsidR="00F32B28">
        <w:rPr>
          <w:rtl/>
          <w:lang w:bidi="ar-SY"/>
        </w:rPr>
        <w:t xml:space="preserve"> </w:t>
      </w:r>
      <w:r w:rsidR="00F32B28" w:rsidRPr="00F32B28">
        <w:rPr>
          <w:rtl/>
          <w:lang w:bidi="ar-SY"/>
        </w:rPr>
        <w:t>منهم</w:t>
      </w:r>
      <w:r w:rsidR="0001622C">
        <w:rPr>
          <w:rFonts w:hint="cs"/>
          <w:rtl/>
          <w:lang w:bidi="ar-SY"/>
        </w:rPr>
        <w:t xml:space="preserve"> 832 2 </w:t>
      </w:r>
      <w:r w:rsidR="00F32B28" w:rsidRPr="00F32B28">
        <w:rPr>
          <w:rtl/>
          <w:lang w:bidi="ar-SY"/>
        </w:rPr>
        <w:t>طفلًا،</w:t>
      </w:r>
      <w:r w:rsidR="00F32B28">
        <w:rPr>
          <w:rtl/>
          <w:lang w:bidi="ar-SY"/>
        </w:rPr>
        <w:t xml:space="preserve"> </w:t>
      </w:r>
      <w:r w:rsidR="00F32B28" w:rsidRPr="00F32B28">
        <w:rPr>
          <w:rtl/>
          <w:lang w:bidi="ar-SY"/>
        </w:rPr>
        <w:t>و</w:t>
      </w:r>
      <w:r w:rsidR="004C698D">
        <w:rPr>
          <w:rFonts w:hint="cs"/>
          <w:rtl/>
          <w:lang w:bidi="ar-SY"/>
        </w:rPr>
        <w:t xml:space="preserve"> 423 1 </w:t>
      </w:r>
      <w:r w:rsidR="00F32B28" w:rsidRPr="00F32B28">
        <w:rPr>
          <w:rtl/>
          <w:lang w:bidi="ar-SY"/>
        </w:rPr>
        <w:t>امرأة.</w:t>
      </w:r>
      <w:r w:rsidR="00F32B28">
        <w:rPr>
          <w:rtl/>
          <w:lang w:bidi="ar-SY"/>
        </w:rPr>
        <w:t xml:space="preserve"> </w:t>
      </w:r>
      <w:r w:rsidR="00F32B28" w:rsidRPr="00F32B28">
        <w:rPr>
          <w:rtl/>
          <w:lang w:bidi="ar-SY"/>
        </w:rPr>
        <w:t>وغالباً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تتم</w:t>
      </w:r>
      <w:r w:rsidR="00F32B28">
        <w:rPr>
          <w:rtl/>
          <w:lang w:bidi="ar-SY"/>
        </w:rPr>
        <w:t xml:space="preserve"> </w:t>
      </w:r>
      <w:r w:rsidR="00F32B28" w:rsidRPr="00F32B28">
        <w:rPr>
          <w:rtl/>
          <w:lang w:bidi="ar-SY"/>
        </w:rPr>
        <w:t>عمليات</w:t>
      </w:r>
      <w:r w:rsidR="00F32B28">
        <w:rPr>
          <w:rtl/>
          <w:lang w:bidi="ar-SY"/>
        </w:rPr>
        <w:t xml:space="preserve"> </w:t>
      </w:r>
      <w:r w:rsidR="00F32B28" w:rsidRPr="00F32B28">
        <w:rPr>
          <w:rtl/>
          <w:lang w:bidi="ar-SY"/>
        </w:rPr>
        <w:t>هدم</w:t>
      </w:r>
      <w:r w:rsidR="00F32B28">
        <w:rPr>
          <w:rtl/>
          <w:lang w:bidi="ar-SY"/>
        </w:rPr>
        <w:t xml:space="preserve"> </w:t>
      </w:r>
      <w:r w:rsidR="00F32B28" w:rsidRPr="00F32B28">
        <w:rPr>
          <w:rtl/>
          <w:lang w:bidi="ar-SY"/>
        </w:rPr>
        <w:t>البيوت</w:t>
      </w:r>
      <w:r w:rsidR="00F32B28">
        <w:rPr>
          <w:rtl/>
          <w:lang w:bidi="ar-SY"/>
        </w:rPr>
        <w:t xml:space="preserve"> </w:t>
      </w:r>
      <w:r w:rsidR="00F32B28" w:rsidRPr="00F32B28">
        <w:rPr>
          <w:rtl/>
          <w:lang w:bidi="ar-SY"/>
        </w:rPr>
        <w:t>باستخدام</w:t>
      </w:r>
      <w:r w:rsidR="00F32B28">
        <w:rPr>
          <w:rtl/>
          <w:lang w:bidi="ar-SY"/>
        </w:rPr>
        <w:t xml:space="preserve"> </w:t>
      </w:r>
      <w:r w:rsidR="00F32B28" w:rsidRPr="00F32B28">
        <w:rPr>
          <w:rtl/>
          <w:lang w:bidi="ar-SY"/>
        </w:rPr>
        <w:t>الجرافات،</w:t>
      </w:r>
      <w:r w:rsidR="00F32B28">
        <w:rPr>
          <w:rtl/>
          <w:lang w:bidi="ar-SY"/>
        </w:rPr>
        <w:t xml:space="preserve"> </w:t>
      </w:r>
      <w:r w:rsidR="00F32B28" w:rsidRPr="00F32B28">
        <w:rPr>
          <w:rtl/>
          <w:lang w:bidi="ar-SY"/>
        </w:rPr>
        <w:t>ويتخللها</w:t>
      </w:r>
      <w:r w:rsidR="00F32B28">
        <w:rPr>
          <w:rtl/>
          <w:lang w:bidi="ar-SY"/>
        </w:rPr>
        <w:t xml:space="preserve"> </w:t>
      </w:r>
      <w:r w:rsidR="00F32B28" w:rsidRPr="00F32B28">
        <w:rPr>
          <w:rtl/>
          <w:lang w:bidi="ar-SY"/>
        </w:rPr>
        <w:t>اعتداءات</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سلطات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السكان</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محاولتهم</w:t>
      </w:r>
      <w:r w:rsidR="00F32B28">
        <w:rPr>
          <w:rtl/>
          <w:lang w:bidi="ar-SY"/>
        </w:rPr>
        <w:t xml:space="preserve"> </w:t>
      </w:r>
      <w:r w:rsidR="00F32B28" w:rsidRPr="00F32B28">
        <w:rPr>
          <w:rtl/>
          <w:lang w:bidi="ar-SY"/>
        </w:rPr>
        <w:t>حماية</w:t>
      </w:r>
      <w:r w:rsidR="00F32B28">
        <w:rPr>
          <w:rtl/>
          <w:lang w:bidi="ar-SY"/>
        </w:rPr>
        <w:t xml:space="preserve"> </w:t>
      </w:r>
      <w:r w:rsidR="00F32B28" w:rsidRPr="00F32B28">
        <w:rPr>
          <w:rtl/>
          <w:lang w:bidi="ar-SY"/>
        </w:rPr>
        <w:t>مسكنهم</w:t>
      </w:r>
      <w:r w:rsidR="00F32B28">
        <w:rPr>
          <w:rtl/>
          <w:lang w:bidi="ar-SY"/>
        </w:rPr>
        <w:t xml:space="preserve"> </w:t>
      </w:r>
      <w:r w:rsidR="00F32B28" w:rsidRPr="00F32B28">
        <w:rPr>
          <w:rtl/>
          <w:lang w:bidi="ar-SY"/>
        </w:rPr>
        <w:t>ومنع</w:t>
      </w:r>
      <w:r w:rsidR="00F32B28">
        <w:rPr>
          <w:rtl/>
          <w:lang w:bidi="ar-SY"/>
        </w:rPr>
        <w:t xml:space="preserve"> </w:t>
      </w:r>
      <w:r w:rsidR="00F32B28" w:rsidRPr="00F32B28">
        <w:rPr>
          <w:rtl/>
          <w:lang w:bidi="ar-SY"/>
        </w:rPr>
        <w:t>هدمه.</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بدأت</w:t>
      </w:r>
      <w:r w:rsidR="00F32B28">
        <w:rPr>
          <w:rtl/>
          <w:lang w:bidi="ar-SY"/>
        </w:rPr>
        <w:t xml:space="preserve"> </w:t>
      </w:r>
      <w:r w:rsidR="00F32B28" w:rsidRPr="00F32B28">
        <w:rPr>
          <w:rtl/>
          <w:lang w:bidi="ar-SY"/>
        </w:rPr>
        <w:t>سلطات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السنوات</w:t>
      </w:r>
      <w:r w:rsidR="00F32B28">
        <w:rPr>
          <w:rtl/>
          <w:lang w:bidi="ar-SY"/>
        </w:rPr>
        <w:t xml:space="preserve"> </w:t>
      </w:r>
      <w:r w:rsidR="00F32B28" w:rsidRPr="00F32B28">
        <w:rPr>
          <w:rtl/>
          <w:lang w:bidi="ar-SY"/>
        </w:rPr>
        <w:t>الأخيرة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إجبار</w:t>
      </w:r>
      <w:r w:rsidR="00F32B28">
        <w:rPr>
          <w:rtl/>
          <w:lang w:bidi="ar-SY"/>
        </w:rPr>
        <w:t xml:space="preserve"> </w:t>
      </w:r>
      <w:r w:rsidR="00F32B28" w:rsidRPr="00F32B28">
        <w:rPr>
          <w:rtl/>
          <w:lang w:bidi="ar-SY"/>
        </w:rPr>
        <w:t>السكان</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هدم</w:t>
      </w:r>
      <w:r w:rsidR="00F32B28">
        <w:rPr>
          <w:rtl/>
          <w:lang w:bidi="ar-SY"/>
        </w:rPr>
        <w:t xml:space="preserve"> </w:t>
      </w:r>
      <w:r w:rsidR="00F32B28" w:rsidRPr="00F32B28">
        <w:rPr>
          <w:rtl/>
          <w:lang w:bidi="ar-SY"/>
        </w:rPr>
        <w:t>مساكنهم</w:t>
      </w:r>
      <w:r w:rsidR="00F32B28">
        <w:rPr>
          <w:rtl/>
          <w:lang w:bidi="ar-SY"/>
        </w:rPr>
        <w:t xml:space="preserve"> </w:t>
      </w:r>
      <w:r w:rsidR="00F32B28" w:rsidRPr="00F32B28">
        <w:rPr>
          <w:rtl/>
          <w:lang w:bidi="ar-SY"/>
        </w:rPr>
        <w:t>بأيديهم</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نفقتهم</w:t>
      </w:r>
      <w:r w:rsidR="00F32B28">
        <w:rPr>
          <w:rtl/>
          <w:lang w:bidi="ar-SY"/>
        </w:rPr>
        <w:t xml:space="preserve"> </w:t>
      </w:r>
      <w:r w:rsidR="00F32B28" w:rsidRPr="00F32B28">
        <w:rPr>
          <w:rtl/>
          <w:lang w:bidi="ar-SY"/>
        </w:rPr>
        <w:t>الخاصة.</w:t>
      </w:r>
      <w:r>
        <w:rPr>
          <w:rFonts w:hint="cs"/>
          <w:rtl/>
          <w:lang w:bidi="ar-SY"/>
        </w:rPr>
        <w:t xml:space="preserve"> </w:t>
      </w:r>
      <w:r w:rsidR="00F32B28" w:rsidRPr="00F32B28">
        <w:rPr>
          <w:rFonts w:hint="cs"/>
          <w:rtl/>
          <w:lang w:bidi="ar-SY"/>
        </w:rPr>
        <w:t>وقد</w:t>
      </w:r>
      <w:r w:rsidR="00F32B28">
        <w:rPr>
          <w:rFonts w:hint="cs"/>
          <w:rtl/>
          <w:lang w:bidi="ar-SY"/>
        </w:rPr>
        <w:t xml:space="preserve"> </w:t>
      </w:r>
      <w:r w:rsidR="00F32B28" w:rsidRPr="00F32B28">
        <w:rPr>
          <w:rFonts w:hint="cs"/>
          <w:rtl/>
          <w:lang w:bidi="ar-SY"/>
        </w:rPr>
        <w:t>تصاعدت</w:t>
      </w:r>
      <w:r w:rsidR="00F32B28">
        <w:rPr>
          <w:rFonts w:hint="cs"/>
          <w:rtl/>
          <w:lang w:bidi="ar-SY"/>
        </w:rPr>
        <w:t xml:space="preserve"> </w:t>
      </w:r>
      <w:r w:rsidR="00F32B28" w:rsidRPr="00F32B28">
        <w:rPr>
          <w:rFonts w:hint="cs"/>
          <w:rtl/>
          <w:lang w:bidi="ar-SY"/>
        </w:rPr>
        <w:t>وتيرة</w:t>
      </w:r>
      <w:r w:rsidR="00F32B28">
        <w:rPr>
          <w:rFonts w:hint="cs"/>
          <w:rtl/>
          <w:lang w:bidi="ar-SY"/>
        </w:rPr>
        <w:t xml:space="preserve"> </w:t>
      </w:r>
      <w:r w:rsidR="00F32B28" w:rsidRPr="00F32B28">
        <w:rPr>
          <w:rFonts w:hint="cs"/>
          <w:rtl/>
          <w:lang w:bidi="ar-SY"/>
        </w:rPr>
        <w:t>جرائم</w:t>
      </w:r>
      <w:r w:rsidR="00F32B28">
        <w:rPr>
          <w:rFonts w:hint="cs"/>
          <w:rtl/>
          <w:lang w:bidi="ar-SY"/>
        </w:rPr>
        <w:t xml:space="preserve"> </w:t>
      </w:r>
      <w:r w:rsidR="00F32B28" w:rsidRPr="00F32B28">
        <w:rPr>
          <w:rFonts w:hint="cs"/>
          <w:rtl/>
          <w:lang w:bidi="ar-SY"/>
        </w:rPr>
        <w:t>الاحتلال</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هدم</w:t>
      </w:r>
      <w:r w:rsidR="00F32B28">
        <w:rPr>
          <w:rFonts w:hint="cs"/>
          <w:rtl/>
          <w:lang w:bidi="ar-SY"/>
        </w:rPr>
        <w:t xml:space="preserve"> </w:t>
      </w:r>
      <w:r w:rsidR="00F32B28" w:rsidRPr="00F32B28">
        <w:rPr>
          <w:rFonts w:hint="cs"/>
          <w:rtl/>
          <w:lang w:bidi="ar-SY"/>
        </w:rPr>
        <w:t>منازل</w:t>
      </w:r>
      <w:r w:rsidR="00F32B28">
        <w:rPr>
          <w:rFonts w:hint="cs"/>
          <w:rtl/>
          <w:lang w:bidi="ar-SY"/>
        </w:rPr>
        <w:t xml:space="preserve"> </w:t>
      </w:r>
      <w:r w:rsidR="00F32B28" w:rsidRPr="00F32B28">
        <w:rPr>
          <w:rFonts w:hint="cs"/>
          <w:rtl/>
          <w:lang w:bidi="ar-SY"/>
        </w:rPr>
        <w:t>الفلسطينيين</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الأعوام</w:t>
      </w:r>
      <w:r w:rsidR="00F32B28">
        <w:rPr>
          <w:rFonts w:hint="cs"/>
          <w:rtl/>
          <w:lang w:bidi="ar-SY"/>
        </w:rPr>
        <w:t xml:space="preserve"> </w:t>
      </w:r>
      <w:r w:rsidR="00F32B28" w:rsidRPr="00F32B28">
        <w:rPr>
          <w:rFonts w:hint="cs"/>
          <w:rtl/>
          <w:lang w:bidi="ar-SY"/>
        </w:rPr>
        <w:t>الأخيرة،</w:t>
      </w:r>
      <w:r w:rsidR="00F32B28">
        <w:rPr>
          <w:rFonts w:hint="cs"/>
          <w:rtl/>
          <w:lang w:bidi="ar-SY"/>
        </w:rPr>
        <w:t xml:space="preserve"> </w:t>
      </w:r>
      <w:r w:rsidR="00F32B28" w:rsidRPr="00F32B28">
        <w:rPr>
          <w:rFonts w:hint="cs"/>
          <w:rtl/>
          <w:lang w:bidi="ar-SY"/>
        </w:rPr>
        <w:t>حيث</w:t>
      </w:r>
      <w:r w:rsidR="00F32B28">
        <w:rPr>
          <w:rFonts w:hint="cs"/>
          <w:rtl/>
          <w:lang w:bidi="ar-SY"/>
        </w:rPr>
        <w:t xml:space="preserve"> </w:t>
      </w:r>
      <w:r w:rsidR="00F32B28" w:rsidRPr="00F32B28">
        <w:rPr>
          <w:rFonts w:hint="cs"/>
          <w:rtl/>
          <w:lang w:bidi="ar-SY"/>
        </w:rPr>
        <w:t>بلغ</w:t>
      </w:r>
      <w:r w:rsidR="00F32B28">
        <w:rPr>
          <w:rFonts w:hint="cs"/>
          <w:rtl/>
          <w:lang w:bidi="ar-SY"/>
        </w:rPr>
        <w:t xml:space="preserve"> </w:t>
      </w:r>
      <w:r w:rsidR="00F32B28" w:rsidRPr="00F32B28">
        <w:rPr>
          <w:rFonts w:hint="cs"/>
          <w:rtl/>
          <w:lang w:bidi="ar-SY"/>
        </w:rPr>
        <w:t>مجموع</w:t>
      </w:r>
      <w:r w:rsidR="00F32B28">
        <w:rPr>
          <w:rFonts w:hint="cs"/>
          <w:rtl/>
          <w:lang w:bidi="ar-SY"/>
        </w:rPr>
        <w:t xml:space="preserve"> </w:t>
      </w:r>
      <w:r w:rsidR="00F32B28" w:rsidRPr="00F32B28">
        <w:rPr>
          <w:rFonts w:hint="cs"/>
          <w:rtl/>
          <w:lang w:bidi="ar-SY"/>
        </w:rPr>
        <w:t>المنازل</w:t>
      </w:r>
      <w:r w:rsidR="00F32B28">
        <w:rPr>
          <w:rFonts w:hint="cs"/>
          <w:rtl/>
          <w:lang w:bidi="ar-SY"/>
        </w:rPr>
        <w:t xml:space="preserve"> </w:t>
      </w:r>
      <w:r w:rsidR="00F32B28" w:rsidRPr="00F32B28">
        <w:rPr>
          <w:rFonts w:hint="cs"/>
          <w:rtl/>
          <w:lang w:bidi="ar-SY"/>
        </w:rPr>
        <w:t>التي</w:t>
      </w:r>
      <w:r w:rsidR="00F32B28">
        <w:rPr>
          <w:rFonts w:hint="cs"/>
          <w:rtl/>
          <w:lang w:bidi="ar-SY"/>
        </w:rPr>
        <w:t xml:space="preserve"> </w:t>
      </w:r>
      <w:r w:rsidR="00F32B28" w:rsidRPr="00F32B28">
        <w:rPr>
          <w:rFonts w:hint="cs"/>
          <w:rtl/>
          <w:lang w:bidi="ar-SY"/>
        </w:rPr>
        <w:t>هدمتها</w:t>
      </w:r>
      <w:r w:rsidR="00F32B28">
        <w:rPr>
          <w:rFonts w:hint="cs"/>
          <w:rtl/>
          <w:lang w:bidi="ar-SY"/>
        </w:rPr>
        <w:t xml:space="preserve"> </w:t>
      </w:r>
      <w:r w:rsidR="00F32B28" w:rsidRPr="00F32B28">
        <w:rPr>
          <w:rFonts w:hint="cs"/>
          <w:rtl/>
          <w:lang w:bidi="ar-SY"/>
        </w:rPr>
        <w:t>قوات</w:t>
      </w:r>
      <w:r w:rsidR="00F32B28">
        <w:rPr>
          <w:rFonts w:hint="cs"/>
          <w:rtl/>
          <w:lang w:bidi="ar-SY"/>
        </w:rPr>
        <w:t xml:space="preserve"> </w:t>
      </w:r>
      <w:r w:rsidR="00F32B28" w:rsidRPr="00F32B28">
        <w:rPr>
          <w:rFonts w:hint="cs"/>
          <w:rtl/>
          <w:lang w:bidi="ar-SY"/>
        </w:rPr>
        <w:t>الاحتلال</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الضفة</w:t>
      </w:r>
      <w:r w:rsidR="00F32B28">
        <w:rPr>
          <w:rFonts w:hint="cs"/>
          <w:rtl/>
          <w:lang w:bidi="ar-SY"/>
        </w:rPr>
        <w:t xml:space="preserve"> </w:t>
      </w:r>
      <w:r w:rsidR="00F32B28" w:rsidRPr="00F32B28">
        <w:rPr>
          <w:rFonts w:hint="cs"/>
          <w:rtl/>
          <w:lang w:bidi="ar-SY"/>
        </w:rPr>
        <w:t>الغربية</w:t>
      </w:r>
      <w:r w:rsidR="00F32B28">
        <w:rPr>
          <w:rFonts w:hint="cs"/>
          <w:rtl/>
          <w:lang w:bidi="ar-SY"/>
        </w:rPr>
        <w:t xml:space="preserve"> </w:t>
      </w:r>
      <w:r w:rsidR="00F32B28" w:rsidRPr="00F32B28">
        <w:rPr>
          <w:rFonts w:hint="cs"/>
          <w:rtl/>
          <w:lang w:bidi="ar-SY"/>
        </w:rPr>
        <w:t>حوالي</w:t>
      </w:r>
      <w:r w:rsidR="00F32B28">
        <w:rPr>
          <w:rFonts w:hint="cs"/>
          <w:rtl/>
          <w:lang w:bidi="ar-SY"/>
        </w:rPr>
        <w:t xml:space="preserve"> </w:t>
      </w:r>
      <w:r w:rsidR="00F32B28" w:rsidRPr="00F32B28">
        <w:rPr>
          <w:rFonts w:hint="cs"/>
          <w:rtl/>
          <w:lang w:bidi="ar-SY"/>
        </w:rPr>
        <w:t>(550)</w:t>
      </w:r>
      <w:r w:rsidR="00F32B28">
        <w:rPr>
          <w:rFonts w:hint="cs"/>
          <w:rtl/>
          <w:lang w:bidi="ar-SY"/>
        </w:rPr>
        <w:t xml:space="preserve"> </w:t>
      </w:r>
      <w:r w:rsidR="00F32B28" w:rsidRPr="00F32B28">
        <w:rPr>
          <w:rFonts w:hint="cs"/>
          <w:rtl/>
          <w:lang w:bidi="ar-SY"/>
        </w:rPr>
        <w:t>منزلاً</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عام</w:t>
      </w:r>
      <w:r w:rsidR="00F32B28">
        <w:rPr>
          <w:rFonts w:hint="cs"/>
          <w:rtl/>
          <w:lang w:bidi="ar-SY"/>
        </w:rPr>
        <w:t xml:space="preserve"> </w:t>
      </w:r>
      <w:r w:rsidR="00F32B28" w:rsidRPr="00F32B28">
        <w:rPr>
          <w:rFonts w:hint="cs"/>
          <w:rtl/>
          <w:lang w:bidi="ar-SY"/>
        </w:rPr>
        <w:t>2015،</w:t>
      </w:r>
      <w:r w:rsidR="00F32B28">
        <w:rPr>
          <w:rFonts w:hint="cs"/>
          <w:rtl/>
          <w:lang w:bidi="ar-SY"/>
        </w:rPr>
        <w:t xml:space="preserve"> </w:t>
      </w:r>
      <w:r w:rsidR="00F32B28" w:rsidRPr="00F32B28">
        <w:rPr>
          <w:rFonts w:hint="cs"/>
          <w:rtl/>
          <w:lang w:bidi="ar-SY"/>
        </w:rPr>
        <w:t>و</w:t>
      </w:r>
      <w:r w:rsidR="004B33D7">
        <w:rPr>
          <w:rFonts w:hint="cs"/>
          <w:rtl/>
          <w:lang w:bidi="ar-SY"/>
        </w:rPr>
        <w:t xml:space="preserve"> </w:t>
      </w:r>
      <w:r w:rsidR="00F32B28" w:rsidRPr="00F32B28">
        <w:rPr>
          <w:rFonts w:hint="cs"/>
          <w:rtl/>
          <w:lang w:bidi="ar-SY"/>
        </w:rPr>
        <w:t>(</w:t>
      </w:r>
      <w:r w:rsidR="004C698D">
        <w:rPr>
          <w:rFonts w:hint="cs"/>
          <w:rtl/>
          <w:lang w:bidi="ar-SY"/>
        </w:rPr>
        <w:t>094 1</w:t>
      </w:r>
      <w:r w:rsidR="00F32B28" w:rsidRPr="00F32B28">
        <w:rPr>
          <w:rFonts w:hint="cs"/>
          <w:rtl/>
          <w:lang w:bidi="ar-SY"/>
        </w:rPr>
        <w:t>)</w:t>
      </w:r>
      <w:r w:rsidR="00F32B28">
        <w:rPr>
          <w:rFonts w:hint="cs"/>
          <w:rtl/>
          <w:lang w:bidi="ar-SY"/>
        </w:rPr>
        <w:t xml:space="preserve"> </w:t>
      </w:r>
      <w:r w:rsidR="00F32B28" w:rsidRPr="00F32B28">
        <w:rPr>
          <w:rFonts w:hint="cs"/>
          <w:rtl/>
          <w:lang w:bidi="ar-SY"/>
        </w:rPr>
        <w:t>منزلاً</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عام</w:t>
      </w:r>
      <w:r w:rsidR="00F32B28">
        <w:rPr>
          <w:rFonts w:hint="cs"/>
          <w:rtl/>
          <w:lang w:bidi="ar-SY"/>
        </w:rPr>
        <w:t xml:space="preserve"> </w:t>
      </w:r>
      <w:r w:rsidR="00F32B28" w:rsidRPr="00F32B28">
        <w:rPr>
          <w:rFonts w:hint="cs"/>
          <w:rtl/>
          <w:lang w:bidi="ar-SY"/>
        </w:rPr>
        <w:t>2016،</w:t>
      </w:r>
      <w:r w:rsidR="00F32B28">
        <w:rPr>
          <w:rFonts w:hint="cs"/>
          <w:rtl/>
          <w:lang w:bidi="ar-SY"/>
        </w:rPr>
        <w:t xml:space="preserve"> </w:t>
      </w:r>
      <w:r w:rsidR="00F32B28" w:rsidRPr="00F32B28">
        <w:rPr>
          <w:rFonts w:hint="cs"/>
          <w:rtl/>
          <w:lang w:bidi="ar-SY"/>
        </w:rPr>
        <w:t>و</w:t>
      </w:r>
      <w:r w:rsidR="004B33D7">
        <w:rPr>
          <w:rFonts w:hint="cs"/>
          <w:rtl/>
          <w:lang w:bidi="ar-SY"/>
        </w:rPr>
        <w:t xml:space="preserve"> </w:t>
      </w:r>
      <w:r w:rsidR="00F32B28" w:rsidRPr="00F32B28">
        <w:rPr>
          <w:rFonts w:hint="cs"/>
          <w:rtl/>
          <w:lang w:bidi="ar-SY"/>
        </w:rPr>
        <w:t>(177)</w:t>
      </w:r>
      <w:r w:rsidR="00F32B28">
        <w:rPr>
          <w:rFonts w:hint="cs"/>
          <w:rtl/>
          <w:lang w:bidi="ar-SY"/>
        </w:rPr>
        <w:t xml:space="preserve"> </w:t>
      </w:r>
      <w:r w:rsidR="00F32B28" w:rsidRPr="00F32B28">
        <w:rPr>
          <w:rFonts w:hint="cs"/>
          <w:rtl/>
          <w:lang w:bidi="ar-SY"/>
        </w:rPr>
        <w:t>منزلاً</w:t>
      </w:r>
      <w:r w:rsidR="00F32B28">
        <w:rPr>
          <w:rFonts w:hint="cs"/>
          <w:rtl/>
          <w:lang w:bidi="ar-SY"/>
        </w:rPr>
        <w:t xml:space="preserve"> </w:t>
      </w:r>
      <w:r w:rsidR="00F32B28" w:rsidRPr="00F32B28">
        <w:rPr>
          <w:rFonts w:hint="cs"/>
          <w:rtl/>
          <w:lang w:bidi="ar-SY"/>
        </w:rPr>
        <w:t>في</w:t>
      </w:r>
      <w:r w:rsidR="00F32B28">
        <w:rPr>
          <w:rFonts w:hint="cs"/>
          <w:rtl/>
          <w:lang w:bidi="ar-SY"/>
        </w:rPr>
        <w:t xml:space="preserve"> </w:t>
      </w:r>
      <w:r w:rsidR="00F32B28" w:rsidRPr="00F32B28">
        <w:rPr>
          <w:rFonts w:hint="cs"/>
          <w:rtl/>
          <w:lang w:bidi="ar-SY"/>
        </w:rPr>
        <w:t>شهري</w:t>
      </w:r>
      <w:r w:rsidR="00F32B28">
        <w:rPr>
          <w:rFonts w:hint="cs"/>
          <w:rtl/>
          <w:lang w:bidi="ar-SY"/>
        </w:rPr>
        <w:t xml:space="preserve"> </w:t>
      </w:r>
      <w:r w:rsidR="000B4ABE">
        <w:rPr>
          <w:rFonts w:hint="cs"/>
          <w:rtl/>
          <w:lang w:bidi="ar-SY"/>
        </w:rPr>
        <w:t>كانون الثاني/</w:t>
      </w:r>
      <w:r w:rsidR="00F32B28" w:rsidRPr="00F32B28">
        <w:rPr>
          <w:rFonts w:hint="cs"/>
          <w:rtl/>
          <w:lang w:bidi="ar-SY"/>
        </w:rPr>
        <w:t>يناير</w:t>
      </w:r>
      <w:r w:rsidR="00F32B28">
        <w:rPr>
          <w:rFonts w:hint="cs"/>
          <w:rtl/>
          <w:lang w:bidi="ar-SY"/>
        </w:rPr>
        <w:t xml:space="preserve"> </w:t>
      </w:r>
      <w:r w:rsidR="00F32B28" w:rsidRPr="00F32B28">
        <w:rPr>
          <w:rFonts w:hint="cs"/>
          <w:rtl/>
          <w:lang w:bidi="ar-SY"/>
        </w:rPr>
        <w:t>وشباط</w:t>
      </w:r>
      <w:r w:rsidR="000B4ABE">
        <w:rPr>
          <w:rFonts w:hint="cs"/>
          <w:rtl/>
          <w:lang w:bidi="ar-SY"/>
        </w:rPr>
        <w:t>/فبراير</w:t>
      </w:r>
      <w:r w:rsidR="00F32B28">
        <w:rPr>
          <w:rFonts w:hint="cs"/>
          <w:rtl/>
          <w:lang w:bidi="ar-SY"/>
        </w:rPr>
        <w:t xml:space="preserve"> </w:t>
      </w:r>
      <w:r w:rsidR="00F32B28" w:rsidRPr="00F32B28">
        <w:rPr>
          <w:rFonts w:hint="cs"/>
          <w:rtl/>
          <w:lang w:bidi="ar-SY"/>
        </w:rPr>
        <w:t>من</w:t>
      </w:r>
      <w:r w:rsidR="00F32B28">
        <w:rPr>
          <w:rFonts w:hint="cs"/>
          <w:rtl/>
          <w:lang w:bidi="ar-SY"/>
        </w:rPr>
        <w:t xml:space="preserve"> </w:t>
      </w:r>
      <w:r w:rsidR="00F32B28" w:rsidRPr="00F32B28">
        <w:rPr>
          <w:rFonts w:hint="cs"/>
          <w:rtl/>
          <w:lang w:bidi="ar-SY"/>
        </w:rPr>
        <w:t>العام</w:t>
      </w:r>
      <w:r w:rsidR="00F32B28">
        <w:rPr>
          <w:rFonts w:hint="cs"/>
          <w:rtl/>
          <w:lang w:bidi="ar-SY"/>
        </w:rPr>
        <w:t xml:space="preserve"> </w:t>
      </w:r>
      <w:r w:rsidR="00F32B28" w:rsidRPr="00F32B28">
        <w:rPr>
          <w:rFonts w:hint="cs"/>
          <w:rtl/>
          <w:lang w:bidi="ar-SY"/>
        </w:rPr>
        <w:t>2017.</w:t>
      </w:r>
      <w:r w:rsidR="00F32B28">
        <w:rPr>
          <w:rFonts w:hint="cs"/>
          <w:rtl/>
          <w:lang w:bidi="ar-SY"/>
        </w:rPr>
        <w:t xml:space="preserve"> </w:t>
      </w:r>
    </w:p>
    <w:p w:rsidR="00F32B28" w:rsidRPr="00F32B28" w:rsidRDefault="00851F93" w:rsidP="00851F93">
      <w:pPr>
        <w:pStyle w:val="SingleTxt"/>
        <w:rPr>
          <w:rtl/>
        </w:rPr>
      </w:pPr>
      <w:r>
        <w:rPr>
          <w:rFonts w:hint="cs"/>
          <w:rtl/>
          <w:lang w:bidi="ar-SY"/>
        </w:rPr>
        <w:t xml:space="preserve">274 - </w:t>
      </w:r>
      <w:r w:rsidR="00F32B28" w:rsidRPr="00F32B28">
        <w:rPr>
          <w:rtl/>
          <w:lang w:bidi="ar-SY"/>
        </w:rPr>
        <w:t>كما</w:t>
      </w:r>
      <w:r w:rsidR="00F32B28">
        <w:rPr>
          <w:rtl/>
          <w:lang w:bidi="ar-SY"/>
        </w:rPr>
        <w:t xml:space="preserve"> </w:t>
      </w:r>
      <w:r w:rsidR="00F32B28" w:rsidRPr="00F32B28">
        <w:rPr>
          <w:rtl/>
          <w:lang w:bidi="ar-SY"/>
        </w:rPr>
        <w:t>تؤدي</w:t>
      </w:r>
      <w:r w:rsidR="00F32B28">
        <w:rPr>
          <w:rtl/>
          <w:lang w:bidi="ar-SY"/>
        </w:rPr>
        <w:t xml:space="preserve"> </w:t>
      </w:r>
      <w:r w:rsidR="00F32B28" w:rsidRPr="00F32B28">
        <w:rPr>
          <w:rtl/>
          <w:lang w:bidi="ar-SY"/>
        </w:rPr>
        <w:t>السيطرة</w:t>
      </w:r>
      <w:r w:rsidR="00F32B28">
        <w:rPr>
          <w:rtl/>
          <w:lang w:bidi="ar-SY"/>
        </w:rPr>
        <w:t xml:space="preserve"> </w:t>
      </w:r>
      <w:r w:rsidR="00F32B28" w:rsidRPr="00F32B28">
        <w:rPr>
          <w:rtl/>
          <w:lang w:bidi="ar-SY"/>
        </w:rPr>
        <w:t>الكاملة</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الشرعية</w:t>
      </w:r>
      <w:r w:rsidR="00F32B28">
        <w:rPr>
          <w:rtl/>
          <w:lang w:bidi="ar-SY"/>
        </w:rPr>
        <w:t xml:space="preserve"> </w:t>
      </w:r>
      <w:r w:rsidR="00F32B28" w:rsidRPr="00F32B28">
        <w:rPr>
          <w:rtl/>
          <w:lang w:bidi="ar-SY"/>
        </w:rPr>
        <w:t>لإسرائيل</w:t>
      </w:r>
      <w:r w:rsidR="00F32B28">
        <w:rPr>
          <w:rtl/>
          <w:lang w:bidi="ar-SY"/>
        </w:rPr>
        <w:t xml:space="preserve"> </w:t>
      </w:r>
      <w:r w:rsidR="00F32B28" w:rsidRPr="00F32B28">
        <w:rPr>
          <w:rtl/>
          <w:lang w:bidi="ar-SY"/>
        </w:rPr>
        <w:t>على</w:t>
      </w:r>
      <w:r w:rsidR="00F32B28" w:rsidRPr="00F32B28">
        <w:rPr>
          <w:rtl/>
        </w:rPr>
        <w:t>المناطق</w:t>
      </w:r>
      <w:r w:rsidR="00F32B28">
        <w:rPr>
          <w:rtl/>
        </w:rPr>
        <w:t xml:space="preserve"> </w:t>
      </w:r>
      <w:r w:rsidR="00F32B28" w:rsidRPr="00F32B28">
        <w:rPr>
          <w:rtl/>
        </w:rPr>
        <w:t>المسماة</w:t>
      </w:r>
      <w:r w:rsidR="00F32B28">
        <w:rPr>
          <w:rtl/>
        </w:rPr>
        <w:t xml:space="preserve"> </w:t>
      </w:r>
      <w:r w:rsidR="00F32B28" w:rsidRPr="00F32B28">
        <w:rPr>
          <w:rtl/>
        </w:rPr>
        <w:t>(ج</w:t>
      </w:r>
      <w:r w:rsidR="00F32B28" w:rsidRPr="00F32B28">
        <w:rPr>
          <w:rtl/>
          <w:lang w:bidi="ar-SY"/>
        </w:rPr>
        <w:t>)،</w:t>
      </w:r>
      <w:r w:rsidR="00F32B28">
        <w:rPr>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تمثل</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60</w:t>
      </w:r>
      <w:r>
        <w:rPr>
          <w:rFonts w:hint="cs"/>
          <w:rtl/>
          <w:lang w:bidi="ar-SY"/>
        </w:rPr>
        <w:t xml:space="preserve"> 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مساحة</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فرض</w:t>
      </w:r>
      <w:r w:rsidR="00F32B28">
        <w:rPr>
          <w:rtl/>
          <w:lang w:bidi="ar-SY"/>
        </w:rPr>
        <w:t xml:space="preserve"> </w:t>
      </w:r>
      <w:r w:rsidR="00F32B28" w:rsidRPr="00F32B28">
        <w:rPr>
          <w:rtl/>
          <w:lang w:bidi="ar-SY"/>
        </w:rPr>
        <w:t>قيود</w:t>
      </w:r>
      <w:r w:rsidR="00F32B28">
        <w:rPr>
          <w:rtl/>
          <w:lang w:bidi="ar-SY"/>
        </w:rPr>
        <w:t xml:space="preserve"> </w:t>
      </w:r>
      <w:r w:rsidR="00F32B28" w:rsidRPr="00F32B28">
        <w:rPr>
          <w:rtl/>
          <w:lang w:bidi="ar-SY"/>
        </w:rPr>
        <w:t>صارمة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السكان</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السكن</w:t>
      </w:r>
      <w:r w:rsidR="00F32B28">
        <w:rPr>
          <w:rtl/>
          <w:lang w:bidi="ar-SY"/>
        </w:rPr>
        <w:t xml:space="preserve"> </w:t>
      </w:r>
      <w:r w:rsidR="00F32B28" w:rsidRPr="00F32B28">
        <w:rPr>
          <w:rtl/>
          <w:lang w:bidi="ar-SY"/>
        </w:rPr>
        <w:t>وتوسعهم</w:t>
      </w:r>
      <w:r w:rsidR="00F32B28">
        <w:rPr>
          <w:rtl/>
          <w:lang w:bidi="ar-SY"/>
        </w:rPr>
        <w:t xml:space="preserve"> </w:t>
      </w:r>
      <w:r w:rsidR="00F32B28" w:rsidRPr="00F32B28">
        <w:rPr>
          <w:rtl/>
          <w:lang w:bidi="ar-SY"/>
        </w:rPr>
        <w:t>الطبيعي.</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rPr>
        <w:t>خصصت</w:t>
      </w:r>
      <w:r w:rsidR="00F32B28">
        <w:rPr>
          <w:rtl/>
        </w:rPr>
        <w:t xml:space="preserve"> </w:t>
      </w:r>
      <w:r w:rsidR="00F32B28" w:rsidRPr="00F32B28">
        <w:rPr>
          <w:rtl/>
        </w:rPr>
        <w:t>معظم</w:t>
      </w:r>
      <w:r w:rsidR="00F32B28">
        <w:rPr>
          <w:rtl/>
        </w:rPr>
        <w:t xml:space="preserve"> </w:t>
      </w:r>
      <w:r w:rsidR="00F32B28" w:rsidRPr="00F32B28">
        <w:rPr>
          <w:rtl/>
        </w:rPr>
        <w:t>هذه</w:t>
      </w:r>
      <w:r w:rsidR="00F32B28">
        <w:rPr>
          <w:rtl/>
        </w:rPr>
        <w:t xml:space="preserve"> </w:t>
      </w:r>
      <w:r w:rsidR="00F32B28" w:rsidRPr="00F32B28">
        <w:rPr>
          <w:rtl/>
        </w:rPr>
        <w:t>لمنفعة</w:t>
      </w:r>
      <w:r w:rsidR="00F32B28">
        <w:rPr>
          <w:rtl/>
        </w:rPr>
        <w:t xml:space="preserve"> </w:t>
      </w:r>
      <w:r w:rsidR="00F32B28" w:rsidRPr="00F32B28">
        <w:rPr>
          <w:rtl/>
        </w:rPr>
        <w:t>المستوطنات</w:t>
      </w:r>
      <w:r w:rsidR="00F32B28">
        <w:rPr>
          <w:rtl/>
        </w:rPr>
        <w:t xml:space="preserve"> </w:t>
      </w:r>
      <w:r w:rsidR="00F32B28" w:rsidRPr="00F32B28">
        <w:rPr>
          <w:rtl/>
        </w:rPr>
        <w:t>الإسرائيلية</w:t>
      </w:r>
      <w:r w:rsidR="00F32B28">
        <w:rPr>
          <w:rtl/>
        </w:rPr>
        <w:t xml:space="preserve"> </w:t>
      </w:r>
      <w:r w:rsidR="00F32B28" w:rsidRPr="00F32B28">
        <w:rPr>
          <w:rtl/>
        </w:rPr>
        <w:t>التي</w:t>
      </w:r>
      <w:r w:rsidR="00F32B28">
        <w:rPr>
          <w:rtl/>
        </w:rPr>
        <w:t xml:space="preserve"> </w:t>
      </w:r>
      <w:r w:rsidR="00F32B28" w:rsidRPr="00F32B28">
        <w:rPr>
          <w:rtl/>
        </w:rPr>
        <w:t>تحظى</w:t>
      </w:r>
      <w:r w:rsidR="00F32B28">
        <w:rPr>
          <w:rtl/>
        </w:rPr>
        <w:t xml:space="preserve"> </w:t>
      </w:r>
      <w:r w:rsidR="00F32B28" w:rsidRPr="00F32B28">
        <w:rPr>
          <w:rtl/>
        </w:rPr>
        <w:t>بمعاملة</w:t>
      </w:r>
      <w:r w:rsidR="00F32B28">
        <w:rPr>
          <w:rtl/>
        </w:rPr>
        <w:t xml:space="preserve"> </w:t>
      </w:r>
      <w:r w:rsidR="00F32B28" w:rsidRPr="00F32B28">
        <w:rPr>
          <w:rtl/>
        </w:rPr>
        <w:t>تفضيلية</w:t>
      </w:r>
      <w:r w:rsidR="00F32B28">
        <w:rPr>
          <w:rtl/>
        </w:rPr>
        <w:t xml:space="preserve"> </w:t>
      </w:r>
      <w:r w:rsidR="00F32B28" w:rsidRPr="00F32B28">
        <w:rPr>
          <w:rtl/>
        </w:rPr>
        <w:t>على</w:t>
      </w:r>
      <w:r w:rsidR="00F32B28">
        <w:rPr>
          <w:rtl/>
        </w:rPr>
        <w:t xml:space="preserve"> </w:t>
      </w:r>
      <w:r w:rsidR="00F32B28" w:rsidRPr="00F32B28">
        <w:rPr>
          <w:rtl/>
        </w:rPr>
        <w:t>حساب</w:t>
      </w:r>
      <w:r w:rsidR="00F32B28">
        <w:rPr>
          <w:rtl/>
        </w:rPr>
        <w:t xml:space="preserve"> </w:t>
      </w:r>
      <w:r w:rsidR="00F32B28" w:rsidRPr="00F32B28">
        <w:rPr>
          <w:rtl/>
        </w:rPr>
        <w:t>التجمعات</w:t>
      </w:r>
      <w:r w:rsidR="00F32B28">
        <w:rPr>
          <w:rtl/>
        </w:rPr>
        <w:t xml:space="preserve"> </w:t>
      </w:r>
      <w:r w:rsidR="00F32B28" w:rsidRPr="00F32B28">
        <w:rPr>
          <w:rtl/>
        </w:rPr>
        <w:t>الفلسطينية،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الوصول</w:t>
      </w:r>
      <w:r w:rsidR="00F32B28">
        <w:rPr>
          <w:rtl/>
        </w:rPr>
        <w:t xml:space="preserve"> </w:t>
      </w:r>
      <w:r w:rsidR="00F32B28" w:rsidRPr="00F32B28">
        <w:rPr>
          <w:rtl/>
        </w:rPr>
        <w:t>إلى</w:t>
      </w:r>
      <w:r w:rsidR="00F32B28">
        <w:rPr>
          <w:rtl/>
        </w:rPr>
        <w:t xml:space="preserve"> </w:t>
      </w:r>
      <w:r w:rsidR="00F32B28" w:rsidRPr="00F32B28">
        <w:rPr>
          <w:rtl/>
        </w:rPr>
        <w:t>الأراضي</w:t>
      </w:r>
      <w:r w:rsidR="00F32B28">
        <w:rPr>
          <w:rtl/>
        </w:rPr>
        <w:t xml:space="preserve"> </w:t>
      </w:r>
      <w:r w:rsidR="00F32B28" w:rsidRPr="00F32B28">
        <w:rPr>
          <w:rtl/>
        </w:rPr>
        <w:t>والموارد،</w:t>
      </w:r>
      <w:r w:rsidR="00F32B28">
        <w:rPr>
          <w:rtl/>
        </w:rPr>
        <w:t xml:space="preserve"> </w:t>
      </w:r>
      <w:r w:rsidR="00F32B28" w:rsidRPr="00F32B28">
        <w:rPr>
          <w:rtl/>
        </w:rPr>
        <w:t>والتخطيط</w:t>
      </w:r>
      <w:r w:rsidR="00F32B28">
        <w:rPr>
          <w:rtl/>
        </w:rPr>
        <w:t xml:space="preserve"> </w:t>
      </w:r>
      <w:r w:rsidR="00F32B28" w:rsidRPr="00F32B28">
        <w:rPr>
          <w:rtl/>
        </w:rPr>
        <w:t>وتطوير</w:t>
      </w:r>
      <w:r w:rsidR="00F32B28">
        <w:rPr>
          <w:rtl/>
        </w:rPr>
        <w:t xml:space="preserve"> </w:t>
      </w:r>
      <w:r w:rsidR="00F32B28" w:rsidRPr="00F32B28">
        <w:rPr>
          <w:rtl/>
        </w:rPr>
        <w:t>البنى</w:t>
      </w:r>
      <w:r w:rsidR="00F32B28">
        <w:rPr>
          <w:rtl/>
        </w:rPr>
        <w:t xml:space="preserve"> </w:t>
      </w:r>
      <w:r w:rsidR="00F32B28" w:rsidRPr="00F32B28">
        <w:rPr>
          <w:rtl/>
        </w:rPr>
        <w:t>التحتية</w:t>
      </w:r>
      <w:r w:rsidR="00F32B28" w:rsidRPr="00F32B28">
        <w:t>.</w:t>
      </w:r>
      <w:r w:rsidR="00F32B28">
        <w:rPr>
          <w:rtl/>
        </w:rPr>
        <w:t xml:space="preserve"> </w:t>
      </w:r>
      <w:r w:rsidR="00F32B28" w:rsidRPr="00F32B28">
        <w:rPr>
          <w:rtl/>
        </w:rPr>
        <w:t>إذ</w:t>
      </w:r>
      <w:r w:rsidR="00F32B28">
        <w:rPr>
          <w:rtl/>
        </w:rPr>
        <w:t xml:space="preserve"> </w:t>
      </w:r>
      <w:r w:rsidR="00F32B28" w:rsidRPr="00F32B28">
        <w:rPr>
          <w:rtl/>
        </w:rPr>
        <w:t>يقع</w:t>
      </w:r>
      <w:r w:rsidR="00F32B28">
        <w:rPr>
          <w:rtl/>
        </w:rPr>
        <w:t xml:space="preserve"> </w:t>
      </w:r>
      <w:r w:rsidR="00F32B28" w:rsidRPr="00F32B28">
        <w:rPr>
          <w:rtl/>
        </w:rPr>
        <w:t>70</w:t>
      </w:r>
      <w:r>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أراضي</w:t>
      </w:r>
      <w:r w:rsidR="00F32B28">
        <w:rPr>
          <w:rtl/>
        </w:rPr>
        <w:t xml:space="preserve"> </w:t>
      </w:r>
      <w:r w:rsidR="00F32B28" w:rsidRPr="00F32B28">
        <w:rPr>
          <w:rtl/>
        </w:rPr>
        <w:t>المنطقة</w:t>
      </w:r>
      <w:r w:rsidR="00F32B28">
        <w:rPr>
          <w:rtl/>
        </w:rPr>
        <w:t xml:space="preserve"> </w:t>
      </w:r>
      <w:r w:rsidR="00F32B28" w:rsidRPr="00F32B28">
        <w:rPr>
          <w:rtl/>
        </w:rPr>
        <w:t>داخل</w:t>
      </w:r>
      <w:r w:rsidR="00F32B28">
        <w:rPr>
          <w:rtl/>
        </w:rPr>
        <w:t xml:space="preserve"> </w:t>
      </w:r>
      <w:r w:rsidR="00F32B28" w:rsidRPr="00F32B28">
        <w:rPr>
          <w:rtl/>
        </w:rPr>
        <w:t>حدود</w:t>
      </w:r>
      <w:r w:rsidR="00F32B28">
        <w:rPr>
          <w:rtl/>
        </w:rPr>
        <w:t xml:space="preserve"> </w:t>
      </w:r>
      <w:r w:rsidR="00F32B28" w:rsidRPr="00F32B28">
        <w:rPr>
          <w:rtl/>
        </w:rPr>
        <w:t>المجالس</w:t>
      </w:r>
      <w:r w:rsidR="00F32B28">
        <w:rPr>
          <w:rtl/>
        </w:rPr>
        <w:t xml:space="preserve"> </w:t>
      </w:r>
      <w:r w:rsidR="00F32B28" w:rsidRPr="00F32B28">
        <w:rPr>
          <w:rtl/>
        </w:rPr>
        <w:t>الإقليمية</w:t>
      </w:r>
      <w:r w:rsidR="00F32B28">
        <w:rPr>
          <w:rtl/>
        </w:rPr>
        <w:t xml:space="preserve"> </w:t>
      </w:r>
      <w:r w:rsidR="00F32B28" w:rsidRPr="00F32B28">
        <w:rPr>
          <w:rtl/>
        </w:rPr>
        <w:t>للمستوطنات</w:t>
      </w:r>
      <w:r w:rsidR="00F32B28">
        <w:rPr>
          <w:rtl/>
        </w:rPr>
        <w:t xml:space="preserve"> </w:t>
      </w:r>
      <w:r w:rsidR="00F32B28" w:rsidRPr="00F32B28">
        <w:rPr>
          <w:rtl/>
        </w:rPr>
        <w:t>الإسرائيلية.</w:t>
      </w:r>
      <w:r>
        <w:rPr>
          <w:rFonts w:hint="cs"/>
          <w:rtl/>
        </w:rPr>
        <w:t xml:space="preserve"> </w:t>
      </w:r>
      <w:r w:rsidR="00F32B28" w:rsidRPr="00F32B28">
        <w:rPr>
          <w:rtl/>
        </w:rPr>
        <w:t>وبالتالي</w:t>
      </w:r>
      <w:r w:rsidR="00F32B28">
        <w:rPr>
          <w:rtl/>
        </w:rPr>
        <w:t xml:space="preserve"> </w:t>
      </w:r>
      <w:r w:rsidR="00F32B28" w:rsidRPr="00F32B28">
        <w:rPr>
          <w:rtl/>
        </w:rPr>
        <w:t>يُحظر</w:t>
      </w:r>
      <w:r w:rsidR="00F32B28">
        <w:rPr>
          <w:rtl/>
        </w:rPr>
        <w:t xml:space="preserve"> </w:t>
      </w:r>
      <w:r w:rsidR="00F32B28" w:rsidRPr="00F32B28">
        <w:rPr>
          <w:rtl/>
        </w:rPr>
        <w:t>على</w:t>
      </w:r>
      <w:r w:rsidR="00F32B28">
        <w:rPr>
          <w:rtl/>
        </w:rPr>
        <w:t xml:space="preserve"> </w:t>
      </w:r>
      <w:r w:rsidR="00F32B28" w:rsidRPr="00F32B28">
        <w:rPr>
          <w:rtl/>
        </w:rPr>
        <w:t>الفلسطينيين</w:t>
      </w:r>
      <w:r w:rsidR="00F32B28">
        <w:rPr>
          <w:rtl/>
        </w:rPr>
        <w:t xml:space="preserve"> </w:t>
      </w:r>
      <w:r w:rsidR="00F32B28" w:rsidRPr="00F32B28">
        <w:rPr>
          <w:rtl/>
        </w:rPr>
        <w:t>استخدامها</w:t>
      </w:r>
      <w:r w:rsidR="00F32B28">
        <w:rPr>
          <w:rtl/>
        </w:rPr>
        <w:t xml:space="preserve"> </w:t>
      </w:r>
      <w:r w:rsidR="00F32B28" w:rsidRPr="00F32B28">
        <w:rPr>
          <w:rtl/>
        </w:rPr>
        <w:t>وتطويرها،</w:t>
      </w:r>
      <w:r w:rsidR="00F32B28">
        <w:rPr>
          <w:rtl/>
        </w:rPr>
        <w:t xml:space="preserve"> </w:t>
      </w:r>
      <w:r w:rsidR="00F32B28" w:rsidRPr="00F32B28">
        <w:rPr>
          <w:rtl/>
        </w:rPr>
        <w:t>وأن</w:t>
      </w:r>
      <w:r w:rsidR="00F32B28">
        <w:rPr>
          <w:rtl/>
        </w:rPr>
        <w:t xml:space="preserve"> </w:t>
      </w:r>
      <w:r w:rsidR="00F32B28" w:rsidRPr="00F32B28">
        <w:rPr>
          <w:rtl/>
        </w:rPr>
        <w:t>الإدارة</w:t>
      </w:r>
      <w:r w:rsidR="00F32B28">
        <w:rPr>
          <w:rtl/>
        </w:rPr>
        <w:t xml:space="preserve"> </w:t>
      </w:r>
      <w:r w:rsidR="00F32B28" w:rsidRPr="00F32B28">
        <w:rPr>
          <w:rtl/>
        </w:rPr>
        <w:t>المدنية</w:t>
      </w:r>
      <w:r w:rsidR="00F32B28">
        <w:rPr>
          <w:rtl/>
        </w:rPr>
        <w:t xml:space="preserve"> </w:t>
      </w:r>
      <w:r w:rsidR="00F32B28" w:rsidRPr="00F32B28">
        <w:rPr>
          <w:rtl/>
        </w:rPr>
        <w:t>الإسرائيلية،</w:t>
      </w:r>
      <w:r w:rsidR="00F32B28">
        <w:rPr>
          <w:rtl/>
        </w:rPr>
        <w:t xml:space="preserve"> </w:t>
      </w:r>
      <w:r w:rsidR="00F32B28" w:rsidRPr="00F32B28">
        <w:rPr>
          <w:rtl/>
        </w:rPr>
        <w:t>وبحسب</w:t>
      </w:r>
      <w:r w:rsidR="00F32B28">
        <w:rPr>
          <w:rtl/>
        </w:rPr>
        <w:t xml:space="preserve"> </w:t>
      </w:r>
      <w:r w:rsidR="00F32B28" w:rsidRPr="00F32B28">
        <w:rPr>
          <w:rtl/>
        </w:rPr>
        <w:t>مكتب</w:t>
      </w:r>
      <w:r w:rsidR="00F32B28">
        <w:rPr>
          <w:rtl/>
        </w:rPr>
        <w:t xml:space="preserve"> </w:t>
      </w:r>
      <w:r w:rsidR="00F32B28" w:rsidRPr="00F32B28">
        <w:rPr>
          <w:rtl/>
        </w:rPr>
        <w:t>تنسيق</w:t>
      </w:r>
      <w:r w:rsidR="00F32B28">
        <w:rPr>
          <w:rtl/>
        </w:rPr>
        <w:t xml:space="preserve"> </w:t>
      </w:r>
      <w:r w:rsidR="00F32B28" w:rsidRPr="00F32B28">
        <w:rPr>
          <w:rtl/>
        </w:rPr>
        <w:t>الشؤون</w:t>
      </w:r>
      <w:r w:rsidR="00F32B28">
        <w:rPr>
          <w:rtl/>
        </w:rPr>
        <w:t xml:space="preserve"> </w:t>
      </w:r>
      <w:r w:rsidR="00F32B28" w:rsidRPr="00F32B28">
        <w:rPr>
          <w:rtl/>
        </w:rPr>
        <w:t>الإنسانية،</w:t>
      </w:r>
      <w:r w:rsidR="00F32B28">
        <w:rPr>
          <w:rtl/>
        </w:rPr>
        <w:t xml:space="preserve"> </w:t>
      </w:r>
      <w:r w:rsidR="00F32B28" w:rsidRPr="00F32B28">
        <w:rPr>
          <w:rtl/>
        </w:rPr>
        <w:t>تسمح</w:t>
      </w:r>
      <w:r w:rsidR="00F32B28">
        <w:rPr>
          <w:rtl/>
        </w:rPr>
        <w:t xml:space="preserve"> </w:t>
      </w:r>
      <w:r w:rsidR="00F32B28" w:rsidRPr="00F32B28">
        <w:rPr>
          <w:rtl/>
        </w:rPr>
        <w:t>للفلسطينيين</w:t>
      </w:r>
      <w:r w:rsidR="00F32B28">
        <w:rPr>
          <w:rtl/>
        </w:rPr>
        <w:t xml:space="preserve"> </w:t>
      </w:r>
      <w:r w:rsidR="00F32B28" w:rsidRPr="00F32B28">
        <w:rPr>
          <w:rtl/>
        </w:rPr>
        <w:t>عملياً</w:t>
      </w:r>
      <w:r w:rsidR="00F32B28">
        <w:rPr>
          <w:rtl/>
        </w:rPr>
        <w:t xml:space="preserve"> </w:t>
      </w:r>
      <w:r w:rsidR="00F32B28" w:rsidRPr="00F32B28">
        <w:rPr>
          <w:rtl/>
        </w:rPr>
        <w:t>بالبناء</w:t>
      </w:r>
      <w:r w:rsidR="00F32B28">
        <w:rPr>
          <w:rtl/>
        </w:rPr>
        <w:t xml:space="preserve"> </w:t>
      </w:r>
      <w:r w:rsidR="00F32B28" w:rsidRPr="00F32B28">
        <w:rPr>
          <w:rtl/>
        </w:rPr>
        <w:t>في</w:t>
      </w:r>
      <w:r w:rsidR="00F32B28">
        <w:rPr>
          <w:rtl/>
        </w:rPr>
        <w:t xml:space="preserve"> </w:t>
      </w:r>
      <w:r w:rsidR="00F32B28" w:rsidRPr="00F32B28">
        <w:rPr>
          <w:rtl/>
        </w:rPr>
        <w:t>مساحة</w:t>
      </w:r>
      <w:r w:rsidR="00F32B28">
        <w:rPr>
          <w:rtl/>
        </w:rPr>
        <w:t xml:space="preserve"> </w:t>
      </w:r>
      <w:r w:rsidR="00F32B28" w:rsidRPr="00F32B28">
        <w:rPr>
          <w:rtl/>
        </w:rPr>
        <w:t>تقل</w:t>
      </w:r>
      <w:r w:rsidR="00F32B28">
        <w:rPr>
          <w:rtl/>
        </w:rPr>
        <w:t xml:space="preserve"> </w:t>
      </w:r>
      <w:r w:rsidR="00F32B28" w:rsidRPr="00F32B28">
        <w:rPr>
          <w:rtl/>
        </w:rPr>
        <w:t>عن</w:t>
      </w:r>
      <w:r w:rsidR="00F32B28">
        <w:rPr>
          <w:rtl/>
        </w:rPr>
        <w:t xml:space="preserve"> </w:t>
      </w:r>
      <w:r w:rsidR="00F32B28" w:rsidRPr="00F32B28">
        <w:rPr>
          <w:rtl/>
        </w:rPr>
        <w:t>1</w:t>
      </w:r>
      <w:r>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المناطق</w:t>
      </w:r>
      <w:r w:rsidR="00F32B28">
        <w:rPr>
          <w:rtl/>
        </w:rPr>
        <w:t xml:space="preserve"> </w:t>
      </w:r>
      <w:r w:rsidR="00F32B28" w:rsidRPr="00F32B28">
        <w:rPr>
          <w:rtl/>
        </w:rPr>
        <w:t>المسماة</w:t>
      </w:r>
      <w:r w:rsidR="00F32B28">
        <w:rPr>
          <w:rtl/>
        </w:rPr>
        <w:t xml:space="preserve"> </w:t>
      </w:r>
      <w:r w:rsidR="00F32B28" w:rsidRPr="00F32B28">
        <w:rPr>
          <w:rtl/>
        </w:rPr>
        <w:t>(ج)</w:t>
      </w:r>
      <w:r w:rsidR="00F32B28">
        <w:rPr>
          <w:rtl/>
        </w:rPr>
        <w:t xml:space="preserve"> </w:t>
      </w:r>
      <w:r w:rsidR="00F32B28" w:rsidRPr="00F32B28">
        <w:rPr>
          <w:rtl/>
        </w:rPr>
        <w:t>والتي</w:t>
      </w:r>
      <w:r w:rsidR="00F32B28">
        <w:rPr>
          <w:rtl/>
        </w:rPr>
        <w:t xml:space="preserve"> </w:t>
      </w:r>
      <w:r w:rsidR="00F32B28" w:rsidRPr="00F32B28">
        <w:rPr>
          <w:rtl/>
        </w:rPr>
        <w:t>لم</w:t>
      </w:r>
      <w:r w:rsidR="00F32B28">
        <w:rPr>
          <w:rtl/>
        </w:rPr>
        <w:t xml:space="preserve"> </w:t>
      </w:r>
      <w:r w:rsidR="00F32B28" w:rsidRPr="00F32B28">
        <w:rPr>
          <w:rtl/>
        </w:rPr>
        <w:t>تعد</w:t>
      </w:r>
      <w:r w:rsidR="00F32B28">
        <w:rPr>
          <w:rtl/>
        </w:rPr>
        <w:t xml:space="preserve"> </w:t>
      </w:r>
      <w:r w:rsidR="00F32B28" w:rsidRPr="00F32B28">
        <w:rPr>
          <w:rtl/>
        </w:rPr>
        <w:t>تتوفر</w:t>
      </w:r>
      <w:r w:rsidR="00F32B28">
        <w:rPr>
          <w:rtl/>
        </w:rPr>
        <w:t xml:space="preserve"> </w:t>
      </w:r>
      <w:r w:rsidR="00F32B28" w:rsidRPr="00F32B28">
        <w:rPr>
          <w:rtl/>
        </w:rPr>
        <w:t>فيها</w:t>
      </w:r>
      <w:r w:rsidR="00F32B28">
        <w:rPr>
          <w:rtl/>
        </w:rPr>
        <w:t xml:space="preserve"> </w:t>
      </w:r>
      <w:r w:rsidR="00F32B28" w:rsidRPr="00F32B28">
        <w:rPr>
          <w:rtl/>
        </w:rPr>
        <w:t>بالأساس</w:t>
      </w:r>
      <w:r w:rsidR="00F32B28">
        <w:rPr>
          <w:rtl/>
        </w:rPr>
        <w:t xml:space="preserve"> </w:t>
      </w:r>
      <w:r w:rsidR="00F32B28" w:rsidRPr="00F32B28">
        <w:rPr>
          <w:rtl/>
        </w:rPr>
        <w:t>مساحات</w:t>
      </w:r>
      <w:r w:rsidR="00F32B28">
        <w:rPr>
          <w:rtl/>
        </w:rPr>
        <w:t xml:space="preserve"> </w:t>
      </w:r>
      <w:r w:rsidR="00F32B28" w:rsidRPr="00F32B28">
        <w:rPr>
          <w:rtl/>
        </w:rPr>
        <w:t>للبناء.</w:t>
      </w:r>
    </w:p>
    <w:p w:rsidR="00F32B28" w:rsidRPr="00F32B28" w:rsidRDefault="00851F93" w:rsidP="00851F93">
      <w:pPr>
        <w:pStyle w:val="SingleTxt"/>
      </w:pPr>
      <w:r>
        <w:rPr>
          <w:rFonts w:hint="cs"/>
          <w:rtl/>
        </w:rPr>
        <w:t xml:space="preserve">275 - </w:t>
      </w:r>
      <w:r w:rsidR="00F32B28" w:rsidRPr="00F32B28">
        <w:rPr>
          <w:rtl/>
        </w:rPr>
        <w:t>ويعيش</w:t>
      </w:r>
      <w:r w:rsidR="00F32B28">
        <w:rPr>
          <w:rtl/>
        </w:rPr>
        <w:t xml:space="preserve"> </w:t>
      </w:r>
      <w:r>
        <w:rPr>
          <w:rFonts w:hint="cs"/>
          <w:rtl/>
        </w:rPr>
        <w:t>000 5</w:t>
      </w:r>
      <w:r w:rsidR="00F32B28">
        <w:rPr>
          <w:rtl/>
        </w:rPr>
        <w:t xml:space="preserve"> </w:t>
      </w:r>
      <w:r w:rsidR="00F32B28" w:rsidRPr="00F32B28">
        <w:rPr>
          <w:rtl/>
        </w:rPr>
        <w:t>فلسطيني</w:t>
      </w:r>
      <w:r w:rsidR="00F32B28">
        <w:rPr>
          <w:rtl/>
        </w:rPr>
        <w:t xml:space="preserve"> </w:t>
      </w:r>
      <w:r w:rsidR="00F32B28" w:rsidRPr="00F32B28">
        <w:rPr>
          <w:rtl/>
        </w:rPr>
        <w:t>في</w:t>
      </w:r>
      <w:r w:rsidR="00F32B28">
        <w:rPr>
          <w:rtl/>
        </w:rPr>
        <w:t xml:space="preserve"> </w:t>
      </w:r>
      <w:r w:rsidR="00F32B28" w:rsidRPr="00F32B28">
        <w:rPr>
          <w:rtl/>
        </w:rPr>
        <w:t>38</w:t>
      </w:r>
      <w:r w:rsidR="00F32B28">
        <w:rPr>
          <w:rtl/>
        </w:rPr>
        <w:t xml:space="preserve"> </w:t>
      </w:r>
      <w:r w:rsidR="00F32B28" w:rsidRPr="00F32B28">
        <w:rPr>
          <w:rtl/>
        </w:rPr>
        <w:t>مجمعا</w:t>
      </w:r>
      <w:r w:rsidR="00F32B28">
        <w:rPr>
          <w:rtl/>
        </w:rPr>
        <w:t xml:space="preserve"> </w:t>
      </w:r>
      <w:r w:rsidR="00F32B28" w:rsidRPr="00F32B28">
        <w:rPr>
          <w:rtl/>
        </w:rPr>
        <w:t>تقع</w:t>
      </w:r>
      <w:r w:rsidR="00F32B28">
        <w:rPr>
          <w:rtl/>
        </w:rPr>
        <w:t xml:space="preserve"> </w:t>
      </w:r>
      <w:r w:rsidR="00F32B28" w:rsidRPr="00F32B28">
        <w:rPr>
          <w:rtl/>
        </w:rPr>
        <w:t>جزئياً</w:t>
      </w:r>
      <w:r w:rsidR="00F32B28">
        <w:rPr>
          <w:rtl/>
        </w:rPr>
        <w:t xml:space="preserve"> </w:t>
      </w:r>
      <w:r w:rsidR="00F32B28" w:rsidRPr="00F32B28">
        <w:rPr>
          <w:rtl/>
        </w:rPr>
        <w:t>في</w:t>
      </w:r>
      <w:r w:rsidR="00F32B28">
        <w:rPr>
          <w:rtl/>
        </w:rPr>
        <w:t xml:space="preserve"> </w:t>
      </w:r>
      <w:r w:rsidR="00F32B28" w:rsidRPr="00F32B28">
        <w:rPr>
          <w:rtl/>
        </w:rPr>
        <w:t>والمناطق</w:t>
      </w:r>
      <w:r w:rsidR="00F32B28">
        <w:rPr>
          <w:rtl/>
        </w:rPr>
        <w:t xml:space="preserve"> </w:t>
      </w:r>
      <w:r w:rsidR="00F32B28" w:rsidRPr="00F32B28">
        <w:rPr>
          <w:rtl/>
        </w:rPr>
        <w:t>المسماة</w:t>
      </w:r>
      <w:r w:rsidR="00F32B28">
        <w:rPr>
          <w:rtl/>
        </w:rPr>
        <w:t xml:space="preserve"> </w:t>
      </w:r>
      <w:r w:rsidR="00F32B28" w:rsidRPr="00F32B28">
        <w:rPr>
          <w:rtl/>
        </w:rPr>
        <w:t>(ج)</w:t>
      </w:r>
      <w:r w:rsidR="00F32B28">
        <w:rPr>
          <w:rtl/>
        </w:rPr>
        <w:t xml:space="preserve"> </w:t>
      </w:r>
      <w:r w:rsidR="00F32B28" w:rsidRPr="00F32B28">
        <w:rPr>
          <w:rtl/>
        </w:rPr>
        <w:t>وأعلن</w:t>
      </w:r>
      <w:r w:rsidR="00F32B28">
        <w:rPr>
          <w:rtl/>
        </w:rPr>
        <w:t xml:space="preserve"> </w:t>
      </w:r>
      <w:r w:rsidR="00F32B28" w:rsidRPr="00F32B28">
        <w:rPr>
          <w:rtl/>
        </w:rPr>
        <w:t>أنها</w:t>
      </w:r>
      <w:r w:rsidR="00F32B28">
        <w:rPr>
          <w:rtl/>
        </w:rPr>
        <w:t xml:space="preserve"> </w:t>
      </w:r>
      <w:r w:rsidR="00D06D08">
        <w:rPr>
          <w:rFonts w:hint="cs"/>
          <w:rtl/>
        </w:rPr>
        <w:t>”</w:t>
      </w:r>
      <w:r w:rsidR="00F32B28" w:rsidRPr="00F32B28">
        <w:rPr>
          <w:rtl/>
        </w:rPr>
        <w:t>مناطق</w:t>
      </w:r>
      <w:r w:rsidR="00F32B28">
        <w:rPr>
          <w:rtl/>
        </w:rPr>
        <w:t xml:space="preserve"> </w:t>
      </w:r>
      <w:r w:rsidR="00F32B28" w:rsidRPr="00F32B28">
        <w:rPr>
          <w:rtl/>
        </w:rPr>
        <w:t>إطلاق</w:t>
      </w:r>
      <w:r w:rsidR="00F32B28">
        <w:rPr>
          <w:rtl/>
        </w:rPr>
        <w:t xml:space="preserve"> </w:t>
      </w:r>
      <w:r w:rsidR="00F32B28" w:rsidRPr="00F32B28">
        <w:rPr>
          <w:rtl/>
        </w:rPr>
        <w:t>نار</w:t>
      </w:r>
      <w:r w:rsidR="00D06D08">
        <w:rPr>
          <w:rFonts w:hint="cs"/>
          <w:rtl/>
        </w:rPr>
        <w:t>“</w:t>
      </w:r>
      <w:r w:rsidR="00F32B28">
        <w:rPr>
          <w:rtl/>
        </w:rPr>
        <w:t xml:space="preserve"> </w:t>
      </w:r>
      <w:r w:rsidR="00F32B28" w:rsidRPr="00F32B28">
        <w:rPr>
          <w:rtl/>
        </w:rPr>
        <w:t>لأغراض</w:t>
      </w:r>
      <w:r w:rsidR="00F32B28">
        <w:rPr>
          <w:rtl/>
        </w:rPr>
        <w:t xml:space="preserve"> </w:t>
      </w:r>
      <w:r w:rsidR="00F32B28" w:rsidRPr="00F32B28">
        <w:rPr>
          <w:rtl/>
        </w:rPr>
        <w:t>التدريب</w:t>
      </w:r>
      <w:r w:rsidR="00F32B28">
        <w:rPr>
          <w:rtl/>
        </w:rPr>
        <w:t xml:space="preserve"> </w:t>
      </w:r>
      <w:r w:rsidR="00F32B28" w:rsidRPr="00F32B28">
        <w:rPr>
          <w:rtl/>
        </w:rPr>
        <w:t>العسكري،</w:t>
      </w:r>
      <w:r w:rsidR="00F32B28">
        <w:rPr>
          <w:rtl/>
        </w:rPr>
        <w:t xml:space="preserve"> </w:t>
      </w:r>
      <w:r w:rsidR="00F32B28" w:rsidRPr="00F32B28">
        <w:rPr>
          <w:rtl/>
        </w:rPr>
        <w:t>مما</w:t>
      </w:r>
      <w:r w:rsidR="00F32B28">
        <w:rPr>
          <w:rtl/>
        </w:rPr>
        <w:t xml:space="preserve"> </w:t>
      </w:r>
      <w:r w:rsidR="00F32B28" w:rsidRPr="00F32B28">
        <w:rPr>
          <w:rtl/>
        </w:rPr>
        <w:t>زاد</w:t>
      </w:r>
      <w:r w:rsidR="00F32B28">
        <w:rPr>
          <w:rtl/>
        </w:rPr>
        <w:t xml:space="preserve"> </w:t>
      </w:r>
      <w:r w:rsidR="00F32B28" w:rsidRPr="00F32B28">
        <w:rPr>
          <w:rtl/>
        </w:rPr>
        <w:t>انكشاف</w:t>
      </w:r>
      <w:r w:rsidR="00F32B28">
        <w:rPr>
          <w:rtl/>
        </w:rPr>
        <w:t xml:space="preserve"> </w:t>
      </w:r>
      <w:r w:rsidR="00F32B28" w:rsidRPr="00F32B28">
        <w:rPr>
          <w:rtl/>
        </w:rPr>
        <w:t>السكان</w:t>
      </w:r>
      <w:r w:rsidR="00F32B28">
        <w:rPr>
          <w:rtl/>
        </w:rPr>
        <w:t xml:space="preserve"> </w:t>
      </w:r>
      <w:r w:rsidR="00F32B28" w:rsidRPr="00F32B28">
        <w:rPr>
          <w:rtl/>
        </w:rPr>
        <w:t>على</w:t>
      </w:r>
      <w:r w:rsidR="00F32B28">
        <w:rPr>
          <w:rtl/>
        </w:rPr>
        <w:t xml:space="preserve"> </w:t>
      </w:r>
      <w:r w:rsidR="00F32B28" w:rsidRPr="00F32B28">
        <w:rPr>
          <w:rtl/>
        </w:rPr>
        <w:t>المخاطر</w:t>
      </w:r>
      <w:r w:rsidR="00F32B28">
        <w:rPr>
          <w:rtl/>
        </w:rPr>
        <w:t xml:space="preserve"> </w:t>
      </w:r>
      <w:r w:rsidR="00F32B28" w:rsidRPr="00F32B28">
        <w:rPr>
          <w:rtl/>
        </w:rPr>
        <w:t>وتعرضهم</w:t>
      </w:r>
      <w:r w:rsidR="00F32B28">
        <w:rPr>
          <w:rtl/>
        </w:rPr>
        <w:t xml:space="preserve"> </w:t>
      </w:r>
      <w:r w:rsidR="00F32B28" w:rsidRPr="00F32B28">
        <w:rPr>
          <w:rtl/>
        </w:rPr>
        <w:t>لخطر</w:t>
      </w:r>
      <w:r w:rsidR="00F32B28">
        <w:rPr>
          <w:rtl/>
        </w:rPr>
        <w:t xml:space="preserve"> </w:t>
      </w:r>
      <w:r w:rsidR="00F32B28" w:rsidRPr="00F32B28">
        <w:rPr>
          <w:rtl/>
        </w:rPr>
        <w:t>التهجير.</w:t>
      </w:r>
      <w:r w:rsidR="00F32B28">
        <w:rPr>
          <w:rtl/>
        </w:rPr>
        <w:t xml:space="preserve"> </w:t>
      </w:r>
      <w:r w:rsidR="00F32B28" w:rsidRPr="00F32B28">
        <w:rPr>
          <w:rtl/>
        </w:rPr>
        <w:t>وتم</w:t>
      </w:r>
      <w:r w:rsidR="00F32B28">
        <w:rPr>
          <w:rtl/>
        </w:rPr>
        <w:t xml:space="preserve"> </w:t>
      </w:r>
      <w:r w:rsidR="00F32B28" w:rsidRPr="00F32B28">
        <w:rPr>
          <w:rtl/>
        </w:rPr>
        <w:t>هدم</w:t>
      </w:r>
      <w:r w:rsidR="00F32B28">
        <w:rPr>
          <w:rtl/>
        </w:rPr>
        <w:t xml:space="preserve"> </w:t>
      </w:r>
      <w:r w:rsidR="00F32B28" w:rsidRPr="00F32B28">
        <w:rPr>
          <w:rtl/>
        </w:rPr>
        <w:t>حوالي</w:t>
      </w:r>
      <w:r w:rsidR="00F32B28">
        <w:rPr>
          <w:rtl/>
        </w:rPr>
        <w:t xml:space="preserve"> </w:t>
      </w:r>
      <w:r w:rsidR="00F32B28" w:rsidRPr="00F32B28">
        <w:rPr>
          <w:rtl/>
        </w:rPr>
        <w:t>540</w:t>
      </w:r>
      <w:r w:rsidR="00F32B28">
        <w:rPr>
          <w:rtl/>
        </w:rPr>
        <w:t xml:space="preserve"> </w:t>
      </w:r>
      <w:r w:rsidR="00F32B28" w:rsidRPr="00F32B28">
        <w:rPr>
          <w:rtl/>
        </w:rPr>
        <w:t>مبنى</w:t>
      </w:r>
      <w:r w:rsidR="00F32B28">
        <w:rPr>
          <w:rtl/>
        </w:rPr>
        <w:t xml:space="preserve"> </w:t>
      </w:r>
      <w:r w:rsidR="00F32B28" w:rsidRPr="00F32B28">
        <w:rPr>
          <w:rtl/>
        </w:rPr>
        <w:t>فلسطيني</w:t>
      </w:r>
      <w:r w:rsidR="00F32B28">
        <w:rPr>
          <w:rtl/>
        </w:rPr>
        <w:t xml:space="preserve"> </w:t>
      </w:r>
      <w:r w:rsidR="00F32B28" w:rsidRPr="00F32B28">
        <w:rPr>
          <w:rtl/>
        </w:rPr>
        <w:t>خلال</w:t>
      </w:r>
      <w:r w:rsidR="00F32B28">
        <w:rPr>
          <w:rtl/>
        </w:rPr>
        <w:t xml:space="preserve"> </w:t>
      </w:r>
      <w:r w:rsidR="00F32B28" w:rsidRPr="00F32B28">
        <w:rPr>
          <w:rtl/>
        </w:rPr>
        <w:t>عام</w:t>
      </w:r>
      <w:r w:rsidR="00F32B28">
        <w:rPr>
          <w:rtl/>
        </w:rPr>
        <w:t xml:space="preserve"> </w:t>
      </w:r>
      <w:r w:rsidR="00F32B28" w:rsidRPr="00F32B28">
        <w:rPr>
          <w:rtl/>
        </w:rPr>
        <w:t>2012،</w:t>
      </w:r>
      <w:r w:rsidR="00F32B28">
        <w:rPr>
          <w:rtl/>
        </w:rPr>
        <w:t xml:space="preserve"> </w:t>
      </w:r>
      <w:r w:rsidR="00F32B28" w:rsidRPr="00F32B28">
        <w:rPr>
          <w:rtl/>
        </w:rPr>
        <w:t>من</w:t>
      </w:r>
      <w:r w:rsidR="00F32B28">
        <w:rPr>
          <w:rtl/>
        </w:rPr>
        <w:t xml:space="preserve"> </w:t>
      </w:r>
      <w:r w:rsidR="00F32B28" w:rsidRPr="00F32B28">
        <w:rPr>
          <w:rtl/>
        </w:rPr>
        <w:t>بينها</w:t>
      </w:r>
      <w:r w:rsidR="00F32B28">
        <w:rPr>
          <w:rtl/>
        </w:rPr>
        <w:t xml:space="preserve"> </w:t>
      </w:r>
      <w:r w:rsidR="00F32B28" w:rsidRPr="00F32B28">
        <w:rPr>
          <w:rtl/>
        </w:rPr>
        <w:t>165</w:t>
      </w:r>
      <w:r w:rsidR="00F32B28">
        <w:rPr>
          <w:rtl/>
        </w:rPr>
        <w:t xml:space="preserve"> </w:t>
      </w:r>
      <w:r w:rsidR="00F32B28" w:rsidRPr="00F32B28">
        <w:rPr>
          <w:rtl/>
        </w:rPr>
        <w:t>منزلاً</w:t>
      </w:r>
      <w:r w:rsidR="00F32B28">
        <w:rPr>
          <w:rtl/>
        </w:rPr>
        <w:t xml:space="preserve"> </w:t>
      </w:r>
      <w:r w:rsidR="00F32B28" w:rsidRPr="00F32B28">
        <w:rPr>
          <w:rtl/>
        </w:rPr>
        <w:t>بحجة</w:t>
      </w:r>
      <w:r w:rsidR="00F32B28">
        <w:rPr>
          <w:rtl/>
        </w:rPr>
        <w:t xml:space="preserve"> </w:t>
      </w:r>
      <w:r w:rsidR="00F32B28" w:rsidRPr="00F32B28">
        <w:rPr>
          <w:rtl/>
        </w:rPr>
        <w:t>عدم</w:t>
      </w:r>
      <w:r w:rsidR="00F32B28">
        <w:rPr>
          <w:rtl/>
        </w:rPr>
        <w:t xml:space="preserve"> </w:t>
      </w:r>
      <w:r w:rsidR="00F32B28" w:rsidRPr="00F32B28">
        <w:rPr>
          <w:rtl/>
        </w:rPr>
        <w:t>حصولها</w:t>
      </w:r>
      <w:r w:rsidR="00F32B28">
        <w:rPr>
          <w:rtl/>
        </w:rPr>
        <w:t xml:space="preserve"> </w:t>
      </w:r>
      <w:r w:rsidR="00F32B28" w:rsidRPr="00F32B28">
        <w:rPr>
          <w:rtl/>
        </w:rPr>
        <w:t>على</w:t>
      </w:r>
      <w:r w:rsidR="00F32B28">
        <w:rPr>
          <w:rtl/>
        </w:rPr>
        <w:t xml:space="preserve"> </w:t>
      </w:r>
      <w:r w:rsidR="00F32B28" w:rsidRPr="00F32B28">
        <w:rPr>
          <w:rtl/>
        </w:rPr>
        <w:t>تراخيص</w:t>
      </w:r>
      <w:r w:rsidR="00F32B28">
        <w:rPr>
          <w:rtl/>
        </w:rPr>
        <w:t xml:space="preserve"> </w:t>
      </w:r>
      <w:r w:rsidR="00F32B28" w:rsidRPr="00F32B28">
        <w:rPr>
          <w:rtl/>
        </w:rPr>
        <w:t>إسرائيلية</w:t>
      </w:r>
      <w:r w:rsidR="00F32B28">
        <w:rPr>
          <w:rtl/>
        </w:rPr>
        <w:t xml:space="preserve"> </w:t>
      </w:r>
      <w:r w:rsidR="00F32B28" w:rsidRPr="00F32B28">
        <w:rPr>
          <w:rtl/>
        </w:rPr>
        <w:t>للبناء،</w:t>
      </w:r>
      <w:r w:rsidR="00F32B28">
        <w:rPr>
          <w:rtl/>
        </w:rPr>
        <w:t xml:space="preserve"> </w:t>
      </w:r>
      <w:r w:rsidR="00F32B28" w:rsidRPr="00F32B28">
        <w:rPr>
          <w:rtl/>
        </w:rPr>
        <w:t>مما</w:t>
      </w:r>
      <w:r w:rsidR="00F32B28">
        <w:rPr>
          <w:rtl/>
        </w:rPr>
        <w:t xml:space="preserve"> </w:t>
      </w:r>
      <w:r w:rsidR="00F32B28" w:rsidRPr="00F32B28">
        <w:rPr>
          <w:rtl/>
        </w:rPr>
        <w:t>أدى</w:t>
      </w:r>
      <w:r w:rsidR="00F32B28">
        <w:rPr>
          <w:rtl/>
        </w:rPr>
        <w:t xml:space="preserve"> </w:t>
      </w:r>
      <w:r w:rsidR="00F32B28" w:rsidRPr="00F32B28">
        <w:rPr>
          <w:rtl/>
        </w:rPr>
        <w:t>إلى</w:t>
      </w:r>
      <w:r w:rsidR="00F32B28">
        <w:rPr>
          <w:rtl/>
        </w:rPr>
        <w:t xml:space="preserve"> </w:t>
      </w:r>
      <w:r w:rsidR="00F32B28" w:rsidRPr="00F32B28">
        <w:rPr>
          <w:rtl/>
        </w:rPr>
        <w:t>تهجير</w:t>
      </w:r>
      <w:r w:rsidR="00F32B28">
        <w:rPr>
          <w:rtl/>
        </w:rPr>
        <w:t xml:space="preserve"> </w:t>
      </w:r>
      <w:r w:rsidR="00F32B28" w:rsidRPr="00F32B28">
        <w:rPr>
          <w:rtl/>
        </w:rPr>
        <w:t>815</w:t>
      </w:r>
      <w:r w:rsidR="00F32B28">
        <w:rPr>
          <w:rtl/>
        </w:rPr>
        <w:t xml:space="preserve"> </w:t>
      </w:r>
      <w:r w:rsidR="00F32B28" w:rsidRPr="00F32B28">
        <w:rPr>
          <w:rtl/>
        </w:rPr>
        <w:t>شخصا</w:t>
      </w:r>
      <w:r w:rsidR="00F32B28" w:rsidRPr="00F32B28">
        <w:rPr>
          <w:rtl/>
          <w:lang w:bidi="ar-SY"/>
        </w:rPr>
        <w:t>ً</w:t>
      </w:r>
      <w:r w:rsidR="00F32B28">
        <w:rPr>
          <w:rtl/>
        </w:rPr>
        <w:t xml:space="preserve"> </w:t>
      </w:r>
      <w:r w:rsidR="00F32B28" w:rsidRPr="00F32B28">
        <w:rPr>
          <w:rtl/>
        </w:rPr>
        <w:t>أكثر</w:t>
      </w:r>
      <w:r w:rsidR="00F32B28">
        <w:rPr>
          <w:rtl/>
        </w:rPr>
        <w:t xml:space="preserve"> </w:t>
      </w:r>
      <w:r w:rsidR="00F32B28" w:rsidRPr="00F32B28">
        <w:rPr>
          <w:rtl/>
        </w:rPr>
        <w:t>من</w:t>
      </w:r>
      <w:r w:rsidR="00F32B28">
        <w:rPr>
          <w:rtl/>
        </w:rPr>
        <w:t xml:space="preserve"> </w:t>
      </w:r>
      <w:r w:rsidR="00F32B28" w:rsidRPr="00F32B28">
        <w:rPr>
          <w:rtl/>
        </w:rPr>
        <w:t>نصفهم</w:t>
      </w:r>
      <w:r w:rsidR="00F32B28">
        <w:rPr>
          <w:rtl/>
        </w:rPr>
        <w:t xml:space="preserve"> </w:t>
      </w:r>
      <w:r w:rsidR="00F32B28" w:rsidRPr="00F32B28">
        <w:rPr>
          <w:rtl/>
        </w:rPr>
        <w:t>أطفال.</w:t>
      </w:r>
      <w:r w:rsidR="00F32B28">
        <w:rPr>
          <w:rtl/>
        </w:rPr>
        <w:t xml:space="preserve"> </w:t>
      </w:r>
      <w:r w:rsidR="00F32B28" w:rsidRPr="00F32B28">
        <w:rPr>
          <w:rtl/>
        </w:rPr>
        <w:t>هذا</w:t>
      </w:r>
      <w:r w:rsidR="00F32B28">
        <w:rPr>
          <w:rtl/>
        </w:rPr>
        <w:t xml:space="preserve"> </w:t>
      </w:r>
      <w:r w:rsidR="00F32B28" w:rsidRPr="00F32B28">
        <w:rPr>
          <w:rtl/>
        </w:rPr>
        <w:t>فيما</w:t>
      </w:r>
      <w:r w:rsidR="00F32B28">
        <w:rPr>
          <w:rtl/>
        </w:rPr>
        <w:t xml:space="preserve"> </w:t>
      </w:r>
      <w:r w:rsidR="00F32B28" w:rsidRPr="00F32B28">
        <w:rPr>
          <w:rtl/>
        </w:rPr>
        <w:t>عدا</w:t>
      </w:r>
      <w:r w:rsidR="00F32B28">
        <w:rPr>
          <w:rtl/>
        </w:rPr>
        <w:t xml:space="preserve"> </w:t>
      </w:r>
      <w:r w:rsidR="00F32B28" w:rsidRPr="00F32B28">
        <w:rPr>
          <w:rtl/>
        </w:rPr>
        <w:t>عن</w:t>
      </w:r>
      <w:r w:rsidR="00F32B28">
        <w:rPr>
          <w:rtl/>
        </w:rPr>
        <w:t xml:space="preserve"> </w:t>
      </w:r>
      <w:r w:rsidR="00F32B28" w:rsidRPr="00F32B28">
        <w:rPr>
          <w:rtl/>
        </w:rPr>
        <w:t>افتقار</w:t>
      </w:r>
      <w:r w:rsidR="00F32B28">
        <w:rPr>
          <w:rtl/>
        </w:rPr>
        <w:t xml:space="preserve"> </w:t>
      </w:r>
      <w:r w:rsidR="00F32B28" w:rsidRPr="00F32B28">
        <w:rPr>
          <w:rtl/>
        </w:rPr>
        <w:t>مجمعات</w:t>
      </w:r>
      <w:r w:rsidR="00F32B28">
        <w:rPr>
          <w:rtl/>
        </w:rPr>
        <w:t xml:space="preserve"> </w:t>
      </w:r>
      <w:r w:rsidR="00F32B28" w:rsidRPr="00F32B28">
        <w:rPr>
          <w:rtl/>
        </w:rPr>
        <w:t>السكان</w:t>
      </w:r>
      <w:r w:rsidR="00F32B28">
        <w:rPr>
          <w:rtl/>
        </w:rPr>
        <w:t xml:space="preserve"> </w:t>
      </w:r>
      <w:r w:rsidR="00F32B28" w:rsidRPr="00F32B28">
        <w:rPr>
          <w:rtl/>
        </w:rPr>
        <w:t>الفلسطينيين</w:t>
      </w:r>
      <w:r w:rsidR="00F32B28">
        <w:rPr>
          <w:rtl/>
        </w:rPr>
        <w:t xml:space="preserve"> </w:t>
      </w:r>
      <w:r w:rsidR="00F32B28" w:rsidRPr="00F32B28">
        <w:rPr>
          <w:rtl/>
        </w:rPr>
        <w:t>هذه</w:t>
      </w:r>
      <w:r w:rsidR="00F32B28">
        <w:rPr>
          <w:rtl/>
        </w:rPr>
        <w:t xml:space="preserve"> </w:t>
      </w:r>
      <w:r w:rsidR="00F32B28" w:rsidRPr="00F32B28">
        <w:rPr>
          <w:rtl/>
        </w:rPr>
        <w:t>لأية</w:t>
      </w:r>
      <w:r w:rsidR="00F32B28">
        <w:rPr>
          <w:rtl/>
        </w:rPr>
        <w:t xml:space="preserve"> </w:t>
      </w:r>
      <w:r w:rsidR="00F32B28" w:rsidRPr="00F32B28">
        <w:rPr>
          <w:rtl/>
        </w:rPr>
        <w:t>خدمات</w:t>
      </w:r>
      <w:r w:rsidR="00F32B28">
        <w:rPr>
          <w:rtl/>
        </w:rPr>
        <w:t xml:space="preserve"> </w:t>
      </w:r>
      <w:r w:rsidR="00F32B28" w:rsidRPr="00F32B28">
        <w:rPr>
          <w:rtl/>
        </w:rPr>
        <w:t>أو</w:t>
      </w:r>
      <w:r w:rsidR="00F32B28">
        <w:rPr>
          <w:rtl/>
        </w:rPr>
        <w:t xml:space="preserve"> </w:t>
      </w:r>
      <w:r w:rsidR="00F32B28" w:rsidRPr="00F32B28">
        <w:rPr>
          <w:rtl/>
        </w:rPr>
        <w:t>شبكة</w:t>
      </w:r>
      <w:r w:rsidR="00F32B28">
        <w:rPr>
          <w:rtl/>
        </w:rPr>
        <w:t xml:space="preserve"> </w:t>
      </w:r>
      <w:r w:rsidR="00F32B28" w:rsidRPr="00F32B28">
        <w:rPr>
          <w:rtl/>
        </w:rPr>
        <w:t>بنى</w:t>
      </w:r>
      <w:r w:rsidR="00F32B28">
        <w:rPr>
          <w:rtl/>
        </w:rPr>
        <w:t xml:space="preserve"> </w:t>
      </w:r>
      <w:r w:rsidR="00F32B28" w:rsidRPr="00F32B28">
        <w:rPr>
          <w:rtl/>
        </w:rPr>
        <w:t>تحتية</w:t>
      </w:r>
      <w:r w:rsidR="00F32B28">
        <w:rPr>
          <w:rtl/>
        </w:rPr>
        <w:t xml:space="preserve"> </w:t>
      </w:r>
      <w:r w:rsidR="00F32B28" w:rsidRPr="00F32B28">
        <w:rPr>
          <w:rtl/>
        </w:rPr>
        <w:t>ملائمة.</w:t>
      </w:r>
    </w:p>
    <w:p w:rsidR="00F32B28" w:rsidRPr="00F32B28" w:rsidRDefault="00851F93" w:rsidP="00851F93">
      <w:pPr>
        <w:pStyle w:val="SingleTxt"/>
        <w:rPr>
          <w:rtl/>
        </w:rPr>
      </w:pPr>
      <w:r>
        <w:rPr>
          <w:rFonts w:hint="cs"/>
          <w:rtl/>
        </w:rPr>
        <w:t xml:space="preserve">276 - </w:t>
      </w:r>
      <w:r w:rsidR="00F32B28" w:rsidRPr="00F32B28">
        <w:rPr>
          <w:rtl/>
        </w:rPr>
        <w:t>يواجه</w:t>
      </w:r>
      <w:r w:rsidR="00F32B28">
        <w:rPr>
          <w:rtl/>
        </w:rPr>
        <w:t xml:space="preserve"> </w:t>
      </w:r>
      <w:r w:rsidR="00F32B28" w:rsidRPr="00F32B28">
        <w:rPr>
          <w:rtl/>
        </w:rPr>
        <w:t>آلاف</w:t>
      </w:r>
      <w:r w:rsidR="00F32B28">
        <w:rPr>
          <w:rtl/>
        </w:rPr>
        <w:t xml:space="preserve"> </w:t>
      </w:r>
      <w:r w:rsidR="00F32B28" w:rsidRPr="00F32B28">
        <w:rPr>
          <w:rtl/>
        </w:rPr>
        <w:t>الفلسطينيون</w:t>
      </w:r>
      <w:r w:rsidR="00F32B28">
        <w:rPr>
          <w:rtl/>
        </w:rPr>
        <w:t xml:space="preserve"> </w:t>
      </w:r>
      <w:r w:rsidR="00F32B28" w:rsidRPr="00F32B28">
        <w:rPr>
          <w:rtl/>
        </w:rPr>
        <w:t>والفلسطينيات</w:t>
      </w:r>
      <w:r w:rsidR="00F32B28">
        <w:rPr>
          <w:rtl/>
        </w:rPr>
        <w:t xml:space="preserve"> </w:t>
      </w:r>
      <w:r w:rsidR="00F32B28" w:rsidRPr="00F32B28">
        <w:rPr>
          <w:rtl/>
        </w:rPr>
        <w:t>من</w:t>
      </w:r>
      <w:r w:rsidR="00F32B28">
        <w:rPr>
          <w:rtl/>
        </w:rPr>
        <w:t xml:space="preserve"> </w:t>
      </w:r>
      <w:r w:rsidR="00F32B28" w:rsidRPr="00F32B28">
        <w:rPr>
          <w:rtl/>
        </w:rPr>
        <w:t>جماعات</w:t>
      </w:r>
      <w:r w:rsidR="00F32B28">
        <w:rPr>
          <w:rtl/>
        </w:rPr>
        <w:t xml:space="preserve"> </w:t>
      </w:r>
      <w:r w:rsidR="00F32B28" w:rsidRPr="00F32B28">
        <w:rPr>
          <w:rtl/>
        </w:rPr>
        <w:t>البدو</w:t>
      </w:r>
      <w:r w:rsidR="00F32B28">
        <w:rPr>
          <w:rtl/>
        </w:rPr>
        <w:t xml:space="preserve"> </w:t>
      </w:r>
      <w:r w:rsidR="00F32B28" w:rsidRPr="00F32B28">
        <w:rPr>
          <w:rtl/>
        </w:rPr>
        <w:t>والرعاة</w:t>
      </w:r>
      <w:r w:rsidR="00F32B28">
        <w:rPr>
          <w:rtl/>
        </w:rPr>
        <w:t xml:space="preserve"> </w:t>
      </w:r>
      <w:r w:rsidR="00F32B28" w:rsidRPr="00F32B28">
        <w:rPr>
          <w:rtl/>
        </w:rPr>
        <w:t>المقيمة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القدس</w:t>
      </w:r>
      <w:r w:rsidR="00F32B28">
        <w:rPr>
          <w:rtl/>
        </w:rPr>
        <w:t xml:space="preserve"> </w:t>
      </w:r>
      <w:r w:rsidR="00F32B28" w:rsidRPr="00F32B28">
        <w:rPr>
          <w:rtl/>
        </w:rPr>
        <w:t>الشرقية،</w:t>
      </w:r>
      <w:r w:rsidR="00F32B28">
        <w:rPr>
          <w:rtl/>
        </w:rPr>
        <w:t xml:space="preserve"> </w:t>
      </w:r>
      <w:r w:rsidR="00F32B28" w:rsidRPr="00F32B28">
        <w:rPr>
          <w:rtl/>
        </w:rPr>
        <w:t>خطر</w:t>
      </w:r>
      <w:r w:rsidR="00F32B28">
        <w:rPr>
          <w:rtl/>
        </w:rPr>
        <w:t xml:space="preserve"> </w:t>
      </w:r>
      <w:r w:rsidR="00F32B28" w:rsidRPr="00F32B28">
        <w:rPr>
          <w:rtl/>
        </w:rPr>
        <w:t>الترحيل</w:t>
      </w:r>
      <w:r w:rsidR="00F32B28">
        <w:rPr>
          <w:rtl/>
        </w:rPr>
        <w:t xml:space="preserve"> </w:t>
      </w:r>
      <w:r w:rsidR="00F32B28" w:rsidRPr="00F32B28">
        <w:rPr>
          <w:rtl/>
        </w:rPr>
        <w:t>القسري</w:t>
      </w:r>
      <w:r w:rsidR="00F32B28">
        <w:rPr>
          <w:rtl/>
        </w:rPr>
        <w:t xml:space="preserve"> </w:t>
      </w:r>
      <w:r w:rsidR="00F32B28" w:rsidRPr="00F32B28">
        <w:rPr>
          <w:rtl/>
        </w:rPr>
        <w:t>بموجب</w:t>
      </w:r>
      <w:r w:rsidR="00F32B28">
        <w:rPr>
          <w:rtl/>
        </w:rPr>
        <w:t xml:space="preserve"> </w:t>
      </w:r>
      <w:r w:rsidR="00F32B28" w:rsidRPr="00F32B28">
        <w:rPr>
          <w:rtl/>
        </w:rPr>
        <w:t>مخططات</w:t>
      </w:r>
      <w:r>
        <w:rPr>
          <w:rFonts w:hint="cs"/>
          <w:rtl/>
        </w:rPr>
        <w:t xml:space="preserve"> </w:t>
      </w:r>
      <w:r w:rsidR="00F32B28" w:rsidRPr="00F32B28">
        <w:rPr>
          <w:rtl/>
        </w:rPr>
        <w:t>عنصرية</w:t>
      </w:r>
      <w:r w:rsidR="00F32B28">
        <w:rPr>
          <w:rtl/>
        </w:rPr>
        <w:t xml:space="preserve"> </w:t>
      </w:r>
      <w:r w:rsidR="00F32B28" w:rsidRPr="00F32B28">
        <w:rPr>
          <w:rtl/>
        </w:rPr>
        <w:t>غير</w:t>
      </w:r>
      <w:r w:rsidR="00F32B28">
        <w:rPr>
          <w:rtl/>
        </w:rPr>
        <w:t xml:space="preserve"> </w:t>
      </w:r>
      <w:r w:rsidR="00F32B28" w:rsidRPr="00F32B28">
        <w:rPr>
          <w:rtl/>
        </w:rPr>
        <w:t>قانونية،</w:t>
      </w:r>
      <w:r w:rsidR="00F32B28">
        <w:rPr>
          <w:rtl/>
        </w:rPr>
        <w:t xml:space="preserve"> </w:t>
      </w:r>
      <w:r w:rsidR="00F32B28" w:rsidRPr="00F32B28">
        <w:rPr>
          <w:rtl/>
        </w:rPr>
        <w:t>تسعى</w:t>
      </w:r>
      <w:r w:rsidR="00F32B28">
        <w:rPr>
          <w:rtl/>
        </w:rPr>
        <w:t xml:space="preserve"> </w:t>
      </w:r>
      <w:r w:rsidR="00F32B28" w:rsidRPr="00F32B28">
        <w:rPr>
          <w:rtl/>
        </w:rPr>
        <w:t>إسرائيل،</w:t>
      </w:r>
      <w:r w:rsidR="00F32B28">
        <w:rPr>
          <w:rtl/>
        </w:rPr>
        <w:t xml:space="preserve"> </w:t>
      </w:r>
      <w:r w:rsidR="00F32B28" w:rsidRPr="00F32B28">
        <w:rPr>
          <w:rtl/>
        </w:rPr>
        <w:t>السلطة</w:t>
      </w:r>
      <w:r w:rsidR="00F32B28">
        <w:rPr>
          <w:rtl/>
        </w:rPr>
        <w:t xml:space="preserve"> </w:t>
      </w:r>
      <w:r w:rsidR="00F32B28" w:rsidRPr="00F32B28">
        <w:rPr>
          <w:rtl/>
        </w:rPr>
        <w:t>القائمة</w:t>
      </w:r>
      <w:r w:rsidR="00F32B28">
        <w:rPr>
          <w:rtl/>
        </w:rPr>
        <w:t xml:space="preserve"> </w:t>
      </w:r>
      <w:r w:rsidR="00F32B28" w:rsidRPr="00F32B28">
        <w:rPr>
          <w:rtl/>
        </w:rPr>
        <w:t>بالاحتلال،</w:t>
      </w:r>
      <w:r w:rsidR="00F32B28">
        <w:rPr>
          <w:rtl/>
        </w:rPr>
        <w:t xml:space="preserve"> </w:t>
      </w:r>
      <w:r w:rsidR="00F32B28" w:rsidRPr="00F32B28">
        <w:rPr>
          <w:rtl/>
        </w:rPr>
        <w:t>إلى</w:t>
      </w:r>
      <w:r w:rsidR="00F32B28">
        <w:rPr>
          <w:rtl/>
        </w:rPr>
        <w:t xml:space="preserve"> </w:t>
      </w:r>
      <w:r w:rsidR="00F32B28" w:rsidRPr="00F32B28">
        <w:rPr>
          <w:rtl/>
        </w:rPr>
        <w:t>إكسائها</w:t>
      </w:r>
      <w:r w:rsidR="00F32B28">
        <w:rPr>
          <w:rtl/>
        </w:rPr>
        <w:t xml:space="preserve"> </w:t>
      </w:r>
      <w:r w:rsidR="00F32B28" w:rsidRPr="00F32B28">
        <w:rPr>
          <w:rtl/>
        </w:rPr>
        <w:t>بالصفة</w:t>
      </w:r>
      <w:r w:rsidR="00F32B28">
        <w:rPr>
          <w:rtl/>
        </w:rPr>
        <w:t xml:space="preserve"> </w:t>
      </w:r>
      <w:r w:rsidR="00F32B28" w:rsidRPr="00F32B28">
        <w:rPr>
          <w:rtl/>
        </w:rPr>
        <w:t>القانونية</w:t>
      </w:r>
      <w:r w:rsidR="00F32B28">
        <w:rPr>
          <w:rtl/>
        </w:rPr>
        <w:t xml:space="preserve"> </w:t>
      </w:r>
      <w:r w:rsidR="00F32B28" w:rsidRPr="00F32B28">
        <w:rPr>
          <w:rtl/>
        </w:rPr>
        <w:t>باعتبارها</w:t>
      </w:r>
      <w:r w:rsidR="00F32B28">
        <w:rPr>
          <w:rtl/>
        </w:rPr>
        <w:t xml:space="preserve"> </w:t>
      </w:r>
      <w:r w:rsidR="00F32B28" w:rsidRPr="00F32B28">
        <w:rPr>
          <w:rtl/>
        </w:rPr>
        <w:t>برامج</w:t>
      </w:r>
      <w:r w:rsidR="00F32B28">
        <w:rPr>
          <w:rtl/>
        </w:rPr>
        <w:t xml:space="preserve"> </w:t>
      </w:r>
      <w:r w:rsidR="00F32B28" w:rsidRPr="00F32B28">
        <w:rPr>
          <w:rtl/>
        </w:rPr>
        <w:t>إعادة</w:t>
      </w:r>
      <w:r w:rsidR="00F32B28">
        <w:rPr>
          <w:rtl/>
        </w:rPr>
        <w:t xml:space="preserve"> </w:t>
      </w:r>
      <w:r w:rsidR="00F32B28" w:rsidRPr="00F32B28">
        <w:rPr>
          <w:rtl/>
        </w:rPr>
        <w:t>توطين</w:t>
      </w:r>
      <w:r w:rsidR="00F32B28">
        <w:rPr>
          <w:rtl/>
        </w:rPr>
        <w:t xml:space="preserve"> </w:t>
      </w:r>
      <w:r w:rsidR="00F32B28" w:rsidRPr="00F32B28">
        <w:rPr>
          <w:rtl/>
        </w:rPr>
        <w:t>تهدف</w:t>
      </w:r>
      <w:r w:rsidR="00F32B28">
        <w:rPr>
          <w:rtl/>
        </w:rPr>
        <w:t xml:space="preserve"> </w:t>
      </w:r>
      <w:r w:rsidR="00F32B28" w:rsidRPr="00F32B28">
        <w:rPr>
          <w:rtl/>
        </w:rPr>
        <w:t>إلى</w:t>
      </w:r>
      <w:r w:rsidR="00F32B28">
        <w:rPr>
          <w:rtl/>
        </w:rPr>
        <w:t xml:space="preserve"> </w:t>
      </w:r>
      <w:r w:rsidR="00F32B28" w:rsidRPr="00F32B28">
        <w:rPr>
          <w:rtl/>
        </w:rPr>
        <w:t>خدمة</w:t>
      </w:r>
      <w:r w:rsidR="00F32B28">
        <w:rPr>
          <w:rtl/>
        </w:rPr>
        <w:t xml:space="preserve"> </w:t>
      </w:r>
      <w:r w:rsidR="00F32B28" w:rsidRPr="00F32B28">
        <w:rPr>
          <w:rtl/>
        </w:rPr>
        <w:t>التجمعات</w:t>
      </w:r>
      <w:r w:rsidR="00F32B28">
        <w:rPr>
          <w:rtl/>
        </w:rPr>
        <w:t xml:space="preserve"> </w:t>
      </w:r>
      <w:r w:rsidR="00F32B28" w:rsidRPr="00F32B28">
        <w:rPr>
          <w:rtl/>
        </w:rPr>
        <w:t>البدوية</w:t>
      </w:r>
      <w:r w:rsidR="00F32B28">
        <w:rPr>
          <w:rtl/>
        </w:rPr>
        <w:t xml:space="preserve"> </w:t>
      </w:r>
      <w:r w:rsidR="00F32B28" w:rsidRPr="00F32B28">
        <w:rPr>
          <w:rtl/>
        </w:rPr>
        <w:t>وتحسين</w:t>
      </w:r>
      <w:r w:rsidR="00F32B28">
        <w:rPr>
          <w:rtl/>
        </w:rPr>
        <w:t xml:space="preserve"> </w:t>
      </w:r>
      <w:r w:rsidR="00F32B28" w:rsidRPr="00F32B28">
        <w:rPr>
          <w:rtl/>
        </w:rPr>
        <w:t>ظروفهم</w:t>
      </w:r>
      <w:r w:rsidR="00F32B28">
        <w:rPr>
          <w:rtl/>
        </w:rPr>
        <w:t xml:space="preserve"> </w:t>
      </w:r>
      <w:r w:rsidR="00F32B28" w:rsidRPr="00F32B28">
        <w:rPr>
          <w:rtl/>
        </w:rPr>
        <w:t>المعيشية،</w:t>
      </w:r>
      <w:r w:rsidR="00F32B28">
        <w:rPr>
          <w:rtl/>
        </w:rPr>
        <w:t xml:space="preserve"> </w:t>
      </w:r>
      <w:r w:rsidR="00F32B28" w:rsidRPr="00F32B28">
        <w:rPr>
          <w:rtl/>
        </w:rPr>
        <w:t>إلا</w:t>
      </w:r>
      <w:r w:rsidR="00F32B28">
        <w:rPr>
          <w:rtl/>
        </w:rPr>
        <w:t xml:space="preserve"> </w:t>
      </w:r>
      <w:r w:rsidR="00F32B28" w:rsidRPr="00F32B28">
        <w:rPr>
          <w:rtl/>
        </w:rPr>
        <w:t>أنها</w:t>
      </w:r>
      <w:r w:rsidR="00F32B28">
        <w:rPr>
          <w:rtl/>
        </w:rPr>
        <w:t xml:space="preserve"> </w:t>
      </w:r>
      <w:r w:rsidR="00F32B28" w:rsidRPr="00F32B28">
        <w:rPr>
          <w:rtl/>
        </w:rPr>
        <w:t>وفي</w:t>
      </w:r>
      <w:r w:rsidR="00F32B28">
        <w:rPr>
          <w:rtl/>
        </w:rPr>
        <w:t xml:space="preserve"> </w:t>
      </w:r>
      <w:r w:rsidR="00F32B28" w:rsidRPr="00F32B28">
        <w:rPr>
          <w:rtl/>
        </w:rPr>
        <w:t>حقيقتها</w:t>
      </w:r>
      <w:r w:rsidR="00F32B28">
        <w:rPr>
          <w:rtl/>
        </w:rPr>
        <w:t xml:space="preserve"> </w:t>
      </w:r>
      <w:r w:rsidR="00F32B28" w:rsidRPr="00F32B28">
        <w:rPr>
          <w:rtl/>
        </w:rPr>
        <w:t>ما</w:t>
      </w:r>
      <w:r w:rsidR="00F32B28">
        <w:rPr>
          <w:rtl/>
        </w:rPr>
        <w:t xml:space="preserve"> </w:t>
      </w:r>
      <w:r w:rsidR="00F32B28" w:rsidRPr="00F32B28">
        <w:rPr>
          <w:rtl/>
        </w:rPr>
        <w:t>هي</w:t>
      </w:r>
      <w:r w:rsidR="00F32B28">
        <w:rPr>
          <w:rtl/>
        </w:rPr>
        <w:t xml:space="preserve"> </w:t>
      </w:r>
      <w:r w:rsidR="00F32B28" w:rsidRPr="00F32B28">
        <w:rPr>
          <w:rtl/>
        </w:rPr>
        <w:t>إلا</w:t>
      </w:r>
      <w:r w:rsidR="00F32B28">
        <w:rPr>
          <w:rtl/>
        </w:rPr>
        <w:t xml:space="preserve"> </w:t>
      </w:r>
      <w:r w:rsidR="00F32B28" w:rsidRPr="00F32B28">
        <w:rPr>
          <w:rtl/>
        </w:rPr>
        <w:t>مخططات</w:t>
      </w:r>
      <w:r w:rsidR="00F32B28">
        <w:rPr>
          <w:rtl/>
        </w:rPr>
        <w:t xml:space="preserve"> </w:t>
      </w:r>
      <w:r w:rsidR="00F32B28" w:rsidRPr="00F32B28">
        <w:rPr>
          <w:rtl/>
        </w:rPr>
        <w:t>استيطانية</w:t>
      </w:r>
      <w:r w:rsidR="00F32B28">
        <w:rPr>
          <w:rtl/>
        </w:rPr>
        <w:t xml:space="preserve"> </w:t>
      </w:r>
      <w:r w:rsidR="00F32B28" w:rsidRPr="00F32B28">
        <w:rPr>
          <w:rtl/>
        </w:rPr>
        <w:t>تهدف</w:t>
      </w:r>
      <w:r w:rsidR="00F32B28">
        <w:rPr>
          <w:rtl/>
        </w:rPr>
        <w:t xml:space="preserve"> </w:t>
      </w:r>
      <w:r w:rsidR="00F32B28" w:rsidRPr="00F32B28">
        <w:rPr>
          <w:rtl/>
        </w:rPr>
        <w:t>إلى</w:t>
      </w:r>
      <w:r w:rsidR="00F32B28">
        <w:rPr>
          <w:rtl/>
        </w:rPr>
        <w:t xml:space="preserve"> </w:t>
      </w:r>
      <w:r w:rsidR="00F32B28" w:rsidRPr="00F32B28">
        <w:rPr>
          <w:rtl/>
        </w:rPr>
        <w:t>تفريغ</w:t>
      </w:r>
      <w:r w:rsidR="00F32B28">
        <w:rPr>
          <w:rtl/>
        </w:rPr>
        <w:t xml:space="preserve"> </w:t>
      </w:r>
      <w:r w:rsidR="00F32B28" w:rsidRPr="00F32B28">
        <w:rPr>
          <w:rtl/>
        </w:rPr>
        <w:t>الأرض</w:t>
      </w:r>
      <w:r w:rsidR="00F32B28">
        <w:rPr>
          <w:rtl/>
        </w:rPr>
        <w:t xml:space="preserve"> </w:t>
      </w:r>
      <w:r w:rsidR="00F32B28" w:rsidRPr="00F32B28">
        <w:rPr>
          <w:rtl/>
        </w:rPr>
        <w:t>من</w:t>
      </w:r>
      <w:r w:rsidR="00F32B28">
        <w:rPr>
          <w:rtl/>
        </w:rPr>
        <w:t xml:space="preserve"> </w:t>
      </w:r>
      <w:r w:rsidR="00F32B28" w:rsidRPr="00F32B28">
        <w:rPr>
          <w:rtl/>
        </w:rPr>
        <w:t>سكانها</w:t>
      </w:r>
      <w:r w:rsidR="00F32B28">
        <w:rPr>
          <w:rtl/>
        </w:rPr>
        <w:t xml:space="preserve"> </w:t>
      </w:r>
      <w:r w:rsidR="00F32B28" w:rsidRPr="00F32B28">
        <w:rPr>
          <w:rtl/>
        </w:rPr>
        <w:t>الفلسطينيين</w:t>
      </w:r>
      <w:r w:rsidR="00F32B28">
        <w:rPr>
          <w:rtl/>
        </w:rPr>
        <w:t xml:space="preserve"> </w:t>
      </w:r>
      <w:r w:rsidR="00F32B28" w:rsidRPr="00F32B28">
        <w:rPr>
          <w:rtl/>
        </w:rPr>
        <w:t>وإقامة</w:t>
      </w:r>
      <w:r w:rsidR="00F32B28">
        <w:rPr>
          <w:rtl/>
        </w:rPr>
        <w:t xml:space="preserve"> </w:t>
      </w:r>
      <w:r w:rsidR="00F32B28" w:rsidRPr="00F32B28">
        <w:rPr>
          <w:rtl/>
        </w:rPr>
        <w:t>بؤر</w:t>
      </w:r>
      <w:r w:rsidR="00F32B28">
        <w:rPr>
          <w:rtl/>
        </w:rPr>
        <w:t xml:space="preserve"> </w:t>
      </w:r>
      <w:r w:rsidR="00F32B28" w:rsidRPr="00F32B28">
        <w:rPr>
          <w:rtl/>
        </w:rPr>
        <w:t>استيطانية</w:t>
      </w:r>
      <w:r w:rsidR="00F32B28">
        <w:rPr>
          <w:rtl/>
        </w:rPr>
        <w:t xml:space="preserve"> </w:t>
      </w:r>
      <w:r w:rsidR="00F32B28" w:rsidRPr="00F32B28">
        <w:rPr>
          <w:rtl/>
        </w:rPr>
        <w:t>متواصلة</w:t>
      </w:r>
      <w:r w:rsidR="00F32B28">
        <w:rPr>
          <w:rtl/>
        </w:rPr>
        <w:t xml:space="preserve"> </w:t>
      </w:r>
      <w:r w:rsidR="00F32B28" w:rsidRPr="00F32B28">
        <w:rPr>
          <w:rtl/>
        </w:rPr>
        <w:t>من</w:t>
      </w:r>
      <w:r w:rsidR="00F32B28">
        <w:rPr>
          <w:rtl/>
        </w:rPr>
        <w:t xml:space="preserve"> </w:t>
      </w:r>
      <w:r w:rsidR="00F32B28" w:rsidRPr="00F32B28">
        <w:rPr>
          <w:rtl/>
        </w:rPr>
        <w:t>شأنها</w:t>
      </w:r>
      <w:r w:rsidR="00F32B28">
        <w:rPr>
          <w:rtl/>
        </w:rPr>
        <w:t xml:space="preserve"> </w:t>
      </w:r>
      <w:r w:rsidR="00F32B28" w:rsidRPr="00F32B28">
        <w:rPr>
          <w:rtl/>
        </w:rPr>
        <w:t>تقويض</w:t>
      </w:r>
      <w:r w:rsidR="00F32B28">
        <w:rPr>
          <w:rtl/>
        </w:rPr>
        <w:t xml:space="preserve"> </w:t>
      </w:r>
      <w:r w:rsidR="00F32B28" w:rsidRPr="00F32B28">
        <w:rPr>
          <w:rtl/>
        </w:rPr>
        <w:t>التواصل</w:t>
      </w:r>
      <w:r w:rsidR="00F32B28">
        <w:rPr>
          <w:rtl/>
        </w:rPr>
        <w:t xml:space="preserve"> </w:t>
      </w:r>
      <w:r w:rsidR="00F32B28" w:rsidRPr="00F32B28">
        <w:rPr>
          <w:rtl/>
        </w:rPr>
        <w:t>الجغرافي</w:t>
      </w:r>
      <w:r w:rsidR="00F32B28">
        <w:rPr>
          <w:rtl/>
        </w:rPr>
        <w:t xml:space="preserve"> </w:t>
      </w:r>
      <w:r w:rsidR="00F32B28" w:rsidRPr="00F32B28">
        <w:rPr>
          <w:rtl/>
        </w:rPr>
        <w:t>لدولة</w:t>
      </w:r>
      <w:r w:rsidR="00F32B28">
        <w:rPr>
          <w:rtl/>
        </w:rPr>
        <w:t xml:space="preserve"> </w:t>
      </w:r>
      <w:r w:rsidR="00F32B28" w:rsidRPr="00F32B28">
        <w:rPr>
          <w:rtl/>
        </w:rPr>
        <w:t>فلسطين</w:t>
      </w:r>
      <w:r w:rsidR="00F32B28">
        <w:rPr>
          <w:rtl/>
        </w:rPr>
        <w:t xml:space="preserve"> </w:t>
      </w:r>
      <w:r w:rsidR="00F32B28" w:rsidRPr="00F32B28">
        <w:rPr>
          <w:rtl/>
        </w:rPr>
        <w:t>المحتلة.</w:t>
      </w:r>
      <w:r w:rsidR="00F32B28">
        <w:rPr>
          <w:rtl/>
        </w:rPr>
        <w:t xml:space="preserve"> </w:t>
      </w:r>
      <w:r w:rsidR="00F32B28" w:rsidRPr="00F32B28">
        <w:rPr>
          <w:rtl/>
        </w:rPr>
        <w:t>وتنطوي</w:t>
      </w:r>
      <w:r w:rsidR="00F32B28">
        <w:rPr>
          <w:rtl/>
        </w:rPr>
        <w:t xml:space="preserve"> </w:t>
      </w:r>
      <w:r w:rsidR="00F32B28" w:rsidRPr="00F32B28">
        <w:rPr>
          <w:rtl/>
        </w:rPr>
        <w:t>هذه</w:t>
      </w:r>
      <w:r w:rsidR="00F32B28">
        <w:rPr>
          <w:rtl/>
        </w:rPr>
        <w:t xml:space="preserve"> </w:t>
      </w:r>
      <w:r w:rsidR="00F32B28" w:rsidRPr="00F32B28">
        <w:rPr>
          <w:rtl/>
        </w:rPr>
        <w:t>المخططات</w:t>
      </w:r>
      <w:r>
        <w:rPr>
          <w:rFonts w:hint="cs"/>
          <w:rtl/>
        </w:rPr>
        <w:t xml:space="preserve"> </w:t>
      </w:r>
      <w:r w:rsidR="00F32B28" w:rsidRPr="00F32B28">
        <w:rPr>
          <w:rtl/>
        </w:rPr>
        <w:t>بطبيعتها</w:t>
      </w:r>
      <w:r w:rsidR="00F32B28">
        <w:rPr>
          <w:rtl/>
        </w:rPr>
        <w:t xml:space="preserve"> </w:t>
      </w:r>
      <w:r w:rsidR="00F32B28" w:rsidRPr="00F32B28">
        <w:rPr>
          <w:rtl/>
        </w:rPr>
        <w:t>على</w:t>
      </w:r>
      <w:r w:rsidR="00F32B28">
        <w:rPr>
          <w:rtl/>
        </w:rPr>
        <w:t xml:space="preserve"> </w:t>
      </w:r>
      <w:r w:rsidR="00F32B28" w:rsidRPr="00F32B28">
        <w:rPr>
          <w:rtl/>
        </w:rPr>
        <w:t>مصادرة</w:t>
      </w:r>
      <w:r w:rsidR="00F32B28">
        <w:rPr>
          <w:rtl/>
        </w:rPr>
        <w:t xml:space="preserve"> </w:t>
      </w:r>
      <w:r w:rsidR="00F32B28" w:rsidRPr="00F32B28">
        <w:rPr>
          <w:rtl/>
        </w:rPr>
        <w:lastRenderedPageBreak/>
        <w:t>الممتلكات</w:t>
      </w:r>
      <w:r w:rsidR="00F32B28">
        <w:rPr>
          <w:rtl/>
        </w:rPr>
        <w:t xml:space="preserve"> </w:t>
      </w:r>
      <w:r w:rsidR="00F32B28" w:rsidRPr="00F32B28">
        <w:rPr>
          <w:rtl/>
        </w:rPr>
        <w:t>الخاصة</w:t>
      </w:r>
      <w:r w:rsidR="00F32B28">
        <w:rPr>
          <w:rtl/>
        </w:rPr>
        <w:t xml:space="preserve"> </w:t>
      </w:r>
      <w:r w:rsidR="00F32B28" w:rsidRPr="00F32B28">
        <w:rPr>
          <w:rtl/>
        </w:rPr>
        <w:t>للبدو</w:t>
      </w:r>
      <w:r w:rsidR="00F32B28">
        <w:rPr>
          <w:rtl/>
        </w:rPr>
        <w:t xml:space="preserve"> </w:t>
      </w:r>
      <w:r w:rsidR="00F32B28" w:rsidRPr="00F32B28">
        <w:rPr>
          <w:rtl/>
        </w:rPr>
        <w:t>وتدميرها؛</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المنازل</w:t>
      </w:r>
      <w:r w:rsidR="00F32B28">
        <w:rPr>
          <w:rtl/>
        </w:rPr>
        <w:t xml:space="preserve"> </w:t>
      </w:r>
      <w:r w:rsidR="00F32B28" w:rsidRPr="00F32B28">
        <w:rPr>
          <w:rtl/>
        </w:rPr>
        <w:t>والهياكل</w:t>
      </w:r>
      <w:r w:rsidR="00F32B28">
        <w:rPr>
          <w:rtl/>
        </w:rPr>
        <w:t xml:space="preserve"> </w:t>
      </w:r>
      <w:r w:rsidR="00F32B28" w:rsidRPr="00F32B28">
        <w:rPr>
          <w:rtl/>
        </w:rPr>
        <w:t>المعيشية</w:t>
      </w:r>
      <w:r w:rsidR="00F32B28">
        <w:rPr>
          <w:rtl/>
        </w:rPr>
        <w:t xml:space="preserve"> </w:t>
      </w:r>
      <w:r w:rsidR="00F32B28" w:rsidRPr="00F32B28">
        <w:rPr>
          <w:rtl/>
        </w:rPr>
        <w:t>وحظائر</w:t>
      </w:r>
      <w:r w:rsidR="00F32B28">
        <w:rPr>
          <w:rtl/>
        </w:rPr>
        <w:t xml:space="preserve"> </w:t>
      </w:r>
      <w:r w:rsidR="00F32B28" w:rsidRPr="00F32B28">
        <w:rPr>
          <w:rtl/>
        </w:rPr>
        <w:t>الماشية</w:t>
      </w:r>
      <w:r w:rsidR="00F32B28">
        <w:rPr>
          <w:rtl/>
        </w:rPr>
        <w:t xml:space="preserve"> </w:t>
      </w:r>
      <w:r w:rsidR="00F32B28" w:rsidRPr="00F32B28">
        <w:rPr>
          <w:rtl/>
        </w:rPr>
        <w:t>وكذلك</w:t>
      </w:r>
      <w:r w:rsidR="00F32B28">
        <w:rPr>
          <w:rtl/>
        </w:rPr>
        <w:t xml:space="preserve"> </w:t>
      </w:r>
      <w:r w:rsidR="00F32B28" w:rsidRPr="00F32B28">
        <w:rPr>
          <w:rtl/>
        </w:rPr>
        <w:t>مرافق</w:t>
      </w:r>
      <w:r w:rsidR="00F32B28">
        <w:rPr>
          <w:rtl/>
        </w:rPr>
        <w:t xml:space="preserve"> </w:t>
      </w:r>
      <w:r w:rsidR="00F32B28" w:rsidRPr="00F32B28">
        <w:rPr>
          <w:rtl/>
        </w:rPr>
        <w:t>الخدمات</w:t>
      </w:r>
      <w:r w:rsidR="00F32B28">
        <w:rPr>
          <w:rtl/>
        </w:rPr>
        <w:t xml:space="preserve"> </w:t>
      </w:r>
      <w:r w:rsidR="00F32B28" w:rsidRPr="00F32B28">
        <w:rPr>
          <w:rtl/>
        </w:rPr>
        <w:t>الأساسية</w:t>
      </w:r>
      <w:r w:rsidR="00F32B28">
        <w:rPr>
          <w:rtl/>
        </w:rPr>
        <w:t xml:space="preserve"> </w:t>
      </w:r>
      <w:r w:rsidR="00F32B28" w:rsidRPr="00F32B28">
        <w:rPr>
          <w:rtl/>
        </w:rPr>
        <w:t>والبنى</w:t>
      </w:r>
      <w:r w:rsidR="00F32B28">
        <w:rPr>
          <w:rtl/>
        </w:rPr>
        <w:t xml:space="preserve"> </w:t>
      </w:r>
      <w:r w:rsidR="00F32B28" w:rsidRPr="00F32B28">
        <w:rPr>
          <w:rtl/>
        </w:rPr>
        <w:t>التحتية.</w:t>
      </w:r>
    </w:p>
    <w:p w:rsidR="00F32B28" w:rsidRPr="00F32B28" w:rsidRDefault="00851F93" w:rsidP="00851F93">
      <w:pPr>
        <w:pStyle w:val="SingleTxt"/>
        <w:rPr>
          <w:rtl/>
        </w:rPr>
      </w:pPr>
      <w:r>
        <w:rPr>
          <w:rFonts w:hint="cs"/>
          <w:rtl/>
        </w:rPr>
        <w:t xml:space="preserve">277 - </w:t>
      </w:r>
      <w:r w:rsidR="00F32B28" w:rsidRPr="00F32B28">
        <w:rPr>
          <w:rtl/>
        </w:rPr>
        <w:t>وتسعى</w:t>
      </w:r>
      <w:r w:rsidR="00F32B28">
        <w:rPr>
          <w:rtl/>
        </w:rPr>
        <w:t xml:space="preserve"> </w:t>
      </w:r>
      <w:r w:rsidR="00F32B28" w:rsidRPr="00F32B28">
        <w:rPr>
          <w:rtl/>
        </w:rPr>
        <w:t>إسرائيل</w:t>
      </w:r>
      <w:r w:rsidR="00F32B28">
        <w:rPr>
          <w:rtl/>
        </w:rPr>
        <w:t xml:space="preserve"> </w:t>
      </w:r>
      <w:r w:rsidR="00F32B28" w:rsidRPr="00F32B28">
        <w:rPr>
          <w:rtl/>
        </w:rPr>
        <w:t>حالياً</w:t>
      </w:r>
      <w:r w:rsidR="00F32B28">
        <w:rPr>
          <w:rtl/>
        </w:rPr>
        <w:t xml:space="preserve"> </w:t>
      </w:r>
      <w:r w:rsidR="00F32B28" w:rsidRPr="00F32B28">
        <w:rPr>
          <w:rtl/>
        </w:rPr>
        <w:t>إلى</w:t>
      </w:r>
      <w:r w:rsidR="00F32B28">
        <w:rPr>
          <w:rtl/>
        </w:rPr>
        <w:t xml:space="preserve"> </w:t>
      </w:r>
      <w:r w:rsidR="00F32B28" w:rsidRPr="00F32B28">
        <w:rPr>
          <w:rtl/>
        </w:rPr>
        <w:t>ترحيل</w:t>
      </w:r>
      <w:r w:rsidR="00F32B28">
        <w:rPr>
          <w:rtl/>
        </w:rPr>
        <w:t xml:space="preserve"> </w:t>
      </w:r>
      <w:r w:rsidR="00F32B28" w:rsidRPr="00F32B28">
        <w:rPr>
          <w:rtl/>
        </w:rPr>
        <w:t>حوالي</w:t>
      </w:r>
      <w:r w:rsidR="00F32B28">
        <w:rPr>
          <w:rtl/>
        </w:rPr>
        <w:t xml:space="preserve"> </w:t>
      </w:r>
      <w:r w:rsidR="00F32B28" w:rsidRPr="00F32B28">
        <w:rPr>
          <w:rtl/>
        </w:rPr>
        <w:t>46</w:t>
      </w:r>
      <w:r w:rsidR="00F32B28">
        <w:rPr>
          <w:rtl/>
        </w:rPr>
        <w:t xml:space="preserve"> </w:t>
      </w:r>
      <w:r w:rsidR="00F32B28" w:rsidRPr="00F32B28">
        <w:rPr>
          <w:rtl/>
        </w:rPr>
        <w:t>تجمعاً</w:t>
      </w:r>
      <w:r w:rsidR="00F32B28">
        <w:rPr>
          <w:rtl/>
        </w:rPr>
        <w:t xml:space="preserve"> </w:t>
      </w:r>
      <w:r w:rsidR="00F32B28" w:rsidRPr="00F32B28">
        <w:rPr>
          <w:rtl/>
        </w:rPr>
        <w:t>بدوياً</w:t>
      </w:r>
      <w:r w:rsidR="00F32B28">
        <w:rPr>
          <w:rtl/>
        </w:rPr>
        <w:t xml:space="preserve"> </w:t>
      </w:r>
      <w:r w:rsidR="00F32B28" w:rsidRPr="00F32B28">
        <w:rPr>
          <w:rtl/>
        </w:rPr>
        <w:t>يقطنها</w:t>
      </w:r>
      <w:r w:rsidR="00F32B28">
        <w:rPr>
          <w:rtl/>
        </w:rPr>
        <w:t xml:space="preserve"> </w:t>
      </w:r>
      <w:r w:rsidR="00F32B28" w:rsidRPr="00F32B28">
        <w:rPr>
          <w:rtl/>
        </w:rPr>
        <w:t>ما</w:t>
      </w:r>
      <w:r w:rsidR="00F32B28">
        <w:rPr>
          <w:rtl/>
        </w:rPr>
        <w:t xml:space="preserve"> </w:t>
      </w:r>
      <w:r w:rsidR="00F32B28" w:rsidRPr="00F32B28">
        <w:rPr>
          <w:rtl/>
        </w:rPr>
        <w:t>بين</w:t>
      </w:r>
      <w:r w:rsidR="00F32B28">
        <w:rPr>
          <w:rtl/>
        </w:rPr>
        <w:t xml:space="preserve"> </w:t>
      </w:r>
      <w:r w:rsidR="00F32B28" w:rsidRPr="00F32B28">
        <w:rPr>
          <w:rtl/>
        </w:rPr>
        <w:t>(</w:t>
      </w:r>
      <w:r w:rsidR="004C698D">
        <w:rPr>
          <w:rFonts w:hint="cs"/>
          <w:rtl/>
        </w:rPr>
        <w:t>000 5</w:t>
      </w:r>
      <w:r w:rsidR="00F32B28" w:rsidRPr="00F32B28">
        <w:rPr>
          <w:rtl/>
        </w:rPr>
        <w:t>)</w:t>
      </w:r>
      <w:r w:rsidR="00F32B28">
        <w:rPr>
          <w:rtl/>
        </w:rPr>
        <w:t xml:space="preserve"> </w:t>
      </w:r>
      <w:r w:rsidR="00F32B28" w:rsidRPr="00F32B28">
        <w:rPr>
          <w:rtl/>
        </w:rPr>
        <w:t>إلى</w:t>
      </w:r>
      <w:r w:rsidR="00F32B28">
        <w:rPr>
          <w:rtl/>
        </w:rPr>
        <w:t xml:space="preserve"> </w:t>
      </w:r>
      <w:r w:rsidR="00F32B28" w:rsidRPr="00F32B28">
        <w:rPr>
          <w:rtl/>
        </w:rPr>
        <w:t>(</w:t>
      </w:r>
      <w:r w:rsidR="004C698D">
        <w:rPr>
          <w:rFonts w:hint="cs"/>
          <w:rtl/>
        </w:rPr>
        <w:t>000</w:t>
      </w:r>
      <w:r w:rsidR="004C698D">
        <w:rPr>
          <w:rFonts w:hint="eastAsia"/>
          <w:rtl/>
        </w:rPr>
        <w:t> </w:t>
      </w:r>
      <w:r w:rsidR="004C698D">
        <w:rPr>
          <w:rFonts w:hint="cs"/>
          <w:rtl/>
        </w:rPr>
        <w:t>11</w:t>
      </w:r>
      <w:r w:rsidR="00F32B28" w:rsidRPr="00F32B28">
        <w:rPr>
          <w:rtl/>
        </w:rPr>
        <w:t>)</w:t>
      </w:r>
      <w:r w:rsidR="00F32B28">
        <w:rPr>
          <w:rtl/>
        </w:rPr>
        <w:t xml:space="preserve"> </w:t>
      </w:r>
      <w:r w:rsidR="00F32B28" w:rsidRPr="00F32B28">
        <w:rPr>
          <w:rtl/>
        </w:rPr>
        <w:t>شخص،</w:t>
      </w:r>
      <w:r w:rsidR="00F32B28">
        <w:rPr>
          <w:rtl/>
        </w:rPr>
        <w:t xml:space="preserve"> </w:t>
      </w:r>
      <w:r w:rsidR="00F32B28" w:rsidRPr="00F32B28">
        <w:rPr>
          <w:rtl/>
        </w:rPr>
        <w:t>أكثر</w:t>
      </w:r>
      <w:r w:rsidR="00F32B28">
        <w:rPr>
          <w:rtl/>
        </w:rPr>
        <w:t xml:space="preserve"> </w:t>
      </w:r>
      <w:r w:rsidR="00F32B28" w:rsidRPr="00F32B28">
        <w:rPr>
          <w:rtl/>
        </w:rPr>
        <w:t>من</w:t>
      </w:r>
      <w:r w:rsidR="00F32B28">
        <w:rPr>
          <w:rtl/>
        </w:rPr>
        <w:t xml:space="preserve"> </w:t>
      </w:r>
      <w:r w:rsidR="00F32B28" w:rsidRPr="00F32B28">
        <w:rPr>
          <w:rtl/>
        </w:rPr>
        <w:t>ثلثيهم</w:t>
      </w:r>
      <w:r w:rsidR="00F32B28">
        <w:rPr>
          <w:rtl/>
        </w:rPr>
        <w:t xml:space="preserve"> </w:t>
      </w:r>
      <w:r w:rsidR="00F32B28" w:rsidRPr="00F32B28">
        <w:rPr>
          <w:rtl/>
        </w:rPr>
        <w:t>من</w:t>
      </w:r>
      <w:r w:rsidR="00F32B28">
        <w:rPr>
          <w:rtl/>
        </w:rPr>
        <w:t xml:space="preserve"> </w:t>
      </w:r>
      <w:r w:rsidR="00F32B28" w:rsidRPr="00F32B28">
        <w:rPr>
          <w:rtl/>
        </w:rPr>
        <w:t>النساء</w:t>
      </w:r>
      <w:r w:rsidR="00F32B28">
        <w:rPr>
          <w:rtl/>
        </w:rPr>
        <w:t xml:space="preserve"> </w:t>
      </w:r>
      <w:r w:rsidR="00F32B28" w:rsidRPr="00F32B28">
        <w:rPr>
          <w:rtl/>
        </w:rPr>
        <w:t>والأطفال،</w:t>
      </w:r>
      <w:r w:rsidR="00F32B28">
        <w:rPr>
          <w:rtl/>
        </w:rPr>
        <w:t xml:space="preserve"> </w:t>
      </w:r>
      <w:r w:rsidR="00F32B28" w:rsidRPr="00F32B28">
        <w:rPr>
          <w:rtl/>
        </w:rPr>
        <w:t>رغماً</w:t>
      </w:r>
      <w:r w:rsidR="00F32B28">
        <w:rPr>
          <w:rtl/>
        </w:rPr>
        <w:t xml:space="preserve"> </w:t>
      </w:r>
      <w:r w:rsidR="00F32B28" w:rsidRPr="00F32B28">
        <w:rPr>
          <w:rtl/>
        </w:rPr>
        <w:t>عن</w:t>
      </w:r>
      <w:r w:rsidR="00F32B28">
        <w:rPr>
          <w:rtl/>
        </w:rPr>
        <w:t xml:space="preserve"> </w:t>
      </w:r>
      <w:r w:rsidR="00F32B28" w:rsidRPr="00F32B28">
        <w:rPr>
          <w:rtl/>
        </w:rPr>
        <w:t>إرادتهم</w:t>
      </w:r>
      <w:r w:rsidR="00F32B28">
        <w:rPr>
          <w:rtl/>
        </w:rPr>
        <w:t xml:space="preserve"> </w:t>
      </w:r>
      <w:r w:rsidR="00F32B28" w:rsidRPr="00F32B28">
        <w:rPr>
          <w:rtl/>
        </w:rPr>
        <w:t>إلى</w:t>
      </w:r>
      <w:r w:rsidR="00F32B28">
        <w:rPr>
          <w:rtl/>
        </w:rPr>
        <w:t xml:space="preserve"> </w:t>
      </w:r>
      <w:r w:rsidR="00F32B28" w:rsidRPr="00F32B28">
        <w:rPr>
          <w:rtl/>
        </w:rPr>
        <w:t>مناطق</w:t>
      </w:r>
      <w:r w:rsidR="00F32B28">
        <w:rPr>
          <w:rtl/>
        </w:rPr>
        <w:t xml:space="preserve"> </w:t>
      </w:r>
      <w:r w:rsidR="00F32B28" w:rsidRPr="00F32B28">
        <w:rPr>
          <w:rtl/>
        </w:rPr>
        <w:t>تم</w:t>
      </w:r>
      <w:r w:rsidR="00F32B28">
        <w:rPr>
          <w:rtl/>
        </w:rPr>
        <w:t xml:space="preserve"> </w:t>
      </w:r>
      <w:r w:rsidR="00F32B28" w:rsidRPr="00F32B28">
        <w:rPr>
          <w:rtl/>
        </w:rPr>
        <w:t>تحدديها</w:t>
      </w:r>
      <w:r w:rsidR="00F32B28">
        <w:rPr>
          <w:rtl/>
        </w:rPr>
        <w:t xml:space="preserve"> </w:t>
      </w:r>
      <w:r w:rsidR="00F32B28" w:rsidRPr="00F32B28">
        <w:rPr>
          <w:rtl/>
        </w:rPr>
        <w:t>من</w:t>
      </w:r>
      <w:r w:rsidR="00F32B28">
        <w:rPr>
          <w:rtl/>
        </w:rPr>
        <w:t xml:space="preserve"> </w:t>
      </w:r>
      <w:r w:rsidR="00F32B28" w:rsidRPr="00F32B28">
        <w:rPr>
          <w:rtl/>
        </w:rPr>
        <w:t>قبلها</w:t>
      </w:r>
      <w:r w:rsidR="004C698D">
        <w:rPr>
          <w:rFonts w:hint="cs"/>
          <w:rtl/>
        </w:rPr>
        <w:t xml:space="preserve"> </w:t>
      </w:r>
      <w:r w:rsidR="00F32B28" w:rsidRPr="00F32B28">
        <w:rPr>
          <w:rtl/>
        </w:rPr>
        <w:t>لا</w:t>
      </w:r>
      <w:r w:rsidR="00F32B28">
        <w:rPr>
          <w:rtl/>
        </w:rPr>
        <w:t xml:space="preserve"> </w:t>
      </w:r>
      <w:r w:rsidR="00F32B28" w:rsidRPr="00F32B28">
        <w:rPr>
          <w:rtl/>
        </w:rPr>
        <w:t>تستوفي</w:t>
      </w:r>
      <w:r w:rsidR="00F32B28">
        <w:rPr>
          <w:rtl/>
        </w:rPr>
        <w:t xml:space="preserve"> </w:t>
      </w:r>
      <w:r w:rsidR="00F32B28" w:rsidRPr="00F32B28">
        <w:rPr>
          <w:rtl/>
        </w:rPr>
        <w:t>أدنى</w:t>
      </w:r>
      <w:r w:rsidR="00F32B28">
        <w:rPr>
          <w:rtl/>
        </w:rPr>
        <w:t xml:space="preserve"> </w:t>
      </w:r>
      <w:r w:rsidR="00F32B28" w:rsidRPr="00F32B28">
        <w:rPr>
          <w:rtl/>
        </w:rPr>
        <w:t>المعايير</w:t>
      </w:r>
      <w:r w:rsidR="00F32B28">
        <w:rPr>
          <w:rtl/>
        </w:rPr>
        <w:t xml:space="preserve"> </w:t>
      </w:r>
      <w:r w:rsidR="00F32B28" w:rsidRPr="00F32B28">
        <w:rPr>
          <w:rtl/>
        </w:rPr>
        <w:t>من</w:t>
      </w:r>
      <w:r w:rsidR="00F32B28">
        <w:rPr>
          <w:rtl/>
        </w:rPr>
        <w:t xml:space="preserve"> </w:t>
      </w:r>
      <w:r w:rsidR="00F32B28" w:rsidRPr="00F32B28">
        <w:rPr>
          <w:rtl/>
        </w:rPr>
        <w:t>حيث</w:t>
      </w:r>
      <w:r w:rsidR="00F32B28">
        <w:rPr>
          <w:rtl/>
        </w:rPr>
        <w:t xml:space="preserve"> </w:t>
      </w:r>
      <w:r w:rsidR="00F32B28" w:rsidRPr="00F32B28">
        <w:rPr>
          <w:rtl/>
        </w:rPr>
        <w:t>تدهور</w:t>
      </w:r>
      <w:r w:rsidR="00F32B28">
        <w:rPr>
          <w:rtl/>
        </w:rPr>
        <w:t xml:space="preserve"> </w:t>
      </w:r>
      <w:r w:rsidR="00F32B28" w:rsidRPr="00F32B28">
        <w:rPr>
          <w:rtl/>
        </w:rPr>
        <w:t>الظروف</w:t>
      </w:r>
      <w:r w:rsidR="00F32B28">
        <w:rPr>
          <w:rtl/>
        </w:rPr>
        <w:t xml:space="preserve"> </w:t>
      </w:r>
      <w:r w:rsidR="00F32B28" w:rsidRPr="00F32B28">
        <w:rPr>
          <w:rtl/>
        </w:rPr>
        <w:t>المعيشية</w:t>
      </w:r>
      <w:r w:rsidR="00F32B28">
        <w:rPr>
          <w:rtl/>
        </w:rPr>
        <w:t xml:space="preserve"> </w:t>
      </w:r>
      <w:r w:rsidR="00F32B28" w:rsidRPr="00F32B28">
        <w:rPr>
          <w:rtl/>
        </w:rPr>
        <w:t>فيها</w:t>
      </w:r>
      <w:r w:rsidR="00F32B28">
        <w:rPr>
          <w:rtl/>
        </w:rPr>
        <w:t xml:space="preserve"> </w:t>
      </w:r>
      <w:r w:rsidR="00F32B28" w:rsidRPr="00F32B28">
        <w:rPr>
          <w:rtl/>
        </w:rPr>
        <w:t>ومحدودية</w:t>
      </w:r>
      <w:r w:rsidR="00F32B28">
        <w:rPr>
          <w:rtl/>
        </w:rPr>
        <w:t xml:space="preserve"> </w:t>
      </w:r>
      <w:r w:rsidR="00F32B28" w:rsidRPr="00F32B28">
        <w:rPr>
          <w:rtl/>
        </w:rPr>
        <w:t>مناطق</w:t>
      </w:r>
      <w:r w:rsidR="00F32B28">
        <w:rPr>
          <w:rtl/>
        </w:rPr>
        <w:t xml:space="preserve"> </w:t>
      </w:r>
      <w:r w:rsidR="00F32B28" w:rsidRPr="00F32B28">
        <w:rPr>
          <w:rtl/>
        </w:rPr>
        <w:t>الرعي</w:t>
      </w:r>
      <w:r w:rsidR="00F32B28">
        <w:rPr>
          <w:rtl/>
        </w:rPr>
        <w:t xml:space="preserve"> </w:t>
      </w:r>
      <w:r w:rsidR="00F32B28" w:rsidRPr="00F32B28">
        <w:rPr>
          <w:rtl/>
        </w:rPr>
        <w:t>وأماكن</w:t>
      </w:r>
      <w:r w:rsidR="00F32B28">
        <w:rPr>
          <w:rtl/>
        </w:rPr>
        <w:t xml:space="preserve"> </w:t>
      </w:r>
      <w:r w:rsidR="00F32B28" w:rsidRPr="00F32B28">
        <w:rPr>
          <w:rtl/>
        </w:rPr>
        <w:t>كسب</w:t>
      </w:r>
      <w:r w:rsidR="00F32B28">
        <w:rPr>
          <w:rtl/>
        </w:rPr>
        <w:t xml:space="preserve"> </w:t>
      </w:r>
      <w:r w:rsidR="00F32B28" w:rsidRPr="00F32B28">
        <w:rPr>
          <w:rtl/>
        </w:rPr>
        <w:t>الرزق</w:t>
      </w:r>
      <w:r w:rsidR="00F32B28">
        <w:rPr>
          <w:rtl/>
        </w:rPr>
        <w:t xml:space="preserve"> </w:t>
      </w:r>
      <w:r w:rsidR="00F32B28" w:rsidRPr="00F32B28">
        <w:rPr>
          <w:rtl/>
        </w:rPr>
        <w:t>ما</w:t>
      </w:r>
      <w:r w:rsidR="00F32B28">
        <w:rPr>
          <w:rtl/>
        </w:rPr>
        <w:t xml:space="preserve"> </w:t>
      </w:r>
      <w:r w:rsidR="00F32B28" w:rsidRPr="00F32B28">
        <w:rPr>
          <w:rtl/>
        </w:rPr>
        <w:t>يؤدي</w:t>
      </w:r>
      <w:r w:rsidR="00F32B28">
        <w:rPr>
          <w:rtl/>
        </w:rPr>
        <w:t xml:space="preserve"> </w:t>
      </w:r>
      <w:r w:rsidR="00F32B28" w:rsidRPr="00F32B28">
        <w:rPr>
          <w:rtl/>
        </w:rPr>
        <w:t>إلى</w:t>
      </w:r>
      <w:r w:rsidR="00F32B28">
        <w:rPr>
          <w:rtl/>
        </w:rPr>
        <w:t xml:space="preserve"> </w:t>
      </w:r>
      <w:r w:rsidR="00F32B28" w:rsidRPr="00F32B28">
        <w:rPr>
          <w:rtl/>
        </w:rPr>
        <w:t>فقدان</w:t>
      </w:r>
      <w:r w:rsidR="00F32B28">
        <w:rPr>
          <w:rtl/>
        </w:rPr>
        <w:t xml:space="preserve"> </w:t>
      </w:r>
      <w:r w:rsidR="00F32B28" w:rsidRPr="00F32B28">
        <w:rPr>
          <w:rtl/>
        </w:rPr>
        <w:t>التواصل</w:t>
      </w:r>
      <w:r w:rsidR="00F32B28">
        <w:rPr>
          <w:rtl/>
        </w:rPr>
        <w:t xml:space="preserve"> </w:t>
      </w:r>
      <w:r w:rsidR="00F32B28" w:rsidRPr="00F32B28">
        <w:rPr>
          <w:rtl/>
        </w:rPr>
        <w:t>القبلي</w:t>
      </w:r>
      <w:r w:rsidR="00F32B28">
        <w:rPr>
          <w:rtl/>
        </w:rPr>
        <w:t xml:space="preserve"> </w:t>
      </w:r>
      <w:r w:rsidR="00F32B28" w:rsidRPr="00F32B28">
        <w:rPr>
          <w:rtl/>
        </w:rPr>
        <w:t>وتقويض</w:t>
      </w:r>
      <w:r w:rsidR="00F32B28">
        <w:rPr>
          <w:rtl/>
        </w:rPr>
        <w:t xml:space="preserve"> </w:t>
      </w:r>
      <w:r w:rsidR="00F32B28" w:rsidRPr="00F32B28">
        <w:rPr>
          <w:rtl/>
        </w:rPr>
        <w:t>نمط</w:t>
      </w:r>
      <w:r w:rsidR="00F32B28">
        <w:rPr>
          <w:rtl/>
        </w:rPr>
        <w:t xml:space="preserve"> </w:t>
      </w:r>
      <w:r w:rsidR="00F32B28" w:rsidRPr="00F32B28">
        <w:rPr>
          <w:rtl/>
        </w:rPr>
        <w:t>الحياة</w:t>
      </w:r>
      <w:r w:rsidR="00F32B28">
        <w:rPr>
          <w:rtl/>
        </w:rPr>
        <w:t xml:space="preserve"> </w:t>
      </w:r>
      <w:r w:rsidR="00F32B28" w:rsidRPr="00F32B28">
        <w:rPr>
          <w:rtl/>
        </w:rPr>
        <w:t>التقليدية</w:t>
      </w:r>
      <w:r w:rsidR="00F32B28">
        <w:rPr>
          <w:rtl/>
        </w:rPr>
        <w:t xml:space="preserve"> </w:t>
      </w:r>
      <w:r w:rsidR="00F32B28" w:rsidRPr="00F32B28">
        <w:rPr>
          <w:rtl/>
        </w:rPr>
        <w:t>الخاصة،</w:t>
      </w:r>
      <w:r w:rsidR="00F32B28">
        <w:rPr>
          <w:rtl/>
        </w:rPr>
        <w:t xml:space="preserve"> </w:t>
      </w:r>
      <w:r w:rsidR="00F32B28" w:rsidRPr="00F32B28">
        <w:rPr>
          <w:rtl/>
        </w:rPr>
        <w:t>وكذلك</w:t>
      </w:r>
      <w:r w:rsidR="00F32B28">
        <w:rPr>
          <w:rtl/>
        </w:rPr>
        <w:t xml:space="preserve"> </w:t>
      </w:r>
      <w:r w:rsidR="00F32B28" w:rsidRPr="00F32B28">
        <w:rPr>
          <w:rtl/>
        </w:rPr>
        <w:t>قرب</w:t>
      </w:r>
      <w:r w:rsidR="00F32B28">
        <w:rPr>
          <w:rtl/>
        </w:rPr>
        <w:t xml:space="preserve"> </w:t>
      </w:r>
      <w:r w:rsidR="00F32B28" w:rsidRPr="00F32B28">
        <w:rPr>
          <w:rtl/>
        </w:rPr>
        <w:t>إحداها</w:t>
      </w:r>
      <w:r w:rsidR="00F32B28">
        <w:rPr>
          <w:rtl/>
        </w:rPr>
        <w:t xml:space="preserve"> </w:t>
      </w:r>
      <w:r w:rsidR="00F32B28" w:rsidRPr="00F32B28">
        <w:rPr>
          <w:rtl/>
        </w:rPr>
        <w:t>من</w:t>
      </w:r>
      <w:r w:rsidR="00F32B28">
        <w:rPr>
          <w:rtl/>
        </w:rPr>
        <w:t xml:space="preserve"> </w:t>
      </w:r>
      <w:r w:rsidR="00F32B28" w:rsidRPr="00F32B28">
        <w:rPr>
          <w:rtl/>
        </w:rPr>
        <w:t>مكب</w:t>
      </w:r>
      <w:r w:rsidR="00F32B28">
        <w:rPr>
          <w:rtl/>
        </w:rPr>
        <w:t xml:space="preserve"> </w:t>
      </w:r>
      <w:r w:rsidR="00F32B28" w:rsidRPr="00F32B28">
        <w:rPr>
          <w:rtl/>
        </w:rPr>
        <w:t>نفايات</w:t>
      </w:r>
      <w:r w:rsidR="00F32B28">
        <w:rPr>
          <w:rtl/>
        </w:rPr>
        <w:t xml:space="preserve"> </w:t>
      </w:r>
      <w:r w:rsidR="00F32B28" w:rsidRPr="00F32B28">
        <w:rPr>
          <w:rtl/>
        </w:rPr>
        <w:t>بلدي</w:t>
      </w:r>
      <w:r w:rsidR="00F32B28">
        <w:rPr>
          <w:rtl/>
        </w:rPr>
        <w:t xml:space="preserve"> </w:t>
      </w:r>
      <w:r w:rsidR="00F32B28" w:rsidRPr="00F32B28">
        <w:rPr>
          <w:rtl/>
        </w:rPr>
        <w:t>ما</w:t>
      </w:r>
      <w:r w:rsidR="00F32B28">
        <w:rPr>
          <w:rtl/>
        </w:rPr>
        <w:t xml:space="preserve"> </w:t>
      </w:r>
      <w:r w:rsidR="00F32B28" w:rsidRPr="00F32B28">
        <w:rPr>
          <w:rtl/>
        </w:rPr>
        <w:t>يشكل</w:t>
      </w:r>
      <w:r w:rsidR="00F32B28">
        <w:rPr>
          <w:rtl/>
        </w:rPr>
        <w:t xml:space="preserve"> </w:t>
      </w:r>
      <w:r w:rsidR="00F32B28" w:rsidRPr="00F32B28">
        <w:rPr>
          <w:rtl/>
        </w:rPr>
        <w:t>خطراً</w:t>
      </w:r>
      <w:r w:rsidR="00F32B28">
        <w:rPr>
          <w:rtl/>
        </w:rPr>
        <w:t xml:space="preserve"> </w:t>
      </w:r>
      <w:r w:rsidR="00F32B28" w:rsidRPr="00F32B28">
        <w:rPr>
          <w:rtl/>
        </w:rPr>
        <w:t>صحياً</w:t>
      </w:r>
      <w:r w:rsidR="00F32B28">
        <w:rPr>
          <w:rtl/>
        </w:rPr>
        <w:t xml:space="preserve"> </w:t>
      </w:r>
      <w:r w:rsidR="00F32B28" w:rsidRPr="00F32B28">
        <w:rPr>
          <w:rtl/>
        </w:rPr>
        <w:t>عليهم</w:t>
      </w:r>
      <w:r w:rsidR="00F32B28" w:rsidRPr="00F32B28">
        <w:rPr>
          <w:rtl/>
          <w:lang w:bidi="ar-SY"/>
        </w:rPr>
        <w:t>،وذلك</w:t>
      </w:r>
      <w:r w:rsidR="00F32B28">
        <w:rPr>
          <w:rtl/>
          <w:lang w:bidi="ar-SY"/>
        </w:rPr>
        <w:t xml:space="preserve"> </w:t>
      </w:r>
      <w:r w:rsidR="00F32B28" w:rsidRPr="00F32B28">
        <w:rPr>
          <w:rtl/>
          <w:lang w:bidi="ar-SY"/>
        </w:rPr>
        <w:t>كله</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إقرارها</w:t>
      </w:r>
      <w:r w:rsidR="00F32B28">
        <w:rPr>
          <w:rtl/>
          <w:lang w:bidi="ar-SY"/>
        </w:rPr>
        <w:t xml:space="preserve"> </w:t>
      </w:r>
      <w:r w:rsidR="00F32B28" w:rsidRPr="00F32B28">
        <w:rPr>
          <w:rtl/>
          <w:lang w:bidi="ar-SY"/>
        </w:rPr>
        <w:t>لما</w:t>
      </w:r>
      <w:r w:rsidR="00F32B28">
        <w:rPr>
          <w:rtl/>
          <w:lang w:bidi="ar-SY"/>
        </w:rPr>
        <w:t xml:space="preserve"> </w:t>
      </w:r>
      <w:r w:rsidR="00F32B28" w:rsidRPr="00F32B28">
        <w:rPr>
          <w:rtl/>
          <w:lang w:bidi="ar-SY"/>
        </w:rPr>
        <w:t>يسمى</w:t>
      </w:r>
      <w:r w:rsidR="00F32B28">
        <w:rPr>
          <w:rtl/>
          <w:lang w:bidi="ar-SY"/>
        </w:rPr>
        <w:t xml:space="preserve"> </w:t>
      </w:r>
      <w:r w:rsidR="00F32B28" w:rsidRPr="00F32B28">
        <w:rPr>
          <w:rtl/>
          <w:lang w:bidi="ar-SY"/>
        </w:rPr>
        <w:t>بـ</w:t>
      </w:r>
      <w:r w:rsidR="009F4D72">
        <w:rPr>
          <w:rFonts w:hint="eastAsia"/>
          <w:rtl/>
          <w:lang w:bidi="ar-SY"/>
        </w:rPr>
        <w:t> </w:t>
      </w:r>
      <w:r w:rsidR="00407D55" w:rsidRPr="00407D55">
        <w:rPr>
          <w:rFonts w:hint="eastAsia"/>
          <w:rtl/>
          <w:lang w:bidi="ar-SY"/>
        </w:rPr>
        <w:t>”</w:t>
      </w:r>
      <w:r w:rsidR="00F32B28" w:rsidRPr="00F32B28">
        <w:rPr>
          <w:rtl/>
          <w:lang w:bidi="ar-SY"/>
        </w:rPr>
        <w:t>قانون</w:t>
      </w:r>
      <w:r w:rsidR="00F32B28">
        <w:rPr>
          <w:rtl/>
          <w:lang w:bidi="ar-SY"/>
        </w:rPr>
        <w:t xml:space="preserve"> </w:t>
      </w:r>
      <w:r w:rsidR="00F32B28" w:rsidRPr="00F32B28">
        <w:rPr>
          <w:rtl/>
          <w:lang w:bidi="ar-SY"/>
        </w:rPr>
        <w:t>البدو</w:t>
      </w:r>
      <w:r w:rsidR="00407D55" w:rsidRPr="00407D55">
        <w:rPr>
          <w:rFonts w:hint="cs"/>
          <w:rtl/>
          <w:lang w:bidi="ar-SY"/>
        </w:rPr>
        <w:t>“</w:t>
      </w:r>
      <w:r w:rsidR="00F32B28" w:rsidRPr="00F32B28">
        <w:rPr>
          <w:rtl/>
          <w:lang w:bidi="ar-SY"/>
        </w:rPr>
        <w:t>،</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العلم</w:t>
      </w:r>
      <w:r w:rsidR="00F32B28">
        <w:rPr>
          <w:rtl/>
          <w:lang w:bidi="ar-SY"/>
        </w:rPr>
        <w:t xml:space="preserve"> </w:t>
      </w:r>
      <w:r w:rsidR="00F32B28" w:rsidRPr="00F32B28">
        <w:rPr>
          <w:rtl/>
          <w:lang w:bidi="ar-SY"/>
        </w:rPr>
        <w:t>بأنه</w:t>
      </w:r>
      <w:r w:rsidR="00F32B28">
        <w:rPr>
          <w:rtl/>
        </w:rPr>
        <w:t xml:space="preserve"> </w:t>
      </w:r>
      <w:r w:rsidR="00F32B28" w:rsidRPr="00F32B28">
        <w:rPr>
          <w:rtl/>
        </w:rPr>
        <w:t>ومنذ</w:t>
      </w:r>
      <w:r w:rsidR="00F32B28">
        <w:rPr>
          <w:rtl/>
        </w:rPr>
        <w:t xml:space="preserve"> </w:t>
      </w:r>
      <w:r w:rsidR="00F32B28" w:rsidRPr="00F32B28">
        <w:rPr>
          <w:rtl/>
        </w:rPr>
        <w:t>التسعينيات،</w:t>
      </w:r>
      <w:r w:rsidR="00F32B28">
        <w:rPr>
          <w:rtl/>
        </w:rPr>
        <w:t xml:space="preserve"> </w:t>
      </w:r>
      <w:r w:rsidR="00F32B28" w:rsidRPr="00F32B28">
        <w:rPr>
          <w:rtl/>
        </w:rPr>
        <w:t>رحلت</w:t>
      </w:r>
      <w:r w:rsidR="00F32B28">
        <w:rPr>
          <w:rtl/>
        </w:rPr>
        <w:t xml:space="preserve"> </w:t>
      </w:r>
      <w:r w:rsidR="00F32B28" w:rsidRPr="00F32B28">
        <w:rPr>
          <w:rtl/>
        </w:rPr>
        <w:t>إسرائيل</w:t>
      </w:r>
      <w:r w:rsidR="00F32B28">
        <w:rPr>
          <w:rtl/>
        </w:rPr>
        <w:t xml:space="preserve"> </w:t>
      </w:r>
      <w:r w:rsidR="00F32B28" w:rsidRPr="00F32B28">
        <w:rPr>
          <w:rtl/>
        </w:rPr>
        <w:t>قسراً</w:t>
      </w:r>
      <w:r w:rsidR="00F32B28">
        <w:rPr>
          <w:rtl/>
        </w:rPr>
        <w:t xml:space="preserve"> </w:t>
      </w:r>
      <w:r w:rsidR="00F32B28" w:rsidRPr="00F32B28">
        <w:rPr>
          <w:rtl/>
        </w:rPr>
        <w:t>أكثر</w:t>
      </w:r>
      <w:r w:rsidR="00F32B28">
        <w:rPr>
          <w:rtl/>
        </w:rPr>
        <w:t xml:space="preserve"> </w:t>
      </w:r>
      <w:r w:rsidR="00F32B28" w:rsidRPr="00F32B28">
        <w:rPr>
          <w:rtl/>
        </w:rPr>
        <w:t>من</w:t>
      </w:r>
      <w:r w:rsidR="00F32B28">
        <w:rPr>
          <w:rtl/>
        </w:rPr>
        <w:t xml:space="preserve"> </w:t>
      </w:r>
      <w:r w:rsidR="00F32B28" w:rsidRPr="00F32B28">
        <w:rPr>
          <w:rtl/>
        </w:rPr>
        <w:t>200</w:t>
      </w:r>
      <w:r w:rsidR="00F32B28">
        <w:rPr>
          <w:rtl/>
        </w:rPr>
        <w:t xml:space="preserve"> </w:t>
      </w:r>
      <w:r w:rsidR="00F32B28" w:rsidRPr="00F32B28">
        <w:rPr>
          <w:rtl/>
        </w:rPr>
        <w:t>عائلة</w:t>
      </w:r>
      <w:r w:rsidR="00F32B28">
        <w:rPr>
          <w:rtl/>
        </w:rPr>
        <w:t xml:space="preserve"> </w:t>
      </w:r>
      <w:r w:rsidR="00F32B28" w:rsidRPr="00F32B28">
        <w:rPr>
          <w:rtl/>
        </w:rPr>
        <w:t>بدوية</w:t>
      </w:r>
      <w:r w:rsidR="00F32B28">
        <w:rPr>
          <w:rtl/>
        </w:rPr>
        <w:t xml:space="preserve"> </w:t>
      </w:r>
      <w:r w:rsidR="00F32B28" w:rsidRPr="00F32B28">
        <w:rPr>
          <w:rtl/>
        </w:rPr>
        <w:t>فلسطينية</w:t>
      </w:r>
      <w:r w:rsidR="00F32B28">
        <w:rPr>
          <w:rtl/>
        </w:rPr>
        <w:t xml:space="preserve"> </w:t>
      </w:r>
      <w:r w:rsidR="00F32B28" w:rsidRPr="00F32B28">
        <w:rPr>
          <w:rtl/>
        </w:rPr>
        <w:t>من</w:t>
      </w:r>
      <w:r w:rsidR="00F32B28">
        <w:rPr>
          <w:rtl/>
        </w:rPr>
        <w:t xml:space="preserve"> </w:t>
      </w:r>
      <w:r w:rsidR="00F32B28" w:rsidRPr="00F32B28">
        <w:rPr>
          <w:rtl/>
        </w:rPr>
        <w:t>هذه</w:t>
      </w:r>
      <w:r w:rsidR="00F32B28">
        <w:rPr>
          <w:rtl/>
        </w:rPr>
        <w:t xml:space="preserve"> </w:t>
      </w:r>
      <w:r w:rsidR="00F32B28" w:rsidRPr="00F32B28">
        <w:rPr>
          <w:rtl/>
        </w:rPr>
        <w:t>التجمعات،</w:t>
      </w:r>
      <w:r w:rsidR="00F32B28">
        <w:rPr>
          <w:rtl/>
        </w:rPr>
        <w:t xml:space="preserve"> </w:t>
      </w:r>
      <w:r w:rsidR="00F32B28" w:rsidRPr="00F32B28">
        <w:rPr>
          <w:rtl/>
        </w:rPr>
        <w:t>بالإضافة</w:t>
      </w:r>
      <w:r w:rsidR="00F32B28">
        <w:rPr>
          <w:rtl/>
        </w:rPr>
        <w:t xml:space="preserve"> </w:t>
      </w:r>
      <w:r w:rsidR="00F32B28" w:rsidRPr="00F32B28">
        <w:rPr>
          <w:rtl/>
        </w:rPr>
        <w:t>إلى</w:t>
      </w:r>
      <w:r w:rsidR="00F32B28">
        <w:rPr>
          <w:rtl/>
        </w:rPr>
        <w:t xml:space="preserve"> </w:t>
      </w:r>
      <w:r w:rsidR="00F32B28" w:rsidRPr="00F32B28">
        <w:rPr>
          <w:rtl/>
        </w:rPr>
        <w:t>قيامها</w:t>
      </w:r>
      <w:r w:rsidR="00F32B28">
        <w:rPr>
          <w:rtl/>
        </w:rPr>
        <w:t xml:space="preserve"> </w:t>
      </w:r>
      <w:r w:rsidR="00F32B28" w:rsidRPr="00F32B28">
        <w:rPr>
          <w:rtl/>
        </w:rPr>
        <w:t>المتكرر</w:t>
      </w:r>
      <w:r w:rsidR="00F32B28">
        <w:rPr>
          <w:rtl/>
        </w:rPr>
        <w:t xml:space="preserve"> </w:t>
      </w:r>
      <w:r w:rsidR="00F32B28" w:rsidRPr="00F32B28">
        <w:rPr>
          <w:rtl/>
        </w:rPr>
        <w:t>بهدم</w:t>
      </w:r>
      <w:r w:rsidR="00F32B28">
        <w:rPr>
          <w:rtl/>
        </w:rPr>
        <w:t xml:space="preserve"> </w:t>
      </w:r>
      <w:r w:rsidR="00F32B28" w:rsidRPr="00F32B28">
        <w:rPr>
          <w:rtl/>
        </w:rPr>
        <w:t>مئات</w:t>
      </w:r>
      <w:r w:rsidR="00F32B28">
        <w:rPr>
          <w:rtl/>
        </w:rPr>
        <w:t xml:space="preserve"> </w:t>
      </w:r>
      <w:r w:rsidR="00F32B28" w:rsidRPr="00F32B28">
        <w:rPr>
          <w:rtl/>
        </w:rPr>
        <w:t>الخيم</w:t>
      </w:r>
      <w:r w:rsidR="00F32B28">
        <w:rPr>
          <w:rtl/>
        </w:rPr>
        <w:t xml:space="preserve"> </w:t>
      </w:r>
      <w:r w:rsidR="00F32B28" w:rsidRPr="00F32B28">
        <w:rPr>
          <w:rtl/>
        </w:rPr>
        <w:t>والمنشآت</w:t>
      </w:r>
      <w:r w:rsidR="00F32B28">
        <w:rPr>
          <w:rtl/>
        </w:rPr>
        <w:t xml:space="preserve"> </w:t>
      </w:r>
      <w:r w:rsidR="00F32B28" w:rsidRPr="00F32B28">
        <w:rPr>
          <w:rtl/>
        </w:rPr>
        <w:t>الزراعية</w:t>
      </w:r>
      <w:r w:rsidR="00F32B28">
        <w:rPr>
          <w:rtl/>
        </w:rPr>
        <w:t xml:space="preserve"> </w:t>
      </w:r>
      <w:r w:rsidR="00F32B28" w:rsidRPr="00F32B28">
        <w:rPr>
          <w:rtl/>
        </w:rPr>
        <w:t>والحيوانية</w:t>
      </w:r>
      <w:r w:rsidR="00F32B28">
        <w:rPr>
          <w:rtl/>
        </w:rPr>
        <w:t xml:space="preserve"> </w:t>
      </w:r>
      <w:r w:rsidR="00F32B28" w:rsidRPr="00F32B28">
        <w:rPr>
          <w:rtl/>
        </w:rPr>
        <w:t>ومرافق</w:t>
      </w:r>
      <w:r w:rsidR="00F32B28">
        <w:rPr>
          <w:rtl/>
        </w:rPr>
        <w:t xml:space="preserve"> </w:t>
      </w:r>
      <w:r w:rsidR="00F32B28" w:rsidRPr="00F32B28">
        <w:rPr>
          <w:rtl/>
        </w:rPr>
        <w:t>المياه</w:t>
      </w:r>
      <w:r w:rsidR="00F32B28">
        <w:rPr>
          <w:rtl/>
        </w:rPr>
        <w:t xml:space="preserve"> </w:t>
      </w:r>
      <w:r w:rsidR="00F32B28" w:rsidRPr="00F32B28">
        <w:rPr>
          <w:rtl/>
        </w:rPr>
        <w:t>والصرف</w:t>
      </w:r>
      <w:r w:rsidR="00F32B28">
        <w:rPr>
          <w:rtl/>
        </w:rPr>
        <w:t xml:space="preserve"> </w:t>
      </w:r>
      <w:r w:rsidR="00F32B28" w:rsidRPr="00F32B28">
        <w:rPr>
          <w:rtl/>
        </w:rPr>
        <w:t>الصحي</w:t>
      </w:r>
      <w:r w:rsidR="00F32B28">
        <w:rPr>
          <w:rtl/>
        </w:rPr>
        <w:t xml:space="preserve"> </w:t>
      </w:r>
      <w:r w:rsidR="00F32B28" w:rsidRPr="00F32B28">
        <w:rPr>
          <w:rtl/>
        </w:rPr>
        <w:t>بحجة</w:t>
      </w:r>
      <w:r w:rsidR="00F32B28">
        <w:rPr>
          <w:rtl/>
        </w:rPr>
        <w:t xml:space="preserve"> </w:t>
      </w:r>
      <w:r w:rsidR="00F32B28" w:rsidRPr="00F32B28">
        <w:rPr>
          <w:rtl/>
        </w:rPr>
        <w:t>عدم</w:t>
      </w:r>
      <w:r w:rsidR="00F32B28">
        <w:rPr>
          <w:rtl/>
        </w:rPr>
        <w:t xml:space="preserve"> </w:t>
      </w:r>
      <w:r w:rsidR="00F32B28" w:rsidRPr="00F32B28">
        <w:rPr>
          <w:rtl/>
        </w:rPr>
        <w:t>الترخيص</w:t>
      </w:r>
      <w:r w:rsidR="00F32B28">
        <w:rPr>
          <w:rtl/>
        </w:rPr>
        <w:t xml:space="preserve"> </w:t>
      </w:r>
      <w:r w:rsidR="00F32B28" w:rsidRPr="00F32B28">
        <w:rPr>
          <w:rtl/>
        </w:rPr>
        <w:t>والتواجد</w:t>
      </w:r>
      <w:r w:rsidR="00F32B28">
        <w:rPr>
          <w:rtl/>
        </w:rPr>
        <w:t xml:space="preserve"> </w:t>
      </w:r>
      <w:r w:rsidR="00F32B28" w:rsidRPr="00F32B28">
        <w:rPr>
          <w:rtl/>
        </w:rPr>
        <w:t>بشكل</w:t>
      </w:r>
      <w:r w:rsidR="00F32B28">
        <w:rPr>
          <w:rtl/>
        </w:rPr>
        <w:t xml:space="preserve"> </w:t>
      </w:r>
      <w:r w:rsidR="00F32B28" w:rsidRPr="00F32B28">
        <w:rPr>
          <w:rtl/>
        </w:rPr>
        <w:t>غير</w:t>
      </w:r>
      <w:r w:rsidR="00F32B28">
        <w:rPr>
          <w:rtl/>
        </w:rPr>
        <w:t xml:space="preserve"> </w:t>
      </w:r>
      <w:r w:rsidR="00F32B28" w:rsidRPr="00F32B28">
        <w:rPr>
          <w:rtl/>
        </w:rPr>
        <w:t>قانوني</w:t>
      </w:r>
      <w:r w:rsidR="00F32B28">
        <w:rPr>
          <w:rtl/>
        </w:rPr>
        <w:t xml:space="preserve"> </w:t>
      </w:r>
      <w:r w:rsidR="00F32B28" w:rsidRPr="00F32B28">
        <w:rPr>
          <w:rtl/>
        </w:rPr>
        <w:t>في</w:t>
      </w:r>
      <w:r w:rsidR="00F32B28">
        <w:rPr>
          <w:rtl/>
        </w:rPr>
        <w:t xml:space="preserve"> </w:t>
      </w:r>
      <w:r w:rsidR="00F32B28" w:rsidRPr="00F32B28">
        <w:rPr>
          <w:rtl/>
        </w:rPr>
        <w:t>المناطق</w:t>
      </w:r>
      <w:r w:rsidR="00F32B28">
        <w:rPr>
          <w:rtl/>
        </w:rPr>
        <w:t xml:space="preserve"> </w:t>
      </w:r>
      <w:r w:rsidR="00F32B28" w:rsidRPr="00F32B28">
        <w:rPr>
          <w:rtl/>
        </w:rPr>
        <w:t>المسماة</w:t>
      </w:r>
      <w:r w:rsidR="00F32B28">
        <w:rPr>
          <w:rtl/>
        </w:rPr>
        <w:t xml:space="preserve"> </w:t>
      </w:r>
      <w:r w:rsidR="00F32B28" w:rsidRPr="00F32B28">
        <w:rPr>
          <w:rtl/>
        </w:rPr>
        <w:t>(ج).</w:t>
      </w:r>
    </w:p>
    <w:p w:rsidR="00F32B28" w:rsidRPr="00F32B28" w:rsidRDefault="00851F93" w:rsidP="00851F93">
      <w:pPr>
        <w:pStyle w:val="SingleTxt"/>
      </w:pPr>
      <w:r>
        <w:rPr>
          <w:rFonts w:hint="cs"/>
          <w:rtl/>
        </w:rPr>
        <w:t xml:space="preserve">278 - </w:t>
      </w:r>
      <w:r w:rsidR="00F32B28" w:rsidRPr="00F32B28">
        <w:rPr>
          <w:rtl/>
        </w:rPr>
        <w:t>وإلى</w:t>
      </w:r>
      <w:r w:rsidR="00F32B28">
        <w:rPr>
          <w:rtl/>
        </w:rPr>
        <w:t xml:space="preserve"> </w:t>
      </w:r>
      <w:r w:rsidR="00F32B28" w:rsidRPr="00F32B28">
        <w:rPr>
          <w:rtl/>
        </w:rPr>
        <w:t>جانب</w:t>
      </w:r>
      <w:r w:rsidR="00407D55">
        <w:rPr>
          <w:rFonts w:hint="cs"/>
          <w:rtl/>
        </w:rPr>
        <w:t xml:space="preserve"> </w:t>
      </w:r>
      <w:r w:rsidR="00F32B28" w:rsidRPr="00F32B28">
        <w:rPr>
          <w:rtl/>
        </w:rPr>
        <w:t>هذه</w:t>
      </w:r>
      <w:r w:rsidR="00F32B28">
        <w:rPr>
          <w:rtl/>
        </w:rPr>
        <w:t xml:space="preserve"> </w:t>
      </w:r>
      <w:r w:rsidR="00F32B28" w:rsidRPr="00F32B28">
        <w:rPr>
          <w:rtl/>
        </w:rPr>
        <w:t>المخططات</w:t>
      </w:r>
      <w:r w:rsidR="00F32B28">
        <w:rPr>
          <w:rtl/>
        </w:rPr>
        <w:t xml:space="preserve"> </w:t>
      </w:r>
      <w:r w:rsidR="00F32B28" w:rsidRPr="00F32B28">
        <w:rPr>
          <w:rtl/>
        </w:rPr>
        <w:t>العنصرية،</w:t>
      </w:r>
      <w:r w:rsidR="00F32B28">
        <w:rPr>
          <w:rtl/>
        </w:rPr>
        <w:t xml:space="preserve"> </w:t>
      </w:r>
      <w:r w:rsidR="00F32B28" w:rsidRPr="00F32B28">
        <w:rPr>
          <w:rtl/>
        </w:rPr>
        <w:t>تتبع</w:t>
      </w:r>
      <w:r w:rsidR="00F32B28">
        <w:rPr>
          <w:rtl/>
        </w:rPr>
        <w:t xml:space="preserve"> </w:t>
      </w:r>
      <w:r w:rsidR="00F32B28" w:rsidRPr="00F32B28">
        <w:rPr>
          <w:rtl/>
        </w:rPr>
        <w:t>إسرائيل،</w:t>
      </w:r>
      <w:r w:rsidR="00F32B28">
        <w:rPr>
          <w:rtl/>
        </w:rPr>
        <w:t xml:space="preserve"> </w:t>
      </w:r>
      <w:r w:rsidR="00F32B28" w:rsidRPr="00F32B28">
        <w:rPr>
          <w:rtl/>
        </w:rPr>
        <w:t>السلطة</w:t>
      </w:r>
      <w:r w:rsidR="00F32B28">
        <w:rPr>
          <w:rtl/>
        </w:rPr>
        <w:t xml:space="preserve"> </w:t>
      </w:r>
      <w:r w:rsidR="00F32B28" w:rsidRPr="00F32B28">
        <w:rPr>
          <w:rtl/>
        </w:rPr>
        <w:t>القائمة</w:t>
      </w:r>
      <w:r w:rsidR="00F32B28">
        <w:rPr>
          <w:rtl/>
        </w:rPr>
        <w:t xml:space="preserve"> </w:t>
      </w:r>
      <w:r w:rsidR="00F32B28" w:rsidRPr="00F32B28">
        <w:rPr>
          <w:rtl/>
        </w:rPr>
        <w:t>بالاحتلال،</w:t>
      </w:r>
      <w:r w:rsidR="00F32B28">
        <w:rPr>
          <w:rtl/>
        </w:rPr>
        <w:t xml:space="preserve"> </w:t>
      </w:r>
      <w:r w:rsidR="00F32B28" w:rsidRPr="00F32B28">
        <w:rPr>
          <w:rtl/>
        </w:rPr>
        <w:t>شتى</w:t>
      </w:r>
      <w:r w:rsidR="00F32B28">
        <w:rPr>
          <w:rtl/>
        </w:rPr>
        <w:t xml:space="preserve"> </w:t>
      </w:r>
      <w:r w:rsidR="00F32B28" w:rsidRPr="00F32B28">
        <w:rPr>
          <w:rtl/>
        </w:rPr>
        <w:t>السياسات</w:t>
      </w:r>
      <w:r w:rsidR="00F32B28">
        <w:rPr>
          <w:rtl/>
        </w:rPr>
        <w:t xml:space="preserve"> </w:t>
      </w:r>
      <w:r w:rsidR="00F32B28" w:rsidRPr="00F32B28">
        <w:rPr>
          <w:rtl/>
        </w:rPr>
        <w:t>والممارسات</w:t>
      </w:r>
      <w:r w:rsidR="00F32B28">
        <w:rPr>
          <w:rtl/>
        </w:rPr>
        <w:t xml:space="preserve"> </w:t>
      </w:r>
      <w:r w:rsidR="00F32B28" w:rsidRPr="00F32B28">
        <w:rPr>
          <w:rtl/>
        </w:rPr>
        <w:t>غير</w:t>
      </w:r>
      <w:r w:rsidR="00F32B28">
        <w:rPr>
          <w:rtl/>
        </w:rPr>
        <w:t xml:space="preserve"> </w:t>
      </w:r>
      <w:r w:rsidR="00F32B28" w:rsidRPr="00F32B28">
        <w:rPr>
          <w:rtl/>
        </w:rPr>
        <w:t>القانونية</w:t>
      </w:r>
      <w:r w:rsidR="00F32B28">
        <w:rPr>
          <w:rtl/>
        </w:rPr>
        <w:t xml:space="preserve"> </w:t>
      </w:r>
      <w:r w:rsidR="00F32B28" w:rsidRPr="00F32B28">
        <w:rPr>
          <w:rtl/>
        </w:rPr>
        <w:t>التي</w:t>
      </w:r>
      <w:r w:rsidR="00F32B28">
        <w:rPr>
          <w:rtl/>
        </w:rPr>
        <w:t xml:space="preserve"> </w:t>
      </w:r>
      <w:r w:rsidR="00F32B28" w:rsidRPr="00F32B28">
        <w:rPr>
          <w:rtl/>
        </w:rPr>
        <w:t>من</w:t>
      </w:r>
      <w:r w:rsidR="00F32B28">
        <w:rPr>
          <w:rtl/>
        </w:rPr>
        <w:t xml:space="preserve"> </w:t>
      </w:r>
      <w:r w:rsidR="00F32B28" w:rsidRPr="00F32B28">
        <w:rPr>
          <w:rtl/>
        </w:rPr>
        <w:t>شأنها</w:t>
      </w:r>
      <w:r w:rsidR="00F32B28">
        <w:rPr>
          <w:rtl/>
        </w:rPr>
        <w:t xml:space="preserve"> </w:t>
      </w:r>
      <w:r w:rsidR="00F32B28" w:rsidRPr="00F32B28">
        <w:rPr>
          <w:rtl/>
        </w:rPr>
        <w:t>تعزيز</w:t>
      </w:r>
      <w:r w:rsidR="00F32B28">
        <w:rPr>
          <w:rtl/>
        </w:rPr>
        <w:t xml:space="preserve"> </w:t>
      </w:r>
      <w:r w:rsidR="00F32B28" w:rsidRPr="00F32B28">
        <w:rPr>
          <w:rtl/>
        </w:rPr>
        <w:t>خططها</w:t>
      </w:r>
      <w:r w:rsidR="00F32B28">
        <w:rPr>
          <w:rtl/>
        </w:rPr>
        <w:t xml:space="preserve"> </w:t>
      </w:r>
      <w:r w:rsidR="00F32B28" w:rsidRPr="00F32B28">
        <w:rPr>
          <w:rtl/>
        </w:rPr>
        <w:t>لترحيل</w:t>
      </w:r>
      <w:r w:rsidR="00F32B28">
        <w:rPr>
          <w:rtl/>
        </w:rPr>
        <w:t xml:space="preserve"> </w:t>
      </w:r>
      <w:r w:rsidR="00F32B28" w:rsidRPr="00F32B28">
        <w:rPr>
          <w:rtl/>
        </w:rPr>
        <w:t>البدو</w:t>
      </w:r>
      <w:r w:rsidR="00F32B28">
        <w:rPr>
          <w:rtl/>
        </w:rPr>
        <w:t xml:space="preserve"> </w:t>
      </w:r>
      <w:r w:rsidR="00F32B28" w:rsidRPr="00F32B28">
        <w:rPr>
          <w:rtl/>
        </w:rPr>
        <w:t>الفلسطينيين</w:t>
      </w:r>
      <w:r w:rsidR="00F32B28">
        <w:rPr>
          <w:rtl/>
        </w:rPr>
        <w:t xml:space="preserve"> </w:t>
      </w:r>
      <w:r w:rsidR="00F32B28" w:rsidRPr="00F32B28">
        <w:rPr>
          <w:rtl/>
        </w:rPr>
        <w:t>عبر</w:t>
      </w:r>
      <w:r w:rsidR="00F32B28">
        <w:rPr>
          <w:rtl/>
        </w:rPr>
        <w:t xml:space="preserve"> </w:t>
      </w:r>
      <w:r w:rsidR="00F32B28" w:rsidRPr="00F32B28">
        <w:rPr>
          <w:rtl/>
        </w:rPr>
        <w:t>خلق</w:t>
      </w:r>
      <w:r w:rsidR="00F32B28">
        <w:rPr>
          <w:rtl/>
        </w:rPr>
        <w:t xml:space="preserve"> </w:t>
      </w:r>
      <w:r w:rsidR="00F32B28" w:rsidRPr="00F32B28">
        <w:rPr>
          <w:rtl/>
        </w:rPr>
        <w:t>بيئة</w:t>
      </w:r>
      <w:r w:rsidR="00F32B28">
        <w:rPr>
          <w:rtl/>
        </w:rPr>
        <w:t xml:space="preserve"> </w:t>
      </w:r>
      <w:r w:rsidR="00F32B28" w:rsidRPr="00F32B28">
        <w:rPr>
          <w:rtl/>
        </w:rPr>
        <w:t>إكراه</w:t>
      </w:r>
      <w:r w:rsidR="00F32B28">
        <w:rPr>
          <w:rtl/>
        </w:rPr>
        <w:t xml:space="preserve"> </w:t>
      </w:r>
      <w:r w:rsidR="00F32B28" w:rsidRPr="00F32B28">
        <w:rPr>
          <w:rtl/>
        </w:rPr>
        <w:t>وظروف</w:t>
      </w:r>
      <w:r w:rsidR="00F32B28">
        <w:rPr>
          <w:rtl/>
        </w:rPr>
        <w:t xml:space="preserve"> </w:t>
      </w:r>
      <w:r w:rsidR="00F32B28" w:rsidRPr="00F32B28">
        <w:rPr>
          <w:rtl/>
        </w:rPr>
        <w:t>معيشية</w:t>
      </w:r>
      <w:r w:rsidR="00F32B28">
        <w:rPr>
          <w:rtl/>
        </w:rPr>
        <w:t xml:space="preserve"> </w:t>
      </w:r>
      <w:r w:rsidR="00F32B28" w:rsidRPr="00F32B28">
        <w:rPr>
          <w:rtl/>
        </w:rPr>
        <w:t>طاردة</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وعلى</w:t>
      </w:r>
      <w:r w:rsidR="00F32B28">
        <w:rPr>
          <w:rtl/>
        </w:rPr>
        <w:t xml:space="preserve"> </w:t>
      </w:r>
      <w:r w:rsidR="00F32B28" w:rsidRPr="00F32B28">
        <w:rPr>
          <w:rtl/>
        </w:rPr>
        <w:t>سبيل</w:t>
      </w:r>
      <w:r w:rsidR="00F32B28">
        <w:rPr>
          <w:rtl/>
        </w:rPr>
        <w:t xml:space="preserve"> </w:t>
      </w:r>
      <w:r w:rsidR="00F32B28" w:rsidRPr="00F32B28">
        <w:rPr>
          <w:rtl/>
        </w:rPr>
        <w:t>المثال</w:t>
      </w:r>
      <w:r w:rsidR="00F32B28">
        <w:rPr>
          <w:rtl/>
        </w:rPr>
        <w:t xml:space="preserve"> </w:t>
      </w:r>
      <w:r w:rsidR="00F32B28" w:rsidRPr="00F32B28">
        <w:rPr>
          <w:rtl/>
        </w:rPr>
        <w:t>لا</w:t>
      </w:r>
      <w:r w:rsidR="00F32B28">
        <w:rPr>
          <w:rtl/>
        </w:rPr>
        <w:t xml:space="preserve"> </w:t>
      </w:r>
      <w:r w:rsidR="00F32B28" w:rsidRPr="00F32B28">
        <w:rPr>
          <w:rtl/>
        </w:rPr>
        <w:t>الحصر،</w:t>
      </w:r>
      <w:r w:rsidR="00407D55">
        <w:rPr>
          <w:rFonts w:hint="cs"/>
          <w:rtl/>
        </w:rPr>
        <w:t xml:space="preserve"> </w:t>
      </w:r>
      <w:r w:rsidR="00F32B28" w:rsidRPr="00F32B28">
        <w:rPr>
          <w:rtl/>
        </w:rPr>
        <w:t>رفضها</w:t>
      </w:r>
      <w:r w:rsidR="00407D55">
        <w:rPr>
          <w:rFonts w:hint="cs"/>
          <w:rtl/>
        </w:rPr>
        <w:t xml:space="preserve"> </w:t>
      </w:r>
      <w:r w:rsidR="00F32B28" w:rsidRPr="00F32B28">
        <w:rPr>
          <w:rtl/>
        </w:rPr>
        <w:t>المستمر</w:t>
      </w:r>
      <w:r w:rsidR="00F32B28">
        <w:rPr>
          <w:rtl/>
        </w:rPr>
        <w:t xml:space="preserve"> </w:t>
      </w:r>
      <w:r w:rsidR="00F32B28" w:rsidRPr="00F32B28">
        <w:rPr>
          <w:rtl/>
        </w:rPr>
        <w:t>لطلبات</w:t>
      </w:r>
      <w:r w:rsidR="00F32B28">
        <w:rPr>
          <w:rtl/>
        </w:rPr>
        <w:t xml:space="preserve"> </w:t>
      </w:r>
      <w:r w:rsidR="00F32B28" w:rsidRPr="00F32B28">
        <w:rPr>
          <w:rtl/>
        </w:rPr>
        <w:t>تصاريح</w:t>
      </w:r>
      <w:r w:rsidR="00F32B28">
        <w:rPr>
          <w:rtl/>
        </w:rPr>
        <w:t xml:space="preserve"> </w:t>
      </w:r>
      <w:r w:rsidR="00F32B28" w:rsidRPr="00F32B28">
        <w:rPr>
          <w:rtl/>
        </w:rPr>
        <w:t>البناء،</w:t>
      </w:r>
      <w:r w:rsidR="00F32B28">
        <w:rPr>
          <w:rtl/>
        </w:rPr>
        <w:t xml:space="preserve"> </w:t>
      </w:r>
      <w:r w:rsidR="00F32B28" w:rsidRPr="00F32B28">
        <w:rPr>
          <w:rtl/>
        </w:rPr>
        <w:t>وهدمها</w:t>
      </w:r>
      <w:r w:rsidR="00F32B28">
        <w:rPr>
          <w:rtl/>
        </w:rPr>
        <w:t xml:space="preserve"> </w:t>
      </w:r>
      <w:r w:rsidR="00F32B28" w:rsidRPr="00F32B28">
        <w:rPr>
          <w:rtl/>
        </w:rPr>
        <w:t>المنازل</w:t>
      </w:r>
      <w:r w:rsidR="00F32B28">
        <w:rPr>
          <w:rtl/>
        </w:rPr>
        <w:t xml:space="preserve"> </w:t>
      </w:r>
      <w:r w:rsidR="00F32B28" w:rsidRPr="00F32B28">
        <w:rPr>
          <w:rtl/>
        </w:rPr>
        <w:t>والخيم</w:t>
      </w:r>
      <w:r w:rsidR="00F32B28">
        <w:rPr>
          <w:rtl/>
        </w:rPr>
        <w:t xml:space="preserve"> </w:t>
      </w:r>
      <w:r w:rsidR="00F32B28" w:rsidRPr="00F32B28">
        <w:rPr>
          <w:rtl/>
        </w:rPr>
        <w:t>والمدارس،</w:t>
      </w:r>
      <w:r w:rsidR="00F32B28">
        <w:rPr>
          <w:rtl/>
        </w:rPr>
        <w:t xml:space="preserve"> </w:t>
      </w:r>
      <w:r w:rsidR="00F32B28" w:rsidRPr="00F32B28">
        <w:rPr>
          <w:rtl/>
        </w:rPr>
        <w:t>وتقييدها</w:t>
      </w:r>
      <w:r w:rsidR="00407D55">
        <w:rPr>
          <w:rFonts w:hint="cs"/>
          <w:rtl/>
        </w:rPr>
        <w:t xml:space="preserve"> </w:t>
      </w:r>
      <w:r w:rsidR="00F32B28" w:rsidRPr="00F32B28">
        <w:rPr>
          <w:rtl/>
        </w:rPr>
        <w:t>للوصول</w:t>
      </w:r>
      <w:r w:rsidR="00F32B28">
        <w:rPr>
          <w:rtl/>
        </w:rPr>
        <w:t xml:space="preserve"> </w:t>
      </w:r>
      <w:r w:rsidR="00F32B28" w:rsidRPr="00F32B28">
        <w:rPr>
          <w:rtl/>
        </w:rPr>
        <w:t>إلى</w:t>
      </w:r>
      <w:r w:rsidR="00F32B28">
        <w:rPr>
          <w:rtl/>
        </w:rPr>
        <w:t xml:space="preserve"> </w:t>
      </w:r>
      <w:r w:rsidR="00F32B28" w:rsidRPr="00F32B28">
        <w:rPr>
          <w:rtl/>
        </w:rPr>
        <w:t>المراعي</w:t>
      </w:r>
      <w:r w:rsidR="00F32B28">
        <w:rPr>
          <w:rtl/>
        </w:rPr>
        <w:t xml:space="preserve"> </w:t>
      </w:r>
      <w:r w:rsidR="00F32B28" w:rsidRPr="00F32B28">
        <w:rPr>
          <w:rtl/>
        </w:rPr>
        <w:t>والأسواق،</w:t>
      </w:r>
      <w:r w:rsidR="00F32B28">
        <w:rPr>
          <w:rtl/>
        </w:rPr>
        <w:t xml:space="preserve"> </w:t>
      </w:r>
      <w:r w:rsidR="00F32B28" w:rsidRPr="00F32B28">
        <w:rPr>
          <w:rtl/>
        </w:rPr>
        <w:t>ومصادرتها</w:t>
      </w:r>
      <w:r w:rsidR="00F32B28">
        <w:rPr>
          <w:rtl/>
        </w:rPr>
        <w:t xml:space="preserve"> </w:t>
      </w:r>
      <w:r w:rsidR="00F32B28" w:rsidRPr="00F32B28">
        <w:rPr>
          <w:rtl/>
        </w:rPr>
        <w:t>للمساعدات</w:t>
      </w:r>
      <w:r w:rsidR="00F32B28">
        <w:rPr>
          <w:rtl/>
        </w:rPr>
        <w:t xml:space="preserve"> </w:t>
      </w:r>
      <w:r w:rsidR="00F32B28" w:rsidRPr="00F32B28">
        <w:rPr>
          <w:rtl/>
        </w:rPr>
        <w:t>الإنسانية</w:t>
      </w:r>
      <w:r w:rsidR="00F32B28">
        <w:rPr>
          <w:rtl/>
        </w:rPr>
        <w:t xml:space="preserve"> </w:t>
      </w:r>
      <w:r w:rsidR="00F32B28" w:rsidRPr="00F32B28">
        <w:rPr>
          <w:rtl/>
        </w:rPr>
        <w:t>وإتلافها</w:t>
      </w:r>
      <w:r w:rsidR="00F32B28">
        <w:rPr>
          <w:rtl/>
        </w:rPr>
        <w:t xml:space="preserve"> </w:t>
      </w:r>
      <w:r w:rsidR="00F32B28" w:rsidRPr="00F32B28">
        <w:rPr>
          <w:rtl/>
        </w:rPr>
        <w:t>وتقييد</w:t>
      </w:r>
      <w:r w:rsidR="00F32B28">
        <w:rPr>
          <w:rtl/>
        </w:rPr>
        <w:t xml:space="preserve"> </w:t>
      </w:r>
      <w:r w:rsidR="00F32B28" w:rsidRPr="00F32B28">
        <w:rPr>
          <w:rtl/>
        </w:rPr>
        <w:t>إيصالها،</w:t>
      </w:r>
      <w:r w:rsidR="00F32B28">
        <w:rPr>
          <w:rtl/>
        </w:rPr>
        <w:t xml:space="preserve"> </w:t>
      </w:r>
      <w:r w:rsidR="00F32B28" w:rsidRPr="00F32B28">
        <w:rPr>
          <w:rtl/>
        </w:rPr>
        <w:t>ما</w:t>
      </w:r>
      <w:r w:rsidR="00F32B28">
        <w:rPr>
          <w:rtl/>
        </w:rPr>
        <w:t xml:space="preserve"> </w:t>
      </w:r>
      <w:r w:rsidR="00F32B28" w:rsidRPr="00F32B28">
        <w:rPr>
          <w:rtl/>
        </w:rPr>
        <w:t>يسهم</w:t>
      </w:r>
      <w:r w:rsidR="00F32B28">
        <w:rPr>
          <w:rtl/>
        </w:rPr>
        <w:t xml:space="preserve"> </w:t>
      </w:r>
      <w:r w:rsidR="00F32B28" w:rsidRPr="00F32B28">
        <w:rPr>
          <w:rtl/>
        </w:rPr>
        <w:t>في</w:t>
      </w:r>
      <w:r w:rsidR="00F32B28">
        <w:rPr>
          <w:rtl/>
        </w:rPr>
        <w:t xml:space="preserve"> </w:t>
      </w:r>
      <w:r w:rsidR="00F32B28" w:rsidRPr="00F32B28">
        <w:rPr>
          <w:rtl/>
        </w:rPr>
        <w:t>نهاية</w:t>
      </w:r>
      <w:r w:rsidR="00F32B28">
        <w:rPr>
          <w:rtl/>
        </w:rPr>
        <w:t xml:space="preserve"> </w:t>
      </w:r>
      <w:r w:rsidR="00F32B28" w:rsidRPr="00F32B28">
        <w:rPr>
          <w:rtl/>
        </w:rPr>
        <w:t>المطاف</w:t>
      </w:r>
      <w:r w:rsidR="00F32B28">
        <w:rPr>
          <w:rtl/>
        </w:rPr>
        <w:t xml:space="preserve"> </w:t>
      </w:r>
      <w:r w:rsidR="00F32B28" w:rsidRPr="00F32B28">
        <w:rPr>
          <w:rtl/>
        </w:rPr>
        <w:t>في</w:t>
      </w:r>
      <w:r w:rsidR="00F32B28">
        <w:rPr>
          <w:rtl/>
        </w:rPr>
        <w:t xml:space="preserve"> </w:t>
      </w:r>
      <w:r w:rsidR="00F32B28" w:rsidRPr="00F32B28">
        <w:rPr>
          <w:rtl/>
        </w:rPr>
        <w:t>إرغام</w:t>
      </w:r>
      <w:r w:rsidR="00F32B28">
        <w:rPr>
          <w:rtl/>
        </w:rPr>
        <w:t xml:space="preserve"> </w:t>
      </w:r>
      <w:r w:rsidR="00F32B28" w:rsidRPr="00F32B28">
        <w:rPr>
          <w:rtl/>
        </w:rPr>
        <w:t>هذه</w:t>
      </w:r>
      <w:r w:rsidR="00F32B28">
        <w:rPr>
          <w:rtl/>
        </w:rPr>
        <w:t xml:space="preserve"> </w:t>
      </w:r>
      <w:r w:rsidR="00F32B28" w:rsidRPr="00F32B28">
        <w:rPr>
          <w:rtl/>
        </w:rPr>
        <w:t>التجمعات</w:t>
      </w:r>
      <w:r w:rsidR="00F32B28">
        <w:rPr>
          <w:rtl/>
        </w:rPr>
        <w:t xml:space="preserve"> </w:t>
      </w:r>
      <w:r w:rsidR="00F32B28" w:rsidRPr="00F32B28">
        <w:rPr>
          <w:rtl/>
        </w:rPr>
        <w:t>على</w:t>
      </w:r>
      <w:r w:rsidR="00F32B28">
        <w:rPr>
          <w:rtl/>
        </w:rPr>
        <w:t xml:space="preserve"> </w:t>
      </w:r>
      <w:r w:rsidR="00F32B28" w:rsidRPr="00F32B28">
        <w:rPr>
          <w:rtl/>
        </w:rPr>
        <w:t>مغادرة</w:t>
      </w:r>
      <w:r w:rsidR="00F32B28">
        <w:rPr>
          <w:rtl/>
        </w:rPr>
        <w:t xml:space="preserve"> </w:t>
      </w:r>
      <w:r w:rsidR="00F32B28" w:rsidRPr="00F32B28">
        <w:rPr>
          <w:rtl/>
        </w:rPr>
        <w:t>المناطق</w:t>
      </w:r>
      <w:r w:rsidR="00F32B28">
        <w:rPr>
          <w:rtl/>
        </w:rPr>
        <w:t xml:space="preserve"> </w:t>
      </w:r>
      <w:r w:rsidR="00F32B28" w:rsidRPr="00F32B28">
        <w:rPr>
          <w:rtl/>
        </w:rPr>
        <w:t>التي</w:t>
      </w:r>
      <w:r w:rsidR="00F32B28">
        <w:rPr>
          <w:rtl/>
        </w:rPr>
        <w:t xml:space="preserve"> </w:t>
      </w:r>
      <w:r w:rsidR="00F32B28" w:rsidRPr="00F32B28">
        <w:rPr>
          <w:rtl/>
        </w:rPr>
        <w:t>يعيشون</w:t>
      </w:r>
      <w:r w:rsidR="00F32B28">
        <w:rPr>
          <w:rtl/>
        </w:rPr>
        <w:t xml:space="preserve"> </w:t>
      </w:r>
      <w:r w:rsidR="00F32B28" w:rsidRPr="00F32B28">
        <w:rPr>
          <w:rtl/>
        </w:rPr>
        <w:t>فيها.</w:t>
      </w:r>
    </w:p>
    <w:p w:rsidR="00F32B28" w:rsidRPr="00F32B28" w:rsidRDefault="00851F93" w:rsidP="00851F93">
      <w:pPr>
        <w:pStyle w:val="SingleTxt"/>
        <w:rPr>
          <w:rtl/>
        </w:rPr>
      </w:pPr>
      <w:r>
        <w:rPr>
          <w:rFonts w:hint="cs"/>
          <w:rtl/>
        </w:rPr>
        <w:t xml:space="preserve">279 - </w:t>
      </w:r>
      <w:r w:rsidR="00F32B28" w:rsidRPr="00F32B28">
        <w:rPr>
          <w:rtl/>
        </w:rPr>
        <w:t>ومما</w:t>
      </w:r>
      <w:r w:rsidR="00F32B28">
        <w:rPr>
          <w:rtl/>
        </w:rPr>
        <w:t xml:space="preserve"> </w:t>
      </w:r>
      <w:r w:rsidR="00F32B28" w:rsidRPr="00F32B28">
        <w:rPr>
          <w:rtl/>
        </w:rPr>
        <w:t>لا</w:t>
      </w:r>
      <w:r w:rsidR="00F32B28">
        <w:rPr>
          <w:rtl/>
        </w:rPr>
        <w:t xml:space="preserve"> </w:t>
      </w:r>
      <w:r w:rsidR="00F32B28" w:rsidRPr="00F32B28">
        <w:rPr>
          <w:rtl/>
        </w:rPr>
        <w:t>شك</w:t>
      </w:r>
      <w:r w:rsidR="00F32B28">
        <w:rPr>
          <w:rtl/>
        </w:rPr>
        <w:t xml:space="preserve"> </w:t>
      </w:r>
      <w:r w:rsidR="00F32B28" w:rsidRPr="00F32B28">
        <w:rPr>
          <w:rtl/>
        </w:rPr>
        <w:t>فيه،</w:t>
      </w:r>
      <w:r w:rsidR="00F32B28">
        <w:rPr>
          <w:rtl/>
        </w:rPr>
        <w:t xml:space="preserve"> </w:t>
      </w:r>
      <w:r w:rsidR="00F32B28" w:rsidRPr="00F32B28">
        <w:rPr>
          <w:rtl/>
        </w:rPr>
        <w:t>إن</w:t>
      </w:r>
      <w:r w:rsidR="00F32B28">
        <w:rPr>
          <w:rtl/>
        </w:rPr>
        <w:t xml:space="preserve"> </w:t>
      </w:r>
      <w:r w:rsidR="00F32B28" w:rsidRPr="00F32B28">
        <w:rPr>
          <w:rtl/>
        </w:rPr>
        <w:t>حرمان</w:t>
      </w:r>
      <w:r w:rsidR="00F32B28">
        <w:rPr>
          <w:rtl/>
        </w:rPr>
        <w:t xml:space="preserve"> </w:t>
      </w:r>
      <w:r w:rsidR="00F32B28" w:rsidRPr="00F32B28">
        <w:rPr>
          <w:rtl/>
        </w:rPr>
        <w:t>العائلات</w:t>
      </w:r>
      <w:r w:rsidR="00F32B28">
        <w:rPr>
          <w:rtl/>
        </w:rPr>
        <w:t xml:space="preserve"> </w:t>
      </w:r>
      <w:r w:rsidR="00F32B28" w:rsidRPr="00F32B28">
        <w:rPr>
          <w:rtl/>
        </w:rPr>
        <w:t>البدوية</w:t>
      </w:r>
      <w:r w:rsidR="00F32B28">
        <w:rPr>
          <w:rtl/>
        </w:rPr>
        <w:t xml:space="preserve"> </w:t>
      </w:r>
      <w:r w:rsidR="00F32B28" w:rsidRPr="00F32B28">
        <w:rPr>
          <w:rtl/>
        </w:rPr>
        <w:t>من</w:t>
      </w:r>
      <w:r w:rsidR="00F32B28">
        <w:rPr>
          <w:rtl/>
        </w:rPr>
        <w:t xml:space="preserve"> </w:t>
      </w:r>
      <w:r w:rsidR="00F32B28" w:rsidRPr="00F32B28">
        <w:rPr>
          <w:rtl/>
        </w:rPr>
        <w:t>حقوقهم</w:t>
      </w:r>
      <w:r w:rsidR="00F32B28">
        <w:rPr>
          <w:rtl/>
        </w:rPr>
        <w:t xml:space="preserve"> </w:t>
      </w:r>
      <w:r w:rsidR="00F32B28" w:rsidRPr="00F32B28">
        <w:rPr>
          <w:rtl/>
        </w:rPr>
        <w:t>الأساسية،</w:t>
      </w:r>
      <w:r w:rsidR="00F32B28">
        <w:rPr>
          <w:rtl/>
        </w:rPr>
        <w:t xml:space="preserve"> </w:t>
      </w:r>
      <w:r w:rsidR="00F32B28" w:rsidRPr="00F32B28">
        <w:rPr>
          <w:rtl/>
        </w:rPr>
        <w:t>وعلى</w:t>
      </w:r>
      <w:r w:rsidR="00F32B28">
        <w:rPr>
          <w:rtl/>
        </w:rPr>
        <w:t xml:space="preserve"> </w:t>
      </w:r>
      <w:r w:rsidR="00F32B28" w:rsidRPr="00F32B28">
        <w:rPr>
          <w:rtl/>
        </w:rPr>
        <w:t>رأسها</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السكن</w:t>
      </w:r>
      <w:r w:rsidR="00F32B28">
        <w:rPr>
          <w:rtl/>
        </w:rPr>
        <w:t xml:space="preserve"> </w:t>
      </w:r>
      <w:r w:rsidR="00F32B28" w:rsidRPr="00F32B28">
        <w:rPr>
          <w:rtl/>
        </w:rPr>
        <w:t>الملائم،</w:t>
      </w:r>
      <w:r w:rsidR="00F32B28">
        <w:rPr>
          <w:rtl/>
        </w:rPr>
        <w:t xml:space="preserve"> </w:t>
      </w:r>
      <w:r w:rsidR="00F32B28" w:rsidRPr="00F32B28">
        <w:rPr>
          <w:rtl/>
        </w:rPr>
        <w:t>يؤثر</w:t>
      </w:r>
      <w:r w:rsidR="00F32B28">
        <w:rPr>
          <w:rtl/>
        </w:rPr>
        <w:t xml:space="preserve"> </w:t>
      </w:r>
      <w:r w:rsidR="00F32B28" w:rsidRPr="00F32B28">
        <w:rPr>
          <w:rtl/>
        </w:rPr>
        <w:t>وبالدرجة</w:t>
      </w:r>
      <w:r w:rsidR="00F32B28">
        <w:rPr>
          <w:rtl/>
        </w:rPr>
        <w:t xml:space="preserve"> </w:t>
      </w:r>
      <w:r w:rsidR="00F32B28" w:rsidRPr="00F32B28">
        <w:rPr>
          <w:rtl/>
        </w:rPr>
        <w:t>الأولى</w:t>
      </w:r>
      <w:r w:rsidR="00F32B28">
        <w:rPr>
          <w:rtl/>
        </w:rPr>
        <w:t xml:space="preserve"> </w:t>
      </w:r>
      <w:r w:rsidR="00F32B28" w:rsidRPr="00F32B28">
        <w:rPr>
          <w:rtl/>
        </w:rPr>
        <w:t>على</w:t>
      </w:r>
      <w:r w:rsidR="00F32B28">
        <w:rPr>
          <w:rtl/>
        </w:rPr>
        <w:t xml:space="preserve"> </w:t>
      </w:r>
      <w:r w:rsidR="00F32B28" w:rsidRPr="00F32B28">
        <w:rPr>
          <w:rtl/>
        </w:rPr>
        <w:t>النساء</w:t>
      </w:r>
      <w:r w:rsidR="00F32B28">
        <w:rPr>
          <w:rtl/>
        </w:rPr>
        <w:t xml:space="preserve"> </w:t>
      </w:r>
      <w:r w:rsidR="00F32B28" w:rsidRPr="00F32B28">
        <w:rPr>
          <w:rtl/>
        </w:rPr>
        <w:t>البدويات</w:t>
      </w:r>
      <w:r w:rsidR="00F32B28">
        <w:rPr>
          <w:rtl/>
        </w:rPr>
        <w:t xml:space="preserve"> </w:t>
      </w:r>
      <w:r w:rsidR="00F32B28" w:rsidRPr="00F32B28">
        <w:rPr>
          <w:rtl/>
        </w:rPr>
        <w:t>باعتبار</w:t>
      </w:r>
      <w:r w:rsidR="00F32B28">
        <w:rPr>
          <w:rtl/>
        </w:rPr>
        <w:t xml:space="preserve"> </w:t>
      </w:r>
      <w:r w:rsidR="00F32B28" w:rsidRPr="00F32B28">
        <w:rPr>
          <w:rtl/>
        </w:rPr>
        <w:t>أن</w:t>
      </w:r>
      <w:r w:rsidR="00F32B28">
        <w:rPr>
          <w:rtl/>
        </w:rPr>
        <w:t xml:space="preserve"> </w:t>
      </w:r>
      <w:r w:rsidR="00F32B28" w:rsidRPr="00F32B28">
        <w:rPr>
          <w:rtl/>
        </w:rPr>
        <w:t>المنزل</w:t>
      </w:r>
      <w:r w:rsidR="00F32B28">
        <w:rPr>
          <w:rtl/>
        </w:rPr>
        <w:t xml:space="preserve"> </w:t>
      </w:r>
      <w:r w:rsidR="00F32B28" w:rsidRPr="00F32B28">
        <w:rPr>
          <w:rtl/>
        </w:rPr>
        <w:t>هو</w:t>
      </w:r>
      <w:r w:rsidR="00F32B28">
        <w:rPr>
          <w:rtl/>
        </w:rPr>
        <w:t xml:space="preserve"> </w:t>
      </w:r>
      <w:r w:rsidR="00F32B28" w:rsidRPr="00F32B28">
        <w:rPr>
          <w:rtl/>
        </w:rPr>
        <w:t>المأوى</w:t>
      </w:r>
      <w:r w:rsidR="00F32B28">
        <w:rPr>
          <w:rtl/>
        </w:rPr>
        <w:t xml:space="preserve"> </w:t>
      </w:r>
      <w:r w:rsidR="00F32B28" w:rsidRPr="00F32B28">
        <w:rPr>
          <w:rtl/>
        </w:rPr>
        <w:t>الأساسي</w:t>
      </w:r>
      <w:r w:rsidR="00F32B28">
        <w:rPr>
          <w:rtl/>
        </w:rPr>
        <w:t xml:space="preserve"> </w:t>
      </w:r>
      <w:r w:rsidR="00F32B28" w:rsidRPr="00F32B28">
        <w:rPr>
          <w:rtl/>
        </w:rPr>
        <w:t>لهن</w:t>
      </w:r>
      <w:r w:rsidR="00F32B28">
        <w:rPr>
          <w:rtl/>
        </w:rPr>
        <w:t xml:space="preserve"> </w:t>
      </w:r>
      <w:r w:rsidR="00F32B28" w:rsidRPr="00F32B28">
        <w:rPr>
          <w:rtl/>
        </w:rPr>
        <w:t>الذي</w:t>
      </w:r>
      <w:r w:rsidR="00F32B28">
        <w:rPr>
          <w:rtl/>
        </w:rPr>
        <w:t xml:space="preserve"> </w:t>
      </w:r>
      <w:r w:rsidR="00F32B28" w:rsidRPr="00F32B28">
        <w:rPr>
          <w:rtl/>
        </w:rPr>
        <w:t>يوفر</w:t>
      </w:r>
      <w:r w:rsidR="00F32B28">
        <w:rPr>
          <w:rtl/>
        </w:rPr>
        <w:t xml:space="preserve"> </w:t>
      </w:r>
      <w:r w:rsidR="00F32B28" w:rsidRPr="00F32B28">
        <w:rPr>
          <w:rtl/>
        </w:rPr>
        <w:t>المكان</w:t>
      </w:r>
      <w:r w:rsidR="00F32B28">
        <w:rPr>
          <w:rtl/>
        </w:rPr>
        <w:t xml:space="preserve"> </w:t>
      </w:r>
      <w:r w:rsidR="00F32B28" w:rsidRPr="00F32B28">
        <w:rPr>
          <w:rtl/>
        </w:rPr>
        <w:t>والبيئة</w:t>
      </w:r>
      <w:r w:rsidR="00F32B28">
        <w:rPr>
          <w:rtl/>
        </w:rPr>
        <w:t xml:space="preserve"> </w:t>
      </w:r>
      <w:r w:rsidR="00F32B28" w:rsidRPr="00F32B28">
        <w:rPr>
          <w:rtl/>
        </w:rPr>
        <w:t>الآمنة،</w:t>
      </w:r>
      <w:r w:rsidR="00F32B28">
        <w:rPr>
          <w:rtl/>
        </w:rPr>
        <w:t xml:space="preserve"> </w:t>
      </w:r>
      <w:r w:rsidR="00F32B28" w:rsidRPr="00F32B28">
        <w:rPr>
          <w:rtl/>
        </w:rPr>
        <w:t>وكذلك</w:t>
      </w:r>
      <w:r w:rsidR="00F32B28">
        <w:rPr>
          <w:rtl/>
        </w:rPr>
        <w:t xml:space="preserve"> </w:t>
      </w:r>
      <w:r w:rsidR="00F32B28" w:rsidRPr="00F32B28">
        <w:rPr>
          <w:rtl/>
        </w:rPr>
        <w:t>على</w:t>
      </w:r>
      <w:r w:rsidR="00F32B28">
        <w:rPr>
          <w:rtl/>
        </w:rPr>
        <w:t xml:space="preserve"> </w:t>
      </w:r>
      <w:r w:rsidR="00F32B28" w:rsidRPr="00F32B28">
        <w:rPr>
          <w:rtl/>
        </w:rPr>
        <w:t>حقهن</w:t>
      </w:r>
      <w:r w:rsidR="00F32B28">
        <w:rPr>
          <w:rtl/>
        </w:rPr>
        <w:t xml:space="preserve"> </w:t>
      </w:r>
      <w:r w:rsidR="00F32B28" w:rsidRPr="00F32B28">
        <w:rPr>
          <w:rtl/>
        </w:rPr>
        <w:t>في</w:t>
      </w:r>
      <w:r w:rsidR="00F32B28">
        <w:rPr>
          <w:rtl/>
        </w:rPr>
        <w:t xml:space="preserve"> </w:t>
      </w:r>
      <w:r w:rsidR="00F32B28" w:rsidRPr="00F32B28">
        <w:rPr>
          <w:rtl/>
        </w:rPr>
        <w:t>الوصول</w:t>
      </w:r>
      <w:r w:rsidR="00F32B28">
        <w:rPr>
          <w:rtl/>
        </w:rPr>
        <w:t xml:space="preserve"> </w:t>
      </w:r>
      <w:r w:rsidR="00F32B28" w:rsidRPr="00F32B28">
        <w:rPr>
          <w:rtl/>
        </w:rPr>
        <w:t>إلى</w:t>
      </w:r>
      <w:r w:rsidR="00F32B28">
        <w:rPr>
          <w:rtl/>
        </w:rPr>
        <w:t xml:space="preserve"> </w:t>
      </w:r>
      <w:r w:rsidR="00F32B28" w:rsidRPr="00F32B28">
        <w:rPr>
          <w:rtl/>
        </w:rPr>
        <w:t>الخدمات</w:t>
      </w:r>
      <w:r w:rsidR="00F32B28">
        <w:rPr>
          <w:rtl/>
        </w:rPr>
        <w:t xml:space="preserve"> </w:t>
      </w:r>
      <w:r w:rsidR="00F32B28" w:rsidRPr="00F32B28">
        <w:rPr>
          <w:rtl/>
        </w:rPr>
        <w:t>الأساسية،</w:t>
      </w:r>
      <w:r w:rsidR="00F32B28">
        <w:rPr>
          <w:rtl/>
        </w:rPr>
        <w:t xml:space="preserve"> </w:t>
      </w:r>
      <w:r w:rsidR="00F32B28" w:rsidRPr="00F32B28">
        <w:rPr>
          <w:rtl/>
        </w:rPr>
        <w:t>والحصول</w:t>
      </w:r>
      <w:r w:rsidR="00F32B28">
        <w:rPr>
          <w:rtl/>
        </w:rPr>
        <w:t xml:space="preserve"> </w:t>
      </w:r>
      <w:r w:rsidR="00F32B28" w:rsidRPr="00F32B28">
        <w:rPr>
          <w:rtl/>
        </w:rPr>
        <w:t>على</w:t>
      </w:r>
      <w:r w:rsidR="00F32B28">
        <w:rPr>
          <w:rtl/>
        </w:rPr>
        <w:t xml:space="preserve"> </w:t>
      </w:r>
      <w:r w:rsidR="00F32B28" w:rsidRPr="00F32B28">
        <w:rPr>
          <w:rtl/>
        </w:rPr>
        <w:t>مستوي</w:t>
      </w:r>
      <w:r w:rsidR="00F32B28">
        <w:rPr>
          <w:rtl/>
        </w:rPr>
        <w:t xml:space="preserve"> </w:t>
      </w:r>
      <w:r w:rsidR="00F32B28" w:rsidRPr="00F32B28">
        <w:rPr>
          <w:rtl/>
        </w:rPr>
        <w:t>معيشي</w:t>
      </w:r>
      <w:r w:rsidR="00F32B28">
        <w:rPr>
          <w:rtl/>
        </w:rPr>
        <w:t xml:space="preserve"> </w:t>
      </w:r>
      <w:r w:rsidR="00F32B28" w:rsidRPr="00F32B28">
        <w:rPr>
          <w:rtl/>
        </w:rPr>
        <w:t>لائق.</w:t>
      </w:r>
    </w:p>
    <w:p w:rsidR="00851F93" w:rsidRPr="00851F93" w:rsidRDefault="00851F93" w:rsidP="00851F93">
      <w:pPr>
        <w:pStyle w:val="SingleTxt"/>
        <w:spacing w:after="0" w:line="120" w:lineRule="exact"/>
        <w:rPr>
          <w:b/>
          <w:bCs/>
          <w:sz w:val="10"/>
          <w:rtl/>
          <w:lang w:bidi="ar-SY"/>
        </w:rPr>
      </w:pPr>
    </w:p>
    <w:p w:rsidR="00F32B28" w:rsidRPr="00F32B28" w:rsidRDefault="00F32B28" w:rsidP="00F32B28">
      <w:pPr>
        <w:pStyle w:val="SingleTxt"/>
        <w:rPr>
          <w:b/>
          <w:bCs/>
        </w:rPr>
      </w:pPr>
      <w:r w:rsidRPr="00F32B28">
        <w:rPr>
          <w:b/>
          <w:bCs/>
          <w:rtl/>
          <w:lang w:bidi="ar-SY"/>
        </w:rPr>
        <w:t>الاستحقاقات</w:t>
      </w:r>
      <w:r>
        <w:rPr>
          <w:b/>
          <w:bCs/>
          <w:rtl/>
          <w:lang w:bidi="ar-SY"/>
        </w:rPr>
        <w:t xml:space="preserve"> </w:t>
      </w:r>
      <w:r w:rsidRPr="00F32B28">
        <w:rPr>
          <w:b/>
          <w:bCs/>
          <w:rtl/>
          <w:lang w:bidi="ar-SY"/>
        </w:rPr>
        <w:t>العائلية</w:t>
      </w:r>
      <w:r>
        <w:rPr>
          <w:b/>
          <w:bCs/>
          <w:rtl/>
          <w:lang w:bidi="ar-SY"/>
        </w:rPr>
        <w:t xml:space="preserve"> </w:t>
      </w:r>
    </w:p>
    <w:p w:rsidR="00F32B28" w:rsidRPr="00F32B28" w:rsidRDefault="00851F93" w:rsidP="00851F93">
      <w:pPr>
        <w:pStyle w:val="SingleTxt"/>
        <w:rPr>
          <w:rtl/>
          <w:lang w:bidi="ar-JO"/>
        </w:rPr>
      </w:pPr>
      <w:r>
        <w:rPr>
          <w:rFonts w:hint="cs"/>
          <w:rtl/>
          <w:lang w:bidi="ar-SY"/>
        </w:rPr>
        <w:t xml:space="preserve">280 - </w:t>
      </w:r>
      <w:r w:rsidR="00F32B28" w:rsidRPr="00F32B28">
        <w:rPr>
          <w:rtl/>
          <w:lang w:bidi="ar-SY"/>
        </w:rPr>
        <w:t>منح</w:t>
      </w:r>
      <w:r w:rsidR="00F32B28">
        <w:rPr>
          <w:rtl/>
          <w:lang w:bidi="ar-SY"/>
        </w:rPr>
        <w:t xml:space="preserve"> </w:t>
      </w:r>
      <w:r w:rsidR="00F32B28" w:rsidRPr="00F32B28">
        <w:rPr>
          <w:rtl/>
          <w:lang w:bidi="ar-JO"/>
        </w:rPr>
        <w:t>قانون</w:t>
      </w:r>
      <w:r w:rsidR="00F32B28">
        <w:rPr>
          <w:rtl/>
          <w:lang w:bidi="ar-JO"/>
        </w:rPr>
        <w:t xml:space="preserve"> </w:t>
      </w:r>
      <w:r w:rsidR="00F32B28" w:rsidRPr="00F32B28">
        <w:rPr>
          <w:rtl/>
          <w:lang w:bidi="ar-JO"/>
        </w:rPr>
        <w:t>الخدمة</w:t>
      </w:r>
      <w:r w:rsidR="00F32B28">
        <w:rPr>
          <w:rtl/>
          <w:lang w:bidi="ar-JO"/>
        </w:rPr>
        <w:t xml:space="preserve"> </w:t>
      </w:r>
      <w:r w:rsidR="00F32B28" w:rsidRPr="00F32B28">
        <w:rPr>
          <w:rtl/>
          <w:lang w:bidi="ar-JO"/>
        </w:rPr>
        <w:t>المدنية</w:t>
      </w:r>
      <w:r w:rsidR="00F32B28">
        <w:rPr>
          <w:rtl/>
          <w:lang w:bidi="ar-JO"/>
        </w:rPr>
        <w:t xml:space="preserve"> </w:t>
      </w:r>
      <w:r w:rsidR="00F32B28" w:rsidRPr="00F32B28">
        <w:rPr>
          <w:rtl/>
          <w:lang w:bidi="ar-JO"/>
        </w:rPr>
        <w:t>الموظفة</w:t>
      </w:r>
      <w:r w:rsidR="00F32B28">
        <w:rPr>
          <w:rtl/>
          <w:lang w:bidi="ar-JO"/>
        </w:rPr>
        <w:t xml:space="preserve"> </w:t>
      </w:r>
      <w:r w:rsidR="00F32B28" w:rsidRPr="00F32B28">
        <w:rPr>
          <w:rtl/>
          <w:lang w:bidi="ar-JO"/>
        </w:rPr>
        <w:t>حق</w:t>
      </w:r>
      <w:r w:rsidR="00F32B28">
        <w:rPr>
          <w:rtl/>
          <w:lang w:bidi="ar-JO"/>
        </w:rPr>
        <w:t xml:space="preserve"> </w:t>
      </w:r>
      <w:r w:rsidR="00F32B28" w:rsidRPr="00F32B28">
        <w:rPr>
          <w:rtl/>
          <w:lang w:bidi="ar-JO"/>
        </w:rPr>
        <w:t>الحصول</w:t>
      </w:r>
      <w:r w:rsidR="00F32B28">
        <w:rPr>
          <w:rtl/>
          <w:lang w:bidi="ar-JO"/>
        </w:rPr>
        <w:t xml:space="preserve"> </w:t>
      </w:r>
      <w:r w:rsidR="00F32B28" w:rsidRPr="00F32B28">
        <w:rPr>
          <w:rtl/>
          <w:lang w:bidi="ar-JO"/>
        </w:rPr>
        <w:t>على</w:t>
      </w:r>
      <w:r w:rsidR="00F32B28">
        <w:rPr>
          <w:rtl/>
          <w:lang w:bidi="ar-JO"/>
        </w:rPr>
        <w:t xml:space="preserve"> </w:t>
      </w:r>
      <w:r w:rsidR="00F32B28" w:rsidRPr="00F32B28">
        <w:rPr>
          <w:rtl/>
          <w:lang w:bidi="ar-JO"/>
        </w:rPr>
        <w:t>العلاوة</w:t>
      </w:r>
      <w:r w:rsidR="00F32B28">
        <w:rPr>
          <w:rtl/>
          <w:lang w:bidi="ar-JO"/>
        </w:rPr>
        <w:t xml:space="preserve"> </w:t>
      </w:r>
      <w:r w:rsidR="00F32B28" w:rsidRPr="00F32B28">
        <w:rPr>
          <w:rtl/>
          <w:lang w:bidi="ar-JO"/>
        </w:rPr>
        <w:t>العائلية</w:t>
      </w:r>
      <w:r w:rsidR="00F32B28">
        <w:rPr>
          <w:rtl/>
          <w:lang w:bidi="ar-JO"/>
        </w:rPr>
        <w:t xml:space="preserve"> </w:t>
      </w:r>
      <w:r w:rsidR="00F32B28" w:rsidRPr="00F32B28">
        <w:rPr>
          <w:rtl/>
          <w:lang w:bidi="ar-JO"/>
        </w:rPr>
        <w:t>عن</w:t>
      </w:r>
      <w:r w:rsidR="00F32B28">
        <w:rPr>
          <w:rtl/>
          <w:lang w:bidi="ar-JO"/>
        </w:rPr>
        <w:t xml:space="preserve"> </w:t>
      </w:r>
      <w:r w:rsidR="00F32B28" w:rsidRPr="00F32B28">
        <w:rPr>
          <w:rtl/>
          <w:lang w:bidi="ar-JO"/>
        </w:rPr>
        <w:t>زوجها</w:t>
      </w:r>
      <w:r w:rsidR="00F32B28">
        <w:rPr>
          <w:rtl/>
          <w:lang w:bidi="ar-JO"/>
        </w:rPr>
        <w:t xml:space="preserve"> </w:t>
      </w:r>
      <w:r w:rsidR="00F32B28" w:rsidRPr="00F32B28">
        <w:rPr>
          <w:rtl/>
          <w:lang w:bidi="ar-JO"/>
        </w:rPr>
        <w:t>غير</w:t>
      </w:r>
      <w:r w:rsidR="00F32B28">
        <w:rPr>
          <w:rtl/>
          <w:lang w:bidi="ar-JO"/>
        </w:rPr>
        <w:t xml:space="preserve"> </w:t>
      </w:r>
      <w:r w:rsidR="00F32B28" w:rsidRPr="00F32B28">
        <w:rPr>
          <w:rtl/>
          <w:lang w:bidi="ar-JO"/>
        </w:rPr>
        <w:t>الموظف</w:t>
      </w:r>
      <w:r w:rsidR="00F32B28">
        <w:rPr>
          <w:rtl/>
          <w:lang w:bidi="ar-JO"/>
        </w:rPr>
        <w:t xml:space="preserve"> </w:t>
      </w:r>
      <w:r w:rsidR="00F32B28" w:rsidRPr="00F32B28">
        <w:rPr>
          <w:rtl/>
          <w:lang w:bidi="ar-JO"/>
        </w:rPr>
        <w:t>وأبنائها</w:t>
      </w:r>
      <w:r w:rsidR="00F32B28">
        <w:rPr>
          <w:rtl/>
          <w:lang w:bidi="ar-JO"/>
        </w:rPr>
        <w:t xml:space="preserve"> </w:t>
      </w:r>
      <w:r w:rsidR="00F32B28" w:rsidRPr="00F32B28">
        <w:rPr>
          <w:rtl/>
          <w:lang w:bidi="ar-JO"/>
        </w:rPr>
        <w:t>وبناتها</w:t>
      </w:r>
      <w:r w:rsidR="00F32B28">
        <w:rPr>
          <w:rtl/>
          <w:lang w:bidi="ar-JO"/>
        </w:rPr>
        <w:t xml:space="preserve"> </w:t>
      </w:r>
      <w:r w:rsidR="00F32B28" w:rsidRPr="00F32B28">
        <w:rPr>
          <w:rtl/>
          <w:lang w:bidi="ar-JO"/>
        </w:rPr>
        <w:t>حتى</w:t>
      </w:r>
      <w:r w:rsidR="00F32B28">
        <w:rPr>
          <w:rtl/>
          <w:lang w:bidi="ar-JO"/>
        </w:rPr>
        <w:t xml:space="preserve"> </w:t>
      </w:r>
      <w:r w:rsidR="00F32B28" w:rsidRPr="00F32B28">
        <w:rPr>
          <w:rtl/>
          <w:lang w:bidi="ar-JO"/>
        </w:rPr>
        <w:t>بلوغهم</w:t>
      </w:r>
      <w:r w:rsidR="00F32B28">
        <w:rPr>
          <w:rtl/>
          <w:lang w:bidi="ar-JO"/>
        </w:rPr>
        <w:t xml:space="preserve"> </w:t>
      </w:r>
      <w:r w:rsidR="00F32B28" w:rsidRPr="00F32B28">
        <w:rPr>
          <w:rtl/>
          <w:lang w:bidi="ar-JO"/>
        </w:rPr>
        <w:t>الثامنة</w:t>
      </w:r>
      <w:r w:rsidR="00F32B28">
        <w:rPr>
          <w:rtl/>
          <w:lang w:bidi="ar-JO"/>
        </w:rPr>
        <w:t xml:space="preserve"> </w:t>
      </w:r>
      <w:r w:rsidR="00F32B28" w:rsidRPr="00F32B28">
        <w:rPr>
          <w:rtl/>
          <w:lang w:bidi="ar-JO"/>
        </w:rPr>
        <w:t>عشر</w:t>
      </w:r>
      <w:r w:rsidR="00F32B28">
        <w:rPr>
          <w:rtl/>
          <w:lang w:bidi="ar-JO"/>
        </w:rPr>
        <w:t xml:space="preserve"> </w:t>
      </w:r>
      <w:r w:rsidR="00F32B28" w:rsidRPr="00F32B28">
        <w:rPr>
          <w:rtl/>
          <w:lang w:bidi="ar-JO"/>
        </w:rPr>
        <w:t>(قد</w:t>
      </w:r>
      <w:r w:rsidR="00F32B28">
        <w:rPr>
          <w:rtl/>
          <w:lang w:bidi="ar-JO"/>
        </w:rPr>
        <w:t xml:space="preserve"> </w:t>
      </w:r>
      <w:r w:rsidR="00F32B28" w:rsidRPr="00F32B28">
        <w:rPr>
          <w:rtl/>
          <w:lang w:bidi="ar-JO"/>
        </w:rPr>
        <w:t>يستمر</w:t>
      </w:r>
      <w:r w:rsidR="00F32B28">
        <w:rPr>
          <w:rtl/>
          <w:lang w:bidi="ar-JO"/>
        </w:rPr>
        <w:t xml:space="preserve"> </w:t>
      </w:r>
      <w:r w:rsidR="00F32B28" w:rsidRPr="00F32B28">
        <w:rPr>
          <w:rtl/>
          <w:lang w:bidi="ar-JO"/>
        </w:rPr>
        <w:t>صرف</w:t>
      </w:r>
      <w:r w:rsidR="00F32B28">
        <w:rPr>
          <w:rtl/>
          <w:lang w:bidi="ar-JO"/>
        </w:rPr>
        <w:t xml:space="preserve"> </w:t>
      </w:r>
      <w:r w:rsidR="00F32B28" w:rsidRPr="00F32B28">
        <w:rPr>
          <w:rtl/>
          <w:lang w:bidi="ar-JO"/>
        </w:rPr>
        <w:t>العلاوة</w:t>
      </w:r>
      <w:r w:rsidR="00F32B28">
        <w:rPr>
          <w:rtl/>
          <w:lang w:bidi="ar-JO"/>
        </w:rPr>
        <w:t xml:space="preserve"> </w:t>
      </w:r>
      <w:r w:rsidR="00F32B28" w:rsidRPr="00F32B28">
        <w:rPr>
          <w:rtl/>
          <w:lang w:bidi="ar-JO"/>
        </w:rPr>
        <w:t>حتى</w:t>
      </w:r>
      <w:r w:rsidR="00F32B28">
        <w:rPr>
          <w:rtl/>
          <w:lang w:bidi="ar-JO"/>
        </w:rPr>
        <w:t xml:space="preserve"> </w:t>
      </w:r>
      <w:r w:rsidR="00F32B28" w:rsidRPr="00F32B28">
        <w:rPr>
          <w:rtl/>
          <w:lang w:bidi="ar-JO"/>
        </w:rPr>
        <w:t>بعد</w:t>
      </w:r>
      <w:r w:rsidR="00F32B28">
        <w:rPr>
          <w:rtl/>
          <w:lang w:bidi="ar-JO"/>
        </w:rPr>
        <w:t xml:space="preserve"> </w:t>
      </w:r>
      <w:r w:rsidR="00F32B28" w:rsidRPr="00F32B28">
        <w:rPr>
          <w:rtl/>
          <w:lang w:bidi="ar-JO"/>
        </w:rPr>
        <w:t>بلوغهم</w:t>
      </w:r>
      <w:r w:rsidR="00F32B28">
        <w:rPr>
          <w:rtl/>
          <w:lang w:bidi="ar-JO"/>
        </w:rPr>
        <w:t xml:space="preserve"> </w:t>
      </w:r>
      <w:r w:rsidR="00F32B28" w:rsidRPr="00F32B28">
        <w:rPr>
          <w:rtl/>
          <w:lang w:bidi="ar-JO"/>
        </w:rPr>
        <w:t>هذا</w:t>
      </w:r>
      <w:r w:rsidR="00F32B28">
        <w:rPr>
          <w:rtl/>
          <w:lang w:bidi="ar-JO"/>
        </w:rPr>
        <w:t xml:space="preserve"> </w:t>
      </w:r>
      <w:r w:rsidR="00F32B28" w:rsidRPr="00F32B28">
        <w:rPr>
          <w:rtl/>
          <w:lang w:bidi="ar-JO"/>
        </w:rPr>
        <w:t>السن</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حالات</w:t>
      </w:r>
      <w:r w:rsidR="00F32B28">
        <w:rPr>
          <w:rtl/>
          <w:lang w:bidi="ar-JO"/>
        </w:rPr>
        <w:t xml:space="preserve"> </w:t>
      </w:r>
      <w:r w:rsidR="00F32B28" w:rsidRPr="00F32B28">
        <w:rPr>
          <w:rtl/>
          <w:lang w:bidi="ar-JO"/>
        </w:rPr>
        <w:t>معينة)</w:t>
      </w:r>
      <w:r w:rsidR="00F32B28" w:rsidRPr="00F32B28">
        <w:rPr>
          <w:rtl/>
        </w:rPr>
        <w:t>.</w:t>
      </w:r>
      <w:r w:rsidR="00F32B28">
        <w:rPr>
          <w:rtl/>
        </w:rPr>
        <w:t xml:space="preserve">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العلاوات</w:t>
      </w:r>
      <w:r w:rsidR="00F32B28">
        <w:rPr>
          <w:rtl/>
        </w:rPr>
        <w:t xml:space="preserve"> </w:t>
      </w:r>
      <w:r w:rsidR="00F32B28" w:rsidRPr="00F32B28">
        <w:rPr>
          <w:rtl/>
        </w:rPr>
        <w:t>الأخرى،</w:t>
      </w:r>
      <w:r w:rsidR="00F32B28">
        <w:rPr>
          <w:rtl/>
        </w:rPr>
        <w:t xml:space="preserve"> </w:t>
      </w:r>
      <w:r w:rsidR="00F32B28" w:rsidRPr="00F32B28">
        <w:rPr>
          <w:rtl/>
        </w:rPr>
        <w:t>فيساوي</w:t>
      </w:r>
      <w:r w:rsidR="00F32B28">
        <w:rPr>
          <w:rtl/>
        </w:rPr>
        <w:t xml:space="preserve"> </w:t>
      </w:r>
      <w:r w:rsidR="00F32B28" w:rsidRPr="00F32B28">
        <w:rPr>
          <w:rtl/>
        </w:rPr>
        <w:t>القانون</w:t>
      </w:r>
      <w:r w:rsidR="00F32B28">
        <w:rPr>
          <w:rtl/>
        </w:rPr>
        <w:t xml:space="preserve"> </w:t>
      </w:r>
      <w:r w:rsidR="00F32B28" w:rsidRPr="00F32B28">
        <w:rPr>
          <w:rtl/>
          <w:lang w:bidi="ar-JO"/>
        </w:rPr>
        <w:t>في</w:t>
      </w:r>
      <w:r w:rsidR="00F32B28">
        <w:rPr>
          <w:rtl/>
          <w:lang w:bidi="ar-JO"/>
        </w:rPr>
        <w:t xml:space="preserve"> </w:t>
      </w:r>
      <w:r w:rsidR="00F32B28" w:rsidRPr="00F32B28">
        <w:rPr>
          <w:rtl/>
          <w:lang w:bidi="ar-JO"/>
        </w:rPr>
        <w:t>أوضاع</w:t>
      </w:r>
      <w:r w:rsidR="00F32B28">
        <w:rPr>
          <w:rtl/>
          <w:lang w:bidi="ar-JO"/>
        </w:rPr>
        <w:t xml:space="preserve"> </w:t>
      </w:r>
      <w:r w:rsidR="00F32B28" w:rsidRPr="00F32B28">
        <w:rPr>
          <w:rtl/>
          <w:lang w:bidi="ar-JO"/>
        </w:rPr>
        <w:t>وشروط</w:t>
      </w:r>
      <w:r w:rsidR="00F32B28">
        <w:rPr>
          <w:rtl/>
          <w:lang w:bidi="ar-JO"/>
        </w:rPr>
        <w:t xml:space="preserve"> </w:t>
      </w:r>
      <w:r w:rsidR="00F32B28" w:rsidRPr="00F32B28">
        <w:rPr>
          <w:rtl/>
          <w:lang w:bidi="ar-JO"/>
        </w:rPr>
        <w:t>استحقاقها</w:t>
      </w:r>
      <w:r w:rsidR="00F32B28">
        <w:rPr>
          <w:rtl/>
          <w:lang w:bidi="ar-JO"/>
        </w:rPr>
        <w:t xml:space="preserve"> </w:t>
      </w:r>
      <w:r w:rsidR="00F32B28" w:rsidRPr="00F32B28">
        <w:rPr>
          <w:rtl/>
          <w:lang w:bidi="ar-JO"/>
        </w:rPr>
        <w:t>بين</w:t>
      </w:r>
      <w:r w:rsidR="00F32B28">
        <w:rPr>
          <w:rtl/>
          <w:lang w:bidi="ar-JO"/>
        </w:rPr>
        <w:t xml:space="preserve"> </w:t>
      </w:r>
      <w:r w:rsidR="00F32B28" w:rsidRPr="00F32B28">
        <w:rPr>
          <w:rtl/>
          <w:lang w:bidi="ar-JO"/>
        </w:rPr>
        <w:t>المرأة</w:t>
      </w:r>
      <w:r w:rsidR="00F32B28">
        <w:rPr>
          <w:rtl/>
          <w:lang w:bidi="ar-JO"/>
        </w:rPr>
        <w:t xml:space="preserve"> </w:t>
      </w:r>
      <w:r w:rsidR="00F32B28" w:rsidRPr="00F32B28">
        <w:rPr>
          <w:rtl/>
          <w:lang w:bidi="ar-JO"/>
        </w:rPr>
        <w:t>والرجل</w:t>
      </w:r>
      <w:r w:rsidR="00F32B28">
        <w:rPr>
          <w:rtl/>
          <w:lang w:bidi="ar-JO"/>
        </w:rPr>
        <w:t xml:space="preserve"> </w:t>
      </w:r>
      <w:r w:rsidR="00F32B28" w:rsidRPr="00F32B28">
        <w:rPr>
          <w:rtl/>
          <w:lang w:bidi="ar-JO"/>
        </w:rPr>
        <w:t>الموظفين</w:t>
      </w:r>
      <w:r w:rsidR="00F32B28">
        <w:rPr>
          <w:rtl/>
          <w:lang w:bidi="ar-JO"/>
        </w:rPr>
        <w:t xml:space="preserve"> </w:t>
      </w:r>
      <w:r w:rsidR="00F32B28" w:rsidRPr="00F32B28">
        <w:rPr>
          <w:rtl/>
          <w:lang w:bidi="ar-JO"/>
        </w:rPr>
        <w:t>بالخدمة</w:t>
      </w:r>
      <w:r w:rsidR="00F32B28">
        <w:rPr>
          <w:rtl/>
          <w:lang w:bidi="ar-JO"/>
        </w:rPr>
        <w:t xml:space="preserve"> </w:t>
      </w:r>
      <w:r w:rsidR="00F32B28" w:rsidRPr="00F32B28">
        <w:rPr>
          <w:rtl/>
          <w:lang w:bidi="ar-JO"/>
        </w:rPr>
        <w:t>المدنية.</w:t>
      </w:r>
    </w:p>
    <w:p w:rsidR="00F32B28" w:rsidRPr="00F32B28" w:rsidRDefault="00851F93" w:rsidP="00851F93">
      <w:pPr>
        <w:pStyle w:val="SingleTxt"/>
        <w:rPr>
          <w:rtl/>
          <w:lang w:bidi="ar-SY"/>
        </w:rPr>
      </w:pPr>
      <w:r>
        <w:rPr>
          <w:rFonts w:hint="cs"/>
          <w:rtl/>
          <w:lang w:bidi="ar-SY"/>
        </w:rPr>
        <w:t xml:space="preserve">281 - </w:t>
      </w:r>
      <w:r w:rsidR="00F32B28" w:rsidRPr="00F32B28">
        <w:rPr>
          <w:rtl/>
          <w:lang w:bidi="ar-SY"/>
        </w:rPr>
        <w:t>أما</w:t>
      </w:r>
      <w:r w:rsidR="00F32B28">
        <w:rPr>
          <w:rtl/>
          <w:lang w:bidi="ar-SY"/>
        </w:rPr>
        <w:t xml:space="preserve"> </w:t>
      </w:r>
      <w:r w:rsidR="00F32B28" w:rsidRPr="00F32B28">
        <w:rPr>
          <w:rtl/>
          <w:lang w:bidi="ar-SY"/>
        </w:rPr>
        <w:t>الاستحقاقات</w:t>
      </w:r>
      <w:r w:rsidR="00F32B28">
        <w:rPr>
          <w:rtl/>
          <w:lang w:bidi="ar-SY"/>
        </w:rPr>
        <w:t xml:space="preserve"> </w:t>
      </w:r>
      <w:r w:rsidR="00F32B28" w:rsidRPr="00F32B28">
        <w:rPr>
          <w:rtl/>
          <w:lang w:bidi="ar-SY"/>
        </w:rPr>
        <w:t>الأسرية</w:t>
      </w:r>
      <w:r w:rsidR="00F32B28">
        <w:rPr>
          <w:rtl/>
          <w:lang w:bidi="ar-SY"/>
        </w:rPr>
        <w:t xml:space="preserve"> </w:t>
      </w:r>
      <w:r w:rsidR="00F32B28" w:rsidRPr="00F32B28">
        <w:rPr>
          <w:rtl/>
          <w:lang w:bidi="ar-SY"/>
        </w:rPr>
        <w:t>الأخرى،</w:t>
      </w:r>
      <w:r w:rsidR="00F32B28">
        <w:rPr>
          <w:rtl/>
          <w:lang w:bidi="ar-SY"/>
        </w:rPr>
        <w:t xml:space="preserve"> </w:t>
      </w:r>
      <w:r w:rsidR="00F32B28" w:rsidRPr="00F32B28">
        <w:rPr>
          <w:rtl/>
          <w:lang w:bidi="ar-SY"/>
        </w:rPr>
        <w:t>كالراتب</w:t>
      </w:r>
      <w:r w:rsidR="00F32B28">
        <w:rPr>
          <w:rtl/>
          <w:lang w:bidi="ar-SY"/>
        </w:rPr>
        <w:t xml:space="preserve"> </w:t>
      </w:r>
      <w:r w:rsidR="00F32B28" w:rsidRPr="00F32B28">
        <w:rPr>
          <w:rtl/>
          <w:lang w:bidi="ar-SY"/>
        </w:rPr>
        <w:t>التقاعدي،</w:t>
      </w:r>
      <w:r w:rsidR="00F32B28">
        <w:rPr>
          <w:rtl/>
          <w:lang w:bidi="ar-SY"/>
        </w:rPr>
        <w:t xml:space="preserve"> </w:t>
      </w:r>
      <w:r w:rsidR="00F32B28" w:rsidRPr="00F32B28">
        <w:rPr>
          <w:rtl/>
          <w:lang w:bidi="ar-SY"/>
        </w:rPr>
        <w:t>فيورّث</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الزوجين</w:t>
      </w:r>
      <w:r w:rsidR="00F32B28">
        <w:rPr>
          <w:rtl/>
          <w:lang w:bidi="ar-SY"/>
        </w:rPr>
        <w:t xml:space="preserve"> </w:t>
      </w:r>
      <w:r w:rsidR="00F32B28" w:rsidRPr="00F32B28">
        <w:rPr>
          <w:rtl/>
          <w:lang w:bidi="ar-SY"/>
        </w:rPr>
        <w:t>ورثتهم</w:t>
      </w:r>
      <w:r w:rsidR="00F32B28">
        <w:rPr>
          <w:rtl/>
          <w:lang w:bidi="ar-SY"/>
        </w:rPr>
        <w:t xml:space="preserve"> </w:t>
      </w:r>
      <w:r w:rsidR="00F32B28" w:rsidRPr="00F32B28">
        <w:rPr>
          <w:rtl/>
          <w:lang w:bidi="ar-SY"/>
        </w:rPr>
        <w:t>المستحقين</w:t>
      </w:r>
      <w:r w:rsidR="00F32B28">
        <w:rPr>
          <w:rtl/>
          <w:lang w:bidi="ar-SY"/>
        </w:rPr>
        <w:t xml:space="preserve"> </w:t>
      </w:r>
      <w:r w:rsidR="00F32B28" w:rsidRPr="00F32B28">
        <w:rPr>
          <w:rtl/>
        </w:rPr>
        <w:t>العوائد</w:t>
      </w:r>
      <w:r w:rsidR="00F32B28">
        <w:rPr>
          <w:rtl/>
        </w:rPr>
        <w:t xml:space="preserve"> </w:t>
      </w:r>
      <w:r w:rsidR="00F32B28" w:rsidRPr="00F32B28">
        <w:rPr>
          <w:rtl/>
        </w:rPr>
        <w:t>التقاعدية</w:t>
      </w:r>
      <w:r w:rsidR="00F32B28">
        <w:rPr>
          <w:rtl/>
        </w:rPr>
        <w:t xml:space="preserve"> </w:t>
      </w:r>
      <w:r w:rsidR="00F32B28" w:rsidRPr="00F32B28">
        <w:rPr>
          <w:rtl/>
        </w:rPr>
        <w:t>والتعويضات</w:t>
      </w:r>
      <w:r w:rsidR="00F32B28">
        <w:rPr>
          <w:rtl/>
        </w:rPr>
        <w:t xml:space="preserve"> </w:t>
      </w:r>
      <w:r w:rsidR="00F32B28" w:rsidRPr="00F32B28">
        <w:rPr>
          <w:rtl/>
        </w:rPr>
        <w:t>بالتساوي</w:t>
      </w:r>
      <w:r w:rsidR="00F32B28">
        <w:rPr>
          <w:rtl/>
        </w:rPr>
        <w:t xml:space="preserve"> </w:t>
      </w:r>
      <w:r w:rsidR="00F32B28" w:rsidRPr="00F32B28">
        <w:rPr>
          <w:rtl/>
        </w:rPr>
        <w:t>وفق</w:t>
      </w:r>
      <w:r w:rsidR="00F32B28">
        <w:rPr>
          <w:rtl/>
        </w:rPr>
        <w:t xml:space="preserve"> </w:t>
      </w:r>
      <w:r w:rsidR="00F32B28" w:rsidRPr="00F32B28">
        <w:rPr>
          <w:rtl/>
        </w:rPr>
        <w:t>أحكام</w:t>
      </w:r>
      <w:r w:rsidR="00F32B28">
        <w:rPr>
          <w:rtl/>
        </w:rPr>
        <w:t xml:space="preserve"> </w:t>
      </w:r>
      <w:r w:rsidR="00F32B28" w:rsidRPr="00F32B28">
        <w:rPr>
          <w:rtl/>
        </w:rPr>
        <w:t>قانون</w:t>
      </w:r>
      <w:r w:rsidR="00F32B28">
        <w:rPr>
          <w:rtl/>
        </w:rPr>
        <w:t xml:space="preserve"> </w:t>
      </w:r>
      <w:r w:rsidR="00F32B28" w:rsidRPr="00F32B28">
        <w:rPr>
          <w:rtl/>
        </w:rPr>
        <w:t>التقاعد</w:t>
      </w:r>
      <w:r w:rsidR="00F32B28">
        <w:rPr>
          <w:rtl/>
        </w:rPr>
        <w:t xml:space="preserve"> </w:t>
      </w:r>
      <w:r w:rsidR="00F32B28" w:rsidRPr="00F32B28">
        <w:rPr>
          <w:rtl/>
        </w:rPr>
        <w:t>العام</w:t>
      </w:r>
      <w:r w:rsidR="00F32B28">
        <w:rPr>
          <w:rtl/>
        </w:rPr>
        <w:t xml:space="preserve"> </w:t>
      </w:r>
      <w:r w:rsidR="00F32B28" w:rsidRPr="00F32B28">
        <w:rPr>
          <w:rtl/>
        </w:rPr>
        <w:t>دون</w:t>
      </w:r>
      <w:r w:rsidR="00F32B28">
        <w:rPr>
          <w:rtl/>
        </w:rPr>
        <w:t xml:space="preserve"> </w:t>
      </w:r>
      <w:r w:rsidR="00F32B28" w:rsidRPr="00F32B28">
        <w:rPr>
          <w:rtl/>
        </w:rPr>
        <w:t>أي</w:t>
      </w:r>
      <w:r w:rsidR="00F32B28">
        <w:rPr>
          <w:rtl/>
        </w:rPr>
        <w:t xml:space="preserve"> </w:t>
      </w:r>
      <w:r w:rsidR="00F32B28" w:rsidRPr="00F32B28">
        <w:rPr>
          <w:rtl/>
        </w:rPr>
        <w:t>تمييز</w:t>
      </w:r>
      <w:r w:rsidR="00F32B28">
        <w:rPr>
          <w:rtl/>
        </w:rPr>
        <w:t xml:space="preserve"> </w:t>
      </w:r>
      <w:r w:rsidR="00F32B28" w:rsidRPr="00F32B28">
        <w:rPr>
          <w:rtl/>
        </w:rPr>
        <w:t>على</w:t>
      </w:r>
      <w:r w:rsidR="00F32B28">
        <w:rPr>
          <w:rtl/>
        </w:rPr>
        <w:t xml:space="preserve"> </w:t>
      </w:r>
      <w:r w:rsidR="00F32B28" w:rsidRPr="00F32B28">
        <w:rPr>
          <w:rtl/>
        </w:rPr>
        <w:t>أساس</w:t>
      </w:r>
      <w:r w:rsidR="00F32B28">
        <w:rPr>
          <w:rtl/>
        </w:rPr>
        <w:t xml:space="preserve"> </w:t>
      </w:r>
      <w:r w:rsidR="00F32B28" w:rsidRPr="00F32B28">
        <w:rPr>
          <w:rtl/>
        </w:rPr>
        <w:t>الجنس.</w:t>
      </w:r>
      <w:r w:rsidR="00F32B28">
        <w:rPr>
          <w:rtl/>
        </w:rPr>
        <w:t xml:space="preserve"> </w:t>
      </w:r>
      <w:r w:rsidR="00F32B28" w:rsidRPr="00F32B28">
        <w:rPr>
          <w:rtl/>
        </w:rPr>
        <w:t>كما</w:t>
      </w:r>
      <w:r w:rsidR="00F32B28">
        <w:rPr>
          <w:rtl/>
        </w:rPr>
        <w:t xml:space="preserve"> </w:t>
      </w:r>
      <w:r w:rsidR="00F32B28" w:rsidRPr="00F32B28">
        <w:rPr>
          <w:rtl/>
        </w:rPr>
        <w:t>ترث</w:t>
      </w:r>
      <w:r w:rsidR="00F32B28">
        <w:rPr>
          <w:rtl/>
        </w:rPr>
        <w:t xml:space="preserve"> </w:t>
      </w:r>
      <w:r w:rsidR="00F32B28" w:rsidRPr="00F32B28">
        <w:rPr>
          <w:rtl/>
        </w:rPr>
        <w:t>الزوجة</w:t>
      </w:r>
      <w:r w:rsidR="00F32B28">
        <w:rPr>
          <w:rtl/>
        </w:rPr>
        <w:t xml:space="preserve"> </w:t>
      </w:r>
      <w:r w:rsidR="00F32B28" w:rsidRPr="00F32B28">
        <w:rPr>
          <w:rtl/>
        </w:rPr>
        <w:t>(الأرملة)</w:t>
      </w:r>
      <w:r w:rsidR="00F32B28">
        <w:rPr>
          <w:rtl/>
        </w:rPr>
        <w:t xml:space="preserve"> </w:t>
      </w:r>
      <w:r w:rsidR="00F32B28" w:rsidRPr="00F32B28">
        <w:rPr>
          <w:rtl/>
        </w:rPr>
        <w:t>عن</w:t>
      </w:r>
      <w:r w:rsidR="00F32B28">
        <w:rPr>
          <w:rtl/>
        </w:rPr>
        <w:t xml:space="preserve"> </w:t>
      </w:r>
      <w:r w:rsidR="00F32B28" w:rsidRPr="00F32B28">
        <w:rPr>
          <w:rtl/>
        </w:rPr>
        <w:t>زوجها</w:t>
      </w:r>
      <w:r w:rsidR="00F32B28">
        <w:rPr>
          <w:rtl/>
        </w:rPr>
        <w:t xml:space="preserve"> </w:t>
      </w:r>
      <w:r w:rsidR="00F32B28" w:rsidRPr="00F32B28">
        <w:rPr>
          <w:rtl/>
        </w:rPr>
        <w:t>المتوفي</w:t>
      </w:r>
      <w:r w:rsidR="00F32B28">
        <w:rPr>
          <w:rtl/>
        </w:rPr>
        <w:t xml:space="preserve"> </w:t>
      </w:r>
      <w:r w:rsidR="00F32B28" w:rsidRPr="00F32B28">
        <w:rPr>
          <w:rtl/>
        </w:rPr>
        <w:t>المتقاعد</w:t>
      </w:r>
      <w:r w:rsidR="00F32B28">
        <w:rPr>
          <w:rtl/>
        </w:rPr>
        <w:t xml:space="preserve"> </w:t>
      </w:r>
      <w:r w:rsidR="00F32B28" w:rsidRPr="00F32B28">
        <w:rPr>
          <w:rtl/>
        </w:rPr>
        <w:t>هذه</w:t>
      </w:r>
      <w:r w:rsidR="00F32B28">
        <w:rPr>
          <w:rtl/>
        </w:rPr>
        <w:t xml:space="preserve"> </w:t>
      </w:r>
      <w:r w:rsidR="00F32B28" w:rsidRPr="00F32B28">
        <w:rPr>
          <w:rtl/>
        </w:rPr>
        <w:t>العوائد</w:t>
      </w:r>
      <w:r w:rsidR="00F32B28">
        <w:rPr>
          <w:rtl/>
        </w:rPr>
        <w:t xml:space="preserve"> </w:t>
      </w:r>
      <w:r w:rsidR="00F32B28" w:rsidRPr="00F32B28">
        <w:rPr>
          <w:rtl/>
        </w:rPr>
        <w:t>والتعويضات،</w:t>
      </w:r>
      <w:r w:rsidR="00F32B28">
        <w:rPr>
          <w:rtl/>
        </w:rPr>
        <w:t xml:space="preserve"> </w:t>
      </w:r>
      <w:r w:rsidR="00F32B28" w:rsidRPr="00F32B28">
        <w:rPr>
          <w:rtl/>
        </w:rPr>
        <w:t>ويرثها</w:t>
      </w:r>
      <w:r w:rsidR="00F32B28">
        <w:rPr>
          <w:rtl/>
        </w:rPr>
        <w:t xml:space="preserve"> </w:t>
      </w:r>
      <w:r w:rsidR="00F32B28" w:rsidRPr="00F32B28">
        <w:rPr>
          <w:rtl/>
        </w:rPr>
        <w:t>هو</w:t>
      </w:r>
      <w:r w:rsidR="00F32B28">
        <w:rPr>
          <w:rtl/>
        </w:rPr>
        <w:t xml:space="preserve"> </w:t>
      </w:r>
      <w:r w:rsidR="00F32B28" w:rsidRPr="00F32B28">
        <w:rPr>
          <w:rtl/>
        </w:rPr>
        <w:t>إذا</w:t>
      </w:r>
      <w:r w:rsidR="00F32B28">
        <w:rPr>
          <w:rtl/>
        </w:rPr>
        <w:t xml:space="preserve"> </w:t>
      </w:r>
      <w:r w:rsidR="00F32B28" w:rsidRPr="00F32B28">
        <w:rPr>
          <w:rtl/>
        </w:rPr>
        <w:t>ما</w:t>
      </w:r>
      <w:r w:rsidR="00F32B28">
        <w:rPr>
          <w:rtl/>
        </w:rPr>
        <w:t xml:space="preserve"> </w:t>
      </w:r>
      <w:r w:rsidR="00F32B28" w:rsidRPr="00F32B28">
        <w:rPr>
          <w:rtl/>
        </w:rPr>
        <w:t>كان</w:t>
      </w:r>
      <w:r w:rsidR="00F32B28">
        <w:rPr>
          <w:rtl/>
        </w:rPr>
        <w:t xml:space="preserve"> </w:t>
      </w:r>
      <w:r w:rsidR="00F32B28" w:rsidRPr="00F32B28">
        <w:rPr>
          <w:rtl/>
        </w:rPr>
        <w:t>عند</w:t>
      </w:r>
      <w:r w:rsidR="00F32B28">
        <w:rPr>
          <w:rtl/>
        </w:rPr>
        <w:t xml:space="preserve"> </w:t>
      </w:r>
      <w:r w:rsidR="00F32B28" w:rsidRPr="00F32B28">
        <w:rPr>
          <w:rtl/>
        </w:rPr>
        <w:t>وفاتها</w:t>
      </w:r>
      <w:r w:rsidR="00F32B28">
        <w:rPr>
          <w:rtl/>
        </w:rPr>
        <w:t xml:space="preserve"> </w:t>
      </w:r>
      <w:r w:rsidR="00F32B28" w:rsidRPr="00F32B28">
        <w:rPr>
          <w:rtl/>
        </w:rPr>
        <w:t>غير</w:t>
      </w:r>
      <w:r w:rsidR="00F32B28">
        <w:rPr>
          <w:rtl/>
        </w:rPr>
        <w:t xml:space="preserve"> </w:t>
      </w:r>
      <w:r w:rsidR="00F32B28" w:rsidRPr="00F32B28">
        <w:rPr>
          <w:rtl/>
        </w:rPr>
        <w:t>قادر</w:t>
      </w:r>
      <w:r w:rsidR="00F32B28">
        <w:rPr>
          <w:rtl/>
        </w:rPr>
        <w:t xml:space="preserve"> </w:t>
      </w:r>
      <w:r w:rsidR="00F32B28" w:rsidRPr="00F32B28">
        <w:rPr>
          <w:rtl/>
        </w:rPr>
        <w:t>على</w:t>
      </w:r>
      <w:r w:rsidR="00F32B28">
        <w:rPr>
          <w:rtl/>
        </w:rPr>
        <w:t xml:space="preserve"> </w:t>
      </w:r>
      <w:r w:rsidR="00F32B28" w:rsidRPr="00F32B28">
        <w:rPr>
          <w:rtl/>
        </w:rPr>
        <w:t>كسب</w:t>
      </w:r>
      <w:r w:rsidR="00F32B28">
        <w:rPr>
          <w:rtl/>
        </w:rPr>
        <w:t xml:space="preserve"> </w:t>
      </w:r>
      <w:r w:rsidR="00F32B28" w:rsidRPr="00F32B28">
        <w:rPr>
          <w:rtl/>
        </w:rPr>
        <w:t>الدخل</w:t>
      </w:r>
      <w:r w:rsidR="00F32B28">
        <w:rPr>
          <w:rtl/>
        </w:rPr>
        <w:t xml:space="preserve"> </w:t>
      </w:r>
      <w:r w:rsidR="00F32B28" w:rsidRPr="00F32B28">
        <w:rPr>
          <w:rtl/>
        </w:rPr>
        <w:t>من</w:t>
      </w:r>
      <w:r w:rsidR="00F32B28">
        <w:rPr>
          <w:rtl/>
        </w:rPr>
        <w:t xml:space="preserve"> </w:t>
      </w:r>
      <w:r w:rsidR="00F32B28" w:rsidRPr="00F32B28">
        <w:rPr>
          <w:rtl/>
        </w:rPr>
        <w:t>الناحية</w:t>
      </w:r>
      <w:r w:rsidR="00F32B28">
        <w:rPr>
          <w:rtl/>
        </w:rPr>
        <w:t xml:space="preserve"> </w:t>
      </w:r>
      <w:r w:rsidR="00F32B28" w:rsidRPr="00F32B28">
        <w:rPr>
          <w:rtl/>
        </w:rPr>
        <w:t>الصحية</w:t>
      </w:r>
      <w:r w:rsidR="00F32B28">
        <w:rPr>
          <w:rtl/>
        </w:rPr>
        <w:t xml:space="preserve"> </w:t>
      </w:r>
      <w:r w:rsidR="00F32B28" w:rsidRPr="00F32B28">
        <w:rPr>
          <w:rtl/>
        </w:rPr>
        <w:t>أو</w:t>
      </w:r>
      <w:r w:rsidR="00F32B28">
        <w:rPr>
          <w:rtl/>
        </w:rPr>
        <w:t xml:space="preserve"> </w:t>
      </w:r>
      <w:r w:rsidR="00F32B28" w:rsidRPr="00F32B28">
        <w:rPr>
          <w:rtl/>
        </w:rPr>
        <w:t>غير</w:t>
      </w:r>
      <w:r w:rsidR="00F32B28">
        <w:rPr>
          <w:rtl/>
        </w:rPr>
        <w:t xml:space="preserve"> </w:t>
      </w:r>
      <w:r w:rsidR="00F32B28" w:rsidRPr="00F32B28">
        <w:rPr>
          <w:rtl/>
        </w:rPr>
        <w:t>قادر</w:t>
      </w:r>
      <w:r w:rsidR="00F32B28">
        <w:rPr>
          <w:rtl/>
        </w:rPr>
        <w:t xml:space="preserve"> </w:t>
      </w:r>
      <w:r w:rsidR="00F32B28" w:rsidRPr="00F32B28">
        <w:rPr>
          <w:rtl/>
        </w:rPr>
        <w:t>على</w:t>
      </w:r>
      <w:r w:rsidR="00F32B28">
        <w:rPr>
          <w:rtl/>
        </w:rPr>
        <w:t xml:space="preserve"> </w:t>
      </w:r>
      <w:r w:rsidR="00F32B28" w:rsidRPr="00F32B28">
        <w:rPr>
          <w:rtl/>
        </w:rPr>
        <w:t>إعالة</w:t>
      </w:r>
      <w:r w:rsidR="00F32B28">
        <w:rPr>
          <w:rtl/>
        </w:rPr>
        <w:t xml:space="preserve"> </w:t>
      </w:r>
      <w:r w:rsidR="00F32B28" w:rsidRPr="00F32B28">
        <w:rPr>
          <w:rtl/>
        </w:rPr>
        <w:t>نفسه</w:t>
      </w:r>
      <w:r w:rsidR="00F32B28" w:rsidRPr="00F32B28">
        <w:rPr>
          <w:rtl/>
          <w:lang w:bidi="ar-SY"/>
        </w:rPr>
        <w:t>،</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الاشتراط</w:t>
      </w:r>
      <w:r w:rsidR="00F32B28">
        <w:rPr>
          <w:rtl/>
          <w:lang w:bidi="ar-SY"/>
        </w:rPr>
        <w:t xml:space="preserve"> </w:t>
      </w:r>
      <w:r w:rsidR="00F32B28" w:rsidRPr="00F32B28">
        <w:rPr>
          <w:rtl/>
          <w:lang w:bidi="ar-SY"/>
        </w:rPr>
        <w:t>يؤدي</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الحرمان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الحقوق</w:t>
      </w:r>
      <w:r w:rsidR="00F32B28">
        <w:rPr>
          <w:rtl/>
          <w:lang w:bidi="ar-SY"/>
        </w:rPr>
        <w:t xml:space="preserve"> </w:t>
      </w:r>
      <w:r w:rsidR="00F32B28" w:rsidRPr="00F32B28">
        <w:rPr>
          <w:rtl/>
          <w:lang w:bidi="ar-SY"/>
        </w:rPr>
        <w:t>التقاعدية</w:t>
      </w:r>
      <w:r w:rsidR="00F32B28">
        <w:rPr>
          <w:rtl/>
          <w:lang w:bidi="ar-SY"/>
        </w:rPr>
        <w:t xml:space="preserve"> </w:t>
      </w:r>
      <w:r w:rsidR="00F32B28" w:rsidRPr="00F32B28">
        <w:rPr>
          <w:rtl/>
          <w:lang w:bidi="ar-SY"/>
        </w:rPr>
        <w:t>الخاصة</w:t>
      </w:r>
      <w:r w:rsidR="00F32B28">
        <w:rPr>
          <w:rtl/>
          <w:lang w:bidi="ar-SY"/>
        </w:rPr>
        <w:t xml:space="preserve"> </w:t>
      </w:r>
      <w:r w:rsidR="00F32B28" w:rsidRPr="00F32B28">
        <w:rPr>
          <w:rtl/>
          <w:lang w:bidi="ar-SY"/>
        </w:rPr>
        <w:t>بالمرأة</w:t>
      </w:r>
      <w:r w:rsidR="00F32B28">
        <w:rPr>
          <w:rtl/>
          <w:lang w:bidi="ar-SY"/>
        </w:rPr>
        <w:t xml:space="preserve"> </w:t>
      </w:r>
      <w:r w:rsidR="00F32B28" w:rsidRPr="00F32B28">
        <w:rPr>
          <w:rtl/>
          <w:lang w:bidi="ar-SY"/>
        </w:rPr>
        <w:t>رغم</w:t>
      </w:r>
      <w:r w:rsidR="00F32B28">
        <w:rPr>
          <w:rtl/>
          <w:lang w:bidi="ar-SY"/>
        </w:rPr>
        <w:t xml:space="preserve"> </w:t>
      </w:r>
      <w:r w:rsidR="00F32B28" w:rsidRPr="00F32B28">
        <w:rPr>
          <w:rtl/>
          <w:lang w:bidi="ar-SY"/>
        </w:rPr>
        <w:t>التزامها</w:t>
      </w:r>
      <w:r w:rsidR="00F32B28">
        <w:rPr>
          <w:rtl/>
          <w:lang w:bidi="ar-SY"/>
        </w:rPr>
        <w:t xml:space="preserve"> </w:t>
      </w:r>
      <w:r w:rsidR="00F32B28" w:rsidRPr="00F32B28">
        <w:rPr>
          <w:rtl/>
          <w:lang w:bidi="ar-SY"/>
        </w:rPr>
        <w:t>بدفع</w:t>
      </w:r>
      <w:r w:rsidR="00F32B28">
        <w:rPr>
          <w:rtl/>
          <w:lang w:bidi="ar-SY"/>
        </w:rPr>
        <w:t xml:space="preserve"> </w:t>
      </w:r>
      <w:r w:rsidR="00F32B28" w:rsidRPr="00F32B28">
        <w:rPr>
          <w:rtl/>
          <w:lang w:bidi="ar-SY"/>
        </w:rPr>
        <w:t>مستحقات</w:t>
      </w:r>
      <w:r w:rsidR="00F32B28">
        <w:rPr>
          <w:rtl/>
          <w:lang w:bidi="ar-SY"/>
        </w:rPr>
        <w:t xml:space="preserve"> </w:t>
      </w:r>
      <w:r w:rsidR="00F32B28" w:rsidRPr="00F32B28">
        <w:rPr>
          <w:rtl/>
          <w:lang w:bidi="ar-SY"/>
        </w:rPr>
        <w:t>راتبها</w:t>
      </w:r>
      <w:r w:rsidR="00F32B28">
        <w:rPr>
          <w:rtl/>
          <w:lang w:bidi="ar-SY"/>
        </w:rPr>
        <w:t xml:space="preserve"> </w:t>
      </w:r>
      <w:r w:rsidR="00F32B28" w:rsidRPr="00F32B28">
        <w:rPr>
          <w:rtl/>
          <w:lang w:bidi="ar-SY"/>
        </w:rPr>
        <w:t>التقاعدي</w:t>
      </w:r>
      <w:r w:rsidR="00F32B28">
        <w:rPr>
          <w:rtl/>
          <w:lang w:bidi="ar-SY"/>
        </w:rPr>
        <w:t xml:space="preserve"> </w:t>
      </w:r>
      <w:r w:rsidR="00F32B28" w:rsidRPr="00F32B28">
        <w:rPr>
          <w:rtl/>
          <w:lang w:bidi="ar-SY"/>
        </w:rPr>
        <w:t>مثلها</w:t>
      </w:r>
      <w:r w:rsidR="00F32B28">
        <w:rPr>
          <w:rtl/>
          <w:lang w:bidi="ar-SY"/>
        </w:rPr>
        <w:t xml:space="preserve"> </w:t>
      </w:r>
      <w:r w:rsidR="00F32B28" w:rsidRPr="00F32B28">
        <w:rPr>
          <w:rtl/>
          <w:lang w:bidi="ar-SY"/>
        </w:rPr>
        <w:t>مثل</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يفترض</w:t>
      </w:r>
      <w:r w:rsidR="00F32B28">
        <w:rPr>
          <w:rtl/>
          <w:lang w:bidi="ar-SY"/>
        </w:rPr>
        <w:t xml:space="preserve"> </w:t>
      </w:r>
      <w:r w:rsidR="00F32B28" w:rsidRPr="00F32B28">
        <w:rPr>
          <w:rtl/>
          <w:lang w:bidi="ar-SY"/>
        </w:rPr>
        <w:t>بأن</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المـُعالة</w:t>
      </w:r>
      <w:r w:rsidR="00F32B28">
        <w:rPr>
          <w:rtl/>
          <w:lang w:bidi="ar-SY"/>
        </w:rPr>
        <w:t xml:space="preserve"> </w:t>
      </w:r>
      <w:r w:rsidR="00F32B28" w:rsidRPr="00F32B28">
        <w:rPr>
          <w:rtl/>
          <w:lang w:bidi="ar-SY"/>
        </w:rPr>
        <w:t>دائماً</w:t>
      </w:r>
      <w:r w:rsidR="00F32B28">
        <w:rPr>
          <w:rtl/>
          <w:lang w:bidi="ar-SY"/>
        </w:rPr>
        <w:t xml:space="preserve"> </w:t>
      </w:r>
      <w:r w:rsidR="00F32B28" w:rsidRPr="00F32B28">
        <w:rPr>
          <w:rtl/>
          <w:lang w:bidi="ar-SY"/>
        </w:rPr>
        <w:t>وبأن</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هو</w:t>
      </w:r>
      <w:r w:rsidR="00F32B28">
        <w:rPr>
          <w:rtl/>
          <w:lang w:bidi="ar-SY"/>
        </w:rPr>
        <w:t xml:space="preserve"> </w:t>
      </w:r>
      <w:r w:rsidR="00F32B28" w:rsidRPr="00F32B28">
        <w:rPr>
          <w:rtl/>
          <w:lang w:bidi="ar-SY"/>
        </w:rPr>
        <w:t>المعيل</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يعتمد</w:t>
      </w:r>
      <w:r w:rsidR="00F32B28">
        <w:rPr>
          <w:rtl/>
          <w:lang w:bidi="ar-SY"/>
        </w:rPr>
        <w:t xml:space="preserve"> </w:t>
      </w:r>
      <w:r w:rsidR="00F32B28" w:rsidRPr="00F32B28">
        <w:rPr>
          <w:rtl/>
          <w:lang w:bidi="ar-SY"/>
        </w:rPr>
        <w:t>عليها.</w:t>
      </w:r>
      <w:r w:rsidR="00F32B28" w:rsidRPr="00F32B28">
        <w:rPr>
          <w:rtl/>
        </w:rPr>
        <w:t>أما</w:t>
      </w:r>
      <w:r w:rsidR="00F32B28">
        <w:rPr>
          <w:rtl/>
        </w:rPr>
        <w:t xml:space="preserve"> </w:t>
      </w:r>
      <w:r w:rsidR="00F32B28" w:rsidRPr="00F32B28">
        <w:rPr>
          <w:rtl/>
        </w:rPr>
        <w:t>إذا</w:t>
      </w:r>
      <w:r w:rsidR="00F32B28">
        <w:rPr>
          <w:rtl/>
        </w:rPr>
        <w:t xml:space="preserve"> </w:t>
      </w:r>
      <w:r w:rsidR="00F32B28" w:rsidRPr="00F32B28">
        <w:rPr>
          <w:rtl/>
        </w:rPr>
        <w:t>تزوجت</w:t>
      </w:r>
      <w:r w:rsidR="00F32B28">
        <w:rPr>
          <w:rtl/>
        </w:rPr>
        <w:t xml:space="preserve"> </w:t>
      </w:r>
      <w:r w:rsidR="00F32B28" w:rsidRPr="00F32B28">
        <w:rPr>
          <w:rtl/>
        </w:rPr>
        <w:t>الموظفة</w:t>
      </w:r>
      <w:r w:rsidR="00F32B28">
        <w:rPr>
          <w:rtl/>
        </w:rPr>
        <w:t xml:space="preserve"> </w:t>
      </w:r>
      <w:r w:rsidR="00F32B28" w:rsidRPr="00F32B28">
        <w:rPr>
          <w:rtl/>
        </w:rPr>
        <w:t>التي</w:t>
      </w:r>
      <w:r w:rsidR="00F32B28">
        <w:rPr>
          <w:rtl/>
        </w:rPr>
        <w:t xml:space="preserve"> </w:t>
      </w:r>
      <w:r w:rsidR="00F32B28" w:rsidRPr="00F32B28">
        <w:rPr>
          <w:rtl/>
        </w:rPr>
        <w:t>اكتسبت</w:t>
      </w:r>
      <w:r w:rsidR="00F32B28">
        <w:rPr>
          <w:rtl/>
        </w:rPr>
        <w:t xml:space="preserve"> </w:t>
      </w:r>
      <w:r w:rsidR="00F32B28" w:rsidRPr="00F32B28">
        <w:rPr>
          <w:rtl/>
        </w:rPr>
        <w:t>راتباً</w:t>
      </w:r>
      <w:r w:rsidR="00F32B28">
        <w:rPr>
          <w:rtl/>
        </w:rPr>
        <w:t xml:space="preserve"> </w:t>
      </w:r>
      <w:r w:rsidR="00F32B28" w:rsidRPr="00F32B28">
        <w:rPr>
          <w:rtl/>
        </w:rPr>
        <w:t>تقاعدياً</w:t>
      </w:r>
      <w:r w:rsidR="00F32B28">
        <w:rPr>
          <w:rtl/>
        </w:rPr>
        <w:t xml:space="preserve"> </w:t>
      </w:r>
      <w:r w:rsidR="00F32B28" w:rsidRPr="00F32B28">
        <w:rPr>
          <w:rtl/>
        </w:rPr>
        <w:t>عن</w:t>
      </w:r>
      <w:r w:rsidR="00F32B28">
        <w:rPr>
          <w:rtl/>
        </w:rPr>
        <w:t xml:space="preserve"> </w:t>
      </w:r>
      <w:r w:rsidR="00F32B28" w:rsidRPr="00F32B28">
        <w:rPr>
          <w:rtl/>
        </w:rPr>
        <w:t>خدماتها</w:t>
      </w:r>
      <w:r w:rsidR="00F32B28">
        <w:rPr>
          <w:rtl/>
        </w:rPr>
        <w:t xml:space="preserve"> </w:t>
      </w:r>
      <w:r w:rsidR="00F32B28" w:rsidRPr="00F32B28">
        <w:rPr>
          <w:rtl/>
        </w:rPr>
        <w:t>هي</w:t>
      </w:r>
      <w:r w:rsidR="00F32B28">
        <w:rPr>
          <w:rtl/>
        </w:rPr>
        <w:t xml:space="preserve"> </w:t>
      </w:r>
      <w:r w:rsidR="00F32B28" w:rsidRPr="00F32B28">
        <w:rPr>
          <w:rtl/>
        </w:rPr>
        <w:t>فلا</w:t>
      </w:r>
      <w:r w:rsidR="00F32B28">
        <w:rPr>
          <w:rtl/>
        </w:rPr>
        <w:t xml:space="preserve"> </w:t>
      </w:r>
      <w:r w:rsidR="00F32B28" w:rsidRPr="00F32B28">
        <w:rPr>
          <w:rtl/>
        </w:rPr>
        <w:t>يقطع</w:t>
      </w:r>
      <w:r w:rsidR="00F32B28">
        <w:rPr>
          <w:rtl/>
        </w:rPr>
        <w:t xml:space="preserve"> </w:t>
      </w:r>
      <w:r w:rsidR="00F32B28" w:rsidRPr="00F32B28">
        <w:rPr>
          <w:rtl/>
        </w:rPr>
        <w:t>عنها</w:t>
      </w:r>
      <w:r w:rsidR="00F32B28">
        <w:rPr>
          <w:rtl/>
        </w:rPr>
        <w:t xml:space="preserve"> </w:t>
      </w:r>
      <w:r w:rsidR="00F32B28" w:rsidRPr="00F32B28">
        <w:rPr>
          <w:rtl/>
        </w:rPr>
        <w:t>راتبها</w:t>
      </w:r>
      <w:r w:rsidR="00F32B28">
        <w:rPr>
          <w:rtl/>
        </w:rPr>
        <w:t xml:space="preserve"> </w:t>
      </w:r>
      <w:r w:rsidR="00F32B28" w:rsidRPr="00F32B28">
        <w:rPr>
          <w:rtl/>
        </w:rPr>
        <w:t>التقاعدي</w:t>
      </w:r>
      <w:r w:rsidR="00F32B28">
        <w:rPr>
          <w:rtl/>
        </w:rPr>
        <w:t xml:space="preserve"> </w:t>
      </w:r>
      <w:r w:rsidR="00F32B28" w:rsidRPr="00F32B28">
        <w:rPr>
          <w:rtl/>
        </w:rPr>
        <w:t>بسبب</w:t>
      </w:r>
      <w:r w:rsidR="00F32B28">
        <w:rPr>
          <w:rtl/>
        </w:rPr>
        <w:t xml:space="preserve"> </w:t>
      </w:r>
      <w:r w:rsidR="00F32B28" w:rsidRPr="00F32B28">
        <w:rPr>
          <w:rtl/>
        </w:rPr>
        <w:t>زواجها.</w:t>
      </w:r>
      <w:r w:rsidR="00F32B28">
        <w:rPr>
          <w:rtl/>
        </w:rPr>
        <w:t xml:space="preserve"> </w:t>
      </w:r>
    </w:p>
    <w:p w:rsidR="00F32B28" w:rsidRPr="00F32B28" w:rsidRDefault="00851F93" w:rsidP="00851F93">
      <w:pPr>
        <w:pStyle w:val="SingleTxt"/>
        <w:rPr>
          <w:rtl/>
        </w:rPr>
      </w:pPr>
      <w:r>
        <w:rPr>
          <w:rFonts w:hint="cs"/>
          <w:rtl/>
        </w:rPr>
        <w:lastRenderedPageBreak/>
        <w:t xml:space="preserve">282 - </w:t>
      </w:r>
      <w:r w:rsidR="00F32B28" w:rsidRPr="00F32B28">
        <w:rPr>
          <w:rtl/>
        </w:rPr>
        <w:t>وعلى</w:t>
      </w:r>
      <w:r w:rsidR="00F32B28">
        <w:rPr>
          <w:rtl/>
        </w:rPr>
        <w:t xml:space="preserve"> </w:t>
      </w:r>
      <w:r w:rsidR="00F32B28" w:rsidRPr="00F32B28">
        <w:rPr>
          <w:rtl/>
        </w:rPr>
        <w:t>الرغم</w:t>
      </w:r>
      <w:r w:rsidR="00F32B28">
        <w:rPr>
          <w:rtl/>
        </w:rPr>
        <w:t xml:space="preserve"> </w:t>
      </w:r>
      <w:r w:rsidR="00F32B28" w:rsidRPr="00F32B28">
        <w:rPr>
          <w:rtl/>
        </w:rPr>
        <w:t>من</w:t>
      </w:r>
      <w:r w:rsidR="00F32B28">
        <w:rPr>
          <w:rtl/>
        </w:rPr>
        <w:t xml:space="preserve"> </w:t>
      </w:r>
      <w:r w:rsidR="00F32B28" w:rsidRPr="00F32B28">
        <w:rPr>
          <w:rtl/>
        </w:rPr>
        <w:t>وجود</w:t>
      </w:r>
      <w:r w:rsidR="00F32B28">
        <w:rPr>
          <w:rtl/>
        </w:rPr>
        <w:t xml:space="preserve"> </w:t>
      </w:r>
      <w:r w:rsidR="00F32B28" w:rsidRPr="00F32B28">
        <w:rPr>
          <w:rtl/>
        </w:rPr>
        <w:t>تفاوتاً</w:t>
      </w:r>
      <w:r w:rsidR="00F32B28">
        <w:rPr>
          <w:rtl/>
        </w:rPr>
        <w:t xml:space="preserve"> </w:t>
      </w:r>
      <w:r w:rsidR="00F32B28" w:rsidRPr="00F32B28">
        <w:rPr>
          <w:rtl/>
        </w:rPr>
        <w:t>في</w:t>
      </w:r>
      <w:r w:rsidR="00F32B28">
        <w:rPr>
          <w:rtl/>
        </w:rPr>
        <w:t xml:space="preserve"> </w:t>
      </w:r>
      <w:r w:rsidR="00F32B28" w:rsidRPr="00F32B28">
        <w:rPr>
          <w:rtl/>
        </w:rPr>
        <w:t>معدلات</w:t>
      </w:r>
      <w:r w:rsidR="00F32B28">
        <w:rPr>
          <w:rtl/>
        </w:rPr>
        <w:t xml:space="preserve"> </w:t>
      </w:r>
      <w:r w:rsidR="00F32B28" w:rsidRPr="00F32B28">
        <w:rPr>
          <w:rtl/>
        </w:rPr>
        <w:t>الفقر</w:t>
      </w:r>
      <w:r w:rsidR="00F32B28">
        <w:rPr>
          <w:rtl/>
        </w:rPr>
        <w:t xml:space="preserve"> </w:t>
      </w:r>
      <w:r w:rsidR="00F32B28" w:rsidRPr="00F32B28">
        <w:rPr>
          <w:rtl/>
        </w:rPr>
        <w:t>بين</w:t>
      </w:r>
      <w:r w:rsidR="00F32B28">
        <w:rPr>
          <w:rtl/>
        </w:rPr>
        <w:t xml:space="preserve"> </w:t>
      </w:r>
      <w:r w:rsidR="00F32B28" w:rsidRPr="00F32B28">
        <w:rPr>
          <w:rtl/>
        </w:rPr>
        <w:t>الأسر</w:t>
      </w:r>
      <w:r w:rsidR="00F32B28">
        <w:rPr>
          <w:rtl/>
        </w:rPr>
        <w:t xml:space="preserve"> </w:t>
      </w:r>
      <w:r w:rsidR="00F32B28" w:rsidRPr="00F32B28">
        <w:rPr>
          <w:rtl/>
        </w:rPr>
        <w:t>التي</w:t>
      </w:r>
      <w:r w:rsidR="00F32B28">
        <w:rPr>
          <w:rtl/>
        </w:rPr>
        <w:t xml:space="preserve"> </w:t>
      </w:r>
      <w:r w:rsidR="00F32B28" w:rsidRPr="00F32B28">
        <w:rPr>
          <w:rtl/>
        </w:rPr>
        <w:t>يرأسها</w:t>
      </w:r>
      <w:r w:rsidR="00F32B28">
        <w:rPr>
          <w:rtl/>
        </w:rPr>
        <w:t xml:space="preserve"> </w:t>
      </w:r>
      <w:r w:rsidR="00F32B28" w:rsidRPr="00F32B28">
        <w:rPr>
          <w:rtl/>
        </w:rPr>
        <w:t>الرجال</w:t>
      </w:r>
      <w:r w:rsidR="00F32B28">
        <w:rPr>
          <w:rtl/>
        </w:rPr>
        <w:t xml:space="preserve"> </w:t>
      </w:r>
      <w:r w:rsidR="00F32B28" w:rsidRPr="00F32B28">
        <w:rPr>
          <w:rtl/>
        </w:rPr>
        <w:t>والأسر</w:t>
      </w:r>
      <w:r w:rsidR="00F32B28">
        <w:rPr>
          <w:rtl/>
        </w:rPr>
        <w:t xml:space="preserve"> </w:t>
      </w:r>
      <w:r w:rsidR="00F32B28" w:rsidRPr="00F32B28">
        <w:rPr>
          <w:rtl/>
        </w:rPr>
        <w:t>التي</w:t>
      </w:r>
      <w:r w:rsidR="00F32B28">
        <w:rPr>
          <w:rtl/>
        </w:rPr>
        <w:t xml:space="preserve"> </w:t>
      </w:r>
      <w:r w:rsidR="00F32B28" w:rsidRPr="00F32B28">
        <w:rPr>
          <w:rtl/>
        </w:rPr>
        <w:t>ترأسها</w:t>
      </w:r>
      <w:r w:rsidR="00F32B28">
        <w:rPr>
          <w:rtl/>
        </w:rPr>
        <w:t xml:space="preserve"> </w:t>
      </w:r>
      <w:r w:rsidR="00F32B28" w:rsidRPr="00F32B28">
        <w:rPr>
          <w:rtl/>
        </w:rPr>
        <w:t>النساء،</w:t>
      </w:r>
      <w:r w:rsidR="00F32B28">
        <w:rPr>
          <w:rtl/>
        </w:rPr>
        <w:t xml:space="preserve"> </w:t>
      </w:r>
      <w:r w:rsidR="00F32B28" w:rsidRPr="00F32B28">
        <w:rPr>
          <w:rtl/>
        </w:rPr>
        <w:t>والتي</w:t>
      </w:r>
      <w:r w:rsidR="00F32B28">
        <w:rPr>
          <w:rtl/>
        </w:rPr>
        <w:t xml:space="preserve"> </w:t>
      </w:r>
      <w:r w:rsidR="00F32B28" w:rsidRPr="00F32B28">
        <w:rPr>
          <w:rtl/>
        </w:rPr>
        <w:t>تشكل</w:t>
      </w:r>
      <w:r w:rsidR="00F32B28">
        <w:rPr>
          <w:rtl/>
        </w:rPr>
        <w:t xml:space="preserve"> </w:t>
      </w:r>
      <w:r w:rsidR="00F32B28" w:rsidRPr="00F32B28">
        <w:rPr>
          <w:rtl/>
        </w:rPr>
        <w:t>9.3</w:t>
      </w:r>
      <w:r>
        <w:rPr>
          <w:rFonts w:hint="cs"/>
          <w:rtl/>
        </w:rPr>
        <w:t xml:space="preserve"> </w:t>
      </w:r>
      <w:r w:rsidR="00600C43">
        <w:rPr>
          <w:rtl/>
        </w:rPr>
        <w:t>في المائة</w:t>
      </w:r>
      <w:r w:rsidR="00F32B28">
        <w:rPr>
          <w:rtl/>
        </w:rPr>
        <w:t xml:space="preserve"> </w:t>
      </w:r>
      <w:r w:rsidR="00F32B28" w:rsidRPr="00F32B28">
        <w:rPr>
          <w:rtl/>
        </w:rPr>
        <w:t>من</w:t>
      </w:r>
      <w:r w:rsidR="00F32B28">
        <w:rPr>
          <w:rtl/>
        </w:rPr>
        <w:t xml:space="preserve"> </w:t>
      </w:r>
      <w:r w:rsidR="00F32B28" w:rsidRPr="00F32B28">
        <w:rPr>
          <w:rtl/>
        </w:rPr>
        <w:t>إجمالي</w:t>
      </w:r>
      <w:r w:rsidR="00F32B28">
        <w:rPr>
          <w:rtl/>
        </w:rPr>
        <w:t xml:space="preserve"> </w:t>
      </w:r>
      <w:r w:rsidR="00F32B28" w:rsidRPr="00F32B28">
        <w:rPr>
          <w:rtl/>
        </w:rPr>
        <w:t>الأسر</w:t>
      </w:r>
      <w:r w:rsidR="00F32B28">
        <w:rPr>
          <w:rtl/>
        </w:rPr>
        <w:t xml:space="preserve"> </w:t>
      </w:r>
      <w:r w:rsidR="00F32B28" w:rsidRPr="00F32B28">
        <w:rPr>
          <w:rtl/>
        </w:rPr>
        <w:t>الفلسطينية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وقطاع</w:t>
      </w:r>
      <w:r w:rsidR="00F32B28">
        <w:rPr>
          <w:rtl/>
        </w:rPr>
        <w:t xml:space="preserve"> </w:t>
      </w:r>
      <w:r w:rsidR="00F32B28" w:rsidRPr="00F32B28">
        <w:rPr>
          <w:rtl/>
        </w:rPr>
        <w:t>غزة</w:t>
      </w:r>
      <w:r w:rsidR="00F32B28">
        <w:rPr>
          <w:rtl/>
        </w:rPr>
        <w:t xml:space="preserve"> </w:t>
      </w:r>
      <w:r w:rsidR="00F32B28" w:rsidRPr="00F32B28">
        <w:rPr>
          <w:rtl/>
        </w:rPr>
        <w:t>لسنة</w:t>
      </w:r>
      <w:r w:rsidR="00F32B28">
        <w:rPr>
          <w:rtl/>
        </w:rPr>
        <w:t xml:space="preserve"> </w:t>
      </w:r>
      <w:r w:rsidR="00F32B28" w:rsidRPr="00F32B28">
        <w:rPr>
          <w:rtl/>
        </w:rPr>
        <w:t>2011،</w:t>
      </w:r>
      <w:r w:rsidR="00F32B28">
        <w:rPr>
          <w:rtl/>
        </w:rPr>
        <w:t xml:space="preserve"> </w:t>
      </w:r>
      <w:r w:rsidR="00F32B28" w:rsidRPr="00F32B28">
        <w:rPr>
          <w:rtl/>
        </w:rPr>
        <w:t>حيث</w:t>
      </w:r>
      <w:r w:rsidR="00F32B28">
        <w:rPr>
          <w:rtl/>
        </w:rPr>
        <w:t xml:space="preserve"> </w:t>
      </w:r>
      <w:r w:rsidR="00F32B28" w:rsidRPr="00F32B28">
        <w:rPr>
          <w:rtl/>
        </w:rPr>
        <w:t>بلغت</w:t>
      </w:r>
      <w:r w:rsidR="00F32B28">
        <w:rPr>
          <w:rtl/>
        </w:rPr>
        <w:t xml:space="preserve"> </w:t>
      </w:r>
      <w:r w:rsidR="00F32B28" w:rsidRPr="00F32B28">
        <w:rPr>
          <w:rtl/>
        </w:rPr>
        <w:t>هذه</w:t>
      </w:r>
      <w:r w:rsidR="00F32B28">
        <w:rPr>
          <w:rtl/>
        </w:rPr>
        <w:t xml:space="preserve"> </w:t>
      </w:r>
      <w:r w:rsidR="00F32B28" w:rsidRPr="00F32B28">
        <w:rPr>
          <w:rtl/>
        </w:rPr>
        <w:t>المعدلات</w:t>
      </w:r>
      <w:r w:rsidR="00F32B28">
        <w:rPr>
          <w:rtl/>
        </w:rPr>
        <w:t xml:space="preserve"> </w:t>
      </w:r>
      <w:r w:rsidR="00F32B28" w:rsidRPr="00F32B28">
        <w:rPr>
          <w:rtl/>
        </w:rPr>
        <w:t>29.8</w:t>
      </w:r>
      <w:r>
        <w:rPr>
          <w:rFonts w:hint="cs"/>
          <w:rtl/>
        </w:rPr>
        <w:t xml:space="preserve"> </w:t>
      </w:r>
      <w:r w:rsidR="00600C43">
        <w:rPr>
          <w:rtl/>
        </w:rPr>
        <w:t>في المائة</w:t>
      </w:r>
      <w:r w:rsidR="00F32B28">
        <w:rPr>
          <w:rtl/>
        </w:rPr>
        <w:t xml:space="preserve"> </w:t>
      </w:r>
      <w:r w:rsidR="00F32B28" w:rsidRPr="00F32B28">
        <w:rPr>
          <w:rtl/>
        </w:rPr>
        <w:t>و</w:t>
      </w:r>
      <w:r w:rsidR="00407D55">
        <w:rPr>
          <w:rFonts w:hint="cs"/>
          <w:rtl/>
        </w:rPr>
        <w:t xml:space="preserve"> </w:t>
      </w:r>
      <w:r w:rsidR="00F32B28" w:rsidRPr="00F32B28">
        <w:rPr>
          <w:rtl/>
        </w:rPr>
        <w:t>25.5</w:t>
      </w:r>
      <w:r w:rsidR="00407D55">
        <w:rPr>
          <w:rFonts w:hint="cs"/>
          <w:rtl/>
        </w:rPr>
        <w:t xml:space="preserve"> </w:t>
      </w:r>
      <w:r w:rsidR="00600C43">
        <w:rPr>
          <w:rtl/>
        </w:rPr>
        <w:t>في المائة</w:t>
      </w:r>
      <w:r w:rsidR="00F32B28">
        <w:rPr>
          <w:rtl/>
        </w:rPr>
        <w:t xml:space="preserve"> </w:t>
      </w:r>
      <w:r w:rsidR="00F32B28" w:rsidRPr="00F32B28">
        <w:rPr>
          <w:rtl/>
        </w:rPr>
        <w:t>على</w:t>
      </w:r>
      <w:r w:rsidR="00F32B28">
        <w:rPr>
          <w:rtl/>
        </w:rPr>
        <w:t xml:space="preserve"> </w:t>
      </w:r>
      <w:r w:rsidR="00F32B28" w:rsidRPr="00F32B28">
        <w:rPr>
          <w:rtl/>
        </w:rPr>
        <w:t>التوالي،</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هذه</w:t>
      </w:r>
      <w:r w:rsidR="00F32B28">
        <w:rPr>
          <w:rtl/>
        </w:rPr>
        <w:t xml:space="preserve"> </w:t>
      </w:r>
      <w:r w:rsidR="00F32B28" w:rsidRPr="00F32B28">
        <w:rPr>
          <w:rtl/>
        </w:rPr>
        <w:t>النسبة</w:t>
      </w:r>
      <w:r w:rsidR="00F32B28">
        <w:rPr>
          <w:rtl/>
        </w:rPr>
        <w:t xml:space="preserve"> </w:t>
      </w:r>
      <w:r w:rsidR="00F32B28" w:rsidRPr="00F32B28">
        <w:rPr>
          <w:rtl/>
        </w:rPr>
        <w:t>تبدو</w:t>
      </w:r>
      <w:r w:rsidR="00F32B28">
        <w:rPr>
          <w:rtl/>
        </w:rPr>
        <w:t xml:space="preserve"> </w:t>
      </w:r>
      <w:r w:rsidR="00F32B28" w:rsidRPr="00F32B28">
        <w:rPr>
          <w:rtl/>
        </w:rPr>
        <w:t>إلى</w:t>
      </w:r>
      <w:r w:rsidR="00F32B28">
        <w:rPr>
          <w:rtl/>
        </w:rPr>
        <w:t xml:space="preserve"> </w:t>
      </w:r>
      <w:r w:rsidR="00F32B28" w:rsidRPr="00F32B28">
        <w:rPr>
          <w:rtl/>
        </w:rPr>
        <w:t>حد</w:t>
      </w:r>
      <w:r w:rsidR="00F32B28">
        <w:rPr>
          <w:rtl/>
        </w:rPr>
        <w:t xml:space="preserve"> </w:t>
      </w:r>
      <w:r w:rsidR="00F32B28" w:rsidRPr="00F32B28">
        <w:rPr>
          <w:rtl/>
        </w:rPr>
        <w:t>ما</w:t>
      </w:r>
      <w:r w:rsidR="00F32B28">
        <w:rPr>
          <w:rtl/>
        </w:rPr>
        <w:t xml:space="preserve"> </w:t>
      </w:r>
      <w:r w:rsidR="00F32B28" w:rsidRPr="00F32B28">
        <w:rPr>
          <w:rtl/>
        </w:rPr>
        <w:t>متقاربة،</w:t>
      </w:r>
      <w:r w:rsidR="00F32B28">
        <w:rPr>
          <w:rtl/>
        </w:rPr>
        <w:t xml:space="preserve"> </w:t>
      </w:r>
      <w:r w:rsidR="00F32B28" w:rsidRPr="00F32B28">
        <w:rPr>
          <w:rtl/>
        </w:rPr>
        <w:t>إذ</w:t>
      </w:r>
      <w:r w:rsidR="00F32B28">
        <w:rPr>
          <w:rtl/>
        </w:rPr>
        <w:t xml:space="preserve"> </w:t>
      </w:r>
      <w:r w:rsidR="00F32B28" w:rsidRPr="00F32B28">
        <w:rPr>
          <w:rtl/>
        </w:rPr>
        <w:t>يتضح</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دراسة</w:t>
      </w:r>
      <w:r w:rsidR="00F32B28">
        <w:rPr>
          <w:rtl/>
        </w:rPr>
        <w:t xml:space="preserve"> </w:t>
      </w:r>
      <w:r w:rsidR="00F32B28" w:rsidRPr="00F32B28">
        <w:rPr>
          <w:rtl/>
        </w:rPr>
        <w:t>الحالات</w:t>
      </w:r>
      <w:r w:rsidR="00F32B28">
        <w:rPr>
          <w:rtl/>
        </w:rPr>
        <w:t xml:space="preserve"> </w:t>
      </w:r>
      <w:r w:rsidR="00F32B28" w:rsidRPr="00F32B28">
        <w:rPr>
          <w:rtl/>
        </w:rPr>
        <w:t>أن</w:t>
      </w:r>
      <w:r w:rsidR="00F32B28">
        <w:rPr>
          <w:rtl/>
        </w:rPr>
        <w:t xml:space="preserve"> </w:t>
      </w:r>
      <w:r w:rsidR="00F32B28" w:rsidRPr="00F32B28">
        <w:rPr>
          <w:rtl/>
        </w:rPr>
        <w:t>رئاسة</w:t>
      </w:r>
      <w:r w:rsidR="00F32B28">
        <w:rPr>
          <w:rtl/>
        </w:rPr>
        <w:t xml:space="preserve"> </w:t>
      </w:r>
      <w:r w:rsidR="00F32B28" w:rsidRPr="00F32B28">
        <w:rPr>
          <w:rtl/>
        </w:rPr>
        <w:t>المرأة</w:t>
      </w:r>
      <w:r w:rsidR="00F32B28">
        <w:rPr>
          <w:rtl/>
        </w:rPr>
        <w:t xml:space="preserve"> </w:t>
      </w:r>
      <w:r w:rsidR="00F32B28" w:rsidRPr="00F32B28">
        <w:rPr>
          <w:rtl/>
        </w:rPr>
        <w:t>للأسرة</w:t>
      </w:r>
      <w:r w:rsidR="00F32B28">
        <w:rPr>
          <w:rtl/>
        </w:rPr>
        <w:t xml:space="preserve"> </w:t>
      </w:r>
      <w:r w:rsidR="00F32B28" w:rsidRPr="00F32B28">
        <w:rPr>
          <w:rtl/>
        </w:rPr>
        <w:t>لا</w:t>
      </w:r>
      <w:r w:rsidR="00F32B28">
        <w:rPr>
          <w:rtl/>
        </w:rPr>
        <w:t xml:space="preserve"> </w:t>
      </w:r>
      <w:r w:rsidR="00F32B28" w:rsidRPr="00F32B28">
        <w:rPr>
          <w:rtl/>
        </w:rPr>
        <w:t>تعني</w:t>
      </w:r>
      <w:r w:rsidR="00F32B28">
        <w:rPr>
          <w:rtl/>
        </w:rPr>
        <w:t xml:space="preserve"> </w:t>
      </w:r>
      <w:r w:rsidR="00F32B28" w:rsidRPr="00F32B28">
        <w:rPr>
          <w:rtl/>
        </w:rPr>
        <w:t>بالضرورة</w:t>
      </w:r>
      <w:r w:rsidR="00F32B28">
        <w:rPr>
          <w:rtl/>
        </w:rPr>
        <w:t xml:space="preserve"> </w:t>
      </w:r>
      <w:r w:rsidR="00F32B28" w:rsidRPr="00F32B28">
        <w:rPr>
          <w:rtl/>
        </w:rPr>
        <w:t>أن</w:t>
      </w:r>
      <w:r w:rsidR="00F32B28">
        <w:rPr>
          <w:rtl/>
        </w:rPr>
        <w:t xml:space="preserve"> </w:t>
      </w:r>
      <w:r w:rsidR="00F32B28" w:rsidRPr="00F32B28">
        <w:rPr>
          <w:rtl/>
        </w:rPr>
        <w:t>تكون</w:t>
      </w:r>
      <w:r w:rsidR="00F32B28">
        <w:rPr>
          <w:rtl/>
        </w:rPr>
        <w:t xml:space="preserve"> </w:t>
      </w:r>
      <w:r w:rsidR="00F32B28" w:rsidRPr="00F32B28">
        <w:rPr>
          <w:rtl/>
        </w:rPr>
        <w:t>هذه</w:t>
      </w:r>
      <w:r w:rsidR="00F32B28">
        <w:rPr>
          <w:rtl/>
        </w:rPr>
        <w:t xml:space="preserve"> </w:t>
      </w:r>
      <w:r w:rsidR="00F32B28" w:rsidRPr="00F32B28">
        <w:rPr>
          <w:rtl/>
        </w:rPr>
        <w:t>الأسر</w:t>
      </w:r>
      <w:r w:rsidR="00F32B28">
        <w:rPr>
          <w:rtl/>
        </w:rPr>
        <w:t xml:space="preserve"> </w:t>
      </w:r>
      <w:r w:rsidR="00F32B28" w:rsidRPr="00F32B28">
        <w:rPr>
          <w:rtl/>
        </w:rPr>
        <w:t>أكثر</w:t>
      </w:r>
      <w:r w:rsidR="00F32B28">
        <w:rPr>
          <w:rtl/>
        </w:rPr>
        <w:t xml:space="preserve"> </w:t>
      </w:r>
      <w:r w:rsidR="00F32B28" w:rsidRPr="00F32B28">
        <w:rPr>
          <w:rtl/>
        </w:rPr>
        <w:t>فقراً،</w:t>
      </w:r>
      <w:r w:rsidR="00F32B28">
        <w:rPr>
          <w:rtl/>
        </w:rPr>
        <w:t xml:space="preserve"> </w:t>
      </w:r>
      <w:r w:rsidR="00F32B28" w:rsidRPr="00F32B28">
        <w:rPr>
          <w:rtl/>
        </w:rPr>
        <w:t>فالعوامل</w:t>
      </w:r>
      <w:r w:rsidR="00F32B28">
        <w:rPr>
          <w:rtl/>
        </w:rPr>
        <w:t xml:space="preserve"> </w:t>
      </w:r>
      <w:r w:rsidR="00F32B28" w:rsidRPr="00F32B28">
        <w:rPr>
          <w:rtl/>
        </w:rPr>
        <w:t>التي</w:t>
      </w:r>
      <w:r w:rsidR="00F32B28">
        <w:rPr>
          <w:rtl/>
        </w:rPr>
        <w:t xml:space="preserve"> </w:t>
      </w:r>
      <w:r w:rsidR="00F32B28" w:rsidRPr="00F32B28">
        <w:rPr>
          <w:rtl/>
        </w:rPr>
        <w:t>تؤثر</w:t>
      </w:r>
      <w:r w:rsidR="00F32B28">
        <w:rPr>
          <w:rtl/>
        </w:rPr>
        <w:t xml:space="preserve"> </w:t>
      </w:r>
      <w:r w:rsidR="00F32B28" w:rsidRPr="00F32B28">
        <w:rPr>
          <w:rtl/>
        </w:rPr>
        <w:t>على</w:t>
      </w:r>
      <w:r w:rsidR="00F32B28">
        <w:rPr>
          <w:rtl/>
        </w:rPr>
        <w:t xml:space="preserve"> </w:t>
      </w:r>
      <w:r w:rsidR="00F32B28" w:rsidRPr="00F32B28">
        <w:rPr>
          <w:rtl/>
        </w:rPr>
        <w:t>مستوى</w:t>
      </w:r>
      <w:r w:rsidR="00F32B28">
        <w:rPr>
          <w:rtl/>
        </w:rPr>
        <w:t xml:space="preserve"> </w:t>
      </w:r>
      <w:r w:rsidR="00F32B28" w:rsidRPr="00F32B28">
        <w:rPr>
          <w:rtl/>
        </w:rPr>
        <w:t>الفقر</w:t>
      </w:r>
      <w:r w:rsidR="00F32B28">
        <w:rPr>
          <w:rtl/>
        </w:rPr>
        <w:t xml:space="preserve"> </w:t>
      </w:r>
      <w:r w:rsidR="00F32B28" w:rsidRPr="00F32B28">
        <w:rPr>
          <w:rtl/>
        </w:rPr>
        <w:t>الذي</w:t>
      </w:r>
      <w:r w:rsidR="00F32B28">
        <w:rPr>
          <w:rtl/>
        </w:rPr>
        <w:t xml:space="preserve"> </w:t>
      </w:r>
      <w:r w:rsidR="00F32B28" w:rsidRPr="00F32B28">
        <w:rPr>
          <w:rtl/>
        </w:rPr>
        <w:t>تعاني</w:t>
      </w:r>
      <w:r w:rsidR="00F32B28">
        <w:rPr>
          <w:rtl/>
        </w:rPr>
        <w:t xml:space="preserve"> </w:t>
      </w:r>
      <w:r w:rsidR="00F32B28" w:rsidRPr="00F32B28">
        <w:rPr>
          <w:rtl/>
        </w:rPr>
        <w:t>منه</w:t>
      </w:r>
      <w:r w:rsidR="00F32B28">
        <w:rPr>
          <w:rtl/>
        </w:rPr>
        <w:t xml:space="preserve"> </w:t>
      </w:r>
      <w:r w:rsidR="00F32B28" w:rsidRPr="00F32B28">
        <w:rPr>
          <w:rtl/>
        </w:rPr>
        <w:t>الأسر</w:t>
      </w:r>
      <w:r w:rsidR="00F32B28">
        <w:rPr>
          <w:rtl/>
        </w:rPr>
        <w:t xml:space="preserve"> </w:t>
      </w:r>
      <w:r w:rsidR="00F32B28" w:rsidRPr="00F32B28">
        <w:rPr>
          <w:rtl/>
        </w:rPr>
        <w:t>بشكل</w:t>
      </w:r>
      <w:r w:rsidR="00F32B28">
        <w:rPr>
          <w:rtl/>
        </w:rPr>
        <w:t xml:space="preserve"> </w:t>
      </w:r>
      <w:r w:rsidR="00F32B28" w:rsidRPr="00F32B28">
        <w:rPr>
          <w:rtl/>
        </w:rPr>
        <w:t>عام،</w:t>
      </w:r>
      <w:r w:rsidR="00F32B28">
        <w:rPr>
          <w:rtl/>
        </w:rPr>
        <w:t xml:space="preserve"> </w:t>
      </w:r>
      <w:r w:rsidR="00F32B28" w:rsidRPr="00F32B28">
        <w:rPr>
          <w:rtl/>
        </w:rPr>
        <w:t>هي</w:t>
      </w:r>
      <w:r w:rsidR="00F32B28">
        <w:rPr>
          <w:rtl/>
        </w:rPr>
        <w:t xml:space="preserve"> </w:t>
      </w:r>
      <w:r w:rsidR="00F32B28" w:rsidRPr="00F32B28">
        <w:rPr>
          <w:rtl/>
        </w:rPr>
        <w:t>ذاتها،</w:t>
      </w:r>
      <w:r w:rsidR="00F32B28">
        <w:rPr>
          <w:rtl/>
        </w:rPr>
        <w:t xml:space="preserve"> </w:t>
      </w:r>
      <w:r w:rsidR="00F32B28" w:rsidRPr="00F32B28">
        <w:rPr>
          <w:rtl/>
        </w:rPr>
        <w:t>سواء</w:t>
      </w:r>
      <w:r w:rsidR="00F32B28">
        <w:rPr>
          <w:rtl/>
        </w:rPr>
        <w:t xml:space="preserve"> </w:t>
      </w:r>
      <w:r w:rsidR="00F32B28" w:rsidRPr="00F32B28">
        <w:rPr>
          <w:rtl/>
        </w:rPr>
        <w:t>أكان</w:t>
      </w:r>
      <w:r w:rsidR="00F32B28">
        <w:rPr>
          <w:rtl/>
        </w:rPr>
        <w:t xml:space="preserve"> </w:t>
      </w:r>
      <w:r w:rsidR="00F32B28" w:rsidRPr="00F32B28">
        <w:rPr>
          <w:rtl/>
        </w:rPr>
        <w:t>المعيل</w:t>
      </w:r>
      <w:r w:rsidR="00F32B28">
        <w:rPr>
          <w:rtl/>
        </w:rPr>
        <w:t xml:space="preserve"> </w:t>
      </w:r>
      <w:r w:rsidR="00F32B28" w:rsidRPr="00F32B28">
        <w:rPr>
          <w:rtl/>
        </w:rPr>
        <w:t>رجلاً</w:t>
      </w:r>
      <w:r w:rsidR="00F32B28">
        <w:rPr>
          <w:rtl/>
        </w:rPr>
        <w:t xml:space="preserve"> </w:t>
      </w:r>
      <w:r w:rsidR="00F32B28" w:rsidRPr="00F32B28">
        <w:rPr>
          <w:rtl/>
        </w:rPr>
        <w:t>أو</w:t>
      </w:r>
      <w:r w:rsidR="00F32B28">
        <w:rPr>
          <w:rtl/>
        </w:rPr>
        <w:t xml:space="preserve"> </w:t>
      </w:r>
      <w:r w:rsidR="00F32B28" w:rsidRPr="00F32B28">
        <w:rPr>
          <w:rtl/>
        </w:rPr>
        <w:t>امرأة،</w:t>
      </w:r>
      <w:r w:rsidR="00F32B28">
        <w:rPr>
          <w:rtl/>
        </w:rPr>
        <w:t xml:space="preserve"> </w:t>
      </w:r>
      <w:r w:rsidR="00F32B28" w:rsidRPr="00F32B28">
        <w:rPr>
          <w:rtl/>
        </w:rPr>
        <w:t>كحالته</w:t>
      </w:r>
      <w:r w:rsidR="00F32B28">
        <w:rPr>
          <w:rtl/>
        </w:rPr>
        <w:t xml:space="preserve"> </w:t>
      </w:r>
      <w:r w:rsidR="00F32B28" w:rsidRPr="00F32B28">
        <w:rPr>
          <w:rtl/>
        </w:rPr>
        <w:t>الاجتماعية</w:t>
      </w:r>
      <w:r w:rsidR="00F32B28">
        <w:rPr>
          <w:rtl/>
        </w:rPr>
        <w:t xml:space="preserve"> </w:t>
      </w:r>
      <w:r w:rsidR="00F32B28" w:rsidRPr="00F32B28">
        <w:rPr>
          <w:rtl/>
        </w:rPr>
        <w:t>ومستوى</w:t>
      </w:r>
      <w:r w:rsidR="00F32B28">
        <w:rPr>
          <w:rtl/>
        </w:rPr>
        <w:t xml:space="preserve"> </w:t>
      </w:r>
      <w:r w:rsidR="00F32B28" w:rsidRPr="00F32B28">
        <w:rPr>
          <w:rtl/>
        </w:rPr>
        <w:t>تعليمه</w:t>
      </w:r>
      <w:r w:rsidR="00F32B28">
        <w:rPr>
          <w:rtl/>
        </w:rPr>
        <w:t xml:space="preserve"> </w:t>
      </w:r>
      <w:r w:rsidR="00F32B28" w:rsidRPr="00F32B28">
        <w:rPr>
          <w:rtl/>
        </w:rPr>
        <w:t>وطبيعة</w:t>
      </w:r>
      <w:r w:rsidR="00F32B28">
        <w:rPr>
          <w:rtl/>
        </w:rPr>
        <w:t xml:space="preserve"> </w:t>
      </w:r>
      <w:r w:rsidR="00F32B28" w:rsidRPr="00F32B28">
        <w:rPr>
          <w:rtl/>
        </w:rPr>
        <w:t>عمله.</w:t>
      </w:r>
    </w:p>
    <w:p w:rsidR="00F32B28" w:rsidRPr="00F32B28" w:rsidRDefault="00851F93" w:rsidP="00851F93">
      <w:pPr>
        <w:pStyle w:val="SingleTxt"/>
        <w:rPr>
          <w:rtl/>
        </w:rPr>
      </w:pPr>
      <w:r>
        <w:rPr>
          <w:rFonts w:hint="cs"/>
          <w:rtl/>
        </w:rPr>
        <w:t xml:space="preserve">283 - </w:t>
      </w:r>
      <w:r w:rsidR="00F32B28" w:rsidRPr="00F32B28">
        <w:rPr>
          <w:rtl/>
        </w:rPr>
        <w:t>وضمن</w:t>
      </w:r>
      <w:r w:rsidR="00F32B28">
        <w:rPr>
          <w:rtl/>
        </w:rPr>
        <w:t xml:space="preserve"> </w:t>
      </w:r>
      <w:r w:rsidR="00F32B28" w:rsidRPr="00F32B28">
        <w:rPr>
          <w:rtl/>
        </w:rPr>
        <w:t>جهود</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في</w:t>
      </w:r>
      <w:r w:rsidR="00F32B28">
        <w:rPr>
          <w:rtl/>
        </w:rPr>
        <w:t xml:space="preserve"> </w:t>
      </w:r>
      <w:r w:rsidR="00F32B28" w:rsidRPr="00F32B28">
        <w:rPr>
          <w:rtl/>
        </w:rPr>
        <w:t>توفير</w:t>
      </w:r>
      <w:r w:rsidR="00F32B28">
        <w:rPr>
          <w:rtl/>
        </w:rPr>
        <w:t xml:space="preserve"> </w:t>
      </w:r>
      <w:r w:rsidR="00F32B28" w:rsidRPr="00F32B28">
        <w:rPr>
          <w:rtl/>
        </w:rPr>
        <w:t>الحياة</w:t>
      </w:r>
      <w:r w:rsidR="00F32B28">
        <w:rPr>
          <w:rtl/>
        </w:rPr>
        <w:t xml:space="preserve"> </w:t>
      </w:r>
      <w:r w:rsidR="00F32B28" w:rsidRPr="00F32B28">
        <w:rPr>
          <w:rtl/>
        </w:rPr>
        <w:t>الكريمة</w:t>
      </w:r>
      <w:r w:rsidR="00F32B28">
        <w:rPr>
          <w:rtl/>
        </w:rPr>
        <w:t xml:space="preserve"> </w:t>
      </w:r>
      <w:r w:rsidR="00F32B28" w:rsidRPr="00F32B28">
        <w:rPr>
          <w:rtl/>
        </w:rPr>
        <w:t>وتعزيز</w:t>
      </w:r>
      <w:r w:rsidR="00F32B28">
        <w:rPr>
          <w:rtl/>
        </w:rPr>
        <w:t xml:space="preserve"> </w:t>
      </w:r>
      <w:r w:rsidR="00F32B28" w:rsidRPr="00F32B28">
        <w:rPr>
          <w:rtl/>
        </w:rPr>
        <w:t>المساواة</w:t>
      </w:r>
      <w:r w:rsidR="00F32B28">
        <w:rPr>
          <w:rtl/>
        </w:rPr>
        <w:t xml:space="preserve"> </w:t>
      </w:r>
      <w:r w:rsidR="00F32B28" w:rsidRPr="00F32B28">
        <w:rPr>
          <w:rtl/>
        </w:rPr>
        <w:t>والعدالة</w:t>
      </w:r>
      <w:r w:rsidR="00F32B28">
        <w:rPr>
          <w:rtl/>
        </w:rPr>
        <w:t xml:space="preserve"> </w:t>
      </w:r>
      <w:r w:rsidR="00F32B28" w:rsidRPr="00F32B28">
        <w:rPr>
          <w:rtl/>
        </w:rPr>
        <w:t>لكل</w:t>
      </w:r>
      <w:r w:rsidR="00F32B28">
        <w:rPr>
          <w:rtl/>
        </w:rPr>
        <w:t xml:space="preserve"> </w:t>
      </w:r>
      <w:r w:rsidR="00F32B28" w:rsidRPr="00F32B28">
        <w:rPr>
          <w:rtl/>
        </w:rPr>
        <w:t>الأفراد</w:t>
      </w:r>
      <w:r w:rsidR="00F32B28">
        <w:rPr>
          <w:rtl/>
        </w:rPr>
        <w:t xml:space="preserve"> </w:t>
      </w:r>
      <w:r w:rsidR="00F32B28" w:rsidRPr="00F32B28">
        <w:rPr>
          <w:rtl/>
        </w:rPr>
        <w:t>دون</w:t>
      </w:r>
      <w:r w:rsidR="00F32B28">
        <w:rPr>
          <w:rtl/>
        </w:rPr>
        <w:t xml:space="preserve"> </w:t>
      </w:r>
      <w:r w:rsidR="00F32B28" w:rsidRPr="00F32B28">
        <w:rPr>
          <w:rtl/>
        </w:rPr>
        <w:t>تمييز،</w:t>
      </w:r>
      <w:r w:rsidR="00F32B28">
        <w:rPr>
          <w:rtl/>
        </w:rPr>
        <w:t xml:space="preserve"> </w:t>
      </w:r>
      <w:r w:rsidR="00F32B28" w:rsidRPr="00F32B28">
        <w:rPr>
          <w:rtl/>
        </w:rPr>
        <w:t>عملت</w:t>
      </w:r>
      <w:r w:rsidR="00F32B28">
        <w:rPr>
          <w:rtl/>
        </w:rPr>
        <w:t xml:space="preserve"> </w:t>
      </w:r>
      <w:r w:rsidR="00F32B28" w:rsidRPr="00F32B28">
        <w:rPr>
          <w:rtl/>
        </w:rPr>
        <w:t>الحكومة</w:t>
      </w:r>
      <w:r w:rsidR="00F32B28">
        <w:rPr>
          <w:rtl/>
        </w:rPr>
        <w:t xml:space="preserve"> </w:t>
      </w:r>
      <w:r w:rsidR="00F32B28" w:rsidRPr="00F32B28">
        <w:rPr>
          <w:rtl/>
        </w:rPr>
        <w:t>خلال</w:t>
      </w:r>
      <w:r w:rsidR="00F32B28">
        <w:rPr>
          <w:rtl/>
        </w:rPr>
        <w:t xml:space="preserve"> </w:t>
      </w:r>
      <w:r w:rsidR="00F32B28" w:rsidRPr="00F32B28">
        <w:rPr>
          <w:rtl/>
        </w:rPr>
        <w:t>السنوات</w:t>
      </w:r>
      <w:r w:rsidR="00F32B28">
        <w:rPr>
          <w:rtl/>
        </w:rPr>
        <w:t xml:space="preserve"> </w:t>
      </w:r>
      <w:r w:rsidR="00F32B28" w:rsidRPr="00F32B28">
        <w:rPr>
          <w:rtl/>
        </w:rPr>
        <w:t>الماضية</w:t>
      </w:r>
      <w:r w:rsidR="00F32B28">
        <w:rPr>
          <w:rtl/>
        </w:rPr>
        <w:t xml:space="preserve"> </w:t>
      </w:r>
      <w:r w:rsidR="00F32B28" w:rsidRPr="00F32B28">
        <w:rPr>
          <w:rtl/>
        </w:rPr>
        <w:t>على</w:t>
      </w:r>
      <w:r w:rsidR="00F32B28">
        <w:rPr>
          <w:rtl/>
        </w:rPr>
        <w:t xml:space="preserve"> </w:t>
      </w:r>
      <w:r w:rsidR="00F32B28" w:rsidRPr="00F32B28">
        <w:rPr>
          <w:rtl/>
        </w:rPr>
        <w:t>تطوير</w:t>
      </w:r>
      <w:r w:rsidR="00F32B28">
        <w:rPr>
          <w:rtl/>
        </w:rPr>
        <w:t xml:space="preserve"> </w:t>
      </w:r>
      <w:r w:rsidR="00F32B28" w:rsidRPr="00F32B28">
        <w:rPr>
          <w:rtl/>
        </w:rPr>
        <w:t>شبكة</w:t>
      </w:r>
      <w:r w:rsidR="00F32B28">
        <w:rPr>
          <w:rtl/>
        </w:rPr>
        <w:t xml:space="preserve"> </w:t>
      </w:r>
      <w:r w:rsidR="00F32B28" w:rsidRPr="00F32B28">
        <w:rPr>
          <w:rtl/>
        </w:rPr>
        <w:t>الأمان</w:t>
      </w:r>
      <w:r w:rsidR="00F32B28">
        <w:rPr>
          <w:rtl/>
        </w:rPr>
        <w:t xml:space="preserve"> </w:t>
      </w:r>
      <w:r w:rsidR="00F32B28" w:rsidRPr="00F32B28">
        <w:rPr>
          <w:rtl/>
        </w:rPr>
        <w:t>الاجتماعي</w:t>
      </w:r>
      <w:r w:rsidR="00F32B28">
        <w:rPr>
          <w:rtl/>
        </w:rPr>
        <w:t xml:space="preserve"> </w:t>
      </w:r>
      <w:r w:rsidR="00F32B28" w:rsidRPr="00F32B28">
        <w:rPr>
          <w:rtl/>
        </w:rPr>
        <w:t>وإصلاحها</w:t>
      </w:r>
      <w:r w:rsidR="00F32B28">
        <w:rPr>
          <w:rtl/>
        </w:rPr>
        <w:t xml:space="preserve"> </w:t>
      </w:r>
      <w:r w:rsidR="00F32B28" w:rsidRPr="00F32B28">
        <w:rPr>
          <w:rtl/>
        </w:rPr>
        <w:t>في</w:t>
      </w:r>
      <w:r w:rsidR="00F32B28">
        <w:rPr>
          <w:rtl/>
        </w:rPr>
        <w:t xml:space="preserve"> </w:t>
      </w:r>
      <w:r w:rsidR="00F32B28" w:rsidRPr="00F32B28">
        <w:rPr>
          <w:rtl/>
        </w:rPr>
        <w:t>تقديم</w:t>
      </w:r>
      <w:r w:rsidR="00F32B28">
        <w:rPr>
          <w:rtl/>
        </w:rPr>
        <w:t xml:space="preserve"> </w:t>
      </w:r>
      <w:r w:rsidR="00F32B28" w:rsidRPr="00F32B28">
        <w:rPr>
          <w:rtl/>
        </w:rPr>
        <w:t>المساعدات</w:t>
      </w:r>
      <w:r w:rsidR="00F32B28">
        <w:rPr>
          <w:rtl/>
        </w:rPr>
        <w:t xml:space="preserve"> </w:t>
      </w:r>
      <w:r w:rsidR="00F32B28" w:rsidRPr="00F32B28">
        <w:rPr>
          <w:rtl/>
        </w:rPr>
        <w:t>الاجتماعية</w:t>
      </w:r>
      <w:r w:rsidR="00F32B28">
        <w:rPr>
          <w:rtl/>
        </w:rPr>
        <w:t xml:space="preserve"> </w:t>
      </w:r>
      <w:r w:rsidR="00F32B28" w:rsidRPr="00F32B28">
        <w:rPr>
          <w:rtl/>
        </w:rPr>
        <w:t>وذلك</w:t>
      </w:r>
      <w:r w:rsidR="00F32B28">
        <w:rPr>
          <w:rtl/>
        </w:rPr>
        <w:t xml:space="preserve"> </w:t>
      </w:r>
      <w:r w:rsidR="00F32B28" w:rsidRPr="00F32B28">
        <w:rPr>
          <w:rtl/>
        </w:rPr>
        <w:t>من</w:t>
      </w:r>
      <w:r w:rsidR="00F32B28">
        <w:rPr>
          <w:rtl/>
        </w:rPr>
        <w:t xml:space="preserve"> </w:t>
      </w:r>
      <w:r w:rsidR="00F32B28" w:rsidRPr="00F32B28">
        <w:rPr>
          <w:rtl/>
        </w:rPr>
        <w:t>أجل</w:t>
      </w:r>
      <w:r w:rsidR="00F32B28">
        <w:rPr>
          <w:rtl/>
        </w:rPr>
        <w:t xml:space="preserve"> </w:t>
      </w:r>
      <w:r w:rsidR="00F32B28" w:rsidRPr="00F32B28">
        <w:rPr>
          <w:rtl/>
        </w:rPr>
        <w:t>ضمان</w:t>
      </w:r>
      <w:r w:rsidR="00F32B28">
        <w:rPr>
          <w:rtl/>
        </w:rPr>
        <w:t xml:space="preserve"> </w:t>
      </w:r>
      <w:r w:rsidR="00F32B28" w:rsidRPr="00F32B28">
        <w:rPr>
          <w:rtl/>
        </w:rPr>
        <w:t>وصول</w:t>
      </w:r>
      <w:r w:rsidR="00F32B28">
        <w:rPr>
          <w:rtl/>
        </w:rPr>
        <w:t xml:space="preserve"> </w:t>
      </w:r>
      <w:r w:rsidR="00F32B28" w:rsidRPr="00F32B28">
        <w:rPr>
          <w:rtl/>
        </w:rPr>
        <w:t>المساعدات</w:t>
      </w:r>
      <w:r w:rsidR="00F32B28">
        <w:rPr>
          <w:rtl/>
        </w:rPr>
        <w:t xml:space="preserve"> </w:t>
      </w:r>
      <w:r w:rsidR="00F32B28" w:rsidRPr="00F32B28">
        <w:rPr>
          <w:rtl/>
        </w:rPr>
        <w:t>إلى</w:t>
      </w:r>
      <w:r w:rsidR="00F32B28">
        <w:rPr>
          <w:rtl/>
        </w:rPr>
        <w:t xml:space="preserve"> </w:t>
      </w:r>
      <w:r w:rsidR="00F32B28" w:rsidRPr="00F32B28">
        <w:rPr>
          <w:rtl/>
        </w:rPr>
        <w:t>مستحقيها.</w:t>
      </w:r>
      <w:r w:rsidR="00F32B28">
        <w:rPr>
          <w:rtl/>
        </w:rPr>
        <w:t xml:space="preserve"> </w:t>
      </w:r>
      <w:r w:rsidR="00F32B28" w:rsidRPr="00F32B28">
        <w:rPr>
          <w:rtl/>
        </w:rPr>
        <w:t>فقامت،</w:t>
      </w:r>
      <w:r w:rsidR="00F32B28">
        <w:rPr>
          <w:rtl/>
        </w:rPr>
        <w:t xml:space="preserve"> </w:t>
      </w:r>
      <w:r w:rsidR="00F32B28" w:rsidRPr="00F32B28">
        <w:rPr>
          <w:rtl/>
        </w:rPr>
        <w:t>على</w:t>
      </w:r>
      <w:r w:rsidR="00F32B28">
        <w:rPr>
          <w:rtl/>
        </w:rPr>
        <w:t xml:space="preserve"> </w:t>
      </w:r>
      <w:r w:rsidR="00F32B28" w:rsidRPr="00F32B28">
        <w:rPr>
          <w:rtl/>
        </w:rPr>
        <w:t>سبيل</w:t>
      </w:r>
      <w:r w:rsidR="00F32B28">
        <w:rPr>
          <w:rtl/>
        </w:rPr>
        <w:t xml:space="preserve"> </w:t>
      </w:r>
      <w:r w:rsidR="00F32B28" w:rsidRPr="00F32B28">
        <w:rPr>
          <w:rtl/>
        </w:rPr>
        <w:t>المثال،</w:t>
      </w:r>
      <w:r w:rsidR="00F32B28">
        <w:rPr>
          <w:rtl/>
        </w:rPr>
        <w:t xml:space="preserve"> </w:t>
      </w:r>
      <w:r w:rsidR="00F32B28" w:rsidRPr="00F32B28">
        <w:rPr>
          <w:rtl/>
        </w:rPr>
        <w:t>بتوحيد</w:t>
      </w:r>
      <w:r w:rsidR="00F32B28">
        <w:rPr>
          <w:rtl/>
        </w:rPr>
        <w:t xml:space="preserve"> </w:t>
      </w:r>
      <w:r w:rsidR="00F32B28" w:rsidRPr="00F32B28">
        <w:rPr>
          <w:rtl/>
        </w:rPr>
        <w:t>برامج</w:t>
      </w:r>
      <w:r w:rsidR="00F32B28">
        <w:rPr>
          <w:rtl/>
        </w:rPr>
        <w:t xml:space="preserve"> </w:t>
      </w:r>
      <w:r w:rsidR="00F32B28" w:rsidRPr="00F32B28">
        <w:rPr>
          <w:rtl/>
        </w:rPr>
        <w:t>المساعدات</w:t>
      </w:r>
      <w:r w:rsidR="00F32B28">
        <w:rPr>
          <w:rtl/>
        </w:rPr>
        <w:t xml:space="preserve"> </w:t>
      </w:r>
      <w:r w:rsidR="00F32B28" w:rsidRPr="00F32B28">
        <w:rPr>
          <w:rtl/>
        </w:rPr>
        <w:t>النقدية،</w:t>
      </w:r>
      <w:r w:rsidR="00F32B28">
        <w:rPr>
          <w:rtl/>
        </w:rPr>
        <w:t xml:space="preserve"> </w:t>
      </w:r>
      <w:r w:rsidR="00F32B28" w:rsidRPr="00F32B28">
        <w:rPr>
          <w:rtl/>
        </w:rPr>
        <w:t>ضمن</w:t>
      </w:r>
      <w:r w:rsidR="00F32B28">
        <w:rPr>
          <w:rtl/>
        </w:rPr>
        <w:t xml:space="preserve"> </w:t>
      </w:r>
      <w:r w:rsidR="00F32B28" w:rsidRPr="00F32B28">
        <w:rPr>
          <w:rtl/>
        </w:rPr>
        <w:t>برنامج</w:t>
      </w:r>
      <w:r w:rsidR="00F32B28">
        <w:rPr>
          <w:rtl/>
        </w:rPr>
        <w:t xml:space="preserve"> </w:t>
      </w:r>
      <w:r w:rsidR="00F32B28" w:rsidRPr="00F32B28">
        <w:rPr>
          <w:rtl/>
        </w:rPr>
        <w:t>واحد،</w:t>
      </w:r>
      <w:r w:rsidR="00F32B28">
        <w:rPr>
          <w:rtl/>
        </w:rPr>
        <w:t xml:space="preserve"> </w:t>
      </w:r>
      <w:r w:rsidR="00F32B28" w:rsidRPr="00F32B28">
        <w:rPr>
          <w:rtl/>
        </w:rPr>
        <w:t>هو</w:t>
      </w:r>
      <w:r w:rsidR="00F32B28">
        <w:rPr>
          <w:rtl/>
        </w:rPr>
        <w:t xml:space="preserve"> </w:t>
      </w:r>
      <w:r w:rsidR="00F32B28" w:rsidRPr="00F32B28">
        <w:rPr>
          <w:rtl/>
        </w:rPr>
        <w:t>برنامج</w:t>
      </w:r>
      <w:r w:rsidR="00F32B28">
        <w:rPr>
          <w:rtl/>
        </w:rPr>
        <w:t xml:space="preserve"> </w:t>
      </w:r>
      <w:r w:rsidR="00F32B28" w:rsidRPr="00F32B28">
        <w:rPr>
          <w:rtl/>
        </w:rPr>
        <w:t>المساعدات</w:t>
      </w:r>
      <w:r w:rsidR="00F32B28">
        <w:rPr>
          <w:rtl/>
        </w:rPr>
        <w:t xml:space="preserve"> </w:t>
      </w:r>
      <w:r w:rsidR="00F32B28" w:rsidRPr="00F32B28">
        <w:rPr>
          <w:rtl/>
        </w:rPr>
        <w:t>النقدية</w:t>
      </w:r>
      <w:r w:rsidR="00F32B28">
        <w:rPr>
          <w:rtl/>
        </w:rPr>
        <w:t xml:space="preserve"> </w:t>
      </w:r>
      <w:r w:rsidR="00F32B28" w:rsidRPr="00F32B28">
        <w:rPr>
          <w:rtl/>
        </w:rPr>
        <w:t>الموحد</w:t>
      </w:r>
      <w:r w:rsidR="00F32B28">
        <w:rPr>
          <w:rtl/>
        </w:rPr>
        <w:t xml:space="preserve"> </w:t>
      </w:r>
      <w:r w:rsidR="00F32B28" w:rsidRPr="00F32B28">
        <w:t>(CTP)</w:t>
      </w:r>
      <w:r w:rsidR="00F32B28" w:rsidRPr="00F32B28">
        <w:rPr>
          <w:rtl/>
          <w:lang w:bidi="ar-SY"/>
        </w:rPr>
        <w:t>،</w:t>
      </w:r>
      <w:r w:rsidR="00F32B28">
        <w:rPr>
          <w:rtl/>
          <w:lang w:bidi="ar-SY"/>
        </w:rPr>
        <w:t xml:space="preserve"> </w:t>
      </w:r>
      <w:r w:rsidR="00F32B28" w:rsidRPr="00337510">
        <w:rPr>
          <w:w w:val="99"/>
          <w:rtl/>
          <w:lang w:bidi="ar-SY"/>
        </w:rPr>
        <w:t xml:space="preserve">الذي استفاد منه في عام 2013 نحو </w:t>
      </w:r>
      <w:r w:rsidR="004C698D" w:rsidRPr="00337510">
        <w:rPr>
          <w:rFonts w:hint="cs"/>
          <w:w w:val="99"/>
          <w:rtl/>
          <w:lang w:bidi="ar-SY"/>
        </w:rPr>
        <w:t xml:space="preserve">203 104 </w:t>
      </w:r>
      <w:r w:rsidR="00F32B28" w:rsidRPr="00337510">
        <w:rPr>
          <w:w w:val="99"/>
          <w:rtl/>
          <w:lang w:bidi="ar-SY"/>
        </w:rPr>
        <w:t>أسرة، تضم</w:t>
      </w:r>
      <w:r w:rsidR="004C698D" w:rsidRPr="00337510">
        <w:rPr>
          <w:rFonts w:hint="cs"/>
          <w:w w:val="99"/>
          <w:rtl/>
          <w:lang w:bidi="ar-SY"/>
        </w:rPr>
        <w:t xml:space="preserve"> 024 586 </w:t>
      </w:r>
      <w:r w:rsidR="00F32B28" w:rsidRPr="00337510">
        <w:rPr>
          <w:w w:val="99"/>
          <w:rtl/>
          <w:lang w:bidi="ar-SY"/>
        </w:rPr>
        <w:t>فرد، وبتكلفة 128 مليون دولار أمريكي، وشكلت الأسر التي ترأسها نساء 43.6</w:t>
      </w:r>
      <w:r w:rsidRPr="00337510">
        <w:rPr>
          <w:rFonts w:hint="cs"/>
          <w:w w:val="99"/>
          <w:rtl/>
          <w:lang w:bidi="ar-SY"/>
        </w:rPr>
        <w:t xml:space="preserve"> </w:t>
      </w:r>
      <w:r w:rsidR="00600C43" w:rsidRPr="00337510">
        <w:rPr>
          <w:w w:val="99"/>
          <w:rtl/>
          <w:lang w:bidi="ar-SY"/>
        </w:rPr>
        <w:t>في المائة</w:t>
      </w:r>
      <w:r w:rsidR="00F32B28" w:rsidRPr="00337510">
        <w:rPr>
          <w:w w:val="99"/>
          <w:rtl/>
          <w:lang w:bidi="ar-SY"/>
        </w:rPr>
        <w:t xml:space="preserve"> من إجمالي الأسر</w:t>
      </w:r>
      <w:r w:rsidR="00337510" w:rsidRPr="00337510">
        <w:rPr>
          <w:rFonts w:hint="cs"/>
          <w:w w:val="99"/>
          <w:rtl/>
          <w:lang w:bidi="ar-SY"/>
        </w:rPr>
        <w:t xml:space="preserve"> </w:t>
      </w:r>
      <w:r w:rsidR="00F32B28" w:rsidRPr="00337510">
        <w:rPr>
          <w:w w:val="99"/>
          <w:rtl/>
          <w:lang w:bidi="ar-SY"/>
        </w:rPr>
        <w:t>المستفيدة.</w:t>
      </w:r>
      <w:r w:rsidR="00F32B28">
        <w:rPr>
          <w:rtl/>
          <w:lang w:bidi="ar-SY"/>
        </w:rPr>
        <w:t xml:space="preserve"> </w:t>
      </w:r>
    </w:p>
    <w:p w:rsidR="00F32B28" w:rsidRPr="00F32B28" w:rsidRDefault="00891A4B" w:rsidP="00891A4B">
      <w:pPr>
        <w:pStyle w:val="SingleTxt"/>
        <w:rPr>
          <w:rtl/>
        </w:rPr>
      </w:pPr>
      <w:r>
        <w:rPr>
          <w:rFonts w:hint="cs"/>
          <w:rtl/>
        </w:rPr>
        <w:t xml:space="preserve">284 - </w:t>
      </w:r>
      <w:r w:rsidR="00F32B28" w:rsidRPr="00F32B28">
        <w:rPr>
          <w:rtl/>
        </w:rPr>
        <w:t>كما</w:t>
      </w:r>
      <w:r w:rsidR="00F32B28">
        <w:rPr>
          <w:rtl/>
        </w:rPr>
        <w:t xml:space="preserve"> </w:t>
      </w:r>
      <w:r w:rsidR="00F32B28" w:rsidRPr="00F32B28">
        <w:rPr>
          <w:rtl/>
        </w:rPr>
        <w:t>أنيطت</w:t>
      </w:r>
      <w:r w:rsidR="00F32B28">
        <w:rPr>
          <w:rtl/>
        </w:rPr>
        <w:t xml:space="preserve"> </w:t>
      </w:r>
      <w:r w:rsidR="00F32B28" w:rsidRPr="00F32B28">
        <w:rPr>
          <w:rtl/>
        </w:rPr>
        <w:t>وزارة</w:t>
      </w:r>
      <w:r w:rsidR="00F32B28">
        <w:rPr>
          <w:rtl/>
        </w:rPr>
        <w:t xml:space="preserve"> </w:t>
      </w:r>
      <w:r w:rsidR="00F32B28" w:rsidRPr="00F32B28">
        <w:rPr>
          <w:rtl/>
        </w:rPr>
        <w:t>التنمية</w:t>
      </w:r>
      <w:r w:rsidR="00F32B28">
        <w:rPr>
          <w:rtl/>
        </w:rPr>
        <w:t xml:space="preserve"> </w:t>
      </w:r>
      <w:r w:rsidR="00F32B28" w:rsidRPr="00F32B28">
        <w:rPr>
          <w:rtl/>
        </w:rPr>
        <w:t>الاجتماعية</w:t>
      </w:r>
      <w:r w:rsidR="00F32B28">
        <w:rPr>
          <w:rtl/>
        </w:rPr>
        <w:t xml:space="preserve"> </w:t>
      </w:r>
      <w:r w:rsidR="00F32B28" w:rsidRPr="00F32B28">
        <w:rPr>
          <w:rtl/>
        </w:rPr>
        <w:t>بدور</w:t>
      </w:r>
      <w:r w:rsidR="00F32B28">
        <w:rPr>
          <w:rtl/>
        </w:rPr>
        <w:t xml:space="preserve"> </w:t>
      </w:r>
      <w:r w:rsidR="00F32B28" w:rsidRPr="00F32B28">
        <w:rPr>
          <w:rtl/>
        </w:rPr>
        <w:t>دعم</w:t>
      </w:r>
      <w:r w:rsidR="00F32B28">
        <w:rPr>
          <w:rtl/>
        </w:rPr>
        <w:t xml:space="preserve"> </w:t>
      </w:r>
      <w:r w:rsidR="00F32B28" w:rsidRPr="00F32B28">
        <w:rPr>
          <w:rtl/>
        </w:rPr>
        <w:t>الفئات</w:t>
      </w:r>
      <w:r w:rsidR="00F32B28">
        <w:rPr>
          <w:rtl/>
        </w:rPr>
        <w:t xml:space="preserve"> </w:t>
      </w:r>
      <w:r w:rsidR="00F32B28" w:rsidRPr="00F32B28">
        <w:rPr>
          <w:rtl/>
        </w:rPr>
        <w:t>الأكثر</w:t>
      </w:r>
      <w:r w:rsidR="00F32B28">
        <w:rPr>
          <w:rtl/>
        </w:rPr>
        <w:t xml:space="preserve"> </w:t>
      </w:r>
      <w:r w:rsidR="00F32B28" w:rsidRPr="00F32B28">
        <w:rPr>
          <w:rtl/>
        </w:rPr>
        <w:t>عرضة</w:t>
      </w:r>
      <w:r w:rsidR="00F32B28">
        <w:rPr>
          <w:rtl/>
        </w:rPr>
        <w:t xml:space="preserve"> </w:t>
      </w:r>
      <w:r w:rsidR="00F32B28" w:rsidRPr="00F32B28">
        <w:rPr>
          <w:rtl/>
        </w:rPr>
        <w:t>للانكشاف،</w:t>
      </w:r>
      <w:r w:rsidR="00F32B28">
        <w:rPr>
          <w:rtl/>
        </w:rPr>
        <w:t xml:space="preserve"> </w:t>
      </w:r>
      <w:r w:rsidR="00F32B28" w:rsidRPr="00F32B28">
        <w:rPr>
          <w:rtl/>
        </w:rPr>
        <w:t>كالأسر</w:t>
      </w:r>
      <w:r w:rsidR="00F32B28">
        <w:rPr>
          <w:rtl/>
        </w:rPr>
        <w:t xml:space="preserve"> </w:t>
      </w:r>
      <w:r w:rsidR="00F32B28" w:rsidRPr="00F32B28">
        <w:rPr>
          <w:rtl/>
        </w:rPr>
        <w:t>الفقيرة</w:t>
      </w:r>
      <w:r w:rsidR="00F32B28">
        <w:rPr>
          <w:rtl/>
        </w:rPr>
        <w:t xml:space="preserve"> </w:t>
      </w:r>
      <w:r w:rsidR="00F32B28" w:rsidRPr="00F32B28">
        <w:rPr>
          <w:rtl/>
        </w:rPr>
        <w:t>والأشخاص</w:t>
      </w:r>
      <w:r w:rsidR="00F32B28">
        <w:rPr>
          <w:rtl/>
        </w:rPr>
        <w:t xml:space="preserve"> </w:t>
      </w:r>
      <w:r w:rsidR="00F32B28" w:rsidRPr="00F32B28">
        <w:rPr>
          <w:rtl/>
        </w:rPr>
        <w:t>ذوي</w:t>
      </w:r>
      <w:r w:rsidR="00F32B28">
        <w:rPr>
          <w:rtl/>
        </w:rPr>
        <w:t xml:space="preserve"> </w:t>
      </w:r>
      <w:r w:rsidR="00F32B28" w:rsidRPr="00F32B28">
        <w:rPr>
          <w:rtl/>
        </w:rPr>
        <w:t>الإعاقة</w:t>
      </w:r>
      <w:r w:rsidR="00F32B28">
        <w:rPr>
          <w:rtl/>
        </w:rPr>
        <w:t xml:space="preserve"> </w:t>
      </w:r>
      <w:r w:rsidR="00F32B28" w:rsidRPr="00F32B28">
        <w:rPr>
          <w:rtl/>
        </w:rPr>
        <w:t>والأيتام</w:t>
      </w:r>
      <w:r w:rsidR="00F32B28">
        <w:rPr>
          <w:rtl/>
        </w:rPr>
        <w:t xml:space="preserve"> </w:t>
      </w:r>
      <w:r w:rsidR="00F32B28" w:rsidRPr="00F32B28">
        <w:rPr>
          <w:rtl/>
        </w:rPr>
        <w:t>والأطفال</w:t>
      </w:r>
      <w:r w:rsidR="00F32B28">
        <w:rPr>
          <w:rtl/>
        </w:rPr>
        <w:t xml:space="preserve"> </w:t>
      </w:r>
      <w:r w:rsidR="00F32B28" w:rsidRPr="00F32B28">
        <w:rPr>
          <w:rtl/>
        </w:rPr>
        <w:t>والمسنين،</w:t>
      </w:r>
      <w:r w:rsidR="00F32B28">
        <w:rPr>
          <w:rtl/>
        </w:rPr>
        <w:t xml:space="preserve"> </w:t>
      </w:r>
      <w:r w:rsidR="00F32B28" w:rsidRPr="00F32B28">
        <w:rPr>
          <w:rtl/>
        </w:rPr>
        <w:t>وإعطاء</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ذلك</w:t>
      </w:r>
      <w:r w:rsidR="00F32B28">
        <w:rPr>
          <w:rtl/>
        </w:rPr>
        <w:t xml:space="preserve"> </w:t>
      </w:r>
      <w:r w:rsidR="00F32B28" w:rsidRPr="00F32B28">
        <w:rPr>
          <w:rtl/>
        </w:rPr>
        <w:t>حيزاً</w:t>
      </w:r>
      <w:r w:rsidR="00F32B28">
        <w:rPr>
          <w:rtl/>
        </w:rPr>
        <w:t xml:space="preserve"> </w:t>
      </w:r>
      <w:r w:rsidR="00F32B28" w:rsidRPr="00F32B28">
        <w:rPr>
          <w:rtl/>
        </w:rPr>
        <w:t>من</w:t>
      </w:r>
      <w:r w:rsidR="00F32B28">
        <w:rPr>
          <w:rtl/>
        </w:rPr>
        <w:t xml:space="preserve"> </w:t>
      </w:r>
      <w:r w:rsidR="00F32B28" w:rsidRPr="00F32B28">
        <w:rPr>
          <w:rtl/>
        </w:rPr>
        <w:t>التمييز</w:t>
      </w:r>
      <w:r w:rsidR="00F32B28">
        <w:rPr>
          <w:rtl/>
        </w:rPr>
        <w:t xml:space="preserve"> </w:t>
      </w:r>
      <w:r w:rsidR="00F32B28" w:rsidRPr="00F32B28">
        <w:rPr>
          <w:rtl/>
        </w:rPr>
        <w:t>الإيجابي</w:t>
      </w:r>
      <w:r w:rsidR="00F32B28">
        <w:rPr>
          <w:rtl/>
        </w:rPr>
        <w:t xml:space="preserve"> </w:t>
      </w:r>
      <w:r w:rsidR="00F32B28" w:rsidRPr="00F32B28">
        <w:rPr>
          <w:rtl/>
        </w:rPr>
        <w:t>للمرأة،</w:t>
      </w:r>
      <w:r w:rsidR="00F32B28">
        <w:rPr>
          <w:rtl/>
        </w:rPr>
        <w:t xml:space="preserve"> </w:t>
      </w:r>
      <w:r w:rsidR="00F32B28" w:rsidRPr="00F32B28">
        <w:rPr>
          <w:rtl/>
        </w:rPr>
        <w:t>خاصة</w:t>
      </w:r>
      <w:r w:rsidR="00F32B28">
        <w:rPr>
          <w:rtl/>
        </w:rPr>
        <w:t xml:space="preserve"> </w:t>
      </w:r>
      <w:r w:rsidR="00F32B28" w:rsidRPr="00F32B28">
        <w:rPr>
          <w:rtl/>
        </w:rPr>
        <w:t>فيما</w:t>
      </w:r>
      <w:r w:rsidR="00F32B28">
        <w:rPr>
          <w:rtl/>
        </w:rPr>
        <w:t xml:space="preserve"> </w:t>
      </w:r>
      <w:r w:rsidR="00F32B28" w:rsidRPr="00F32B28">
        <w:rPr>
          <w:rtl/>
        </w:rPr>
        <w:t>يتعلق</w:t>
      </w:r>
      <w:r w:rsidR="00F32B28">
        <w:rPr>
          <w:rtl/>
        </w:rPr>
        <w:t xml:space="preserve"> </w:t>
      </w:r>
      <w:r w:rsidR="00F32B28" w:rsidRPr="00F32B28">
        <w:rPr>
          <w:rtl/>
        </w:rPr>
        <w:t>بالحصول</w:t>
      </w:r>
      <w:r w:rsidR="00F32B28">
        <w:rPr>
          <w:rtl/>
        </w:rPr>
        <w:t xml:space="preserve"> </w:t>
      </w:r>
      <w:r w:rsidR="00F32B28" w:rsidRPr="00F32B28">
        <w:rPr>
          <w:rtl/>
        </w:rPr>
        <w:t>على</w:t>
      </w:r>
      <w:r w:rsidR="00F32B28">
        <w:rPr>
          <w:rtl/>
        </w:rPr>
        <w:t xml:space="preserve"> </w:t>
      </w:r>
      <w:r w:rsidR="00F32B28" w:rsidRPr="00F32B28">
        <w:rPr>
          <w:rtl/>
        </w:rPr>
        <w:t>المعونات</w:t>
      </w:r>
      <w:r w:rsidR="00F32B28">
        <w:rPr>
          <w:rtl/>
        </w:rPr>
        <w:t xml:space="preserve"> </w:t>
      </w:r>
      <w:r w:rsidR="00F32B28" w:rsidRPr="00F32B28">
        <w:rPr>
          <w:rtl/>
        </w:rPr>
        <w:t>وتسهيل</w:t>
      </w:r>
      <w:r w:rsidR="00F32B28">
        <w:rPr>
          <w:rtl/>
        </w:rPr>
        <w:t xml:space="preserve"> </w:t>
      </w:r>
      <w:r w:rsidR="00F32B28" w:rsidRPr="00F32B28">
        <w:rPr>
          <w:rtl/>
        </w:rPr>
        <w:t>الإجراءات.</w:t>
      </w:r>
      <w:r w:rsidR="00F32B28">
        <w:rPr>
          <w:rtl/>
        </w:rPr>
        <w:t xml:space="preserve"> </w:t>
      </w:r>
      <w:r w:rsidR="00F32B28" w:rsidRPr="00F32B28">
        <w:rPr>
          <w:rtl/>
        </w:rPr>
        <w:t>وتقدم</w:t>
      </w:r>
      <w:r w:rsidR="00F32B28">
        <w:rPr>
          <w:rtl/>
        </w:rPr>
        <w:t xml:space="preserve"> </w:t>
      </w:r>
      <w:r w:rsidR="00F32B28" w:rsidRPr="00F32B28">
        <w:rPr>
          <w:rtl/>
        </w:rPr>
        <w:t>الوزارة</w:t>
      </w:r>
      <w:r w:rsidR="00F32B28">
        <w:rPr>
          <w:rtl/>
        </w:rPr>
        <w:t xml:space="preserve"> </w:t>
      </w:r>
      <w:r w:rsidR="00F32B28" w:rsidRPr="00F32B28">
        <w:rPr>
          <w:rtl/>
        </w:rPr>
        <w:t>لهذه</w:t>
      </w:r>
      <w:r w:rsidR="00F32B28">
        <w:rPr>
          <w:rtl/>
        </w:rPr>
        <w:t xml:space="preserve"> </w:t>
      </w:r>
      <w:r w:rsidR="00F32B28" w:rsidRPr="00F32B28">
        <w:rPr>
          <w:rtl/>
        </w:rPr>
        <w:t>الفئات</w:t>
      </w:r>
      <w:r w:rsidR="00F32B28">
        <w:rPr>
          <w:rtl/>
        </w:rPr>
        <w:t xml:space="preserve"> </w:t>
      </w:r>
      <w:r w:rsidR="00F32B28" w:rsidRPr="00F32B28">
        <w:rPr>
          <w:rtl/>
        </w:rPr>
        <w:t>المساعدات</w:t>
      </w:r>
      <w:r w:rsidR="00F32B28">
        <w:rPr>
          <w:rtl/>
        </w:rPr>
        <w:t xml:space="preserve"> </w:t>
      </w:r>
      <w:r w:rsidR="00F32B28" w:rsidRPr="00F32B28">
        <w:rPr>
          <w:rtl/>
        </w:rPr>
        <w:t>والتأمينات</w:t>
      </w:r>
      <w:r w:rsidR="00F32B28">
        <w:rPr>
          <w:rtl/>
        </w:rPr>
        <w:t xml:space="preserve"> </w:t>
      </w:r>
      <w:r w:rsidR="00F32B28" w:rsidRPr="00F32B28">
        <w:rPr>
          <w:rtl/>
        </w:rPr>
        <w:t>الاجتماعية؛</w:t>
      </w:r>
      <w:r w:rsidR="00F32B28">
        <w:rPr>
          <w:rtl/>
        </w:rPr>
        <w:t xml:space="preserve"> </w:t>
      </w:r>
      <w:r w:rsidR="00F32B28" w:rsidRPr="00F32B28">
        <w:rPr>
          <w:rtl/>
        </w:rPr>
        <w:t>التي</w:t>
      </w:r>
      <w:r w:rsidR="00F32B28">
        <w:rPr>
          <w:rtl/>
        </w:rPr>
        <w:t xml:space="preserve"> </w:t>
      </w:r>
      <w:r w:rsidR="00F32B28" w:rsidRPr="00F32B28">
        <w:rPr>
          <w:rtl/>
        </w:rPr>
        <w:t>تشمل،</w:t>
      </w:r>
      <w:r w:rsidR="00F32B28">
        <w:rPr>
          <w:rtl/>
        </w:rPr>
        <w:t xml:space="preserve"> </w:t>
      </w:r>
      <w:r w:rsidR="00F32B28" w:rsidRPr="00F32B28">
        <w:rPr>
          <w:rtl/>
        </w:rPr>
        <w:t>إلى</w:t>
      </w:r>
      <w:r w:rsidR="00F32B28">
        <w:rPr>
          <w:rtl/>
        </w:rPr>
        <w:t xml:space="preserve"> </w:t>
      </w:r>
      <w:r w:rsidR="00F32B28" w:rsidRPr="00F32B28">
        <w:rPr>
          <w:rtl/>
        </w:rPr>
        <w:t>جانب</w:t>
      </w:r>
      <w:r w:rsidR="00F32B28">
        <w:rPr>
          <w:rtl/>
        </w:rPr>
        <w:t xml:space="preserve"> </w:t>
      </w:r>
      <w:r w:rsidR="00F32B28" w:rsidRPr="00F32B28">
        <w:rPr>
          <w:rtl/>
        </w:rPr>
        <w:t>المساعدات</w:t>
      </w:r>
      <w:r w:rsidR="00F32B28">
        <w:rPr>
          <w:rtl/>
        </w:rPr>
        <w:t xml:space="preserve"> </w:t>
      </w:r>
      <w:r w:rsidR="00F32B28" w:rsidRPr="00F32B28">
        <w:rPr>
          <w:rtl/>
        </w:rPr>
        <w:t>النقدية،</w:t>
      </w:r>
      <w:r w:rsidR="00F32B28">
        <w:rPr>
          <w:rtl/>
        </w:rPr>
        <w:t xml:space="preserve"> </w:t>
      </w:r>
      <w:r w:rsidR="00F32B28" w:rsidRPr="00F32B28">
        <w:rPr>
          <w:rtl/>
        </w:rPr>
        <w:t>المساعدات</w:t>
      </w:r>
      <w:r w:rsidR="00F32B28">
        <w:rPr>
          <w:rtl/>
        </w:rPr>
        <w:t xml:space="preserve"> </w:t>
      </w:r>
      <w:r w:rsidR="00F32B28" w:rsidRPr="00F32B28">
        <w:rPr>
          <w:rtl/>
        </w:rPr>
        <w:t>العينية،</w:t>
      </w:r>
      <w:r w:rsidR="00F32B28">
        <w:rPr>
          <w:rtl/>
        </w:rPr>
        <w:t xml:space="preserve"> </w:t>
      </w:r>
      <w:r w:rsidR="00F32B28" w:rsidRPr="00F32B28">
        <w:rPr>
          <w:rtl/>
        </w:rPr>
        <w:t>والغذائية،</w:t>
      </w:r>
      <w:r w:rsidR="00F32B28">
        <w:rPr>
          <w:rtl/>
        </w:rPr>
        <w:t xml:space="preserve"> </w:t>
      </w:r>
      <w:r w:rsidR="00F32B28" w:rsidRPr="00F32B28">
        <w:rPr>
          <w:rtl/>
        </w:rPr>
        <w:t>واللباس،</w:t>
      </w:r>
      <w:r w:rsidR="00F32B28">
        <w:rPr>
          <w:rtl/>
        </w:rPr>
        <w:t xml:space="preserve"> </w:t>
      </w:r>
      <w:r w:rsidR="00F32B28" w:rsidRPr="00F32B28">
        <w:rPr>
          <w:rtl/>
        </w:rPr>
        <w:t>والتأمينات</w:t>
      </w:r>
      <w:r w:rsidR="00F32B28">
        <w:rPr>
          <w:rtl/>
        </w:rPr>
        <w:t xml:space="preserve"> </w:t>
      </w:r>
      <w:r w:rsidR="00F32B28" w:rsidRPr="00F32B28">
        <w:rPr>
          <w:rtl/>
        </w:rPr>
        <w:t>الصحية،</w:t>
      </w:r>
      <w:r w:rsidR="00F32B28">
        <w:rPr>
          <w:rtl/>
        </w:rPr>
        <w:t xml:space="preserve"> </w:t>
      </w:r>
      <w:r w:rsidR="00F32B28" w:rsidRPr="00F32B28">
        <w:rPr>
          <w:rtl/>
        </w:rPr>
        <w:t>والأدوات</w:t>
      </w:r>
      <w:r w:rsidR="00F32B28">
        <w:rPr>
          <w:rtl/>
        </w:rPr>
        <w:t xml:space="preserve"> </w:t>
      </w:r>
      <w:r w:rsidR="00F32B28" w:rsidRPr="00F32B28">
        <w:rPr>
          <w:rtl/>
        </w:rPr>
        <w:t>المساندة</w:t>
      </w:r>
      <w:r w:rsidR="00F32B28">
        <w:rPr>
          <w:rtl/>
        </w:rPr>
        <w:t xml:space="preserve"> </w:t>
      </w:r>
      <w:r w:rsidR="00F32B28" w:rsidRPr="00F32B28">
        <w:rPr>
          <w:rtl/>
        </w:rPr>
        <w:t>للأشخاص</w:t>
      </w:r>
      <w:r w:rsidR="00F32B28">
        <w:rPr>
          <w:rtl/>
        </w:rPr>
        <w:t xml:space="preserve"> </w:t>
      </w:r>
      <w:r w:rsidR="00F32B28" w:rsidRPr="00F32B28">
        <w:rPr>
          <w:rtl/>
        </w:rPr>
        <w:t>ذوي</w:t>
      </w:r>
      <w:r w:rsidR="00F32B28">
        <w:rPr>
          <w:rtl/>
        </w:rPr>
        <w:t xml:space="preserve"> </w:t>
      </w:r>
      <w:r w:rsidR="00F32B28" w:rsidRPr="00F32B28">
        <w:rPr>
          <w:rtl/>
        </w:rPr>
        <w:t>الإعاقة،</w:t>
      </w:r>
      <w:r w:rsidR="00F32B28">
        <w:rPr>
          <w:rtl/>
        </w:rPr>
        <w:t xml:space="preserve"> </w:t>
      </w:r>
      <w:r w:rsidR="00F32B28" w:rsidRPr="00F32B28">
        <w:rPr>
          <w:rtl/>
        </w:rPr>
        <w:t>والإعفاءات</w:t>
      </w:r>
      <w:r w:rsidR="00F32B28">
        <w:rPr>
          <w:rtl/>
        </w:rPr>
        <w:t xml:space="preserve"> </w:t>
      </w:r>
      <w:r w:rsidR="00F32B28" w:rsidRPr="00F32B28">
        <w:rPr>
          <w:rtl/>
        </w:rPr>
        <w:t>الجمركية</w:t>
      </w:r>
      <w:r w:rsidR="00F32B28">
        <w:rPr>
          <w:rtl/>
        </w:rPr>
        <w:t xml:space="preserve"> </w:t>
      </w:r>
      <w:r w:rsidR="00F32B28" w:rsidRPr="00F32B28">
        <w:rPr>
          <w:rtl/>
        </w:rPr>
        <w:t>والرسوم</w:t>
      </w:r>
      <w:r w:rsidR="00F32B28">
        <w:rPr>
          <w:rtl/>
        </w:rPr>
        <w:t xml:space="preserve"> </w:t>
      </w:r>
      <w:r w:rsidR="00F32B28" w:rsidRPr="00F32B28">
        <w:rPr>
          <w:rtl/>
        </w:rPr>
        <w:t>المدرسية،</w:t>
      </w:r>
      <w:r w:rsidR="00F32B28">
        <w:rPr>
          <w:rtl/>
        </w:rPr>
        <w:t xml:space="preserve"> </w:t>
      </w:r>
      <w:r w:rsidR="00F32B28" w:rsidRPr="00F32B28">
        <w:rPr>
          <w:rtl/>
        </w:rPr>
        <w:t>وخدمات</w:t>
      </w:r>
      <w:r w:rsidR="00F32B28">
        <w:rPr>
          <w:rtl/>
        </w:rPr>
        <w:t xml:space="preserve"> </w:t>
      </w:r>
      <w:r w:rsidR="00F32B28" w:rsidRPr="00F32B28">
        <w:rPr>
          <w:rtl/>
        </w:rPr>
        <w:t>التمكين</w:t>
      </w:r>
      <w:r w:rsidR="00F32B28">
        <w:rPr>
          <w:rtl/>
        </w:rPr>
        <w:t xml:space="preserve"> </w:t>
      </w:r>
      <w:r w:rsidR="00F32B28" w:rsidRPr="00F32B28">
        <w:rPr>
          <w:rtl/>
        </w:rPr>
        <w:t>الاقتصادي،</w:t>
      </w:r>
      <w:r w:rsidR="00F32B28">
        <w:rPr>
          <w:rtl/>
        </w:rPr>
        <w:t xml:space="preserve"> </w:t>
      </w:r>
      <w:r w:rsidR="00F32B28" w:rsidRPr="00F32B28">
        <w:rPr>
          <w:rtl/>
        </w:rPr>
        <w:t>وخدمات</w:t>
      </w:r>
      <w:r w:rsidR="00F32B28">
        <w:rPr>
          <w:rtl/>
        </w:rPr>
        <w:t xml:space="preserve"> </w:t>
      </w:r>
      <w:r w:rsidR="00F32B28" w:rsidRPr="00F32B28">
        <w:rPr>
          <w:rtl/>
        </w:rPr>
        <w:t>الإيواء</w:t>
      </w:r>
      <w:r w:rsidR="00F32B28">
        <w:rPr>
          <w:rtl/>
        </w:rPr>
        <w:t xml:space="preserve"> </w:t>
      </w:r>
      <w:r w:rsidR="00F32B28" w:rsidRPr="00F32B28">
        <w:rPr>
          <w:rtl/>
        </w:rPr>
        <w:t>والرعاية.</w:t>
      </w:r>
      <w:r w:rsidR="00F32B28">
        <w:rPr>
          <w:rtl/>
        </w:rPr>
        <w:t xml:space="preserve"> </w:t>
      </w:r>
    </w:p>
    <w:p w:rsidR="00891A4B" w:rsidRPr="00891A4B" w:rsidRDefault="00891A4B" w:rsidP="00891A4B">
      <w:pPr>
        <w:pStyle w:val="SingleTxt"/>
        <w:spacing w:after="0" w:line="120" w:lineRule="exact"/>
        <w:rPr>
          <w:b/>
          <w:bCs/>
          <w:sz w:val="10"/>
          <w:rtl/>
        </w:rPr>
      </w:pPr>
    </w:p>
    <w:p w:rsidR="00F32B28" w:rsidRPr="00F32B28" w:rsidRDefault="00F32B28" w:rsidP="00F32B28">
      <w:pPr>
        <w:pStyle w:val="SingleTxt"/>
      </w:pPr>
      <w:r w:rsidRPr="00F32B28">
        <w:rPr>
          <w:b/>
          <w:bCs/>
          <w:rtl/>
        </w:rPr>
        <w:t>القروض</w:t>
      </w:r>
      <w:r>
        <w:rPr>
          <w:b/>
          <w:bCs/>
          <w:rtl/>
        </w:rPr>
        <w:t xml:space="preserve"> </w:t>
      </w:r>
      <w:r w:rsidRPr="00F32B28">
        <w:rPr>
          <w:b/>
          <w:bCs/>
          <w:rtl/>
        </w:rPr>
        <w:t>المصرفية</w:t>
      </w:r>
      <w:r>
        <w:rPr>
          <w:b/>
          <w:bCs/>
          <w:rtl/>
        </w:rPr>
        <w:t xml:space="preserve"> </w:t>
      </w:r>
      <w:r w:rsidRPr="00F32B28">
        <w:rPr>
          <w:b/>
          <w:bCs/>
          <w:rtl/>
        </w:rPr>
        <w:t>والرهون</w:t>
      </w:r>
      <w:r>
        <w:rPr>
          <w:b/>
          <w:bCs/>
          <w:rtl/>
        </w:rPr>
        <w:t xml:space="preserve"> </w:t>
      </w:r>
      <w:r w:rsidRPr="00F32B28">
        <w:rPr>
          <w:b/>
          <w:bCs/>
          <w:rtl/>
        </w:rPr>
        <w:t>العقارية</w:t>
      </w:r>
    </w:p>
    <w:p w:rsidR="00F32B28" w:rsidRPr="00F32B28" w:rsidRDefault="00891A4B" w:rsidP="00891A4B">
      <w:pPr>
        <w:pStyle w:val="SingleTxt"/>
      </w:pPr>
      <w:r>
        <w:rPr>
          <w:rFonts w:hint="cs"/>
          <w:rtl/>
        </w:rPr>
        <w:t xml:space="preserve">285 - </w:t>
      </w:r>
      <w:r w:rsidR="00F32B28" w:rsidRPr="00F32B28">
        <w:rPr>
          <w:rtl/>
        </w:rPr>
        <w:t>لا</w:t>
      </w:r>
      <w:r w:rsidR="00F32B28">
        <w:rPr>
          <w:rtl/>
        </w:rPr>
        <w:t xml:space="preserve"> </w:t>
      </w:r>
      <w:r w:rsidR="00F32B28" w:rsidRPr="00F32B28">
        <w:rPr>
          <w:rtl/>
        </w:rPr>
        <w:t>تميز</w:t>
      </w:r>
      <w:r w:rsidR="00F32B28">
        <w:rPr>
          <w:rtl/>
        </w:rPr>
        <w:t xml:space="preserve"> </w:t>
      </w:r>
      <w:r w:rsidR="00F32B28" w:rsidRPr="00F32B28">
        <w:rPr>
          <w:rtl/>
        </w:rPr>
        <w:t>التشريعات</w:t>
      </w:r>
      <w:r w:rsidR="00F32B28">
        <w:rPr>
          <w:rtl/>
        </w:rPr>
        <w:t xml:space="preserve"> </w:t>
      </w:r>
      <w:r w:rsidR="00F32B28" w:rsidRPr="00F32B28">
        <w:rPr>
          <w:rtl/>
        </w:rPr>
        <w:t>ذات</w:t>
      </w:r>
      <w:r w:rsidR="00F32B28">
        <w:rPr>
          <w:rtl/>
        </w:rPr>
        <w:t xml:space="preserve"> </w:t>
      </w:r>
      <w:r w:rsidR="00F32B28" w:rsidRPr="00F32B28">
        <w:rPr>
          <w:rtl/>
        </w:rPr>
        <w:t>العلاقة</w:t>
      </w:r>
      <w:r w:rsidR="00F32B28">
        <w:rPr>
          <w:rtl/>
        </w:rPr>
        <w:t xml:space="preserve"> </w:t>
      </w:r>
      <w:r w:rsidR="00F32B28" w:rsidRPr="00F32B28">
        <w:rPr>
          <w:rtl/>
        </w:rPr>
        <w:t>بالاقتراض</w:t>
      </w:r>
      <w:r w:rsidR="00F32B28">
        <w:rPr>
          <w:rtl/>
        </w:rPr>
        <w:t xml:space="preserve"> </w:t>
      </w:r>
      <w:r w:rsidR="00F32B28" w:rsidRPr="00F32B28">
        <w:rPr>
          <w:rtl/>
        </w:rPr>
        <w:t>المصرفي</w:t>
      </w:r>
      <w:r w:rsidR="00F32B28">
        <w:rPr>
          <w:rtl/>
        </w:rPr>
        <w:t xml:space="preserve"> </w:t>
      </w:r>
      <w:r w:rsidR="00F32B28" w:rsidRPr="00F32B28">
        <w:rPr>
          <w:rtl/>
        </w:rPr>
        <w:t>والرهون</w:t>
      </w:r>
      <w:r w:rsidR="00F32B28">
        <w:rPr>
          <w:rtl/>
        </w:rPr>
        <w:t xml:space="preserve"> </w:t>
      </w:r>
      <w:r w:rsidR="00F32B28" w:rsidRPr="00F32B28">
        <w:rPr>
          <w:rtl/>
        </w:rPr>
        <w:t>العقارية</w:t>
      </w:r>
      <w:r w:rsidR="00F32B28">
        <w:rPr>
          <w:rtl/>
        </w:rPr>
        <w:t xml:space="preserve"> </w:t>
      </w:r>
      <w:r w:rsidR="00F32B28" w:rsidRPr="00F32B28">
        <w:rPr>
          <w:rtl/>
        </w:rPr>
        <w:t>فيما</w:t>
      </w:r>
      <w:r w:rsidR="00F32B28">
        <w:rPr>
          <w:rtl/>
        </w:rPr>
        <w:t xml:space="preserve"> </w:t>
      </w:r>
      <w:r w:rsidR="00F32B28" w:rsidRPr="00F32B28">
        <w:rPr>
          <w:rtl/>
        </w:rPr>
        <w:t>بين</w:t>
      </w:r>
      <w:r w:rsidR="00F32B28">
        <w:rPr>
          <w:rtl/>
        </w:rPr>
        <w:t xml:space="preserve"> </w:t>
      </w:r>
      <w:r w:rsidR="00F32B28" w:rsidRPr="00F32B28">
        <w:rPr>
          <w:rtl/>
        </w:rPr>
        <w:t>المرأة</w:t>
      </w:r>
      <w:r w:rsidR="00F32B28">
        <w:rPr>
          <w:rtl/>
        </w:rPr>
        <w:t xml:space="preserve"> </w:t>
      </w:r>
      <w:r w:rsidR="00F32B28" w:rsidRPr="00F32B28">
        <w:rPr>
          <w:rtl/>
        </w:rPr>
        <w:t>والرجل.</w:t>
      </w:r>
      <w:r w:rsidR="00F32B28">
        <w:rPr>
          <w:rtl/>
        </w:rPr>
        <w:t xml:space="preserve"> </w:t>
      </w:r>
      <w:r w:rsidR="00F32B28" w:rsidRPr="00F32B28">
        <w:rPr>
          <w:rtl/>
        </w:rPr>
        <w:t>حيث</w:t>
      </w:r>
      <w:r w:rsidR="00F32B28">
        <w:rPr>
          <w:rtl/>
        </w:rPr>
        <w:t xml:space="preserve"> </w:t>
      </w:r>
      <w:r w:rsidR="00F32B28" w:rsidRPr="00F32B28">
        <w:rPr>
          <w:rtl/>
        </w:rPr>
        <w:t>تساوي</w:t>
      </w:r>
      <w:r w:rsidR="00F32B28">
        <w:rPr>
          <w:rtl/>
        </w:rPr>
        <w:t xml:space="preserve"> </w:t>
      </w:r>
      <w:r w:rsidR="00F32B28" w:rsidRPr="00F32B28">
        <w:rPr>
          <w:rtl/>
        </w:rPr>
        <w:t>هذه</w:t>
      </w:r>
      <w:r w:rsidR="00F32B28">
        <w:rPr>
          <w:rtl/>
        </w:rPr>
        <w:t xml:space="preserve"> </w:t>
      </w:r>
      <w:r w:rsidR="00F32B28" w:rsidRPr="00F32B28">
        <w:rPr>
          <w:rtl/>
        </w:rPr>
        <w:t>التشريعات</w:t>
      </w:r>
      <w:r w:rsidR="00F32B28">
        <w:rPr>
          <w:rtl/>
        </w:rPr>
        <w:t xml:space="preserve"> </w:t>
      </w:r>
      <w:r w:rsidR="00F32B28" w:rsidRPr="00F32B28">
        <w:rPr>
          <w:rtl/>
        </w:rPr>
        <w:t>بين</w:t>
      </w:r>
      <w:r w:rsidR="00F32B28">
        <w:rPr>
          <w:rtl/>
        </w:rPr>
        <w:t xml:space="preserve"> </w:t>
      </w:r>
      <w:r w:rsidR="00F32B28" w:rsidRPr="00F32B28">
        <w:rPr>
          <w:rtl/>
        </w:rPr>
        <w:t>الأهلية</w:t>
      </w:r>
      <w:r w:rsidR="00F32B28">
        <w:rPr>
          <w:rtl/>
        </w:rPr>
        <w:t xml:space="preserve"> </w:t>
      </w:r>
      <w:r w:rsidR="00F32B28" w:rsidRPr="00F32B28">
        <w:rPr>
          <w:rtl/>
        </w:rPr>
        <w:t>القانونية</w:t>
      </w:r>
      <w:r w:rsidR="00F32B28">
        <w:rPr>
          <w:rtl/>
        </w:rPr>
        <w:t xml:space="preserve"> </w:t>
      </w:r>
      <w:r w:rsidR="00F32B28" w:rsidRPr="00F32B28">
        <w:rPr>
          <w:rtl/>
        </w:rPr>
        <w:t>للمرأة</w:t>
      </w:r>
      <w:r w:rsidR="00F32B28">
        <w:rPr>
          <w:rtl/>
        </w:rPr>
        <w:t xml:space="preserve"> </w:t>
      </w:r>
      <w:r w:rsidR="00F32B28" w:rsidRPr="00F32B28">
        <w:rPr>
          <w:rtl/>
        </w:rPr>
        <w:t>والرجل</w:t>
      </w:r>
      <w:r w:rsidR="00F32B28">
        <w:rPr>
          <w:rtl/>
        </w:rPr>
        <w:t xml:space="preserve"> </w:t>
      </w:r>
      <w:r w:rsidR="00F32B28" w:rsidRPr="00F32B28">
        <w:rPr>
          <w:rtl/>
        </w:rPr>
        <w:t>في</w:t>
      </w:r>
      <w:r w:rsidR="00F32B28">
        <w:rPr>
          <w:rtl/>
        </w:rPr>
        <w:t xml:space="preserve"> </w:t>
      </w:r>
      <w:r w:rsidR="00F32B28" w:rsidRPr="00F32B28">
        <w:rPr>
          <w:rtl/>
        </w:rPr>
        <w:t>إجراء</w:t>
      </w:r>
      <w:r w:rsidR="00F32B28">
        <w:rPr>
          <w:rtl/>
        </w:rPr>
        <w:t xml:space="preserve"> </w:t>
      </w:r>
      <w:r w:rsidR="00F32B28" w:rsidRPr="00F32B28">
        <w:rPr>
          <w:rtl/>
        </w:rPr>
        <w:t>المعاملات</w:t>
      </w:r>
      <w:r w:rsidR="00F32B28">
        <w:rPr>
          <w:rtl/>
        </w:rPr>
        <w:t xml:space="preserve"> </w:t>
      </w:r>
      <w:r w:rsidR="00F32B28" w:rsidRPr="00F32B28">
        <w:rPr>
          <w:rtl/>
        </w:rPr>
        <w:t>البنكية،</w:t>
      </w:r>
      <w:r w:rsidR="00F32B28">
        <w:rPr>
          <w:rtl/>
        </w:rPr>
        <w:t xml:space="preserve"> </w:t>
      </w:r>
      <w:r w:rsidR="00F32B28" w:rsidRPr="00F32B28">
        <w:rPr>
          <w:rtl/>
        </w:rPr>
        <w:t>وفتح</w:t>
      </w:r>
      <w:r w:rsidR="00F32B28">
        <w:rPr>
          <w:rtl/>
        </w:rPr>
        <w:t xml:space="preserve"> </w:t>
      </w:r>
      <w:r w:rsidR="00F32B28" w:rsidRPr="00F32B28">
        <w:rPr>
          <w:rtl/>
        </w:rPr>
        <w:t>الحسابات</w:t>
      </w:r>
      <w:r w:rsidR="00F32B28">
        <w:rPr>
          <w:rtl/>
        </w:rPr>
        <w:t xml:space="preserve"> </w:t>
      </w:r>
      <w:r w:rsidR="00F32B28" w:rsidRPr="00F32B28">
        <w:rPr>
          <w:rtl/>
        </w:rPr>
        <w:t>البنكية،</w:t>
      </w:r>
      <w:r w:rsidR="00F32B28">
        <w:rPr>
          <w:rtl/>
        </w:rPr>
        <w:t xml:space="preserve"> </w:t>
      </w:r>
      <w:r w:rsidR="00F32B28" w:rsidRPr="00F32B28">
        <w:rPr>
          <w:rtl/>
        </w:rPr>
        <w:t>والإيداع،</w:t>
      </w:r>
      <w:r w:rsidR="00F32B28">
        <w:rPr>
          <w:rtl/>
        </w:rPr>
        <w:t xml:space="preserve"> </w:t>
      </w:r>
      <w:r w:rsidR="00F32B28" w:rsidRPr="00F32B28">
        <w:rPr>
          <w:rtl/>
        </w:rPr>
        <w:t>والاقتراض،</w:t>
      </w:r>
      <w:r w:rsidR="00F32B28">
        <w:rPr>
          <w:rtl/>
        </w:rPr>
        <w:t xml:space="preserve"> </w:t>
      </w:r>
      <w:r w:rsidR="00F32B28" w:rsidRPr="00F32B28">
        <w:rPr>
          <w:rtl/>
        </w:rPr>
        <w:t>والحصول</w:t>
      </w:r>
      <w:r w:rsidR="00F32B28">
        <w:rPr>
          <w:rtl/>
        </w:rPr>
        <w:t xml:space="preserve"> </w:t>
      </w:r>
      <w:r w:rsidR="00F32B28" w:rsidRPr="00F32B28">
        <w:rPr>
          <w:rtl/>
        </w:rPr>
        <w:t>على</w:t>
      </w:r>
      <w:r w:rsidR="00F32B28">
        <w:rPr>
          <w:rtl/>
        </w:rPr>
        <w:t xml:space="preserve"> </w:t>
      </w:r>
      <w:r w:rsidR="00F32B28" w:rsidRPr="00F32B28">
        <w:rPr>
          <w:rtl/>
        </w:rPr>
        <w:t>الرهونات</w:t>
      </w:r>
      <w:r w:rsidR="00F32B28">
        <w:rPr>
          <w:rtl/>
        </w:rPr>
        <w:t xml:space="preserve"> </w:t>
      </w:r>
      <w:r w:rsidR="00F32B28" w:rsidRPr="00F32B28">
        <w:rPr>
          <w:rtl/>
        </w:rPr>
        <w:t>والتسهيلات</w:t>
      </w:r>
      <w:r w:rsidR="00F32B28">
        <w:rPr>
          <w:rtl/>
        </w:rPr>
        <w:t xml:space="preserve"> </w:t>
      </w:r>
      <w:r w:rsidR="00F32B28" w:rsidRPr="00F32B28">
        <w:rPr>
          <w:rtl/>
        </w:rPr>
        <w:t>ومختلف</w:t>
      </w:r>
      <w:r w:rsidR="00F32B28">
        <w:rPr>
          <w:rtl/>
        </w:rPr>
        <w:t xml:space="preserve"> </w:t>
      </w:r>
      <w:r w:rsidR="00F32B28" w:rsidRPr="00F32B28">
        <w:rPr>
          <w:rtl/>
        </w:rPr>
        <w:t>أشكال</w:t>
      </w:r>
      <w:r w:rsidR="00F32B28">
        <w:rPr>
          <w:rtl/>
        </w:rPr>
        <w:t xml:space="preserve"> </w:t>
      </w:r>
      <w:r w:rsidR="00F32B28" w:rsidRPr="00F32B28">
        <w:rPr>
          <w:rtl/>
        </w:rPr>
        <w:t>الائتمان</w:t>
      </w:r>
      <w:r w:rsidR="00F32B28">
        <w:rPr>
          <w:rtl/>
        </w:rPr>
        <w:t xml:space="preserve"> </w:t>
      </w:r>
      <w:r w:rsidR="00F32B28" w:rsidRPr="00F32B28">
        <w:rPr>
          <w:rtl/>
        </w:rPr>
        <w:t>المالية</w:t>
      </w:r>
      <w:r w:rsidR="00F32B28">
        <w:rPr>
          <w:rtl/>
        </w:rPr>
        <w:t xml:space="preserve"> </w:t>
      </w:r>
      <w:r w:rsidR="00F32B28" w:rsidRPr="00F32B28">
        <w:rPr>
          <w:rtl/>
        </w:rPr>
        <w:t>لدى</w:t>
      </w:r>
      <w:r w:rsidR="00F32B28">
        <w:rPr>
          <w:rtl/>
        </w:rPr>
        <w:t xml:space="preserve"> </w:t>
      </w:r>
      <w:r w:rsidR="00F32B28" w:rsidRPr="00F32B28">
        <w:rPr>
          <w:rtl/>
        </w:rPr>
        <w:t>المصارف،</w:t>
      </w:r>
      <w:r w:rsidR="00F32B28">
        <w:rPr>
          <w:rtl/>
        </w:rPr>
        <w:t xml:space="preserve"> </w:t>
      </w:r>
      <w:r w:rsidR="00F32B28" w:rsidRPr="00F32B28">
        <w:rPr>
          <w:rtl/>
        </w:rPr>
        <w:t>وذلك</w:t>
      </w:r>
      <w:r w:rsidR="00F32B28">
        <w:rPr>
          <w:rtl/>
        </w:rPr>
        <w:t xml:space="preserve"> </w:t>
      </w:r>
      <w:r w:rsidR="00F32B28" w:rsidRPr="00F32B28">
        <w:rPr>
          <w:rtl/>
        </w:rPr>
        <w:t>بذات</w:t>
      </w:r>
      <w:r w:rsidR="00F32B28">
        <w:rPr>
          <w:rtl/>
        </w:rPr>
        <w:t xml:space="preserve"> </w:t>
      </w:r>
      <w:r w:rsidR="00F32B28" w:rsidRPr="00F32B28">
        <w:rPr>
          <w:rtl/>
        </w:rPr>
        <w:t>الحدود</w:t>
      </w:r>
      <w:r w:rsidR="00F32B28">
        <w:rPr>
          <w:rtl/>
        </w:rPr>
        <w:t xml:space="preserve"> </w:t>
      </w:r>
      <w:r w:rsidR="00F32B28" w:rsidRPr="00F32B28">
        <w:rPr>
          <w:rtl/>
        </w:rPr>
        <w:t>والشروط</w:t>
      </w:r>
      <w:r w:rsidR="00F32B28">
        <w:rPr>
          <w:rtl/>
        </w:rPr>
        <w:t xml:space="preserve"> </w:t>
      </w:r>
      <w:r w:rsidR="00F32B28" w:rsidRPr="00F32B28">
        <w:rPr>
          <w:rtl/>
        </w:rPr>
        <w:t>والفوائد</w:t>
      </w:r>
      <w:r w:rsidR="00F32B28">
        <w:rPr>
          <w:rtl/>
        </w:rPr>
        <w:t xml:space="preserve"> </w:t>
      </w:r>
      <w:r w:rsidR="00F32B28" w:rsidRPr="00F32B28">
        <w:rPr>
          <w:rtl/>
        </w:rPr>
        <w:t>المقررة</w:t>
      </w:r>
      <w:r w:rsidR="00F32B28">
        <w:rPr>
          <w:rtl/>
        </w:rPr>
        <w:t xml:space="preserve"> </w:t>
      </w:r>
      <w:r w:rsidR="00F32B28" w:rsidRPr="00F32B28">
        <w:rPr>
          <w:rtl/>
        </w:rPr>
        <w:t>للرجل</w:t>
      </w:r>
      <w:r w:rsidR="00F32B28">
        <w:rPr>
          <w:rtl/>
        </w:rPr>
        <w:t xml:space="preserve"> </w:t>
      </w:r>
      <w:r w:rsidR="00F32B28" w:rsidRPr="00F32B28">
        <w:rPr>
          <w:rtl/>
        </w:rPr>
        <w:t>ودون</w:t>
      </w:r>
      <w:r w:rsidR="00F32B28">
        <w:rPr>
          <w:rtl/>
        </w:rPr>
        <w:t xml:space="preserve"> </w:t>
      </w:r>
      <w:r w:rsidR="00F32B28" w:rsidRPr="00F32B28">
        <w:rPr>
          <w:rtl/>
        </w:rPr>
        <w:t>أي</w:t>
      </w:r>
      <w:r w:rsidR="00F32B28">
        <w:rPr>
          <w:rtl/>
        </w:rPr>
        <w:t xml:space="preserve"> </w:t>
      </w:r>
      <w:r w:rsidR="00F32B28" w:rsidRPr="00F32B28">
        <w:rPr>
          <w:rtl/>
        </w:rPr>
        <w:t>اشتراطات</w:t>
      </w:r>
      <w:r w:rsidR="00F32B28">
        <w:rPr>
          <w:rtl/>
        </w:rPr>
        <w:t xml:space="preserve"> </w:t>
      </w:r>
      <w:r w:rsidR="00F32B28" w:rsidRPr="00F32B28">
        <w:rPr>
          <w:rtl/>
        </w:rPr>
        <w:t>خاصة</w:t>
      </w:r>
      <w:r>
        <w:rPr>
          <w:rFonts w:hint="cs"/>
          <w:rtl/>
        </w:rPr>
        <w:t> </w:t>
      </w:r>
      <w:r w:rsidR="00F32B28" w:rsidRPr="00F32B28">
        <w:rPr>
          <w:rtl/>
        </w:rPr>
        <w:t>بها.</w:t>
      </w:r>
    </w:p>
    <w:p w:rsidR="00F32B28" w:rsidRPr="00F32B28" w:rsidRDefault="00891A4B" w:rsidP="00891A4B">
      <w:pPr>
        <w:pStyle w:val="SingleTxt"/>
        <w:rPr>
          <w:rtl/>
        </w:rPr>
      </w:pPr>
      <w:r>
        <w:rPr>
          <w:rFonts w:hint="cs"/>
          <w:rtl/>
          <w:lang w:bidi="ar-SY"/>
        </w:rPr>
        <w:t xml:space="preserve">286 - </w:t>
      </w:r>
      <w:r w:rsidR="00F32B28" w:rsidRPr="00F32B28">
        <w:rPr>
          <w:rtl/>
          <w:lang w:bidi="ar-SY"/>
        </w:rPr>
        <w:t>كما</w:t>
      </w:r>
      <w:r w:rsidR="00F32B28">
        <w:rPr>
          <w:rtl/>
          <w:lang w:bidi="ar-SY"/>
        </w:rPr>
        <w:t xml:space="preserve"> </w:t>
      </w:r>
      <w:r w:rsidR="00F32B28" w:rsidRPr="00F32B28">
        <w:rPr>
          <w:rtl/>
          <w:lang w:bidi="ar-SY"/>
        </w:rPr>
        <w:t>تساوي</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الناظمة</w:t>
      </w:r>
      <w:r>
        <w:rPr>
          <w:rFonts w:hint="cs"/>
          <w:rtl/>
          <w:lang w:bidi="ar-SY"/>
        </w:rPr>
        <w:t xml:space="preserve"> </w:t>
      </w:r>
      <w:r w:rsidR="00F32B28" w:rsidRPr="00F32B28">
        <w:rPr>
          <w:rtl/>
          <w:lang w:bidi="ar-SY"/>
        </w:rPr>
        <w:t>للقطاع</w:t>
      </w:r>
      <w:r w:rsidR="00F32B28">
        <w:rPr>
          <w:rtl/>
          <w:lang w:bidi="ar-SY"/>
        </w:rPr>
        <w:t xml:space="preserve"> </w:t>
      </w:r>
      <w:r w:rsidR="00F32B28" w:rsidRPr="00F32B28">
        <w:rPr>
          <w:rtl/>
          <w:lang w:bidi="ar-SY"/>
        </w:rPr>
        <w:t>المالي</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المصرفي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والرجل،</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يتعلق</w:t>
      </w:r>
      <w:r w:rsidR="00F32B28">
        <w:rPr>
          <w:rtl/>
          <w:lang w:bidi="ar-SY"/>
        </w:rPr>
        <w:t xml:space="preserve"> </w:t>
      </w:r>
      <w:r w:rsidR="00F32B28" w:rsidRPr="00F32B28">
        <w:rPr>
          <w:rtl/>
          <w:lang w:bidi="ar-SY"/>
        </w:rPr>
        <w:t>بنشاطات</w:t>
      </w:r>
      <w:r w:rsidR="00F32B28">
        <w:rPr>
          <w:rtl/>
          <w:lang w:bidi="ar-SY"/>
        </w:rPr>
        <w:t xml:space="preserve"> </w:t>
      </w:r>
      <w:r w:rsidR="00F32B28" w:rsidRPr="00F32B28">
        <w:rPr>
          <w:rtl/>
          <w:lang w:bidi="ar-SY"/>
        </w:rPr>
        <w:t>أسواق</w:t>
      </w:r>
      <w:r w:rsidR="00F32B28">
        <w:rPr>
          <w:rtl/>
          <w:lang w:bidi="ar-SY"/>
        </w:rPr>
        <w:t xml:space="preserve"> </w:t>
      </w:r>
      <w:r w:rsidR="00F32B28" w:rsidRPr="00F32B28">
        <w:rPr>
          <w:rtl/>
          <w:lang w:bidi="ar-SY"/>
        </w:rPr>
        <w:t>وشركات</w:t>
      </w:r>
      <w:r w:rsidR="00F32B28">
        <w:rPr>
          <w:rtl/>
          <w:lang w:bidi="ar-SY"/>
        </w:rPr>
        <w:t xml:space="preserve"> </w:t>
      </w:r>
      <w:r w:rsidR="00F32B28" w:rsidRPr="00F32B28">
        <w:rPr>
          <w:rtl/>
          <w:lang w:bidi="ar-SY"/>
        </w:rPr>
        <w:t>الأوراق</w:t>
      </w:r>
      <w:r w:rsidR="00F32B28">
        <w:rPr>
          <w:rtl/>
          <w:lang w:bidi="ar-SY"/>
        </w:rPr>
        <w:t xml:space="preserve"> </w:t>
      </w:r>
      <w:r w:rsidR="00F32B28" w:rsidRPr="00F32B28">
        <w:rPr>
          <w:rtl/>
          <w:lang w:bidi="ar-SY"/>
        </w:rPr>
        <w:t>المالية،</w:t>
      </w:r>
      <w:r w:rsidR="00F32B28">
        <w:rPr>
          <w:rtl/>
          <w:lang w:bidi="ar-SY"/>
        </w:rPr>
        <w:t xml:space="preserve"> </w:t>
      </w:r>
      <w:r w:rsidR="00F32B28" w:rsidRPr="00F32B28">
        <w:rPr>
          <w:rtl/>
          <w:lang w:bidi="ar-SY"/>
        </w:rPr>
        <w:t>واكتتاب</w:t>
      </w:r>
      <w:r w:rsidR="00F32B28">
        <w:rPr>
          <w:rtl/>
          <w:lang w:bidi="ar-SY"/>
        </w:rPr>
        <w:t xml:space="preserve"> </w:t>
      </w:r>
      <w:r w:rsidR="00F32B28" w:rsidRPr="00F32B28">
        <w:rPr>
          <w:rtl/>
          <w:lang w:bidi="ar-SY"/>
        </w:rPr>
        <w:t>الأوراق</w:t>
      </w:r>
      <w:r w:rsidR="00F32B28">
        <w:rPr>
          <w:rtl/>
          <w:lang w:bidi="ar-SY"/>
        </w:rPr>
        <w:t xml:space="preserve"> </w:t>
      </w:r>
      <w:r w:rsidR="00F32B28" w:rsidRPr="00F32B28">
        <w:rPr>
          <w:rtl/>
          <w:lang w:bidi="ar-SY"/>
        </w:rPr>
        <w:t>المالية</w:t>
      </w:r>
      <w:r w:rsidR="00F32B28">
        <w:rPr>
          <w:rtl/>
          <w:lang w:bidi="ar-SY"/>
        </w:rPr>
        <w:t xml:space="preserve"> </w:t>
      </w:r>
      <w:r w:rsidR="00F32B28" w:rsidRPr="00F32B28">
        <w:rPr>
          <w:rtl/>
          <w:lang w:bidi="ar-SY"/>
        </w:rPr>
        <w:t>وتداولها،</w:t>
      </w:r>
      <w:r w:rsidR="00F32B28">
        <w:rPr>
          <w:rtl/>
          <w:lang w:bidi="ar-SY"/>
        </w:rPr>
        <w:t xml:space="preserve"> </w:t>
      </w:r>
      <w:r w:rsidR="00F32B28" w:rsidRPr="00F32B28">
        <w:rPr>
          <w:rtl/>
          <w:lang w:bidi="ar-SY"/>
        </w:rPr>
        <w:t>والإيداع</w:t>
      </w:r>
      <w:r w:rsidR="00F32B28">
        <w:rPr>
          <w:rtl/>
          <w:lang w:bidi="ar-SY"/>
        </w:rPr>
        <w:t xml:space="preserve"> </w:t>
      </w:r>
      <w:r w:rsidR="00F32B28" w:rsidRPr="00F32B28">
        <w:rPr>
          <w:rtl/>
          <w:lang w:bidi="ar-SY"/>
        </w:rPr>
        <w:t>والتحويل</w:t>
      </w:r>
      <w:r w:rsidR="00F32B28">
        <w:rPr>
          <w:rtl/>
          <w:lang w:bidi="ar-SY"/>
        </w:rPr>
        <w:t xml:space="preserve"> </w:t>
      </w:r>
      <w:r w:rsidR="00F32B28" w:rsidRPr="00F32B28">
        <w:rPr>
          <w:rtl/>
          <w:lang w:bidi="ar-SY"/>
        </w:rPr>
        <w:t>والتسوية،</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تشير</w:t>
      </w:r>
      <w:r w:rsidR="00F32B28">
        <w:rPr>
          <w:rtl/>
          <w:lang w:bidi="ar-SY"/>
        </w:rPr>
        <w:t xml:space="preserve"> </w:t>
      </w:r>
      <w:r w:rsidR="00F32B28" w:rsidRPr="00F32B28">
        <w:rPr>
          <w:rtl/>
          <w:lang w:bidi="ar-SY"/>
        </w:rPr>
        <w:t>الإحصائيات</w:t>
      </w:r>
      <w:r w:rsidR="00F32B28">
        <w:rPr>
          <w:rtl/>
          <w:lang w:bidi="ar-SY"/>
        </w:rPr>
        <w:t xml:space="preserve"> </w:t>
      </w:r>
      <w:r w:rsidR="00F32B28" w:rsidRPr="00F32B28">
        <w:rPr>
          <w:rtl/>
          <w:lang w:bidi="ar-SY"/>
        </w:rPr>
        <w:t>الصادرة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الجهاز</w:t>
      </w:r>
      <w:r w:rsidR="00F32B28">
        <w:rPr>
          <w:rtl/>
          <w:lang w:bidi="ar-SY"/>
        </w:rPr>
        <w:t xml:space="preserve"> </w:t>
      </w:r>
      <w:r w:rsidR="00F32B28" w:rsidRPr="00F32B28">
        <w:rPr>
          <w:rtl/>
          <w:lang w:bidi="ar-SY"/>
        </w:rPr>
        <w:t>المركزي</w:t>
      </w:r>
      <w:r w:rsidR="00F32B28">
        <w:rPr>
          <w:rtl/>
          <w:lang w:bidi="ar-SY"/>
        </w:rPr>
        <w:t xml:space="preserve"> </w:t>
      </w:r>
      <w:r w:rsidR="00F32B28" w:rsidRPr="00F32B28">
        <w:rPr>
          <w:rtl/>
          <w:lang w:bidi="ar-SY"/>
        </w:rPr>
        <w:t>للإحصاء</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لعام</w:t>
      </w:r>
      <w:r w:rsidR="00F32B28">
        <w:rPr>
          <w:rtl/>
          <w:lang w:bidi="ar-SY"/>
        </w:rPr>
        <w:t xml:space="preserve"> </w:t>
      </w:r>
      <w:r w:rsidR="00F32B28" w:rsidRPr="00F32B28">
        <w:rPr>
          <w:rtl/>
          <w:lang w:bidi="ar-SY"/>
        </w:rPr>
        <w:t>2014</w:t>
      </w:r>
      <w:r w:rsidR="00F32B28">
        <w:rPr>
          <w:rtl/>
          <w:lang w:bidi="ar-SY"/>
        </w:rPr>
        <w:t xml:space="preserve"> </w:t>
      </w:r>
      <w:r w:rsidR="00F32B28" w:rsidRPr="00F32B28">
        <w:rPr>
          <w:rtl/>
          <w:lang w:bidi="ar-SY"/>
        </w:rPr>
        <w:t>بأن</w:t>
      </w:r>
      <w:r w:rsidR="00F32B28">
        <w:rPr>
          <w:rtl/>
          <w:lang w:bidi="ar-SY"/>
        </w:rPr>
        <w:t xml:space="preserve"> </w:t>
      </w:r>
      <w:r w:rsidR="00F32B28" w:rsidRPr="00F32B28">
        <w:rPr>
          <w:rtl/>
          <w:lang w:bidi="ar-SY"/>
        </w:rPr>
        <w:t>41.1</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الأفراد</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لديهم</w:t>
      </w:r>
      <w:r w:rsidR="00F32B28">
        <w:rPr>
          <w:rtl/>
          <w:lang w:bidi="ar-SY"/>
        </w:rPr>
        <w:t xml:space="preserve"> </w:t>
      </w:r>
      <w:r w:rsidR="00F32B28" w:rsidRPr="00F32B28">
        <w:rPr>
          <w:rtl/>
          <w:lang w:bidi="ar-SY"/>
        </w:rPr>
        <w:t>حسابات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سوق</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للأوراق</w:t>
      </w:r>
      <w:r w:rsidR="00F32B28">
        <w:rPr>
          <w:rtl/>
          <w:lang w:bidi="ar-SY"/>
        </w:rPr>
        <w:t xml:space="preserve"> </w:t>
      </w:r>
      <w:r w:rsidR="00F32B28" w:rsidRPr="00F32B28">
        <w:rPr>
          <w:rtl/>
          <w:lang w:bidi="ar-SY"/>
        </w:rPr>
        <w:t>المالية</w:t>
      </w:r>
      <w:r w:rsidR="00F32B28">
        <w:rPr>
          <w:rtl/>
          <w:lang w:bidi="ar-SY"/>
        </w:rPr>
        <w:t xml:space="preserve"> </w:t>
      </w:r>
      <w:r w:rsidR="00F32B28" w:rsidRPr="00F32B28">
        <w:rPr>
          <w:rtl/>
          <w:lang w:bidi="ar-SY"/>
        </w:rPr>
        <w:t>(بورصة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هن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الإناث</w:t>
      </w:r>
      <w:r w:rsidR="00F32B28">
        <w:rPr>
          <w:rtl/>
          <w:lang w:bidi="ar-SY"/>
        </w:rPr>
        <w:t xml:space="preserve"> </w:t>
      </w:r>
      <w:r w:rsidR="00F32B28" w:rsidRPr="00F32B28">
        <w:rPr>
          <w:rtl/>
          <w:lang w:bidi="ar-SY"/>
        </w:rPr>
        <w:t>مقابل</w:t>
      </w:r>
      <w:r w:rsidR="00F32B28">
        <w:rPr>
          <w:rtl/>
          <w:lang w:bidi="ar-SY"/>
        </w:rPr>
        <w:t xml:space="preserve"> </w:t>
      </w:r>
      <w:r w:rsidR="00F32B28" w:rsidRPr="00F32B28">
        <w:rPr>
          <w:rtl/>
          <w:lang w:bidi="ar-SY"/>
        </w:rPr>
        <w:t>58.9</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الذكور.</w:t>
      </w:r>
    </w:p>
    <w:p w:rsidR="00891A4B" w:rsidRPr="00891A4B" w:rsidRDefault="00891A4B" w:rsidP="00891A4B">
      <w:pPr>
        <w:pStyle w:val="SingleTxt"/>
        <w:spacing w:after="0" w:line="120" w:lineRule="exact"/>
        <w:rPr>
          <w:b/>
          <w:bCs/>
          <w:sz w:val="10"/>
          <w:rtl/>
        </w:rPr>
      </w:pPr>
    </w:p>
    <w:p w:rsidR="00F32B28" w:rsidRPr="00F32B28" w:rsidRDefault="00F32B28" w:rsidP="00F32B28">
      <w:pPr>
        <w:pStyle w:val="SingleTxt"/>
      </w:pPr>
      <w:r w:rsidRPr="00F32B28">
        <w:rPr>
          <w:b/>
          <w:bCs/>
          <w:rtl/>
        </w:rPr>
        <w:t>الرياضة</w:t>
      </w:r>
      <w:r>
        <w:rPr>
          <w:b/>
          <w:bCs/>
          <w:rtl/>
        </w:rPr>
        <w:t xml:space="preserve"> </w:t>
      </w:r>
      <w:r w:rsidRPr="00F32B28">
        <w:rPr>
          <w:b/>
          <w:bCs/>
          <w:rtl/>
        </w:rPr>
        <w:t>النسائية</w:t>
      </w:r>
    </w:p>
    <w:p w:rsidR="00F32B28" w:rsidRPr="00F32B28" w:rsidRDefault="00891A4B" w:rsidP="00891A4B">
      <w:pPr>
        <w:pStyle w:val="SingleTxt"/>
        <w:rPr>
          <w:rtl/>
        </w:rPr>
      </w:pPr>
      <w:r>
        <w:rPr>
          <w:rFonts w:hint="cs"/>
          <w:rtl/>
        </w:rPr>
        <w:t xml:space="preserve">287 - </w:t>
      </w:r>
      <w:r w:rsidR="00F32B28" w:rsidRPr="00F32B28">
        <w:rPr>
          <w:rtl/>
        </w:rPr>
        <w:t>لا</w:t>
      </w:r>
      <w:r w:rsidR="00F32B28">
        <w:rPr>
          <w:rtl/>
        </w:rPr>
        <w:t xml:space="preserve"> </w:t>
      </w:r>
      <w:r w:rsidR="00F32B28" w:rsidRPr="00F32B28">
        <w:rPr>
          <w:rtl/>
        </w:rPr>
        <w:t>تميز</w:t>
      </w:r>
      <w:r w:rsidR="00F32B28">
        <w:rPr>
          <w:rtl/>
        </w:rPr>
        <w:t xml:space="preserve"> </w:t>
      </w:r>
      <w:r w:rsidR="00F32B28" w:rsidRPr="00F32B28">
        <w:rPr>
          <w:rtl/>
        </w:rPr>
        <w:t>السياسات</w:t>
      </w:r>
      <w:r w:rsidR="00F32B28">
        <w:rPr>
          <w:rtl/>
        </w:rPr>
        <w:t xml:space="preserve"> </w:t>
      </w:r>
      <w:r w:rsidR="00F32B28" w:rsidRPr="00F32B28">
        <w:rPr>
          <w:rtl/>
        </w:rPr>
        <w:t>المتبعة</w:t>
      </w:r>
      <w:r w:rsidR="00F32B28">
        <w:rPr>
          <w:rtl/>
        </w:rPr>
        <w:t xml:space="preserve"> </w:t>
      </w:r>
      <w:r w:rsidR="00F32B28" w:rsidRPr="00F32B28">
        <w:rPr>
          <w:rtl/>
        </w:rPr>
        <w:t>في</w:t>
      </w:r>
      <w:r w:rsidR="00F32B28">
        <w:rPr>
          <w:rtl/>
        </w:rPr>
        <w:t xml:space="preserve"> </w:t>
      </w:r>
      <w:r w:rsidR="00F32B28" w:rsidRPr="00F32B28">
        <w:rPr>
          <w:rtl/>
        </w:rPr>
        <w:t>مجال</w:t>
      </w:r>
      <w:r w:rsidR="00F32B28">
        <w:rPr>
          <w:rtl/>
        </w:rPr>
        <w:t xml:space="preserve"> </w:t>
      </w:r>
      <w:r w:rsidR="00F32B28" w:rsidRPr="00F32B28">
        <w:rPr>
          <w:rtl/>
        </w:rPr>
        <w:t>الألعاب</w:t>
      </w:r>
      <w:r w:rsidR="00F32B28">
        <w:rPr>
          <w:rtl/>
        </w:rPr>
        <w:t xml:space="preserve"> </w:t>
      </w:r>
      <w:r w:rsidR="00F32B28" w:rsidRPr="00F32B28">
        <w:rPr>
          <w:rtl/>
        </w:rPr>
        <w:t>الترويحية</w:t>
      </w:r>
      <w:r w:rsidR="00F32B28">
        <w:rPr>
          <w:rtl/>
        </w:rPr>
        <w:t xml:space="preserve"> </w:t>
      </w:r>
      <w:r w:rsidR="00F32B28" w:rsidRPr="00F32B28">
        <w:rPr>
          <w:rtl/>
        </w:rPr>
        <w:t>والرياضية</w:t>
      </w:r>
      <w:r w:rsidR="00F32B28">
        <w:rPr>
          <w:rtl/>
        </w:rPr>
        <w:t xml:space="preserve"> </w:t>
      </w:r>
      <w:r w:rsidR="00F32B28" w:rsidRPr="00F32B28">
        <w:rPr>
          <w:rtl/>
        </w:rPr>
        <w:t>ضد</w:t>
      </w:r>
      <w:r w:rsidR="00F32B28">
        <w:rPr>
          <w:rtl/>
        </w:rPr>
        <w:t xml:space="preserve"> </w:t>
      </w:r>
      <w:r w:rsidR="00F32B28" w:rsidRPr="00F32B28">
        <w:rPr>
          <w:rtl/>
        </w:rPr>
        <w:t>النساء</w:t>
      </w:r>
      <w:r w:rsidR="00F32B28">
        <w:rPr>
          <w:rtl/>
        </w:rPr>
        <w:t xml:space="preserve"> </w:t>
      </w:r>
      <w:r w:rsidR="00F32B28" w:rsidRPr="00F32B28">
        <w:rPr>
          <w:rtl/>
        </w:rPr>
        <w:t>والفتيات.</w:t>
      </w:r>
      <w:r w:rsidR="00F32B28">
        <w:rPr>
          <w:rtl/>
        </w:rPr>
        <w:t xml:space="preserve"> </w:t>
      </w:r>
      <w:r w:rsidR="00F32B28" w:rsidRPr="00F32B28">
        <w:rPr>
          <w:rtl/>
        </w:rPr>
        <w:t>فعلى</w:t>
      </w:r>
      <w:r w:rsidR="00F32B28">
        <w:rPr>
          <w:rtl/>
        </w:rPr>
        <w:t xml:space="preserve"> </w:t>
      </w:r>
      <w:r w:rsidR="00F32B28" w:rsidRPr="00F32B28">
        <w:rPr>
          <w:rtl/>
        </w:rPr>
        <w:t>صعيد</w:t>
      </w:r>
      <w:r w:rsidR="00F32B28">
        <w:rPr>
          <w:rtl/>
        </w:rPr>
        <w:t xml:space="preserve"> </w:t>
      </w:r>
      <w:r w:rsidR="00F32B28" w:rsidRPr="00F32B28">
        <w:rPr>
          <w:rtl/>
        </w:rPr>
        <w:t>التعليم،</w:t>
      </w:r>
      <w:r w:rsidR="00F32B28">
        <w:rPr>
          <w:rtl/>
        </w:rPr>
        <w:t xml:space="preserve"> </w:t>
      </w:r>
      <w:r w:rsidR="00F32B28" w:rsidRPr="00F32B28">
        <w:rPr>
          <w:rtl/>
        </w:rPr>
        <w:t>تعتبر</w:t>
      </w:r>
      <w:r w:rsidR="00F32B28">
        <w:rPr>
          <w:rtl/>
        </w:rPr>
        <w:t xml:space="preserve"> </w:t>
      </w:r>
      <w:r w:rsidR="00F32B28" w:rsidRPr="00F32B28">
        <w:rPr>
          <w:rtl/>
        </w:rPr>
        <w:t>التربية</w:t>
      </w:r>
      <w:r w:rsidR="00F32B28">
        <w:rPr>
          <w:rtl/>
        </w:rPr>
        <w:t xml:space="preserve"> </w:t>
      </w:r>
      <w:r w:rsidR="00F32B28" w:rsidRPr="00F32B28">
        <w:rPr>
          <w:rtl/>
        </w:rPr>
        <w:t>البدنية</w:t>
      </w:r>
      <w:r w:rsidR="00F32B28">
        <w:rPr>
          <w:rtl/>
        </w:rPr>
        <w:t xml:space="preserve"> </w:t>
      </w:r>
      <w:r w:rsidR="00F32B28" w:rsidRPr="00F32B28">
        <w:rPr>
          <w:rtl/>
        </w:rPr>
        <w:t>مادةً</w:t>
      </w:r>
      <w:r w:rsidR="00F32B28">
        <w:rPr>
          <w:rtl/>
        </w:rPr>
        <w:t xml:space="preserve"> </w:t>
      </w:r>
      <w:r w:rsidR="00F32B28" w:rsidRPr="00F32B28">
        <w:rPr>
          <w:rtl/>
        </w:rPr>
        <w:t>إلزامية</w:t>
      </w:r>
      <w:r w:rsidR="00F32B28">
        <w:rPr>
          <w:rtl/>
        </w:rPr>
        <w:t xml:space="preserve"> </w:t>
      </w:r>
      <w:r w:rsidR="00F32B28" w:rsidRPr="00F32B28">
        <w:rPr>
          <w:rtl/>
        </w:rPr>
        <w:t>في</w:t>
      </w:r>
      <w:r w:rsidR="00F32B28">
        <w:rPr>
          <w:rtl/>
        </w:rPr>
        <w:t xml:space="preserve"> </w:t>
      </w:r>
      <w:r w:rsidR="00F32B28" w:rsidRPr="00F32B28">
        <w:rPr>
          <w:rtl/>
        </w:rPr>
        <w:t>جميع</w:t>
      </w:r>
      <w:r w:rsidR="00F32B28">
        <w:rPr>
          <w:rtl/>
        </w:rPr>
        <w:t xml:space="preserve"> </w:t>
      </w:r>
      <w:r w:rsidR="00F32B28" w:rsidRPr="00F32B28">
        <w:rPr>
          <w:rtl/>
        </w:rPr>
        <w:t>المدارس؛</w:t>
      </w:r>
      <w:r w:rsidR="00F32B28">
        <w:rPr>
          <w:rtl/>
        </w:rPr>
        <w:t xml:space="preserve"> </w:t>
      </w:r>
      <w:r w:rsidR="00F32B28" w:rsidRPr="00F32B28">
        <w:rPr>
          <w:rtl/>
        </w:rPr>
        <w:t>تشارك</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rPr>
        <w:t>خلالها</w:t>
      </w:r>
      <w:r w:rsidR="00F32B28">
        <w:rPr>
          <w:rtl/>
        </w:rPr>
        <w:t xml:space="preserve"> </w:t>
      </w:r>
      <w:r w:rsidR="00F32B28" w:rsidRPr="00F32B28">
        <w:rPr>
          <w:rtl/>
        </w:rPr>
        <w:t>الطالبات</w:t>
      </w:r>
      <w:r w:rsidR="00F32B28">
        <w:rPr>
          <w:rtl/>
        </w:rPr>
        <w:t xml:space="preserve"> </w:t>
      </w:r>
      <w:r w:rsidR="00F32B28" w:rsidRPr="00F32B28">
        <w:rPr>
          <w:rtl/>
        </w:rPr>
        <w:t>في</w:t>
      </w:r>
      <w:r w:rsidR="00F32B28">
        <w:rPr>
          <w:rtl/>
        </w:rPr>
        <w:t xml:space="preserve"> </w:t>
      </w:r>
      <w:r w:rsidR="00F32B28" w:rsidRPr="00F32B28">
        <w:rPr>
          <w:rtl/>
        </w:rPr>
        <w:t>الأنشطة</w:t>
      </w:r>
      <w:r w:rsidR="00F32B28">
        <w:rPr>
          <w:rtl/>
        </w:rPr>
        <w:t xml:space="preserve"> </w:t>
      </w:r>
      <w:r w:rsidR="00F32B28" w:rsidRPr="00F32B28">
        <w:rPr>
          <w:rtl/>
        </w:rPr>
        <w:t>والألعاب</w:t>
      </w:r>
      <w:r w:rsidR="00F32B28">
        <w:rPr>
          <w:rtl/>
        </w:rPr>
        <w:t xml:space="preserve"> </w:t>
      </w:r>
      <w:r w:rsidR="00F32B28" w:rsidRPr="00F32B28">
        <w:rPr>
          <w:rtl/>
        </w:rPr>
        <w:t>الرياضية</w:t>
      </w:r>
      <w:r w:rsidR="00F32B28">
        <w:rPr>
          <w:rtl/>
        </w:rPr>
        <w:t xml:space="preserve"> </w:t>
      </w:r>
      <w:r w:rsidR="00F32B28" w:rsidRPr="00F32B28">
        <w:rPr>
          <w:rtl/>
        </w:rPr>
        <w:t>على</w:t>
      </w:r>
      <w:r w:rsidR="00F32B28">
        <w:rPr>
          <w:rtl/>
        </w:rPr>
        <w:t xml:space="preserve"> </w:t>
      </w:r>
      <w:r w:rsidR="00F32B28" w:rsidRPr="00F32B28">
        <w:rPr>
          <w:rtl/>
        </w:rPr>
        <w:t>قدم</w:t>
      </w:r>
      <w:r w:rsidR="00F32B28">
        <w:rPr>
          <w:rtl/>
        </w:rPr>
        <w:t xml:space="preserve"> </w:t>
      </w:r>
      <w:r w:rsidR="00F32B28" w:rsidRPr="00F32B28">
        <w:rPr>
          <w:rtl/>
        </w:rPr>
        <w:t>المساواة</w:t>
      </w:r>
      <w:r w:rsidR="00F32B28">
        <w:rPr>
          <w:rtl/>
        </w:rPr>
        <w:t xml:space="preserve"> </w:t>
      </w:r>
      <w:r w:rsidR="00F32B28" w:rsidRPr="00F32B28">
        <w:rPr>
          <w:rtl/>
        </w:rPr>
        <w:t>مع</w:t>
      </w:r>
      <w:r w:rsidR="00F32B28">
        <w:rPr>
          <w:rtl/>
        </w:rPr>
        <w:t xml:space="preserve"> </w:t>
      </w:r>
      <w:r w:rsidR="00F32B28" w:rsidRPr="00F32B28">
        <w:rPr>
          <w:rtl/>
        </w:rPr>
        <w:t>الطلاب</w:t>
      </w:r>
      <w:r w:rsidR="00F32B28">
        <w:rPr>
          <w:rtl/>
        </w:rPr>
        <w:t xml:space="preserve"> </w:t>
      </w:r>
      <w:r w:rsidR="00F32B28" w:rsidRPr="00F32B28">
        <w:rPr>
          <w:rtl/>
        </w:rPr>
        <w:t>الذكور.</w:t>
      </w:r>
      <w:r w:rsidR="00F32B28">
        <w:rPr>
          <w:rtl/>
        </w:rPr>
        <w:t xml:space="preserve"> </w:t>
      </w:r>
    </w:p>
    <w:p w:rsidR="00F32B28" w:rsidRPr="00F32B28" w:rsidRDefault="00891A4B" w:rsidP="00891A4B">
      <w:pPr>
        <w:pStyle w:val="SingleTxt"/>
        <w:rPr>
          <w:rtl/>
        </w:rPr>
      </w:pPr>
      <w:r>
        <w:rPr>
          <w:rFonts w:hint="cs"/>
          <w:rtl/>
        </w:rPr>
        <w:lastRenderedPageBreak/>
        <w:t xml:space="preserve">288 -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2004،</w:t>
      </w:r>
      <w:r w:rsidR="00F32B28">
        <w:rPr>
          <w:rtl/>
        </w:rPr>
        <w:t xml:space="preserve"> </w:t>
      </w:r>
      <w:r w:rsidR="00F32B28" w:rsidRPr="00F32B28">
        <w:rPr>
          <w:rtl/>
        </w:rPr>
        <w:t>تم</w:t>
      </w:r>
      <w:r w:rsidR="00F32B28">
        <w:rPr>
          <w:rtl/>
        </w:rPr>
        <w:t xml:space="preserve"> </w:t>
      </w:r>
      <w:r w:rsidR="00F32B28" w:rsidRPr="00F32B28">
        <w:rPr>
          <w:rtl/>
        </w:rPr>
        <w:t>تشكيل</w:t>
      </w:r>
      <w:r w:rsidR="00F32B28">
        <w:rPr>
          <w:rtl/>
        </w:rPr>
        <w:t xml:space="preserve"> </w:t>
      </w:r>
      <w:r w:rsidR="00F32B28" w:rsidRPr="00F32B28">
        <w:rPr>
          <w:rtl/>
        </w:rPr>
        <w:t>أول</w:t>
      </w:r>
      <w:r w:rsidR="00F32B28">
        <w:rPr>
          <w:rtl/>
        </w:rPr>
        <w:t xml:space="preserve"> </w:t>
      </w:r>
      <w:r w:rsidR="00F32B28" w:rsidRPr="00F32B28">
        <w:rPr>
          <w:rtl/>
        </w:rPr>
        <w:t>فريق</w:t>
      </w:r>
      <w:r w:rsidR="00F32B28">
        <w:rPr>
          <w:rtl/>
        </w:rPr>
        <w:t xml:space="preserve"> </w:t>
      </w:r>
      <w:r w:rsidR="00F32B28" w:rsidRPr="00F32B28">
        <w:rPr>
          <w:rtl/>
        </w:rPr>
        <w:t>كرة</w:t>
      </w:r>
      <w:r w:rsidR="00F32B28">
        <w:rPr>
          <w:rtl/>
        </w:rPr>
        <w:t xml:space="preserve"> </w:t>
      </w:r>
      <w:r w:rsidR="00F32B28" w:rsidRPr="00F32B28">
        <w:rPr>
          <w:rtl/>
        </w:rPr>
        <w:t>قدم</w:t>
      </w:r>
      <w:r w:rsidR="00F32B28">
        <w:rPr>
          <w:rtl/>
        </w:rPr>
        <w:t xml:space="preserve"> </w:t>
      </w:r>
      <w:r w:rsidR="00F32B28" w:rsidRPr="00F32B28">
        <w:rPr>
          <w:rtl/>
        </w:rPr>
        <w:t>نسوي</w:t>
      </w:r>
      <w:r w:rsidR="00F32B28">
        <w:rPr>
          <w:rtl/>
        </w:rPr>
        <w:t xml:space="preserve"> </w:t>
      </w:r>
      <w:r w:rsidR="00F32B28" w:rsidRPr="00F32B28">
        <w:rPr>
          <w:rtl/>
        </w:rPr>
        <w:t>فلسطيني</w:t>
      </w:r>
      <w:r w:rsidR="00F32B28">
        <w:rPr>
          <w:rtl/>
        </w:rPr>
        <w:t xml:space="preserve"> </w:t>
      </w:r>
      <w:r w:rsidR="00F32B28" w:rsidRPr="00F32B28">
        <w:rPr>
          <w:rtl/>
        </w:rPr>
        <w:t>الذي</w:t>
      </w:r>
      <w:r w:rsidR="00F32B28">
        <w:rPr>
          <w:rtl/>
        </w:rPr>
        <w:t xml:space="preserve"> </w:t>
      </w:r>
      <w:r w:rsidR="00F32B28" w:rsidRPr="00F32B28">
        <w:rPr>
          <w:rtl/>
        </w:rPr>
        <w:t>شارك</w:t>
      </w:r>
      <w:r w:rsidR="00F32B28">
        <w:rPr>
          <w:rtl/>
        </w:rPr>
        <w:t xml:space="preserve"> </w:t>
      </w:r>
      <w:r w:rsidR="00F32B28" w:rsidRPr="00F32B28">
        <w:rPr>
          <w:rtl/>
        </w:rPr>
        <w:t>في</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البطولات</w:t>
      </w:r>
      <w:r w:rsidR="00F32B28">
        <w:rPr>
          <w:rtl/>
        </w:rPr>
        <w:t xml:space="preserve"> </w:t>
      </w:r>
      <w:r w:rsidR="00F32B28" w:rsidRPr="00F32B28">
        <w:rPr>
          <w:rtl/>
        </w:rPr>
        <w:t>العربية</w:t>
      </w:r>
      <w:r w:rsidR="00F32B28">
        <w:rPr>
          <w:rtl/>
        </w:rPr>
        <w:t xml:space="preserve"> </w:t>
      </w:r>
      <w:r w:rsidR="00F32B28" w:rsidRPr="00F32B28">
        <w:rPr>
          <w:rtl/>
        </w:rPr>
        <w:t>والآسيوية،</w:t>
      </w:r>
      <w:r w:rsidR="00F32B28">
        <w:rPr>
          <w:rtl/>
        </w:rPr>
        <w:t xml:space="preserve"> </w:t>
      </w:r>
      <w:r w:rsidR="00F32B28" w:rsidRPr="00F32B28">
        <w:rPr>
          <w:rtl/>
        </w:rPr>
        <w:t>وفي</w:t>
      </w:r>
      <w:r w:rsidR="00F32B28">
        <w:rPr>
          <w:rtl/>
        </w:rPr>
        <w:t xml:space="preserve"> </w:t>
      </w:r>
      <w:r w:rsidR="00F32B28" w:rsidRPr="00F32B28">
        <w:rPr>
          <w:rtl/>
        </w:rPr>
        <w:t>عام</w:t>
      </w:r>
      <w:r w:rsidR="00F32B28">
        <w:rPr>
          <w:rtl/>
        </w:rPr>
        <w:t xml:space="preserve"> </w:t>
      </w:r>
      <w:r w:rsidR="00F32B28" w:rsidRPr="00F32B28">
        <w:rPr>
          <w:rtl/>
        </w:rPr>
        <w:t>2008</w:t>
      </w:r>
      <w:r w:rsidR="00F32B28">
        <w:rPr>
          <w:rtl/>
        </w:rPr>
        <w:t xml:space="preserve"> </w:t>
      </w:r>
      <w:r w:rsidR="00F32B28" w:rsidRPr="00F32B28">
        <w:rPr>
          <w:rtl/>
        </w:rPr>
        <w:t>تم</w:t>
      </w:r>
      <w:r w:rsidR="00F32B28">
        <w:rPr>
          <w:rtl/>
        </w:rPr>
        <w:t xml:space="preserve"> </w:t>
      </w:r>
      <w:r w:rsidR="00F32B28" w:rsidRPr="00F32B28">
        <w:rPr>
          <w:rtl/>
        </w:rPr>
        <w:t>تشكيل</w:t>
      </w:r>
      <w:r w:rsidR="00F32B28">
        <w:rPr>
          <w:rtl/>
        </w:rPr>
        <w:t xml:space="preserve"> </w:t>
      </w:r>
      <w:r w:rsidR="00F32B28" w:rsidRPr="00F32B28">
        <w:rPr>
          <w:rtl/>
        </w:rPr>
        <w:t>دوري</w:t>
      </w:r>
      <w:r w:rsidR="00F32B28">
        <w:rPr>
          <w:rtl/>
        </w:rPr>
        <w:t xml:space="preserve"> </w:t>
      </w:r>
      <w:r w:rsidR="00F32B28" w:rsidRPr="00F32B28">
        <w:rPr>
          <w:rtl/>
        </w:rPr>
        <w:t>نسوي</w:t>
      </w:r>
      <w:r w:rsidR="00F32B28">
        <w:rPr>
          <w:rtl/>
        </w:rPr>
        <w:t xml:space="preserve"> </w:t>
      </w:r>
      <w:r w:rsidR="00F32B28" w:rsidRPr="00F32B28">
        <w:rPr>
          <w:rtl/>
        </w:rPr>
        <w:t>فلسطيني</w:t>
      </w:r>
      <w:r w:rsidR="00F32B28">
        <w:rPr>
          <w:rtl/>
        </w:rPr>
        <w:t xml:space="preserve"> </w:t>
      </w:r>
      <w:r w:rsidR="00F32B28" w:rsidRPr="00F32B28">
        <w:rPr>
          <w:rtl/>
        </w:rPr>
        <w:t>في</w:t>
      </w:r>
      <w:r w:rsidR="00F32B28">
        <w:rPr>
          <w:rtl/>
        </w:rPr>
        <w:t xml:space="preserve"> </w:t>
      </w:r>
      <w:r w:rsidR="00F32B28" w:rsidRPr="00F32B28">
        <w:rPr>
          <w:rtl/>
        </w:rPr>
        <w:t>كرة</w:t>
      </w:r>
      <w:r w:rsidR="00F32B28">
        <w:rPr>
          <w:rtl/>
        </w:rPr>
        <w:t xml:space="preserve"> </w:t>
      </w:r>
      <w:r w:rsidR="00F32B28" w:rsidRPr="00F32B28">
        <w:rPr>
          <w:rtl/>
        </w:rPr>
        <w:t>القدم،</w:t>
      </w:r>
      <w:r w:rsidR="00F32B28">
        <w:rPr>
          <w:rtl/>
        </w:rPr>
        <w:t xml:space="preserve"> </w:t>
      </w:r>
      <w:r w:rsidR="00F32B28" w:rsidRPr="00F32B28">
        <w:rPr>
          <w:rtl/>
        </w:rPr>
        <w:t>مكون</w:t>
      </w:r>
      <w:r w:rsidR="00F32B28">
        <w:rPr>
          <w:rtl/>
        </w:rPr>
        <w:t xml:space="preserve"> </w:t>
      </w:r>
      <w:r w:rsidR="00F32B28" w:rsidRPr="00F32B28">
        <w:rPr>
          <w:rtl/>
        </w:rPr>
        <w:t>من</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الأندية</w:t>
      </w:r>
      <w:r w:rsidR="00F32B28">
        <w:rPr>
          <w:rtl/>
        </w:rPr>
        <w:t xml:space="preserve"> </w:t>
      </w:r>
      <w:r w:rsidR="00F32B28" w:rsidRPr="00F32B28">
        <w:rPr>
          <w:rtl/>
        </w:rPr>
        <w:t>النسوية</w:t>
      </w:r>
      <w:r w:rsidR="00F32B28">
        <w:rPr>
          <w:rtl/>
        </w:rPr>
        <w:t xml:space="preserve"> </w:t>
      </w:r>
      <w:r w:rsidR="00F32B28" w:rsidRPr="00F32B28">
        <w:rPr>
          <w:rtl/>
        </w:rPr>
        <w:t>في</w:t>
      </w:r>
      <w:r w:rsidR="00F32B28">
        <w:rPr>
          <w:rtl/>
        </w:rPr>
        <w:t xml:space="preserve"> </w:t>
      </w:r>
      <w:r w:rsidR="00F32B28" w:rsidRPr="00F32B28">
        <w:rPr>
          <w:rtl/>
        </w:rPr>
        <w:t>هذا</w:t>
      </w:r>
      <w:r w:rsidR="00F32B28">
        <w:rPr>
          <w:rtl/>
        </w:rPr>
        <w:t xml:space="preserve"> </w:t>
      </w:r>
      <w:r w:rsidR="00F32B28" w:rsidRPr="00F32B28">
        <w:rPr>
          <w:rtl/>
        </w:rPr>
        <w:t>المجال.</w:t>
      </w:r>
    </w:p>
    <w:p w:rsidR="00F32B28" w:rsidRPr="00F32B28" w:rsidRDefault="00891A4B" w:rsidP="00891A4B">
      <w:pPr>
        <w:pStyle w:val="SingleTxt"/>
        <w:rPr>
          <w:rtl/>
          <w:lang w:bidi="ar-LB"/>
        </w:rPr>
      </w:pPr>
      <w:r>
        <w:rPr>
          <w:rFonts w:hint="cs"/>
          <w:rtl/>
          <w:lang w:bidi="ar-LB"/>
        </w:rPr>
        <w:t xml:space="preserve">289 - </w:t>
      </w:r>
      <w:r w:rsidR="00F32B28" w:rsidRPr="00F32B28">
        <w:rPr>
          <w:rtl/>
          <w:lang w:bidi="ar-LB"/>
        </w:rPr>
        <w:t>بالنسبة</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رياضة</w:t>
      </w:r>
      <w:r w:rsidR="00F32B28">
        <w:rPr>
          <w:rtl/>
          <w:lang w:bidi="ar-LB"/>
        </w:rPr>
        <w:t xml:space="preserve"> </w:t>
      </w:r>
      <w:r w:rsidR="00F32B28" w:rsidRPr="00F32B28">
        <w:rPr>
          <w:rtl/>
          <w:lang w:bidi="ar-SY"/>
        </w:rPr>
        <w:t>النساء</w:t>
      </w:r>
      <w:r w:rsidR="00F32B28">
        <w:rPr>
          <w:rtl/>
          <w:lang w:bidi="ar-LB"/>
        </w:rPr>
        <w:t xml:space="preserve"> </w:t>
      </w:r>
      <w:r w:rsidR="00F32B28" w:rsidRPr="00F32B28">
        <w:rPr>
          <w:rtl/>
          <w:lang w:bidi="ar-LB"/>
        </w:rPr>
        <w:t>ذوي</w:t>
      </w:r>
      <w:r w:rsidR="00F32B28">
        <w:rPr>
          <w:rtl/>
          <w:lang w:bidi="ar-LB"/>
        </w:rPr>
        <w:t xml:space="preserve"> </w:t>
      </w:r>
      <w:r w:rsidR="00F32B28" w:rsidRPr="00F32B28">
        <w:rPr>
          <w:rtl/>
          <w:lang w:bidi="ar-LB"/>
        </w:rPr>
        <w:t>الإعاقة،</w:t>
      </w:r>
      <w:r w:rsidR="00F32B28">
        <w:rPr>
          <w:rtl/>
          <w:lang w:bidi="ar-LB"/>
        </w:rPr>
        <w:t xml:space="preserve"> </w:t>
      </w:r>
      <w:r w:rsidR="00F32B28" w:rsidRPr="00F32B28">
        <w:rPr>
          <w:rtl/>
          <w:lang w:bidi="ar-LB"/>
        </w:rPr>
        <w:t>تجدر</w:t>
      </w:r>
      <w:r w:rsidR="00F32B28">
        <w:rPr>
          <w:rtl/>
          <w:lang w:bidi="ar-LB"/>
        </w:rPr>
        <w:t xml:space="preserve"> </w:t>
      </w:r>
      <w:r w:rsidR="00F32B28" w:rsidRPr="00F32B28">
        <w:rPr>
          <w:rtl/>
          <w:lang w:bidi="ar-LB"/>
        </w:rPr>
        <w:t>الإشارة</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قانون</w:t>
      </w:r>
      <w:r w:rsidR="00F32B28">
        <w:rPr>
          <w:rtl/>
          <w:lang w:bidi="ar-LB"/>
        </w:rPr>
        <w:t xml:space="preserve"> </w:t>
      </w:r>
      <w:r w:rsidR="00F32B28" w:rsidRPr="00F32B28">
        <w:rPr>
          <w:rtl/>
          <w:lang w:bidi="ar-LB"/>
        </w:rPr>
        <w:t>الرياضة</w:t>
      </w:r>
      <w:r w:rsidR="00F32B28">
        <w:rPr>
          <w:rtl/>
          <w:lang w:bidi="ar-LB"/>
        </w:rPr>
        <w:t xml:space="preserve"> </w:t>
      </w:r>
      <w:r w:rsidR="00F32B28" w:rsidRPr="00F32B28">
        <w:rPr>
          <w:rtl/>
          <w:lang w:bidi="ar-LB"/>
        </w:rPr>
        <w:t>يولي</w:t>
      </w:r>
      <w:r w:rsidR="00F32B28">
        <w:rPr>
          <w:rtl/>
          <w:lang w:bidi="ar-LB"/>
        </w:rPr>
        <w:t xml:space="preserve"> </w:t>
      </w:r>
      <w:r w:rsidR="00F32B28" w:rsidRPr="00F32B28">
        <w:rPr>
          <w:rtl/>
          <w:lang w:bidi="ar-LB"/>
        </w:rPr>
        <w:t>أهمية</w:t>
      </w:r>
      <w:r w:rsidR="00F32B28">
        <w:rPr>
          <w:rtl/>
          <w:lang w:bidi="ar-LB"/>
        </w:rPr>
        <w:t xml:space="preserve"> </w:t>
      </w:r>
      <w:r w:rsidR="00F32B28" w:rsidRPr="00F32B28">
        <w:rPr>
          <w:rtl/>
          <w:lang w:bidi="ar-LB"/>
        </w:rPr>
        <w:t>خاصة</w:t>
      </w:r>
      <w:r w:rsidR="00F32B28">
        <w:rPr>
          <w:rtl/>
          <w:lang w:bidi="ar-LB"/>
        </w:rPr>
        <w:t xml:space="preserve"> </w:t>
      </w:r>
      <w:r w:rsidR="00F32B28" w:rsidRPr="00F32B28">
        <w:rPr>
          <w:rtl/>
          <w:lang w:bidi="ar-LB"/>
        </w:rPr>
        <w:t>لرياضة</w:t>
      </w:r>
      <w:r w:rsidR="00F32B28">
        <w:rPr>
          <w:rtl/>
          <w:lang w:bidi="ar-LB"/>
        </w:rPr>
        <w:t xml:space="preserve"> </w:t>
      </w:r>
      <w:r w:rsidR="00F32B28" w:rsidRPr="00F32B28">
        <w:rPr>
          <w:rtl/>
          <w:lang w:bidi="ar-LB"/>
        </w:rPr>
        <w:t>الأشخاص</w:t>
      </w:r>
      <w:r w:rsidR="00F32B28">
        <w:rPr>
          <w:rtl/>
          <w:lang w:bidi="ar-LB"/>
        </w:rPr>
        <w:t xml:space="preserve"> </w:t>
      </w:r>
      <w:r w:rsidR="00F32B28" w:rsidRPr="00F32B28">
        <w:rPr>
          <w:rtl/>
          <w:lang w:bidi="ar-LB"/>
        </w:rPr>
        <w:t>ذوي</w:t>
      </w:r>
      <w:r w:rsidR="00F32B28">
        <w:rPr>
          <w:rtl/>
          <w:lang w:bidi="ar-LB"/>
        </w:rPr>
        <w:t xml:space="preserve"> </w:t>
      </w:r>
      <w:r w:rsidR="00F32B28" w:rsidRPr="00F32B28">
        <w:rPr>
          <w:rtl/>
          <w:lang w:bidi="ar-LB"/>
        </w:rPr>
        <w:t>الإعاقة</w:t>
      </w:r>
      <w:r w:rsidR="00F32B28">
        <w:rPr>
          <w:rtl/>
          <w:lang w:bidi="ar-LB"/>
        </w:rPr>
        <w:t xml:space="preserve"> </w:t>
      </w:r>
      <w:r w:rsidR="00F32B28" w:rsidRPr="00F32B28">
        <w:rPr>
          <w:rtl/>
          <w:lang w:bidi="ar-LB"/>
        </w:rPr>
        <w:t>والعمل</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تنمية</w:t>
      </w:r>
      <w:r w:rsidR="00F32B28">
        <w:rPr>
          <w:rtl/>
          <w:lang w:bidi="ar-LB"/>
        </w:rPr>
        <w:t xml:space="preserve"> </w:t>
      </w:r>
      <w:r w:rsidR="00F32B28" w:rsidRPr="00F32B28">
        <w:rPr>
          <w:rtl/>
          <w:lang w:bidi="ar-LB"/>
        </w:rPr>
        <w:t>طاقاتهم</w:t>
      </w:r>
      <w:r w:rsidR="00F32B28">
        <w:rPr>
          <w:rtl/>
          <w:lang w:bidi="ar-LB"/>
        </w:rPr>
        <w:t xml:space="preserve"> </w:t>
      </w:r>
      <w:r w:rsidR="00F32B28" w:rsidRPr="00F32B28">
        <w:rPr>
          <w:rtl/>
          <w:lang w:bidi="ar-LB"/>
        </w:rPr>
        <w:t>وتوفير</w:t>
      </w:r>
      <w:r w:rsidR="00F32B28">
        <w:rPr>
          <w:rtl/>
          <w:lang w:bidi="ar-LB"/>
        </w:rPr>
        <w:t xml:space="preserve"> </w:t>
      </w:r>
      <w:r w:rsidR="00F32B28" w:rsidRPr="00F32B28">
        <w:rPr>
          <w:rtl/>
          <w:lang w:bidi="ar-LB"/>
        </w:rPr>
        <w:t>فرص</w:t>
      </w:r>
      <w:r w:rsidR="00F32B28">
        <w:rPr>
          <w:rtl/>
          <w:lang w:bidi="ar-LB"/>
        </w:rPr>
        <w:t xml:space="preserve"> </w:t>
      </w:r>
      <w:r w:rsidR="00F32B28" w:rsidRPr="00F32B28">
        <w:rPr>
          <w:rtl/>
          <w:lang w:bidi="ar-LB"/>
        </w:rPr>
        <w:t>ممارسة</w:t>
      </w:r>
      <w:r w:rsidR="00F32B28">
        <w:rPr>
          <w:rtl/>
          <w:lang w:bidi="ar-LB"/>
        </w:rPr>
        <w:t xml:space="preserve"> </w:t>
      </w:r>
      <w:r w:rsidR="00F32B28" w:rsidRPr="00F32B28">
        <w:rPr>
          <w:rtl/>
          <w:lang w:bidi="ar-LB"/>
        </w:rPr>
        <w:t>الأنشطة</w:t>
      </w:r>
      <w:r w:rsidR="00F32B28">
        <w:rPr>
          <w:rtl/>
          <w:lang w:bidi="ar-LB"/>
        </w:rPr>
        <w:t xml:space="preserve"> </w:t>
      </w:r>
      <w:r w:rsidR="00F32B28" w:rsidRPr="00F32B28">
        <w:rPr>
          <w:rtl/>
          <w:lang w:bidi="ar-LB"/>
        </w:rPr>
        <w:t>الرياضية</w:t>
      </w:r>
      <w:r w:rsidR="00F32B28">
        <w:rPr>
          <w:rtl/>
          <w:lang w:bidi="ar-LB"/>
        </w:rPr>
        <w:t xml:space="preserve"> </w:t>
      </w:r>
      <w:r w:rsidR="00F32B28" w:rsidRPr="00F32B28">
        <w:rPr>
          <w:rtl/>
          <w:lang w:bidi="ar-LB"/>
        </w:rPr>
        <w:t>لهم</w:t>
      </w:r>
      <w:r w:rsidR="00F32B28">
        <w:rPr>
          <w:rtl/>
          <w:lang w:bidi="ar-LB"/>
        </w:rPr>
        <w:t xml:space="preserve"> </w:t>
      </w:r>
      <w:r w:rsidR="00F32B28" w:rsidRPr="00F32B28">
        <w:rPr>
          <w:rtl/>
          <w:lang w:bidi="ar-LB"/>
        </w:rPr>
        <w:t>للوصول</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رياضة</w:t>
      </w:r>
      <w:r w:rsidR="00F32B28">
        <w:rPr>
          <w:rtl/>
          <w:lang w:bidi="ar-LB"/>
        </w:rPr>
        <w:t xml:space="preserve"> </w:t>
      </w:r>
      <w:r w:rsidR="00F32B28" w:rsidRPr="00F32B28">
        <w:rPr>
          <w:rtl/>
          <w:lang w:bidi="ar-LB"/>
        </w:rPr>
        <w:t>المستويات</w:t>
      </w:r>
      <w:r w:rsidR="00F32B28">
        <w:rPr>
          <w:rtl/>
          <w:lang w:bidi="ar-LB"/>
        </w:rPr>
        <w:t xml:space="preserve"> </w:t>
      </w:r>
      <w:r w:rsidR="00F32B28" w:rsidRPr="00F32B28">
        <w:rPr>
          <w:rtl/>
          <w:lang w:bidi="ar-LB"/>
        </w:rPr>
        <w:t>العالية.</w:t>
      </w:r>
      <w:r w:rsidR="00F32B28">
        <w:rPr>
          <w:rtl/>
          <w:lang w:bidi="ar-LB"/>
        </w:rPr>
        <w:t xml:space="preserve"> </w:t>
      </w:r>
      <w:r w:rsidR="00F32B28" w:rsidRPr="00F32B28">
        <w:rPr>
          <w:rtl/>
          <w:lang w:bidi="ar-LB"/>
        </w:rPr>
        <w:t>وينفذ</w:t>
      </w:r>
      <w:r w:rsidR="00F32B28">
        <w:rPr>
          <w:rtl/>
          <w:lang w:bidi="ar-LB"/>
        </w:rPr>
        <w:t xml:space="preserve"> </w:t>
      </w:r>
      <w:r w:rsidR="00F32B28" w:rsidRPr="00F32B28">
        <w:rPr>
          <w:rtl/>
          <w:lang w:bidi="ar-LB"/>
        </w:rPr>
        <w:t>المجلس</w:t>
      </w:r>
      <w:r w:rsidR="00F32B28">
        <w:rPr>
          <w:rtl/>
          <w:lang w:bidi="ar-LB"/>
        </w:rPr>
        <w:t xml:space="preserve"> </w:t>
      </w:r>
      <w:r w:rsidR="00F32B28" w:rsidRPr="00F32B28">
        <w:rPr>
          <w:rtl/>
          <w:lang w:bidi="ar-LB"/>
        </w:rPr>
        <w:t>الأعلى</w:t>
      </w:r>
      <w:r w:rsidR="00F32B28">
        <w:rPr>
          <w:rtl/>
          <w:lang w:bidi="ar-LB"/>
        </w:rPr>
        <w:t xml:space="preserve"> </w:t>
      </w:r>
      <w:r w:rsidR="00F32B28" w:rsidRPr="00F32B28">
        <w:rPr>
          <w:rtl/>
          <w:lang w:bidi="ar-LB"/>
        </w:rPr>
        <w:t>للشباب</w:t>
      </w:r>
      <w:r w:rsidR="00F32B28">
        <w:rPr>
          <w:rtl/>
          <w:lang w:bidi="ar-LB"/>
        </w:rPr>
        <w:t xml:space="preserve"> </w:t>
      </w:r>
      <w:r w:rsidR="00F32B28" w:rsidRPr="00F32B28">
        <w:rPr>
          <w:rtl/>
          <w:lang w:bidi="ar-LB"/>
        </w:rPr>
        <w:t>والرياضة</w:t>
      </w:r>
      <w:r w:rsidR="00F32B28">
        <w:rPr>
          <w:rtl/>
          <w:lang w:bidi="ar-LB"/>
        </w:rPr>
        <w:t xml:space="preserve"> </w:t>
      </w:r>
      <w:r w:rsidR="00F32B28" w:rsidRPr="00F32B28">
        <w:rPr>
          <w:rtl/>
          <w:lang w:bidi="ar-LB"/>
        </w:rPr>
        <w:t>مشروع</w:t>
      </w:r>
      <w:r w:rsidR="00F32B28">
        <w:rPr>
          <w:rtl/>
          <w:lang w:bidi="ar-LB"/>
        </w:rPr>
        <w:t xml:space="preserve"> </w:t>
      </w:r>
      <w:r w:rsidR="00F32B28" w:rsidRPr="00F32B28">
        <w:rPr>
          <w:rtl/>
          <w:lang w:bidi="ar-LB"/>
        </w:rPr>
        <w:t>يستهدف</w:t>
      </w:r>
      <w:r w:rsidR="00F32B28">
        <w:rPr>
          <w:rtl/>
          <w:lang w:bidi="ar-LB"/>
        </w:rPr>
        <w:t xml:space="preserve"> </w:t>
      </w:r>
      <w:r w:rsidR="00F32B28" w:rsidRPr="00F32B28">
        <w:rPr>
          <w:rtl/>
          <w:lang w:bidi="ar-LB"/>
        </w:rPr>
        <w:t>تمكين</w:t>
      </w:r>
      <w:r w:rsidR="00F32B28">
        <w:rPr>
          <w:rtl/>
          <w:lang w:bidi="ar-LB"/>
        </w:rPr>
        <w:t xml:space="preserve"> </w:t>
      </w:r>
      <w:r w:rsidR="00F32B28" w:rsidRPr="00F32B28">
        <w:rPr>
          <w:rtl/>
          <w:lang w:bidi="ar-LB"/>
        </w:rPr>
        <w:t>الأطفال</w:t>
      </w:r>
      <w:r>
        <w:rPr>
          <w:rFonts w:hint="cs"/>
          <w:rtl/>
          <w:lang w:bidi="ar-LB"/>
        </w:rPr>
        <w:t xml:space="preserve"> </w:t>
      </w:r>
      <w:r w:rsidR="00F32B28" w:rsidRPr="00F32B28">
        <w:rPr>
          <w:rtl/>
          <w:lang w:bidi="ar-LB"/>
        </w:rPr>
        <w:t>ذوي</w:t>
      </w:r>
      <w:r w:rsidR="00F32B28">
        <w:rPr>
          <w:rtl/>
          <w:lang w:bidi="ar-LB"/>
        </w:rPr>
        <w:t xml:space="preserve"> </w:t>
      </w:r>
      <w:r w:rsidR="00F32B28" w:rsidRPr="00F32B28">
        <w:rPr>
          <w:rtl/>
          <w:lang w:bidi="ar-LB"/>
        </w:rPr>
        <w:t>الإعاقة</w:t>
      </w:r>
      <w:r w:rsidR="00F32B28">
        <w:rPr>
          <w:rtl/>
          <w:lang w:bidi="ar-LB"/>
        </w:rPr>
        <w:t xml:space="preserve"> </w:t>
      </w:r>
      <w:r w:rsidR="00F32B28" w:rsidRPr="00F32B28">
        <w:rPr>
          <w:rtl/>
          <w:lang w:bidi="ar-LB"/>
        </w:rPr>
        <w:t>وتعزيز</w:t>
      </w:r>
      <w:r w:rsidR="00F32B28">
        <w:rPr>
          <w:rtl/>
          <w:lang w:bidi="ar-LB"/>
        </w:rPr>
        <w:t xml:space="preserve"> </w:t>
      </w:r>
      <w:r w:rsidR="00F32B28" w:rsidRPr="00F32B28">
        <w:rPr>
          <w:rtl/>
          <w:lang w:bidi="ar-LB"/>
        </w:rPr>
        <w:t>قدراتهم</w:t>
      </w:r>
      <w:r w:rsidR="00F32B28">
        <w:rPr>
          <w:rtl/>
          <w:lang w:bidi="ar-LB"/>
        </w:rPr>
        <w:t xml:space="preserve"> </w:t>
      </w:r>
      <w:r w:rsidR="00F32B28" w:rsidRPr="00F32B28">
        <w:rPr>
          <w:rtl/>
          <w:lang w:bidi="ar-LB"/>
        </w:rPr>
        <w:t>القيادية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خلال</w:t>
      </w:r>
      <w:r w:rsidR="00F32B28">
        <w:rPr>
          <w:rtl/>
          <w:lang w:bidi="ar-LB"/>
        </w:rPr>
        <w:t xml:space="preserve"> </w:t>
      </w:r>
      <w:r w:rsidR="00F32B28" w:rsidRPr="00F32B28">
        <w:rPr>
          <w:rtl/>
          <w:lang w:bidi="ar-LB"/>
        </w:rPr>
        <w:t>الأنشطة</w:t>
      </w:r>
      <w:r w:rsidR="00F32B28">
        <w:rPr>
          <w:rtl/>
          <w:lang w:bidi="ar-LB"/>
        </w:rPr>
        <w:t xml:space="preserve"> </w:t>
      </w:r>
      <w:r w:rsidR="00F32B28" w:rsidRPr="00F32B28">
        <w:rPr>
          <w:rtl/>
          <w:lang w:bidi="ar-LB"/>
        </w:rPr>
        <w:t>الرياضة.</w:t>
      </w:r>
    </w:p>
    <w:p w:rsidR="00891A4B" w:rsidRPr="00891A4B" w:rsidRDefault="00891A4B" w:rsidP="00891A4B">
      <w:pPr>
        <w:pStyle w:val="SingleTxt"/>
        <w:spacing w:after="0" w:line="120" w:lineRule="exact"/>
        <w:rPr>
          <w:b/>
          <w:bCs/>
          <w:sz w:val="10"/>
          <w:rtl/>
          <w:lang w:bidi="ar-LB"/>
        </w:rPr>
      </w:pPr>
    </w:p>
    <w:p w:rsidR="00F32B28" w:rsidRPr="00F32B28" w:rsidRDefault="00F32B28" w:rsidP="00891A4B">
      <w:pPr>
        <w:pStyle w:val="SingleTxt"/>
        <w:rPr>
          <w:b/>
          <w:bCs/>
          <w:rtl/>
          <w:lang w:bidi="ar-LB"/>
        </w:rPr>
      </w:pPr>
      <w:r w:rsidRPr="00F32B28">
        <w:rPr>
          <w:b/>
          <w:bCs/>
          <w:rtl/>
          <w:lang w:bidi="ar-LB"/>
        </w:rPr>
        <w:t>المادة</w:t>
      </w:r>
      <w:r>
        <w:rPr>
          <w:b/>
          <w:bCs/>
          <w:rtl/>
          <w:lang w:bidi="ar-LB"/>
        </w:rPr>
        <w:t xml:space="preserve"> </w:t>
      </w:r>
      <w:r w:rsidRPr="00F32B28">
        <w:rPr>
          <w:b/>
          <w:bCs/>
          <w:rtl/>
          <w:lang w:bidi="ar-LB"/>
        </w:rPr>
        <w:t>(14)</w:t>
      </w:r>
      <w:r w:rsidR="00891A4B">
        <w:rPr>
          <w:rFonts w:hint="cs"/>
          <w:b/>
          <w:bCs/>
          <w:rtl/>
          <w:lang w:bidi="ar-LB"/>
        </w:rPr>
        <w:tab/>
      </w:r>
      <w:r w:rsidR="00891A4B">
        <w:rPr>
          <w:rFonts w:hint="cs"/>
          <w:b/>
          <w:bCs/>
          <w:rtl/>
          <w:lang w:bidi="ar-LB"/>
        </w:rPr>
        <w:br/>
      </w:r>
      <w:r w:rsidRPr="00F32B28">
        <w:rPr>
          <w:b/>
          <w:bCs/>
          <w:rtl/>
          <w:lang w:bidi="ar-LB"/>
        </w:rPr>
        <w:t>المرأة</w:t>
      </w:r>
      <w:r>
        <w:rPr>
          <w:b/>
          <w:bCs/>
          <w:rtl/>
          <w:lang w:bidi="ar-LB"/>
        </w:rPr>
        <w:t xml:space="preserve"> </w:t>
      </w:r>
      <w:r w:rsidRPr="00F32B28">
        <w:rPr>
          <w:b/>
          <w:bCs/>
          <w:rtl/>
          <w:lang w:bidi="ar-LB"/>
        </w:rPr>
        <w:t>الريفية</w:t>
      </w:r>
    </w:p>
    <w:p w:rsidR="00F32B28" w:rsidRPr="00F32B28" w:rsidRDefault="00891A4B" w:rsidP="00891A4B">
      <w:pPr>
        <w:pStyle w:val="SingleTxt"/>
        <w:rPr>
          <w:rtl/>
          <w:lang w:bidi="ar-SY"/>
        </w:rPr>
      </w:pPr>
      <w:r>
        <w:rPr>
          <w:rFonts w:hint="cs"/>
          <w:rtl/>
          <w:lang w:bidi="ar-LB"/>
        </w:rPr>
        <w:t xml:space="preserve">290 - </w:t>
      </w:r>
      <w:r w:rsidR="00F32B28" w:rsidRPr="00F32B28">
        <w:rPr>
          <w:rtl/>
          <w:lang w:bidi="ar-LB"/>
        </w:rPr>
        <w:t>تبلغ</w:t>
      </w:r>
      <w:r w:rsidR="00F32B28">
        <w:rPr>
          <w:rtl/>
          <w:lang w:bidi="ar-LB"/>
        </w:rPr>
        <w:t xml:space="preserve"> </w:t>
      </w:r>
      <w:r w:rsidR="00F32B28" w:rsidRPr="00F32B28">
        <w:rPr>
          <w:rtl/>
          <w:lang w:bidi="ar-LB"/>
        </w:rPr>
        <w:t>نسبة</w:t>
      </w:r>
      <w:r w:rsidR="00F32B28">
        <w:rPr>
          <w:rtl/>
          <w:lang w:bidi="ar-LB"/>
        </w:rPr>
        <w:t xml:space="preserve"> </w:t>
      </w:r>
      <w:r w:rsidR="00F32B28" w:rsidRPr="00F32B28">
        <w:rPr>
          <w:rtl/>
          <w:lang w:bidi="ar-LB"/>
        </w:rPr>
        <w:t>السكان</w:t>
      </w:r>
      <w:r w:rsidR="00F32B28">
        <w:rPr>
          <w:rtl/>
          <w:lang w:bidi="ar-LB"/>
        </w:rPr>
        <w:t xml:space="preserve"> </w:t>
      </w:r>
      <w:r w:rsidR="00F32B28" w:rsidRPr="00F32B28">
        <w:rPr>
          <w:rtl/>
          <w:lang w:bidi="ar-LB"/>
        </w:rPr>
        <w:t>الفلسطينيين</w:t>
      </w:r>
      <w:r w:rsidR="00F32B28">
        <w:rPr>
          <w:rtl/>
          <w:lang w:bidi="ar-LB"/>
        </w:rPr>
        <w:t xml:space="preserve"> </w:t>
      </w:r>
      <w:r w:rsidR="00F32B28" w:rsidRPr="00F32B28">
        <w:rPr>
          <w:rtl/>
          <w:lang w:bidi="ar-LB"/>
        </w:rPr>
        <w:t>المقيمين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الريف</w:t>
      </w:r>
      <w:r w:rsidR="00F32B28">
        <w:rPr>
          <w:rtl/>
          <w:lang w:bidi="ar-SY"/>
        </w:rPr>
        <w:t xml:space="preserve"> </w:t>
      </w:r>
      <w:r w:rsidR="00F32B28" w:rsidRPr="00F32B28">
        <w:rPr>
          <w:rtl/>
          <w:lang w:bidi="ar-SY"/>
        </w:rPr>
        <w:t>16.8</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مجموع</w:t>
      </w:r>
      <w:r w:rsidR="00F32B28">
        <w:rPr>
          <w:rtl/>
          <w:lang w:bidi="ar-SY"/>
        </w:rPr>
        <w:t xml:space="preserve"> </w:t>
      </w:r>
      <w:r w:rsidR="00F32B28" w:rsidRPr="00F32B28">
        <w:rPr>
          <w:rtl/>
          <w:lang w:bidi="ar-SY"/>
        </w:rPr>
        <w:t>السكان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والبالغ</w:t>
      </w:r>
      <w:r w:rsidR="00F32B28">
        <w:rPr>
          <w:rtl/>
          <w:lang w:bidi="ar-SY"/>
        </w:rPr>
        <w:t xml:space="preserve"> </w:t>
      </w:r>
      <w:r w:rsidR="00F32B28" w:rsidRPr="00F32B28">
        <w:rPr>
          <w:rtl/>
          <w:lang w:bidi="ar-SY"/>
        </w:rPr>
        <w:t>عددهم</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4.6</w:t>
      </w:r>
      <w:r w:rsidR="00F32B28">
        <w:rPr>
          <w:rtl/>
          <w:lang w:bidi="ar-SY"/>
        </w:rPr>
        <w:t xml:space="preserve"> </w:t>
      </w:r>
      <w:r w:rsidR="00F32B28" w:rsidRPr="00F32B28">
        <w:rPr>
          <w:rtl/>
          <w:lang w:bidi="ar-SY"/>
        </w:rPr>
        <w:t>مليون</w:t>
      </w:r>
      <w:r w:rsidR="00F32B28">
        <w:rPr>
          <w:rtl/>
          <w:lang w:bidi="ar-SY"/>
        </w:rPr>
        <w:t xml:space="preserve"> </w:t>
      </w:r>
      <w:r w:rsidR="00F32B28" w:rsidRPr="00F32B28">
        <w:rPr>
          <w:rtl/>
          <w:lang w:bidi="ar-SY"/>
        </w:rPr>
        <w:t>نسمة،</w:t>
      </w:r>
      <w:r w:rsidR="00F32B28">
        <w:rPr>
          <w:rtl/>
          <w:lang w:bidi="ar-SY"/>
        </w:rPr>
        <w:t xml:space="preserve"> </w:t>
      </w:r>
      <w:r w:rsidR="00F32B28" w:rsidRPr="00F32B28">
        <w:rPr>
          <w:rtl/>
          <w:lang w:bidi="ar-SY"/>
        </w:rPr>
        <w:t>مقابل</w:t>
      </w:r>
      <w:r w:rsidR="00F32B28">
        <w:rPr>
          <w:rtl/>
          <w:lang w:bidi="ar-SY"/>
        </w:rPr>
        <w:t xml:space="preserve"> </w:t>
      </w:r>
      <w:r w:rsidR="00F32B28" w:rsidRPr="00F32B28">
        <w:rPr>
          <w:rtl/>
          <w:lang w:bidi="ar-SY"/>
        </w:rPr>
        <w:t>73.8</w:t>
      </w:r>
      <w:r w:rsidR="00851F93">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منهم</w:t>
      </w:r>
      <w:r w:rsidR="00F32B28">
        <w:rPr>
          <w:rtl/>
          <w:lang w:bidi="ar-SY"/>
        </w:rPr>
        <w:t xml:space="preserve"> </w:t>
      </w:r>
      <w:r w:rsidR="00F32B28" w:rsidRPr="00F32B28">
        <w:rPr>
          <w:rtl/>
          <w:lang w:bidi="ar-SY"/>
        </w:rPr>
        <w:t>مقيمين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الحضر،</w:t>
      </w:r>
      <w:r w:rsidR="00F32B28">
        <w:rPr>
          <w:rtl/>
          <w:lang w:bidi="ar-SY"/>
        </w:rPr>
        <w:t xml:space="preserve"> </w:t>
      </w:r>
      <w:r w:rsidR="00F32B28" w:rsidRPr="00F32B28">
        <w:rPr>
          <w:rtl/>
          <w:lang w:bidi="ar-SY"/>
        </w:rPr>
        <w:t>و</w:t>
      </w:r>
      <w:r w:rsidR="00EB128F">
        <w:rPr>
          <w:rFonts w:hint="eastAsia"/>
          <w:rtl/>
          <w:lang w:bidi="ar-SY"/>
        </w:rPr>
        <w:t> </w:t>
      </w:r>
      <w:r w:rsidR="00F32B28" w:rsidRPr="00F32B28">
        <w:rPr>
          <w:rtl/>
          <w:lang w:bidi="ar-SY"/>
        </w:rPr>
        <w:t>9.4</w:t>
      </w:r>
      <w:r w:rsidR="00407D55">
        <w:rPr>
          <w:rFonts w:hint="cs"/>
          <w:rtl/>
          <w:lang w:bidi="ar-SY"/>
        </w:rPr>
        <w:t xml:space="preserve"> </w:t>
      </w:r>
      <w:r w:rsidR="00600C43">
        <w:rPr>
          <w:rtl/>
          <w:lang w:bidi="ar-SY"/>
        </w:rPr>
        <w:t>في المائة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مخيمات</w:t>
      </w:r>
      <w:r w:rsidR="00F32B28">
        <w:rPr>
          <w:rtl/>
          <w:lang w:bidi="ar-SY"/>
        </w:rPr>
        <w:t xml:space="preserve"> </w:t>
      </w:r>
      <w:r w:rsidR="00F32B28" w:rsidRPr="00F32B28">
        <w:rPr>
          <w:rtl/>
          <w:lang w:bidi="ar-SY"/>
        </w:rPr>
        <w:t>اللجوء.</w:t>
      </w:r>
      <w:r w:rsidR="00F32B28">
        <w:rPr>
          <w:rtl/>
          <w:lang w:bidi="ar-SY"/>
        </w:rPr>
        <w:t xml:space="preserve"> </w:t>
      </w:r>
      <w:r w:rsidR="00F32B28" w:rsidRPr="00F32B28">
        <w:rPr>
          <w:rtl/>
          <w:lang w:bidi="ar-SY"/>
        </w:rPr>
        <w:t>وبحسب</w:t>
      </w:r>
      <w:r w:rsidR="00F32B28">
        <w:rPr>
          <w:rtl/>
          <w:lang w:bidi="ar-SY"/>
        </w:rPr>
        <w:t xml:space="preserve"> </w:t>
      </w:r>
      <w:r w:rsidR="00F32B28" w:rsidRPr="00F32B28">
        <w:rPr>
          <w:rtl/>
          <w:lang w:bidi="ar-SY"/>
        </w:rPr>
        <w:t>تصنيف</w:t>
      </w:r>
      <w:r w:rsidR="00F32B28">
        <w:rPr>
          <w:rtl/>
          <w:lang w:bidi="ar-SY"/>
        </w:rPr>
        <w:t xml:space="preserve"> </w:t>
      </w:r>
      <w:r w:rsidR="00F32B28" w:rsidRPr="00F32B28">
        <w:rPr>
          <w:rtl/>
          <w:lang w:bidi="ar-SY"/>
        </w:rPr>
        <w:t>التعداد</w:t>
      </w:r>
      <w:r w:rsidR="00F32B28">
        <w:rPr>
          <w:rtl/>
          <w:lang w:bidi="ar-SY"/>
        </w:rPr>
        <w:t xml:space="preserve"> </w:t>
      </w:r>
      <w:r w:rsidR="00F32B28" w:rsidRPr="00F32B28">
        <w:rPr>
          <w:rtl/>
          <w:lang w:bidi="ar-SY"/>
        </w:rPr>
        <w:t>الثاني</w:t>
      </w:r>
      <w:r w:rsidR="00F32B28">
        <w:rPr>
          <w:rtl/>
          <w:lang w:bidi="ar-SY"/>
        </w:rPr>
        <w:t xml:space="preserve"> </w:t>
      </w:r>
      <w:r w:rsidR="00F32B28" w:rsidRPr="00F32B28">
        <w:rPr>
          <w:rtl/>
          <w:lang w:bidi="ar-SY"/>
        </w:rPr>
        <w:t>للسكان</w:t>
      </w:r>
      <w:r w:rsidR="00F32B28">
        <w:rPr>
          <w:rtl/>
          <w:lang w:bidi="ar-SY"/>
        </w:rPr>
        <w:t xml:space="preserve"> </w:t>
      </w:r>
      <w:r w:rsidR="00F32B28" w:rsidRPr="00F32B28">
        <w:rPr>
          <w:rtl/>
          <w:lang w:bidi="ar-SY"/>
        </w:rPr>
        <w:t>والمساكن</w:t>
      </w:r>
      <w:r w:rsidR="00F32B28">
        <w:rPr>
          <w:rtl/>
          <w:lang w:bidi="ar-SY"/>
        </w:rPr>
        <w:t xml:space="preserve"> </w:t>
      </w:r>
      <w:r w:rsidR="00F32B28" w:rsidRPr="00F32B28">
        <w:rPr>
          <w:rtl/>
          <w:lang w:bidi="ar-SY"/>
        </w:rPr>
        <w:t>والمنشآت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لسنة</w:t>
      </w:r>
      <w:r w:rsidR="00F32B28">
        <w:rPr>
          <w:rtl/>
          <w:lang w:bidi="ar-SY"/>
        </w:rPr>
        <w:t xml:space="preserve"> </w:t>
      </w:r>
      <w:r w:rsidR="00F32B28" w:rsidRPr="00F32B28">
        <w:rPr>
          <w:rtl/>
          <w:lang w:bidi="ar-SY"/>
        </w:rPr>
        <w:t>2007،</w:t>
      </w:r>
      <w:r w:rsidR="00F32B28">
        <w:rPr>
          <w:rtl/>
          <w:lang w:bidi="ar-SY"/>
        </w:rPr>
        <w:t xml:space="preserve"> </w:t>
      </w:r>
      <w:r w:rsidR="00F32B28" w:rsidRPr="00F32B28">
        <w:rPr>
          <w:rtl/>
          <w:lang w:bidi="ar-SY"/>
        </w:rPr>
        <w:t>يعتبر</w:t>
      </w:r>
      <w:r w:rsidR="00F32B28">
        <w:rPr>
          <w:rtl/>
          <w:lang w:bidi="ar-SY"/>
        </w:rPr>
        <w:t xml:space="preserve"> </w:t>
      </w:r>
      <w:r w:rsidR="00F32B28" w:rsidRPr="00F32B28">
        <w:rPr>
          <w:rtl/>
          <w:lang w:bidi="ar-SY"/>
        </w:rPr>
        <w:t>الريف</w:t>
      </w:r>
      <w:r w:rsidR="00F32B28">
        <w:rPr>
          <w:rtl/>
          <w:lang w:bidi="ar-SY"/>
        </w:rPr>
        <w:t xml:space="preserve"> </w:t>
      </w:r>
      <w:r w:rsidR="00F32B28" w:rsidRPr="00F32B28">
        <w:rPr>
          <w:rtl/>
        </w:rPr>
        <w:t>كل</w:t>
      </w:r>
      <w:r w:rsidR="00F32B28">
        <w:rPr>
          <w:rtl/>
        </w:rPr>
        <w:t xml:space="preserve"> </w:t>
      </w:r>
      <w:r w:rsidR="00F32B28" w:rsidRPr="00F32B28">
        <w:rPr>
          <w:rtl/>
        </w:rPr>
        <w:t>تجمع</w:t>
      </w:r>
      <w:r w:rsidR="00F32B28">
        <w:rPr>
          <w:rtl/>
        </w:rPr>
        <w:t xml:space="preserve"> </w:t>
      </w:r>
      <w:r w:rsidR="00F32B28" w:rsidRPr="00F32B28">
        <w:rPr>
          <w:rtl/>
        </w:rPr>
        <w:t>سكاني</w:t>
      </w:r>
      <w:r w:rsidR="00F32B28">
        <w:rPr>
          <w:rtl/>
        </w:rPr>
        <w:t xml:space="preserve"> </w:t>
      </w:r>
      <w:r w:rsidR="00F32B28" w:rsidRPr="00F32B28">
        <w:rPr>
          <w:rtl/>
        </w:rPr>
        <w:t>يقل</w:t>
      </w:r>
      <w:r w:rsidR="00F32B28">
        <w:rPr>
          <w:rtl/>
        </w:rPr>
        <w:t xml:space="preserve"> </w:t>
      </w:r>
      <w:r w:rsidR="00F32B28" w:rsidRPr="00F32B28">
        <w:rPr>
          <w:rtl/>
        </w:rPr>
        <w:t>عدد</w:t>
      </w:r>
      <w:r w:rsidR="00F32B28">
        <w:rPr>
          <w:rtl/>
        </w:rPr>
        <w:t xml:space="preserve"> </w:t>
      </w:r>
      <w:r w:rsidR="00F32B28" w:rsidRPr="00F32B28">
        <w:rPr>
          <w:rtl/>
        </w:rPr>
        <w:t>سكانه</w:t>
      </w:r>
      <w:r w:rsidR="00F32B28">
        <w:rPr>
          <w:rtl/>
        </w:rPr>
        <w:t xml:space="preserve"> </w:t>
      </w:r>
      <w:r w:rsidR="00F32B28" w:rsidRPr="00F32B28">
        <w:rPr>
          <w:rtl/>
        </w:rPr>
        <w:t>عن</w:t>
      </w:r>
      <w:r w:rsidR="00F32B28">
        <w:rPr>
          <w:rtl/>
        </w:rPr>
        <w:t xml:space="preserve"> </w:t>
      </w:r>
      <w:r w:rsidR="004C698D">
        <w:rPr>
          <w:rFonts w:hint="cs"/>
          <w:rtl/>
        </w:rPr>
        <w:t xml:space="preserve">000 4 </w:t>
      </w:r>
      <w:r w:rsidR="00F32B28" w:rsidRPr="00F32B28">
        <w:rPr>
          <w:rtl/>
        </w:rPr>
        <w:t>نسمة،</w:t>
      </w:r>
      <w:r w:rsidR="00F32B28">
        <w:rPr>
          <w:rtl/>
        </w:rPr>
        <w:t xml:space="preserve"> </w:t>
      </w:r>
      <w:r w:rsidR="00F32B28" w:rsidRPr="00F32B28">
        <w:rPr>
          <w:rtl/>
        </w:rPr>
        <w:t>وكل</w:t>
      </w:r>
      <w:r w:rsidR="00F32B28">
        <w:rPr>
          <w:rtl/>
        </w:rPr>
        <w:t xml:space="preserve"> </w:t>
      </w:r>
      <w:r w:rsidR="00F32B28" w:rsidRPr="00F32B28">
        <w:rPr>
          <w:rtl/>
        </w:rPr>
        <w:t>تجمع</w:t>
      </w:r>
      <w:r w:rsidR="00F32B28">
        <w:rPr>
          <w:rtl/>
        </w:rPr>
        <w:t xml:space="preserve"> </w:t>
      </w:r>
      <w:r w:rsidR="00F32B28" w:rsidRPr="00F32B28">
        <w:rPr>
          <w:rtl/>
        </w:rPr>
        <w:t>يبلغ</w:t>
      </w:r>
      <w:r w:rsidR="00F32B28">
        <w:rPr>
          <w:rtl/>
        </w:rPr>
        <w:t xml:space="preserve"> </w:t>
      </w:r>
      <w:r w:rsidR="00F32B28" w:rsidRPr="00F32B28">
        <w:rPr>
          <w:rtl/>
        </w:rPr>
        <w:t>عدد</w:t>
      </w:r>
      <w:r w:rsidR="00F32B28">
        <w:rPr>
          <w:rtl/>
        </w:rPr>
        <w:t xml:space="preserve"> </w:t>
      </w:r>
      <w:r w:rsidR="00F32B28" w:rsidRPr="00F32B28">
        <w:rPr>
          <w:rtl/>
        </w:rPr>
        <w:t>سكانه</w:t>
      </w:r>
      <w:r w:rsidR="00F32B28">
        <w:rPr>
          <w:rtl/>
        </w:rPr>
        <w:t xml:space="preserve"> </w:t>
      </w:r>
      <w:r w:rsidR="00F32B28" w:rsidRPr="00F32B28">
        <w:rPr>
          <w:rtl/>
        </w:rPr>
        <w:t>ما</w:t>
      </w:r>
      <w:r w:rsidR="00F32B28">
        <w:rPr>
          <w:rtl/>
        </w:rPr>
        <w:t xml:space="preserve"> </w:t>
      </w:r>
      <w:r w:rsidR="00F32B28" w:rsidRPr="00F32B28">
        <w:rPr>
          <w:rtl/>
        </w:rPr>
        <w:t>بين</w:t>
      </w:r>
      <w:r w:rsidR="00F32B28">
        <w:rPr>
          <w:rtl/>
        </w:rPr>
        <w:t xml:space="preserve"> </w:t>
      </w:r>
      <w:r w:rsidR="004C698D">
        <w:rPr>
          <w:rFonts w:hint="cs"/>
          <w:rtl/>
        </w:rPr>
        <w:t xml:space="preserve">000 4 - 999 9 </w:t>
      </w:r>
      <w:r w:rsidR="00F32B28" w:rsidRPr="00F32B28">
        <w:rPr>
          <w:rtl/>
        </w:rPr>
        <w:t>نسـمة</w:t>
      </w:r>
      <w:r w:rsidR="00F32B28">
        <w:rPr>
          <w:rtl/>
        </w:rPr>
        <w:t xml:space="preserve"> </w:t>
      </w:r>
      <w:r w:rsidR="00F32B28" w:rsidRPr="00F32B28">
        <w:rPr>
          <w:rtl/>
        </w:rPr>
        <w:t>دون</w:t>
      </w:r>
      <w:r w:rsidR="00F32B28">
        <w:rPr>
          <w:rtl/>
        </w:rPr>
        <w:t xml:space="preserve"> </w:t>
      </w:r>
      <w:r w:rsidR="00F32B28" w:rsidRPr="00F32B28">
        <w:rPr>
          <w:rtl/>
        </w:rPr>
        <w:t>أن</w:t>
      </w:r>
      <w:r w:rsidR="00F32B28">
        <w:rPr>
          <w:rtl/>
        </w:rPr>
        <w:t xml:space="preserve"> </w:t>
      </w:r>
      <w:r w:rsidR="00F32B28" w:rsidRPr="00F32B28">
        <w:rPr>
          <w:rtl/>
        </w:rPr>
        <w:t>تتوفر</w:t>
      </w:r>
      <w:r w:rsidR="00F32B28">
        <w:rPr>
          <w:rtl/>
        </w:rPr>
        <w:t xml:space="preserve"> </w:t>
      </w:r>
      <w:r w:rsidR="00F32B28" w:rsidRPr="00F32B28">
        <w:rPr>
          <w:rtl/>
        </w:rPr>
        <w:t>فيه</w:t>
      </w:r>
      <w:r w:rsidR="00F32B28">
        <w:rPr>
          <w:rtl/>
        </w:rPr>
        <w:t xml:space="preserve"> </w:t>
      </w:r>
      <w:r w:rsidR="00F32B28" w:rsidRPr="00F32B28">
        <w:rPr>
          <w:rtl/>
        </w:rPr>
        <w:t>أربعـة</w:t>
      </w:r>
      <w:r w:rsidR="00F32B28">
        <w:rPr>
          <w:rtl/>
        </w:rPr>
        <w:t xml:space="preserve"> </w:t>
      </w:r>
      <w:r w:rsidR="00F32B28" w:rsidRPr="00F32B28">
        <w:rPr>
          <w:rtl/>
        </w:rPr>
        <w:t>عناصـر</w:t>
      </w:r>
      <w:r w:rsidR="00F32B28">
        <w:rPr>
          <w:rtl/>
        </w:rPr>
        <w:t xml:space="preserve"> </w:t>
      </w:r>
      <w:r w:rsidR="00F32B28" w:rsidRPr="00F32B28">
        <w:rPr>
          <w:rtl/>
          <w:lang w:bidi="ar-SY"/>
        </w:rPr>
        <w:t>من</w:t>
      </w:r>
      <w:r w:rsidR="00F32B28">
        <w:rPr>
          <w:rtl/>
          <w:lang w:bidi="ar-SY"/>
        </w:rPr>
        <w:t xml:space="preserve"> </w:t>
      </w:r>
      <w:r w:rsidR="00F32B28" w:rsidRPr="00F32B28">
        <w:rPr>
          <w:rtl/>
        </w:rPr>
        <w:t>العناصر</w:t>
      </w:r>
      <w:r w:rsidR="00F32B28">
        <w:rPr>
          <w:rtl/>
        </w:rPr>
        <w:t xml:space="preserve"> </w:t>
      </w:r>
      <w:r w:rsidR="00F32B28" w:rsidRPr="00F32B28">
        <w:rPr>
          <w:rtl/>
        </w:rPr>
        <w:t>الحياتية</w:t>
      </w:r>
      <w:r w:rsidR="00F32B28">
        <w:rPr>
          <w:rtl/>
        </w:rPr>
        <w:t xml:space="preserve"> </w:t>
      </w:r>
      <w:r w:rsidR="00F32B28" w:rsidRPr="00F32B28">
        <w:rPr>
          <w:rtl/>
        </w:rPr>
        <w:t>التالية:</w:t>
      </w:r>
      <w:r w:rsidR="00F32B28">
        <w:rPr>
          <w:rtl/>
        </w:rPr>
        <w:t xml:space="preserve"> </w:t>
      </w:r>
      <w:r w:rsidR="00F32B28" w:rsidRPr="00F32B28">
        <w:rPr>
          <w:rtl/>
        </w:rPr>
        <w:t>شبكة</w:t>
      </w:r>
      <w:r w:rsidR="00F32B28">
        <w:rPr>
          <w:rtl/>
        </w:rPr>
        <w:t xml:space="preserve"> </w:t>
      </w:r>
      <w:r w:rsidR="00F32B28" w:rsidRPr="00F32B28">
        <w:rPr>
          <w:rtl/>
        </w:rPr>
        <w:t>كهرباء</w:t>
      </w:r>
      <w:r w:rsidR="00F32B28">
        <w:rPr>
          <w:rtl/>
        </w:rPr>
        <w:t xml:space="preserve"> </w:t>
      </w:r>
      <w:r w:rsidR="00F32B28" w:rsidRPr="00F32B28">
        <w:rPr>
          <w:rtl/>
        </w:rPr>
        <w:t>عامة،</w:t>
      </w:r>
      <w:r w:rsidR="00F32B28">
        <w:rPr>
          <w:rtl/>
        </w:rPr>
        <w:t xml:space="preserve"> </w:t>
      </w:r>
      <w:r w:rsidR="00F32B28" w:rsidRPr="00F32B28">
        <w:rPr>
          <w:rtl/>
        </w:rPr>
        <w:t>وشبكة</w:t>
      </w:r>
      <w:r w:rsidR="00F32B28">
        <w:rPr>
          <w:rtl/>
        </w:rPr>
        <w:t xml:space="preserve"> </w:t>
      </w:r>
      <w:r w:rsidR="00F32B28" w:rsidRPr="00F32B28">
        <w:rPr>
          <w:rtl/>
        </w:rPr>
        <w:t>مياه</w:t>
      </w:r>
      <w:r w:rsidR="00F32B28">
        <w:rPr>
          <w:rtl/>
        </w:rPr>
        <w:t xml:space="preserve"> </w:t>
      </w:r>
      <w:r w:rsidR="00F32B28" w:rsidRPr="00F32B28">
        <w:rPr>
          <w:rtl/>
        </w:rPr>
        <w:t>عامة،</w:t>
      </w:r>
      <w:r w:rsidR="00F32B28">
        <w:rPr>
          <w:rtl/>
        </w:rPr>
        <w:t xml:space="preserve"> </w:t>
      </w:r>
      <w:r w:rsidR="00F32B28" w:rsidRPr="00F32B28">
        <w:rPr>
          <w:rtl/>
        </w:rPr>
        <w:t>ومكتب</w:t>
      </w:r>
      <w:r w:rsidR="00F32B28">
        <w:rPr>
          <w:rtl/>
        </w:rPr>
        <w:t xml:space="preserve"> </w:t>
      </w:r>
      <w:r w:rsidR="00F32B28" w:rsidRPr="00F32B28">
        <w:rPr>
          <w:rtl/>
        </w:rPr>
        <w:t>بريد،</w:t>
      </w:r>
      <w:r w:rsidR="00F32B28">
        <w:rPr>
          <w:rtl/>
        </w:rPr>
        <w:t xml:space="preserve"> </w:t>
      </w:r>
      <w:r w:rsidR="00F32B28" w:rsidRPr="00F32B28">
        <w:rPr>
          <w:rtl/>
        </w:rPr>
        <w:t>ومركز</w:t>
      </w:r>
      <w:r w:rsidR="00F32B28">
        <w:rPr>
          <w:rtl/>
        </w:rPr>
        <w:t xml:space="preserve"> </w:t>
      </w:r>
      <w:r w:rsidR="00F32B28" w:rsidRPr="00F32B28">
        <w:rPr>
          <w:rtl/>
        </w:rPr>
        <w:t>صحي</w:t>
      </w:r>
      <w:r w:rsidR="00F32B28">
        <w:rPr>
          <w:rtl/>
        </w:rPr>
        <w:t xml:space="preserve"> </w:t>
      </w:r>
      <w:r w:rsidR="00F32B28" w:rsidRPr="00F32B28">
        <w:rPr>
          <w:rtl/>
        </w:rPr>
        <w:t>بدوام</w:t>
      </w:r>
      <w:r w:rsidR="00F32B28">
        <w:rPr>
          <w:rtl/>
        </w:rPr>
        <w:t xml:space="preserve"> </w:t>
      </w:r>
      <w:r w:rsidR="00F32B28" w:rsidRPr="00F32B28">
        <w:rPr>
          <w:rtl/>
        </w:rPr>
        <w:t>كامل</w:t>
      </w:r>
      <w:r w:rsidR="00F32B28">
        <w:rPr>
          <w:rtl/>
        </w:rPr>
        <w:t xml:space="preserve"> </w:t>
      </w:r>
      <w:r w:rsidR="00F32B28" w:rsidRPr="00F32B28">
        <w:rPr>
          <w:rtl/>
        </w:rPr>
        <w:t>لطبيب</w:t>
      </w:r>
      <w:r w:rsidR="00F32B28">
        <w:rPr>
          <w:rtl/>
        </w:rPr>
        <w:t xml:space="preserve"> </w:t>
      </w:r>
      <w:r w:rsidR="00F32B28" w:rsidRPr="00F32B28">
        <w:rPr>
          <w:rtl/>
        </w:rPr>
        <w:t>طيلة</w:t>
      </w:r>
      <w:r w:rsidR="00F32B28">
        <w:rPr>
          <w:rtl/>
        </w:rPr>
        <w:t xml:space="preserve"> </w:t>
      </w:r>
      <w:r w:rsidR="00F32B28" w:rsidRPr="00F32B28">
        <w:rPr>
          <w:rtl/>
        </w:rPr>
        <w:t>أيام</w:t>
      </w:r>
      <w:r w:rsidR="00F32B28">
        <w:rPr>
          <w:rtl/>
        </w:rPr>
        <w:t xml:space="preserve"> </w:t>
      </w:r>
      <w:r w:rsidR="00F32B28" w:rsidRPr="00F32B28">
        <w:rPr>
          <w:rtl/>
        </w:rPr>
        <w:t>الأسبوع،</w:t>
      </w:r>
      <w:r w:rsidR="00F32B28">
        <w:rPr>
          <w:rtl/>
        </w:rPr>
        <w:t xml:space="preserve"> </w:t>
      </w:r>
      <w:r w:rsidR="00F32B28" w:rsidRPr="00F32B28">
        <w:rPr>
          <w:rtl/>
        </w:rPr>
        <w:t>ومدرسة</w:t>
      </w:r>
      <w:r w:rsidR="00F32B28">
        <w:rPr>
          <w:rtl/>
        </w:rPr>
        <w:t xml:space="preserve"> </w:t>
      </w:r>
      <w:r w:rsidR="00F32B28" w:rsidRPr="00F32B28">
        <w:rPr>
          <w:rtl/>
        </w:rPr>
        <w:t>ثانوية</w:t>
      </w:r>
      <w:r w:rsidR="00F32B28">
        <w:rPr>
          <w:rtl/>
        </w:rPr>
        <w:t xml:space="preserve"> </w:t>
      </w:r>
      <w:r w:rsidR="00F32B28" w:rsidRPr="00F32B28">
        <w:rPr>
          <w:rtl/>
        </w:rPr>
        <w:t>تمنح</w:t>
      </w:r>
      <w:r w:rsidR="00F32B28">
        <w:rPr>
          <w:rtl/>
        </w:rPr>
        <w:t xml:space="preserve"> </w:t>
      </w:r>
      <w:r w:rsidR="00F32B28" w:rsidRPr="00F32B28">
        <w:rPr>
          <w:rtl/>
        </w:rPr>
        <w:t>شهادة</w:t>
      </w:r>
      <w:r w:rsidR="00F32B28">
        <w:rPr>
          <w:rtl/>
        </w:rPr>
        <w:t xml:space="preserve"> </w:t>
      </w:r>
      <w:r w:rsidR="00F32B28" w:rsidRPr="00F32B28">
        <w:rPr>
          <w:rtl/>
        </w:rPr>
        <w:t>الثانوية</w:t>
      </w:r>
      <w:r w:rsidR="00F32B28">
        <w:rPr>
          <w:rtl/>
        </w:rPr>
        <w:t xml:space="preserve"> </w:t>
      </w:r>
      <w:r w:rsidR="00F32B28" w:rsidRPr="00F32B28">
        <w:rPr>
          <w:rtl/>
        </w:rPr>
        <w:t>العامة.</w:t>
      </w:r>
      <w:r w:rsidR="00F32B28">
        <w:rPr>
          <w:rtl/>
        </w:rPr>
        <w:t xml:space="preserve"> </w:t>
      </w:r>
    </w:p>
    <w:p w:rsidR="00F32B28" w:rsidRPr="00F32B28" w:rsidRDefault="00891A4B" w:rsidP="00891A4B">
      <w:pPr>
        <w:pStyle w:val="SingleTxt"/>
        <w:rPr>
          <w:rtl/>
        </w:rPr>
      </w:pPr>
      <w:r>
        <w:rPr>
          <w:rFonts w:hint="cs"/>
          <w:rtl/>
          <w:lang w:bidi="ar-JO"/>
        </w:rPr>
        <w:t xml:space="preserve">291 - </w:t>
      </w:r>
      <w:r w:rsidR="00F32B28" w:rsidRPr="00F32B28">
        <w:rPr>
          <w:rtl/>
          <w:lang w:bidi="ar-JO"/>
        </w:rPr>
        <w:t>يعتبر</w:t>
      </w:r>
      <w:r w:rsidR="00F32B28">
        <w:rPr>
          <w:rtl/>
          <w:lang w:bidi="ar-JO"/>
        </w:rPr>
        <w:t xml:space="preserve"> </w:t>
      </w:r>
      <w:r w:rsidR="00F32B28" w:rsidRPr="00F32B28">
        <w:rPr>
          <w:rtl/>
          <w:lang w:bidi="ar-JO"/>
        </w:rPr>
        <w:t>النشاط</w:t>
      </w:r>
      <w:r w:rsidR="00F32B28">
        <w:rPr>
          <w:rtl/>
          <w:lang w:bidi="ar-JO"/>
        </w:rPr>
        <w:t xml:space="preserve"> </w:t>
      </w:r>
      <w:r w:rsidR="00F32B28" w:rsidRPr="00F32B28">
        <w:rPr>
          <w:rtl/>
          <w:lang w:bidi="ar-JO"/>
        </w:rPr>
        <w:t>الاقتصادي</w:t>
      </w:r>
      <w:r w:rsidR="00F32B28">
        <w:rPr>
          <w:rtl/>
          <w:lang w:bidi="ar-JO"/>
        </w:rPr>
        <w:t xml:space="preserve"> </w:t>
      </w:r>
      <w:r w:rsidR="00F32B28" w:rsidRPr="00F32B28">
        <w:rPr>
          <w:rtl/>
          <w:lang w:bidi="ar-JO"/>
        </w:rPr>
        <w:t>للمرأة</w:t>
      </w:r>
      <w:r w:rsidR="00F32B28">
        <w:rPr>
          <w:rtl/>
          <w:lang w:bidi="ar-JO"/>
        </w:rPr>
        <w:t xml:space="preserve"> </w:t>
      </w:r>
      <w:r w:rsidR="00F32B28" w:rsidRPr="00F32B28">
        <w:rPr>
          <w:rtl/>
          <w:lang w:bidi="ar-JO"/>
        </w:rPr>
        <w:t>الريفية</w:t>
      </w:r>
      <w:r w:rsidR="00F32B28">
        <w:rPr>
          <w:rtl/>
          <w:lang w:bidi="ar-JO"/>
        </w:rPr>
        <w:t xml:space="preserve"> </w:t>
      </w:r>
      <w:r w:rsidR="00F32B28" w:rsidRPr="00F32B28">
        <w:rPr>
          <w:rtl/>
          <w:lang w:bidi="ar-JO"/>
        </w:rPr>
        <w:t>متدنياً</w:t>
      </w:r>
      <w:r w:rsidR="00F32B28">
        <w:rPr>
          <w:rtl/>
          <w:lang w:bidi="ar-JO"/>
        </w:rPr>
        <w:t xml:space="preserve"> </w:t>
      </w:r>
      <w:r w:rsidR="00F32B28" w:rsidRPr="00F32B28">
        <w:rPr>
          <w:rtl/>
          <w:lang w:bidi="ar-JO"/>
        </w:rPr>
        <w:t>بالإجمال،</w:t>
      </w:r>
      <w:r w:rsidR="00F32B28">
        <w:rPr>
          <w:rtl/>
          <w:lang w:bidi="ar-JO"/>
        </w:rPr>
        <w:t xml:space="preserve"> </w:t>
      </w:r>
      <w:r w:rsidR="00F32B28" w:rsidRPr="00F32B28">
        <w:rPr>
          <w:rtl/>
          <w:lang w:bidi="ar-JO"/>
        </w:rPr>
        <w:t>حيث</w:t>
      </w:r>
      <w:r w:rsidR="00F32B28">
        <w:rPr>
          <w:rtl/>
          <w:lang w:bidi="ar-JO"/>
        </w:rPr>
        <w:t xml:space="preserve"> </w:t>
      </w:r>
      <w:r w:rsidR="00F32B28" w:rsidRPr="00F32B28">
        <w:rPr>
          <w:rtl/>
          <w:lang w:bidi="ar-JO"/>
        </w:rPr>
        <w:t>تبلغ</w:t>
      </w:r>
      <w:r w:rsidR="00F32B28">
        <w:rPr>
          <w:rtl/>
          <w:lang w:bidi="ar-JO"/>
        </w:rPr>
        <w:t xml:space="preserve"> </w:t>
      </w:r>
      <w:r w:rsidR="00F32B28" w:rsidRPr="00F32B28">
        <w:rPr>
          <w:rtl/>
          <w:lang w:bidi="ar-JO"/>
        </w:rPr>
        <w:t>نسبة</w:t>
      </w:r>
      <w:r w:rsidR="00F32B28">
        <w:rPr>
          <w:rtl/>
          <w:lang w:bidi="ar-JO"/>
        </w:rPr>
        <w:t xml:space="preserve"> </w:t>
      </w:r>
      <w:r w:rsidR="00F32B28" w:rsidRPr="00F32B28">
        <w:rPr>
          <w:rtl/>
          <w:lang w:bidi="ar-JO"/>
        </w:rPr>
        <w:t>النساء</w:t>
      </w:r>
      <w:r w:rsidR="00F32B28">
        <w:rPr>
          <w:rtl/>
          <w:lang w:bidi="ar-JO"/>
        </w:rPr>
        <w:t xml:space="preserve"> </w:t>
      </w:r>
      <w:r w:rsidR="00F32B28" w:rsidRPr="00F32B28">
        <w:rPr>
          <w:rtl/>
          <w:lang w:bidi="ar-JO"/>
        </w:rPr>
        <w:t>النشيطات</w:t>
      </w:r>
      <w:r w:rsidR="00F32B28">
        <w:rPr>
          <w:rtl/>
          <w:lang w:bidi="ar-JO"/>
        </w:rPr>
        <w:t xml:space="preserve"> </w:t>
      </w:r>
      <w:r w:rsidR="00F32B28" w:rsidRPr="00F32B28">
        <w:rPr>
          <w:rtl/>
          <w:lang w:bidi="ar-JO"/>
        </w:rPr>
        <w:t>اقتصادياً</w:t>
      </w:r>
      <w:r w:rsidR="00F32B28">
        <w:rPr>
          <w:rtl/>
          <w:lang w:bidi="ar-JO"/>
        </w:rPr>
        <w:t xml:space="preserve"> </w:t>
      </w:r>
      <w:r w:rsidR="00F32B28" w:rsidRPr="00F32B28">
        <w:rPr>
          <w:rtl/>
          <w:lang w:bidi="ar-JO"/>
        </w:rPr>
        <w:t>(18.9</w:t>
      </w:r>
      <w:r w:rsidR="00851F93">
        <w:rPr>
          <w:rFonts w:hint="cs"/>
          <w:rtl/>
          <w:lang w:bidi="ar-JO"/>
        </w:rPr>
        <w:t xml:space="preserve"> </w:t>
      </w:r>
      <w:r w:rsidR="00600C43">
        <w:rPr>
          <w:rtl/>
          <w:lang w:bidi="ar-JO"/>
        </w:rPr>
        <w:t>في المائة</w:t>
      </w:r>
      <w:r w:rsidR="00F32B28" w:rsidRPr="00F32B28">
        <w:rPr>
          <w:rtl/>
          <w:lang w:bidi="ar-JO"/>
        </w:rPr>
        <w:t>)</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مجموع</w:t>
      </w:r>
      <w:r w:rsidR="00F32B28">
        <w:rPr>
          <w:rtl/>
          <w:lang w:bidi="ar-JO"/>
        </w:rPr>
        <w:t xml:space="preserve"> </w:t>
      </w:r>
      <w:r w:rsidR="00F32B28" w:rsidRPr="00F32B28">
        <w:rPr>
          <w:rtl/>
          <w:lang w:bidi="ar-JO"/>
        </w:rPr>
        <w:t>القوى</w:t>
      </w:r>
      <w:r w:rsidR="00F32B28">
        <w:rPr>
          <w:rtl/>
          <w:lang w:bidi="ar-JO"/>
        </w:rPr>
        <w:t xml:space="preserve"> </w:t>
      </w:r>
      <w:r w:rsidR="00F32B28" w:rsidRPr="00F32B28">
        <w:rPr>
          <w:rtl/>
          <w:lang w:bidi="ar-JO"/>
        </w:rPr>
        <w:t>العاملة</w:t>
      </w:r>
      <w:r w:rsidR="00F32B28">
        <w:rPr>
          <w:rtl/>
          <w:lang w:bidi="ar-JO"/>
        </w:rPr>
        <w:t xml:space="preserve"> </w:t>
      </w:r>
      <w:r w:rsidR="00F32B28" w:rsidRPr="00F32B28">
        <w:rPr>
          <w:rtl/>
          <w:lang w:bidi="ar-JO"/>
        </w:rPr>
        <w:t>البالغ</w:t>
      </w:r>
      <w:r w:rsidR="00F32B28">
        <w:rPr>
          <w:rtl/>
          <w:lang w:bidi="ar-JO"/>
        </w:rPr>
        <w:t xml:space="preserve"> </w:t>
      </w:r>
      <w:r w:rsidR="00F32B28" w:rsidRPr="00F32B28">
        <w:rPr>
          <w:rtl/>
          <w:lang w:bidi="ar-JO"/>
        </w:rPr>
        <w:t>47.2</w:t>
      </w:r>
      <w:r w:rsidR="00851F93">
        <w:rPr>
          <w:rFonts w:hint="cs"/>
          <w:rtl/>
          <w:lang w:bidi="ar-JO"/>
        </w:rPr>
        <w:t xml:space="preserve"> </w:t>
      </w:r>
      <w:r w:rsidR="00600C43">
        <w:rPr>
          <w:rtl/>
          <w:lang w:bidi="ar-JO"/>
        </w:rPr>
        <w:t>في المائة</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الريف</w:t>
      </w:r>
      <w:r w:rsidR="00F32B28">
        <w:rPr>
          <w:rtl/>
          <w:lang w:bidi="ar-JO"/>
        </w:rPr>
        <w:t xml:space="preserve"> </w:t>
      </w:r>
      <w:r w:rsidR="00F32B28" w:rsidRPr="00F32B28">
        <w:rPr>
          <w:rtl/>
          <w:lang w:bidi="ar-JO"/>
        </w:rPr>
        <w:t>الفلسطيني</w:t>
      </w:r>
      <w:r w:rsidR="00F32B28">
        <w:rPr>
          <w:rtl/>
          <w:lang w:bidi="ar-JO"/>
        </w:rPr>
        <w:t xml:space="preserve"> </w:t>
      </w:r>
      <w:r w:rsidR="00F32B28" w:rsidRPr="00F32B28">
        <w:rPr>
          <w:rtl/>
          <w:lang w:bidi="ar-JO"/>
        </w:rPr>
        <w:t>لسنة</w:t>
      </w:r>
      <w:r w:rsidR="00F32B28">
        <w:rPr>
          <w:rtl/>
          <w:lang w:bidi="ar-JO"/>
        </w:rPr>
        <w:t xml:space="preserve"> </w:t>
      </w:r>
      <w:r w:rsidR="00F32B28" w:rsidRPr="00F32B28">
        <w:rPr>
          <w:rtl/>
          <w:lang w:bidi="ar-JO"/>
        </w:rPr>
        <w:t>2015.</w:t>
      </w:r>
      <w:r w:rsidR="00F32B28">
        <w:rPr>
          <w:rtl/>
          <w:lang w:bidi="ar-JO"/>
        </w:rPr>
        <w:t xml:space="preserve"> </w:t>
      </w:r>
      <w:r w:rsidR="00F32B28" w:rsidRPr="00F32B28">
        <w:rPr>
          <w:rtl/>
          <w:lang w:bidi="ar-JO"/>
        </w:rPr>
        <w:t>فيما</w:t>
      </w:r>
      <w:r w:rsidR="00F32B28">
        <w:rPr>
          <w:rtl/>
          <w:lang w:bidi="ar-JO"/>
        </w:rPr>
        <w:t xml:space="preserve"> </w:t>
      </w:r>
      <w:r w:rsidR="00F32B28" w:rsidRPr="00F32B28">
        <w:rPr>
          <w:rtl/>
          <w:lang w:bidi="ar-JO"/>
        </w:rPr>
        <w:t>بلغت</w:t>
      </w:r>
      <w:r w:rsidR="00F32B28">
        <w:rPr>
          <w:rtl/>
          <w:lang w:bidi="ar-JO"/>
        </w:rPr>
        <w:t xml:space="preserve"> </w:t>
      </w:r>
      <w:r w:rsidR="00F32B28" w:rsidRPr="00F32B28">
        <w:rPr>
          <w:rtl/>
          <w:lang w:bidi="ar-JO"/>
        </w:rPr>
        <w:t>نسبة</w:t>
      </w:r>
      <w:r w:rsidR="00F32B28">
        <w:rPr>
          <w:rtl/>
          <w:lang w:bidi="ar-JO"/>
        </w:rPr>
        <w:t xml:space="preserve"> </w:t>
      </w:r>
      <w:r w:rsidR="00F32B28" w:rsidRPr="00F32B28">
        <w:rPr>
          <w:rtl/>
          <w:lang w:bidi="ar-JO"/>
        </w:rPr>
        <w:t>النساء</w:t>
      </w:r>
      <w:r w:rsidR="00F32B28">
        <w:rPr>
          <w:rtl/>
          <w:lang w:bidi="ar-JO"/>
        </w:rPr>
        <w:t xml:space="preserve"> </w:t>
      </w:r>
      <w:r w:rsidR="00F32B28" w:rsidRPr="00F32B28">
        <w:rPr>
          <w:rtl/>
          <w:lang w:bidi="ar-JO"/>
        </w:rPr>
        <w:t>العاملات</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القطاع</w:t>
      </w:r>
      <w:r w:rsidR="00F32B28">
        <w:rPr>
          <w:rtl/>
          <w:lang w:bidi="ar-JO"/>
        </w:rPr>
        <w:t xml:space="preserve"> </w:t>
      </w:r>
      <w:r w:rsidR="00F32B28" w:rsidRPr="00F32B28">
        <w:rPr>
          <w:rtl/>
          <w:lang w:bidi="ar-JO"/>
        </w:rPr>
        <w:t>الزراعي</w:t>
      </w:r>
      <w:r w:rsidR="00F32B28">
        <w:rPr>
          <w:rtl/>
          <w:lang w:bidi="ar-JO"/>
        </w:rPr>
        <w:t xml:space="preserve"> </w:t>
      </w:r>
      <w:r w:rsidR="00F32B28" w:rsidRPr="00F32B28">
        <w:rPr>
          <w:rtl/>
          <w:lang w:bidi="ar-JO"/>
        </w:rPr>
        <w:t>(25.6</w:t>
      </w:r>
      <w:r w:rsidR="00851F93">
        <w:rPr>
          <w:rFonts w:hint="cs"/>
          <w:rtl/>
          <w:lang w:bidi="ar-JO"/>
        </w:rPr>
        <w:t xml:space="preserve"> </w:t>
      </w:r>
      <w:r w:rsidR="00600C43">
        <w:rPr>
          <w:rtl/>
          <w:lang w:bidi="ar-JO"/>
        </w:rPr>
        <w:t>في المائة</w:t>
      </w:r>
      <w:r w:rsidR="00F32B28" w:rsidRPr="00F32B28">
        <w:rPr>
          <w:rtl/>
          <w:lang w:bidi="ar-JO"/>
        </w:rPr>
        <w:t>)</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مجموع</w:t>
      </w:r>
      <w:r w:rsidR="00F32B28">
        <w:rPr>
          <w:rtl/>
          <w:lang w:bidi="ar-JO"/>
        </w:rPr>
        <w:t xml:space="preserve"> </w:t>
      </w:r>
      <w:r w:rsidR="00F32B28" w:rsidRPr="00F32B28">
        <w:rPr>
          <w:rtl/>
          <w:lang w:bidi="ar-JO"/>
        </w:rPr>
        <w:t>العاملين</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هذا</w:t>
      </w:r>
      <w:r w:rsidR="00F32B28">
        <w:rPr>
          <w:rtl/>
          <w:lang w:bidi="ar-JO"/>
        </w:rPr>
        <w:t xml:space="preserve"> </w:t>
      </w:r>
      <w:r w:rsidR="00F32B28" w:rsidRPr="00F32B28">
        <w:rPr>
          <w:rtl/>
          <w:lang w:bidi="ar-JO"/>
        </w:rPr>
        <w:t>القطاع،</w:t>
      </w:r>
      <w:r w:rsidR="00F32B28">
        <w:rPr>
          <w:rtl/>
          <w:lang w:bidi="ar-JO"/>
        </w:rPr>
        <w:t xml:space="preserve"> </w:t>
      </w:r>
      <w:r w:rsidR="00F32B28" w:rsidRPr="00F32B28">
        <w:rPr>
          <w:rtl/>
          <w:lang w:bidi="ar-JO"/>
        </w:rPr>
        <w:t>وهي</w:t>
      </w:r>
      <w:r w:rsidR="00F32B28">
        <w:rPr>
          <w:rtl/>
          <w:lang w:bidi="ar-JO"/>
        </w:rPr>
        <w:t xml:space="preserve"> </w:t>
      </w:r>
      <w:r w:rsidR="00F32B28" w:rsidRPr="00F32B28">
        <w:rPr>
          <w:rtl/>
          <w:lang w:bidi="ar-JO"/>
        </w:rPr>
        <w:t>نسبة</w:t>
      </w:r>
      <w:r w:rsidR="00F32B28">
        <w:rPr>
          <w:rtl/>
          <w:lang w:bidi="ar-JO"/>
        </w:rPr>
        <w:t xml:space="preserve"> </w:t>
      </w:r>
      <w:r w:rsidR="00F32B28" w:rsidRPr="00F32B28">
        <w:rPr>
          <w:rtl/>
          <w:lang w:bidi="ar-JO"/>
        </w:rPr>
        <w:t>متوازنة</w:t>
      </w:r>
      <w:r w:rsidR="00F32B28">
        <w:rPr>
          <w:rtl/>
          <w:lang w:bidi="ar-JO"/>
        </w:rPr>
        <w:t xml:space="preserve"> </w:t>
      </w:r>
      <w:r w:rsidR="00F32B28" w:rsidRPr="00F32B28">
        <w:rPr>
          <w:rtl/>
          <w:lang w:bidi="ar-JO"/>
        </w:rPr>
        <w:t>نوعا</w:t>
      </w:r>
      <w:r w:rsidR="00F32B28" w:rsidRPr="00F32B28">
        <w:rPr>
          <w:rtl/>
          <w:lang w:bidi="ar-SY"/>
        </w:rPr>
        <w:t>ً</w:t>
      </w:r>
      <w:r w:rsidR="00F32B28">
        <w:rPr>
          <w:rtl/>
          <w:lang w:bidi="ar-JO"/>
        </w:rPr>
        <w:t xml:space="preserve"> </w:t>
      </w:r>
      <w:r w:rsidR="00F32B28" w:rsidRPr="00F32B28">
        <w:rPr>
          <w:rtl/>
          <w:lang w:bidi="ar-JO"/>
        </w:rPr>
        <w:t>ما</w:t>
      </w:r>
      <w:r w:rsidR="00F32B28">
        <w:rPr>
          <w:rtl/>
          <w:lang w:bidi="ar-JO"/>
        </w:rPr>
        <w:t xml:space="preserve"> </w:t>
      </w:r>
      <w:r w:rsidR="00F32B28" w:rsidRPr="00F32B28">
        <w:rPr>
          <w:rtl/>
          <w:lang w:bidi="ar-JO"/>
        </w:rPr>
        <w:t>ولها</w:t>
      </w:r>
      <w:r w:rsidR="00F32B28">
        <w:rPr>
          <w:rtl/>
          <w:lang w:bidi="ar-JO"/>
        </w:rPr>
        <w:t xml:space="preserve"> </w:t>
      </w:r>
      <w:r w:rsidR="00F32B28" w:rsidRPr="00F32B28">
        <w:rPr>
          <w:rtl/>
          <w:lang w:bidi="ar-JO"/>
        </w:rPr>
        <w:t>دلالتها،</w:t>
      </w:r>
      <w:r w:rsidR="00F32B28">
        <w:rPr>
          <w:rtl/>
          <w:lang w:bidi="ar-JO"/>
        </w:rPr>
        <w:t xml:space="preserve"> </w:t>
      </w:r>
      <w:r w:rsidR="00F32B28" w:rsidRPr="00F32B28">
        <w:rPr>
          <w:rtl/>
          <w:lang w:bidi="ar-JO"/>
        </w:rPr>
        <w:t>وبخاصة</w:t>
      </w:r>
      <w:r w:rsidR="00F32B28">
        <w:rPr>
          <w:rtl/>
          <w:lang w:bidi="ar-JO"/>
        </w:rPr>
        <w:t xml:space="preserve"> </w:t>
      </w:r>
      <w:r w:rsidR="00F32B28" w:rsidRPr="00F32B28">
        <w:rPr>
          <w:rtl/>
          <w:lang w:bidi="ar-JO"/>
        </w:rPr>
        <w:t>أن</w:t>
      </w:r>
      <w:r w:rsidR="00F32B28">
        <w:rPr>
          <w:rtl/>
          <w:lang w:bidi="ar-JO"/>
        </w:rPr>
        <w:t xml:space="preserve"> </w:t>
      </w:r>
      <w:r w:rsidR="00F32B28" w:rsidRPr="00F32B28">
        <w:rPr>
          <w:rtl/>
          <w:lang w:bidi="ar-LB"/>
        </w:rPr>
        <w:t>الزراعة</w:t>
      </w:r>
      <w:r w:rsidR="00F32B28">
        <w:rPr>
          <w:rtl/>
          <w:lang w:bidi="ar-LB"/>
        </w:rPr>
        <w:t xml:space="preserve"> </w:t>
      </w:r>
      <w:r w:rsidR="00F32B28" w:rsidRPr="00F32B28">
        <w:rPr>
          <w:rtl/>
          <w:lang w:bidi="ar-LB"/>
        </w:rPr>
        <w:t>تعتبر</w:t>
      </w:r>
      <w:r w:rsidR="00F32B28">
        <w:rPr>
          <w:rtl/>
          <w:lang w:bidi="ar-LB"/>
        </w:rPr>
        <w:t xml:space="preserve"> </w:t>
      </w:r>
      <w:r w:rsidR="00F32B28" w:rsidRPr="00F32B28">
        <w:rPr>
          <w:rtl/>
          <w:lang w:bidi="ar-LB"/>
        </w:rPr>
        <w:t>نشاطاً</w:t>
      </w:r>
      <w:r w:rsidR="00F32B28">
        <w:rPr>
          <w:rtl/>
          <w:lang w:bidi="ar-LB"/>
        </w:rPr>
        <w:t xml:space="preserve"> </w:t>
      </w:r>
      <w:r w:rsidR="00F32B28" w:rsidRPr="00F32B28">
        <w:rPr>
          <w:rtl/>
          <w:lang w:bidi="ar-LB"/>
        </w:rPr>
        <w:t>اقتصادياً</w:t>
      </w:r>
      <w:r w:rsidR="00F32B28">
        <w:rPr>
          <w:rtl/>
          <w:lang w:bidi="ar-LB"/>
        </w:rPr>
        <w:t xml:space="preserve"> </w:t>
      </w:r>
      <w:r w:rsidR="00F32B28" w:rsidRPr="00F32B28">
        <w:rPr>
          <w:rtl/>
          <w:lang w:bidi="ar-LB"/>
        </w:rPr>
        <w:t>ومصدر</w:t>
      </w:r>
      <w:r w:rsidR="00F32B28">
        <w:rPr>
          <w:rtl/>
          <w:lang w:bidi="ar-LB"/>
        </w:rPr>
        <w:t xml:space="preserve"> </w:t>
      </w:r>
      <w:r w:rsidR="00F32B28" w:rsidRPr="00F32B28">
        <w:rPr>
          <w:rtl/>
          <w:lang w:bidi="ar-LB"/>
        </w:rPr>
        <w:t>دخل</w:t>
      </w:r>
      <w:r w:rsidR="00F32B28">
        <w:rPr>
          <w:rtl/>
          <w:lang w:bidi="ar-LB"/>
        </w:rPr>
        <w:t xml:space="preserve"> </w:t>
      </w:r>
      <w:r w:rsidR="00F32B28" w:rsidRPr="00F32B28">
        <w:rPr>
          <w:rtl/>
          <w:lang w:bidi="ar-LB"/>
        </w:rPr>
        <w:t>رئيسي</w:t>
      </w:r>
      <w:r w:rsidR="00F32B28">
        <w:rPr>
          <w:rtl/>
          <w:lang w:bidi="ar-LB"/>
        </w:rPr>
        <w:t xml:space="preserve"> </w:t>
      </w:r>
      <w:r w:rsidR="00F32B28" w:rsidRPr="00F32B28">
        <w:rPr>
          <w:rtl/>
          <w:lang w:bidi="ar-LB"/>
        </w:rPr>
        <w:t>للعائلات</w:t>
      </w:r>
      <w:r w:rsidR="00F32B28">
        <w:rPr>
          <w:rtl/>
          <w:lang w:bidi="ar-LB"/>
        </w:rPr>
        <w:t xml:space="preserve"> </w:t>
      </w:r>
      <w:r w:rsidR="00F32B28" w:rsidRPr="00F32B28">
        <w:rPr>
          <w:rtl/>
          <w:lang w:bidi="ar-LB"/>
        </w:rPr>
        <w:t>حيث</w:t>
      </w:r>
      <w:r w:rsidR="00F32B28">
        <w:rPr>
          <w:rtl/>
          <w:lang w:bidi="ar-LB"/>
        </w:rPr>
        <w:t xml:space="preserve"> </w:t>
      </w:r>
      <w:r w:rsidR="00F32B28" w:rsidRPr="00F32B28">
        <w:rPr>
          <w:rtl/>
          <w:lang w:bidi="ar-LB"/>
        </w:rPr>
        <w:t>توفر</w:t>
      </w:r>
      <w:r w:rsidR="00F32B28">
        <w:rPr>
          <w:rtl/>
          <w:lang w:bidi="ar-LB"/>
        </w:rPr>
        <w:t xml:space="preserve"> </w:t>
      </w:r>
      <w:r w:rsidR="00F32B28" w:rsidRPr="00F32B28">
        <w:rPr>
          <w:rtl/>
          <w:lang w:bidi="ar-LB"/>
        </w:rPr>
        <w:t>فرص</w:t>
      </w:r>
      <w:r w:rsidR="00F32B28">
        <w:rPr>
          <w:rtl/>
          <w:lang w:bidi="ar-LB"/>
        </w:rPr>
        <w:t xml:space="preserve"> </w:t>
      </w:r>
      <w:r w:rsidR="00F32B28" w:rsidRPr="00F32B28">
        <w:rPr>
          <w:rtl/>
          <w:lang w:bidi="ar-LB"/>
        </w:rPr>
        <w:t>العمل</w:t>
      </w:r>
      <w:r w:rsidR="00F32B28">
        <w:rPr>
          <w:rtl/>
          <w:lang w:bidi="ar-LB"/>
        </w:rPr>
        <w:t xml:space="preserve"> </w:t>
      </w:r>
      <w:r w:rsidR="00F32B28" w:rsidRPr="00F32B28">
        <w:rPr>
          <w:rtl/>
          <w:lang w:bidi="ar-LB"/>
        </w:rPr>
        <w:t>لحوالي</w:t>
      </w:r>
      <w:r w:rsidR="00F32B28">
        <w:rPr>
          <w:rtl/>
          <w:lang w:bidi="ar-LB"/>
        </w:rPr>
        <w:t xml:space="preserve"> </w:t>
      </w:r>
      <w:r w:rsidR="00F32B28" w:rsidRPr="00F32B28">
        <w:rPr>
          <w:rtl/>
          <w:lang w:bidi="ar-LB"/>
        </w:rPr>
        <w:t>9.5</w:t>
      </w:r>
      <w:r w:rsidR="00851F93">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القوى</w:t>
      </w:r>
      <w:r w:rsidR="00F32B28">
        <w:rPr>
          <w:rtl/>
          <w:lang w:bidi="ar-LB"/>
        </w:rPr>
        <w:t xml:space="preserve"> </w:t>
      </w:r>
      <w:r w:rsidR="00F32B28" w:rsidRPr="00F32B28">
        <w:rPr>
          <w:rtl/>
          <w:lang w:bidi="ar-LB"/>
        </w:rPr>
        <w:t>العاملة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الضفة</w:t>
      </w:r>
      <w:r w:rsidR="00F32B28">
        <w:rPr>
          <w:rtl/>
          <w:lang w:bidi="ar-LB"/>
        </w:rPr>
        <w:t xml:space="preserve"> </w:t>
      </w:r>
      <w:r w:rsidR="00F32B28" w:rsidRPr="00F32B28">
        <w:rPr>
          <w:rtl/>
          <w:lang w:bidi="ar-LB"/>
        </w:rPr>
        <w:t>الغربية</w:t>
      </w:r>
      <w:r w:rsidR="00F32B28">
        <w:rPr>
          <w:rtl/>
          <w:lang w:bidi="ar-LB"/>
        </w:rPr>
        <w:t xml:space="preserve"> </w:t>
      </w:r>
      <w:r w:rsidR="00F32B28" w:rsidRPr="00F32B28">
        <w:rPr>
          <w:rtl/>
          <w:lang w:bidi="ar-LB"/>
        </w:rPr>
        <w:t>و</w:t>
      </w:r>
      <w:r w:rsidR="00407D55">
        <w:rPr>
          <w:rFonts w:hint="cs"/>
          <w:rtl/>
          <w:lang w:bidi="ar-LB"/>
        </w:rPr>
        <w:t> </w:t>
      </w:r>
      <w:r w:rsidR="00F32B28" w:rsidRPr="00F32B28">
        <w:rPr>
          <w:rtl/>
          <w:lang w:bidi="ar-LB"/>
        </w:rPr>
        <w:t>6.6</w:t>
      </w:r>
      <w:r w:rsidR="00851F93">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قطاع</w:t>
      </w:r>
      <w:r w:rsidR="00F32B28">
        <w:rPr>
          <w:rtl/>
          <w:lang w:bidi="ar-LB"/>
        </w:rPr>
        <w:t xml:space="preserve"> </w:t>
      </w:r>
      <w:r w:rsidR="00F32B28" w:rsidRPr="00F32B28">
        <w:rPr>
          <w:rtl/>
          <w:lang w:bidi="ar-LB"/>
        </w:rPr>
        <w:t>غزة،</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تساهم</w:t>
      </w:r>
      <w:r w:rsidR="00F32B28">
        <w:rPr>
          <w:rtl/>
          <w:lang w:bidi="ar-LB"/>
        </w:rPr>
        <w:t xml:space="preserve"> </w:t>
      </w:r>
      <w:r w:rsidR="00F32B28" w:rsidRPr="00F32B28">
        <w:rPr>
          <w:rtl/>
          <w:lang w:bidi="ar-LB"/>
        </w:rPr>
        <w:t>بحوالي</w:t>
      </w:r>
      <w:r w:rsidR="00F32B28">
        <w:rPr>
          <w:rtl/>
          <w:lang w:bidi="ar-LB"/>
        </w:rPr>
        <w:t xml:space="preserve"> </w:t>
      </w:r>
      <w:r w:rsidR="00F32B28" w:rsidRPr="00F32B28">
        <w:rPr>
          <w:rtl/>
          <w:lang w:bidi="ar-LB"/>
        </w:rPr>
        <w:t>5.6</w:t>
      </w:r>
      <w:r w:rsidR="00F32B28">
        <w:rPr>
          <w:rtl/>
          <w:lang w:bidi="ar-LB"/>
        </w:rPr>
        <w:t xml:space="preserve"> </w:t>
      </w:r>
      <w:r w:rsidR="00600C43">
        <w:rPr>
          <w:rtl/>
          <w:lang w:bidi="ar-LB"/>
        </w:rPr>
        <w:t>في المائة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الناتج</w:t>
      </w:r>
      <w:r w:rsidR="00F32B28">
        <w:rPr>
          <w:rtl/>
          <w:lang w:bidi="ar-LB"/>
        </w:rPr>
        <w:t xml:space="preserve"> </w:t>
      </w:r>
      <w:r w:rsidR="00F32B28" w:rsidRPr="00F32B28">
        <w:rPr>
          <w:rtl/>
          <w:lang w:bidi="ar-LB"/>
        </w:rPr>
        <w:t>المحلي</w:t>
      </w:r>
      <w:r w:rsidR="00F32B28">
        <w:rPr>
          <w:rtl/>
          <w:lang w:bidi="ar-LB"/>
        </w:rPr>
        <w:t xml:space="preserve"> </w:t>
      </w:r>
      <w:r w:rsidR="00F32B28" w:rsidRPr="00F32B28">
        <w:rPr>
          <w:rtl/>
          <w:lang w:bidi="ar-LB"/>
        </w:rPr>
        <w:t>الإجمالي</w:t>
      </w:r>
      <w:r w:rsidR="00F32B28">
        <w:rPr>
          <w:rtl/>
          <w:lang w:bidi="ar-LB"/>
        </w:rPr>
        <w:t xml:space="preserve"> </w:t>
      </w:r>
      <w:r w:rsidR="00F32B28" w:rsidRPr="00F32B28">
        <w:rPr>
          <w:rtl/>
          <w:lang w:bidi="ar-LB"/>
        </w:rPr>
        <w:t>وبحوالي</w:t>
      </w:r>
      <w:r w:rsidR="00F32B28">
        <w:rPr>
          <w:rtl/>
          <w:lang w:bidi="ar-LB"/>
        </w:rPr>
        <w:t xml:space="preserve"> </w:t>
      </w:r>
      <w:r w:rsidR="00F32B28" w:rsidRPr="00F32B28">
        <w:rPr>
          <w:rtl/>
          <w:lang w:bidi="ar-LB"/>
        </w:rPr>
        <w:t>21</w:t>
      </w:r>
      <w:r w:rsidR="00851F93">
        <w:rPr>
          <w:rFonts w:hint="cs"/>
          <w:rtl/>
          <w:lang w:bidi="ar-LB"/>
        </w:rPr>
        <w:t xml:space="preserve"> </w:t>
      </w:r>
      <w:r w:rsidR="00600C43">
        <w:rPr>
          <w:rtl/>
          <w:lang w:bidi="ar-LB"/>
        </w:rPr>
        <w:t>في المائة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مجموع</w:t>
      </w:r>
      <w:r w:rsidR="00F32B28">
        <w:rPr>
          <w:rtl/>
          <w:lang w:bidi="ar-LB"/>
        </w:rPr>
        <w:t xml:space="preserve"> </w:t>
      </w:r>
      <w:r w:rsidR="00F32B28" w:rsidRPr="00F32B28">
        <w:rPr>
          <w:rtl/>
          <w:lang w:bidi="ar-LB"/>
        </w:rPr>
        <w:t>الصادرات</w:t>
      </w:r>
      <w:r w:rsidR="00F32B28">
        <w:rPr>
          <w:rtl/>
          <w:lang w:bidi="ar-LB"/>
        </w:rPr>
        <w:t xml:space="preserve"> </w:t>
      </w:r>
      <w:r w:rsidR="00F32B28" w:rsidRPr="00F32B28">
        <w:rPr>
          <w:rtl/>
          <w:lang w:bidi="ar-LB"/>
        </w:rPr>
        <w:t>وتحقيق</w:t>
      </w:r>
      <w:r w:rsidR="00F32B28">
        <w:rPr>
          <w:rtl/>
          <w:lang w:bidi="ar-LB"/>
        </w:rPr>
        <w:t xml:space="preserve"> </w:t>
      </w:r>
      <w:r w:rsidR="00F32B28" w:rsidRPr="00F32B28">
        <w:rPr>
          <w:rtl/>
          <w:lang w:bidi="ar-LB"/>
        </w:rPr>
        <w:t>الأمن</w:t>
      </w:r>
      <w:r w:rsidR="00F32B28">
        <w:rPr>
          <w:rtl/>
          <w:lang w:bidi="ar-LB"/>
        </w:rPr>
        <w:t xml:space="preserve"> </w:t>
      </w:r>
      <w:r w:rsidR="00F32B28" w:rsidRPr="00F32B28">
        <w:rPr>
          <w:rtl/>
          <w:lang w:bidi="ar-LB"/>
        </w:rPr>
        <w:t>الغذائي</w:t>
      </w:r>
      <w:r w:rsidR="00F32B28" w:rsidRPr="00F32B28">
        <w:rPr>
          <w:rtl/>
        </w:rPr>
        <w:t>والاكتفاء</w:t>
      </w:r>
      <w:r w:rsidR="00F32B28">
        <w:rPr>
          <w:rtl/>
        </w:rPr>
        <w:t xml:space="preserve"> </w:t>
      </w:r>
      <w:r w:rsidR="00F32B28" w:rsidRPr="00F32B28">
        <w:rPr>
          <w:rtl/>
        </w:rPr>
        <w:t>الذاتي</w:t>
      </w:r>
      <w:r w:rsidR="00F32B28">
        <w:rPr>
          <w:rtl/>
        </w:rPr>
        <w:t xml:space="preserve"> </w:t>
      </w:r>
      <w:r w:rsidR="00F32B28" w:rsidRPr="00F32B28">
        <w:rPr>
          <w:rtl/>
        </w:rPr>
        <w:t>من</w:t>
      </w:r>
      <w:r w:rsidR="00F32B28">
        <w:rPr>
          <w:rtl/>
        </w:rPr>
        <w:t xml:space="preserve"> </w:t>
      </w:r>
      <w:r w:rsidR="00F32B28" w:rsidRPr="00F32B28">
        <w:rPr>
          <w:rtl/>
        </w:rPr>
        <w:t>المنتجات</w:t>
      </w:r>
      <w:r w:rsidR="00F32B28">
        <w:rPr>
          <w:rtl/>
        </w:rPr>
        <w:t xml:space="preserve"> </w:t>
      </w:r>
      <w:r w:rsidR="00F32B28" w:rsidRPr="00F32B28">
        <w:rPr>
          <w:rtl/>
        </w:rPr>
        <w:t>الزراعية</w:t>
      </w:r>
      <w:r w:rsidR="00F32B28">
        <w:rPr>
          <w:rtl/>
        </w:rPr>
        <w:t xml:space="preserve"> </w:t>
      </w:r>
      <w:r w:rsidR="00F32B28" w:rsidRPr="00F32B28">
        <w:rPr>
          <w:rtl/>
        </w:rPr>
        <w:t>المحلية</w:t>
      </w:r>
      <w:r w:rsidR="00F32B28" w:rsidRPr="00F32B28">
        <w:rPr>
          <w:rtl/>
          <w:lang w:bidi="ar-LB"/>
        </w:rPr>
        <w:t>.</w:t>
      </w:r>
      <w:r w:rsidR="00F32B28">
        <w:rPr>
          <w:rtl/>
          <w:lang w:bidi="ar-LB"/>
        </w:rPr>
        <w:t xml:space="preserve"> </w:t>
      </w:r>
      <w:r w:rsidR="00F32B28" w:rsidRPr="00F32B28">
        <w:rPr>
          <w:rtl/>
          <w:lang w:bidi="ar-LB"/>
        </w:rPr>
        <w:t>بالإضافة</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كون</w:t>
      </w:r>
      <w:r w:rsidR="00F32B28">
        <w:rPr>
          <w:rtl/>
          <w:lang w:bidi="ar-LB"/>
        </w:rPr>
        <w:t xml:space="preserve"> </w:t>
      </w:r>
      <w:r w:rsidR="00F32B28" w:rsidRPr="00F32B28">
        <w:rPr>
          <w:rtl/>
          <w:lang w:bidi="ar-LB"/>
        </w:rPr>
        <w:t>الزراعة</w:t>
      </w:r>
      <w:r w:rsidR="00F32B28">
        <w:rPr>
          <w:rtl/>
          <w:lang w:bidi="ar-LB"/>
        </w:rPr>
        <w:t xml:space="preserve"> </w:t>
      </w:r>
      <w:r w:rsidR="00F32B28" w:rsidRPr="00F32B28">
        <w:rPr>
          <w:rtl/>
          <w:lang w:bidi="ar-LB"/>
        </w:rPr>
        <w:t>عاملاً</w:t>
      </w:r>
      <w:r w:rsidR="00F32B28">
        <w:rPr>
          <w:rtl/>
          <w:lang w:bidi="ar-LB"/>
        </w:rPr>
        <w:t xml:space="preserve"> </w:t>
      </w:r>
      <w:r w:rsidR="00F32B28" w:rsidRPr="00F32B28">
        <w:rPr>
          <w:rtl/>
          <w:lang w:bidi="ar-LB"/>
        </w:rPr>
        <w:t>رئيساً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حماية</w:t>
      </w:r>
      <w:r w:rsidR="00F32B28">
        <w:rPr>
          <w:rtl/>
          <w:lang w:bidi="ar-LB"/>
        </w:rPr>
        <w:t xml:space="preserve"> </w:t>
      </w:r>
      <w:r w:rsidR="00F32B28" w:rsidRPr="00F32B28">
        <w:rPr>
          <w:rtl/>
          <w:lang w:bidi="ar-LB"/>
        </w:rPr>
        <w:t>الأرض</w:t>
      </w:r>
      <w:r w:rsidR="00F32B28">
        <w:rPr>
          <w:rtl/>
          <w:lang w:bidi="ar-LB"/>
        </w:rPr>
        <w:t xml:space="preserve"> </w:t>
      </w:r>
      <w:r w:rsidR="00F32B28" w:rsidRPr="00F32B28">
        <w:rPr>
          <w:rtl/>
          <w:lang w:bidi="ar-LB"/>
        </w:rPr>
        <w:t>الفلسطينية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وجه</w:t>
      </w:r>
      <w:r w:rsidR="00F32B28">
        <w:rPr>
          <w:rtl/>
          <w:lang w:bidi="ar-LB"/>
        </w:rPr>
        <w:t xml:space="preserve"> </w:t>
      </w:r>
      <w:r w:rsidR="00F32B28" w:rsidRPr="00F32B28">
        <w:rPr>
          <w:rtl/>
          <w:lang w:bidi="ar-LB"/>
        </w:rPr>
        <w:t>المصادرة</w:t>
      </w:r>
      <w:r w:rsidR="00F32B28">
        <w:rPr>
          <w:rtl/>
          <w:lang w:bidi="ar-LB"/>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سلطات</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LB"/>
        </w:rPr>
        <w:t>والتوسع</w:t>
      </w:r>
      <w:r w:rsidR="00F32B28">
        <w:rPr>
          <w:rtl/>
          <w:lang w:bidi="ar-LB"/>
        </w:rPr>
        <w:t xml:space="preserve"> </w:t>
      </w:r>
      <w:r w:rsidR="00F32B28" w:rsidRPr="00F32B28">
        <w:rPr>
          <w:rtl/>
          <w:lang w:bidi="ar-LB"/>
        </w:rPr>
        <w:t>الاستيطاني.</w:t>
      </w:r>
    </w:p>
    <w:p w:rsidR="00F32B28" w:rsidRPr="00F32B28" w:rsidRDefault="00891A4B" w:rsidP="00891A4B">
      <w:pPr>
        <w:pStyle w:val="SingleTxt"/>
        <w:rPr>
          <w:rtl/>
          <w:lang w:bidi="ar-LB"/>
        </w:rPr>
      </w:pPr>
      <w:r>
        <w:rPr>
          <w:rFonts w:hint="cs"/>
          <w:rtl/>
          <w:lang w:bidi="ar-JO"/>
        </w:rPr>
        <w:t xml:space="preserve">292 - </w:t>
      </w:r>
      <w:r w:rsidR="00F32B28" w:rsidRPr="00F32B28">
        <w:rPr>
          <w:rtl/>
          <w:lang w:bidi="ar-JO"/>
        </w:rPr>
        <w:t>ولم</w:t>
      </w:r>
      <w:r w:rsidR="00F32B28">
        <w:rPr>
          <w:rtl/>
          <w:lang w:bidi="ar-JO"/>
        </w:rPr>
        <w:t xml:space="preserve"> </w:t>
      </w:r>
      <w:r w:rsidR="00F32B28" w:rsidRPr="00F32B28">
        <w:rPr>
          <w:rtl/>
          <w:lang w:bidi="ar-JO"/>
        </w:rPr>
        <w:t>يُستثنى</w:t>
      </w:r>
      <w:r w:rsidR="00F32B28">
        <w:rPr>
          <w:rtl/>
          <w:lang w:bidi="ar-JO"/>
        </w:rPr>
        <w:t xml:space="preserve"> </w:t>
      </w:r>
      <w:r w:rsidR="00F32B28" w:rsidRPr="00F32B28">
        <w:rPr>
          <w:rtl/>
          <w:lang w:bidi="ar-JO"/>
        </w:rPr>
        <w:t>العاملون</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القطاع</w:t>
      </w:r>
      <w:r w:rsidR="00F32B28">
        <w:rPr>
          <w:rtl/>
          <w:lang w:bidi="ar-JO"/>
        </w:rPr>
        <w:t xml:space="preserve"> </w:t>
      </w:r>
      <w:r w:rsidR="00F32B28" w:rsidRPr="00F32B28">
        <w:rPr>
          <w:rtl/>
          <w:lang w:bidi="ar-JO"/>
        </w:rPr>
        <w:t>الزراعي</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نطاق</w:t>
      </w:r>
      <w:r w:rsidR="00F32B28">
        <w:rPr>
          <w:rtl/>
          <w:lang w:bidi="ar-JO"/>
        </w:rPr>
        <w:t xml:space="preserve"> </w:t>
      </w:r>
      <w:r w:rsidR="00F32B28" w:rsidRPr="00F32B28">
        <w:rPr>
          <w:rtl/>
          <w:lang w:bidi="ar-JO"/>
        </w:rPr>
        <w:t>تطبيق</w:t>
      </w:r>
      <w:r w:rsidR="00F32B28">
        <w:rPr>
          <w:rtl/>
          <w:lang w:bidi="ar-JO"/>
        </w:rPr>
        <w:t xml:space="preserve"> </w:t>
      </w:r>
      <w:r w:rsidR="00F32B28" w:rsidRPr="00F32B28">
        <w:rPr>
          <w:rtl/>
          <w:lang w:bidi="ar-JO"/>
        </w:rPr>
        <w:t>قانون</w:t>
      </w:r>
      <w:r w:rsidR="00F32B28">
        <w:rPr>
          <w:rtl/>
          <w:lang w:bidi="ar-JO"/>
        </w:rPr>
        <w:t xml:space="preserve"> </w:t>
      </w:r>
      <w:r w:rsidR="00F32B28" w:rsidRPr="00F32B28">
        <w:rPr>
          <w:rtl/>
          <w:lang w:bidi="ar-JO"/>
        </w:rPr>
        <w:t>العمل،</w:t>
      </w:r>
      <w:r w:rsidR="00F32B28">
        <w:rPr>
          <w:rtl/>
          <w:lang w:bidi="ar-JO"/>
        </w:rPr>
        <w:t xml:space="preserve"> </w:t>
      </w:r>
      <w:r w:rsidR="00F32B28" w:rsidRPr="00F32B28">
        <w:rPr>
          <w:rtl/>
          <w:lang w:bidi="ar-JO"/>
        </w:rPr>
        <w:t>حتى</w:t>
      </w:r>
      <w:r w:rsidR="00F32B28">
        <w:rPr>
          <w:rtl/>
          <w:lang w:bidi="ar-JO"/>
        </w:rPr>
        <w:t xml:space="preserve"> </w:t>
      </w:r>
      <w:r w:rsidR="00F32B28" w:rsidRPr="00F32B28">
        <w:rPr>
          <w:rtl/>
          <w:lang w:bidi="ar-JO"/>
        </w:rPr>
        <w:t>لو</w:t>
      </w:r>
      <w:r w:rsidR="00F32B28">
        <w:rPr>
          <w:rtl/>
          <w:lang w:bidi="ar-JO"/>
        </w:rPr>
        <w:t xml:space="preserve"> </w:t>
      </w:r>
      <w:r w:rsidR="00F32B28" w:rsidRPr="00F32B28">
        <w:rPr>
          <w:rtl/>
          <w:lang w:bidi="ar-JO"/>
        </w:rPr>
        <w:t>كان</w:t>
      </w:r>
      <w:r w:rsidR="00F32B28">
        <w:rPr>
          <w:rtl/>
          <w:lang w:bidi="ar-JO"/>
        </w:rPr>
        <w:t xml:space="preserve"> </w:t>
      </w:r>
      <w:r w:rsidR="00F32B28" w:rsidRPr="00F32B28">
        <w:rPr>
          <w:rtl/>
          <w:lang w:bidi="ar-JO"/>
        </w:rPr>
        <w:t>عملهم</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الزراعة</w:t>
      </w:r>
      <w:r w:rsidR="00F32B28">
        <w:rPr>
          <w:rtl/>
          <w:lang w:bidi="ar-JO"/>
        </w:rPr>
        <w:t xml:space="preserve"> </w:t>
      </w:r>
      <w:r w:rsidR="00F32B28" w:rsidRPr="00F32B28">
        <w:rPr>
          <w:rtl/>
          <w:lang w:bidi="ar-JO"/>
        </w:rPr>
        <w:t>ذات</w:t>
      </w:r>
      <w:r w:rsidR="00F32B28">
        <w:rPr>
          <w:rtl/>
          <w:lang w:bidi="ar-JO"/>
        </w:rPr>
        <w:t xml:space="preserve"> </w:t>
      </w:r>
      <w:r w:rsidR="00F32B28" w:rsidRPr="00F32B28">
        <w:rPr>
          <w:rtl/>
          <w:lang w:bidi="ar-JO"/>
        </w:rPr>
        <w:t>طبيعية</w:t>
      </w:r>
      <w:r w:rsidR="00F32B28">
        <w:rPr>
          <w:rtl/>
          <w:lang w:bidi="ar-JO"/>
        </w:rPr>
        <w:t xml:space="preserve"> </w:t>
      </w:r>
      <w:r w:rsidR="00F32B28" w:rsidRPr="00F32B28">
        <w:rPr>
          <w:rtl/>
          <w:lang w:bidi="ar-JO"/>
        </w:rPr>
        <w:t>مؤقتة</w:t>
      </w:r>
      <w:r w:rsidR="00F32B28">
        <w:rPr>
          <w:rtl/>
          <w:lang w:bidi="ar-JO"/>
        </w:rPr>
        <w:t xml:space="preserve"> </w:t>
      </w:r>
      <w:r w:rsidR="00F32B28" w:rsidRPr="00F32B28">
        <w:rPr>
          <w:rtl/>
          <w:lang w:bidi="ar-JO"/>
        </w:rPr>
        <w:t>أو</w:t>
      </w:r>
      <w:r w:rsidR="00F32B28">
        <w:rPr>
          <w:rtl/>
          <w:lang w:bidi="ar-JO"/>
        </w:rPr>
        <w:t xml:space="preserve"> </w:t>
      </w:r>
      <w:r w:rsidR="00F32B28" w:rsidRPr="00F32B28">
        <w:rPr>
          <w:rtl/>
          <w:lang w:bidi="ar-JO"/>
        </w:rPr>
        <w:t>موسمية،</w:t>
      </w:r>
      <w:r w:rsidR="00F32B28">
        <w:rPr>
          <w:rtl/>
          <w:lang w:bidi="ar-JO"/>
        </w:rPr>
        <w:t xml:space="preserve"> </w:t>
      </w:r>
      <w:r w:rsidR="00F32B28" w:rsidRPr="00F32B28">
        <w:rPr>
          <w:rtl/>
          <w:lang w:bidi="ar-JO"/>
        </w:rPr>
        <w:t>فقد</w:t>
      </w:r>
      <w:r w:rsidR="00F32B28">
        <w:rPr>
          <w:rtl/>
          <w:lang w:bidi="ar-JO"/>
        </w:rPr>
        <w:t xml:space="preserve"> </w:t>
      </w:r>
      <w:r w:rsidR="00F32B28" w:rsidRPr="00F32B28">
        <w:rPr>
          <w:rtl/>
          <w:lang w:bidi="ar-JO"/>
        </w:rPr>
        <w:t>نصت</w:t>
      </w:r>
      <w:r w:rsidR="00F32B28">
        <w:rPr>
          <w:rtl/>
          <w:lang w:bidi="ar-JO"/>
        </w:rPr>
        <w:t xml:space="preserve"> </w:t>
      </w:r>
      <w:r w:rsidR="00F32B28" w:rsidRPr="00F32B28">
        <w:rPr>
          <w:rtl/>
          <w:lang w:bidi="ar-JO"/>
        </w:rPr>
        <w:t>أحكامه</w:t>
      </w:r>
      <w:r w:rsidR="00F32B28">
        <w:rPr>
          <w:rtl/>
          <w:lang w:bidi="ar-JO"/>
        </w:rPr>
        <w:t xml:space="preserve"> </w:t>
      </w:r>
      <w:r w:rsidR="00F32B28" w:rsidRPr="00F32B28">
        <w:rPr>
          <w:rtl/>
          <w:lang w:bidi="ar-JO"/>
        </w:rPr>
        <w:t>صراحة</w:t>
      </w:r>
      <w:r w:rsidR="00F32B28">
        <w:rPr>
          <w:rtl/>
          <w:lang w:bidi="ar-JO"/>
        </w:rPr>
        <w:t xml:space="preserve"> </w:t>
      </w:r>
      <w:r w:rsidR="00F32B28" w:rsidRPr="00F32B28">
        <w:rPr>
          <w:rtl/>
          <w:lang w:bidi="ar-JO"/>
        </w:rPr>
        <w:t>على</w:t>
      </w:r>
      <w:r w:rsidR="00F32B28">
        <w:rPr>
          <w:rtl/>
          <w:lang w:bidi="ar-JO"/>
        </w:rPr>
        <w:t xml:space="preserve"> </w:t>
      </w:r>
      <w:r w:rsidR="00F32B28" w:rsidRPr="00F32B28">
        <w:rPr>
          <w:rtl/>
          <w:lang w:bidi="ar-JO"/>
        </w:rPr>
        <w:t>أن</w:t>
      </w:r>
      <w:r w:rsidR="00F32B28">
        <w:rPr>
          <w:rtl/>
          <w:lang w:bidi="ar-JO"/>
        </w:rPr>
        <w:t xml:space="preserve"> </w:t>
      </w:r>
      <w:r w:rsidR="00F32B28" w:rsidRPr="00F32B28">
        <w:rPr>
          <w:rtl/>
          <w:lang w:bidi="ar-JO"/>
        </w:rPr>
        <w:t>العاملون</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الأعمال</w:t>
      </w:r>
      <w:r w:rsidR="00F32B28">
        <w:rPr>
          <w:rtl/>
          <w:lang w:bidi="ar-JO"/>
        </w:rPr>
        <w:t xml:space="preserve"> </w:t>
      </w:r>
      <w:r w:rsidR="00F32B28" w:rsidRPr="00F32B28">
        <w:rPr>
          <w:rtl/>
          <w:lang w:bidi="ar-JO"/>
        </w:rPr>
        <w:t>المحددة</w:t>
      </w:r>
      <w:r w:rsidR="00F32B28">
        <w:rPr>
          <w:rtl/>
          <w:lang w:bidi="ar-JO"/>
        </w:rPr>
        <w:t xml:space="preserve"> </w:t>
      </w:r>
      <w:r w:rsidR="00F32B28" w:rsidRPr="00F32B28">
        <w:rPr>
          <w:rtl/>
          <w:lang w:bidi="ar-JO"/>
        </w:rPr>
        <w:t>المدة</w:t>
      </w:r>
      <w:r w:rsidR="00F32B28">
        <w:rPr>
          <w:rtl/>
          <w:lang w:bidi="ar-JO"/>
        </w:rPr>
        <w:t xml:space="preserve"> </w:t>
      </w:r>
      <w:r w:rsidR="00F32B28" w:rsidRPr="00F32B28">
        <w:rPr>
          <w:rtl/>
          <w:lang w:bidi="ar-JO"/>
        </w:rPr>
        <w:t>أو</w:t>
      </w:r>
      <w:r w:rsidR="00F32B28">
        <w:rPr>
          <w:rtl/>
          <w:lang w:bidi="ar-JO"/>
        </w:rPr>
        <w:t xml:space="preserve"> </w:t>
      </w:r>
      <w:r w:rsidR="00F32B28" w:rsidRPr="00F32B28">
        <w:rPr>
          <w:rtl/>
          <w:lang w:bidi="ar-JO"/>
        </w:rPr>
        <w:t>الموسمية</w:t>
      </w:r>
      <w:r w:rsidR="00F32B28">
        <w:rPr>
          <w:rtl/>
          <w:lang w:bidi="ar-JO"/>
        </w:rPr>
        <w:t xml:space="preserve"> </w:t>
      </w:r>
      <w:r w:rsidR="00F32B28" w:rsidRPr="00F32B28">
        <w:rPr>
          <w:rtl/>
          <w:lang w:bidi="ar-JO"/>
        </w:rPr>
        <w:t>أو</w:t>
      </w:r>
      <w:r w:rsidR="00F32B28">
        <w:rPr>
          <w:rtl/>
          <w:lang w:bidi="ar-JO"/>
        </w:rPr>
        <w:t xml:space="preserve"> </w:t>
      </w:r>
      <w:r w:rsidR="00F32B28" w:rsidRPr="00F32B28">
        <w:rPr>
          <w:rtl/>
          <w:lang w:bidi="ar-JO"/>
        </w:rPr>
        <w:t>المؤقتة</w:t>
      </w:r>
      <w:r w:rsidR="00F32B28">
        <w:rPr>
          <w:rtl/>
          <w:lang w:bidi="ar-JO"/>
        </w:rPr>
        <w:t xml:space="preserve"> </w:t>
      </w:r>
      <w:r w:rsidR="00F32B28" w:rsidRPr="00F32B28">
        <w:rPr>
          <w:rtl/>
          <w:lang w:bidi="ar-JO"/>
        </w:rPr>
        <w:t>يتمتعون</w:t>
      </w:r>
      <w:r w:rsidR="00F32B28">
        <w:rPr>
          <w:rtl/>
          <w:lang w:bidi="ar-JO"/>
        </w:rPr>
        <w:t xml:space="preserve"> </w:t>
      </w:r>
      <w:r w:rsidR="00F32B28" w:rsidRPr="00F32B28">
        <w:rPr>
          <w:rtl/>
          <w:lang w:bidi="ar-JO"/>
        </w:rPr>
        <w:t>بنفس</w:t>
      </w:r>
      <w:r w:rsidR="00F32B28">
        <w:rPr>
          <w:rtl/>
          <w:lang w:bidi="ar-JO"/>
        </w:rPr>
        <w:t xml:space="preserve"> </w:t>
      </w:r>
      <w:r w:rsidR="00F32B28" w:rsidRPr="00F32B28">
        <w:rPr>
          <w:rtl/>
          <w:lang w:bidi="ar-JO"/>
        </w:rPr>
        <w:t>الحقوق</w:t>
      </w:r>
      <w:r w:rsidR="00F32B28">
        <w:rPr>
          <w:rtl/>
          <w:lang w:bidi="ar-JO"/>
        </w:rPr>
        <w:t xml:space="preserve"> </w:t>
      </w:r>
      <w:r w:rsidR="00F32B28" w:rsidRPr="00F32B28">
        <w:rPr>
          <w:rtl/>
          <w:lang w:bidi="ar-JO"/>
        </w:rPr>
        <w:t>وعليهم</w:t>
      </w:r>
      <w:r w:rsidR="00F32B28">
        <w:rPr>
          <w:rtl/>
          <w:lang w:bidi="ar-JO"/>
        </w:rPr>
        <w:t xml:space="preserve"> </w:t>
      </w:r>
      <w:r w:rsidR="00F32B28" w:rsidRPr="00F32B28">
        <w:rPr>
          <w:rtl/>
          <w:lang w:bidi="ar-JO"/>
        </w:rPr>
        <w:t>نفس</w:t>
      </w:r>
      <w:r w:rsidR="00F32B28">
        <w:rPr>
          <w:rtl/>
          <w:lang w:bidi="ar-JO"/>
        </w:rPr>
        <w:t xml:space="preserve"> </w:t>
      </w:r>
      <w:r w:rsidR="00F32B28" w:rsidRPr="00F32B28">
        <w:rPr>
          <w:rtl/>
          <w:lang w:bidi="ar-JO"/>
        </w:rPr>
        <w:t>الواجبات</w:t>
      </w:r>
      <w:r w:rsidR="00F32B28">
        <w:rPr>
          <w:rtl/>
          <w:lang w:bidi="ar-JO"/>
        </w:rPr>
        <w:t xml:space="preserve"> </w:t>
      </w:r>
      <w:r w:rsidR="00F32B28" w:rsidRPr="00F32B28">
        <w:rPr>
          <w:rtl/>
          <w:lang w:bidi="ar-JO"/>
        </w:rPr>
        <w:t>التي</w:t>
      </w:r>
      <w:r w:rsidR="00F32B28">
        <w:rPr>
          <w:rtl/>
          <w:lang w:bidi="ar-JO"/>
        </w:rPr>
        <w:t xml:space="preserve"> </w:t>
      </w:r>
      <w:r w:rsidR="00F32B28" w:rsidRPr="00F32B28">
        <w:rPr>
          <w:rtl/>
          <w:lang w:bidi="ar-JO"/>
        </w:rPr>
        <w:t>يخضع</w:t>
      </w:r>
      <w:r w:rsidR="00F32B28">
        <w:rPr>
          <w:rtl/>
          <w:lang w:bidi="ar-JO"/>
        </w:rPr>
        <w:t xml:space="preserve"> </w:t>
      </w:r>
      <w:r w:rsidR="00F32B28" w:rsidRPr="00F32B28">
        <w:rPr>
          <w:rtl/>
          <w:lang w:bidi="ar-JO"/>
        </w:rPr>
        <w:t>لها</w:t>
      </w:r>
      <w:r w:rsidR="00F32B28">
        <w:rPr>
          <w:rtl/>
          <w:lang w:bidi="ar-JO"/>
        </w:rPr>
        <w:t xml:space="preserve"> </w:t>
      </w:r>
      <w:r w:rsidR="00F32B28" w:rsidRPr="00F32B28">
        <w:rPr>
          <w:rtl/>
          <w:lang w:bidi="ar-JO"/>
        </w:rPr>
        <w:t>العاملون</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الأعمال</w:t>
      </w:r>
      <w:r w:rsidR="00F32B28">
        <w:rPr>
          <w:rtl/>
          <w:lang w:bidi="ar-JO"/>
        </w:rPr>
        <w:t xml:space="preserve"> </w:t>
      </w:r>
      <w:r w:rsidR="00F32B28" w:rsidRPr="00F32B28">
        <w:rPr>
          <w:rtl/>
          <w:lang w:bidi="ar-JO"/>
        </w:rPr>
        <w:t>غير</w:t>
      </w:r>
      <w:r w:rsidR="00F32B28">
        <w:rPr>
          <w:rtl/>
          <w:lang w:bidi="ar-JO"/>
        </w:rPr>
        <w:t xml:space="preserve"> </w:t>
      </w:r>
      <w:r w:rsidR="00F32B28" w:rsidRPr="00F32B28">
        <w:rPr>
          <w:rtl/>
          <w:lang w:bidi="ar-JO"/>
        </w:rPr>
        <w:t>محددة</w:t>
      </w:r>
      <w:r w:rsidR="00F32B28">
        <w:rPr>
          <w:rtl/>
          <w:lang w:bidi="ar-JO"/>
        </w:rPr>
        <w:t xml:space="preserve"> </w:t>
      </w:r>
      <w:r w:rsidR="00F32B28" w:rsidRPr="00F32B28">
        <w:rPr>
          <w:rtl/>
          <w:lang w:bidi="ar-JO"/>
        </w:rPr>
        <w:t>المدة.</w:t>
      </w:r>
      <w:r w:rsidR="00F32B28">
        <w:rPr>
          <w:rtl/>
          <w:lang w:bidi="ar-JO"/>
        </w:rPr>
        <w:t xml:space="preserve"> </w:t>
      </w:r>
      <w:r w:rsidR="00F32B28" w:rsidRPr="00F32B28">
        <w:rPr>
          <w:rtl/>
          <w:lang w:bidi="ar-JO"/>
        </w:rPr>
        <w:t>فيما</w:t>
      </w:r>
      <w:r w:rsidR="00F32B28">
        <w:rPr>
          <w:rtl/>
          <w:lang w:bidi="ar-JO"/>
        </w:rPr>
        <w:t xml:space="preserve"> </w:t>
      </w:r>
      <w:r w:rsidR="00F32B28" w:rsidRPr="00F32B28">
        <w:rPr>
          <w:rtl/>
          <w:lang w:bidi="ar-JO"/>
        </w:rPr>
        <w:t>حددت</w:t>
      </w:r>
      <w:r w:rsidR="00F32B28">
        <w:rPr>
          <w:rtl/>
          <w:lang w:bidi="ar-JO"/>
        </w:rPr>
        <w:t xml:space="preserve"> </w:t>
      </w:r>
      <w:r w:rsidR="00F32B28" w:rsidRPr="00F32B28">
        <w:rPr>
          <w:rtl/>
          <w:lang w:bidi="ar-LB"/>
        </w:rPr>
        <w:t>ساعات</w:t>
      </w:r>
      <w:r w:rsidR="00F32B28">
        <w:rPr>
          <w:rtl/>
          <w:lang w:bidi="ar-LB"/>
        </w:rPr>
        <w:t xml:space="preserve"> </w:t>
      </w:r>
      <w:r w:rsidR="00F32B28" w:rsidRPr="00F32B28">
        <w:rPr>
          <w:rtl/>
          <w:lang w:bidi="ar-LB"/>
        </w:rPr>
        <w:t>العمل</w:t>
      </w:r>
      <w:r w:rsidR="00F32B28">
        <w:rPr>
          <w:rtl/>
          <w:lang w:bidi="ar-LB"/>
        </w:rPr>
        <w:t xml:space="preserve"> </w:t>
      </w:r>
      <w:r w:rsidR="00F32B28" w:rsidRPr="00F32B28">
        <w:rPr>
          <w:rtl/>
          <w:lang w:bidi="ar-LB"/>
        </w:rPr>
        <w:t>والإجازات</w:t>
      </w:r>
      <w:r w:rsidR="00F32B28">
        <w:rPr>
          <w:rtl/>
          <w:lang w:bidi="ar-LB"/>
        </w:rPr>
        <w:t xml:space="preserve"> </w:t>
      </w:r>
      <w:r w:rsidR="00F32B28" w:rsidRPr="00F32B28">
        <w:rPr>
          <w:rtl/>
          <w:lang w:bidi="ar-LB"/>
        </w:rPr>
        <w:t>الخاصة</w:t>
      </w:r>
      <w:r w:rsidR="00F32B28">
        <w:rPr>
          <w:rtl/>
          <w:lang w:bidi="ar-LB"/>
        </w:rPr>
        <w:t xml:space="preserve"> </w:t>
      </w:r>
      <w:r w:rsidR="00F32B28" w:rsidRPr="00F32B28">
        <w:rPr>
          <w:rtl/>
          <w:lang w:bidi="ar-LB"/>
        </w:rPr>
        <w:t>بالعاملين</w:t>
      </w:r>
      <w:r w:rsidR="00F32B28">
        <w:rPr>
          <w:rtl/>
          <w:lang w:bidi="ar-LB"/>
        </w:rPr>
        <w:t xml:space="preserve"> </w:t>
      </w:r>
      <w:r w:rsidR="00F32B28" w:rsidRPr="00F32B28">
        <w:rPr>
          <w:rtl/>
          <w:lang w:bidi="ar-LB"/>
        </w:rPr>
        <w:t>الموسميين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الزراعة</w:t>
      </w:r>
      <w:r w:rsidR="00F32B28">
        <w:rPr>
          <w:rtl/>
          <w:lang w:bidi="ar-LB"/>
        </w:rPr>
        <w:t xml:space="preserve"> </w:t>
      </w:r>
      <w:r w:rsidR="00F32B28" w:rsidRPr="00F32B28">
        <w:rPr>
          <w:rtl/>
          <w:lang w:bidi="ar-LB"/>
        </w:rPr>
        <w:t>بموجب</w:t>
      </w:r>
      <w:r w:rsidR="00F32B28">
        <w:rPr>
          <w:rtl/>
          <w:lang w:bidi="ar-LB"/>
        </w:rPr>
        <w:t xml:space="preserve"> </w:t>
      </w:r>
      <w:r w:rsidR="00F32B28" w:rsidRPr="00F32B28">
        <w:rPr>
          <w:rtl/>
          <w:lang w:bidi="ar-LB"/>
        </w:rPr>
        <w:t>قرار</w:t>
      </w:r>
      <w:r w:rsidR="00F32B28">
        <w:rPr>
          <w:rtl/>
          <w:lang w:bidi="ar-LB"/>
        </w:rPr>
        <w:t xml:space="preserve"> </w:t>
      </w:r>
      <w:r w:rsidR="00F32B28" w:rsidRPr="00F32B28">
        <w:rPr>
          <w:rtl/>
          <w:lang w:bidi="ar-LB"/>
        </w:rPr>
        <w:t>مجلس</w:t>
      </w:r>
      <w:r w:rsidR="00F32B28">
        <w:rPr>
          <w:rtl/>
          <w:lang w:bidi="ar-LB"/>
        </w:rPr>
        <w:t xml:space="preserve"> </w:t>
      </w:r>
      <w:r w:rsidR="00F32B28" w:rsidRPr="00F32B28">
        <w:rPr>
          <w:rtl/>
          <w:lang w:bidi="ar-LB"/>
        </w:rPr>
        <w:t>الوزراء</w:t>
      </w:r>
      <w:r w:rsidR="00F32B28">
        <w:rPr>
          <w:rtl/>
          <w:lang w:bidi="ar-LB"/>
        </w:rPr>
        <w:t xml:space="preserve"> </w:t>
      </w:r>
      <w:r w:rsidR="00F32B28" w:rsidRPr="00F32B28">
        <w:rPr>
          <w:rtl/>
          <w:lang w:bidi="ar-LB"/>
        </w:rPr>
        <w:t>رقم</w:t>
      </w:r>
      <w:r w:rsidR="00F32B28">
        <w:rPr>
          <w:rtl/>
          <w:lang w:bidi="ar-LB"/>
        </w:rPr>
        <w:t xml:space="preserve"> </w:t>
      </w:r>
      <w:r w:rsidR="00F32B28" w:rsidRPr="00F32B28">
        <w:rPr>
          <w:rtl/>
          <w:lang w:bidi="ar-LB"/>
        </w:rPr>
        <w:t>(42)</w:t>
      </w:r>
      <w:r w:rsidR="00F32B28">
        <w:rPr>
          <w:rtl/>
          <w:lang w:bidi="ar-LB"/>
        </w:rPr>
        <w:t xml:space="preserve"> </w:t>
      </w:r>
      <w:r w:rsidR="00F32B28" w:rsidRPr="00F32B28">
        <w:rPr>
          <w:rtl/>
          <w:lang w:bidi="ar-LB"/>
        </w:rPr>
        <w:t>لعام</w:t>
      </w:r>
      <w:r w:rsidR="00F32B28">
        <w:rPr>
          <w:rtl/>
          <w:lang w:bidi="ar-LB"/>
        </w:rPr>
        <w:t xml:space="preserve"> </w:t>
      </w:r>
      <w:r w:rsidR="00F32B28" w:rsidRPr="00F32B28">
        <w:rPr>
          <w:rtl/>
          <w:lang w:bidi="ar-LB"/>
        </w:rPr>
        <w:t>2004.</w:t>
      </w:r>
      <w:r w:rsidR="00F32B28">
        <w:rPr>
          <w:rtl/>
          <w:lang w:bidi="ar-LB"/>
        </w:rPr>
        <w:t xml:space="preserve"> </w:t>
      </w:r>
    </w:p>
    <w:p w:rsidR="00F32B28" w:rsidRPr="00F32B28" w:rsidRDefault="00891A4B" w:rsidP="00891A4B">
      <w:pPr>
        <w:pStyle w:val="SingleTxt"/>
      </w:pPr>
      <w:r>
        <w:rPr>
          <w:rFonts w:hint="cs"/>
          <w:rtl/>
          <w:lang w:bidi="ar-LB"/>
        </w:rPr>
        <w:t xml:space="preserve">293 - </w:t>
      </w:r>
      <w:r w:rsidR="00F32B28" w:rsidRPr="00F32B28">
        <w:rPr>
          <w:rtl/>
          <w:lang w:bidi="ar-LB"/>
        </w:rPr>
        <w:t>وأنشئ</w:t>
      </w:r>
      <w:r w:rsidR="00F32B28">
        <w:rPr>
          <w:rtl/>
          <w:lang w:bidi="ar-LB"/>
        </w:rPr>
        <w:t xml:space="preserve"> </w:t>
      </w:r>
      <w:r w:rsidR="00F32B28" w:rsidRPr="00F32B28">
        <w:rPr>
          <w:rtl/>
          <w:lang w:bidi="ar-LB"/>
        </w:rPr>
        <w:t>صندوق</w:t>
      </w:r>
      <w:r w:rsidR="00F32B28">
        <w:rPr>
          <w:rtl/>
          <w:lang w:bidi="ar-LB"/>
        </w:rPr>
        <w:t xml:space="preserve"> </w:t>
      </w:r>
      <w:r w:rsidR="00F32B28" w:rsidRPr="00F32B28">
        <w:rPr>
          <w:rtl/>
          <w:lang w:bidi="ar-LB"/>
        </w:rPr>
        <w:t>درء</w:t>
      </w:r>
      <w:r w:rsidR="00F32B28">
        <w:rPr>
          <w:rtl/>
          <w:lang w:bidi="ar-LB"/>
        </w:rPr>
        <w:t xml:space="preserve"> </w:t>
      </w:r>
      <w:r w:rsidR="00F32B28" w:rsidRPr="00F32B28">
        <w:rPr>
          <w:rtl/>
          <w:lang w:bidi="ar-LB"/>
        </w:rPr>
        <w:t>المخاطر</w:t>
      </w:r>
      <w:r w:rsidR="00F32B28">
        <w:rPr>
          <w:rtl/>
          <w:lang w:bidi="ar-LB"/>
        </w:rPr>
        <w:t xml:space="preserve"> </w:t>
      </w:r>
      <w:r w:rsidR="00F32B28" w:rsidRPr="00F32B28">
        <w:rPr>
          <w:rtl/>
          <w:lang w:bidi="ar-LB"/>
        </w:rPr>
        <w:t>والتأمينات</w:t>
      </w:r>
      <w:r w:rsidR="00F32B28">
        <w:rPr>
          <w:rtl/>
          <w:lang w:bidi="ar-LB"/>
        </w:rPr>
        <w:t xml:space="preserve"> </w:t>
      </w:r>
      <w:r w:rsidR="00F32B28" w:rsidRPr="00F32B28">
        <w:rPr>
          <w:rtl/>
          <w:lang w:bidi="ar-LB"/>
        </w:rPr>
        <w:t>الزراعية</w:t>
      </w:r>
      <w:r w:rsidR="00F32B28">
        <w:rPr>
          <w:rtl/>
          <w:lang w:bidi="ar-LB"/>
        </w:rPr>
        <w:t xml:space="preserve"> </w:t>
      </w:r>
      <w:r w:rsidR="00F32B28" w:rsidRPr="00F32B28">
        <w:rPr>
          <w:rtl/>
          <w:lang w:bidi="ar-LB"/>
        </w:rPr>
        <w:t>بموجب</w:t>
      </w:r>
      <w:r w:rsidR="00F32B28">
        <w:rPr>
          <w:rtl/>
          <w:lang w:bidi="ar-LB"/>
        </w:rPr>
        <w:t xml:space="preserve"> </w:t>
      </w:r>
      <w:r w:rsidR="00F32B28" w:rsidRPr="00F32B28">
        <w:rPr>
          <w:rtl/>
          <w:lang w:bidi="ar-LB"/>
        </w:rPr>
        <w:t>قرار</w:t>
      </w:r>
      <w:r w:rsidR="00F32B28">
        <w:rPr>
          <w:rtl/>
          <w:lang w:bidi="ar-LB"/>
        </w:rPr>
        <w:t xml:space="preserve"> </w:t>
      </w:r>
      <w:r w:rsidR="00F32B28" w:rsidRPr="00F32B28">
        <w:rPr>
          <w:rtl/>
          <w:lang w:bidi="ar-LB"/>
        </w:rPr>
        <w:t>بقانون</w:t>
      </w:r>
      <w:r w:rsidR="00F32B28">
        <w:rPr>
          <w:rtl/>
          <w:lang w:bidi="ar-LB"/>
        </w:rPr>
        <w:t xml:space="preserve"> </w:t>
      </w:r>
      <w:r w:rsidR="00F32B28" w:rsidRPr="00F32B28">
        <w:rPr>
          <w:rtl/>
          <w:lang w:bidi="ar-LB"/>
        </w:rPr>
        <w:t>رقم</w:t>
      </w:r>
      <w:r w:rsidR="00F32B28">
        <w:rPr>
          <w:rtl/>
          <w:lang w:bidi="ar-LB"/>
        </w:rPr>
        <w:t xml:space="preserve"> </w:t>
      </w:r>
      <w:r w:rsidR="00F32B28" w:rsidRPr="00F32B28">
        <w:rPr>
          <w:rtl/>
          <w:lang w:bidi="ar-LB"/>
        </w:rPr>
        <w:t>(12)</w:t>
      </w:r>
      <w:r w:rsidR="00F32B28">
        <w:rPr>
          <w:rtl/>
          <w:lang w:bidi="ar-LB"/>
        </w:rPr>
        <w:t xml:space="preserve"> </w:t>
      </w:r>
      <w:r w:rsidR="00F32B28" w:rsidRPr="00F32B28">
        <w:rPr>
          <w:rtl/>
          <w:lang w:bidi="ar-LB"/>
        </w:rPr>
        <w:t>لسنة</w:t>
      </w:r>
      <w:r w:rsidR="00F32B28">
        <w:rPr>
          <w:rtl/>
          <w:lang w:bidi="ar-LB"/>
        </w:rPr>
        <w:t xml:space="preserve"> </w:t>
      </w:r>
      <w:r w:rsidR="00F32B28" w:rsidRPr="00F32B28">
        <w:rPr>
          <w:rtl/>
          <w:lang w:bidi="ar-LB"/>
        </w:rPr>
        <w:t>2013</w:t>
      </w:r>
      <w:r>
        <w:rPr>
          <w:rFonts w:hint="eastAsia"/>
          <w:rtl/>
          <w:lang w:bidi="ar-LB"/>
        </w:rPr>
        <w:t> </w:t>
      </w:r>
      <w:r w:rsidR="00F32B28" w:rsidRPr="00F32B28">
        <w:rPr>
          <w:rtl/>
          <w:lang w:bidi="ar-LB"/>
        </w:rPr>
        <w:t>م،</w:t>
      </w:r>
      <w:r w:rsidR="00F32B28">
        <w:rPr>
          <w:rtl/>
          <w:lang w:bidi="ar-LB"/>
        </w:rPr>
        <w:t xml:space="preserve"> </w:t>
      </w:r>
      <w:r w:rsidR="00F32B28" w:rsidRPr="00F32B28">
        <w:rPr>
          <w:rtl/>
          <w:lang w:bidi="ar-LB"/>
        </w:rPr>
        <w:t>وهو</w:t>
      </w:r>
      <w:r w:rsidR="00F32B28">
        <w:rPr>
          <w:rtl/>
          <w:lang w:bidi="ar-LB"/>
        </w:rPr>
        <w:t xml:space="preserve"> </w:t>
      </w:r>
      <w:r w:rsidR="00F32B28" w:rsidRPr="00F32B28">
        <w:rPr>
          <w:rtl/>
          <w:lang w:bidi="ar-LB"/>
        </w:rPr>
        <w:t>صندوق</w:t>
      </w:r>
      <w:r w:rsidR="00F32B28">
        <w:rPr>
          <w:rtl/>
          <w:lang w:bidi="ar-LB"/>
        </w:rPr>
        <w:t xml:space="preserve"> </w:t>
      </w:r>
      <w:r w:rsidR="00F32B28" w:rsidRPr="00F32B28">
        <w:rPr>
          <w:rtl/>
          <w:lang w:bidi="ar-LB"/>
        </w:rPr>
        <w:t>غير</w:t>
      </w:r>
      <w:r w:rsidR="00F32B28">
        <w:rPr>
          <w:rtl/>
          <w:lang w:bidi="ar-LB"/>
        </w:rPr>
        <w:t xml:space="preserve"> </w:t>
      </w:r>
      <w:r w:rsidR="00F32B28" w:rsidRPr="00F32B28">
        <w:rPr>
          <w:rtl/>
          <w:lang w:bidi="ar-LB"/>
        </w:rPr>
        <w:t>ربحي</w:t>
      </w:r>
      <w:r w:rsidR="00F32B28">
        <w:rPr>
          <w:rtl/>
          <w:lang w:bidi="ar-LB"/>
        </w:rPr>
        <w:t xml:space="preserve"> </w:t>
      </w:r>
      <w:r w:rsidR="00F32B28" w:rsidRPr="00F32B28">
        <w:rPr>
          <w:rtl/>
          <w:lang w:bidi="ar-LB"/>
        </w:rPr>
        <w:t>يعمل</w:t>
      </w:r>
      <w:r w:rsidR="00F32B28">
        <w:rPr>
          <w:rtl/>
          <w:lang w:bidi="ar-LB"/>
        </w:rPr>
        <w:t xml:space="preserve"> </w:t>
      </w:r>
      <w:r w:rsidR="00F32B28" w:rsidRPr="00F32B28">
        <w:rPr>
          <w:rtl/>
          <w:lang w:bidi="ar-LB"/>
        </w:rPr>
        <w:t>وضع</w:t>
      </w:r>
      <w:r w:rsidR="00F32B28">
        <w:rPr>
          <w:rtl/>
          <w:lang w:bidi="ar-LB"/>
        </w:rPr>
        <w:t xml:space="preserve"> </w:t>
      </w:r>
      <w:r w:rsidR="00F32B28" w:rsidRPr="00F32B28">
        <w:rPr>
          <w:rtl/>
          <w:lang w:bidi="ar-LB"/>
        </w:rPr>
        <w:t>الإجراءات</w:t>
      </w:r>
      <w:r w:rsidR="00F32B28">
        <w:rPr>
          <w:rtl/>
          <w:lang w:bidi="ar-LB"/>
        </w:rPr>
        <w:t xml:space="preserve"> </w:t>
      </w:r>
      <w:r w:rsidR="00F32B28" w:rsidRPr="00F32B28">
        <w:rPr>
          <w:rtl/>
          <w:lang w:bidi="ar-LB"/>
        </w:rPr>
        <w:t>الاحتياطية</w:t>
      </w:r>
      <w:r w:rsidR="00F32B28">
        <w:rPr>
          <w:rtl/>
          <w:lang w:bidi="ar-LB"/>
        </w:rPr>
        <w:t xml:space="preserve"> </w:t>
      </w:r>
      <w:r w:rsidR="00F32B28" w:rsidRPr="00F32B28">
        <w:rPr>
          <w:rtl/>
          <w:lang w:bidi="ar-LB"/>
        </w:rPr>
        <w:t>للتقليل</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الكوارث</w:t>
      </w:r>
      <w:r w:rsidR="00F32B28">
        <w:rPr>
          <w:rtl/>
          <w:lang w:bidi="ar-LB"/>
        </w:rPr>
        <w:t xml:space="preserve"> </w:t>
      </w:r>
      <w:r w:rsidR="00F32B28" w:rsidRPr="00F32B28">
        <w:rPr>
          <w:rtl/>
          <w:lang w:bidi="ar-LB"/>
        </w:rPr>
        <w:t>الطبيعية</w:t>
      </w:r>
      <w:r w:rsidR="00F32B28">
        <w:rPr>
          <w:rtl/>
          <w:lang w:bidi="ar-LB"/>
        </w:rPr>
        <w:t xml:space="preserve"> </w:t>
      </w:r>
      <w:r w:rsidR="00F32B28" w:rsidRPr="00F32B28">
        <w:rPr>
          <w:rtl/>
          <w:lang w:bidi="ar-LB"/>
        </w:rPr>
        <w:t>ومن</w:t>
      </w:r>
      <w:r w:rsidR="00F32B28">
        <w:rPr>
          <w:rtl/>
          <w:lang w:bidi="ar-LB"/>
        </w:rPr>
        <w:t xml:space="preserve"> </w:t>
      </w:r>
      <w:r w:rsidR="00F32B28" w:rsidRPr="00F32B28">
        <w:rPr>
          <w:rtl/>
          <w:lang w:bidi="ar-LB"/>
        </w:rPr>
        <w:t>المخاطر</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قد</w:t>
      </w:r>
      <w:r w:rsidR="00F32B28">
        <w:rPr>
          <w:rtl/>
          <w:lang w:bidi="ar-LB"/>
        </w:rPr>
        <w:t xml:space="preserve"> </w:t>
      </w:r>
      <w:r w:rsidR="00F32B28" w:rsidRPr="00F32B28">
        <w:rPr>
          <w:rtl/>
          <w:lang w:bidi="ar-LB"/>
        </w:rPr>
        <w:t>يتعرض</w:t>
      </w:r>
      <w:r w:rsidR="00F32B28">
        <w:rPr>
          <w:rtl/>
          <w:lang w:bidi="ar-LB"/>
        </w:rPr>
        <w:t xml:space="preserve"> </w:t>
      </w:r>
      <w:r w:rsidR="00F32B28" w:rsidRPr="00F32B28">
        <w:rPr>
          <w:rtl/>
          <w:lang w:bidi="ar-LB"/>
        </w:rPr>
        <w:t>لها</w:t>
      </w:r>
      <w:r w:rsidR="00F32B28">
        <w:rPr>
          <w:rtl/>
          <w:lang w:bidi="ar-LB"/>
        </w:rPr>
        <w:t xml:space="preserve"> </w:t>
      </w:r>
      <w:r w:rsidR="00F32B28" w:rsidRPr="00F32B28">
        <w:rPr>
          <w:rtl/>
          <w:lang w:bidi="ar-LB"/>
        </w:rPr>
        <w:t>القطاع</w:t>
      </w:r>
      <w:r w:rsidR="00F32B28">
        <w:rPr>
          <w:rtl/>
          <w:lang w:bidi="ar-LB"/>
        </w:rPr>
        <w:t xml:space="preserve"> </w:t>
      </w:r>
      <w:r w:rsidR="00F32B28" w:rsidRPr="00F32B28">
        <w:rPr>
          <w:rtl/>
          <w:lang w:bidi="ar-LB"/>
        </w:rPr>
        <w:t>الزراعي،</w:t>
      </w:r>
      <w:r w:rsidR="00F32B28">
        <w:rPr>
          <w:rtl/>
          <w:lang w:bidi="ar-LB"/>
        </w:rPr>
        <w:t xml:space="preserve"> </w:t>
      </w:r>
      <w:r w:rsidR="00F32B28" w:rsidRPr="00F32B28">
        <w:rPr>
          <w:rtl/>
          <w:lang w:bidi="ar-LB"/>
        </w:rPr>
        <w:t>وعلى</w:t>
      </w:r>
      <w:r w:rsidR="00F32B28">
        <w:rPr>
          <w:rtl/>
          <w:lang w:bidi="ar-LB"/>
        </w:rPr>
        <w:t xml:space="preserve"> </w:t>
      </w:r>
      <w:r w:rsidR="00F32B28" w:rsidRPr="00F32B28">
        <w:rPr>
          <w:rtl/>
          <w:lang w:bidi="ar-LB"/>
        </w:rPr>
        <w:t>رأسها</w:t>
      </w:r>
      <w:r w:rsidR="00F32B28">
        <w:rPr>
          <w:rtl/>
          <w:lang w:bidi="ar-LB"/>
        </w:rPr>
        <w:t xml:space="preserve"> </w:t>
      </w:r>
      <w:r w:rsidR="00F32B28" w:rsidRPr="00F32B28">
        <w:rPr>
          <w:rtl/>
          <w:lang w:bidi="ar-LB"/>
        </w:rPr>
        <w:t>انتهاكات</w:t>
      </w:r>
      <w:r w:rsidR="00F32B28">
        <w:rPr>
          <w:rtl/>
          <w:lang w:bidi="ar-LB"/>
        </w:rPr>
        <w:t xml:space="preserve"> </w:t>
      </w:r>
      <w:r w:rsidR="00F32B28" w:rsidRPr="00F32B28">
        <w:rPr>
          <w:rtl/>
          <w:lang w:bidi="ar-LB"/>
        </w:rPr>
        <w:t>الاحتلال</w:t>
      </w:r>
      <w:r w:rsidR="00F32B28">
        <w:rPr>
          <w:rtl/>
          <w:lang w:bidi="ar-LB"/>
        </w:rPr>
        <w:t xml:space="preserve"> </w:t>
      </w:r>
      <w:r w:rsidR="00F32B28" w:rsidRPr="00F32B28">
        <w:rPr>
          <w:rtl/>
          <w:lang w:bidi="ar-LB"/>
        </w:rPr>
        <w:t>الإسرائيلي،</w:t>
      </w:r>
      <w:r w:rsidR="00F32B28">
        <w:rPr>
          <w:rtl/>
          <w:lang w:bidi="ar-LB"/>
        </w:rPr>
        <w:t xml:space="preserve"> </w:t>
      </w:r>
      <w:r w:rsidR="00F32B28" w:rsidRPr="00F32B28">
        <w:rPr>
          <w:rtl/>
          <w:lang w:bidi="ar-LB"/>
        </w:rPr>
        <w:t>والحد</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آثارها،</w:t>
      </w:r>
      <w:r w:rsidR="00F32B28">
        <w:rPr>
          <w:rtl/>
          <w:lang w:bidi="ar-LB"/>
        </w:rPr>
        <w:t xml:space="preserve"> </w:t>
      </w:r>
      <w:r w:rsidR="00F32B28" w:rsidRPr="00F32B28">
        <w:rPr>
          <w:rtl/>
          <w:lang w:bidi="ar-LB"/>
        </w:rPr>
        <w:t>وتعويض</w:t>
      </w:r>
      <w:r w:rsidR="00F32B28">
        <w:rPr>
          <w:rtl/>
          <w:lang w:bidi="ar-LB"/>
        </w:rPr>
        <w:t xml:space="preserve"> </w:t>
      </w:r>
      <w:r w:rsidR="00F32B28" w:rsidRPr="00F32B28">
        <w:rPr>
          <w:rtl/>
          <w:lang w:bidi="ar-LB"/>
        </w:rPr>
        <w:t>المزارعين</w:t>
      </w:r>
      <w:r w:rsidR="00F32B28">
        <w:rPr>
          <w:rtl/>
          <w:lang w:bidi="ar-LB"/>
        </w:rPr>
        <w:t xml:space="preserve"> </w:t>
      </w:r>
      <w:r w:rsidR="00F32B28" w:rsidRPr="00F32B28">
        <w:rPr>
          <w:rtl/>
          <w:lang w:bidi="ar-LB"/>
        </w:rPr>
        <w:t>والمؤمن</w:t>
      </w:r>
      <w:r w:rsidR="00F32B28">
        <w:rPr>
          <w:rtl/>
          <w:lang w:bidi="ar-LB"/>
        </w:rPr>
        <w:t xml:space="preserve"> </w:t>
      </w:r>
      <w:r w:rsidR="00F32B28" w:rsidRPr="00F32B28">
        <w:rPr>
          <w:rtl/>
          <w:lang w:bidi="ar-LB"/>
        </w:rPr>
        <w:t>لهم</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حال</w:t>
      </w:r>
      <w:r w:rsidR="00F32B28">
        <w:rPr>
          <w:rtl/>
          <w:lang w:bidi="ar-LB"/>
        </w:rPr>
        <w:t xml:space="preserve"> </w:t>
      </w:r>
      <w:r w:rsidR="00F32B28" w:rsidRPr="00F32B28">
        <w:rPr>
          <w:rtl/>
          <w:lang w:bidi="ar-LB"/>
        </w:rPr>
        <w:t>وقوعها</w:t>
      </w:r>
      <w:r w:rsidR="00F32B28">
        <w:rPr>
          <w:rtl/>
          <w:lang w:bidi="ar-LB"/>
        </w:rPr>
        <w:t xml:space="preserve"> </w:t>
      </w:r>
      <w:r w:rsidR="00F32B28" w:rsidRPr="00F32B28">
        <w:rPr>
          <w:rtl/>
          <w:lang w:bidi="ar-LB"/>
        </w:rPr>
        <w:t>وإلحاقها</w:t>
      </w:r>
      <w:r w:rsidR="00F32B28">
        <w:rPr>
          <w:rtl/>
          <w:lang w:bidi="ar-LB"/>
        </w:rPr>
        <w:t xml:space="preserve"> </w:t>
      </w:r>
      <w:r w:rsidR="00F32B28" w:rsidRPr="00F32B28">
        <w:rPr>
          <w:rtl/>
          <w:lang w:bidi="ar-LB"/>
        </w:rPr>
        <w:t>ضرر</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خسارة</w:t>
      </w:r>
      <w:r w:rsidR="00F32B28">
        <w:rPr>
          <w:rtl/>
          <w:lang w:bidi="ar-LB"/>
        </w:rPr>
        <w:t xml:space="preserve"> </w:t>
      </w:r>
      <w:r w:rsidR="00F32B28" w:rsidRPr="00F32B28">
        <w:rPr>
          <w:rtl/>
          <w:lang w:bidi="ar-LB"/>
        </w:rPr>
        <w:t>بالعمل</w:t>
      </w:r>
      <w:r w:rsidR="00F32B28">
        <w:rPr>
          <w:rtl/>
          <w:lang w:bidi="ar-LB"/>
        </w:rPr>
        <w:t xml:space="preserve"> </w:t>
      </w:r>
      <w:r w:rsidR="00F32B28" w:rsidRPr="00F32B28">
        <w:rPr>
          <w:rtl/>
          <w:lang w:bidi="ar-LB"/>
        </w:rPr>
        <w:t>الزراعي.</w:t>
      </w:r>
    </w:p>
    <w:p w:rsidR="00F32B28" w:rsidRPr="00F32B28" w:rsidRDefault="00891A4B" w:rsidP="00891A4B">
      <w:pPr>
        <w:pStyle w:val="SingleTxt"/>
        <w:rPr>
          <w:rtl/>
          <w:lang w:bidi="ar-SY"/>
        </w:rPr>
      </w:pPr>
      <w:r>
        <w:rPr>
          <w:rFonts w:hint="cs"/>
          <w:rtl/>
          <w:lang w:bidi="ar-SY"/>
        </w:rPr>
        <w:lastRenderedPageBreak/>
        <w:t xml:space="preserve">294 - </w:t>
      </w:r>
      <w:r w:rsidR="00F32B28" w:rsidRPr="00F32B28">
        <w:rPr>
          <w:rtl/>
          <w:lang w:bidi="ar-SY"/>
        </w:rPr>
        <w:t>أولت</w:t>
      </w:r>
      <w:r w:rsidR="00F32B28">
        <w:rPr>
          <w:rtl/>
          <w:lang w:bidi="ar-SY"/>
        </w:rPr>
        <w:t xml:space="preserve"> </w:t>
      </w:r>
      <w:r w:rsidR="00F32B28" w:rsidRPr="00F32B28">
        <w:rPr>
          <w:rtl/>
          <w:lang w:bidi="ar-SY"/>
        </w:rPr>
        <w:t>خطة</w:t>
      </w:r>
      <w:r w:rsidR="00F32B28">
        <w:rPr>
          <w:rtl/>
          <w:lang w:bidi="ar-SY"/>
        </w:rPr>
        <w:t xml:space="preserve"> </w:t>
      </w:r>
      <w:r w:rsidR="00F32B28" w:rsidRPr="00F32B28">
        <w:rPr>
          <w:rtl/>
          <w:lang w:bidi="ar-SY"/>
        </w:rPr>
        <w:t>التنمية</w:t>
      </w:r>
      <w:r w:rsidR="00F32B28">
        <w:rPr>
          <w:rtl/>
          <w:lang w:bidi="ar-SY"/>
        </w:rPr>
        <w:t xml:space="preserve"> </w:t>
      </w:r>
      <w:r w:rsidR="00F32B28" w:rsidRPr="00F32B28">
        <w:rPr>
          <w:rtl/>
          <w:lang w:bidi="ar-SY"/>
        </w:rPr>
        <w:t>الوطنية</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للأعوام</w:t>
      </w:r>
      <w:r w:rsidR="00F32B28">
        <w:rPr>
          <w:rtl/>
          <w:lang w:bidi="ar-SY"/>
        </w:rPr>
        <w:t xml:space="preserve"> </w:t>
      </w:r>
      <w:r w:rsidR="00F32B28" w:rsidRPr="00F32B28">
        <w:rPr>
          <w:rtl/>
          <w:lang w:bidi="ar-SY"/>
        </w:rPr>
        <w:t>2014-2016</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الريفيات</w:t>
      </w:r>
      <w:r w:rsidR="00F32B28">
        <w:rPr>
          <w:rtl/>
          <w:lang w:bidi="ar-SY"/>
        </w:rPr>
        <w:t xml:space="preserve"> </w:t>
      </w:r>
      <w:r w:rsidR="00F32B28" w:rsidRPr="00F32B28">
        <w:rPr>
          <w:rtl/>
          <w:lang w:bidi="ar-SY"/>
        </w:rPr>
        <w:t>اهتماماً</w:t>
      </w:r>
      <w:r w:rsidR="00F32B28">
        <w:rPr>
          <w:rtl/>
          <w:lang w:bidi="ar-SY"/>
        </w:rPr>
        <w:t xml:space="preserve"> </w:t>
      </w:r>
      <w:r w:rsidR="00F32B28" w:rsidRPr="00F32B28">
        <w:rPr>
          <w:rtl/>
          <w:lang w:bidi="ar-SY"/>
        </w:rPr>
        <w:t>خاصاً</w:t>
      </w:r>
      <w:r w:rsidR="00F32B28">
        <w:rPr>
          <w:rtl/>
          <w:lang w:bidi="ar-SY"/>
        </w:rPr>
        <w:t xml:space="preserve"> </w:t>
      </w:r>
      <w:r w:rsidR="00F32B28" w:rsidRPr="00F32B28">
        <w:rPr>
          <w:rtl/>
          <w:lang w:bidi="ar-SY"/>
        </w:rPr>
        <w:t>ضمن</w:t>
      </w:r>
      <w:r w:rsidR="00F32B28">
        <w:rPr>
          <w:rtl/>
          <w:lang w:bidi="ar-SY"/>
        </w:rPr>
        <w:t xml:space="preserve"> </w:t>
      </w:r>
      <w:r w:rsidR="00F32B28" w:rsidRPr="00F32B28">
        <w:rPr>
          <w:rtl/>
          <w:lang w:bidi="ar-SY"/>
        </w:rPr>
        <w:t>أهدافها</w:t>
      </w:r>
      <w:r w:rsidR="00F32B28">
        <w:rPr>
          <w:rtl/>
          <w:lang w:bidi="ar-SY"/>
        </w:rPr>
        <w:t xml:space="preserve"> </w:t>
      </w:r>
      <w:r w:rsidR="00F32B28" w:rsidRPr="00F32B28">
        <w:rPr>
          <w:rtl/>
          <w:lang w:bidi="ar-SY"/>
        </w:rPr>
        <w:t>الاستراتيجية،</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rPr>
        <w:t>المناطق</w:t>
      </w:r>
      <w:r w:rsidR="00F32B28">
        <w:rPr>
          <w:rtl/>
        </w:rPr>
        <w:t xml:space="preserve"> </w:t>
      </w:r>
      <w:r w:rsidR="00F32B28" w:rsidRPr="00F32B28">
        <w:rPr>
          <w:rtl/>
        </w:rPr>
        <w:t>المسماة</w:t>
      </w:r>
      <w:r w:rsidR="00F32B28">
        <w:rPr>
          <w:rtl/>
        </w:rPr>
        <w:t xml:space="preserve"> </w:t>
      </w:r>
      <w:r w:rsidR="00F32B28" w:rsidRPr="00F32B28">
        <w:rPr>
          <w:rtl/>
        </w:rPr>
        <w:t>(ج)</w:t>
      </w:r>
      <w:r w:rsidR="00F32B28">
        <w:rPr>
          <w:rtl/>
        </w:rPr>
        <w:t xml:space="preserve"> </w:t>
      </w:r>
      <w:r w:rsidR="00F32B28" w:rsidRPr="00F32B28">
        <w:rPr>
          <w:rtl/>
          <w:lang w:bidi="ar-SY"/>
        </w:rPr>
        <w:t>والمناطق</w:t>
      </w:r>
      <w:r w:rsidR="00F32B28">
        <w:rPr>
          <w:rtl/>
          <w:lang w:bidi="ar-SY"/>
        </w:rPr>
        <w:t xml:space="preserve"> </w:t>
      </w:r>
      <w:r w:rsidR="00F32B28" w:rsidRPr="00F32B28">
        <w:rPr>
          <w:rtl/>
          <w:lang w:bidi="ar-SY"/>
        </w:rPr>
        <w:t>المهمشة</w:t>
      </w:r>
      <w:r w:rsidR="00F32B28">
        <w:rPr>
          <w:rtl/>
          <w:lang w:bidi="ar-SY"/>
        </w:rPr>
        <w:t xml:space="preserve"> </w:t>
      </w:r>
      <w:r w:rsidR="00F32B28" w:rsidRPr="00F32B28">
        <w:rPr>
          <w:rtl/>
          <w:lang w:bidi="ar-SY"/>
        </w:rPr>
        <w:t>ومخيمات</w:t>
      </w:r>
      <w:r w:rsidR="00F32B28">
        <w:rPr>
          <w:rtl/>
          <w:lang w:bidi="ar-SY"/>
        </w:rPr>
        <w:t xml:space="preserve"> </w:t>
      </w:r>
      <w:r w:rsidR="00F32B28" w:rsidRPr="00F32B28">
        <w:rPr>
          <w:rtl/>
          <w:lang w:bidi="ar-SY"/>
        </w:rPr>
        <w:t>اللجوء</w:t>
      </w:r>
      <w:r w:rsidR="00F32B28">
        <w:rPr>
          <w:rtl/>
          <w:lang w:bidi="ar-SY"/>
        </w:rPr>
        <w:t xml:space="preserve"> </w:t>
      </w:r>
      <w:r w:rsidR="00F32B28" w:rsidRPr="00F32B28">
        <w:rPr>
          <w:rtl/>
          <w:lang w:bidi="ar-SY"/>
        </w:rPr>
        <w:t>والمناطق</w:t>
      </w:r>
      <w:r w:rsidR="00F32B28">
        <w:rPr>
          <w:rtl/>
          <w:lang w:bidi="ar-SY"/>
        </w:rPr>
        <w:t xml:space="preserve"> </w:t>
      </w:r>
      <w:r w:rsidR="00F32B28" w:rsidRPr="00F32B28">
        <w:rPr>
          <w:rtl/>
          <w:lang w:bidi="ar-SY"/>
        </w:rPr>
        <w:t>المتضررة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جدار</w:t>
      </w:r>
      <w:r w:rsidR="00F32B28">
        <w:rPr>
          <w:rtl/>
          <w:lang w:bidi="ar-SY"/>
        </w:rPr>
        <w:t xml:space="preserve"> </w:t>
      </w:r>
      <w:r w:rsidR="00F32B28" w:rsidRPr="00F32B28">
        <w:rPr>
          <w:rtl/>
          <w:lang w:bidi="ar-SY"/>
        </w:rPr>
        <w:t>الضم</w:t>
      </w:r>
      <w:r w:rsidR="00F32B28">
        <w:rPr>
          <w:rtl/>
          <w:lang w:bidi="ar-SY"/>
        </w:rPr>
        <w:t xml:space="preserve"> </w:t>
      </w:r>
      <w:r w:rsidR="00F32B28" w:rsidRPr="00F32B28">
        <w:rPr>
          <w:rtl/>
          <w:lang w:bidi="ar-SY"/>
        </w:rPr>
        <w:t>والتوسع</w:t>
      </w:r>
      <w:r w:rsidR="00F32B28">
        <w:rPr>
          <w:rtl/>
          <w:lang w:bidi="ar-SY"/>
        </w:rPr>
        <w:t xml:space="preserve"> </w:t>
      </w:r>
      <w:r w:rsidR="00F32B28" w:rsidRPr="00F32B28">
        <w:rPr>
          <w:rtl/>
          <w:lang w:bidi="ar-SY"/>
        </w:rPr>
        <w:t>والمستوطنات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يتعلق</w:t>
      </w:r>
      <w:r w:rsidR="00F32B28">
        <w:rPr>
          <w:rtl/>
          <w:lang w:bidi="ar-SY"/>
        </w:rPr>
        <w:t xml:space="preserve"> </w:t>
      </w:r>
      <w:r w:rsidR="00F32B28" w:rsidRPr="00F32B28">
        <w:rPr>
          <w:rtl/>
          <w:lang w:bidi="ar-SY"/>
        </w:rPr>
        <w:t>بزيادة</w:t>
      </w:r>
      <w:r w:rsidR="00F32B28">
        <w:rPr>
          <w:rtl/>
          <w:lang w:bidi="ar-SY"/>
        </w:rPr>
        <w:t xml:space="preserve"> </w:t>
      </w:r>
      <w:r w:rsidR="00F32B28" w:rsidRPr="00F32B28">
        <w:rPr>
          <w:rtl/>
          <w:lang w:bidi="ar-SY"/>
        </w:rPr>
        <w:t>ضمان</w:t>
      </w:r>
      <w:r w:rsidR="00F32B28">
        <w:rPr>
          <w:rtl/>
          <w:lang w:bidi="ar-SY"/>
        </w:rPr>
        <w:t xml:space="preserve"> </w:t>
      </w:r>
      <w:r w:rsidR="00F32B28" w:rsidRPr="00F32B28">
        <w:rPr>
          <w:rtl/>
          <w:lang w:bidi="ar-SY"/>
        </w:rPr>
        <w:t>وصولهن</w:t>
      </w:r>
      <w:r w:rsidR="00F32B28">
        <w:rPr>
          <w:rtl/>
          <w:lang w:bidi="ar-SY"/>
        </w:rPr>
        <w:t xml:space="preserve"> </w:t>
      </w:r>
      <w:r w:rsidR="00F32B28" w:rsidRPr="00F32B28">
        <w:rPr>
          <w:rtl/>
          <w:lang w:bidi="ar-SY"/>
        </w:rPr>
        <w:t>العادل</w:t>
      </w:r>
      <w:r w:rsidR="00F32B28">
        <w:rPr>
          <w:rtl/>
          <w:lang w:bidi="ar-SY"/>
        </w:rPr>
        <w:t xml:space="preserve"> </w:t>
      </w:r>
      <w:r w:rsidR="00F32B28" w:rsidRPr="00F32B28">
        <w:rPr>
          <w:rtl/>
          <w:lang w:bidi="ar-SY"/>
        </w:rPr>
        <w:t>للخدمات</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وتحسين</w:t>
      </w:r>
      <w:r w:rsidR="00F32B28">
        <w:rPr>
          <w:rtl/>
          <w:lang w:bidi="ar-SY"/>
        </w:rPr>
        <w:t xml:space="preserve"> </w:t>
      </w:r>
      <w:r w:rsidR="00F32B28" w:rsidRPr="00F32B28">
        <w:rPr>
          <w:rtl/>
          <w:lang w:bidi="ar-SY"/>
        </w:rPr>
        <w:t>فعالية</w:t>
      </w:r>
      <w:r w:rsidR="00F32B28">
        <w:rPr>
          <w:rtl/>
          <w:lang w:bidi="ar-SY"/>
        </w:rPr>
        <w:t xml:space="preserve"> </w:t>
      </w:r>
      <w:r w:rsidR="00F32B28" w:rsidRPr="00F32B28">
        <w:rPr>
          <w:rtl/>
          <w:lang w:bidi="ar-SY"/>
        </w:rPr>
        <w:t>هذه</w:t>
      </w:r>
      <w:r w:rsidR="004C698D">
        <w:rPr>
          <w:rFonts w:hint="cs"/>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والعمل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جسر</w:t>
      </w:r>
      <w:r w:rsidR="00F32B28">
        <w:rPr>
          <w:rtl/>
          <w:lang w:bidi="ar-SY"/>
        </w:rPr>
        <w:t xml:space="preserve"> </w:t>
      </w:r>
      <w:r w:rsidR="00F32B28" w:rsidRPr="00F32B28">
        <w:rPr>
          <w:rtl/>
          <w:lang w:bidi="ar-SY"/>
        </w:rPr>
        <w:t>الفجوة</w:t>
      </w:r>
      <w:r w:rsidR="00F32B28">
        <w:rPr>
          <w:rtl/>
          <w:lang w:bidi="ar-SY"/>
        </w:rPr>
        <w:t xml:space="preserve"> </w:t>
      </w:r>
      <w:r w:rsidR="00F32B28" w:rsidRPr="00F32B28">
        <w:rPr>
          <w:rtl/>
          <w:lang w:bidi="ar-SY"/>
        </w:rPr>
        <w:t>التنموية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الجغرافية</w:t>
      </w:r>
      <w:r w:rsidR="00F32B28">
        <w:rPr>
          <w:rtl/>
          <w:lang w:bidi="ar-SY"/>
        </w:rPr>
        <w:t xml:space="preserve"> </w:t>
      </w:r>
      <w:r w:rsidR="00F32B28" w:rsidRPr="00F32B28">
        <w:rPr>
          <w:rtl/>
          <w:lang w:bidi="ar-SY"/>
        </w:rPr>
        <w:t>المختلفة.</w:t>
      </w:r>
    </w:p>
    <w:p w:rsidR="00891A4B" w:rsidRPr="00891A4B" w:rsidRDefault="00891A4B" w:rsidP="00891A4B">
      <w:pPr>
        <w:pStyle w:val="SingleTxt"/>
        <w:spacing w:after="0" w:line="120" w:lineRule="exact"/>
        <w:rPr>
          <w:b/>
          <w:bCs/>
          <w:sz w:val="10"/>
          <w:rtl/>
          <w:lang w:bidi="ar-LB"/>
        </w:rPr>
      </w:pPr>
    </w:p>
    <w:p w:rsidR="00F32B28" w:rsidRPr="00F32B28" w:rsidRDefault="00F32B28" w:rsidP="00F32B28">
      <w:pPr>
        <w:pStyle w:val="SingleTxt"/>
        <w:rPr>
          <w:b/>
          <w:bCs/>
          <w:rtl/>
          <w:lang w:bidi="ar-LB"/>
        </w:rPr>
      </w:pPr>
      <w:r w:rsidRPr="00F32B28">
        <w:rPr>
          <w:b/>
          <w:bCs/>
          <w:rtl/>
          <w:lang w:bidi="ar-LB"/>
        </w:rPr>
        <w:t>التحديات</w:t>
      </w:r>
    </w:p>
    <w:p w:rsidR="00F32B28" w:rsidRPr="00F32B28" w:rsidRDefault="00F32B28" w:rsidP="00F32B28">
      <w:pPr>
        <w:pStyle w:val="SingleTxt"/>
        <w:rPr>
          <w:b/>
          <w:bCs/>
          <w:rtl/>
          <w:lang w:bidi="ar-LB"/>
        </w:rPr>
      </w:pPr>
      <w:r w:rsidRPr="00F32B28">
        <w:rPr>
          <w:b/>
          <w:bCs/>
          <w:rtl/>
          <w:lang w:bidi="ar-LB"/>
        </w:rPr>
        <w:t>تفتيت</w:t>
      </w:r>
      <w:r>
        <w:rPr>
          <w:b/>
          <w:bCs/>
          <w:rtl/>
          <w:lang w:bidi="ar-LB"/>
        </w:rPr>
        <w:t xml:space="preserve"> </w:t>
      </w:r>
      <w:r w:rsidRPr="00F32B28">
        <w:rPr>
          <w:b/>
          <w:bCs/>
          <w:rtl/>
          <w:lang w:bidi="ar-LB"/>
        </w:rPr>
        <w:t>الأرض</w:t>
      </w:r>
      <w:r>
        <w:rPr>
          <w:b/>
          <w:bCs/>
          <w:rtl/>
          <w:lang w:bidi="ar-LB"/>
        </w:rPr>
        <w:t xml:space="preserve"> </w:t>
      </w:r>
      <w:r w:rsidRPr="00F32B28">
        <w:rPr>
          <w:b/>
          <w:bCs/>
          <w:rtl/>
          <w:lang w:bidi="ar-LB"/>
        </w:rPr>
        <w:t>الفلسطينية</w:t>
      </w:r>
    </w:p>
    <w:p w:rsidR="00F32B28" w:rsidRPr="00F32B28" w:rsidRDefault="00891A4B" w:rsidP="00891A4B">
      <w:pPr>
        <w:pStyle w:val="SingleTxt"/>
      </w:pPr>
      <w:r>
        <w:rPr>
          <w:rFonts w:hint="cs"/>
          <w:rtl/>
        </w:rPr>
        <w:t xml:space="preserve">295 - </w:t>
      </w:r>
      <w:r w:rsidR="00F32B28" w:rsidRPr="00F32B28">
        <w:rPr>
          <w:rtl/>
        </w:rPr>
        <w:t>تعتبر</w:t>
      </w:r>
      <w:r w:rsidR="00F32B28">
        <w:rPr>
          <w:rtl/>
        </w:rPr>
        <w:t xml:space="preserve"> </w:t>
      </w:r>
      <w:r w:rsidR="00F32B28" w:rsidRPr="00F32B28">
        <w:rPr>
          <w:rtl/>
        </w:rPr>
        <w:t>إسرائيل،</w:t>
      </w:r>
      <w:r w:rsidR="00F32B28" w:rsidRPr="00F32B28">
        <w:rPr>
          <w:rtl/>
          <w:lang w:bidi="ar-SY"/>
        </w:rPr>
        <w:t>السلطة</w:t>
      </w:r>
      <w:r w:rsidR="00F32B28">
        <w:rPr>
          <w:rtl/>
          <w:lang w:bidi="ar-SY"/>
        </w:rPr>
        <w:t xml:space="preserve"> </w:t>
      </w:r>
      <w:r w:rsidR="00F32B28" w:rsidRPr="00F32B28">
        <w:rPr>
          <w:rtl/>
          <w:lang w:bidi="ar-SY"/>
        </w:rPr>
        <w:t>القائمة</w:t>
      </w:r>
      <w:r w:rsidR="00F32B28">
        <w:rPr>
          <w:rtl/>
          <w:lang w:bidi="ar-SY"/>
        </w:rPr>
        <w:t xml:space="preserve"> </w:t>
      </w:r>
      <w:r w:rsidR="00F32B28" w:rsidRPr="00F32B28">
        <w:rPr>
          <w:rtl/>
          <w:lang w:bidi="ar-SY"/>
        </w:rPr>
        <w:t>بالاحتلال،</w:t>
      </w:r>
      <w:r w:rsidR="00F32B28">
        <w:rPr>
          <w:rtl/>
          <w:lang w:bidi="ar-SY"/>
        </w:rPr>
        <w:t xml:space="preserve"> </w:t>
      </w:r>
      <w:r w:rsidR="00F32B28" w:rsidRPr="00F32B28">
        <w:rPr>
          <w:rtl/>
        </w:rPr>
        <w:t>مسؤولة</w:t>
      </w:r>
      <w:r>
        <w:rPr>
          <w:rFonts w:hint="cs"/>
          <w:rtl/>
        </w:rPr>
        <w:t xml:space="preserve"> </w:t>
      </w:r>
      <w:r w:rsidR="00F32B28" w:rsidRPr="00F32B28">
        <w:rPr>
          <w:rtl/>
        </w:rPr>
        <w:t>عن</w:t>
      </w:r>
      <w:r>
        <w:rPr>
          <w:rFonts w:hint="cs"/>
          <w:rtl/>
        </w:rPr>
        <w:t xml:space="preserve"> </w:t>
      </w:r>
      <w:r w:rsidR="00F32B28" w:rsidRPr="00F32B28">
        <w:rPr>
          <w:rtl/>
        </w:rPr>
        <w:t>ال</w:t>
      </w:r>
      <w:r w:rsidR="00F32B28" w:rsidRPr="00F32B28">
        <w:rPr>
          <w:rFonts w:hint="cs"/>
          <w:rtl/>
        </w:rPr>
        <w:t>ممارسات</w:t>
      </w:r>
      <w:r w:rsidR="00F32B28">
        <w:rPr>
          <w:rFonts w:hint="cs"/>
          <w:rtl/>
        </w:rPr>
        <w:t xml:space="preserve"> </w:t>
      </w:r>
      <w:r w:rsidR="00F32B28" w:rsidRPr="00F32B28">
        <w:rPr>
          <w:rFonts w:hint="cs"/>
          <w:rtl/>
        </w:rPr>
        <w:t>غير</w:t>
      </w:r>
      <w:r w:rsidR="00F32B28">
        <w:rPr>
          <w:rFonts w:hint="cs"/>
          <w:rtl/>
        </w:rPr>
        <w:t xml:space="preserve"> </w:t>
      </w:r>
      <w:r w:rsidR="00F32B28" w:rsidRPr="00F32B28">
        <w:rPr>
          <w:rFonts w:hint="cs"/>
          <w:rtl/>
        </w:rPr>
        <w:t>القانونية</w:t>
      </w:r>
      <w:r>
        <w:rPr>
          <w:rFonts w:hint="cs"/>
          <w:rtl/>
        </w:rPr>
        <w:t xml:space="preserve"> </w:t>
      </w:r>
      <w:r w:rsidR="00F32B28" w:rsidRPr="00F32B28">
        <w:rPr>
          <w:rtl/>
        </w:rPr>
        <w:t>التي</w:t>
      </w:r>
      <w:r>
        <w:rPr>
          <w:rFonts w:hint="cs"/>
          <w:rtl/>
        </w:rPr>
        <w:t xml:space="preserve"> </w:t>
      </w:r>
      <w:r w:rsidR="00F32B28" w:rsidRPr="00F32B28">
        <w:rPr>
          <w:rtl/>
        </w:rPr>
        <w:t>ت</w:t>
      </w:r>
      <w:r w:rsidR="00F32B28" w:rsidRPr="00F32B28">
        <w:rPr>
          <w:rFonts w:hint="cs"/>
          <w:rtl/>
        </w:rPr>
        <w:t>نتهجها</w:t>
      </w:r>
      <w:r>
        <w:rPr>
          <w:rFonts w:hint="cs"/>
          <w:rtl/>
        </w:rPr>
        <w:t xml:space="preserve"> </w:t>
      </w:r>
      <w:r w:rsidR="00F32B28" w:rsidRPr="00F32B28">
        <w:rPr>
          <w:rFonts w:hint="cs"/>
          <w:rtl/>
        </w:rPr>
        <w:t>بشكل</w:t>
      </w:r>
      <w:r w:rsidR="00F32B28">
        <w:rPr>
          <w:rFonts w:hint="cs"/>
          <w:rtl/>
        </w:rPr>
        <w:t xml:space="preserve"> </w:t>
      </w:r>
      <w:r w:rsidR="00F32B28" w:rsidRPr="00F32B28">
        <w:rPr>
          <w:rFonts w:hint="cs"/>
          <w:rtl/>
        </w:rPr>
        <w:t>واسع</w:t>
      </w:r>
      <w:r w:rsidR="00F32B28">
        <w:rPr>
          <w:rFonts w:hint="cs"/>
          <w:rtl/>
        </w:rPr>
        <w:t xml:space="preserve"> </w:t>
      </w:r>
      <w:r w:rsidR="00F32B28" w:rsidRPr="00F32B28">
        <w:rPr>
          <w:rtl/>
        </w:rPr>
        <w:t>والتي</w:t>
      </w:r>
      <w:r w:rsidR="00F32B28">
        <w:rPr>
          <w:rtl/>
        </w:rPr>
        <w:t xml:space="preserve"> </w:t>
      </w:r>
      <w:r w:rsidR="00F32B28" w:rsidRPr="00F32B28">
        <w:rPr>
          <w:rtl/>
        </w:rPr>
        <w:t>تخلق</w:t>
      </w:r>
      <w:r w:rsidR="00F32B28">
        <w:rPr>
          <w:rtl/>
        </w:rPr>
        <w:t xml:space="preserve"> </w:t>
      </w:r>
      <w:r w:rsidR="00F32B28" w:rsidRPr="00F32B28">
        <w:rPr>
          <w:rtl/>
        </w:rPr>
        <w:t>من</w:t>
      </w:r>
      <w:r w:rsidR="00F32B28">
        <w:rPr>
          <w:rtl/>
        </w:rPr>
        <w:t xml:space="preserve"> </w:t>
      </w:r>
      <w:r w:rsidR="00F32B28" w:rsidRPr="00F32B28">
        <w:rPr>
          <w:rtl/>
        </w:rPr>
        <w:t>خلالها</w:t>
      </w:r>
      <w:r w:rsidR="00F32B28">
        <w:rPr>
          <w:rtl/>
        </w:rPr>
        <w:t xml:space="preserve"> </w:t>
      </w:r>
      <w:r w:rsidR="00F32B28" w:rsidRPr="00F32B28">
        <w:rPr>
          <w:rtl/>
        </w:rPr>
        <w:t>أمراً</w:t>
      </w:r>
      <w:r w:rsidR="00F32B28">
        <w:rPr>
          <w:rtl/>
        </w:rPr>
        <w:t xml:space="preserve"> </w:t>
      </w:r>
      <w:r w:rsidR="00F32B28" w:rsidRPr="00F32B28">
        <w:rPr>
          <w:rtl/>
        </w:rPr>
        <w:t>واقعاً</w:t>
      </w:r>
      <w:r>
        <w:rPr>
          <w:rFonts w:hint="cs"/>
          <w:rtl/>
        </w:rPr>
        <w:t xml:space="preserve"> </w:t>
      </w:r>
      <w:r w:rsidR="00F32B28" w:rsidRPr="00F32B28">
        <w:rPr>
          <w:rtl/>
        </w:rPr>
        <w:t>يشكل</w:t>
      </w:r>
      <w:r w:rsidR="00F32B28">
        <w:rPr>
          <w:rtl/>
        </w:rPr>
        <w:t xml:space="preserve"> </w:t>
      </w:r>
      <w:r w:rsidR="00F32B28" w:rsidRPr="00F32B28">
        <w:rPr>
          <w:rtl/>
        </w:rPr>
        <w:t>وضعاً</w:t>
      </w:r>
      <w:r w:rsidR="00F32B28">
        <w:rPr>
          <w:rtl/>
        </w:rPr>
        <w:t xml:space="preserve"> </w:t>
      </w:r>
      <w:r w:rsidR="00F32B28" w:rsidRPr="00F32B28">
        <w:rPr>
          <w:rtl/>
        </w:rPr>
        <w:t>دائماً</w:t>
      </w:r>
      <w:r w:rsidR="00F32B28">
        <w:rPr>
          <w:rtl/>
        </w:rPr>
        <w:t xml:space="preserve"> </w:t>
      </w:r>
      <w:r w:rsidR="00F32B28" w:rsidRPr="00F32B28">
        <w:rPr>
          <w:rtl/>
        </w:rPr>
        <w:t>غير</w:t>
      </w:r>
      <w:r w:rsidR="00F32B28">
        <w:rPr>
          <w:rtl/>
        </w:rPr>
        <w:t xml:space="preserve"> </w:t>
      </w:r>
      <w:r w:rsidR="00F32B28" w:rsidRPr="00F32B28">
        <w:rPr>
          <w:rtl/>
        </w:rPr>
        <w:t>شرعي</w:t>
      </w:r>
      <w:r w:rsidR="00F32B28">
        <w:rPr>
          <w:rtl/>
        </w:rPr>
        <w:t xml:space="preserve"> </w:t>
      </w:r>
      <w:r w:rsidR="00F32B28" w:rsidRPr="00F32B28">
        <w:rPr>
          <w:rtl/>
        </w:rPr>
        <w:t>على</w:t>
      </w:r>
      <w:r w:rsidR="00F32B28">
        <w:rPr>
          <w:rtl/>
        </w:rPr>
        <w:t xml:space="preserve"> </w:t>
      </w:r>
      <w:r w:rsidR="00F32B28" w:rsidRPr="00F32B28">
        <w:rPr>
          <w:rtl/>
        </w:rPr>
        <w:t>الأرض</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المحتلة</w:t>
      </w:r>
      <w:r w:rsidR="00F32B28">
        <w:rPr>
          <w:rtl/>
          <w:lang w:bidi="ar-SY"/>
        </w:rPr>
        <w:t xml:space="preserve"> </w:t>
      </w:r>
      <w:r w:rsidR="00F32B28" w:rsidRPr="00F32B28">
        <w:rPr>
          <w:rtl/>
          <w:lang w:bidi="ar-SY"/>
        </w:rPr>
        <w:t>و</w:t>
      </w:r>
      <w:r w:rsidR="00F32B28" w:rsidRPr="00F32B28">
        <w:rPr>
          <w:rtl/>
        </w:rPr>
        <w:t>يقسمها</w:t>
      </w:r>
      <w:r w:rsidR="00F32B28">
        <w:rPr>
          <w:rtl/>
        </w:rPr>
        <w:t xml:space="preserve"> </w:t>
      </w:r>
      <w:r w:rsidR="00F32B28" w:rsidRPr="00F32B28">
        <w:rPr>
          <w:rtl/>
        </w:rPr>
        <w:t>إلى</w:t>
      </w:r>
      <w:r w:rsidR="00F32B28">
        <w:rPr>
          <w:rtl/>
        </w:rPr>
        <w:t xml:space="preserve"> </w:t>
      </w:r>
      <w:r w:rsidR="00F32B28" w:rsidRPr="00F32B28">
        <w:rPr>
          <w:rtl/>
        </w:rPr>
        <w:t>معازل</w:t>
      </w:r>
      <w:r w:rsidR="00F32B28">
        <w:rPr>
          <w:rtl/>
        </w:rPr>
        <w:t xml:space="preserve"> </w:t>
      </w:r>
      <w:r w:rsidR="00F32B28" w:rsidRPr="00F32B28">
        <w:rPr>
          <w:rtl/>
        </w:rPr>
        <w:t>ويمزق</w:t>
      </w:r>
      <w:r w:rsidR="00F32B28">
        <w:rPr>
          <w:rtl/>
        </w:rPr>
        <w:t xml:space="preserve"> </w:t>
      </w:r>
      <w:r w:rsidR="00F32B28" w:rsidRPr="00F32B28">
        <w:rPr>
          <w:rtl/>
        </w:rPr>
        <w:t>وحدتها</w:t>
      </w:r>
      <w:r w:rsidR="00F32B28">
        <w:rPr>
          <w:rtl/>
        </w:rPr>
        <w:t xml:space="preserve"> </w:t>
      </w:r>
      <w:r w:rsidR="00F32B28" w:rsidRPr="00F32B28">
        <w:rPr>
          <w:rtl/>
        </w:rPr>
        <w:t>الجغرافية</w:t>
      </w:r>
      <w:r w:rsidR="00F32B28">
        <w:rPr>
          <w:rtl/>
        </w:rPr>
        <w:t xml:space="preserve"> </w:t>
      </w:r>
      <w:r w:rsidR="00F32B28" w:rsidRPr="00F32B28">
        <w:rPr>
          <w:rtl/>
        </w:rPr>
        <w:t>وينتهك</w:t>
      </w:r>
      <w:r w:rsidR="00F32B28">
        <w:rPr>
          <w:rtl/>
        </w:rPr>
        <w:t xml:space="preserve"> </w:t>
      </w:r>
      <w:r w:rsidR="00F32B28" w:rsidRPr="00F32B28">
        <w:rPr>
          <w:rtl/>
        </w:rPr>
        <w:t>حق</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تقرير</w:t>
      </w:r>
      <w:r w:rsidR="00F32B28">
        <w:rPr>
          <w:rtl/>
        </w:rPr>
        <w:t xml:space="preserve"> </w:t>
      </w:r>
      <w:r w:rsidR="00F32B28" w:rsidRPr="00F32B28">
        <w:rPr>
          <w:rtl/>
        </w:rPr>
        <w:t>المصير</w:t>
      </w:r>
      <w:r w:rsidR="00F32B28">
        <w:rPr>
          <w:rtl/>
        </w:rPr>
        <w:t xml:space="preserve"> </w:t>
      </w:r>
      <w:r w:rsidR="00F32B28" w:rsidRPr="00F32B28">
        <w:rPr>
          <w:rtl/>
        </w:rPr>
        <w:t>في</w:t>
      </w:r>
      <w:r w:rsidR="00F32B28">
        <w:rPr>
          <w:rtl/>
        </w:rPr>
        <w:t xml:space="preserve"> </w:t>
      </w:r>
      <w:r w:rsidR="00F32B28" w:rsidRPr="00F32B28">
        <w:rPr>
          <w:rtl/>
        </w:rPr>
        <w:t>مخالفة</w:t>
      </w:r>
      <w:r w:rsidR="00F32B28">
        <w:rPr>
          <w:rtl/>
        </w:rPr>
        <w:t xml:space="preserve"> </w:t>
      </w:r>
      <w:r w:rsidR="00F32B28" w:rsidRPr="00F32B28">
        <w:rPr>
          <w:rtl/>
        </w:rPr>
        <w:t>صريحة</w:t>
      </w:r>
      <w:r w:rsidR="00F32B28">
        <w:rPr>
          <w:rtl/>
        </w:rPr>
        <w:t xml:space="preserve"> </w:t>
      </w:r>
      <w:r w:rsidR="00F32B28" w:rsidRPr="00F32B28">
        <w:rPr>
          <w:rtl/>
        </w:rPr>
        <w:t>للقواعد</w:t>
      </w:r>
      <w:r w:rsidR="00F32B28">
        <w:rPr>
          <w:rtl/>
        </w:rPr>
        <w:t xml:space="preserve"> </w:t>
      </w:r>
      <w:r w:rsidR="00F32B28" w:rsidRPr="00F32B28">
        <w:rPr>
          <w:rtl/>
        </w:rPr>
        <w:t>الدولية.</w:t>
      </w:r>
      <w:r w:rsidR="00F32B28">
        <w:rPr>
          <w:rtl/>
        </w:rPr>
        <w:t xml:space="preserve"> </w:t>
      </w:r>
      <w:r w:rsidR="00F32B28" w:rsidRPr="00F32B28">
        <w:rPr>
          <w:rtl/>
        </w:rPr>
        <w:t>وتشمل</w:t>
      </w:r>
      <w:r w:rsidR="00F32B28">
        <w:rPr>
          <w:rtl/>
        </w:rPr>
        <w:t xml:space="preserve"> </w:t>
      </w:r>
      <w:r w:rsidR="00F32B28" w:rsidRPr="00F32B28">
        <w:rPr>
          <w:rtl/>
        </w:rPr>
        <w:t>هذه</w:t>
      </w:r>
      <w:r w:rsidR="00F32B28">
        <w:rPr>
          <w:rtl/>
        </w:rPr>
        <w:t xml:space="preserve"> </w:t>
      </w:r>
      <w:r w:rsidR="00F32B28" w:rsidRPr="00F32B28">
        <w:rPr>
          <w:rtl/>
        </w:rPr>
        <w:t>التدابير</w:t>
      </w:r>
      <w:r w:rsidR="00F32B28">
        <w:rPr>
          <w:rtl/>
        </w:rPr>
        <w:t xml:space="preserve"> </w:t>
      </w:r>
      <w:r w:rsidR="00F32B28" w:rsidRPr="00F32B28">
        <w:rPr>
          <w:rtl/>
        </w:rPr>
        <w:t>تدمير</w:t>
      </w:r>
      <w:r w:rsidR="00F32B28">
        <w:rPr>
          <w:rtl/>
        </w:rPr>
        <w:t xml:space="preserve"> </w:t>
      </w:r>
      <w:r w:rsidR="00F32B28" w:rsidRPr="00F32B28">
        <w:rPr>
          <w:rtl/>
        </w:rPr>
        <w:t>الممتلكات</w:t>
      </w:r>
      <w:r w:rsidR="00F32B28">
        <w:rPr>
          <w:rtl/>
        </w:rPr>
        <w:t xml:space="preserve"> </w:t>
      </w:r>
      <w:r w:rsidR="00F32B28" w:rsidRPr="00F32B28">
        <w:rPr>
          <w:rtl/>
        </w:rPr>
        <w:t>والاستيلاء</w:t>
      </w:r>
      <w:r w:rsidR="00F32B28">
        <w:rPr>
          <w:rtl/>
        </w:rPr>
        <w:t xml:space="preserve"> </w:t>
      </w:r>
      <w:r w:rsidR="00F32B28" w:rsidRPr="00F32B28">
        <w:rPr>
          <w:rtl/>
        </w:rPr>
        <w:t>على</w:t>
      </w:r>
      <w:r w:rsidR="00F32B28">
        <w:rPr>
          <w:rtl/>
        </w:rPr>
        <w:t xml:space="preserve"> </w:t>
      </w:r>
      <w:r w:rsidR="00F32B28" w:rsidRPr="00F32B28">
        <w:rPr>
          <w:rtl/>
        </w:rPr>
        <w:t>الأراضي</w:t>
      </w:r>
      <w:r w:rsidR="00F32B28">
        <w:rPr>
          <w:rtl/>
        </w:rPr>
        <w:t xml:space="preserve"> </w:t>
      </w:r>
      <w:r w:rsidR="00F32B28" w:rsidRPr="00F32B28">
        <w:rPr>
          <w:rtl/>
        </w:rPr>
        <w:t>الفلسطينية</w:t>
      </w:r>
      <w:r w:rsidR="00F32B28">
        <w:rPr>
          <w:rtl/>
        </w:rPr>
        <w:t xml:space="preserve"> </w:t>
      </w:r>
      <w:r w:rsidR="00F32B28" w:rsidRPr="00F32B28">
        <w:rPr>
          <w:rtl/>
        </w:rPr>
        <w:t>وضمها</w:t>
      </w:r>
      <w:r w:rsidR="00F32B28">
        <w:rPr>
          <w:rtl/>
        </w:rPr>
        <w:t xml:space="preserve"> </w:t>
      </w:r>
      <w:r w:rsidR="00F32B28" w:rsidRPr="00F32B28">
        <w:rPr>
          <w:rtl/>
        </w:rPr>
        <w:t>الفعلي</w:t>
      </w:r>
      <w:r w:rsidR="00F32B28">
        <w:rPr>
          <w:rtl/>
        </w:rPr>
        <w:t xml:space="preserve"> </w:t>
      </w:r>
      <w:r w:rsidR="00F32B28" w:rsidRPr="00F32B28">
        <w:rPr>
          <w:rtl/>
        </w:rPr>
        <w:t>وإلحاقها</w:t>
      </w:r>
      <w:r w:rsidR="00F32B28">
        <w:rPr>
          <w:rtl/>
        </w:rPr>
        <w:t xml:space="preserve"> </w:t>
      </w:r>
      <w:r w:rsidR="00F32B28" w:rsidRPr="00F32B28">
        <w:rPr>
          <w:rtl/>
        </w:rPr>
        <w:t>بالقوة،</w:t>
      </w:r>
      <w:r w:rsidR="00F32B28">
        <w:rPr>
          <w:rtl/>
        </w:rPr>
        <w:t xml:space="preserve"> </w:t>
      </w:r>
      <w:r w:rsidR="00F32B28" w:rsidRPr="00F32B28">
        <w:rPr>
          <w:rtl/>
        </w:rPr>
        <w:t>وبناء</w:t>
      </w:r>
      <w:r w:rsidR="00F32B28">
        <w:rPr>
          <w:rtl/>
        </w:rPr>
        <w:t xml:space="preserve"> </w:t>
      </w:r>
      <w:r w:rsidR="00F32B28" w:rsidRPr="00F32B28">
        <w:rPr>
          <w:rtl/>
        </w:rPr>
        <w:t>المستوطنات</w:t>
      </w:r>
      <w:r w:rsidR="00F32B28">
        <w:rPr>
          <w:rtl/>
        </w:rPr>
        <w:t xml:space="preserve"> </w:t>
      </w:r>
      <w:r w:rsidR="00F32B28" w:rsidRPr="00F32B28">
        <w:rPr>
          <w:rtl/>
        </w:rPr>
        <w:t>في</w:t>
      </w:r>
      <w:r w:rsidR="00F32B28">
        <w:rPr>
          <w:rtl/>
        </w:rPr>
        <w:t xml:space="preserve"> </w:t>
      </w:r>
      <w:r w:rsidR="00F32B28" w:rsidRPr="00F32B28">
        <w:rPr>
          <w:rtl/>
        </w:rPr>
        <w:t>كتل</w:t>
      </w:r>
      <w:r w:rsidR="00F32B28">
        <w:rPr>
          <w:rtl/>
        </w:rPr>
        <w:t xml:space="preserve"> </w:t>
      </w:r>
      <w:r w:rsidR="00F32B28" w:rsidRPr="00F32B28">
        <w:rPr>
          <w:rtl/>
        </w:rPr>
        <w:t>متصلة</w:t>
      </w:r>
      <w:r w:rsidR="00F32B28">
        <w:rPr>
          <w:rtl/>
        </w:rPr>
        <w:t xml:space="preserve"> </w:t>
      </w:r>
      <w:r w:rsidR="00F32B28" w:rsidRPr="00F32B28">
        <w:rPr>
          <w:rtl/>
        </w:rPr>
        <w:t>من</w:t>
      </w:r>
      <w:r w:rsidR="00F32B28">
        <w:rPr>
          <w:rtl/>
        </w:rPr>
        <w:t xml:space="preserve"> </w:t>
      </w:r>
      <w:r w:rsidR="00F32B28" w:rsidRPr="00F32B28">
        <w:rPr>
          <w:rtl/>
        </w:rPr>
        <w:t>الأراضي</w:t>
      </w:r>
      <w:r w:rsidR="00F32B28">
        <w:rPr>
          <w:rtl/>
        </w:rPr>
        <w:t xml:space="preserve"> </w:t>
      </w:r>
      <w:r w:rsidR="00F32B28" w:rsidRPr="00F32B28">
        <w:rPr>
          <w:rtl/>
        </w:rPr>
        <w:t>التي</w:t>
      </w:r>
      <w:r w:rsidR="00F32B28">
        <w:rPr>
          <w:rtl/>
        </w:rPr>
        <w:t xml:space="preserve"> </w:t>
      </w:r>
      <w:r w:rsidR="00F32B28" w:rsidRPr="00F32B28">
        <w:rPr>
          <w:rtl/>
        </w:rPr>
        <w:t>لا</w:t>
      </w:r>
      <w:r w:rsidR="00F32B28">
        <w:rPr>
          <w:rtl/>
        </w:rPr>
        <w:t xml:space="preserve"> </w:t>
      </w:r>
      <w:r w:rsidR="00F32B28" w:rsidRPr="00F32B28">
        <w:rPr>
          <w:rtl/>
        </w:rPr>
        <w:t>يمكن</w:t>
      </w:r>
      <w:r w:rsidR="00F32B28">
        <w:rPr>
          <w:rtl/>
        </w:rPr>
        <w:t xml:space="preserve"> </w:t>
      </w:r>
      <w:r w:rsidR="00F32B28" w:rsidRPr="00F32B28">
        <w:rPr>
          <w:rtl/>
        </w:rPr>
        <w:t>للفلسطينيين</w:t>
      </w:r>
      <w:r w:rsidR="00F32B28">
        <w:rPr>
          <w:rtl/>
        </w:rPr>
        <w:t xml:space="preserve"> </w:t>
      </w:r>
      <w:r w:rsidR="00F32B28" w:rsidRPr="00F32B28">
        <w:rPr>
          <w:rtl/>
        </w:rPr>
        <w:t>دخولها،</w:t>
      </w:r>
      <w:r w:rsidR="00F32B28">
        <w:rPr>
          <w:rtl/>
        </w:rPr>
        <w:t xml:space="preserve"> </w:t>
      </w:r>
      <w:r w:rsidR="00F32B28" w:rsidRPr="00F32B28">
        <w:rPr>
          <w:rtl/>
        </w:rPr>
        <w:t>وجدار</w:t>
      </w:r>
      <w:r w:rsidR="00F32B28">
        <w:rPr>
          <w:rtl/>
        </w:rPr>
        <w:t xml:space="preserve"> </w:t>
      </w:r>
      <w:r w:rsidR="00F32B28" w:rsidRPr="00F32B28">
        <w:rPr>
          <w:rtl/>
        </w:rPr>
        <w:t>الضم</w:t>
      </w:r>
      <w:r w:rsidR="00F32B28">
        <w:rPr>
          <w:rtl/>
        </w:rPr>
        <w:t xml:space="preserve"> </w:t>
      </w:r>
      <w:r w:rsidR="00F32B28" w:rsidRPr="00F32B28">
        <w:rPr>
          <w:rtl/>
        </w:rPr>
        <w:t>والتوسع</w:t>
      </w:r>
      <w:r w:rsidR="00F32B28">
        <w:rPr>
          <w:rtl/>
        </w:rPr>
        <w:t xml:space="preserve"> </w:t>
      </w:r>
      <w:r w:rsidR="00F32B28" w:rsidRPr="00F32B28">
        <w:rPr>
          <w:rtl/>
        </w:rPr>
        <w:t>الذي</w:t>
      </w:r>
      <w:r w:rsidR="00F32B28">
        <w:rPr>
          <w:rtl/>
        </w:rPr>
        <w:t xml:space="preserve"> </w:t>
      </w:r>
      <w:r w:rsidR="00F32B28" w:rsidRPr="00F32B28">
        <w:rPr>
          <w:rtl/>
        </w:rPr>
        <w:t>يفصل</w:t>
      </w:r>
      <w:r w:rsidR="00F32B28">
        <w:rPr>
          <w:rtl/>
        </w:rPr>
        <w:t xml:space="preserve"> </w:t>
      </w:r>
      <w:r w:rsidR="00F32B28" w:rsidRPr="00F32B28">
        <w:rPr>
          <w:rtl/>
        </w:rPr>
        <w:t>بين</w:t>
      </w:r>
      <w:r w:rsidR="00F32B28">
        <w:rPr>
          <w:rtl/>
        </w:rPr>
        <w:t xml:space="preserve"> </w:t>
      </w:r>
      <w:r w:rsidR="00F32B28" w:rsidRPr="00F32B28">
        <w:rPr>
          <w:rtl/>
        </w:rPr>
        <w:t>السكان</w:t>
      </w:r>
      <w:r w:rsidR="00F32B28">
        <w:rPr>
          <w:rtl/>
        </w:rPr>
        <w:t xml:space="preserve"> </w:t>
      </w:r>
      <w:r w:rsidR="00F32B28" w:rsidRPr="00F32B28">
        <w:rPr>
          <w:rtl/>
        </w:rPr>
        <w:t>الإسرائيليين</w:t>
      </w:r>
      <w:r w:rsidR="00F32B28">
        <w:rPr>
          <w:rtl/>
        </w:rPr>
        <w:t xml:space="preserve"> </w:t>
      </w:r>
      <w:r w:rsidR="00F32B28" w:rsidRPr="00F32B28">
        <w:rPr>
          <w:rtl/>
        </w:rPr>
        <w:t>والفلسطينيين</w:t>
      </w:r>
      <w:r w:rsidR="00F32B28">
        <w:rPr>
          <w:rtl/>
        </w:rPr>
        <w:t xml:space="preserve"> </w:t>
      </w:r>
      <w:r w:rsidR="00F32B28" w:rsidRPr="00F32B28">
        <w:rPr>
          <w:rtl/>
        </w:rPr>
        <w:t>فيما</w:t>
      </w:r>
      <w:r w:rsidR="009F4D72">
        <w:rPr>
          <w:rFonts w:hint="cs"/>
          <w:rtl/>
        </w:rPr>
        <w:t> </w:t>
      </w:r>
      <w:r w:rsidR="00F32B28" w:rsidRPr="00F32B28">
        <w:rPr>
          <w:rtl/>
        </w:rPr>
        <w:t>يفصل</w:t>
      </w:r>
      <w:r w:rsidR="00F32B28">
        <w:rPr>
          <w:rtl/>
        </w:rPr>
        <w:t xml:space="preserve"> </w:t>
      </w:r>
      <w:r w:rsidR="00F32B28" w:rsidRPr="00F32B28">
        <w:rPr>
          <w:rtl/>
        </w:rPr>
        <w:t>أيضاً</w:t>
      </w:r>
      <w:r w:rsidR="00F32B28">
        <w:rPr>
          <w:rtl/>
        </w:rPr>
        <w:t xml:space="preserve"> </w:t>
      </w:r>
      <w:r w:rsidR="00F32B28" w:rsidRPr="00F32B28">
        <w:rPr>
          <w:rtl/>
        </w:rPr>
        <w:t>القرى</w:t>
      </w:r>
      <w:r w:rsidR="00F32B28">
        <w:rPr>
          <w:rtl/>
        </w:rPr>
        <w:t xml:space="preserve"> </w:t>
      </w:r>
      <w:r w:rsidR="00F32B28" w:rsidRPr="00F32B28">
        <w:rPr>
          <w:rtl/>
        </w:rPr>
        <w:t>والبلدات</w:t>
      </w:r>
      <w:r w:rsidR="00F32B28">
        <w:rPr>
          <w:rtl/>
        </w:rPr>
        <w:t xml:space="preserve"> </w:t>
      </w:r>
      <w:r w:rsidR="00F32B28" w:rsidRPr="00F32B28">
        <w:rPr>
          <w:rtl/>
        </w:rPr>
        <w:t>الفلسطينية</w:t>
      </w:r>
      <w:r w:rsidR="00F32B28">
        <w:rPr>
          <w:rtl/>
        </w:rPr>
        <w:t xml:space="preserve"> </w:t>
      </w:r>
      <w:r w:rsidR="00F32B28" w:rsidRPr="00F32B28">
        <w:rPr>
          <w:rtl/>
        </w:rPr>
        <w:t>بعضها</w:t>
      </w:r>
      <w:r w:rsidR="00F32B28">
        <w:rPr>
          <w:rtl/>
        </w:rPr>
        <w:t xml:space="preserve"> </w:t>
      </w:r>
      <w:r w:rsidR="00F32B28" w:rsidRPr="00F32B28">
        <w:rPr>
          <w:rtl/>
        </w:rPr>
        <w:t>عن</w:t>
      </w:r>
      <w:r w:rsidR="00F32B28">
        <w:rPr>
          <w:rtl/>
        </w:rPr>
        <w:t xml:space="preserve"> </w:t>
      </w:r>
      <w:r w:rsidR="00F32B28" w:rsidRPr="00F32B28">
        <w:rPr>
          <w:rtl/>
        </w:rPr>
        <w:t>بعض،</w:t>
      </w:r>
      <w:r w:rsidR="00F32B28">
        <w:rPr>
          <w:rtl/>
        </w:rPr>
        <w:t xml:space="preserve"> </w:t>
      </w:r>
      <w:r w:rsidR="00F32B28" w:rsidRPr="00F32B28">
        <w:rPr>
          <w:rtl/>
        </w:rPr>
        <w:t>مع</w:t>
      </w:r>
      <w:r w:rsidR="00F32B28">
        <w:rPr>
          <w:rtl/>
        </w:rPr>
        <w:t xml:space="preserve"> </w:t>
      </w:r>
      <w:r w:rsidR="00F32B28" w:rsidRPr="00F32B28">
        <w:rPr>
          <w:rtl/>
        </w:rPr>
        <w:t>إبقاء</w:t>
      </w:r>
      <w:r w:rsidR="00F32B28">
        <w:rPr>
          <w:rtl/>
        </w:rPr>
        <w:t xml:space="preserve"> </w:t>
      </w:r>
      <w:r w:rsidR="00F32B28" w:rsidRPr="00F32B28">
        <w:rPr>
          <w:rtl/>
        </w:rPr>
        <w:t>الممرات</w:t>
      </w:r>
      <w:r w:rsidR="00F32B28">
        <w:rPr>
          <w:rtl/>
        </w:rPr>
        <w:t xml:space="preserve"> </w:t>
      </w:r>
      <w:r w:rsidR="00F32B28" w:rsidRPr="00F32B28">
        <w:rPr>
          <w:rtl/>
        </w:rPr>
        <w:t>بين</w:t>
      </w:r>
      <w:r w:rsidR="00F32B28">
        <w:rPr>
          <w:rtl/>
        </w:rPr>
        <w:t xml:space="preserve"> </w:t>
      </w:r>
      <w:r w:rsidR="00F32B28" w:rsidRPr="00F32B28">
        <w:rPr>
          <w:rtl/>
        </w:rPr>
        <w:t>المناطق</w:t>
      </w:r>
      <w:r w:rsidR="00F32B28">
        <w:rPr>
          <w:rtl/>
        </w:rPr>
        <w:t xml:space="preserve"> </w:t>
      </w:r>
      <w:r w:rsidR="00F32B28" w:rsidRPr="00F32B28">
        <w:rPr>
          <w:rtl/>
        </w:rPr>
        <w:t>الفلسطينية</w:t>
      </w:r>
      <w:r w:rsidR="00F32B28">
        <w:rPr>
          <w:rtl/>
        </w:rPr>
        <w:t xml:space="preserve"> </w:t>
      </w:r>
      <w:r w:rsidR="00F32B28" w:rsidRPr="00F32B28">
        <w:rPr>
          <w:rtl/>
        </w:rPr>
        <w:t>تحت</w:t>
      </w:r>
      <w:r w:rsidR="00F32B28">
        <w:rPr>
          <w:rtl/>
        </w:rPr>
        <w:t xml:space="preserve"> </w:t>
      </w:r>
      <w:r w:rsidR="00F32B28" w:rsidRPr="00F32B28">
        <w:rPr>
          <w:rtl/>
        </w:rPr>
        <w:t>السيطرة</w:t>
      </w:r>
      <w:r w:rsidR="00F32B28">
        <w:rPr>
          <w:rtl/>
        </w:rPr>
        <w:t xml:space="preserve"> </w:t>
      </w:r>
      <w:r w:rsidR="00F32B28" w:rsidRPr="00F32B28">
        <w:rPr>
          <w:rtl/>
        </w:rPr>
        <w:t>الإسرائيلية.</w:t>
      </w:r>
      <w:r w:rsidR="00F32B28">
        <w:rPr>
          <w:rtl/>
        </w:rPr>
        <w:t xml:space="preserve"> </w:t>
      </w:r>
    </w:p>
    <w:p w:rsidR="00F32B28" w:rsidRPr="00F32B28" w:rsidRDefault="00891A4B" w:rsidP="00891A4B">
      <w:pPr>
        <w:pStyle w:val="SingleTxt"/>
      </w:pPr>
      <w:r>
        <w:rPr>
          <w:rFonts w:hint="cs"/>
          <w:rtl/>
          <w:lang w:bidi="ar-SY"/>
        </w:rPr>
        <w:t xml:space="preserve">296 - </w:t>
      </w:r>
      <w:r w:rsidR="00F32B28" w:rsidRPr="00F32B28">
        <w:rPr>
          <w:rtl/>
          <w:lang w:bidi="ar-SY"/>
        </w:rPr>
        <w:t>تعتبر</w:t>
      </w:r>
      <w:r w:rsidR="00F32B28">
        <w:rPr>
          <w:rtl/>
          <w:lang w:bidi="ar-SY"/>
        </w:rPr>
        <w:t xml:space="preserve"> </w:t>
      </w:r>
      <w:r w:rsidR="00F32B28" w:rsidRPr="00F32B28">
        <w:rPr>
          <w:rtl/>
          <w:lang w:bidi="ar-SY"/>
        </w:rPr>
        <w:t>المستوطنات</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غير</w:t>
      </w:r>
      <w:r w:rsidR="00F32B28">
        <w:rPr>
          <w:rtl/>
          <w:lang w:bidi="ar-SY"/>
        </w:rPr>
        <w:t xml:space="preserve"> </w:t>
      </w:r>
      <w:r w:rsidR="00F32B28" w:rsidRPr="00F32B28">
        <w:rPr>
          <w:rFonts w:hint="cs"/>
          <w:rtl/>
          <w:lang w:bidi="ar-SY"/>
        </w:rPr>
        <w:t>القانونية</w:t>
      </w:r>
      <w:r w:rsidR="00F32B28">
        <w:rPr>
          <w:rFonts w:hint="cs"/>
          <w:rtl/>
          <w:lang w:bidi="ar-SY"/>
        </w:rPr>
        <w:t xml:space="preserve"> </w:t>
      </w:r>
      <w:r w:rsidR="00F32B28" w:rsidRPr="00F32B28">
        <w:rPr>
          <w:rtl/>
          <w:lang w:bidi="ar-SY"/>
        </w:rPr>
        <w:t>إحدى</w:t>
      </w:r>
      <w:r w:rsidR="00F32B28">
        <w:rPr>
          <w:rtl/>
          <w:lang w:bidi="ar-SY"/>
        </w:rPr>
        <w:t xml:space="preserve"> </w:t>
      </w:r>
      <w:r w:rsidR="00F32B28" w:rsidRPr="00F32B28">
        <w:rPr>
          <w:rtl/>
          <w:lang w:bidi="ar-SY"/>
        </w:rPr>
        <w:t>أهم</w:t>
      </w:r>
      <w:r w:rsidR="00F32B28">
        <w:rPr>
          <w:rtl/>
          <w:lang w:bidi="ar-SY"/>
        </w:rPr>
        <w:t xml:space="preserve"> </w:t>
      </w:r>
      <w:r w:rsidR="00F32B28" w:rsidRPr="00F32B28">
        <w:rPr>
          <w:rtl/>
          <w:lang w:bidi="ar-SY"/>
        </w:rPr>
        <w:t>عناصر</w:t>
      </w:r>
      <w:r w:rsidR="00F32B28">
        <w:rPr>
          <w:rtl/>
          <w:lang w:bidi="ar-SY"/>
        </w:rPr>
        <w:t xml:space="preserve"> </w:t>
      </w:r>
      <w:r w:rsidR="00F32B28" w:rsidRPr="00F32B28">
        <w:rPr>
          <w:rtl/>
          <w:lang w:bidi="ar-SY"/>
        </w:rPr>
        <w:t>وأشكال</w:t>
      </w:r>
      <w:r w:rsidR="00F32B28">
        <w:rPr>
          <w:rtl/>
          <w:lang w:bidi="ar-SY"/>
        </w:rPr>
        <w:t xml:space="preserve"> </w:t>
      </w:r>
      <w:r w:rsidR="00F32B28" w:rsidRPr="00F32B28">
        <w:rPr>
          <w:rtl/>
          <w:lang w:bidi="ar-SY"/>
        </w:rPr>
        <w:t>النظام</w:t>
      </w:r>
      <w:r w:rsidR="00F32B28">
        <w:rPr>
          <w:rtl/>
          <w:lang w:bidi="ar-SY"/>
        </w:rPr>
        <w:t xml:space="preserve"> </w:t>
      </w:r>
      <w:r w:rsidR="00F32B28" w:rsidRPr="00F32B28">
        <w:rPr>
          <w:rtl/>
          <w:lang w:bidi="ar-SY"/>
        </w:rPr>
        <w:t>الاستعماري</w:t>
      </w:r>
      <w:r w:rsidR="00F32B28">
        <w:rPr>
          <w:rtl/>
          <w:lang w:bidi="ar-SY"/>
        </w:rPr>
        <w:t xml:space="preserve"> </w:t>
      </w:r>
      <w:r w:rsidR="00F32B28" w:rsidRPr="00F32B28">
        <w:rPr>
          <w:rtl/>
          <w:lang w:bidi="ar-SY"/>
        </w:rPr>
        <w:t>الإحلالي</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الشرعي</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طبقته</w:t>
      </w:r>
      <w:r w:rsidR="00F32B28">
        <w:rPr>
          <w:rtl/>
          <w:lang w:bidi="ar-SY"/>
        </w:rPr>
        <w:t xml:space="preserve"> </w:t>
      </w:r>
      <w:r w:rsidR="00F32B28" w:rsidRPr="00F32B28">
        <w:rPr>
          <w:rtl/>
          <w:lang w:bidi="ar-SY"/>
        </w:rPr>
        <w:t>إسرائيل،</w:t>
      </w:r>
      <w:r w:rsidR="00F32B28">
        <w:rPr>
          <w:rtl/>
          <w:lang w:bidi="ar-SY"/>
        </w:rPr>
        <w:t xml:space="preserve"> </w:t>
      </w:r>
      <w:r w:rsidR="00F32B28" w:rsidRPr="00F32B28">
        <w:rPr>
          <w:rtl/>
          <w:lang w:bidi="ar-SY"/>
        </w:rPr>
        <w:t>السلطة</w:t>
      </w:r>
      <w:r w:rsidR="00F32B28">
        <w:rPr>
          <w:rtl/>
          <w:lang w:bidi="ar-SY"/>
        </w:rPr>
        <w:t xml:space="preserve"> </w:t>
      </w:r>
      <w:r w:rsidR="00F32B28" w:rsidRPr="00F32B28">
        <w:rPr>
          <w:rtl/>
          <w:lang w:bidi="ar-SY"/>
        </w:rPr>
        <w:t>القائمة</w:t>
      </w:r>
      <w:r w:rsidR="00F32B28">
        <w:rPr>
          <w:rtl/>
          <w:lang w:bidi="ar-SY"/>
        </w:rPr>
        <w:t xml:space="preserve"> </w:t>
      </w:r>
      <w:r w:rsidR="00F32B28" w:rsidRPr="00F32B28">
        <w:rPr>
          <w:rtl/>
          <w:lang w:bidi="ar-SY"/>
        </w:rPr>
        <w:t>بالاحتلال،</w:t>
      </w:r>
      <w:r w:rsidR="00F32B28">
        <w:rPr>
          <w:rtl/>
          <w:lang w:bidi="ar-SY"/>
        </w:rPr>
        <w:t xml:space="preserve"> </w:t>
      </w:r>
      <w:r w:rsidR="00F32B28" w:rsidRPr="00F32B28">
        <w:rPr>
          <w:rtl/>
          <w:lang w:bidi="ar-SY"/>
        </w:rPr>
        <w:t>فور</w:t>
      </w:r>
      <w:r w:rsidR="00F32B28">
        <w:rPr>
          <w:rtl/>
          <w:lang w:bidi="ar-SY"/>
        </w:rPr>
        <w:t xml:space="preserve"> </w:t>
      </w:r>
      <w:r w:rsidR="00F32B28" w:rsidRPr="00F32B28">
        <w:rPr>
          <w:rtl/>
          <w:lang w:bidi="ar-SY"/>
        </w:rPr>
        <w:t>احتلالها</w:t>
      </w:r>
      <w:r w:rsidR="00F32B28">
        <w:rPr>
          <w:rtl/>
          <w:lang w:bidi="ar-SY"/>
        </w:rPr>
        <w:t xml:space="preserve"> </w:t>
      </w:r>
      <w:r w:rsidR="00F32B28" w:rsidRPr="00F32B28">
        <w:rPr>
          <w:rtl/>
          <w:lang w:bidi="ar-SY"/>
        </w:rPr>
        <w:t>لفلسطين.</w:t>
      </w:r>
      <w:r w:rsidR="00F32B28">
        <w:rPr>
          <w:rtl/>
          <w:lang w:bidi="ar-SY"/>
        </w:rPr>
        <w:t xml:space="preserve"> </w:t>
      </w:r>
      <w:r w:rsidR="00F32B28" w:rsidRPr="00F32B28">
        <w:rPr>
          <w:rtl/>
          <w:lang w:bidi="ar-SY"/>
        </w:rPr>
        <w:t>وتسيطر</w:t>
      </w:r>
      <w:r w:rsidR="00F32B28">
        <w:rPr>
          <w:rtl/>
          <w:lang w:bidi="ar-SY"/>
        </w:rPr>
        <w:t xml:space="preserve"> </w:t>
      </w:r>
      <w:r w:rsidR="00F32B28" w:rsidRPr="00F32B28">
        <w:rPr>
          <w:rtl/>
        </w:rPr>
        <w:t>إسرائيل</w:t>
      </w:r>
      <w:r w:rsidR="00F32B28">
        <w:rPr>
          <w:rtl/>
        </w:rPr>
        <w:t xml:space="preserve"> </w:t>
      </w:r>
      <w:r w:rsidR="00F32B28" w:rsidRPr="00F32B28">
        <w:rPr>
          <w:rtl/>
        </w:rPr>
        <w:t>أمنياً</w:t>
      </w:r>
      <w:r w:rsidR="00F32B28">
        <w:rPr>
          <w:rtl/>
        </w:rPr>
        <w:t xml:space="preserve"> </w:t>
      </w:r>
      <w:r w:rsidR="00F32B28" w:rsidRPr="00F32B28">
        <w:rPr>
          <w:rtl/>
        </w:rPr>
        <w:t>وإدارياً</w:t>
      </w:r>
      <w:r w:rsidR="00F32B28">
        <w:rPr>
          <w:rtl/>
        </w:rPr>
        <w:t xml:space="preserve"> </w:t>
      </w:r>
      <w:r w:rsidR="00F32B28" w:rsidRPr="00F32B28">
        <w:rPr>
          <w:rtl/>
        </w:rPr>
        <w:t>على</w:t>
      </w:r>
      <w:r w:rsidR="00F32B28">
        <w:rPr>
          <w:rtl/>
        </w:rPr>
        <w:t xml:space="preserve"> </w:t>
      </w:r>
      <w:r w:rsidR="00F32B28" w:rsidRPr="00F32B28">
        <w:rPr>
          <w:rtl/>
        </w:rPr>
        <w:t>كامل</w:t>
      </w:r>
      <w:r w:rsidR="00F32B28">
        <w:rPr>
          <w:rtl/>
        </w:rPr>
        <w:t xml:space="preserve"> </w:t>
      </w:r>
      <w:r w:rsidR="00F32B28" w:rsidRPr="00F32B28">
        <w:rPr>
          <w:rtl/>
        </w:rPr>
        <w:t>مناطق</w:t>
      </w:r>
      <w:r w:rsidR="00F32B28">
        <w:rPr>
          <w:rtl/>
        </w:rPr>
        <w:t xml:space="preserve"> </w:t>
      </w:r>
      <w:r w:rsidR="00F32B28" w:rsidRPr="00F32B28">
        <w:rPr>
          <w:rtl/>
        </w:rPr>
        <w:t>المستوطنات</w:t>
      </w:r>
      <w:r w:rsidR="00F32B28">
        <w:rPr>
          <w:rtl/>
        </w:rPr>
        <w:t xml:space="preserve"> </w:t>
      </w:r>
      <w:r w:rsidR="00F32B28" w:rsidRPr="00F32B28">
        <w:rPr>
          <w:rtl/>
        </w:rPr>
        <w:t>غير</w:t>
      </w:r>
      <w:r w:rsidR="00F32B28">
        <w:rPr>
          <w:rtl/>
        </w:rPr>
        <w:t xml:space="preserve"> </w:t>
      </w:r>
      <w:r w:rsidR="00F32B28" w:rsidRPr="00F32B28">
        <w:rPr>
          <w:rtl/>
        </w:rPr>
        <w:t>ا</w:t>
      </w:r>
      <w:r w:rsidR="00F32B28" w:rsidRPr="00F32B28">
        <w:rPr>
          <w:rFonts w:hint="cs"/>
          <w:rtl/>
        </w:rPr>
        <w:t>لقانونية</w:t>
      </w:r>
      <w:r w:rsidR="00F32B28" w:rsidRPr="00F32B28">
        <w:rPr>
          <w:rtl/>
        </w:rPr>
        <w:t>،</w:t>
      </w:r>
      <w:r w:rsidR="00F32B28">
        <w:rPr>
          <w:rtl/>
        </w:rPr>
        <w:t xml:space="preserve"> </w:t>
      </w:r>
      <w:r w:rsidR="00F32B28" w:rsidRPr="00F32B28">
        <w:rPr>
          <w:rtl/>
        </w:rPr>
        <w:t>وتعمل</w:t>
      </w:r>
      <w:r w:rsidR="00F32B28">
        <w:rPr>
          <w:rtl/>
        </w:rPr>
        <w:t xml:space="preserve"> </w:t>
      </w:r>
      <w:r w:rsidR="00F32B28" w:rsidRPr="00F32B28">
        <w:rPr>
          <w:rtl/>
        </w:rPr>
        <w:t>على</w:t>
      </w:r>
      <w:r w:rsidR="00F32B28">
        <w:rPr>
          <w:rtl/>
        </w:rPr>
        <w:t xml:space="preserve"> </w:t>
      </w:r>
      <w:r w:rsidR="00F32B28" w:rsidRPr="00F32B28">
        <w:rPr>
          <w:rtl/>
        </w:rPr>
        <w:t>تعزيزها</w:t>
      </w:r>
      <w:r w:rsidR="00F32B28">
        <w:rPr>
          <w:rtl/>
        </w:rPr>
        <w:t xml:space="preserve"> </w:t>
      </w:r>
      <w:r w:rsidR="00F32B28" w:rsidRPr="00F32B28">
        <w:rPr>
          <w:rtl/>
        </w:rPr>
        <w:t>ودعمها</w:t>
      </w:r>
      <w:r w:rsidR="00F32B28">
        <w:rPr>
          <w:rtl/>
        </w:rPr>
        <w:t xml:space="preserve"> </w:t>
      </w:r>
      <w:r w:rsidR="00F32B28" w:rsidRPr="00F32B28">
        <w:rPr>
          <w:rtl/>
        </w:rPr>
        <w:t>عن</w:t>
      </w:r>
      <w:r w:rsidR="00F32B28">
        <w:rPr>
          <w:rtl/>
        </w:rPr>
        <w:t xml:space="preserve"> </w:t>
      </w:r>
      <w:r w:rsidR="00F32B28" w:rsidRPr="00F32B28">
        <w:rPr>
          <w:rtl/>
        </w:rPr>
        <w:t>طريق</w:t>
      </w:r>
      <w:r w:rsidR="00F32B28">
        <w:rPr>
          <w:rtl/>
        </w:rPr>
        <w:t xml:space="preserve"> </w:t>
      </w:r>
      <w:r w:rsidR="00F32B28" w:rsidRPr="00F32B28">
        <w:rPr>
          <w:rtl/>
        </w:rPr>
        <w:t>تشييد</w:t>
      </w:r>
      <w:r w:rsidR="00F32B28">
        <w:rPr>
          <w:rtl/>
        </w:rPr>
        <w:t xml:space="preserve"> </w:t>
      </w:r>
      <w:r w:rsidR="00F32B28" w:rsidRPr="00F32B28">
        <w:rPr>
          <w:rtl/>
        </w:rPr>
        <w:t>بناها</w:t>
      </w:r>
      <w:r w:rsidR="00F32B28">
        <w:rPr>
          <w:rtl/>
        </w:rPr>
        <w:t xml:space="preserve"> </w:t>
      </w:r>
      <w:r w:rsidR="00F32B28" w:rsidRPr="00F32B28">
        <w:rPr>
          <w:rtl/>
        </w:rPr>
        <w:t>التحتية</w:t>
      </w:r>
      <w:r w:rsidR="00F32B28">
        <w:rPr>
          <w:rtl/>
        </w:rPr>
        <w:t xml:space="preserve"> </w:t>
      </w:r>
      <w:r w:rsidR="00F32B28" w:rsidRPr="00F32B28">
        <w:rPr>
          <w:rtl/>
        </w:rPr>
        <w:t>ما</w:t>
      </w:r>
      <w:r w:rsidR="00F32B28">
        <w:rPr>
          <w:rtl/>
        </w:rPr>
        <w:t xml:space="preserve"> </w:t>
      </w:r>
      <w:r w:rsidR="00F32B28" w:rsidRPr="00F32B28">
        <w:rPr>
          <w:rtl/>
        </w:rPr>
        <w:t>يؤدي</w:t>
      </w:r>
      <w:r w:rsidR="00F32B28">
        <w:rPr>
          <w:rtl/>
        </w:rPr>
        <w:t xml:space="preserve"> </w:t>
      </w:r>
      <w:r w:rsidR="00F32B28" w:rsidRPr="00F32B28">
        <w:rPr>
          <w:rtl/>
        </w:rPr>
        <w:t>بطبيعة</w:t>
      </w:r>
      <w:r w:rsidR="00F32B28">
        <w:rPr>
          <w:rtl/>
        </w:rPr>
        <w:t xml:space="preserve"> </w:t>
      </w:r>
      <w:r w:rsidR="00F32B28" w:rsidRPr="00F32B28">
        <w:rPr>
          <w:rtl/>
        </w:rPr>
        <w:t>الحال</w:t>
      </w:r>
      <w:r w:rsidR="00F32B28">
        <w:rPr>
          <w:rtl/>
        </w:rPr>
        <w:t xml:space="preserve"> </w:t>
      </w:r>
      <w:r w:rsidR="00F32B28" w:rsidRPr="00F32B28">
        <w:rPr>
          <w:rtl/>
        </w:rPr>
        <w:t>إلى</w:t>
      </w:r>
      <w:r w:rsidR="00F32B28">
        <w:rPr>
          <w:rtl/>
        </w:rPr>
        <w:t xml:space="preserve"> </w:t>
      </w:r>
      <w:r w:rsidR="00F32B28" w:rsidRPr="00F32B28">
        <w:rPr>
          <w:rtl/>
        </w:rPr>
        <w:t>ضـم</w:t>
      </w:r>
      <w:r w:rsidR="00F32B28">
        <w:rPr>
          <w:rtl/>
        </w:rPr>
        <w:t xml:space="preserve"> </w:t>
      </w:r>
      <w:r w:rsidR="00F32B28" w:rsidRPr="00F32B28">
        <w:rPr>
          <w:rtl/>
        </w:rPr>
        <w:t>زاحف</w:t>
      </w:r>
      <w:r w:rsidR="00F32B28">
        <w:rPr>
          <w:rtl/>
        </w:rPr>
        <w:t xml:space="preserve"> </w:t>
      </w:r>
      <w:r w:rsidR="00F32B28" w:rsidRPr="00F32B28">
        <w:rPr>
          <w:rtl/>
        </w:rPr>
        <w:t>للأرض</w:t>
      </w:r>
      <w:r w:rsidR="00F32B28">
        <w:rPr>
          <w:rtl/>
        </w:rPr>
        <w:t xml:space="preserve"> </w:t>
      </w:r>
      <w:r w:rsidR="00F32B28" w:rsidRPr="00F32B28">
        <w:rPr>
          <w:rtl/>
        </w:rPr>
        <w:t>يحول</w:t>
      </w:r>
      <w:r w:rsidR="00F32B28">
        <w:rPr>
          <w:rtl/>
        </w:rPr>
        <w:t xml:space="preserve"> </w:t>
      </w:r>
      <w:r w:rsidR="00F32B28" w:rsidRPr="00F32B28">
        <w:rPr>
          <w:rtl/>
        </w:rPr>
        <w:t>دون</w:t>
      </w:r>
      <w:r w:rsidR="00F32B28">
        <w:rPr>
          <w:rtl/>
        </w:rPr>
        <w:t xml:space="preserve"> </w:t>
      </w:r>
      <w:r w:rsidR="00F32B28" w:rsidRPr="00F32B28">
        <w:rPr>
          <w:rtl/>
        </w:rPr>
        <w:t>إنشاء</w:t>
      </w:r>
      <w:r w:rsidR="00F32B28">
        <w:rPr>
          <w:rtl/>
        </w:rPr>
        <w:t xml:space="preserve"> </w:t>
      </w:r>
      <w:r w:rsidR="00F32B28" w:rsidRPr="00F32B28">
        <w:rPr>
          <w:rtl/>
        </w:rPr>
        <w:t>دولة</w:t>
      </w:r>
      <w:r w:rsidR="00F32B28">
        <w:rPr>
          <w:rtl/>
        </w:rPr>
        <w:t xml:space="preserve"> </w:t>
      </w:r>
      <w:r w:rsidR="00F32B28" w:rsidRPr="00F32B28">
        <w:rPr>
          <w:rtl/>
        </w:rPr>
        <w:t>فلسطينية</w:t>
      </w:r>
      <w:r w:rsidR="00F32B28">
        <w:rPr>
          <w:rtl/>
        </w:rPr>
        <w:t xml:space="preserve"> </w:t>
      </w:r>
      <w:r w:rsidR="00F32B28" w:rsidRPr="00F32B28">
        <w:rPr>
          <w:rtl/>
        </w:rPr>
        <w:t>متواصلة</w:t>
      </w:r>
      <w:r w:rsidR="00F32B28">
        <w:rPr>
          <w:rtl/>
        </w:rPr>
        <w:t xml:space="preserve"> </w:t>
      </w:r>
      <w:r w:rsidR="00F32B28" w:rsidRPr="00F32B28">
        <w:rPr>
          <w:rtl/>
        </w:rPr>
        <w:t>جغرافياً</w:t>
      </w:r>
      <w:r w:rsidR="00F32B28">
        <w:rPr>
          <w:rtl/>
        </w:rPr>
        <w:t xml:space="preserve"> </w:t>
      </w:r>
      <w:r w:rsidR="00F32B28" w:rsidRPr="00F32B28">
        <w:rPr>
          <w:rtl/>
        </w:rPr>
        <w:t>وممارسة</w:t>
      </w:r>
      <w:r w:rsidR="00F32B28">
        <w:rPr>
          <w:rtl/>
        </w:rPr>
        <w:t xml:space="preserve"> </w:t>
      </w:r>
      <w:r w:rsidR="00F32B28" w:rsidRPr="00F32B28">
        <w:rPr>
          <w:rtl/>
        </w:rPr>
        <w:t>الشعب</w:t>
      </w:r>
      <w:r w:rsidR="00F32B28">
        <w:rPr>
          <w:rtl/>
        </w:rPr>
        <w:t xml:space="preserve"> </w:t>
      </w:r>
      <w:r w:rsidR="00F32B28" w:rsidRPr="00F32B28">
        <w:rPr>
          <w:rtl/>
        </w:rPr>
        <w:t>الفلسطيني</w:t>
      </w:r>
      <w:r w:rsidR="00F32B28">
        <w:rPr>
          <w:rtl/>
        </w:rPr>
        <w:t xml:space="preserve"> </w:t>
      </w:r>
      <w:r w:rsidR="00F32B28" w:rsidRPr="00F32B28">
        <w:rPr>
          <w:rtl/>
        </w:rPr>
        <w:t>لحقهم</w:t>
      </w:r>
      <w:r w:rsidR="00F32B28">
        <w:rPr>
          <w:rtl/>
        </w:rPr>
        <w:t xml:space="preserve"> </w:t>
      </w:r>
      <w:r w:rsidR="00F32B28" w:rsidRPr="00F32B28">
        <w:rPr>
          <w:rtl/>
        </w:rPr>
        <w:t>في</w:t>
      </w:r>
      <w:r w:rsidR="00F32B28">
        <w:rPr>
          <w:rtl/>
        </w:rPr>
        <w:t xml:space="preserve"> </w:t>
      </w:r>
      <w:r w:rsidR="00F32B28" w:rsidRPr="00F32B28">
        <w:rPr>
          <w:rtl/>
        </w:rPr>
        <w:t>تقرير</w:t>
      </w:r>
      <w:r w:rsidR="00F32B28">
        <w:rPr>
          <w:rtl/>
        </w:rPr>
        <w:t xml:space="preserve"> </w:t>
      </w:r>
      <w:r w:rsidR="00F32B28" w:rsidRPr="00F32B28">
        <w:rPr>
          <w:rtl/>
        </w:rPr>
        <w:t>المصير.</w:t>
      </w:r>
      <w:r w:rsidR="00F32B28">
        <w:rPr>
          <w:rtl/>
        </w:rPr>
        <w:t xml:space="preserve"> </w:t>
      </w:r>
      <w:r w:rsidR="00F32B28" w:rsidRPr="00F32B28">
        <w:rPr>
          <w:rtl/>
        </w:rPr>
        <w:t>كما</w:t>
      </w:r>
      <w:r w:rsidR="00F32B28">
        <w:rPr>
          <w:rtl/>
        </w:rPr>
        <w:t xml:space="preserve"> </w:t>
      </w:r>
      <w:r w:rsidR="00F32B28" w:rsidRPr="00F32B28">
        <w:rPr>
          <w:rtl/>
        </w:rPr>
        <w:t>وتسيطر</w:t>
      </w:r>
      <w:r w:rsidR="00F32B28">
        <w:rPr>
          <w:rtl/>
        </w:rPr>
        <w:t xml:space="preserve"> </w:t>
      </w:r>
      <w:r w:rsidR="00F32B28" w:rsidRPr="00F32B28">
        <w:rPr>
          <w:rtl/>
        </w:rPr>
        <w:t>إسرائيل</w:t>
      </w:r>
      <w:r w:rsidR="00F32B28">
        <w:rPr>
          <w:rtl/>
        </w:rPr>
        <w:t xml:space="preserve"> </w:t>
      </w:r>
      <w:r w:rsidR="00F32B28" w:rsidRPr="00F32B28">
        <w:rPr>
          <w:rtl/>
          <w:lang w:bidi="ar-SY"/>
        </w:rPr>
        <w:t>بحكم</w:t>
      </w:r>
      <w:r w:rsidR="00F32B28">
        <w:rPr>
          <w:rtl/>
          <w:lang w:bidi="ar-SY"/>
        </w:rPr>
        <w:t xml:space="preserve"> </w:t>
      </w:r>
      <w:r w:rsidR="00F32B28" w:rsidRPr="00F32B28">
        <w:rPr>
          <w:rtl/>
          <w:lang w:bidi="ar-SY"/>
        </w:rPr>
        <w:t>الأمر</w:t>
      </w:r>
      <w:r w:rsidR="00F32B28">
        <w:rPr>
          <w:rtl/>
          <w:lang w:bidi="ar-SY"/>
        </w:rPr>
        <w:t xml:space="preserve"> </w:t>
      </w:r>
      <w:r w:rsidR="00F32B28" w:rsidRPr="00F32B28">
        <w:rPr>
          <w:rtl/>
          <w:lang w:bidi="ar-SY"/>
        </w:rPr>
        <w:t>الواقع</w:t>
      </w:r>
      <w:r w:rsidR="00F32B28">
        <w:rPr>
          <w:rtl/>
        </w:rPr>
        <w:t xml:space="preserve"> </w:t>
      </w:r>
      <w:r w:rsidR="00F32B28" w:rsidRPr="00F32B28">
        <w:rPr>
          <w:rtl/>
        </w:rPr>
        <w:t>على</w:t>
      </w:r>
      <w:r w:rsidR="00F32B28">
        <w:rPr>
          <w:rtl/>
        </w:rPr>
        <w:t xml:space="preserve"> </w:t>
      </w:r>
      <w:r w:rsidR="00F32B28" w:rsidRPr="00F32B28">
        <w:rPr>
          <w:rtl/>
        </w:rPr>
        <w:t>باقي</w:t>
      </w:r>
      <w:r w:rsidR="00F32B28">
        <w:rPr>
          <w:rtl/>
        </w:rPr>
        <w:t xml:space="preserve"> </w:t>
      </w:r>
      <w:r w:rsidR="00F32B28" w:rsidRPr="00F32B28">
        <w:rPr>
          <w:rtl/>
        </w:rPr>
        <w:t>مناطق</w:t>
      </w:r>
      <w:r w:rsidR="00F32B28">
        <w:rPr>
          <w:rtl/>
        </w:rPr>
        <w:t xml:space="preserve"> </w:t>
      </w:r>
      <w:r w:rsidR="00F32B28" w:rsidRPr="00F32B28">
        <w:rPr>
          <w:rtl/>
        </w:rPr>
        <w:t>فلسطين</w:t>
      </w:r>
      <w:r w:rsidR="00F32B28">
        <w:rPr>
          <w:rtl/>
        </w:rPr>
        <w:t xml:space="preserve"> </w:t>
      </w:r>
      <w:r w:rsidR="00F32B28" w:rsidRPr="00F32B28">
        <w:rPr>
          <w:rtl/>
        </w:rPr>
        <w:t>المحتلة،</w:t>
      </w:r>
      <w:r w:rsidR="00F32B28">
        <w:rPr>
          <w:rtl/>
        </w:rPr>
        <w:t xml:space="preserve"> </w:t>
      </w:r>
      <w:r w:rsidR="00F32B28" w:rsidRPr="00F32B28">
        <w:rPr>
          <w:rtl/>
        </w:rPr>
        <w:t>ومن</w:t>
      </w:r>
      <w:r w:rsidR="00F32B28">
        <w:rPr>
          <w:rtl/>
        </w:rPr>
        <w:t xml:space="preserve"> </w:t>
      </w:r>
      <w:r w:rsidR="00F32B28" w:rsidRPr="00F32B28">
        <w:rPr>
          <w:rtl/>
        </w:rPr>
        <w:t>خلال</w:t>
      </w:r>
      <w:r w:rsidR="00F32B28">
        <w:rPr>
          <w:rtl/>
        </w:rPr>
        <w:t xml:space="preserve"> </w:t>
      </w:r>
      <w:r w:rsidR="00F32B28" w:rsidRPr="00F32B28">
        <w:rPr>
          <w:rtl/>
        </w:rPr>
        <w:t>ما</w:t>
      </w:r>
      <w:r w:rsidR="00F32B28">
        <w:rPr>
          <w:rtl/>
        </w:rPr>
        <w:t xml:space="preserve"> </w:t>
      </w:r>
      <w:r w:rsidR="00F32B28" w:rsidRPr="00F32B28">
        <w:rPr>
          <w:rtl/>
        </w:rPr>
        <w:t>تتخذه</w:t>
      </w:r>
      <w:r w:rsidR="00F32B28">
        <w:rPr>
          <w:rtl/>
        </w:rPr>
        <w:t xml:space="preserve"> </w:t>
      </w:r>
      <w:r w:rsidR="00F32B28" w:rsidRPr="00F32B28">
        <w:rPr>
          <w:rtl/>
        </w:rPr>
        <w:t>من</w:t>
      </w:r>
      <w:r w:rsidR="00F32B28">
        <w:rPr>
          <w:rtl/>
        </w:rPr>
        <w:t xml:space="preserve"> </w:t>
      </w:r>
      <w:r w:rsidR="00F32B28" w:rsidRPr="00F32B28">
        <w:rPr>
          <w:rtl/>
        </w:rPr>
        <w:t>تـدابير</w:t>
      </w:r>
      <w:r w:rsidR="00F32B28">
        <w:rPr>
          <w:rtl/>
        </w:rPr>
        <w:t xml:space="preserve"> </w:t>
      </w:r>
      <w:r w:rsidR="00F32B28" w:rsidRPr="00F32B28">
        <w:rPr>
          <w:rtl/>
        </w:rPr>
        <w:t>أمنيـة</w:t>
      </w:r>
      <w:r w:rsidR="00F32B28">
        <w:rPr>
          <w:rtl/>
        </w:rPr>
        <w:t xml:space="preserve"> </w:t>
      </w:r>
      <w:r w:rsidR="00F32B28" w:rsidRPr="00F32B28">
        <w:rPr>
          <w:rtl/>
        </w:rPr>
        <w:t>أقل</w:t>
      </w:r>
      <w:r w:rsidR="00F32B28">
        <w:rPr>
          <w:rtl/>
        </w:rPr>
        <w:t xml:space="preserve"> </w:t>
      </w:r>
      <w:r w:rsidR="00F32B28" w:rsidRPr="00F32B28">
        <w:rPr>
          <w:rtl/>
        </w:rPr>
        <w:t>ما</w:t>
      </w:r>
      <w:r w:rsidR="00F32B28">
        <w:rPr>
          <w:rtl/>
        </w:rPr>
        <w:t xml:space="preserve"> </w:t>
      </w:r>
      <w:r w:rsidR="00F32B28" w:rsidRPr="00F32B28">
        <w:rPr>
          <w:rtl/>
        </w:rPr>
        <w:t>يمكن</w:t>
      </w:r>
      <w:r w:rsidR="00F32B28">
        <w:rPr>
          <w:rtl/>
        </w:rPr>
        <w:t xml:space="preserve"> </w:t>
      </w:r>
      <w:r w:rsidR="00F32B28" w:rsidRPr="00F32B28">
        <w:rPr>
          <w:rtl/>
        </w:rPr>
        <w:t>وصفها</w:t>
      </w:r>
      <w:r w:rsidR="00F32B28">
        <w:rPr>
          <w:rtl/>
        </w:rPr>
        <w:t xml:space="preserve"> </w:t>
      </w:r>
      <w:r w:rsidR="00F32B28" w:rsidRPr="00F32B28">
        <w:rPr>
          <w:rtl/>
        </w:rPr>
        <w:t>بالعنصرية</w:t>
      </w:r>
      <w:r w:rsidR="00F32B28">
        <w:rPr>
          <w:rtl/>
        </w:rPr>
        <w:t xml:space="preserve"> </w:t>
      </w:r>
      <w:r w:rsidR="00F32B28" w:rsidRPr="00F32B28">
        <w:rPr>
          <w:rtl/>
        </w:rPr>
        <w:t>ضد</w:t>
      </w:r>
      <w:r w:rsidR="00F32B28">
        <w:rPr>
          <w:rtl/>
        </w:rPr>
        <w:t xml:space="preserve"> </w:t>
      </w:r>
      <w:r w:rsidR="00F32B28" w:rsidRPr="00F32B28">
        <w:rPr>
          <w:rtl/>
        </w:rPr>
        <w:t>الفلسطينيين،</w:t>
      </w:r>
      <w:r w:rsidR="00F32B28">
        <w:rPr>
          <w:rtl/>
        </w:rPr>
        <w:t xml:space="preserve"> </w:t>
      </w:r>
      <w:r w:rsidR="00F32B28" w:rsidRPr="00F32B28">
        <w:rPr>
          <w:rtl/>
        </w:rPr>
        <w:t>ما</w:t>
      </w:r>
      <w:r w:rsidR="00F32B28">
        <w:rPr>
          <w:rtl/>
        </w:rPr>
        <w:t xml:space="preserve"> </w:t>
      </w:r>
      <w:r w:rsidR="00F32B28" w:rsidRPr="00F32B28">
        <w:rPr>
          <w:rtl/>
        </w:rPr>
        <w:t>يؤدي</w:t>
      </w:r>
      <w:r w:rsidR="00F32B28">
        <w:rPr>
          <w:rtl/>
        </w:rPr>
        <w:t xml:space="preserve"> </w:t>
      </w:r>
      <w:r w:rsidR="00F32B28" w:rsidRPr="00F32B28">
        <w:rPr>
          <w:rtl/>
        </w:rPr>
        <w:t>وعلى</w:t>
      </w:r>
      <w:r w:rsidR="00F32B28">
        <w:rPr>
          <w:rtl/>
        </w:rPr>
        <w:t xml:space="preserve"> </w:t>
      </w:r>
      <w:r w:rsidR="00F32B28" w:rsidRPr="00F32B28">
        <w:rPr>
          <w:rtl/>
        </w:rPr>
        <w:t>نحو</w:t>
      </w:r>
      <w:r w:rsidR="00F32B28">
        <w:rPr>
          <w:rtl/>
        </w:rPr>
        <w:t xml:space="preserve"> </w:t>
      </w:r>
      <w:r w:rsidR="00F32B28" w:rsidRPr="00F32B28">
        <w:rPr>
          <w:rtl/>
        </w:rPr>
        <w:t>متسق</w:t>
      </w:r>
      <w:r w:rsidR="00F32B28">
        <w:rPr>
          <w:rtl/>
        </w:rPr>
        <w:t xml:space="preserve"> </w:t>
      </w:r>
      <w:r w:rsidR="00F32B28" w:rsidRPr="00F32B28">
        <w:rPr>
          <w:rtl/>
        </w:rPr>
        <w:t>وعلى</w:t>
      </w:r>
      <w:r w:rsidR="00F32B28">
        <w:rPr>
          <w:rtl/>
        </w:rPr>
        <w:t xml:space="preserve"> </w:t>
      </w:r>
      <w:r w:rsidR="00F32B28" w:rsidRPr="00F32B28">
        <w:rPr>
          <w:rtl/>
        </w:rPr>
        <w:t>أساس</w:t>
      </w:r>
      <w:r w:rsidR="00F32B28">
        <w:rPr>
          <w:rtl/>
        </w:rPr>
        <w:t xml:space="preserve"> </w:t>
      </w:r>
      <w:r w:rsidR="00F32B28" w:rsidRPr="00F32B28">
        <w:rPr>
          <w:rtl/>
        </w:rPr>
        <w:t>يومي</w:t>
      </w:r>
      <w:r w:rsidR="00F32B28">
        <w:rPr>
          <w:rtl/>
        </w:rPr>
        <w:t xml:space="preserve"> </w:t>
      </w:r>
      <w:r w:rsidR="00F32B28" w:rsidRPr="00F32B28">
        <w:rPr>
          <w:rtl/>
        </w:rPr>
        <w:t>إلى</w:t>
      </w:r>
      <w:r w:rsidR="00F32B28">
        <w:rPr>
          <w:rtl/>
        </w:rPr>
        <w:t xml:space="preserve"> </w:t>
      </w:r>
      <w:r w:rsidR="00F32B28" w:rsidRPr="00F32B28">
        <w:rPr>
          <w:rtl/>
        </w:rPr>
        <w:t>انتهاك</w:t>
      </w:r>
      <w:r w:rsidR="00F32B28">
        <w:rPr>
          <w:rtl/>
        </w:rPr>
        <w:t xml:space="preserve"> </w:t>
      </w:r>
      <w:r w:rsidR="00F32B28" w:rsidRPr="00F32B28">
        <w:rPr>
          <w:rtl/>
        </w:rPr>
        <w:t>حقوق</w:t>
      </w:r>
      <w:r w:rsidR="00F32B28">
        <w:rPr>
          <w:rtl/>
        </w:rPr>
        <w:t xml:space="preserve"> </w:t>
      </w:r>
      <w:r w:rsidR="00F32B28" w:rsidRPr="00F32B28">
        <w:rPr>
          <w:rtl/>
        </w:rPr>
        <w:t>الفلسطينيين،</w:t>
      </w:r>
      <w:r w:rsidR="00F32B28">
        <w:rPr>
          <w:rtl/>
        </w:rPr>
        <w:t xml:space="preserve"> </w:t>
      </w:r>
      <w:r w:rsidR="00F32B28" w:rsidRPr="00F32B28">
        <w:rPr>
          <w:rtl/>
        </w:rPr>
        <w:t>نساءً</w:t>
      </w:r>
      <w:r w:rsidR="00F32B28">
        <w:rPr>
          <w:rtl/>
        </w:rPr>
        <w:t xml:space="preserve"> </w:t>
      </w:r>
      <w:r w:rsidR="00F32B28" w:rsidRPr="00F32B28">
        <w:rPr>
          <w:rtl/>
        </w:rPr>
        <w:t>رجالاً،</w:t>
      </w:r>
      <w:r w:rsidR="00F32B28">
        <w:rPr>
          <w:rtl/>
        </w:rPr>
        <w:t xml:space="preserve"> </w:t>
      </w:r>
      <w:r w:rsidR="00F32B28" w:rsidRPr="00F32B28">
        <w:rPr>
          <w:rtl/>
        </w:rPr>
        <w:t>في</w:t>
      </w:r>
      <w:r w:rsidR="00F32B28">
        <w:rPr>
          <w:rtl/>
        </w:rPr>
        <w:t xml:space="preserve"> </w:t>
      </w:r>
      <w:r w:rsidR="00F32B28" w:rsidRPr="00F32B28">
        <w:rPr>
          <w:rtl/>
        </w:rPr>
        <w:t>عدم</w:t>
      </w:r>
      <w:r w:rsidR="00F32B28">
        <w:rPr>
          <w:rtl/>
        </w:rPr>
        <w:t xml:space="preserve"> </w:t>
      </w:r>
      <w:r w:rsidR="00F32B28" w:rsidRPr="00F32B28">
        <w:rPr>
          <w:rtl/>
        </w:rPr>
        <w:t>التمييز</w:t>
      </w:r>
      <w:r w:rsidR="00F32B28">
        <w:rPr>
          <w:rtl/>
        </w:rPr>
        <w:t xml:space="preserve"> </w:t>
      </w:r>
      <w:r w:rsidR="00F32B28" w:rsidRPr="00F32B28">
        <w:rPr>
          <w:rtl/>
        </w:rPr>
        <w:t>والمساواة،</w:t>
      </w:r>
      <w:r w:rsidR="00F32B28">
        <w:rPr>
          <w:rtl/>
        </w:rPr>
        <w:t xml:space="preserve"> </w:t>
      </w:r>
      <w:r w:rsidR="00F32B28" w:rsidRPr="00F32B28">
        <w:rPr>
          <w:rtl/>
        </w:rPr>
        <w:t>والأمان</w:t>
      </w:r>
      <w:r w:rsidR="00F32B28">
        <w:rPr>
          <w:rtl/>
        </w:rPr>
        <w:t xml:space="preserve"> </w:t>
      </w:r>
      <w:r w:rsidR="00F32B28" w:rsidRPr="00F32B28">
        <w:rPr>
          <w:rtl/>
        </w:rPr>
        <w:t>الشخصي،</w:t>
      </w:r>
      <w:r w:rsidR="00F32B28">
        <w:rPr>
          <w:rtl/>
        </w:rPr>
        <w:t xml:space="preserve"> </w:t>
      </w:r>
      <w:r w:rsidR="00F32B28" w:rsidRPr="00F32B28">
        <w:rPr>
          <w:rtl/>
        </w:rPr>
        <w:t>وحرية</w:t>
      </w:r>
      <w:r w:rsidR="00F32B28">
        <w:rPr>
          <w:rtl/>
        </w:rPr>
        <w:t xml:space="preserve"> </w:t>
      </w:r>
      <w:r w:rsidR="00F32B28" w:rsidRPr="00F32B28">
        <w:rPr>
          <w:rtl/>
        </w:rPr>
        <w:t>الحركة</w:t>
      </w:r>
      <w:r w:rsidR="00F32B28">
        <w:rPr>
          <w:rtl/>
        </w:rPr>
        <w:t xml:space="preserve"> </w:t>
      </w:r>
      <w:r w:rsidR="00F32B28" w:rsidRPr="00F32B28">
        <w:rPr>
          <w:rtl/>
        </w:rPr>
        <w:t>والتنقل،</w:t>
      </w:r>
      <w:r w:rsidR="00F32B28">
        <w:rPr>
          <w:rtl/>
        </w:rPr>
        <w:t xml:space="preserve"> </w:t>
      </w:r>
      <w:r w:rsidR="00F32B28" w:rsidRPr="00F32B28">
        <w:rPr>
          <w:rtl/>
        </w:rPr>
        <w:t>والحق</w:t>
      </w:r>
      <w:r w:rsidR="00F32B28">
        <w:rPr>
          <w:rtl/>
        </w:rPr>
        <w:t xml:space="preserve"> </w:t>
      </w:r>
      <w:r w:rsidR="00F32B28" w:rsidRPr="00F32B28">
        <w:rPr>
          <w:rtl/>
        </w:rPr>
        <w:t>في</w:t>
      </w:r>
      <w:r w:rsidR="00F32B28">
        <w:rPr>
          <w:rtl/>
        </w:rPr>
        <w:t xml:space="preserve"> </w:t>
      </w:r>
      <w:r w:rsidR="00F32B28" w:rsidRPr="00F32B28">
        <w:rPr>
          <w:rtl/>
        </w:rPr>
        <w:t>العمل</w:t>
      </w:r>
      <w:r w:rsidR="00F32B28">
        <w:rPr>
          <w:rtl/>
        </w:rPr>
        <w:t xml:space="preserve"> </w:t>
      </w:r>
      <w:r w:rsidR="00F32B28" w:rsidRPr="00F32B28">
        <w:rPr>
          <w:rtl/>
        </w:rPr>
        <w:t>والتعليم</w:t>
      </w:r>
      <w:r w:rsidR="00F32B28">
        <w:rPr>
          <w:rtl/>
        </w:rPr>
        <w:t xml:space="preserve"> </w:t>
      </w:r>
      <w:r w:rsidR="00F32B28" w:rsidRPr="00F32B28">
        <w:rPr>
          <w:rtl/>
        </w:rPr>
        <w:t>والصحة،</w:t>
      </w:r>
      <w:r>
        <w:rPr>
          <w:rFonts w:hint="cs"/>
          <w:rtl/>
        </w:rPr>
        <w:t xml:space="preserve"> </w:t>
      </w:r>
      <w:r w:rsidR="00F32B28" w:rsidRPr="00F32B28">
        <w:rPr>
          <w:rtl/>
        </w:rPr>
        <w:t>والمحاكمة</w:t>
      </w:r>
      <w:r w:rsidR="00F32B28">
        <w:rPr>
          <w:rtl/>
        </w:rPr>
        <w:t xml:space="preserve"> </w:t>
      </w:r>
      <w:r w:rsidR="00F32B28" w:rsidRPr="00F32B28">
        <w:rPr>
          <w:rtl/>
        </w:rPr>
        <w:t>العادلة،</w:t>
      </w:r>
      <w:r w:rsidR="00F32B28">
        <w:rPr>
          <w:rtl/>
        </w:rPr>
        <w:t xml:space="preserve"> </w:t>
      </w:r>
      <w:r w:rsidR="00F32B28" w:rsidRPr="00F32B28">
        <w:rPr>
          <w:rtl/>
        </w:rPr>
        <w:t>وحرية</w:t>
      </w:r>
      <w:r w:rsidR="00F32B28">
        <w:rPr>
          <w:rtl/>
        </w:rPr>
        <w:t xml:space="preserve"> </w:t>
      </w:r>
      <w:r w:rsidR="00F32B28" w:rsidRPr="00F32B28">
        <w:rPr>
          <w:rtl/>
        </w:rPr>
        <w:t>الوصول</w:t>
      </w:r>
      <w:r w:rsidR="00F32B28">
        <w:rPr>
          <w:rtl/>
        </w:rPr>
        <w:t xml:space="preserve"> </w:t>
      </w:r>
      <w:r w:rsidR="00F32B28" w:rsidRPr="00F32B28">
        <w:rPr>
          <w:rtl/>
        </w:rPr>
        <w:t>إلى</w:t>
      </w:r>
      <w:r w:rsidR="00F32B28">
        <w:rPr>
          <w:rtl/>
        </w:rPr>
        <w:t xml:space="preserve"> </w:t>
      </w:r>
      <w:r w:rsidR="00F32B28" w:rsidRPr="00F32B28">
        <w:rPr>
          <w:rtl/>
        </w:rPr>
        <w:t>أماكن</w:t>
      </w:r>
      <w:r w:rsidR="00F32B28">
        <w:rPr>
          <w:rtl/>
        </w:rPr>
        <w:t xml:space="preserve"> </w:t>
      </w:r>
      <w:r w:rsidR="00F32B28" w:rsidRPr="00F32B28">
        <w:rPr>
          <w:rtl/>
        </w:rPr>
        <w:t>العبادة</w:t>
      </w:r>
      <w:r w:rsidR="00F32B28">
        <w:rPr>
          <w:rtl/>
        </w:rPr>
        <w:t xml:space="preserve"> </w:t>
      </w:r>
      <w:r w:rsidR="00F32B28" w:rsidRPr="00F32B28">
        <w:rPr>
          <w:rtl/>
        </w:rPr>
        <w:t>وسـبل</w:t>
      </w:r>
      <w:r w:rsidR="00F32B28">
        <w:rPr>
          <w:rtl/>
        </w:rPr>
        <w:t xml:space="preserve"> </w:t>
      </w:r>
      <w:r w:rsidR="00F32B28" w:rsidRPr="00F32B28">
        <w:rPr>
          <w:rtl/>
        </w:rPr>
        <w:t>الانتصاف</w:t>
      </w:r>
      <w:r w:rsidR="00F32B28">
        <w:rPr>
          <w:rtl/>
        </w:rPr>
        <w:t xml:space="preserve"> </w:t>
      </w:r>
      <w:r w:rsidR="00F32B28" w:rsidRPr="00F32B28">
        <w:rPr>
          <w:rtl/>
        </w:rPr>
        <w:t>الفعالة.</w:t>
      </w:r>
      <w:r w:rsidR="00F32B28">
        <w:rPr>
          <w:rtl/>
        </w:rPr>
        <w:t xml:space="preserve"> </w:t>
      </w:r>
    </w:p>
    <w:p w:rsidR="00F32B28" w:rsidRPr="00F32B28" w:rsidRDefault="00891A4B" w:rsidP="00891A4B">
      <w:pPr>
        <w:pStyle w:val="SingleTxt"/>
        <w:rPr>
          <w:rtl/>
          <w:lang w:bidi="ar-SY"/>
        </w:rPr>
      </w:pPr>
      <w:r>
        <w:rPr>
          <w:rFonts w:hint="cs"/>
          <w:rtl/>
          <w:lang w:bidi="ar-SY"/>
        </w:rPr>
        <w:t xml:space="preserve">297 - </w:t>
      </w:r>
      <w:r w:rsidR="00F32B28" w:rsidRPr="00F32B28">
        <w:rPr>
          <w:rtl/>
          <w:lang w:bidi="ar-SY"/>
        </w:rPr>
        <w:t>ولا</w:t>
      </w:r>
      <w:r w:rsidR="00F32B28">
        <w:rPr>
          <w:rtl/>
          <w:lang w:bidi="ar-SY"/>
        </w:rPr>
        <w:t xml:space="preserve"> </w:t>
      </w:r>
      <w:r w:rsidR="00F32B28" w:rsidRPr="00F32B28">
        <w:rPr>
          <w:rtl/>
          <w:lang w:bidi="ar-SY"/>
        </w:rPr>
        <w:t>تزال</w:t>
      </w:r>
      <w:r w:rsidR="00F32B28">
        <w:rPr>
          <w:rtl/>
          <w:lang w:bidi="ar-SY"/>
        </w:rPr>
        <w:t xml:space="preserve"> </w:t>
      </w:r>
      <w:r w:rsidR="00F32B28" w:rsidRPr="00F32B28">
        <w:rPr>
          <w:rtl/>
          <w:lang w:bidi="ar-SY"/>
        </w:rPr>
        <w:t>إسرائيل</w:t>
      </w:r>
      <w:r w:rsidR="00F32B28">
        <w:rPr>
          <w:rtl/>
          <w:lang w:bidi="ar-SY"/>
        </w:rPr>
        <w:t xml:space="preserve"> </w:t>
      </w:r>
      <w:r w:rsidR="00F32B28" w:rsidRPr="00F32B28">
        <w:rPr>
          <w:rtl/>
          <w:lang w:bidi="ar-SY"/>
        </w:rPr>
        <w:t>شارعة</w:t>
      </w:r>
      <w:r w:rsidR="00F32B28">
        <w:rPr>
          <w:rtl/>
          <w:lang w:bidi="ar-SY"/>
        </w:rPr>
        <w:t xml:space="preserve"> </w:t>
      </w:r>
      <w:r w:rsidR="00F32B28" w:rsidRPr="00F32B28">
        <w:rPr>
          <w:rtl/>
          <w:lang w:bidi="ar-SY"/>
        </w:rPr>
        <w:t>منذ</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2002</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بناء</w:t>
      </w:r>
      <w:r w:rsidR="00F32B28">
        <w:rPr>
          <w:rtl/>
          <w:lang w:bidi="ar-SY"/>
        </w:rPr>
        <w:t xml:space="preserve"> </w:t>
      </w:r>
      <w:r w:rsidR="00F32B28" w:rsidRPr="00F32B28">
        <w:rPr>
          <w:rtl/>
          <w:lang w:bidi="ar-SY"/>
        </w:rPr>
        <w:t>جدار</w:t>
      </w:r>
      <w:r w:rsidR="00F32B28">
        <w:rPr>
          <w:rtl/>
          <w:lang w:bidi="ar-SY"/>
        </w:rPr>
        <w:t xml:space="preserve"> </w:t>
      </w:r>
      <w:r w:rsidR="00F32B28" w:rsidRPr="00F32B28">
        <w:rPr>
          <w:rtl/>
          <w:lang w:bidi="ar-SY"/>
        </w:rPr>
        <w:t>الضم</w:t>
      </w:r>
      <w:r w:rsidR="00F32B28">
        <w:rPr>
          <w:rtl/>
          <w:lang w:bidi="ar-SY"/>
        </w:rPr>
        <w:t xml:space="preserve"> </w:t>
      </w:r>
      <w:r w:rsidR="00F32B28" w:rsidRPr="00F32B28">
        <w:rPr>
          <w:rtl/>
          <w:lang w:bidi="ar-SY"/>
        </w:rPr>
        <w:t>والتوسع</w:t>
      </w:r>
      <w:r w:rsidR="00F32B28">
        <w:rPr>
          <w:rtl/>
          <w:lang w:bidi="ar-SY"/>
        </w:rPr>
        <w:t xml:space="preserve"> </w:t>
      </w:r>
      <w:r w:rsidR="00F32B28" w:rsidRPr="00F32B28">
        <w:rPr>
          <w:rtl/>
          <w:lang w:bidi="ar-SY"/>
        </w:rPr>
        <w:t>والإبقاء</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شيد</w:t>
      </w:r>
      <w:r w:rsidR="00F32B28">
        <w:rPr>
          <w:rtl/>
          <w:lang w:bidi="ar-SY"/>
        </w:rPr>
        <w:t xml:space="preserve"> </w:t>
      </w:r>
      <w:r w:rsidR="00F32B28" w:rsidRPr="00F32B28">
        <w:rPr>
          <w:rtl/>
          <w:lang w:bidi="ar-SY"/>
        </w:rPr>
        <w:t>منه</w:t>
      </w:r>
      <w:r w:rsidR="00F32B28">
        <w:rPr>
          <w:rtl/>
          <w:lang w:bidi="ar-SY"/>
        </w:rPr>
        <w:t xml:space="preserve"> </w:t>
      </w:r>
      <w:r w:rsidR="00F32B28" w:rsidRPr="00F32B28">
        <w:rPr>
          <w:rtl/>
          <w:lang w:bidi="ar-SY"/>
        </w:rPr>
        <w:t>رغم</w:t>
      </w:r>
      <w:r w:rsidR="00F32B28">
        <w:rPr>
          <w:rtl/>
          <w:lang w:bidi="ar-SY"/>
        </w:rPr>
        <w:t xml:space="preserve"> </w:t>
      </w:r>
      <w:r w:rsidR="00F32B28" w:rsidRPr="00F32B28">
        <w:rPr>
          <w:rtl/>
          <w:lang w:bidi="ar-SY"/>
        </w:rPr>
        <w:t>مخالفته</w:t>
      </w:r>
      <w:r w:rsidR="00F32B28">
        <w:rPr>
          <w:rtl/>
          <w:lang w:bidi="ar-SY"/>
        </w:rPr>
        <w:t xml:space="preserve"> </w:t>
      </w:r>
      <w:r w:rsidR="00F32B28" w:rsidRPr="00F32B28">
        <w:rPr>
          <w:rtl/>
          <w:lang w:bidi="ar-SY"/>
        </w:rPr>
        <w:t>الجسيمة</w:t>
      </w:r>
      <w:r w:rsidR="00F32B28">
        <w:rPr>
          <w:rtl/>
          <w:lang w:bidi="ar-SY"/>
        </w:rPr>
        <w:t xml:space="preserve"> </w:t>
      </w:r>
      <w:r w:rsidR="00F32B28" w:rsidRPr="00F32B28">
        <w:rPr>
          <w:rtl/>
          <w:lang w:bidi="ar-SY"/>
        </w:rPr>
        <w:t>لأحكام</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الدولي</w:t>
      </w:r>
      <w:r w:rsidR="00F32B28">
        <w:rPr>
          <w:rtl/>
          <w:lang w:bidi="ar-SY"/>
        </w:rPr>
        <w:t xml:space="preserve"> </w:t>
      </w:r>
      <w:r w:rsidR="00F32B28" w:rsidRPr="00F32B28">
        <w:rPr>
          <w:rtl/>
          <w:lang w:bidi="ar-SY"/>
        </w:rPr>
        <w:t>و</w:t>
      </w:r>
      <w:r w:rsidR="00F32B28" w:rsidRPr="00F32B28">
        <w:rPr>
          <w:rtl/>
        </w:rPr>
        <w:t>ضاربةً</w:t>
      </w:r>
      <w:r w:rsidR="00F32B28">
        <w:rPr>
          <w:rtl/>
        </w:rPr>
        <w:t xml:space="preserve"> </w:t>
      </w:r>
      <w:r w:rsidR="00F32B28" w:rsidRPr="00F32B28">
        <w:rPr>
          <w:rtl/>
        </w:rPr>
        <w:t>بذلك</w:t>
      </w:r>
      <w:r w:rsidR="00F32B28">
        <w:rPr>
          <w:rtl/>
        </w:rPr>
        <w:t xml:space="preserve"> </w:t>
      </w:r>
      <w:r w:rsidR="00F32B28" w:rsidRPr="00F32B28">
        <w:rPr>
          <w:rtl/>
        </w:rPr>
        <w:t>عرض</w:t>
      </w:r>
      <w:r w:rsidR="00F32B28">
        <w:rPr>
          <w:rtl/>
        </w:rPr>
        <w:t xml:space="preserve"> </w:t>
      </w:r>
      <w:r w:rsidR="00F32B28" w:rsidRPr="00F32B28">
        <w:rPr>
          <w:rtl/>
        </w:rPr>
        <w:t>الحائط</w:t>
      </w:r>
      <w:r w:rsidR="00F32B28">
        <w:rPr>
          <w:rtl/>
        </w:rPr>
        <w:t xml:space="preserve"> </w:t>
      </w:r>
      <w:r w:rsidR="00F32B28" w:rsidRPr="00F32B28">
        <w:rPr>
          <w:rtl/>
        </w:rPr>
        <w:t>فتوى</w:t>
      </w:r>
      <w:r w:rsidR="00F32B28">
        <w:rPr>
          <w:rtl/>
        </w:rPr>
        <w:t xml:space="preserve"> </w:t>
      </w:r>
      <w:r w:rsidR="00F32B28" w:rsidRPr="00F32B28">
        <w:rPr>
          <w:rtl/>
        </w:rPr>
        <w:t>محكمة</w:t>
      </w:r>
      <w:r w:rsidR="00F32B28">
        <w:rPr>
          <w:rtl/>
        </w:rPr>
        <w:t xml:space="preserve"> </w:t>
      </w:r>
      <w:r w:rsidR="00F32B28" w:rsidRPr="00F32B28">
        <w:rPr>
          <w:rtl/>
        </w:rPr>
        <w:t>العدل</w:t>
      </w:r>
      <w:r w:rsidR="00F32B28">
        <w:rPr>
          <w:rtl/>
        </w:rPr>
        <w:t xml:space="preserve"> </w:t>
      </w:r>
      <w:r w:rsidR="00F32B28" w:rsidRPr="00F32B28">
        <w:rPr>
          <w:rtl/>
        </w:rPr>
        <w:t>الدولية</w:t>
      </w:r>
      <w:r w:rsidR="00F32B28">
        <w:rPr>
          <w:rtl/>
        </w:rPr>
        <w:t xml:space="preserve"> </w:t>
      </w:r>
      <w:r w:rsidR="00F32B28" w:rsidRPr="00F32B28">
        <w:rPr>
          <w:rtl/>
        </w:rPr>
        <w:t>الذي</w:t>
      </w:r>
      <w:r w:rsidR="00F32B28">
        <w:rPr>
          <w:rtl/>
        </w:rPr>
        <w:t xml:space="preserve"> </w:t>
      </w:r>
      <w:r w:rsidR="00F32B28" w:rsidRPr="00F32B28">
        <w:rPr>
          <w:rtl/>
        </w:rPr>
        <w:t>صدر</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4C698D">
        <w:rPr>
          <w:rFonts w:hint="cs"/>
          <w:rtl/>
        </w:rPr>
        <w:t>2004</w:t>
      </w:r>
      <w:r w:rsidR="00F32B28" w:rsidRPr="00F32B28">
        <w:rPr>
          <w:rtl/>
        </w:rPr>
        <w:t>.</w:t>
      </w:r>
      <w:r w:rsidR="00F32B28">
        <w:rPr>
          <w:rtl/>
        </w:rPr>
        <w:t xml:space="preserve"> </w:t>
      </w:r>
      <w:r w:rsidR="00F32B28" w:rsidRPr="00F32B28">
        <w:rPr>
          <w:rtl/>
          <w:lang w:bidi="ar-SY"/>
        </w:rPr>
        <w:t>ويعيش</w:t>
      </w:r>
      <w:r w:rsidR="00F32B28">
        <w:rPr>
          <w:rtl/>
          <w:lang w:bidi="ar-SY"/>
        </w:rPr>
        <w:t xml:space="preserve"> </w:t>
      </w:r>
      <w:r w:rsidR="00F32B28" w:rsidRPr="00F32B28">
        <w:rPr>
          <w:rtl/>
          <w:lang w:bidi="ar-SY"/>
        </w:rPr>
        <w:t>حوالي</w:t>
      </w:r>
      <w:r w:rsidR="00F32B28">
        <w:rPr>
          <w:rtl/>
          <w:lang w:bidi="ar-SY"/>
        </w:rPr>
        <w:t xml:space="preserve"> </w:t>
      </w:r>
      <w:r w:rsidR="004C698D">
        <w:rPr>
          <w:rFonts w:hint="cs"/>
          <w:rtl/>
          <w:lang w:bidi="ar-SY"/>
        </w:rPr>
        <w:t xml:space="preserve">000 351 </w:t>
      </w:r>
      <w:r w:rsidR="00F32B28" w:rsidRPr="00F32B28">
        <w:rPr>
          <w:rtl/>
          <w:lang w:bidi="ar-SY"/>
        </w:rPr>
        <w:t>مواطن</w:t>
      </w:r>
      <w:r w:rsidR="00F32B28">
        <w:rPr>
          <w:rtl/>
          <w:lang w:bidi="ar-SY"/>
        </w:rPr>
        <w:t xml:space="preserve"> </w:t>
      </w:r>
      <w:r w:rsidR="00F32B28" w:rsidRPr="00F32B28">
        <w:rPr>
          <w:rtl/>
          <w:lang w:bidi="ar-SY"/>
        </w:rPr>
        <w:t>فلسطيني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المعزولة</w:t>
      </w:r>
      <w:r w:rsidR="00F32B28">
        <w:rPr>
          <w:rtl/>
          <w:lang w:bidi="ar-SY"/>
        </w:rPr>
        <w:t xml:space="preserve"> </w:t>
      </w:r>
      <w:r w:rsidR="00F32B28" w:rsidRPr="00F32B28">
        <w:rPr>
          <w:rtl/>
          <w:lang w:bidi="ar-SY"/>
        </w:rPr>
        <w:t>والمحاصرة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الجدار</w:t>
      </w:r>
      <w:r w:rsidR="00F32B28">
        <w:rPr>
          <w:rtl/>
          <w:lang w:bidi="ar-SY"/>
        </w:rPr>
        <w:t xml:space="preserve"> </w:t>
      </w:r>
      <w:r w:rsidR="00F32B28" w:rsidRPr="00F32B28">
        <w:rPr>
          <w:rtl/>
          <w:lang w:bidi="ar-SY"/>
        </w:rPr>
        <w:t>والخط</w:t>
      </w:r>
      <w:r w:rsidR="00F32B28">
        <w:rPr>
          <w:rtl/>
          <w:lang w:bidi="ar-SY"/>
        </w:rPr>
        <w:t xml:space="preserve"> </w:t>
      </w:r>
      <w:r w:rsidR="00F32B28" w:rsidRPr="00F32B28">
        <w:rPr>
          <w:rtl/>
          <w:lang w:bidi="ar-SY"/>
        </w:rPr>
        <w:t>الأخضر</w:t>
      </w:r>
      <w:r w:rsidR="00F32B28">
        <w:rPr>
          <w:rtl/>
          <w:lang w:bidi="ar-SY"/>
        </w:rPr>
        <w:t xml:space="preserve"> </w:t>
      </w:r>
      <w:r w:rsidR="00D06D08">
        <w:rPr>
          <w:rFonts w:hint="cs"/>
          <w:rtl/>
          <w:lang w:bidi="ar-SY"/>
        </w:rPr>
        <w:t>”</w:t>
      </w:r>
      <w:r w:rsidR="00F32B28" w:rsidRPr="00F32B28">
        <w:rPr>
          <w:rtl/>
          <w:lang w:bidi="ar-SY"/>
        </w:rPr>
        <w:t>منطقة</w:t>
      </w:r>
      <w:r w:rsidR="00F32B28">
        <w:rPr>
          <w:rtl/>
          <w:lang w:bidi="ar-SY"/>
        </w:rPr>
        <w:t xml:space="preserve"> </w:t>
      </w:r>
      <w:r w:rsidR="00F32B28" w:rsidRPr="00F32B28">
        <w:rPr>
          <w:rtl/>
          <w:lang w:bidi="ar-SY"/>
        </w:rPr>
        <w:t>التماس</w:t>
      </w:r>
      <w:r w:rsidR="00D06D08">
        <w:rPr>
          <w:rFonts w:hint="cs"/>
          <w:rtl/>
        </w:rPr>
        <w:t>“</w:t>
      </w:r>
      <w:r w:rsidR="00F32B28">
        <w:rPr>
          <w:rtl/>
          <w:lang w:bidi="ar-SY"/>
        </w:rPr>
        <w:t xml:space="preserve"> </w:t>
      </w:r>
      <w:r w:rsidR="00F32B28" w:rsidRPr="00F32B28">
        <w:rPr>
          <w:rtl/>
          <w:lang w:bidi="ar-SY"/>
        </w:rPr>
        <w:t>بعزلة</w:t>
      </w:r>
      <w:r w:rsidR="00F32B28">
        <w:rPr>
          <w:rtl/>
          <w:lang w:bidi="ar-SY"/>
        </w:rPr>
        <w:t xml:space="preserve"> </w:t>
      </w:r>
      <w:r w:rsidR="00F32B28" w:rsidRPr="00F32B28">
        <w:rPr>
          <w:rtl/>
          <w:lang w:bidi="ar-SY"/>
        </w:rPr>
        <w:t>كبيرة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المدن</w:t>
      </w:r>
      <w:r w:rsidR="00F32B28">
        <w:rPr>
          <w:rtl/>
          <w:lang w:bidi="ar-SY"/>
        </w:rPr>
        <w:t xml:space="preserve"> </w:t>
      </w:r>
      <w:r w:rsidR="00F32B28" w:rsidRPr="00F32B28">
        <w:rPr>
          <w:rtl/>
          <w:lang w:bidi="ar-SY"/>
        </w:rPr>
        <w:t>والبلدات</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الرئيسية،</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يتعين</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هؤلاء</w:t>
      </w:r>
      <w:r w:rsidR="00F32B28">
        <w:rPr>
          <w:rtl/>
          <w:lang w:bidi="ar-SY"/>
        </w:rPr>
        <w:t xml:space="preserve"> </w:t>
      </w:r>
      <w:r w:rsidR="00F32B28" w:rsidRPr="00F32B28">
        <w:rPr>
          <w:rtl/>
          <w:lang w:bidi="ar-SY"/>
        </w:rPr>
        <w:t>المواطنين</w:t>
      </w:r>
      <w:r w:rsidR="00F32B28">
        <w:rPr>
          <w:rtl/>
          <w:lang w:bidi="ar-SY"/>
        </w:rPr>
        <w:t xml:space="preserve"> </w:t>
      </w:r>
      <w:r w:rsidR="00F32B28" w:rsidRPr="00F32B28">
        <w:rPr>
          <w:rtl/>
          <w:lang w:bidi="ar-SY"/>
        </w:rPr>
        <w:t>استصدار</w:t>
      </w:r>
      <w:r w:rsidR="00F32B28">
        <w:rPr>
          <w:rtl/>
          <w:lang w:bidi="ar-SY"/>
        </w:rPr>
        <w:t xml:space="preserve"> </w:t>
      </w:r>
      <w:r w:rsidR="00F32B28" w:rsidRPr="00F32B28">
        <w:rPr>
          <w:rtl/>
          <w:lang w:bidi="ar-SY"/>
        </w:rPr>
        <w:t>تصاريح</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للدخول</w:t>
      </w:r>
      <w:r w:rsidR="00F32B28">
        <w:rPr>
          <w:rtl/>
          <w:lang w:bidi="ar-SY"/>
        </w:rPr>
        <w:t xml:space="preserve"> </w:t>
      </w:r>
      <w:r w:rsidR="00F32B28" w:rsidRPr="00F32B28">
        <w:rPr>
          <w:rtl/>
          <w:lang w:bidi="ar-SY"/>
        </w:rPr>
        <w:t>لها</w:t>
      </w:r>
      <w:r w:rsidR="00F32B28">
        <w:rPr>
          <w:rtl/>
          <w:lang w:bidi="ar-SY"/>
        </w:rPr>
        <w:t xml:space="preserve"> </w:t>
      </w:r>
      <w:r w:rsidR="00F32B28" w:rsidRPr="00F32B28">
        <w:rPr>
          <w:rtl/>
          <w:lang w:bidi="ar-SY"/>
        </w:rPr>
        <w:t>والخروج</w:t>
      </w:r>
      <w:r w:rsidR="00F32B28">
        <w:rPr>
          <w:rtl/>
          <w:lang w:bidi="ar-SY"/>
        </w:rPr>
        <w:t xml:space="preserve"> </w:t>
      </w:r>
      <w:r w:rsidR="00F32B28" w:rsidRPr="00F32B28">
        <w:rPr>
          <w:rtl/>
          <w:lang w:bidi="ar-SY"/>
        </w:rPr>
        <w:t>منها،</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أوقات</w:t>
      </w:r>
      <w:r w:rsidR="00F32B28">
        <w:rPr>
          <w:rtl/>
          <w:lang w:bidi="ar-SY"/>
        </w:rPr>
        <w:t xml:space="preserve"> </w:t>
      </w:r>
      <w:r w:rsidR="00F32B28" w:rsidRPr="00F32B28">
        <w:rPr>
          <w:rtl/>
          <w:lang w:bidi="ar-SY"/>
        </w:rPr>
        <w:t>محددة</w:t>
      </w:r>
      <w:r w:rsidR="00F32B28">
        <w:rPr>
          <w:rtl/>
          <w:lang w:bidi="ar-SY"/>
        </w:rPr>
        <w:t xml:space="preserve"> </w:t>
      </w:r>
      <w:r w:rsidR="00F32B28" w:rsidRPr="00F32B28">
        <w:rPr>
          <w:rtl/>
          <w:lang w:bidi="ar-SY"/>
        </w:rPr>
        <w:t>أحياناً،</w:t>
      </w:r>
      <w:r w:rsidR="00F32B28">
        <w:rPr>
          <w:rtl/>
          <w:lang w:bidi="ar-SY"/>
        </w:rPr>
        <w:t xml:space="preserve"> </w:t>
      </w:r>
      <w:r w:rsidR="00F32B28" w:rsidRPr="00F32B28">
        <w:rPr>
          <w:rtl/>
          <w:lang w:bidi="ar-SY"/>
        </w:rPr>
        <w:t>وللاستمرار</w:t>
      </w:r>
      <w:r w:rsidR="00F32B28">
        <w:rPr>
          <w:rtl/>
          <w:lang w:bidi="ar-SY"/>
        </w:rPr>
        <w:t xml:space="preserve"> </w:t>
      </w:r>
      <w:r w:rsidR="00F32B28" w:rsidRPr="00F32B28">
        <w:rPr>
          <w:rtl/>
          <w:lang w:bidi="ar-SY"/>
        </w:rPr>
        <w:t>في</w:t>
      </w:r>
      <w:r w:rsidR="00D06D08">
        <w:rPr>
          <w:rFonts w:hint="cs"/>
          <w:rtl/>
          <w:lang w:bidi="ar-SY"/>
        </w:rPr>
        <w:t xml:space="preserve"> </w:t>
      </w:r>
      <w:r w:rsidR="00F32B28" w:rsidRPr="00F32B28">
        <w:rPr>
          <w:rtl/>
          <w:lang w:bidi="ar-SY"/>
        </w:rPr>
        <w:t>الإقامة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منازلهم</w:t>
      </w:r>
      <w:r w:rsidR="00F32B28">
        <w:rPr>
          <w:rtl/>
          <w:lang w:bidi="ar-SY"/>
        </w:rPr>
        <w:t xml:space="preserve"> </w:t>
      </w:r>
      <w:r w:rsidR="00F32B28" w:rsidRPr="00F32B28">
        <w:rPr>
          <w:rtl/>
          <w:lang w:bidi="ar-SY"/>
        </w:rPr>
        <w:t>عبر</w:t>
      </w:r>
      <w:r w:rsidR="00F32B28">
        <w:rPr>
          <w:rtl/>
          <w:lang w:bidi="ar-SY"/>
        </w:rPr>
        <w:t xml:space="preserve"> </w:t>
      </w:r>
      <w:r w:rsidR="00F32B28" w:rsidRPr="00F32B28">
        <w:rPr>
          <w:rtl/>
          <w:lang w:bidi="ar-SY"/>
        </w:rPr>
        <w:t>اجتيازهم</w:t>
      </w:r>
      <w:r w:rsidR="00F32B28">
        <w:rPr>
          <w:rtl/>
          <w:lang w:bidi="ar-SY"/>
        </w:rPr>
        <w:t xml:space="preserve"> </w:t>
      </w:r>
      <w:r w:rsidR="00F32B28" w:rsidRPr="00F32B28">
        <w:rPr>
          <w:rtl/>
          <w:lang w:bidi="ar-SY"/>
        </w:rPr>
        <w:t>للعديد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البوابات</w:t>
      </w:r>
      <w:r w:rsidR="00F32B28">
        <w:rPr>
          <w:rtl/>
          <w:lang w:bidi="ar-SY"/>
        </w:rPr>
        <w:t xml:space="preserve"> </w:t>
      </w:r>
      <w:r w:rsidR="00F32B28" w:rsidRPr="00F32B28">
        <w:rPr>
          <w:rtl/>
          <w:lang w:bidi="ar-SY"/>
        </w:rPr>
        <w:t>والحواجز</w:t>
      </w:r>
      <w:r w:rsidR="00F32B28">
        <w:rPr>
          <w:rtl/>
          <w:lang w:bidi="ar-SY"/>
        </w:rPr>
        <w:t xml:space="preserve"> </w:t>
      </w:r>
      <w:r w:rsidR="00F32B28" w:rsidRPr="00F32B28">
        <w:rPr>
          <w:rtl/>
          <w:lang w:bidi="ar-SY"/>
        </w:rPr>
        <w:t>العسكرية</w:t>
      </w:r>
      <w:r w:rsidR="00F32B28">
        <w:rPr>
          <w:rtl/>
          <w:lang w:bidi="ar-SY"/>
        </w:rPr>
        <w:t xml:space="preserve"> </w:t>
      </w:r>
      <w:r w:rsidR="00F32B28" w:rsidRPr="00F32B28">
        <w:rPr>
          <w:rtl/>
          <w:lang w:bidi="ar-SY"/>
        </w:rPr>
        <w:t>المخصصة</w:t>
      </w:r>
      <w:r w:rsidR="00F32B28">
        <w:rPr>
          <w:rtl/>
          <w:lang w:bidi="ar-SY"/>
        </w:rPr>
        <w:t xml:space="preserve"> </w:t>
      </w:r>
      <w:r w:rsidR="00F32B28" w:rsidRPr="00F32B28">
        <w:rPr>
          <w:rtl/>
          <w:lang w:bidi="ar-SY"/>
        </w:rPr>
        <w:t>لهذا</w:t>
      </w:r>
      <w:r w:rsidR="00F32B28">
        <w:rPr>
          <w:rtl/>
          <w:lang w:bidi="ar-SY"/>
        </w:rPr>
        <w:t xml:space="preserve"> </w:t>
      </w:r>
      <w:r w:rsidR="00F32B28" w:rsidRPr="00F32B28">
        <w:rPr>
          <w:rtl/>
          <w:lang w:bidi="ar-SY"/>
        </w:rPr>
        <w:t>الغرض،</w:t>
      </w:r>
      <w:r w:rsidR="00F32B28">
        <w:rPr>
          <w:rtl/>
          <w:lang w:bidi="ar-SY"/>
        </w:rPr>
        <w:t xml:space="preserve"> </w:t>
      </w:r>
      <w:r w:rsidR="00F32B28" w:rsidRPr="00F32B28">
        <w:rPr>
          <w:rtl/>
          <w:lang w:bidi="ar-SY"/>
        </w:rPr>
        <w:t>الأمر</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يعيق</w:t>
      </w:r>
      <w:r w:rsidR="00F32B28">
        <w:rPr>
          <w:rtl/>
          <w:lang w:bidi="ar-SY"/>
        </w:rPr>
        <w:t xml:space="preserve"> </w:t>
      </w:r>
      <w:r w:rsidR="00F32B28" w:rsidRPr="00F32B28">
        <w:rPr>
          <w:rtl/>
          <w:lang w:bidi="ar-SY"/>
        </w:rPr>
        <w:t>حقهم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حرية</w:t>
      </w:r>
      <w:r w:rsidR="00F32B28">
        <w:rPr>
          <w:rtl/>
          <w:lang w:bidi="ar-SY"/>
        </w:rPr>
        <w:t xml:space="preserve"> </w:t>
      </w:r>
      <w:r w:rsidR="00F32B28" w:rsidRPr="00F32B28">
        <w:rPr>
          <w:rtl/>
          <w:lang w:bidi="ar-SY"/>
        </w:rPr>
        <w:t>الحركة،</w:t>
      </w:r>
      <w:r w:rsidR="00F32B28">
        <w:rPr>
          <w:rtl/>
          <w:lang w:bidi="ar-SY"/>
        </w:rPr>
        <w:t xml:space="preserve"> </w:t>
      </w:r>
      <w:r w:rsidR="00F32B28" w:rsidRPr="00F32B28">
        <w:rPr>
          <w:rtl/>
          <w:lang w:bidi="ar-SY"/>
        </w:rPr>
        <w:t>ويحرمهم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الوصول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بيوتهم</w:t>
      </w:r>
      <w:r w:rsidR="00F32B28">
        <w:rPr>
          <w:rtl/>
          <w:lang w:bidi="ar-SY"/>
        </w:rPr>
        <w:t xml:space="preserve"> </w:t>
      </w:r>
      <w:r w:rsidR="00F32B28" w:rsidRPr="00F32B28">
        <w:rPr>
          <w:rtl/>
          <w:lang w:bidi="ar-SY"/>
        </w:rPr>
        <w:t>بصورة</w:t>
      </w:r>
      <w:r w:rsidR="00F32B28">
        <w:rPr>
          <w:rtl/>
          <w:lang w:bidi="ar-SY"/>
        </w:rPr>
        <w:t xml:space="preserve"> </w:t>
      </w:r>
      <w:r w:rsidR="00F32B28" w:rsidRPr="00F32B28">
        <w:rPr>
          <w:rtl/>
          <w:lang w:bidi="ar-SY"/>
        </w:rPr>
        <w:t>منتظمة</w:t>
      </w:r>
      <w:r w:rsidR="00F32B28">
        <w:rPr>
          <w:rtl/>
          <w:lang w:bidi="ar-SY"/>
        </w:rPr>
        <w:t xml:space="preserve"> </w:t>
      </w:r>
      <w:r w:rsidR="00F32B28" w:rsidRPr="00F32B28">
        <w:rPr>
          <w:rtl/>
          <w:lang w:bidi="ar-SY"/>
        </w:rPr>
        <w:t>وسهلة،</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يحول</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وصولهم</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مؤسسات</w:t>
      </w:r>
      <w:r w:rsidR="00F32B28">
        <w:rPr>
          <w:rtl/>
          <w:lang w:bidi="ar-SY"/>
        </w:rPr>
        <w:t xml:space="preserve"> </w:t>
      </w:r>
      <w:r w:rsidR="00F32B28" w:rsidRPr="00F32B28">
        <w:rPr>
          <w:rtl/>
          <w:lang w:bidi="ar-SY"/>
        </w:rPr>
        <w:t>ومرافق</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العامة</w:t>
      </w:r>
      <w:r w:rsidR="00F32B28">
        <w:rPr>
          <w:rtl/>
          <w:lang w:bidi="ar-SY"/>
        </w:rPr>
        <w:t xml:space="preserve"> </w:t>
      </w:r>
      <w:r w:rsidR="00F32B28" w:rsidRPr="00F32B28">
        <w:rPr>
          <w:rtl/>
          <w:lang w:bidi="ar-SY"/>
        </w:rPr>
        <w:t>الأساسية،</w:t>
      </w:r>
      <w:r w:rsidR="00F32B28">
        <w:rPr>
          <w:rtl/>
          <w:lang w:bidi="ar-SY"/>
        </w:rPr>
        <w:t xml:space="preserve"> </w:t>
      </w:r>
      <w:r w:rsidR="00F32B28" w:rsidRPr="00F32B28">
        <w:rPr>
          <w:rtl/>
          <w:lang w:bidi="ar-SY"/>
        </w:rPr>
        <w:t>كالتعليم</w:t>
      </w:r>
      <w:r w:rsidR="00F32B28">
        <w:rPr>
          <w:rtl/>
          <w:lang w:bidi="ar-SY"/>
        </w:rPr>
        <w:t xml:space="preserve"> </w:t>
      </w:r>
      <w:r w:rsidR="00F32B28" w:rsidRPr="00F32B28">
        <w:rPr>
          <w:rtl/>
          <w:lang w:bidi="ar-SY"/>
        </w:rPr>
        <w:t>والصحة.</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يملك</w:t>
      </w:r>
      <w:r w:rsidR="00F32B28">
        <w:rPr>
          <w:rtl/>
          <w:lang w:bidi="ar-SY"/>
        </w:rPr>
        <w:t xml:space="preserve"> </w:t>
      </w:r>
      <w:r w:rsidR="00F32B28" w:rsidRPr="00F32B28">
        <w:rPr>
          <w:rtl/>
          <w:lang w:bidi="ar-SY"/>
        </w:rPr>
        <w:t>منهم</w:t>
      </w:r>
      <w:r w:rsidR="00F32B28">
        <w:rPr>
          <w:rtl/>
          <w:lang w:bidi="ar-SY"/>
        </w:rPr>
        <w:t xml:space="preserve"> </w:t>
      </w:r>
      <w:r w:rsidR="00F32B28" w:rsidRPr="00F32B28">
        <w:rPr>
          <w:rtl/>
          <w:lang w:bidi="ar-SY"/>
        </w:rPr>
        <w:t>أرضاً</w:t>
      </w:r>
      <w:r w:rsidR="00F32B28">
        <w:rPr>
          <w:rtl/>
          <w:lang w:bidi="ar-SY"/>
        </w:rPr>
        <w:t xml:space="preserve"> </w:t>
      </w:r>
      <w:r w:rsidR="00F32B28" w:rsidRPr="00F32B28">
        <w:rPr>
          <w:rtl/>
          <w:lang w:bidi="ar-SY"/>
        </w:rPr>
        <w:t>داخل</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المنطقة</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يحصل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تصريح</w:t>
      </w:r>
      <w:r w:rsidR="00F32B28">
        <w:rPr>
          <w:rtl/>
          <w:lang w:bidi="ar-SY"/>
        </w:rPr>
        <w:t xml:space="preserve"> </w:t>
      </w:r>
      <w:r w:rsidR="00F32B28" w:rsidRPr="00F32B28">
        <w:rPr>
          <w:rtl/>
          <w:lang w:bidi="ar-SY"/>
        </w:rPr>
        <w:t>خاص،</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غالباً</w:t>
      </w:r>
      <w:r w:rsidR="00F32B28">
        <w:rPr>
          <w:rtl/>
          <w:lang w:bidi="ar-SY"/>
        </w:rPr>
        <w:t xml:space="preserve"> </w:t>
      </w:r>
      <w:r w:rsidR="00F32B28" w:rsidRPr="00F32B28">
        <w:rPr>
          <w:rtl/>
          <w:lang w:bidi="ar-SY"/>
        </w:rPr>
        <w:t>ما</w:t>
      </w:r>
      <w:r w:rsidR="009F4D72">
        <w:rPr>
          <w:rFonts w:hint="cs"/>
          <w:rtl/>
          <w:lang w:bidi="ar-SY"/>
        </w:rPr>
        <w:t> </w:t>
      </w:r>
      <w:r w:rsidR="00F32B28" w:rsidRPr="00F32B28">
        <w:rPr>
          <w:rtl/>
          <w:lang w:bidi="ar-SY"/>
        </w:rPr>
        <w:t>يواجه</w:t>
      </w:r>
      <w:r w:rsidR="00F32B28">
        <w:rPr>
          <w:rtl/>
          <w:lang w:bidi="ar-SY"/>
        </w:rPr>
        <w:t xml:space="preserve"> </w:t>
      </w:r>
      <w:r w:rsidR="00F32B28" w:rsidRPr="00F32B28">
        <w:rPr>
          <w:rtl/>
          <w:lang w:bidi="ar-SY"/>
        </w:rPr>
        <w:t>الرفض</w:t>
      </w:r>
      <w:r w:rsidR="00F32B28">
        <w:rPr>
          <w:rtl/>
          <w:lang w:bidi="ar-SY"/>
        </w:rPr>
        <w:t xml:space="preserve"> </w:t>
      </w:r>
      <w:r w:rsidR="00F32B28" w:rsidRPr="00F32B28">
        <w:rPr>
          <w:rtl/>
          <w:lang w:bidi="ar-SY"/>
        </w:rPr>
        <w:t>المتكرر،</w:t>
      </w:r>
      <w:r w:rsidR="00F32B28">
        <w:rPr>
          <w:rtl/>
          <w:lang w:bidi="ar-SY"/>
        </w:rPr>
        <w:t xml:space="preserve"> </w:t>
      </w:r>
      <w:r w:rsidR="00F32B28" w:rsidRPr="00F32B28">
        <w:rPr>
          <w:rtl/>
          <w:lang w:bidi="ar-SY"/>
        </w:rPr>
        <w:t>ليتمكن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الوصول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أراضيه</w:t>
      </w:r>
      <w:r w:rsidR="00F32B28">
        <w:rPr>
          <w:rtl/>
          <w:lang w:bidi="ar-SY"/>
        </w:rPr>
        <w:t xml:space="preserve"> </w:t>
      </w:r>
      <w:r w:rsidR="00F32B28" w:rsidRPr="00F32B28">
        <w:rPr>
          <w:rtl/>
          <w:lang w:bidi="ar-SY"/>
        </w:rPr>
        <w:t>الزراعية</w:t>
      </w:r>
      <w:r w:rsidR="00F32B28">
        <w:rPr>
          <w:rtl/>
          <w:lang w:bidi="ar-SY"/>
        </w:rPr>
        <w:t xml:space="preserve"> </w:t>
      </w:r>
      <w:r w:rsidR="00F32B28" w:rsidRPr="00F32B28">
        <w:rPr>
          <w:rtl/>
          <w:lang w:bidi="ar-SY"/>
        </w:rPr>
        <w:t>وموارده</w:t>
      </w:r>
      <w:r w:rsidR="00F32B28">
        <w:rPr>
          <w:rtl/>
          <w:lang w:bidi="ar-SY"/>
        </w:rPr>
        <w:t xml:space="preserve"> </w:t>
      </w:r>
      <w:r w:rsidR="00F32B28" w:rsidRPr="00F32B28">
        <w:rPr>
          <w:rtl/>
          <w:lang w:bidi="ar-SY"/>
        </w:rPr>
        <w:t>المائية</w:t>
      </w:r>
      <w:r w:rsidR="00F32B28">
        <w:rPr>
          <w:rtl/>
          <w:lang w:bidi="ar-SY"/>
        </w:rPr>
        <w:t xml:space="preserve"> </w:t>
      </w:r>
      <w:r w:rsidR="00F32B28" w:rsidRPr="00F32B28">
        <w:rPr>
          <w:rtl/>
          <w:lang w:bidi="ar-SY"/>
        </w:rPr>
        <w:t>عبر</w:t>
      </w:r>
      <w:r w:rsidR="00F32B28">
        <w:rPr>
          <w:rtl/>
          <w:lang w:bidi="ar-SY"/>
        </w:rPr>
        <w:t xml:space="preserve"> </w:t>
      </w:r>
      <w:r w:rsidR="00F32B28" w:rsidRPr="00F32B28">
        <w:rPr>
          <w:rtl/>
          <w:lang w:bidi="ar-SY"/>
        </w:rPr>
        <w:t>بوابات</w:t>
      </w:r>
      <w:r w:rsidR="00F32B28">
        <w:rPr>
          <w:rtl/>
          <w:lang w:bidi="ar-SY"/>
        </w:rPr>
        <w:t xml:space="preserve"> </w:t>
      </w:r>
      <w:r w:rsidR="00F32B28" w:rsidRPr="00F32B28">
        <w:rPr>
          <w:rtl/>
          <w:lang w:bidi="ar-SY"/>
        </w:rPr>
        <w:t>الجدار</w:t>
      </w:r>
      <w:r w:rsidR="00F32B28">
        <w:rPr>
          <w:rtl/>
          <w:lang w:bidi="ar-SY"/>
        </w:rPr>
        <w:t xml:space="preserve"> </w:t>
      </w:r>
      <w:r w:rsidR="00F32B28" w:rsidRPr="00F32B28">
        <w:rPr>
          <w:rtl/>
          <w:lang w:bidi="ar-SY"/>
        </w:rPr>
        <w:lastRenderedPageBreak/>
        <w:t>الزراعية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تمتاز</w:t>
      </w:r>
      <w:r w:rsidR="00F32B28">
        <w:rPr>
          <w:rtl/>
          <w:lang w:bidi="ar-SY"/>
        </w:rPr>
        <w:t xml:space="preserve"> </w:t>
      </w:r>
      <w:r w:rsidR="00F32B28" w:rsidRPr="00F32B28">
        <w:rPr>
          <w:rtl/>
          <w:lang w:bidi="ar-SY"/>
        </w:rPr>
        <w:t>بعدم</w:t>
      </w:r>
      <w:r w:rsidR="00F32B28">
        <w:rPr>
          <w:rtl/>
          <w:lang w:bidi="ar-SY"/>
        </w:rPr>
        <w:t xml:space="preserve"> </w:t>
      </w:r>
      <w:r w:rsidR="00F32B28" w:rsidRPr="00F32B28">
        <w:rPr>
          <w:rtl/>
          <w:lang w:bidi="ar-SY"/>
        </w:rPr>
        <w:t>انتظام</w:t>
      </w:r>
      <w:r w:rsidR="00F32B28">
        <w:rPr>
          <w:rtl/>
          <w:lang w:bidi="ar-SY"/>
        </w:rPr>
        <w:t xml:space="preserve"> </w:t>
      </w:r>
      <w:r w:rsidR="00F32B28" w:rsidRPr="00F32B28">
        <w:rPr>
          <w:rtl/>
          <w:lang w:bidi="ar-SY"/>
        </w:rPr>
        <w:t>فتحها</w:t>
      </w:r>
      <w:r w:rsidR="00F32B28">
        <w:rPr>
          <w:rtl/>
          <w:lang w:bidi="ar-SY"/>
        </w:rPr>
        <w:t xml:space="preserve"> </w:t>
      </w:r>
      <w:r w:rsidR="00F32B28" w:rsidRPr="00F32B28">
        <w:rPr>
          <w:rtl/>
          <w:lang w:bidi="ar-SY"/>
        </w:rPr>
        <w:t>أمام</w:t>
      </w:r>
      <w:r w:rsidR="00F32B28">
        <w:rPr>
          <w:rtl/>
          <w:lang w:bidi="ar-SY"/>
        </w:rPr>
        <w:t xml:space="preserve"> </w:t>
      </w:r>
      <w:r w:rsidR="00F32B28" w:rsidRPr="00F32B28">
        <w:rPr>
          <w:rtl/>
          <w:lang w:bidi="ar-SY"/>
        </w:rPr>
        <w:t>المزارعين</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بحسب</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ورد</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الملاحظات</w:t>
      </w:r>
      <w:r w:rsidR="00F32B28">
        <w:rPr>
          <w:rtl/>
          <w:lang w:bidi="ar-SY"/>
        </w:rPr>
        <w:t xml:space="preserve"> </w:t>
      </w:r>
      <w:r w:rsidR="00F32B28" w:rsidRPr="00F32B28">
        <w:rPr>
          <w:rtl/>
          <w:lang w:bidi="ar-SY"/>
        </w:rPr>
        <w:t>الختامية</w:t>
      </w:r>
      <w:r w:rsidR="00F32B28">
        <w:rPr>
          <w:rtl/>
          <w:lang w:bidi="ar-SY"/>
        </w:rPr>
        <w:t xml:space="preserve"> </w:t>
      </w:r>
      <w:r w:rsidR="00F32B28" w:rsidRPr="00F32B28">
        <w:rPr>
          <w:rtl/>
          <w:lang w:bidi="ar-SY"/>
        </w:rPr>
        <w:t>للجنة</w:t>
      </w:r>
      <w:r w:rsidR="00F32B28">
        <w:rPr>
          <w:rtl/>
          <w:lang w:bidi="ar-SY"/>
        </w:rPr>
        <w:t xml:space="preserve"> </w:t>
      </w:r>
      <w:r w:rsidR="00F32B28" w:rsidRPr="00F32B28">
        <w:rPr>
          <w:rtl/>
          <w:lang w:bidi="ar-SY"/>
        </w:rPr>
        <w:t>الأمم</w:t>
      </w:r>
      <w:r w:rsidR="00F32B28">
        <w:rPr>
          <w:rtl/>
          <w:lang w:bidi="ar-SY"/>
        </w:rPr>
        <w:t xml:space="preserve"> </w:t>
      </w:r>
      <w:r w:rsidR="00F32B28" w:rsidRPr="00F32B28">
        <w:rPr>
          <w:rtl/>
          <w:lang w:bidi="ar-SY"/>
        </w:rPr>
        <w:t>المتحدة</w:t>
      </w:r>
      <w:r w:rsidR="00F32B28">
        <w:rPr>
          <w:rtl/>
          <w:lang w:bidi="ar-SY"/>
        </w:rPr>
        <w:t xml:space="preserve"> </w:t>
      </w:r>
      <w:r w:rsidR="00F32B28" w:rsidRPr="00F32B28">
        <w:rPr>
          <w:rtl/>
          <w:lang w:bidi="ar-SY"/>
        </w:rPr>
        <w:t>لحقوق</w:t>
      </w:r>
      <w:r w:rsidR="00F32B28">
        <w:rPr>
          <w:rtl/>
          <w:lang w:bidi="ar-SY"/>
        </w:rPr>
        <w:t xml:space="preserve"> </w:t>
      </w:r>
      <w:r w:rsidR="00F32B28" w:rsidRPr="00F32B28">
        <w:rPr>
          <w:rtl/>
          <w:lang w:bidi="ar-SY"/>
        </w:rPr>
        <w:t>الإنسان</w:t>
      </w:r>
      <w:r w:rsidR="00F32B28">
        <w:rPr>
          <w:rtl/>
          <w:lang w:bidi="ar-SY"/>
        </w:rPr>
        <w:t xml:space="preserve"> </w:t>
      </w:r>
      <w:r w:rsidR="00F32B28" w:rsidRPr="00F32B28">
        <w:rPr>
          <w:rtl/>
          <w:lang w:bidi="ar-SY"/>
        </w:rPr>
        <w:t>لإسرائيل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2010</w:t>
      </w:r>
      <w:r w:rsidR="004C698D">
        <w:rPr>
          <w:rFonts w:hint="cs"/>
          <w:rtl/>
          <w:lang w:bidi="ar-SY"/>
        </w:rPr>
        <w:t xml:space="preserve"> </w:t>
      </w:r>
      <w:r w:rsidR="00F32B28" w:rsidRPr="00F32B28">
        <w:rPr>
          <w:rtl/>
          <w:lang w:bidi="ar-SY"/>
        </w:rPr>
        <w:t>وإعرابها</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قلقها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عدم</w:t>
      </w:r>
      <w:r w:rsidR="00F32B28">
        <w:rPr>
          <w:rtl/>
          <w:lang w:bidi="ar-SY"/>
        </w:rPr>
        <w:t xml:space="preserve"> </w:t>
      </w:r>
      <w:r w:rsidR="00F32B28" w:rsidRPr="00F32B28">
        <w:rPr>
          <w:rtl/>
          <w:lang w:bidi="ar-SY"/>
        </w:rPr>
        <w:t>امتثال</w:t>
      </w:r>
      <w:r w:rsidR="00F32B28">
        <w:rPr>
          <w:rtl/>
          <w:lang w:bidi="ar-SY"/>
        </w:rPr>
        <w:t xml:space="preserve"> </w:t>
      </w:r>
      <w:r w:rsidR="00F32B28" w:rsidRPr="00F32B28">
        <w:rPr>
          <w:rtl/>
          <w:lang w:bidi="ar-SY"/>
        </w:rPr>
        <w:t>إسرائيل</w:t>
      </w:r>
      <w:r w:rsidR="00F32B28">
        <w:rPr>
          <w:rtl/>
          <w:lang w:bidi="ar-SY"/>
        </w:rPr>
        <w:t xml:space="preserve"> </w:t>
      </w:r>
      <w:r w:rsidR="00F32B28" w:rsidRPr="00F32B28">
        <w:rPr>
          <w:rtl/>
          <w:lang w:bidi="ar-SY"/>
        </w:rPr>
        <w:t>لالتزاماتها</w:t>
      </w:r>
      <w:r w:rsidR="00F32B28">
        <w:rPr>
          <w:rtl/>
          <w:lang w:bidi="ar-SY"/>
        </w:rPr>
        <w:t xml:space="preserve"> </w:t>
      </w:r>
      <w:r w:rsidR="00F32B28" w:rsidRPr="00F32B28">
        <w:rPr>
          <w:rtl/>
          <w:lang w:bidi="ar-SY"/>
        </w:rPr>
        <w:t>بموجب</w:t>
      </w:r>
      <w:r w:rsidR="00F32B28">
        <w:rPr>
          <w:rtl/>
          <w:lang w:bidi="ar-SY"/>
        </w:rPr>
        <w:t xml:space="preserve"> </w:t>
      </w:r>
      <w:r w:rsidR="00F32B28" w:rsidRPr="00F32B28">
        <w:rPr>
          <w:rtl/>
          <w:lang w:bidi="ar-SY"/>
        </w:rPr>
        <w:t>العهد</w:t>
      </w:r>
      <w:r w:rsidR="00F32B28">
        <w:rPr>
          <w:rtl/>
          <w:lang w:bidi="ar-SY"/>
        </w:rPr>
        <w:t xml:space="preserve"> </w:t>
      </w:r>
      <w:r w:rsidR="00F32B28" w:rsidRPr="00F32B28">
        <w:rPr>
          <w:rtl/>
          <w:lang w:bidi="ar-SY"/>
        </w:rPr>
        <w:t>الدولي</w:t>
      </w:r>
      <w:r w:rsidR="00F32B28">
        <w:rPr>
          <w:rtl/>
          <w:lang w:bidi="ar-SY"/>
        </w:rPr>
        <w:t xml:space="preserve"> </w:t>
      </w:r>
      <w:r w:rsidR="00F32B28" w:rsidRPr="00F32B28">
        <w:rPr>
          <w:rtl/>
          <w:lang w:bidi="ar-SY"/>
        </w:rPr>
        <w:t>للحقوق</w:t>
      </w:r>
      <w:r w:rsidR="00F32B28">
        <w:rPr>
          <w:rtl/>
          <w:lang w:bidi="ar-SY"/>
        </w:rPr>
        <w:t xml:space="preserve"> </w:t>
      </w:r>
      <w:r w:rsidR="00F32B28" w:rsidRPr="00F32B28">
        <w:rPr>
          <w:rtl/>
          <w:lang w:bidi="ar-SY"/>
        </w:rPr>
        <w:t>المدنية</w:t>
      </w:r>
      <w:r w:rsidR="00F32B28">
        <w:rPr>
          <w:rtl/>
          <w:lang w:bidi="ar-SY"/>
        </w:rPr>
        <w:t xml:space="preserve"> </w:t>
      </w:r>
      <w:r w:rsidR="00F32B28" w:rsidRPr="00F32B28">
        <w:rPr>
          <w:rtl/>
          <w:lang w:bidi="ar-SY"/>
        </w:rPr>
        <w:t>والسياسية.</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يقلص</w:t>
      </w:r>
      <w:r w:rsidR="00F32B28">
        <w:rPr>
          <w:rtl/>
          <w:lang w:bidi="ar-SY"/>
        </w:rPr>
        <w:t xml:space="preserve"> </w:t>
      </w:r>
      <w:r w:rsidR="00F32B28" w:rsidRPr="00F32B28">
        <w:rPr>
          <w:rtl/>
          <w:lang w:bidi="ar-SY"/>
        </w:rPr>
        <w:t>الأوقات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يسمح</w:t>
      </w:r>
      <w:r w:rsidR="00F32B28">
        <w:rPr>
          <w:rtl/>
          <w:lang w:bidi="ar-SY"/>
        </w:rPr>
        <w:t xml:space="preserve"> </w:t>
      </w:r>
      <w:r w:rsidR="00F32B28" w:rsidRPr="00F32B28">
        <w:rPr>
          <w:rtl/>
          <w:lang w:bidi="ar-SY"/>
        </w:rPr>
        <w:t>بها</w:t>
      </w:r>
      <w:r w:rsidR="00F32B28">
        <w:rPr>
          <w:rtl/>
          <w:lang w:bidi="ar-SY"/>
        </w:rPr>
        <w:t xml:space="preserve"> </w:t>
      </w:r>
      <w:r w:rsidR="00F32B28" w:rsidRPr="00F32B28">
        <w:rPr>
          <w:rtl/>
          <w:lang w:bidi="ar-SY"/>
        </w:rPr>
        <w:t>للوصول</w:t>
      </w:r>
      <w:r w:rsidR="00F32B28">
        <w:rPr>
          <w:rtl/>
          <w:lang w:bidi="ar-SY"/>
        </w:rPr>
        <w:t xml:space="preserve"> </w:t>
      </w:r>
      <w:r w:rsidR="00F32B28" w:rsidRPr="00F32B28">
        <w:rPr>
          <w:rtl/>
          <w:lang w:bidi="ar-SY"/>
        </w:rPr>
        <w:t>لأراضي</w:t>
      </w:r>
      <w:r w:rsidR="00F32B28">
        <w:rPr>
          <w:rtl/>
          <w:lang w:bidi="ar-SY"/>
        </w:rPr>
        <w:t xml:space="preserve"> </w:t>
      </w:r>
      <w:r w:rsidR="00F32B28" w:rsidRPr="00F32B28">
        <w:rPr>
          <w:rtl/>
          <w:lang w:bidi="ar-SY"/>
        </w:rPr>
        <w:t>وممارسة</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الزراعي،</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يخلف</w:t>
      </w:r>
      <w:r w:rsidR="00F32B28">
        <w:rPr>
          <w:rtl/>
          <w:lang w:bidi="ar-SY"/>
        </w:rPr>
        <w:t xml:space="preserve"> </w:t>
      </w:r>
      <w:r w:rsidR="00F32B28" w:rsidRPr="00F32B28">
        <w:rPr>
          <w:rtl/>
          <w:lang w:bidi="ar-SY"/>
        </w:rPr>
        <w:t>آثاراً</w:t>
      </w:r>
      <w:r w:rsidR="00F32B28">
        <w:rPr>
          <w:rtl/>
          <w:lang w:bidi="ar-SY"/>
        </w:rPr>
        <w:t xml:space="preserve"> </w:t>
      </w:r>
      <w:r w:rsidR="00F32B28" w:rsidRPr="00F32B28">
        <w:rPr>
          <w:rtl/>
          <w:lang w:bidi="ar-SY"/>
        </w:rPr>
        <w:t>سلبية</w:t>
      </w:r>
      <w:r w:rsidR="00F32B28">
        <w:rPr>
          <w:rtl/>
          <w:lang w:bidi="ar-SY"/>
        </w:rPr>
        <w:t xml:space="preserve"> </w:t>
      </w:r>
      <w:r w:rsidR="00F32B28" w:rsidRPr="00F32B28">
        <w:rPr>
          <w:rtl/>
          <w:lang w:bidi="ar-SY"/>
        </w:rPr>
        <w:t>جسيمة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الحياة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الريف</w:t>
      </w:r>
      <w:r w:rsidR="00F32B28">
        <w:rPr>
          <w:rtl/>
          <w:lang w:bidi="ar-SY"/>
        </w:rPr>
        <w:t xml:space="preserve"> </w:t>
      </w:r>
      <w:r w:rsidR="00F32B28" w:rsidRPr="00F32B28">
        <w:rPr>
          <w:rtl/>
          <w:lang w:bidi="ar-SY"/>
        </w:rPr>
        <w:t>الفلسطيني</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مصادر</w:t>
      </w:r>
      <w:r w:rsidR="00F32B28">
        <w:rPr>
          <w:rtl/>
          <w:lang w:bidi="ar-SY"/>
        </w:rPr>
        <w:t xml:space="preserve"> </w:t>
      </w:r>
      <w:r w:rsidR="00F32B28" w:rsidRPr="00F32B28">
        <w:rPr>
          <w:rtl/>
          <w:lang w:bidi="ar-SY"/>
        </w:rPr>
        <w:t>دخل</w:t>
      </w:r>
      <w:r w:rsidR="00F32B28">
        <w:rPr>
          <w:rtl/>
          <w:lang w:bidi="ar-SY"/>
        </w:rPr>
        <w:t xml:space="preserve"> </w:t>
      </w:r>
      <w:r w:rsidR="00F32B28" w:rsidRPr="00F32B28">
        <w:rPr>
          <w:rtl/>
          <w:lang w:bidi="ar-SY"/>
        </w:rPr>
        <w:t>سكانه.</w:t>
      </w:r>
    </w:p>
    <w:p w:rsidR="00F32B28" w:rsidRPr="00F32B28" w:rsidRDefault="00891A4B" w:rsidP="00891A4B">
      <w:pPr>
        <w:pStyle w:val="SingleTxt"/>
        <w:rPr>
          <w:rtl/>
          <w:lang w:bidi="ar-SY"/>
        </w:rPr>
      </w:pPr>
      <w:r>
        <w:rPr>
          <w:rFonts w:hint="cs"/>
          <w:rtl/>
          <w:lang w:bidi="ar-SY"/>
        </w:rPr>
        <w:t xml:space="preserve">298 - </w:t>
      </w:r>
      <w:r w:rsidR="00F32B28" w:rsidRPr="00F32B28">
        <w:rPr>
          <w:rtl/>
          <w:lang w:bidi="ar-SY"/>
        </w:rPr>
        <w:t>ويؤثر</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الوضع</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كبير،</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ينتهك</w:t>
      </w:r>
      <w:r w:rsidR="00F32B28">
        <w:rPr>
          <w:rtl/>
          <w:lang w:bidi="ar-SY"/>
        </w:rPr>
        <w:t xml:space="preserve"> </w:t>
      </w:r>
      <w:r w:rsidR="00F32B28" w:rsidRPr="00F32B28">
        <w:rPr>
          <w:rtl/>
          <w:lang w:bidi="ar-SY"/>
        </w:rPr>
        <w:t>الجدار</w:t>
      </w:r>
      <w:r w:rsidR="00F32B28">
        <w:rPr>
          <w:rtl/>
          <w:lang w:bidi="ar-SY"/>
        </w:rPr>
        <w:t xml:space="preserve"> </w:t>
      </w:r>
      <w:r w:rsidR="00F32B28" w:rsidRPr="00F32B28">
        <w:rPr>
          <w:rtl/>
          <w:lang w:bidi="ar-SY"/>
        </w:rPr>
        <w:t>والمستوطنات</w:t>
      </w:r>
      <w:r w:rsidR="00F32B28">
        <w:rPr>
          <w:rFonts w:hint="cs"/>
          <w:rtl/>
          <w:lang w:bidi="ar-SY"/>
        </w:rPr>
        <w:t xml:space="preserve"> </w:t>
      </w:r>
      <w:r w:rsidR="00F32B28" w:rsidRPr="00F32B28">
        <w:rPr>
          <w:rFonts w:hint="cs"/>
          <w:rtl/>
          <w:lang w:bidi="ar-SY"/>
        </w:rPr>
        <w:t>غير</w:t>
      </w:r>
      <w:r w:rsidR="00F32B28">
        <w:rPr>
          <w:rFonts w:hint="cs"/>
          <w:rtl/>
          <w:lang w:bidi="ar-SY"/>
        </w:rPr>
        <w:t xml:space="preserve"> </w:t>
      </w:r>
      <w:r w:rsidR="00F32B28" w:rsidRPr="00F32B28">
        <w:rPr>
          <w:rFonts w:hint="cs"/>
          <w:rtl/>
          <w:lang w:bidi="ar-SY"/>
        </w:rPr>
        <w:t>القانونية</w:t>
      </w:r>
      <w:r w:rsidR="00F32B28">
        <w:rPr>
          <w:rtl/>
          <w:lang w:bidi="ar-SY"/>
        </w:rPr>
        <w:t xml:space="preserve"> </w:t>
      </w:r>
      <w:r w:rsidR="00F32B28" w:rsidRPr="00F32B28">
        <w:rPr>
          <w:rtl/>
          <w:lang w:bidi="ar-SY"/>
        </w:rPr>
        <w:t>والنظام</w:t>
      </w:r>
      <w:r w:rsidR="00F32B28">
        <w:rPr>
          <w:rtl/>
          <w:lang w:bidi="ar-SY"/>
        </w:rPr>
        <w:t xml:space="preserve"> </w:t>
      </w:r>
      <w:r w:rsidR="00F32B28" w:rsidRPr="00F32B28">
        <w:rPr>
          <w:rtl/>
          <w:lang w:bidi="ar-SY"/>
        </w:rPr>
        <w:t>المرتبط</w:t>
      </w:r>
      <w:r w:rsidR="00F32B28">
        <w:rPr>
          <w:rtl/>
          <w:lang w:bidi="ar-SY"/>
        </w:rPr>
        <w:t xml:space="preserve"> </w:t>
      </w:r>
      <w:r w:rsidR="00F32B28" w:rsidRPr="00F32B28">
        <w:rPr>
          <w:rtl/>
          <w:lang w:bidi="ar-SY"/>
        </w:rPr>
        <w:t>بهما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الحواجز</w:t>
      </w:r>
      <w:r w:rsidR="00F32B28">
        <w:rPr>
          <w:rtl/>
          <w:lang w:bidi="ar-SY"/>
        </w:rPr>
        <w:t xml:space="preserve"> </w:t>
      </w:r>
      <w:r w:rsidR="00F32B28" w:rsidRPr="00F32B28">
        <w:rPr>
          <w:rtl/>
          <w:lang w:bidi="ar-SY"/>
        </w:rPr>
        <w:t>والتصاريح</w:t>
      </w:r>
      <w:r w:rsidR="00F32B28">
        <w:rPr>
          <w:rtl/>
          <w:lang w:bidi="ar-SY"/>
        </w:rPr>
        <w:t xml:space="preserve"> </w:t>
      </w:r>
      <w:r w:rsidR="00F32B28" w:rsidRPr="00F32B28">
        <w:rPr>
          <w:rtl/>
          <w:lang w:bidi="ar-SY"/>
        </w:rPr>
        <w:t>حقوقهن</w:t>
      </w:r>
      <w:r w:rsidR="00F32B28">
        <w:rPr>
          <w:rtl/>
          <w:lang w:bidi="ar-SY"/>
        </w:rPr>
        <w:t xml:space="preserve"> </w:t>
      </w:r>
      <w:r w:rsidR="00F32B28" w:rsidRPr="00F32B28">
        <w:rPr>
          <w:rtl/>
          <w:lang w:bidi="ar-SY"/>
        </w:rPr>
        <w:t>الأساسية.</w:t>
      </w:r>
      <w:r w:rsidR="00F32B28">
        <w:rPr>
          <w:rtl/>
          <w:lang w:bidi="ar-SY"/>
        </w:rPr>
        <w:t xml:space="preserve"> </w:t>
      </w:r>
      <w:r w:rsidR="00F32B28" w:rsidRPr="00F32B28">
        <w:rPr>
          <w:rtl/>
        </w:rPr>
        <w:t>فعلى</w:t>
      </w:r>
      <w:r w:rsidR="00F32B28">
        <w:rPr>
          <w:rtl/>
        </w:rPr>
        <w:t xml:space="preserve"> </w:t>
      </w:r>
      <w:r w:rsidR="00F32B28" w:rsidRPr="00F32B28">
        <w:rPr>
          <w:rtl/>
        </w:rPr>
        <w:t>صعيد</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السكن</w:t>
      </w:r>
      <w:r w:rsidR="00F32B28">
        <w:rPr>
          <w:rtl/>
        </w:rPr>
        <w:t xml:space="preserve"> </w:t>
      </w:r>
      <w:r w:rsidR="00F32B28" w:rsidRPr="00F32B28">
        <w:rPr>
          <w:rtl/>
        </w:rPr>
        <w:t>اللائق،</w:t>
      </w:r>
      <w:r w:rsidR="00F32B28">
        <w:rPr>
          <w:rtl/>
        </w:rPr>
        <w:t xml:space="preserve"> </w:t>
      </w:r>
      <w:r w:rsidR="00F32B28" w:rsidRPr="00F32B28">
        <w:rPr>
          <w:rtl/>
        </w:rPr>
        <w:t>تؤدي</w:t>
      </w:r>
      <w:r w:rsidR="00F32B28">
        <w:rPr>
          <w:rtl/>
        </w:rPr>
        <w:t xml:space="preserve"> </w:t>
      </w:r>
      <w:r w:rsidR="00F32B28" w:rsidRPr="00F32B28">
        <w:rPr>
          <w:rtl/>
        </w:rPr>
        <w:t>الممارسات</w:t>
      </w:r>
      <w:r w:rsidR="00F32B28">
        <w:rPr>
          <w:rtl/>
        </w:rPr>
        <w:t xml:space="preserve"> </w:t>
      </w:r>
      <w:r w:rsidR="00F32B28" w:rsidRPr="00F32B28">
        <w:rPr>
          <w:rtl/>
        </w:rPr>
        <w:t>الإسرائيلية</w:t>
      </w:r>
      <w:r w:rsidR="00F32B28">
        <w:rPr>
          <w:rtl/>
        </w:rPr>
        <w:t xml:space="preserve"> </w:t>
      </w:r>
      <w:r w:rsidR="00F32B28" w:rsidRPr="00F32B28">
        <w:rPr>
          <w:rtl/>
        </w:rPr>
        <w:t>وتوغلها</w:t>
      </w:r>
      <w:r w:rsidR="00F32B28">
        <w:rPr>
          <w:rtl/>
        </w:rPr>
        <w:t xml:space="preserve"> </w:t>
      </w:r>
      <w:r w:rsidR="00F32B28" w:rsidRPr="00F32B28">
        <w:rPr>
          <w:rtl/>
        </w:rPr>
        <w:t>في</w:t>
      </w:r>
      <w:r w:rsidR="00F32B28">
        <w:rPr>
          <w:rtl/>
        </w:rPr>
        <w:t xml:space="preserve"> </w:t>
      </w:r>
      <w:r w:rsidR="00F32B28" w:rsidRPr="00F32B28">
        <w:rPr>
          <w:rtl/>
        </w:rPr>
        <w:t>تدمير</w:t>
      </w:r>
      <w:r w:rsidR="00F32B28">
        <w:rPr>
          <w:rtl/>
        </w:rPr>
        <w:t xml:space="preserve"> </w:t>
      </w:r>
      <w:r w:rsidR="00F32B28" w:rsidRPr="00F32B28">
        <w:rPr>
          <w:rtl/>
        </w:rPr>
        <w:t>الممتلكات</w:t>
      </w:r>
      <w:r w:rsidR="00F32B28">
        <w:rPr>
          <w:rtl/>
        </w:rPr>
        <w:t xml:space="preserve"> </w:t>
      </w:r>
      <w:r w:rsidR="00F32B28" w:rsidRPr="00F32B28">
        <w:rPr>
          <w:rtl/>
        </w:rPr>
        <w:t>الخاصة</w:t>
      </w:r>
      <w:r w:rsidR="00F32B28">
        <w:rPr>
          <w:rtl/>
        </w:rPr>
        <w:t xml:space="preserve"> </w:t>
      </w:r>
      <w:r w:rsidR="00F32B28" w:rsidRPr="00F32B28">
        <w:rPr>
          <w:rtl/>
        </w:rPr>
        <w:t>للفلسطينيين</w:t>
      </w:r>
      <w:r w:rsidR="00F32B28">
        <w:rPr>
          <w:rtl/>
        </w:rPr>
        <w:t xml:space="preserve"> </w:t>
      </w:r>
      <w:r w:rsidR="00F32B28" w:rsidRPr="00F32B28">
        <w:rPr>
          <w:rtl/>
        </w:rPr>
        <w:t>من</w:t>
      </w:r>
      <w:r w:rsidR="00F32B28">
        <w:rPr>
          <w:rtl/>
        </w:rPr>
        <w:t xml:space="preserve"> </w:t>
      </w:r>
      <w:r w:rsidR="00F32B28" w:rsidRPr="00F32B28">
        <w:rPr>
          <w:rtl/>
        </w:rPr>
        <w:t>منازل</w:t>
      </w:r>
      <w:r w:rsidR="00F32B28">
        <w:rPr>
          <w:rtl/>
        </w:rPr>
        <w:t xml:space="preserve"> </w:t>
      </w:r>
      <w:r w:rsidR="00F32B28" w:rsidRPr="00F32B28">
        <w:rPr>
          <w:rtl/>
        </w:rPr>
        <w:t>وأراضٍ</w:t>
      </w:r>
      <w:r w:rsidR="00F32B28">
        <w:rPr>
          <w:rtl/>
        </w:rPr>
        <w:t xml:space="preserve"> </w:t>
      </w:r>
      <w:r w:rsidR="00F32B28" w:rsidRPr="00F32B28">
        <w:rPr>
          <w:rtl/>
        </w:rPr>
        <w:t>وبساتين</w:t>
      </w:r>
      <w:r w:rsidR="00F32B28">
        <w:rPr>
          <w:rtl/>
        </w:rPr>
        <w:t xml:space="preserve"> </w:t>
      </w:r>
      <w:r w:rsidR="00F32B28" w:rsidRPr="00F32B28">
        <w:rPr>
          <w:rtl/>
        </w:rPr>
        <w:t>وحقول</w:t>
      </w:r>
      <w:r w:rsidR="00F32B28">
        <w:rPr>
          <w:rtl/>
        </w:rPr>
        <w:t xml:space="preserve"> </w:t>
      </w:r>
      <w:r w:rsidR="00F32B28" w:rsidRPr="00F32B28">
        <w:rPr>
          <w:rtl/>
        </w:rPr>
        <w:t>وإخلائها</w:t>
      </w:r>
      <w:r w:rsidR="00F32B28">
        <w:rPr>
          <w:rtl/>
        </w:rPr>
        <w:t xml:space="preserve"> </w:t>
      </w:r>
      <w:r w:rsidR="00F32B28" w:rsidRPr="00F32B28">
        <w:rPr>
          <w:rtl/>
        </w:rPr>
        <w:t>قسرياً</w:t>
      </w:r>
      <w:r w:rsidR="00F32B28">
        <w:rPr>
          <w:rtl/>
        </w:rPr>
        <w:t xml:space="preserve"> </w:t>
      </w:r>
      <w:r w:rsidR="00F32B28" w:rsidRPr="00F32B28">
        <w:rPr>
          <w:rtl/>
        </w:rPr>
        <w:t>ومصادرتها</w:t>
      </w:r>
      <w:r w:rsidR="00F32B28">
        <w:rPr>
          <w:rtl/>
        </w:rPr>
        <w:t xml:space="preserve"> </w:t>
      </w:r>
      <w:r w:rsidR="00F32B28" w:rsidRPr="00F32B28">
        <w:rPr>
          <w:rtl/>
        </w:rPr>
        <w:t>ووضع</w:t>
      </w:r>
      <w:r w:rsidR="00F32B28">
        <w:rPr>
          <w:rtl/>
        </w:rPr>
        <w:t xml:space="preserve"> </w:t>
      </w:r>
      <w:r w:rsidR="00F32B28" w:rsidRPr="00F32B28">
        <w:rPr>
          <w:rtl/>
        </w:rPr>
        <w:t>يدها</w:t>
      </w:r>
      <w:r w:rsidR="00F32B28">
        <w:rPr>
          <w:rtl/>
        </w:rPr>
        <w:t xml:space="preserve"> </w:t>
      </w:r>
      <w:r w:rsidR="00F32B28" w:rsidRPr="00F32B28">
        <w:rPr>
          <w:rtl/>
        </w:rPr>
        <w:t>عليها</w:t>
      </w:r>
      <w:r w:rsidR="00F32B28">
        <w:rPr>
          <w:rtl/>
        </w:rPr>
        <w:t xml:space="preserve"> </w:t>
      </w:r>
      <w:r w:rsidR="00F32B28" w:rsidRPr="00F32B28">
        <w:rPr>
          <w:rtl/>
        </w:rPr>
        <w:t>إلى</w:t>
      </w:r>
      <w:r w:rsidR="00F32B28">
        <w:rPr>
          <w:rtl/>
        </w:rPr>
        <w:t xml:space="preserve"> </w:t>
      </w:r>
      <w:r w:rsidR="00F32B28" w:rsidRPr="00F32B28">
        <w:rPr>
          <w:rtl/>
        </w:rPr>
        <w:t>تقويض</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الأمن</w:t>
      </w:r>
      <w:r w:rsidR="00F32B28">
        <w:rPr>
          <w:rtl/>
        </w:rPr>
        <w:t xml:space="preserve"> </w:t>
      </w:r>
      <w:r w:rsidR="00F32B28" w:rsidRPr="00F32B28">
        <w:rPr>
          <w:rtl/>
        </w:rPr>
        <w:t>الحيازي</w:t>
      </w:r>
      <w:r w:rsidR="00F32B28">
        <w:rPr>
          <w:rtl/>
        </w:rPr>
        <w:t xml:space="preserve"> </w:t>
      </w:r>
      <w:r w:rsidR="00F32B28" w:rsidRPr="00F32B28">
        <w:rPr>
          <w:rtl/>
        </w:rPr>
        <w:t>للأسر</w:t>
      </w:r>
      <w:r w:rsidR="00F32B28">
        <w:rPr>
          <w:rtl/>
        </w:rPr>
        <w:t xml:space="preserve"> </w:t>
      </w:r>
      <w:r w:rsidR="00F32B28" w:rsidRPr="00F32B28">
        <w:rPr>
          <w:rtl/>
        </w:rPr>
        <w:t>الفلسطينية،</w:t>
      </w:r>
      <w:r w:rsidR="00F32B28">
        <w:rPr>
          <w:rtl/>
        </w:rPr>
        <w:t xml:space="preserve"> </w:t>
      </w:r>
      <w:r w:rsidR="00F32B28" w:rsidRPr="00F32B28">
        <w:rPr>
          <w:rtl/>
        </w:rPr>
        <w:t>بما</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النساء</w:t>
      </w:r>
      <w:r w:rsidR="00F32B28">
        <w:rPr>
          <w:rtl/>
        </w:rPr>
        <w:t xml:space="preserve"> </w:t>
      </w:r>
      <w:r w:rsidR="00F32B28" w:rsidRPr="00F32B28">
        <w:rPr>
          <w:rtl/>
        </w:rPr>
        <w:t>وحرمانهن</w:t>
      </w:r>
      <w:r w:rsidR="00F32B28">
        <w:rPr>
          <w:rtl/>
        </w:rPr>
        <w:t xml:space="preserve"> </w:t>
      </w:r>
      <w:r w:rsidR="00F32B28" w:rsidRPr="00F32B28">
        <w:rPr>
          <w:rtl/>
        </w:rPr>
        <w:t>من</w:t>
      </w:r>
      <w:r w:rsidR="00F32B28">
        <w:rPr>
          <w:rtl/>
        </w:rPr>
        <w:t xml:space="preserve"> </w:t>
      </w:r>
      <w:r w:rsidR="00F32B28" w:rsidRPr="00F32B28">
        <w:rPr>
          <w:rtl/>
        </w:rPr>
        <w:t>ال</w:t>
      </w:r>
      <w:r w:rsidR="00F32B28" w:rsidRPr="00F32B28">
        <w:rPr>
          <w:rtl/>
          <w:lang w:bidi="ar-EG"/>
        </w:rPr>
        <w:t>إقامة</w:t>
      </w:r>
      <w:r w:rsidR="00F32B28">
        <w:rPr>
          <w:rtl/>
          <w:lang w:bidi="ar-EG"/>
        </w:rPr>
        <w:t xml:space="preserve"> </w:t>
      </w:r>
      <w:r w:rsidR="00F32B28" w:rsidRPr="00F32B28">
        <w:rPr>
          <w:rtl/>
          <w:lang w:bidi="ar-EG"/>
        </w:rPr>
        <w:t>في</w:t>
      </w:r>
      <w:r w:rsidR="00F32B28">
        <w:rPr>
          <w:rtl/>
          <w:lang w:bidi="ar-EG"/>
        </w:rPr>
        <w:t xml:space="preserve"> </w:t>
      </w:r>
      <w:r w:rsidR="00F32B28" w:rsidRPr="00F32B28">
        <w:rPr>
          <w:rtl/>
          <w:lang w:bidi="ar-EG"/>
        </w:rPr>
        <w:t>مساكنهن</w:t>
      </w:r>
      <w:r w:rsidR="00F32B28">
        <w:rPr>
          <w:rtl/>
          <w:lang w:bidi="ar-EG"/>
        </w:rPr>
        <w:t xml:space="preserve"> </w:t>
      </w:r>
      <w:r w:rsidR="00F32B28" w:rsidRPr="00F32B28">
        <w:rPr>
          <w:rtl/>
          <w:lang w:bidi="ar-EG"/>
        </w:rPr>
        <w:t>والتمتع</w:t>
      </w:r>
      <w:r w:rsidR="00F32B28">
        <w:rPr>
          <w:rtl/>
          <w:lang w:bidi="ar-EG"/>
        </w:rPr>
        <w:t xml:space="preserve"> </w:t>
      </w:r>
      <w:r w:rsidR="00F32B28" w:rsidRPr="00F32B28">
        <w:rPr>
          <w:rtl/>
          <w:lang w:bidi="ar-EG"/>
        </w:rPr>
        <w:t>بها</w:t>
      </w:r>
      <w:r w:rsidR="00F32B28">
        <w:rPr>
          <w:rtl/>
          <w:lang w:bidi="ar-EG"/>
        </w:rPr>
        <w:t xml:space="preserve"> </w:t>
      </w:r>
      <w:r w:rsidR="00F32B28" w:rsidRPr="00F32B28">
        <w:rPr>
          <w:rtl/>
          <w:lang w:bidi="ar-EG"/>
        </w:rPr>
        <w:t>دون</w:t>
      </w:r>
      <w:r w:rsidR="00F32B28">
        <w:rPr>
          <w:rtl/>
          <w:lang w:bidi="ar-EG"/>
        </w:rPr>
        <w:t xml:space="preserve"> </w:t>
      </w:r>
      <w:r w:rsidR="00F32B28" w:rsidRPr="00F32B28">
        <w:rPr>
          <w:rtl/>
          <w:lang w:bidi="ar-EG"/>
        </w:rPr>
        <w:t>خوف</w:t>
      </w:r>
      <w:r w:rsidR="00F32B28">
        <w:rPr>
          <w:rtl/>
          <w:lang w:bidi="ar-EG"/>
        </w:rPr>
        <w:t xml:space="preserve"> </w:t>
      </w:r>
      <w:r w:rsidR="00F32B28" w:rsidRPr="00F32B28">
        <w:rPr>
          <w:rtl/>
          <w:lang w:bidi="ar-EG"/>
        </w:rPr>
        <w:t>من</w:t>
      </w:r>
      <w:r w:rsidR="00F32B28">
        <w:rPr>
          <w:rtl/>
          <w:lang w:bidi="ar-EG"/>
        </w:rPr>
        <w:t xml:space="preserve"> </w:t>
      </w:r>
      <w:r w:rsidR="00F32B28" w:rsidRPr="00F32B28">
        <w:rPr>
          <w:rtl/>
          <w:lang w:bidi="ar-EG"/>
        </w:rPr>
        <w:t>فقدانها،</w:t>
      </w:r>
      <w:r w:rsidR="00F32B28">
        <w:rPr>
          <w:rtl/>
          <w:lang w:bidi="ar-EG"/>
        </w:rPr>
        <w:t xml:space="preserve"> </w:t>
      </w:r>
      <w:r w:rsidR="00F32B28" w:rsidRPr="00F32B28">
        <w:rPr>
          <w:rtl/>
          <w:lang w:bidi="ar-EG"/>
        </w:rPr>
        <w:t>وعدم</w:t>
      </w:r>
      <w:r w:rsidR="00F32B28">
        <w:rPr>
          <w:rtl/>
          <w:lang w:bidi="ar-EG"/>
        </w:rPr>
        <w:t xml:space="preserve"> </w:t>
      </w:r>
      <w:r w:rsidR="00F32B28" w:rsidRPr="00F32B28">
        <w:rPr>
          <w:rtl/>
          <w:lang w:bidi="ar-EG"/>
        </w:rPr>
        <w:t>تمكينهن</w:t>
      </w:r>
      <w:r w:rsidR="00F32B28">
        <w:rPr>
          <w:rtl/>
          <w:lang w:bidi="ar-EG"/>
        </w:rPr>
        <w:t xml:space="preserve"> </w:t>
      </w:r>
      <w:r w:rsidR="00F32B28" w:rsidRPr="00F32B28">
        <w:rPr>
          <w:rtl/>
          <w:lang w:bidi="ar-EG"/>
        </w:rPr>
        <w:t>من</w:t>
      </w:r>
      <w:r w:rsidR="00F32B28">
        <w:rPr>
          <w:rtl/>
          <w:lang w:bidi="ar-EG"/>
        </w:rPr>
        <w:t xml:space="preserve"> </w:t>
      </w:r>
      <w:r w:rsidR="00F32B28" w:rsidRPr="00F32B28">
        <w:rPr>
          <w:rtl/>
          <w:lang w:bidi="ar-EG"/>
        </w:rPr>
        <w:t>تحسين</w:t>
      </w:r>
      <w:r w:rsidR="00F32B28">
        <w:rPr>
          <w:rtl/>
          <w:lang w:bidi="ar-EG"/>
        </w:rPr>
        <w:t xml:space="preserve"> </w:t>
      </w:r>
      <w:r w:rsidR="00F32B28" w:rsidRPr="00F32B28">
        <w:rPr>
          <w:rtl/>
          <w:lang w:bidi="ar-EG"/>
        </w:rPr>
        <w:t>أحوالهن</w:t>
      </w:r>
      <w:r w:rsidR="00F32B28">
        <w:rPr>
          <w:rtl/>
          <w:lang w:bidi="ar-EG"/>
        </w:rPr>
        <w:t xml:space="preserve"> </w:t>
      </w:r>
      <w:r w:rsidR="00F32B28" w:rsidRPr="00F32B28">
        <w:rPr>
          <w:rtl/>
          <w:lang w:bidi="ar-EG"/>
        </w:rPr>
        <w:t>السكنية</w:t>
      </w:r>
      <w:r w:rsidR="00F32B28">
        <w:rPr>
          <w:rtl/>
          <w:lang w:bidi="ar-EG"/>
        </w:rPr>
        <w:t xml:space="preserve"> </w:t>
      </w:r>
      <w:r w:rsidR="00F32B28" w:rsidRPr="00F32B28">
        <w:rPr>
          <w:rtl/>
          <w:lang w:bidi="ar-EG"/>
        </w:rPr>
        <w:t>والمعيشية.</w:t>
      </w:r>
      <w:r w:rsidR="00F32B28">
        <w:rPr>
          <w:rtl/>
          <w:lang w:bidi="ar-EG"/>
        </w:rPr>
        <w:t xml:space="preserve"> </w:t>
      </w:r>
      <w:r w:rsidR="00F32B28" w:rsidRPr="00F32B28">
        <w:rPr>
          <w:rtl/>
          <w:lang w:bidi="ar-EG"/>
        </w:rPr>
        <w:t>كما</w:t>
      </w:r>
      <w:r w:rsidR="00F32B28">
        <w:rPr>
          <w:rtl/>
          <w:lang w:bidi="ar-EG"/>
        </w:rPr>
        <w:t xml:space="preserve"> </w:t>
      </w:r>
      <w:r w:rsidR="00F32B28" w:rsidRPr="00F32B28">
        <w:rPr>
          <w:rtl/>
          <w:lang w:bidi="ar-SY"/>
        </w:rPr>
        <w:t>تعيش</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أوضاع</w:t>
      </w:r>
      <w:r w:rsidR="00F32B28">
        <w:rPr>
          <w:rtl/>
          <w:lang w:bidi="ar-SY"/>
        </w:rPr>
        <w:t xml:space="preserve"> </w:t>
      </w:r>
      <w:r w:rsidR="00F32B28" w:rsidRPr="00F32B28">
        <w:rPr>
          <w:rtl/>
          <w:lang w:bidi="ar-SY"/>
        </w:rPr>
        <w:t>فقيرة</w:t>
      </w:r>
      <w:r w:rsidR="00F32B28">
        <w:rPr>
          <w:rtl/>
          <w:lang w:bidi="ar-SY"/>
        </w:rPr>
        <w:t xml:space="preserve"> </w:t>
      </w:r>
      <w:r w:rsidR="00F32B28" w:rsidRPr="00F32B28">
        <w:rPr>
          <w:rtl/>
          <w:lang w:bidi="ar-SY"/>
        </w:rPr>
        <w:t>ومساكن</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ملائمة</w:t>
      </w:r>
      <w:r w:rsidR="00F32B28">
        <w:rPr>
          <w:rtl/>
          <w:lang w:bidi="ar-SY"/>
        </w:rPr>
        <w:t xml:space="preserve"> </w:t>
      </w:r>
      <w:r w:rsidR="00F32B28" w:rsidRPr="00F32B28">
        <w:rPr>
          <w:rtl/>
          <w:lang w:bidi="ar-SY"/>
        </w:rPr>
        <w:t>ومكتظة</w:t>
      </w:r>
      <w:r w:rsidR="00F32B28">
        <w:rPr>
          <w:rtl/>
          <w:lang w:bidi="ar-SY"/>
        </w:rPr>
        <w:t xml:space="preserve"> </w:t>
      </w:r>
      <w:r w:rsidR="00F32B28" w:rsidRPr="00F32B28">
        <w:rPr>
          <w:rtl/>
          <w:lang w:bidi="ar-SY"/>
        </w:rPr>
        <w:t>وخطيرة</w:t>
      </w:r>
      <w:r w:rsidR="00F32B28">
        <w:rPr>
          <w:rtl/>
          <w:lang w:bidi="ar-SY"/>
        </w:rPr>
        <w:t xml:space="preserve"> </w:t>
      </w:r>
      <w:r w:rsidR="00F32B28" w:rsidRPr="00F32B28">
        <w:rPr>
          <w:rtl/>
          <w:lang w:bidi="ar-SY"/>
        </w:rPr>
        <w:t>تتكون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أسطح</w:t>
      </w:r>
      <w:r w:rsidR="00F32B28">
        <w:rPr>
          <w:rtl/>
          <w:lang w:bidi="ar-SY"/>
        </w:rPr>
        <w:t xml:space="preserve"> </w:t>
      </w:r>
      <w:r w:rsidR="00F32B28" w:rsidRPr="00F32B28">
        <w:rPr>
          <w:rtl/>
          <w:lang w:bidi="ar-SY"/>
        </w:rPr>
        <w:t>الزينكو،</w:t>
      </w:r>
      <w:r w:rsidR="00F32B28">
        <w:rPr>
          <w:rtl/>
          <w:lang w:bidi="ar-SY"/>
        </w:rPr>
        <w:t xml:space="preserve"> </w:t>
      </w:r>
      <w:r w:rsidR="00F32B28" w:rsidRPr="00F32B28">
        <w:rPr>
          <w:rtl/>
          <w:lang w:bidi="ar-SY"/>
        </w:rPr>
        <w:t>وسقوف</w:t>
      </w:r>
      <w:r w:rsidR="00F32B28">
        <w:rPr>
          <w:rtl/>
          <w:lang w:bidi="ar-SY"/>
        </w:rPr>
        <w:t xml:space="preserve"> </w:t>
      </w:r>
      <w:r w:rsidR="00F32B28" w:rsidRPr="00F32B28">
        <w:rPr>
          <w:rtl/>
          <w:lang w:bidi="ar-SY"/>
        </w:rPr>
        <w:t>الأسبست،</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يستطيع</w:t>
      </w:r>
      <w:r w:rsidR="00F32B28">
        <w:rPr>
          <w:rtl/>
          <w:lang w:bidi="ar-SY"/>
        </w:rPr>
        <w:t xml:space="preserve"> </w:t>
      </w:r>
      <w:r w:rsidR="00F32B28" w:rsidRPr="00F32B28">
        <w:rPr>
          <w:rtl/>
          <w:lang w:bidi="ar-SY"/>
        </w:rPr>
        <w:t>الفلسطينيون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منطقة</w:t>
      </w:r>
      <w:r w:rsidR="00F32B28">
        <w:rPr>
          <w:rtl/>
          <w:lang w:bidi="ar-SY"/>
        </w:rPr>
        <w:t xml:space="preserve"> </w:t>
      </w:r>
      <w:r w:rsidR="00F32B28" w:rsidRPr="00F32B28">
        <w:rPr>
          <w:rtl/>
          <w:lang w:bidi="ar-SY"/>
        </w:rPr>
        <w:t>التماس</w:t>
      </w:r>
      <w:r w:rsidR="00F32B28">
        <w:rPr>
          <w:rtl/>
          <w:lang w:bidi="ar-SY"/>
        </w:rPr>
        <w:t xml:space="preserve"> </w:t>
      </w:r>
      <w:r w:rsidR="00F32B28" w:rsidRPr="00F32B28">
        <w:rPr>
          <w:rtl/>
          <w:lang w:bidi="ar-SY"/>
        </w:rPr>
        <w:t>الحصول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رخص</w:t>
      </w:r>
      <w:r w:rsidR="00F32B28">
        <w:rPr>
          <w:rtl/>
          <w:lang w:bidi="ar-SY"/>
        </w:rPr>
        <w:t xml:space="preserve"> </w:t>
      </w:r>
      <w:r w:rsidR="00F32B28" w:rsidRPr="00F32B28">
        <w:rPr>
          <w:rtl/>
          <w:lang w:bidi="ar-SY"/>
        </w:rPr>
        <w:t>لبناء</w:t>
      </w:r>
      <w:r w:rsidR="00F32B28">
        <w:rPr>
          <w:rtl/>
          <w:lang w:bidi="ar-SY"/>
        </w:rPr>
        <w:t xml:space="preserve"> </w:t>
      </w:r>
      <w:r w:rsidR="00F32B28" w:rsidRPr="00F32B28">
        <w:rPr>
          <w:rtl/>
          <w:lang w:bidi="ar-SY"/>
        </w:rPr>
        <w:t>منازل</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توسيع</w:t>
      </w:r>
      <w:r w:rsidR="00F32B28">
        <w:rPr>
          <w:rtl/>
          <w:lang w:bidi="ar-SY"/>
        </w:rPr>
        <w:t xml:space="preserve"> </w:t>
      </w:r>
      <w:r w:rsidR="00F32B28" w:rsidRPr="00F32B28">
        <w:rPr>
          <w:rtl/>
          <w:lang w:bidi="ar-SY"/>
        </w:rPr>
        <w:t>المنازل</w:t>
      </w:r>
      <w:r w:rsidR="00F32B28">
        <w:rPr>
          <w:rtl/>
          <w:lang w:bidi="ar-SY"/>
        </w:rPr>
        <w:t xml:space="preserve"> </w:t>
      </w:r>
      <w:r w:rsidR="00F32B28" w:rsidRPr="00F32B28">
        <w:rPr>
          <w:rtl/>
          <w:lang w:bidi="ar-SY"/>
        </w:rPr>
        <w:t>أو</w:t>
      </w:r>
      <w:r w:rsidR="009F4D72">
        <w:rPr>
          <w:rFonts w:hint="cs"/>
          <w:rtl/>
          <w:lang w:bidi="ar-SY"/>
        </w:rPr>
        <w:t> </w:t>
      </w:r>
      <w:r w:rsidR="00F32B28" w:rsidRPr="00F32B28">
        <w:rPr>
          <w:rtl/>
          <w:lang w:bidi="ar-SY"/>
        </w:rPr>
        <w:t>ترميمها.</w:t>
      </w:r>
      <w:r w:rsidR="00F32B28">
        <w:rPr>
          <w:rtl/>
          <w:lang w:bidi="ar-SY"/>
        </w:rPr>
        <w:t xml:space="preserve"> </w:t>
      </w:r>
      <w:r w:rsidR="00F32B28" w:rsidRPr="00F32B28">
        <w:rPr>
          <w:rtl/>
          <w:lang w:bidi="ar-SY"/>
        </w:rPr>
        <w:t>ولما</w:t>
      </w:r>
      <w:r w:rsidR="00F32B28">
        <w:rPr>
          <w:rtl/>
          <w:lang w:bidi="ar-SY"/>
        </w:rPr>
        <w:t xml:space="preserve"> </w:t>
      </w:r>
      <w:r w:rsidR="00F32B28" w:rsidRPr="00F32B28">
        <w:rPr>
          <w:rtl/>
          <w:lang w:bidi="ar-SY"/>
        </w:rPr>
        <w:t>كانت</w:t>
      </w:r>
      <w:r w:rsidR="00F32B28">
        <w:rPr>
          <w:rtl/>
          <w:lang w:bidi="ar-SY"/>
        </w:rPr>
        <w:t xml:space="preserve"> </w:t>
      </w:r>
      <w:r w:rsidR="00F32B28" w:rsidRPr="00F32B28">
        <w:rPr>
          <w:rtl/>
          <w:lang w:bidi="ar-SY"/>
        </w:rPr>
        <w:t>معظم</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يعملن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تلك</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خارج</w:t>
      </w:r>
      <w:r w:rsidR="00F32B28">
        <w:rPr>
          <w:rtl/>
          <w:lang w:bidi="ar-SY"/>
        </w:rPr>
        <w:t xml:space="preserve"> </w:t>
      </w:r>
      <w:r w:rsidR="00F32B28" w:rsidRPr="00F32B28">
        <w:rPr>
          <w:rtl/>
          <w:lang w:bidi="ar-SY"/>
        </w:rPr>
        <w:t>المنزل،</w:t>
      </w:r>
      <w:r w:rsidR="00F32B28">
        <w:rPr>
          <w:rtl/>
          <w:lang w:bidi="ar-SY"/>
        </w:rPr>
        <w:t xml:space="preserve"> </w:t>
      </w:r>
      <w:r w:rsidR="00F32B28" w:rsidRPr="00F32B28">
        <w:rPr>
          <w:rtl/>
          <w:lang w:bidi="ar-SY"/>
        </w:rPr>
        <w:t>أصبحت</w:t>
      </w:r>
      <w:r w:rsidR="00F32B28">
        <w:rPr>
          <w:rtl/>
          <w:lang w:bidi="ar-SY"/>
        </w:rPr>
        <w:t xml:space="preserve"> </w:t>
      </w:r>
      <w:r w:rsidR="00F32B28" w:rsidRPr="00F32B28">
        <w:rPr>
          <w:rtl/>
          <w:lang w:bidi="ar-SY"/>
        </w:rPr>
        <w:t>حياتهن</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الأكثر</w:t>
      </w:r>
      <w:r w:rsidR="00F32B28">
        <w:rPr>
          <w:rtl/>
          <w:lang w:bidi="ar-SY"/>
        </w:rPr>
        <w:t xml:space="preserve"> </w:t>
      </w:r>
      <w:r w:rsidR="00F32B28" w:rsidRPr="00F32B28">
        <w:rPr>
          <w:rtl/>
          <w:lang w:bidi="ar-SY"/>
        </w:rPr>
        <w:t>تتضرراً</w:t>
      </w:r>
      <w:r w:rsidR="00F32B28">
        <w:rPr>
          <w:rtl/>
          <w:lang w:bidi="ar-SY"/>
        </w:rPr>
        <w:t xml:space="preserve"> </w:t>
      </w:r>
      <w:r w:rsidR="00F32B28" w:rsidRPr="00F32B28">
        <w:rPr>
          <w:rtl/>
          <w:lang w:bidi="ar-SY"/>
        </w:rPr>
        <w:t>نتيجة</w:t>
      </w:r>
      <w:r w:rsidR="00F32B28">
        <w:rPr>
          <w:rtl/>
          <w:lang w:bidi="ar-SY"/>
        </w:rPr>
        <w:t xml:space="preserve"> </w:t>
      </w:r>
      <w:r w:rsidR="00F32B28" w:rsidRPr="00F32B28">
        <w:rPr>
          <w:rtl/>
          <w:lang w:bidi="ar-SY"/>
        </w:rPr>
        <w:t>الأوضاع</w:t>
      </w:r>
      <w:r w:rsidR="00F32B28">
        <w:rPr>
          <w:rtl/>
          <w:lang w:bidi="ar-SY"/>
        </w:rPr>
        <w:t xml:space="preserve"> </w:t>
      </w:r>
      <w:r w:rsidR="00F32B28" w:rsidRPr="00F32B28">
        <w:rPr>
          <w:rtl/>
          <w:lang w:bidi="ar-SY"/>
        </w:rPr>
        <w:t>السكنية</w:t>
      </w:r>
      <w:r w:rsidR="00F32B28">
        <w:rPr>
          <w:rtl/>
          <w:lang w:bidi="ar-SY"/>
        </w:rPr>
        <w:t xml:space="preserve"> </w:t>
      </w:r>
      <w:r w:rsidR="00F32B28" w:rsidRPr="00F32B28">
        <w:rPr>
          <w:rtl/>
          <w:lang w:bidi="ar-SY"/>
        </w:rPr>
        <w:t>السيئة</w:t>
      </w:r>
      <w:r w:rsidR="00F32B28">
        <w:rPr>
          <w:rtl/>
          <w:lang w:bidi="ar-SY"/>
        </w:rPr>
        <w:t xml:space="preserve"> </w:t>
      </w:r>
      <w:r w:rsidR="00F32B28" w:rsidRPr="00F32B28">
        <w:rPr>
          <w:rtl/>
          <w:lang w:bidi="ar-SY"/>
        </w:rPr>
        <w:t>والمكتظة،</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بحكم</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بقائهن</w:t>
      </w:r>
      <w:r w:rsidR="00F32B28">
        <w:rPr>
          <w:rtl/>
          <w:lang w:bidi="ar-SY"/>
        </w:rPr>
        <w:t xml:space="preserve"> </w:t>
      </w:r>
      <w:r w:rsidR="00F32B28" w:rsidRPr="00F32B28">
        <w:rPr>
          <w:rtl/>
          <w:lang w:bidi="ar-SY"/>
        </w:rPr>
        <w:t>بداخله</w:t>
      </w:r>
      <w:r w:rsidR="00F32B28">
        <w:rPr>
          <w:rtl/>
          <w:lang w:bidi="ar-SY"/>
        </w:rPr>
        <w:t xml:space="preserve"> </w:t>
      </w:r>
      <w:r w:rsidR="00F32B28" w:rsidRPr="00F32B28">
        <w:rPr>
          <w:rtl/>
          <w:lang w:bidi="ar-SY"/>
        </w:rPr>
        <w:t>أصبح</w:t>
      </w:r>
      <w:r w:rsidR="00F32B28">
        <w:rPr>
          <w:rtl/>
          <w:lang w:bidi="ar-SY"/>
        </w:rPr>
        <w:t xml:space="preserve"> </w:t>
      </w:r>
      <w:r w:rsidR="00F32B28" w:rsidRPr="00F32B28">
        <w:rPr>
          <w:rtl/>
          <w:lang w:bidi="ar-SY"/>
        </w:rPr>
        <w:t>لفترات</w:t>
      </w:r>
      <w:r w:rsidR="00F32B28">
        <w:rPr>
          <w:rtl/>
          <w:lang w:bidi="ar-SY"/>
        </w:rPr>
        <w:t xml:space="preserve"> </w:t>
      </w:r>
      <w:r w:rsidR="00F32B28" w:rsidRPr="00F32B28">
        <w:rPr>
          <w:rtl/>
          <w:lang w:bidi="ar-SY"/>
        </w:rPr>
        <w:t>أطول</w:t>
      </w:r>
      <w:r w:rsidR="00F32B28">
        <w:rPr>
          <w:rtl/>
          <w:lang w:bidi="ar-SY"/>
        </w:rPr>
        <w:t xml:space="preserve"> </w:t>
      </w:r>
      <w:r w:rsidR="00F32B28" w:rsidRPr="00F32B28">
        <w:rPr>
          <w:rtl/>
          <w:lang w:bidi="ar-SY"/>
        </w:rPr>
        <w:t>وتحملهن</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لمسؤوليات</w:t>
      </w:r>
      <w:r w:rsidR="00F32B28">
        <w:rPr>
          <w:rtl/>
          <w:lang w:bidi="ar-SY"/>
        </w:rPr>
        <w:t xml:space="preserve"> </w:t>
      </w:r>
      <w:r w:rsidR="00F32B28" w:rsidRPr="00F32B28">
        <w:rPr>
          <w:rtl/>
          <w:lang w:bidi="ar-SY"/>
        </w:rPr>
        <w:t>رعاية</w:t>
      </w:r>
      <w:r w:rsidR="00F32B28">
        <w:rPr>
          <w:rtl/>
          <w:lang w:bidi="ar-SY"/>
        </w:rPr>
        <w:t xml:space="preserve"> </w:t>
      </w:r>
      <w:r w:rsidR="00F32B28" w:rsidRPr="00F32B28">
        <w:rPr>
          <w:rtl/>
          <w:lang w:bidi="ar-SY"/>
        </w:rPr>
        <w:t>الأطفال</w:t>
      </w:r>
      <w:r w:rsidR="00F32B28">
        <w:rPr>
          <w:rtl/>
          <w:lang w:bidi="ar-SY"/>
        </w:rPr>
        <w:t xml:space="preserve"> </w:t>
      </w:r>
      <w:r w:rsidR="00F32B28" w:rsidRPr="00F32B28">
        <w:rPr>
          <w:rtl/>
          <w:lang w:bidi="ar-SY"/>
        </w:rPr>
        <w:t>وكبار</w:t>
      </w:r>
      <w:r w:rsidR="00F32B28">
        <w:rPr>
          <w:rtl/>
          <w:lang w:bidi="ar-SY"/>
        </w:rPr>
        <w:t xml:space="preserve"> </w:t>
      </w:r>
      <w:r w:rsidR="00F32B28" w:rsidRPr="00F32B28">
        <w:rPr>
          <w:rtl/>
          <w:lang w:bidi="ar-SY"/>
        </w:rPr>
        <w:t>السن،</w:t>
      </w:r>
      <w:r w:rsidR="00F32B28">
        <w:rPr>
          <w:rtl/>
          <w:lang w:bidi="ar-SY"/>
        </w:rPr>
        <w:t xml:space="preserve"> </w:t>
      </w:r>
      <w:r w:rsidR="00F32B28" w:rsidRPr="00F32B28">
        <w:rPr>
          <w:rtl/>
          <w:lang w:bidi="ar-SY"/>
        </w:rPr>
        <w:t>وأداء</w:t>
      </w:r>
      <w:r w:rsidR="00F32B28">
        <w:rPr>
          <w:rtl/>
          <w:lang w:bidi="ar-SY"/>
        </w:rPr>
        <w:t xml:space="preserve"> </w:t>
      </w:r>
      <w:r w:rsidR="00F32B28" w:rsidRPr="00F32B28">
        <w:rPr>
          <w:rtl/>
          <w:lang w:bidi="ar-SY"/>
        </w:rPr>
        <w:t>المهام</w:t>
      </w:r>
      <w:r w:rsidR="00F32B28">
        <w:rPr>
          <w:rtl/>
          <w:lang w:bidi="ar-SY"/>
        </w:rPr>
        <w:t xml:space="preserve"> </w:t>
      </w:r>
      <w:r w:rsidR="00F32B28" w:rsidRPr="00F32B28">
        <w:rPr>
          <w:rtl/>
          <w:lang w:bidi="ar-SY"/>
        </w:rPr>
        <w:t>المنزلية،</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القيام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الأحيان</w:t>
      </w:r>
      <w:r w:rsidR="00F32B28">
        <w:rPr>
          <w:rtl/>
          <w:lang w:bidi="ar-SY"/>
        </w:rPr>
        <w:t xml:space="preserve"> </w:t>
      </w:r>
      <w:r w:rsidR="00F32B28" w:rsidRPr="00F32B28">
        <w:rPr>
          <w:rtl/>
          <w:lang w:bidi="ar-SY"/>
        </w:rPr>
        <w:t>بأعمال</w:t>
      </w:r>
      <w:r w:rsidR="00F32B28">
        <w:rPr>
          <w:rtl/>
          <w:lang w:bidi="ar-SY"/>
        </w:rPr>
        <w:t xml:space="preserve"> </w:t>
      </w:r>
      <w:r w:rsidR="00F32B28" w:rsidRPr="00F32B28">
        <w:rPr>
          <w:rtl/>
          <w:lang w:bidi="ar-SY"/>
        </w:rPr>
        <w:t>صغيرة</w:t>
      </w:r>
      <w:r w:rsidR="00F32B28">
        <w:rPr>
          <w:rtl/>
          <w:lang w:bidi="ar-SY"/>
        </w:rPr>
        <w:t xml:space="preserve"> </w:t>
      </w:r>
      <w:r w:rsidR="00F32B28" w:rsidRPr="00F32B28">
        <w:rPr>
          <w:rtl/>
          <w:lang w:bidi="ar-SY"/>
        </w:rPr>
        <w:t>الدخل</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داخل</w:t>
      </w:r>
      <w:r w:rsidR="00F32B28">
        <w:rPr>
          <w:rtl/>
          <w:lang w:bidi="ar-SY"/>
        </w:rPr>
        <w:t xml:space="preserve"> </w:t>
      </w:r>
      <w:r w:rsidR="00F32B28" w:rsidRPr="00F32B28">
        <w:rPr>
          <w:rtl/>
          <w:lang w:bidi="ar-SY"/>
        </w:rPr>
        <w:t>المنزل.</w:t>
      </w:r>
      <w:r w:rsidR="00F32B28">
        <w:rPr>
          <w:rtl/>
          <w:lang w:bidi="ar-SY"/>
        </w:rPr>
        <w:t xml:space="preserve"> </w:t>
      </w:r>
    </w:p>
    <w:p w:rsidR="00F32B28" w:rsidRPr="00F32B28" w:rsidRDefault="00891A4B" w:rsidP="00891A4B">
      <w:pPr>
        <w:pStyle w:val="SingleTxt"/>
      </w:pPr>
      <w:r>
        <w:rPr>
          <w:rFonts w:hint="cs"/>
          <w:rtl/>
          <w:lang w:bidi="ar-SY"/>
        </w:rPr>
        <w:t xml:space="preserve">299 - </w:t>
      </w:r>
      <w:r w:rsidR="00F32B28" w:rsidRPr="00F32B28">
        <w:rPr>
          <w:rtl/>
          <w:lang w:bidi="ar-SY"/>
        </w:rPr>
        <w:t>كما</w:t>
      </w:r>
      <w:r w:rsidR="00F32B28">
        <w:rPr>
          <w:rtl/>
          <w:lang w:bidi="ar-SY"/>
        </w:rPr>
        <w:t xml:space="preserve"> </w:t>
      </w:r>
      <w:r w:rsidR="00F32B28" w:rsidRPr="00F32B28">
        <w:rPr>
          <w:rtl/>
          <w:lang w:bidi="ar-SY"/>
        </w:rPr>
        <w:t>ينتهك</w:t>
      </w:r>
      <w:r w:rsidR="00F32B28">
        <w:rPr>
          <w:rtl/>
          <w:lang w:bidi="ar-SY"/>
        </w:rPr>
        <w:t xml:space="preserve"> </w:t>
      </w:r>
      <w:r w:rsidR="00F32B28" w:rsidRPr="00F32B28">
        <w:rPr>
          <w:rtl/>
          <w:lang w:bidi="ar-SY"/>
        </w:rPr>
        <w:t>الجدار</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الوصول</w:t>
      </w:r>
      <w:r w:rsidR="00F32B28">
        <w:rPr>
          <w:rtl/>
          <w:lang w:bidi="ar-SY"/>
        </w:rPr>
        <w:t xml:space="preserve"> </w:t>
      </w:r>
      <w:r w:rsidR="00F32B28" w:rsidRPr="00F32B28">
        <w:rPr>
          <w:rtl/>
          <w:lang w:bidi="ar-SY"/>
        </w:rPr>
        <w:t>المستدام</w:t>
      </w:r>
      <w:r w:rsidR="00F32B28">
        <w:rPr>
          <w:rtl/>
          <w:lang w:bidi="ar-SY"/>
        </w:rPr>
        <w:t xml:space="preserve"> </w:t>
      </w:r>
      <w:r w:rsidR="00F32B28" w:rsidRPr="00F32B28">
        <w:rPr>
          <w:rtl/>
          <w:lang w:bidi="ar-SY"/>
        </w:rPr>
        <w:t>للموارد</w:t>
      </w:r>
      <w:r w:rsidR="00F32B28">
        <w:rPr>
          <w:rtl/>
          <w:lang w:bidi="ar-SY"/>
        </w:rPr>
        <w:t xml:space="preserve"> </w:t>
      </w:r>
      <w:r w:rsidR="00F32B28" w:rsidRPr="00F32B28">
        <w:rPr>
          <w:rtl/>
          <w:lang w:bidi="ar-SY"/>
        </w:rPr>
        <w:t>الطبيعية</w:t>
      </w:r>
      <w:r w:rsidR="00F32B28">
        <w:rPr>
          <w:rtl/>
          <w:lang w:bidi="ar-SY"/>
        </w:rPr>
        <w:t xml:space="preserve"> </w:t>
      </w:r>
      <w:r w:rsidR="00F32B28" w:rsidRPr="00F32B28">
        <w:rPr>
          <w:rtl/>
          <w:lang w:bidi="ar-SY"/>
        </w:rPr>
        <w:t>والعامة،</w:t>
      </w:r>
      <w:r w:rsidR="00F32B28">
        <w:rPr>
          <w:rtl/>
          <w:lang w:bidi="ar-SY"/>
        </w:rPr>
        <w:t xml:space="preserve"> </w:t>
      </w:r>
      <w:r w:rsidR="00F32B28" w:rsidRPr="00F32B28">
        <w:rPr>
          <w:rtl/>
          <w:lang w:bidi="ar-SY"/>
        </w:rPr>
        <w:t>فمثلاً،</w:t>
      </w:r>
      <w:r w:rsidR="00F32B28">
        <w:rPr>
          <w:rtl/>
          <w:lang w:bidi="ar-SY"/>
        </w:rPr>
        <w:t xml:space="preserve"> </w:t>
      </w:r>
      <w:r w:rsidR="00F32B28" w:rsidRPr="00F32B28">
        <w:rPr>
          <w:rtl/>
          <w:lang w:bidi="ar-SY"/>
        </w:rPr>
        <w:t>يحظر</w:t>
      </w:r>
      <w:r w:rsidR="00F32B28">
        <w:rPr>
          <w:rtl/>
          <w:lang w:bidi="ar-SY"/>
        </w:rPr>
        <w:t xml:space="preserve"> </w:t>
      </w:r>
      <w:r w:rsidR="00F32B28" w:rsidRPr="00F32B28">
        <w:rPr>
          <w:rtl/>
          <w:lang w:bidi="ar-SY"/>
        </w:rPr>
        <w:t>عليهن،</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عائلاتهن،</w:t>
      </w:r>
      <w:r w:rsidR="00F32B28">
        <w:rPr>
          <w:rtl/>
          <w:lang w:bidi="ar-SY"/>
        </w:rPr>
        <w:t xml:space="preserve"> </w:t>
      </w:r>
      <w:r w:rsidR="00F32B28" w:rsidRPr="00F32B28">
        <w:rPr>
          <w:rtl/>
          <w:lang w:bidi="ar-SY"/>
        </w:rPr>
        <w:t>إحضار</w:t>
      </w:r>
      <w:r w:rsidR="00F32B28">
        <w:rPr>
          <w:rtl/>
          <w:lang w:bidi="ar-SY"/>
        </w:rPr>
        <w:t xml:space="preserve"> </w:t>
      </w:r>
      <w:r w:rsidR="00F32B28" w:rsidRPr="00F32B28">
        <w:rPr>
          <w:rtl/>
          <w:lang w:bidi="ar-SY"/>
        </w:rPr>
        <w:t>غاز</w:t>
      </w:r>
      <w:r w:rsidR="00F32B28">
        <w:rPr>
          <w:rtl/>
          <w:lang w:bidi="ar-SY"/>
        </w:rPr>
        <w:t xml:space="preserve"> </w:t>
      </w:r>
      <w:r w:rsidR="00F32B28" w:rsidRPr="00F32B28">
        <w:rPr>
          <w:rtl/>
          <w:lang w:bidi="ar-SY"/>
        </w:rPr>
        <w:t>الطهي</w:t>
      </w:r>
      <w:r w:rsidR="00F32B28">
        <w:rPr>
          <w:rtl/>
          <w:lang w:bidi="ar-SY"/>
        </w:rPr>
        <w:t xml:space="preserve"> </w:t>
      </w:r>
      <w:r w:rsidR="00F32B28" w:rsidRPr="00F32B28">
        <w:rPr>
          <w:rtl/>
          <w:lang w:bidi="ar-SY"/>
        </w:rPr>
        <w:t>والتدفئة</w:t>
      </w:r>
      <w:r w:rsidR="00F32B28">
        <w:rPr>
          <w:rtl/>
          <w:lang w:bidi="ar-SY"/>
        </w:rPr>
        <w:t xml:space="preserve"> </w:t>
      </w:r>
      <w:r w:rsidR="00F32B28" w:rsidRPr="00F32B28">
        <w:rPr>
          <w:rtl/>
          <w:lang w:bidi="ar-SY"/>
        </w:rPr>
        <w:t>عبر</w:t>
      </w:r>
      <w:r w:rsidR="00F32B28">
        <w:rPr>
          <w:rtl/>
          <w:lang w:bidi="ar-SY"/>
        </w:rPr>
        <w:t xml:space="preserve"> </w:t>
      </w:r>
      <w:r w:rsidR="00F32B28" w:rsidRPr="00F32B28">
        <w:rPr>
          <w:rtl/>
          <w:lang w:bidi="ar-SY"/>
        </w:rPr>
        <w:t>الحواجز</w:t>
      </w:r>
      <w:r w:rsidR="00F32B28">
        <w:rPr>
          <w:rtl/>
          <w:lang w:bidi="ar-SY"/>
        </w:rPr>
        <w:t xml:space="preserve"> </w:t>
      </w:r>
      <w:r w:rsidR="00F32B28" w:rsidRPr="00F32B28">
        <w:rPr>
          <w:rtl/>
          <w:lang w:bidi="ar-SY"/>
        </w:rPr>
        <w:t>المقامة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امتداد</w:t>
      </w:r>
      <w:r w:rsidR="00F32B28">
        <w:rPr>
          <w:rtl/>
          <w:lang w:bidi="ar-SY"/>
        </w:rPr>
        <w:t xml:space="preserve"> </w:t>
      </w:r>
      <w:r w:rsidR="00F32B28" w:rsidRPr="00F32B28">
        <w:rPr>
          <w:rtl/>
          <w:lang w:bidi="ar-SY"/>
        </w:rPr>
        <w:t>الجدار،</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يمنع</w:t>
      </w:r>
      <w:r w:rsidR="00F32B28">
        <w:rPr>
          <w:rtl/>
          <w:lang w:bidi="ar-SY"/>
        </w:rPr>
        <w:t xml:space="preserve"> </w:t>
      </w:r>
      <w:r w:rsidR="00F32B28" w:rsidRPr="00F32B28">
        <w:rPr>
          <w:rtl/>
          <w:lang w:bidi="ar-SY"/>
        </w:rPr>
        <w:t>عليهن</w:t>
      </w:r>
      <w:r w:rsidR="00F32B28">
        <w:rPr>
          <w:rtl/>
          <w:lang w:bidi="ar-SY"/>
        </w:rPr>
        <w:t xml:space="preserve"> </w:t>
      </w:r>
      <w:r w:rsidR="00F32B28" w:rsidRPr="00F32B28">
        <w:rPr>
          <w:rtl/>
          <w:lang w:bidi="ar-SY"/>
        </w:rPr>
        <w:t>إدخال</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المنتجات</w:t>
      </w:r>
      <w:r w:rsidR="00F32B28">
        <w:rPr>
          <w:rtl/>
          <w:lang w:bidi="ar-SY"/>
        </w:rPr>
        <w:t xml:space="preserve"> </w:t>
      </w:r>
      <w:r w:rsidR="00F32B28" w:rsidRPr="00F32B28">
        <w:rPr>
          <w:rtl/>
          <w:lang w:bidi="ar-SY"/>
        </w:rPr>
        <w:t>الغذائية،</w:t>
      </w:r>
      <w:r w:rsidR="00F32B28">
        <w:rPr>
          <w:rtl/>
          <w:lang w:bidi="ar-SY"/>
        </w:rPr>
        <w:t xml:space="preserve"> </w:t>
      </w:r>
      <w:r w:rsidR="00F32B28" w:rsidRPr="00F32B28">
        <w:rPr>
          <w:rtl/>
          <w:lang w:bidi="ar-SY"/>
        </w:rPr>
        <w:t>كاللحوم</w:t>
      </w:r>
      <w:r w:rsidR="00F32B28">
        <w:rPr>
          <w:rtl/>
          <w:lang w:bidi="ar-SY"/>
        </w:rPr>
        <w:t xml:space="preserve"> </w:t>
      </w:r>
      <w:r w:rsidR="00F32B28" w:rsidRPr="00F32B28">
        <w:rPr>
          <w:rtl/>
          <w:lang w:bidi="ar-SY"/>
        </w:rPr>
        <w:t>والبيض،</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التخلص</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النفايات</w:t>
      </w:r>
      <w:r w:rsidR="00F32B28">
        <w:rPr>
          <w:rtl/>
          <w:lang w:bidi="ar-SY"/>
        </w:rPr>
        <w:t xml:space="preserve"> </w:t>
      </w:r>
      <w:r w:rsidR="00F32B28" w:rsidRPr="00F32B28">
        <w:rPr>
          <w:rtl/>
          <w:lang w:bidi="ar-SY"/>
        </w:rPr>
        <w:t>وعدم</w:t>
      </w:r>
      <w:r w:rsidR="00F32B28">
        <w:rPr>
          <w:rtl/>
          <w:lang w:bidi="ar-SY"/>
        </w:rPr>
        <w:t xml:space="preserve"> </w:t>
      </w:r>
      <w:r w:rsidR="00F32B28" w:rsidRPr="00F32B28">
        <w:rPr>
          <w:rtl/>
          <w:lang w:bidi="ar-SY"/>
        </w:rPr>
        <w:t>السماح</w:t>
      </w:r>
      <w:r w:rsidR="00F32B28">
        <w:rPr>
          <w:rtl/>
          <w:lang w:bidi="ar-SY"/>
        </w:rPr>
        <w:t xml:space="preserve"> </w:t>
      </w:r>
      <w:r w:rsidR="00F32B28" w:rsidRPr="00F32B28">
        <w:rPr>
          <w:rtl/>
          <w:lang w:bidi="ar-SY"/>
        </w:rPr>
        <w:t>لصهاريج</w:t>
      </w:r>
      <w:r w:rsidR="00F32B28">
        <w:rPr>
          <w:rtl/>
          <w:lang w:bidi="ar-SY"/>
        </w:rPr>
        <w:t xml:space="preserve"> </w:t>
      </w:r>
      <w:r w:rsidR="00F32B28" w:rsidRPr="00F32B28">
        <w:rPr>
          <w:rtl/>
          <w:lang w:bidi="ar-SY"/>
        </w:rPr>
        <w:t>النضح</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الوصول</w:t>
      </w:r>
      <w:r w:rsidR="00F32B28">
        <w:rPr>
          <w:rtl/>
          <w:lang w:bidi="ar-SY"/>
        </w:rPr>
        <w:t xml:space="preserve"> </w:t>
      </w:r>
      <w:r w:rsidR="00F32B28" w:rsidRPr="00F32B28">
        <w:rPr>
          <w:rtl/>
          <w:lang w:bidi="ar-SY"/>
        </w:rPr>
        <w:t>لمنازلهن.</w:t>
      </w:r>
    </w:p>
    <w:p w:rsidR="00F32B28" w:rsidRPr="00F32B28" w:rsidRDefault="00891A4B" w:rsidP="00891A4B">
      <w:pPr>
        <w:pStyle w:val="SingleTxt"/>
        <w:rPr>
          <w:rtl/>
        </w:rPr>
      </w:pPr>
      <w:r>
        <w:rPr>
          <w:rFonts w:hint="cs"/>
          <w:rtl/>
          <w:lang w:bidi="ar-SY"/>
        </w:rPr>
        <w:t>300</w:t>
      </w:r>
      <w:r w:rsidR="00F32B28">
        <w:rPr>
          <w:rtl/>
          <w:lang w:bidi="ar-SY"/>
        </w:rPr>
        <w:t xml:space="preserve"> </w:t>
      </w:r>
      <w:r>
        <w:rPr>
          <w:rFonts w:hint="cs"/>
          <w:rtl/>
          <w:lang w:bidi="ar-SY"/>
        </w:rPr>
        <w:t xml:space="preserve">- </w:t>
      </w:r>
      <w:r w:rsidR="00F32B28" w:rsidRPr="00F32B28">
        <w:rPr>
          <w:rtl/>
          <w:lang w:bidi="ar-SY"/>
        </w:rPr>
        <w:t>يعرقل</w:t>
      </w:r>
      <w:r w:rsidR="00F32B28">
        <w:rPr>
          <w:rtl/>
          <w:lang w:bidi="ar-SY"/>
        </w:rPr>
        <w:t xml:space="preserve"> </w:t>
      </w:r>
      <w:r w:rsidR="00F32B28" w:rsidRPr="00F32B28">
        <w:rPr>
          <w:rtl/>
          <w:lang w:bidi="ar-SY"/>
        </w:rPr>
        <w:t>الجدار</w:t>
      </w:r>
      <w:r w:rsidR="00F32B28">
        <w:rPr>
          <w:rtl/>
          <w:lang w:bidi="ar-SY"/>
        </w:rPr>
        <w:t xml:space="preserve"> </w:t>
      </w:r>
      <w:r w:rsidR="00F32B28" w:rsidRPr="00F32B28">
        <w:rPr>
          <w:rtl/>
          <w:lang w:bidi="ar-SY"/>
        </w:rPr>
        <w:t>والمستوطنات</w:t>
      </w:r>
      <w:r w:rsidR="00F32B28">
        <w:rPr>
          <w:rtl/>
          <w:lang w:bidi="ar-SY"/>
        </w:rPr>
        <w:t xml:space="preserve"> </w:t>
      </w:r>
      <w:r w:rsidR="00F32B28" w:rsidRPr="00F32B28">
        <w:rPr>
          <w:rtl/>
          <w:lang w:bidi="ar-SY"/>
        </w:rPr>
        <w:t>حرية</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الحركة</w:t>
      </w:r>
      <w:r w:rsidR="00F32B28">
        <w:rPr>
          <w:rtl/>
          <w:lang w:bidi="ar-SY"/>
        </w:rPr>
        <w:t xml:space="preserve"> </w:t>
      </w:r>
      <w:r w:rsidR="00F32B28" w:rsidRPr="00F32B28">
        <w:rPr>
          <w:rtl/>
          <w:lang w:bidi="ar-SY"/>
        </w:rPr>
        <w:t>والتنقل</w:t>
      </w:r>
      <w:r w:rsidR="00F32B28">
        <w:rPr>
          <w:rtl/>
          <w:lang w:bidi="ar-SY"/>
        </w:rPr>
        <w:t xml:space="preserve"> </w:t>
      </w:r>
      <w:r w:rsidR="00F32B28" w:rsidRPr="00F32B28">
        <w:rPr>
          <w:rtl/>
          <w:lang w:bidi="ar-SY"/>
        </w:rPr>
        <w:t>والوصول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بيوتهن</w:t>
      </w:r>
      <w:r w:rsidR="00F32B28">
        <w:rPr>
          <w:rtl/>
          <w:lang w:bidi="ar-SY"/>
        </w:rPr>
        <w:t xml:space="preserve"> </w:t>
      </w:r>
      <w:r w:rsidR="00F32B28" w:rsidRPr="00F32B28">
        <w:rPr>
          <w:rtl/>
          <w:lang w:bidi="ar-SY"/>
        </w:rPr>
        <w:t>وأراضيهن،</w:t>
      </w:r>
      <w:r w:rsidR="00F32B28">
        <w:rPr>
          <w:rtl/>
          <w:lang w:bidi="ar-SY"/>
        </w:rPr>
        <w:t xml:space="preserve"> </w:t>
      </w:r>
      <w:r w:rsidR="00F32B28" w:rsidRPr="00F32B28">
        <w:rPr>
          <w:rtl/>
          <w:lang w:bidi="ar-SY"/>
        </w:rPr>
        <w:t>ويزداد</w:t>
      </w:r>
      <w:r w:rsidR="00F32B28">
        <w:rPr>
          <w:rtl/>
          <w:lang w:bidi="ar-SY"/>
        </w:rPr>
        <w:t xml:space="preserve"> </w:t>
      </w:r>
      <w:r w:rsidR="00F32B28" w:rsidRPr="00F32B28">
        <w:rPr>
          <w:rtl/>
          <w:lang w:bidi="ar-SY"/>
        </w:rPr>
        <w:t>الأمر</w:t>
      </w:r>
      <w:r w:rsidR="00F32B28">
        <w:rPr>
          <w:rtl/>
          <w:lang w:bidi="ar-SY"/>
        </w:rPr>
        <w:t xml:space="preserve"> </w:t>
      </w:r>
      <w:r w:rsidR="00F32B28" w:rsidRPr="00F32B28">
        <w:rPr>
          <w:rtl/>
          <w:lang w:bidi="ar-SY"/>
        </w:rPr>
        <w:t>سوءاً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ظل</w:t>
      </w:r>
      <w:r w:rsidR="00F32B28">
        <w:rPr>
          <w:rtl/>
          <w:lang w:bidi="ar-SY"/>
        </w:rPr>
        <w:t xml:space="preserve"> </w:t>
      </w:r>
      <w:r w:rsidR="00F32B28" w:rsidRPr="00F32B28">
        <w:rPr>
          <w:rtl/>
          <w:lang w:bidi="ar-SY"/>
        </w:rPr>
        <w:t>عدم</w:t>
      </w:r>
      <w:r w:rsidR="00F32B28">
        <w:rPr>
          <w:rtl/>
          <w:lang w:bidi="ar-SY"/>
        </w:rPr>
        <w:t xml:space="preserve"> </w:t>
      </w:r>
      <w:r w:rsidR="00F32B28" w:rsidRPr="00F32B28">
        <w:rPr>
          <w:rtl/>
          <w:lang w:bidi="ar-SY"/>
        </w:rPr>
        <w:t>توفر</w:t>
      </w:r>
      <w:r w:rsidR="00F32B28">
        <w:rPr>
          <w:rtl/>
          <w:lang w:bidi="ar-SY"/>
        </w:rPr>
        <w:t xml:space="preserve"> </w:t>
      </w:r>
      <w:r w:rsidR="00F32B28" w:rsidRPr="00F32B28">
        <w:rPr>
          <w:rtl/>
          <w:lang w:bidi="ar-SY"/>
        </w:rPr>
        <w:t>المواصلات</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حد</w:t>
      </w:r>
      <w:r w:rsidR="00F32B28">
        <w:rPr>
          <w:rtl/>
          <w:lang w:bidi="ar-SY"/>
        </w:rPr>
        <w:t xml:space="preserve"> </w:t>
      </w:r>
      <w:r w:rsidR="00F32B28" w:rsidRPr="00F32B28">
        <w:rPr>
          <w:rtl/>
          <w:lang w:bidi="ar-SY"/>
        </w:rPr>
        <w:t>كبير</w:t>
      </w:r>
      <w:r w:rsidR="00F32B28">
        <w:rPr>
          <w:rtl/>
          <w:lang w:bidi="ar-SY"/>
        </w:rPr>
        <w:t xml:space="preserve"> </w:t>
      </w:r>
      <w:r w:rsidR="00F32B28" w:rsidRPr="00F32B28">
        <w:rPr>
          <w:rtl/>
          <w:lang w:bidi="ar-SY"/>
        </w:rPr>
        <w:t>للفلسطينيين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تلك</w:t>
      </w:r>
      <w:r w:rsidR="00F32B28">
        <w:rPr>
          <w:rtl/>
          <w:lang w:bidi="ar-SY"/>
        </w:rPr>
        <w:t xml:space="preserve"> </w:t>
      </w:r>
      <w:r w:rsidR="00F32B28" w:rsidRPr="00F32B28">
        <w:rPr>
          <w:rtl/>
          <w:lang w:bidi="ar-SY"/>
        </w:rPr>
        <w:t>المناطق</w:t>
      </w:r>
      <w:r>
        <w:rPr>
          <w:rFonts w:hint="cs"/>
          <w:rtl/>
          <w:lang w:bidi="ar-SY"/>
        </w:rPr>
        <w:t xml:space="preserve"> </w:t>
      </w:r>
      <w:r w:rsidR="00F32B28" w:rsidRPr="00F32B28">
        <w:rPr>
          <w:rtl/>
          <w:lang w:bidi="ar-SY"/>
        </w:rPr>
        <w:t>لأن</w:t>
      </w:r>
      <w:r w:rsidR="00F32B28">
        <w:rPr>
          <w:rtl/>
          <w:lang w:bidi="ar-SY"/>
        </w:rPr>
        <w:t xml:space="preserve"> </w:t>
      </w:r>
      <w:r w:rsidR="00F32B28" w:rsidRPr="00F32B28">
        <w:rPr>
          <w:rtl/>
          <w:lang w:bidi="ar-SY"/>
        </w:rPr>
        <w:t>الحافلات</w:t>
      </w:r>
      <w:r w:rsidR="00F32B28">
        <w:rPr>
          <w:rtl/>
          <w:lang w:bidi="ar-SY"/>
        </w:rPr>
        <w:t xml:space="preserve"> </w:t>
      </w:r>
      <w:r w:rsidR="00F32B28" w:rsidRPr="00F32B28">
        <w:rPr>
          <w:rtl/>
          <w:lang w:bidi="ar-SY"/>
        </w:rPr>
        <w:t>ووسائل</w:t>
      </w:r>
      <w:r w:rsidR="00F32B28">
        <w:rPr>
          <w:rtl/>
          <w:lang w:bidi="ar-SY"/>
        </w:rPr>
        <w:t xml:space="preserve"> </w:t>
      </w:r>
      <w:r w:rsidR="00F32B28" w:rsidRPr="00F32B28">
        <w:rPr>
          <w:rtl/>
          <w:lang w:bidi="ar-SY"/>
        </w:rPr>
        <w:t>النقل</w:t>
      </w:r>
      <w:r w:rsidR="00F32B28">
        <w:rPr>
          <w:rtl/>
          <w:lang w:bidi="ar-SY"/>
        </w:rPr>
        <w:t xml:space="preserve"> </w:t>
      </w:r>
      <w:r w:rsidR="00F32B28" w:rsidRPr="00F32B28">
        <w:rPr>
          <w:rtl/>
          <w:lang w:bidi="ar-SY"/>
        </w:rPr>
        <w:t>العام</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تستطيع</w:t>
      </w:r>
      <w:r w:rsidR="00F32B28">
        <w:rPr>
          <w:rtl/>
          <w:lang w:bidi="ar-SY"/>
        </w:rPr>
        <w:t xml:space="preserve"> </w:t>
      </w:r>
      <w:r w:rsidR="00F32B28" w:rsidRPr="00F32B28">
        <w:rPr>
          <w:rtl/>
          <w:lang w:bidi="ar-SY"/>
        </w:rPr>
        <w:t>الوصول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تلك</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باعتبارها</w:t>
      </w:r>
      <w:r w:rsidR="00F32B28">
        <w:rPr>
          <w:rtl/>
          <w:lang w:bidi="ar-SY"/>
        </w:rPr>
        <w:t xml:space="preserve"> </w:t>
      </w:r>
      <w:r w:rsidR="00F32B28" w:rsidRPr="00F32B28">
        <w:rPr>
          <w:rtl/>
          <w:lang w:bidi="ar-SY"/>
        </w:rPr>
        <w:t>خاضعة</w:t>
      </w:r>
      <w:r w:rsidR="00F32B28">
        <w:rPr>
          <w:rtl/>
          <w:lang w:bidi="ar-SY"/>
        </w:rPr>
        <w:t xml:space="preserve"> </w:t>
      </w:r>
      <w:r w:rsidR="00F32B28" w:rsidRPr="00F32B28">
        <w:rPr>
          <w:rtl/>
          <w:lang w:bidi="ar-SY"/>
        </w:rPr>
        <w:t>للسيطرة</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أما</w:t>
      </w:r>
      <w:r w:rsidR="00F32B28">
        <w:rPr>
          <w:rtl/>
          <w:lang w:bidi="ar-SY"/>
        </w:rPr>
        <w:t xml:space="preserve"> </w:t>
      </w:r>
      <w:r w:rsidR="00F32B28" w:rsidRPr="00F32B28">
        <w:rPr>
          <w:rtl/>
          <w:lang w:bidi="ar-SY"/>
        </w:rPr>
        <w:t>وسائل</w:t>
      </w:r>
      <w:r w:rsidR="00F32B28">
        <w:rPr>
          <w:rtl/>
          <w:lang w:bidi="ar-SY"/>
        </w:rPr>
        <w:t xml:space="preserve"> </w:t>
      </w:r>
      <w:r w:rsidR="00F32B28" w:rsidRPr="00F32B28">
        <w:rPr>
          <w:rtl/>
          <w:lang w:bidi="ar-SY"/>
        </w:rPr>
        <w:t>المواصلات</w:t>
      </w:r>
      <w:r w:rsidR="00F32B28">
        <w:rPr>
          <w:rtl/>
          <w:lang w:bidi="ar-SY"/>
        </w:rPr>
        <w:t xml:space="preserve"> </w:t>
      </w:r>
      <w:r w:rsidR="00F32B28" w:rsidRPr="00F32B28">
        <w:rPr>
          <w:rtl/>
          <w:lang w:bidi="ar-SY"/>
        </w:rPr>
        <w:t>البديلة</w:t>
      </w:r>
      <w:r w:rsidR="00F32B28">
        <w:rPr>
          <w:rtl/>
          <w:lang w:bidi="ar-SY"/>
        </w:rPr>
        <w:t xml:space="preserve"> </w:t>
      </w:r>
      <w:r w:rsidR="00F32B28" w:rsidRPr="00F32B28">
        <w:rPr>
          <w:rtl/>
          <w:lang w:bidi="ar-SY"/>
        </w:rPr>
        <w:t>فتكون</w:t>
      </w:r>
      <w:r w:rsidR="00F32B28">
        <w:rPr>
          <w:rtl/>
          <w:lang w:bidi="ar-SY"/>
        </w:rPr>
        <w:t xml:space="preserve"> </w:t>
      </w:r>
      <w:r w:rsidR="00F32B28" w:rsidRPr="00F32B28">
        <w:rPr>
          <w:rtl/>
          <w:lang w:bidi="ar-SY"/>
        </w:rPr>
        <w:t>باهظة</w:t>
      </w:r>
      <w:r w:rsidR="00F32B28">
        <w:rPr>
          <w:rtl/>
          <w:lang w:bidi="ar-SY"/>
        </w:rPr>
        <w:t xml:space="preserve"> </w:t>
      </w:r>
      <w:r w:rsidR="00F32B28" w:rsidRPr="00F32B28">
        <w:rPr>
          <w:rtl/>
          <w:lang w:bidi="ar-SY"/>
        </w:rPr>
        <w:t>التكلفة</w:t>
      </w:r>
      <w:r w:rsidR="00F32B28">
        <w:rPr>
          <w:rtl/>
          <w:lang w:bidi="ar-SY"/>
        </w:rPr>
        <w:t xml:space="preserve"> </w:t>
      </w:r>
      <w:r w:rsidR="00F32B28" w:rsidRPr="00F32B28">
        <w:rPr>
          <w:rtl/>
          <w:lang w:bidi="ar-SY"/>
        </w:rPr>
        <w:t>وتعتمد</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امتلاك</w:t>
      </w:r>
      <w:r w:rsidR="00F32B28">
        <w:rPr>
          <w:rtl/>
          <w:lang w:bidi="ar-SY"/>
        </w:rPr>
        <w:t xml:space="preserve"> </w:t>
      </w:r>
      <w:r w:rsidR="00F32B28" w:rsidRPr="00F32B28">
        <w:rPr>
          <w:rtl/>
          <w:lang w:bidi="ar-SY"/>
        </w:rPr>
        <w:t>سيارة</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وهو</w:t>
      </w:r>
      <w:r w:rsidR="00F32B28">
        <w:rPr>
          <w:rtl/>
          <w:lang w:bidi="ar-SY"/>
        </w:rPr>
        <w:t xml:space="preserve"> </w:t>
      </w:r>
      <w:r w:rsidR="00F32B28" w:rsidRPr="00F32B28">
        <w:rPr>
          <w:rtl/>
          <w:lang w:bidi="ar-SY"/>
        </w:rPr>
        <w:t>خارج</w:t>
      </w:r>
      <w:r w:rsidR="00F32B28">
        <w:rPr>
          <w:rtl/>
          <w:lang w:bidi="ar-SY"/>
        </w:rPr>
        <w:t xml:space="preserve"> </w:t>
      </w:r>
      <w:r w:rsidR="00F32B28" w:rsidRPr="00F32B28">
        <w:rPr>
          <w:rtl/>
          <w:lang w:bidi="ar-SY"/>
        </w:rPr>
        <w:t>قدرة</w:t>
      </w:r>
      <w:r w:rsidR="00F32B28">
        <w:rPr>
          <w:rtl/>
          <w:lang w:bidi="ar-SY"/>
        </w:rPr>
        <w:t xml:space="preserve"> </w:t>
      </w:r>
      <w:r w:rsidR="00F32B28" w:rsidRPr="00F32B28">
        <w:rPr>
          <w:rtl/>
          <w:lang w:bidi="ar-SY"/>
        </w:rPr>
        <w:t>الأسر</w:t>
      </w:r>
      <w:r w:rsidR="00F32B28">
        <w:rPr>
          <w:rtl/>
          <w:lang w:bidi="ar-SY"/>
        </w:rPr>
        <w:t xml:space="preserve"> </w:t>
      </w:r>
      <w:r w:rsidR="00F32B28" w:rsidRPr="00F32B28">
        <w:rPr>
          <w:rtl/>
          <w:lang w:bidi="ar-SY"/>
        </w:rPr>
        <w:t>الأكثر</w:t>
      </w:r>
      <w:r w:rsidR="00F32B28">
        <w:rPr>
          <w:rtl/>
          <w:lang w:bidi="ar-SY"/>
        </w:rPr>
        <w:t xml:space="preserve"> </w:t>
      </w:r>
      <w:r w:rsidR="00F32B28" w:rsidRPr="00F32B28">
        <w:rPr>
          <w:rtl/>
          <w:lang w:bidi="ar-SY"/>
        </w:rPr>
        <w:t>فقراً.</w:t>
      </w:r>
    </w:p>
    <w:p w:rsidR="00F32B28" w:rsidRPr="00F32B28" w:rsidRDefault="00891A4B" w:rsidP="00891A4B">
      <w:pPr>
        <w:pStyle w:val="SingleTxt"/>
      </w:pPr>
      <w:r>
        <w:rPr>
          <w:rFonts w:hint="cs"/>
          <w:rtl/>
          <w:lang w:bidi="ar-SY"/>
        </w:rPr>
        <w:t xml:space="preserve">301 - </w:t>
      </w:r>
      <w:r w:rsidR="00F32B28" w:rsidRPr="00F32B28">
        <w:rPr>
          <w:rtl/>
          <w:lang w:bidi="ar-SY"/>
        </w:rPr>
        <w:t>كما</w:t>
      </w:r>
      <w:r w:rsidR="00F32B28">
        <w:rPr>
          <w:rtl/>
          <w:lang w:bidi="ar-SY"/>
        </w:rPr>
        <w:t xml:space="preserve"> </w:t>
      </w:r>
      <w:r w:rsidR="00F32B28" w:rsidRPr="00F32B28">
        <w:rPr>
          <w:rtl/>
          <w:lang w:bidi="ar-SY"/>
        </w:rPr>
        <w:t>تحرم</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مناطق</w:t>
      </w:r>
      <w:r w:rsidR="00F32B28">
        <w:rPr>
          <w:rtl/>
          <w:lang w:bidi="ar-SY"/>
        </w:rPr>
        <w:t xml:space="preserve"> </w:t>
      </w:r>
      <w:r w:rsidR="00F32B28" w:rsidRPr="00F32B28">
        <w:rPr>
          <w:rtl/>
          <w:lang w:bidi="ar-SY"/>
        </w:rPr>
        <w:t>التماس</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الحصول</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الأساسية،</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الصحية،</w:t>
      </w:r>
      <w:r w:rsidR="00F32B28">
        <w:rPr>
          <w:rtl/>
          <w:lang w:bidi="ar-SY"/>
        </w:rPr>
        <w:t xml:space="preserve"> </w:t>
      </w:r>
      <w:r w:rsidR="00F32B28" w:rsidRPr="00F32B28">
        <w:rPr>
          <w:rtl/>
          <w:lang w:bidi="ar-SY"/>
        </w:rPr>
        <w:t>فغالبيتها</w:t>
      </w:r>
      <w:r w:rsidR="00F32B28">
        <w:rPr>
          <w:rtl/>
          <w:lang w:bidi="ar-SY"/>
        </w:rPr>
        <w:t xml:space="preserve"> </w:t>
      </w:r>
      <w:r w:rsidR="00F32B28" w:rsidRPr="00F32B28">
        <w:rPr>
          <w:rtl/>
          <w:lang w:bidi="ar-SY"/>
        </w:rPr>
        <w:t>توجد</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جهة</w:t>
      </w:r>
      <w:r w:rsidR="00F32B28">
        <w:rPr>
          <w:rtl/>
          <w:lang w:bidi="ar-SY"/>
        </w:rPr>
        <w:t xml:space="preserve"> </w:t>
      </w:r>
      <w:r w:rsidR="00F32B28" w:rsidRPr="00F32B28">
        <w:rPr>
          <w:rtl/>
          <w:lang w:bidi="ar-SY"/>
        </w:rPr>
        <w:t>الشرق،</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جهة</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الجدار،</w:t>
      </w:r>
      <w:r w:rsidR="00F32B28">
        <w:rPr>
          <w:rtl/>
          <w:lang w:bidi="ar-SY"/>
        </w:rPr>
        <w:t xml:space="preserve"> </w:t>
      </w:r>
      <w:r w:rsidR="00F32B28" w:rsidRPr="00F32B28">
        <w:rPr>
          <w:rtl/>
          <w:lang w:bidi="ar-SY"/>
        </w:rPr>
        <w:t>مما</w:t>
      </w:r>
      <w:r w:rsidR="00F32B28">
        <w:rPr>
          <w:rtl/>
          <w:lang w:bidi="ar-SY"/>
        </w:rPr>
        <w:t xml:space="preserve"> </w:t>
      </w:r>
      <w:r w:rsidR="00F32B28" w:rsidRPr="00F32B28">
        <w:rPr>
          <w:rtl/>
          <w:lang w:bidi="ar-SY"/>
        </w:rPr>
        <w:t>يضطر</w:t>
      </w:r>
      <w:r w:rsidR="00F32B28">
        <w:rPr>
          <w:rtl/>
          <w:lang w:bidi="ar-SY"/>
        </w:rPr>
        <w:t xml:space="preserve"> </w:t>
      </w:r>
      <w:r w:rsidR="00F32B28" w:rsidRPr="00F32B28">
        <w:rPr>
          <w:rtl/>
          <w:lang w:bidi="ar-SY"/>
        </w:rPr>
        <w:t>هؤلاء</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للمرور</w:t>
      </w:r>
      <w:r w:rsidR="00F32B28">
        <w:rPr>
          <w:rtl/>
          <w:lang w:bidi="ar-SY"/>
        </w:rPr>
        <w:t xml:space="preserve"> </w:t>
      </w:r>
      <w:r w:rsidR="00F32B28" w:rsidRPr="00F32B28">
        <w:rPr>
          <w:rtl/>
          <w:lang w:bidi="ar-SY"/>
        </w:rPr>
        <w:t>عبر</w:t>
      </w:r>
      <w:r w:rsidR="00F32B28">
        <w:rPr>
          <w:rtl/>
          <w:lang w:bidi="ar-SY"/>
        </w:rPr>
        <w:t xml:space="preserve"> </w:t>
      </w:r>
      <w:r w:rsidR="00F32B28" w:rsidRPr="00F32B28">
        <w:rPr>
          <w:rtl/>
          <w:lang w:bidi="ar-SY"/>
        </w:rPr>
        <w:t>الحواجز</w:t>
      </w:r>
      <w:r w:rsidR="00F32B28">
        <w:rPr>
          <w:rtl/>
          <w:lang w:bidi="ar-SY"/>
        </w:rPr>
        <w:t xml:space="preserve"> </w:t>
      </w:r>
      <w:r w:rsidR="00F32B28" w:rsidRPr="00F32B28">
        <w:rPr>
          <w:rtl/>
          <w:lang w:bidi="ar-SY"/>
        </w:rPr>
        <w:t>والتعرض</w:t>
      </w:r>
      <w:r w:rsidR="00F32B28">
        <w:rPr>
          <w:rtl/>
          <w:lang w:bidi="ar-SY"/>
        </w:rPr>
        <w:t xml:space="preserve"> </w:t>
      </w:r>
      <w:r w:rsidR="00F32B28" w:rsidRPr="00F32B28">
        <w:rPr>
          <w:rtl/>
          <w:lang w:bidi="ar-SY"/>
        </w:rPr>
        <w:t>للتفتيش</w:t>
      </w:r>
      <w:r w:rsidR="00F32B28">
        <w:rPr>
          <w:rtl/>
          <w:lang w:bidi="ar-SY"/>
        </w:rPr>
        <w:t xml:space="preserve"> </w:t>
      </w:r>
      <w:r w:rsidR="00F32B28" w:rsidRPr="00F32B28">
        <w:rPr>
          <w:rtl/>
          <w:lang w:bidi="ar-SY"/>
        </w:rPr>
        <w:t>والمضايقات</w:t>
      </w:r>
      <w:r w:rsidR="00F32B28">
        <w:rPr>
          <w:rtl/>
          <w:lang w:bidi="ar-SY"/>
        </w:rPr>
        <w:t xml:space="preserve"> </w:t>
      </w:r>
      <w:r w:rsidR="00F32B28" w:rsidRPr="00F32B28">
        <w:rPr>
          <w:rtl/>
          <w:lang w:bidi="ar-SY"/>
        </w:rPr>
        <w:t>ومواجهة</w:t>
      </w:r>
      <w:r w:rsidR="00F32B28">
        <w:rPr>
          <w:rtl/>
          <w:lang w:bidi="ar-SY"/>
        </w:rPr>
        <w:t xml:space="preserve"> </w:t>
      </w:r>
      <w:r w:rsidR="00F32B28" w:rsidRPr="00F32B28">
        <w:rPr>
          <w:rtl/>
          <w:lang w:bidi="ar-SY"/>
        </w:rPr>
        <w:t>الجنود</w:t>
      </w:r>
      <w:r w:rsidR="00F32B28">
        <w:rPr>
          <w:rtl/>
          <w:lang w:bidi="ar-SY"/>
        </w:rPr>
        <w:t xml:space="preserve"> </w:t>
      </w:r>
      <w:r w:rsidR="00F32B28" w:rsidRPr="00F32B28">
        <w:rPr>
          <w:rtl/>
          <w:lang w:bidi="ar-SY"/>
        </w:rPr>
        <w:t>الإسرائيليين</w:t>
      </w:r>
      <w:r w:rsidR="00F32B28">
        <w:rPr>
          <w:rtl/>
          <w:lang w:bidi="ar-SY"/>
        </w:rPr>
        <w:t xml:space="preserve"> </w:t>
      </w:r>
      <w:r w:rsidR="00F32B28" w:rsidRPr="00F32B28">
        <w:rPr>
          <w:rtl/>
          <w:lang w:bidi="ar-SY"/>
        </w:rPr>
        <w:t>المسلحين</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شبه</w:t>
      </w:r>
      <w:r w:rsidR="00F32B28">
        <w:rPr>
          <w:rtl/>
          <w:lang w:bidi="ar-SY"/>
        </w:rPr>
        <w:t xml:space="preserve"> </w:t>
      </w:r>
      <w:r w:rsidR="00F32B28" w:rsidRPr="00F32B28">
        <w:rPr>
          <w:rtl/>
          <w:lang w:bidi="ar-SY"/>
        </w:rPr>
        <w:t>يومي،</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لهن</w:t>
      </w:r>
      <w:r w:rsidR="00F32B28">
        <w:rPr>
          <w:rtl/>
          <w:lang w:bidi="ar-SY"/>
        </w:rPr>
        <w:t xml:space="preserve"> </w:t>
      </w:r>
      <w:r w:rsidR="00F32B28" w:rsidRPr="00F32B28">
        <w:rPr>
          <w:rtl/>
          <w:lang w:bidi="ar-SY"/>
        </w:rPr>
        <w:t>حاجات</w:t>
      </w:r>
      <w:r w:rsidR="00F32B28">
        <w:rPr>
          <w:rtl/>
          <w:lang w:bidi="ar-SY"/>
        </w:rPr>
        <w:t xml:space="preserve"> </w:t>
      </w:r>
      <w:r w:rsidR="00F32B28" w:rsidRPr="00F32B28">
        <w:rPr>
          <w:rtl/>
          <w:lang w:bidi="ar-SY"/>
        </w:rPr>
        <w:t>منتظمة</w:t>
      </w:r>
      <w:r w:rsidR="00F32B28">
        <w:rPr>
          <w:rtl/>
          <w:lang w:bidi="ar-SY"/>
        </w:rPr>
        <w:t xml:space="preserve"> </w:t>
      </w:r>
      <w:r w:rsidR="00F32B28" w:rsidRPr="00F32B28">
        <w:rPr>
          <w:rtl/>
          <w:lang w:bidi="ar-SY"/>
        </w:rPr>
        <w:t>للوصول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الطبية</w:t>
      </w:r>
      <w:r w:rsidR="00F32B28">
        <w:rPr>
          <w:rtl/>
          <w:lang w:bidi="ar-SY"/>
        </w:rPr>
        <w:t xml:space="preserve"> </w:t>
      </w:r>
      <w:r w:rsidR="00F32B28" w:rsidRPr="00F32B28">
        <w:rPr>
          <w:rtl/>
          <w:lang w:bidi="ar-SY"/>
        </w:rPr>
        <w:t>لإجراء</w:t>
      </w:r>
      <w:r w:rsidR="00F32B28">
        <w:rPr>
          <w:rtl/>
          <w:lang w:bidi="ar-SY"/>
        </w:rPr>
        <w:t xml:space="preserve"> </w:t>
      </w:r>
      <w:r w:rsidR="00F32B28" w:rsidRPr="00F32B28">
        <w:rPr>
          <w:rtl/>
          <w:lang w:bidi="ar-SY"/>
        </w:rPr>
        <w:t>الفحوص</w:t>
      </w:r>
      <w:r w:rsidR="00F32B28">
        <w:rPr>
          <w:rtl/>
          <w:lang w:bidi="ar-SY"/>
        </w:rPr>
        <w:t xml:space="preserve"> </w:t>
      </w:r>
      <w:r w:rsidR="00F32B28" w:rsidRPr="00F32B28">
        <w:rPr>
          <w:rtl/>
          <w:lang w:bidi="ar-SY"/>
        </w:rPr>
        <w:t>الروتينية</w:t>
      </w:r>
      <w:r w:rsidR="00F32B28">
        <w:rPr>
          <w:rtl/>
          <w:lang w:bidi="ar-SY"/>
        </w:rPr>
        <w:t xml:space="preserve"> </w:t>
      </w:r>
      <w:r w:rsidR="00F32B28" w:rsidRPr="00F32B28">
        <w:rPr>
          <w:rtl/>
          <w:lang w:bidi="ar-SY"/>
        </w:rPr>
        <w:t>للرعاية</w:t>
      </w:r>
      <w:r w:rsidR="00F32B28">
        <w:rPr>
          <w:rtl/>
          <w:lang w:bidi="ar-SY"/>
        </w:rPr>
        <w:t xml:space="preserve"> </w:t>
      </w:r>
      <w:r w:rsidR="00F32B28" w:rsidRPr="00F32B28">
        <w:rPr>
          <w:rtl/>
          <w:lang w:bidi="ar-SY"/>
        </w:rPr>
        <w:t>أثناء</w:t>
      </w:r>
      <w:r w:rsidR="00F32B28">
        <w:rPr>
          <w:rtl/>
          <w:lang w:bidi="ar-SY"/>
        </w:rPr>
        <w:t xml:space="preserve"> </w:t>
      </w:r>
      <w:r w:rsidR="00F32B28" w:rsidRPr="00F32B28">
        <w:rPr>
          <w:rtl/>
          <w:lang w:bidi="ar-SY"/>
        </w:rPr>
        <w:t>الحمل</w:t>
      </w:r>
      <w:r w:rsidR="00F32B28">
        <w:rPr>
          <w:rtl/>
          <w:lang w:bidi="ar-SY"/>
        </w:rPr>
        <w:t xml:space="preserve"> </w:t>
      </w:r>
      <w:r w:rsidR="00F32B28" w:rsidRPr="00F32B28">
        <w:rPr>
          <w:rtl/>
          <w:lang w:bidi="ar-SY"/>
        </w:rPr>
        <w:t>وبعد</w:t>
      </w:r>
      <w:r w:rsidR="00F32B28">
        <w:rPr>
          <w:rtl/>
          <w:lang w:bidi="ar-SY"/>
        </w:rPr>
        <w:t xml:space="preserve"> </w:t>
      </w:r>
      <w:r w:rsidR="00F32B28" w:rsidRPr="00F32B28">
        <w:rPr>
          <w:rtl/>
          <w:lang w:bidi="ar-SY"/>
        </w:rPr>
        <w:t>الولادة</w:t>
      </w:r>
      <w:r w:rsidR="00F32B28">
        <w:rPr>
          <w:rtl/>
          <w:lang w:bidi="ar-SY"/>
        </w:rPr>
        <w:t xml:space="preserve"> </w:t>
      </w:r>
      <w:r w:rsidR="00F32B28" w:rsidRPr="00F32B28">
        <w:rPr>
          <w:rtl/>
          <w:lang w:bidi="ar-SY"/>
        </w:rPr>
        <w:t>وغيرها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الخدمات</w:t>
      </w:r>
      <w:r w:rsidR="00F32B28">
        <w:rPr>
          <w:rtl/>
          <w:lang w:bidi="ar-SY"/>
        </w:rPr>
        <w:t xml:space="preserve"> </w:t>
      </w:r>
      <w:r w:rsidR="00F32B28" w:rsidRPr="00F32B28">
        <w:rPr>
          <w:rtl/>
          <w:lang w:bidi="ar-SY"/>
        </w:rPr>
        <w:t>الطبية.</w:t>
      </w:r>
      <w:r w:rsidR="00F32B28">
        <w:rPr>
          <w:rtl/>
          <w:lang w:bidi="ar-SY"/>
        </w:rPr>
        <w:t xml:space="preserve"> </w:t>
      </w:r>
    </w:p>
    <w:p w:rsidR="00F32B28" w:rsidRPr="00F32B28" w:rsidRDefault="00891A4B" w:rsidP="00891A4B">
      <w:pPr>
        <w:pStyle w:val="SingleTxt"/>
        <w:rPr>
          <w:rtl/>
          <w:lang w:bidi="ar-SY"/>
        </w:rPr>
      </w:pPr>
      <w:r>
        <w:rPr>
          <w:rFonts w:hint="cs"/>
          <w:rtl/>
          <w:lang w:bidi="ar-SY"/>
        </w:rPr>
        <w:t xml:space="preserve">302 - </w:t>
      </w:r>
      <w:r w:rsidR="00F32B28" w:rsidRPr="00F32B28">
        <w:rPr>
          <w:rtl/>
          <w:lang w:bidi="ar-SY"/>
        </w:rPr>
        <w:t>ولم</w:t>
      </w:r>
      <w:r w:rsidR="00F32B28">
        <w:rPr>
          <w:rtl/>
          <w:lang w:bidi="ar-SY"/>
        </w:rPr>
        <w:t xml:space="preserve"> </w:t>
      </w:r>
      <w:r w:rsidR="00F32B28" w:rsidRPr="00F32B28">
        <w:rPr>
          <w:rtl/>
          <w:lang w:bidi="ar-SY"/>
        </w:rPr>
        <w:t>يسلم</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التعليم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الجدار</w:t>
      </w:r>
      <w:r w:rsidR="00F32B28">
        <w:rPr>
          <w:rtl/>
          <w:lang w:bidi="ar-SY"/>
        </w:rPr>
        <w:t xml:space="preserve"> </w:t>
      </w:r>
      <w:r w:rsidR="00F32B28" w:rsidRPr="00F32B28">
        <w:rPr>
          <w:rtl/>
          <w:lang w:bidi="ar-SY"/>
        </w:rPr>
        <w:t>والمستوطنات</w:t>
      </w:r>
      <w:r w:rsidR="00F32B28">
        <w:rPr>
          <w:rtl/>
          <w:lang w:bidi="ar-SY"/>
        </w:rPr>
        <w:t xml:space="preserve"> </w:t>
      </w:r>
      <w:r w:rsidR="00F32B28" w:rsidRPr="00F32B28">
        <w:rPr>
          <w:rtl/>
          <w:lang w:bidi="ar-SY"/>
        </w:rPr>
        <w:t>اللذين</w:t>
      </w:r>
      <w:r w:rsidR="00F32B28">
        <w:rPr>
          <w:rtl/>
          <w:lang w:bidi="ar-SY"/>
        </w:rPr>
        <w:t xml:space="preserve"> </w:t>
      </w:r>
      <w:r w:rsidR="00F32B28" w:rsidRPr="00F32B28">
        <w:rPr>
          <w:rtl/>
          <w:lang w:bidi="ar-SY"/>
        </w:rPr>
        <w:t>يفصلون</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والمعلمين</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مدارسهم،</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أضحت</w:t>
      </w:r>
      <w:r w:rsidR="00F32B28">
        <w:rPr>
          <w:rtl/>
          <w:lang w:bidi="ar-SY"/>
        </w:rPr>
        <w:t xml:space="preserve"> </w:t>
      </w:r>
      <w:r w:rsidR="00F32B28" w:rsidRPr="00F32B28">
        <w:rPr>
          <w:rtl/>
          <w:lang w:bidi="ar-SY"/>
        </w:rPr>
        <w:t>الرحلة</w:t>
      </w:r>
      <w:r w:rsidR="00F32B28">
        <w:rPr>
          <w:rtl/>
          <w:lang w:bidi="ar-SY"/>
        </w:rPr>
        <w:t xml:space="preserve"> </w:t>
      </w:r>
      <w:r w:rsidR="00F32B28" w:rsidRPr="00F32B28">
        <w:rPr>
          <w:rtl/>
          <w:lang w:bidi="ar-SY"/>
        </w:rPr>
        <w:t>اليومية</w:t>
      </w:r>
      <w:r w:rsidR="00F32B28">
        <w:rPr>
          <w:rtl/>
          <w:lang w:bidi="ar-SY"/>
        </w:rPr>
        <w:t xml:space="preserve"> </w:t>
      </w:r>
      <w:r w:rsidR="00F32B28" w:rsidRPr="00F32B28">
        <w:rPr>
          <w:rtl/>
          <w:lang w:bidi="ar-SY"/>
        </w:rPr>
        <w:t>تستغرق</w:t>
      </w:r>
      <w:r w:rsidR="00F32B28">
        <w:rPr>
          <w:rtl/>
          <w:lang w:bidi="ar-SY"/>
        </w:rPr>
        <w:t xml:space="preserve"> </w:t>
      </w:r>
      <w:r w:rsidR="00F32B28" w:rsidRPr="00F32B28">
        <w:rPr>
          <w:rtl/>
          <w:lang w:bidi="ar-SY"/>
        </w:rPr>
        <w:t>ساعتين</w:t>
      </w:r>
      <w:r w:rsidR="00F32B28">
        <w:rPr>
          <w:rtl/>
          <w:lang w:bidi="ar-SY"/>
        </w:rPr>
        <w:t xml:space="preserve"> </w:t>
      </w:r>
      <w:r w:rsidR="00F32B28" w:rsidRPr="00F32B28">
        <w:rPr>
          <w:rtl/>
          <w:lang w:bidi="ar-SY"/>
        </w:rPr>
        <w:t>ذهابا</w:t>
      </w:r>
      <w:r w:rsidR="00F32B28">
        <w:rPr>
          <w:rtl/>
          <w:lang w:bidi="ar-SY"/>
        </w:rPr>
        <w:t xml:space="preserve"> </w:t>
      </w:r>
      <w:r w:rsidR="00F32B28" w:rsidRPr="00F32B28">
        <w:rPr>
          <w:rtl/>
          <w:lang w:bidi="ar-SY"/>
        </w:rPr>
        <w:t>ومثلها</w:t>
      </w:r>
      <w:r w:rsidR="00F32B28">
        <w:rPr>
          <w:rtl/>
          <w:lang w:bidi="ar-SY"/>
        </w:rPr>
        <w:t xml:space="preserve"> </w:t>
      </w:r>
      <w:r w:rsidR="00F32B28" w:rsidRPr="00F32B28">
        <w:rPr>
          <w:rtl/>
          <w:lang w:bidi="ar-SY"/>
        </w:rPr>
        <w:t>إيابا</w:t>
      </w:r>
      <w:r w:rsidR="00F32B28">
        <w:rPr>
          <w:rtl/>
          <w:lang w:bidi="ar-SY"/>
        </w:rPr>
        <w:t xml:space="preserve"> </w:t>
      </w:r>
      <w:r w:rsidR="00F32B28" w:rsidRPr="00F32B28">
        <w:rPr>
          <w:rtl/>
          <w:lang w:bidi="ar-SY"/>
        </w:rPr>
        <w:t>نتيجة</w:t>
      </w:r>
      <w:r w:rsidR="00F32B28">
        <w:rPr>
          <w:rtl/>
          <w:lang w:bidi="ar-SY"/>
        </w:rPr>
        <w:t xml:space="preserve"> </w:t>
      </w:r>
      <w:r w:rsidR="00F32B28" w:rsidRPr="00F32B28">
        <w:rPr>
          <w:rtl/>
          <w:lang w:bidi="ar-SY"/>
        </w:rPr>
        <w:t>الطرق</w:t>
      </w:r>
      <w:r w:rsidR="00F32B28">
        <w:rPr>
          <w:rtl/>
          <w:lang w:bidi="ar-SY"/>
        </w:rPr>
        <w:t xml:space="preserve"> </w:t>
      </w:r>
      <w:r w:rsidR="00F32B28" w:rsidRPr="00F32B28">
        <w:rPr>
          <w:rtl/>
          <w:lang w:bidi="ar-SY"/>
        </w:rPr>
        <w:t>الالتفافية</w:t>
      </w:r>
      <w:r w:rsidR="00F32B28">
        <w:rPr>
          <w:rtl/>
          <w:lang w:bidi="ar-SY"/>
        </w:rPr>
        <w:t xml:space="preserve"> </w:t>
      </w:r>
      <w:r w:rsidR="00F32B28" w:rsidRPr="00F32B28">
        <w:rPr>
          <w:rtl/>
          <w:lang w:bidi="ar-SY"/>
        </w:rPr>
        <w:t>والحواجز</w:t>
      </w:r>
      <w:r w:rsidR="00F32B28">
        <w:rPr>
          <w:rtl/>
          <w:lang w:bidi="ar-SY"/>
        </w:rPr>
        <w:t xml:space="preserve"> </w:t>
      </w:r>
      <w:r w:rsidR="00F32B28" w:rsidRPr="00F32B28">
        <w:rPr>
          <w:rtl/>
          <w:lang w:bidi="ar-SY"/>
        </w:rPr>
        <w:t>العسكرية</w:t>
      </w:r>
      <w:r w:rsidR="00F32B28">
        <w:rPr>
          <w:rtl/>
          <w:lang w:bidi="ar-SY"/>
        </w:rPr>
        <w:t xml:space="preserve"> </w:t>
      </w:r>
      <w:r w:rsidR="00F32B28" w:rsidRPr="00F32B28">
        <w:rPr>
          <w:rtl/>
          <w:lang w:bidi="ar-SY"/>
        </w:rPr>
        <w:t>والبوابات،</w:t>
      </w:r>
      <w:r w:rsidR="00F32B28">
        <w:rPr>
          <w:rtl/>
          <w:lang w:bidi="ar-SY"/>
        </w:rPr>
        <w:t xml:space="preserve"> </w:t>
      </w:r>
      <w:r w:rsidR="00F32B28" w:rsidRPr="00F32B28">
        <w:rPr>
          <w:rtl/>
          <w:lang w:bidi="ar-SY"/>
        </w:rPr>
        <w:t>وقد</w:t>
      </w:r>
      <w:r w:rsidR="00F32B28">
        <w:rPr>
          <w:rtl/>
          <w:lang w:bidi="ar-SY"/>
        </w:rPr>
        <w:t xml:space="preserve"> </w:t>
      </w:r>
      <w:r w:rsidR="00F32B28" w:rsidRPr="00F32B28">
        <w:rPr>
          <w:rtl/>
          <w:lang w:bidi="ar-SY"/>
        </w:rPr>
        <w:t>انخفض</w:t>
      </w:r>
      <w:r w:rsidR="00F32B28">
        <w:rPr>
          <w:rtl/>
          <w:lang w:bidi="ar-SY"/>
        </w:rPr>
        <w:t xml:space="preserve"> </w:t>
      </w:r>
      <w:r w:rsidR="00F32B28" w:rsidRPr="00F32B28">
        <w:rPr>
          <w:rtl/>
          <w:lang w:bidi="ar-SY"/>
        </w:rPr>
        <w:t>عدد</w:t>
      </w:r>
      <w:r w:rsidR="00F32B28">
        <w:rPr>
          <w:rtl/>
          <w:lang w:bidi="ar-SY"/>
        </w:rPr>
        <w:t xml:space="preserve"> </w:t>
      </w:r>
      <w:r w:rsidR="00F32B28" w:rsidRPr="00F32B28">
        <w:rPr>
          <w:rtl/>
          <w:lang w:bidi="ar-SY"/>
        </w:rPr>
        <w:t>الطلبة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المدارس،</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الإناث،</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اضطرت</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lastRenderedPageBreak/>
        <w:t>من</w:t>
      </w:r>
      <w:r w:rsidR="00F32B28">
        <w:rPr>
          <w:rtl/>
          <w:lang w:bidi="ar-SY"/>
        </w:rPr>
        <w:t xml:space="preserve"> </w:t>
      </w:r>
      <w:r w:rsidR="00F32B28" w:rsidRPr="00F32B28">
        <w:rPr>
          <w:rtl/>
          <w:lang w:bidi="ar-SY"/>
        </w:rPr>
        <w:t>العائلات</w:t>
      </w:r>
      <w:r w:rsidR="00F32B28">
        <w:rPr>
          <w:rtl/>
          <w:lang w:bidi="ar-SY"/>
        </w:rPr>
        <w:t xml:space="preserve"> </w:t>
      </w:r>
      <w:r w:rsidR="00F32B28" w:rsidRPr="00F32B28">
        <w:rPr>
          <w:rtl/>
          <w:lang w:bidi="ar-SY"/>
        </w:rPr>
        <w:t>الفلسطينية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تلك</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تشجيع</w:t>
      </w:r>
      <w:r w:rsidR="00F32B28">
        <w:rPr>
          <w:rtl/>
          <w:lang w:bidi="ar-SY"/>
        </w:rPr>
        <w:t xml:space="preserve"> </w:t>
      </w:r>
      <w:r w:rsidR="00F32B28" w:rsidRPr="00F32B28">
        <w:rPr>
          <w:rtl/>
          <w:lang w:bidi="ar-SY"/>
        </w:rPr>
        <w:t>بناتهم</w:t>
      </w:r>
      <w:r w:rsidR="00F32B28">
        <w:rPr>
          <w:rtl/>
          <w:lang w:bidi="ar-SY"/>
        </w:rPr>
        <w:t xml:space="preserve"> </w:t>
      </w:r>
      <w:r w:rsidR="00F32B28" w:rsidRPr="00F32B28">
        <w:rPr>
          <w:rtl/>
          <w:lang w:bidi="ar-SY"/>
        </w:rPr>
        <w:t>لترك</w:t>
      </w:r>
      <w:r w:rsidR="00F32B28">
        <w:rPr>
          <w:rtl/>
          <w:lang w:bidi="ar-SY"/>
        </w:rPr>
        <w:t xml:space="preserve"> </w:t>
      </w:r>
      <w:r w:rsidR="00F32B28" w:rsidRPr="00F32B28">
        <w:rPr>
          <w:rtl/>
          <w:lang w:bidi="ar-SY"/>
        </w:rPr>
        <w:t>مقاعدهن</w:t>
      </w:r>
      <w:r w:rsidR="00F32B28">
        <w:rPr>
          <w:rtl/>
          <w:lang w:bidi="ar-SY"/>
        </w:rPr>
        <w:t xml:space="preserve"> </w:t>
      </w:r>
      <w:r w:rsidR="00F32B28" w:rsidRPr="00F32B28">
        <w:rPr>
          <w:rtl/>
          <w:lang w:bidi="ar-SY"/>
        </w:rPr>
        <w:t>الدراسية</w:t>
      </w:r>
      <w:r w:rsidR="00F32B28">
        <w:rPr>
          <w:rtl/>
          <w:lang w:bidi="ar-SY"/>
        </w:rPr>
        <w:t xml:space="preserve"> </w:t>
      </w:r>
      <w:r w:rsidR="00F32B28" w:rsidRPr="00F32B28">
        <w:rPr>
          <w:rtl/>
          <w:lang w:bidi="ar-SY"/>
        </w:rPr>
        <w:t>والبقاء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البيت</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تزويجهن</w:t>
      </w:r>
      <w:r w:rsidR="00F32B28">
        <w:rPr>
          <w:rtl/>
          <w:lang w:bidi="ar-SY"/>
        </w:rPr>
        <w:t xml:space="preserve"> </w:t>
      </w:r>
      <w:r w:rsidR="00F32B28" w:rsidRPr="00F32B28">
        <w:rPr>
          <w:rtl/>
          <w:lang w:bidi="ar-SY"/>
        </w:rPr>
        <w:t>مبكراً</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كله</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يتجنبون</w:t>
      </w:r>
      <w:r w:rsidR="00F32B28">
        <w:rPr>
          <w:rtl/>
          <w:lang w:bidi="ar-SY"/>
        </w:rPr>
        <w:t xml:space="preserve"> </w:t>
      </w:r>
      <w:r w:rsidR="00F32B28" w:rsidRPr="00F32B28">
        <w:rPr>
          <w:rtl/>
          <w:lang w:bidi="ar-SY"/>
        </w:rPr>
        <w:t>مرور</w:t>
      </w:r>
      <w:r w:rsidR="00F32B28">
        <w:rPr>
          <w:rtl/>
          <w:lang w:bidi="ar-SY"/>
        </w:rPr>
        <w:t xml:space="preserve"> </w:t>
      </w:r>
      <w:r w:rsidR="00F32B28" w:rsidRPr="00F32B28">
        <w:rPr>
          <w:rtl/>
          <w:lang w:bidi="ar-SY"/>
        </w:rPr>
        <w:t>بناتهن</w:t>
      </w:r>
      <w:r w:rsidR="00F32B28">
        <w:rPr>
          <w:rtl/>
          <w:lang w:bidi="ar-SY"/>
        </w:rPr>
        <w:t xml:space="preserve"> </w:t>
      </w:r>
      <w:r w:rsidR="00F32B28" w:rsidRPr="00F32B28">
        <w:rPr>
          <w:rtl/>
          <w:lang w:bidi="ar-SY"/>
        </w:rPr>
        <w:t>عبر</w:t>
      </w:r>
      <w:r w:rsidR="00F32B28">
        <w:rPr>
          <w:rtl/>
          <w:lang w:bidi="ar-SY"/>
        </w:rPr>
        <w:t xml:space="preserve"> </w:t>
      </w:r>
      <w:r w:rsidR="00F32B28" w:rsidRPr="00F32B28">
        <w:rPr>
          <w:rtl/>
          <w:lang w:bidi="ar-SY"/>
        </w:rPr>
        <w:t>الحواجز</w:t>
      </w:r>
      <w:r w:rsidR="00F32B28">
        <w:rPr>
          <w:rtl/>
          <w:lang w:bidi="ar-SY"/>
        </w:rPr>
        <w:t xml:space="preserve"> </w:t>
      </w:r>
      <w:r w:rsidR="00F32B28" w:rsidRPr="00F32B28">
        <w:rPr>
          <w:rtl/>
          <w:lang w:bidi="ar-SY"/>
        </w:rPr>
        <w:t>يومياً</w:t>
      </w:r>
      <w:r w:rsidR="00F32B28">
        <w:rPr>
          <w:rtl/>
          <w:lang w:bidi="ar-SY"/>
        </w:rPr>
        <w:t xml:space="preserve"> </w:t>
      </w:r>
      <w:r w:rsidR="00F32B28" w:rsidRPr="00F32B28">
        <w:rPr>
          <w:rtl/>
          <w:lang w:bidi="ar-SY"/>
        </w:rPr>
        <w:t>للتوجه</w:t>
      </w:r>
      <w:r w:rsidR="00F32B28">
        <w:rPr>
          <w:rtl/>
          <w:lang w:bidi="ar-SY"/>
        </w:rPr>
        <w:t xml:space="preserve"> </w:t>
      </w:r>
      <w:r w:rsidR="00F32B28" w:rsidRPr="00F32B28">
        <w:rPr>
          <w:rtl/>
          <w:lang w:bidi="ar-SY"/>
        </w:rPr>
        <w:t>للمدارس</w:t>
      </w:r>
      <w:r w:rsidR="00F32B28">
        <w:rPr>
          <w:rtl/>
          <w:lang w:bidi="ar-SY"/>
        </w:rPr>
        <w:t xml:space="preserve"> </w:t>
      </w:r>
      <w:r w:rsidR="00F32B28" w:rsidRPr="00F32B28">
        <w:rPr>
          <w:rtl/>
          <w:lang w:bidi="ar-SY"/>
        </w:rPr>
        <w:t>والتعامل</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المواجهات</w:t>
      </w:r>
      <w:r w:rsidR="00F32B28">
        <w:rPr>
          <w:rtl/>
          <w:lang w:bidi="ar-SY"/>
        </w:rPr>
        <w:t xml:space="preserve"> </w:t>
      </w:r>
      <w:r w:rsidR="00F32B28" w:rsidRPr="00F32B28">
        <w:rPr>
          <w:rtl/>
          <w:lang w:bidi="ar-SY"/>
        </w:rPr>
        <w:t>العدوانية</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الجنود</w:t>
      </w:r>
      <w:r w:rsidR="00F32B28">
        <w:rPr>
          <w:rtl/>
          <w:lang w:bidi="ar-SY"/>
        </w:rPr>
        <w:t xml:space="preserve"> </w:t>
      </w:r>
      <w:r w:rsidR="00F32B28" w:rsidRPr="00F32B28">
        <w:rPr>
          <w:rtl/>
          <w:lang w:bidi="ar-SY"/>
        </w:rPr>
        <w:t>الإسرائيليين.</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أدت</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العوائق</w:t>
      </w:r>
      <w:r w:rsidR="00F32B28">
        <w:rPr>
          <w:rtl/>
          <w:lang w:bidi="ar-SY"/>
        </w:rPr>
        <w:t xml:space="preserve"> </w:t>
      </w:r>
      <w:r w:rsidR="00F32B28" w:rsidRPr="00F32B28">
        <w:rPr>
          <w:rtl/>
          <w:lang w:bidi="ar-SY"/>
        </w:rPr>
        <w:t>المرتبة</w:t>
      </w:r>
      <w:r w:rsidR="00F32B28">
        <w:rPr>
          <w:rtl/>
          <w:lang w:bidi="ar-SY"/>
        </w:rPr>
        <w:t xml:space="preserve"> </w:t>
      </w:r>
      <w:r w:rsidR="00F32B28" w:rsidRPr="00F32B28">
        <w:rPr>
          <w:rtl/>
          <w:lang w:bidi="ar-SY"/>
        </w:rPr>
        <w:t>بالجدار</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تدهور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نسب</w:t>
      </w:r>
      <w:r w:rsidR="00F32B28">
        <w:rPr>
          <w:rtl/>
          <w:lang w:bidi="ar-SY"/>
        </w:rPr>
        <w:t xml:space="preserve"> </w:t>
      </w:r>
      <w:r w:rsidR="00F32B28" w:rsidRPr="00F32B28">
        <w:rPr>
          <w:rtl/>
          <w:lang w:bidi="ar-SY"/>
        </w:rPr>
        <w:t>التحاق</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بالجامعات.</w:t>
      </w:r>
      <w:r w:rsidR="00F32B28">
        <w:rPr>
          <w:rtl/>
          <w:lang w:bidi="ar-SY"/>
        </w:rPr>
        <w:t xml:space="preserve"> </w:t>
      </w:r>
    </w:p>
    <w:p w:rsidR="00F32B28" w:rsidRPr="00F32B28" w:rsidRDefault="00891A4B" w:rsidP="00891A4B">
      <w:pPr>
        <w:pStyle w:val="SingleTxt"/>
      </w:pPr>
      <w:r>
        <w:rPr>
          <w:rFonts w:hint="cs"/>
          <w:rtl/>
          <w:lang w:bidi="ar-SY"/>
        </w:rPr>
        <w:t xml:space="preserve">303 - </w:t>
      </w:r>
      <w:r w:rsidR="00F32B28" w:rsidRPr="00F32B28">
        <w:rPr>
          <w:rtl/>
          <w:lang w:bidi="ar-SY"/>
        </w:rPr>
        <w:t>كما</w:t>
      </w:r>
      <w:r w:rsidR="00F32B28">
        <w:rPr>
          <w:rtl/>
          <w:lang w:bidi="ar-SY"/>
        </w:rPr>
        <w:t xml:space="preserve"> </w:t>
      </w:r>
      <w:r w:rsidR="00F32B28" w:rsidRPr="00F32B28">
        <w:rPr>
          <w:rtl/>
          <w:lang w:bidi="ar-SY"/>
        </w:rPr>
        <w:t>يؤثر</w:t>
      </w:r>
      <w:r w:rsidR="00F32B28">
        <w:rPr>
          <w:rtl/>
          <w:lang w:bidi="ar-SY"/>
        </w:rPr>
        <w:t xml:space="preserve"> </w:t>
      </w:r>
      <w:r w:rsidR="00F32B28" w:rsidRPr="00F32B28">
        <w:rPr>
          <w:rtl/>
          <w:lang w:bidi="ar-SY"/>
        </w:rPr>
        <w:t>الجدار</w:t>
      </w:r>
      <w:r w:rsidR="00F32B28">
        <w:rPr>
          <w:rtl/>
          <w:lang w:bidi="ar-SY"/>
        </w:rPr>
        <w:t xml:space="preserve"> </w:t>
      </w:r>
      <w:r w:rsidR="00F32B28" w:rsidRPr="00F32B28">
        <w:rPr>
          <w:rtl/>
          <w:lang w:bidi="ar-SY"/>
        </w:rPr>
        <w:t>والمستوطنات</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وخاصة</w:t>
      </w:r>
      <w:r w:rsidR="00F32B28">
        <w:rPr>
          <w:rtl/>
          <w:lang w:bidi="ar-SY"/>
        </w:rPr>
        <w:t xml:space="preserve"> </w:t>
      </w:r>
      <w:r w:rsidR="00F32B28" w:rsidRPr="00F32B28">
        <w:rPr>
          <w:rtl/>
          <w:lang w:bidi="ar-SY"/>
        </w:rPr>
        <w:t>الريفيات،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العمل</w:t>
      </w:r>
      <w:r w:rsidR="00F32B28">
        <w:rPr>
          <w:rtl/>
          <w:lang w:bidi="ar-SY"/>
        </w:rPr>
        <w:t xml:space="preserve"> </w:t>
      </w:r>
      <w:r w:rsidR="00F32B28" w:rsidRPr="00F32B28">
        <w:rPr>
          <w:rtl/>
          <w:lang w:bidi="ar-SY"/>
        </w:rPr>
        <w:t>وكسب</w:t>
      </w:r>
      <w:r w:rsidR="00F32B28">
        <w:rPr>
          <w:rtl/>
          <w:lang w:bidi="ar-SY"/>
        </w:rPr>
        <w:t xml:space="preserve"> </w:t>
      </w:r>
      <w:r w:rsidR="00F32B28" w:rsidRPr="00F32B28">
        <w:rPr>
          <w:rtl/>
          <w:lang w:bidi="ar-SY"/>
        </w:rPr>
        <w:t>العيش،</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يحظر</w:t>
      </w:r>
      <w:r w:rsidR="00F32B28">
        <w:rPr>
          <w:rtl/>
          <w:lang w:bidi="ar-SY"/>
        </w:rPr>
        <w:t xml:space="preserve"> </w:t>
      </w:r>
      <w:r w:rsidR="00F32B28" w:rsidRPr="00F32B28">
        <w:rPr>
          <w:rtl/>
          <w:lang w:bidi="ar-SY"/>
        </w:rPr>
        <w:t>مرور</w:t>
      </w:r>
      <w:r w:rsidR="00F32B28">
        <w:rPr>
          <w:rtl/>
          <w:lang w:bidi="ar-SY"/>
        </w:rPr>
        <w:t xml:space="preserve"> </w:t>
      </w:r>
      <w:r w:rsidR="00F32B28" w:rsidRPr="00F32B28">
        <w:rPr>
          <w:rtl/>
          <w:lang w:bidi="ar-SY"/>
        </w:rPr>
        <w:t>المعدات</w:t>
      </w:r>
      <w:r w:rsidR="00F32B28">
        <w:rPr>
          <w:rtl/>
          <w:lang w:bidi="ar-SY"/>
        </w:rPr>
        <w:t xml:space="preserve"> </w:t>
      </w:r>
      <w:r w:rsidR="00F32B28" w:rsidRPr="00F32B28">
        <w:rPr>
          <w:rtl/>
          <w:lang w:bidi="ar-SY"/>
        </w:rPr>
        <w:t>اللازمة</w:t>
      </w:r>
      <w:r w:rsidR="00F32B28">
        <w:rPr>
          <w:rtl/>
          <w:lang w:bidi="ar-SY"/>
        </w:rPr>
        <w:t xml:space="preserve"> </w:t>
      </w:r>
      <w:r w:rsidR="00F32B28" w:rsidRPr="00F32B28">
        <w:rPr>
          <w:rtl/>
          <w:lang w:bidi="ar-SY"/>
        </w:rPr>
        <w:t>لحصاد</w:t>
      </w:r>
      <w:r w:rsidR="00F32B28">
        <w:rPr>
          <w:rtl/>
          <w:lang w:bidi="ar-SY"/>
        </w:rPr>
        <w:t xml:space="preserve"> </w:t>
      </w:r>
      <w:r w:rsidR="00F32B28" w:rsidRPr="00F32B28">
        <w:rPr>
          <w:rtl/>
          <w:lang w:bidi="ar-SY"/>
        </w:rPr>
        <w:t>محاصيل</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الأراضي،</w:t>
      </w:r>
      <w:r w:rsidR="00F32B28">
        <w:rPr>
          <w:rtl/>
          <w:lang w:bidi="ar-SY"/>
        </w:rPr>
        <w:t xml:space="preserve"> </w:t>
      </w:r>
      <w:r w:rsidR="00F32B28" w:rsidRPr="00F32B28">
        <w:rPr>
          <w:rtl/>
          <w:lang w:bidi="ar-SY"/>
        </w:rPr>
        <w:t>ويحظر</w:t>
      </w:r>
      <w:r w:rsidR="00F32B28">
        <w:rPr>
          <w:rtl/>
          <w:lang w:bidi="ar-SY"/>
        </w:rPr>
        <w:t xml:space="preserve"> </w:t>
      </w:r>
      <w:r w:rsidR="00F32B28" w:rsidRPr="00F32B28">
        <w:rPr>
          <w:rtl/>
          <w:lang w:bidi="ar-SY"/>
        </w:rPr>
        <w:t>نقل</w:t>
      </w:r>
      <w:r w:rsidR="00F32B28">
        <w:rPr>
          <w:rtl/>
          <w:lang w:bidi="ar-SY"/>
        </w:rPr>
        <w:t xml:space="preserve"> </w:t>
      </w:r>
      <w:r w:rsidR="00F32B28" w:rsidRPr="00F32B28">
        <w:rPr>
          <w:rtl/>
          <w:lang w:bidi="ar-SY"/>
        </w:rPr>
        <w:t>المنتجات</w:t>
      </w:r>
      <w:r w:rsidR="00F32B28">
        <w:rPr>
          <w:rtl/>
          <w:lang w:bidi="ar-SY"/>
        </w:rPr>
        <w:t xml:space="preserve"> </w:t>
      </w:r>
      <w:r w:rsidR="00F32B28" w:rsidRPr="00F32B28">
        <w:rPr>
          <w:rtl/>
          <w:lang w:bidi="ar-SY"/>
        </w:rPr>
        <w:t>والمحاصيل</w:t>
      </w:r>
      <w:r w:rsidR="00F32B28">
        <w:rPr>
          <w:rtl/>
          <w:lang w:bidi="ar-SY"/>
        </w:rPr>
        <w:t xml:space="preserve"> </w:t>
      </w:r>
      <w:r w:rsidR="00F32B28" w:rsidRPr="00F32B28">
        <w:rPr>
          <w:rtl/>
          <w:lang w:bidi="ar-SY"/>
        </w:rPr>
        <w:t>والأعلاف</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خلال</w:t>
      </w:r>
      <w:r w:rsidR="00F32B28">
        <w:rPr>
          <w:rtl/>
          <w:lang w:bidi="ar-SY"/>
        </w:rPr>
        <w:t xml:space="preserve"> </w:t>
      </w:r>
      <w:r w:rsidR="00F32B28" w:rsidRPr="00F32B28">
        <w:rPr>
          <w:rtl/>
          <w:lang w:bidi="ar-SY"/>
        </w:rPr>
        <w:t>الحواجز</w:t>
      </w:r>
      <w:r w:rsidR="00F32B28">
        <w:rPr>
          <w:rtl/>
          <w:lang w:bidi="ar-SY"/>
        </w:rPr>
        <w:t xml:space="preserve"> </w:t>
      </w:r>
      <w:r w:rsidR="00F32B28" w:rsidRPr="00F32B28">
        <w:rPr>
          <w:rtl/>
          <w:lang w:bidi="ar-SY"/>
        </w:rPr>
        <w:t>والبوابات،</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يسمح</w:t>
      </w:r>
      <w:r w:rsidR="00F32B28">
        <w:rPr>
          <w:rtl/>
          <w:lang w:bidi="ar-SY"/>
        </w:rPr>
        <w:t xml:space="preserve"> </w:t>
      </w:r>
      <w:r w:rsidR="00F32B28" w:rsidRPr="00F32B28">
        <w:rPr>
          <w:rtl/>
          <w:lang w:bidi="ar-SY"/>
        </w:rPr>
        <w:t>للفلسطينيات</w:t>
      </w:r>
      <w:r w:rsidR="00F32B28">
        <w:rPr>
          <w:rtl/>
          <w:lang w:bidi="ar-SY"/>
        </w:rPr>
        <w:t xml:space="preserve"> </w:t>
      </w:r>
      <w:r w:rsidR="00F32B28" w:rsidRPr="00F32B28">
        <w:rPr>
          <w:rtl/>
          <w:lang w:bidi="ar-SY"/>
        </w:rPr>
        <w:t>والفلسطينيين</w:t>
      </w:r>
      <w:r w:rsidR="00F32B28">
        <w:rPr>
          <w:rtl/>
          <w:lang w:bidi="ar-SY"/>
        </w:rPr>
        <w:t xml:space="preserve"> </w:t>
      </w:r>
      <w:r w:rsidR="00F32B28" w:rsidRPr="00F32B28">
        <w:rPr>
          <w:rtl/>
          <w:lang w:bidi="ar-SY"/>
        </w:rPr>
        <w:t>بنقل</w:t>
      </w:r>
      <w:r w:rsidR="00F32B28">
        <w:rPr>
          <w:rtl/>
          <w:lang w:bidi="ar-SY"/>
        </w:rPr>
        <w:t xml:space="preserve"> </w:t>
      </w:r>
      <w:r w:rsidR="00F32B28" w:rsidRPr="00F32B28">
        <w:rPr>
          <w:rtl/>
          <w:lang w:bidi="ar-SY"/>
        </w:rPr>
        <w:t>أكثر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كيلوغرامين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شيء</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قراهم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تنسيق،</w:t>
      </w:r>
      <w:r w:rsidR="00F32B28">
        <w:rPr>
          <w:rtl/>
          <w:lang w:bidi="ar-SY"/>
        </w:rPr>
        <w:t xml:space="preserve"> </w:t>
      </w:r>
      <w:r w:rsidR="00F32B28" w:rsidRPr="00F32B28">
        <w:rPr>
          <w:rtl/>
          <w:lang w:bidi="ar-SY"/>
        </w:rPr>
        <w:t>خاصة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معظم</w:t>
      </w:r>
      <w:r w:rsidR="00F32B28">
        <w:rPr>
          <w:rtl/>
          <w:lang w:bidi="ar-SY"/>
        </w:rPr>
        <w:t xml:space="preserve"> </w:t>
      </w:r>
      <w:r w:rsidR="00F32B28" w:rsidRPr="00F32B28">
        <w:rPr>
          <w:rtl/>
          <w:lang w:bidi="ar-SY"/>
        </w:rPr>
        <w:t>القرى</w:t>
      </w:r>
      <w:r w:rsidR="00F32B28">
        <w:rPr>
          <w:rtl/>
          <w:lang w:bidi="ar-SY"/>
        </w:rPr>
        <w:t xml:space="preserve"> </w:t>
      </w:r>
      <w:r w:rsidR="00F32B28" w:rsidRPr="00F32B28">
        <w:rPr>
          <w:rtl/>
          <w:lang w:bidi="ar-SY"/>
        </w:rPr>
        <w:t>الواقعة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مناطق</w:t>
      </w:r>
      <w:r w:rsidR="00F32B28">
        <w:rPr>
          <w:rtl/>
          <w:lang w:bidi="ar-SY"/>
        </w:rPr>
        <w:t xml:space="preserve"> </w:t>
      </w:r>
      <w:r w:rsidR="00F32B28" w:rsidRPr="00F32B28">
        <w:rPr>
          <w:rtl/>
          <w:lang w:bidi="ar-SY"/>
        </w:rPr>
        <w:t>التماس.</w:t>
      </w:r>
      <w:r w:rsidR="00F32B28">
        <w:rPr>
          <w:rtl/>
          <w:lang w:bidi="ar-SY"/>
        </w:rPr>
        <w:t xml:space="preserve"> </w:t>
      </w:r>
      <w:r w:rsidR="00F32B28" w:rsidRPr="00F32B28">
        <w:rPr>
          <w:rtl/>
        </w:rPr>
        <w:t>وتتأثر</w:t>
      </w:r>
      <w:r w:rsidR="00F32B28">
        <w:rPr>
          <w:rtl/>
        </w:rPr>
        <w:t xml:space="preserve"> </w:t>
      </w:r>
      <w:r w:rsidR="00F32B28" w:rsidRPr="00F32B28">
        <w:rPr>
          <w:rtl/>
        </w:rPr>
        <w:t>حياة</w:t>
      </w:r>
      <w:r w:rsidR="00F32B28">
        <w:rPr>
          <w:rtl/>
        </w:rPr>
        <w:t xml:space="preserve"> </w:t>
      </w:r>
      <w:r w:rsidR="00F32B28" w:rsidRPr="00F32B28">
        <w:rPr>
          <w:rtl/>
        </w:rPr>
        <w:t>النساء</w:t>
      </w:r>
      <w:r w:rsidR="00F32B28">
        <w:rPr>
          <w:rtl/>
        </w:rPr>
        <w:t xml:space="preserve"> </w:t>
      </w:r>
      <w:r w:rsidR="00F32B28" w:rsidRPr="00F32B28">
        <w:rPr>
          <w:rtl/>
        </w:rPr>
        <w:t>بشكل</w:t>
      </w:r>
      <w:r w:rsidR="00F32B28">
        <w:rPr>
          <w:rtl/>
        </w:rPr>
        <w:t xml:space="preserve"> </w:t>
      </w:r>
      <w:r w:rsidR="00F32B28" w:rsidRPr="00F32B28">
        <w:rPr>
          <w:rtl/>
        </w:rPr>
        <w:t>خاص</w:t>
      </w:r>
      <w:r w:rsidR="00F32B28">
        <w:rPr>
          <w:rtl/>
        </w:rPr>
        <w:t xml:space="preserve"> </w:t>
      </w:r>
      <w:r w:rsidR="00F32B28" w:rsidRPr="00F32B28">
        <w:rPr>
          <w:rtl/>
        </w:rPr>
        <w:t>بهذا</w:t>
      </w:r>
      <w:r w:rsidR="00F32B28">
        <w:rPr>
          <w:rtl/>
        </w:rPr>
        <w:t xml:space="preserve"> </w:t>
      </w:r>
      <w:r w:rsidR="00F32B28" w:rsidRPr="00F32B28">
        <w:rPr>
          <w:rtl/>
        </w:rPr>
        <w:t>الوضع</w:t>
      </w:r>
      <w:r w:rsidR="00F32B28">
        <w:rPr>
          <w:rtl/>
        </w:rPr>
        <w:t xml:space="preserve"> </w:t>
      </w:r>
      <w:r w:rsidR="00F32B28" w:rsidRPr="00F32B28">
        <w:rPr>
          <w:rtl/>
        </w:rPr>
        <w:t>لأن</w:t>
      </w:r>
      <w:r w:rsidR="00F32B28">
        <w:rPr>
          <w:rtl/>
        </w:rPr>
        <w:t xml:space="preserve"> </w:t>
      </w:r>
      <w:r w:rsidR="00F32B28" w:rsidRPr="00F32B28">
        <w:rPr>
          <w:rtl/>
        </w:rPr>
        <w:t>حرمانهن</w:t>
      </w:r>
      <w:r w:rsidR="00F32B28">
        <w:rPr>
          <w:rtl/>
        </w:rPr>
        <w:t xml:space="preserve"> </w:t>
      </w:r>
      <w:r w:rsidR="00F32B28" w:rsidRPr="00F32B28">
        <w:rPr>
          <w:rtl/>
        </w:rPr>
        <w:t>من</w:t>
      </w:r>
      <w:r w:rsidR="00F32B28">
        <w:rPr>
          <w:rtl/>
        </w:rPr>
        <w:t xml:space="preserve"> </w:t>
      </w:r>
      <w:r w:rsidR="00F32B28" w:rsidRPr="00F32B28">
        <w:rPr>
          <w:rtl/>
        </w:rPr>
        <w:t>الاكتفاء</w:t>
      </w:r>
      <w:r w:rsidR="00F32B28">
        <w:rPr>
          <w:rtl/>
        </w:rPr>
        <w:t xml:space="preserve"> </w:t>
      </w:r>
      <w:r w:rsidR="00F32B28" w:rsidRPr="00F32B28">
        <w:rPr>
          <w:rtl/>
        </w:rPr>
        <w:t>الذاتي</w:t>
      </w:r>
      <w:r w:rsidR="00F32B28">
        <w:rPr>
          <w:rtl/>
        </w:rPr>
        <w:t xml:space="preserve"> </w:t>
      </w:r>
      <w:r w:rsidR="00F32B28" w:rsidRPr="00F32B28">
        <w:rPr>
          <w:rtl/>
        </w:rPr>
        <w:t>الاقتصادي</w:t>
      </w:r>
      <w:r w:rsidR="00F32B28">
        <w:rPr>
          <w:rtl/>
        </w:rPr>
        <w:t xml:space="preserve"> </w:t>
      </w:r>
      <w:r w:rsidR="00F32B28" w:rsidRPr="00F32B28">
        <w:rPr>
          <w:rtl/>
        </w:rPr>
        <w:t>يؤدي</w:t>
      </w:r>
      <w:r w:rsidR="00F32B28">
        <w:rPr>
          <w:rtl/>
        </w:rPr>
        <w:t xml:space="preserve"> </w:t>
      </w:r>
      <w:r w:rsidR="00F32B28" w:rsidRPr="00F32B28">
        <w:rPr>
          <w:rtl/>
        </w:rPr>
        <w:t>إلى</w:t>
      </w:r>
      <w:r w:rsidR="00F32B28">
        <w:rPr>
          <w:rtl/>
        </w:rPr>
        <w:t xml:space="preserve"> </w:t>
      </w:r>
      <w:r w:rsidR="00F32B28" w:rsidRPr="00F32B28">
        <w:rPr>
          <w:rtl/>
        </w:rPr>
        <w:t>إبقائهن</w:t>
      </w:r>
      <w:r w:rsidR="00F32B28">
        <w:rPr>
          <w:rtl/>
        </w:rPr>
        <w:t xml:space="preserve"> </w:t>
      </w:r>
      <w:r w:rsidR="00F32B28" w:rsidRPr="00F32B28">
        <w:rPr>
          <w:rtl/>
        </w:rPr>
        <w:t>في</w:t>
      </w:r>
      <w:r w:rsidR="00F32B28">
        <w:rPr>
          <w:rtl/>
        </w:rPr>
        <w:t xml:space="preserve"> </w:t>
      </w:r>
      <w:r w:rsidR="00F32B28" w:rsidRPr="00F32B28">
        <w:rPr>
          <w:rtl/>
        </w:rPr>
        <w:t>معظم</w:t>
      </w:r>
      <w:r w:rsidR="00F32B28">
        <w:rPr>
          <w:rtl/>
        </w:rPr>
        <w:t xml:space="preserve"> </w:t>
      </w:r>
      <w:r w:rsidR="00F32B28" w:rsidRPr="00F32B28">
        <w:rPr>
          <w:rtl/>
        </w:rPr>
        <w:t>الأحيان</w:t>
      </w:r>
      <w:r w:rsidR="00F32B28">
        <w:rPr>
          <w:rtl/>
        </w:rPr>
        <w:t xml:space="preserve"> </w:t>
      </w:r>
      <w:r w:rsidR="00F32B28" w:rsidRPr="00F32B28">
        <w:rPr>
          <w:rtl/>
        </w:rPr>
        <w:t>معتمدات</w:t>
      </w:r>
      <w:r w:rsidR="00F32B28">
        <w:rPr>
          <w:rtl/>
        </w:rPr>
        <w:t xml:space="preserve"> </w:t>
      </w:r>
      <w:r w:rsidR="00F32B28" w:rsidRPr="00F32B28">
        <w:rPr>
          <w:rtl/>
        </w:rPr>
        <w:t>على</w:t>
      </w:r>
      <w:r w:rsidR="00F32B28">
        <w:rPr>
          <w:rtl/>
        </w:rPr>
        <w:t xml:space="preserve"> </w:t>
      </w:r>
      <w:r w:rsidR="00F32B28" w:rsidRPr="00F32B28">
        <w:rPr>
          <w:rtl/>
        </w:rPr>
        <w:t>أفراد</w:t>
      </w:r>
      <w:r w:rsidR="00F32B28">
        <w:rPr>
          <w:rtl/>
        </w:rPr>
        <w:t xml:space="preserve"> </w:t>
      </w:r>
      <w:r w:rsidR="00F32B28" w:rsidRPr="00F32B28">
        <w:rPr>
          <w:rtl/>
        </w:rPr>
        <w:t>العائلة</w:t>
      </w:r>
      <w:r w:rsidR="00F32B28">
        <w:rPr>
          <w:rtl/>
        </w:rPr>
        <w:t xml:space="preserve"> </w:t>
      </w:r>
      <w:r w:rsidR="00F32B28" w:rsidRPr="00F32B28">
        <w:rPr>
          <w:rtl/>
        </w:rPr>
        <w:t>الذكور،</w:t>
      </w:r>
      <w:r w:rsidR="00F32B28">
        <w:rPr>
          <w:rtl/>
        </w:rPr>
        <w:t xml:space="preserve"> </w:t>
      </w:r>
      <w:r w:rsidR="00F32B28" w:rsidRPr="00F32B28">
        <w:rPr>
          <w:rtl/>
        </w:rPr>
        <w:t>ما</w:t>
      </w:r>
      <w:r w:rsidR="00F32B28">
        <w:rPr>
          <w:rtl/>
        </w:rPr>
        <w:t xml:space="preserve"> </w:t>
      </w:r>
      <w:r w:rsidR="00F32B28" w:rsidRPr="00F32B28">
        <w:rPr>
          <w:rtl/>
        </w:rPr>
        <w:t>يعني</w:t>
      </w:r>
      <w:r w:rsidR="00F32B28">
        <w:rPr>
          <w:rtl/>
        </w:rPr>
        <w:t xml:space="preserve"> </w:t>
      </w:r>
      <w:r w:rsidR="00F32B28" w:rsidRPr="00F32B28">
        <w:rPr>
          <w:rtl/>
        </w:rPr>
        <w:t>أن</w:t>
      </w:r>
      <w:r w:rsidR="00F32B28">
        <w:rPr>
          <w:rtl/>
        </w:rPr>
        <w:t xml:space="preserve"> </w:t>
      </w:r>
      <w:r w:rsidR="00F32B28" w:rsidRPr="00F32B28">
        <w:rPr>
          <w:rtl/>
        </w:rPr>
        <w:t>النساء</w:t>
      </w:r>
      <w:r w:rsidR="00F32B28">
        <w:rPr>
          <w:rtl/>
        </w:rPr>
        <w:t xml:space="preserve"> </w:t>
      </w:r>
      <w:r w:rsidR="00F32B28" w:rsidRPr="00F32B28">
        <w:rPr>
          <w:rtl/>
        </w:rPr>
        <w:t>يفقدن</w:t>
      </w:r>
      <w:r w:rsidR="00F32B28">
        <w:rPr>
          <w:rtl/>
        </w:rPr>
        <w:t xml:space="preserve"> </w:t>
      </w:r>
      <w:r w:rsidR="00F32B28" w:rsidRPr="00F32B28">
        <w:rPr>
          <w:rtl/>
        </w:rPr>
        <w:t>استقلاليتهن</w:t>
      </w:r>
      <w:r w:rsidR="00F32B28">
        <w:rPr>
          <w:rtl/>
        </w:rPr>
        <w:t xml:space="preserve"> </w:t>
      </w:r>
      <w:r w:rsidR="00F32B28" w:rsidRPr="00F32B28">
        <w:rPr>
          <w:rtl/>
        </w:rPr>
        <w:t>الاقتصادية</w:t>
      </w:r>
      <w:r w:rsidR="00F32B28">
        <w:rPr>
          <w:rtl/>
        </w:rPr>
        <w:t xml:space="preserve"> </w:t>
      </w:r>
      <w:r w:rsidR="00F32B28" w:rsidRPr="00F32B28">
        <w:rPr>
          <w:rtl/>
        </w:rPr>
        <w:t>ومكانتهن</w:t>
      </w:r>
      <w:r w:rsidR="00F32B28">
        <w:rPr>
          <w:rtl/>
        </w:rPr>
        <w:t xml:space="preserve"> </w:t>
      </w:r>
      <w:r w:rsidR="00F32B28" w:rsidRPr="00F32B28">
        <w:rPr>
          <w:rtl/>
        </w:rPr>
        <w:t>الاجتماعية</w:t>
      </w:r>
      <w:r w:rsidR="00F32B28" w:rsidRPr="00F32B28">
        <w:t>.</w:t>
      </w:r>
    </w:p>
    <w:p w:rsidR="00F32B28" w:rsidRPr="00F32B28" w:rsidRDefault="00891A4B" w:rsidP="00891A4B">
      <w:pPr>
        <w:pStyle w:val="SingleTxt"/>
        <w:rPr>
          <w:rtl/>
          <w:lang w:bidi="ar-SY"/>
        </w:rPr>
      </w:pPr>
      <w:r>
        <w:rPr>
          <w:rFonts w:hint="cs"/>
          <w:rtl/>
          <w:lang w:bidi="ar-SY"/>
        </w:rPr>
        <w:t xml:space="preserve">304 - </w:t>
      </w:r>
      <w:r w:rsidR="00F32B28" w:rsidRPr="00F32B28">
        <w:rPr>
          <w:rtl/>
          <w:lang w:bidi="ar-SY"/>
        </w:rPr>
        <w:t>ومما</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rPr>
        <w:t>شك</w:t>
      </w:r>
      <w:r w:rsidR="00F32B28">
        <w:rPr>
          <w:rtl/>
        </w:rPr>
        <w:t xml:space="preserve"> </w:t>
      </w:r>
      <w:r w:rsidR="00F32B28" w:rsidRPr="00F32B28">
        <w:rPr>
          <w:rtl/>
        </w:rPr>
        <w:t>أن</w:t>
      </w:r>
      <w:r w:rsidR="00F32B28">
        <w:rPr>
          <w:rtl/>
        </w:rPr>
        <w:t xml:space="preserve"> </w:t>
      </w:r>
      <w:r w:rsidR="00F32B28" w:rsidRPr="00F32B28">
        <w:rPr>
          <w:rtl/>
        </w:rPr>
        <w:t>الجدار</w:t>
      </w:r>
      <w:r w:rsidR="00F32B28">
        <w:rPr>
          <w:rtl/>
        </w:rPr>
        <w:t xml:space="preserve"> </w:t>
      </w:r>
      <w:r w:rsidR="00F32B28" w:rsidRPr="00F32B28">
        <w:rPr>
          <w:rtl/>
        </w:rPr>
        <w:t>والنظام</w:t>
      </w:r>
      <w:r w:rsidR="00F32B28">
        <w:rPr>
          <w:rtl/>
        </w:rPr>
        <w:t xml:space="preserve"> </w:t>
      </w:r>
      <w:r w:rsidR="00F32B28" w:rsidRPr="00F32B28">
        <w:rPr>
          <w:rtl/>
        </w:rPr>
        <w:t>المرتبط</w:t>
      </w:r>
      <w:r w:rsidR="00F32B28">
        <w:rPr>
          <w:rtl/>
        </w:rPr>
        <w:t xml:space="preserve"> </w:t>
      </w:r>
      <w:r w:rsidR="00F32B28" w:rsidRPr="00F32B28">
        <w:rPr>
          <w:rtl/>
        </w:rPr>
        <w:t>به</w:t>
      </w:r>
      <w:r w:rsidR="00F32B28">
        <w:rPr>
          <w:rtl/>
        </w:rPr>
        <w:t xml:space="preserve"> </w:t>
      </w:r>
      <w:r w:rsidR="00F32B28" w:rsidRPr="00F32B28">
        <w:rPr>
          <w:rtl/>
        </w:rPr>
        <w:t>يهدف</w:t>
      </w:r>
      <w:r w:rsidR="00F32B28">
        <w:rPr>
          <w:rtl/>
        </w:rPr>
        <w:t xml:space="preserve"> </w:t>
      </w:r>
      <w:r w:rsidR="00F32B28" w:rsidRPr="00F32B28">
        <w:rPr>
          <w:rtl/>
        </w:rPr>
        <w:t>إلى</w:t>
      </w:r>
      <w:r w:rsidR="00F32B28">
        <w:rPr>
          <w:rtl/>
        </w:rPr>
        <w:t xml:space="preserve"> </w:t>
      </w:r>
      <w:r w:rsidR="00F32B28" w:rsidRPr="00F32B28">
        <w:rPr>
          <w:rtl/>
        </w:rPr>
        <w:t>زرع</w:t>
      </w:r>
      <w:r w:rsidR="00F32B28">
        <w:rPr>
          <w:rtl/>
        </w:rPr>
        <w:t xml:space="preserve"> </w:t>
      </w:r>
      <w:r w:rsidR="00F32B28" w:rsidRPr="00F32B28">
        <w:rPr>
          <w:rtl/>
        </w:rPr>
        <w:t>اليأس</w:t>
      </w:r>
      <w:r w:rsidR="00F32B28">
        <w:rPr>
          <w:rtl/>
        </w:rPr>
        <w:t xml:space="preserve"> </w:t>
      </w:r>
      <w:r w:rsidR="00F32B28" w:rsidRPr="00F32B28">
        <w:rPr>
          <w:rtl/>
        </w:rPr>
        <w:t>في</w:t>
      </w:r>
      <w:r w:rsidR="00F32B28">
        <w:rPr>
          <w:rtl/>
        </w:rPr>
        <w:t xml:space="preserve"> </w:t>
      </w:r>
      <w:r w:rsidR="00F32B28" w:rsidRPr="00F32B28">
        <w:rPr>
          <w:rtl/>
        </w:rPr>
        <w:t>أوساط</w:t>
      </w:r>
      <w:r w:rsidR="00F32B28">
        <w:rPr>
          <w:rtl/>
        </w:rPr>
        <w:t xml:space="preserve"> </w:t>
      </w:r>
      <w:r w:rsidR="00F32B28" w:rsidRPr="00F32B28">
        <w:rPr>
          <w:rtl/>
        </w:rPr>
        <w:t>الفلسطينيين</w:t>
      </w:r>
      <w:r w:rsidR="00F32B28">
        <w:rPr>
          <w:rtl/>
        </w:rPr>
        <w:t xml:space="preserve"> </w:t>
      </w:r>
      <w:r w:rsidR="00F32B28" w:rsidRPr="00F32B28">
        <w:rPr>
          <w:rtl/>
        </w:rPr>
        <w:t>والفلسطينيات</w:t>
      </w:r>
      <w:r w:rsidR="00F32B28">
        <w:rPr>
          <w:rtl/>
        </w:rPr>
        <w:t xml:space="preserve"> </w:t>
      </w:r>
      <w:r w:rsidR="00F32B28" w:rsidRPr="00F32B28">
        <w:rPr>
          <w:rtl/>
        </w:rPr>
        <w:t>المزارعين</w:t>
      </w:r>
      <w:r w:rsidR="00F32B28">
        <w:rPr>
          <w:rtl/>
        </w:rPr>
        <w:t xml:space="preserve"> </w:t>
      </w:r>
      <w:r w:rsidR="00F32B28" w:rsidRPr="00F32B28">
        <w:rPr>
          <w:rtl/>
        </w:rPr>
        <w:t>ودفعهم</w:t>
      </w:r>
      <w:r w:rsidR="00F32B28">
        <w:rPr>
          <w:rtl/>
        </w:rPr>
        <w:t xml:space="preserve"> </w:t>
      </w:r>
      <w:r w:rsidR="00F32B28" w:rsidRPr="00F32B28">
        <w:rPr>
          <w:rtl/>
        </w:rPr>
        <w:t>إلى</w:t>
      </w:r>
      <w:r w:rsidR="00F32B28">
        <w:rPr>
          <w:rtl/>
        </w:rPr>
        <w:t xml:space="preserve"> </w:t>
      </w:r>
      <w:r w:rsidR="00F32B28" w:rsidRPr="00F32B28">
        <w:rPr>
          <w:rtl/>
        </w:rPr>
        <w:t>التوقف</w:t>
      </w:r>
      <w:r w:rsidR="00F32B28">
        <w:rPr>
          <w:rtl/>
        </w:rPr>
        <w:t xml:space="preserve"> </w:t>
      </w:r>
      <w:r w:rsidR="00F32B28" w:rsidRPr="00F32B28">
        <w:rPr>
          <w:rtl/>
        </w:rPr>
        <w:t>عن</w:t>
      </w:r>
      <w:r w:rsidR="00F32B28">
        <w:rPr>
          <w:rtl/>
        </w:rPr>
        <w:t xml:space="preserve"> </w:t>
      </w:r>
      <w:r w:rsidR="00F32B28" w:rsidRPr="00F32B28">
        <w:rPr>
          <w:rtl/>
        </w:rPr>
        <w:t>العمل</w:t>
      </w:r>
      <w:r w:rsidR="00F32B28">
        <w:rPr>
          <w:rtl/>
        </w:rPr>
        <w:t xml:space="preserve"> </w:t>
      </w:r>
      <w:r w:rsidR="00F32B28" w:rsidRPr="00F32B28">
        <w:rPr>
          <w:rtl/>
        </w:rPr>
        <w:t>في</w:t>
      </w:r>
      <w:r w:rsidR="00F32B28">
        <w:rPr>
          <w:rtl/>
        </w:rPr>
        <w:t xml:space="preserve"> </w:t>
      </w:r>
      <w:r w:rsidR="00F32B28" w:rsidRPr="00F32B28">
        <w:rPr>
          <w:rtl/>
        </w:rPr>
        <w:t>أراضيهم</w:t>
      </w:r>
      <w:r w:rsidR="00F32B28">
        <w:rPr>
          <w:rtl/>
        </w:rPr>
        <w:t xml:space="preserve"> </w:t>
      </w:r>
      <w:r w:rsidR="00F32B28" w:rsidRPr="00F32B28">
        <w:rPr>
          <w:rtl/>
        </w:rPr>
        <w:t>الواقعة</w:t>
      </w:r>
      <w:r w:rsidR="00F32B28">
        <w:rPr>
          <w:rtl/>
        </w:rPr>
        <w:t xml:space="preserve"> </w:t>
      </w:r>
      <w:r w:rsidR="00F32B28" w:rsidRPr="00F32B28">
        <w:rPr>
          <w:rtl/>
        </w:rPr>
        <w:t>في</w:t>
      </w:r>
      <w:r w:rsidR="00F32B28">
        <w:rPr>
          <w:rtl/>
        </w:rPr>
        <w:t xml:space="preserve"> </w:t>
      </w:r>
      <w:r w:rsidR="00F32B28" w:rsidRPr="00F32B28">
        <w:rPr>
          <w:rtl/>
        </w:rPr>
        <w:t>الغرب</w:t>
      </w:r>
      <w:r w:rsidR="00F32B28">
        <w:rPr>
          <w:rtl/>
        </w:rPr>
        <w:t xml:space="preserve"> </w:t>
      </w:r>
      <w:r w:rsidR="00F32B28" w:rsidRPr="00F32B28">
        <w:rPr>
          <w:rtl/>
        </w:rPr>
        <w:t>منه،</w:t>
      </w:r>
      <w:r w:rsidR="00F32B28">
        <w:rPr>
          <w:rtl/>
        </w:rPr>
        <w:t xml:space="preserve"> </w:t>
      </w:r>
      <w:r w:rsidR="00F32B28" w:rsidRPr="00F32B28">
        <w:rPr>
          <w:rtl/>
        </w:rPr>
        <w:t>خاصة</w:t>
      </w:r>
      <w:r w:rsidR="00F32B28">
        <w:rPr>
          <w:rtl/>
        </w:rPr>
        <w:t xml:space="preserve"> </w:t>
      </w:r>
      <w:r w:rsidR="00F32B28" w:rsidRPr="00F32B28">
        <w:rPr>
          <w:rtl/>
        </w:rPr>
        <w:t>في</w:t>
      </w:r>
      <w:r w:rsidR="00F32B28">
        <w:rPr>
          <w:rtl/>
        </w:rPr>
        <w:t xml:space="preserve"> </w:t>
      </w:r>
      <w:r w:rsidR="00F32B28" w:rsidRPr="00F32B28">
        <w:rPr>
          <w:rtl/>
        </w:rPr>
        <w:t>ظل</w:t>
      </w:r>
      <w:r w:rsidR="00F32B28">
        <w:rPr>
          <w:rtl/>
        </w:rPr>
        <w:t xml:space="preserve"> </w:t>
      </w:r>
      <w:r w:rsidR="00F32B28" w:rsidRPr="00F32B28">
        <w:rPr>
          <w:rtl/>
        </w:rPr>
        <w:t>انتشار</w:t>
      </w:r>
      <w:r w:rsidR="00F32B28">
        <w:rPr>
          <w:rtl/>
        </w:rPr>
        <w:t xml:space="preserve"> </w:t>
      </w:r>
      <w:r w:rsidR="00F32B28" w:rsidRPr="00F32B28">
        <w:rPr>
          <w:rtl/>
        </w:rPr>
        <w:t>التهديدات</w:t>
      </w:r>
      <w:r w:rsidR="00F32B28">
        <w:rPr>
          <w:rtl/>
        </w:rPr>
        <w:t xml:space="preserve"> </w:t>
      </w:r>
      <w:r w:rsidR="00F32B28" w:rsidRPr="00F32B28">
        <w:rPr>
          <w:rtl/>
        </w:rPr>
        <w:t>بعدم</w:t>
      </w:r>
      <w:r w:rsidR="00F32B28">
        <w:rPr>
          <w:rtl/>
        </w:rPr>
        <w:t xml:space="preserve"> </w:t>
      </w:r>
      <w:r w:rsidR="00F32B28" w:rsidRPr="00F32B28">
        <w:rPr>
          <w:rtl/>
        </w:rPr>
        <w:t>تجديد</w:t>
      </w:r>
      <w:r w:rsidR="00F32B28">
        <w:rPr>
          <w:rtl/>
        </w:rPr>
        <w:t xml:space="preserve"> </w:t>
      </w:r>
      <w:r w:rsidR="00F32B28" w:rsidRPr="00F32B28">
        <w:rPr>
          <w:rtl/>
        </w:rPr>
        <w:t>التصاريح</w:t>
      </w:r>
      <w:r w:rsidR="00F32B28">
        <w:rPr>
          <w:rtl/>
        </w:rPr>
        <w:t xml:space="preserve"> </w:t>
      </w:r>
      <w:r w:rsidR="00F32B28" w:rsidRPr="00F32B28">
        <w:rPr>
          <w:rtl/>
        </w:rPr>
        <w:t>ما</w:t>
      </w:r>
      <w:r w:rsidR="00F32B28">
        <w:rPr>
          <w:rtl/>
        </w:rPr>
        <w:t xml:space="preserve"> </w:t>
      </w:r>
      <w:r w:rsidR="00F32B28" w:rsidRPr="00F32B28">
        <w:rPr>
          <w:rtl/>
        </w:rPr>
        <w:t>يؤدي</w:t>
      </w:r>
      <w:r w:rsidR="00F32B28">
        <w:rPr>
          <w:rtl/>
        </w:rPr>
        <w:t xml:space="preserve"> </w:t>
      </w:r>
      <w:r w:rsidR="00F32B28" w:rsidRPr="00F32B28">
        <w:rPr>
          <w:rtl/>
        </w:rPr>
        <w:t>استمرار</w:t>
      </w:r>
      <w:r w:rsidR="00F32B28">
        <w:rPr>
          <w:rtl/>
        </w:rPr>
        <w:t xml:space="preserve"> </w:t>
      </w:r>
      <w:r w:rsidR="00F32B28" w:rsidRPr="00F32B28">
        <w:rPr>
          <w:rtl/>
        </w:rPr>
        <w:t>إغلاق</w:t>
      </w:r>
      <w:r w:rsidR="00F32B28">
        <w:rPr>
          <w:rtl/>
        </w:rPr>
        <w:t xml:space="preserve"> </w:t>
      </w:r>
      <w:r w:rsidR="00F32B28" w:rsidRPr="00F32B28">
        <w:rPr>
          <w:rtl/>
        </w:rPr>
        <w:t>الأراضي</w:t>
      </w:r>
      <w:r w:rsidR="00F32B28">
        <w:rPr>
          <w:rtl/>
        </w:rPr>
        <w:t xml:space="preserve"> </w:t>
      </w:r>
      <w:r w:rsidR="00F32B28" w:rsidRPr="00F32B28">
        <w:rPr>
          <w:rtl/>
        </w:rPr>
        <w:t>إلى</w:t>
      </w:r>
      <w:r w:rsidR="00F32B28">
        <w:rPr>
          <w:rtl/>
        </w:rPr>
        <w:t xml:space="preserve"> </w:t>
      </w:r>
      <w:r w:rsidR="00F32B28" w:rsidRPr="00F32B28">
        <w:rPr>
          <w:rtl/>
        </w:rPr>
        <w:t>عدم</w:t>
      </w:r>
      <w:r w:rsidR="00F32B28">
        <w:rPr>
          <w:rtl/>
        </w:rPr>
        <w:t xml:space="preserve"> </w:t>
      </w:r>
      <w:r w:rsidR="00F32B28" w:rsidRPr="00F32B28">
        <w:rPr>
          <w:rtl/>
        </w:rPr>
        <w:t>زراعتها</w:t>
      </w:r>
      <w:r w:rsidR="00F32B28">
        <w:rPr>
          <w:rtl/>
        </w:rPr>
        <w:t xml:space="preserve"> </w:t>
      </w:r>
      <w:r w:rsidR="00F32B28" w:rsidRPr="00F32B28">
        <w:rPr>
          <w:rtl/>
        </w:rPr>
        <w:t>وبورها،</w:t>
      </w:r>
      <w:r w:rsidR="00F32B28">
        <w:rPr>
          <w:rtl/>
        </w:rPr>
        <w:t xml:space="preserve"> </w:t>
      </w:r>
      <w:r w:rsidR="00F32B28" w:rsidRPr="00F32B28">
        <w:rPr>
          <w:rtl/>
        </w:rPr>
        <w:t>وبالتالي</w:t>
      </w:r>
      <w:r w:rsidR="00F32B28">
        <w:rPr>
          <w:rtl/>
        </w:rPr>
        <w:t xml:space="preserve"> </w:t>
      </w:r>
      <w:r w:rsidR="00F32B28" w:rsidRPr="00F32B28">
        <w:rPr>
          <w:rtl/>
        </w:rPr>
        <w:t>إعلانها</w:t>
      </w:r>
      <w:r w:rsidR="00F32B28">
        <w:rPr>
          <w:rtl/>
        </w:rPr>
        <w:t xml:space="preserve"> </w:t>
      </w:r>
      <w:r w:rsidR="00F32B28" w:rsidRPr="00F32B28">
        <w:rPr>
          <w:rtl/>
        </w:rPr>
        <w:t>أرض</w:t>
      </w:r>
      <w:r w:rsidR="00F32B28">
        <w:rPr>
          <w:rtl/>
        </w:rPr>
        <w:t xml:space="preserve"> </w:t>
      </w:r>
      <w:r w:rsidR="00F32B28" w:rsidRPr="00F32B28">
        <w:rPr>
          <w:rtl/>
        </w:rPr>
        <w:t>دولة</w:t>
      </w:r>
      <w:r w:rsidR="00F32B28">
        <w:rPr>
          <w:rtl/>
        </w:rPr>
        <w:t xml:space="preserve"> </w:t>
      </w:r>
      <w:r w:rsidR="00F32B28" w:rsidRPr="00F32B28">
        <w:rPr>
          <w:rtl/>
        </w:rPr>
        <w:t>وتجريد</w:t>
      </w:r>
      <w:r w:rsidR="00F32B28">
        <w:rPr>
          <w:rtl/>
        </w:rPr>
        <w:t xml:space="preserve"> </w:t>
      </w:r>
      <w:r w:rsidR="00F32B28" w:rsidRPr="00F32B28">
        <w:rPr>
          <w:rtl/>
        </w:rPr>
        <w:t>أصحابها</w:t>
      </w:r>
      <w:r w:rsidR="00F32B28">
        <w:rPr>
          <w:rtl/>
        </w:rPr>
        <w:t xml:space="preserve"> </w:t>
      </w:r>
      <w:r w:rsidR="00F32B28" w:rsidRPr="00F32B28">
        <w:rPr>
          <w:rtl/>
        </w:rPr>
        <w:t>من</w:t>
      </w:r>
      <w:r w:rsidR="00F32B28">
        <w:rPr>
          <w:rtl/>
        </w:rPr>
        <w:t xml:space="preserve"> </w:t>
      </w:r>
      <w:r w:rsidR="00F32B28" w:rsidRPr="00F32B28">
        <w:rPr>
          <w:rtl/>
        </w:rPr>
        <w:t>ملكيتها.</w:t>
      </w:r>
      <w:r w:rsidR="00F32B28">
        <w:rPr>
          <w:rtl/>
        </w:rPr>
        <w:t xml:space="preserve"> </w:t>
      </w:r>
    </w:p>
    <w:p w:rsidR="00F32B28" w:rsidRPr="00F32B28" w:rsidRDefault="00891A4B" w:rsidP="00891A4B">
      <w:pPr>
        <w:pStyle w:val="SingleTxt"/>
        <w:rPr>
          <w:rtl/>
          <w:lang w:bidi="ar-SY"/>
        </w:rPr>
      </w:pPr>
      <w:r>
        <w:rPr>
          <w:rFonts w:hint="cs"/>
          <w:rtl/>
          <w:lang w:bidi="ar-SY"/>
        </w:rPr>
        <w:t xml:space="preserve">305 - </w:t>
      </w:r>
      <w:r w:rsidR="00F32B28" w:rsidRPr="00F32B28">
        <w:rPr>
          <w:rtl/>
          <w:lang w:bidi="ar-SY"/>
        </w:rPr>
        <w:t>كما</w:t>
      </w:r>
      <w:r w:rsidR="00F32B28">
        <w:rPr>
          <w:rtl/>
          <w:lang w:bidi="ar-SY"/>
        </w:rPr>
        <w:t xml:space="preserve"> </w:t>
      </w:r>
      <w:r w:rsidR="00F32B28" w:rsidRPr="00F32B28">
        <w:rPr>
          <w:rtl/>
          <w:lang w:bidi="ar-SY"/>
        </w:rPr>
        <w:t>يخلق</w:t>
      </w:r>
      <w:r w:rsidR="00F32B28">
        <w:rPr>
          <w:rtl/>
          <w:lang w:bidi="ar-SY"/>
        </w:rPr>
        <w:t xml:space="preserve"> </w:t>
      </w:r>
      <w:r w:rsidR="00F32B28" w:rsidRPr="00F32B28">
        <w:rPr>
          <w:rtl/>
          <w:lang w:bidi="ar-SY"/>
        </w:rPr>
        <w:t>العيش</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المناطق</w:t>
      </w:r>
      <w:r w:rsidR="00F32B28">
        <w:rPr>
          <w:rtl/>
          <w:lang w:bidi="ar-SY"/>
        </w:rPr>
        <w:t xml:space="preserve"> </w:t>
      </w:r>
      <w:r w:rsidR="00F32B28" w:rsidRPr="00F32B28">
        <w:rPr>
          <w:rtl/>
          <w:lang w:bidi="ar-SY"/>
        </w:rPr>
        <w:t>المحاذية</w:t>
      </w:r>
      <w:r w:rsidR="00F32B28">
        <w:rPr>
          <w:rtl/>
          <w:lang w:bidi="ar-SY"/>
        </w:rPr>
        <w:t xml:space="preserve"> </w:t>
      </w:r>
      <w:r w:rsidR="00F32B28" w:rsidRPr="00F32B28">
        <w:rPr>
          <w:rtl/>
          <w:lang w:bidi="ar-SY"/>
        </w:rPr>
        <w:t>للجدار</w:t>
      </w:r>
      <w:r w:rsidR="00F32B28">
        <w:rPr>
          <w:rtl/>
          <w:lang w:bidi="ar-SY"/>
        </w:rPr>
        <w:t xml:space="preserve"> </w:t>
      </w:r>
      <w:r w:rsidR="00F32B28" w:rsidRPr="00F32B28">
        <w:rPr>
          <w:rtl/>
          <w:lang w:bidi="ar-SY"/>
        </w:rPr>
        <w:t>والمستوطنات</w:t>
      </w:r>
      <w:r w:rsidR="00F32B28">
        <w:rPr>
          <w:rtl/>
          <w:lang w:bidi="ar-SY"/>
        </w:rPr>
        <w:t xml:space="preserve"> </w:t>
      </w:r>
      <w:r w:rsidR="00F32B28" w:rsidRPr="00F32B28">
        <w:rPr>
          <w:rtl/>
          <w:lang w:bidi="ar-SY"/>
        </w:rPr>
        <w:t>واقعاً</w:t>
      </w:r>
      <w:r w:rsidR="00F32B28">
        <w:rPr>
          <w:rtl/>
          <w:lang w:bidi="ar-SY"/>
        </w:rPr>
        <w:t xml:space="preserve"> </w:t>
      </w:r>
      <w:r w:rsidR="00F32B28" w:rsidRPr="00F32B28">
        <w:rPr>
          <w:rtl/>
          <w:lang w:bidi="ar-SY"/>
        </w:rPr>
        <w:t>محبطاً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صعيد</w:t>
      </w:r>
      <w:r w:rsidR="00F32B28">
        <w:rPr>
          <w:rtl/>
          <w:lang w:bidi="ar-SY"/>
        </w:rPr>
        <w:t xml:space="preserve"> </w:t>
      </w:r>
      <w:r w:rsidR="00F32B28" w:rsidRPr="00F32B28">
        <w:rPr>
          <w:rtl/>
          <w:lang w:bidi="ar-SY"/>
        </w:rPr>
        <w:t>الحياة</w:t>
      </w:r>
      <w:r w:rsidR="00F32B28">
        <w:rPr>
          <w:rtl/>
          <w:lang w:bidi="ar-SY"/>
        </w:rPr>
        <w:t xml:space="preserve"> </w:t>
      </w:r>
      <w:r w:rsidR="00F32B28" w:rsidRPr="00F32B28">
        <w:rPr>
          <w:rtl/>
          <w:lang w:bidi="ar-SY"/>
        </w:rPr>
        <w:t>الأسرية</w:t>
      </w:r>
      <w:r w:rsidR="00F32B28">
        <w:rPr>
          <w:rtl/>
          <w:lang w:bidi="ar-SY"/>
        </w:rPr>
        <w:t xml:space="preserve"> </w:t>
      </w:r>
      <w:r w:rsidR="00F32B28" w:rsidRPr="00F32B28">
        <w:rPr>
          <w:rtl/>
          <w:lang w:bidi="ar-SY"/>
        </w:rPr>
        <w:t>للنساء،</w:t>
      </w:r>
      <w:r w:rsidR="00F32B28">
        <w:rPr>
          <w:rtl/>
          <w:lang w:bidi="ar-SY"/>
        </w:rPr>
        <w:t xml:space="preserve"> </w:t>
      </w:r>
      <w:r w:rsidR="00F32B28" w:rsidRPr="00F32B28">
        <w:rPr>
          <w:rtl/>
          <w:lang w:bidi="ar-SY"/>
        </w:rPr>
        <w:t>فلا</w:t>
      </w:r>
      <w:r w:rsidR="00F32B28">
        <w:rPr>
          <w:rtl/>
          <w:lang w:bidi="ar-SY"/>
        </w:rPr>
        <w:t xml:space="preserve"> </w:t>
      </w:r>
      <w:r w:rsidR="00F32B28" w:rsidRPr="00F32B28">
        <w:rPr>
          <w:rtl/>
          <w:lang w:bidi="ar-SY"/>
        </w:rPr>
        <w:t>يستطيع</w:t>
      </w:r>
      <w:r w:rsidR="00F32B28">
        <w:rPr>
          <w:rtl/>
          <w:lang w:bidi="ar-SY"/>
        </w:rPr>
        <w:t xml:space="preserve"> </w:t>
      </w:r>
      <w:r w:rsidR="00F32B28" w:rsidRPr="00F32B28">
        <w:rPr>
          <w:rtl/>
          <w:lang w:bidi="ar-SY"/>
        </w:rPr>
        <w:t>الدخول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منطقة</w:t>
      </w:r>
      <w:r w:rsidR="00F32B28">
        <w:rPr>
          <w:rtl/>
          <w:lang w:bidi="ar-SY"/>
        </w:rPr>
        <w:t xml:space="preserve"> </w:t>
      </w:r>
      <w:r w:rsidR="00F32B28" w:rsidRPr="00F32B28">
        <w:rPr>
          <w:rtl/>
          <w:lang w:bidi="ar-SY"/>
        </w:rPr>
        <w:t>سكناهن</w:t>
      </w:r>
      <w:r w:rsidR="00F32B28">
        <w:rPr>
          <w:rtl/>
          <w:lang w:bidi="ar-SY"/>
        </w:rPr>
        <w:t xml:space="preserve"> </w:t>
      </w:r>
      <w:r w:rsidR="00F32B28" w:rsidRPr="00F32B28">
        <w:rPr>
          <w:rtl/>
          <w:lang w:bidi="ar-SY"/>
        </w:rPr>
        <w:t>سوى</w:t>
      </w:r>
      <w:r w:rsidR="00F32B28">
        <w:rPr>
          <w:rtl/>
          <w:lang w:bidi="ar-SY"/>
        </w:rPr>
        <w:t xml:space="preserve"> </w:t>
      </w:r>
      <w:r w:rsidR="00F32B28" w:rsidRPr="00F32B28">
        <w:rPr>
          <w:rtl/>
          <w:lang w:bidi="ar-SY"/>
        </w:rPr>
        <w:t>أولئك</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يعيشون</w:t>
      </w:r>
      <w:r w:rsidR="00F32B28">
        <w:rPr>
          <w:rtl/>
          <w:lang w:bidi="ar-SY"/>
        </w:rPr>
        <w:t xml:space="preserve"> </w:t>
      </w:r>
      <w:r w:rsidR="00F32B28" w:rsidRPr="00F32B28">
        <w:rPr>
          <w:rtl/>
          <w:lang w:bidi="ar-SY"/>
        </w:rPr>
        <w:t>هناك،</w:t>
      </w:r>
      <w:r w:rsidR="00F32B28">
        <w:rPr>
          <w:rtl/>
          <w:lang w:bidi="ar-SY"/>
        </w:rPr>
        <w:t xml:space="preserve"> </w:t>
      </w:r>
      <w:r w:rsidR="00F32B28" w:rsidRPr="00F32B28">
        <w:rPr>
          <w:rtl/>
          <w:lang w:bidi="ar-SY"/>
        </w:rPr>
        <w:t>وهذا</w:t>
      </w:r>
      <w:r w:rsidR="00F32B28">
        <w:rPr>
          <w:rtl/>
          <w:lang w:bidi="ar-SY"/>
        </w:rPr>
        <w:t xml:space="preserve"> </w:t>
      </w:r>
      <w:r w:rsidR="00F32B28" w:rsidRPr="00F32B28">
        <w:rPr>
          <w:rtl/>
          <w:lang w:bidi="ar-SY"/>
        </w:rPr>
        <w:t>يعني</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تعاني</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اللواتي</w:t>
      </w:r>
      <w:r w:rsidR="00F32B28">
        <w:rPr>
          <w:rtl/>
          <w:lang w:bidi="ar-SY"/>
        </w:rPr>
        <w:t xml:space="preserve"> </w:t>
      </w:r>
      <w:r w:rsidR="00F32B28" w:rsidRPr="00F32B28">
        <w:rPr>
          <w:rtl/>
          <w:lang w:bidi="ar-SY"/>
        </w:rPr>
        <w:t>ينتقلن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العادة</w:t>
      </w:r>
      <w:r w:rsidR="00F32B28">
        <w:rPr>
          <w:rtl/>
          <w:lang w:bidi="ar-SY"/>
        </w:rPr>
        <w:t xml:space="preserve"> </w:t>
      </w:r>
      <w:r w:rsidR="00F32B28" w:rsidRPr="00F32B28">
        <w:rPr>
          <w:rtl/>
          <w:lang w:bidi="ar-SY"/>
        </w:rPr>
        <w:t>للعيش</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أزواجهن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المنطقة،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العزلة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عائلاتهن</w:t>
      </w:r>
      <w:r w:rsidR="00F32B28">
        <w:rPr>
          <w:rtl/>
          <w:lang w:bidi="ar-SY"/>
        </w:rPr>
        <w:t xml:space="preserve"> </w:t>
      </w:r>
      <w:r w:rsidR="00F32B28" w:rsidRPr="00F32B28">
        <w:rPr>
          <w:rtl/>
          <w:lang w:bidi="ar-SY"/>
        </w:rPr>
        <w:t>ومحيطهن.</w:t>
      </w:r>
      <w:r>
        <w:rPr>
          <w:rFonts w:hint="cs"/>
          <w:rtl/>
          <w:lang w:bidi="ar-SY"/>
        </w:rPr>
        <w:t xml:space="preserve"> </w:t>
      </w:r>
      <w:r w:rsidR="00F32B28" w:rsidRPr="00F32B28">
        <w:rPr>
          <w:rtl/>
          <w:lang w:bidi="ar-SY"/>
        </w:rPr>
        <w:t>كما</w:t>
      </w:r>
      <w:r w:rsidR="00F32B28">
        <w:rPr>
          <w:rtl/>
          <w:lang w:bidi="ar-SY"/>
        </w:rPr>
        <w:t xml:space="preserve"> </w:t>
      </w:r>
      <w:r w:rsidR="00F32B28" w:rsidRPr="00F32B28">
        <w:rPr>
          <w:rtl/>
          <w:lang w:bidi="ar-SY"/>
        </w:rPr>
        <w:t>أدى</w:t>
      </w:r>
      <w:r w:rsidR="00F32B28">
        <w:rPr>
          <w:rtl/>
          <w:lang w:bidi="ar-SY"/>
        </w:rPr>
        <w:t xml:space="preserve"> </w:t>
      </w:r>
      <w:r w:rsidR="00F32B28" w:rsidRPr="00F32B28">
        <w:rPr>
          <w:rtl/>
          <w:lang w:bidi="ar-SY"/>
        </w:rPr>
        <w:t>بناء</w:t>
      </w:r>
      <w:r w:rsidR="00F32B28">
        <w:rPr>
          <w:rtl/>
          <w:lang w:bidi="ar-SY"/>
        </w:rPr>
        <w:t xml:space="preserve"> </w:t>
      </w:r>
      <w:r w:rsidR="00F32B28" w:rsidRPr="00F32B28">
        <w:rPr>
          <w:rtl/>
          <w:lang w:bidi="ar-SY"/>
        </w:rPr>
        <w:t>الجدار</w:t>
      </w:r>
      <w:r w:rsidR="00F32B28">
        <w:rPr>
          <w:rtl/>
          <w:lang w:bidi="ar-SY"/>
        </w:rPr>
        <w:t xml:space="preserve"> </w:t>
      </w:r>
      <w:r w:rsidR="00F32B28" w:rsidRPr="00F32B28">
        <w:rPr>
          <w:rtl/>
          <w:lang w:bidi="ar-SY"/>
        </w:rPr>
        <w:t>وفرض</w:t>
      </w:r>
      <w:r w:rsidR="00F32B28">
        <w:rPr>
          <w:rtl/>
          <w:lang w:bidi="ar-SY"/>
        </w:rPr>
        <w:t xml:space="preserve"> </w:t>
      </w:r>
      <w:r w:rsidR="00F32B28" w:rsidRPr="00F32B28">
        <w:rPr>
          <w:rtl/>
          <w:lang w:bidi="ar-SY"/>
        </w:rPr>
        <w:t>العديد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السياسات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تمنع</w:t>
      </w:r>
      <w:r w:rsidR="00F32B28">
        <w:rPr>
          <w:rtl/>
          <w:lang w:bidi="ar-SY"/>
        </w:rPr>
        <w:t xml:space="preserve"> </w:t>
      </w:r>
      <w:r w:rsidR="00F32B28" w:rsidRPr="00F32B28">
        <w:rPr>
          <w:rtl/>
          <w:lang w:bidi="ar-SY"/>
        </w:rPr>
        <w:t>دخول</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الفلسطينيات،</w:t>
      </w:r>
      <w:r w:rsidR="00F32B28">
        <w:rPr>
          <w:rtl/>
          <w:lang w:bidi="ar-SY"/>
        </w:rPr>
        <w:t xml:space="preserve"> </w:t>
      </w:r>
      <w:r w:rsidR="00F32B28" w:rsidRPr="00F32B28">
        <w:rPr>
          <w:rtl/>
          <w:lang w:bidi="ar-SY"/>
        </w:rPr>
        <w:t>سواء</w:t>
      </w:r>
      <w:r w:rsidR="00F32B28">
        <w:rPr>
          <w:rtl/>
          <w:lang w:bidi="ar-SY"/>
        </w:rPr>
        <w:t xml:space="preserve"> </w:t>
      </w:r>
      <w:r w:rsidR="00F32B28" w:rsidRPr="00F32B28">
        <w:rPr>
          <w:rtl/>
          <w:lang w:bidi="ar-SY"/>
        </w:rPr>
        <w:t>المسلمات</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المسيحيات،</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وقطاع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انتهاك</w:t>
      </w:r>
      <w:r w:rsidR="00F32B28">
        <w:rPr>
          <w:rtl/>
          <w:lang w:bidi="ar-SY"/>
        </w:rPr>
        <w:t xml:space="preserve"> </w:t>
      </w:r>
      <w:r w:rsidR="00F32B28" w:rsidRPr="00F32B28">
        <w:rPr>
          <w:rtl/>
          <w:lang w:bidi="ar-SY"/>
        </w:rPr>
        <w:t>حريـتهن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الوصـول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الأمـاكن</w:t>
      </w:r>
      <w:r w:rsidR="00F32B28">
        <w:rPr>
          <w:rtl/>
          <w:lang w:bidi="ar-SY"/>
        </w:rPr>
        <w:t xml:space="preserve"> </w:t>
      </w:r>
      <w:r w:rsidR="00F32B28" w:rsidRPr="00F32B28">
        <w:rPr>
          <w:rtl/>
          <w:lang w:bidi="ar-SY"/>
        </w:rPr>
        <w:t>المقدسة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الشرقية.</w:t>
      </w:r>
    </w:p>
    <w:p w:rsidR="00891A4B" w:rsidRPr="00891A4B" w:rsidRDefault="00891A4B" w:rsidP="00891A4B">
      <w:pPr>
        <w:pStyle w:val="SingleTxt"/>
        <w:spacing w:after="0" w:line="120" w:lineRule="exact"/>
        <w:rPr>
          <w:b/>
          <w:bCs/>
          <w:sz w:val="10"/>
          <w:rtl/>
        </w:rPr>
      </w:pPr>
    </w:p>
    <w:p w:rsidR="00F32B28" w:rsidRPr="00F32B28" w:rsidRDefault="00F32B28" w:rsidP="00F32B28">
      <w:pPr>
        <w:pStyle w:val="SingleTxt"/>
        <w:rPr>
          <w:b/>
          <w:bCs/>
        </w:rPr>
      </w:pPr>
      <w:r w:rsidRPr="00F32B28">
        <w:rPr>
          <w:b/>
          <w:bCs/>
          <w:rtl/>
        </w:rPr>
        <w:t>الاعتداء</w:t>
      </w:r>
      <w:r>
        <w:rPr>
          <w:b/>
          <w:bCs/>
          <w:rtl/>
        </w:rPr>
        <w:t xml:space="preserve"> </w:t>
      </w:r>
      <w:r w:rsidRPr="00F32B28">
        <w:rPr>
          <w:b/>
          <w:bCs/>
          <w:rtl/>
        </w:rPr>
        <w:t>على</w:t>
      </w:r>
      <w:r>
        <w:rPr>
          <w:b/>
          <w:bCs/>
          <w:rtl/>
        </w:rPr>
        <w:t xml:space="preserve"> </w:t>
      </w:r>
      <w:r w:rsidRPr="00F32B28">
        <w:rPr>
          <w:b/>
          <w:bCs/>
          <w:rtl/>
        </w:rPr>
        <w:t>النساء</w:t>
      </w:r>
      <w:r>
        <w:rPr>
          <w:b/>
          <w:bCs/>
          <w:rtl/>
        </w:rPr>
        <w:t xml:space="preserve"> </w:t>
      </w:r>
      <w:r w:rsidRPr="00F32B28">
        <w:rPr>
          <w:b/>
          <w:bCs/>
          <w:rtl/>
        </w:rPr>
        <w:t>المزارعات</w:t>
      </w:r>
      <w:r>
        <w:rPr>
          <w:b/>
          <w:bCs/>
          <w:rtl/>
        </w:rPr>
        <w:t xml:space="preserve"> </w:t>
      </w:r>
      <w:r w:rsidRPr="00F32B28">
        <w:rPr>
          <w:b/>
          <w:bCs/>
          <w:rtl/>
        </w:rPr>
        <w:t>وإتلاف</w:t>
      </w:r>
      <w:r>
        <w:rPr>
          <w:b/>
          <w:bCs/>
          <w:rtl/>
        </w:rPr>
        <w:t xml:space="preserve"> </w:t>
      </w:r>
      <w:r w:rsidRPr="00F32B28">
        <w:rPr>
          <w:b/>
          <w:bCs/>
          <w:rtl/>
        </w:rPr>
        <w:t>المحاصيل</w:t>
      </w:r>
      <w:r>
        <w:rPr>
          <w:b/>
          <w:bCs/>
          <w:rtl/>
        </w:rPr>
        <w:t xml:space="preserve"> </w:t>
      </w:r>
      <w:r w:rsidRPr="00F32B28">
        <w:rPr>
          <w:b/>
          <w:bCs/>
          <w:rtl/>
        </w:rPr>
        <w:t>الزراعية</w:t>
      </w:r>
      <w:r>
        <w:rPr>
          <w:b/>
          <w:bCs/>
          <w:rtl/>
        </w:rPr>
        <w:t xml:space="preserve"> </w:t>
      </w:r>
      <w:r w:rsidRPr="00F32B28">
        <w:rPr>
          <w:b/>
          <w:bCs/>
          <w:rtl/>
        </w:rPr>
        <w:t>وسرقتها</w:t>
      </w:r>
    </w:p>
    <w:p w:rsidR="00F32B28" w:rsidRPr="00F32B28" w:rsidRDefault="00891A4B" w:rsidP="00891A4B">
      <w:pPr>
        <w:pStyle w:val="SingleTxt"/>
        <w:rPr>
          <w:rtl/>
        </w:rPr>
      </w:pPr>
      <w:r>
        <w:rPr>
          <w:rFonts w:hint="cs"/>
          <w:rtl/>
          <w:lang w:bidi="ar-SY"/>
        </w:rPr>
        <w:t xml:space="preserve">306 - </w:t>
      </w:r>
      <w:r w:rsidR="00F32B28" w:rsidRPr="00F32B28">
        <w:rPr>
          <w:rtl/>
          <w:lang w:bidi="ar-SY"/>
        </w:rPr>
        <w:t>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فرض</w:t>
      </w:r>
      <w:r w:rsidR="00F32B28">
        <w:rPr>
          <w:rtl/>
          <w:lang w:bidi="ar-SY"/>
        </w:rPr>
        <w:t xml:space="preserve"> </w:t>
      </w:r>
      <w:r w:rsidR="00F32B28" w:rsidRPr="00F32B28">
        <w:rPr>
          <w:rtl/>
        </w:rPr>
        <w:t>سلطات</w:t>
      </w:r>
      <w:r w:rsidR="00F32B28">
        <w:rPr>
          <w:rtl/>
        </w:rPr>
        <w:t xml:space="preserve"> </w:t>
      </w:r>
      <w:r w:rsidR="00F32B28" w:rsidRPr="00F32B28">
        <w:rPr>
          <w:rtl/>
        </w:rPr>
        <w:t>الاحتلال</w:t>
      </w:r>
      <w:r w:rsidR="00F32B28">
        <w:rPr>
          <w:rtl/>
        </w:rPr>
        <w:t xml:space="preserve"> </w:t>
      </w:r>
      <w:r w:rsidR="00F32B28" w:rsidRPr="00F32B28">
        <w:rPr>
          <w:rtl/>
        </w:rPr>
        <w:t>إجراءات</w:t>
      </w:r>
      <w:r w:rsidR="00F32B28">
        <w:rPr>
          <w:rtl/>
        </w:rPr>
        <w:t xml:space="preserve"> </w:t>
      </w:r>
      <w:r w:rsidR="00F32B28" w:rsidRPr="00F32B28">
        <w:rPr>
          <w:rtl/>
        </w:rPr>
        <w:t>عنصرية</w:t>
      </w:r>
      <w:r>
        <w:rPr>
          <w:rFonts w:hint="cs"/>
          <w:rtl/>
        </w:rPr>
        <w:t xml:space="preserve"> </w:t>
      </w:r>
      <w:r w:rsidR="00F32B28" w:rsidRPr="00F32B28">
        <w:rPr>
          <w:rtl/>
        </w:rPr>
        <w:t>ضد</w:t>
      </w:r>
      <w:r w:rsidR="00F32B28">
        <w:rPr>
          <w:rtl/>
        </w:rPr>
        <w:t xml:space="preserve"> </w:t>
      </w:r>
      <w:r w:rsidR="00F32B28" w:rsidRPr="00F32B28">
        <w:rPr>
          <w:rtl/>
        </w:rPr>
        <w:t>المزارعين</w:t>
      </w:r>
      <w:r w:rsidR="00F32B28">
        <w:rPr>
          <w:rtl/>
        </w:rPr>
        <w:t xml:space="preserve"> </w:t>
      </w:r>
      <w:r w:rsidR="00F32B28" w:rsidRPr="00F32B28">
        <w:rPr>
          <w:rtl/>
        </w:rPr>
        <w:t>والمزارعات</w:t>
      </w:r>
      <w:r w:rsidR="00F32B28">
        <w:rPr>
          <w:rtl/>
        </w:rPr>
        <w:t xml:space="preserve"> </w:t>
      </w:r>
      <w:r w:rsidR="00F32B28" w:rsidRPr="00F32B28">
        <w:rPr>
          <w:rtl/>
        </w:rPr>
        <w:t>الفلسطينيين</w:t>
      </w:r>
      <w:r w:rsidR="00F32B28">
        <w:rPr>
          <w:rtl/>
        </w:rPr>
        <w:t xml:space="preserve"> </w:t>
      </w:r>
      <w:r w:rsidR="00F32B28" w:rsidRPr="00F32B28">
        <w:rPr>
          <w:rtl/>
        </w:rPr>
        <w:t>للوصول</w:t>
      </w:r>
      <w:r w:rsidR="00F32B28">
        <w:rPr>
          <w:rtl/>
        </w:rPr>
        <w:t xml:space="preserve"> </w:t>
      </w:r>
      <w:r w:rsidR="00F32B28" w:rsidRPr="00F32B28">
        <w:rPr>
          <w:rtl/>
        </w:rPr>
        <w:t>إلى</w:t>
      </w:r>
      <w:r w:rsidR="00F32B28">
        <w:rPr>
          <w:rtl/>
        </w:rPr>
        <w:t xml:space="preserve"> </w:t>
      </w:r>
      <w:r w:rsidR="00F32B28" w:rsidRPr="00F32B28">
        <w:rPr>
          <w:rtl/>
        </w:rPr>
        <w:t>أراضيهم</w:t>
      </w:r>
      <w:r w:rsidR="00F32B28">
        <w:rPr>
          <w:rtl/>
        </w:rPr>
        <w:t xml:space="preserve"> </w:t>
      </w:r>
      <w:r w:rsidR="00F32B28" w:rsidRPr="00F32B28">
        <w:rPr>
          <w:rtl/>
        </w:rPr>
        <w:t>وعرقلة</w:t>
      </w:r>
      <w:r w:rsidR="00F32B28">
        <w:rPr>
          <w:rtl/>
        </w:rPr>
        <w:t xml:space="preserve"> </w:t>
      </w:r>
      <w:r w:rsidR="00F32B28" w:rsidRPr="00F32B28">
        <w:rPr>
          <w:rtl/>
        </w:rPr>
        <w:t>عملهم</w:t>
      </w:r>
      <w:r w:rsidR="00F32B28">
        <w:rPr>
          <w:rtl/>
        </w:rPr>
        <w:t xml:space="preserve"> </w:t>
      </w:r>
      <w:r w:rsidR="00F32B28" w:rsidRPr="00F32B28">
        <w:rPr>
          <w:rtl/>
        </w:rPr>
        <w:t>فيها،</w:t>
      </w:r>
      <w:r w:rsidR="00F32B28">
        <w:rPr>
          <w:rtl/>
        </w:rPr>
        <w:t xml:space="preserve"> </w:t>
      </w:r>
      <w:r w:rsidR="00F32B28" w:rsidRPr="00F32B28">
        <w:rPr>
          <w:rtl/>
        </w:rPr>
        <w:t>خاصة</w:t>
      </w:r>
      <w:r w:rsidR="00F32B28">
        <w:rPr>
          <w:rtl/>
        </w:rPr>
        <w:t xml:space="preserve"> </w:t>
      </w:r>
      <w:r w:rsidR="00F32B28" w:rsidRPr="00F32B28">
        <w:rPr>
          <w:rtl/>
        </w:rPr>
        <w:t>في</w:t>
      </w:r>
      <w:r w:rsidR="00F32B28">
        <w:rPr>
          <w:rtl/>
        </w:rPr>
        <w:t xml:space="preserve"> </w:t>
      </w:r>
      <w:r w:rsidR="00F32B28" w:rsidRPr="00F32B28">
        <w:rPr>
          <w:rtl/>
        </w:rPr>
        <w:t>الأراضي</w:t>
      </w:r>
      <w:r w:rsidR="00F32B28">
        <w:rPr>
          <w:rtl/>
        </w:rPr>
        <w:t xml:space="preserve"> </w:t>
      </w:r>
      <w:r w:rsidR="00F32B28" w:rsidRPr="00F32B28">
        <w:rPr>
          <w:rtl/>
        </w:rPr>
        <w:t>المجاورة</w:t>
      </w:r>
      <w:r w:rsidR="00F32B28">
        <w:rPr>
          <w:rtl/>
        </w:rPr>
        <w:t xml:space="preserve"> </w:t>
      </w:r>
      <w:r w:rsidR="00F32B28" w:rsidRPr="00F32B28">
        <w:rPr>
          <w:rtl/>
        </w:rPr>
        <w:t>للجدار،</w:t>
      </w:r>
      <w:r w:rsidR="00F32B28">
        <w:rPr>
          <w:rtl/>
        </w:rPr>
        <w:t xml:space="preserve"> </w:t>
      </w:r>
      <w:r w:rsidR="00F32B28" w:rsidRPr="00F32B28">
        <w:rPr>
          <w:rtl/>
        </w:rPr>
        <w:t>فإنها</w:t>
      </w:r>
      <w:r w:rsidR="00F32B28">
        <w:rPr>
          <w:rtl/>
        </w:rPr>
        <w:t xml:space="preserve"> </w:t>
      </w:r>
      <w:r w:rsidR="00F32B28" w:rsidRPr="00F32B28">
        <w:rPr>
          <w:rtl/>
        </w:rPr>
        <w:t>تفســح</w:t>
      </w:r>
      <w:r w:rsidR="00F32B28">
        <w:rPr>
          <w:rtl/>
        </w:rPr>
        <w:t xml:space="preserve"> </w:t>
      </w:r>
      <w:r w:rsidR="00F32B28" w:rsidRPr="00F32B28">
        <w:rPr>
          <w:rtl/>
        </w:rPr>
        <w:t>في</w:t>
      </w:r>
      <w:r w:rsidR="00F32B28">
        <w:rPr>
          <w:rtl/>
        </w:rPr>
        <w:t xml:space="preserve"> </w:t>
      </w:r>
      <w:r w:rsidR="00F32B28" w:rsidRPr="00F32B28">
        <w:rPr>
          <w:rtl/>
        </w:rPr>
        <w:t>الوقت</w:t>
      </w:r>
      <w:r w:rsidR="00F32B28">
        <w:rPr>
          <w:rtl/>
        </w:rPr>
        <w:t xml:space="preserve"> </w:t>
      </w:r>
      <w:r w:rsidR="00F32B28" w:rsidRPr="00F32B28">
        <w:rPr>
          <w:rtl/>
        </w:rPr>
        <w:t>ذاته</w:t>
      </w:r>
      <w:r w:rsidR="00F32B28">
        <w:rPr>
          <w:rtl/>
        </w:rPr>
        <w:t xml:space="preserve"> </w:t>
      </w:r>
      <w:r w:rsidR="00F32B28" w:rsidRPr="00F32B28">
        <w:rPr>
          <w:rtl/>
        </w:rPr>
        <w:t>المجال</w:t>
      </w:r>
      <w:r w:rsidR="00F32B28">
        <w:rPr>
          <w:rtl/>
        </w:rPr>
        <w:t xml:space="preserve"> </w:t>
      </w:r>
      <w:r w:rsidR="00F32B28" w:rsidRPr="00F32B28">
        <w:rPr>
          <w:rtl/>
        </w:rPr>
        <w:t>الواسع</w:t>
      </w:r>
      <w:r w:rsidR="00F32B28">
        <w:rPr>
          <w:rtl/>
        </w:rPr>
        <w:t xml:space="preserve"> </w:t>
      </w:r>
      <w:r w:rsidR="00F32B28" w:rsidRPr="00F32B28">
        <w:rPr>
          <w:rtl/>
        </w:rPr>
        <w:t>أمــام</w:t>
      </w:r>
      <w:r w:rsidR="00F32B28">
        <w:rPr>
          <w:rtl/>
        </w:rPr>
        <w:t xml:space="preserve"> </w:t>
      </w:r>
      <w:r w:rsidR="00F32B28" w:rsidRPr="00F32B28">
        <w:rPr>
          <w:rtl/>
        </w:rPr>
        <w:t>اعتداءات</w:t>
      </w:r>
      <w:r w:rsidR="00F32B28">
        <w:rPr>
          <w:rtl/>
        </w:rPr>
        <w:t xml:space="preserve"> </w:t>
      </w:r>
      <w:r w:rsidR="00F32B28" w:rsidRPr="00F32B28">
        <w:rPr>
          <w:rtl/>
        </w:rPr>
        <w:t>مليشيات</w:t>
      </w:r>
      <w:r w:rsidR="00F32B28">
        <w:rPr>
          <w:rtl/>
        </w:rPr>
        <w:t xml:space="preserve"> </w:t>
      </w:r>
      <w:r w:rsidR="00F32B28" w:rsidRPr="00F32B28">
        <w:rPr>
          <w:rtl/>
        </w:rPr>
        <w:t>المستوطنين</w:t>
      </w:r>
      <w:r w:rsidR="00F32B28">
        <w:rPr>
          <w:rtl/>
        </w:rPr>
        <w:t xml:space="preserve"> </w:t>
      </w:r>
      <w:r w:rsidR="00F32B28" w:rsidRPr="00F32B28">
        <w:rPr>
          <w:rtl/>
        </w:rPr>
        <w:t>الإرهابية</w:t>
      </w:r>
      <w:r w:rsidR="00F32B28">
        <w:rPr>
          <w:rtl/>
        </w:rPr>
        <w:t xml:space="preserve"> </w:t>
      </w:r>
      <w:r w:rsidR="00F32B28" w:rsidRPr="00F32B28">
        <w:rPr>
          <w:rtl/>
        </w:rPr>
        <w:t>واقتحامهم</w:t>
      </w:r>
      <w:r w:rsidR="00F32B28">
        <w:rPr>
          <w:rtl/>
        </w:rPr>
        <w:t xml:space="preserve"> </w:t>
      </w:r>
      <w:r w:rsidR="00F32B28" w:rsidRPr="00F32B28">
        <w:rPr>
          <w:rtl/>
        </w:rPr>
        <w:t>لتلك</w:t>
      </w:r>
      <w:r w:rsidR="00F32B28">
        <w:rPr>
          <w:rtl/>
        </w:rPr>
        <w:t xml:space="preserve"> </w:t>
      </w:r>
      <w:r w:rsidR="00F32B28" w:rsidRPr="00F32B28">
        <w:rPr>
          <w:rtl/>
        </w:rPr>
        <w:t>الأراضي</w:t>
      </w:r>
      <w:r w:rsidR="00F32B28">
        <w:rPr>
          <w:rtl/>
        </w:rPr>
        <w:t xml:space="preserve"> </w:t>
      </w:r>
      <w:r w:rsidR="00F32B28" w:rsidRPr="00F32B28">
        <w:rPr>
          <w:rtl/>
        </w:rPr>
        <w:t>الزراعية</w:t>
      </w:r>
      <w:r w:rsidR="00F32B28">
        <w:rPr>
          <w:rtl/>
        </w:rPr>
        <w:t xml:space="preserve"> </w:t>
      </w:r>
      <w:r w:rsidR="00F32B28" w:rsidRPr="00F32B28">
        <w:rPr>
          <w:rtl/>
        </w:rPr>
        <w:t>وتخريبها</w:t>
      </w:r>
      <w:r w:rsidR="00F32B28">
        <w:rPr>
          <w:rtl/>
        </w:rPr>
        <w:t xml:space="preserve"> </w:t>
      </w:r>
      <w:r w:rsidR="00F32B28" w:rsidRPr="00F32B28">
        <w:rPr>
          <w:rtl/>
        </w:rPr>
        <w:t>وحرقها</w:t>
      </w:r>
      <w:r w:rsidR="00F32B28">
        <w:rPr>
          <w:rtl/>
        </w:rPr>
        <w:t xml:space="preserve"> </w:t>
      </w:r>
      <w:r w:rsidR="00F32B28" w:rsidRPr="00F32B28">
        <w:rPr>
          <w:rtl/>
        </w:rPr>
        <w:t>واســتهداف</w:t>
      </w:r>
      <w:r w:rsidR="00F32B28">
        <w:rPr>
          <w:rtl/>
        </w:rPr>
        <w:t xml:space="preserve"> </w:t>
      </w:r>
      <w:r w:rsidR="00F32B28" w:rsidRPr="00F32B28">
        <w:rPr>
          <w:rtl/>
        </w:rPr>
        <w:t>الأشجار</w:t>
      </w:r>
      <w:r w:rsidR="00F32B28">
        <w:rPr>
          <w:rtl/>
        </w:rPr>
        <w:t xml:space="preserve"> </w:t>
      </w:r>
      <w:r w:rsidR="00F32B28" w:rsidRPr="00F32B28">
        <w:rPr>
          <w:rtl/>
        </w:rPr>
        <w:t>المثمــرة</w:t>
      </w:r>
      <w:r w:rsidR="00F32B28">
        <w:rPr>
          <w:rtl/>
        </w:rPr>
        <w:t xml:space="preserve"> </w:t>
      </w:r>
      <w:r w:rsidR="00F32B28" w:rsidRPr="00F32B28">
        <w:rPr>
          <w:rtl/>
        </w:rPr>
        <w:t>بالاقتلاع</w:t>
      </w:r>
      <w:r w:rsidR="00F32B28">
        <w:rPr>
          <w:rtl/>
        </w:rPr>
        <w:t xml:space="preserve"> </w:t>
      </w:r>
      <w:r w:rsidR="00F32B28" w:rsidRPr="00F32B28">
        <w:rPr>
          <w:rtl/>
        </w:rPr>
        <w:t>والإتلاف</w:t>
      </w:r>
      <w:r w:rsidR="00F32B28">
        <w:rPr>
          <w:rtl/>
        </w:rPr>
        <w:t xml:space="preserve"> </w:t>
      </w:r>
      <w:r w:rsidR="00F32B28" w:rsidRPr="00F32B28">
        <w:rPr>
          <w:rtl/>
        </w:rPr>
        <w:t>والتسميم</w:t>
      </w:r>
      <w:r w:rsidR="00F32B28">
        <w:rPr>
          <w:rtl/>
        </w:rPr>
        <w:t xml:space="preserve"> </w:t>
      </w:r>
      <w:r w:rsidR="00F32B28" w:rsidRPr="00F32B28">
        <w:rPr>
          <w:rtl/>
        </w:rPr>
        <w:t>والإحراق</w:t>
      </w:r>
      <w:r w:rsidR="00F32B28">
        <w:rPr>
          <w:rtl/>
        </w:rPr>
        <w:t xml:space="preserve"> </w:t>
      </w:r>
      <w:r w:rsidR="00F32B28" w:rsidRPr="00F32B28">
        <w:rPr>
          <w:rtl/>
        </w:rPr>
        <w:t>وبسرقة</w:t>
      </w:r>
      <w:r w:rsidR="00F32B28">
        <w:rPr>
          <w:rtl/>
        </w:rPr>
        <w:t xml:space="preserve"> </w:t>
      </w:r>
      <w:r w:rsidR="00F32B28" w:rsidRPr="00F32B28">
        <w:rPr>
          <w:rtl/>
        </w:rPr>
        <w:t>محاصيلها،</w:t>
      </w:r>
      <w:r w:rsidR="00F32B28">
        <w:rPr>
          <w:rtl/>
        </w:rPr>
        <w:t xml:space="preserve"> </w:t>
      </w:r>
      <w:r w:rsidR="00F32B28" w:rsidRPr="00F32B28">
        <w:rPr>
          <w:rtl/>
        </w:rPr>
        <w:t>وفي</w:t>
      </w:r>
      <w:r w:rsidR="00F32B28">
        <w:rPr>
          <w:rtl/>
        </w:rPr>
        <w:t xml:space="preserve"> </w:t>
      </w:r>
      <w:r w:rsidR="00F32B28" w:rsidRPr="00F32B28">
        <w:rPr>
          <w:rtl/>
        </w:rPr>
        <w:t>مقدمتها</w:t>
      </w:r>
      <w:r w:rsidR="00F32B28">
        <w:rPr>
          <w:rtl/>
        </w:rPr>
        <w:t xml:space="preserve"> </w:t>
      </w:r>
      <w:r w:rsidR="00F32B28" w:rsidRPr="00F32B28">
        <w:rPr>
          <w:rtl/>
        </w:rPr>
        <w:t>أشجار</w:t>
      </w:r>
      <w:r w:rsidR="00F32B28">
        <w:rPr>
          <w:rtl/>
        </w:rPr>
        <w:t xml:space="preserve"> </w:t>
      </w:r>
      <w:r w:rsidR="00F32B28" w:rsidRPr="00F32B28">
        <w:rPr>
          <w:rtl/>
        </w:rPr>
        <w:t>الزيتون.</w:t>
      </w:r>
      <w:r w:rsidR="00F32B28">
        <w:rPr>
          <w:rtl/>
        </w:rPr>
        <w:t xml:space="preserve"> </w:t>
      </w:r>
      <w:r w:rsidR="00F32B28" w:rsidRPr="00F32B28">
        <w:rPr>
          <w:rtl/>
        </w:rPr>
        <w:t>ولا</w:t>
      </w:r>
      <w:r w:rsidR="00F32B28">
        <w:rPr>
          <w:rtl/>
        </w:rPr>
        <w:t xml:space="preserve"> </w:t>
      </w:r>
      <w:r w:rsidR="00F32B28" w:rsidRPr="00F32B28">
        <w:rPr>
          <w:rtl/>
        </w:rPr>
        <w:t>يقتصر</w:t>
      </w:r>
      <w:r w:rsidR="00F32B28">
        <w:rPr>
          <w:rtl/>
        </w:rPr>
        <w:t xml:space="preserve"> </w:t>
      </w:r>
      <w:r w:rsidR="00F32B28" w:rsidRPr="00F32B28">
        <w:rPr>
          <w:rtl/>
        </w:rPr>
        <w:t>ارتكاب</w:t>
      </w:r>
      <w:r w:rsidR="00F32B28">
        <w:rPr>
          <w:rtl/>
        </w:rPr>
        <w:t xml:space="preserve"> </w:t>
      </w:r>
      <w:r w:rsidR="00F32B28" w:rsidRPr="00F32B28">
        <w:rPr>
          <w:rtl/>
        </w:rPr>
        <w:t>هذه</w:t>
      </w:r>
      <w:r w:rsidR="00F32B28">
        <w:rPr>
          <w:rtl/>
        </w:rPr>
        <w:t xml:space="preserve"> </w:t>
      </w:r>
      <w:r w:rsidR="00F32B28" w:rsidRPr="00F32B28">
        <w:rPr>
          <w:rtl/>
        </w:rPr>
        <w:t>الاعتداءات</w:t>
      </w:r>
      <w:r w:rsidR="00F32B28">
        <w:rPr>
          <w:rtl/>
        </w:rPr>
        <w:t xml:space="preserve"> </w:t>
      </w:r>
      <w:r w:rsidR="00F32B28" w:rsidRPr="00F32B28">
        <w:rPr>
          <w:rtl/>
        </w:rPr>
        <w:t>من</w:t>
      </w:r>
      <w:r w:rsidR="00F32B28">
        <w:rPr>
          <w:rtl/>
        </w:rPr>
        <w:t xml:space="preserve"> </w:t>
      </w:r>
      <w:r w:rsidR="00F32B28" w:rsidRPr="00F32B28">
        <w:rPr>
          <w:rtl/>
        </w:rPr>
        <w:t>هؤلاء</w:t>
      </w:r>
      <w:r w:rsidR="00F32B28">
        <w:rPr>
          <w:rtl/>
        </w:rPr>
        <w:t xml:space="preserve"> </w:t>
      </w:r>
      <w:r w:rsidR="00F32B28" w:rsidRPr="00F32B28">
        <w:rPr>
          <w:rtl/>
        </w:rPr>
        <w:t>المستوطنين</w:t>
      </w:r>
      <w:r w:rsidR="00F32B28">
        <w:rPr>
          <w:rtl/>
        </w:rPr>
        <w:t xml:space="preserve"> </w:t>
      </w:r>
      <w:r w:rsidR="00F32B28" w:rsidRPr="00F32B28">
        <w:rPr>
          <w:rtl/>
        </w:rPr>
        <w:t>الإرهابيين</w:t>
      </w:r>
      <w:r w:rsidR="00F32B28">
        <w:rPr>
          <w:rtl/>
        </w:rPr>
        <w:t xml:space="preserve"> </w:t>
      </w:r>
      <w:r w:rsidR="00F32B28" w:rsidRPr="00F32B28">
        <w:rPr>
          <w:rtl/>
        </w:rPr>
        <w:t>فحسب،</w:t>
      </w:r>
      <w:r w:rsidR="00F32B28">
        <w:rPr>
          <w:rtl/>
        </w:rPr>
        <w:t xml:space="preserve"> </w:t>
      </w:r>
      <w:r w:rsidR="00F32B28" w:rsidRPr="00F32B28">
        <w:rPr>
          <w:rtl/>
        </w:rPr>
        <w:t>بل</w:t>
      </w:r>
      <w:r w:rsidR="00F32B28">
        <w:rPr>
          <w:rtl/>
        </w:rPr>
        <w:t xml:space="preserve"> </w:t>
      </w:r>
      <w:r w:rsidR="00F32B28" w:rsidRPr="00F32B28">
        <w:rPr>
          <w:rtl/>
        </w:rPr>
        <w:t>ترتكب</w:t>
      </w:r>
      <w:r w:rsidR="00F32B28">
        <w:rPr>
          <w:rtl/>
        </w:rPr>
        <w:t xml:space="preserve"> </w:t>
      </w:r>
      <w:r w:rsidR="00F32B28" w:rsidRPr="00F32B28">
        <w:rPr>
          <w:rtl/>
        </w:rPr>
        <w:t>أيضاً</w:t>
      </w:r>
      <w:r w:rsidR="00F32B28">
        <w:rPr>
          <w:rtl/>
        </w:rPr>
        <w:t xml:space="preserve"> </w:t>
      </w:r>
      <w:r w:rsidR="00F32B28" w:rsidRPr="00F32B28">
        <w:rPr>
          <w:rtl/>
        </w:rPr>
        <w:t>على</w:t>
      </w:r>
      <w:r w:rsidR="00F32B28">
        <w:rPr>
          <w:rtl/>
        </w:rPr>
        <w:t xml:space="preserve"> </w:t>
      </w:r>
      <w:r w:rsidR="00F32B28" w:rsidRPr="00F32B28">
        <w:rPr>
          <w:rtl/>
        </w:rPr>
        <w:t>يد</w:t>
      </w:r>
      <w:r w:rsidR="00F32B28">
        <w:rPr>
          <w:rtl/>
        </w:rPr>
        <w:t xml:space="preserve"> </w:t>
      </w:r>
      <w:r w:rsidR="00F32B28" w:rsidRPr="00F32B28">
        <w:rPr>
          <w:rtl/>
        </w:rPr>
        <w:t>قوات</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p>
    <w:p w:rsidR="00F32B28" w:rsidRPr="00F32B28" w:rsidRDefault="00891A4B" w:rsidP="00891A4B">
      <w:pPr>
        <w:pStyle w:val="SingleTxt"/>
        <w:rPr>
          <w:rtl/>
        </w:rPr>
      </w:pPr>
      <w:r>
        <w:rPr>
          <w:rFonts w:hint="cs"/>
          <w:rtl/>
        </w:rPr>
        <w:t xml:space="preserve">307 - </w:t>
      </w:r>
      <w:r w:rsidR="00F32B28" w:rsidRPr="00F32B28">
        <w:rPr>
          <w:rtl/>
        </w:rPr>
        <w:t>وتشير</w:t>
      </w:r>
      <w:r w:rsidR="00F32B28">
        <w:rPr>
          <w:rtl/>
        </w:rPr>
        <w:t xml:space="preserve"> </w:t>
      </w:r>
      <w:r w:rsidR="00F32B28" w:rsidRPr="00F32B28">
        <w:rPr>
          <w:rtl/>
        </w:rPr>
        <w:t>الإحصاءات</w:t>
      </w:r>
      <w:r w:rsidR="00F32B28">
        <w:rPr>
          <w:rtl/>
        </w:rPr>
        <w:t xml:space="preserve"> </w:t>
      </w:r>
      <w:r w:rsidR="00F32B28" w:rsidRPr="00F32B28">
        <w:rPr>
          <w:rtl/>
        </w:rPr>
        <w:t>أن</w:t>
      </w:r>
      <w:r w:rsidR="00F32B28">
        <w:rPr>
          <w:rtl/>
        </w:rPr>
        <w:t xml:space="preserve"> </w:t>
      </w:r>
      <w:r w:rsidR="00F32B28" w:rsidRPr="00F32B28">
        <w:rPr>
          <w:rtl/>
        </w:rPr>
        <w:t>هنالك</w:t>
      </w:r>
      <w:r w:rsidR="00F32B28">
        <w:rPr>
          <w:rtl/>
        </w:rPr>
        <w:t xml:space="preserve"> </w:t>
      </w:r>
      <w:r w:rsidR="00F32B28" w:rsidRPr="00F32B28">
        <w:rPr>
          <w:rtl/>
        </w:rPr>
        <w:t>حوالي</w:t>
      </w:r>
      <w:r w:rsidR="00F32B28">
        <w:rPr>
          <w:rtl/>
        </w:rPr>
        <w:t xml:space="preserve"> </w:t>
      </w:r>
      <w:r>
        <w:rPr>
          <w:rFonts w:hint="cs"/>
          <w:rtl/>
        </w:rPr>
        <w:t>850</w:t>
      </w:r>
      <w:r w:rsidR="00F32B28">
        <w:rPr>
          <w:rtl/>
        </w:rPr>
        <w:t xml:space="preserve"> </w:t>
      </w:r>
      <w:r w:rsidR="00F32B28" w:rsidRPr="00F32B28">
        <w:rPr>
          <w:rtl/>
        </w:rPr>
        <w:t>ألف</w:t>
      </w:r>
      <w:r w:rsidR="00F32B28">
        <w:rPr>
          <w:rtl/>
        </w:rPr>
        <w:t xml:space="preserve"> </w:t>
      </w:r>
      <w:r w:rsidR="00F32B28" w:rsidRPr="00F32B28">
        <w:rPr>
          <w:rtl/>
        </w:rPr>
        <w:t>شجرة</w:t>
      </w:r>
      <w:r w:rsidR="00F32B28">
        <w:rPr>
          <w:rtl/>
        </w:rPr>
        <w:t xml:space="preserve"> </w:t>
      </w:r>
      <w:r w:rsidR="00F32B28" w:rsidRPr="00F32B28">
        <w:rPr>
          <w:rtl/>
        </w:rPr>
        <w:t>زيتون</w:t>
      </w:r>
      <w:r w:rsidR="00F32B28">
        <w:rPr>
          <w:rtl/>
        </w:rPr>
        <w:t xml:space="preserve"> </w:t>
      </w:r>
      <w:r w:rsidR="00F32B28" w:rsidRPr="00F32B28">
        <w:rPr>
          <w:rtl/>
        </w:rPr>
        <w:t>تم</w:t>
      </w:r>
      <w:r w:rsidR="00F32B28">
        <w:rPr>
          <w:rtl/>
        </w:rPr>
        <w:t xml:space="preserve"> </w:t>
      </w:r>
      <w:r w:rsidR="00F32B28" w:rsidRPr="00F32B28">
        <w:rPr>
          <w:rtl/>
        </w:rPr>
        <w:t>إتلافها</w:t>
      </w:r>
      <w:r w:rsidR="00F32B28">
        <w:rPr>
          <w:rtl/>
        </w:rPr>
        <w:t xml:space="preserve"> </w:t>
      </w:r>
      <w:r w:rsidR="00F32B28" w:rsidRPr="00F32B28">
        <w:rPr>
          <w:rtl/>
        </w:rPr>
        <w:t>على</w:t>
      </w:r>
      <w:r w:rsidR="00F32B28">
        <w:rPr>
          <w:rtl/>
        </w:rPr>
        <w:t xml:space="preserve"> </w:t>
      </w:r>
      <w:r w:rsidR="00F32B28" w:rsidRPr="00F32B28">
        <w:rPr>
          <w:rtl/>
        </w:rPr>
        <w:t>يد</w:t>
      </w:r>
      <w:r w:rsidR="00F32B28">
        <w:rPr>
          <w:rtl/>
        </w:rPr>
        <w:t xml:space="preserve"> </w:t>
      </w:r>
      <w:r w:rsidR="00F32B28" w:rsidRPr="00F32B28">
        <w:rPr>
          <w:rtl/>
        </w:rPr>
        <w:t>قوات</w:t>
      </w:r>
      <w:r w:rsidR="00F32B28">
        <w:rPr>
          <w:rtl/>
        </w:rPr>
        <w:t xml:space="preserve"> </w:t>
      </w:r>
      <w:r w:rsidR="00F32B28" w:rsidRPr="00F32B28">
        <w:rPr>
          <w:rtl/>
        </w:rPr>
        <w:t>الاحتلال</w:t>
      </w:r>
      <w:r w:rsidR="00F32B28">
        <w:rPr>
          <w:rtl/>
        </w:rPr>
        <w:t xml:space="preserve"> </w:t>
      </w:r>
      <w:r w:rsidR="00F32B28" w:rsidRPr="00F32B28">
        <w:rPr>
          <w:rtl/>
        </w:rPr>
        <w:t>و</w:t>
      </w:r>
      <w:r w:rsidR="00F32B28" w:rsidRPr="00F32B28">
        <w:rPr>
          <w:rtl/>
          <w:lang w:bidi="ar-LB"/>
        </w:rPr>
        <w:t>مليشيات</w:t>
      </w:r>
      <w:r w:rsidR="00F32B28">
        <w:rPr>
          <w:rtl/>
          <w:lang w:bidi="ar-LB"/>
        </w:rPr>
        <w:t xml:space="preserve"> </w:t>
      </w:r>
      <w:r w:rsidR="00F32B28" w:rsidRPr="00F32B28">
        <w:rPr>
          <w:rtl/>
          <w:lang w:bidi="ar-LB"/>
        </w:rPr>
        <w:t>المستوطنين</w:t>
      </w:r>
      <w:r w:rsidR="00F32B28">
        <w:rPr>
          <w:rtl/>
          <w:lang w:bidi="ar-LB"/>
        </w:rPr>
        <w:t xml:space="preserve"> </w:t>
      </w:r>
      <w:r w:rsidR="00F32B28" w:rsidRPr="00F32B28">
        <w:rPr>
          <w:rtl/>
          <w:lang w:bidi="ar-LB"/>
        </w:rPr>
        <w:t>الإرهابية</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منذ</w:t>
      </w:r>
      <w:r w:rsidR="00F32B28">
        <w:rPr>
          <w:rtl/>
        </w:rPr>
        <w:t xml:space="preserve"> </w:t>
      </w:r>
      <w:r w:rsidR="00F32B28" w:rsidRPr="00F32B28">
        <w:rPr>
          <w:rtl/>
        </w:rPr>
        <w:t>عام</w:t>
      </w:r>
      <w:r w:rsidR="00F32B28">
        <w:rPr>
          <w:rtl/>
        </w:rPr>
        <w:t xml:space="preserve"> </w:t>
      </w:r>
      <w:r w:rsidR="00F32B28" w:rsidRPr="00F32B28">
        <w:rPr>
          <w:rtl/>
        </w:rPr>
        <w:t>1967</w:t>
      </w:r>
      <w:r w:rsidR="00F32B28">
        <w:rPr>
          <w:rtl/>
        </w:rPr>
        <w:t xml:space="preserve"> </w:t>
      </w:r>
      <w:r w:rsidR="00F32B28" w:rsidRPr="00F32B28">
        <w:rPr>
          <w:rtl/>
        </w:rPr>
        <w:t>وحتى</w:t>
      </w:r>
      <w:r w:rsidR="00F32B28">
        <w:rPr>
          <w:rtl/>
        </w:rPr>
        <w:t xml:space="preserve"> </w:t>
      </w:r>
      <w:r w:rsidR="00F32B28" w:rsidRPr="00F32B28">
        <w:rPr>
          <w:rtl/>
        </w:rPr>
        <w:t>عام</w:t>
      </w:r>
      <w:r w:rsidR="00F32B28">
        <w:rPr>
          <w:rtl/>
        </w:rPr>
        <w:t xml:space="preserve"> </w:t>
      </w:r>
      <w:r w:rsidR="004C698D">
        <w:rPr>
          <w:rFonts w:hint="cs"/>
          <w:rtl/>
        </w:rPr>
        <w:t>2014</w:t>
      </w:r>
      <w:r w:rsidR="00F32B28" w:rsidRPr="00F32B28">
        <w:rPr>
          <w:rtl/>
          <w:lang w:bidi="ar-SY"/>
        </w:rPr>
        <w:t>،</w:t>
      </w:r>
      <w:r w:rsidR="00F32B28">
        <w:rPr>
          <w:rtl/>
        </w:rPr>
        <w:t xml:space="preserve"> </w:t>
      </w:r>
      <w:r w:rsidR="00F32B28" w:rsidRPr="00F32B28">
        <w:rPr>
          <w:rtl/>
        </w:rPr>
        <w:t>حيث</w:t>
      </w:r>
      <w:r w:rsidR="00F32B28">
        <w:rPr>
          <w:rtl/>
        </w:rPr>
        <w:t xml:space="preserve"> </w:t>
      </w:r>
      <w:r w:rsidR="00F32B28" w:rsidRPr="00F32B28">
        <w:rPr>
          <w:rtl/>
        </w:rPr>
        <w:t>اقتلع</w:t>
      </w:r>
      <w:r w:rsidR="00F32B28">
        <w:rPr>
          <w:rtl/>
        </w:rPr>
        <w:t xml:space="preserve"> </w:t>
      </w:r>
      <w:r w:rsidR="00F32B28" w:rsidRPr="00F32B28">
        <w:rPr>
          <w:rtl/>
        </w:rPr>
        <w:t>هؤلاء</w:t>
      </w:r>
      <w:r w:rsidR="00F32B28">
        <w:rPr>
          <w:rtl/>
        </w:rPr>
        <w:t xml:space="preserve"> </w:t>
      </w:r>
      <w:r w:rsidR="00F32B28" w:rsidRPr="00F32B28">
        <w:rPr>
          <w:rtl/>
        </w:rPr>
        <w:t>11</w:t>
      </w:r>
      <w:r w:rsidR="00F32B28">
        <w:rPr>
          <w:rtl/>
        </w:rPr>
        <w:t xml:space="preserve"> </w:t>
      </w:r>
      <w:r w:rsidR="00F32B28" w:rsidRPr="00F32B28">
        <w:rPr>
          <w:rtl/>
        </w:rPr>
        <w:t>ألف</w:t>
      </w:r>
      <w:r w:rsidR="00F32B28">
        <w:rPr>
          <w:rtl/>
        </w:rPr>
        <w:t xml:space="preserve"> </w:t>
      </w:r>
      <w:r w:rsidR="00F32B28" w:rsidRPr="00F32B28">
        <w:rPr>
          <w:rtl/>
        </w:rPr>
        <w:t>شــجرة</w:t>
      </w:r>
      <w:r w:rsidR="00F32B28">
        <w:rPr>
          <w:rtl/>
        </w:rPr>
        <w:t xml:space="preserve"> </w:t>
      </w:r>
      <w:r w:rsidR="00F32B28" w:rsidRPr="00F32B28">
        <w:rPr>
          <w:rtl/>
        </w:rPr>
        <w:t>في</w:t>
      </w:r>
      <w:r w:rsidR="00F32B28">
        <w:rPr>
          <w:rtl/>
        </w:rPr>
        <w:t xml:space="preserve"> </w:t>
      </w:r>
      <w:r w:rsidR="00F32B28" w:rsidRPr="00F32B28">
        <w:rPr>
          <w:rtl/>
        </w:rPr>
        <w:t>عام</w:t>
      </w:r>
      <w:r w:rsidR="00F32B28">
        <w:rPr>
          <w:rtl/>
        </w:rPr>
        <w:t xml:space="preserve"> </w:t>
      </w:r>
      <w:r w:rsidR="00F32B28" w:rsidRPr="00F32B28">
        <w:rPr>
          <w:rtl/>
        </w:rPr>
        <w:t>2014</w:t>
      </w:r>
      <w:r w:rsidR="00F32B28">
        <w:rPr>
          <w:rtl/>
        </w:rPr>
        <w:t xml:space="preserve"> </w:t>
      </w:r>
      <w:r w:rsidR="00F32B28" w:rsidRPr="00F32B28">
        <w:rPr>
          <w:rtl/>
        </w:rPr>
        <w:t>لوحده،</w:t>
      </w:r>
      <w:r w:rsidR="00F32B28">
        <w:rPr>
          <w:rtl/>
        </w:rPr>
        <w:t xml:space="preserve"> </w:t>
      </w:r>
      <w:r w:rsidR="00F32B28" w:rsidRPr="00F32B28">
        <w:rPr>
          <w:rtl/>
        </w:rPr>
        <w:t>بحسب</w:t>
      </w:r>
      <w:r w:rsidR="00F32B28">
        <w:rPr>
          <w:rtl/>
        </w:rPr>
        <w:t xml:space="preserve"> </w:t>
      </w:r>
      <w:r w:rsidR="00F32B28" w:rsidRPr="00F32B28">
        <w:rPr>
          <w:rtl/>
        </w:rPr>
        <w:t>ما</w:t>
      </w:r>
      <w:r w:rsidR="00F32B28">
        <w:rPr>
          <w:rtl/>
        </w:rPr>
        <w:t xml:space="preserve"> </w:t>
      </w:r>
      <w:r w:rsidR="00F32B28" w:rsidRPr="00F32B28">
        <w:rPr>
          <w:rtl/>
        </w:rPr>
        <w:t>أشارت</w:t>
      </w:r>
      <w:r w:rsidR="00F32B28">
        <w:rPr>
          <w:rtl/>
        </w:rPr>
        <w:t xml:space="preserve"> </w:t>
      </w:r>
      <w:r w:rsidR="00F32B28" w:rsidRPr="00F32B28">
        <w:rPr>
          <w:rtl/>
        </w:rPr>
        <w:t>إليه</w:t>
      </w:r>
      <w:r w:rsidR="00F32B28">
        <w:rPr>
          <w:rtl/>
        </w:rPr>
        <w:t xml:space="preserve"> </w:t>
      </w:r>
      <w:r w:rsidR="00F32B28" w:rsidRPr="00F32B28">
        <w:rPr>
          <w:rtl/>
        </w:rPr>
        <w:t>دائــرة</w:t>
      </w:r>
      <w:r w:rsidR="00F32B28">
        <w:rPr>
          <w:rtl/>
        </w:rPr>
        <w:t xml:space="preserve"> </w:t>
      </w:r>
      <w:r w:rsidR="00F32B28" w:rsidRPr="00F32B28">
        <w:rPr>
          <w:rtl/>
        </w:rPr>
        <w:t>توثيق</w:t>
      </w:r>
      <w:r w:rsidR="00F32B28">
        <w:rPr>
          <w:rtl/>
        </w:rPr>
        <w:t xml:space="preserve"> </w:t>
      </w:r>
      <w:r w:rsidR="00F32B28" w:rsidRPr="00F32B28">
        <w:rPr>
          <w:rtl/>
        </w:rPr>
        <w:t>الأضرار</w:t>
      </w:r>
      <w:r w:rsidR="00F32B28">
        <w:rPr>
          <w:rtl/>
        </w:rPr>
        <w:t xml:space="preserve"> </w:t>
      </w:r>
      <w:r w:rsidR="00F32B28" w:rsidRPr="00F32B28">
        <w:rPr>
          <w:rtl/>
        </w:rPr>
        <w:t>فــي</w:t>
      </w:r>
      <w:r w:rsidR="00F32B28">
        <w:rPr>
          <w:rtl/>
        </w:rPr>
        <w:t xml:space="preserve"> </w:t>
      </w:r>
      <w:r w:rsidR="00F32B28" w:rsidRPr="00F32B28">
        <w:rPr>
          <w:rtl/>
        </w:rPr>
        <w:t>وزارة</w:t>
      </w:r>
      <w:r w:rsidR="00F32B28">
        <w:rPr>
          <w:rtl/>
        </w:rPr>
        <w:t xml:space="preserve"> </w:t>
      </w:r>
      <w:r w:rsidR="00F32B28" w:rsidRPr="00F32B28">
        <w:rPr>
          <w:rtl/>
        </w:rPr>
        <w:t>الزراعة</w:t>
      </w:r>
      <w:r w:rsidR="00F32B28">
        <w:rPr>
          <w:rtl/>
        </w:rPr>
        <w:t xml:space="preserve"> </w:t>
      </w:r>
      <w:r w:rsidR="00F32B28" w:rsidRPr="00F32B28">
        <w:rPr>
          <w:rtl/>
        </w:rPr>
        <w:t>الفلسطينية.</w:t>
      </w:r>
      <w:r w:rsidR="00F32B28">
        <w:rPr>
          <w:rtl/>
        </w:rPr>
        <w:t xml:space="preserve"> </w:t>
      </w:r>
      <w:r w:rsidR="00F32B28" w:rsidRPr="00F32B28">
        <w:rPr>
          <w:rtl/>
          <w:lang w:bidi="ar-SY"/>
        </w:rPr>
        <w:t>ونتيجة</w:t>
      </w:r>
      <w:r w:rsidR="00F32B28">
        <w:rPr>
          <w:rtl/>
          <w:lang w:bidi="ar-SY"/>
        </w:rPr>
        <w:t xml:space="preserve"> </w:t>
      </w:r>
      <w:r w:rsidR="00F32B28" w:rsidRPr="00F32B28">
        <w:rPr>
          <w:rtl/>
          <w:lang w:bidi="ar-SY"/>
        </w:rPr>
        <w:t>لذلك،</w:t>
      </w:r>
      <w:r w:rsidR="00F32B28">
        <w:rPr>
          <w:rtl/>
          <w:lang w:bidi="ar-SY"/>
        </w:rPr>
        <w:t xml:space="preserve"> </w:t>
      </w:r>
      <w:r w:rsidR="00F32B28" w:rsidRPr="00F32B28">
        <w:rPr>
          <w:rtl/>
        </w:rPr>
        <w:t>انخفض</w:t>
      </w:r>
      <w:r w:rsidR="00F32B28">
        <w:rPr>
          <w:rtl/>
        </w:rPr>
        <w:t xml:space="preserve"> </w:t>
      </w:r>
      <w:r w:rsidR="00F32B28" w:rsidRPr="00F32B28">
        <w:rPr>
          <w:rtl/>
        </w:rPr>
        <w:t>إنتاج</w:t>
      </w:r>
      <w:r w:rsidR="00F32B28">
        <w:rPr>
          <w:rtl/>
        </w:rPr>
        <w:t xml:space="preserve"> </w:t>
      </w:r>
      <w:r w:rsidR="00F32B28" w:rsidRPr="00F32B28">
        <w:rPr>
          <w:rtl/>
        </w:rPr>
        <w:t>الزيتون</w:t>
      </w:r>
      <w:r w:rsidR="00F32B28">
        <w:rPr>
          <w:rtl/>
        </w:rPr>
        <w:t xml:space="preserve"> </w:t>
      </w:r>
      <w:r w:rsidR="00F32B28" w:rsidRPr="00F32B28">
        <w:rPr>
          <w:rtl/>
        </w:rPr>
        <w:t>بمعدل</w:t>
      </w:r>
      <w:r w:rsidR="00F32B28">
        <w:rPr>
          <w:rtl/>
        </w:rPr>
        <w:t xml:space="preserve"> </w:t>
      </w:r>
      <w:r w:rsidR="00F32B28" w:rsidRPr="00F32B28">
        <w:rPr>
          <w:rtl/>
        </w:rPr>
        <w:t>(</w:t>
      </w:r>
      <w:r w:rsidR="004C698D">
        <w:rPr>
          <w:rFonts w:hint="cs"/>
          <w:rtl/>
        </w:rPr>
        <w:t>200 2</w:t>
      </w:r>
      <w:r w:rsidR="00F32B28" w:rsidRPr="00F32B28">
        <w:rPr>
          <w:rtl/>
        </w:rPr>
        <w:t>)</w:t>
      </w:r>
      <w:r w:rsidR="00F32B28">
        <w:rPr>
          <w:rtl/>
        </w:rPr>
        <w:t xml:space="preserve"> </w:t>
      </w:r>
      <w:r w:rsidR="00F32B28" w:rsidRPr="00F32B28">
        <w:rPr>
          <w:rtl/>
        </w:rPr>
        <w:t>طن</w:t>
      </w:r>
      <w:r w:rsidR="00F32B28">
        <w:rPr>
          <w:rtl/>
        </w:rPr>
        <w:t xml:space="preserve"> </w:t>
      </w:r>
      <w:r w:rsidR="00F32B28" w:rsidRPr="00F32B28">
        <w:rPr>
          <w:rtl/>
        </w:rPr>
        <w:t>سنوياً</w:t>
      </w:r>
      <w:r w:rsidR="00F32B28">
        <w:rPr>
          <w:rtl/>
        </w:rPr>
        <w:t xml:space="preserve"> </w:t>
      </w:r>
      <w:r w:rsidR="00F32B28" w:rsidRPr="00F32B28">
        <w:rPr>
          <w:rtl/>
        </w:rPr>
        <w:t>من</w:t>
      </w:r>
      <w:r w:rsidR="00F32B28">
        <w:rPr>
          <w:rtl/>
        </w:rPr>
        <w:t xml:space="preserve"> </w:t>
      </w:r>
      <w:r w:rsidR="00F32B28" w:rsidRPr="00F32B28">
        <w:rPr>
          <w:rtl/>
        </w:rPr>
        <w:t>الزيت،</w:t>
      </w:r>
      <w:r w:rsidR="00F32B28">
        <w:rPr>
          <w:rtl/>
        </w:rPr>
        <w:t xml:space="preserve"> </w:t>
      </w:r>
      <w:r w:rsidR="00F32B28" w:rsidRPr="00F32B28">
        <w:rPr>
          <w:rtl/>
        </w:rPr>
        <w:t>وهنالك</w:t>
      </w:r>
      <w:r w:rsidR="00F32B28">
        <w:rPr>
          <w:rtl/>
        </w:rPr>
        <w:t xml:space="preserve"> </w:t>
      </w:r>
      <w:r w:rsidR="00F32B28" w:rsidRPr="00F32B28">
        <w:rPr>
          <w:rtl/>
        </w:rPr>
        <w:t>قرابة</w:t>
      </w:r>
      <w:r w:rsidR="00F32B28">
        <w:rPr>
          <w:rtl/>
        </w:rPr>
        <w:t xml:space="preserve"> </w:t>
      </w:r>
      <w:r w:rsidR="00F32B28" w:rsidRPr="00F32B28">
        <w:rPr>
          <w:rtl/>
        </w:rPr>
        <w:t>(9)</w:t>
      </w:r>
      <w:r w:rsidR="00F32B28">
        <w:rPr>
          <w:rtl/>
        </w:rPr>
        <w:t xml:space="preserve"> </w:t>
      </w:r>
      <w:r w:rsidR="00F32B28" w:rsidRPr="00F32B28">
        <w:rPr>
          <w:rtl/>
        </w:rPr>
        <w:t>ملايين</w:t>
      </w:r>
      <w:r w:rsidR="00F32B28">
        <w:rPr>
          <w:rtl/>
        </w:rPr>
        <w:t xml:space="preserve"> </w:t>
      </w:r>
      <w:r w:rsidR="00F32B28" w:rsidRPr="00F32B28">
        <w:rPr>
          <w:rtl/>
        </w:rPr>
        <w:t>شــجرة</w:t>
      </w:r>
      <w:r w:rsidR="00F32B28">
        <w:rPr>
          <w:rtl/>
        </w:rPr>
        <w:t xml:space="preserve"> </w:t>
      </w:r>
      <w:r w:rsidR="00F32B28" w:rsidRPr="00F32B28">
        <w:rPr>
          <w:rtl/>
        </w:rPr>
        <w:t>زيتون</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هي</w:t>
      </w:r>
      <w:r w:rsidR="00F32B28">
        <w:rPr>
          <w:rtl/>
        </w:rPr>
        <w:t xml:space="preserve"> </w:t>
      </w:r>
      <w:r w:rsidR="00F32B28" w:rsidRPr="00F32B28">
        <w:rPr>
          <w:rtl/>
        </w:rPr>
        <w:t>عرضة</w:t>
      </w:r>
      <w:r w:rsidR="00F32B28">
        <w:rPr>
          <w:rtl/>
        </w:rPr>
        <w:t xml:space="preserve"> </w:t>
      </w:r>
      <w:r w:rsidR="00F32B28" w:rsidRPr="00F32B28">
        <w:rPr>
          <w:rtl/>
        </w:rPr>
        <w:t>لهذه</w:t>
      </w:r>
      <w:r w:rsidR="00F32B28">
        <w:rPr>
          <w:rtl/>
        </w:rPr>
        <w:t xml:space="preserve"> </w:t>
      </w:r>
      <w:r w:rsidR="00F32B28" w:rsidRPr="00F32B28">
        <w:rPr>
          <w:rtl/>
        </w:rPr>
        <w:t>الجرائم.</w:t>
      </w:r>
      <w:r w:rsidR="00F32B28">
        <w:rPr>
          <w:rtl/>
        </w:rPr>
        <w:t xml:space="preserve"> </w:t>
      </w:r>
      <w:r w:rsidR="00F32B28" w:rsidRPr="00F32B28">
        <w:rPr>
          <w:rtl/>
        </w:rPr>
        <w:t>وبالإضافة</w:t>
      </w:r>
      <w:r w:rsidR="00F32B28">
        <w:rPr>
          <w:rtl/>
        </w:rPr>
        <w:t xml:space="preserve"> </w:t>
      </w:r>
      <w:r w:rsidR="00F32B28" w:rsidRPr="00F32B28">
        <w:rPr>
          <w:rtl/>
        </w:rPr>
        <w:t>إلى</w:t>
      </w:r>
      <w:r w:rsidR="00F32B28">
        <w:rPr>
          <w:rtl/>
        </w:rPr>
        <w:t xml:space="preserve"> </w:t>
      </w:r>
      <w:r w:rsidR="00F32B28" w:rsidRPr="00F32B28">
        <w:rPr>
          <w:rtl/>
        </w:rPr>
        <w:t>ما</w:t>
      </w:r>
      <w:r w:rsidR="00F32B28">
        <w:rPr>
          <w:rtl/>
        </w:rPr>
        <w:t xml:space="preserve"> </w:t>
      </w:r>
      <w:r w:rsidR="00F32B28" w:rsidRPr="00F32B28">
        <w:rPr>
          <w:rtl/>
        </w:rPr>
        <w:t>يمثله</w:t>
      </w:r>
      <w:r w:rsidR="00F32B28">
        <w:rPr>
          <w:rtl/>
        </w:rPr>
        <w:t xml:space="preserve"> </w:t>
      </w:r>
      <w:r w:rsidR="00F32B28" w:rsidRPr="00F32B28">
        <w:rPr>
          <w:rtl/>
        </w:rPr>
        <w:t>شجر</w:t>
      </w:r>
      <w:r w:rsidR="00F32B28">
        <w:rPr>
          <w:rtl/>
        </w:rPr>
        <w:t xml:space="preserve"> </w:t>
      </w:r>
      <w:r w:rsidR="00F32B28" w:rsidRPr="00F32B28">
        <w:rPr>
          <w:rtl/>
        </w:rPr>
        <w:t>الزيتون</w:t>
      </w:r>
      <w:r w:rsidR="00F32B28">
        <w:rPr>
          <w:rtl/>
        </w:rPr>
        <w:t xml:space="preserve"> </w:t>
      </w:r>
      <w:r w:rsidR="00F32B28" w:rsidRPr="00F32B28">
        <w:rPr>
          <w:rtl/>
        </w:rPr>
        <w:t>من</w:t>
      </w:r>
      <w:r w:rsidR="00F32B28">
        <w:rPr>
          <w:rtl/>
        </w:rPr>
        <w:t xml:space="preserve"> </w:t>
      </w:r>
      <w:r w:rsidR="00F32B28" w:rsidRPr="00F32B28">
        <w:rPr>
          <w:rtl/>
        </w:rPr>
        <w:t>رمزية</w:t>
      </w:r>
      <w:r w:rsidR="00F32B28">
        <w:rPr>
          <w:rtl/>
        </w:rPr>
        <w:t xml:space="preserve"> </w:t>
      </w:r>
      <w:r w:rsidR="00F32B28" w:rsidRPr="00F32B28">
        <w:rPr>
          <w:rtl/>
        </w:rPr>
        <w:t>وطنية</w:t>
      </w:r>
      <w:r w:rsidR="00F32B28">
        <w:rPr>
          <w:rtl/>
        </w:rPr>
        <w:t xml:space="preserve"> </w:t>
      </w:r>
      <w:r w:rsidR="00F32B28" w:rsidRPr="00F32B28">
        <w:rPr>
          <w:rtl/>
        </w:rPr>
        <w:t>للفلسطينيين</w:t>
      </w:r>
      <w:r w:rsidR="00F32B28">
        <w:rPr>
          <w:rtl/>
        </w:rPr>
        <w:t xml:space="preserve"> </w:t>
      </w:r>
      <w:r w:rsidR="00F32B28" w:rsidRPr="00F32B28">
        <w:rPr>
          <w:rtl/>
        </w:rPr>
        <w:t>للصمود</w:t>
      </w:r>
      <w:r w:rsidR="00F32B28">
        <w:rPr>
          <w:rtl/>
        </w:rPr>
        <w:t xml:space="preserve"> </w:t>
      </w:r>
      <w:r w:rsidR="00F32B28" w:rsidRPr="00F32B28">
        <w:rPr>
          <w:rtl/>
        </w:rPr>
        <w:t>والتحدي،</w:t>
      </w:r>
      <w:r w:rsidR="00F32B28">
        <w:rPr>
          <w:rtl/>
        </w:rPr>
        <w:t xml:space="preserve"> </w:t>
      </w:r>
      <w:r w:rsidR="00F32B28" w:rsidRPr="00F32B28">
        <w:rPr>
          <w:rtl/>
        </w:rPr>
        <w:t>يعتبر</w:t>
      </w:r>
      <w:r w:rsidR="00F32B28">
        <w:rPr>
          <w:rtl/>
        </w:rPr>
        <w:t xml:space="preserve"> </w:t>
      </w:r>
      <w:r w:rsidR="00F32B28" w:rsidRPr="00F32B28">
        <w:rPr>
          <w:rtl/>
        </w:rPr>
        <w:t>كذلك</w:t>
      </w:r>
      <w:r w:rsidR="00F32B28">
        <w:rPr>
          <w:rtl/>
        </w:rPr>
        <w:t xml:space="preserve"> </w:t>
      </w:r>
      <w:r w:rsidR="00F32B28" w:rsidRPr="00F32B28">
        <w:rPr>
          <w:rtl/>
        </w:rPr>
        <w:t>من</w:t>
      </w:r>
      <w:r w:rsidR="00F32B28">
        <w:rPr>
          <w:rtl/>
        </w:rPr>
        <w:t xml:space="preserve"> </w:t>
      </w:r>
      <w:r w:rsidR="00F32B28" w:rsidRPr="00F32B28">
        <w:rPr>
          <w:rtl/>
        </w:rPr>
        <w:t>المحاصيل</w:t>
      </w:r>
      <w:r w:rsidR="00F32B28">
        <w:rPr>
          <w:rtl/>
        </w:rPr>
        <w:t xml:space="preserve"> </w:t>
      </w:r>
      <w:r w:rsidR="00F32B28" w:rsidRPr="00F32B28">
        <w:rPr>
          <w:rtl/>
        </w:rPr>
        <w:t>الاستراتيجية</w:t>
      </w:r>
      <w:r w:rsidR="00F32B28">
        <w:rPr>
          <w:rtl/>
        </w:rPr>
        <w:t xml:space="preserve"> </w:t>
      </w:r>
      <w:r w:rsidR="00F32B28" w:rsidRPr="00F32B28">
        <w:rPr>
          <w:rtl/>
        </w:rPr>
        <w:t>على</w:t>
      </w:r>
      <w:r w:rsidR="00F32B28">
        <w:rPr>
          <w:rtl/>
        </w:rPr>
        <w:t xml:space="preserve"> </w:t>
      </w:r>
      <w:r w:rsidR="00F32B28" w:rsidRPr="00F32B28">
        <w:rPr>
          <w:rtl/>
        </w:rPr>
        <w:lastRenderedPageBreak/>
        <w:t>المستوى</w:t>
      </w:r>
      <w:r w:rsidR="00F32B28">
        <w:rPr>
          <w:rtl/>
        </w:rPr>
        <w:t xml:space="preserve"> </w:t>
      </w:r>
      <w:r w:rsidR="00F32B28" w:rsidRPr="00F32B28">
        <w:rPr>
          <w:rtl/>
        </w:rPr>
        <w:t>الاقتصــادي</w:t>
      </w:r>
      <w:r w:rsidR="00F32B28">
        <w:rPr>
          <w:rtl/>
        </w:rPr>
        <w:t xml:space="preserve"> </w:t>
      </w:r>
      <w:r w:rsidR="00F32B28" w:rsidRPr="00F32B28">
        <w:rPr>
          <w:rtl/>
        </w:rPr>
        <w:t>والغذائــي</w:t>
      </w:r>
      <w:r w:rsidR="00F32B28">
        <w:rPr>
          <w:rtl/>
        </w:rPr>
        <w:t xml:space="preserve"> </w:t>
      </w:r>
      <w:r w:rsidR="00F32B28" w:rsidRPr="00F32B28">
        <w:rPr>
          <w:rtl/>
        </w:rPr>
        <w:t>والدوائي</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فهنالك</w:t>
      </w:r>
      <w:r w:rsidR="00F32B28">
        <w:rPr>
          <w:rtl/>
        </w:rPr>
        <w:t xml:space="preserve"> </w:t>
      </w:r>
      <w:r w:rsidR="00F32B28" w:rsidRPr="00F32B28">
        <w:rPr>
          <w:rtl/>
        </w:rPr>
        <w:t>حوالي</w:t>
      </w:r>
      <w:r w:rsidR="00F32B28">
        <w:rPr>
          <w:rtl/>
        </w:rPr>
        <w:t xml:space="preserve"> </w:t>
      </w:r>
      <w:r w:rsidR="00F32B28" w:rsidRPr="00F32B28">
        <w:rPr>
          <w:rtl/>
        </w:rPr>
        <w:t>(80)</w:t>
      </w:r>
      <w:r w:rsidR="00F32B28">
        <w:rPr>
          <w:rtl/>
        </w:rPr>
        <w:t xml:space="preserve"> </w:t>
      </w:r>
      <w:r w:rsidR="00F32B28" w:rsidRPr="00F32B28">
        <w:rPr>
          <w:rtl/>
        </w:rPr>
        <w:t>ألف</w:t>
      </w:r>
      <w:r w:rsidR="00F32B28">
        <w:rPr>
          <w:rtl/>
        </w:rPr>
        <w:t xml:space="preserve"> </w:t>
      </w:r>
      <w:r w:rsidR="00F32B28" w:rsidRPr="00F32B28">
        <w:rPr>
          <w:rtl/>
        </w:rPr>
        <w:t>أسرة</w:t>
      </w:r>
      <w:r w:rsidR="00F32B28">
        <w:rPr>
          <w:rtl/>
        </w:rPr>
        <w:t xml:space="preserve"> </w:t>
      </w:r>
      <w:r w:rsidR="00F32B28" w:rsidRPr="00F32B28">
        <w:rPr>
          <w:rtl/>
        </w:rPr>
        <w:t>تعتمد</w:t>
      </w:r>
      <w:r w:rsidR="00F32B28">
        <w:rPr>
          <w:rtl/>
        </w:rPr>
        <w:t xml:space="preserve"> </w:t>
      </w:r>
      <w:r w:rsidR="00F32B28" w:rsidRPr="00F32B28">
        <w:rPr>
          <w:rtl/>
        </w:rPr>
        <w:t>علــى</w:t>
      </w:r>
      <w:r w:rsidR="00F32B28">
        <w:rPr>
          <w:rtl/>
        </w:rPr>
        <w:t xml:space="preserve"> </w:t>
      </w:r>
      <w:r w:rsidR="00F32B28" w:rsidRPr="00F32B28">
        <w:rPr>
          <w:rtl/>
        </w:rPr>
        <w:t>زراعته</w:t>
      </w:r>
      <w:r w:rsidR="00F32B28">
        <w:rPr>
          <w:rtl/>
        </w:rPr>
        <w:t xml:space="preserve"> </w:t>
      </w:r>
      <w:r w:rsidR="00F32B28" w:rsidRPr="00F32B28">
        <w:rPr>
          <w:rtl/>
        </w:rPr>
        <w:t>كمصدر</w:t>
      </w:r>
      <w:r w:rsidR="00F32B28">
        <w:rPr>
          <w:rtl/>
        </w:rPr>
        <w:t xml:space="preserve"> </w:t>
      </w:r>
      <w:r w:rsidR="00F32B28" w:rsidRPr="00F32B28">
        <w:rPr>
          <w:rtl/>
        </w:rPr>
        <w:t>رئيســي</w:t>
      </w:r>
      <w:r w:rsidR="00F32B28">
        <w:rPr>
          <w:rtl/>
        </w:rPr>
        <w:t xml:space="preserve"> </w:t>
      </w:r>
      <w:r w:rsidR="00F32B28" w:rsidRPr="00F32B28">
        <w:rPr>
          <w:rtl/>
        </w:rPr>
        <w:t>أو</w:t>
      </w:r>
      <w:r w:rsidR="00F32B28">
        <w:rPr>
          <w:rtl/>
        </w:rPr>
        <w:t xml:space="preserve"> </w:t>
      </w:r>
      <w:r w:rsidR="00F32B28" w:rsidRPr="00F32B28">
        <w:rPr>
          <w:rtl/>
        </w:rPr>
        <w:t>ثانوي</w:t>
      </w:r>
      <w:r w:rsidR="00F32B28">
        <w:rPr>
          <w:rtl/>
        </w:rPr>
        <w:t xml:space="preserve"> </w:t>
      </w:r>
      <w:r w:rsidR="00F32B28" w:rsidRPr="00F32B28">
        <w:rPr>
          <w:rtl/>
        </w:rPr>
        <w:t>للدخل،</w:t>
      </w:r>
      <w:r w:rsidR="00F32B28">
        <w:rPr>
          <w:rtl/>
        </w:rPr>
        <w:t xml:space="preserve"> </w:t>
      </w:r>
      <w:r w:rsidR="00F32B28" w:rsidRPr="00F32B28">
        <w:rPr>
          <w:rtl/>
        </w:rPr>
        <w:t>وتشكل</w:t>
      </w:r>
      <w:r w:rsidR="00F32B28">
        <w:rPr>
          <w:rtl/>
        </w:rPr>
        <w:t xml:space="preserve"> </w:t>
      </w:r>
      <w:r w:rsidR="00F32B28" w:rsidRPr="00F32B28">
        <w:rPr>
          <w:rtl/>
        </w:rPr>
        <w:t>مساهمته</w:t>
      </w:r>
      <w:r w:rsidR="00F32B28">
        <w:rPr>
          <w:rtl/>
        </w:rPr>
        <w:t xml:space="preserve"> </w:t>
      </w:r>
      <w:r w:rsidR="00AA7F71" w:rsidRPr="00F32B28">
        <w:rPr>
          <w:rtl/>
        </w:rPr>
        <w:t>15-20</w:t>
      </w:r>
      <w:r w:rsidR="00AA7F71">
        <w:rPr>
          <w:rFonts w:hint="cs"/>
          <w:rtl/>
        </w:rPr>
        <w:t xml:space="preserve"> </w:t>
      </w:r>
      <w:r w:rsidR="00600C43">
        <w:rPr>
          <w:rtl/>
        </w:rPr>
        <w:t>في المائة</w:t>
      </w:r>
      <w:r w:rsidR="00AA7F71">
        <w:rPr>
          <w:rFonts w:hint="cs"/>
          <w:rtl/>
        </w:rPr>
        <w:t xml:space="preserve"> </w:t>
      </w:r>
      <w:r w:rsidR="00F32B28" w:rsidRPr="00F32B28">
        <w:rPr>
          <w:rtl/>
        </w:rPr>
        <w:t>من</w:t>
      </w:r>
      <w:r w:rsidR="00F32B28">
        <w:rPr>
          <w:rtl/>
        </w:rPr>
        <w:t xml:space="preserve"> </w:t>
      </w:r>
      <w:r w:rsidR="00F32B28" w:rsidRPr="00F32B28">
        <w:rPr>
          <w:rtl/>
        </w:rPr>
        <w:t>الدخل</w:t>
      </w:r>
      <w:r w:rsidR="00F32B28">
        <w:rPr>
          <w:rtl/>
        </w:rPr>
        <w:t xml:space="preserve"> </w:t>
      </w:r>
      <w:r w:rsidR="00F32B28" w:rsidRPr="00F32B28">
        <w:rPr>
          <w:rtl/>
        </w:rPr>
        <w:t>الزراعي</w:t>
      </w:r>
      <w:r w:rsidR="00F32B28">
        <w:rPr>
          <w:rtl/>
        </w:rPr>
        <w:t xml:space="preserve"> </w:t>
      </w:r>
      <w:r w:rsidR="00F32B28" w:rsidRPr="00F32B28">
        <w:rPr>
          <w:rtl/>
        </w:rPr>
        <w:t>الإجمالي</w:t>
      </w:r>
      <w:r w:rsidR="00F32B28">
        <w:rPr>
          <w:rtl/>
        </w:rPr>
        <w:t xml:space="preserve"> </w:t>
      </w:r>
      <w:r w:rsidR="00F32B28" w:rsidRPr="00F32B28">
        <w:rPr>
          <w:rtl/>
        </w:rPr>
        <w:t>في</w:t>
      </w:r>
      <w:r w:rsidR="009F4D72">
        <w:rPr>
          <w:rFonts w:hint="cs"/>
          <w:rtl/>
        </w:rPr>
        <w:t> </w:t>
      </w:r>
      <w:r w:rsidR="00F32B28" w:rsidRPr="00F32B28">
        <w:rPr>
          <w:rtl/>
        </w:rPr>
        <w:t>فلسطين.</w:t>
      </w:r>
      <w:r w:rsidR="00F32B28">
        <w:rPr>
          <w:rtl/>
        </w:rPr>
        <w:t xml:space="preserve"> </w:t>
      </w:r>
    </w:p>
    <w:p w:rsidR="00F32B28" w:rsidRPr="00F32B28" w:rsidRDefault="00891A4B" w:rsidP="00891A4B">
      <w:pPr>
        <w:pStyle w:val="SingleTxt"/>
        <w:rPr>
          <w:rtl/>
          <w:lang w:bidi="ar-SY"/>
        </w:rPr>
      </w:pPr>
      <w:r>
        <w:rPr>
          <w:rFonts w:hint="cs"/>
          <w:rtl/>
        </w:rPr>
        <w:t xml:space="preserve">308 - </w:t>
      </w:r>
      <w:r w:rsidR="00F32B28" w:rsidRPr="00F32B28">
        <w:rPr>
          <w:rtl/>
        </w:rPr>
        <w:t>وتقوم</w:t>
      </w:r>
      <w:r w:rsidR="00F32B28">
        <w:rPr>
          <w:rtl/>
        </w:rPr>
        <w:t xml:space="preserve"> </w:t>
      </w:r>
      <w:r w:rsidR="00F32B28" w:rsidRPr="00F32B28">
        <w:rPr>
          <w:rtl/>
        </w:rPr>
        <w:t>مليشيات</w:t>
      </w:r>
      <w:r w:rsidR="00F32B28">
        <w:rPr>
          <w:rtl/>
        </w:rPr>
        <w:t xml:space="preserve"> </w:t>
      </w:r>
      <w:r w:rsidR="00F32B28" w:rsidRPr="00F32B28">
        <w:rPr>
          <w:rtl/>
        </w:rPr>
        <w:t>المستوطنون</w:t>
      </w:r>
      <w:r w:rsidR="00F32B28">
        <w:rPr>
          <w:rtl/>
        </w:rPr>
        <w:t xml:space="preserve"> </w:t>
      </w:r>
      <w:r w:rsidR="00F32B28" w:rsidRPr="00F32B28">
        <w:rPr>
          <w:rtl/>
        </w:rPr>
        <w:t>الإرهابية</w:t>
      </w:r>
      <w:r w:rsidR="00F32B28">
        <w:rPr>
          <w:rtl/>
        </w:rPr>
        <w:t xml:space="preserve"> </w:t>
      </w:r>
      <w:r w:rsidR="00F32B28" w:rsidRPr="00F32B28">
        <w:rPr>
          <w:rtl/>
        </w:rPr>
        <w:t>وقوات</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بتجريف</w:t>
      </w:r>
      <w:r w:rsidR="00F32B28">
        <w:rPr>
          <w:rtl/>
        </w:rPr>
        <w:t xml:space="preserve"> </w:t>
      </w:r>
      <w:r w:rsidR="00F32B28" w:rsidRPr="00F32B28">
        <w:rPr>
          <w:rtl/>
        </w:rPr>
        <w:t>مساحات</w:t>
      </w:r>
      <w:r w:rsidR="00F32B28">
        <w:rPr>
          <w:rtl/>
        </w:rPr>
        <w:t xml:space="preserve"> </w:t>
      </w:r>
      <w:r w:rsidR="00F32B28" w:rsidRPr="00F32B28">
        <w:rPr>
          <w:rtl/>
        </w:rPr>
        <w:t>واسعة</w:t>
      </w:r>
      <w:r w:rsidR="00F32B28">
        <w:rPr>
          <w:rtl/>
        </w:rPr>
        <w:t xml:space="preserve"> </w:t>
      </w:r>
      <w:r w:rsidR="00F32B28" w:rsidRPr="00F32B28">
        <w:rPr>
          <w:rtl/>
        </w:rPr>
        <w:t>من</w:t>
      </w:r>
      <w:r w:rsidR="00F32B28">
        <w:rPr>
          <w:rtl/>
        </w:rPr>
        <w:t xml:space="preserve"> </w:t>
      </w:r>
      <w:r w:rsidR="00F32B28" w:rsidRPr="00F32B28">
        <w:rPr>
          <w:rtl/>
        </w:rPr>
        <w:t>الأراضي</w:t>
      </w:r>
      <w:r w:rsidR="00F32B28">
        <w:rPr>
          <w:rtl/>
        </w:rPr>
        <w:t xml:space="preserve"> </w:t>
      </w:r>
      <w:r w:rsidR="00F32B28" w:rsidRPr="00F32B28">
        <w:rPr>
          <w:rtl/>
        </w:rPr>
        <w:t>الزراعية</w:t>
      </w:r>
      <w:r w:rsidR="00F32B28">
        <w:rPr>
          <w:rtl/>
        </w:rPr>
        <w:t xml:space="preserve"> </w:t>
      </w:r>
      <w:r w:rsidR="00F32B28" w:rsidRPr="00F32B28">
        <w:rPr>
          <w:rtl/>
        </w:rPr>
        <w:t>وهدم</w:t>
      </w:r>
      <w:r w:rsidR="00F32B28">
        <w:rPr>
          <w:rtl/>
        </w:rPr>
        <w:t xml:space="preserve"> </w:t>
      </w:r>
      <w:r w:rsidR="00F32B28" w:rsidRPr="00F32B28">
        <w:rPr>
          <w:rtl/>
        </w:rPr>
        <w:t>بناها</w:t>
      </w:r>
      <w:r w:rsidR="00F32B28">
        <w:rPr>
          <w:rtl/>
        </w:rPr>
        <w:t xml:space="preserve"> </w:t>
      </w:r>
      <w:r w:rsidR="00F32B28" w:rsidRPr="00F32B28">
        <w:rPr>
          <w:rtl/>
        </w:rPr>
        <w:t>التحتية</w:t>
      </w:r>
      <w:r w:rsidR="00F32B28">
        <w:rPr>
          <w:rtl/>
        </w:rPr>
        <w:t xml:space="preserve"> </w:t>
      </w:r>
      <w:r w:rsidR="00F32B28" w:rsidRPr="00F32B28">
        <w:rPr>
          <w:rtl/>
        </w:rPr>
        <w:t>وتخريبها،</w:t>
      </w:r>
      <w:r w:rsidR="00F32B28">
        <w:rPr>
          <w:rtl/>
        </w:rPr>
        <w:t xml:space="preserve"> </w:t>
      </w:r>
      <w:r w:rsidR="00F32B28" w:rsidRPr="00F32B28">
        <w:rPr>
          <w:rtl/>
        </w:rPr>
        <w:t>والاعتداء</w:t>
      </w:r>
      <w:r w:rsidR="00F32B28">
        <w:rPr>
          <w:rtl/>
        </w:rPr>
        <w:t xml:space="preserve"> </w:t>
      </w:r>
      <w:r w:rsidR="00F32B28" w:rsidRPr="00F32B28">
        <w:rPr>
          <w:rtl/>
        </w:rPr>
        <w:t>على</w:t>
      </w:r>
      <w:r w:rsidR="00F32B28">
        <w:rPr>
          <w:rtl/>
        </w:rPr>
        <w:t xml:space="preserve"> </w:t>
      </w:r>
      <w:r w:rsidR="00F32B28" w:rsidRPr="00F32B28">
        <w:rPr>
          <w:rtl/>
        </w:rPr>
        <w:t>المواشي</w:t>
      </w:r>
      <w:r w:rsidR="00F32B28">
        <w:rPr>
          <w:rtl/>
        </w:rPr>
        <w:t xml:space="preserve"> </w:t>
      </w:r>
      <w:r w:rsidR="00F32B28" w:rsidRPr="00F32B28">
        <w:rPr>
          <w:rtl/>
        </w:rPr>
        <w:t>وسرقتها،</w:t>
      </w:r>
      <w:r w:rsidR="00F32B28">
        <w:rPr>
          <w:rtl/>
        </w:rPr>
        <w:t xml:space="preserve"> </w:t>
      </w:r>
      <w:r w:rsidR="00F32B28" w:rsidRPr="00F32B28">
        <w:rPr>
          <w:rtl/>
        </w:rPr>
        <w:t>وهدم</w:t>
      </w:r>
      <w:r w:rsidR="00F32B28">
        <w:rPr>
          <w:rtl/>
        </w:rPr>
        <w:t xml:space="preserve"> </w:t>
      </w:r>
      <w:r w:rsidR="00F32B28" w:rsidRPr="00F32B28">
        <w:rPr>
          <w:rtl/>
        </w:rPr>
        <w:t>حظائر</w:t>
      </w:r>
      <w:r w:rsidR="00F32B28">
        <w:rPr>
          <w:rtl/>
        </w:rPr>
        <w:t xml:space="preserve"> </w:t>
      </w:r>
      <w:r w:rsidR="00F32B28" w:rsidRPr="00F32B28">
        <w:rPr>
          <w:rtl/>
        </w:rPr>
        <w:t>الثروة</w:t>
      </w:r>
      <w:r w:rsidR="00F32B28">
        <w:rPr>
          <w:rtl/>
        </w:rPr>
        <w:t xml:space="preserve"> </w:t>
      </w:r>
      <w:r w:rsidR="00F32B28" w:rsidRPr="00F32B28">
        <w:rPr>
          <w:rtl/>
        </w:rPr>
        <w:t>الحيوانية</w:t>
      </w:r>
      <w:r w:rsidR="00F32B28">
        <w:rPr>
          <w:rtl/>
        </w:rPr>
        <w:t xml:space="preserve"> </w:t>
      </w:r>
      <w:r w:rsidR="00F32B28" w:rsidRPr="00F32B28">
        <w:rPr>
          <w:rtl/>
        </w:rPr>
        <w:t>والمنشآت</w:t>
      </w:r>
      <w:r w:rsidR="00F32B28">
        <w:rPr>
          <w:rtl/>
        </w:rPr>
        <w:t xml:space="preserve"> </w:t>
      </w:r>
      <w:r w:rsidR="00F32B28" w:rsidRPr="00F32B28">
        <w:rPr>
          <w:rtl/>
        </w:rPr>
        <w:t>الزراعية،</w:t>
      </w:r>
      <w:r w:rsidR="00F32B28">
        <w:rPr>
          <w:rtl/>
        </w:rPr>
        <w:t xml:space="preserve"> </w:t>
      </w:r>
      <w:r w:rsidR="00F32B28" w:rsidRPr="00F32B28">
        <w:rPr>
          <w:rtl/>
        </w:rPr>
        <w:t>ووضع</w:t>
      </w:r>
      <w:r w:rsidR="00F32B28">
        <w:rPr>
          <w:rtl/>
        </w:rPr>
        <w:t xml:space="preserve"> </w:t>
      </w:r>
      <w:r w:rsidR="00F32B28" w:rsidRPr="00F32B28">
        <w:rPr>
          <w:rtl/>
        </w:rPr>
        <w:t>العراقيل</w:t>
      </w:r>
      <w:r w:rsidR="00F32B28">
        <w:rPr>
          <w:rtl/>
        </w:rPr>
        <w:t xml:space="preserve"> </w:t>
      </w:r>
      <w:r w:rsidR="00F32B28" w:rsidRPr="00F32B28">
        <w:rPr>
          <w:rtl/>
        </w:rPr>
        <w:t>أمام</w:t>
      </w:r>
      <w:r w:rsidR="00F32B28">
        <w:rPr>
          <w:rtl/>
        </w:rPr>
        <w:t xml:space="preserve"> </w:t>
      </w:r>
      <w:r w:rsidR="00F32B28" w:rsidRPr="00F32B28">
        <w:rPr>
          <w:rtl/>
        </w:rPr>
        <w:t>حركة</w:t>
      </w:r>
      <w:r w:rsidR="00F32B28">
        <w:rPr>
          <w:rtl/>
        </w:rPr>
        <w:t xml:space="preserve"> </w:t>
      </w:r>
      <w:r w:rsidR="00F32B28" w:rsidRPr="00F32B28">
        <w:rPr>
          <w:rtl/>
        </w:rPr>
        <w:t>المواطنين</w:t>
      </w:r>
      <w:r w:rsidR="00F32B28">
        <w:rPr>
          <w:rtl/>
        </w:rPr>
        <w:t xml:space="preserve"> </w:t>
      </w:r>
      <w:r w:rsidR="00F32B28" w:rsidRPr="00F32B28">
        <w:rPr>
          <w:rtl/>
        </w:rPr>
        <w:t>والمنتجات</w:t>
      </w:r>
      <w:r w:rsidR="00F32B28">
        <w:rPr>
          <w:rtl/>
        </w:rPr>
        <w:t xml:space="preserve"> </w:t>
      </w:r>
      <w:r w:rsidR="00F32B28" w:rsidRPr="00F32B28">
        <w:rPr>
          <w:rtl/>
        </w:rPr>
        <w:t>والسيطرة</w:t>
      </w:r>
      <w:r w:rsidR="00F32B28">
        <w:rPr>
          <w:rtl/>
        </w:rPr>
        <w:t xml:space="preserve"> </w:t>
      </w:r>
      <w:r w:rsidR="00F32B28" w:rsidRPr="00F32B28">
        <w:rPr>
          <w:rtl/>
        </w:rPr>
        <w:t>على</w:t>
      </w:r>
      <w:r w:rsidR="00F32B28">
        <w:rPr>
          <w:rtl/>
        </w:rPr>
        <w:t xml:space="preserve"> </w:t>
      </w:r>
      <w:r w:rsidR="00F32B28" w:rsidRPr="00F32B28">
        <w:rPr>
          <w:rtl/>
        </w:rPr>
        <w:t>المعابر</w:t>
      </w:r>
      <w:r w:rsidR="00F32B28">
        <w:rPr>
          <w:rtl/>
        </w:rPr>
        <w:t xml:space="preserve"> </w:t>
      </w:r>
      <w:r w:rsidR="00F32B28" w:rsidRPr="00F32B28">
        <w:rPr>
          <w:rtl/>
        </w:rPr>
        <w:t>والحدود</w:t>
      </w:r>
      <w:r w:rsidR="00F32B28">
        <w:rPr>
          <w:rtl/>
        </w:rPr>
        <w:t xml:space="preserve"> </w:t>
      </w:r>
      <w:r w:rsidR="00F32B28" w:rsidRPr="00F32B28">
        <w:rPr>
          <w:rtl/>
        </w:rPr>
        <w:t>ودفن</w:t>
      </w:r>
      <w:r w:rsidR="00F32B28">
        <w:rPr>
          <w:rtl/>
        </w:rPr>
        <w:t xml:space="preserve"> </w:t>
      </w:r>
      <w:r w:rsidR="00F32B28" w:rsidRPr="00F32B28">
        <w:rPr>
          <w:rtl/>
        </w:rPr>
        <w:t>النفايات.</w:t>
      </w:r>
      <w:r w:rsidR="00F32B28">
        <w:rPr>
          <w:rtl/>
        </w:rPr>
        <w:t xml:space="preserve"> </w:t>
      </w:r>
      <w:r w:rsidR="00F32B28" w:rsidRPr="00F32B28">
        <w:rPr>
          <w:rtl/>
          <w:lang w:bidi="ar-SY"/>
        </w:rPr>
        <w:t>وهذا</w:t>
      </w:r>
      <w:r w:rsidR="00F32B28">
        <w:rPr>
          <w:rtl/>
          <w:lang w:bidi="ar-SY"/>
        </w:rPr>
        <w:t xml:space="preserve"> </w:t>
      </w:r>
      <w:r w:rsidR="00F32B28" w:rsidRPr="00F32B28">
        <w:rPr>
          <w:rtl/>
          <w:lang w:bidi="ar-SY"/>
        </w:rPr>
        <w:t>كله</w:t>
      </w:r>
      <w:r w:rsidR="00F32B28">
        <w:rPr>
          <w:rtl/>
          <w:lang w:bidi="ar-SY"/>
        </w:rPr>
        <w:t xml:space="preserve"> </w:t>
      </w:r>
      <w:r w:rsidR="00F32B28" w:rsidRPr="00F32B28">
        <w:rPr>
          <w:rtl/>
          <w:lang w:bidi="ar-SY"/>
        </w:rPr>
        <w:t>يؤدي</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زيادة</w:t>
      </w:r>
      <w:r w:rsidR="00F32B28">
        <w:rPr>
          <w:rtl/>
          <w:lang w:bidi="ar-SY"/>
        </w:rPr>
        <w:t xml:space="preserve"> </w:t>
      </w:r>
      <w:r w:rsidR="00F32B28" w:rsidRPr="00F32B28">
        <w:rPr>
          <w:rtl/>
          <w:lang w:bidi="ar-SY"/>
        </w:rPr>
        <w:t>رقعة</w:t>
      </w:r>
      <w:r w:rsidR="00F32B28">
        <w:rPr>
          <w:rtl/>
          <w:lang w:bidi="ar-SY"/>
        </w:rPr>
        <w:t xml:space="preserve"> </w:t>
      </w:r>
      <w:r w:rsidR="00F32B28" w:rsidRPr="00F32B28">
        <w:rPr>
          <w:rtl/>
          <w:lang w:bidi="ar-SY"/>
        </w:rPr>
        <w:t>الدمار</w:t>
      </w:r>
      <w:r w:rsidR="00F32B28">
        <w:rPr>
          <w:rtl/>
          <w:lang w:bidi="ar-SY"/>
        </w:rPr>
        <w:t xml:space="preserve"> </w:t>
      </w:r>
      <w:r w:rsidR="00F32B28" w:rsidRPr="00F32B28">
        <w:rPr>
          <w:rtl/>
          <w:lang w:bidi="ar-SY"/>
        </w:rPr>
        <w:t>للقطاع</w:t>
      </w:r>
      <w:r w:rsidR="00F32B28">
        <w:rPr>
          <w:rtl/>
          <w:lang w:bidi="ar-SY"/>
        </w:rPr>
        <w:t xml:space="preserve"> </w:t>
      </w:r>
      <w:r w:rsidR="00F32B28" w:rsidRPr="00F32B28">
        <w:rPr>
          <w:rtl/>
          <w:lang w:bidi="ar-SY"/>
        </w:rPr>
        <w:t>الزراعي</w:t>
      </w:r>
      <w:r w:rsidR="00F32B28">
        <w:rPr>
          <w:rtl/>
          <w:lang w:bidi="ar-SY"/>
        </w:rPr>
        <w:t xml:space="preserve"> </w:t>
      </w:r>
      <w:r w:rsidR="00F32B28" w:rsidRPr="00F32B28">
        <w:rPr>
          <w:rtl/>
          <w:lang w:bidi="ar-SY"/>
        </w:rPr>
        <w:t>المحاصر</w:t>
      </w:r>
      <w:r w:rsidR="00F32B28">
        <w:rPr>
          <w:rtl/>
          <w:lang w:bidi="ar-SY"/>
        </w:rPr>
        <w:t xml:space="preserve"> </w:t>
      </w:r>
      <w:r w:rsidR="00F32B28" w:rsidRPr="00F32B28">
        <w:rPr>
          <w:rtl/>
          <w:lang w:bidi="ar-SY"/>
        </w:rPr>
        <w:t>أصلاً</w:t>
      </w:r>
      <w:r w:rsidR="00F32B28">
        <w:rPr>
          <w:rtl/>
          <w:lang w:bidi="ar-SY"/>
        </w:rPr>
        <w:t xml:space="preserve"> </w:t>
      </w:r>
      <w:r w:rsidR="00F32B28" w:rsidRPr="00F32B28">
        <w:rPr>
          <w:rtl/>
          <w:lang w:bidi="ar-SY"/>
        </w:rPr>
        <w:t>وللمزارعين،</w:t>
      </w:r>
      <w:r w:rsidR="00F32B28">
        <w:rPr>
          <w:rtl/>
          <w:lang w:bidi="ar-SY"/>
        </w:rPr>
        <w:t xml:space="preserve"> </w:t>
      </w:r>
      <w:r w:rsidR="00F32B28" w:rsidRPr="00F32B28">
        <w:rPr>
          <w:rtl/>
          <w:lang w:bidi="ar-SY"/>
        </w:rPr>
        <w:t>رجالاً</w:t>
      </w:r>
      <w:r w:rsidR="00F32B28">
        <w:rPr>
          <w:rtl/>
          <w:lang w:bidi="ar-SY"/>
        </w:rPr>
        <w:t xml:space="preserve"> </w:t>
      </w:r>
      <w:r w:rsidR="00F32B28" w:rsidRPr="00F32B28">
        <w:rPr>
          <w:rtl/>
          <w:lang w:bidi="ar-SY"/>
        </w:rPr>
        <w:t>ونساءً،</w:t>
      </w:r>
      <w:r w:rsidR="00F32B28">
        <w:rPr>
          <w:rtl/>
          <w:lang w:bidi="ar-SY"/>
        </w:rPr>
        <w:t xml:space="preserve"> </w:t>
      </w:r>
      <w:r w:rsidR="00F32B28" w:rsidRPr="00F32B28">
        <w:rPr>
          <w:rtl/>
          <w:lang w:bidi="ar-SY"/>
        </w:rPr>
        <w:t>عدا</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زيادة</w:t>
      </w:r>
      <w:r w:rsidR="00F32B28">
        <w:rPr>
          <w:rtl/>
          <w:lang w:bidi="ar-SY"/>
        </w:rPr>
        <w:t xml:space="preserve"> </w:t>
      </w:r>
      <w:r w:rsidR="00F32B28" w:rsidRPr="00F32B28">
        <w:rPr>
          <w:rtl/>
          <w:lang w:bidi="ar-SY"/>
        </w:rPr>
        <w:t>معدل</w:t>
      </w:r>
      <w:r w:rsidR="00F32B28">
        <w:rPr>
          <w:rtl/>
          <w:lang w:bidi="ar-SY"/>
        </w:rPr>
        <w:t xml:space="preserve"> </w:t>
      </w:r>
      <w:r w:rsidR="00F32B28" w:rsidRPr="00F32B28">
        <w:rPr>
          <w:rtl/>
          <w:lang w:bidi="ar-SY"/>
        </w:rPr>
        <w:t>الفقر</w:t>
      </w:r>
      <w:r w:rsidR="00F32B28">
        <w:rPr>
          <w:rtl/>
          <w:lang w:bidi="ar-SY"/>
        </w:rPr>
        <w:t xml:space="preserve"> </w:t>
      </w:r>
      <w:r w:rsidR="00F32B28" w:rsidRPr="00F32B28">
        <w:rPr>
          <w:rtl/>
          <w:lang w:bidi="ar-SY"/>
        </w:rPr>
        <w:t>والبطالة.</w:t>
      </w:r>
      <w:r w:rsidR="00F32B28">
        <w:rPr>
          <w:rtl/>
          <w:lang w:bidi="ar-SY"/>
        </w:rPr>
        <w:t xml:space="preserve"> </w:t>
      </w:r>
      <w:r w:rsidR="00F32B28" w:rsidRPr="00F32B28">
        <w:rPr>
          <w:rtl/>
          <w:lang w:bidi="ar-SY"/>
        </w:rPr>
        <w:t>ولا</w:t>
      </w:r>
      <w:r w:rsidR="00F32B28">
        <w:rPr>
          <w:rtl/>
          <w:lang w:bidi="ar-SY"/>
        </w:rPr>
        <w:t xml:space="preserve"> </w:t>
      </w:r>
      <w:r w:rsidR="00F32B28" w:rsidRPr="00F32B28">
        <w:rPr>
          <w:rtl/>
          <w:lang w:bidi="ar-SY"/>
        </w:rPr>
        <w:t>تسلم</w:t>
      </w:r>
      <w:r w:rsidR="00F32B28">
        <w:rPr>
          <w:rtl/>
          <w:lang w:bidi="ar-SY"/>
        </w:rPr>
        <w:t xml:space="preserve"> </w:t>
      </w:r>
      <w:r w:rsidR="00F32B28" w:rsidRPr="00F32B28">
        <w:rPr>
          <w:rtl/>
          <w:lang w:bidi="ar-SY"/>
        </w:rPr>
        <w:t>أجساد</w:t>
      </w:r>
      <w:r w:rsidR="00F32B28">
        <w:rPr>
          <w:rtl/>
          <w:lang w:bidi="ar-SY"/>
        </w:rPr>
        <w:t xml:space="preserve"> </w:t>
      </w:r>
      <w:r w:rsidR="00F32B28" w:rsidRPr="00F32B28">
        <w:rPr>
          <w:rtl/>
          <w:lang w:bidi="ar-SY"/>
        </w:rPr>
        <w:t>وكرامة</w:t>
      </w:r>
      <w:r w:rsidR="00F32B28">
        <w:rPr>
          <w:rtl/>
          <w:lang w:bidi="ar-SY"/>
        </w:rPr>
        <w:t xml:space="preserve"> </w:t>
      </w:r>
      <w:r w:rsidR="00F32B28" w:rsidRPr="00F32B28">
        <w:rPr>
          <w:rtl/>
          <w:lang w:bidi="ar-SY"/>
        </w:rPr>
        <w:t>المزارعين</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مليشيات</w:t>
      </w:r>
      <w:r w:rsidR="00F32B28">
        <w:rPr>
          <w:rtl/>
          <w:lang w:bidi="ar-SY"/>
        </w:rPr>
        <w:t xml:space="preserve"> </w:t>
      </w:r>
      <w:r w:rsidR="00F32B28" w:rsidRPr="00F32B28">
        <w:rPr>
          <w:rtl/>
        </w:rPr>
        <w:t>المستوطنين</w:t>
      </w:r>
      <w:r w:rsidR="00F32B28">
        <w:rPr>
          <w:rtl/>
        </w:rPr>
        <w:t xml:space="preserve"> </w:t>
      </w:r>
      <w:r w:rsidR="00F32B28" w:rsidRPr="00F32B28">
        <w:rPr>
          <w:rtl/>
        </w:rPr>
        <w:t>الإرهابية</w:t>
      </w:r>
      <w:r>
        <w:rPr>
          <w:rFonts w:hint="cs"/>
          <w:rtl/>
        </w:rPr>
        <w:t xml:space="preserve"> </w:t>
      </w:r>
      <w:r w:rsidR="00F32B28" w:rsidRPr="00F32B28">
        <w:rPr>
          <w:rtl/>
        </w:rPr>
        <w:t>وقوات</w:t>
      </w:r>
      <w:r w:rsidR="00F32B28">
        <w:rPr>
          <w:rtl/>
        </w:rPr>
        <w:t xml:space="preserve"> </w:t>
      </w:r>
      <w:r w:rsidR="00F32B28" w:rsidRPr="00F32B28">
        <w:rPr>
          <w:rtl/>
        </w:rPr>
        <w:t>الاحتلال</w:t>
      </w:r>
      <w:r w:rsidR="00F32B28">
        <w:rPr>
          <w:rtl/>
        </w:rPr>
        <w:t xml:space="preserve"> </w:t>
      </w:r>
      <w:r w:rsidR="00F32B28" w:rsidRPr="00F32B28">
        <w:rPr>
          <w:rtl/>
        </w:rPr>
        <w:t>الإسرائيلي</w:t>
      </w:r>
      <w:r w:rsidR="00F32B28">
        <w:rPr>
          <w:rtl/>
        </w:rPr>
        <w:t xml:space="preserve"> </w:t>
      </w:r>
      <w:r w:rsidR="00F32B28" w:rsidRPr="00F32B28">
        <w:rPr>
          <w:rtl/>
        </w:rPr>
        <w:t>الذين</w:t>
      </w:r>
      <w:r w:rsidR="00F32B28">
        <w:rPr>
          <w:rtl/>
        </w:rPr>
        <w:t xml:space="preserve"> </w:t>
      </w:r>
      <w:r w:rsidR="00F32B28" w:rsidRPr="00F32B28">
        <w:rPr>
          <w:rtl/>
        </w:rPr>
        <w:t>يقومون</w:t>
      </w:r>
      <w:r w:rsidR="00F32B28">
        <w:rPr>
          <w:rtl/>
        </w:rPr>
        <w:t xml:space="preserve"> </w:t>
      </w:r>
      <w:r w:rsidR="00F32B28" w:rsidRPr="00F32B28">
        <w:rPr>
          <w:rtl/>
        </w:rPr>
        <w:t>يومياً</w:t>
      </w:r>
      <w:r w:rsidR="00F32B28">
        <w:rPr>
          <w:rtl/>
        </w:rPr>
        <w:t xml:space="preserve"> </w:t>
      </w:r>
      <w:r w:rsidR="00F32B28" w:rsidRPr="00F32B28">
        <w:rPr>
          <w:rtl/>
        </w:rPr>
        <w:t>ب</w:t>
      </w:r>
      <w:r w:rsidR="00F32B28" w:rsidRPr="00F32B28">
        <w:rPr>
          <w:rtl/>
          <w:lang w:bidi="ar-SY"/>
        </w:rPr>
        <w:t>الاعتداء</w:t>
      </w:r>
      <w:r w:rsidR="00F32B28">
        <w:rPr>
          <w:rtl/>
          <w:lang w:bidi="ar-SY"/>
        </w:rPr>
        <w:t xml:space="preserve"> </w:t>
      </w:r>
      <w:r w:rsidR="00F32B28" w:rsidRPr="00F32B28">
        <w:rPr>
          <w:rtl/>
          <w:lang w:bidi="ar-SY"/>
        </w:rPr>
        <w:t>عليهم</w:t>
      </w:r>
      <w:r w:rsidR="00F32B28">
        <w:rPr>
          <w:rtl/>
          <w:lang w:bidi="ar-SY"/>
        </w:rPr>
        <w:t xml:space="preserve"> </w:t>
      </w:r>
      <w:r w:rsidR="00F32B28" w:rsidRPr="00F32B28">
        <w:rPr>
          <w:rtl/>
          <w:lang w:bidi="ar-SY"/>
        </w:rPr>
        <w:t>بالضرب</w:t>
      </w:r>
      <w:r w:rsidR="00F32B28">
        <w:rPr>
          <w:rtl/>
          <w:lang w:bidi="ar-SY"/>
        </w:rPr>
        <w:t xml:space="preserve"> </w:t>
      </w:r>
      <w:r w:rsidR="00F32B28" w:rsidRPr="00F32B28">
        <w:rPr>
          <w:rtl/>
          <w:lang w:bidi="ar-SY"/>
        </w:rPr>
        <w:t>والتحقير</w:t>
      </w:r>
      <w:r w:rsidR="00F32B28">
        <w:rPr>
          <w:rtl/>
          <w:lang w:bidi="ar-SY"/>
        </w:rPr>
        <w:t xml:space="preserve"> </w:t>
      </w:r>
      <w:r w:rsidR="00F32B28" w:rsidRPr="00F32B28">
        <w:rPr>
          <w:rtl/>
          <w:lang w:bidi="ar-SY"/>
        </w:rPr>
        <w:t>والتهديد</w:t>
      </w:r>
      <w:r w:rsidR="00F32B28">
        <w:rPr>
          <w:rtl/>
          <w:lang w:bidi="ar-SY"/>
        </w:rPr>
        <w:t xml:space="preserve"> </w:t>
      </w:r>
      <w:r w:rsidR="00F32B28" w:rsidRPr="00F32B28">
        <w:rPr>
          <w:rtl/>
          <w:lang w:bidi="ar-SY"/>
        </w:rPr>
        <w:t>وإطلاق</w:t>
      </w:r>
      <w:r w:rsidR="00F32B28">
        <w:rPr>
          <w:rtl/>
          <w:lang w:bidi="ar-SY"/>
        </w:rPr>
        <w:t xml:space="preserve"> </w:t>
      </w:r>
      <w:r w:rsidR="00F32B28" w:rsidRPr="00F32B28">
        <w:rPr>
          <w:rtl/>
          <w:lang w:bidi="ar-SY"/>
        </w:rPr>
        <w:t>القنابل</w:t>
      </w:r>
      <w:r w:rsidR="00F32B28">
        <w:rPr>
          <w:rtl/>
          <w:lang w:bidi="ar-SY"/>
        </w:rPr>
        <w:t xml:space="preserve"> </w:t>
      </w:r>
      <w:r w:rsidR="00F32B28" w:rsidRPr="00F32B28">
        <w:rPr>
          <w:rtl/>
          <w:lang w:bidi="ar-SY"/>
        </w:rPr>
        <w:t>المسيلة</w:t>
      </w:r>
      <w:r w:rsidR="00F32B28">
        <w:rPr>
          <w:rtl/>
          <w:lang w:bidi="ar-SY"/>
        </w:rPr>
        <w:t xml:space="preserve"> </w:t>
      </w:r>
      <w:r w:rsidR="00F32B28" w:rsidRPr="00F32B28">
        <w:rPr>
          <w:rtl/>
          <w:lang w:bidi="ar-SY"/>
        </w:rPr>
        <w:t>للدموع</w:t>
      </w:r>
      <w:r w:rsidR="00F32B28">
        <w:rPr>
          <w:rtl/>
          <w:lang w:bidi="ar-SY"/>
        </w:rPr>
        <w:t xml:space="preserve"> </w:t>
      </w:r>
      <w:r w:rsidR="00F32B28" w:rsidRPr="00F32B28">
        <w:rPr>
          <w:rtl/>
          <w:lang w:bidi="ar-SY"/>
        </w:rPr>
        <w:t>لإجبارهم</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إخلاء</w:t>
      </w:r>
      <w:r w:rsidR="00F32B28">
        <w:rPr>
          <w:rtl/>
          <w:lang w:bidi="ar-SY"/>
        </w:rPr>
        <w:t xml:space="preserve"> </w:t>
      </w:r>
      <w:r w:rsidR="00F32B28" w:rsidRPr="00F32B28">
        <w:rPr>
          <w:rtl/>
          <w:lang w:bidi="ar-SY"/>
        </w:rPr>
        <w:t>أراضيهم.</w:t>
      </w:r>
    </w:p>
    <w:p w:rsidR="00F32B28" w:rsidRPr="00F32B28" w:rsidRDefault="00891A4B" w:rsidP="00337510">
      <w:pPr>
        <w:pStyle w:val="SingleTxt"/>
        <w:spacing w:line="340" w:lineRule="exact"/>
        <w:ind w:left="1267" w:right="1267"/>
        <w:rPr>
          <w:rtl/>
          <w:lang w:bidi="ar-LB"/>
        </w:rPr>
      </w:pPr>
      <w:r>
        <w:rPr>
          <w:rFonts w:hint="cs"/>
          <w:rtl/>
          <w:lang w:bidi="ar-LB"/>
        </w:rPr>
        <w:t xml:space="preserve">309 - </w:t>
      </w:r>
      <w:r w:rsidR="00F32B28" w:rsidRPr="00F32B28">
        <w:rPr>
          <w:rtl/>
          <w:lang w:bidi="ar-LB"/>
        </w:rPr>
        <w:t>وقد</w:t>
      </w:r>
      <w:r w:rsidR="00F32B28">
        <w:rPr>
          <w:rtl/>
          <w:lang w:bidi="ar-LB"/>
        </w:rPr>
        <w:t xml:space="preserve"> </w:t>
      </w:r>
      <w:r w:rsidR="00F32B28" w:rsidRPr="00F32B28">
        <w:rPr>
          <w:rtl/>
          <w:lang w:bidi="ar-LB"/>
        </w:rPr>
        <w:t>رصدت</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الزراعة</w:t>
      </w:r>
      <w:r w:rsidR="00F32B28">
        <w:rPr>
          <w:rtl/>
          <w:lang w:bidi="ar-LB"/>
        </w:rPr>
        <w:t xml:space="preserve"> </w:t>
      </w:r>
      <w:r w:rsidR="00F32B28" w:rsidRPr="00F32B28">
        <w:rPr>
          <w:rtl/>
          <w:lang w:bidi="ar-LB"/>
        </w:rPr>
        <w:t>حوالي</w:t>
      </w:r>
      <w:r w:rsidR="00F32B28">
        <w:rPr>
          <w:rtl/>
          <w:lang w:bidi="ar-LB"/>
        </w:rPr>
        <w:t xml:space="preserve"> </w:t>
      </w:r>
      <w:r w:rsidR="00F32B28" w:rsidRPr="00F32B28">
        <w:rPr>
          <w:rtl/>
          <w:lang w:bidi="ar-LB"/>
        </w:rPr>
        <w:t>(</w:t>
      </w:r>
      <w:r w:rsidR="004C698D">
        <w:rPr>
          <w:rFonts w:hint="cs"/>
          <w:rtl/>
          <w:lang w:bidi="ar-LB"/>
        </w:rPr>
        <w:t>690 4</w:t>
      </w:r>
      <w:r w:rsidR="00F32B28" w:rsidRPr="00F32B28">
        <w:rPr>
          <w:rtl/>
          <w:lang w:bidi="ar-LB"/>
        </w:rPr>
        <w:t>)</w:t>
      </w:r>
      <w:r w:rsidR="00F32B28">
        <w:rPr>
          <w:rtl/>
          <w:lang w:bidi="ar-LB"/>
        </w:rPr>
        <w:t xml:space="preserve"> </w:t>
      </w:r>
      <w:r w:rsidR="00F32B28" w:rsidRPr="00F32B28">
        <w:rPr>
          <w:rtl/>
          <w:lang w:bidi="ar-LB"/>
        </w:rPr>
        <w:t>انتهاكاً</w:t>
      </w:r>
      <w:r w:rsidR="004C698D">
        <w:rPr>
          <w:rFonts w:hint="cs"/>
          <w:rtl/>
          <w:lang w:bidi="ar-LB"/>
        </w:rPr>
        <w:t xml:space="preserve"> </w:t>
      </w:r>
      <w:r w:rsidR="00F32B28" w:rsidRPr="00F32B28">
        <w:rPr>
          <w:rtl/>
          <w:lang w:bidi="ar-LB"/>
        </w:rPr>
        <w:t>إسرائيلياً</w:t>
      </w:r>
      <w:r w:rsidR="00F32B28">
        <w:rPr>
          <w:rtl/>
          <w:lang w:bidi="ar-LB"/>
        </w:rPr>
        <w:t xml:space="preserve"> </w:t>
      </w:r>
      <w:r w:rsidR="00F32B28" w:rsidRPr="00F32B28">
        <w:rPr>
          <w:rtl/>
          <w:lang w:bidi="ar-LB"/>
        </w:rPr>
        <w:t>ضد</w:t>
      </w:r>
      <w:r w:rsidR="00F32B28">
        <w:rPr>
          <w:rtl/>
          <w:lang w:bidi="ar-LB"/>
        </w:rPr>
        <w:t xml:space="preserve"> </w:t>
      </w:r>
      <w:r w:rsidR="00F32B28" w:rsidRPr="00F32B28">
        <w:rPr>
          <w:rtl/>
          <w:lang w:bidi="ar-LB"/>
        </w:rPr>
        <w:t>المزارعين</w:t>
      </w:r>
      <w:r w:rsidR="00F32B28">
        <w:rPr>
          <w:rtl/>
          <w:lang w:bidi="ar-LB"/>
        </w:rPr>
        <w:t xml:space="preserve"> </w:t>
      </w:r>
      <w:r w:rsidR="00F32B28" w:rsidRPr="00F32B28">
        <w:rPr>
          <w:rtl/>
          <w:lang w:bidi="ar-LB"/>
        </w:rPr>
        <w:t>الفلسطيني</w:t>
      </w:r>
      <w:r w:rsidR="004C698D">
        <w:rPr>
          <w:rFonts w:hint="cs"/>
          <w:rtl/>
          <w:lang w:bidi="ar-LB"/>
        </w:rPr>
        <w:t>ي</w:t>
      </w:r>
      <w:r w:rsidR="00F32B28" w:rsidRPr="00F32B28">
        <w:rPr>
          <w:rtl/>
          <w:lang w:bidi="ar-LB"/>
        </w:rPr>
        <w:t>ن</w:t>
      </w:r>
      <w:r w:rsidR="00F32B28">
        <w:rPr>
          <w:rtl/>
          <w:lang w:bidi="ar-LB"/>
        </w:rPr>
        <w:t xml:space="preserve"> </w:t>
      </w:r>
      <w:r w:rsidR="00F32B28" w:rsidRPr="00F32B28">
        <w:rPr>
          <w:rtl/>
          <w:lang w:bidi="ar-LB"/>
        </w:rPr>
        <w:t>والأراضي</w:t>
      </w:r>
      <w:r w:rsidR="00F32B28">
        <w:rPr>
          <w:rtl/>
          <w:lang w:bidi="ar-LB"/>
        </w:rPr>
        <w:t xml:space="preserve"> </w:t>
      </w:r>
      <w:r w:rsidR="00F32B28" w:rsidRPr="00F32B28">
        <w:rPr>
          <w:rtl/>
          <w:lang w:bidi="ar-LB"/>
        </w:rPr>
        <w:t>الزراعية</w:t>
      </w:r>
      <w:r w:rsidR="00F32B28">
        <w:rPr>
          <w:rtl/>
          <w:lang w:bidi="ar-LB"/>
        </w:rPr>
        <w:t xml:space="preserve"> </w:t>
      </w:r>
      <w:r w:rsidR="00F32B28" w:rsidRPr="00F32B28">
        <w:rPr>
          <w:rtl/>
          <w:lang w:bidi="ar-LB"/>
        </w:rPr>
        <w:t>خلال</w:t>
      </w:r>
      <w:r w:rsidR="00F32B28">
        <w:rPr>
          <w:rtl/>
          <w:lang w:bidi="ar-LB"/>
        </w:rPr>
        <w:t xml:space="preserve"> </w:t>
      </w:r>
      <w:r w:rsidR="00F32B28" w:rsidRPr="00F32B28">
        <w:rPr>
          <w:rtl/>
          <w:lang w:bidi="ar-LB"/>
        </w:rPr>
        <w:t>الخمس</w:t>
      </w:r>
      <w:r w:rsidR="00F32B28">
        <w:rPr>
          <w:rtl/>
          <w:lang w:bidi="ar-LB"/>
        </w:rPr>
        <w:t xml:space="preserve"> </w:t>
      </w:r>
      <w:r w:rsidR="00F32B28" w:rsidRPr="00F32B28">
        <w:rPr>
          <w:rtl/>
          <w:lang w:bidi="ar-LB"/>
        </w:rPr>
        <w:t>الأعوام</w:t>
      </w:r>
      <w:r w:rsidR="00F32B28">
        <w:rPr>
          <w:rtl/>
          <w:lang w:bidi="ar-LB"/>
        </w:rPr>
        <w:t xml:space="preserve"> </w:t>
      </w:r>
      <w:r w:rsidR="00F32B28" w:rsidRPr="00F32B28">
        <w:rPr>
          <w:rtl/>
          <w:lang w:bidi="ar-LB"/>
        </w:rPr>
        <w:t>الماضية؛</w:t>
      </w:r>
      <w:r w:rsidR="00F32B28">
        <w:rPr>
          <w:rtl/>
          <w:lang w:bidi="ar-LB"/>
        </w:rPr>
        <w:t xml:space="preserve"> </w:t>
      </w:r>
      <w:r w:rsidR="00F32B28" w:rsidRPr="00F32B28">
        <w:rPr>
          <w:rtl/>
          <w:lang w:bidi="ar-LB"/>
        </w:rPr>
        <w:t>تقدر</w:t>
      </w:r>
      <w:r w:rsidR="00F32B28">
        <w:rPr>
          <w:rtl/>
          <w:lang w:bidi="ar-LB"/>
        </w:rPr>
        <w:t xml:space="preserve"> </w:t>
      </w:r>
      <w:r w:rsidR="00F32B28" w:rsidRPr="00F32B28">
        <w:rPr>
          <w:rtl/>
          <w:lang w:bidi="ar-LB"/>
        </w:rPr>
        <w:t>خسائرها</w:t>
      </w:r>
      <w:r w:rsidR="004C698D">
        <w:rPr>
          <w:rFonts w:hint="cs"/>
          <w:rtl/>
          <w:lang w:bidi="ar-LB"/>
        </w:rPr>
        <w:t xml:space="preserve"> </w:t>
      </w:r>
      <w:r w:rsidR="00F32B28" w:rsidRPr="00F32B28">
        <w:rPr>
          <w:rtl/>
          <w:lang w:bidi="ar-LB"/>
        </w:rPr>
        <w:t>بحوالي</w:t>
      </w:r>
      <w:r w:rsidR="00F32B28">
        <w:rPr>
          <w:rtl/>
          <w:lang w:bidi="ar-LB"/>
        </w:rPr>
        <w:t xml:space="preserve"> </w:t>
      </w:r>
      <w:r w:rsidR="00F32B28" w:rsidRPr="00F32B28">
        <w:rPr>
          <w:rtl/>
          <w:lang w:bidi="ar-LB"/>
        </w:rPr>
        <w:t>(</w:t>
      </w:r>
      <w:r w:rsidR="004C698D">
        <w:rPr>
          <w:rFonts w:hint="cs"/>
          <w:rtl/>
          <w:lang w:bidi="ar-LB"/>
        </w:rPr>
        <w:t>000 320 48</w:t>
      </w:r>
      <w:r w:rsidR="00F32B28" w:rsidRPr="00F32B28">
        <w:rPr>
          <w:rtl/>
          <w:lang w:bidi="ar-LB"/>
        </w:rPr>
        <w:t>)</w:t>
      </w:r>
      <w:r w:rsidR="00F32B28">
        <w:rPr>
          <w:rtl/>
          <w:lang w:bidi="ar-LB"/>
        </w:rPr>
        <w:t xml:space="preserve"> </w:t>
      </w:r>
      <w:r w:rsidR="00F32B28" w:rsidRPr="00F32B28">
        <w:rPr>
          <w:rtl/>
          <w:lang w:bidi="ar-LB"/>
        </w:rPr>
        <w:t>مليون</w:t>
      </w:r>
      <w:r w:rsidR="00F32B28">
        <w:rPr>
          <w:rtl/>
          <w:lang w:bidi="ar-LB"/>
        </w:rPr>
        <w:t xml:space="preserve"> </w:t>
      </w:r>
      <w:r w:rsidR="00F32B28" w:rsidRPr="00F32B28">
        <w:rPr>
          <w:rtl/>
          <w:lang w:bidi="ar-LB"/>
        </w:rPr>
        <w:t>دولار</w:t>
      </w:r>
      <w:r w:rsidR="00F32B28">
        <w:rPr>
          <w:rtl/>
          <w:lang w:bidi="ar-LB"/>
        </w:rPr>
        <w:t xml:space="preserve"> </w:t>
      </w:r>
      <w:r w:rsidR="00F32B28" w:rsidRPr="00F32B28">
        <w:rPr>
          <w:rtl/>
          <w:lang w:bidi="ar-LB"/>
        </w:rPr>
        <w:t>أمريكي.</w:t>
      </w:r>
      <w:r w:rsidR="00F32B28">
        <w:rPr>
          <w:rtl/>
          <w:lang w:bidi="ar-LB"/>
        </w:rPr>
        <w:t xml:space="preserve"> </w:t>
      </w:r>
      <w:r w:rsidR="00F32B28" w:rsidRPr="00F32B28">
        <w:rPr>
          <w:rtl/>
          <w:lang w:bidi="ar-LB"/>
        </w:rPr>
        <w:t>وتقوم</w:t>
      </w:r>
      <w:r w:rsidR="00F32B28">
        <w:rPr>
          <w:rtl/>
          <w:lang w:bidi="ar-LB"/>
        </w:rPr>
        <w:t xml:space="preserve"> </w:t>
      </w:r>
      <w:r w:rsidR="00F32B28" w:rsidRPr="00F32B28">
        <w:rPr>
          <w:rtl/>
          <w:lang w:bidi="ar-LB"/>
        </w:rPr>
        <w:t>وزارة</w:t>
      </w:r>
      <w:r w:rsidR="00F32B28">
        <w:rPr>
          <w:rtl/>
          <w:lang w:bidi="ar-LB"/>
        </w:rPr>
        <w:t xml:space="preserve"> </w:t>
      </w:r>
      <w:r w:rsidR="00F32B28" w:rsidRPr="00F32B28">
        <w:rPr>
          <w:rtl/>
          <w:lang w:bidi="ar-LB"/>
        </w:rPr>
        <w:t>الزراعة</w:t>
      </w:r>
      <w:r w:rsidR="00F32B28">
        <w:rPr>
          <w:rtl/>
          <w:lang w:bidi="ar-LB"/>
        </w:rPr>
        <w:t xml:space="preserve"> </w:t>
      </w:r>
      <w:r w:rsidR="00F32B28" w:rsidRPr="00F32B28">
        <w:rPr>
          <w:rtl/>
          <w:lang w:bidi="ar-LB"/>
        </w:rPr>
        <w:t>بتوثيق</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الانتهاكات</w:t>
      </w:r>
      <w:r w:rsidR="00F32B28">
        <w:rPr>
          <w:rtl/>
          <w:lang w:bidi="ar-LB"/>
        </w:rPr>
        <w:t xml:space="preserve"> </w:t>
      </w:r>
      <w:r w:rsidR="00F32B28" w:rsidRPr="00F32B28">
        <w:rPr>
          <w:rtl/>
          <w:lang w:bidi="ar-LB"/>
        </w:rPr>
        <w:t>والأضرار</w:t>
      </w:r>
      <w:r w:rsidR="00F32B28">
        <w:rPr>
          <w:rtl/>
          <w:lang w:bidi="ar-LB"/>
        </w:rPr>
        <w:t xml:space="preserve"> </w:t>
      </w:r>
      <w:r w:rsidR="00F32B28" w:rsidRPr="00F32B28">
        <w:rPr>
          <w:rtl/>
          <w:lang w:bidi="ar-LB"/>
        </w:rPr>
        <w:t>الناجمة</w:t>
      </w:r>
      <w:r w:rsidR="00F32B28">
        <w:rPr>
          <w:rtl/>
          <w:lang w:bidi="ar-LB"/>
        </w:rPr>
        <w:t xml:space="preserve"> </w:t>
      </w:r>
      <w:r w:rsidR="00F32B28" w:rsidRPr="00F32B28">
        <w:rPr>
          <w:rtl/>
          <w:lang w:bidi="ar-LB"/>
        </w:rPr>
        <w:t>عنها،</w:t>
      </w:r>
      <w:r w:rsidR="00F32B28">
        <w:rPr>
          <w:rtl/>
          <w:lang w:bidi="ar-LB"/>
        </w:rPr>
        <w:t xml:space="preserve"> </w:t>
      </w:r>
      <w:r w:rsidR="00F32B28" w:rsidRPr="00F32B28">
        <w:rPr>
          <w:rtl/>
          <w:lang w:bidi="ar-LB"/>
        </w:rPr>
        <w:t>لملاحقة</w:t>
      </w:r>
      <w:r w:rsidR="00F32B28">
        <w:rPr>
          <w:rtl/>
          <w:lang w:bidi="ar-LB"/>
        </w:rPr>
        <w:t xml:space="preserve"> </w:t>
      </w:r>
      <w:r w:rsidR="00F32B28" w:rsidRPr="00F32B28">
        <w:rPr>
          <w:rtl/>
          <w:lang w:bidi="ar-LB"/>
        </w:rPr>
        <w:t>مرتكبيها</w:t>
      </w:r>
      <w:r w:rsidR="00F32B28">
        <w:rPr>
          <w:rtl/>
          <w:lang w:bidi="ar-LB"/>
        </w:rPr>
        <w:t xml:space="preserve"> </w:t>
      </w:r>
      <w:r w:rsidR="00F32B28" w:rsidRPr="00F32B28">
        <w:rPr>
          <w:rtl/>
          <w:lang w:bidi="ar-LB"/>
        </w:rPr>
        <w:t>والمطالبة</w:t>
      </w:r>
      <w:r w:rsidR="00F32B28">
        <w:rPr>
          <w:rtl/>
          <w:lang w:bidi="ar-LB"/>
        </w:rPr>
        <w:t xml:space="preserve"> </w:t>
      </w:r>
      <w:r w:rsidR="00F32B28" w:rsidRPr="00F32B28">
        <w:rPr>
          <w:rtl/>
          <w:lang w:bidi="ar-LB"/>
        </w:rPr>
        <w:t>بالتعويض،</w:t>
      </w:r>
      <w:r w:rsidR="004C698D">
        <w:rPr>
          <w:rFonts w:hint="cs"/>
          <w:rtl/>
          <w:lang w:bidi="ar-LB"/>
        </w:rPr>
        <w:t xml:space="preserve"> </w:t>
      </w:r>
      <w:r w:rsidR="00F32B28" w:rsidRPr="00F32B28">
        <w:rPr>
          <w:rtl/>
          <w:lang w:bidi="ar-LB"/>
        </w:rPr>
        <w:t>إلا</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معظم</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الشكاوى،</w:t>
      </w:r>
      <w:r w:rsidR="00F32B28">
        <w:rPr>
          <w:rtl/>
          <w:lang w:bidi="ar-LB"/>
        </w:rPr>
        <w:t xml:space="preserve"> </w:t>
      </w:r>
      <w:r w:rsidR="00F32B28" w:rsidRPr="00F32B28">
        <w:rPr>
          <w:rtl/>
          <w:lang w:bidi="ar-LB"/>
        </w:rPr>
        <w:t>كغيرها،</w:t>
      </w:r>
      <w:r w:rsidR="00F32B28">
        <w:rPr>
          <w:rtl/>
          <w:lang w:bidi="ar-LB"/>
        </w:rPr>
        <w:t xml:space="preserve"> </w:t>
      </w:r>
      <w:r w:rsidR="00F32B28" w:rsidRPr="00F32B28">
        <w:rPr>
          <w:rtl/>
          <w:lang w:bidi="ar-LB"/>
        </w:rPr>
        <w:t>يتم</w:t>
      </w:r>
      <w:r w:rsidR="00F32B28">
        <w:rPr>
          <w:rtl/>
          <w:lang w:bidi="ar-LB"/>
        </w:rPr>
        <w:t xml:space="preserve"> </w:t>
      </w:r>
      <w:r w:rsidR="00F32B28" w:rsidRPr="00F32B28">
        <w:rPr>
          <w:rtl/>
          <w:lang w:bidi="ar-LB"/>
        </w:rPr>
        <w:t>إغلاقها</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أغلب</w:t>
      </w:r>
      <w:r w:rsidR="00F32B28">
        <w:rPr>
          <w:rtl/>
          <w:lang w:bidi="ar-LB"/>
        </w:rPr>
        <w:t xml:space="preserve"> </w:t>
      </w:r>
      <w:r w:rsidR="00F32B28" w:rsidRPr="00F32B28">
        <w:rPr>
          <w:rtl/>
          <w:lang w:bidi="ar-LB"/>
        </w:rPr>
        <w:t>الأحيان</w:t>
      </w:r>
      <w:r w:rsidR="00F32B28">
        <w:rPr>
          <w:rtl/>
          <w:lang w:bidi="ar-LB"/>
        </w:rPr>
        <w:t xml:space="preserve"> </w:t>
      </w:r>
      <w:r w:rsidR="00F32B28" w:rsidRPr="00F32B28">
        <w:rPr>
          <w:rtl/>
          <w:lang w:bidi="ar-LB"/>
        </w:rPr>
        <w:t>دون</w:t>
      </w:r>
      <w:r w:rsidR="00F32B28">
        <w:rPr>
          <w:rtl/>
          <w:lang w:bidi="ar-LB"/>
        </w:rPr>
        <w:t xml:space="preserve"> </w:t>
      </w:r>
      <w:r w:rsidR="00F32B28" w:rsidRPr="00F32B28">
        <w:rPr>
          <w:rtl/>
          <w:lang w:bidi="ar-LB"/>
        </w:rPr>
        <w:t>تقديم</w:t>
      </w:r>
      <w:r w:rsidR="00F32B28">
        <w:rPr>
          <w:rtl/>
          <w:lang w:bidi="ar-LB"/>
        </w:rPr>
        <w:t xml:space="preserve"> </w:t>
      </w:r>
      <w:r w:rsidR="00F32B28" w:rsidRPr="00F32B28">
        <w:rPr>
          <w:rtl/>
          <w:lang w:bidi="ar-LB"/>
        </w:rPr>
        <w:t>لائحة</w:t>
      </w:r>
      <w:r w:rsidR="00F32B28">
        <w:rPr>
          <w:rtl/>
          <w:lang w:bidi="ar-LB"/>
        </w:rPr>
        <w:t xml:space="preserve"> </w:t>
      </w:r>
      <w:r w:rsidR="00F32B28" w:rsidRPr="00F32B28">
        <w:rPr>
          <w:rtl/>
          <w:lang w:bidi="ar-LB"/>
        </w:rPr>
        <w:t>اتهام</w:t>
      </w:r>
      <w:r w:rsidR="00F32B28">
        <w:rPr>
          <w:rtl/>
          <w:lang w:bidi="ar-LB"/>
        </w:rPr>
        <w:t xml:space="preserve"> </w:t>
      </w:r>
      <w:r w:rsidR="00F32B28" w:rsidRPr="00F32B28">
        <w:rPr>
          <w:rtl/>
          <w:lang w:bidi="ar-LB"/>
        </w:rPr>
        <w:t>ضد</w:t>
      </w:r>
      <w:r w:rsidR="00F32B28">
        <w:rPr>
          <w:rtl/>
          <w:lang w:bidi="ar-LB"/>
        </w:rPr>
        <w:t xml:space="preserve"> </w:t>
      </w:r>
      <w:r w:rsidR="00F32B28" w:rsidRPr="00F32B28">
        <w:rPr>
          <w:rtl/>
          <w:lang w:bidi="ar-LB"/>
        </w:rPr>
        <w:t>أحد</w:t>
      </w:r>
      <w:r w:rsidR="004C698D">
        <w:rPr>
          <w:rFonts w:hint="cs"/>
          <w:rtl/>
          <w:lang w:bidi="ar-LB"/>
        </w:rPr>
        <w:t xml:space="preserve"> </w:t>
      </w:r>
      <w:r w:rsidR="00F32B28" w:rsidRPr="00F32B28">
        <w:rPr>
          <w:rtl/>
          <w:lang w:bidi="ar-LB"/>
        </w:rPr>
        <w:t>بقرار</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SY"/>
        </w:rPr>
        <w:t>الأجهزة</w:t>
      </w:r>
      <w:r w:rsidR="00F32B28">
        <w:rPr>
          <w:rtl/>
          <w:lang w:bidi="ar-LB"/>
        </w:rPr>
        <w:t xml:space="preserve"> </w:t>
      </w:r>
      <w:r w:rsidR="00F32B28" w:rsidRPr="00F32B28">
        <w:rPr>
          <w:rtl/>
          <w:lang w:bidi="ar-LB"/>
        </w:rPr>
        <w:t>الإسرائيلية</w:t>
      </w:r>
      <w:r w:rsidR="00F32B28">
        <w:rPr>
          <w:rtl/>
          <w:lang w:bidi="ar-LB"/>
        </w:rPr>
        <w:t xml:space="preserve"> </w:t>
      </w:r>
      <w:r w:rsidR="00F32B28" w:rsidRPr="00F32B28">
        <w:rPr>
          <w:rtl/>
          <w:lang w:bidi="ar-LB"/>
        </w:rPr>
        <w:t>المكلفة</w:t>
      </w:r>
      <w:r w:rsidR="00F32B28">
        <w:rPr>
          <w:rtl/>
          <w:lang w:bidi="ar-LB"/>
        </w:rPr>
        <w:t xml:space="preserve"> </w:t>
      </w:r>
      <w:r w:rsidR="00F32B28" w:rsidRPr="00F32B28">
        <w:rPr>
          <w:rtl/>
          <w:lang w:bidi="ar-LB"/>
        </w:rPr>
        <w:t>بإنفاذ</w:t>
      </w:r>
      <w:r w:rsidR="00F32B28">
        <w:rPr>
          <w:rtl/>
          <w:lang w:bidi="ar-LB"/>
        </w:rPr>
        <w:t xml:space="preserve"> </w:t>
      </w:r>
      <w:r w:rsidR="00F32B28" w:rsidRPr="00F32B28">
        <w:rPr>
          <w:rtl/>
          <w:lang w:bidi="ar-LB"/>
        </w:rPr>
        <w:t>القانون</w:t>
      </w:r>
      <w:r w:rsidR="00F32B28">
        <w:rPr>
          <w:rtl/>
          <w:lang w:bidi="ar-LB"/>
        </w:rPr>
        <w:t xml:space="preserve"> </w:t>
      </w:r>
      <w:r w:rsidR="00F32B28" w:rsidRPr="00F32B28">
        <w:rPr>
          <w:rtl/>
          <w:lang w:bidi="ar-LB"/>
        </w:rPr>
        <w:t>والجهات</w:t>
      </w:r>
      <w:r w:rsidR="00F32B28">
        <w:rPr>
          <w:rtl/>
          <w:lang w:bidi="ar-LB"/>
        </w:rPr>
        <w:t xml:space="preserve"> </w:t>
      </w:r>
      <w:r w:rsidR="00F32B28" w:rsidRPr="00F32B28">
        <w:rPr>
          <w:rtl/>
          <w:lang w:bidi="ar-LB"/>
        </w:rPr>
        <w:t>القضائية</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تعتبر</w:t>
      </w:r>
      <w:r w:rsidR="00F32B28">
        <w:rPr>
          <w:rtl/>
          <w:lang w:bidi="ar-LB"/>
        </w:rPr>
        <w:t xml:space="preserve"> </w:t>
      </w:r>
      <w:r w:rsidR="00F32B28" w:rsidRPr="00F32B28">
        <w:rPr>
          <w:rtl/>
          <w:lang w:bidi="ar-LB"/>
        </w:rPr>
        <w:t>أدوات</w:t>
      </w:r>
      <w:r w:rsidR="00F32B28">
        <w:rPr>
          <w:rtl/>
          <w:lang w:bidi="ar-LB"/>
        </w:rPr>
        <w:t xml:space="preserve"> </w:t>
      </w:r>
      <w:r w:rsidR="00F32B28" w:rsidRPr="00F32B28">
        <w:rPr>
          <w:rtl/>
          <w:lang w:bidi="ar-LB"/>
        </w:rPr>
        <w:t>أساس</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الحفاظ</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الاحتلال</w:t>
      </w:r>
      <w:r w:rsidR="00F32B28">
        <w:rPr>
          <w:rtl/>
          <w:lang w:bidi="ar-LB"/>
        </w:rPr>
        <w:t xml:space="preserve"> </w:t>
      </w:r>
      <w:r w:rsidR="00F32B28" w:rsidRPr="00F32B28">
        <w:rPr>
          <w:rtl/>
          <w:lang w:bidi="ar-LB"/>
        </w:rPr>
        <w:t>الإسرائيلي</w:t>
      </w:r>
      <w:r w:rsidR="00F32B28">
        <w:rPr>
          <w:rtl/>
          <w:lang w:bidi="ar-LB"/>
        </w:rPr>
        <w:t xml:space="preserve"> </w:t>
      </w:r>
      <w:r w:rsidR="00F32B28" w:rsidRPr="00F32B28">
        <w:rPr>
          <w:rtl/>
          <w:lang w:bidi="ar-LB"/>
        </w:rPr>
        <w:t>وحماية</w:t>
      </w:r>
      <w:r w:rsidR="00F32B28">
        <w:rPr>
          <w:rtl/>
          <w:lang w:bidi="ar-LB"/>
        </w:rPr>
        <w:t xml:space="preserve"> </w:t>
      </w:r>
      <w:r w:rsidR="00F32B28" w:rsidRPr="00F32B28">
        <w:rPr>
          <w:rtl/>
          <w:lang w:bidi="ar-LB"/>
        </w:rPr>
        <w:t>مصالحه،</w:t>
      </w:r>
      <w:r w:rsidR="004C698D">
        <w:rPr>
          <w:rFonts w:hint="cs"/>
          <w:rtl/>
          <w:lang w:bidi="ar-LB"/>
        </w:rPr>
        <w:t xml:space="preserve"> </w:t>
      </w:r>
      <w:r w:rsidR="00F32B28" w:rsidRPr="00F32B28">
        <w:rPr>
          <w:rtl/>
          <w:lang w:bidi="ar-LB"/>
        </w:rPr>
        <w:t>وتحصين</w:t>
      </w:r>
      <w:r w:rsidR="00F32B28">
        <w:rPr>
          <w:rtl/>
          <w:lang w:bidi="ar-LB"/>
        </w:rPr>
        <w:t xml:space="preserve"> </w:t>
      </w:r>
      <w:r w:rsidR="00F32B28" w:rsidRPr="00F32B28">
        <w:rPr>
          <w:rtl/>
          <w:lang w:bidi="ar-LB"/>
        </w:rPr>
        <w:t>المستويات</w:t>
      </w:r>
      <w:r w:rsidR="00F32B28">
        <w:rPr>
          <w:rtl/>
          <w:lang w:bidi="ar-LB"/>
        </w:rPr>
        <w:t xml:space="preserve"> </w:t>
      </w:r>
      <w:r w:rsidR="00F32B28" w:rsidRPr="00F32B28">
        <w:rPr>
          <w:rtl/>
          <w:lang w:bidi="ar-LB"/>
        </w:rPr>
        <w:t>السياسية</w:t>
      </w:r>
      <w:r w:rsidR="00F32B28">
        <w:rPr>
          <w:rtl/>
          <w:lang w:bidi="ar-LB"/>
        </w:rPr>
        <w:t xml:space="preserve"> </w:t>
      </w:r>
      <w:r w:rsidR="00F32B28" w:rsidRPr="00F32B28">
        <w:rPr>
          <w:rtl/>
          <w:lang w:bidi="ar-LB"/>
        </w:rPr>
        <w:t>والعسكرية</w:t>
      </w:r>
      <w:r w:rsidR="00F32B28">
        <w:rPr>
          <w:rtl/>
          <w:lang w:bidi="ar-LB"/>
        </w:rPr>
        <w:t xml:space="preserve"> </w:t>
      </w:r>
      <w:r w:rsidR="00F32B28" w:rsidRPr="00F32B28">
        <w:rPr>
          <w:rtl/>
          <w:lang w:bidi="ar-LB"/>
        </w:rPr>
        <w:t>ومليشيات</w:t>
      </w:r>
      <w:r w:rsidR="00F32B28">
        <w:rPr>
          <w:rtl/>
          <w:lang w:bidi="ar-LB"/>
        </w:rPr>
        <w:t xml:space="preserve"> </w:t>
      </w:r>
      <w:r w:rsidR="00F32B28" w:rsidRPr="00F32B28">
        <w:rPr>
          <w:rtl/>
          <w:lang w:bidi="ar-LB"/>
        </w:rPr>
        <w:t>المستوطنين</w:t>
      </w:r>
      <w:r w:rsidR="00F32B28">
        <w:rPr>
          <w:rtl/>
          <w:lang w:bidi="ar-SY"/>
        </w:rPr>
        <w:t xml:space="preserve"> </w:t>
      </w:r>
      <w:r w:rsidR="00F32B28" w:rsidRPr="00F32B28">
        <w:rPr>
          <w:rtl/>
          <w:lang w:bidi="ar-SY"/>
        </w:rPr>
        <w:t>الإرهابية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أية</w:t>
      </w:r>
      <w:r w:rsidR="00F32B28">
        <w:rPr>
          <w:rtl/>
          <w:lang w:bidi="ar-SY"/>
        </w:rPr>
        <w:t xml:space="preserve"> </w:t>
      </w:r>
      <w:r w:rsidR="00F32B28" w:rsidRPr="00F32B28">
        <w:rPr>
          <w:rtl/>
          <w:lang w:bidi="ar-SY"/>
        </w:rPr>
        <w:t>مساءلة</w:t>
      </w:r>
      <w:r w:rsidR="00F32B28" w:rsidRPr="00F32B28">
        <w:rPr>
          <w:rtl/>
          <w:lang w:bidi="ar-LB"/>
        </w:rPr>
        <w:t>،</w:t>
      </w:r>
      <w:r w:rsidR="00F32B28">
        <w:rPr>
          <w:rtl/>
          <w:lang w:bidi="ar-LB"/>
        </w:rPr>
        <w:t xml:space="preserve"> </w:t>
      </w:r>
      <w:r w:rsidR="00F32B28" w:rsidRPr="00F32B28">
        <w:rPr>
          <w:rtl/>
          <w:lang w:bidi="ar-LB"/>
        </w:rPr>
        <w:t>وضمان</w:t>
      </w:r>
      <w:r w:rsidR="004C698D">
        <w:rPr>
          <w:rFonts w:hint="cs"/>
          <w:rtl/>
          <w:lang w:bidi="ar-LB"/>
        </w:rPr>
        <w:t xml:space="preserve"> </w:t>
      </w:r>
      <w:r w:rsidR="00F32B28" w:rsidRPr="00F32B28">
        <w:rPr>
          <w:rtl/>
          <w:lang w:bidi="ar-LB"/>
        </w:rPr>
        <w:t>إفلاتهم</w:t>
      </w:r>
      <w:r w:rsidR="00F32B28">
        <w:rPr>
          <w:rtl/>
          <w:lang w:bidi="ar-LB"/>
        </w:rPr>
        <w:t xml:space="preserve"> </w:t>
      </w:r>
      <w:r w:rsidR="00F32B28" w:rsidRPr="00F32B28">
        <w:rPr>
          <w:rtl/>
          <w:lang w:bidi="ar-LB"/>
        </w:rPr>
        <w:t>التام</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العقاب</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الانتهاكات</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يرتكبوها</w:t>
      </w:r>
      <w:r w:rsidR="00F32B28">
        <w:rPr>
          <w:rtl/>
          <w:lang w:bidi="ar-LB"/>
        </w:rPr>
        <w:t xml:space="preserve"> </w:t>
      </w:r>
      <w:r w:rsidR="00F32B28" w:rsidRPr="00F32B28">
        <w:rPr>
          <w:rtl/>
          <w:lang w:bidi="ar-LB"/>
        </w:rPr>
        <w:t>ضد</w:t>
      </w:r>
      <w:r w:rsidR="00F32B28">
        <w:rPr>
          <w:rtl/>
          <w:lang w:bidi="ar-LB"/>
        </w:rPr>
        <w:t xml:space="preserve"> </w:t>
      </w:r>
      <w:r w:rsidR="00F32B28" w:rsidRPr="00F32B28">
        <w:rPr>
          <w:rtl/>
          <w:lang w:bidi="ar-LB"/>
        </w:rPr>
        <w:t>الفلسطينيين،</w:t>
      </w:r>
      <w:r w:rsidR="00F32B28">
        <w:rPr>
          <w:rtl/>
          <w:lang w:bidi="ar-LB"/>
        </w:rPr>
        <w:t xml:space="preserve"> </w:t>
      </w:r>
      <w:r w:rsidR="00F32B28" w:rsidRPr="00F32B28">
        <w:rPr>
          <w:rtl/>
          <w:lang w:bidi="ar-LB"/>
        </w:rPr>
        <w:t>نساءً</w:t>
      </w:r>
      <w:r w:rsidR="00F32B28">
        <w:rPr>
          <w:rtl/>
          <w:lang w:bidi="ar-LB"/>
        </w:rPr>
        <w:t xml:space="preserve"> </w:t>
      </w:r>
      <w:r w:rsidR="00F32B28" w:rsidRPr="00F32B28">
        <w:rPr>
          <w:rtl/>
          <w:lang w:bidi="ar-LB"/>
        </w:rPr>
        <w:t>ورجالاً.</w:t>
      </w:r>
      <w:r w:rsidR="00F32B28">
        <w:rPr>
          <w:rtl/>
          <w:lang w:bidi="ar-LB"/>
        </w:rPr>
        <w:t xml:space="preserve"> </w:t>
      </w:r>
    </w:p>
    <w:p w:rsidR="00891A4B" w:rsidRPr="00891A4B" w:rsidRDefault="00891A4B" w:rsidP="00891A4B">
      <w:pPr>
        <w:pStyle w:val="SingleTxt"/>
        <w:spacing w:after="0" w:line="120" w:lineRule="exact"/>
        <w:rPr>
          <w:b/>
          <w:bCs/>
          <w:sz w:val="10"/>
          <w:rtl/>
          <w:lang w:bidi="ar-SY"/>
        </w:rPr>
      </w:pPr>
    </w:p>
    <w:p w:rsidR="00F32B28" w:rsidRPr="00F32B28" w:rsidRDefault="00891A4B" w:rsidP="00891A4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SY"/>
        </w:rPr>
      </w:pPr>
      <w:r>
        <w:rPr>
          <w:rFonts w:hint="cs"/>
          <w:rtl/>
          <w:lang w:bidi="ar-SY"/>
        </w:rPr>
        <w:tab/>
      </w:r>
      <w:r>
        <w:rPr>
          <w:rFonts w:hint="cs"/>
          <w:rtl/>
          <w:lang w:bidi="ar-SY"/>
        </w:rPr>
        <w:tab/>
      </w:r>
      <w:r w:rsidR="00F32B28" w:rsidRPr="00F32B28">
        <w:rPr>
          <w:rtl/>
          <w:lang w:bidi="ar-SY"/>
        </w:rPr>
        <w:t>الجزء</w:t>
      </w:r>
      <w:r w:rsidR="00F32B28">
        <w:rPr>
          <w:rtl/>
          <w:lang w:bidi="ar-SY"/>
        </w:rPr>
        <w:t xml:space="preserve"> </w:t>
      </w:r>
      <w:r w:rsidR="00F32B28" w:rsidRPr="00F32B28">
        <w:rPr>
          <w:rtl/>
          <w:lang w:bidi="ar-SY"/>
        </w:rPr>
        <w:t>الرابع</w:t>
      </w:r>
    </w:p>
    <w:p w:rsidR="00891A4B" w:rsidRPr="00891A4B" w:rsidRDefault="00891A4B" w:rsidP="00891A4B">
      <w:pPr>
        <w:pStyle w:val="SingleTxt"/>
        <w:spacing w:after="0" w:line="120" w:lineRule="exact"/>
        <w:rPr>
          <w:b/>
          <w:bCs/>
          <w:sz w:val="10"/>
          <w:rtl/>
          <w:lang w:bidi="ar-SY"/>
        </w:rPr>
      </w:pPr>
    </w:p>
    <w:p w:rsidR="00F32B28" w:rsidRPr="00F32B28" w:rsidRDefault="00F32B28" w:rsidP="00891A4B">
      <w:pPr>
        <w:pStyle w:val="SingleTxt"/>
        <w:rPr>
          <w:rtl/>
        </w:rPr>
      </w:pPr>
      <w:r w:rsidRPr="00F32B28">
        <w:rPr>
          <w:b/>
          <w:bCs/>
          <w:rtl/>
          <w:lang w:bidi="ar-SY"/>
        </w:rPr>
        <w:t>المادة</w:t>
      </w:r>
      <w:r>
        <w:rPr>
          <w:b/>
          <w:bCs/>
          <w:rtl/>
          <w:lang w:bidi="ar-SY"/>
        </w:rPr>
        <w:t xml:space="preserve"> </w:t>
      </w:r>
      <w:r w:rsidRPr="00F32B28">
        <w:rPr>
          <w:b/>
          <w:bCs/>
          <w:rtl/>
          <w:lang w:bidi="ar-SY"/>
        </w:rPr>
        <w:t>(15)</w:t>
      </w:r>
      <w:r w:rsidR="00891A4B">
        <w:rPr>
          <w:rFonts w:hint="cs"/>
          <w:b/>
          <w:bCs/>
          <w:rtl/>
          <w:lang w:bidi="ar-SY"/>
        </w:rPr>
        <w:tab/>
      </w:r>
      <w:r w:rsidR="00891A4B">
        <w:rPr>
          <w:rFonts w:hint="cs"/>
          <w:b/>
          <w:bCs/>
          <w:rtl/>
          <w:lang w:bidi="ar-SY"/>
        </w:rPr>
        <w:br/>
      </w:r>
      <w:r w:rsidRPr="00F32B28">
        <w:rPr>
          <w:b/>
          <w:bCs/>
          <w:rtl/>
          <w:lang w:bidi="ar-SY"/>
        </w:rPr>
        <w:t>المساواة</w:t>
      </w:r>
      <w:r>
        <w:rPr>
          <w:b/>
          <w:bCs/>
          <w:rtl/>
          <w:lang w:bidi="ar-SY"/>
        </w:rPr>
        <w:t xml:space="preserve"> </w:t>
      </w:r>
      <w:r w:rsidRPr="00F32B28">
        <w:rPr>
          <w:b/>
          <w:bCs/>
          <w:rtl/>
          <w:lang w:bidi="ar-SY"/>
        </w:rPr>
        <w:t>أمام</w:t>
      </w:r>
      <w:r>
        <w:rPr>
          <w:b/>
          <w:bCs/>
          <w:rtl/>
          <w:lang w:bidi="ar-SY"/>
        </w:rPr>
        <w:t xml:space="preserve"> </w:t>
      </w:r>
      <w:r w:rsidRPr="00F32B28">
        <w:rPr>
          <w:b/>
          <w:bCs/>
          <w:rtl/>
          <w:lang w:bidi="ar-SY"/>
        </w:rPr>
        <w:t>القانون</w:t>
      </w:r>
      <w:r>
        <w:rPr>
          <w:b/>
          <w:bCs/>
          <w:rtl/>
          <w:lang w:bidi="ar-SY"/>
        </w:rPr>
        <w:t xml:space="preserve"> </w:t>
      </w:r>
      <w:r w:rsidRPr="00F32B28">
        <w:rPr>
          <w:b/>
          <w:bCs/>
          <w:rtl/>
          <w:lang w:bidi="ar-SY"/>
        </w:rPr>
        <w:t>والقضاء</w:t>
      </w:r>
    </w:p>
    <w:p w:rsidR="00F32B28" w:rsidRPr="00F32B28" w:rsidRDefault="00891A4B" w:rsidP="00337510">
      <w:pPr>
        <w:pStyle w:val="SingleTxt"/>
        <w:spacing w:line="340" w:lineRule="exact"/>
        <w:ind w:left="1267" w:right="1267"/>
        <w:rPr>
          <w:rtl/>
          <w:lang w:bidi="ar-SY"/>
        </w:rPr>
      </w:pPr>
      <w:r>
        <w:rPr>
          <w:rFonts w:hint="cs"/>
          <w:rtl/>
          <w:lang w:bidi="ar-SY"/>
        </w:rPr>
        <w:t xml:space="preserve">310 - </w:t>
      </w:r>
      <w:r w:rsidR="00F32B28" w:rsidRPr="00F32B28">
        <w:rPr>
          <w:rtl/>
          <w:lang w:bidi="ar-SY"/>
        </w:rPr>
        <w:t>يساوي</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المعدل</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والفلسطينيات</w:t>
      </w:r>
      <w:r w:rsidR="00F32B28">
        <w:rPr>
          <w:rtl/>
          <w:lang w:bidi="ar-SY"/>
        </w:rPr>
        <w:t xml:space="preserve"> </w:t>
      </w:r>
      <w:r w:rsidR="00F32B28" w:rsidRPr="00F32B28">
        <w:rPr>
          <w:rtl/>
          <w:lang w:bidi="ar-SY"/>
        </w:rPr>
        <w:t>أمام</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والقضاء،</w:t>
      </w:r>
      <w:r w:rsidR="00F32B28">
        <w:rPr>
          <w:rtl/>
          <w:lang w:bidi="ar-SY"/>
        </w:rPr>
        <w:t xml:space="preserve"> </w:t>
      </w:r>
      <w:r w:rsidR="00F32B28" w:rsidRPr="00F32B28">
        <w:rPr>
          <w:rtl/>
          <w:lang w:bidi="ar-SY"/>
        </w:rPr>
        <w:t>كذلك</w:t>
      </w:r>
      <w:r>
        <w:rPr>
          <w:rFonts w:hint="cs"/>
          <w:rtl/>
          <w:lang w:bidi="ar-SY"/>
        </w:rPr>
        <w:t xml:space="preserve"> </w:t>
      </w:r>
      <w:r w:rsidR="00F32B28" w:rsidRPr="00F32B28">
        <w:rPr>
          <w:rtl/>
          <w:lang w:bidi="ar-SY"/>
        </w:rPr>
        <w:t>الأمر</w:t>
      </w:r>
      <w:r w:rsidR="00F32B28">
        <w:rPr>
          <w:rtl/>
          <w:lang w:bidi="ar-SY"/>
        </w:rPr>
        <w:t xml:space="preserve"> </w:t>
      </w:r>
      <w:r w:rsidR="00F32B28" w:rsidRPr="00F32B28">
        <w:rPr>
          <w:rtl/>
          <w:lang w:bidi="ar-SY"/>
        </w:rPr>
        <w:t>بخصوص</w:t>
      </w:r>
      <w:r w:rsidR="00F32B28">
        <w:rPr>
          <w:rtl/>
          <w:lang w:bidi="ar-SY"/>
        </w:rPr>
        <w:t xml:space="preserve"> </w:t>
      </w:r>
      <w:r w:rsidR="00F32B28" w:rsidRPr="00F32B28">
        <w:rPr>
          <w:rtl/>
          <w:lang w:bidi="ar-SY"/>
        </w:rPr>
        <w:t>معظم</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كالقوانين</w:t>
      </w:r>
      <w:r w:rsidR="00F32B28">
        <w:rPr>
          <w:rtl/>
          <w:lang w:bidi="ar-SY"/>
        </w:rPr>
        <w:t xml:space="preserve"> </w:t>
      </w:r>
      <w:r w:rsidR="00F32B28" w:rsidRPr="00F32B28">
        <w:rPr>
          <w:rtl/>
          <w:lang w:bidi="ar-SY"/>
        </w:rPr>
        <w:t>التجارية</w:t>
      </w:r>
      <w:r w:rsidR="00F32B28">
        <w:rPr>
          <w:rtl/>
          <w:lang w:bidi="ar-SY"/>
        </w:rPr>
        <w:t xml:space="preserve"> </w:t>
      </w:r>
      <w:r w:rsidR="00F32B28" w:rsidRPr="00F32B28">
        <w:rPr>
          <w:rtl/>
          <w:lang w:bidi="ar-SY"/>
        </w:rPr>
        <w:t>والمدنية،</w:t>
      </w:r>
      <w:r w:rsidR="00F32B28">
        <w:rPr>
          <w:rtl/>
          <w:lang w:bidi="ar-SY"/>
        </w:rPr>
        <w:t xml:space="preserve"> </w:t>
      </w:r>
      <w:r w:rsidR="00F32B28" w:rsidRPr="00F32B28">
        <w:rPr>
          <w:rtl/>
          <w:lang w:bidi="ar-SY"/>
        </w:rPr>
        <w:t>وقانون</w:t>
      </w:r>
      <w:r w:rsidR="00F32B28">
        <w:rPr>
          <w:rtl/>
          <w:lang w:bidi="ar-SY"/>
        </w:rPr>
        <w:t xml:space="preserve"> </w:t>
      </w:r>
      <w:r w:rsidR="00F32B28" w:rsidRPr="00F32B28">
        <w:rPr>
          <w:rtl/>
          <w:lang w:bidi="ar-SY"/>
        </w:rPr>
        <w:t>المالكين</w:t>
      </w:r>
      <w:r w:rsidR="00F32B28">
        <w:rPr>
          <w:rtl/>
          <w:lang w:bidi="ar-SY"/>
        </w:rPr>
        <w:t xml:space="preserve"> </w:t>
      </w:r>
      <w:r w:rsidR="00F32B28" w:rsidRPr="00F32B28">
        <w:rPr>
          <w:rtl/>
          <w:lang w:bidi="ar-SY"/>
        </w:rPr>
        <w:t>والمستأجرين،</w:t>
      </w:r>
      <w:r w:rsidR="00F32B28">
        <w:rPr>
          <w:rtl/>
          <w:lang w:bidi="ar-SY"/>
        </w:rPr>
        <w:t xml:space="preserve"> </w:t>
      </w:r>
      <w:r w:rsidR="00F32B28" w:rsidRPr="00F32B28">
        <w:rPr>
          <w:rtl/>
          <w:lang w:bidi="ar-SY"/>
        </w:rPr>
        <w:t>وقانون</w:t>
      </w:r>
      <w:r w:rsidR="00F32B28">
        <w:rPr>
          <w:rtl/>
          <w:lang w:bidi="ar-SY"/>
        </w:rPr>
        <w:t xml:space="preserve"> </w:t>
      </w:r>
      <w:r w:rsidR="00F32B28" w:rsidRPr="00F32B28">
        <w:rPr>
          <w:rtl/>
          <w:lang w:bidi="ar-SY"/>
        </w:rPr>
        <w:t>حقوق</w:t>
      </w:r>
      <w:r w:rsidR="00F32B28">
        <w:rPr>
          <w:rtl/>
          <w:lang w:bidi="ar-SY"/>
        </w:rPr>
        <w:t xml:space="preserve"> </w:t>
      </w:r>
      <w:r w:rsidR="00F32B28" w:rsidRPr="00F32B28">
        <w:rPr>
          <w:rtl/>
          <w:lang w:bidi="ar-SY"/>
        </w:rPr>
        <w:t>المعوقين،</w:t>
      </w:r>
      <w:r w:rsidR="00F32B28">
        <w:rPr>
          <w:rtl/>
          <w:lang w:bidi="ar-SY"/>
        </w:rPr>
        <w:t xml:space="preserve"> </w:t>
      </w:r>
      <w:r w:rsidR="00F32B28" w:rsidRPr="00F32B28">
        <w:rPr>
          <w:rtl/>
          <w:lang w:bidi="ar-SY"/>
        </w:rPr>
        <w:t>وقانون</w:t>
      </w:r>
      <w:r w:rsidR="00F32B28">
        <w:rPr>
          <w:rtl/>
          <w:lang w:bidi="ar-SY"/>
        </w:rPr>
        <w:t xml:space="preserve"> </w:t>
      </w:r>
      <w:r w:rsidR="00F32B28" w:rsidRPr="00F32B28">
        <w:rPr>
          <w:rtl/>
          <w:lang w:bidi="ar-SY"/>
        </w:rPr>
        <w:t>السجون،</w:t>
      </w:r>
      <w:r w:rsidR="00F32B28">
        <w:rPr>
          <w:rtl/>
          <w:lang w:bidi="ar-SY"/>
        </w:rPr>
        <w:t xml:space="preserve"> </w:t>
      </w:r>
      <w:r w:rsidR="00F32B28" w:rsidRPr="00F32B28">
        <w:rPr>
          <w:rtl/>
          <w:lang w:bidi="ar-SY"/>
        </w:rPr>
        <w:t>وقوانين</w:t>
      </w:r>
      <w:r w:rsidR="00F32B28">
        <w:rPr>
          <w:rtl/>
          <w:lang w:bidi="ar-SY"/>
        </w:rPr>
        <w:t xml:space="preserve"> </w:t>
      </w:r>
      <w:r w:rsidR="00F32B28" w:rsidRPr="00F32B28">
        <w:rPr>
          <w:rtl/>
          <w:lang w:bidi="ar-SY"/>
        </w:rPr>
        <w:t>المهن،</w:t>
      </w:r>
      <w:r w:rsidR="0001622C">
        <w:rPr>
          <w:rFonts w:hint="cs"/>
          <w:rtl/>
          <w:lang w:bidi="ar-SY"/>
        </w:rPr>
        <w:t xml:space="preserve"> </w:t>
      </w:r>
      <w:r w:rsidR="00F32B28" w:rsidRPr="00F32B28">
        <w:rPr>
          <w:rtl/>
          <w:lang w:bidi="ar-SY"/>
        </w:rPr>
        <w:t>وقانون</w:t>
      </w:r>
      <w:r w:rsidR="00F32B28">
        <w:rPr>
          <w:rtl/>
          <w:lang w:bidi="ar-SY"/>
        </w:rPr>
        <w:t xml:space="preserve"> </w:t>
      </w:r>
      <w:r w:rsidR="00F32B28" w:rsidRPr="00F32B28">
        <w:rPr>
          <w:rtl/>
          <w:lang w:bidi="ar-SY"/>
        </w:rPr>
        <w:t>البيئة</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بالإضافة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الأخرى</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تم</w:t>
      </w:r>
      <w:r w:rsidR="00F32B28">
        <w:rPr>
          <w:rtl/>
          <w:lang w:bidi="ar-SY"/>
        </w:rPr>
        <w:t xml:space="preserve"> </w:t>
      </w:r>
      <w:r w:rsidR="00F32B28" w:rsidRPr="00F32B28">
        <w:rPr>
          <w:rtl/>
          <w:lang w:bidi="ar-SY"/>
        </w:rPr>
        <w:t>بيانها</w:t>
      </w:r>
      <w:r w:rsidR="00F32B28">
        <w:rPr>
          <w:rtl/>
          <w:lang w:bidi="ar-SY"/>
        </w:rPr>
        <w:t xml:space="preserve"> </w:t>
      </w:r>
      <w:r w:rsidR="00F32B28" w:rsidRPr="00F32B28">
        <w:rPr>
          <w:rtl/>
          <w:lang w:bidi="ar-SY"/>
        </w:rPr>
        <w:t>سابقاً.</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أنه</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تزال</w:t>
      </w:r>
      <w:r w:rsidR="00F32B28">
        <w:rPr>
          <w:rtl/>
          <w:lang w:bidi="ar-SY"/>
        </w:rPr>
        <w:t xml:space="preserve"> </w:t>
      </w:r>
      <w:r w:rsidR="00F32B28" w:rsidRPr="00F32B28">
        <w:rPr>
          <w:rtl/>
          <w:lang w:bidi="ar-SY"/>
        </w:rPr>
        <w:t>هناك</w:t>
      </w:r>
      <w:r w:rsidR="00F32B28">
        <w:rPr>
          <w:rtl/>
          <w:lang w:bidi="ar-SY"/>
        </w:rPr>
        <w:t xml:space="preserve"> </w:t>
      </w:r>
      <w:r w:rsidR="00F32B28" w:rsidRPr="00F32B28">
        <w:rPr>
          <w:rtl/>
          <w:lang w:bidi="ar-SY"/>
        </w:rPr>
        <w:t>نصوصاً</w:t>
      </w:r>
      <w:r w:rsidR="00F32B28">
        <w:rPr>
          <w:rtl/>
          <w:lang w:bidi="ar-SY"/>
        </w:rPr>
        <w:t xml:space="preserve"> </w:t>
      </w:r>
      <w:r w:rsidR="00F32B28" w:rsidRPr="00F32B28">
        <w:rPr>
          <w:rtl/>
          <w:lang w:bidi="ar-SY"/>
        </w:rPr>
        <w:t>مجحفة</w:t>
      </w:r>
      <w:r w:rsidR="00F32B28">
        <w:rPr>
          <w:rtl/>
          <w:lang w:bidi="ar-SY"/>
        </w:rPr>
        <w:t xml:space="preserve"> </w:t>
      </w:r>
      <w:r w:rsidR="00F32B28" w:rsidRPr="00F32B28">
        <w:rPr>
          <w:rtl/>
          <w:lang w:bidi="ar-SY"/>
        </w:rPr>
        <w:t>بحق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القوانين</w:t>
      </w:r>
      <w:r w:rsidR="00F32B28">
        <w:rPr>
          <w:rtl/>
          <w:lang w:bidi="ar-SY"/>
        </w:rPr>
        <w:t xml:space="preserve"> </w:t>
      </w:r>
      <w:r w:rsidR="00F32B28" w:rsidRPr="00F32B28">
        <w:rPr>
          <w:rtl/>
          <w:lang w:bidi="ar-SY"/>
        </w:rPr>
        <w:t>الموروثة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الحقب</w:t>
      </w:r>
      <w:r w:rsidR="00F32B28">
        <w:rPr>
          <w:rtl/>
          <w:lang w:bidi="ar-SY"/>
        </w:rPr>
        <w:t xml:space="preserve"> </w:t>
      </w:r>
      <w:r w:rsidR="00F32B28" w:rsidRPr="00F32B28">
        <w:rPr>
          <w:rtl/>
          <w:lang w:bidi="ar-SY"/>
        </w:rPr>
        <w:t>السابقة،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العقوبات</w:t>
      </w:r>
      <w:r w:rsidR="00F32B28">
        <w:rPr>
          <w:rtl/>
          <w:lang w:bidi="ar-SY"/>
        </w:rPr>
        <w:t xml:space="preserve"> </w:t>
      </w:r>
      <w:r w:rsidR="00F32B28" w:rsidRPr="00F32B28">
        <w:rPr>
          <w:rtl/>
          <w:lang w:bidi="ar-SY"/>
        </w:rPr>
        <w:t>وقانون</w:t>
      </w:r>
      <w:r w:rsidR="00F32B28">
        <w:rPr>
          <w:rtl/>
          <w:lang w:bidi="ar-SY"/>
        </w:rPr>
        <w:t xml:space="preserve"> </w:t>
      </w:r>
      <w:r w:rsidR="00F32B28" w:rsidRPr="00F32B28">
        <w:rPr>
          <w:rtl/>
          <w:lang w:bidi="ar-SY"/>
        </w:rPr>
        <w:t>الأحوال</w:t>
      </w:r>
      <w:r w:rsidR="00F32B28">
        <w:rPr>
          <w:rtl/>
          <w:lang w:bidi="ar-SY"/>
        </w:rPr>
        <w:t xml:space="preserve"> </w:t>
      </w:r>
      <w:r w:rsidR="00F32B28" w:rsidRPr="00F32B28">
        <w:rPr>
          <w:rtl/>
          <w:lang w:bidi="ar-SY"/>
        </w:rPr>
        <w:t>الشخصية.</w:t>
      </w:r>
    </w:p>
    <w:p w:rsidR="00891A4B" w:rsidRPr="00891A4B" w:rsidRDefault="00891A4B" w:rsidP="00891A4B">
      <w:pPr>
        <w:pStyle w:val="SingleTxt"/>
        <w:spacing w:after="0" w:line="120" w:lineRule="exact"/>
        <w:rPr>
          <w:b/>
          <w:bCs/>
          <w:sz w:val="10"/>
          <w:rtl/>
          <w:lang w:bidi="ar-SY"/>
        </w:rPr>
      </w:pPr>
    </w:p>
    <w:p w:rsidR="00F32B28" w:rsidRPr="00F32B28" w:rsidRDefault="00F32B28" w:rsidP="00F32B28">
      <w:pPr>
        <w:pStyle w:val="SingleTxt"/>
        <w:rPr>
          <w:rtl/>
        </w:rPr>
      </w:pPr>
      <w:r w:rsidRPr="00F32B28">
        <w:rPr>
          <w:b/>
          <w:bCs/>
          <w:rtl/>
          <w:lang w:bidi="ar-SY"/>
        </w:rPr>
        <w:t>المساواة</w:t>
      </w:r>
      <w:r>
        <w:rPr>
          <w:b/>
          <w:bCs/>
          <w:rtl/>
          <w:lang w:bidi="ar-SY"/>
        </w:rPr>
        <w:t xml:space="preserve"> </w:t>
      </w:r>
      <w:r w:rsidRPr="00F32B28">
        <w:rPr>
          <w:b/>
          <w:bCs/>
          <w:rtl/>
          <w:lang w:bidi="ar-SY"/>
        </w:rPr>
        <w:t>في</w:t>
      </w:r>
      <w:r>
        <w:rPr>
          <w:b/>
          <w:bCs/>
          <w:rtl/>
          <w:lang w:bidi="ar-SY"/>
        </w:rPr>
        <w:t xml:space="preserve"> </w:t>
      </w:r>
      <w:r w:rsidRPr="00F32B28">
        <w:rPr>
          <w:b/>
          <w:bCs/>
          <w:rtl/>
          <w:lang w:bidi="ar-SY"/>
        </w:rPr>
        <w:t>الأهلية</w:t>
      </w:r>
      <w:r>
        <w:rPr>
          <w:b/>
          <w:bCs/>
          <w:rtl/>
          <w:lang w:bidi="ar-SY"/>
        </w:rPr>
        <w:t xml:space="preserve"> </w:t>
      </w:r>
      <w:r w:rsidRPr="00F32B28">
        <w:rPr>
          <w:b/>
          <w:bCs/>
          <w:rtl/>
          <w:lang w:bidi="ar-SY"/>
        </w:rPr>
        <w:t>القانونية</w:t>
      </w:r>
    </w:p>
    <w:p w:rsidR="00F32B28" w:rsidRPr="00F32B28" w:rsidRDefault="00891A4B" w:rsidP="00337510">
      <w:pPr>
        <w:pStyle w:val="SingleTxt"/>
        <w:spacing w:line="340" w:lineRule="exact"/>
        <w:ind w:left="1267" w:right="1267"/>
        <w:rPr>
          <w:rtl/>
        </w:rPr>
      </w:pPr>
      <w:r>
        <w:rPr>
          <w:rFonts w:hint="cs"/>
          <w:rtl/>
          <w:lang w:bidi="ar-SY"/>
        </w:rPr>
        <w:t xml:space="preserve">311 - </w:t>
      </w:r>
      <w:r w:rsidR="00F32B28" w:rsidRPr="00F32B28">
        <w:rPr>
          <w:rtl/>
          <w:lang w:bidi="ar-SY"/>
        </w:rPr>
        <w:t>لا</w:t>
      </w:r>
      <w:r w:rsidR="00F32B28">
        <w:rPr>
          <w:rtl/>
          <w:lang w:bidi="ar-SY"/>
        </w:rPr>
        <w:t xml:space="preserve"> </w:t>
      </w:r>
      <w:r w:rsidR="00F32B28" w:rsidRPr="00F32B28">
        <w:rPr>
          <w:rtl/>
          <w:lang w:bidi="ar-SY"/>
        </w:rPr>
        <w:t>يوجد</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القوانين</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نص</w:t>
      </w:r>
      <w:r w:rsidR="00F32B28">
        <w:rPr>
          <w:rtl/>
          <w:lang w:bidi="ar-SY"/>
        </w:rPr>
        <w:t xml:space="preserve"> </w:t>
      </w:r>
      <w:r w:rsidR="00F32B28" w:rsidRPr="00F32B28">
        <w:rPr>
          <w:rtl/>
          <w:lang w:bidi="ar-SY"/>
        </w:rPr>
        <w:t>يحول</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تمتع</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بالأهلية</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قدم</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يتعلق</w:t>
      </w:r>
      <w:r w:rsidR="00F32B28">
        <w:rPr>
          <w:rtl/>
          <w:lang w:bidi="ar-SY"/>
        </w:rPr>
        <w:t xml:space="preserve"> </w:t>
      </w:r>
      <w:r w:rsidR="00F32B28" w:rsidRPr="00F32B28">
        <w:rPr>
          <w:rtl/>
          <w:lang w:bidi="ar-SY"/>
        </w:rPr>
        <w:t>بالقيام</w:t>
      </w:r>
      <w:r w:rsidR="00F32B28">
        <w:rPr>
          <w:rtl/>
          <w:lang w:bidi="ar-SY"/>
        </w:rPr>
        <w:t xml:space="preserve"> </w:t>
      </w:r>
      <w:r w:rsidR="00F32B28" w:rsidRPr="00F32B28">
        <w:rPr>
          <w:rtl/>
          <w:lang w:bidi="ar-SY"/>
        </w:rPr>
        <w:t>بالتصرفات</w:t>
      </w:r>
      <w:r w:rsidR="00F32B28">
        <w:rPr>
          <w:rtl/>
          <w:lang w:bidi="ar-SY"/>
        </w:rPr>
        <w:t xml:space="preserve"> </w:t>
      </w:r>
      <w:r w:rsidR="00F32B28" w:rsidRPr="00F32B28">
        <w:rPr>
          <w:rtl/>
          <w:lang w:bidi="ar-SY"/>
        </w:rPr>
        <w:t>القانونية،</w:t>
      </w:r>
      <w:r w:rsidR="00F32B28">
        <w:rPr>
          <w:rtl/>
          <w:lang w:bidi="ar-SY"/>
        </w:rPr>
        <w:t xml:space="preserve"> </w:t>
      </w:r>
      <w:r w:rsidR="00F32B28" w:rsidRPr="00F32B28">
        <w:rPr>
          <w:rtl/>
          <w:lang w:bidi="ar-SY"/>
        </w:rPr>
        <w:t>باستثناء</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النصوص</w:t>
      </w:r>
      <w:r w:rsidR="00F32B28">
        <w:rPr>
          <w:rtl/>
          <w:lang w:bidi="ar-SY"/>
        </w:rPr>
        <w:t xml:space="preserve"> </w:t>
      </w:r>
      <w:r w:rsidR="00F32B28" w:rsidRPr="00F32B28">
        <w:rPr>
          <w:rtl/>
          <w:lang w:bidi="ar-SY"/>
        </w:rPr>
        <w:t>الآتي</w:t>
      </w:r>
      <w:r w:rsidR="00F32B28">
        <w:rPr>
          <w:rtl/>
          <w:lang w:bidi="ar-SY"/>
        </w:rPr>
        <w:t xml:space="preserve"> </w:t>
      </w:r>
      <w:r w:rsidR="00F32B28" w:rsidRPr="00F32B28">
        <w:rPr>
          <w:rtl/>
          <w:lang w:bidi="ar-SY"/>
        </w:rPr>
        <w:t>ذكرها؛</w:t>
      </w:r>
      <w:r w:rsidR="00F32B28">
        <w:rPr>
          <w:rtl/>
          <w:lang w:bidi="ar-SY"/>
        </w:rPr>
        <w:t xml:space="preserve"> </w:t>
      </w:r>
      <w:r w:rsidR="00F32B28" w:rsidRPr="00F32B28">
        <w:rPr>
          <w:rtl/>
          <w:lang w:bidi="ar-SY"/>
        </w:rPr>
        <w:t>فالمرأة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كاملة</w:t>
      </w:r>
      <w:r w:rsidR="00F32B28">
        <w:rPr>
          <w:rtl/>
          <w:lang w:bidi="ar-SY"/>
        </w:rPr>
        <w:t xml:space="preserve"> </w:t>
      </w:r>
      <w:r w:rsidR="00F32B28" w:rsidRPr="00F32B28">
        <w:rPr>
          <w:rtl/>
          <w:lang w:bidi="ar-SY"/>
        </w:rPr>
        <w:t>الأهلية</w:t>
      </w:r>
      <w:r w:rsidR="00F32B28">
        <w:rPr>
          <w:rtl/>
          <w:lang w:bidi="ar-SY"/>
        </w:rPr>
        <w:t xml:space="preserve"> </w:t>
      </w:r>
      <w:r w:rsidR="00F32B28" w:rsidRPr="00F32B28">
        <w:rPr>
          <w:rtl/>
          <w:lang w:bidi="ar-SY"/>
        </w:rPr>
        <w:t>ببلوغها</w:t>
      </w:r>
      <w:r w:rsidR="00F32B28">
        <w:rPr>
          <w:rtl/>
          <w:lang w:bidi="ar-SY"/>
        </w:rPr>
        <w:t xml:space="preserve"> </w:t>
      </w:r>
      <w:r w:rsidR="00F32B28" w:rsidRPr="00F32B28">
        <w:rPr>
          <w:rtl/>
          <w:lang w:bidi="ar-SY"/>
        </w:rPr>
        <w:t>سن</w:t>
      </w:r>
      <w:r w:rsidR="00F32B28">
        <w:rPr>
          <w:rtl/>
          <w:lang w:bidi="ar-SY"/>
        </w:rPr>
        <w:t xml:space="preserve"> </w:t>
      </w:r>
      <w:r w:rsidR="00F32B28" w:rsidRPr="00F32B28">
        <w:rPr>
          <w:rtl/>
          <w:lang w:bidi="ar-SY"/>
        </w:rPr>
        <w:t>الثامنة</w:t>
      </w:r>
      <w:r w:rsidR="00F32B28">
        <w:rPr>
          <w:rtl/>
          <w:lang w:bidi="ar-SY"/>
        </w:rPr>
        <w:t xml:space="preserve"> </w:t>
      </w:r>
      <w:r w:rsidR="00F32B28" w:rsidRPr="00F32B28">
        <w:rPr>
          <w:rtl/>
          <w:lang w:bidi="ar-SY"/>
        </w:rPr>
        <w:t>عشرة</w:t>
      </w:r>
      <w:r w:rsidR="00F32B28">
        <w:rPr>
          <w:rtl/>
          <w:lang w:bidi="ar-SY"/>
        </w:rPr>
        <w:t xml:space="preserve"> </w:t>
      </w:r>
      <w:r w:rsidR="00F32B28" w:rsidRPr="00F32B28">
        <w:rPr>
          <w:rtl/>
          <w:lang w:bidi="ar-SY"/>
        </w:rPr>
        <w:t>وبغض</w:t>
      </w:r>
      <w:r w:rsidR="00F32B28">
        <w:rPr>
          <w:rtl/>
          <w:lang w:bidi="ar-SY"/>
        </w:rPr>
        <w:t xml:space="preserve"> </w:t>
      </w:r>
      <w:r w:rsidR="00F32B28" w:rsidRPr="00F32B28">
        <w:rPr>
          <w:rtl/>
          <w:lang w:bidi="ar-SY"/>
        </w:rPr>
        <w:t>النظر</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حالتها</w:t>
      </w:r>
      <w:r w:rsidR="00F32B28">
        <w:rPr>
          <w:rtl/>
          <w:lang w:bidi="ar-SY"/>
        </w:rPr>
        <w:t xml:space="preserve"> </w:t>
      </w:r>
      <w:r w:rsidR="00F32B28" w:rsidRPr="00F32B28">
        <w:rPr>
          <w:rtl/>
          <w:lang w:bidi="ar-SY"/>
        </w:rPr>
        <w:t>الاجتماعية.</w:t>
      </w:r>
      <w:r>
        <w:rPr>
          <w:rFonts w:hint="cs"/>
          <w:rtl/>
          <w:lang w:bidi="ar-SY"/>
        </w:rPr>
        <w:t xml:space="preserve"> </w:t>
      </w:r>
      <w:r w:rsidR="00F32B28" w:rsidRPr="00F32B28">
        <w:rPr>
          <w:rtl/>
          <w:lang w:bidi="ar-SY"/>
        </w:rPr>
        <w:t>فبخصوص</w:t>
      </w:r>
      <w:r w:rsidR="00F32B28">
        <w:rPr>
          <w:rtl/>
          <w:lang w:bidi="ar-SY"/>
        </w:rPr>
        <w:t xml:space="preserve"> </w:t>
      </w:r>
      <w:r w:rsidR="00F32B28" w:rsidRPr="00F32B28">
        <w:rPr>
          <w:rtl/>
          <w:lang w:bidi="ar-SY"/>
        </w:rPr>
        <w:t>أهلية</w:t>
      </w:r>
      <w:r w:rsidR="00F32B28">
        <w:rPr>
          <w:rtl/>
          <w:lang w:bidi="ar-SY"/>
        </w:rPr>
        <w:t xml:space="preserve"> </w:t>
      </w:r>
      <w:r w:rsidR="00F32B28" w:rsidRPr="00F32B28">
        <w:rPr>
          <w:rtl/>
          <w:lang w:bidi="ar-SY"/>
        </w:rPr>
        <w:t>الأداء</w:t>
      </w:r>
      <w:r w:rsidR="00F32B28">
        <w:rPr>
          <w:rtl/>
          <w:lang w:bidi="ar-SY"/>
        </w:rPr>
        <w:t xml:space="preserve"> </w:t>
      </w:r>
      <w:r w:rsidR="00F32B28" w:rsidRPr="00F32B28">
        <w:rPr>
          <w:rtl/>
          <w:lang w:bidi="ar-SY"/>
        </w:rPr>
        <w:t>وأهلية</w:t>
      </w:r>
      <w:r w:rsidR="00F32B28">
        <w:rPr>
          <w:rtl/>
          <w:lang w:bidi="ar-SY"/>
        </w:rPr>
        <w:t xml:space="preserve"> </w:t>
      </w:r>
      <w:r w:rsidR="00F32B28" w:rsidRPr="00F32B28">
        <w:rPr>
          <w:rtl/>
          <w:lang w:bidi="ar-SY"/>
        </w:rPr>
        <w:t>الوجوب،</w:t>
      </w:r>
      <w:r w:rsidR="00F32B28">
        <w:rPr>
          <w:rtl/>
          <w:lang w:bidi="ar-SY"/>
        </w:rPr>
        <w:t xml:space="preserve"> </w:t>
      </w:r>
      <w:r w:rsidR="00F32B28" w:rsidRPr="00F32B28">
        <w:rPr>
          <w:rtl/>
          <w:lang w:bidi="ar-SY"/>
        </w:rPr>
        <w:t>تتمتع</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بأهلية</w:t>
      </w:r>
      <w:r w:rsidR="00F32B28">
        <w:rPr>
          <w:rtl/>
          <w:lang w:bidi="ar-SY"/>
        </w:rPr>
        <w:t xml:space="preserve"> </w:t>
      </w:r>
      <w:r w:rsidR="00F32B28" w:rsidRPr="00F32B28">
        <w:rPr>
          <w:rtl/>
          <w:lang w:bidi="ar-SY"/>
        </w:rPr>
        <w:t>قانونية</w:t>
      </w:r>
      <w:r w:rsidR="00F32B28">
        <w:rPr>
          <w:rtl/>
          <w:lang w:bidi="ar-SY"/>
        </w:rPr>
        <w:t xml:space="preserve"> </w:t>
      </w:r>
      <w:r w:rsidR="00F32B28" w:rsidRPr="00F32B28">
        <w:rPr>
          <w:rtl/>
          <w:lang w:bidi="ar-SY"/>
        </w:rPr>
        <w:t>مماثلة</w:t>
      </w:r>
      <w:r w:rsidR="00F32B28">
        <w:rPr>
          <w:rtl/>
          <w:lang w:bidi="ar-SY"/>
        </w:rPr>
        <w:t xml:space="preserve"> </w:t>
      </w:r>
      <w:r w:rsidR="00F32B28" w:rsidRPr="00F32B28">
        <w:rPr>
          <w:rtl/>
          <w:lang w:bidi="ar-SY"/>
        </w:rPr>
        <w:t>لأهلية</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ممارسة</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الأعمال</w:t>
      </w:r>
      <w:r w:rsidR="00F32B28">
        <w:rPr>
          <w:rtl/>
          <w:lang w:bidi="ar-SY"/>
        </w:rPr>
        <w:t xml:space="preserve"> </w:t>
      </w:r>
      <w:r w:rsidR="00F32B28" w:rsidRPr="00F32B28">
        <w:rPr>
          <w:rtl/>
          <w:lang w:bidi="ar-SY"/>
        </w:rPr>
        <w:t>المدنية</w:t>
      </w:r>
      <w:r w:rsidR="00F32B28">
        <w:rPr>
          <w:rtl/>
          <w:lang w:bidi="ar-SY"/>
        </w:rPr>
        <w:t xml:space="preserve"> </w:t>
      </w:r>
      <w:r w:rsidR="00F32B28" w:rsidRPr="00F32B28">
        <w:rPr>
          <w:rtl/>
          <w:lang w:bidi="ar-SY"/>
        </w:rPr>
        <w:t>والتجارية</w:t>
      </w:r>
      <w:r w:rsidR="00F32B28">
        <w:rPr>
          <w:rtl/>
          <w:lang w:bidi="ar-SY"/>
        </w:rPr>
        <w:t xml:space="preserve"> </w:t>
      </w:r>
      <w:r w:rsidR="00F32B28" w:rsidRPr="00F32B28">
        <w:rPr>
          <w:rtl/>
          <w:lang w:bidi="ar-SY"/>
        </w:rPr>
        <w:t>ومباشرتها</w:t>
      </w:r>
      <w:r w:rsidR="00F32B28">
        <w:rPr>
          <w:rtl/>
          <w:lang w:bidi="ar-SY"/>
        </w:rPr>
        <w:t xml:space="preserve"> </w:t>
      </w:r>
      <w:r w:rsidR="00F32B28" w:rsidRPr="00F32B28">
        <w:rPr>
          <w:rtl/>
          <w:lang w:bidi="ar-SY"/>
        </w:rPr>
        <w:t>بنفسها</w:t>
      </w:r>
      <w:r w:rsidR="00F32B28">
        <w:rPr>
          <w:rtl/>
          <w:lang w:bidi="ar-SY"/>
        </w:rPr>
        <w:t xml:space="preserve"> </w:t>
      </w:r>
      <w:r w:rsidR="00F32B28" w:rsidRPr="00F32B28">
        <w:rPr>
          <w:rtl/>
          <w:lang w:bidi="ar-SY"/>
        </w:rPr>
        <w:t>بالأصالة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نفسها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بالوكالة</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غيرها،</w:t>
      </w:r>
      <w:r w:rsidR="00F32B28">
        <w:rPr>
          <w:rtl/>
          <w:lang w:bidi="ar-SY"/>
        </w:rPr>
        <w:t xml:space="preserve"> </w:t>
      </w:r>
      <w:r w:rsidR="00F32B28" w:rsidRPr="00F32B28">
        <w:rPr>
          <w:rtl/>
          <w:lang w:bidi="ar-SY"/>
        </w:rPr>
        <w:t>كإبرام</w:t>
      </w:r>
      <w:r w:rsidR="00F32B28">
        <w:rPr>
          <w:rtl/>
          <w:lang w:bidi="ar-SY"/>
        </w:rPr>
        <w:t xml:space="preserve"> </w:t>
      </w:r>
      <w:r w:rsidR="00F32B28" w:rsidRPr="00F32B28">
        <w:rPr>
          <w:rtl/>
          <w:lang w:bidi="ar-SY"/>
        </w:rPr>
        <w:t>العقود</w:t>
      </w:r>
      <w:r w:rsidR="00F32B28">
        <w:rPr>
          <w:rtl/>
          <w:lang w:bidi="ar-SY"/>
        </w:rPr>
        <w:t xml:space="preserve"> </w:t>
      </w:r>
      <w:r w:rsidR="00F32B28" w:rsidRPr="00F32B28">
        <w:rPr>
          <w:rtl/>
          <w:lang w:bidi="ar-SY"/>
        </w:rPr>
        <w:t>وإدارة</w:t>
      </w:r>
      <w:r w:rsidR="00F32B28">
        <w:rPr>
          <w:rtl/>
          <w:lang w:bidi="ar-SY"/>
        </w:rPr>
        <w:t xml:space="preserve"> </w:t>
      </w:r>
      <w:r w:rsidR="00F32B28" w:rsidRPr="00F32B28">
        <w:rPr>
          <w:rtl/>
          <w:lang w:bidi="ar-SY"/>
        </w:rPr>
        <w:t>الممتلكات</w:t>
      </w:r>
      <w:r w:rsidR="00F32B28">
        <w:rPr>
          <w:rtl/>
          <w:lang w:bidi="ar-SY"/>
        </w:rPr>
        <w:t xml:space="preserve"> </w:t>
      </w:r>
      <w:r w:rsidR="00F32B28" w:rsidRPr="00F32B28">
        <w:rPr>
          <w:rtl/>
          <w:lang w:bidi="ar-SY"/>
        </w:rPr>
        <w:t>والمشاريع</w:t>
      </w:r>
      <w:r w:rsidR="00F32B28">
        <w:rPr>
          <w:rtl/>
          <w:lang w:bidi="ar-SY"/>
        </w:rPr>
        <w:t xml:space="preserve"> </w:t>
      </w:r>
      <w:r w:rsidR="00F32B28" w:rsidRPr="00F32B28">
        <w:rPr>
          <w:rtl/>
          <w:lang w:bidi="ar-SY"/>
        </w:rPr>
        <w:t>والشركات.</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تتمتع</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بالأهلية</w:t>
      </w:r>
      <w:r w:rsidR="00F32B28">
        <w:rPr>
          <w:rtl/>
          <w:lang w:bidi="ar-SY"/>
        </w:rPr>
        <w:t xml:space="preserve"> </w:t>
      </w:r>
      <w:r w:rsidR="00F32B28" w:rsidRPr="00F32B28">
        <w:rPr>
          <w:rtl/>
          <w:lang w:bidi="ar-SY"/>
        </w:rPr>
        <w:t>التامة</w:t>
      </w:r>
      <w:r w:rsidR="00F32B28">
        <w:rPr>
          <w:rtl/>
          <w:lang w:bidi="ar-SY"/>
        </w:rPr>
        <w:t xml:space="preserve"> </w:t>
      </w:r>
      <w:r w:rsidR="00F32B28" w:rsidRPr="00F32B28">
        <w:rPr>
          <w:rtl/>
          <w:lang w:bidi="ar-SY"/>
        </w:rPr>
        <w:t>للالتزام</w:t>
      </w:r>
      <w:r w:rsidR="00F32B28">
        <w:rPr>
          <w:rtl/>
          <w:lang w:bidi="ar-SY"/>
        </w:rPr>
        <w:t xml:space="preserve"> </w:t>
      </w:r>
      <w:r w:rsidR="00F32B28" w:rsidRPr="00F32B28">
        <w:rPr>
          <w:rtl/>
          <w:lang w:bidi="ar-SY"/>
        </w:rPr>
        <w:t>والإلزام</w:t>
      </w:r>
      <w:r w:rsidR="00F32B28">
        <w:rPr>
          <w:rtl/>
          <w:lang w:bidi="ar-SY"/>
        </w:rPr>
        <w:t xml:space="preserve"> </w:t>
      </w:r>
      <w:r w:rsidR="00F32B28" w:rsidRPr="00F32B28">
        <w:rPr>
          <w:rtl/>
          <w:lang w:bidi="ar-SY"/>
        </w:rPr>
        <w:t>وإبرام</w:t>
      </w:r>
      <w:r w:rsidR="00F32B28">
        <w:rPr>
          <w:rtl/>
          <w:lang w:bidi="ar-SY"/>
        </w:rPr>
        <w:t xml:space="preserve"> </w:t>
      </w:r>
      <w:r w:rsidR="00F32B28" w:rsidRPr="00F32B28">
        <w:rPr>
          <w:rtl/>
          <w:lang w:bidi="ar-SY"/>
        </w:rPr>
        <w:t>العقود</w:t>
      </w:r>
      <w:r w:rsidR="00F32B28">
        <w:rPr>
          <w:rtl/>
          <w:lang w:bidi="ar-SY"/>
        </w:rPr>
        <w:t xml:space="preserve"> </w:t>
      </w:r>
      <w:r w:rsidR="00F32B28" w:rsidRPr="00F32B28">
        <w:rPr>
          <w:rtl/>
          <w:lang w:bidi="ar-SY"/>
        </w:rPr>
        <w:t>المتعلقة</w:t>
      </w:r>
      <w:r w:rsidR="00F32B28">
        <w:rPr>
          <w:rtl/>
          <w:lang w:bidi="ar-SY"/>
        </w:rPr>
        <w:t xml:space="preserve"> </w:t>
      </w:r>
      <w:r w:rsidR="00F32B28" w:rsidRPr="00F32B28">
        <w:rPr>
          <w:rtl/>
          <w:lang w:bidi="ar-SY"/>
        </w:rPr>
        <w:t>بالائتمان</w:t>
      </w:r>
      <w:r w:rsidR="00F32B28">
        <w:rPr>
          <w:rtl/>
          <w:lang w:bidi="ar-SY"/>
        </w:rPr>
        <w:t xml:space="preserve"> </w:t>
      </w:r>
      <w:r w:rsidR="00F32B28" w:rsidRPr="00F32B28">
        <w:rPr>
          <w:rtl/>
          <w:lang w:bidi="ar-SY"/>
        </w:rPr>
        <w:t>والعقارات</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وفقاً</w:t>
      </w:r>
      <w:r w:rsidR="00F32B28">
        <w:rPr>
          <w:rtl/>
          <w:lang w:bidi="ar-SY"/>
        </w:rPr>
        <w:t xml:space="preserve"> </w:t>
      </w:r>
      <w:r w:rsidR="00F32B28" w:rsidRPr="00F32B28">
        <w:rPr>
          <w:rtl/>
          <w:lang w:bidi="ar-SY"/>
        </w:rPr>
        <w:t>لذات</w:t>
      </w:r>
      <w:r w:rsidR="00F32B28">
        <w:rPr>
          <w:rtl/>
          <w:lang w:bidi="ar-SY"/>
        </w:rPr>
        <w:t xml:space="preserve"> </w:t>
      </w:r>
      <w:r w:rsidR="00F32B28" w:rsidRPr="00F32B28">
        <w:rPr>
          <w:rtl/>
          <w:lang w:bidi="ar-SY"/>
        </w:rPr>
        <w:t>القواعد</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تحكم</w:t>
      </w:r>
      <w:r w:rsidR="00F32B28">
        <w:rPr>
          <w:rtl/>
          <w:lang w:bidi="ar-SY"/>
        </w:rPr>
        <w:t xml:space="preserve"> </w:t>
      </w:r>
      <w:r w:rsidR="00F32B28" w:rsidRPr="00F32B28">
        <w:rPr>
          <w:rtl/>
          <w:lang w:bidi="ar-SY"/>
        </w:rPr>
        <w:t>تصرفات</w:t>
      </w:r>
      <w:r w:rsidR="00F32B28">
        <w:rPr>
          <w:rtl/>
          <w:lang w:bidi="ar-SY"/>
        </w:rPr>
        <w:t xml:space="preserve"> </w:t>
      </w:r>
      <w:r w:rsidR="00F32B28" w:rsidRPr="00F32B28">
        <w:rPr>
          <w:rtl/>
          <w:lang w:bidi="ar-SY"/>
        </w:rPr>
        <w:t>الرجل.</w:t>
      </w:r>
    </w:p>
    <w:p w:rsidR="00F32B28" w:rsidRPr="00F32B28" w:rsidRDefault="00891A4B" w:rsidP="00891A4B">
      <w:pPr>
        <w:pStyle w:val="SingleTxt"/>
        <w:rPr>
          <w:rtl/>
        </w:rPr>
      </w:pPr>
      <w:r>
        <w:rPr>
          <w:rFonts w:hint="cs"/>
          <w:rtl/>
          <w:lang w:bidi="ar-LB"/>
        </w:rPr>
        <w:lastRenderedPageBreak/>
        <w:t xml:space="preserve">312 - </w:t>
      </w:r>
      <w:r w:rsidR="00F32B28" w:rsidRPr="00F32B28">
        <w:rPr>
          <w:rtl/>
          <w:lang w:bidi="ar-LB"/>
        </w:rPr>
        <w:t>وبخصوص</w:t>
      </w:r>
      <w:r w:rsidR="00F32B28">
        <w:rPr>
          <w:rtl/>
          <w:lang w:bidi="ar-LB"/>
        </w:rPr>
        <w:t xml:space="preserve"> </w:t>
      </w:r>
      <w:r w:rsidR="00F32B28" w:rsidRPr="00F32B28">
        <w:rPr>
          <w:rtl/>
          <w:lang w:bidi="ar-LB"/>
        </w:rPr>
        <w:t>النظام</w:t>
      </w:r>
      <w:r w:rsidR="00F32B28">
        <w:rPr>
          <w:rtl/>
          <w:lang w:bidi="ar-LB"/>
        </w:rPr>
        <w:t xml:space="preserve"> </w:t>
      </w:r>
      <w:r w:rsidR="00F32B28" w:rsidRPr="00F32B28">
        <w:rPr>
          <w:rtl/>
          <w:lang w:bidi="ar-LB"/>
        </w:rPr>
        <w:t>المالي</w:t>
      </w:r>
      <w:r w:rsidR="00F32B28">
        <w:rPr>
          <w:rtl/>
          <w:lang w:bidi="ar-LB"/>
        </w:rPr>
        <w:t xml:space="preserve"> </w:t>
      </w:r>
      <w:r w:rsidR="00F32B28" w:rsidRPr="00F32B28">
        <w:rPr>
          <w:rtl/>
          <w:lang w:bidi="ar-LB"/>
        </w:rPr>
        <w:t>للأزواج،</w:t>
      </w:r>
      <w:r w:rsidR="00F32B28">
        <w:rPr>
          <w:rtl/>
          <w:lang w:bidi="ar-LB"/>
        </w:rPr>
        <w:t xml:space="preserve"> </w:t>
      </w:r>
      <w:r w:rsidR="00F32B28" w:rsidRPr="00F32B28">
        <w:rPr>
          <w:rtl/>
          <w:lang w:bidi="ar-LB"/>
        </w:rPr>
        <w:t>فإن</w:t>
      </w:r>
      <w:r w:rsidR="00F32B28">
        <w:rPr>
          <w:rtl/>
          <w:lang w:bidi="ar-LB"/>
        </w:rPr>
        <w:t xml:space="preserve"> </w:t>
      </w:r>
      <w:r w:rsidR="00F32B28" w:rsidRPr="00F32B28">
        <w:rPr>
          <w:rtl/>
        </w:rPr>
        <w:t>النظام</w:t>
      </w:r>
      <w:r w:rsidR="00F32B28">
        <w:rPr>
          <w:rtl/>
        </w:rPr>
        <w:t xml:space="preserve"> </w:t>
      </w:r>
      <w:r w:rsidR="00F32B28" w:rsidRPr="00F32B28">
        <w:rPr>
          <w:rtl/>
        </w:rPr>
        <w:t>المعمول</w:t>
      </w:r>
      <w:r w:rsidR="00F32B28">
        <w:rPr>
          <w:rtl/>
        </w:rPr>
        <w:t xml:space="preserve"> </w:t>
      </w:r>
      <w:r w:rsidR="00F32B28" w:rsidRPr="00F32B28">
        <w:rPr>
          <w:rtl/>
        </w:rPr>
        <w:t>به</w:t>
      </w:r>
      <w:r w:rsidR="00F32B28">
        <w:rPr>
          <w:rtl/>
        </w:rPr>
        <w:t xml:space="preserve"> </w:t>
      </w:r>
      <w:r w:rsidR="00F32B28" w:rsidRPr="00F32B28">
        <w:rPr>
          <w:rtl/>
        </w:rPr>
        <w:t>في</w:t>
      </w:r>
      <w:r w:rsidR="00F32B28">
        <w:rPr>
          <w:rtl/>
        </w:rPr>
        <w:t xml:space="preserve"> </w:t>
      </w:r>
      <w:r w:rsidR="00F32B28" w:rsidRPr="00F32B28">
        <w:rPr>
          <w:rtl/>
        </w:rPr>
        <w:t>فلسطين</w:t>
      </w:r>
      <w:r w:rsidR="00F32B28">
        <w:rPr>
          <w:rtl/>
        </w:rPr>
        <w:t xml:space="preserve"> </w:t>
      </w:r>
      <w:r w:rsidR="00F32B28" w:rsidRPr="00F32B28">
        <w:rPr>
          <w:rtl/>
        </w:rPr>
        <w:t>هو</w:t>
      </w:r>
      <w:r w:rsidR="00F32B28">
        <w:rPr>
          <w:rtl/>
        </w:rPr>
        <w:t xml:space="preserve"> </w:t>
      </w:r>
      <w:r w:rsidR="00F32B28" w:rsidRPr="00F32B28">
        <w:rPr>
          <w:rtl/>
          <w:lang w:bidi="ar-LB"/>
        </w:rPr>
        <w:t>نظام</w:t>
      </w:r>
      <w:r w:rsidR="00F32B28">
        <w:rPr>
          <w:rtl/>
          <w:lang w:bidi="ar-LB"/>
        </w:rPr>
        <w:t xml:space="preserve"> </w:t>
      </w:r>
      <w:r w:rsidR="00F32B28" w:rsidRPr="00F32B28">
        <w:rPr>
          <w:rtl/>
          <w:lang w:bidi="ar-LB"/>
        </w:rPr>
        <w:t>الملكية</w:t>
      </w:r>
      <w:r w:rsidR="00F32B28">
        <w:rPr>
          <w:rtl/>
          <w:lang w:bidi="ar-LB"/>
        </w:rPr>
        <w:t xml:space="preserve"> </w:t>
      </w:r>
      <w:r w:rsidR="00F32B28" w:rsidRPr="00F32B28">
        <w:rPr>
          <w:rtl/>
          <w:lang w:bidi="ar-LB"/>
        </w:rPr>
        <w:t>المنفصلة،</w:t>
      </w:r>
      <w:r w:rsidR="00F32B28">
        <w:rPr>
          <w:rtl/>
          <w:lang w:bidi="ar-LB"/>
        </w:rPr>
        <w:t xml:space="preserve"> </w:t>
      </w:r>
      <w:r w:rsidR="00F32B28" w:rsidRPr="00F32B28">
        <w:rPr>
          <w:rtl/>
          <w:lang w:bidi="ar-LB"/>
        </w:rPr>
        <w:t>بحيث</w:t>
      </w:r>
      <w:r w:rsidR="00F32B28">
        <w:rPr>
          <w:rtl/>
          <w:lang w:bidi="ar-LB"/>
        </w:rPr>
        <w:t xml:space="preserve"> </w:t>
      </w:r>
      <w:r w:rsidR="00F32B28" w:rsidRPr="00F32B28">
        <w:rPr>
          <w:rtl/>
          <w:lang w:bidi="ar-LB"/>
        </w:rPr>
        <w:t>يحتفظ</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الزوجين</w:t>
      </w:r>
      <w:r w:rsidR="00F32B28">
        <w:rPr>
          <w:rtl/>
          <w:lang w:bidi="ar-LB"/>
        </w:rPr>
        <w:t xml:space="preserve"> </w:t>
      </w:r>
      <w:r w:rsidR="00F32B28" w:rsidRPr="00F32B28">
        <w:rPr>
          <w:rtl/>
          <w:lang w:bidi="ar-LB"/>
        </w:rPr>
        <w:t>بما</w:t>
      </w:r>
      <w:r w:rsidR="00F32B28">
        <w:rPr>
          <w:rtl/>
          <w:lang w:bidi="ar-LB"/>
        </w:rPr>
        <w:t xml:space="preserve"> </w:t>
      </w:r>
      <w:r w:rsidR="00F32B28" w:rsidRPr="00F32B28">
        <w:rPr>
          <w:rtl/>
          <w:lang w:bidi="ar-LB"/>
        </w:rPr>
        <w:t>يملكه</w:t>
      </w:r>
      <w:r w:rsidR="00F32B28">
        <w:rPr>
          <w:rtl/>
          <w:lang w:bidi="ar-LB"/>
        </w:rPr>
        <w:t xml:space="preserve"> </w:t>
      </w:r>
      <w:r w:rsidR="00F32B28" w:rsidRPr="00F32B28">
        <w:rPr>
          <w:rtl/>
          <w:lang w:bidi="ar-LB"/>
        </w:rPr>
        <w:t>وما</w:t>
      </w:r>
      <w:r w:rsidR="00F32B28">
        <w:rPr>
          <w:rtl/>
          <w:lang w:bidi="ar-LB"/>
        </w:rPr>
        <w:t xml:space="preserve"> </w:t>
      </w:r>
      <w:r w:rsidR="00F32B28" w:rsidRPr="00F32B28">
        <w:rPr>
          <w:rtl/>
          <w:lang w:bidi="ar-LB"/>
        </w:rPr>
        <w:t>يجنيه</w:t>
      </w:r>
      <w:r w:rsidR="00F32B28">
        <w:rPr>
          <w:rtl/>
          <w:lang w:bidi="ar-LB"/>
        </w:rPr>
        <w:t xml:space="preserve"> </w:t>
      </w:r>
      <w:r w:rsidR="00F32B28" w:rsidRPr="00F32B28">
        <w:rPr>
          <w:rtl/>
          <w:lang w:bidi="ar-LB"/>
        </w:rPr>
        <w:t>خلال</w:t>
      </w:r>
      <w:r w:rsidR="00F32B28">
        <w:rPr>
          <w:rtl/>
          <w:lang w:bidi="ar-LB"/>
        </w:rPr>
        <w:t xml:space="preserve"> </w:t>
      </w:r>
      <w:r w:rsidR="00F32B28" w:rsidRPr="00F32B28">
        <w:rPr>
          <w:rtl/>
          <w:lang w:bidi="ar-LB"/>
        </w:rPr>
        <w:t>الحياة</w:t>
      </w:r>
      <w:r w:rsidR="00F32B28">
        <w:rPr>
          <w:rtl/>
          <w:lang w:bidi="ar-LB"/>
        </w:rPr>
        <w:t xml:space="preserve"> </w:t>
      </w:r>
      <w:r w:rsidR="00F32B28" w:rsidRPr="00F32B28">
        <w:rPr>
          <w:rtl/>
          <w:lang w:bidi="ar-LB"/>
        </w:rPr>
        <w:t>المشتركة،</w:t>
      </w:r>
      <w:r w:rsidR="00F32B28">
        <w:rPr>
          <w:rtl/>
          <w:lang w:bidi="ar-LB"/>
        </w:rPr>
        <w:t xml:space="preserve"> </w:t>
      </w:r>
      <w:r w:rsidR="00F32B28" w:rsidRPr="00F32B28">
        <w:rPr>
          <w:rtl/>
          <w:lang w:bidi="ar-LB"/>
        </w:rPr>
        <w:t>فتفصل</w:t>
      </w:r>
      <w:r w:rsidR="00F32B28">
        <w:rPr>
          <w:rtl/>
          <w:lang w:bidi="ar-LB"/>
        </w:rPr>
        <w:t xml:space="preserve"> </w:t>
      </w:r>
      <w:r w:rsidR="00F32B28" w:rsidRPr="00F32B28">
        <w:rPr>
          <w:rtl/>
        </w:rPr>
        <w:t>أموال</w:t>
      </w:r>
      <w:r w:rsidR="00F32B28">
        <w:rPr>
          <w:rtl/>
        </w:rPr>
        <w:t xml:space="preserve"> </w:t>
      </w:r>
      <w:r w:rsidR="00F32B28" w:rsidRPr="00F32B28">
        <w:rPr>
          <w:rtl/>
        </w:rPr>
        <w:t>الزوجة</w:t>
      </w:r>
      <w:r w:rsidR="00F32B28">
        <w:rPr>
          <w:rtl/>
        </w:rPr>
        <w:t xml:space="preserve"> </w:t>
      </w:r>
      <w:r w:rsidR="00F32B28" w:rsidRPr="00F32B28">
        <w:rPr>
          <w:rtl/>
        </w:rPr>
        <w:t>عن</w:t>
      </w:r>
      <w:r w:rsidR="00F32B28">
        <w:rPr>
          <w:rtl/>
        </w:rPr>
        <w:t xml:space="preserve"> </w:t>
      </w:r>
      <w:r w:rsidR="00F32B28" w:rsidRPr="00F32B28">
        <w:rPr>
          <w:rtl/>
          <w:lang w:bidi="ar-LB"/>
        </w:rPr>
        <w:t>أموال</w:t>
      </w:r>
      <w:r w:rsidR="00F32B28">
        <w:rPr>
          <w:rtl/>
          <w:lang w:bidi="ar-LB"/>
        </w:rPr>
        <w:t xml:space="preserve"> </w:t>
      </w:r>
      <w:r w:rsidR="00F32B28" w:rsidRPr="00F32B28">
        <w:rPr>
          <w:rtl/>
        </w:rPr>
        <w:t>الزوج</w:t>
      </w:r>
      <w:r w:rsidR="00F32B28" w:rsidRPr="00F32B28">
        <w:rPr>
          <w:rtl/>
          <w:lang w:bidi="ar-LB"/>
        </w:rPr>
        <w:t>،</w:t>
      </w:r>
      <w:r w:rsidR="00F32B28">
        <w:rPr>
          <w:rtl/>
          <w:lang w:bidi="ar-LB"/>
        </w:rPr>
        <w:t xml:space="preserve"> </w:t>
      </w:r>
      <w:r w:rsidR="00F32B28" w:rsidRPr="00F32B28">
        <w:rPr>
          <w:rtl/>
        </w:rPr>
        <w:t>ويبقى</w:t>
      </w:r>
      <w:r w:rsidR="00F32B28">
        <w:rPr>
          <w:rtl/>
        </w:rPr>
        <w:t xml:space="preserve"> </w:t>
      </w:r>
      <w:r w:rsidR="00F32B28" w:rsidRPr="00F32B28">
        <w:rPr>
          <w:rtl/>
        </w:rPr>
        <w:t>لها</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التملك</w:t>
      </w:r>
      <w:r w:rsidR="00F32B28">
        <w:rPr>
          <w:rtl/>
        </w:rPr>
        <w:t xml:space="preserve"> </w:t>
      </w:r>
      <w:r w:rsidR="00F32B28" w:rsidRPr="00F32B28">
        <w:rPr>
          <w:rtl/>
        </w:rPr>
        <w:t>وإدارة</w:t>
      </w:r>
      <w:r w:rsidR="00F32B28">
        <w:rPr>
          <w:rtl/>
        </w:rPr>
        <w:t xml:space="preserve"> </w:t>
      </w:r>
      <w:r w:rsidR="00F32B28" w:rsidRPr="00F32B28">
        <w:rPr>
          <w:rtl/>
        </w:rPr>
        <w:t>أموالها</w:t>
      </w:r>
      <w:r w:rsidR="00F32B28">
        <w:rPr>
          <w:rtl/>
        </w:rPr>
        <w:t xml:space="preserve"> </w:t>
      </w:r>
      <w:r w:rsidR="00F32B28" w:rsidRPr="00F32B28">
        <w:rPr>
          <w:rtl/>
        </w:rPr>
        <w:t>والتصرف</w:t>
      </w:r>
      <w:r w:rsidR="00F32B28">
        <w:rPr>
          <w:rtl/>
        </w:rPr>
        <w:t xml:space="preserve"> </w:t>
      </w:r>
      <w:r w:rsidR="00F32B28" w:rsidRPr="00F32B28">
        <w:rPr>
          <w:rtl/>
        </w:rPr>
        <w:t>فيها</w:t>
      </w:r>
      <w:r w:rsidR="00F32B28">
        <w:rPr>
          <w:rtl/>
        </w:rPr>
        <w:t xml:space="preserve"> </w:t>
      </w:r>
      <w:r w:rsidR="00F32B28" w:rsidRPr="00F32B28">
        <w:rPr>
          <w:rtl/>
        </w:rPr>
        <w:t>بصورة</w:t>
      </w:r>
      <w:r w:rsidR="00F32B28">
        <w:rPr>
          <w:rtl/>
        </w:rPr>
        <w:t xml:space="preserve"> </w:t>
      </w:r>
      <w:r w:rsidR="00F32B28" w:rsidRPr="00F32B28">
        <w:rPr>
          <w:rtl/>
        </w:rPr>
        <w:t>مستقلة</w:t>
      </w:r>
      <w:r w:rsidR="00F32B28">
        <w:rPr>
          <w:rtl/>
        </w:rPr>
        <w:t xml:space="preserve"> </w:t>
      </w:r>
      <w:r w:rsidR="00F32B28" w:rsidRPr="00F32B28">
        <w:rPr>
          <w:rtl/>
        </w:rPr>
        <w:t>ودون</w:t>
      </w:r>
      <w:r w:rsidR="00F32B28">
        <w:rPr>
          <w:rtl/>
        </w:rPr>
        <w:t xml:space="preserve"> </w:t>
      </w:r>
      <w:r w:rsidR="00F32B28" w:rsidRPr="00F32B28">
        <w:rPr>
          <w:rtl/>
        </w:rPr>
        <w:t>الحاجة</w:t>
      </w:r>
      <w:r w:rsidR="00F32B28">
        <w:rPr>
          <w:rtl/>
        </w:rPr>
        <w:t xml:space="preserve"> </w:t>
      </w:r>
      <w:r w:rsidR="00F32B28" w:rsidRPr="00F32B28">
        <w:rPr>
          <w:rtl/>
        </w:rPr>
        <w:t>لولاية</w:t>
      </w:r>
      <w:r w:rsidR="00F32B28">
        <w:rPr>
          <w:rtl/>
        </w:rPr>
        <w:t xml:space="preserve"> </w:t>
      </w:r>
      <w:r w:rsidR="00F32B28" w:rsidRPr="00F32B28">
        <w:rPr>
          <w:rtl/>
        </w:rPr>
        <w:t>زوجها</w:t>
      </w:r>
      <w:r w:rsidR="00F32B28">
        <w:rPr>
          <w:rtl/>
        </w:rPr>
        <w:t xml:space="preserve"> </w:t>
      </w:r>
      <w:r w:rsidR="00F32B28" w:rsidRPr="00F32B28">
        <w:rPr>
          <w:rtl/>
        </w:rPr>
        <w:t>على</w:t>
      </w:r>
      <w:r w:rsidR="00F32B28">
        <w:rPr>
          <w:rtl/>
        </w:rPr>
        <w:t xml:space="preserve"> </w:t>
      </w:r>
      <w:r w:rsidR="00F32B28" w:rsidRPr="00F32B28">
        <w:rPr>
          <w:rtl/>
        </w:rPr>
        <w:t>أموالها</w:t>
      </w:r>
      <w:r w:rsidR="00F32B28">
        <w:rPr>
          <w:rtl/>
        </w:rPr>
        <w:t xml:space="preserve"> </w:t>
      </w:r>
      <w:r w:rsidR="00F32B28" w:rsidRPr="00F32B28">
        <w:rPr>
          <w:rtl/>
        </w:rPr>
        <w:t>وتصرفاتها.</w:t>
      </w:r>
      <w:r w:rsidR="00F32B28">
        <w:rPr>
          <w:rtl/>
        </w:rPr>
        <w:t xml:space="preserve"> </w:t>
      </w:r>
      <w:r w:rsidR="00F32B28" w:rsidRPr="00F32B28">
        <w:rPr>
          <w:rtl/>
        </w:rPr>
        <w:t>وهناك</w:t>
      </w:r>
      <w:r w:rsidR="00F32B28">
        <w:rPr>
          <w:rtl/>
        </w:rPr>
        <w:t xml:space="preserve"> </w:t>
      </w:r>
      <w:r w:rsidR="00F32B28" w:rsidRPr="00F32B28">
        <w:rPr>
          <w:rtl/>
        </w:rPr>
        <w:t>حالتين</w:t>
      </w:r>
      <w:r w:rsidR="00F32B28">
        <w:rPr>
          <w:rtl/>
        </w:rPr>
        <w:t xml:space="preserve"> </w:t>
      </w:r>
      <w:r w:rsidR="00F32B28" w:rsidRPr="00F32B28">
        <w:rPr>
          <w:rtl/>
        </w:rPr>
        <w:t>وضعت</w:t>
      </w:r>
      <w:r w:rsidR="00F32B28">
        <w:rPr>
          <w:rtl/>
        </w:rPr>
        <w:t xml:space="preserve"> </w:t>
      </w:r>
      <w:r w:rsidR="00F32B28" w:rsidRPr="00F32B28">
        <w:rPr>
          <w:rtl/>
        </w:rPr>
        <w:t>فيها</w:t>
      </w:r>
      <w:r w:rsidR="00F32B28">
        <w:rPr>
          <w:rtl/>
        </w:rPr>
        <w:t xml:space="preserve"> </w:t>
      </w:r>
      <w:r w:rsidR="00F32B28" w:rsidRPr="00F32B28">
        <w:rPr>
          <w:rtl/>
        </w:rPr>
        <w:t>التشريعات</w:t>
      </w:r>
      <w:r w:rsidR="00F32B28">
        <w:rPr>
          <w:rtl/>
        </w:rPr>
        <w:t xml:space="preserve"> </w:t>
      </w:r>
      <w:r w:rsidR="00F32B28" w:rsidRPr="00F32B28">
        <w:rPr>
          <w:rtl/>
        </w:rPr>
        <w:t>قيوداً</w:t>
      </w:r>
      <w:r w:rsidR="00F32B28">
        <w:rPr>
          <w:rtl/>
        </w:rPr>
        <w:t xml:space="preserve"> </w:t>
      </w:r>
      <w:r w:rsidR="00F32B28" w:rsidRPr="00F32B28">
        <w:rPr>
          <w:rtl/>
        </w:rPr>
        <w:t>على</w:t>
      </w:r>
      <w:r w:rsidR="00F32B28">
        <w:rPr>
          <w:rtl/>
        </w:rPr>
        <w:t xml:space="preserve"> </w:t>
      </w:r>
      <w:r w:rsidR="00F32B28" w:rsidRPr="00F32B28">
        <w:rPr>
          <w:rtl/>
        </w:rPr>
        <w:t>أموال</w:t>
      </w:r>
      <w:r w:rsidR="00F32B28">
        <w:rPr>
          <w:rtl/>
        </w:rPr>
        <w:t xml:space="preserve"> </w:t>
      </w:r>
      <w:r w:rsidR="00F32B28" w:rsidRPr="00F32B28">
        <w:rPr>
          <w:rtl/>
        </w:rPr>
        <w:t>الزوجة</w:t>
      </w:r>
      <w:r w:rsidR="00F32B28">
        <w:rPr>
          <w:rtl/>
        </w:rPr>
        <w:t xml:space="preserve"> </w:t>
      </w:r>
      <w:r w:rsidR="00F32B28" w:rsidRPr="00F32B28">
        <w:rPr>
          <w:rtl/>
        </w:rPr>
        <w:t>لسلوك</w:t>
      </w:r>
      <w:r w:rsidR="00F32B28">
        <w:rPr>
          <w:rtl/>
        </w:rPr>
        <w:t xml:space="preserve"> </w:t>
      </w:r>
      <w:r w:rsidR="00F32B28" w:rsidRPr="00F32B28">
        <w:rPr>
          <w:rtl/>
        </w:rPr>
        <w:t>سبّبه</w:t>
      </w:r>
      <w:r w:rsidR="00F32B28">
        <w:rPr>
          <w:rtl/>
        </w:rPr>
        <w:t xml:space="preserve"> </w:t>
      </w:r>
      <w:r w:rsidR="00F32B28" w:rsidRPr="00F32B28">
        <w:rPr>
          <w:rtl/>
        </w:rPr>
        <w:t>الزوج؛</w:t>
      </w:r>
      <w:r w:rsidR="00F32B28">
        <w:rPr>
          <w:rtl/>
        </w:rPr>
        <w:t xml:space="preserve"> </w:t>
      </w:r>
      <w:r w:rsidR="00F32B28" w:rsidRPr="00F32B28">
        <w:rPr>
          <w:rtl/>
        </w:rPr>
        <w:t>الأولى،</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أعلن</w:t>
      </w:r>
      <w:r w:rsidR="00F32B28">
        <w:rPr>
          <w:rtl/>
        </w:rPr>
        <w:t xml:space="preserve"> </w:t>
      </w:r>
      <w:r w:rsidR="00F32B28" w:rsidRPr="00F32B28">
        <w:rPr>
          <w:rtl/>
        </w:rPr>
        <w:t>إفلاس</w:t>
      </w:r>
      <w:r w:rsidR="00F32B28">
        <w:rPr>
          <w:rtl/>
        </w:rPr>
        <w:t xml:space="preserve"> </w:t>
      </w:r>
      <w:r w:rsidR="00F32B28" w:rsidRPr="00F32B28">
        <w:rPr>
          <w:rtl/>
          <w:lang w:bidi="ar-LB"/>
        </w:rPr>
        <w:t>زوجها،</w:t>
      </w:r>
      <w:r w:rsidR="00F32B28">
        <w:rPr>
          <w:rtl/>
          <w:lang w:bidi="ar-LB"/>
        </w:rPr>
        <w:t xml:space="preserve"> </w:t>
      </w:r>
      <w:r w:rsidR="00F32B28" w:rsidRPr="00F32B28">
        <w:rPr>
          <w:rtl/>
        </w:rPr>
        <w:t>وفقاً</w:t>
      </w:r>
      <w:r w:rsidR="00F32B28">
        <w:rPr>
          <w:rtl/>
        </w:rPr>
        <w:t xml:space="preserve"> </w:t>
      </w:r>
      <w:r w:rsidR="00F32B28" w:rsidRPr="00F32B28">
        <w:rPr>
          <w:rtl/>
        </w:rPr>
        <w:t>لقانون</w:t>
      </w:r>
      <w:r w:rsidR="00F32B28">
        <w:rPr>
          <w:rtl/>
        </w:rPr>
        <w:t xml:space="preserve"> </w:t>
      </w:r>
      <w:r w:rsidR="00F32B28" w:rsidRPr="00F32B28">
        <w:rPr>
          <w:rtl/>
        </w:rPr>
        <w:t>التجارة</w:t>
      </w:r>
      <w:r w:rsidR="00F32B28" w:rsidRPr="00F32B28">
        <w:rPr>
          <w:rtl/>
          <w:lang w:bidi="ar-LB"/>
        </w:rPr>
        <w:t>،</w:t>
      </w:r>
      <w:r w:rsidR="00F32B28">
        <w:rPr>
          <w:rtl/>
          <w:lang w:bidi="ar-LB"/>
        </w:rPr>
        <w:t xml:space="preserve"> </w:t>
      </w:r>
      <w:r w:rsidR="00F32B28" w:rsidRPr="00F32B28">
        <w:rPr>
          <w:rtl/>
          <w:lang w:bidi="ar-LB"/>
        </w:rPr>
        <w:t>فالزوجة</w:t>
      </w:r>
      <w:r w:rsidR="00F32B28">
        <w:rPr>
          <w:rtl/>
          <w:lang w:bidi="ar-LB"/>
        </w:rPr>
        <w:t xml:space="preserve"> </w:t>
      </w:r>
      <w:r w:rsidR="00F32B28" w:rsidRPr="00F32B28">
        <w:rPr>
          <w:rtl/>
          <w:lang w:bidi="ar-LB"/>
        </w:rPr>
        <w:t>تكون</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الحالة</w:t>
      </w:r>
      <w:r w:rsidR="00F32B28">
        <w:rPr>
          <w:rtl/>
          <w:lang w:bidi="ar-LB"/>
        </w:rPr>
        <w:t xml:space="preserve"> </w:t>
      </w:r>
      <w:r w:rsidR="00F32B28" w:rsidRPr="00F32B28">
        <w:rPr>
          <w:rtl/>
          <w:lang w:bidi="ar-LB"/>
        </w:rPr>
        <w:t>تابعة</w:t>
      </w:r>
      <w:r w:rsidR="00F32B28">
        <w:rPr>
          <w:rtl/>
          <w:lang w:bidi="ar-LB"/>
        </w:rPr>
        <w:t xml:space="preserve"> </w:t>
      </w:r>
      <w:r w:rsidR="00F32B28" w:rsidRPr="00F32B28">
        <w:rPr>
          <w:rtl/>
          <w:lang w:bidi="ar-LB"/>
        </w:rPr>
        <w:t>لزوجها</w:t>
      </w:r>
      <w:r w:rsidR="00F32B28">
        <w:rPr>
          <w:rtl/>
          <w:lang w:bidi="ar-LB"/>
        </w:rPr>
        <w:t xml:space="preserve"> </w:t>
      </w:r>
      <w:r w:rsidR="00F32B28" w:rsidRPr="00F32B28">
        <w:rPr>
          <w:rtl/>
        </w:rPr>
        <w:t>بحيث</w:t>
      </w:r>
      <w:r w:rsidR="00F32B28">
        <w:rPr>
          <w:rtl/>
        </w:rPr>
        <w:t xml:space="preserve"> </w:t>
      </w:r>
      <w:r w:rsidR="00F32B28" w:rsidRPr="00F32B28">
        <w:rPr>
          <w:rtl/>
        </w:rPr>
        <w:t>تعتبر</w:t>
      </w:r>
      <w:r w:rsidR="00F32B28">
        <w:rPr>
          <w:rtl/>
        </w:rPr>
        <w:t xml:space="preserve"> </w:t>
      </w:r>
      <w:r w:rsidR="00F32B28" w:rsidRPr="00F32B28">
        <w:rPr>
          <w:rtl/>
        </w:rPr>
        <w:t>الأملاك</w:t>
      </w:r>
      <w:r w:rsidR="00F32B28">
        <w:rPr>
          <w:rtl/>
        </w:rPr>
        <w:t xml:space="preserve"> </w:t>
      </w:r>
      <w:r w:rsidR="00F32B28" w:rsidRPr="00F32B28">
        <w:rPr>
          <w:rtl/>
        </w:rPr>
        <w:t>التي</w:t>
      </w:r>
      <w:r w:rsidR="00F32B28">
        <w:rPr>
          <w:rtl/>
        </w:rPr>
        <w:t xml:space="preserve"> </w:t>
      </w:r>
      <w:r w:rsidR="00F32B28" w:rsidRPr="00F32B28">
        <w:rPr>
          <w:rtl/>
        </w:rPr>
        <w:t>اكتسبتها</w:t>
      </w:r>
      <w:r w:rsidR="00F32B28">
        <w:rPr>
          <w:rtl/>
        </w:rPr>
        <w:t xml:space="preserve"> </w:t>
      </w:r>
      <w:r w:rsidR="00F32B28" w:rsidRPr="00F32B28">
        <w:rPr>
          <w:rtl/>
        </w:rPr>
        <w:t>خلال</w:t>
      </w:r>
      <w:r w:rsidR="00F32B28">
        <w:rPr>
          <w:rtl/>
        </w:rPr>
        <w:t xml:space="preserve"> </w:t>
      </w:r>
      <w:r w:rsidR="00F32B28" w:rsidRPr="00F32B28">
        <w:rPr>
          <w:rtl/>
        </w:rPr>
        <w:t>فترة</w:t>
      </w:r>
      <w:r w:rsidR="00F32B28">
        <w:rPr>
          <w:rtl/>
        </w:rPr>
        <w:t xml:space="preserve"> </w:t>
      </w:r>
      <w:r w:rsidR="00F32B28" w:rsidRPr="00F32B28">
        <w:rPr>
          <w:rtl/>
        </w:rPr>
        <w:t>الزواج</w:t>
      </w:r>
      <w:r w:rsidR="00F32B28">
        <w:rPr>
          <w:rtl/>
        </w:rPr>
        <w:t xml:space="preserve"> </w:t>
      </w:r>
      <w:r w:rsidR="00F32B28" w:rsidRPr="00F32B28">
        <w:rPr>
          <w:rtl/>
        </w:rPr>
        <w:t>مشتراة</w:t>
      </w:r>
      <w:r w:rsidR="00F32B28">
        <w:rPr>
          <w:rtl/>
        </w:rPr>
        <w:t xml:space="preserve"> </w:t>
      </w:r>
      <w:r w:rsidR="00F32B28" w:rsidRPr="00F32B28">
        <w:rPr>
          <w:rtl/>
        </w:rPr>
        <w:t>بمال</w:t>
      </w:r>
      <w:r w:rsidR="00F32B28">
        <w:rPr>
          <w:rtl/>
        </w:rPr>
        <w:t xml:space="preserve"> </w:t>
      </w:r>
      <w:r w:rsidR="00F32B28" w:rsidRPr="00F32B28">
        <w:rPr>
          <w:rtl/>
        </w:rPr>
        <w:t>زوجها</w:t>
      </w:r>
      <w:r w:rsidR="00F32B28">
        <w:rPr>
          <w:rtl/>
        </w:rPr>
        <w:t xml:space="preserve"> </w:t>
      </w:r>
      <w:r w:rsidR="00F32B28" w:rsidRPr="00F32B28">
        <w:rPr>
          <w:rtl/>
        </w:rPr>
        <w:t>وتضم</w:t>
      </w:r>
      <w:r w:rsidR="00F32B28">
        <w:rPr>
          <w:rtl/>
        </w:rPr>
        <w:t xml:space="preserve"> </w:t>
      </w:r>
      <w:r w:rsidR="00F32B28" w:rsidRPr="00F32B28">
        <w:rPr>
          <w:rtl/>
        </w:rPr>
        <w:t>إلى</w:t>
      </w:r>
      <w:r w:rsidR="00F32B28">
        <w:rPr>
          <w:rtl/>
        </w:rPr>
        <w:t xml:space="preserve"> </w:t>
      </w:r>
      <w:r w:rsidR="00F32B28" w:rsidRPr="00F32B28">
        <w:rPr>
          <w:rtl/>
        </w:rPr>
        <w:t>موجودات</w:t>
      </w:r>
      <w:r w:rsidR="00F32B28">
        <w:rPr>
          <w:rtl/>
        </w:rPr>
        <w:t xml:space="preserve"> </w:t>
      </w:r>
      <w:r w:rsidR="00F32B28" w:rsidRPr="00F32B28">
        <w:rPr>
          <w:rtl/>
        </w:rPr>
        <w:t>التفليسة،</w:t>
      </w:r>
      <w:r w:rsidR="00F32B28">
        <w:rPr>
          <w:rtl/>
        </w:rPr>
        <w:t xml:space="preserve"> </w:t>
      </w:r>
      <w:r w:rsidR="00F32B28" w:rsidRPr="00F32B28">
        <w:rPr>
          <w:rtl/>
        </w:rPr>
        <w:t>ما</w:t>
      </w:r>
      <w:r w:rsidR="00F32B28">
        <w:rPr>
          <w:rtl/>
        </w:rPr>
        <w:t xml:space="preserve"> </w:t>
      </w:r>
      <w:r w:rsidR="00F32B28" w:rsidRPr="00F32B28">
        <w:rPr>
          <w:rtl/>
        </w:rPr>
        <w:t>لم</w:t>
      </w:r>
      <w:r w:rsidR="00F32B28">
        <w:rPr>
          <w:rtl/>
        </w:rPr>
        <w:t xml:space="preserve"> </w:t>
      </w:r>
      <w:r w:rsidR="00F32B28" w:rsidRPr="00F32B28">
        <w:rPr>
          <w:rtl/>
        </w:rPr>
        <w:t>ت</w:t>
      </w:r>
      <w:r w:rsidR="00F32B28" w:rsidRPr="00F32B28">
        <w:rPr>
          <w:rtl/>
          <w:lang w:bidi="ar-LB"/>
        </w:rPr>
        <w:t>ُ</w:t>
      </w:r>
      <w:r w:rsidR="00F32B28" w:rsidRPr="00F32B28">
        <w:rPr>
          <w:rtl/>
        </w:rPr>
        <w:t>ثبت</w:t>
      </w:r>
      <w:r w:rsidR="00F32B28">
        <w:rPr>
          <w:rtl/>
        </w:rPr>
        <w:t xml:space="preserve"> </w:t>
      </w:r>
      <w:r w:rsidR="00F32B28" w:rsidRPr="00F32B28">
        <w:rPr>
          <w:rtl/>
        </w:rPr>
        <w:t>الزوجة</w:t>
      </w:r>
      <w:r w:rsidR="00F32B28">
        <w:rPr>
          <w:rtl/>
        </w:rPr>
        <w:t xml:space="preserve"> </w:t>
      </w:r>
      <w:r w:rsidR="00F32B28" w:rsidRPr="00F32B28">
        <w:rPr>
          <w:rtl/>
        </w:rPr>
        <w:t>العكس.</w:t>
      </w:r>
      <w:r w:rsidR="00F32B28">
        <w:rPr>
          <w:rtl/>
        </w:rPr>
        <w:t xml:space="preserve"> </w:t>
      </w:r>
      <w:r w:rsidR="00F32B28" w:rsidRPr="00F32B28">
        <w:rPr>
          <w:rtl/>
        </w:rPr>
        <w:t>والثانية،</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أتهم</w:t>
      </w:r>
      <w:r w:rsidR="00F32B28">
        <w:rPr>
          <w:rtl/>
        </w:rPr>
        <w:t xml:space="preserve"> </w:t>
      </w:r>
      <w:r w:rsidR="00F32B28" w:rsidRPr="00F32B28">
        <w:rPr>
          <w:rtl/>
        </w:rPr>
        <w:t>زوجها</w:t>
      </w:r>
      <w:r w:rsidR="00F32B28">
        <w:rPr>
          <w:rtl/>
        </w:rPr>
        <w:t xml:space="preserve"> </w:t>
      </w:r>
      <w:r w:rsidR="00F32B28" w:rsidRPr="00F32B28">
        <w:rPr>
          <w:rtl/>
        </w:rPr>
        <w:t>الفار</w:t>
      </w:r>
      <w:r w:rsidR="00F32B28">
        <w:rPr>
          <w:rtl/>
        </w:rPr>
        <w:t xml:space="preserve"> </w:t>
      </w:r>
      <w:r w:rsidR="00F32B28" w:rsidRPr="00F32B28">
        <w:rPr>
          <w:rtl/>
        </w:rPr>
        <w:t>بإحدى</w:t>
      </w:r>
      <w:r w:rsidR="00F32B28">
        <w:rPr>
          <w:rtl/>
        </w:rPr>
        <w:t xml:space="preserve"> </w:t>
      </w:r>
      <w:r w:rsidR="00F32B28" w:rsidRPr="00F32B28">
        <w:rPr>
          <w:rtl/>
        </w:rPr>
        <w:t>جرائم</w:t>
      </w:r>
      <w:r w:rsidR="00F32B28">
        <w:rPr>
          <w:rtl/>
        </w:rPr>
        <w:t xml:space="preserve"> </w:t>
      </w:r>
      <w:r w:rsidR="00F32B28" w:rsidRPr="00F32B28">
        <w:rPr>
          <w:rtl/>
        </w:rPr>
        <w:t>الأموال</w:t>
      </w:r>
      <w:r w:rsidR="00F32B28">
        <w:rPr>
          <w:rtl/>
        </w:rPr>
        <w:t xml:space="preserve"> </w:t>
      </w:r>
      <w:r w:rsidR="00F32B28" w:rsidRPr="00F32B28">
        <w:rPr>
          <w:rtl/>
        </w:rPr>
        <w:t>العامة،</w:t>
      </w:r>
      <w:r w:rsidR="00F32B28">
        <w:rPr>
          <w:rtl/>
        </w:rPr>
        <w:t xml:space="preserve"> </w:t>
      </w:r>
      <w:r w:rsidR="00F32B28" w:rsidRPr="00F32B28">
        <w:rPr>
          <w:rtl/>
        </w:rPr>
        <w:t>وفقاً</w:t>
      </w:r>
      <w:r w:rsidR="00F32B28">
        <w:rPr>
          <w:rtl/>
        </w:rPr>
        <w:t xml:space="preserve"> </w:t>
      </w:r>
      <w:r w:rsidR="00F32B28" w:rsidRPr="00F32B28">
        <w:rPr>
          <w:rtl/>
        </w:rPr>
        <w:t>لقانون</w:t>
      </w:r>
      <w:r w:rsidR="00F32B28">
        <w:rPr>
          <w:rtl/>
        </w:rPr>
        <w:t xml:space="preserve"> </w:t>
      </w:r>
      <w:r w:rsidR="00F32B28" w:rsidRPr="00F32B28">
        <w:rPr>
          <w:rtl/>
        </w:rPr>
        <w:t>الإجراءات</w:t>
      </w:r>
      <w:r w:rsidR="00F32B28">
        <w:rPr>
          <w:rtl/>
        </w:rPr>
        <w:t xml:space="preserve"> </w:t>
      </w:r>
      <w:r w:rsidR="00F32B28" w:rsidRPr="00F32B28">
        <w:rPr>
          <w:rtl/>
        </w:rPr>
        <w:t>الجزائية،</w:t>
      </w:r>
      <w:r w:rsidR="00F32B28">
        <w:rPr>
          <w:rtl/>
        </w:rPr>
        <w:t xml:space="preserve"> </w:t>
      </w:r>
      <w:r w:rsidR="00F32B28" w:rsidRPr="00F32B28">
        <w:rPr>
          <w:rtl/>
        </w:rPr>
        <w:t>فتعتبر</w:t>
      </w:r>
      <w:r w:rsidR="00F32B28">
        <w:rPr>
          <w:rtl/>
        </w:rPr>
        <w:t xml:space="preserve"> </w:t>
      </w:r>
      <w:r w:rsidR="00F32B28" w:rsidRPr="00F32B28">
        <w:rPr>
          <w:rtl/>
          <w:lang w:bidi="ar-LB"/>
        </w:rPr>
        <w:t>في</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الحالة</w:t>
      </w:r>
      <w:r w:rsidR="00F32B28">
        <w:rPr>
          <w:rtl/>
          <w:lang w:bidi="ar-LB"/>
        </w:rPr>
        <w:t xml:space="preserve"> </w:t>
      </w:r>
      <w:r w:rsidR="00F32B28" w:rsidRPr="00F32B28">
        <w:rPr>
          <w:rtl/>
        </w:rPr>
        <w:t>أموال</w:t>
      </w:r>
      <w:r w:rsidR="00F32B28">
        <w:rPr>
          <w:rtl/>
        </w:rPr>
        <w:t xml:space="preserve"> </w:t>
      </w:r>
      <w:r w:rsidR="00F32B28" w:rsidRPr="00F32B28">
        <w:rPr>
          <w:rtl/>
        </w:rPr>
        <w:t>وممتلكات</w:t>
      </w:r>
      <w:r w:rsidR="00F32B28">
        <w:rPr>
          <w:rtl/>
        </w:rPr>
        <w:t xml:space="preserve"> </w:t>
      </w:r>
      <w:r w:rsidR="00F32B28" w:rsidRPr="00F32B28">
        <w:rPr>
          <w:rtl/>
        </w:rPr>
        <w:t>الزوجة،</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توفر</w:t>
      </w:r>
      <w:r w:rsidR="00F32B28">
        <w:rPr>
          <w:rtl/>
        </w:rPr>
        <w:t xml:space="preserve"> </w:t>
      </w:r>
      <w:r w:rsidR="00F32B28" w:rsidRPr="00F32B28">
        <w:rPr>
          <w:rtl/>
        </w:rPr>
        <w:t>الأدلة،</w:t>
      </w:r>
      <w:r w:rsidR="00F32B28">
        <w:rPr>
          <w:rtl/>
        </w:rPr>
        <w:t xml:space="preserve"> </w:t>
      </w:r>
      <w:r w:rsidR="00F32B28" w:rsidRPr="00F32B28">
        <w:rPr>
          <w:rtl/>
        </w:rPr>
        <w:t>بأنها</w:t>
      </w:r>
      <w:r w:rsidR="00F32B28">
        <w:rPr>
          <w:rtl/>
        </w:rPr>
        <w:t xml:space="preserve"> </w:t>
      </w:r>
      <w:r w:rsidR="00F32B28" w:rsidRPr="00F32B28">
        <w:rPr>
          <w:rtl/>
        </w:rPr>
        <w:t>متحصلة</w:t>
      </w:r>
      <w:r w:rsidR="00F32B28">
        <w:rPr>
          <w:rtl/>
        </w:rPr>
        <w:t xml:space="preserve"> </w:t>
      </w:r>
      <w:r w:rsidR="00F32B28" w:rsidRPr="00F32B28">
        <w:rPr>
          <w:rtl/>
        </w:rPr>
        <w:t>من</w:t>
      </w:r>
      <w:r w:rsidR="00F32B28">
        <w:rPr>
          <w:rtl/>
        </w:rPr>
        <w:t xml:space="preserve"> </w:t>
      </w:r>
      <w:r w:rsidR="00F32B28" w:rsidRPr="00F32B28">
        <w:rPr>
          <w:rtl/>
        </w:rPr>
        <w:t>الجريمة</w:t>
      </w:r>
      <w:r w:rsidR="00F32B28">
        <w:rPr>
          <w:rtl/>
        </w:rPr>
        <w:t xml:space="preserve"> </w:t>
      </w:r>
      <w:r w:rsidR="00F32B28" w:rsidRPr="00F32B28">
        <w:rPr>
          <w:rtl/>
        </w:rPr>
        <w:t>موضوع</w:t>
      </w:r>
      <w:r w:rsidR="00F32B28">
        <w:rPr>
          <w:rtl/>
        </w:rPr>
        <w:t xml:space="preserve"> </w:t>
      </w:r>
      <w:r w:rsidR="00F32B28" w:rsidRPr="00F32B28">
        <w:rPr>
          <w:rtl/>
        </w:rPr>
        <w:t>التحقيق</w:t>
      </w:r>
      <w:r w:rsidR="00F32B28">
        <w:rPr>
          <w:rtl/>
        </w:rPr>
        <w:t xml:space="preserve"> </w:t>
      </w:r>
      <w:r w:rsidR="00F32B28" w:rsidRPr="00F32B28">
        <w:rPr>
          <w:rtl/>
        </w:rPr>
        <w:t>ويتم</w:t>
      </w:r>
      <w:r w:rsidR="00F32B28">
        <w:rPr>
          <w:rtl/>
        </w:rPr>
        <w:t xml:space="preserve"> </w:t>
      </w:r>
      <w:r w:rsidR="00F32B28" w:rsidRPr="00F32B28">
        <w:rPr>
          <w:rtl/>
        </w:rPr>
        <w:t>التحفظ</w:t>
      </w:r>
      <w:r w:rsidR="00F32B28">
        <w:rPr>
          <w:rtl/>
        </w:rPr>
        <w:t xml:space="preserve"> </w:t>
      </w:r>
      <w:r w:rsidR="00F32B28" w:rsidRPr="00F32B28">
        <w:rPr>
          <w:rtl/>
        </w:rPr>
        <w:t>عليها.</w:t>
      </w:r>
    </w:p>
    <w:p w:rsidR="00F32B28" w:rsidRPr="00F32B28" w:rsidRDefault="00891A4B" w:rsidP="00891A4B">
      <w:pPr>
        <w:pStyle w:val="SingleTxt"/>
        <w:rPr>
          <w:rtl/>
        </w:rPr>
      </w:pPr>
      <w:r>
        <w:rPr>
          <w:rFonts w:hint="cs"/>
          <w:rtl/>
          <w:lang w:bidi="ar-SY"/>
        </w:rPr>
        <w:t xml:space="preserve">313 - </w:t>
      </w:r>
      <w:r w:rsidR="00F32B28" w:rsidRPr="00F32B28">
        <w:rPr>
          <w:rtl/>
          <w:lang w:bidi="ar-SY"/>
        </w:rPr>
        <w:t>تضمن</w:t>
      </w:r>
      <w:r w:rsidR="00F32B28">
        <w:rPr>
          <w:rtl/>
          <w:lang w:bidi="ar-SY"/>
        </w:rPr>
        <w:t xml:space="preserve"> </w:t>
      </w:r>
      <w:r w:rsidR="00F32B28" w:rsidRPr="00F32B28">
        <w:rPr>
          <w:rtl/>
          <w:lang w:bidi="ar-SY"/>
        </w:rPr>
        <w:t>أحكام</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المعدل</w:t>
      </w:r>
      <w:r w:rsidR="00F32B28">
        <w:rPr>
          <w:rtl/>
          <w:lang w:bidi="ar-SY"/>
        </w:rPr>
        <w:t xml:space="preserve"> </w:t>
      </w:r>
      <w:r w:rsidR="00F32B28" w:rsidRPr="00F32B28">
        <w:rPr>
          <w:rtl/>
          <w:lang w:bidi="ar-SY"/>
        </w:rPr>
        <w:t>والقوانين</w:t>
      </w:r>
      <w:r w:rsidR="00F32B28">
        <w:rPr>
          <w:rtl/>
          <w:lang w:bidi="ar-SY"/>
        </w:rPr>
        <w:t xml:space="preserve"> </w:t>
      </w:r>
      <w:r w:rsidR="00F32B28" w:rsidRPr="00F32B28">
        <w:rPr>
          <w:rtl/>
          <w:lang w:bidi="ar-SY"/>
        </w:rPr>
        <w:t>الإجرائية</w:t>
      </w:r>
      <w:r w:rsidR="00F32B28">
        <w:rPr>
          <w:rtl/>
          <w:lang w:bidi="ar-SY"/>
        </w:rPr>
        <w:t xml:space="preserve"> </w:t>
      </w:r>
      <w:r w:rsidR="00F32B28" w:rsidRPr="00F32B28">
        <w:rPr>
          <w:rtl/>
          <w:lang w:bidi="ar-SY"/>
        </w:rPr>
        <w:t>المدنية</w:t>
      </w:r>
      <w:r w:rsidR="00F32B28">
        <w:rPr>
          <w:rtl/>
          <w:lang w:bidi="ar-SY"/>
        </w:rPr>
        <w:t xml:space="preserve"> </w:t>
      </w:r>
      <w:r w:rsidR="00F32B28" w:rsidRPr="00F32B28">
        <w:rPr>
          <w:rtl/>
          <w:lang w:bidi="ar-SY"/>
        </w:rPr>
        <w:t>والجزائية</w:t>
      </w:r>
      <w:r w:rsidR="00F32B28">
        <w:rPr>
          <w:rtl/>
          <w:lang w:bidi="ar-SY"/>
        </w:rPr>
        <w:t xml:space="preserve"> </w:t>
      </w:r>
      <w:r w:rsidR="00F32B28" w:rsidRPr="00F32B28">
        <w:rPr>
          <w:rtl/>
          <w:lang w:bidi="ar-SY"/>
        </w:rPr>
        <w:t>والإدارية</w:t>
      </w:r>
      <w:r w:rsidR="00F32B28">
        <w:rPr>
          <w:rtl/>
          <w:lang w:bidi="ar-SY"/>
        </w:rPr>
        <w:t xml:space="preserve"> </w:t>
      </w:r>
      <w:r w:rsidR="00F32B28" w:rsidRPr="00F32B28">
        <w:rPr>
          <w:rtl/>
          <w:lang w:bidi="ar-SY"/>
        </w:rPr>
        <w:t>المساواة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المواطنين</w:t>
      </w:r>
      <w:r w:rsidR="00F32B28">
        <w:rPr>
          <w:rtl/>
          <w:lang w:bidi="ar-SY"/>
        </w:rPr>
        <w:t xml:space="preserve"> </w:t>
      </w:r>
      <w:r w:rsidR="00F32B28" w:rsidRPr="00F32B28">
        <w:rPr>
          <w:rtl/>
          <w:lang w:bidi="ar-SY"/>
        </w:rPr>
        <w:t>أمام</w:t>
      </w:r>
      <w:r w:rsidR="00F32B28">
        <w:rPr>
          <w:rtl/>
          <w:lang w:bidi="ar-SY"/>
        </w:rPr>
        <w:t xml:space="preserve"> </w:t>
      </w:r>
      <w:r w:rsidR="00F32B28" w:rsidRPr="00F32B28">
        <w:rPr>
          <w:rtl/>
          <w:lang w:bidi="ar-SY"/>
        </w:rPr>
        <w:t>القضاء،</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تتساوى</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أهلية</w:t>
      </w:r>
      <w:r w:rsidR="00F32B28">
        <w:rPr>
          <w:rtl/>
          <w:lang w:bidi="ar-SY"/>
        </w:rPr>
        <w:t xml:space="preserve"> </w:t>
      </w:r>
      <w:r w:rsidR="00F32B28" w:rsidRPr="00F32B28">
        <w:rPr>
          <w:rtl/>
          <w:lang w:bidi="ar-SY"/>
        </w:rPr>
        <w:t>التقاضي</w:t>
      </w:r>
      <w:r w:rsidR="00F32B28">
        <w:rPr>
          <w:rtl/>
          <w:lang w:bidi="ar-SY"/>
        </w:rPr>
        <w:t xml:space="preserve"> </w:t>
      </w:r>
      <w:r w:rsidR="00F32B28" w:rsidRPr="00F32B28">
        <w:rPr>
          <w:rtl/>
          <w:lang w:bidi="ar-SY"/>
        </w:rPr>
        <w:t>والحق</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الادعاء</w:t>
      </w:r>
      <w:r w:rsidR="00F32B28">
        <w:rPr>
          <w:rtl/>
          <w:lang w:bidi="ar-SY"/>
        </w:rPr>
        <w:t xml:space="preserve"> </w:t>
      </w:r>
      <w:r w:rsidR="00F32B28" w:rsidRPr="00F32B28">
        <w:rPr>
          <w:rtl/>
          <w:lang w:bidi="ar-SY"/>
        </w:rPr>
        <w:t>والحق</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الدفاع</w:t>
      </w:r>
      <w:r w:rsidR="00F32B28">
        <w:rPr>
          <w:rtl/>
          <w:lang w:bidi="ar-SY"/>
        </w:rPr>
        <w:t xml:space="preserve"> </w:t>
      </w:r>
      <w:r w:rsidR="00F32B28" w:rsidRPr="00F32B28">
        <w:rPr>
          <w:rtl/>
          <w:lang w:bidi="ar-SY"/>
        </w:rPr>
        <w:t>والإثبات</w:t>
      </w:r>
      <w:r w:rsidR="00F32B28">
        <w:rPr>
          <w:rtl/>
          <w:lang w:bidi="ar-SY"/>
        </w:rPr>
        <w:t xml:space="preserve"> </w:t>
      </w:r>
      <w:r w:rsidR="00F32B28" w:rsidRPr="00F32B28">
        <w:rPr>
          <w:rtl/>
          <w:lang w:bidi="ar-SY"/>
        </w:rPr>
        <w:t>والطعن</w:t>
      </w:r>
      <w:r w:rsidR="00F32B28">
        <w:rPr>
          <w:rtl/>
          <w:lang w:bidi="ar-SY"/>
        </w:rPr>
        <w:t xml:space="preserve"> </w:t>
      </w:r>
      <w:r w:rsidR="00F32B28" w:rsidRPr="00F32B28">
        <w:rPr>
          <w:rtl/>
          <w:lang w:bidi="ar-SY"/>
        </w:rPr>
        <w:t>والتعويض</w:t>
      </w:r>
      <w:r w:rsidR="00F32B28">
        <w:rPr>
          <w:rtl/>
          <w:lang w:bidi="ar-SY"/>
        </w:rPr>
        <w:t xml:space="preserve"> </w:t>
      </w:r>
      <w:r w:rsidR="00F32B28" w:rsidRPr="00F32B28">
        <w:rPr>
          <w:rtl/>
          <w:lang w:bidi="ar-SY"/>
        </w:rPr>
        <w:t>والتنفيذ</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إجراءات</w:t>
      </w:r>
      <w:r w:rsidR="00F32B28">
        <w:rPr>
          <w:rtl/>
          <w:lang w:bidi="ar-SY"/>
        </w:rPr>
        <w:t xml:space="preserve"> </w:t>
      </w:r>
      <w:r w:rsidR="00F32B28" w:rsidRPr="00F32B28">
        <w:rPr>
          <w:rtl/>
          <w:lang w:bidi="ar-SY"/>
        </w:rPr>
        <w:t>التقاضي</w:t>
      </w:r>
      <w:r w:rsidR="00F32B28">
        <w:rPr>
          <w:rtl/>
          <w:lang w:bidi="ar-SY"/>
        </w:rPr>
        <w:t xml:space="preserve"> </w:t>
      </w:r>
      <w:r w:rsidR="00F32B28" w:rsidRPr="00F32B28">
        <w:rPr>
          <w:rtl/>
          <w:lang w:bidi="ar-SY"/>
        </w:rPr>
        <w:t>الأخرى</w:t>
      </w:r>
      <w:r w:rsidR="00F32B28">
        <w:rPr>
          <w:rtl/>
          <w:lang w:bidi="ar-SY"/>
        </w:rPr>
        <w:t xml:space="preserve"> </w:t>
      </w:r>
      <w:r w:rsidR="00F32B28" w:rsidRPr="00F32B28">
        <w:rPr>
          <w:rtl/>
          <w:lang w:bidi="ar-SY"/>
        </w:rPr>
        <w:t>المتبعة</w:t>
      </w:r>
      <w:r w:rsidR="00F32B28">
        <w:rPr>
          <w:rtl/>
          <w:lang w:bidi="ar-SY"/>
        </w:rPr>
        <w:t xml:space="preserve"> </w:t>
      </w:r>
      <w:r w:rsidR="00F32B28" w:rsidRPr="00F32B28">
        <w:rPr>
          <w:rtl/>
          <w:lang w:bidi="ar-SY"/>
        </w:rPr>
        <w:t>أمام</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المحاكم</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اختلاف</w:t>
      </w:r>
      <w:r w:rsidR="00F32B28">
        <w:rPr>
          <w:rtl/>
          <w:lang w:bidi="ar-SY"/>
        </w:rPr>
        <w:t xml:space="preserve"> </w:t>
      </w:r>
      <w:r w:rsidR="00F32B28" w:rsidRPr="00F32B28">
        <w:rPr>
          <w:rtl/>
          <w:lang w:bidi="ar-SY"/>
        </w:rPr>
        <w:t>درجاتها.</w:t>
      </w:r>
      <w:r w:rsidR="00F32B28" w:rsidRPr="00F32B28">
        <w:rPr>
          <w:rtl/>
        </w:rPr>
        <w:t>كما</w:t>
      </w:r>
      <w:r w:rsidR="00F32B28">
        <w:rPr>
          <w:rtl/>
        </w:rPr>
        <w:t xml:space="preserve"> </w:t>
      </w:r>
      <w:r w:rsidR="00F32B28" w:rsidRPr="00F32B28">
        <w:rPr>
          <w:rtl/>
        </w:rPr>
        <w:t>يحق</w:t>
      </w:r>
      <w:r w:rsidR="00F32B28">
        <w:rPr>
          <w:rtl/>
        </w:rPr>
        <w:t xml:space="preserve"> </w:t>
      </w:r>
      <w:r w:rsidR="00F32B28" w:rsidRPr="00F32B28">
        <w:rPr>
          <w:rtl/>
        </w:rPr>
        <w:t>لها</w:t>
      </w:r>
      <w:r w:rsidR="00F32B28">
        <w:rPr>
          <w:rtl/>
        </w:rPr>
        <w:t xml:space="preserve"> </w:t>
      </w:r>
      <w:r w:rsidR="00F32B28" w:rsidRPr="00F32B28">
        <w:rPr>
          <w:rtl/>
        </w:rPr>
        <w:t>ودون</w:t>
      </w:r>
      <w:r w:rsidR="00F32B28">
        <w:rPr>
          <w:rtl/>
        </w:rPr>
        <w:t xml:space="preserve"> </w:t>
      </w:r>
      <w:r w:rsidR="00F32B28" w:rsidRPr="00F32B28">
        <w:rPr>
          <w:rtl/>
        </w:rPr>
        <w:t>تمييز</w:t>
      </w:r>
      <w:r w:rsidR="00F32B28">
        <w:rPr>
          <w:rtl/>
        </w:rPr>
        <w:t xml:space="preserve"> </w:t>
      </w:r>
      <w:r w:rsidR="00F32B28" w:rsidRPr="00F32B28">
        <w:rPr>
          <w:rtl/>
        </w:rPr>
        <w:t>طلب</w:t>
      </w:r>
      <w:r w:rsidR="00F32B28">
        <w:rPr>
          <w:rtl/>
        </w:rPr>
        <w:t xml:space="preserve"> </w:t>
      </w:r>
      <w:r w:rsidR="00F32B28" w:rsidRPr="00F32B28">
        <w:rPr>
          <w:rtl/>
        </w:rPr>
        <w:t>توكيل</w:t>
      </w:r>
      <w:r w:rsidR="00F32B28">
        <w:rPr>
          <w:rtl/>
        </w:rPr>
        <w:t xml:space="preserve"> </w:t>
      </w:r>
      <w:r w:rsidR="00F32B28" w:rsidRPr="00F32B28">
        <w:rPr>
          <w:rtl/>
        </w:rPr>
        <w:t>محامي</w:t>
      </w:r>
      <w:r w:rsidR="00F32B28">
        <w:rPr>
          <w:rtl/>
        </w:rPr>
        <w:t xml:space="preserve"> </w:t>
      </w:r>
      <w:r w:rsidR="00F32B28" w:rsidRPr="00F32B28">
        <w:rPr>
          <w:rtl/>
        </w:rPr>
        <w:t>دفاع</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حساب</w:t>
      </w:r>
      <w:r w:rsidR="00F32B28">
        <w:rPr>
          <w:rtl/>
          <w:lang w:bidi="ar-SY"/>
        </w:rPr>
        <w:t xml:space="preserve"> </w:t>
      </w:r>
      <w:r w:rsidR="00F32B28" w:rsidRPr="00F32B28">
        <w:rPr>
          <w:rtl/>
          <w:lang w:bidi="ar-SY"/>
        </w:rPr>
        <w:t>خزينة</w:t>
      </w:r>
      <w:r w:rsidR="00F32B28">
        <w:rPr>
          <w:rtl/>
          <w:lang w:bidi="ar-SY"/>
        </w:rPr>
        <w:t xml:space="preserve"> </w:t>
      </w:r>
      <w:r w:rsidR="00F32B28" w:rsidRPr="00F32B28">
        <w:rPr>
          <w:rtl/>
          <w:lang w:bidi="ar-SY"/>
        </w:rPr>
        <w:t>الدولة</w:t>
      </w:r>
      <w:r w:rsidR="00F32B28">
        <w:rPr>
          <w:rtl/>
          <w:lang w:bidi="ar-SY"/>
        </w:rPr>
        <w:t xml:space="preserve"> </w:t>
      </w:r>
      <w:r w:rsidR="00F32B28" w:rsidRPr="00F32B28">
        <w:rPr>
          <w:rtl/>
        </w:rPr>
        <w:t>فيما</w:t>
      </w:r>
      <w:r w:rsidR="00F32B28">
        <w:rPr>
          <w:rtl/>
        </w:rPr>
        <w:t xml:space="preserve"> </w:t>
      </w:r>
      <w:r w:rsidR="00F32B28" w:rsidRPr="00F32B28">
        <w:rPr>
          <w:rtl/>
        </w:rPr>
        <w:t>إذا</w:t>
      </w:r>
      <w:r w:rsidR="00F32B28">
        <w:rPr>
          <w:rtl/>
        </w:rPr>
        <w:t xml:space="preserve"> </w:t>
      </w:r>
      <w:r w:rsidR="00F32B28" w:rsidRPr="00F32B28">
        <w:rPr>
          <w:rtl/>
        </w:rPr>
        <w:t>اتهمت</w:t>
      </w:r>
      <w:r w:rsidR="00F32B28">
        <w:rPr>
          <w:rtl/>
        </w:rPr>
        <w:t xml:space="preserve"> </w:t>
      </w:r>
      <w:r w:rsidR="00F32B28" w:rsidRPr="00F32B28">
        <w:rPr>
          <w:rtl/>
        </w:rPr>
        <w:t>بارتكاب</w:t>
      </w:r>
      <w:r w:rsidR="00F32B28">
        <w:rPr>
          <w:rtl/>
        </w:rPr>
        <w:t xml:space="preserve"> </w:t>
      </w:r>
      <w:r w:rsidR="00F32B28" w:rsidRPr="00F32B28">
        <w:rPr>
          <w:rtl/>
        </w:rPr>
        <w:t>إحدى</w:t>
      </w:r>
      <w:r w:rsidR="00F32B28">
        <w:rPr>
          <w:rtl/>
        </w:rPr>
        <w:t xml:space="preserve"> </w:t>
      </w:r>
      <w:r w:rsidR="00F32B28" w:rsidRPr="00F32B28">
        <w:rPr>
          <w:rtl/>
        </w:rPr>
        <w:t>الجنايات</w:t>
      </w:r>
      <w:r w:rsidR="00F32B28">
        <w:rPr>
          <w:rtl/>
        </w:rPr>
        <w:t xml:space="preserve"> </w:t>
      </w:r>
      <w:r w:rsidR="00F32B28" w:rsidRPr="00F32B28">
        <w:rPr>
          <w:rtl/>
        </w:rPr>
        <w:t>وكانت</w:t>
      </w:r>
      <w:r w:rsidR="00F32B28">
        <w:rPr>
          <w:rtl/>
        </w:rPr>
        <w:t xml:space="preserve"> </w:t>
      </w:r>
      <w:r w:rsidR="00F32B28" w:rsidRPr="00F32B28">
        <w:rPr>
          <w:rtl/>
        </w:rPr>
        <w:t>حالتها</w:t>
      </w:r>
      <w:r w:rsidR="00F32B28">
        <w:rPr>
          <w:rtl/>
        </w:rPr>
        <w:t xml:space="preserve"> </w:t>
      </w:r>
      <w:r w:rsidR="00F32B28" w:rsidRPr="00F32B28">
        <w:rPr>
          <w:rtl/>
        </w:rPr>
        <w:t>المادية</w:t>
      </w:r>
      <w:r w:rsidR="00F32B28">
        <w:rPr>
          <w:rtl/>
        </w:rPr>
        <w:t xml:space="preserve"> </w:t>
      </w:r>
      <w:r w:rsidR="00F32B28" w:rsidRPr="00F32B28">
        <w:rPr>
          <w:rtl/>
        </w:rPr>
        <w:t>لا</w:t>
      </w:r>
      <w:r w:rsidR="00F32B28">
        <w:rPr>
          <w:rtl/>
        </w:rPr>
        <w:t xml:space="preserve"> </w:t>
      </w:r>
      <w:r w:rsidR="00F32B28" w:rsidRPr="00F32B28">
        <w:rPr>
          <w:rtl/>
        </w:rPr>
        <w:t>تمكنها</w:t>
      </w:r>
      <w:r w:rsidR="00F32B28">
        <w:rPr>
          <w:rtl/>
        </w:rPr>
        <w:t xml:space="preserve"> </w:t>
      </w:r>
      <w:r w:rsidR="00F32B28" w:rsidRPr="00F32B28">
        <w:rPr>
          <w:rtl/>
        </w:rPr>
        <w:t>من</w:t>
      </w:r>
      <w:r w:rsidR="00F32B28">
        <w:rPr>
          <w:rtl/>
        </w:rPr>
        <w:t xml:space="preserve"> </w:t>
      </w:r>
      <w:r w:rsidR="00F32B28" w:rsidRPr="00F32B28">
        <w:rPr>
          <w:rtl/>
        </w:rPr>
        <w:t>دفع</w:t>
      </w:r>
      <w:r w:rsidR="00F32B28">
        <w:rPr>
          <w:rtl/>
        </w:rPr>
        <w:t xml:space="preserve"> </w:t>
      </w:r>
      <w:r w:rsidR="00F32B28" w:rsidRPr="00F32B28">
        <w:rPr>
          <w:rtl/>
        </w:rPr>
        <w:t>أتعابه.</w:t>
      </w:r>
      <w:r w:rsidR="00F32B28">
        <w:rPr>
          <w:rtl/>
        </w:rPr>
        <w:t xml:space="preserve"> </w:t>
      </w:r>
      <w:r w:rsidR="00F32B28" w:rsidRPr="00F32B28">
        <w:rPr>
          <w:rtl/>
        </w:rPr>
        <w:t>كما</w:t>
      </w:r>
      <w:r w:rsidR="00F32B28">
        <w:rPr>
          <w:rtl/>
        </w:rPr>
        <w:t xml:space="preserve"> </w:t>
      </w:r>
      <w:r w:rsidR="00F32B28" w:rsidRPr="00F32B28">
        <w:rPr>
          <w:rtl/>
        </w:rPr>
        <w:t>يعطي</w:t>
      </w:r>
      <w:r w:rsidR="00F32B28">
        <w:rPr>
          <w:rtl/>
        </w:rPr>
        <w:t xml:space="preserve"> </w:t>
      </w:r>
      <w:r w:rsidR="00F32B28" w:rsidRPr="00F32B28">
        <w:rPr>
          <w:rtl/>
        </w:rPr>
        <w:t>مشروع</w:t>
      </w:r>
      <w:r w:rsidR="00F32B28">
        <w:rPr>
          <w:rtl/>
        </w:rPr>
        <w:t xml:space="preserve"> </w:t>
      </w:r>
      <w:r w:rsidR="00F32B28" w:rsidRPr="00F32B28">
        <w:rPr>
          <w:rtl/>
        </w:rPr>
        <w:t>قانون</w:t>
      </w:r>
      <w:r w:rsidR="00F32B28">
        <w:rPr>
          <w:rtl/>
        </w:rPr>
        <w:t xml:space="preserve"> </w:t>
      </w:r>
      <w:r w:rsidR="00F32B28" w:rsidRPr="00F32B28">
        <w:rPr>
          <w:rtl/>
        </w:rPr>
        <w:t>صندوق</w:t>
      </w:r>
      <w:r w:rsidR="00F32B28">
        <w:rPr>
          <w:rtl/>
        </w:rPr>
        <w:t xml:space="preserve"> </w:t>
      </w:r>
      <w:r w:rsidR="00F32B28" w:rsidRPr="00F32B28">
        <w:rPr>
          <w:rtl/>
        </w:rPr>
        <w:t>المساعدة</w:t>
      </w:r>
      <w:r w:rsidR="00F32B28">
        <w:rPr>
          <w:rtl/>
        </w:rPr>
        <w:t xml:space="preserve"> </w:t>
      </w:r>
      <w:r w:rsidR="00F32B28" w:rsidRPr="00F32B28">
        <w:rPr>
          <w:rtl/>
        </w:rPr>
        <w:t>القانونية</w:t>
      </w:r>
      <w:r w:rsidR="00F32B28">
        <w:rPr>
          <w:rtl/>
        </w:rPr>
        <w:t xml:space="preserve"> </w:t>
      </w:r>
      <w:r w:rsidR="00F32B28" w:rsidRPr="00F32B28">
        <w:rPr>
          <w:rtl/>
        </w:rPr>
        <w:t>الفلسطيني</w:t>
      </w:r>
      <w:r w:rsidR="00F32B28">
        <w:rPr>
          <w:rtl/>
        </w:rPr>
        <w:t xml:space="preserve"> </w:t>
      </w:r>
      <w:r w:rsidR="00F32B28" w:rsidRPr="00F32B28">
        <w:rPr>
          <w:rtl/>
        </w:rPr>
        <w:t>لسنة</w:t>
      </w:r>
      <w:r w:rsidR="00F32B28">
        <w:rPr>
          <w:rtl/>
        </w:rPr>
        <w:t xml:space="preserve"> </w:t>
      </w:r>
      <w:r w:rsidR="00F32B28" w:rsidRPr="00F32B28">
        <w:rPr>
          <w:rtl/>
        </w:rPr>
        <w:t>2014،</w:t>
      </w:r>
      <w:r w:rsidR="00F32B28">
        <w:rPr>
          <w:rtl/>
        </w:rPr>
        <w:t xml:space="preserve"> </w:t>
      </w:r>
      <w:r w:rsidR="00F32B28" w:rsidRPr="00F32B28">
        <w:rPr>
          <w:rtl/>
        </w:rPr>
        <w:t>حق</w:t>
      </w:r>
      <w:r w:rsidR="00F32B28">
        <w:rPr>
          <w:rtl/>
        </w:rPr>
        <w:t xml:space="preserve"> </w:t>
      </w:r>
      <w:r w:rsidR="00F32B28" w:rsidRPr="00F32B28">
        <w:rPr>
          <w:rtl/>
        </w:rPr>
        <w:t>طلب</w:t>
      </w:r>
      <w:r w:rsidR="00F32B28">
        <w:rPr>
          <w:rtl/>
        </w:rPr>
        <w:t xml:space="preserve"> </w:t>
      </w:r>
      <w:r w:rsidR="00F32B28" w:rsidRPr="00F32B28">
        <w:rPr>
          <w:rtl/>
        </w:rPr>
        <w:t>المساعدة</w:t>
      </w:r>
      <w:r w:rsidR="00F32B28">
        <w:rPr>
          <w:rtl/>
        </w:rPr>
        <w:t xml:space="preserve"> </w:t>
      </w:r>
      <w:r w:rsidR="00F32B28" w:rsidRPr="00F32B28">
        <w:rPr>
          <w:rtl/>
        </w:rPr>
        <w:t>القانونية</w:t>
      </w:r>
      <w:r w:rsidR="00F32B28">
        <w:rPr>
          <w:rtl/>
        </w:rPr>
        <w:t xml:space="preserve"> </w:t>
      </w:r>
      <w:r w:rsidR="00F32B28" w:rsidRPr="00F32B28">
        <w:rPr>
          <w:rtl/>
        </w:rPr>
        <w:t>إلى</w:t>
      </w:r>
      <w:r w:rsidR="00F32B28">
        <w:rPr>
          <w:rtl/>
        </w:rPr>
        <w:t xml:space="preserve"> </w:t>
      </w:r>
      <w:r w:rsidR="00F32B28" w:rsidRPr="00F32B28">
        <w:rPr>
          <w:rtl/>
        </w:rPr>
        <w:t>الأشخاص</w:t>
      </w:r>
      <w:r w:rsidR="00F32B28">
        <w:rPr>
          <w:rtl/>
        </w:rPr>
        <w:t xml:space="preserve"> </w:t>
      </w:r>
      <w:r w:rsidR="00F32B28" w:rsidRPr="00F32B28">
        <w:rPr>
          <w:rtl/>
        </w:rPr>
        <w:t>المعوزين</w:t>
      </w:r>
      <w:r w:rsidR="00F32B28">
        <w:rPr>
          <w:rtl/>
        </w:rPr>
        <w:t xml:space="preserve"> </w:t>
      </w:r>
      <w:r w:rsidR="00F32B28" w:rsidRPr="00F32B28">
        <w:rPr>
          <w:rtl/>
        </w:rPr>
        <w:t>في</w:t>
      </w:r>
      <w:r w:rsidR="00F32B28">
        <w:rPr>
          <w:rtl/>
        </w:rPr>
        <w:t xml:space="preserve"> </w:t>
      </w:r>
      <w:r w:rsidR="00F32B28" w:rsidRPr="00F32B28">
        <w:rPr>
          <w:rtl/>
        </w:rPr>
        <w:t>كافة</w:t>
      </w:r>
      <w:r w:rsidR="00F32B28">
        <w:rPr>
          <w:rtl/>
        </w:rPr>
        <w:t xml:space="preserve"> </w:t>
      </w:r>
      <w:r w:rsidR="00F32B28" w:rsidRPr="00F32B28">
        <w:rPr>
          <w:rtl/>
        </w:rPr>
        <w:t>مراحل</w:t>
      </w:r>
      <w:r w:rsidR="00F32B28">
        <w:rPr>
          <w:rtl/>
        </w:rPr>
        <w:t xml:space="preserve"> </w:t>
      </w:r>
      <w:r w:rsidR="00F32B28" w:rsidRPr="00F32B28">
        <w:rPr>
          <w:rtl/>
        </w:rPr>
        <w:t>المحاكمة</w:t>
      </w:r>
      <w:r w:rsidR="00F32B28">
        <w:rPr>
          <w:rtl/>
        </w:rPr>
        <w:t xml:space="preserve"> </w:t>
      </w:r>
      <w:r w:rsidR="00F32B28" w:rsidRPr="00F32B28">
        <w:rPr>
          <w:rtl/>
        </w:rPr>
        <w:t>ووفقاً</w:t>
      </w:r>
      <w:r w:rsidR="00F32B28">
        <w:rPr>
          <w:rtl/>
        </w:rPr>
        <w:t xml:space="preserve"> </w:t>
      </w:r>
      <w:r w:rsidR="00F32B28" w:rsidRPr="00F32B28">
        <w:rPr>
          <w:rtl/>
        </w:rPr>
        <w:t>للشروط</w:t>
      </w:r>
      <w:r w:rsidR="00F32B28">
        <w:rPr>
          <w:rtl/>
        </w:rPr>
        <w:t xml:space="preserve"> </w:t>
      </w:r>
      <w:r w:rsidR="00F32B28" w:rsidRPr="00F32B28">
        <w:rPr>
          <w:rtl/>
        </w:rPr>
        <w:t>نفسها،</w:t>
      </w:r>
      <w:r w:rsidR="00F32B28">
        <w:rPr>
          <w:rtl/>
        </w:rPr>
        <w:t xml:space="preserve"> </w:t>
      </w:r>
      <w:r w:rsidR="00F32B28" w:rsidRPr="00F32B28">
        <w:rPr>
          <w:rtl/>
        </w:rPr>
        <w:t>مع</w:t>
      </w:r>
      <w:r w:rsidR="00F32B28">
        <w:rPr>
          <w:rtl/>
        </w:rPr>
        <w:t xml:space="preserve"> </w:t>
      </w:r>
      <w:r w:rsidR="00F32B28" w:rsidRPr="00F32B28">
        <w:rPr>
          <w:rtl/>
        </w:rPr>
        <w:t>إعطاء</w:t>
      </w:r>
      <w:r w:rsidR="00F32B28">
        <w:rPr>
          <w:rtl/>
        </w:rPr>
        <w:t xml:space="preserve"> </w:t>
      </w:r>
      <w:r w:rsidR="00F32B28" w:rsidRPr="00F32B28">
        <w:rPr>
          <w:rtl/>
        </w:rPr>
        <w:t>المرأة،</w:t>
      </w:r>
      <w:r w:rsidR="00F32B28">
        <w:rPr>
          <w:rtl/>
        </w:rPr>
        <w:t xml:space="preserve"> </w:t>
      </w:r>
      <w:r w:rsidR="00F32B28" w:rsidRPr="00F32B28">
        <w:rPr>
          <w:rtl/>
        </w:rPr>
        <w:t>إلى</w:t>
      </w:r>
      <w:r w:rsidR="00F32B28">
        <w:rPr>
          <w:rtl/>
        </w:rPr>
        <w:t xml:space="preserve"> </w:t>
      </w:r>
      <w:r w:rsidR="00F32B28" w:rsidRPr="00F32B28">
        <w:rPr>
          <w:rtl/>
        </w:rPr>
        <w:t>جانب</w:t>
      </w:r>
      <w:r w:rsidR="00F32B28">
        <w:rPr>
          <w:rtl/>
        </w:rPr>
        <w:t xml:space="preserve"> </w:t>
      </w:r>
      <w:r w:rsidR="00F32B28" w:rsidRPr="00F32B28">
        <w:rPr>
          <w:rtl/>
        </w:rPr>
        <w:t>الأطفال</w:t>
      </w:r>
      <w:r w:rsidR="00F32B28">
        <w:rPr>
          <w:rtl/>
        </w:rPr>
        <w:t xml:space="preserve"> </w:t>
      </w:r>
      <w:r w:rsidR="00F32B28" w:rsidRPr="00F32B28">
        <w:rPr>
          <w:rtl/>
        </w:rPr>
        <w:t>والأشخاص</w:t>
      </w:r>
      <w:r w:rsidR="00F32B28">
        <w:rPr>
          <w:rtl/>
        </w:rPr>
        <w:t xml:space="preserve"> </w:t>
      </w:r>
      <w:r w:rsidR="00F32B28" w:rsidRPr="00F32B28">
        <w:rPr>
          <w:rtl/>
        </w:rPr>
        <w:t>ذوي</w:t>
      </w:r>
      <w:r w:rsidR="00F32B28">
        <w:rPr>
          <w:rtl/>
        </w:rPr>
        <w:t xml:space="preserve"> </w:t>
      </w:r>
      <w:r w:rsidR="00F32B28" w:rsidRPr="00F32B28">
        <w:rPr>
          <w:rtl/>
        </w:rPr>
        <w:t>الإعاقة،</w:t>
      </w:r>
      <w:r w:rsidR="00F32B28">
        <w:rPr>
          <w:rtl/>
        </w:rPr>
        <w:t xml:space="preserve"> </w:t>
      </w:r>
      <w:r w:rsidR="00F32B28" w:rsidRPr="00F32B28">
        <w:rPr>
          <w:rtl/>
        </w:rPr>
        <w:t>أولوية</w:t>
      </w:r>
      <w:r w:rsidR="00F32B28">
        <w:rPr>
          <w:rtl/>
        </w:rPr>
        <w:t xml:space="preserve"> </w:t>
      </w:r>
      <w:r w:rsidR="00F32B28" w:rsidRPr="00F32B28">
        <w:rPr>
          <w:rtl/>
        </w:rPr>
        <w:t>خاصة</w:t>
      </w:r>
      <w:r w:rsidR="00F32B28">
        <w:rPr>
          <w:rtl/>
        </w:rPr>
        <w:t xml:space="preserve"> </w:t>
      </w:r>
      <w:r w:rsidR="00F32B28" w:rsidRPr="00F32B28">
        <w:rPr>
          <w:rtl/>
        </w:rPr>
        <w:t>في</w:t>
      </w:r>
      <w:r w:rsidR="00F32B28">
        <w:rPr>
          <w:rtl/>
        </w:rPr>
        <w:t xml:space="preserve"> </w:t>
      </w:r>
      <w:r w:rsidR="00F32B28" w:rsidRPr="00F32B28">
        <w:rPr>
          <w:rtl/>
        </w:rPr>
        <w:t>ذلك،</w:t>
      </w:r>
      <w:r w:rsidR="00F32B28">
        <w:rPr>
          <w:rtl/>
        </w:rPr>
        <w:t xml:space="preserve"> </w:t>
      </w:r>
      <w:r w:rsidR="00F32B28" w:rsidRPr="00F32B28">
        <w:rPr>
          <w:rtl/>
        </w:rPr>
        <w:t>الأمر</w:t>
      </w:r>
      <w:r w:rsidR="00F32B28">
        <w:rPr>
          <w:rtl/>
        </w:rPr>
        <w:t xml:space="preserve"> </w:t>
      </w:r>
      <w:r w:rsidR="00F32B28" w:rsidRPr="00F32B28">
        <w:rPr>
          <w:rtl/>
        </w:rPr>
        <w:t>الذي</w:t>
      </w:r>
      <w:r w:rsidR="00F32B28">
        <w:rPr>
          <w:rtl/>
        </w:rPr>
        <w:t xml:space="preserve"> </w:t>
      </w:r>
      <w:r w:rsidR="00F32B28" w:rsidRPr="00F32B28">
        <w:rPr>
          <w:rtl/>
        </w:rPr>
        <w:t>سيوفر</w:t>
      </w:r>
      <w:r w:rsidR="00F32B28">
        <w:rPr>
          <w:rtl/>
        </w:rPr>
        <w:t xml:space="preserve"> </w:t>
      </w:r>
      <w:r w:rsidR="00F32B28" w:rsidRPr="00F32B28">
        <w:rPr>
          <w:rtl/>
        </w:rPr>
        <w:t>أداة</w:t>
      </w:r>
      <w:r w:rsidR="00F32B28">
        <w:rPr>
          <w:rtl/>
        </w:rPr>
        <w:t xml:space="preserve"> </w:t>
      </w:r>
      <w:r w:rsidR="00F32B28" w:rsidRPr="00F32B28">
        <w:rPr>
          <w:rtl/>
        </w:rPr>
        <w:t>استراتيجية</w:t>
      </w:r>
      <w:r w:rsidR="00F32B28">
        <w:rPr>
          <w:rtl/>
        </w:rPr>
        <w:t xml:space="preserve"> </w:t>
      </w:r>
      <w:r w:rsidR="00F32B28" w:rsidRPr="00F32B28">
        <w:rPr>
          <w:rtl/>
        </w:rPr>
        <w:t>وفاعلة</w:t>
      </w:r>
      <w:r w:rsidR="00F32B28">
        <w:rPr>
          <w:rtl/>
        </w:rPr>
        <w:t xml:space="preserve"> </w:t>
      </w:r>
      <w:r w:rsidR="00F32B28" w:rsidRPr="00F32B28">
        <w:rPr>
          <w:rtl/>
        </w:rPr>
        <w:t>تضمن</w:t>
      </w:r>
      <w:r w:rsidR="00F32B28">
        <w:rPr>
          <w:rtl/>
        </w:rPr>
        <w:t xml:space="preserve"> </w:t>
      </w:r>
      <w:r w:rsidR="00F32B28" w:rsidRPr="00F32B28">
        <w:rPr>
          <w:rtl/>
        </w:rPr>
        <w:t>وصول</w:t>
      </w:r>
      <w:r w:rsidR="00F32B28">
        <w:rPr>
          <w:rtl/>
        </w:rPr>
        <w:t xml:space="preserve"> </w:t>
      </w:r>
      <w:r w:rsidR="00F32B28" w:rsidRPr="00F32B28">
        <w:rPr>
          <w:rtl/>
        </w:rPr>
        <w:t>النساء</w:t>
      </w:r>
      <w:r w:rsidR="00F32B28">
        <w:rPr>
          <w:rtl/>
        </w:rPr>
        <w:t xml:space="preserve"> </w:t>
      </w:r>
      <w:r w:rsidR="00F32B28" w:rsidRPr="00F32B28">
        <w:rPr>
          <w:rtl/>
        </w:rPr>
        <w:t>على</w:t>
      </w:r>
      <w:r w:rsidR="00F32B28">
        <w:rPr>
          <w:rtl/>
        </w:rPr>
        <w:t xml:space="preserve"> </w:t>
      </w:r>
      <w:r w:rsidR="00F32B28" w:rsidRPr="00F32B28">
        <w:rPr>
          <w:rtl/>
        </w:rPr>
        <w:t>وجه</w:t>
      </w:r>
      <w:r w:rsidR="00F32B28">
        <w:rPr>
          <w:rtl/>
        </w:rPr>
        <w:t xml:space="preserve"> </w:t>
      </w:r>
      <w:r w:rsidR="00F32B28" w:rsidRPr="00F32B28">
        <w:rPr>
          <w:rtl/>
        </w:rPr>
        <w:t>الخصوص</w:t>
      </w:r>
      <w:r w:rsidR="00F32B28">
        <w:rPr>
          <w:rtl/>
        </w:rPr>
        <w:t xml:space="preserve"> </w:t>
      </w:r>
      <w:r w:rsidR="00F32B28" w:rsidRPr="00F32B28">
        <w:rPr>
          <w:rtl/>
        </w:rPr>
        <w:t>إلى</w:t>
      </w:r>
      <w:r w:rsidR="00F32B28">
        <w:rPr>
          <w:rtl/>
        </w:rPr>
        <w:t xml:space="preserve"> </w:t>
      </w:r>
      <w:r w:rsidR="00F32B28" w:rsidRPr="00F32B28">
        <w:rPr>
          <w:rtl/>
        </w:rPr>
        <w:t>العدالة</w:t>
      </w:r>
      <w:r w:rsidR="00F32B28" w:rsidRPr="00F32B28">
        <w:t>.</w:t>
      </w:r>
    </w:p>
    <w:p w:rsidR="00F32B28" w:rsidRPr="00F32B28" w:rsidRDefault="00891A4B" w:rsidP="00891A4B">
      <w:pPr>
        <w:pStyle w:val="SingleTxt"/>
      </w:pPr>
      <w:r>
        <w:rPr>
          <w:rFonts w:hint="cs"/>
          <w:rtl/>
        </w:rPr>
        <w:t xml:space="preserve">314 - </w:t>
      </w:r>
      <w:r w:rsidR="00F32B28" w:rsidRPr="00F32B28">
        <w:rPr>
          <w:rtl/>
        </w:rPr>
        <w:t>كما</w:t>
      </w:r>
      <w:r w:rsidR="00F32B28" w:rsidRPr="00F32B28">
        <w:rPr>
          <w:rtl/>
          <w:lang w:bidi="ar-SY"/>
        </w:rPr>
        <w:t>لم</w:t>
      </w:r>
      <w:r w:rsidR="00F32B28">
        <w:rPr>
          <w:rtl/>
          <w:lang w:bidi="ar-SY"/>
        </w:rPr>
        <w:t xml:space="preserve"> </w:t>
      </w:r>
      <w:r w:rsidR="00F32B28" w:rsidRPr="00F32B28">
        <w:rPr>
          <w:rtl/>
          <w:lang w:bidi="ar-SY"/>
        </w:rPr>
        <w:t>تميز</w:t>
      </w:r>
      <w:r w:rsidR="00F32B28">
        <w:rPr>
          <w:rtl/>
          <w:lang w:bidi="ar-SY"/>
        </w:rPr>
        <w:t xml:space="preserve"> </w:t>
      </w:r>
      <w:r w:rsidR="00F32B28" w:rsidRPr="00F32B28">
        <w:rPr>
          <w:rtl/>
          <w:lang w:bidi="ar-SY"/>
        </w:rPr>
        <w:t>نصوص</w:t>
      </w:r>
      <w:r w:rsidR="00F32B28">
        <w:rPr>
          <w:rtl/>
          <w:lang w:bidi="ar-SY"/>
        </w:rPr>
        <w:t xml:space="preserve"> </w:t>
      </w:r>
      <w:r w:rsidR="00F32B28" w:rsidRPr="00F32B28">
        <w:rPr>
          <w:rtl/>
          <w:lang w:bidi="ar-SY"/>
        </w:rPr>
        <w:t>القوانين</w:t>
      </w:r>
      <w:r w:rsidR="00F32B28">
        <w:rPr>
          <w:rtl/>
          <w:lang w:bidi="ar-SY"/>
        </w:rPr>
        <w:t xml:space="preserve"> </w:t>
      </w:r>
      <w:r w:rsidR="00F32B28" w:rsidRPr="00F32B28">
        <w:rPr>
          <w:rtl/>
          <w:lang w:bidi="ar-SY"/>
        </w:rPr>
        <w:t>المدنية</w:t>
      </w:r>
      <w:r w:rsidR="00F32B28">
        <w:rPr>
          <w:rtl/>
          <w:lang w:bidi="ar-SY"/>
        </w:rPr>
        <w:t xml:space="preserve"> </w:t>
      </w:r>
      <w:r w:rsidR="00F32B28" w:rsidRPr="00F32B28">
        <w:rPr>
          <w:rtl/>
          <w:lang w:bidi="ar-SY"/>
        </w:rPr>
        <w:t>والجزائية</w:t>
      </w:r>
      <w:r w:rsidR="00F32B28">
        <w:rPr>
          <w:rtl/>
          <w:lang w:bidi="ar-SY"/>
        </w:rPr>
        <w:t xml:space="preserve"> </w:t>
      </w:r>
      <w:r w:rsidR="00F32B28" w:rsidRPr="00F32B28">
        <w:rPr>
          <w:rtl/>
          <w:lang w:bidi="ar-SY"/>
        </w:rPr>
        <w:t>والإدارية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شهادة</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القضائية</w:t>
      </w:r>
      <w:r w:rsidR="00F32B28">
        <w:rPr>
          <w:rtl/>
          <w:lang w:bidi="ar-SY"/>
        </w:rPr>
        <w:t xml:space="preserve"> </w:t>
      </w:r>
      <w:r w:rsidR="00F32B28" w:rsidRPr="00F32B28">
        <w:rPr>
          <w:rtl/>
          <w:lang w:bidi="ar-SY"/>
        </w:rPr>
        <w:t>وشهادة</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وزنهما؛</w:t>
      </w:r>
      <w:r w:rsidR="00F32B28">
        <w:rPr>
          <w:rtl/>
          <w:lang w:bidi="ar-SY"/>
        </w:rPr>
        <w:t xml:space="preserve"> </w:t>
      </w:r>
      <w:r w:rsidR="00F32B28" w:rsidRPr="00F32B28">
        <w:rPr>
          <w:rtl/>
          <w:lang w:bidi="ar-SY"/>
        </w:rPr>
        <w:t>فالحالات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تقبل</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الشهادة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تُسمع</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سبيل</w:t>
      </w:r>
      <w:r w:rsidR="00F32B28">
        <w:rPr>
          <w:rtl/>
          <w:lang w:bidi="ar-SY"/>
        </w:rPr>
        <w:t xml:space="preserve"> </w:t>
      </w:r>
      <w:r w:rsidR="00F32B28" w:rsidRPr="00F32B28">
        <w:rPr>
          <w:rtl/>
          <w:lang w:bidi="ar-SY"/>
        </w:rPr>
        <w:t>الاستئناس</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تنتفي</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أهلية</w:t>
      </w:r>
      <w:r w:rsidR="00F32B28">
        <w:rPr>
          <w:rtl/>
          <w:lang w:bidi="ar-SY"/>
        </w:rPr>
        <w:t xml:space="preserve"> </w:t>
      </w:r>
      <w:r w:rsidR="00F32B28" w:rsidRPr="00F32B28">
        <w:rPr>
          <w:rtl/>
          <w:lang w:bidi="ar-SY"/>
        </w:rPr>
        <w:t>أدائها</w:t>
      </w:r>
      <w:r w:rsidR="00F32B28">
        <w:rPr>
          <w:rtl/>
          <w:lang w:bidi="ar-SY"/>
        </w:rPr>
        <w:t xml:space="preserve"> </w:t>
      </w:r>
      <w:r w:rsidR="00F32B28" w:rsidRPr="00F32B28">
        <w:rPr>
          <w:rtl/>
          <w:lang w:bidi="ar-SY"/>
        </w:rPr>
        <w:t>أمام</w:t>
      </w:r>
      <w:r w:rsidR="00F32B28">
        <w:rPr>
          <w:rtl/>
          <w:lang w:bidi="ar-SY"/>
        </w:rPr>
        <w:t xml:space="preserve"> </w:t>
      </w:r>
      <w:r w:rsidR="00F32B28" w:rsidRPr="00F32B28">
        <w:rPr>
          <w:rtl/>
          <w:lang w:bidi="ar-SY"/>
        </w:rPr>
        <w:t>القضاء</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واحدة</w:t>
      </w:r>
      <w:r w:rsidR="00F32B28">
        <w:rPr>
          <w:rtl/>
          <w:lang w:bidi="ar-SY"/>
        </w:rPr>
        <w:t xml:space="preserve"> </w:t>
      </w:r>
      <w:r w:rsidR="00F32B28" w:rsidRPr="00F32B28">
        <w:rPr>
          <w:rtl/>
          <w:lang w:bidi="ar-SY"/>
        </w:rPr>
        <w:t>بالنسبة</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الرجال</w:t>
      </w:r>
      <w:r w:rsidR="00F32B28">
        <w:rPr>
          <w:rtl/>
          <w:lang w:bidi="ar-SY"/>
        </w:rPr>
        <w:t xml:space="preserve"> </w:t>
      </w:r>
      <w:r w:rsidR="00F32B28" w:rsidRPr="00F32B28">
        <w:rPr>
          <w:rtl/>
          <w:lang w:bidi="ar-SY"/>
        </w:rPr>
        <w:t>والنساء</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تمييز.</w:t>
      </w:r>
      <w:r w:rsidR="00F32B28">
        <w:rPr>
          <w:rtl/>
          <w:lang w:bidi="ar-SY"/>
        </w:rPr>
        <w:t xml:space="preserve"> </w:t>
      </w:r>
      <w:r w:rsidR="00F32B28" w:rsidRPr="00F32B28">
        <w:rPr>
          <w:rtl/>
          <w:lang w:bidi="ar-SY"/>
        </w:rPr>
        <w:t>أما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صعيد</w:t>
      </w:r>
      <w:r w:rsidR="00F32B28">
        <w:rPr>
          <w:rtl/>
          <w:lang w:bidi="ar-SY"/>
        </w:rPr>
        <w:t xml:space="preserve"> </w:t>
      </w:r>
      <w:r w:rsidR="00F32B28" w:rsidRPr="00F32B28">
        <w:rPr>
          <w:rtl/>
          <w:lang w:bidi="ar-SY"/>
        </w:rPr>
        <w:t>المحاكم</w:t>
      </w:r>
      <w:r w:rsidR="00F32B28">
        <w:rPr>
          <w:rtl/>
          <w:lang w:bidi="ar-SY"/>
        </w:rPr>
        <w:t xml:space="preserve"> </w:t>
      </w:r>
      <w:r w:rsidR="00F32B28" w:rsidRPr="00F32B28">
        <w:rPr>
          <w:rtl/>
          <w:lang w:bidi="ar-SY"/>
        </w:rPr>
        <w:t>الشرعية،</w:t>
      </w:r>
      <w:r w:rsidR="00F32B28">
        <w:rPr>
          <w:rtl/>
          <w:lang w:bidi="ar-SY"/>
        </w:rPr>
        <w:t xml:space="preserve"> </w:t>
      </w:r>
      <w:r w:rsidR="00F32B28" w:rsidRPr="00F32B28">
        <w:rPr>
          <w:rtl/>
          <w:lang w:bidi="ar-SY"/>
        </w:rPr>
        <w:t>فهنالك</w:t>
      </w:r>
      <w:r w:rsidR="00F32B28">
        <w:rPr>
          <w:rtl/>
          <w:lang w:bidi="ar-SY"/>
        </w:rPr>
        <w:t xml:space="preserve"> </w:t>
      </w:r>
      <w:r w:rsidR="00F32B28" w:rsidRPr="00F32B28">
        <w:rPr>
          <w:rtl/>
          <w:lang w:bidi="ar-SY"/>
        </w:rPr>
        <w:t>تمييز</w:t>
      </w:r>
      <w:r w:rsidR="00F32B28">
        <w:rPr>
          <w:rtl/>
          <w:lang w:bidi="ar-SY"/>
        </w:rPr>
        <w:t xml:space="preserve"> </w:t>
      </w:r>
      <w:r w:rsidR="00F32B28" w:rsidRPr="00F32B28">
        <w:rPr>
          <w:rtl/>
          <w:lang w:bidi="ar-SY"/>
        </w:rPr>
        <w:t>مجحف</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شهادتهما،</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يخص</w:t>
      </w:r>
      <w:r w:rsidR="00F32B28">
        <w:rPr>
          <w:rtl/>
          <w:lang w:bidi="ar-SY"/>
        </w:rPr>
        <w:t xml:space="preserve"> </w:t>
      </w:r>
      <w:r w:rsidR="00F32B28" w:rsidRPr="00F32B28">
        <w:rPr>
          <w:rtl/>
          <w:lang w:bidi="ar-SY"/>
        </w:rPr>
        <w:t>الشهادة</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عقود</w:t>
      </w:r>
      <w:r w:rsidR="00F32B28">
        <w:rPr>
          <w:rtl/>
          <w:lang w:bidi="ar-SY"/>
        </w:rPr>
        <w:t xml:space="preserve"> </w:t>
      </w:r>
      <w:r w:rsidR="00F32B28" w:rsidRPr="00F32B28">
        <w:rPr>
          <w:rtl/>
          <w:lang w:bidi="ar-SY"/>
        </w:rPr>
        <w:t>الزواج،</w:t>
      </w:r>
      <w:r w:rsidR="00F32B28">
        <w:rPr>
          <w:rtl/>
          <w:lang w:bidi="ar-SY"/>
        </w:rPr>
        <w:t xml:space="preserve"> </w:t>
      </w:r>
      <w:r w:rsidR="00F32B28" w:rsidRPr="00F32B28">
        <w:rPr>
          <w:rtl/>
          <w:lang w:bidi="ar-SY"/>
        </w:rPr>
        <w:t>فشهادة</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تعادل</w:t>
      </w:r>
      <w:r w:rsidR="00F32B28">
        <w:rPr>
          <w:rtl/>
          <w:lang w:bidi="ar-SY"/>
        </w:rPr>
        <w:t xml:space="preserve"> </w:t>
      </w:r>
      <w:r w:rsidR="00F32B28" w:rsidRPr="00F32B28">
        <w:rPr>
          <w:rtl/>
          <w:lang w:bidi="ar-SY"/>
        </w:rPr>
        <w:t>شهادة</w:t>
      </w:r>
      <w:r w:rsidR="00F32B28">
        <w:rPr>
          <w:rtl/>
          <w:lang w:bidi="ar-SY"/>
        </w:rPr>
        <w:t xml:space="preserve"> </w:t>
      </w:r>
      <w:r w:rsidR="00F32B28" w:rsidRPr="00F32B28">
        <w:rPr>
          <w:rtl/>
          <w:lang w:bidi="ar-SY"/>
        </w:rPr>
        <w:t>امرأتين،</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عدم</w:t>
      </w:r>
      <w:r w:rsidR="00F32B28">
        <w:rPr>
          <w:rtl/>
          <w:lang w:bidi="ar-SY"/>
        </w:rPr>
        <w:t xml:space="preserve"> </w:t>
      </w:r>
      <w:r w:rsidR="00F32B28" w:rsidRPr="00F32B28">
        <w:rPr>
          <w:rtl/>
          <w:lang w:bidi="ar-SY"/>
        </w:rPr>
        <w:t>وجود</w:t>
      </w:r>
      <w:r w:rsidR="00F32B28">
        <w:rPr>
          <w:rtl/>
          <w:lang w:bidi="ar-SY"/>
        </w:rPr>
        <w:t xml:space="preserve"> </w:t>
      </w:r>
      <w:r w:rsidR="00F32B28" w:rsidRPr="00F32B28">
        <w:rPr>
          <w:rtl/>
          <w:lang w:bidi="ar-SY"/>
        </w:rPr>
        <w:t>إمكانية</w:t>
      </w:r>
      <w:r w:rsidR="00F32B28">
        <w:rPr>
          <w:rtl/>
          <w:lang w:bidi="ar-SY"/>
        </w:rPr>
        <w:t xml:space="preserve"> </w:t>
      </w:r>
      <w:r w:rsidR="00F32B28" w:rsidRPr="00F32B28">
        <w:rPr>
          <w:rtl/>
          <w:lang w:bidi="ar-SY"/>
        </w:rPr>
        <w:t>للمرأة</w:t>
      </w:r>
      <w:r w:rsidR="00F32B28">
        <w:rPr>
          <w:rtl/>
          <w:lang w:bidi="ar-SY"/>
        </w:rPr>
        <w:t xml:space="preserve"> </w:t>
      </w:r>
      <w:r w:rsidR="00F32B28" w:rsidRPr="00F32B28">
        <w:rPr>
          <w:rtl/>
          <w:lang w:bidi="ar-SY"/>
        </w:rPr>
        <w:t>وحدها</w:t>
      </w:r>
      <w:r w:rsidR="00F32B28">
        <w:rPr>
          <w:rtl/>
          <w:lang w:bidi="ar-SY"/>
        </w:rPr>
        <w:t xml:space="preserve"> </w:t>
      </w:r>
      <w:r w:rsidR="00F32B28" w:rsidRPr="00F32B28">
        <w:rPr>
          <w:rtl/>
          <w:lang w:bidi="ar-SY"/>
        </w:rPr>
        <w:t>لتكون</w:t>
      </w:r>
      <w:r w:rsidR="00F32B28">
        <w:rPr>
          <w:rtl/>
          <w:lang w:bidi="ar-SY"/>
        </w:rPr>
        <w:t xml:space="preserve"> </w:t>
      </w:r>
      <w:r w:rsidR="00F32B28" w:rsidRPr="00F32B28">
        <w:rPr>
          <w:rtl/>
          <w:lang w:bidi="ar-SY"/>
        </w:rPr>
        <w:t>بمثابة</w:t>
      </w:r>
      <w:r w:rsidR="00F32B28">
        <w:rPr>
          <w:rtl/>
          <w:lang w:bidi="ar-SY"/>
        </w:rPr>
        <w:t xml:space="preserve"> </w:t>
      </w:r>
      <w:r w:rsidR="00F32B28" w:rsidRPr="00F32B28">
        <w:rPr>
          <w:rtl/>
          <w:lang w:bidi="ar-SY"/>
        </w:rPr>
        <w:t>شاهد</w:t>
      </w:r>
      <w:r w:rsidR="00F32B28">
        <w:rPr>
          <w:rtl/>
          <w:lang w:bidi="ar-SY"/>
        </w:rPr>
        <w:t xml:space="preserve"> </w:t>
      </w:r>
      <w:r w:rsidR="00F32B28" w:rsidRPr="00F32B28">
        <w:rPr>
          <w:rtl/>
          <w:lang w:bidi="ar-SY"/>
        </w:rPr>
        <w:t>بهذا</w:t>
      </w:r>
      <w:r w:rsidR="00F32B28">
        <w:rPr>
          <w:rtl/>
          <w:lang w:bidi="ar-SY"/>
        </w:rPr>
        <w:t xml:space="preserve"> </w:t>
      </w:r>
      <w:r w:rsidR="00F32B28" w:rsidRPr="00F32B28">
        <w:rPr>
          <w:rtl/>
          <w:lang w:bidi="ar-SY"/>
        </w:rPr>
        <w:t>الخصوص؛</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يجب</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تكون</w:t>
      </w:r>
      <w:r w:rsidR="00F32B28">
        <w:rPr>
          <w:rtl/>
          <w:lang w:bidi="ar-SY"/>
        </w:rPr>
        <w:t xml:space="preserve"> </w:t>
      </w:r>
      <w:r w:rsidR="00F32B28" w:rsidRPr="00F32B28">
        <w:rPr>
          <w:rtl/>
          <w:lang w:bidi="ar-SY"/>
        </w:rPr>
        <w:t>الشهادة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رجلين</w:t>
      </w:r>
      <w:r w:rsidR="00F32B28">
        <w:rPr>
          <w:rtl/>
          <w:lang w:bidi="ar-SY"/>
        </w:rPr>
        <w:t xml:space="preserve"> </w:t>
      </w:r>
      <w:r w:rsidR="00F32B28" w:rsidRPr="00F32B28">
        <w:rPr>
          <w:rtl/>
          <w:lang w:bidi="ar-SY"/>
        </w:rPr>
        <w:t>أثنين</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رجل</w:t>
      </w:r>
      <w:r w:rsidR="00F32B28">
        <w:rPr>
          <w:rtl/>
          <w:lang w:bidi="ar-SY"/>
        </w:rPr>
        <w:t xml:space="preserve"> </w:t>
      </w:r>
      <w:r w:rsidR="00F32B28" w:rsidRPr="00F32B28">
        <w:rPr>
          <w:rtl/>
          <w:lang w:bidi="ar-SY"/>
        </w:rPr>
        <w:t>واحد</w:t>
      </w:r>
      <w:r w:rsidR="00F32B28">
        <w:rPr>
          <w:rtl/>
          <w:lang w:bidi="ar-SY"/>
        </w:rPr>
        <w:t xml:space="preserve"> </w:t>
      </w:r>
      <w:r w:rsidR="00F32B28" w:rsidRPr="00F32B28">
        <w:rPr>
          <w:rtl/>
          <w:lang w:bidi="ar-SY"/>
        </w:rPr>
        <w:t>وامرأتين،</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الأمر</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يخص</w:t>
      </w:r>
      <w:r w:rsidR="00F32B28">
        <w:rPr>
          <w:rtl/>
          <w:lang w:bidi="ar-SY"/>
        </w:rPr>
        <w:t xml:space="preserve"> </w:t>
      </w:r>
      <w:r w:rsidR="00F32B28" w:rsidRPr="00F32B28">
        <w:rPr>
          <w:rtl/>
          <w:lang w:bidi="ar-SY"/>
        </w:rPr>
        <w:t>معاملات</w:t>
      </w:r>
      <w:r w:rsidR="00F32B28">
        <w:rPr>
          <w:rtl/>
          <w:lang w:bidi="ar-SY"/>
        </w:rPr>
        <w:t xml:space="preserve"> </w:t>
      </w:r>
      <w:r w:rsidR="00F32B28" w:rsidRPr="00F32B28">
        <w:rPr>
          <w:rtl/>
          <w:lang w:bidi="ar-SY"/>
        </w:rPr>
        <w:t>بيع</w:t>
      </w:r>
      <w:r w:rsidR="00F32B28">
        <w:rPr>
          <w:rtl/>
          <w:lang w:bidi="ar-SY"/>
        </w:rPr>
        <w:t xml:space="preserve"> </w:t>
      </w:r>
      <w:r w:rsidR="00F32B28" w:rsidRPr="00F32B28">
        <w:rPr>
          <w:rtl/>
          <w:lang w:bidi="ar-SY"/>
        </w:rPr>
        <w:t>الأراضي</w:t>
      </w:r>
      <w:r w:rsidR="00F32B28">
        <w:rPr>
          <w:rtl/>
          <w:lang w:bidi="ar-SY"/>
        </w:rPr>
        <w:t xml:space="preserve"> </w:t>
      </w:r>
      <w:r w:rsidR="00F32B28" w:rsidRPr="00F32B28">
        <w:rPr>
          <w:rtl/>
          <w:lang w:bidi="ar-SY"/>
        </w:rPr>
        <w:t>لدى</w:t>
      </w:r>
      <w:r w:rsidR="00F32B28">
        <w:rPr>
          <w:rtl/>
          <w:lang w:bidi="ar-SY"/>
        </w:rPr>
        <w:t xml:space="preserve"> </w:t>
      </w:r>
      <w:r w:rsidR="00F32B28" w:rsidRPr="00F32B28">
        <w:rPr>
          <w:rtl/>
          <w:lang w:bidi="ar-SY"/>
        </w:rPr>
        <w:t>دوائر</w:t>
      </w:r>
      <w:r w:rsidR="00F32B28">
        <w:rPr>
          <w:rtl/>
          <w:lang w:bidi="ar-SY"/>
        </w:rPr>
        <w:t xml:space="preserve"> </w:t>
      </w:r>
      <w:r w:rsidR="00F32B28" w:rsidRPr="00F32B28">
        <w:rPr>
          <w:rtl/>
          <w:lang w:bidi="ar-SY"/>
        </w:rPr>
        <w:t>تسجيل</w:t>
      </w:r>
      <w:r w:rsidR="00F32B28">
        <w:rPr>
          <w:rtl/>
          <w:lang w:bidi="ar-SY"/>
        </w:rPr>
        <w:t xml:space="preserve"> </w:t>
      </w:r>
      <w:r w:rsidR="00F32B28" w:rsidRPr="00F32B28">
        <w:rPr>
          <w:rtl/>
          <w:lang w:bidi="ar-SY"/>
        </w:rPr>
        <w:t>الأراضي.</w:t>
      </w:r>
    </w:p>
    <w:p w:rsidR="00F32B28" w:rsidRPr="00F32B28" w:rsidRDefault="00891A4B" w:rsidP="00891A4B">
      <w:pPr>
        <w:pStyle w:val="SingleTxt"/>
        <w:rPr>
          <w:rtl/>
        </w:rPr>
      </w:pPr>
      <w:r>
        <w:rPr>
          <w:rFonts w:hint="cs"/>
          <w:rtl/>
          <w:lang w:bidi="ar-SY"/>
        </w:rPr>
        <w:t xml:space="preserve">315 - </w:t>
      </w:r>
      <w:r w:rsidR="00F32B28" w:rsidRPr="00F32B28">
        <w:rPr>
          <w:rtl/>
          <w:lang w:bidi="ar-SY"/>
        </w:rPr>
        <w:t>يكفل</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المعدل</w:t>
      </w:r>
      <w:r w:rsidR="00F32B28">
        <w:rPr>
          <w:rtl/>
          <w:lang w:bidi="ar-SY"/>
        </w:rPr>
        <w:t xml:space="preserve"> </w:t>
      </w:r>
      <w:r w:rsidR="00F32B28" w:rsidRPr="00F32B28">
        <w:rPr>
          <w:rtl/>
          <w:lang w:bidi="ar-SY"/>
        </w:rPr>
        <w:t>حرية</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والفلسطينيات</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الإقامة</w:t>
      </w:r>
      <w:r w:rsidR="00F32B28">
        <w:rPr>
          <w:rtl/>
          <w:lang w:bidi="ar-SY"/>
        </w:rPr>
        <w:t xml:space="preserve"> </w:t>
      </w:r>
      <w:r w:rsidR="00F32B28" w:rsidRPr="00F32B28">
        <w:rPr>
          <w:rtl/>
          <w:lang w:bidi="ar-SY"/>
        </w:rPr>
        <w:t>والحركة</w:t>
      </w:r>
      <w:r w:rsidR="00F32B28">
        <w:rPr>
          <w:rtl/>
          <w:lang w:bidi="ar-SY"/>
        </w:rPr>
        <w:t xml:space="preserve"> </w:t>
      </w:r>
      <w:r w:rsidR="00F32B28" w:rsidRPr="00F32B28">
        <w:rPr>
          <w:rtl/>
          <w:lang w:bidi="ar-SY"/>
        </w:rPr>
        <w:t>والتنقل،</w:t>
      </w:r>
      <w:r w:rsidR="00F32B28">
        <w:rPr>
          <w:rtl/>
          <w:lang w:bidi="ar-SY"/>
        </w:rPr>
        <w:t xml:space="preserve"> </w:t>
      </w:r>
      <w:r w:rsidR="00F32B28" w:rsidRPr="00F32B28">
        <w:rPr>
          <w:rtl/>
          <w:lang w:bidi="ar-SY"/>
        </w:rPr>
        <w:t>ويحظر</w:t>
      </w:r>
      <w:r w:rsidR="00F32B28">
        <w:rPr>
          <w:rtl/>
          <w:lang w:bidi="ar-SY"/>
        </w:rPr>
        <w:t xml:space="preserve"> </w:t>
      </w:r>
      <w:r w:rsidR="00F32B28" w:rsidRPr="00F32B28">
        <w:rPr>
          <w:rtl/>
          <w:lang w:bidi="ar-SY"/>
        </w:rPr>
        <w:t>إبعاد</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فلسطيني</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أرض</w:t>
      </w:r>
      <w:r w:rsidR="00F32B28">
        <w:rPr>
          <w:rtl/>
          <w:lang w:bidi="ar-SY"/>
        </w:rPr>
        <w:t xml:space="preserve"> </w:t>
      </w:r>
      <w:r w:rsidR="00F32B28" w:rsidRPr="00F32B28">
        <w:rPr>
          <w:rtl/>
          <w:lang w:bidi="ar-SY"/>
        </w:rPr>
        <w:t>الوطن</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حرمانه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العودة</w:t>
      </w:r>
      <w:r w:rsidR="00F32B28">
        <w:rPr>
          <w:rtl/>
          <w:lang w:bidi="ar-SY"/>
        </w:rPr>
        <w:t xml:space="preserve"> </w:t>
      </w:r>
      <w:r w:rsidR="00F32B28" w:rsidRPr="00F32B28">
        <w:rPr>
          <w:rtl/>
          <w:lang w:bidi="ar-SY"/>
        </w:rPr>
        <w:t>إليه</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منعه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المغادرة.</w:t>
      </w:r>
      <w:r w:rsidR="00F32B28">
        <w:rPr>
          <w:rtl/>
          <w:lang w:bidi="ar-SY"/>
        </w:rPr>
        <w:t xml:space="preserve"> </w:t>
      </w:r>
      <w:r w:rsidR="00F32B28" w:rsidRPr="00F32B28">
        <w:rPr>
          <w:rtl/>
          <w:lang w:bidi="ar-JO"/>
        </w:rPr>
        <w:t>و</w:t>
      </w:r>
      <w:r w:rsidR="00F32B28" w:rsidRPr="00F32B28">
        <w:rPr>
          <w:rtl/>
          <w:lang w:bidi="ar-SY"/>
        </w:rPr>
        <w:t>تخلو</w:t>
      </w:r>
      <w:r w:rsidR="00F32B28">
        <w:rPr>
          <w:rtl/>
          <w:lang w:bidi="ar-SY"/>
        </w:rPr>
        <w:t xml:space="preserve"> </w:t>
      </w:r>
      <w:r w:rsidR="00F32B28" w:rsidRPr="00F32B28">
        <w:rPr>
          <w:rtl/>
          <w:lang w:bidi="ar-SY"/>
        </w:rPr>
        <w:t>القوانين</w:t>
      </w:r>
      <w:r w:rsidR="00F32B28">
        <w:rPr>
          <w:rtl/>
          <w:lang w:bidi="ar-SY"/>
        </w:rPr>
        <w:t xml:space="preserve"> </w:t>
      </w:r>
      <w:r w:rsidR="00F32B28" w:rsidRPr="00F32B28">
        <w:rPr>
          <w:rtl/>
          <w:lang w:bidi="ar-SY"/>
        </w:rPr>
        <w:t>الأخرى</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نص</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شأنه</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يقيد</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التنقل</w:t>
      </w:r>
      <w:r w:rsidR="00F32B28">
        <w:rPr>
          <w:rtl/>
          <w:lang w:bidi="ar-SY"/>
        </w:rPr>
        <w:t xml:space="preserve"> </w:t>
      </w:r>
      <w:r w:rsidR="00F32B28" w:rsidRPr="00F32B28">
        <w:rPr>
          <w:rtl/>
          <w:lang w:bidi="ar-SY"/>
        </w:rPr>
        <w:t>وحريتها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اختيار</w:t>
      </w:r>
      <w:r w:rsidR="00F32B28">
        <w:rPr>
          <w:rtl/>
          <w:lang w:bidi="ar-SY"/>
        </w:rPr>
        <w:t xml:space="preserve"> </w:t>
      </w:r>
      <w:r w:rsidR="00F32B28" w:rsidRPr="00F32B28">
        <w:rPr>
          <w:rtl/>
          <w:lang w:bidi="ar-SY"/>
        </w:rPr>
        <w:t>محل</w:t>
      </w:r>
      <w:r w:rsidR="00F32B28">
        <w:rPr>
          <w:rtl/>
          <w:lang w:bidi="ar-SY"/>
        </w:rPr>
        <w:t xml:space="preserve"> </w:t>
      </w:r>
      <w:r w:rsidR="00F32B28" w:rsidRPr="00F32B28">
        <w:rPr>
          <w:rtl/>
          <w:lang w:bidi="ar-SY"/>
        </w:rPr>
        <w:t>السكن.</w:t>
      </w:r>
      <w:r w:rsidR="00F32B28">
        <w:rPr>
          <w:rtl/>
          <w:lang w:bidi="ar-SY"/>
        </w:rPr>
        <w:t xml:space="preserve"> </w:t>
      </w:r>
      <w:r w:rsidR="00F32B28" w:rsidRPr="00F32B28">
        <w:rPr>
          <w:rtl/>
          <w:lang w:bidi="ar-SY"/>
        </w:rPr>
        <w:t>ويستثنى</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ورد</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تشريعات</w:t>
      </w:r>
      <w:r w:rsidR="00F32B28">
        <w:rPr>
          <w:rtl/>
          <w:lang w:bidi="ar-SY"/>
        </w:rPr>
        <w:t xml:space="preserve"> </w:t>
      </w:r>
      <w:r w:rsidR="00F32B28" w:rsidRPr="00F32B28">
        <w:rPr>
          <w:rtl/>
          <w:lang w:bidi="ar-SY"/>
        </w:rPr>
        <w:t>الأحوال</w:t>
      </w:r>
      <w:r w:rsidR="00F32B28">
        <w:rPr>
          <w:rtl/>
          <w:lang w:bidi="ar-SY"/>
        </w:rPr>
        <w:t xml:space="preserve"> </w:t>
      </w:r>
      <w:r w:rsidR="00F32B28" w:rsidRPr="00F32B28">
        <w:rPr>
          <w:rtl/>
          <w:lang w:bidi="ar-SY"/>
        </w:rPr>
        <w:t>الشخصية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تلزم</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المتزوجة</w:t>
      </w:r>
      <w:r w:rsidR="00F32B28">
        <w:rPr>
          <w:rtl/>
          <w:lang w:bidi="ar-SY"/>
        </w:rPr>
        <w:t xml:space="preserve"> </w:t>
      </w:r>
      <w:r w:rsidR="00F32B28" w:rsidRPr="00F32B28">
        <w:rPr>
          <w:rtl/>
          <w:lang w:bidi="ar-SY"/>
        </w:rPr>
        <w:t>بالانتقال</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زوجها</w:t>
      </w:r>
      <w:r w:rsidR="00F32B28">
        <w:rPr>
          <w:rtl/>
          <w:lang w:bidi="ar-SY"/>
        </w:rPr>
        <w:t xml:space="preserve"> </w:t>
      </w:r>
      <w:r w:rsidR="00F32B28" w:rsidRPr="00F32B28">
        <w:rPr>
          <w:rtl/>
          <w:lang w:bidi="ar-SY"/>
        </w:rPr>
        <w:t>والإقامة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المسكن</w:t>
      </w:r>
      <w:r w:rsidR="00F32B28">
        <w:rPr>
          <w:rtl/>
          <w:lang w:bidi="ar-SY"/>
        </w:rPr>
        <w:t xml:space="preserve"> </w:t>
      </w:r>
      <w:r w:rsidR="00F32B28" w:rsidRPr="00F32B28">
        <w:rPr>
          <w:rtl/>
          <w:lang w:bidi="ar-SY"/>
        </w:rPr>
        <w:t>الزوجي،</w:t>
      </w:r>
      <w:r w:rsidR="00F32B28">
        <w:rPr>
          <w:rtl/>
          <w:lang w:bidi="ar-SY"/>
        </w:rPr>
        <w:t xml:space="preserve"> </w:t>
      </w:r>
      <w:r w:rsidR="00F32B28" w:rsidRPr="00F32B28">
        <w:rPr>
          <w:rtl/>
          <w:lang w:bidi="ar-SY"/>
        </w:rPr>
        <w:t>بشرط</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تكون</w:t>
      </w:r>
      <w:r w:rsidR="00F32B28">
        <w:rPr>
          <w:rtl/>
          <w:lang w:bidi="ar-SY"/>
        </w:rPr>
        <w:t xml:space="preserve"> </w:t>
      </w:r>
      <w:r w:rsidR="00F32B28" w:rsidRPr="00F32B28">
        <w:rPr>
          <w:rtl/>
          <w:lang w:bidi="ar-SY"/>
        </w:rPr>
        <w:t>الزوجة</w:t>
      </w:r>
      <w:r w:rsidR="00F32B28">
        <w:rPr>
          <w:rtl/>
          <w:lang w:bidi="ar-SY"/>
        </w:rPr>
        <w:t xml:space="preserve"> </w:t>
      </w:r>
      <w:r w:rsidR="00F32B28" w:rsidRPr="00F32B28">
        <w:rPr>
          <w:rtl/>
          <w:lang w:bidi="ar-SY"/>
        </w:rPr>
        <w:t>قد</w:t>
      </w:r>
      <w:r w:rsidR="00F32B28">
        <w:rPr>
          <w:rtl/>
          <w:lang w:bidi="ar-SY"/>
        </w:rPr>
        <w:t xml:space="preserve"> </w:t>
      </w:r>
      <w:r w:rsidR="00F32B28" w:rsidRPr="00F32B28">
        <w:rPr>
          <w:rtl/>
          <w:lang w:bidi="ar-SY"/>
        </w:rPr>
        <w:t>قبضت</w:t>
      </w:r>
      <w:r w:rsidR="00F32B28">
        <w:rPr>
          <w:rtl/>
          <w:lang w:bidi="ar-SY"/>
        </w:rPr>
        <w:t xml:space="preserve"> </w:t>
      </w:r>
      <w:r w:rsidR="00F32B28" w:rsidRPr="00F32B28">
        <w:rPr>
          <w:rtl/>
          <w:lang w:bidi="ar-SY"/>
        </w:rPr>
        <w:t>مهرها</w:t>
      </w:r>
      <w:r w:rsidR="00F32B28">
        <w:rPr>
          <w:rtl/>
          <w:lang w:bidi="ar-SY"/>
        </w:rPr>
        <w:t xml:space="preserve"> </w:t>
      </w:r>
      <w:r w:rsidR="00F32B28" w:rsidRPr="00F32B28">
        <w:rPr>
          <w:rtl/>
          <w:lang w:bidi="ar-SY"/>
        </w:rPr>
        <w:t>المعجل</w:t>
      </w:r>
      <w:r w:rsidR="00F32B28">
        <w:rPr>
          <w:rtl/>
          <w:lang w:bidi="ar-SY"/>
        </w:rPr>
        <w:t xml:space="preserve"> </w:t>
      </w:r>
      <w:r w:rsidR="00F32B28" w:rsidRPr="00F32B28">
        <w:rPr>
          <w:rtl/>
          <w:lang w:bidi="ar-SY"/>
        </w:rPr>
        <w:t>وأن</w:t>
      </w:r>
      <w:r w:rsidR="00F32B28">
        <w:rPr>
          <w:rtl/>
          <w:lang w:bidi="ar-SY"/>
        </w:rPr>
        <w:t xml:space="preserve"> </w:t>
      </w:r>
      <w:r w:rsidR="00F32B28" w:rsidRPr="00F32B28">
        <w:rPr>
          <w:rtl/>
          <w:lang w:bidi="ar-SY"/>
        </w:rPr>
        <w:t>يكون</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المسكن</w:t>
      </w:r>
      <w:r w:rsidR="00F32B28">
        <w:rPr>
          <w:rtl/>
          <w:lang w:bidi="ar-SY"/>
        </w:rPr>
        <w:t xml:space="preserve"> </w:t>
      </w:r>
      <w:r w:rsidR="00F32B28" w:rsidRPr="00F32B28">
        <w:rPr>
          <w:rtl/>
          <w:lang w:bidi="ar-SY"/>
        </w:rPr>
        <w:t>مسكناً</w:t>
      </w:r>
      <w:r w:rsidR="00F32B28">
        <w:rPr>
          <w:rtl/>
          <w:lang w:bidi="ar-SY"/>
        </w:rPr>
        <w:t xml:space="preserve"> </w:t>
      </w:r>
      <w:r w:rsidR="00F32B28" w:rsidRPr="00F32B28">
        <w:rPr>
          <w:rtl/>
          <w:lang w:bidi="ar-SY"/>
        </w:rPr>
        <w:t>شرعياً</w:t>
      </w:r>
      <w:r w:rsidR="00F32B28">
        <w:rPr>
          <w:rtl/>
          <w:lang w:bidi="ar-SY"/>
        </w:rPr>
        <w:t xml:space="preserve"> </w:t>
      </w:r>
      <w:r w:rsidR="00F32B28" w:rsidRPr="00F32B28">
        <w:rPr>
          <w:rtl/>
          <w:lang w:bidi="ar-SY"/>
        </w:rPr>
        <w:t>وآمناً</w:t>
      </w:r>
      <w:r w:rsidR="00F32B28">
        <w:rPr>
          <w:rtl/>
          <w:lang w:bidi="ar-SY"/>
        </w:rPr>
        <w:t xml:space="preserve"> </w:t>
      </w:r>
      <w:r w:rsidR="00F32B28" w:rsidRPr="00F32B28">
        <w:rPr>
          <w:rtl/>
          <w:lang w:bidi="ar-SY"/>
        </w:rPr>
        <w:t>مشتملاً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مستلزمات</w:t>
      </w:r>
      <w:r w:rsidR="00F32B28">
        <w:rPr>
          <w:rtl/>
          <w:lang w:bidi="ar-SY"/>
        </w:rPr>
        <w:t xml:space="preserve"> </w:t>
      </w:r>
      <w:r w:rsidR="00F32B28" w:rsidRPr="00F32B28">
        <w:rPr>
          <w:rtl/>
          <w:lang w:bidi="ar-SY"/>
        </w:rPr>
        <w:t>المعيشة.</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هذه</w:t>
      </w:r>
      <w:r w:rsidR="00F32B28">
        <w:rPr>
          <w:rtl/>
          <w:lang w:bidi="ar-SY"/>
        </w:rPr>
        <w:t xml:space="preserve"> </w:t>
      </w:r>
      <w:r w:rsidR="00F32B28" w:rsidRPr="00F32B28">
        <w:rPr>
          <w:rtl/>
          <w:lang w:bidi="ar-SY"/>
        </w:rPr>
        <w:t>التشريعات</w:t>
      </w:r>
      <w:r>
        <w:rPr>
          <w:rFonts w:hint="cs"/>
          <w:rtl/>
          <w:lang w:bidi="ar-SY"/>
        </w:rPr>
        <w:t xml:space="preserve"> </w:t>
      </w:r>
      <w:r w:rsidR="00F32B28" w:rsidRPr="00F32B28">
        <w:rPr>
          <w:rtl/>
          <w:lang w:bidi="ar-SY"/>
        </w:rPr>
        <w:t>تعطي</w:t>
      </w:r>
      <w:r>
        <w:rPr>
          <w:rFonts w:hint="cs"/>
          <w:rtl/>
          <w:lang w:bidi="ar-SY"/>
        </w:rPr>
        <w:t xml:space="preserve"> </w:t>
      </w:r>
      <w:r w:rsidR="00F32B28" w:rsidRPr="00F32B28">
        <w:rPr>
          <w:rtl/>
          <w:lang w:bidi="ar-SY"/>
        </w:rPr>
        <w:t>الحق</w:t>
      </w:r>
      <w:r w:rsidR="00F32B28">
        <w:rPr>
          <w:rtl/>
          <w:lang w:bidi="ar-SY"/>
        </w:rPr>
        <w:t xml:space="preserve"> </w:t>
      </w:r>
      <w:r w:rsidR="00F32B28" w:rsidRPr="00F32B28">
        <w:rPr>
          <w:rtl/>
          <w:lang w:bidi="ar-SY"/>
        </w:rPr>
        <w:t>للمرأة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الاشتراط</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الزوج</w:t>
      </w:r>
      <w:r w:rsidR="00F32B28">
        <w:rPr>
          <w:rtl/>
          <w:lang w:bidi="ar-SY"/>
        </w:rPr>
        <w:t xml:space="preserve"> </w:t>
      </w:r>
      <w:r w:rsidR="00F32B28" w:rsidRPr="00F32B28">
        <w:rPr>
          <w:rtl/>
          <w:lang w:bidi="ar-SY"/>
        </w:rPr>
        <w:t>عند</w:t>
      </w:r>
      <w:r w:rsidR="00F32B28">
        <w:rPr>
          <w:rtl/>
          <w:lang w:bidi="ar-SY"/>
        </w:rPr>
        <w:t xml:space="preserve"> </w:t>
      </w:r>
      <w:r w:rsidR="00F32B28" w:rsidRPr="00F32B28">
        <w:rPr>
          <w:rtl/>
          <w:lang w:bidi="ar-SY"/>
        </w:rPr>
        <w:t>عقد</w:t>
      </w:r>
      <w:r w:rsidR="00F32B28">
        <w:rPr>
          <w:rtl/>
          <w:lang w:bidi="ar-SY"/>
        </w:rPr>
        <w:t xml:space="preserve"> </w:t>
      </w:r>
      <w:r w:rsidR="00F32B28" w:rsidRPr="00F32B28">
        <w:rPr>
          <w:rtl/>
          <w:lang w:bidi="ar-SY"/>
        </w:rPr>
        <w:t>الزواج</w:t>
      </w:r>
      <w:r w:rsidR="00F32B28">
        <w:rPr>
          <w:rtl/>
          <w:lang w:bidi="ar-SY"/>
        </w:rPr>
        <w:t xml:space="preserve"> </w:t>
      </w:r>
      <w:r w:rsidR="00F32B28" w:rsidRPr="00F32B28">
        <w:rPr>
          <w:rtl/>
          <w:lang w:bidi="ar-SY"/>
        </w:rPr>
        <w:t>بأن</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يجبرها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تغيير</w:t>
      </w:r>
      <w:r w:rsidR="00F32B28">
        <w:rPr>
          <w:rtl/>
          <w:lang w:bidi="ar-SY"/>
        </w:rPr>
        <w:t xml:space="preserve"> </w:t>
      </w:r>
      <w:r w:rsidR="00F32B28" w:rsidRPr="00F32B28">
        <w:rPr>
          <w:rtl/>
          <w:lang w:bidi="ar-SY"/>
        </w:rPr>
        <w:t>مكان</w:t>
      </w:r>
      <w:r w:rsidR="00F32B28">
        <w:rPr>
          <w:rtl/>
          <w:lang w:bidi="ar-SY"/>
        </w:rPr>
        <w:t xml:space="preserve"> </w:t>
      </w:r>
      <w:r w:rsidR="00F32B28" w:rsidRPr="00F32B28">
        <w:rPr>
          <w:rtl/>
          <w:lang w:bidi="ar-SY"/>
        </w:rPr>
        <w:t>إقامتها،</w:t>
      </w:r>
      <w:r w:rsidR="00F32B28">
        <w:rPr>
          <w:rtl/>
          <w:lang w:bidi="ar-SY"/>
        </w:rPr>
        <w:t xml:space="preserve"> </w:t>
      </w:r>
      <w:r w:rsidR="00F32B28" w:rsidRPr="00F32B28">
        <w:rPr>
          <w:rtl/>
          <w:lang w:bidi="ar-SY"/>
        </w:rPr>
        <w:t>كأن</w:t>
      </w:r>
      <w:r w:rsidR="00F32B28">
        <w:rPr>
          <w:rtl/>
          <w:lang w:bidi="ar-SY"/>
        </w:rPr>
        <w:t xml:space="preserve"> </w:t>
      </w:r>
      <w:r w:rsidR="00F32B28" w:rsidRPr="00F32B28">
        <w:rPr>
          <w:rtl/>
          <w:lang w:bidi="ar-SY"/>
        </w:rPr>
        <w:t>تشترط</w:t>
      </w:r>
      <w:r w:rsidR="00F32B28">
        <w:rPr>
          <w:rtl/>
          <w:lang w:bidi="ar-SY"/>
        </w:rPr>
        <w:t xml:space="preserve"> </w:t>
      </w:r>
      <w:r w:rsidR="00F32B28" w:rsidRPr="00F32B28">
        <w:rPr>
          <w:rtl/>
          <w:lang w:bidi="ar-SY"/>
        </w:rPr>
        <w:t>ألا</w:t>
      </w:r>
      <w:r w:rsidR="00F32B28">
        <w:rPr>
          <w:rtl/>
          <w:lang w:bidi="ar-SY"/>
        </w:rPr>
        <w:t xml:space="preserve"> </w:t>
      </w:r>
      <w:r w:rsidR="00F32B28" w:rsidRPr="00F32B28">
        <w:rPr>
          <w:rtl/>
          <w:lang w:bidi="ar-SY"/>
        </w:rPr>
        <w:t>يخرجها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بلدها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يسكنها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بلد</w:t>
      </w:r>
      <w:r w:rsidR="00F32B28">
        <w:rPr>
          <w:rtl/>
          <w:lang w:bidi="ar-SY"/>
        </w:rPr>
        <w:t xml:space="preserve"> </w:t>
      </w:r>
      <w:r w:rsidR="00F32B28" w:rsidRPr="00F32B28">
        <w:rPr>
          <w:rtl/>
          <w:lang w:bidi="ar-SY"/>
        </w:rPr>
        <w:t>معين،</w:t>
      </w:r>
      <w:r w:rsidR="00F32B28">
        <w:rPr>
          <w:rtl/>
          <w:lang w:bidi="ar-SY"/>
        </w:rPr>
        <w:t xml:space="preserve"> </w:t>
      </w:r>
      <w:r w:rsidR="00F32B28" w:rsidRPr="00F32B28">
        <w:rPr>
          <w:rtl/>
          <w:lang w:bidi="ar-SY"/>
        </w:rPr>
        <w:t>ويكون</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الشرط</w:t>
      </w:r>
      <w:r w:rsidR="00F32B28">
        <w:rPr>
          <w:rtl/>
          <w:lang w:bidi="ar-SY"/>
        </w:rPr>
        <w:t xml:space="preserve"> </w:t>
      </w:r>
      <w:r w:rsidR="00F32B28" w:rsidRPr="00F32B28">
        <w:rPr>
          <w:rtl/>
          <w:lang w:bidi="ar-SY"/>
        </w:rPr>
        <w:t>صحيحاً</w:t>
      </w:r>
      <w:r w:rsidR="00F32B28">
        <w:rPr>
          <w:rtl/>
          <w:lang w:bidi="ar-SY"/>
        </w:rPr>
        <w:t xml:space="preserve"> </w:t>
      </w:r>
      <w:r w:rsidR="00F32B28" w:rsidRPr="00F32B28">
        <w:rPr>
          <w:rtl/>
          <w:lang w:bidi="ar-SY"/>
        </w:rPr>
        <w:t>وملزماً،</w:t>
      </w:r>
      <w:r w:rsidR="00F32B28">
        <w:rPr>
          <w:rtl/>
          <w:lang w:bidi="ar-SY"/>
        </w:rPr>
        <w:t xml:space="preserve"> </w:t>
      </w:r>
      <w:r w:rsidR="00F32B28" w:rsidRPr="00F32B28">
        <w:rPr>
          <w:rtl/>
          <w:lang w:bidi="ar-SY"/>
        </w:rPr>
        <w:t>فإن</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يفِ</w:t>
      </w:r>
      <w:r w:rsidR="00F32B28">
        <w:rPr>
          <w:rtl/>
          <w:lang w:bidi="ar-SY"/>
        </w:rPr>
        <w:t xml:space="preserve"> </w:t>
      </w:r>
      <w:r w:rsidR="00F32B28" w:rsidRPr="00F32B28">
        <w:rPr>
          <w:rtl/>
          <w:lang w:bidi="ar-SY"/>
        </w:rPr>
        <w:t>به</w:t>
      </w:r>
      <w:r w:rsidR="00F32B28">
        <w:rPr>
          <w:rtl/>
          <w:lang w:bidi="ar-SY"/>
        </w:rPr>
        <w:t xml:space="preserve"> </w:t>
      </w:r>
      <w:r w:rsidR="00F32B28" w:rsidRPr="00F32B28">
        <w:rPr>
          <w:rtl/>
          <w:lang w:bidi="ar-SY"/>
        </w:rPr>
        <w:t>الزوج</w:t>
      </w:r>
      <w:r w:rsidR="00F32B28">
        <w:rPr>
          <w:rtl/>
          <w:lang w:bidi="ar-SY"/>
        </w:rPr>
        <w:t xml:space="preserve"> </w:t>
      </w:r>
      <w:r w:rsidR="00F32B28" w:rsidRPr="00F32B28">
        <w:rPr>
          <w:rtl/>
          <w:lang w:bidi="ar-SY"/>
        </w:rPr>
        <w:t>فسخ</w:t>
      </w:r>
      <w:r w:rsidR="00F32B28">
        <w:rPr>
          <w:rtl/>
          <w:lang w:bidi="ar-SY"/>
        </w:rPr>
        <w:t xml:space="preserve"> </w:t>
      </w:r>
      <w:r w:rsidR="00F32B28" w:rsidRPr="00F32B28">
        <w:rPr>
          <w:rtl/>
          <w:lang w:bidi="ar-SY"/>
        </w:rPr>
        <w:t>عقد</w:t>
      </w:r>
      <w:r w:rsidR="00F32B28">
        <w:rPr>
          <w:rtl/>
          <w:lang w:bidi="ar-SY"/>
        </w:rPr>
        <w:t xml:space="preserve"> </w:t>
      </w:r>
      <w:r w:rsidR="00F32B28" w:rsidRPr="00F32B28">
        <w:rPr>
          <w:rtl/>
          <w:lang w:bidi="ar-SY"/>
        </w:rPr>
        <w:t>الزواج</w:t>
      </w:r>
      <w:r w:rsidR="00F32B28">
        <w:rPr>
          <w:rtl/>
          <w:lang w:bidi="ar-SY"/>
        </w:rPr>
        <w:t xml:space="preserve"> </w:t>
      </w:r>
      <w:r w:rsidR="00F32B28" w:rsidRPr="00F32B28">
        <w:rPr>
          <w:rtl/>
          <w:lang w:bidi="ar-SY"/>
        </w:rPr>
        <w:t>بطلب</w:t>
      </w:r>
      <w:r w:rsidR="00F32B28">
        <w:rPr>
          <w:rtl/>
          <w:lang w:bidi="ar-SY"/>
        </w:rPr>
        <w:t xml:space="preserve"> </w:t>
      </w:r>
      <w:r w:rsidR="00F32B28" w:rsidRPr="00F32B28">
        <w:rPr>
          <w:rtl/>
          <w:lang w:bidi="ar-SY"/>
        </w:rPr>
        <w:t>الزوجة</w:t>
      </w:r>
      <w:r w:rsidR="00F32B28">
        <w:rPr>
          <w:rtl/>
          <w:lang w:bidi="ar-SY"/>
        </w:rPr>
        <w:t xml:space="preserve"> </w:t>
      </w:r>
      <w:r w:rsidR="00F32B28" w:rsidRPr="00F32B28">
        <w:rPr>
          <w:rtl/>
          <w:lang w:bidi="ar-SY"/>
        </w:rPr>
        <w:t>ولها</w:t>
      </w:r>
      <w:r w:rsidR="00F32B28">
        <w:rPr>
          <w:rtl/>
          <w:lang w:bidi="ar-SY"/>
        </w:rPr>
        <w:t xml:space="preserve"> </w:t>
      </w:r>
      <w:r w:rsidR="00F32B28" w:rsidRPr="00F32B28">
        <w:rPr>
          <w:rtl/>
          <w:lang w:bidi="ar-SY"/>
        </w:rPr>
        <w:t>مطالبته</w:t>
      </w:r>
      <w:r w:rsidR="00F32B28">
        <w:rPr>
          <w:rtl/>
          <w:lang w:bidi="ar-SY"/>
        </w:rPr>
        <w:t xml:space="preserve"> </w:t>
      </w:r>
      <w:r w:rsidR="00F32B28" w:rsidRPr="00F32B28">
        <w:rPr>
          <w:rtl/>
          <w:lang w:bidi="ar-SY"/>
        </w:rPr>
        <w:t>بسائر</w:t>
      </w:r>
      <w:r w:rsidR="00F32B28">
        <w:rPr>
          <w:rtl/>
          <w:lang w:bidi="ar-SY"/>
        </w:rPr>
        <w:t xml:space="preserve"> </w:t>
      </w:r>
      <w:r w:rsidR="00F32B28" w:rsidRPr="00F32B28">
        <w:rPr>
          <w:rtl/>
          <w:lang w:bidi="ar-SY"/>
        </w:rPr>
        <w:t>حقوقها</w:t>
      </w:r>
      <w:r w:rsidR="00F32B28">
        <w:rPr>
          <w:rtl/>
          <w:lang w:bidi="ar-SY"/>
        </w:rPr>
        <w:t xml:space="preserve"> </w:t>
      </w:r>
      <w:r w:rsidR="00F32B28" w:rsidRPr="00F32B28">
        <w:rPr>
          <w:rtl/>
          <w:lang w:bidi="ar-SY"/>
        </w:rPr>
        <w:t>الزوجية.</w:t>
      </w:r>
    </w:p>
    <w:p w:rsidR="00F32B28" w:rsidRPr="00F32B28" w:rsidRDefault="00891A4B" w:rsidP="00891A4B">
      <w:pPr>
        <w:pStyle w:val="SingleTxt"/>
      </w:pPr>
      <w:r>
        <w:rPr>
          <w:rFonts w:hint="cs"/>
          <w:rtl/>
          <w:lang w:bidi="ar-JO"/>
        </w:rPr>
        <w:lastRenderedPageBreak/>
        <w:t xml:space="preserve">316 - </w:t>
      </w:r>
      <w:r w:rsidR="00F32B28" w:rsidRPr="00F32B28">
        <w:rPr>
          <w:rtl/>
          <w:lang w:bidi="ar-JO"/>
        </w:rPr>
        <w:t>أما</w:t>
      </w:r>
      <w:r w:rsidR="00F32B28">
        <w:rPr>
          <w:rtl/>
          <w:lang w:bidi="ar-JO"/>
        </w:rPr>
        <w:t xml:space="preserve"> </w:t>
      </w:r>
      <w:r w:rsidR="00F32B28" w:rsidRPr="00F32B28">
        <w:rPr>
          <w:rtl/>
          <w:lang w:bidi="ar-JO"/>
        </w:rPr>
        <w:t>على</w:t>
      </w:r>
      <w:r w:rsidR="00F32B28">
        <w:rPr>
          <w:rtl/>
          <w:lang w:bidi="ar-JO"/>
        </w:rPr>
        <w:t xml:space="preserve"> </w:t>
      </w:r>
      <w:r w:rsidR="00F32B28" w:rsidRPr="00F32B28">
        <w:rPr>
          <w:rtl/>
          <w:lang w:bidi="ar-JO"/>
        </w:rPr>
        <w:t>مستوى</w:t>
      </w:r>
      <w:r w:rsidR="00F32B28">
        <w:rPr>
          <w:rtl/>
          <w:lang w:bidi="ar-JO"/>
        </w:rPr>
        <w:t xml:space="preserve"> </w:t>
      </w:r>
      <w:r w:rsidR="00F32B28" w:rsidRPr="00F32B28">
        <w:rPr>
          <w:rtl/>
          <w:lang w:bidi="ar-JO"/>
        </w:rPr>
        <w:t>حرية</w:t>
      </w:r>
      <w:r w:rsidR="00F32B28">
        <w:rPr>
          <w:rtl/>
          <w:lang w:bidi="ar-JO"/>
        </w:rPr>
        <w:t xml:space="preserve"> </w:t>
      </w:r>
      <w:r w:rsidR="00F32B28" w:rsidRPr="00F32B28">
        <w:rPr>
          <w:rtl/>
          <w:lang w:bidi="ar-JO"/>
        </w:rPr>
        <w:t>الحركة،</w:t>
      </w:r>
      <w:r w:rsidR="00F32B28">
        <w:rPr>
          <w:rtl/>
          <w:lang w:bidi="ar-JO"/>
        </w:rPr>
        <w:t xml:space="preserve"> </w:t>
      </w:r>
      <w:r w:rsidR="00F32B28" w:rsidRPr="00F32B28">
        <w:rPr>
          <w:rtl/>
          <w:lang w:bidi="ar-JO"/>
        </w:rPr>
        <w:t>فللمرأة</w:t>
      </w:r>
      <w:r w:rsidR="00F32B28">
        <w:rPr>
          <w:rtl/>
          <w:lang w:bidi="ar-JO"/>
        </w:rPr>
        <w:t xml:space="preserve"> </w:t>
      </w:r>
      <w:r w:rsidR="00F32B28" w:rsidRPr="00F32B28">
        <w:rPr>
          <w:rtl/>
          <w:lang w:bidi="ar-JO"/>
        </w:rPr>
        <w:t>حرية</w:t>
      </w:r>
      <w:r w:rsidR="00F32B28">
        <w:rPr>
          <w:rtl/>
          <w:lang w:bidi="ar-JO"/>
        </w:rPr>
        <w:t xml:space="preserve"> </w:t>
      </w:r>
      <w:r w:rsidR="00F32B28" w:rsidRPr="00F32B28">
        <w:rPr>
          <w:rtl/>
          <w:lang w:bidi="ar-JO"/>
        </w:rPr>
        <w:t>الحركة</w:t>
      </w:r>
      <w:r w:rsidR="00F32B28">
        <w:rPr>
          <w:rtl/>
          <w:lang w:bidi="ar-JO"/>
        </w:rPr>
        <w:t xml:space="preserve"> </w:t>
      </w:r>
      <w:r w:rsidR="00F32B28" w:rsidRPr="00F32B28">
        <w:rPr>
          <w:rtl/>
          <w:lang w:bidi="ar-JO"/>
        </w:rPr>
        <w:t>والسفر</w:t>
      </w:r>
      <w:r w:rsidR="00F32B28">
        <w:rPr>
          <w:rtl/>
          <w:lang w:bidi="ar-JO"/>
        </w:rPr>
        <w:t xml:space="preserve"> </w:t>
      </w:r>
      <w:r w:rsidR="00F32B28" w:rsidRPr="00F32B28">
        <w:rPr>
          <w:rtl/>
          <w:lang w:bidi="ar-JO"/>
        </w:rPr>
        <w:t>بشكل</w:t>
      </w:r>
      <w:r w:rsidR="00F32B28">
        <w:rPr>
          <w:rtl/>
          <w:lang w:bidi="ar-JO"/>
        </w:rPr>
        <w:t xml:space="preserve"> </w:t>
      </w:r>
      <w:r w:rsidR="00F32B28" w:rsidRPr="00F32B28">
        <w:rPr>
          <w:rtl/>
          <w:lang w:bidi="ar-JO"/>
        </w:rPr>
        <w:t>موازٍ</w:t>
      </w:r>
      <w:r w:rsidR="00F32B28">
        <w:rPr>
          <w:rtl/>
          <w:lang w:bidi="ar-JO"/>
        </w:rPr>
        <w:t xml:space="preserve"> </w:t>
      </w:r>
      <w:r w:rsidR="00F32B28" w:rsidRPr="00F32B28">
        <w:rPr>
          <w:rtl/>
          <w:lang w:bidi="ar-JO"/>
        </w:rPr>
        <w:t>للرجل،</w:t>
      </w:r>
      <w:r w:rsidR="00F32B28">
        <w:rPr>
          <w:rtl/>
          <w:lang w:bidi="ar-JO"/>
        </w:rPr>
        <w:t xml:space="preserve"> </w:t>
      </w:r>
      <w:r w:rsidR="00F32B28" w:rsidRPr="00F32B28">
        <w:rPr>
          <w:rtl/>
          <w:lang w:bidi="ar-JO"/>
        </w:rPr>
        <w:t>حيث</w:t>
      </w:r>
      <w:r w:rsidR="00F32B28">
        <w:rPr>
          <w:rtl/>
          <w:lang w:bidi="ar-JO"/>
        </w:rPr>
        <w:t xml:space="preserve"> </w:t>
      </w:r>
      <w:r w:rsidR="00F32B28" w:rsidRPr="00F32B28">
        <w:rPr>
          <w:rtl/>
          <w:lang w:bidi="ar-JO"/>
        </w:rPr>
        <w:t>يحق</w:t>
      </w:r>
      <w:r w:rsidR="00F32B28">
        <w:rPr>
          <w:rtl/>
          <w:lang w:bidi="ar-JO"/>
        </w:rPr>
        <w:t xml:space="preserve"> </w:t>
      </w:r>
      <w:r w:rsidR="00F32B28" w:rsidRPr="00F32B28">
        <w:rPr>
          <w:rtl/>
          <w:lang w:bidi="ar-JO"/>
        </w:rPr>
        <w:t>للزوجة</w:t>
      </w:r>
      <w:r w:rsidR="00F32B28">
        <w:rPr>
          <w:rtl/>
          <w:lang w:bidi="ar-JO"/>
        </w:rPr>
        <w:t xml:space="preserve"> </w:t>
      </w:r>
      <w:r w:rsidR="00F32B28" w:rsidRPr="00F32B28">
        <w:rPr>
          <w:rtl/>
          <w:lang w:bidi="ar-JO"/>
        </w:rPr>
        <w:t>أو</w:t>
      </w:r>
      <w:r w:rsidR="00F32B28">
        <w:rPr>
          <w:rtl/>
          <w:lang w:bidi="ar-JO"/>
        </w:rPr>
        <w:t xml:space="preserve"> </w:t>
      </w:r>
      <w:r w:rsidR="00F32B28" w:rsidRPr="00F32B28">
        <w:rPr>
          <w:rtl/>
          <w:lang w:bidi="ar-JO"/>
        </w:rPr>
        <w:t>الأبنة</w:t>
      </w:r>
      <w:r w:rsidR="00F32B28">
        <w:rPr>
          <w:rtl/>
          <w:lang w:bidi="ar-JO"/>
        </w:rPr>
        <w:t xml:space="preserve"> </w:t>
      </w:r>
      <w:r w:rsidR="00F32B28" w:rsidRPr="00F32B28">
        <w:rPr>
          <w:rtl/>
          <w:lang w:bidi="ar-JO"/>
        </w:rPr>
        <w:t>الحصول</w:t>
      </w:r>
      <w:r w:rsidR="00F32B28">
        <w:rPr>
          <w:rtl/>
          <w:lang w:bidi="ar-JO"/>
        </w:rPr>
        <w:t xml:space="preserve"> </w:t>
      </w:r>
      <w:r w:rsidR="00F32B28" w:rsidRPr="00F32B28">
        <w:rPr>
          <w:rtl/>
          <w:lang w:bidi="ar-JO"/>
        </w:rPr>
        <w:t>على</w:t>
      </w:r>
      <w:r w:rsidR="00F32B28">
        <w:rPr>
          <w:rtl/>
          <w:lang w:bidi="ar-JO"/>
        </w:rPr>
        <w:t xml:space="preserve"> </w:t>
      </w:r>
      <w:r w:rsidR="00F32B28" w:rsidRPr="00F32B28">
        <w:rPr>
          <w:rtl/>
          <w:lang w:bidi="ar-JO"/>
        </w:rPr>
        <w:t>جواز</w:t>
      </w:r>
      <w:r w:rsidR="00F32B28">
        <w:rPr>
          <w:rtl/>
          <w:lang w:bidi="ar-JO"/>
        </w:rPr>
        <w:t xml:space="preserve"> </w:t>
      </w:r>
      <w:r w:rsidR="00F32B28" w:rsidRPr="00F32B28">
        <w:rPr>
          <w:rtl/>
          <w:lang w:bidi="ar-JO"/>
        </w:rPr>
        <w:t>السفر</w:t>
      </w:r>
      <w:r w:rsidR="00F32B28">
        <w:rPr>
          <w:rtl/>
          <w:lang w:bidi="ar-JO"/>
        </w:rPr>
        <w:t xml:space="preserve"> </w:t>
      </w:r>
      <w:r w:rsidR="00F32B28" w:rsidRPr="00F32B28">
        <w:rPr>
          <w:rtl/>
          <w:lang w:bidi="ar-JO"/>
        </w:rPr>
        <w:t>دون</w:t>
      </w:r>
      <w:r w:rsidR="00F32B28">
        <w:rPr>
          <w:rtl/>
          <w:lang w:bidi="ar-JO"/>
        </w:rPr>
        <w:t xml:space="preserve"> </w:t>
      </w:r>
      <w:r w:rsidR="00F32B28" w:rsidRPr="00F32B28">
        <w:rPr>
          <w:rtl/>
          <w:lang w:bidi="ar-JO"/>
        </w:rPr>
        <w:t>موافقة</w:t>
      </w:r>
      <w:r w:rsidR="00F32B28">
        <w:rPr>
          <w:rtl/>
          <w:lang w:bidi="ar-JO"/>
        </w:rPr>
        <w:t xml:space="preserve"> </w:t>
      </w:r>
      <w:r w:rsidR="00F32B28" w:rsidRPr="00F32B28">
        <w:rPr>
          <w:rtl/>
          <w:lang w:bidi="ar-JO"/>
        </w:rPr>
        <w:t>الزوج</w:t>
      </w:r>
      <w:r w:rsidR="00F32B28">
        <w:rPr>
          <w:rtl/>
          <w:lang w:bidi="ar-JO"/>
        </w:rPr>
        <w:t xml:space="preserve"> </w:t>
      </w:r>
      <w:r w:rsidR="00F32B28" w:rsidRPr="00F32B28">
        <w:rPr>
          <w:rtl/>
          <w:lang w:bidi="ar-JO"/>
        </w:rPr>
        <w:t>أو</w:t>
      </w:r>
      <w:r w:rsidR="00F32B28">
        <w:rPr>
          <w:rtl/>
          <w:lang w:bidi="ar-JO"/>
        </w:rPr>
        <w:t xml:space="preserve"> </w:t>
      </w:r>
      <w:r w:rsidR="00F32B28" w:rsidRPr="00F32B28">
        <w:rPr>
          <w:rtl/>
          <w:lang w:bidi="ar-JO"/>
        </w:rPr>
        <w:t>الأب،</w:t>
      </w:r>
      <w:r w:rsidR="00F32B28">
        <w:rPr>
          <w:rtl/>
          <w:lang w:bidi="ar-JO"/>
        </w:rPr>
        <w:t xml:space="preserve"> </w:t>
      </w:r>
      <w:r w:rsidR="00F32B28" w:rsidRPr="00F32B28">
        <w:rPr>
          <w:rtl/>
          <w:lang w:bidi="ar-JO"/>
        </w:rPr>
        <w:t>طالما</w:t>
      </w:r>
      <w:r w:rsidR="00F32B28">
        <w:rPr>
          <w:rtl/>
          <w:lang w:bidi="ar-JO"/>
        </w:rPr>
        <w:t xml:space="preserve"> </w:t>
      </w:r>
      <w:r w:rsidR="00F32B28" w:rsidRPr="00F32B28">
        <w:rPr>
          <w:rtl/>
          <w:lang w:bidi="ar-JO"/>
        </w:rPr>
        <w:t>بلغت</w:t>
      </w:r>
      <w:r w:rsidR="00F32B28">
        <w:rPr>
          <w:rtl/>
          <w:lang w:bidi="ar-JO"/>
        </w:rPr>
        <w:t xml:space="preserve"> </w:t>
      </w:r>
      <w:r w:rsidR="00F32B28" w:rsidRPr="00F32B28">
        <w:rPr>
          <w:rtl/>
          <w:lang w:bidi="ar-JO"/>
        </w:rPr>
        <w:t>سن</w:t>
      </w:r>
      <w:r w:rsidR="00F32B28">
        <w:rPr>
          <w:rtl/>
          <w:lang w:bidi="ar-JO"/>
        </w:rPr>
        <w:t xml:space="preserve"> </w:t>
      </w:r>
      <w:r w:rsidR="00F32B28" w:rsidRPr="00F32B28">
        <w:rPr>
          <w:rtl/>
          <w:lang w:bidi="ar-JO"/>
        </w:rPr>
        <w:t>الرشد</w:t>
      </w:r>
      <w:r w:rsidR="00F32B28">
        <w:rPr>
          <w:rtl/>
          <w:lang w:bidi="ar-JO"/>
        </w:rPr>
        <w:t xml:space="preserve"> </w:t>
      </w:r>
      <w:r w:rsidR="00F32B28" w:rsidRPr="00F32B28">
        <w:rPr>
          <w:rtl/>
          <w:lang w:bidi="ar-JO"/>
        </w:rPr>
        <w:t>(18)</w:t>
      </w:r>
      <w:r w:rsidR="00F32B28">
        <w:rPr>
          <w:rtl/>
          <w:lang w:bidi="ar-JO"/>
        </w:rPr>
        <w:t xml:space="preserve"> </w:t>
      </w:r>
      <w:r w:rsidR="00F32B28" w:rsidRPr="00F32B28">
        <w:rPr>
          <w:rtl/>
          <w:lang w:bidi="ar-JO"/>
        </w:rPr>
        <w:t>عاماً،</w:t>
      </w:r>
      <w:r w:rsidR="00F32B28">
        <w:rPr>
          <w:rtl/>
          <w:lang w:bidi="ar-JO"/>
        </w:rPr>
        <w:t xml:space="preserve"> </w:t>
      </w:r>
      <w:r w:rsidR="00F32B28" w:rsidRPr="00F32B28">
        <w:rPr>
          <w:rtl/>
          <w:lang w:bidi="ar-JO"/>
        </w:rPr>
        <w:t>ولا</w:t>
      </w:r>
      <w:r w:rsidR="00F32B28">
        <w:rPr>
          <w:rtl/>
          <w:lang w:bidi="ar-JO"/>
        </w:rPr>
        <w:t xml:space="preserve"> </w:t>
      </w:r>
      <w:r w:rsidR="00F32B28" w:rsidRPr="00F32B28">
        <w:rPr>
          <w:rtl/>
          <w:lang w:bidi="ar-JO"/>
        </w:rPr>
        <w:t>يوجد</w:t>
      </w:r>
      <w:r w:rsidR="00F32B28">
        <w:rPr>
          <w:rtl/>
          <w:lang w:bidi="ar-JO"/>
        </w:rPr>
        <w:t xml:space="preserve"> </w:t>
      </w:r>
      <w:r w:rsidR="00F32B28" w:rsidRPr="00F32B28">
        <w:rPr>
          <w:rtl/>
          <w:lang w:bidi="ar-JO"/>
        </w:rPr>
        <w:t>أي</w:t>
      </w:r>
      <w:r w:rsidR="00F32B28">
        <w:rPr>
          <w:rtl/>
          <w:lang w:bidi="ar-JO"/>
        </w:rPr>
        <w:t xml:space="preserve"> </w:t>
      </w:r>
      <w:r w:rsidR="00F32B28" w:rsidRPr="00F32B28">
        <w:rPr>
          <w:rtl/>
          <w:lang w:bidi="ar-JO"/>
        </w:rPr>
        <w:t>سند</w:t>
      </w:r>
      <w:r w:rsidR="00F32B28">
        <w:rPr>
          <w:rtl/>
          <w:lang w:bidi="ar-JO"/>
        </w:rPr>
        <w:t xml:space="preserve"> </w:t>
      </w:r>
      <w:r w:rsidR="00F32B28" w:rsidRPr="00F32B28">
        <w:rPr>
          <w:rtl/>
          <w:lang w:bidi="ar-JO"/>
        </w:rPr>
        <w:t>قانوني</w:t>
      </w:r>
      <w:r w:rsidR="00F32B28">
        <w:rPr>
          <w:rtl/>
          <w:lang w:bidi="ar-JO"/>
        </w:rPr>
        <w:t xml:space="preserve"> </w:t>
      </w:r>
      <w:r w:rsidR="00F32B28" w:rsidRPr="00F32B28">
        <w:rPr>
          <w:rtl/>
          <w:lang w:bidi="ar-JO"/>
        </w:rPr>
        <w:t>يستطيع</w:t>
      </w:r>
      <w:r w:rsidR="00F32B28">
        <w:rPr>
          <w:rtl/>
          <w:lang w:bidi="ar-JO"/>
        </w:rPr>
        <w:t xml:space="preserve"> </w:t>
      </w:r>
      <w:r w:rsidR="00F32B28" w:rsidRPr="00F32B28">
        <w:rPr>
          <w:rtl/>
          <w:lang w:bidi="ar-JO"/>
        </w:rPr>
        <w:t>الرجل</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خلاله</w:t>
      </w:r>
      <w:r w:rsidR="00F32B28">
        <w:rPr>
          <w:rtl/>
          <w:lang w:bidi="ar-JO"/>
        </w:rPr>
        <w:t xml:space="preserve"> </w:t>
      </w:r>
      <w:r w:rsidR="00F32B28" w:rsidRPr="00F32B28">
        <w:rPr>
          <w:rtl/>
          <w:lang w:bidi="ar-JO"/>
        </w:rPr>
        <w:t>أن</w:t>
      </w:r>
      <w:r w:rsidR="00F32B28">
        <w:rPr>
          <w:rtl/>
          <w:lang w:bidi="ar-JO"/>
        </w:rPr>
        <w:t xml:space="preserve"> </w:t>
      </w:r>
      <w:r w:rsidR="00F32B28" w:rsidRPr="00F32B28">
        <w:rPr>
          <w:rtl/>
          <w:lang w:bidi="ar-JO"/>
        </w:rPr>
        <w:t>يمنع</w:t>
      </w:r>
      <w:r w:rsidR="00F32B28">
        <w:rPr>
          <w:rtl/>
          <w:lang w:bidi="ar-JO"/>
        </w:rPr>
        <w:t xml:space="preserve"> </w:t>
      </w:r>
      <w:r w:rsidR="00F32B28" w:rsidRPr="00F32B28">
        <w:rPr>
          <w:rtl/>
          <w:lang w:bidi="ar-JO"/>
        </w:rPr>
        <w:t>زوجته</w:t>
      </w:r>
      <w:r w:rsidR="00F32B28">
        <w:rPr>
          <w:rtl/>
          <w:lang w:bidi="ar-JO"/>
        </w:rPr>
        <w:t xml:space="preserve"> </w:t>
      </w:r>
      <w:r w:rsidR="00F32B28" w:rsidRPr="00F32B28">
        <w:rPr>
          <w:rtl/>
          <w:lang w:bidi="ar-JO"/>
        </w:rPr>
        <w:t>أو</w:t>
      </w:r>
      <w:r w:rsidR="00F32B28">
        <w:rPr>
          <w:rtl/>
          <w:lang w:bidi="ar-JO"/>
        </w:rPr>
        <w:t xml:space="preserve"> </w:t>
      </w:r>
      <w:r w:rsidR="00F32B28" w:rsidRPr="00F32B28">
        <w:rPr>
          <w:rtl/>
          <w:lang w:bidi="ar-JO"/>
        </w:rPr>
        <w:t>أبنته</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السفر</w:t>
      </w:r>
      <w:r w:rsidR="00F32B28">
        <w:rPr>
          <w:rtl/>
          <w:lang w:bidi="ar-JO"/>
        </w:rPr>
        <w:t xml:space="preserve"> </w:t>
      </w:r>
      <w:r w:rsidR="00F32B28" w:rsidRPr="00F32B28">
        <w:rPr>
          <w:rtl/>
          <w:lang w:bidi="ar-JO"/>
        </w:rPr>
        <w:t>لأي</w:t>
      </w:r>
      <w:r w:rsidR="00F32B28">
        <w:rPr>
          <w:rtl/>
          <w:lang w:bidi="ar-JO"/>
        </w:rPr>
        <w:t xml:space="preserve"> </w:t>
      </w:r>
      <w:r w:rsidR="00F32B28" w:rsidRPr="00F32B28">
        <w:rPr>
          <w:rtl/>
          <w:lang w:bidi="ar-JO"/>
        </w:rPr>
        <w:t>سبب</w:t>
      </w:r>
      <w:r w:rsidR="00F32B28">
        <w:rPr>
          <w:rtl/>
          <w:lang w:bidi="ar-JO"/>
        </w:rPr>
        <w:t xml:space="preserve"> </w:t>
      </w:r>
      <w:r w:rsidR="00F32B28" w:rsidRPr="00F32B28">
        <w:rPr>
          <w:rtl/>
          <w:lang w:bidi="ar-JO"/>
        </w:rPr>
        <w:t>كان،</w:t>
      </w:r>
      <w:r w:rsidR="00F32B28">
        <w:rPr>
          <w:rtl/>
          <w:lang w:bidi="ar-JO"/>
        </w:rPr>
        <w:t xml:space="preserve"> </w:t>
      </w:r>
      <w:r w:rsidR="00F32B28" w:rsidRPr="00F32B28">
        <w:rPr>
          <w:rtl/>
          <w:lang w:bidi="ar-JO"/>
        </w:rPr>
        <w:t>حتى</w:t>
      </w:r>
      <w:r w:rsidR="00F32B28">
        <w:rPr>
          <w:rtl/>
          <w:lang w:bidi="ar-JO"/>
        </w:rPr>
        <w:t xml:space="preserve"> </w:t>
      </w:r>
      <w:r w:rsidR="00F32B28" w:rsidRPr="00F32B28">
        <w:rPr>
          <w:rtl/>
          <w:lang w:bidi="ar-JO"/>
        </w:rPr>
        <w:t>ولو</w:t>
      </w:r>
      <w:r w:rsidR="00F32B28">
        <w:rPr>
          <w:rtl/>
          <w:lang w:bidi="ar-JO"/>
        </w:rPr>
        <w:t xml:space="preserve"> </w:t>
      </w:r>
      <w:r w:rsidR="00F32B28" w:rsidRPr="00F32B28">
        <w:rPr>
          <w:rtl/>
          <w:lang w:bidi="ar-JO"/>
        </w:rPr>
        <w:t>كان</w:t>
      </w:r>
      <w:r w:rsidR="00F32B28">
        <w:rPr>
          <w:rtl/>
          <w:lang w:bidi="ar-JO"/>
        </w:rPr>
        <w:t xml:space="preserve"> </w:t>
      </w:r>
      <w:r w:rsidR="00F32B28" w:rsidRPr="00F32B28">
        <w:rPr>
          <w:rtl/>
          <w:lang w:bidi="ar-JO"/>
        </w:rPr>
        <w:t>سفرها</w:t>
      </w:r>
      <w:r w:rsidR="00F32B28">
        <w:rPr>
          <w:rtl/>
          <w:lang w:bidi="ar-JO"/>
        </w:rPr>
        <w:t xml:space="preserve"> </w:t>
      </w:r>
      <w:r w:rsidR="00F32B28" w:rsidRPr="00F32B28">
        <w:rPr>
          <w:rtl/>
          <w:lang w:bidi="ar-JO"/>
        </w:rPr>
        <w:t>بدون</w:t>
      </w:r>
      <w:r w:rsidR="00F32B28">
        <w:rPr>
          <w:rtl/>
          <w:lang w:bidi="ar-JO"/>
        </w:rPr>
        <w:t xml:space="preserve"> </w:t>
      </w:r>
      <w:r w:rsidR="00F32B28" w:rsidRPr="00F32B28">
        <w:rPr>
          <w:rtl/>
          <w:lang w:bidi="ar-JO"/>
        </w:rPr>
        <w:t>إذنه</w:t>
      </w:r>
      <w:r w:rsidR="00F32B28">
        <w:rPr>
          <w:rtl/>
          <w:lang w:bidi="ar-JO"/>
        </w:rPr>
        <w:t xml:space="preserve"> </w:t>
      </w:r>
      <w:r w:rsidR="00F32B28" w:rsidRPr="00F32B28">
        <w:rPr>
          <w:rtl/>
          <w:lang w:bidi="ar-JO"/>
        </w:rPr>
        <w:t>أو</w:t>
      </w:r>
      <w:r w:rsidR="00F32B28">
        <w:rPr>
          <w:rtl/>
          <w:lang w:bidi="ar-JO"/>
        </w:rPr>
        <w:t xml:space="preserve"> </w:t>
      </w:r>
      <w:r w:rsidR="00F32B28" w:rsidRPr="00F32B28">
        <w:rPr>
          <w:rtl/>
          <w:lang w:bidi="ar-JO"/>
        </w:rPr>
        <w:t>بدون</w:t>
      </w:r>
      <w:r w:rsidR="00F32B28">
        <w:rPr>
          <w:rtl/>
          <w:lang w:bidi="ar-JO"/>
        </w:rPr>
        <w:t xml:space="preserve"> </w:t>
      </w:r>
      <w:r w:rsidR="00F32B28" w:rsidRPr="00F32B28">
        <w:rPr>
          <w:rtl/>
          <w:lang w:bidi="ar-JO"/>
        </w:rPr>
        <w:t>وجود</w:t>
      </w:r>
      <w:r w:rsidR="00F32B28">
        <w:rPr>
          <w:rtl/>
          <w:lang w:bidi="ar-JO"/>
        </w:rPr>
        <w:t xml:space="preserve"> </w:t>
      </w:r>
      <w:r w:rsidR="00F32B28" w:rsidRPr="00F32B28">
        <w:rPr>
          <w:rtl/>
          <w:lang w:bidi="ar-JO"/>
        </w:rPr>
        <w:t>محرم.</w:t>
      </w:r>
      <w:r w:rsidR="00F32B28">
        <w:rPr>
          <w:rtl/>
          <w:lang w:bidi="ar-JO"/>
        </w:rPr>
        <w:t xml:space="preserve"> </w:t>
      </w:r>
      <w:r w:rsidR="00F32B28" w:rsidRPr="00F32B28">
        <w:rPr>
          <w:rtl/>
          <w:lang w:bidi="ar-JO"/>
        </w:rPr>
        <w:t>كما</w:t>
      </w:r>
      <w:r w:rsidR="00F32B28">
        <w:rPr>
          <w:rtl/>
          <w:lang w:bidi="ar-JO"/>
        </w:rPr>
        <w:t xml:space="preserve"> </w:t>
      </w:r>
      <w:r w:rsidR="00F32B28" w:rsidRPr="00F32B28">
        <w:rPr>
          <w:rtl/>
        </w:rPr>
        <w:t>يحق</w:t>
      </w:r>
      <w:r w:rsidR="00F32B28">
        <w:rPr>
          <w:rtl/>
        </w:rPr>
        <w:t xml:space="preserve"> </w:t>
      </w:r>
      <w:r w:rsidR="00F32B28" w:rsidRPr="00F32B28">
        <w:rPr>
          <w:rtl/>
        </w:rPr>
        <w:t>للأم</w:t>
      </w:r>
      <w:r w:rsidR="00F32B28">
        <w:rPr>
          <w:rtl/>
        </w:rPr>
        <w:t xml:space="preserve"> </w:t>
      </w:r>
      <w:r w:rsidR="00F32B28" w:rsidRPr="00F32B28">
        <w:rPr>
          <w:rtl/>
        </w:rPr>
        <w:t>(الأرملة)</w:t>
      </w:r>
      <w:r w:rsidR="00F32B28">
        <w:rPr>
          <w:rtl/>
        </w:rPr>
        <w:t xml:space="preserve"> </w:t>
      </w:r>
      <w:r w:rsidR="00F32B28" w:rsidRPr="00F32B28">
        <w:rPr>
          <w:rtl/>
        </w:rPr>
        <w:t>إصدار</w:t>
      </w:r>
      <w:r w:rsidR="00F32B28">
        <w:rPr>
          <w:rtl/>
        </w:rPr>
        <w:t xml:space="preserve"> </w:t>
      </w:r>
      <w:r w:rsidR="00F32B28" w:rsidRPr="00F32B28">
        <w:rPr>
          <w:rtl/>
        </w:rPr>
        <w:t>جوازات</w:t>
      </w:r>
      <w:r w:rsidR="00F32B28">
        <w:rPr>
          <w:rtl/>
        </w:rPr>
        <w:t xml:space="preserve"> </w:t>
      </w:r>
      <w:r w:rsidR="00F32B28" w:rsidRPr="00F32B28">
        <w:rPr>
          <w:rtl/>
        </w:rPr>
        <w:t>سفر</w:t>
      </w:r>
      <w:r w:rsidR="00F32B28">
        <w:rPr>
          <w:rtl/>
        </w:rPr>
        <w:t xml:space="preserve"> </w:t>
      </w:r>
      <w:r w:rsidR="00F32B28" w:rsidRPr="00F32B28">
        <w:rPr>
          <w:rtl/>
        </w:rPr>
        <w:t>لأبنائها</w:t>
      </w:r>
      <w:r w:rsidR="00F32B28">
        <w:rPr>
          <w:rtl/>
        </w:rPr>
        <w:t xml:space="preserve"> </w:t>
      </w:r>
      <w:r w:rsidR="00F32B28" w:rsidRPr="00F32B28">
        <w:rPr>
          <w:rtl/>
        </w:rPr>
        <w:t>في</w:t>
      </w:r>
      <w:r w:rsidR="00F32B28">
        <w:rPr>
          <w:rtl/>
        </w:rPr>
        <w:t xml:space="preserve"> </w:t>
      </w:r>
      <w:r w:rsidR="00F32B28" w:rsidRPr="00F32B28">
        <w:rPr>
          <w:rtl/>
        </w:rPr>
        <w:t>حالة</w:t>
      </w:r>
      <w:r w:rsidR="00F32B28">
        <w:rPr>
          <w:rtl/>
        </w:rPr>
        <w:t xml:space="preserve"> </w:t>
      </w:r>
      <w:r w:rsidR="00F32B28" w:rsidRPr="00F32B28">
        <w:rPr>
          <w:rtl/>
        </w:rPr>
        <w:t>وجود</w:t>
      </w:r>
      <w:r w:rsidR="00F32B28">
        <w:rPr>
          <w:rtl/>
        </w:rPr>
        <w:t xml:space="preserve"> </w:t>
      </w:r>
      <w:r w:rsidR="00F32B28" w:rsidRPr="00F32B28">
        <w:rPr>
          <w:rtl/>
        </w:rPr>
        <w:t>حجة</w:t>
      </w:r>
      <w:r w:rsidR="00F32B28">
        <w:rPr>
          <w:rtl/>
        </w:rPr>
        <w:t xml:space="preserve"> </w:t>
      </w:r>
      <w:r w:rsidR="00F32B28" w:rsidRPr="00F32B28">
        <w:rPr>
          <w:rtl/>
        </w:rPr>
        <w:t>وصاية</w:t>
      </w:r>
      <w:r w:rsidR="00F32B28">
        <w:rPr>
          <w:rtl/>
        </w:rPr>
        <w:t xml:space="preserve"> </w:t>
      </w:r>
      <w:r w:rsidR="00F32B28" w:rsidRPr="00F32B28">
        <w:rPr>
          <w:rtl/>
        </w:rPr>
        <w:t>من</w:t>
      </w:r>
      <w:r w:rsidR="00F32B28">
        <w:rPr>
          <w:rtl/>
        </w:rPr>
        <w:t xml:space="preserve"> </w:t>
      </w:r>
      <w:r w:rsidR="00F32B28" w:rsidRPr="00F32B28">
        <w:rPr>
          <w:rtl/>
        </w:rPr>
        <w:t>المحكمة</w:t>
      </w:r>
      <w:r w:rsidR="00F32B28">
        <w:rPr>
          <w:rtl/>
        </w:rPr>
        <w:t xml:space="preserve"> </w:t>
      </w:r>
      <w:r w:rsidR="00F32B28" w:rsidRPr="00F32B28">
        <w:rPr>
          <w:rtl/>
        </w:rPr>
        <w:t>الشرعية.</w:t>
      </w:r>
    </w:p>
    <w:p w:rsidR="00891A4B" w:rsidRPr="00891A4B" w:rsidRDefault="00891A4B" w:rsidP="00891A4B">
      <w:pPr>
        <w:pStyle w:val="SingleTxt"/>
        <w:spacing w:after="0" w:line="120" w:lineRule="exact"/>
        <w:rPr>
          <w:b/>
          <w:bCs/>
          <w:sz w:val="10"/>
          <w:rtl/>
          <w:lang w:bidi="ar-JO"/>
        </w:rPr>
      </w:pPr>
    </w:p>
    <w:p w:rsidR="00F32B28" w:rsidRPr="00F32B28" w:rsidRDefault="00F32B28" w:rsidP="00F32B28">
      <w:pPr>
        <w:pStyle w:val="SingleTxt"/>
        <w:rPr>
          <w:b/>
          <w:bCs/>
        </w:rPr>
      </w:pPr>
      <w:r w:rsidRPr="00F32B28">
        <w:rPr>
          <w:b/>
          <w:bCs/>
          <w:rtl/>
          <w:lang w:bidi="ar-JO"/>
        </w:rPr>
        <w:t>التحديات</w:t>
      </w:r>
      <w:r>
        <w:rPr>
          <w:b/>
          <w:bCs/>
          <w:rtl/>
          <w:lang w:bidi="ar-JO"/>
        </w:rPr>
        <w:t xml:space="preserve"> </w:t>
      </w:r>
    </w:p>
    <w:p w:rsidR="00F32B28" w:rsidRPr="00F32B28" w:rsidRDefault="00891A4B" w:rsidP="00891A4B">
      <w:pPr>
        <w:pStyle w:val="SingleTxt"/>
      </w:pPr>
      <w:r>
        <w:rPr>
          <w:rFonts w:hint="cs"/>
          <w:rtl/>
        </w:rPr>
        <w:t xml:space="preserve">317 - </w:t>
      </w:r>
      <w:r w:rsidR="00F32B28" w:rsidRPr="00F32B28">
        <w:rPr>
          <w:rtl/>
        </w:rPr>
        <w:t>تمارس</w:t>
      </w:r>
      <w:r w:rsidR="00F32B28">
        <w:rPr>
          <w:rtl/>
        </w:rPr>
        <w:t xml:space="preserve"> </w:t>
      </w:r>
      <w:r w:rsidR="00F32B28" w:rsidRPr="00F32B28">
        <w:rPr>
          <w:rtl/>
        </w:rPr>
        <w:t>إسرائيل،</w:t>
      </w:r>
      <w:r w:rsidR="00F32B28">
        <w:rPr>
          <w:rtl/>
        </w:rPr>
        <w:t xml:space="preserve"> </w:t>
      </w:r>
      <w:r w:rsidR="00F32B28" w:rsidRPr="00F32B28">
        <w:rPr>
          <w:rtl/>
        </w:rPr>
        <w:t>السلطة</w:t>
      </w:r>
      <w:r w:rsidR="00F32B28">
        <w:rPr>
          <w:rtl/>
        </w:rPr>
        <w:t xml:space="preserve"> </w:t>
      </w:r>
      <w:r w:rsidR="00F32B28" w:rsidRPr="00F32B28">
        <w:rPr>
          <w:rtl/>
        </w:rPr>
        <w:t>القائمة</w:t>
      </w:r>
      <w:r w:rsidR="00F32B28">
        <w:rPr>
          <w:rtl/>
        </w:rPr>
        <w:t xml:space="preserve"> </w:t>
      </w:r>
      <w:r w:rsidR="00F32B28" w:rsidRPr="00F32B28">
        <w:rPr>
          <w:rtl/>
        </w:rPr>
        <w:t>بالاحتلال،</w:t>
      </w:r>
      <w:r w:rsidR="00F32B28">
        <w:rPr>
          <w:rtl/>
        </w:rPr>
        <w:t xml:space="preserve"> </w:t>
      </w:r>
      <w:r w:rsidR="00F32B28" w:rsidRPr="00F32B28">
        <w:rPr>
          <w:rtl/>
        </w:rPr>
        <w:t>سياسية</w:t>
      </w:r>
      <w:r w:rsidR="00F32B28">
        <w:rPr>
          <w:rtl/>
        </w:rPr>
        <w:t xml:space="preserve"> </w:t>
      </w:r>
      <w:r w:rsidR="00F32B28" w:rsidRPr="00F32B28">
        <w:rPr>
          <w:rtl/>
        </w:rPr>
        <w:t>الفصل</w:t>
      </w:r>
      <w:r w:rsidR="00F32B28">
        <w:rPr>
          <w:rtl/>
        </w:rPr>
        <w:t xml:space="preserve"> </w:t>
      </w:r>
      <w:r w:rsidR="00F32B28" w:rsidRPr="00F32B28">
        <w:rPr>
          <w:rtl/>
        </w:rPr>
        <w:t>العنصري</w:t>
      </w:r>
      <w:r w:rsidR="00F32B28">
        <w:rPr>
          <w:rtl/>
        </w:rPr>
        <w:t xml:space="preserve"> </w:t>
      </w:r>
      <w:r w:rsidR="00F32B28" w:rsidRPr="00F32B28">
        <w:rPr>
          <w:rtl/>
        </w:rPr>
        <w:t>بما</w:t>
      </w:r>
      <w:r w:rsidR="00F32B28">
        <w:rPr>
          <w:rtl/>
        </w:rPr>
        <w:t xml:space="preserve"> </w:t>
      </w:r>
      <w:r w:rsidR="00F32B28" w:rsidRPr="00F32B28">
        <w:rPr>
          <w:rtl/>
        </w:rPr>
        <w:t>تنتهجه</w:t>
      </w:r>
      <w:r w:rsidR="00F32B28">
        <w:rPr>
          <w:rtl/>
        </w:rPr>
        <w:t xml:space="preserve"> </w:t>
      </w:r>
      <w:r w:rsidR="00F32B28" w:rsidRPr="00F32B28">
        <w:rPr>
          <w:rtl/>
        </w:rPr>
        <w:t>من</w:t>
      </w:r>
      <w:r w:rsidR="00F32B28">
        <w:rPr>
          <w:rtl/>
        </w:rPr>
        <w:t xml:space="preserve"> </w:t>
      </w:r>
      <w:r w:rsidR="00F32B28" w:rsidRPr="00F32B28">
        <w:rPr>
          <w:rtl/>
        </w:rPr>
        <w:t>سياسات</w:t>
      </w:r>
      <w:r w:rsidR="00F32B28">
        <w:rPr>
          <w:rtl/>
        </w:rPr>
        <w:t xml:space="preserve"> </w:t>
      </w:r>
      <w:r w:rsidR="00F32B28" w:rsidRPr="00F32B28">
        <w:rPr>
          <w:rtl/>
        </w:rPr>
        <w:t>وإجراءات</w:t>
      </w:r>
      <w:r w:rsidR="00F32B28">
        <w:rPr>
          <w:rtl/>
        </w:rPr>
        <w:t xml:space="preserve"> </w:t>
      </w:r>
      <w:r w:rsidR="00F32B28" w:rsidRPr="00F32B28">
        <w:rPr>
          <w:rtl/>
        </w:rPr>
        <w:t>عنصرية</w:t>
      </w:r>
      <w:r w:rsidR="00F32B28">
        <w:rPr>
          <w:rtl/>
        </w:rPr>
        <w:t xml:space="preserve"> </w:t>
      </w:r>
      <w:r w:rsidR="00F32B28" w:rsidRPr="00F32B28">
        <w:rPr>
          <w:rtl/>
        </w:rPr>
        <w:t>ضد</w:t>
      </w:r>
      <w:r w:rsidR="00F32B28">
        <w:rPr>
          <w:rtl/>
        </w:rPr>
        <w:t xml:space="preserve"> </w:t>
      </w:r>
      <w:r w:rsidR="00F32B28" w:rsidRPr="00F32B28">
        <w:rPr>
          <w:rtl/>
        </w:rPr>
        <w:t>حق</w:t>
      </w:r>
      <w:r w:rsidR="00F32B28">
        <w:rPr>
          <w:rtl/>
        </w:rPr>
        <w:t xml:space="preserve"> </w:t>
      </w:r>
      <w:r w:rsidR="00F32B28" w:rsidRPr="00F32B28">
        <w:rPr>
          <w:rtl/>
        </w:rPr>
        <w:t>الفلسطينيات،</w:t>
      </w:r>
      <w:r w:rsidR="00F32B28">
        <w:rPr>
          <w:rtl/>
        </w:rPr>
        <w:t xml:space="preserve"> </w:t>
      </w:r>
      <w:r w:rsidR="00F32B28" w:rsidRPr="00F32B28">
        <w:rPr>
          <w:rtl/>
        </w:rPr>
        <w:t>كما</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حرية</w:t>
      </w:r>
      <w:r w:rsidR="00F32B28">
        <w:rPr>
          <w:rtl/>
        </w:rPr>
        <w:t xml:space="preserve"> </w:t>
      </w:r>
      <w:r w:rsidR="00F32B28" w:rsidRPr="00F32B28">
        <w:rPr>
          <w:rtl/>
        </w:rPr>
        <w:t>التنقل</w:t>
      </w:r>
      <w:r w:rsidR="00F32B28">
        <w:rPr>
          <w:rtl/>
        </w:rPr>
        <w:t xml:space="preserve"> </w:t>
      </w:r>
      <w:r w:rsidR="00F32B28" w:rsidRPr="00F32B28">
        <w:rPr>
          <w:rtl/>
        </w:rPr>
        <w:t>واختيار</w:t>
      </w:r>
      <w:r w:rsidR="00F32B28">
        <w:rPr>
          <w:rtl/>
        </w:rPr>
        <w:t xml:space="preserve"> </w:t>
      </w:r>
      <w:r w:rsidR="00F32B28" w:rsidRPr="00F32B28">
        <w:rPr>
          <w:rtl/>
        </w:rPr>
        <w:t>محل</w:t>
      </w:r>
      <w:r w:rsidR="00F32B28">
        <w:rPr>
          <w:rtl/>
        </w:rPr>
        <w:t xml:space="preserve"> </w:t>
      </w:r>
      <w:r w:rsidR="00F32B28" w:rsidRPr="00F32B28">
        <w:rPr>
          <w:rtl/>
        </w:rPr>
        <w:t>الإقامة</w:t>
      </w:r>
      <w:r w:rsidR="00F32B28">
        <w:rPr>
          <w:rtl/>
        </w:rPr>
        <w:t xml:space="preserve"> </w:t>
      </w:r>
      <w:r w:rsidR="00F32B28" w:rsidRPr="00F32B28">
        <w:rPr>
          <w:rtl/>
        </w:rPr>
        <w:t>وبما</w:t>
      </w:r>
      <w:r w:rsidR="00F32B28">
        <w:rPr>
          <w:rtl/>
        </w:rPr>
        <w:t xml:space="preserve"> </w:t>
      </w:r>
      <w:r w:rsidR="00F32B28" w:rsidRPr="00F32B28">
        <w:rPr>
          <w:rtl/>
        </w:rPr>
        <w:t>تفرضه</w:t>
      </w:r>
      <w:r w:rsidR="00F32B28">
        <w:rPr>
          <w:rtl/>
        </w:rPr>
        <w:t xml:space="preserve"> </w:t>
      </w:r>
      <w:r w:rsidR="00F32B28" w:rsidRPr="00F32B28">
        <w:rPr>
          <w:rtl/>
        </w:rPr>
        <w:t>أمامهم</w:t>
      </w:r>
      <w:r w:rsidR="00F32B28">
        <w:rPr>
          <w:rtl/>
        </w:rPr>
        <w:t xml:space="preserve"> </w:t>
      </w:r>
      <w:r w:rsidR="00F32B28" w:rsidRPr="00F32B28">
        <w:rPr>
          <w:rtl/>
        </w:rPr>
        <w:t>من</w:t>
      </w:r>
      <w:r w:rsidR="00F32B28">
        <w:rPr>
          <w:rtl/>
        </w:rPr>
        <w:t xml:space="preserve"> </w:t>
      </w:r>
      <w:r w:rsidR="00F32B28" w:rsidRPr="00F32B28">
        <w:rPr>
          <w:rtl/>
        </w:rPr>
        <w:t>المعيقات</w:t>
      </w:r>
      <w:r w:rsidR="00F32B28">
        <w:rPr>
          <w:rtl/>
        </w:rPr>
        <w:t xml:space="preserve"> </w:t>
      </w:r>
      <w:r w:rsidR="00F32B28" w:rsidRPr="00F32B28">
        <w:rPr>
          <w:rtl/>
        </w:rPr>
        <w:t>المادية</w:t>
      </w:r>
      <w:r w:rsidR="00F32B28">
        <w:rPr>
          <w:rtl/>
        </w:rPr>
        <w:t xml:space="preserve"> </w:t>
      </w:r>
      <w:r w:rsidR="00F32B28" w:rsidRPr="00F32B28">
        <w:rPr>
          <w:rtl/>
        </w:rPr>
        <w:t>والإدارية</w:t>
      </w:r>
      <w:r w:rsidR="00F32B28">
        <w:rPr>
          <w:rtl/>
        </w:rPr>
        <w:t xml:space="preserve"> </w:t>
      </w:r>
      <w:r w:rsidR="00F32B28" w:rsidRPr="00F32B28">
        <w:rPr>
          <w:rtl/>
        </w:rPr>
        <w:t>في</w:t>
      </w:r>
      <w:r w:rsidR="00F32B28">
        <w:rPr>
          <w:rtl/>
        </w:rPr>
        <w:t xml:space="preserve"> </w:t>
      </w:r>
      <w:r w:rsidR="00F32B28" w:rsidRPr="00F32B28">
        <w:rPr>
          <w:rtl/>
        </w:rPr>
        <w:t>أرض</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وبمنعهم</w:t>
      </w:r>
      <w:r w:rsidR="00F32B28">
        <w:rPr>
          <w:rtl/>
        </w:rPr>
        <w:t xml:space="preserve"> </w:t>
      </w:r>
      <w:r w:rsidR="00F32B28" w:rsidRPr="00F32B28">
        <w:rPr>
          <w:rtl/>
        </w:rPr>
        <w:t>من</w:t>
      </w:r>
      <w:r w:rsidR="00F32B28">
        <w:rPr>
          <w:rtl/>
        </w:rPr>
        <w:t xml:space="preserve"> </w:t>
      </w:r>
      <w:r w:rsidR="00F32B28" w:rsidRPr="00F32B28">
        <w:rPr>
          <w:rtl/>
        </w:rPr>
        <w:t>استعمال</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الطرق</w:t>
      </w:r>
      <w:r w:rsidR="00F32B28">
        <w:rPr>
          <w:rtl/>
        </w:rPr>
        <w:t xml:space="preserve"> </w:t>
      </w:r>
      <w:r w:rsidR="00F32B28" w:rsidRPr="00F32B28">
        <w:rPr>
          <w:rtl/>
        </w:rPr>
        <w:t>داخلها،</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تسمح</w:t>
      </w:r>
      <w:r>
        <w:rPr>
          <w:rFonts w:hint="cs"/>
          <w:rtl/>
        </w:rPr>
        <w:t xml:space="preserve"> </w:t>
      </w:r>
      <w:r w:rsidR="00F32B28" w:rsidRPr="00F32B28">
        <w:rPr>
          <w:rtl/>
        </w:rPr>
        <w:t>وفي</w:t>
      </w:r>
      <w:r w:rsidR="00F32B28">
        <w:rPr>
          <w:rtl/>
        </w:rPr>
        <w:t xml:space="preserve"> </w:t>
      </w:r>
      <w:r w:rsidR="00F32B28" w:rsidRPr="00F32B28">
        <w:rPr>
          <w:rtl/>
        </w:rPr>
        <w:t>الوقت</w:t>
      </w:r>
      <w:r w:rsidR="00F32B28">
        <w:rPr>
          <w:rtl/>
        </w:rPr>
        <w:t xml:space="preserve"> </w:t>
      </w:r>
      <w:r w:rsidR="00F32B28" w:rsidRPr="00F32B28">
        <w:rPr>
          <w:rtl/>
        </w:rPr>
        <w:t>ذاته</w:t>
      </w:r>
      <w:r w:rsidR="00F32B28">
        <w:rPr>
          <w:rtl/>
        </w:rPr>
        <w:t xml:space="preserve"> </w:t>
      </w:r>
      <w:r w:rsidR="00F32B28" w:rsidRPr="00F32B28">
        <w:rPr>
          <w:rtl/>
        </w:rPr>
        <w:t>للإسرائيليين</w:t>
      </w:r>
      <w:r w:rsidR="00F32B28">
        <w:rPr>
          <w:rtl/>
        </w:rPr>
        <w:t xml:space="preserve"> </w:t>
      </w:r>
      <w:r w:rsidR="00F32B28" w:rsidRPr="00F32B28">
        <w:rPr>
          <w:rtl/>
        </w:rPr>
        <w:t>للتنقل</w:t>
      </w:r>
      <w:r w:rsidR="00F32B28">
        <w:rPr>
          <w:rtl/>
        </w:rPr>
        <w:t xml:space="preserve"> </w:t>
      </w:r>
      <w:r w:rsidR="00F32B28" w:rsidRPr="00F32B28">
        <w:rPr>
          <w:rtl/>
        </w:rPr>
        <w:t>والحركة</w:t>
      </w:r>
      <w:r w:rsidR="00F32B28">
        <w:rPr>
          <w:rtl/>
        </w:rPr>
        <w:t xml:space="preserve"> </w:t>
      </w:r>
      <w:r w:rsidR="00F32B28" w:rsidRPr="00F32B28">
        <w:rPr>
          <w:rtl/>
        </w:rPr>
        <w:t>في</w:t>
      </w:r>
      <w:r w:rsidR="00F32B28">
        <w:rPr>
          <w:rtl/>
        </w:rPr>
        <w:t xml:space="preserve"> </w:t>
      </w:r>
      <w:r w:rsidR="00F32B28" w:rsidRPr="00F32B28">
        <w:rPr>
          <w:rtl/>
        </w:rPr>
        <w:t>كافة</w:t>
      </w:r>
      <w:r w:rsidR="00F32B28">
        <w:rPr>
          <w:rtl/>
        </w:rPr>
        <w:t xml:space="preserve"> </w:t>
      </w:r>
      <w:r w:rsidR="00F32B28" w:rsidRPr="00F32B28">
        <w:rPr>
          <w:rtl/>
        </w:rPr>
        <w:t>هذه</w:t>
      </w:r>
      <w:r w:rsidR="00F32B28">
        <w:rPr>
          <w:rtl/>
        </w:rPr>
        <w:t xml:space="preserve"> </w:t>
      </w:r>
      <w:r w:rsidR="00F32B28" w:rsidRPr="00F32B28">
        <w:rPr>
          <w:rtl/>
        </w:rPr>
        <w:t>المناطق</w:t>
      </w:r>
      <w:r w:rsidR="00F32B28">
        <w:rPr>
          <w:rtl/>
        </w:rPr>
        <w:t xml:space="preserve"> </w:t>
      </w:r>
      <w:r w:rsidR="00F32B28" w:rsidRPr="00F32B28">
        <w:rPr>
          <w:rtl/>
        </w:rPr>
        <w:t>بحرية</w:t>
      </w:r>
      <w:r w:rsidR="00F32B28">
        <w:rPr>
          <w:rtl/>
        </w:rPr>
        <w:t xml:space="preserve"> </w:t>
      </w:r>
      <w:r w:rsidR="00F32B28" w:rsidRPr="00F32B28">
        <w:rPr>
          <w:rtl/>
        </w:rPr>
        <w:t>تامة</w:t>
      </w:r>
      <w:r>
        <w:rPr>
          <w:rFonts w:hint="cs"/>
          <w:rtl/>
        </w:rPr>
        <w:t xml:space="preserve"> </w:t>
      </w:r>
      <w:r w:rsidR="00F32B28" w:rsidRPr="00F32B28">
        <w:rPr>
          <w:rtl/>
        </w:rPr>
        <w:t>ودون</w:t>
      </w:r>
      <w:r w:rsidR="00F32B28">
        <w:rPr>
          <w:rtl/>
        </w:rPr>
        <w:t xml:space="preserve"> </w:t>
      </w:r>
      <w:r w:rsidR="00F32B28" w:rsidRPr="00F32B28">
        <w:rPr>
          <w:rtl/>
        </w:rPr>
        <w:t>أي</w:t>
      </w:r>
      <w:r w:rsidR="00F32B28">
        <w:rPr>
          <w:rtl/>
        </w:rPr>
        <w:t xml:space="preserve"> </w:t>
      </w:r>
      <w:r w:rsidR="00F32B28" w:rsidRPr="00F32B28">
        <w:rPr>
          <w:rtl/>
        </w:rPr>
        <w:t>معيق.</w:t>
      </w:r>
      <w:r w:rsidR="00F32B28" w:rsidRPr="00F32B28">
        <w:rPr>
          <w:rtl/>
          <w:lang w:bidi="ar-SY"/>
        </w:rPr>
        <w:t>ففي</w:t>
      </w:r>
      <w:r w:rsidR="00F32B28">
        <w:rPr>
          <w:rtl/>
          <w:lang w:bidi="ar-SY"/>
        </w:rPr>
        <w:t xml:space="preserve"> </w:t>
      </w:r>
      <w:r w:rsidR="00F32B28" w:rsidRPr="00F32B28">
        <w:rPr>
          <w:rtl/>
          <w:lang w:bidi="ar-SY"/>
        </w:rPr>
        <w:t>عمق</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هناك</w:t>
      </w:r>
      <w:r w:rsidR="00F32B28">
        <w:rPr>
          <w:rtl/>
          <w:lang w:bidi="ar-SY"/>
        </w:rPr>
        <w:t xml:space="preserve"> </w:t>
      </w:r>
      <w:r w:rsidR="00F32B28" w:rsidRPr="00F32B28">
        <w:rPr>
          <w:rtl/>
          <w:lang w:bidi="ar-SY"/>
        </w:rPr>
        <w:t>نظام</w:t>
      </w:r>
      <w:r w:rsidR="00F32B28">
        <w:rPr>
          <w:rtl/>
          <w:lang w:bidi="ar-SY"/>
        </w:rPr>
        <w:t xml:space="preserve"> </w:t>
      </w:r>
      <w:r w:rsidR="00F32B28" w:rsidRPr="00F32B28">
        <w:rPr>
          <w:rtl/>
          <w:lang w:bidi="ar-SY"/>
        </w:rPr>
        <w:t>طرق</w:t>
      </w:r>
      <w:r w:rsidR="00F32B28">
        <w:rPr>
          <w:rtl/>
          <w:lang w:bidi="ar-SY"/>
        </w:rPr>
        <w:t xml:space="preserve"> </w:t>
      </w:r>
      <w:r w:rsidR="00F32B28" w:rsidRPr="00F32B28">
        <w:rPr>
          <w:rtl/>
          <w:lang w:bidi="ar-SY"/>
        </w:rPr>
        <w:t>يربط</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المستوطنات</w:t>
      </w:r>
      <w:r w:rsidR="00F32B28">
        <w:rPr>
          <w:rtl/>
          <w:lang w:bidi="ar-SY"/>
        </w:rPr>
        <w:t xml:space="preserve"> </w:t>
      </w:r>
      <w:r w:rsidR="00F32B28" w:rsidRPr="00F32B28">
        <w:rPr>
          <w:rtl/>
          <w:lang w:bidi="ar-SY"/>
        </w:rPr>
        <w:t>الموجودة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وداخل</w:t>
      </w:r>
      <w:r w:rsidR="00F32B28">
        <w:rPr>
          <w:rtl/>
          <w:lang w:bidi="ar-SY"/>
        </w:rPr>
        <w:t xml:space="preserve"> </w:t>
      </w:r>
      <w:r w:rsidR="00F32B28" w:rsidRPr="00F32B28">
        <w:rPr>
          <w:rtl/>
          <w:lang w:bidi="ar-SY"/>
        </w:rPr>
        <w:t>الخط</w:t>
      </w:r>
      <w:r w:rsidR="00F32B28">
        <w:rPr>
          <w:rtl/>
          <w:lang w:bidi="ar-SY"/>
        </w:rPr>
        <w:t xml:space="preserve"> </w:t>
      </w:r>
      <w:r w:rsidR="00F32B28" w:rsidRPr="00F32B28">
        <w:rPr>
          <w:rtl/>
          <w:lang w:bidi="ar-SY"/>
        </w:rPr>
        <w:t>الأخضر</w:t>
      </w:r>
      <w:r w:rsidR="00F32B28">
        <w:rPr>
          <w:rtl/>
          <w:lang w:bidi="ar-SY"/>
        </w:rPr>
        <w:t xml:space="preserve"> </w:t>
      </w:r>
      <w:r w:rsidR="00F32B28" w:rsidRPr="00F32B28">
        <w:rPr>
          <w:rtl/>
          <w:lang w:bidi="ar-SY"/>
        </w:rPr>
        <w:t>يحظر</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استخدامه،</w:t>
      </w:r>
      <w:r>
        <w:rPr>
          <w:rFonts w:hint="cs"/>
          <w:rtl/>
          <w:lang w:bidi="ar-SY"/>
        </w:rPr>
        <w:t xml:space="preserve"> </w:t>
      </w:r>
      <w:r w:rsidR="00F32B28" w:rsidRPr="00F32B28">
        <w:rPr>
          <w:rtl/>
          <w:lang w:bidi="ar-SY"/>
        </w:rPr>
        <w:t>وهنالك</w:t>
      </w:r>
      <w:r w:rsidR="00F32B28">
        <w:rPr>
          <w:rtl/>
          <w:lang w:bidi="ar-SY"/>
        </w:rPr>
        <w:t xml:space="preserve"> </w:t>
      </w:r>
      <w:r w:rsidR="00F32B28" w:rsidRPr="00F32B28">
        <w:rPr>
          <w:rtl/>
          <w:lang w:bidi="ar-SY"/>
        </w:rPr>
        <w:t>مئات</w:t>
      </w:r>
      <w:r w:rsidR="00F32B28">
        <w:rPr>
          <w:rtl/>
          <w:lang w:bidi="ar-SY"/>
        </w:rPr>
        <w:t xml:space="preserve"> </w:t>
      </w:r>
      <w:r w:rsidR="00F32B28" w:rsidRPr="00F32B28">
        <w:rPr>
          <w:rtl/>
          <w:lang w:bidi="ar-SY"/>
        </w:rPr>
        <w:t>الحواجز</w:t>
      </w:r>
      <w:r w:rsidR="00F32B28">
        <w:rPr>
          <w:rtl/>
          <w:lang w:bidi="ar-SY"/>
        </w:rPr>
        <w:t xml:space="preserve"> </w:t>
      </w:r>
      <w:r w:rsidR="00F32B28" w:rsidRPr="00F32B28">
        <w:rPr>
          <w:rtl/>
          <w:lang w:bidi="ar-SY"/>
        </w:rPr>
        <w:t>العسكرية</w:t>
      </w:r>
      <w:r w:rsidR="00F32B28">
        <w:rPr>
          <w:rtl/>
          <w:lang w:bidi="ar-SY"/>
        </w:rPr>
        <w:t xml:space="preserve"> </w:t>
      </w:r>
      <w:r w:rsidR="00F32B28" w:rsidRPr="00F32B28">
        <w:rPr>
          <w:rtl/>
          <w:lang w:bidi="ar-SY"/>
        </w:rPr>
        <w:t>وغيرها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المعيقات</w:t>
      </w:r>
      <w:r w:rsidR="00F32B28">
        <w:rPr>
          <w:rtl/>
          <w:lang w:bidi="ar-SY"/>
        </w:rPr>
        <w:t xml:space="preserve"> </w:t>
      </w:r>
      <w:r w:rsidR="00F32B28" w:rsidRPr="00F32B28">
        <w:rPr>
          <w:rtl/>
          <w:lang w:bidi="ar-SY"/>
        </w:rPr>
        <w:t>المادية</w:t>
      </w:r>
      <w:r w:rsidR="00F32B28">
        <w:rPr>
          <w:rtl/>
          <w:lang w:bidi="ar-SY"/>
        </w:rPr>
        <w:t xml:space="preserve"> </w:t>
      </w:r>
      <w:r w:rsidR="00F32B28" w:rsidRPr="00F32B28">
        <w:rPr>
          <w:rtl/>
          <w:lang w:bidi="ar-SY"/>
        </w:rPr>
        <w:t>المنصوبة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المدن</w:t>
      </w:r>
      <w:r w:rsidR="00F32B28">
        <w:rPr>
          <w:rtl/>
          <w:lang w:bidi="ar-SY"/>
        </w:rPr>
        <w:t xml:space="preserve"> </w:t>
      </w:r>
      <w:r w:rsidR="00F32B28" w:rsidRPr="00F32B28">
        <w:rPr>
          <w:rtl/>
          <w:lang w:bidi="ar-SY"/>
        </w:rPr>
        <w:t>والقرى،</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تعيق</w:t>
      </w:r>
      <w:r w:rsidR="00F32B28">
        <w:rPr>
          <w:rtl/>
          <w:lang w:bidi="ar-SY"/>
        </w:rPr>
        <w:t xml:space="preserve"> </w:t>
      </w:r>
      <w:r w:rsidR="00F32B28" w:rsidRPr="00F32B28">
        <w:rPr>
          <w:rtl/>
          <w:lang w:bidi="ar-SY"/>
        </w:rPr>
        <w:t>حركة</w:t>
      </w:r>
      <w:r w:rsidR="00F32B28">
        <w:rPr>
          <w:rtl/>
          <w:lang w:bidi="ar-SY"/>
        </w:rPr>
        <w:t xml:space="preserve"> </w:t>
      </w:r>
      <w:r w:rsidR="00F32B28" w:rsidRPr="00F32B28">
        <w:rPr>
          <w:rtl/>
          <w:lang w:bidi="ar-SY"/>
        </w:rPr>
        <w:t>الفلسطينيين،</w:t>
      </w:r>
      <w:r w:rsidR="00F32B28" w:rsidRPr="00F32B28">
        <w:rPr>
          <w:rtl/>
        </w:rPr>
        <w:t>لا</w:t>
      </w:r>
      <w:r w:rsidR="00F32B28">
        <w:rPr>
          <w:rtl/>
        </w:rPr>
        <w:t xml:space="preserve"> </w:t>
      </w:r>
      <w:r w:rsidR="00F32B28" w:rsidRPr="00F32B28">
        <w:rPr>
          <w:rtl/>
        </w:rPr>
        <w:t>سيما</w:t>
      </w:r>
      <w:r w:rsidR="00F32B28">
        <w:rPr>
          <w:rtl/>
        </w:rPr>
        <w:t xml:space="preserve"> </w:t>
      </w:r>
      <w:r w:rsidR="00F32B28" w:rsidRPr="00F32B28">
        <w:rPr>
          <w:rtl/>
        </w:rPr>
        <w:t>أمام</w:t>
      </w:r>
      <w:r w:rsidR="00F32B28">
        <w:rPr>
          <w:rtl/>
        </w:rPr>
        <w:t xml:space="preserve"> </w:t>
      </w:r>
      <w:r w:rsidR="00F32B28" w:rsidRPr="00F32B28">
        <w:rPr>
          <w:rtl/>
        </w:rPr>
        <w:t>الفئات</w:t>
      </w:r>
      <w:r w:rsidR="00F32B28">
        <w:rPr>
          <w:rtl/>
        </w:rPr>
        <w:t xml:space="preserve"> </w:t>
      </w:r>
      <w:r w:rsidR="00F32B28" w:rsidRPr="00F32B28">
        <w:rPr>
          <w:rtl/>
        </w:rPr>
        <w:t>التي</w:t>
      </w:r>
      <w:r w:rsidR="00F32B28">
        <w:rPr>
          <w:rtl/>
        </w:rPr>
        <w:t xml:space="preserve"> </w:t>
      </w:r>
      <w:r w:rsidR="00F32B28" w:rsidRPr="00F32B28">
        <w:rPr>
          <w:rtl/>
        </w:rPr>
        <w:t>تواجه</w:t>
      </w:r>
      <w:r>
        <w:rPr>
          <w:rFonts w:hint="cs"/>
          <w:rtl/>
        </w:rPr>
        <w:t xml:space="preserve"> </w:t>
      </w:r>
      <w:r w:rsidR="00F32B28" w:rsidRPr="00F32B28">
        <w:rPr>
          <w:rtl/>
        </w:rPr>
        <w:t>صعوبة</w:t>
      </w:r>
      <w:r w:rsidR="00F32B28">
        <w:rPr>
          <w:rtl/>
        </w:rPr>
        <w:t xml:space="preserve"> </w:t>
      </w:r>
      <w:r w:rsidR="00F32B28" w:rsidRPr="00F32B28">
        <w:rPr>
          <w:rtl/>
        </w:rPr>
        <w:t>في</w:t>
      </w:r>
      <w:r w:rsidR="00F32B28">
        <w:rPr>
          <w:rtl/>
        </w:rPr>
        <w:t xml:space="preserve"> </w:t>
      </w:r>
      <w:r w:rsidR="00F32B28" w:rsidRPr="00F32B28">
        <w:rPr>
          <w:rtl/>
        </w:rPr>
        <w:t>تجاوزها،</w:t>
      </w:r>
      <w:r w:rsidR="00F32B28">
        <w:rPr>
          <w:rtl/>
        </w:rPr>
        <w:t xml:space="preserve"> </w:t>
      </w:r>
      <w:r w:rsidR="00F32B28" w:rsidRPr="00F32B28">
        <w:rPr>
          <w:rtl/>
        </w:rPr>
        <w:t>كالمرضى،</w:t>
      </w:r>
      <w:r w:rsidR="00F32B28">
        <w:rPr>
          <w:rtl/>
        </w:rPr>
        <w:t xml:space="preserve"> </w:t>
      </w:r>
      <w:r w:rsidR="00F32B28" w:rsidRPr="00F32B28">
        <w:rPr>
          <w:rtl/>
        </w:rPr>
        <w:t>والمسنون،</w:t>
      </w:r>
      <w:r w:rsidR="00F32B28">
        <w:rPr>
          <w:rtl/>
        </w:rPr>
        <w:t xml:space="preserve"> </w:t>
      </w:r>
      <w:r w:rsidR="00F32B28" w:rsidRPr="00F32B28">
        <w:rPr>
          <w:rtl/>
        </w:rPr>
        <w:t>والنساء</w:t>
      </w:r>
      <w:r w:rsidR="00F32B28">
        <w:rPr>
          <w:rtl/>
        </w:rPr>
        <w:t xml:space="preserve"> </w:t>
      </w:r>
      <w:r w:rsidR="00F32B28" w:rsidRPr="00F32B28">
        <w:rPr>
          <w:rtl/>
        </w:rPr>
        <w:t>الحوامل،</w:t>
      </w:r>
      <w:r w:rsidR="00F32B28">
        <w:rPr>
          <w:rtl/>
        </w:rPr>
        <w:t xml:space="preserve"> </w:t>
      </w:r>
      <w:r w:rsidR="00F32B28" w:rsidRPr="00F32B28">
        <w:rPr>
          <w:rtl/>
        </w:rPr>
        <w:t>والأطفال.</w:t>
      </w:r>
      <w:r w:rsidR="00F32B28">
        <w:rPr>
          <w:rtl/>
        </w:rPr>
        <w:t xml:space="preserve"> </w:t>
      </w:r>
      <w:r w:rsidR="00F32B28" w:rsidRPr="00F32B28">
        <w:rPr>
          <w:rtl/>
        </w:rPr>
        <w:t>هذا</w:t>
      </w:r>
      <w:r w:rsidR="00F32B28">
        <w:rPr>
          <w:rtl/>
        </w:rPr>
        <w:t xml:space="preserve"> </w:t>
      </w:r>
      <w:r w:rsidR="00F32B28" w:rsidRPr="00F32B28">
        <w:rPr>
          <w:rtl/>
        </w:rPr>
        <w:t>بالإضافة</w:t>
      </w:r>
      <w:r w:rsidR="00F32B28">
        <w:rPr>
          <w:rtl/>
        </w:rPr>
        <w:t xml:space="preserve"> </w:t>
      </w:r>
      <w:r w:rsidR="00F32B28" w:rsidRPr="00F32B28">
        <w:rPr>
          <w:rtl/>
        </w:rPr>
        <w:t>إلى</w:t>
      </w:r>
      <w:r w:rsidR="00F32B28">
        <w:rPr>
          <w:rtl/>
        </w:rPr>
        <w:t xml:space="preserve"> </w:t>
      </w:r>
      <w:r w:rsidR="00F32B28" w:rsidRPr="00F32B28">
        <w:rPr>
          <w:rtl/>
        </w:rPr>
        <w:t>سياسة</w:t>
      </w:r>
      <w:r w:rsidR="00F32B28">
        <w:rPr>
          <w:rtl/>
        </w:rPr>
        <w:t xml:space="preserve"> </w:t>
      </w:r>
      <w:r w:rsidR="00F32B28" w:rsidRPr="00F32B28">
        <w:rPr>
          <w:rtl/>
        </w:rPr>
        <w:t>الإغلاق</w:t>
      </w:r>
      <w:r w:rsidR="00F32B28">
        <w:rPr>
          <w:rtl/>
        </w:rPr>
        <w:t xml:space="preserve"> </w:t>
      </w:r>
      <w:r w:rsidR="00F32B28" w:rsidRPr="00F32B28">
        <w:rPr>
          <w:rtl/>
        </w:rPr>
        <w:t>والشوارع</w:t>
      </w:r>
      <w:r w:rsidR="00F32B28">
        <w:rPr>
          <w:rtl/>
        </w:rPr>
        <w:t xml:space="preserve"> </w:t>
      </w:r>
      <w:r w:rsidR="00F32B28" w:rsidRPr="00F32B28">
        <w:rPr>
          <w:rtl/>
        </w:rPr>
        <w:t>الممنوعة</w:t>
      </w:r>
      <w:r w:rsidR="00F32B28">
        <w:rPr>
          <w:rtl/>
        </w:rPr>
        <w:t xml:space="preserve"> </w:t>
      </w:r>
      <w:r w:rsidR="00F32B28" w:rsidRPr="00F32B28">
        <w:rPr>
          <w:rtl/>
        </w:rPr>
        <w:t>وحظر</w:t>
      </w:r>
      <w:r w:rsidR="00F32B28">
        <w:rPr>
          <w:rtl/>
        </w:rPr>
        <w:t xml:space="preserve"> </w:t>
      </w:r>
      <w:r w:rsidR="00F32B28" w:rsidRPr="00F32B28">
        <w:rPr>
          <w:rtl/>
        </w:rPr>
        <w:t>التجول</w:t>
      </w:r>
      <w:r w:rsidR="00F32B28">
        <w:rPr>
          <w:rtl/>
        </w:rPr>
        <w:t xml:space="preserve"> </w:t>
      </w:r>
      <w:r w:rsidR="00F32B28" w:rsidRPr="00F32B28">
        <w:rPr>
          <w:rtl/>
        </w:rPr>
        <w:t>وفرض</w:t>
      </w:r>
      <w:r w:rsidR="00F32B28">
        <w:rPr>
          <w:rtl/>
        </w:rPr>
        <w:t xml:space="preserve"> </w:t>
      </w:r>
      <w:r w:rsidR="00F32B28" w:rsidRPr="00F32B28">
        <w:rPr>
          <w:rtl/>
        </w:rPr>
        <w:t>الطرق</w:t>
      </w:r>
      <w:r w:rsidR="00F32B28">
        <w:rPr>
          <w:rtl/>
        </w:rPr>
        <w:t xml:space="preserve"> </w:t>
      </w:r>
      <w:r w:rsidR="00F32B28" w:rsidRPr="00F32B28">
        <w:rPr>
          <w:rtl/>
        </w:rPr>
        <w:t>الالتفافية</w:t>
      </w:r>
      <w:r w:rsidR="00F32B28">
        <w:rPr>
          <w:rtl/>
        </w:rPr>
        <w:t xml:space="preserve"> </w:t>
      </w:r>
      <w:r w:rsidR="00F32B28" w:rsidRPr="00F32B28">
        <w:rPr>
          <w:rtl/>
        </w:rPr>
        <w:t>التي</w:t>
      </w:r>
      <w:r w:rsidR="00F32B28">
        <w:rPr>
          <w:rtl/>
        </w:rPr>
        <w:t xml:space="preserve"> </w:t>
      </w:r>
      <w:r w:rsidR="00F32B28" w:rsidRPr="00F32B28">
        <w:rPr>
          <w:rtl/>
        </w:rPr>
        <w:t>لا</w:t>
      </w:r>
      <w:r w:rsidR="00F32B28">
        <w:rPr>
          <w:rtl/>
        </w:rPr>
        <w:t xml:space="preserve"> </w:t>
      </w:r>
      <w:r w:rsidR="00F32B28" w:rsidRPr="00F32B28">
        <w:rPr>
          <w:rtl/>
        </w:rPr>
        <w:t>تنتهك</w:t>
      </w:r>
      <w:r w:rsidR="00F32B28">
        <w:rPr>
          <w:rtl/>
        </w:rPr>
        <w:t xml:space="preserve"> </w:t>
      </w:r>
      <w:r w:rsidR="00F32B28" w:rsidRPr="00F32B28">
        <w:rPr>
          <w:rtl/>
        </w:rPr>
        <w:t>فقط</w:t>
      </w:r>
      <w:r w:rsidR="00F32B28">
        <w:rPr>
          <w:rtl/>
        </w:rPr>
        <w:t xml:space="preserve"> </w:t>
      </w:r>
      <w:r w:rsidR="00F32B28" w:rsidRPr="00F32B28">
        <w:rPr>
          <w:rtl/>
        </w:rPr>
        <w:t>حق</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حرية</w:t>
      </w:r>
      <w:r w:rsidR="00F32B28">
        <w:rPr>
          <w:rtl/>
        </w:rPr>
        <w:t xml:space="preserve"> </w:t>
      </w:r>
      <w:r w:rsidR="00F32B28" w:rsidRPr="00F32B28">
        <w:rPr>
          <w:rtl/>
        </w:rPr>
        <w:t>التنقل</w:t>
      </w:r>
      <w:r w:rsidR="00F32B28">
        <w:rPr>
          <w:rtl/>
        </w:rPr>
        <w:t xml:space="preserve"> </w:t>
      </w:r>
      <w:r w:rsidR="00F32B28" w:rsidRPr="00F32B28">
        <w:rPr>
          <w:rtl/>
        </w:rPr>
        <w:t>بل</w:t>
      </w:r>
      <w:r w:rsidR="00F32B28">
        <w:rPr>
          <w:rtl/>
        </w:rPr>
        <w:t xml:space="preserve"> </w:t>
      </w:r>
      <w:r w:rsidR="00F32B28" w:rsidRPr="00F32B28">
        <w:rPr>
          <w:rtl/>
          <w:lang w:bidi="ar-JO"/>
        </w:rPr>
        <w:t>وتؤدي</w:t>
      </w:r>
      <w:r w:rsidR="00F32B28">
        <w:rPr>
          <w:rtl/>
          <w:lang w:bidi="ar-JO"/>
        </w:rPr>
        <w:t xml:space="preserve"> </w:t>
      </w:r>
      <w:r w:rsidR="00F32B28" w:rsidRPr="00F32B28">
        <w:rPr>
          <w:rtl/>
        </w:rPr>
        <w:t>إلى</w:t>
      </w:r>
      <w:r w:rsidR="00F32B28">
        <w:rPr>
          <w:rtl/>
        </w:rPr>
        <w:t xml:space="preserve"> </w:t>
      </w:r>
      <w:r w:rsidR="00F32B28" w:rsidRPr="00F32B28">
        <w:rPr>
          <w:rtl/>
        </w:rPr>
        <w:t>عزل</w:t>
      </w:r>
      <w:r w:rsidR="00F32B28">
        <w:rPr>
          <w:rtl/>
        </w:rPr>
        <w:t xml:space="preserve"> </w:t>
      </w:r>
      <w:r w:rsidR="00F32B28" w:rsidRPr="00F32B28">
        <w:rPr>
          <w:rtl/>
        </w:rPr>
        <w:t>التجمعات</w:t>
      </w:r>
      <w:r w:rsidR="00F32B28">
        <w:rPr>
          <w:rtl/>
        </w:rPr>
        <w:t xml:space="preserve"> </w:t>
      </w:r>
      <w:r w:rsidR="00F32B28" w:rsidRPr="00F32B28">
        <w:rPr>
          <w:rtl/>
        </w:rPr>
        <w:t>الفلسطينية</w:t>
      </w:r>
      <w:r w:rsidR="00F32B28">
        <w:rPr>
          <w:rtl/>
        </w:rPr>
        <w:t xml:space="preserve"> </w:t>
      </w:r>
      <w:r w:rsidR="00F32B28" w:rsidRPr="00F32B28">
        <w:rPr>
          <w:rtl/>
        </w:rPr>
        <w:t>وتقطيع</w:t>
      </w:r>
      <w:r w:rsidR="00F32B28">
        <w:rPr>
          <w:rtl/>
        </w:rPr>
        <w:t xml:space="preserve"> </w:t>
      </w:r>
      <w:r w:rsidR="00F32B28" w:rsidRPr="00F32B28">
        <w:rPr>
          <w:rtl/>
        </w:rPr>
        <w:t>التواصل</w:t>
      </w:r>
      <w:r w:rsidR="00F32B28">
        <w:rPr>
          <w:rtl/>
        </w:rPr>
        <w:t xml:space="preserve"> </w:t>
      </w:r>
      <w:r w:rsidR="00F32B28" w:rsidRPr="00F32B28">
        <w:rPr>
          <w:rtl/>
        </w:rPr>
        <w:t>الجغرافي</w:t>
      </w:r>
      <w:r w:rsidR="00F32B28">
        <w:rPr>
          <w:rtl/>
        </w:rPr>
        <w:t xml:space="preserve"> </w:t>
      </w:r>
      <w:r w:rsidR="00F32B28" w:rsidRPr="00F32B28">
        <w:rPr>
          <w:rtl/>
        </w:rPr>
        <w:t>الطبيعي</w:t>
      </w:r>
      <w:r w:rsidR="00F32B28">
        <w:rPr>
          <w:rtl/>
        </w:rPr>
        <w:t xml:space="preserve"> </w:t>
      </w:r>
      <w:r w:rsidR="00F32B28" w:rsidRPr="00F32B28">
        <w:rPr>
          <w:rtl/>
        </w:rPr>
        <w:t>للأرض</w:t>
      </w:r>
      <w:r w:rsidR="00F32B28">
        <w:rPr>
          <w:rtl/>
        </w:rPr>
        <w:t xml:space="preserve"> </w:t>
      </w:r>
      <w:r w:rsidR="00F32B28" w:rsidRPr="00F32B28">
        <w:rPr>
          <w:rtl/>
        </w:rPr>
        <w:t>الفلسطينية</w:t>
      </w:r>
      <w:r w:rsidR="00F32B28">
        <w:rPr>
          <w:rtl/>
        </w:rPr>
        <w:t xml:space="preserve"> </w:t>
      </w:r>
      <w:r w:rsidR="00F32B28" w:rsidRPr="00F32B28">
        <w:rPr>
          <w:rtl/>
        </w:rPr>
        <w:t>وتفتيتها.</w:t>
      </w:r>
    </w:p>
    <w:p w:rsidR="00F32B28" w:rsidRPr="00F32B28" w:rsidRDefault="00891A4B" w:rsidP="00891A4B">
      <w:pPr>
        <w:pStyle w:val="SingleTxt"/>
      </w:pPr>
      <w:r>
        <w:rPr>
          <w:rFonts w:hint="cs"/>
          <w:rtl/>
        </w:rPr>
        <w:t xml:space="preserve">318 - </w:t>
      </w:r>
      <w:r w:rsidR="00F32B28" w:rsidRPr="00F32B28">
        <w:rPr>
          <w:rtl/>
        </w:rPr>
        <w:t>كما</w:t>
      </w:r>
      <w:r w:rsidR="00F32B28">
        <w:rPr>
          <w:rtl/>
        </w:rPr>
        <w:t xml:space="preserve"> </w:t>
      </w:r>
      <w:r w:rsidR="00F32B28" w:rsidRPr="00F32B28">
        <w:rPr>
          <w:rtl/>
        </w:rPr>
        <w:t>يحظر</w:t>
      </w:r>
      <w:r w:rsidR="00F32B28">
        <w:rPr>
          <w:rtl/>
        </w:rPr>
        <w:t xml:space="preserve"> </w:t>
      </w:r>
      <w:r w:rsidR="00F32B28" w:rsidRPr="00F32B28">
        <w:rPr>
          <w:rtl/>
        </w:rPr>
        <w:t>على</w:t>
      </w:r>
      <w:r w:rsidR="00F32B28">
        <w:rPr>
          <w:rtl/>
        </w:rPr>
        <w:t xml:space="preserve"> </w:t>
      </w:r>
      <w:r w:rsidR="00F32B28" w:rsidRPr="00F32B28">
        <w:rPr>
          <w:rtl/>
        </w:rPr>
        <w:t>أربعة</w:t>
      </w:r>
      <w:r w:rsidR="00F32B28">
        <w:rPr>
          <w:rtl/>
        </w:rPr>
        <w:t xml:space="preserve"> </w:t>
      </w:r>
      <w:r w:rsidR="00F32B28" w:rsidRPr="00F32B28">
        <w:rPr>
          <w:rtl/>
        </w:rPr>
        <w:t>ملايين</w:t>
      </w:r>
      <w:r w:rsidR="00F32B28">
        <w:rPr>
          <w:rtl/>
        </w:rPr>
        <w:t xml:space="preserve"> </w:t>
      </w:r>
      <w:r w:rsidR="00F32B28" w:rsidRPr="00F32B28">
        <w:rPr>
          <w:rtl/>
        </w:rPr>
        <w:t>فلسطينية</w:t>
      </w:r>
      <w:r w:rsidR="00F32B28">
        <w:rPr>
          <w:rtl/>
        </w:rPr>
        <w:t xml:space="preserve"> </w:t>
      </w:r>
      <w:r w:rsidR="00F32B28" w:rsidRPr="00F32B28">
        <w:rPr>
          <w:rtl/>
        </w:rPr>
        <w:t>وفلسطيني</w:t>
      </w:r>
      <w:r w:rsidR="00F32B28">
        <w:rPr>
          <w:rtl/>
        </w:rPr>
        <w:t xml:space="preserve"> </w:t>
      </w:r>
      <w:r w:rsidR="00F32B28" w:rsidRPr="00F32B28">
        <w:rPr>
          <w:rtl/>
        </w:rPr>
        <w:t>من</w:t>
      </w:r>
      <w:r w:rsidR="00F32B28">
        <w:rPr>
          <w:rtl/>
        </w:rPr>
        <w:t xml:space="preserve"> </w:t>
      </w:r>
      <w:r w:rsidR="00F32B28" w:rsidRPr="00F32B28">
        <w:rPr>
          <w:rtl/>
        </w:rPr>
        <w:t>باقي</w:t>
      </w:r>
      <w:r w:rsidR="00F32B28">
        <w:rPr>
          <w:rtl/>
        </w:rPr>
        <w:t xml:space="preserve"> </w:t>
      </w:r>
      <w:r w:rsidR="00F32B28" w:rsidRPr="00F32B28">
        <w:rPr>
          <w:rtl/>
        </w:rPr>
        <w:t>أرض</w:t>
      </w:r>
      <w:r w:rsidR="00F32B28">
        <w:rPr>
          <w:rtl/>
        </w:rPr>
        <w:t xml:space="preserve"> </w:t>
      </w:r>
      <w:r w:rsidR="00F32B28" w:rsidRPr="00F32B28">
        <w:rPr>
          <w:rtl/>
        </w:rPr>
        <w:t>دولة</w:t>
      </w:r>
      <w:r w:rsidR="00F32B28">
        <w:rPr>
          <w:rtl/>
        </w:rPr>
        <w:t xml:space="preserve"> </w:t>
      </w:r>
      <w:r w:rsidR="00F32B28" w:rsidRPr="00F32B28">
        <w:rPr>
          <w:rtl/>
        </w:rPr>
        <w:t>فلسطين</w:t>
      </w:r>
      <w:r w:rsidR="00F32B28">
        <w:rPr>
          <w:rtl/>
        </w:rPr>
        <w:t xml:space="preserve"> </w:t>
      </w:r>
      <w:r w:rsidR="00F32B28" w:rsidRPr="00F32B28">
        <w:rPr>
          <w:rtl/>
        </w:rPr>
        <w:t>المحتلة</w:t>
      </w:r>
      <w:r w:rsidR="00F32B28">
        <w:rPr>
          <w:rtl/>
        </w:rPr>
        <w:t xml:space="preserve"> </w:t>
      </w:r>
      <w:r w:rsidR="00F32B28" w:rsidRPr="00F32B28">
        <w:rPr>
          <w:rtl/>
        </w:rPr>
        <w:t>الإقامة</w:t>
      </w:r>
      <w:r w:rsidR="00F32B28">
        <w:rPr>
          <w:rtl/>
        </w:rPr>
        <w:t xml:space="preserve"> </w:t>
      </w:r>
      <w:r w:rsidR="00F32B28" w:rsidRPr="00F32B28">
        <w:rPr>
          <w:rtl/>
        </w:rPr>
        <w:t>في</w:t>
      </w:r>
      <w:r w:rsidR="00F32B28">
        <w:rPr>
          <w:rtl/>
        </w:rPr>
        <w:t xml:space="preserve"> </w:t>
      </w:r>
      <w:r w:rsidR="00F32B28" w:rsidRPr="00F32B28">
        <w:rPr>
          <w:rtl/>
        </w:rPr>
        <w:t>القدس</w:t>
      </w:r>
      <w:r w:rsidR="00F32B28">
        <w:rPr>
          <w:rtl/>
        </w:rPr>
        <w:t xml:space="preserve"> </w:t>
      </w:r>
      <w:r w:rsidR="00F32B28" w:rsidRPr="00F32B28">
        <w:rPr>
          <w:rtl/>
        </w:rPr>
        <w:t>الشرقية،</w:t>
      </w:r>
      <w:r w:rsidR="00F32B28">
        <w:rPr>
          <w:rtl/>
        </w:rPr>
        <w:t xml:space="preserve"> </w:t>
      </w:r>
      <w:r w:rsidR="00F32B28" w:rsidRPr="00F32B28">
        <w:rPr>
          <w:rtl/>
          <w:lang w:bidi="ar-SY"/>
        </w:rPr>
        <w:t>عاصمة</w:t>
      </w:r>
      <w:r w:rsidR="00F32B28">
        <w:rPr>
          <w:rtl/>
          <w:lang w:bidi="ar-SY"/>
        </w:rPr>
        <w:t xml:space="preserve"> </w:t>
      </w:r>
      <w:r w:rsidR="00F32B28" w:rsidRPr="00F32B28">
        <w:rPr>
          <w:rtl/>
          <w:lang w:bidi="ar-SY"/>
        </w:rPr>
        <w:t>دولة</w:t>
      </w:r>
      <w:r w:rsidR="00F32B28">
        <w:rPr>
          <w:rtl/>
          <w:lang w:bidi="ar-SY"/>
        </w:rPr>
        <w:t xml:space="preserve"> </w:t>
      </w:r>
      <w:r w:rsidR="00F32B28" w:rsidRPr="00F32B28">
        <w:rPr>
          <w:rtl/>
          <w:lang w:bidi="ar-SY"/>
        </w:rPr>
        <w:t>فلسطين</w:t>
      </w:r>
      <w:r w:rsidR="00F32B28">
        <w:rPr>
          <w:rtl/>
          <w:lang w:bidi="ar-SY"/>
        </w:rPr>
        <w:t xml:space="preserve"> </w:t>
      </w:r>
      <w:r w:rsidR="00F32B28" w:rsidRPr="00F32B28">
        <w:rPr>
          <w:rtl/>
          <w:lang w:bidi="ar-SY"/>
        </w:rPr>
        <w:t>وجزء</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يتجزأ</w:t>
      </w:r>
      <w:r w:rsidR="00F32B28">
        <w:rPr>
          <w:rtl/>
          <w:lang w:bidi="ar-SY"/>
        </w:rPr>
        <w:t xml:space="preserve"> </w:t>
      </w:r>
      <w:r w:rsidR="00F32B28" w:rsidRPr="00F32B28">
        <w:rPr>
          <w:rtl/>
          <w:lang w:bidi="ar-SY"/>
        </w:rPr>
        <w:t>منها،</w:t>
      </w:r>
      <w:r w:rsidR="00F32B28">
        <w:rPr>
          <w:rtl/>
          <w:lang w:bidi="ar-SY"/>
        </w:rPr>
        <w:t xml:space="preserve"> </w:t>
      </w:r>
      <w:r w:rsidR="00F32B28" w:rsidRPr="00F32B28">
        <w:rPr>
          <w:rtl/>
        </w:rPr>
        <w:t>أو</w:t>
      </w:r>
      <w:r w:rsidR="00F32B28">
        <w:rPr>
          <w:rtl/>
        </w:rPr>
        <w:t xml:space="preserve"> </w:t>
      </w:r>
      <w:r w:rsidR="00F32B28" w:rsidRPr="00F32B28">
        <w:rPr>
          <w:rtl/>
        </w:rPr>
        <w:t>الدخول</w:t>
      </w:r>
      <w:r w:rsidR="00F32B28">
        <w:rPr>
          <w:rtl/>
        </w:rPr>
        <w:t xml:space="preserve"> </w:t>
      </w:r>
      <w:r w:rsidR="00F32B28" w:rsidRPr="00F32B28">
        <w:rPr>
          <w:rtl/>
        </w:rPr>
        <w:t>إليها</w:t>
      </w:r>
      <w:r w:rsidR="00F32B28">
        <w:rPr>
          <w:rtl/>
        </w:rPr>
        <w:t xml:space="preserve"> </w:t>
      </w:r>
      <w:r w:rsidR="00F32B28" w:rsidRPr="00F32B28">
        <w:rPr>
          <w:rtl/>
        </w:rPr>
        <w:t>بدون</w:t>
      </w:r>
      <w:r w:rsidR="00F32B28">
        <w:rPr>
          <w:rtl/>
        </w:rPr>
        <w:t xml:space="preserve"> </w:t>
      </w:r>
      <w:r w:rsidR="00F32B28" w:rsidRPr="00F32B28">
        <w:rPr>
          <w:rtl/>
        </w:rPr>
        <w:t>تصاريح</w:t>
      </w:r>
      <w:r w:rsidR="00F32B28">
        <w:rPr>
          <w:rtl/>
        </w:rPr>
        <w:t xml:space="preserve"> </w:t>
      </w:r>
      <w:r w:rsidR="00F32B28" w:rsidRPr="00F32B28">
        <w:rPr>
          <w:rtl/>
        </w:rPr>
        <w:t>مؤقتة</w:t>
      </w:r>
      <w:r w:rsidR="00F32B28">
        <w:rPr>
          <w:rtl/>
        </w:rPr>
        <w:t xml:space="preserve"> </w:t>
      </w:r>
      <w:r w:rsidR="00F32B28" w:rsidRPr="00F32B28">
        <w:rPr>
          <w:rtl/>
        </w:rPr>
        <w:t>يصعب</w:t>
      </w:r>
      <w:r w:rsidR="00F32B28">
        <w:rPr>
          <w:rtl/>
        </w:rPr>
        <w:t xml:space="preserve"> </w:t>
      </w:r>
      <w:r w:rsidR="00F32B28" w:rsidRPr="00F32B28">
        <w:rPr>
          <w:rtl/>
        </w:rPr>
        <w:t>الحصول</w:t>
      </w:r>
      <w:r w:rsidR="00F32B28">
        <w:rPr>
          <w:rtl/>
        </w:rPr>
        <w:t xml:space="preserve"> </w:t>
      </w:r>
      <w:r w:rsidR="00F32B28" w:rsidRPr="00F32B28">
        <w:rPr>
          <w:rtl/>
        </w:rPr>
        <w:t>عليها.</w:t>
      </w:r>
      <w:r w:rsidR="00F32B28">
        <w:rPr>
          <w:rtl/>
        </w:rPr>
        <w:t xml:space="preserve"> </w:t>
      </w:r>
      <w:r w:rsidR="00F32B28" w:rsidRPr="00F32B28">
        <w:rPr>
          <w:rtl/>
        </w:rPr>
        <w:t>وقد</w:t>
      </w:r>
      <w:r>
        <w:rPr>
          <w:rFonts w:hint="cs"/>
          <w:rtl/>
        </w:rPr>
        <w:t xml:space="preserve"> </w:t>
      </w:r>
      <w:r w:rsidR="00F32B28" w:rsidRPr="00F32B28">
        <w:rPr>
          <w:rtl/>
        </w:rPr>
        <w:t>انتهك</w:t>
      </w:r>
      <w:r w:rsidR="00F32B28">
        <w:rPr>
          <w:rtl/>
        </w:rPr>
        <w:t xml:space="preserve"> </w:t>
      </w:r>
      <w:r w:rsidR="00F32B28" w:rsidRPr="00F32B28">
        <w:rPr>
          <w:rtl/>
        </w:rPr>
        <w:t>حق</w:t>
      </w:r>
      <w:r w:rsidR="00F32B28">
        <w:rPr>
          <w:rtl/>
        </w:rPr>
        <w:t xml:space="preserve"> </w:t>
      </w:r>
      <w:r w:rsidR="00F32B28" w:rsidRPr="00F32B28">
        <w:rPr>
          <w:rtl/>
        </w:rPr>
        <w:t>الفلسطينيين</w:t>
      </w:r>
      <w:r w:rsidR="00F32B28">
        <w:rPr>
          <w:rtl/>
        </w:rPr>
        <w:t xml:space="preserve"> </w:t>
      </w:r>
      <w:r w:rsidR="00F32B28" w:rsidRPr="00F32B28">
        <w:rPr>
          <w:rtl/>
        </w:rPr>
        <w:t>في</w:t>
      </w:r>
      <w:r w:rsidR="00F32B28">
        <w:rPr>
          <w:rtl/>
        </w:rPr>
        <w:t xml:space="preserve"> </w:t>
      </w:r>
      <w:r w:rsidR="00F32B28" w:rsidRPr="00F32B28">
        <w:rPr>
          <w:rtl/>
        </w:rPr>
        <w:t>التنقل</w:t>
      </w:r>
      <w:r w:rsidR="00F32B28">
        <w:rPr>
          <w:rtl/>
        </w:rPr>
        <w:t xml:space="preserve"> </w:t>
      </w:r>
      <w:r w:rsidR="00F32B28" w:rsidRPr="00F32B28">
        <w:rPr>
          <w:rtl/>
        </w:rPr>
        <w:t>والوصول</w:t>
      </w:r>
      <w:r w:rsidR="00F32B28">
        <w:rPr>
          <w:rtl/>
        </w:rPr>
        <w:t xml:space="preserve"> </w:t>
      </w:r>
      <w:r w:rsidR="00F32B28" w:rsidRPr="00F32B28">
        <w:rPr>
          <w:rtl/>
        </w:rPr>
        <w:t>إلى</w:t>
      </w:r>
      <w:r w:rsidR="00F32B28">
        <w:rPr>
          <w:rtl/>
        </w:rPr>
        <w:t xml:space="preserve"> </w:t>
      </w:r>
      <w:r w:rsidR="00F32B28" w:rsidRPr="00F32B28">
        <w:rPr>
          <w:rtl/>
        </w:rPr>
        <w:t>القدس</w:t>
      </w:r>
      <w:r w:rsidR="00F32B28">
        <w:rPr>
          <w:rtl/>
        </w:rPr>
        <w:t xml:space="preserve"> </w:t>
      </w:r>
      <w:r w:rsidR="00F32B28" w:rsidRPr="00F32B28">
        <w:rPr>
          <w:rtl/>
        </w:rPr>
        <w:t>بصورة</w:t>
      </w:r>
      <w:r w:rsidR="00F32B28">
        <w:rPr>
          <w:rtl/>
        </w:rPr>
        <w:t xml:space="preserve"> </w:t>
      </w:r>
      <w:r w:rsidR="00F32B28" w:rsidRPr="00F32B28">
        <w:rPr>
          <w:rtl/>
        </w:rPr>
        <w:t>أكثر</w:t>
      </w:r>
      <w:r w:rsidR="00F32B28">
        <w:rPr>
          <w:rtl/>
        </w:rPr>
        <w:t xml:space="preserve"> </w:t>
      </w:r>
      <w:r w:rsidR="00F32B28" w:rsidRPr="00F32B28">
        <w:rPr>
          <w:rtl/>
        </w:rPr>
        <w:t>شدة</w:t>
      </w:r>
      <w:r w:rsidR="00F32B28">
        <w:rPr>
          <w:rtl/>
        </w:rPr>
        <w:t xml:space="preserve"> </w:t>
      </w:r>
      <w:r w:rsidR="00F32B28" w:rsidRPr="00F32B28">
        <w:rPr>
          <w:rtl/>
        </w:rPr>
        <w:t>وصرامة</w:t>
      </w:r>
      <w:r w:rsidR="00F32B28">
        <w:rPr>
          <w:rtl/>
        </w:rPr>
        <w:t xml:space="preserve"> </w:t>
      </w:r>
      <w:r w:rsidR="00F32B28" w:rsidRPr="00F32B28">
        <w:rPr>
          <w:rtl/>
        </w:rPr>
        <w:t>في</w:t>
      </w:r>
      <w:r w:rsidR="00F32B28">
        <w:rPr>
          <w:rtl/>
        </w:rPr>
        <w:t xml:space="preserve"> </w:t>
      </w:r>
      <w:r w:rsidR="00F32B28" w:rsidRPr="00F32B28">
        <w:rPr>
          <w:rtl/>
        </w:rPr>
        <w:t>أعقاب</w:t>
      </w:r>
      <w:r w:rsidR="00F32B28">
        <w:rPr>
          <w:rtl/>
        </w:rPr>
        <w:t xml:space="preserve"> </w:t>
      </w:r>
      <w:r w:rsidR="00F32B28" w:rsidRPr="00F32B28">
        <w:rPr>
          <w:rtl/>
        </w:rPr>
        <w:t>بناء</w:t>
      </w:r>
      <w:r w:rsidR="00F32B28">
        <w:rPr>
          <w:rtl/>
        </w:rPr>
        <w:t xml:space="preserve"> </w:t>
      </w:r>
      <w:r w:rsidR="00F32B28" w:rsidRPr="00F32B28">
        <w:rPr>
          <w:rtl/>
        </w:rPr>
        <w:t>جدار</w:t>
      </w:r>
      <w:r w:rsidR="00F32B28">
        <w:rPr>
          <w:rtl/>
        </w:rPr>
        <w:t xml:space="preserve"> </w:t>
      </w:r>
      <w:r w:rsidR="00F32B28" w:rsidRPr="00F32B28">
        <w:rPr>
          <w:rtl/>
        </w:rPr>
        <w:t>الضم</w:t>
      </w:r>
      <w:r w:rsidR="00F32B28">
        <w:rPr>
          <w:rtl/>
        </w:rPr>
        <w:t xml:space="preserve"> </w:t>
      </w:r>
      <w:r w:rsidR="00F32B28" w:rsidRPr="00F32B28">
        <w:rPr>
          <w:rtl/>
        </w:rPr>
        <w:t>والتوسع</w:t>
      </w:r>
      <w:r w:rsidR="00F32B28">
        <w:rPr>
          <w:rtl/>
        </w:rPr>
        <w:t xml:space="preserve"> </w:t>
      </w:r>
      <w:r w:rsidR="00F32B28" w:rsidRPr="00F32B28">
        <w:rPr>
          <w:rtl/>
        </w:rPr>
        <w:t>غير</w:t>
      </w:r>
      <w:r w:rsidR="00F32B28">
        <w:rPr>
          <w:rtl/>
        </w:rPr>
        <w:t xml:space="preserve"> </w:t>
      </w:r>
      <w:r w:rsidR="00F32B28" w:rsidRPr="00F32B28">
        <w:rPr>
          <w:rtl/>
        </w:rPr>
        <w:t>الشرعي</w:t>
      </w:r>
      <w:r w:rsidR="00F32B28">
        <w:rPr>
          <w:rtl/>
        </w:rPr>
        <w:t xml:space="preserve"> </w:t>
      </w:r>
      <w:r w:rsidR="00F32B28" w:rsidRPr="00F32B28">
        <w:rPr>
          <w:rtl/>
        </w:rPr>
        <w:t>حول</w:t>
      </w:r>
      <w:r w:rsidR="00F32B28">
        <w:rPr>
          <w:rtl/>
        </w:rPr>
        <w:t xml:space="preserve"> </w:t>
      </w:r>
      <w:r w:rsidR="00F32B28" w:rsidRPr="00F32B28">
        <w:rPr>
          <w:rtl/>
        </w:rPr>
        <w:t>المدينة</w:t>
      </w:r>
      <w:r w:rsidR="00F32B28" w:rsidRPr="00F32B28">
        <w:rPr>
          <w:rtl/>
          <w:lang w:bidi="ar-SY"/>
        </w:rPr>
        <w:t>،</w:t>
      </w:r>
      <w:r w:rsidR="00F32B28">
        <w:rPr>
          <w:rtl/>
          <w:lang w:bidi="ar-SY"/>
        </w:rPr>
        <w:t xml:space="preserve"> </w:t>
      </w:r>
      <w:r w:rsidR="00F32B28" w:rsidRPr="00F32B28">
        <w:rPr>
          <w:rtl/>
          <w:lang w:bidi="ar-SY"/>
        </w:rPr>
        <w:t>والذي</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يزال،</w:t>
      </w:r>
      <w:r w:rsidR="00F32B28">
        <w:rPr>
          <w:rtl/>
          <w:lang w:bidi="ar-SY"/>
        </w:rPr>
        <w:t xml:space="preserve"> </w:t>
      </w:r>
      <w:r w:rsidR="00F32B28" w:rsidRPr="00F32B28">
        <w:rPr>
          <w:rtl/>
          <w:lang w:bidi="ar-SY"/>
        </w:rPr>
        <w:t>وبالتوازي</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نظام</w:t>
      </w:r>
      <w:r w:rsidR="00F32B28">
        <w:rPr>
          <w:rtl/>
          <w:lang w:bidi="ar-SY"/>
        </w:rPr>
        <w:t xml:space="preserve"> </w:t>
      </w:r>
      <w:r w:rsidR="00F32B28" w:rsidRPr="00F32B28">
        <w:rPr>
          <w:rtl/>
          <w:lang w:bidi="ar-SY"/>
        </w:rPr>
        <w:t>البوابات</w:t>
      </w:r>
      <w:r w:rsidR="00F32B28">
        <w:rPr>
          <w:rtl/>
          <w:lang w:bidi="ar-SY"/>
        </w:rPr>
        <w:t xml:space="preserve"> </w:t>
      </w:r>
      <w:r w:rsidR="00F32B28" w:rsidRPr="00F32B28">
        <w:rPr>
          <w:rtl/>
          <w:lang w:bidi="ar-SY"/>
        </w:rPr>
        <w:t>والتصاريح</w:t>
      </w:r>
      <w:r>
        <w:rPr>
          <w:rFonts w:hint="cs"/>
          <w:rtl/>
          <w:lang w:bidi="ar-SY"/>
        </w:rPr>
        <w:t xml:space="preserve"> </w:t>
      </w:r>
      <w:r w:rsidR="00F32B28" w:rsidRPr="00F32B28">
        <w:rPr>
          <w:rtl/>
          <w:lang w:bidi="ar-SY"/>
        </w:rPr>
        <w:t>الخاص</w:t>
      </w:r>
      <w:r w:rsidR="00F32B28">
        <w:rPr>
          <w:rtl/>
          <w:lang w:bidi="ar-SY"/>
        </w:rPr>
        <w:t xml:space="preserve"> </w:t>
      </w:r>
      <w:r w:rsidR="00F32B28" w:rsidRPr="00F32B28">
        <w:rPr>
          <w:rtl/>
          <w:lang w:bidi="ar-SY"/>
        </w:rPr>
        <w:t>به،</w:t>
      </w:r>
      <w:r w:rsidR="00F32B28">
        <w:rPr>
          <w:rtl/>
          <w:lang w:bidi="ar-SY"/>
        </w:rPr>
        <w:t xml:space="preserve"> </w:t>
      </w:r>
      <w:r w:rsidR="00F32B28" w:rsidRPr="00F32B28">
        <w:rPr>
          <w:rtl/>
          <w:lang w:bidi="ar-SY"/>
        </w:rPr>
        <w:t>يشكل</w:t>
      </w:r>
      <w:r w:rsidR="00F32B28">
        <w:rPr>
          <w:rtl/>
          <w:lang w:bidi="ar-SY"/>
        </w:rPr>
        <w:t xml:space="preserve"> </w:t>
      </w:r>
      <w:r w:rsidR="00F32B28" w:rsidRPr="00F32B28">
        <w:rPr>
          <w:rtl/>
          <w:lang w:bidi="ar-SY"/>
        </w:rPr>
        <w:t>أكبر</w:t>
      </w:r>
      <w:r w:rsidR="00F32B28">
        <w:rPr>
          <w:rtl/>
          <w:lang w:bidi="ar-SY"/>
        </w:rPr>
        <w:t xml:space="preserve"> </w:t>
      </w:r>
      <w:r w:rsidR="00F32B28" w:rsidRPr="00F32B28">
        <w:rPr>
          <w:rtl/>
          <w:lang w:bidi="ar-SY"/>
        </w:rPr>
        <w:t>انتهاك</w:t>
      </w:r>
      <w:r w:rsidR="00F32B28">
        <w:rPr>
          <w:rtl/>
          <w:lang w:bidi="ar-SY"/>
        </w:rPr>
        <w:t xml:space="preserve"> </w:t>
      </w:r>
      <w:r w:rsidR="00F32B28" w:rsidRPr="00F32B28">
        <w:rPr>
          <w:rtl/>
          <w:lang w:bidi="ar-SY"/>
        </w:rPr>
        <w:t>لحرية</w:t>
      </w:r>
      <w:r w:rsidR="00F32B28">
        <w:rPr>
          <w:rtl/>
          <w:lang w:bidi="ar-SY"/>
        </w:rPr>
        <w:t xml:space="preserve"> </w:t>
      </w:r>
      <w:r w:rsidR="00F32B28" w:rsidRPr="00F32B28">
        <w:rPr>
          <w:rtl/>
          <w:lang w:bidi="ar-SY"/>
        </w:rPr>
        <w:t>تنقل</w:t>
      </w:r>
      <w:r>
        <w:rPr>
          <w:rFonts w:hint="cs"/>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الإطلاق.</w:t>
      </w:r>
    </w:p>
    <w:p w:rsidR="00F32B28" w:rsidRPr="00F32B28" w:rsidRDefault="00891A4B" w:rsidP="00891A4B">
      <w:pPr>
        <w:pStyle w:val="SingleTxt"/>
      </w:pPr>
      <w:r>
        <w:rPr>
          <w:rFonts w:hint="cs"/>
          <w:rtl/>
          <w:lang w:bidi="ar-SY"/>
        </w:rPr>
        <w:t xml:space="preserve">319 - </w:t>
      </w:r>
      <w:r w:rsidR="00F32B28" w:rsidRPr="00F32B28">
        <w:rPr>
          <w:rtl/>
          <w:lang w:bidi="ar-SY"/>
        </w:rPr>
        <w:t>وللعام</w:t>
      </w:r>
      <w:r w:rsidR="00F32B28">
        <w:rPr>
          <w:rtl/>
          <w:lang w:bidi="ar-SY"/>
        </w:rPr>
        <w:t xml:space="preserve"> </w:t>
      </w:r>
      <w:r w:rsidR="00F32B28" w:rsidRPr="00F32B28">
        <w:rPr>
          <w:rtl/>
          <w:lang w:bidi="ar-SY"/>
        </w:rPr>
        <w:t>العاشر</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التوالي،</w:t>
      </w:r>
      <w:r w:rsidR="00F32B28">
        <w:rPr>
          <w:rtl/>
          <w:lang w:bidi="ar-SY"/>
        </w:rPr>
        <w:t xml:space="preserve"> </w:t>
      </w:r>
      <w:r w:rsidR="00F32B28" w:rsidRPr="00F32B28">
        <w:rPr>
          <w:rtl/>
          <w:lang w:bidi="ar-SY"/>
        </w:rPr>
        <w:t>تواصل</w:t>
      </w:r>
      <w:r w:rsidR="00F32B28">
        <w:rPr>
          <w:rtl/>
          <w:lang w:bidi="ar-SY"/>
        </w:rPr>
        <w:t xml:space="preserve"> </w:t>
      </w:r>
      <w:r w:rsidR="00F32B28" w:rsidRPr="00F32B28">
        <w:rPr>
          <w:rtl/>
          <w:lang w:bidi="ar-SY"/>
        </w:rPr>
        <w:t>إسرائيل،</w:t>
      </w:r>
      <w:r w:rsidR="00F32B28">
        <w:rPr>
          <w:rtl/>
          <w:lang w:bidi="ar-SY"/>
        </w:rPr>
        <w:t xml:space="preserve"> </w:t>
      </w:r>
      <w:r w:rsidR="00F32B28" w:rsidRPr="00F32B28">
        <w:rPr>
          <w:rtl/>
          <w:lang w:bidi="ar-SY"/>
        </w:rPr>
        <w:t>السلطة</w:t>
      </w:r>
      <w:r w:rsidR="00F32B28">
        <w:rPr>
          <w:rtl/>
          <w:lang w:bidi="ar-SY"/>
        </w:rPr>
        <w:t xml:space="preserve"> </w:t>
      </w:r>
      <w:r w:rsidR="00F32B28" w:rsidRPr="00F32B28">
        <w:rPr>
          <w:rtl/>
          <w:lang w:bidi="ar-SY"/>
        </w:rPr>
        <w:t>القائمة</w:t>
      </w:r>
      <w:r w:rsidR="00F32B28">
        <w:rPr>
          <w:rtl/>
          <w:lang w:bidi="ar-SY"/>
        </w:rPr>
        <w:t xml:space="preserve"> </w:t>
      </w:r>
      <w:r w:rsidR="00F32B28" w:rsidRPr="00F32B28">
        <w:rPr>
          <w:rtl/>
          <w:lang w:bidi="ar-SY"/>
        </w:rPr>
        <w:t>بالاحتلال،</w:t>
      </w:r>
      <w:r w:rsidR="00F32B28">
        <w:rPr>
          <w:rtl/>
          <w:lang w:bidi="ar-SY"/>
        </w:rPr>
        <w:t xml:space="preserve"> </w:t>
      </w:r>
      <w:r w:rsidR="00F32B28" w:rsidRPr="00F32B28">
        <w:rPr>
          <w:rtl/>
          <w:lang w:bidi="ar-SY"/>
        </w:rPr>
        <w:t>فرض</w:t>
      </w:r>
      <w:r w:rsidR="00F32B28">
        <w:rPr>
          <w:rtl/>
          <w:lang w:bidi="ar-SY"/>
        </w:rPr>
        <w:t xml:space="preserve"> </w:t>
      </w:r>
      <w:r w:rsidR="00F32B28" w:rsidRPr="00F32B28">
        <w:rPr>
          <w:rtl/>
          <w:lang w:bidi="ar-SY"/>
        </w:rPr>
        <w:t>الحصار</w:t>
      </w:r>
      <w:r w:rsidR="00F32B28">
        <w:rPr>
          <w:rtl/>
          <w:lang w:bidi="ar-SY"/>
        </w:rPr>
        <w:t xml:space="preserve"> </w:t>
      </w:r>
      <w:r w:rsidR="00F32B28" w:rsidRPr="00F32B28">
        <w:rPr>
          <w:rtl/>
          <w:lang w:bidi="ar-SY"/>
        </w:rPr>
        <w:t>غير</w:t>
      </w:r>
      <w:r w:rsidR="009F4D72">
        <w:rPr>
          <w:rFonts w:hint="cs"/>
          <w:rtl/>
          <w:lang w:bidi="ar-SY"/>
        </w:rPr>
        <w:t> </w:t>
      </w:r>
      <w:r w:rsidR="00F32B28" w:rsidRPr="00F32B28">
        <w:rPr>
          <w:rtl/>
          <w:lang w:bidi="ar-SY"/>
        </w:rPr>
        <w:t>القانوني</w:t>
      </w:r>
      <w:r w:rsidR="00F32B28">
        <w:rPr>
          <w:rtl/>
          <w:lang w:bidi="ar-SY"/>
        </w:rPr>
        <w:t xml:space="preserve"> </w:t>
      </w:r>
      <w:r w:rsidR="00F32B28" w:rsidRPr="00F32B28">
        <w:rPr>
          <w:rtl/>
          <w:lang w:bidi="ar-SY"/>
        </w:rPr>
        <w:t>على</w:t>
      </w:r>
      <w:r w:rsidR="00565595">
        <w:rPr>
          <w:rFonts w:hint="cs"/>
          <w:rtl/>
          <w:lang w:bidi="ar-SY"/>
        </w:rPr>
        <w:t xml:space="preserve"> </w:t>
      </w:r>
      <w:r w:rsidR="00F32B28" w:rsidRPr="00F32B28">
        <w:rPr>
          <w:rtl/>
          <w:lang w:bidi="ar-SY"/>
        </w:rPr>
        <w:t>سكان</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إذ</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يزال</w:t>
      </w:r>
      <w:r w:rsidR="00F32B28">
        <w:rPr>
          <w:rtl/>
          <w:lang w:bidi="ar-SY"/>
        </w:rPr>
        <w:t xml:space="preserve"> </w:t>
      </w:r>
      <w:r w:rsidR="00F32B28" w:rsidRPr="00F32B28">
        <w:rPr>
          <w:rtl/>
          <w:lang w:bidi="ar-SY"/>
        </w:rPr>
        <w:t>هنالك</w:t>
      </w:r>
      <w:r w:rsidR="00F32B28">
        <w:rPr>
          <w:rtl/>
          <w:lang w:bidi="ar-SY"/>
        </w:rPr>
        <w:t xml:space="preserve"> </w:t>
      </w:r>
      <w:r w:rsidR="00F32B28" w:rsidRPr="00F32B28">
        <w:rPr>
          <w:rtl/>
          <w:lang w:bidi="ar-SY"/>
        </w:rPr>
        <w:t>حوالي</w:t>
      </w:r>
      <w:r w:rsidR="00F32B28">
        <w:rPr>
          <w:rtl/>
          <w:lang w:bidi="ar-SY"/>
        </w:rPr>
        <w:t xml:space="preserve"> </w:t>
      </w:r>
      <w:r w:rsidR="00F32B28" w:rsidRPr="00F32B28">
        <w:rPr>
          <w:rtl/>
          <w:lang w:bidi="ar-SY"/>
        </w:rPr>
        <w:t>مليوني</w:t>
      </w:r>
      <w:r w:rsidR="00F32B28">
        <w:rPr>
          <w:rtl/>
          <w:lang w:bidi="ar-SY"/>
        </w:rPr>
        <w:t xml:space="preserve"> </w:t>
      </w:r>
      <w:r w:rsidR="00F32B28" w:rsidRPr="00F32B28">
        <w:rPr>
          <w:rtl/>
          <w:lang w:bidi="ar-SY"/>
        </w:rPr>
        <w:t>فلسطينية</w:t>
      </w:r>
      <w:r w:rsidR="00F32B28">
        <w:rPr>
          <w:rtl/>
          <w:lang w:bidi="ar-SY"/>
        </w:rPr>
        <w:t xml:space="preserve"> </w:t>
      </w:r>
      <w:r w:rsidR="00F32B28" w:rsidRPr="00F32B28">
        <w:rPr>
          <w:rtl/>
          <w:lang w:bidi="ar-SY"/>
        </w:rPr>
        <w:t>وفلسطيني</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سكان</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lang w:bidi="ar-SY"/>
        </w:rPr>
        <w:t>محرومين</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حقهم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حرية</w:t>
      </w:r>
      <w:r w:rsidR="00F32B28">
        <w:rPr>
          <w:rtl/>
          <w:lang w:bidi="ar-SY"/>
        </w:rPr>
        <w:t xml:space="preserve"> </w:t>
      </w:r>
      <w:r w:rsidR="00F32B28" w:rsidRPr="00F32B28">
        <w:rPr>
          <w:rtl/>
          <w:lang w:bidi="ar-SY"/>
        </w:rPr>
        <w:t>الحركة</w:t>
      </w:r>
      <w:r w:rsidR="00F32B28">
        <w:rPr>
          <w:rtl/>
          <w:lang w:bidi="ar-SY"/>
        </w:rPr>
        <w:t xml:space="preserve"> </w:t>
      </w:r>
      <w:r w:rsidR="00F32B28" w:rsidRPr="00F32B28">
        <w:rPr>
          <w:rtl/>
          <w:lang w:bidi="ar-SY"/>
        </w:rPr>
        <w:t>والتنقل</w:t>
      </w:r>
      <w:r w:rsidR="00F32B28">
        <w:rPr>
          <w:rtl/>
          <w:lang w:bidi="ar-SY"/>
        </w:rPr>
        <w:t xml:space="preserve"> </w:t>
      </w:r>
      <w:r w:rsidR="00F32B28" w:rsidRPr="00F32B28">
        <w:rPr>
          <w:rtl/>
          <w:lang w:bidi="ar-SY"/>
        </w:rPr>
        <w:t>منه</w:t>
      </w:r>
      <w:r w:rsidR="00F32B28">
        <w:rPr>
          <w:rtl/>
          <w:lang w:bidi="ar-SY"/>
        </w:rPr>
        <w:t xml:space="preserve"> </w:t>
      </w:r>
      <w:r w:rsidR="00F32B28" w:rsidRPr="00F32B28">
        <w:rPr>
          <w:rtl/>
          <w:lang w:bidi="ar-SY"/>
        </w:rPr>
        <w:t>وإليه،</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يتعلق</w:t>
      </w:r>
      <w:r w:rsidR="00F32B28">
        <w:rPr>
          <w:rtl/>
          <w:lang w:bidi="ar-SY"/>
        </w:rPr>
        <w:t xml:space="preserve"> </w:t>
      </w:r>
      <w:r w:rsidR="00F32B28" w:rsidRPr="00F32B28">
        <w:rPr>
          <w:rtl/>
          <w:lang w:bidi="ar-SY"/>
        </w:rPr>
        <w:t>بالانتقال</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جراء</w:t>
      </w:r>
      <w:r w:rsidR="00F32B28">
        <w:rPr>
          <w:rtl/>
          <w:lang w:bidi="ar-SY"/>
        </w:rPr>
        <w:t xml:space="preserve"> </w:t>
      </w:r>
      <w:r w:rsidR="00F32B28" w:rsidRPr="00F32B28">
        <w:rPr>
          <w:rtl/>
          <w:lang w:bidi="ar-SY"/>
        </w:rPr>
        <w:t>استمرار</w:t>
      </w:r>
      <w:r w:rsidR="00F32B28">
        <w:rPr>
          <w:rtl/>
          <w:lang w:bidi="ar-SY"/>
        </w:rPr>
        <w:t xml:space="preserve"> </w:t>
      </w:r>
      <w:r w:rsidR="00F32B28" w:rsidRPr="00F32B28">
        <w:rPr>
          <w:rtl/>
          <w:lang w:bidi="ar-SY"/>
        </w:rPr>
        <w:t>إغلاق</w:t>
      </w:r>
      <w:r w:rsidR="00F32B28">
        <w:rPr>
          <w:rtl/>
          <w:lang w:bidi="ar-SY"/>
        </w:rPr>
        <w:t xml:space="preserve"> </w:t>
      </w:r>
      <w:r w:rsidR="00F32B28" w:rsidRPr="00F32B28">
        <w:rPr>
          <w:rtl/>
          <w:lang w:bidi="ar-SY"/>
        </w:rPr>
        <w:t>معبر</w:t>
      </w:r>
      <w:r w:rsidR="00F32B28">
        <w:rPr>
          <w:rtl/>
          <w:lang w:bidi="ar-SY"/>
        </w:rPr>
        <w:t xml:space="preserve"> </w:t>
      </w:r>
      <w:r w:rsidR="00F32B28" w:rsidRPr="00F32B28">
        <w:rPr>
          <w:rtl/>
          <w:lang w:bidi="ar-SY"/>
        </w:rPr>
        <w:t>بيت</w:t>
      </w:r>
      <w:r w:rsidR="00F32B28">
        <w:rPr>
          <w:rtl/>
          <w:lang w:bidi="ar-SY"/>
        </w:rPr>
        <w:t xml:space="preserve"> </w:t>
      </w:r>
      <w:r w:rsidR="00F32B28" w:rsidRPr="00F32B28">
        <w:rPr>
          <w:rtl/>
          <w:lang w:bidi="ar-SY"/>
        </w:rPr>
        <w:t>حانون؛</w:t>
      </w:r>
      <w:r w:rsidR="00F32B28">
        <w:rPr>
          <w:rtl/>
          <w:lang w:bidi="ar-SY"/>
        </w:rPr>
        <w:t xml:space="preserve"> </w:t>
      </w:r>
      <w:r w:rsidR="00F32B28" w:rsidRPr="00F32B28">
        <w:rPr>
          <w:rtl/>
          <w:lang w:bidi="ar-SY"/>
        </w:rPr>
        <w:t>المنفذ</w:t>
      </w:r>
      <w:r w:rsidR="00F32B28">
        <w:rPr>
          <w:rtl/>
          <w:lang w:bidi="ar-SY"/>
        </w:rPr>
        <w:t xml:space="preserve"> </w:t>
      </w:r>
      <w:r w:rsidR="00F32B28" w:rsidRPr="00F32B28">
        <w:rPr>
          <w:rtl/>
          <w:lang w:bidi="ar-SY"/>
        </w:rPr>
        <w:t>الوحيد</w:t>
      </w:r>
      <w:r w:rsidR="00F32B28">
        <w:rPr>
          <w:rtl/>
          <w:lang w:bidi="ar-SY"/>
        </w:rPr>
        <w:t xml:space="preserve"> </w:t>
      </w:r>
      <w:r w:rsidR="00F32B28" w:rsidRPr="00F32B28">
        <w:rPr>
          <w:rtl/>
          <w:lang w:bidi="ar-SY"/>
        </w:rPr>
        <w:t>لسكان</w:t>
      </w:r>
      <w:r w:rsidR="00F32B28">
        <w:rPr>
          <w:rtl/>
          <w:lang w:bidi="ar-SY"/>
        </w:rPr>
        <w:t xml:space="preserve"> </w:t>
      </w:r>
      <w:r w:rsidR="00F32B28" w:rsidRPr="00F32B28">
        <w:rPr>
          <w:rtl/>
          <w:lang w:bidi="ar-SY"/>
        </w:rPr>
        <w:t>القطاع</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الحال</w:t>
      </w:r>
      <w:r w:rsidR="00F32B28">
        <w:rPr>
          <w:rtl/>
          <w:lang w:bidi="ar-SY"/>
        </w:rPr>
        <w:t xml:space="preserve"> </w:t>
      </w:r>
      <w:r w:rsidR="00F32B28" w:rsidRPr="00F32B28">
        <w:rPr>
          <w:rtl/>
          <w:lang w:bidi="ar-SY"/>
        </w:rPr>
        <w:t>بالنسبة</w:t>
      </w:r>
      <w:r w:rsidR="00F32B28">
        <w:rPr>
          <w:rtl/>
          <w:lang w:bidi="ar-SY"/>
        </w:rPr>
        <w:t xml:space="preserve"> </w:t>
      </w:r>
      <w:r w:rsidR="00F32B28" w:rsidRPr="00F32B28">
        <w:rPr>
          <w:rtl/>
          <w:lang w:bidi="ar-SY"/>
        </w:rPr>
        <w:t>لسكان</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بما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الذين</w:t>
      </w:r>
      <w:r w:rsidR="00F32B28">
        <w:rPr>
          <w:rtl/>
          <w:lang w:bidi="ar-SY"/>
        </w:rPr>
        <w:t xml:space="preserve"> </w:t>
      </w:r>
      <w:r w:rsidR="00F32B28" w:rsidRPr="00F32B28">
        <w:rPr>
          <w:rtl/>
          <w:lang w:bidi="ar-SY"/>
        </w:rPr>
        <w:t>يحظر</w:t>
      </w:r>
      <w:r w:rsidR="00F32B28">
        <w:rPr>
          <w:rtl/>
          <w:lang w:bidi="ar-SY"/>
        </w:rPr>
        <w:t xml:space="preserve"> </w:t>
      </w:r>
      <w:r w:rsidR="00F32B28" w:rsidRPr="00F32B28">
        <w:rPr>
          <w:rtl/>
          <w:lang w:bidi="ar-SY"/>
        </w:rPr>
        <w:t>عليهم</w:t>
      </w:r>
      <w:r w:rsidR="00F32B28">
        <w:rPr>
          <w:rtl/>
          <w:lang w:bidi="ar-SY"/>
        </w:rPr>
        <w:t xml:space="preserve"> </w:t>
      </w:r>
      <w:r w:rsidR="00F32B28" w:rsidRPr="00F32B28">
        <w:rPr>
          <w:rtl/>
          <w:lang w:bidi="ar-SY"/>
        </w:rPr>
        <w:t>دخول</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غزة.</w:t>
      </w:r>
      <w:r w:rsidR="00F32B28">
        <w:rPr>
          <w:rtl/>
          <w:lang w:bidi="ar-SY"/>
        </w:rPr>
        <w:t xml:space="preserve"> </w:t>
      </w:r>
    </w:p>
    <w:p w:rsidR="00F32B28" w:rsidRPr="00F32B28" w:rsidRDefault="00565595" w:rsidP="00565595">
      <w:pPr>
        <w:pStyle w:val="SingleTxt"/>
        <w:rPr>
          <w:rtl/>
        </w:rPr>
      </w:pPr>
      <w:r>
        <w:rPr>
          <w:rFonts w:hint="cs"/>
          <w:rtl/>
        </w:rPr>
        <w:t xml:space="preserve">320 - </w:t>
      </w:r>
      <w:r w:rsidR="00F32B28" w:rsidRPr="00F32B28">
        <w:rPr>
          <w:rtl/>
        </w:rPr>
        <w:t>ولا</w:t>
      </w:r>
      <w:r w:rsidR="00F32B28">
        <w:rPr>
          <w:rtl/>
        </w:rPr>
        <w:t xml:space="preserve"> </w:t>
      </w:r>
      <w:r w:rsidR="00F32B28" w:rsidRPr="00F32B28">
        <w:rPr>
          <w:rtl/>
        </w:rPr>
        <w:t>تقتصر</w:t>
      </w:r>
      <w:r w:rsidR="00F32B28">
        <w:rPr>
          <w:rtl/>
        </w:rPr>
        <w:t xml:space="preserve"> </w:t>
      </w:r>
      <w:r w:rsidR="00F32B28" w:rsidRPr="00F32B28">
        <w:rPr>
          <w:rtl/>
        </w:rPr>
        <w:t>التقييدات</w:t>
      </w:r>
      <w:r w:rsidR="00F32B28">
        <w:rPr>
          <w:rtl/>
        </w:rPr>
        <w:t xml:space="preserve"> </w:t>
      </w:r>
      <w:r w:rsidR="00F32B28" w:rsidRPr="00F32B28">
        <w:rPr>
          <w:rtl/>
        </w:rPr>
        <w:t>الإسرائيلية</w:t>
      </w:r>
      <w:r w:rsidR="00F32B28">
        <w:rPr>
          <w:rtl/>
        </w:rPr>
        <w:t xml:space="preserve"> </w:t>
      </w:r>
      <w:r w:rsidR="00F32B28" w:rsidRPr="00F32B28">
        <w:rPr>
          <w:rtl/>
        </w:rPr>
        <w:t>على</w:t>
      </w:r>
      <w:r w:rsidR="00F32B28">
        <w:rPr>
          <w:rtl/>
        </w:rPr>
        <w:t xml:space="preserve"> </w:t>
      </w:r>
      <w:r w:rsidR="00F32B28" w:rsidRPr="00F32B28">
        <w:rPr>
          <w:rtl/>
        </w:rPr>
        <w:t>حرية</w:t>
      </w:r>
      <w:r w:rsidR="00F32B28">
        <w:rPr>
          <w:rtl/>
        </w:rPr>
        <w:t xml:space="preserve"> </w:t>
      </w:r>
      <w:r w:rsidR="00F32B28" w:rsidRPr="00F32B28">
        <w:rPr>
          <w:rtl/>
        </w:rPr>
        <w:t>الحركة</w:t>
      </w:r>
      <w:r w:rsidR="00F32B28">
        <w:rPr>
          <w:rtl/>
        </w:rPr>
        <w:t xml:space="preserve"> </w:t>
      </w:r>
      <w:r w:rsidR="00F32B28" w:rsidRPr="00F32B28">
        <w:rPr>
          <w:rtl/>
        </w:rPr>
        <w:t>والتنقل</w:t>
      </w:r>
      <w:r w:rsidR="00F32B28">
        <w:rPr>
          <w:rtl/>
        </w:rPr>
        <w:t xml:space="preserve"> </w:t>
      </w:r>
      <w:r w:rsidR="00F32B28" w:rsidRPr="00F32B28">
        <w:rPr>
          <w:rtl/>
        </w:rPr>
        <w:t>للفلسطينيين</w:t>
      </w:r>
      <w:r w:rsidR="00F32B28">
        <w:rPr>
          <w:rtl/>
        </w:rPr>
        <w:t xml:space="preserve"> </w:t>
      </w:r>
      <w:r w:rsidR="00F32B28" w:rsidRPr="00F32B28">
        <w:rPr>
          <w:rtl/>
        </w:rPr>
        <w:t>داخل</w:t>
      </w:r>
      <w:r w:rsidR="00F32B28">
        <w:rPr>
          <w:rtl/>
        </w:rPr>
        <w:t xml:space="preserve"> </w:t>
      </w:r>
      <w:r w:rsidR="00F32B28" w:rsidRPr="00F32B28">
        <w:rPr>
          <w:rtl/>
        </w:rPr>
        <w:t>أرض</w:t>
      </w:r>
      <w:r w:rsidR="00F32B28">
        <w:rPr>
          <w:rtl/>
        </w:rPr>
        <w:t xml:space="preserve"> </w:t>
      </w:r>
      <w:r w:rsidR="00F32B28" w:rsidRPr="00F32B28">
        <w:rPr>
          <w:rtl/>
        </w:rPr>
        <w:t>فلسطين</w:t>
      </w:r>
      <w:r w:rsidR="00F32B28">
        <w:rPr>
          <w:rtl/>
        </w:rPr>
        <w:t xml:space="preserve"> </w:t>
      </w:r>
      <w:r w:rsidR="00F32B28" w:rsidRPr="00F32B28">
        <w:rPr>
          <w:rtl/>
        </w:rPr>
        <w:t>المحتلة</w:t>
      </w:r>
      <w:r w:rsidR="00F32B28">
        <w:rPr>
          <w:rtl/>
        </w:rPr>
        <w:t xml:space="preserve"> </w:t>
      </w:r>
      <w:r w:rsidR="00F32B28" w:rsidRPr="00F32B28">
        <w:rPr>
          <w:rtl/>
        </w:rPr>
        <w:t>فحسب،</w:t>
      </w:r>
      <w:r w:rsidR="00F32B28">
        <w:rPr>
          <w:rtl/>
        </w:rPr>
        <w:t xml:space="preserve"> </w:t>
      </w:r>
      <w:r w:rsidR="00F32B28" w:rsidRPr="00F32B28">
        <w:rPr>
          <w:rtl/>
        </w:rPr>
        <w:t>وإنما</w:t>
      </w:r>
      <w:r w:rsidR="00F32B28">
        <w:rPr>
          <w:rtl/>
        </w:rPr>
        <w:t xml:space="preserve"> </w:t>
      </w:r>
      <w:r w:rsidR="00F32B28" w:rsidRPr="00F32B28">
        <w:rPr>
          <w:rtl/>
        </w:rPr>
        <w:t>تمتد</w:t>
      </w:r>
      <w:r w:rsidR="00F32B28">
        <w:rPr>
          <w:rtl/>
        </w:rPr>
        <w:t xml:space="preserve"> </w:t>
      </w:r>
      <w:r w:rsidR="00F32B28" w:rsidRPr="00F32B28">
        <w:rPr>
          <w:rtl/>
        </w:rPr>
        <w:t>لتشمل</w:t>
      </w:r>
      <w:r w:rsidR="00F32B28">
        <w:rPr>
          <w:rtl/>
        </w:rPr>
        <w:t xml:space="preserve"> </w:t>
      </w:r>
      <w:r w:rsidR="00F32B28" w:rsidRPr="00F32B28">
        <w:rPr>
          <w:rtl/>
        </w:rPr>
        <w:t>حرية</w:t>
      </w:r>
      <w:r w:rsidR="00F32B28">
        <w:rPr>
          <w:rtl/>
        </w:rPr>
        <w:t xml:space="preserve"> </w:t>
      </w:r>
      <w:r w:rsidR="00F32B28" w:rsidRPr="00F32B28">
        <w:rPr>
          <w:rtl/>
        </w:rPr>
        <w:t>الحركة</w:t>
      </w:r>
      <w:r w:rsidR="00F32B28">
        <w:rPr>
          <w:rtl/>
        </w:rPr>
        <w:t xml:space="preserve"> </w:t>
      </w:r>
      <w:r w:rsidR="00F32B28" w:rsidRPr="00F32B28">
        <w:rPr>
          <w:rtl/>
        </w:rPr>
        <w:t>عبر</w:t>
      </w:r>
      <w:r w:rsidR="00F32B28">
        <w:rPr>
          <w:rtl/>
        </w:rPr>
        <w:t xml:space="preserve"> </w:t>
      </w:r>
      <w:r w:rsidR="00F32B28" w:rsidRPr="00F32B28">
        <w:rPr>
          <w:rtl/>
        </w:rPr>
        <w:t>المعابر</w:t>
      </w:r>
      <w:r w:rsidR="00F32B28">
        <w:rPr>
          <w:rtl/>
        </w:rPr>
        <w:t xml:space="preserve"> </w:t>
      </w:r>
      <w:r w:rsidR="00F32B28" w:rsidRPr="00F32B28">
        <w:rPr>
          <w:rtl/>
        </w:rPr>
        <w:t>الحدودية</w:t>
      </w:r>
      <w:r w:rsidR="00F32B28">
        <w:rPr>
          <w:rtl/>
        </w:rPr>
        <w:t xml:space="preserve"> </w:t>
      </w:r>
      <w:r w:rsidR="00F32B28" w:rsidRPr="00F32B28">
        <w:rPr>
          <w:rtl/>
        </w:rPr>
        <w:t>التي</w:t>
      </w:r>
      <w:r w:rsidR="00F32B28">
        <w:rPr>
          <w:rtl/>
        </w:rPr>
        <w:t xml:space="preserve"> </w:t>
      </w:r>
      <w:r w:rsidR="00F32B28" w:rsidRPr="00F32B28">
        <w:rPr>
          <w:rtl/>
        </w:rPr>
        <w:t>تسيطر</w:t>
      </w:r>
      <w:r w:rsidR="00F32B28">
        <w:rPr>
          <w:rtl/>
        </w:rPr>
        <w:t xml:space="preserve"> </w:t>
      </w:r>
      <w:r w:rsidR="00F32B28" w:rsidRPr="00F32B28">
        <w:rPr>
          <w:rtl/>
        </w:rPr>
        <w:t>عليها</w:t>
      </w:r>
      <w:r w:rsidR="00F32B28">
        <w:rPr>
          <w:rtl/>
        </w:rPr>
        <w:t xml:space="preserve"> </w:t>
      </w:r>
      <w:r w:rsidR="00F32B28" w:rsidRPr="00F32B28">
        <w:rPr>
          <w:rtl/>
        </w:rPr>
        <w:t>إسرائيل</w:t>
      </w:r>
      <w:r w:rsidR="00F32B28">
        <w:rPr>
          <w:rtl/>
        </w:rPr>
        <w:t xml:space="preserve"> </w:t>
      </w:r>
      <w:r w:rsidR="00F32B28" w:rsidRPr="00F32B28">
        <w:rPr>
          <w:rtl/>
        </w:rPr>
        <w:t>منذ</w:t>
      </w:r>
      <w:r>
        <w:rPr>
          <w:rFonts w:hint="cs"/>
          <w:rtl/>
        </w:rPr>
        <w:t> </w:t>
      </w:r>
      <w:r w:rsidR="00F32B28" w:rsidRPr="00F32B28">
        <w:rPr>
          <w:rtl/>
        </w:rPr>
        <w:t>احتلالها</w:t>
      </w:r>
      <w:r w:rsidR="00F32B28">
        <w:rPr>
          <w:rtl/>
        </w:rPr>
        <w:t xml:space="preserve"> </w:t>
      </w:r>
      <w:r w:rsidR="00F32B28" w:rsidRPr="00F32B28">
        <w:rPr>
          <w:rtl/>
        </w:rPr>
        <w:t>للضفة</w:t>
      </w:r>
      <w:r w:rsidR="00F32B28">
        <w:rPr>
          <w:rtl/>
        </w:rPr>
        <w:t xml:space="preserve"> </w:t>
      </w:r>
      <w:r w:rsidR="00F32B28" w:rsidRPr="00F32B28">
        <w:rPr>
          <w:rtl/>
        </w:rPr>
        <w:t>الغربية</w:t>
      </w:r>
      <w:r w:rsidR="00F32B28">
        <w:rPr>
          <w:rtl/>
        </w:rPr>
        <w:t xml:space="preserve"> </w:t>
      </w:r>
      <w:r w:rsidR="00F32B28" w:rsidRPr="00F32B28">
        <w:rPr>
          <w:rtl/>
        </w:rPr>
        <w:t>وقطاع</w:t>
      </w:r>
      <w:r w:rsidR="00F32B28">
        <w:rPr>
          <w:rtl/>
        </w:rPr>
        <w:t xml:space="preserve"> </w:t>
      </w:r>
      <w:r w:rsidR="00F32B28" w:rsidRPr="00F32B28">
        <w:rPr>
          <w:rtl/>
        </w:rPr>
        <w:t>غزة،</w:t>
      </w:r>
      <w:r w:rsidR="00F32B28">
        <w:rPr>
          <w:rtl/>
        </w:rPr>
        <w:t xml:space="preserve"> </w:t>
      </w:r>
      <w:r w:rsidR="00F32B28" w:rsidRPr="00F32B28">
        <w:rPr>
          <w:rtl/>
        </w:rPr>
        <w:t>وتتحكم</w:t>
      </w:r>
      <w:r w:rsidR="00F32B28">
        <w:rPr>
          <w:rtl/>
        </w:rPr>
        <w:t xml:space="preserve"> </w:t>
      </w:r>
      <w:r w:rsidR="00F32B28" w:rsidRPr="00F32B28">
        <w:rPr>
          <w:rtl/>
        </w:rPr>
        <w:t>من</w:t>
      </w:r>
      <w:r w:rsidR="00F32B28">
        <w:rPr>
          <w:rtl/>
        </w:rPr>
        <w:t xml:space="preserve"> </w:t>
      </w:r>
      <w:r w:rsidR="00F32B28" w:rsidRPr="00F32B28">
        <w:rPr>
          <w:rtl/>
        </w:rPr>
        <w:t>خلالها</w:t>
      </w:r>
      <w:r w:rsidR="00F32B28">
        <w:rPr>
          <w:rtl/>
        </w:rPr>
        <w:t xml:space="preserve"> </w:t>
      </w:r>
      <w:r w:rsidR="00F32B28" w:rsidRPr="00F32B28">
        <w:rPr>
          <w:rtl/>
        </w:rPr>
        <w:t>وبشكل</w:t>
      </w:r>
      <w:r w:rsidR="00F32B28">
        <w:rPr>
          <w:rtl/>
        </w:rPr>
        <w:t xml:space="preserve"> </w:t>
      </w:r>
      <w:r w:rsidR="00F32B28" w:rsidRPr="00F32B28">
        <w:rPr>
          <w:rtl/>
        </w:rPr>
        <w:t>كلي</w:t>
      </w:r>
      <w:r>
        <w:rPr>
          <w:rFonts w:hint="cs"/>
          <w:rtl/>
        </w:rPr>
        <w:t xml:space="preserve"> </w:t>
      </w:r>
      <w:r w:rsidR="00F32B28" w:rsidRPr="00F32B28">
        <w:rPr>
          <w:rtl/>
        </w:rPr>
        <w:t>بدخول</w:t>
      </w:r>
      <w:r w:rsidR="00F32B28">
        <w:rPr>
          <w:rtl/>
        </w:rPr>
        <w:t xml:space="preserve"> </w:t>
      </w:r>
      <w:r w:rsidR="00F32B28" w:rsidRPr="00F32B28">
        <w:rPr>
          <w:rtl/>
        </w:rPr>
        <w:t>وخروج</w:t>
      </w:r>
      <w:r w:rsidR="00F32B28">
        <w:rPr>
          <w:rtl/>
        </w:rPr>
        <w:t xml:space="preserve"> </w:t>
      </w:r>
      <w:r w:rsidR="00F32B28" w:rsidRPr="00F32B28">
        <w:rPr>
          <w:rtl/>
        </w:rPr>
        <w:t>الفلسطينيين</w:t>
      </w:r>
      <w:r w:rsidR="0001622C">
        <w:rPr>
          <w:rFonts w:hint="cs"/>
          <w:rtl/>
        </w:rPr>
        <w:t> </w:t>
      </w:r>
      <w:r w:rsidR="00F32B28" w:rsidRPr="00F32B28">
        <w:rPr>
          <w:rtl/>
        </w:rPr>
        <w:t>عبرها.</w:t>
      </w:r>
    </w:p>
    <w:p w:rsidR="00F32B28" w:rsidRPr="00F32B28" w:rsidRDefault="00565595" w:rsidP="00565595">
      <w:pPr>
        <w:pStyle w:val="SingleTxt"/>
      </w:pPr>
      <w:r>
        <w:rPr>
          <w:rFonts w:hint="cs"/>
          <w:rtl/>
        </w:rPr>
        <w:t xml:space="preserve">321 - </w:t>
      </w:r>
      <w:r w:rsidR="00F32B28" w:rsidRPr="00F32B28">
        <w:rPr>
          <w:rtl/>
        </w:rPr>
        <w:t>تخلف</w:t>
      </w:r>
      <w:r>
        <w:rPr>
          <w:rFonts w:hint="cs"/>
          <w:rtl/>
        </w:rPr>
        <w:t xml:space="preserve"> </w:t>
      </w:r>
      <w:r w:rsidR="00F32B28" w:rsidRPr="00F32B28">
        <w:rPr>
          <w:rtl/>
        </w:rPr>
        <w:t>هذه</w:t>
      </w:r>
      <w:r w:rsidR="00F32B28">
        <w:rPr>
          <w:rtl/>
        </w:rPr>
        <w:t xml:space="preserve"> </w:t>
      </w:r>
      <w:r w:rsidR="00F32B28" w:rsidRPr="00F32B28">
        <w:rPr>
          <w:rtl/>
        </w:rPr>
        <w:t>السياسات</w:t>
      </w:r>
      <w:r w:rsidR="00F32B28">
        <w:rPr>
          <w:rtl/>
        </w:rPr>
        <w:t xml:space="preserve"> </w:t>
      </w:r>
      <w:r w:rsidR="00F32B28" w:rsidRPr="00F32B28">
        <w:rPr>
          <w:rtl/>
        </w:rPr>
        <w:t>الإسرائيلية</w:t>
      </w:r>
      <w:r w:rsidR="00F32B28">
        <w:rPr>
          <w:rtl/>
        </w:rPr>
        <w:t xml:space="preserve"> </w:t>
      </w:r>
      <w:r w:rsidR="00F32B28" w:rsidRPr="00F32B28">
        <w:rPr>
          <w:rtl/>
        </w:rPr>
        <w:t>العنصرية</w:t>
      </w:r>
      <w:r w:rsidR="00F32B28">
        <w:rPr>
          <w:rtl/>
        </w:rPr>
        <w:t xml:space="preserve"> </w:t>
      </w:r>
      <w:r w:rsidR="00F32B28" w:rsidRPr="00F32B28">
        <w:rPr>
          <w:rtl/>
        </w:rPr>
        <w:t>آثاراً</w:t>
      </w:r>
      <w:r w:rsidR="00F32B28">
        <w:rPr>
          <w:rtl/>
        </w:rPr>
        <w:t xml:space="preserve"> </w:t>
      </w:r>
      <w:r w:rsidR="00F32B28" w:rsidRPr="00F32B28">
        <w:rPr>
          <w:rtl/>
        </w:rPr>
        <w:t>خطيرة</w:t>
      </w:r>
      <w:r w:rsidR="00F32B28">
        <w:rPr>
          <w:rtl/>
        </w:rPr>
        <w:t xml:space="preserve"> </w:t>
      </w:r>
      <w:r w:rsidR="00F32B28" w:rsidRPr="00F32B28">
        <w:rPr>
          <w:rtl/>
        </w:rPr>
        <w:t>على</w:t>
      </w:r>
      <w:r w:rsidR="00F32B28">
        <w:rPr>
          <w:rtl/>
        </w:rPr>
        <w:t xml:space="preserve"> </w:t>
      </w:r>
      <w:r w:rsidR="00F32B28" w:rsidRPr="00F32B28">
        <w:rPr>
          <w:rtl/>
        </w:rPr>
        <w:t>القطاع</w:t>
      </w:r>
      <w:r w:rsidR="00F32B28">
        <w:rPr>
          <w:rtl/>
        </w:rPr>
        <w:t xml:space="preserve"> </w:t>
      </w:r>
      <w:r w:rsidR="00F32B28" w:rsidRPr="00F32B28">
        <w:rPr>
          <w:rtl/>
        </w:rPr>
        <w:t>الاقتصادي</w:t>
      </w:r>
      <w:r w:rsidR="00F32B28">
        <w:rPr>
          <w:rtl/>
        </w:rPr>
        <w:t xml:space="preserve"> </w:t>
      </w:r>
      <w:r w:rsidR="00F32B28" w:rsidRPr="00F32B28">
        <w:rPr>
          <w:rtl/>
        </w:rPr>
        <w:t>والتجاري</w:t>
      </w:r>
      <w:r w:rsidR="00F32B28">
        <w:rPr>
          <w:rtl/>
        </w:rPr>
        <w:t xml:space="preserve"> </w:t>
      </w:r>
      <w:r w:rsidR="00F32B28" w:rsidRPr="00F32B28">
        <w:rPr>
          <w:rtl/>
        </w:rPr>
        <w:t>والزراعي،</w:t>
      </w:r>
      <w:r w:rsidR="00F32B28">
        <w:rPr>
          <w:rtl/>
        </w:rPr>
        <w:t xml:space="preserve"> </w:t>
      </w:r>
      <w:r w:rsidR="00F32B28" w:rsidRPr="00F32B28">
        <w:rPr>
          <w:rtl/>
        </w:rPr>
        <w:t>وقطاع</w:t>
      </w:r>
      <w:r w:rsidR="00F32B28">
        <w:rPr>
          <w:rtl/>
        </w:rPr>
        <w:t xml:space="preserve"> </w:t>
      </w:r>
      <w:r w:rsidR="00F32B28" w:rsidRPr="00F32B28">
        <w:rPr>
          <w:rtl/>
        </w:rPr>
        <w:t>التعليم</w:t>
      </w:r>
      <w:r w:rsidR="00F32B28">
        <w:rPr>
          <w:rtl/>
        </w:rPr>
        <w:t xml:space="preserve"> </w:t>
      </w:r>
      <w:r w:rsidR="00F32B28" w:rsidRPr="00F32B28">
        <w:rPr>
          <w:rtl/>
        </w:rPr>
        <w:t>والصحة،</w:t>
      </w:r>
      <w:r w:rsidR="00F32B28">
        <w:rPr>
          <w:rtl/>
        </w:rPr>
        <w:t xml:space="preserve"> </w:t>
      </w:r>
      <w:r w:rsidR="00F32B28" w:rsidRPr="00F32B28">
        <w:rPr>
          <w:rtl/>
        </w:rPr>
        <w:t>فضلاً</w:t>
      </w:r>
      <w:r w:rsidR="00F32B28">
        <w:rPr>
          <w:rtl/>
        </w:rPr>
        <w:t xml:space="preserve"> </w:t>
      </w:r>
      <w:r w:rsidR="00F32B28" w:rsidRPr="00F32B28">
        <w:rPr>
          <w:rtl/>
        </w:rPr>
        <w:t>عن</w:t>
      </w:r>
      <w:r w:rsidR="00F32B28">
        <w:rPr>
          <w:rtl/>
        </w:rPr>
        <w:t xml:space="preserve"> </w:t>
      </w:r>
      <w:r w:rsidR="00F32B28" w:rsidRPr="00F32B28">
        <w:rPr>
          <w:rtl/>
        </w:rPr>
        <w:t>تبعاتها</w:t>
      </w:r>
      <w:r w:rsidR="00F32B28">
        <w:rPr>
          <w:rtl/>
        </w:rPr>
        <w:t xml:space="preserve"> </w:t>
      </w:r>
      <w:r w:rsidR="00F32B28" w:rsidRPr="00F32B28">
        <w:rPr>
          <w:rtl/>
        </w:rPr>
        <w:t>على</w:t>
      </w:r>
      <w:r w:rsidR="00F32B28">
        <w:rPr>
          <w:rtl/>
        </w:rPr>
        <w:t xml:space="preserve"> </w:t>
      </w:r>
      <w:r w:rsidR="00F32B28" w:rsidRPr="00F32B28">
        <w:rPr>
          <w:rtl/>
        </w:rPr>
        <w:t>العلاقات</w:t>
      </w:r>
      <w:r w:rsidR="00F32B28">
        <w:rPr>
          <w:rtl/>
        </w:rPr>
        <w:t xml:space="preserve"> </w:t>
      </w:r>
      <w:r w:rsidR="00F32B28" w:rsidRPr="00F32B28">
        <w:rPr>
          <w:rtl/>
        </w:rPr>
        <w:t>الأسرية</w:t>
      </w:r>
      <w:r w:rsidR="00F32B28">
        <w:rPr>
          <w:rtl/>
        </w:rPr>
        <w:t xml:space="preserve"> </w:t>
      </w:r>
      <w:r w:rsidR="00F32B28" w:rsidRPr="00F32B28">
        <w:rPr>
          <w:rtl/>
          <w:lang w:bidi="ar-SY"/>
        </w:rPr>
        <w:t>وتشتتها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يؤثر</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جميعاً،</w:t>
      </w:r>
      <w:r w:rsidR="00F32B28">
        <w:rPr>
          <w:rtl/>
          <w:lang w:bidi="ar-SY"/>
        </w:rPr>
        <w:t xml:space="preserve"> </w:t>
      </w:r>
      <w:r w:rsidR="00F32B28" w:rsidRPr="00F32B28">
        <w:rPr>
          <w:rtl/>
          <w:lang w:bidi="ar-SY"/>
        </w:rPr>
        <w:t>وعلى</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بشكل</w:t>
      </w:r>
      <w:r w:rsidR="00F32B28">
        <w:rPr>
          <w:rtl/>
          <w:lang w:bidi="ar-SY"/>
        </w:rPr>
        <w:t xml:space="preserve"> </w:t>
      </w:r>
      <w:r w:rsidR="00F32B28" w:rsidRPr="00F32B28">
        <w:rPr>
          <w:rtl/>
          <w:lang w:bidi="ar-SY"/>
        </w:rPr>
        <w:t>خاص.</w:t>
      </w:r>
    </w:p>
    <w:p w:rsidR="00F32B28" w:rsidRPr="00F32B28" w:rsidRDefault="00F32B28" w:rsidP="00F32B28">
      <w:pPr>
        <w:pStyle w:val="SingleTxt"/>
        <w:rPr>
          <w:b/>
          <w:bCs/>
        </w:rPr>
      </w:pPr>
      <w:r w:rsidRPr="00F32B28">
        <w:rPr>
          <w:b/>
          <w:bCs/>
          <w:rtl/>
          <w:lang w:bidi="ar-JO"/>
        </w:rPr>
        <w:lastRenderedPageBreak/>
        <w:t>القضاء</w:t>
      </w:r>
      <w:r>
        <w:rPr>
          <w:b/>
          <w:bCs/>
          <w:rtl/>
          <w:lang w:bidi="ar-JO"/>
        </w:rPr>
        <w:t xml:space="preserve"> </w:t>
      </w:r>
      <w:r w:rsidRPr="00F32B28">
        <w:rPr>
          <w:b/>
          <w:bCs/>
          <w:rtl/>
          <w:lang w:bidi="ar-JO"/>
        </w:rPr>
        <w:t>الإسرائيلي</w:t>
      </w:r>
    </w:p>
    <w:p w:rsidR="00F32B28" w:rsidRPr="00F32B28" w:rsidRDefault="00565595" w:rsidP="00565595">
      <w:pPr>
        <w:pStyle w:val="SingleTxt"/>
        <w:rPr>
          <w:rtl/>
          <w:lang w:bidi="ar-LB"/>
        </w:rPr>
      </w:pPr>
      <w:r>
        <w:rPr>
          <w:rFonts w:hint="cs"/>
          <w:rtl/>
          <w:lang w:bidi="ar-SY"/>
        </w:rPr>
        <w:t xml:space="preserve">322 - </w:t>
      </w:r>
      <w:r w:rsidR="00F32B28" w:rsidRPr="00F32B28">
        <w:rPr>
          <w:rtl/>
          <w:lang w:bidi="ar-SY"/>
        </w:rPr>
        <w:t>يعتبر</w:t>
      </w:r>
      <w:r w:rsidR="00F32B28">
        <w:rPr>
          <w:rtl/>
          <w:lang w:bidi="ar-SY"/>
        </w:rPr>
        <w:t xml:space="preserve"> </w:t>
      </w:r>
      <w:r w:rsidR="00F32B28" w:rsidRPr="00F32B28">
        <w:rPr>
          <w:rtl/>
          <w:lang w:bidi="ar-SY"/>
        </w:rPr>
        <w:t>القضاء</w:t>
      </w:r>
      <w:r w:rsidR="00F32B28">
        <w:rPr>
          <w:rtl/>
          <w:lang w:bidi="ar-SY"/>
        </w:rPr>
        <w:t xml:space="preserve"> </w:t>
      </w:r>
      <w:r w:rsidR="00F32B28" w:rsidRPr="00F32B28">
        <w:rPr>
          <w:rtl/>
          <w:lang w:bidi="ar-SY"/>
        </w:rPr>
        <w:t>الإسرائيلي</w:t>
      </w:r>
      <w:r w:rsidR="00F32B28">
        <w:rPr>
          <w:rtl/>
          <w:lang w:bidi="ar-SY"/>
        </w:rPr>
        <w:t xml:space="preserve"> </w:t>
      </w:r>
      <w:r w:rsidR="00F32B28" w:rsidRPr="00F32B28">
        <w:rPr>
          <w:rFonts w:hint="cs"/>
          <w:rtl/>
          <w:lang w:bidi="ar-SY"/>
        </w:rPr>
        <w:t>حجر</w:t>
      </w:r>
      <w:r w:rsidR="00F32B28">
        <w:rPr>
          <w:rFonts w:hint="cs"/>
          <w:rtl/>
          <w:lang w:bidi="ar-SY"/>
        </w:rPr>
        <w:t xml:space="preserve"> </w:t>
      </w:r>
      <w:r w:rsidR="00F32B28" w:rsidRPr="00F32B28">
        <w:rPr>
          <w:rFonts w:hint="cs"/>
          <w:rtl/>
          <w:lang w:bidi="ar-SY"/>
        </w:rPr>
        <w:t>أساس</w:t>
      </w:r>
      <w:r>
        <w:rPr>
          <w:rFonts w:hint="cs"/>
          <w:rtl/>
          <w:lang w:bidi="ar-SY"/>
        </w:rPr>
        <w:t xml:space="preserve"> </w:t>
      </w:r>
      <w:r w:rsidR="00F32B28" w:rsidRPr="00F32B28">
        <w:rPr>
          <w:rFonts w:hint="cs"/>
          <w:rtl/>
          <w:lang w:bidi="ar-SY"/>
        </w:rPr>
        <w:t>لل</w:t>
      </w:r>
      <w:r w:rsidR="00F32B28" w:rsidRPr="00F32B28">
        <w:rPr>
          <w:rtl/>
          <w:lang w:bidi="ar-SY"/>
        </w:rPr>
        <w:t>منظومة</w:t>
      </w:r>
      <w:r>
        <w:rPr>
          <w:rFonts w:hint="cs"/>
          <w:rtl/>
          <w:lang w:bidi="ar-SY"/>
        </w:rPr>
        <w:t xml:space="preserve"> </w:t>
      </w:r>
      <w:r w:rsidR="00F32B28" w:rsidRPr="00F32B28">
        <w:rPr>
          <w:rtl/>
          <w:lang w:bidi="ar-SY"/>
        </w:rPr>
        <w:t>العنصرية</w:t>
      </w:r>
      <w:r w:rsidR="00F32B28">
        <w:rPr>
          <w:rtl/>
          <w:lang w:bidi="ar-SY"/>
        </w:rPr>
        <w:t xml:space="preserve"> </w:t>
      </w:r>
      <w:r w:rsidR="00F32B28" w:rsidRPr="00F32B28">
        <w:rPr>
          <w:rFonts w:hint="cs"/>
          <w:rtl/>
          <w:lang w:bidi="ar-SY"/>
        </w:rPr>
        <w:t>ل</w:t>
      </w:r>
      <w:r w:rsidR="00F32B28" w:rsidRPr="00F32B28">
        <w:rPr>
          <w:rtl/>
          <w:lang w:bidi="ar-SY"/>
        </w:rPr>
        <w:t>لاحتلال</w:t>
      </w:r>
      <w:r>
        <w:rPr>
          <w:rFonts w:hint="cs"/>
          <w:rtl/>
          <w:lang w:bidi="ar-SY"/>
        </w:rPr>
        <w:t xml:space="preserve"> </w:t>
      </w:r>
      <w:r w:rsidR="00F32B28" w:rsidRPr="00F32B28">
        <w:rPr>
          <w:rFonts w:hint="cs"/>
          <w:rtl/>
          <w:lang w:bidi="ar-SY"/>
        </w:rPr>
        <w:t>الاستعماري</w:t>
      </w:r>
      <w:r w:rsidR="00F32B28" w:rsidRPr="00F32B28">
        <w:rPr>
          <w:rtl/>
          <w:lang w:bidi="ar-SY"/>
        </w:rPr>
        <w:t>،</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سيما</w:t>
      </w:r>
      <w:r w:rsidR="00F32B28">
        <w:rPr>
          <w:rtl/>
          <w:lang w:bidi="ar-SY"/>
        </w:rPr>
        <w:t xml:space="preserve"> </w:t>
      </w:r>
      <w:r w:rsidR="00F32B28" w:rsidRPr="00F32B28">
        <w:rPr>
          <w:rtl/>
          <w:lang w:bidi="ar-SY"/>
        </w:rPr>
        <w:t>المحاكم</w:t>
      </w:r>
      <w:r w:rsidR="00F32B28">
        <w:rPr>
          <w:rtl/>
          <w:lang w:bidi="ar-SY"/>
        </w:rPr>
        <w:t xml:space="preserve"> </w:t>
      </w:r>
      <w:r w:rsidR="00F32B28" w:rsidRPr="00F32B28">
        <w:rPr>
          <w:rtl/>
          <w:lang w:bidi="ar-SY"/>
        </w:rPr>
        <w:t>العسكرية،</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ينتهك</w:t>
      </w:r>
      <w:r w:rsidR="00F32B28">
        <w:rPr>
          <w:rtl/>
          <w:lang w:bidi="ar-SY"/>
        </w:rPr>
        <w:t xml:space="preserve"> </w:t>
      </w:r>
      <w:r w:rsidR="00F32B28" w:rsidRPr="00F32B28">
        <w:rPr>
          <w:rtl/>
          <w:lang w:bidi="ar-SY"/>
        </w:rPr>
        <w:t>بتشكيله</w:t>
      </w:r>
      <w:r w:rsidR="00F32B28">
        <w:rPr>
          <w:rtl/>
          <w:lang w:bidi="ar-SY"/>
        </w:rPr>
        <w:t xml:space="preserve"> </w:t>
      </w:r>
      <w:r w:rsidR="00F32B28" w:rsidRPr="00F32B28">
        <w:rPr>
          <w:rtl/>
          <w:lang w:bidi="ar-SY"/>
        </w:rPr>
        <w:t>وإجراءاته</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الدولي،</w:t>
      </w:r>
      <w:r w:rsidR="00F32B28">
        <w:rPr>
          <w:rtl/>
          <w:lang w:bidi="ar-SY"/>
        </w:rPr>
        <w:t xml:space="preserve"> </w:t>
      </w:r>
      <w:r w:rsidR="00F32B28" w:rsidRPr="00F32B28">
        <w:rPr>
          <w:rtl/>
          <w:lang w:bidi="ar-SY"/>
        </w:rPr>
        <w:t>وحقوق</w:t>
      </w:r>
      <w:r w:rsidR="00F32B28">
        <w:rPr>
          <w:rtl/>
          <w:lang w:bidi="ar-SY"/>
        </w:rPr>
        <w:t xml:space="preserve"> </w:t>
      </w:r>
      <w:r w:rsidR="00F32B28" w:rsidRPr="00F32B28">
        <w:rPr>
          <w:rtl/>
          <w:lang w:bidi="ar-SY"/>
        </w:rPr>
        <w:t>الضحايا</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نساءً</w:t>
      </w:r>
      <w:r w:rsidR="00F32B28">
        <w:rPr>
          <w:rtl/>
          <w:lang w:bidi="ar-SY"/>
        </w:rPr>
        <w:t xml:space="preserve"> </w:t>
      </w:r>
      <w:r w:rsidR="00F32B28" w:rsidRPr="00F32B28">
        <w:rPr>
          <w:rtl/>
          <w:lang w:bidi="ar-SY"/>
        </w:rPr>
        <w:t>ورجالاً،</w:t>
      </w:r>
      <w:r>
        <w:rPr>
          <w:rFonts w:hint="cs"/>
          <w:rtl/>
          <w:lang w:bidi="ar-SY"/>
        </w:rPr>
        <w:t xml:space="preserve"> </w:t>
      </w:r>
      <w:r w:rsidR="00F32B28" w:rsidRPr="00F32B28">
        <w:rPr>
          <w:rtl/>
          <w:lang w:bidi="ar-SY"/>
        </w:rPr>
        <w:t>ويحول</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حقهم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العدالة</w:t>
      </w:r>
      <w:r w:rsidR="00F32B28">
        <w:rPr>
          <w:rtl/>
          <w:lang w:bidi="ar-SY"/>
        </w:rPr>
        <w:t xml:space="preserve"> </w:t>
      </w:r>
      <w:r w:rsidR="00F32B28" w:rsidRPr="00F32B28">
        <w:rPr>
          <w:rtl/>
          <w:lang w:bidi="ar-SY"/>
        </w:rPr>
        <w:t>والانتصاف</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الانتهاكات</w:t>
      </w:r>
      <w:r w:rsidR="00F32B28">
        <w:rPr>
          <w:rtl/>
          <w:lang w:bidi="ar-SY"/>
        </w:rPr>
        <w:t xml:space="preserve"> </w:t>
      </w:r>
      <w:r w:rsidR="00F32B28" w:rsidRPr="00F32B28">
        <w:rPr>
          <w:rtl/>
          <w:lang w:bidi="ar-SY"/>
        </w:rPr>
        <w:t>والجرائم</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يرتكبها</w:t>
      </w:r>
      <w:r w:rsidR="00F32B28">
        <w:rPr>
          <w:rtl/>
          <w:lang w:bidi="ar-SY"/>
        </w:rPr>
        <w:t xml:space="preserve"> </w:t>
      </w:r>
      <w:r w:rsidR="00F32B28" w:rsidRPr="00F32B28">
        <w:rPr>
          <w:rtl/>
          <w:lang w:bidi="ar-SY"/>
        </w:rPr>
        <w:t>ضدهم</w:t>
      </w:r>
      <w:r w:rsidR="00F32B28">
        <w:rPr>
          <w:rtl/>
          <w:lang w:bidi="ar-SY"/>
        </w:rPr>
        <w:t xml:space="preserve"> </w:t>
      </w:r>
      <w:r w:rsidR="00F32B28" w:rsidRPr="00F32B28">
        <w:rPr>
          <w:rtl/>
          <w:lang w:bidi="ar-SY"/>
        </w:rPr>
        <w:t>جيش</w:t>
      </w:r>
      <w:r w:rsidR="00F32B28">
        <w:rPr>
          <w:rtl/>
          <w:lang w:bidi="ar-SY"/>
        </w:rPr>
        <w:t xml:space="preserve"> </w:t>
      </w:r>
      <w:r w:rsidR="00F32B28" w:rsidRPr="00F32B28">
        <w:rPr>
          <w:rtl/>
          <w:lang w:bidi="ar-SY"/>
        </w:rPr>
        <w:t>الاحتلال</w:t>
      </w:r>
      <w:r w:rsidR="00F32B28">
        <w:rPr>
          <w:rtl/>
          <w:lang w:bidi="ar-SY"/>
        </w:rPr>
        <w:t xml:space="preserve"> </w:t>
      </w:r>
      <w:r w:rsidR="00F32B28" w:rsidRPr="00F32B28">
        <w:rPr>
          <w:rtl/>
          <w:lang w:bidi="ar-SY"/>
        </w:rPr>
        <w:t>ومليشيات</w:t>
      </w:r>
      <w:r w:rsidR="00F32B28">
        <w:rPr>
          <w:rtl/>
          <w:lang w:bidi="ar-SY"/>
        </w:rPr>
        <w:t xml:space="preserve"> </w:t>
      </w:r>
      <w:r w:rsidR="00F32B28" w:rsidRPr="00F32B28">
        <w:rPr>
          <w:rtl/>
          <w:lang w:bidi="ar-SY"/>
        </w:rPr>
        <w:t>المستوطنين</w:t>
      </w:r>
      <w:r w:rsidR="00F32B28">
        <w:rPr>
          <w:rtl/>
          <w:lang w:bidi="ar-SY"/>
        </w:rPr>
        <w:t xml:space="preserve"> </w:t>
      </w:r>
      <w:r w:rsidR="00F32B28" w:rsidRPr="00F32B28">
        <w:rPr>
          <w:rtl/>
          <w:lang w:bidi="ar-SY"/>
        </w:rPr>
        <w:t>الإرهابية.</w:t>
      </w:r>
      <w:r w:rsidR="00F32B28">
        <w:rPr>
          <w:rtl/>
          <w:lang w:bidi="ar-SY"/>
        </w:rPr>
        <w:t xml:space="preserve"> </w:t>
      </w:r>
      <w:r w:rsidR="00F32B28" w:rsidRPr="00F32B28">
        <w:rPr>
          <w:rtl/>
          <w:lang w:bidi="ar-LB"/>
        </w:rPr>
        <w:t>إذ</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يمكن</w:t>
      </w:r>
      <w:r w:rsidR="00F32B28">
        <w:rPr>
          <w:rtl/>
          <w:lang w:bidi="ar-LB"/>
        </w:rPr>
        <w:t xml:space="preserve"> </w:t>
      </w:r>
      <w:r w:rsidR="00F32B28" w:rsidRPr="00F32B28">
        <w:rPr>
          <w:rtl/>
          <w:lang w:bidi="ar-LB"/>
        </w:rPr>
        <w:t>جلب</w:t>
      </w:r>
      <w:r w:rsidR="00F32B28">
        <w:rPr>
          <w:rtl/>
          <w:lang w:bidi="ar-LB"/>
        </w:rPr>
        <w:t xml:space="preserve"> </w:t>
      </w:r>
      <w:r w:rsidR="00F32B28" w:rsidRPr="00F32B28">
        <w:rPr>
          <w:rtl/>
          <w:lang w:bidi="ar-LB"/>
        </w:rPr>
        <w:t>أي</w:t>
      </w:r>
      <w:r w:rsidR="00F32B28">
        <w:rPr>
          <w:rtl/>
          <w:lang w:bidi="ar-LB"/>
        </w:rPr>
        <w:t xml:space="preserve"> </w:t>
      </w:r>
      <w:r>
        <w:rPr>
          <w:rFonts w:hint="cs"/>
          <w:rtl/>
          <w:lang w:bidi="ar-LB"/>
        </w:rPr>
        <w:t>ا</w:t>
      </w:r>
      <w:r w:rsidR="00F32B28" w:rsidRPr="00F32B28">
        <w:rPr>
          <w:rtl/>
          <w:lang w:bidi="ar-LB"/>
        </w:rPr>
        <w:t>دعاء</w:t>
      </w:r>
      <w:r w:rsidR="00F32B28">
        <w:rPr>
          <w:rtl/>
          <w:lang w:bidi="ar-LB"/>
        </w:rPr>
        <w:t xml:space="preserve"> </w:t>
      </w:r>
      <w:r w:rsidR="00F32B28" w:rsidRPr="00F32B28">
        <w:rPr>
          <w:rtl/>
          <w:lang w:bidi="ar-LB"/>
        </w:rPr>
        <w:t>يكون</w:t>
      </w:r>
      <w:r w:rsidR="00F32B28">
        <w:rPr>
          <w:rtl/>
          <w:lang w:bidi="ar-LB"/>
        </w:rPr>
        <w:t xml:space="preserve"> </w:t>
      </w:r>
      <w:r w:rsidR="00F32B28" w:rsidRPr="00F32B28">
        <w:rPr>
          <w:rtl/>
          <w:lang w:bidi="ar-LB"/>
        </w:rPr>
        <w:t>إسرائيلي</w:t>
      </w:r>
      <w:r w:rsidR="00F32B28">
        <w:rPr>
          <w:rtl/>
          <w:lang w:bidi="ar-LB"/>
        </w:rPr>
        <w:t xml:space="preserve"> </w:t>
      </w:r>
      <w:r w:rsidR="00F32B28" w:rsidRPr="00F32B28">
        <w:rPr>
          <w:rtl/>
          <w:lang w:bidi="ar-LB"/>
        </w:rPr>
        <w:t>طرف</w:t>
      </w:r>
      <w:r w:rsidR="00F32B28">
        <w:rPr>
          <w:rtl/>
          <w:lang w:bidi="ar-LB"/>
        </w:rPr>
        <w:t xml:space="preserve"> </w:t>
      </w:r>
      <w:r w:rsidR="00F32B28" w:rsidRPr="00F32B28">
        <w:rPr>
          <w:rtl/>
          <w:lang w:bidi="ar-LB"/>
        </w:rPr>
        <w:t>فيه</w:t>
      </w:r>
      <w:r w:rsidR="00F32B28">
        <w:rPr>
          <w:rtl/>
          <w:lang w:bidi="ar-LB"/>
        </w:rPr>
        <w:t xml:space="preserve"> </w:t>
      </w:r>
      <w:r w:rsidR="00F32B28" w:rsidRPr="00F32B28">
        <w:rPr>
          <w:rtl/>
          <w:lang w:bidi="ar-LB"/>
        </w:rPr>
        <w:t>إلا</w:t>
      </w:r>
      <w:r w:rsidR="0001622C">
        <w:rPr>
          <w:rFonts w:hint="cs"/>
          <w:rtl/>
          <w:lang w:bidi="ar-LB"/>
        </w:rPr>
        <w:t> </w:t>
      </w:r>
      <w:r w:rsidR="00F32B28" w:rsidRPr="00F32B28">
        <w:rPr>
          <w:rtl/>
          <w:lang w:bidi="ar-LB"/>
        </w:rPr>
        <w:t>أمام</w:t>
      </w:r>
      <w:r w:rsidR="00F32B28">
        <w:rPr>
          <w:rtl/>
          <w:lang w:bidi="ar-LB"/>
        </w:rPr>
        <w:t xml:space="preserve"> </w:t>
      </w:r>
      <w:r w:rsidR="00F32B28" w:rsidRPr="00F32B28">
        <w:rPr>
          <w:rtl/>
          <w:lang w:bidi="ar-LB"/>
        </w:rPr>
        <w:t>القضاء</w:t>
      </w:r>
      <w:r w:rsidR="00F32B28">
        <w:rPr>
          <w:rtl/>
          <w:lang w:bidi="ar-LB"/>
        </w:rPr>
        <w:t xml:space="preserve"> </w:t>
      </w:r>
      <w:r w:rsidR="00F32B28" w:rsidRPr="00F32B28">
        <w:rPr>
          <w:rtl/>
          <w:lang w:bidi="ar-LB"/>
        </w:rPr>
        <w:t>الإسرائيلي،</w:t>
      </w:r>
      <w:r w:rsidR="00F32B28">
        <w:rPr>
          <w:rtl/>
          <w:lang w:bidi="ar-LB"/>
        </w:rPr>
        <w:t xml:space="preserve"> </w:t>
      </w:r>
      <w:r w:rsidR="00F32B28" w:rsidRPr="00F32B28">
        <w:rPr>
          <w:rtl/>
          <w:lang w:bidi="ar-LB"/>
        </w:rPr>
        <w:t>حتى</w:t>
      </w:r>
      <w:r w:rsidR="00F32B28">
        <w:rPr>
          <w:rtl/>
          <w:lang w:bidi="ar-LB"/>
        </w:rPr>
        <w:t xml:space="preserve"> </w:t>
      </w:r>
      <w:r w:rsidR="00F32B28" w:rsidRPr="00F32B28">
        <w:rPr>
          <w:rtl/>
          <w:lang w:bidi="ar-LB"/>
        </w:rPr>
        <w:t>ولو</w:t>
      </w:r>
      <w:r w:rsidR="00F32B28">
        <w:rPr>
          <w:rtl/>
          <w:lang w:bidi="ar-LB"/>
        </w:rPr>
        <w:t xml:space="preserve"> </w:t>
      </w:r>
      <w:r w:rsidR="00F32B28" w:rsidRPr="00F32B28">
        <w:rPr>
          <w:rtl/>
          <w:lang w:bidi="ar-LB"/>
        </w:rPr>
        <w:t>كان</w:t>
      </w:r>
      <w:r w:rsidR="00F32B28">
        <w:rPr>
          <w:rtl/>
          <w:lang w:bidi="ar-LB"/>
        </w:rPr>
        <w:t xml:space="preserve"> </w:t>
      </w:r>
      <w:r w:rsidR="00F32B28" w:rsidRPr="00F32B28">
        <w:rPr>
          <w:rtl/>
          <w:lang w:bidi="ar-LB"/>
        </w:rPr>
        <w:t>باقي</w:t>
      </w:r>
      <w:r w:rsidR="00F32B28">
        <w:rPr>
          <w:rtl/>
          <w:lang w:bidi="ar-LB"/>
        </w:rPr>
        <w:t xml:space="preserve"> </w:t>
      </w:r>
      <w:r w:rsidR="00F32B28" w:rsidRPr="00F32B28">
        <w:rPr>
          <w:rtl/>
          <w:lang w:bidi="ar-LB"/>
        </w:rPr>
        <w:t>الأطراف</w:t>
      </w:r>
      <w:r w:rsidR="00F32B28">
        <w:rPr>
          <w:rtl/>
          <w:lang w:bidi="ar-LB"/>
        </w:rPr>
        <w:t xml:space="preserve"> </w:t>
      </w:r>
      <w:r w:rsidR="00F32B28" w:rsidRPr="00F32B28">
        <w:rPr>
          <w:rtl/>
          <w:lang w:bidi="ar-LB"/>
        </w:rPr>
        <w:t>فلسطينيين،</w:t>
      </w:r>
      <w:r w:rsidR="00F32B28">
        <w:rPr>
          <w:rtl/>
          <w:lang w:bidi="ar-LB"/>
        </w:rPr>
        <w:t xml:space="preserve"> </w:t>
      </w:r>
      <w:r w:rsidR="00F32B28" w:rsidRPr="00F32B28">
        <w:rPr>
          <w:rtl/>
          <w:lang w:bidi="ar-LB"/>
        </w:rPr>
        <w:t>ولو</w:t>
      </w:r>
      <w:r w:rsidR="00F32B28">
        <w:rPr>
          <w:rtl/>
          <w:lang w:bidi="ar-LB"/>
        </w:rPr>
        <w:t xml:space="preserve"> </w:t>
      </w:r>
      <w:r w:rsidR="00F32B28" w:rsidRPr="00F32B28">
        <w:rPr>
          <w:rtl/>
          <w:lang w:bidi="ar-LB"/>
        </w:rPr>
        <w:t>وقع</w:t>
      </w:r>
      <w:r w:rsidR="00F32B28">
        <w:rPr>
          <w:rtl/>
          <w:lang w:bidi="ar-LB"/>
        </w:rPr>
        <w:t xml:space="preserve"> </w:t>
      </w:r>
      <w:r w:rsidR="00F32B28" w:rsidRPr="00F32B28">
        <w:rPr>
          <w:rtl/>
          <w:lang w:bidi="ar-LB"/>
        </w:rPr>
        <w:t>موضوع</w:t>
      </w:r>
      <w:r w:rsidR="00F32B28">
        <w:rPr>
          <w:rtl/>
          <w:lang w:bidi="ar-LB"/>
        </w:rPr>
        <w:t xml:space="preserve"> </w:t>
      </w:r>
      <w:r w:rsidR="00F32B28" w:rsidRPr="00F32B28">
        <w:rPr>
          <w:rtl/>
          <w:lang w:bidi="ar-LB"/>
        </w:rPr>
        <w:t>النزاع</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أرض</w:t>
      </w:r>
      <w:r w:rsidR="00F32B28">
        <w:rPr>
          <w:rtl/>
          <w:lang w:bidi="ar-LB"/>
        </w:rPr>
        <w:t xml:space="preserve"> </w:t>
      </w:r>
      <w:r w:rsidR="00F32B28" w:rsidRPr="00F32B28">
        <w:rPr>
          <w:rtl/>
          <w:lang w:bidi="ar-LB"/>
        </w:rPr>
        <w:t>فلسطينية.</w:t>
      </w:r>
      <w:r w:rsidR="00F32B28">
        <w:rPr>
          <w:rtl/>
          <w:lang w:bidi="ar-LB"/>
        </w:rPr>
        <w:t xml:space="preserve"> </w:t>
      </w:r>
      <w:r w:rsidR="00F32B28" w:rsidRPr="00F32B28">
        <w:rPr>
          <w:rtl/>
          <w:lang w:bidi="ar-LB"/>
        </w:rPr>
        <w:t>وهناك</w:t>
      </w:r>
      <w:r w:rsidR="00F32B28">
        <w:rPr>
          <w:rtl/>
          <w:lang w:bidi="ar-LB"/>
        </w:rPr>
        <w:t xml:space="preserve"> </w:t>
      </w:r>
      <w:r w:rsidR="00F32B28" w:rsidRPr="00F32B28">
        <w:rPr>
          <w:rtl/>
          <w:lang w:bidi="ar-LB"/>
        </w:rPr>
        <w:t>تفرض</w:t>
      </w:r>
      <w:r w:rsidR="00F32B28">
        <w:rPr>
          <w:rtl/>
          <w:lang w:bidi="ar-LB"/>
        </w:rPr>
        <w:t xml:space="preserve"> </w:t>
      </w:r>
      <w:r w:rsidR="00F32B28" w:rsidRPr="00F32B28">
        <w:rPr>
          <w:rtl/>
          <w:lang w:bidi="ar-LB"/>
        </w:rPr>
        <w:t>المحاكم</w:t>
      </w:r>
      <w:r w:rsidR="00F32B28">
        <w:rPr>
          <w:rtl/>
          <w:lang w:bidi="ar-LB"/>
        </w:rPr>
        <w:t xml:space="preserve"> </w:t>
      </w:r>
      <w:r w:rsidR="00F32B28" w:rsidRPr="00F32B28">
        <w:rPr>
          <w:rtl/>
          <w:lang w:bidi="ar-LB"/>
        </w:rPr>
        <w:t>الإسرائيلية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الفلسطينيين</w:t>
      </w:r>
      <w:r w:rsidR="00F32B28">
        <w:rPr>
          <w:rtl/>
          <w:lang w:bidi="ar-LB"/>
        </w:rPr>
        <w:t xml:space="preserve"> </w:t>
      </w:r>
      <w:r w:rsidR="00F32B28" w:rsidRPr="00F32B28">
        <w:rPr>
          <w:rtl/>
          <w:lang w:bidi="ar-LB"/>
        </w:rPr>
        <w:t>المدعين</w:t>
      </w:r>
      <w:r w:rsidR="00F32B28">
        <w:rPr>
          <w:rtl/>
          <w:lang w:bidi="ar-LB"/>
        </w:rPr>
        <w:t xml:space="preserve"> </w:t>
      </w:r>
      <w:r w:rsidR="00F32B28" w:rsidRPr="00F32B28">
        <w:rPr>
          <w:rtl/>
          <w:lang w:bidi="ar-LB"/>
        </w:rPr>
        <w:t>أمامها،</w:t>
      </w:r>
      <w:r w:rsidR="00F32B28">
        <w:rPr>
          <w:rtl/>
          <w:lang w:bidi="ar-LB"/>
        </w:rPr>
        <w:t xml:space="preserve"> </w:t>
      </w:r>
      <w:r w:rsidR="00F32B28" w:rsidRPr="00F32B28">
        <w:rPr>
          <w:rtl/>
          <w:lang w:bidi="ar-LB"/>
        </w:rPr>
        <w:t>حتى</w:t>
      </w:r>
      <w:r w:rsidR="00F32B28">
        <w:rPr>
          <w:rtl/>
          <w:lang w:bidi="ar-LB"/>
        </w:rPr>
        <w:t xml:space="preserve"> </w:t>
      </w:r>
      <w:r w:rsidR="00F32B28" w:rsidRPr="00F32B28">
        <w:rPr>
          <w:rtl/>
          <w:lang w:bidi="ar-LB"/>
        </w:rPr>
        <w:t>بالقضايا</w:t>
      </w:r>
      <w:r w:rsidR="00F32B28">
        <w:rPr>
          <w:rtl/>
          <w:lang w:bidi="ar-LB"/>
        </w:rPr>
        <w:t xml:space="preserve"> </w:t>
      </w:r>
      <w:r w:rsidR="00F32B28" w:rsidRPr="00F32B28">
        <w:rPr>
          <w:rtl/>
          <w:lang w:bidi="ar-LB"/>
        </w:rPr>
        <w:t>المدنية</w:t>
      </w:r>
      <w:r w:rsidR="00F32B28">
        <w:rPr>
          <w:rtl/>
          <w:lang w:bidi="ar-LB"/>
        </w:rPr>
        <w:t xml:space="preserve"> </w:t>
      </w:r>
      <w:r w:rsidR="00F32B28" w:rsidRPr="00F32B28">
        <w:rPr>
          <w:rtl/>
          <w:lang w:bidi="ar-LB"/>
        </w:rPr>
        <w:t>والجنائية،</w:t>
      </w:r>
      <w:r w:rsidR="00F32B28">
        <w:rPr>
          <w:rtl/>
          <w:lang w:bidi="ar-LB"/>
        </w:rPr>
        <w:t xml:space="preserve"> </w:t>
      </w:r>
      <w:r w:rsidR="00F32B28" w:rsidRPr="00F32B28">
        <w:rPr>
          <w:rtl/>
          <w:lang w:bidi="ar-LB"/>
        </w:rPr>
        <w:t>تعقيدات</w:t>
      </w:r>
      <w:r w:rsidR="00F32B28">
        <w:rPr>
          <w:rtl/>
          <w:lang w:bidi="ar-LB"/>
        </w:rPr>
        <w:t xml:space="preserve"> </w:t>
      </w:r>
      <w:r w:rsidR="00F32B28" w:rsidRPr="00F32B28">
        <w:rPr>
          <w:rtl/>
          <w:lang w:bidi="ar-LB"/>
        </w:rPr>
        <w:t>إجرائية</w:t>
      </w:r>
      <w:r w:rsidR="00F32B28">
        <w:rPr>
          <w:rtl/>
          <w:lang w:bidi="ar-LB"/>
        </w:rPr>
        <w:t xml:space="preserve"> </w:t>
      </w:r>
      <w:r w:rsidR="00F32B28" w:rsidRPr="00F32B28">
        <w:rPr>
          <w:rtl/>
          <w:lang w:bidi="ar-LB"/>
        </w:rPr>
        <w:t>عنصرية،</w:t>
      </w:r>
      <w:r w:rsidR="00F32B28">
        <w:rPr>
          <w:rtl/>
          <w:lang w:bidi="ar-LB"/>
        </w:rPr>
        <w:t xml:space="preserve"> </w:t>
      </w:r>
      <w:r w:rsidR="00F32B28" w:rsidRPr="00F32B28">
        <w:rPr>
          <w:rtl/>
          <w:lang w:bidi="ar-LB"/>
        </w:rPr>
        <w:t>وكفالات</w:t>
      </w:r>
      <w:r w:rsidR="00F32B28">
        <w:rPr>
          <w:rtl/>
          <w:lang w:bidi="ar-LB"/>
        </w:rPr>
        <w:t xml:space="preserve"> </w:t>
      </w:r>
      <w:r w:rsidR="00F32B28" w:rsidRPr="00F32B28">
        <w:rPr>
          <w:rtl/>
          <w:lang w:bidi="ar-LB"/>
        </w:rPr>
        <w:t>مالية</w:t>
      </w:r>
      <w:r w:rsidR="00F32B28">
        <w:rPr>
          <w:rtl/>
          <w:lang w:bidi="ar-LB"/>
        </w:rPr>
        <w:t xml:space="preserve"> </w:t>
      </w:r>
      <w:r w:rsidR="00F32B28" w:rsidRPr="00F32B28">
        <w:rPr>
          <w:rtl/>
          <w:lang w:bidi="ar-LB"/>
        </w:rPr>
        <w:t>ورسوم</w:t>
      </w:r>
      <w:r w:rsidR="00F32B28">
        <w:rPr>
          <w:rtl/>
          <w:lang w:bidi="ar-LB"/>
        </w:rPr>
        <w:t xml:space="preserve"> </w:t>
      </w:r>
      <w:r w:rsidR="00F32B28" w:rsidRPr="00F32B28">
        <w:rPr>
          <w:rtl/>
          <w:lang w:bidi="ar-LB"/>
        </w:rPr>
        <w:t>تأمين</w:t>
      </w:r>
      <w:r w:rsidR="00F32B28">
        <w:rPr>
          <w:rtl/>
          <w:lang w:bidi="ar-LB"/>
        </w:rPr>
        <w:t xml:space="preserve"> </w:t>
      </w:r>
      <w:r w:rsidR="00F32B28" w:rsidRPr="00F32B28">
        <w:rPr>
          <w:rtl/>
          <w:lang w:bidi="ar-LB"/>
        </w:rPr>
        <w:t>قضائية</w:t>
      </w:r>
      <w:r w:rsidR="00F32B28">
        <w:rPr>
          <w:rtl/>
          <w:lang w:bidi="ar-LB"/>
        </w:rPr>
        <w:t xml:space="preserve"> </w:t>
      </w:r>
      <w:r w:rsidR="00F32B28" w:rsidRPr="00F32B28">
        <w:rPr>
          <w:rtl/>
          <w:lang w:bidi="ar-LB"/>
        </w:rPr>
        <w:t>باهظة</w:t>
      </w:r>
      <w:r w:rsidR="00F32B28">
        <w:rPr>
          <w:rtl/>
          <w:lang w:bidi="ar-LB"/>
        </w:rPr>
        <w:t xml:space="preserve"> </w:t>
      </w:r>
      <w:r w:rsidR="00F32B28" w:rsidRPr="00F32B28">
        <w:rPr>
          <w:rtl/>
          <w:lang w:bidi="ar-LB"/>
        </w:rPr>
        <w:t>القيمة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شأنها</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تحول</w:t>
      </w:r>
      <w:r w:rsidR="00F32B28">
        <w:rPr>
          <w:rtl/>
          <w:lang w:bidi="ar-LB"/>
        </w:rPr>
        <w:t xml:space="preserve"> </w:t>
      </w:r>
      <w:r w:rsidR="00F32B28" w:rsidRPr="00F32B28">
        <w:rPr>
          <w:rtl/>
          <w:lang w:bidi="ar-LB"/>
        </w:rPr>
        <w:t>دون</w:t>
      </w:r>
      <w:r w:rsidR="00F32B28">
        <w:rPr>
          <w:rtl/>
          <w:lang w:bidi="ar-LB"/>
        </w:rPr>
        <w:t xml:space="preserve"> </w:t>
      </w:r>
      <w:r w:rsidR="00F32B28" w:rsidRPr="00F32B28">
        <w:rPr>
          <w:rtl/>
          <w:lang w:bidi="ar-LB"/>
        </w:rPr>
        <w:t>وصول</w:t>
      </w:r>
      <w:r w:rsidR="00F32B28">
        <w:rPr>
          <w:rtl/>
          <w:lang w:bidi="ar-LB"/>
        </w:rPr>
        <w:t xml:space="preserve"> </w:t>
      </w:r>
      <w:r w:rsidR="00F32B28" w:rsidRPr="00F32B28">
        <w:rPr>
          <w:rtl/>
          <w:lang w:bidi="ar-LB"/>
        </w:rPr>
        <w:t>هؤلاء</w:t>
      </w:r>
      <w:r w:rsidR="00F32B28">
        <w:rPr>
          <w:rtl/>
          <w:lang w:bidi="ar-LB"/>
        </w:rPr>
        <w:t xml:space="preserve"> </w:t>
      </w:r>
      <w:r w:rsidR="00F32B28" w:rsidRPr="00F32B28">
        <w:rPr>
          <w:rtl/>
          <w:lang w:bidi="ar-LB"/>
        </w:rPr>
        <w:t>الفلسطينيين</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حقهم</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العدالة</w:t>
      </w:r>
      <w:r w:rsidR="00F32B28">
        <w:rPr>
          <w:rtl/>
          <w:lang w:bidi="ar-LB"/>
        </w:rPr>
        <w:t xml:space="preserve"> </w:t>
      </w:r>
      <w:r w:rsidR="00F32B28" w:rsidRPr="00F32B28">
        <w:rPr>
          <w:rtl/>
          <w:lang w:bidi="ar-LB"/>
        </w:rPr>
        <w:t>والانتصاف.</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يحرم</w:t>
      </w:r>
      <w:r w:rsidR="00F32B28">
        <w:rPr>
          <w:rtl/>
          <w:lang w:bidi="ar-LB"/>
        </w:rPr>
        <w:t xml:space="preserve"> </w:t>
      </w:r>
      <w:r w:rsidR="00F32B28" w:rsidRPr="00F32B28">
        <w:rPr>
          <w:rtl/>
          <w:lang w:bidi="ar-LB"/>
        </w:rPr>
        <w:t>الفلسطينيون</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حقهم</w:t>
      </w:r>
      <w:r w:rsidR="00F32B28">
        <w:rPr>
          <w:rtl/>
          <w:lang w:bidi="ar-LB"/>
        </w:rPr>
        <w:t xml:space="preserve"> </w:t>
      </w:r>
      <w:r w:rsidR="00F32B28" w:rsidRPr="00F32B28">
        <w:rPr>
          <w:rtl/>
          <w:lang w:bidi="ar-LB"/>
        </w:rPr>
        <w:t>بالتعويض</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قبل</w:t>
      </w:r>
      <w:r w:rsidR="00F32B28">
        <w:rPr>
          <w:rtl/>
          <w:lang w:bidi="ar-LB"/>
        </w:rPr>
        <w:t xml:space="preserve"> </w:t>
      </w:r>
      <w:r w:rsidR="00F32B28" w:rsidRPr="00F32B28">
        <w:rPr>
          <w:rtl/>
          <w:lang w:bidi="ar-LB"/>
        </w:rPr>
        <w:t>السلطات</w:t>
      </w:r>
      <w:r w:rsidR="00F32B28">
        <w:rPr>
          <w:rtl/>
          <w:lang w:bidi="ar-LB"/>
        </w:rPr>
        <w:t xml:space="preserve"> </w:t>
      </w:r>
      <w:r w:rsidR="00F32B28" w:rsidRPr="00F32B28">
        <w:rPr>
          <w:rtl/>
          <w:lang w:bidi="ar-LB"/>
        </w:rPr>
        <w:t>الإسرائيلية</w:t>
      </w:r>
      <w:r w:rsidR="00F32B28">
        <w:rPr>
          <w:rtl/>
          <w:lang w:bidi="ar-LB"/>
        </w:rPr>
        <w:t xml:space="preserve"> </w:t>
      </w:r>
      <w:r w:rsidR="00F32B28" w:rsidRPr="00F32B28">
        <w:rPr>
          <w:rtl/>
          <w:lang w:bidi="ar-LB"/>
        </w:rPr>
        <w:t>عن</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يرتكبه</w:t>
      </w:r>
      <w:r w:rsidR="00F32B28">
        <w:rPr>
          <w:rtl/>
          <w:lang w:bidi="ar-LB"/>
        </w:rPr>
        <w:t xml:space="preserve"> </w:t>
      </w:r>
      <w:r w:rsidR="00F32B28" w:rsidRPr="00F32B28">
        <w:rPr>
          <w:rtl/>
          <w:lang w:bidi="ar-LB"/>
        </w:rPr>
        <w:t>موظفوها</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تصرفات</w:t>
      </w:r>
      <w:r w:rsidR="00F32B28">
        <w:rPr>
          <w:rtl/>
          <w:lang w:bidi="ar-LB"/>
        </w:rPr>
        <w:t xml:space="preserve"> </w:t>
      </w:r>
      <w:r w:rsidR="00F32B28" w:rsidRPr="00F32B28">
        <w:rPr>
          <w:rtl/>
          <w:lang w:bidi="ar-LB"/>
        </w:rPr>
        <w:t>وذلك</w:t>
      </w:r>
      <w:r w:rsidR="00F32B28">
        <w:rPr>
          <w:rtl/>
          <w:lang w:bidi="ar-LB"/>
        </w:rPr>
        <w:t xml:space="preserve"> </w:t>
      </w:r>
      <w:r w:rsidR="00F32B28" w:rsidRPr="00F32B28">
        <w:rPr>
          <w:rtl/>
          <w:lang w:bidi="ar-LB"/>
        </w:rPr>
        <w:t>عملاً</w:t>
      </w:r>
      <w:r w:rsidR="00F32B28">
        <w:rPr>
          <w:rtl/>
          <w:lang w:bidi="ar-LB"/>
        </w:rPr>
        <w:t xml:space="preserve"> </w:t>
      </w:r>
      <w:r w:rsidR="00F32B28" w:rsidRPr="00F32B28">
        <w:rPr>
          <w:rtl/>
          <w:lang w:bidi="ar-LB"/>
        </w:rPr>
        <w:t>بقانون</w:t>
      </w:r>
      <w:r w:rsidR="00F32B28">
        <w:rPr>
          <w:rtl/>
          <w:lang w:bidi="ar-LB"/>
        </w:rPr>
        <w:t xml:space="preserve"> </w:t>
      </w:r>
      <w:r w:rsidR="00F32B28" w:rsidRPr="00F32B28">
        <w:rPr>
          <w:rtl/>
          <w:lang w:bidi="ar-LB"/>
        </w:rPr>
        <w:t>المسؤولية</w:t>
      </w:r>
      <w:r w:rsidR="00F32B28">
        <w:rPr>
          <w:rtl/>
          <w:lang w:bidi="ar-LB"/>
        </w:rPr>
        <w:t xml:space="preserve"> </w:t>
      </w:r>
      <w:r w:rsidR="00F32B28" w:rsidRPr="00F32B28">
        <w:rPr>
          <w:rtl/>
          <w:lang w:bidi="ar-LB"/>
        </w:rPr>
        <w:t>المدنية</w:t>
      </w:r>
      <w:r w:rsidR="00F32B28">
        <w:rPr>
          <w:rtl/>
          <w:lang w:bidi="ar-LB"/>
        </w:rPr>
        <w:t xml:space="preserve"> </w:t>
      </w:r>
      <w:r w:rsidR="00F32B28" w:rsidRPr="00F32B28">
        <w:rPr>
          <w:rtl/>
          <w:lang w:bidi="ar-LB"/>
        </w:rPr>
        <w:t>عن</w:t>
      </w:r>
      <w:r w:rsidR="00F32B28">
        <w:rPr>
          <w:rtl/>
          <w:lang w:bidi="ar-LB"/>
        </w:rPr>
        <w:t xml:space="preserve"> </w:t>
      </w:r>
      <w:r w:rsidR="00F32B28" w:rsidRPr="00F32B28">
        <w:rPr>
          <w:rtl/>
          <w:lang w:bidi="ar-LB"/>
        </w:rPr>
        <w:t>الأفعال</w:t>
      </w:r>
      <w:r w:rsidR="00F32B28">
        <w:rPr>
          <w:rtl/>
          <w:lang w:bidi="ar-LB"/>
        </w:rPr>
        <w:t xml:space="preserve"> </w:t>
      </w:r>
      <w:r w:rsidR="00F32B28" w:rsidRPr="00F32B28">
        <w:rPr>
          <w:rtl/>
          <w:lang w:bidi="ar-LB"/>
        </w:rPr>
        <w:t>الضارة</w:t>
      </w:r>
      <w:r w:rsidR="00F32B28">
        <w:rPr>
          <w:rtl/>
          <w:lang w:bidi="ar-LB"/>
        </w:rPr>
        <w:t xml:space="preserve"> </w:t>
      </w:r>
      <w:r w:rsidR="00F32B28" w:rsidRPr="00F32B28">
        <w:rPr>
          <w:rtl/>
          <w:lang w:bidi="ar-LB"/>
        </w:rPr>
        <w:t>(مسؤولية</w:t>
      </w:r>
      <w:r w:rsidR="00F32B28">
        <w:rPr>
          <w:rtl/>
          <w:lang w:bidi="ar-LB"/>
        </w:rPr>
        <w:t xml:space="preserve"> </w:t>
      </w:r>
      <w:r w:rsidR="00F32B28" w:rsidRPr="00F32B28">
        <w:rPr>
          <w:rtl/>
          <w:lang w:bidi="ar-LB"/>
        </w:rPr>
        <w:t>الدولة)</w:t>
      </w:r>
      <w:r w:rsidR="00F32B28">
        <w:rPr>
          <w:rtl/>
          <w:lang w:bidi="ar-LB"/>
        </w:rPr>
        <w:t xml:space="preserve"> </w:t>
      </w:r>
      <w:r w:rsidR="00F32B28" w:rsidRPr="00F32B28">
        <w:rPr>
          <w:rtl/>
          <w:lang w:bidi="ar-LB"/>
        </w:rPr>
        <w:t>لعام</w:t>
      </w:r>
      <w:r w:rsidR="00F32B28">
        <w:rPr>
          <w:rtl/>
          <w:lang w:bidi="ar-LB"/>
        </w:rPr>
        <w:t xml:space="preserve"> </w:t>
      </w:r>
      <w:r w:rsidR="00F32B28" w:rsidRPr="00F32B28">
        <w:rPr>
          <w:rtl/>
          <w:lang w:bidi="ar-LB"/>
        </w:rPr>
        <w:t>2005،</w:t>
      </w:r>
      <w:r w:rsidR="00F32B28">
        <w:rPr>
          <w:rtl/>
          <w:lang w:bidi="ar-LB"/>
        </w:rPr>
        <w:t xml:space="preserve"> </w:t>
      </w:r>
      <w:r w:rsidR="00F32B28" w:rsidRPr="00F32B28">
        <w:rPr>
          <w:rtl/>
          <w:lang w:bidi="ar-LB"/>
        </w:rPr>
        <w:t>بصيغته</w:t>
      </w:r>
      <w:r w:rsidR="00F32B28">
        <w:rPr>
          <w:rtl/>
          <w:lang w:bidi="ar-LB"/>
        </w:rPr>
        <w:t xml:space="preserve"> </w:t>
      </w:r>
      <w:r w:rsidR="00F32B28" w:rsidRPr="00F32B28">
        <w:rPr>
          <w:rtl/>
          <w:lang w:bidi="ar-LB"/>
        </w:rPr>
        <w:t>المعدلة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عام</w:t>
      </w:r>
      <w:r w:rsidR="00F32B28">
        <w:rPr>
          <w:rtl/>
          <w:lang w:bidi="ar-LB"/>
        </w:rPr>
        <w:t xml:space="preserve"> </w:t>
      </w:r>
      <w:r w:rsidR="00F32B28" w:rsidRPr="00F32B28">
        <w:rPr>
          <w:rtl/>
          <w:lang w:bidi="ar-LB"/>
        </w:rPr>
        <w:t>2012.</w:t>
      </w:r>
      <w:r w:rsidR="00F32B28">
        <w:rPr>
          <w:rtl/>
          <w:lang w:bidi="ar-LB"/>
        </w:rPr>
        <w:t xml:space="preserve"> </w:t>
      </w:r>
      <w:r w:rsidR="00F32B28" w:rsidRPr="00F32B28">
        <w:rPr>
          <w:rtl/>
          <w:lang w:bidi="ar-LB"/>
        </w:rPr>
        <w:t>وبدورها</w:t>
      </w:r>
      <w:r w:rsidR="00F32B28">
        <w:rPr>
          <w:rtl/>
          <w:lang w:bidi="ar-LB"/>
        </w:rPr>
        <w:t xml:space="preserve"> </w:t>
      </w:r>
      <w:r w:rsidR="00F32B28" w:rsidRPr="00F32B28">
        <w:rPr>
          <w:rtl/>
          <w:lang w:bidi="ar-LB"/>
        </w:rPr>
        <w:t>تمنع</w:t>
      </w:r>
      <w:r w:rsidR="00F32B28">
        <w:rPr>
          <w:rtl/>
          <w:lang w:bidi="ar-LB"/>
        </w:rPr>
        <w:t xml:space="preserve"> </w:t>
      </w:r>
      <w:r w:rsidR="00F32B28" w:rsidRPr="00F32B28">
        <w:rPr>
          <w:rtl/>
          <w:lang w:bidi="ar-LB"/>
        </w:rPr>
        <w:t>قوات</w:t>
      </w:r>
      <w:r w:rsidR="00F32B28">
        <w:rPr>
          <w:rtl/>
          <w:lang w:bidi="ar-LB"/>
        </w:rPr>
        <w:t xml:space="preserve"> </w:t>
      </w:r>
      <w:r w:rsidR="00F32B28" w:rsidRPr="00F32B28">
        <w:rPr>
          <w:rtl/>
          <w:lang w:bidi="ar-LB"/>
        </w:rPr>
        <w:t>الاحتلال</w:t>
      </w:r>
      <w:r w:rsidR="00F32B28">
        <w:rPr>
          <w:rtl/>
          <w:lang w:bidi="ar-LB"/>
        </w:rPr>
        <w:t xml:space="preserve"> </w:t>
      </w:r>
      <w:r w:rsidR="00F32B28" w:rsidRPr="00F32B28">
        <w:rPr>
          <w:rtl/>
          <w:lang w:bidi="ar-LB"/>
        </w:rPr>
        <w:t>الإسرائيلي</w:t>
      </w:r>
      <w:r w:rsidR="00F32B28">
        <w:rPr>
          <w:rtl/>
          <w:lang w:bidi="ar-LB"/>
        </w:rPr>
        <w:t xml:space="preserve"> </w:t>
      </w:r>
      <w:r w:rsidR="00F32B28" w:rsidRPr="00F32B28">
        <w:rPr>
          <w:rtl/>
          <w:lang w:bidi="ar-LB"/>
        </w:rPr>
        <w:t>الضحايا</w:t>
      </w:r>
      <w:r w:rsidR="00F32B28">
        <w:rPr>
          <w:rtl/>
          <w:lang w:bidi="ar-LB"/>
        </w:rPr>
        <w:t xml:space="preserve"> </w:t>
      </w:r>
      <w:r w:rsidR="00F32B28" w:rsidRPr="00F32B28">
        <w:rPr>
          <w:rtl/>
          <w:lang w:bidi="ar-LB"/>
        </w:rPr>
        <w:t>الفلسطينيين</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الوصول</w:t>
      </w:r>
      <w:r w:rsidR="00F32B28">
        <w:rPr>
          <w:rtl/>
          <w:lang w:bidi="ar-LB"/>
        </w:rPr>
        <w:t xml:space="preserve"> </w:t>
      </w:r>
      <w:r w:rsidR="00F32B28" w:rsidRPr="00F32B28">
        <w:rPr>
          <w:rtl/>
          <w:lang w:bidi="ar-SY"/>
        </w:rPr>
        <w:t>المادي</w:t>
      </w:r>
      <w:r w:rsidR="00F32B28">
        <w:rPr>
          <w:rtl/>
          <w:lang w:bidi="ar-SY"/>
        </w:rPr>
        <w:t xml:space="preserve"> </w:t>
      </w:r>
      <w:r w:rsidR="00F32B28" w:rsidRPr="00F32B28">
        <w:rPr>
          <w:rtl/>
          <w:lang w:bidi="ar-SY"/>
        </w:rPr>
        <w:t>للمحاكم</w:t>
      </w:r>
      <w:r w:rsidR="00F32B28">
        <w:rPr>
          <w:rtl/>
          <w:lang w:bidi="ar-SY"/>
        </w:rPr>
        <w:t xml:space="preserve"> </w:t>
      </w:r>
      <w:r w:rsidR="00F32B28" w:rsidRPr="00F32B28">
        <w:rPr>
          <w:rtl/>
          <w:lang w:bidi="ar-SY"/>
        </w:rPr>
        <w:t>الإسرائيلية</w:t>
      </w:r>
      <w:r w:rsidR="00F32B28">
        <w:rPr>
          <w:rtl/>
          <w:lang w:bidi="ar-SY"/>
        </w:rPr>
        <w:t xml:space="preserve"> </w:t>
      </w:r>
      <w:r w:rsidR="00F32B28" w:rsidRPr="00F32B28">
        <w:rPr>
          <w:rtl/>
          <w:lang w:bidi="ar-SY"/>
        </w:rPr>
        <w:t>بحكم</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تفرضه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سياسات</w:t>
      </w:r>
      <w:r w:rsidR="00F32B28">
        <w:rPr>
          <w:rtl/>
          <w:lang w:bidi="ar-SY"/>
        </w:rPr>
        <w:t xml:space="preserve"> </w:t>
      </w:r>
      <w:r w:rsidR="00F32B28" w:rsidRPr="00F32B28">
        <w:rPr>
          <w:rtl/>
          <w:lang w:bidi="ar-SY"/>
        </w:rPr>
        <w:t>وإجراءات</w:t>
      </w:r>
      <w:r w:rsidR="00F32B28">
        <w:rPr>
          <w:rtl/>
          <w:lang w:bidi="ar-SY"/>
        </w:rPr>
        <w:t xml:space="preserve"> </w:t>
      </w:r>
      <w:r w:rsidR="00F32B28" w:rsidRPr="00F32B28">
        <w:rPr>
          <w:rtl/>
          <w:lang w:bidi="ar-SY"/>
        </w:rPr>
        <w:t>عنصرية</w:t>
      </w:r>
      <w:r w:rsidR="004C698D">
        <w:rPr>
          <w:rFonts w:hint="cs"/>
          <w:rtl/>
          <w:lang w:bidi="ar-SY"/>
        </w:rPr>
        <w:t xml:space="preserve"> </w:t>
      </w:r>
      <w:r w:rsidR="00F32B28" w:rsidRPr="00F32B28">
        <w:rPr>
          <w:rtl/>
          <w:lang w:bidi="ar-SY"/>
        </w:rPr>
        <w:t>أمام</w:t>
      </w:r>
      <w:r w:rsidR="00F32B28">
        <w:rPr>
          <w:rtl/>
          <w:lang w:bidi="ar-SY"/>
        </w:rPr>
        <w:t xml:space="preserve"> </w:t>
      </w:r>
      <w:r w:rsidR="00F32B28" w:rsidRPr="00F32B28">
        <w:rPr>
          <w:rtl/>
          <w:lang w:bidi="ar-SY"/>
        </w:rPr>
        <w:t>حركة</w:t>
      </w:r>
      <w:r w:rsidR="00F32B28">
        <w:rPr>
          <w:rtl/>
          <w:lang w:bidi="ar-SY"/>
        </w:rPr>
        <w:t xml:space="preserve"> </w:t>
      </w:r>
      <w:r w:rsidR="00F32B28" w:rsidRPr="00F32B28">
        <w:rPr>
          <w:rtl/>
          <w:lang w:bidi="ar-SY"/>
        </w:rPr>
        <w:t>الفلسطينيين</w:t>
      </w:r>
      <w:r w:rsidR="004C698D">
        <w:rPr>
          <w:rFonts w:hint="cs"/>
          <w:rtl/>
          <w:lang w:bidi="ar-SY"/>
        </w:rPr>
        <w:t xml:space="preserve"> </w:t>
      </w:r>
      <w:r w:rsidR="00F32B28" w:rsidRPr="00F32B28">
        <w:rPr>
          <w:rtl/>
          <w:lang w:bidi="ar-SY"/>
        </w:rPr>
        <w:t>تحول</w:t>
      </w:r>
      <w:r w:rsidR="00F32B28">
        <w:rPr>
          <w:rtl/>
          <w:lang w:bidi="ar-SY"/>
        </w:rPr>
        <w:t xml:space="preserve"> </w:t>
      </w:r>
      <w:r w:rsidR="00F32B28" w:rsidRPr="00F32B28">
        <w:rPr>
          <w:rtl/>
          <w:lang w:bidi="ar-SY"/>
        </w:rPr>
        <w:t>دون</w:t>
      </w:r>
      <w:r w:rsidR="00F32B28">
        <w:rPr>
          <w:rtl/>
          <w:lang w:bidi="ar-SY"/>
        </w:rPr>
        <w:t xml:space="preserve"> </w:t>
      </w:r>
      <w:r w:rsidR="00F32B28" w:rsidRPr="00F32B28">
        <w:rPr>
          <w:rtl/>
          <w:lang w:bidi="ar-SY"/>
        </w:rPr>
        <w:t>وصولهم</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المحاكم</w:t>
      </w:r>
      <w:r w:rsidR="00F32B28">
        <w:rPr>
          <w:rtl/>
          <w:lang w:bidi="ar-SY"/>
        </w:rPr>
        <w:t xml:space="preserve"> </w:t>
      </w:r>
      <w:r w:rsidR="00F32B28" w:rsidRPr="00F32B28">
        <w:rPr>
          <w:rtl/>
          <w:lang w:bidi="ar-SY"/>
        </w:rPr>
        <w:t>الواقعة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القدس</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الداخل.</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كله</w:t>
      </w:r>
      <w:r w:rsidR="00F32B28">
        <w:rPr>
          <w:rtl/>
          <w:lang w:bidi="ar-SY"/>
        </w:rPr>
        <w:t xml:space="preserve"> </w:t>
      </w:r>
      <w:r w:rsidR="00F32B28" w:rsidRPr="00F32B28">
        <w:rPr>
          <w:rtl/>
          <w:lang w:bidi="ar-SY"/>
        </w:rPr>
        <w:t>يؤدي</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إنكار</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الضحايا</w:t>
      </w:r>
      <w:r w:rsidR="00F32B28">
        <w:rPr>
          <w:rtl/>
          <w:lang w:bidi="ar-SY"/>
        </w:rPr>
        <w:t xml:space="preserve"> </w:t>
      </w:r>
      <w:r w:rsidR="00F32B28" w:rsidRPr="00F32B28">
        <w:rPr>
          <w:rtl/>
          <w:lang w:bidi="ar-SY"/>
        </w:rPr>
        <w:t>الفلسطينيين،</w:t>
      </w:r>
      <w:r w:rsidR="00F32B28">
        <w:rPr>
          <w:rtl/>
          <w:lang w:bidi="ar-SY"/>
        </w:rPr>
        <w:t xml:space="preserve"> </w:t>
      </w:r>
      <w:r w:rsidR="00F32B28" w:rsidRPr="00F32B28">
        <w:rPr>
          <w:rtl/>
          <w:lang w:bidi="ar-SY"/>
        </w:rPr>
        <w:t>نساءً</w:t>
      </w:r>
      <w:r w:rsidR="00F32B28">
        <w:rPr>
          <w:rtl/>
          <w:lang w:bidi="ar-SY"/>
        </w:rPr>
        <w:t xml:space="preserve"> </w:t>
      </w:r>
      <w:r w:rsidR="00F32B28" w:rsidRPr="00F32B28">
        <w:rPr>
          <w:rtl/>
          <w:lang w:bidi="ar-SY"/>
        </w:rPr>
        <w:t>ورجالاً،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العدالة</w:t>
      </w:r>
      <w:r w:rsidR="00F32B28">
        <w:rPr>
          <w:rtl/>
          <w:lang w:bidi="ar-SY"/>
        </w:rPr>
        <w:t xml:space="preserve"> </w:t>
      </w:r>
      <w:r w:rsidR="00F32B28" w:rsidRPr="00F32B28">
        <w:rPr>
          <w:rtl/>
          <w:lang w:bidi="ar-SY"/>
        </w:rPr>
        <w:t>والتعويض،</w:t>
      </w:r>
      <w:r w:rsidR="00F32B28">
        <w:rPr>
          <w:rtl/>
          <w:lang w:bidi="ar-SY"/>
        </w:rPr>
        <w:t xml:space="preserve"> </w:t>
      </w:r>
      <w:r w:rsidR="00F32B28" w:rsidRPr="00F32B28">
        <w:rPr>
          <w:rtl/>
          <w:lang w:bidi="ar-SY"/>
        </w:rPr>
        <w:t>وتحصين</w:t>
      </w:r>
      <w:r w:rsidR="00F32B28">
        <w:rPr>
          <w:rtl/>
          <w:lang w:bidi="ar-LB"/>
        </w:rPr>
        <w:t xml:space="preserve"> </w:t>
      </w:r>
      <w:r w:rsidR="00F32B28" w:rsidRPr="00F32B28">
        <w:rPr>
          <w:rtl/>
          <w:lang w:bidi="ar-LB"/>
        </w:rPr>
        <w:t>جرائم</w:t>
      </w:r>
      <w:r w:rsidR="00F32B28">
        <w:rPr>
          <w:rtl/>
          <w:lang w:bidi="ar-LB"/>
        </w:rPr>
        <w:t xml:space="preserve"> </w:t>
      </w:r>
      <w:r w:rsidR="00F32B28" w:rsidRPr="00F32B28">
        <w:rPr>
          <w:rtl/>
          <w:lang w:bidi="ar-LB"/>
        </w:rPr>
        <w:t>الاحتلال</w:t>
      </w:r>
      <w:r w:rsidR="00F32B28">
        <w:rPr>
          <w:rtl/>
          <w:lang w:bidi="ar-LB"/>
        </w:rPr>
        <w:t xml:space="preserve"> </w:t>
      </w:r>
      <w:r w:rsidR="00F32B28" w:rsidRPr="00F32B28">
        <w:rPr>
          <w:rtl/>
          <w:lang w:bidi="ar-LB"/>
        </w:rPr>
        <w:t>الإسرائيلي</w:t>
      </w:r>
      <w:r w:rsidR="00F32B28">
        <w:rPr>
          <w:rtl/>
          <w:lang w:bidi="ar-LB"/>
        </w:rPr>
        <w:t xml:space="preserve"> </w:t>
      </w:r>
      <w:r w:rsidR="00F32B28" w:rsidRPr="00F32B28">
        <w:rPr>
          <w:rtl/>
          <w:lang w:bidi="ar-LB"/>
        </w:rPr>
        <w:t>وانتهاكاته</w:t>
      </w:r>
      <w:r w:rsidR="00F32B28">
        <w:rPr>
          <w:rtl/>
          <w:lang w:bidi="ar-LB"/>
        </w:rPr>
        <w:t xml:space="preserve"> </w:t>
      </w:r>
      <w:r w:rsidR="00F32B28" w:rsidRPr="00F32B28">
        <w:rPr>
          <w:rtl/>
          <w:lang w:bidi="ar-LB"/>
        </w:rPr>
        <w:t>المرتكبة</w:t>
      </w:r>
      <w:r w:rsidR="00F32B28">
        <w:rPr>
          <w:rtl/>
          <w:lang w:bidi="ar-LB"/>
        </w:rPr>
        <w:t xml:space="preserve"> </w:t>
      </w:r>
      <w:r w:rsidR="00F32B28" w:rsidRPr="00F32B28">
        <w:rPr>
          <w:rtl/>
          <w:lang w:bidi="ar-LB"/>
        </w:rPr>
        <w:t>بحقهم</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أية</w:t>
      </w:r>
      <w:r w:rsidR="00F32B28">
        <w:rPr>
          <w:rtl/>
          <w:lang w:bidi="ar-LB"/>
        </w:rPr>
        <w:t xml:space="preserve"> </w:t>
      </w:r>
      <w:r w:rsidR="00F32B28" w:rsidRPr="00F32B28">
        <w:rPr>
          <w:rtl/>
          <w:lang w:bidi="ar-LB"/>
        </w:rPr>
        <w:t>مساءلة،</w:t>
      </w:r>
      <w:r w:rsidR="00F32B28">
        <w:rPr>
          <w:rtl/>
          <w:lang w:bidi="ar-LB"/>
        </w:rPr>
        <w:t xml:space="preserve"> </w:t>
      </w:r>
      <w:r w:rsidR="00F32B28" w:rsidRPr="00F32B28">
        <w:rPr>
          <w:rtl/>
          <w:lang w:bidi="ar-LB"/>
        </w:rPr>
        <w:t>وإفلات</w:t>
      </w:r>
      <w:r w:rsidR="00F32B28">
        <w:rPr>
          <w:rtl/>
          <w:lang w:bidi="ar-LB"/>
        </w:rPr>
        <w:t xml:space="preserve"> </w:t>
      </w:r>
      <w:r w:rsidR="00F32B28" w:rsidRPr="00F32B28">
        <w:rPr>
          <w:rtl/>
          <w:lang w:bidi="ar-LB"/>
        </w:rPr>
        <w:t>مرتكبيها</w:t>
      </w:r>
      <w:r w:rsidR="00F32B28">
        <w:rPr>
          <w:rtl/>
          <w:lang w:bidi="ar-LB"/>
        </w:rPr>
        <w:t xml:space="preserve"> </w:t>
      </w:r>
      <w:r w:rsidR="00F32B28" w:rsidRPr="00F32B28">
        <w:rPr>
          <w:rtl/>
          <w:lang w:bidi="ar-LB"/>
        </w:rPr>
        <w:t>الإسرائيليين</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العقاب،</w:t>
      </w:r>
      <w:r w:rsidR="00F32B28">
        <w:rPr>
          <w:rtl/>
          <w:lang w:bidi="ar-LB"/>
        </w:rPr>
        <w:t xml:space="preserve"> </w:t>
      </w:r>
      <w:r w:rsidR="00F32B28" w:rsidRPr="00F32B28">
        <w:rPr>
          <w:rtl/>
          <w:lang w:bidi="ar-LB"/>
        </w:rPr>
        <w:t>سواء</w:t>
      </w:r>
      <w:r w:rsidR="00F32B28">
        <w:rPr>
          <w:rtl/>
          <w:lang w:bidi="ar-LB"/>
        </w:rPr>
        <w:t xml:space="preserve"> </w:t>
      </w:r>
      <w:r w:rsidR="00F32B28" w:rsidRPr="00F32B28">
        <w:rPr>
          <w:rtl/>
          <w:lang w:bidi="ar-LB"/>
        </w:rPr>
        <w:t>كانوا</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مليشيات</w:t>
      </w:r>
      <w:r w:rsidR="00F32B28">
        <w:rPr>
          <w:rtl/>
          <w:lang w:bidi="ar-LB"/>
        </w:rPr>
        <w:t xml:space="preserve"> </w:t>
      </w:r>
      <w:r w:rsidR="00F32B28" w:rsidRPr="00F32B28">
        <w:rPr>
          <w:rtl/>
          <w:lang w:bidi="ar-LB"/>
        </w:rPr>
        <w:t>المستوطنين</w:t>
      </w:r>
      <w:r w:rsidR="00F32B28">
        <w:rPr>
          <w:rtl/>
          <w:lang w:bidi="ar-LB"/>
        </w:rPr>
        <w:t xml:space="preserve"> </w:t>
      </w:r>
      <w:r w:rsidR="00F32B28" w:rsidRPr="00F32B28">
        <w:rPr>
          <w:rtl/>
          <w:lang w:bidi="ar-LB"/>
        </w:rPr>
        <w:t>الإرهابية</w:t>
      </w:r>
      <w:r w:rsidR="00F32B28">
        <w:rPr>
          <w:rtl/>
          <w:lang w:bidi="ar-LB"/>
        </w:rPr>
        <w:t xml:space="preserve"> </w:t>
      </w:r>
      <w:r w:rsidR="00F32B28" w:rsidRPr="00F32B28">
        <w:rPr>
          <w:rtl/>
          <w:lang w:bidi="ar-LB"/>
        </w:rPr>
        <w:t>أم</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قوات</w:t>
      </w:r>
      <w:r w:rsidR="00F32B28">
        <w:rPr>
          <w:rtl/>
          <w:lang w:bidi="ar-LB"/>
        </w:rPr>
        <w:t xml:space="preserve"> </w:t>
      </w:r>
      <w:r w:rsidR="00F32B28" w:rsidRPr="00F32B28">
        <w:rPr>
          <w:rtl/>
          <w:lang w:bidi="ar-LB"/>
        </w:rPr>
        <w:t>جيش</w:t>
      </w:r>
      <w:r w:rsidR="00F32B28">
        <w:rPr>
          <w:rtl/>
          <w:lang w:bidi="ar-LB"/>
        </w:rPr>
        <w:t xml:space="preserve"> </w:t>
      </w:r>
      <w:r w:rsidR="00F32B28" w:rsidRPr="00F32B28">
        <w:rPr>
          <w:rtl/>
          <w:lang w:bidi="ar-LB"/>
        </w:rPr>
        <w:t>الاحتلال،</w:t>
      </w:r>
      <w:r w:rsidR="00F32B28">
        <w:rPr>
          <w:rtl/>
          <w:lang w:bidi="ar-LB"/>
        </w:rPr>
        <w:t xml:space="preserve"> </w:t>
      </w:r>
      <w:r w:rsidR="00F32B28" w:rsidRPr="00F32B28">
        <w:rPr>
          <w:rtl/>
          <w:lang w:bidi="ar-LB"/>
        </w:rPr>
        <w:t>وإطلاق</w:t>
      </w:r>
      <w:r w:rsidR="00F32B28">
        <w:rPr>
          <w:rtl/>
          <w:lang w:bidi="ar-LB"/>
        </w:rPr>
        <w:t xml:space="preserve"> </w:t>
      </w:r>
      <w:r w:rsidR="00F32B28" w:rsidRPr="00F32B28">
        <w:rPr>
          <w:rtl/>
          <w:lang w:bidi="ar-SY"/>
        </w:rPr>
        <w:t>العنان</w:t>
      </w:r>
      <w:r w:rsidR="00F32B28">
        <w:rPr>
          <w:rtl/>
          <w:lang w:bidi="ar-SY"/>
        </w:rPr>
        <w:t xml:space="preserve"> </w:t>
      </w:r>
      <w:r w:rsidR="00F32B28" w:rsidRPr="00F32B28">
        <w:rPr>
          <w:rtl/>
          <w:lang w:bidi="ar-SY"/>
        </w:rPr>
        <w:t>لهم</w:t>
      </w:r>
      <w:r w:rsidR="00F32B28">
        <w:rPr>
          <w:rtl/>
          <w:lang w:bidi="ar-SY"/>
        </w:rPr>
        <w:t xml:space="preserve"> </w:t>
      </w:r>
      <w:r w:rsidR="00F32B28" w:rsidRPr="00F32B28">
        <w:rPr>
          <w:rtl/>
          <w:lang w:bidi="ar-LB"/>
        </w:rPr>
        <w:t>في</w:t>
      </w:r>
      <w:r w:rsidR="00F32B28">
        <w:rPr>
          <w:rtl/>
          <w:lang w:bidi="ar-LB"/>
        </w:rPr>
        <w:t xml:space="preserve"> </w:t>
      </w:r>
      <w:r w:rsidR="00F32B28" w:rsidRPr="00F32B28">
        <w:rPr>
          <w:rtl/>
          <w:lang w:bidi="ar-LB"/>
        </w:rPr>
        <w:t>الاستمرار</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ارتكاب</w:t>
      </w:r>
      <w:r w:rsidR="00F32B28">
        <w:rPr>
          <w:rtl/>
          <w:lang w:bidi="ar-LB"/>
        </w:rPr>
        <w:t xml:space="preserve"> </w:t>
      </w:r>
      <w:r w:rsidR="00F32B28" w:rsidRPr="00F32B28">
        <w:rPr>
          <w:rtl/>
          <w:lang w:bidi="ar-LB"/>
        </w:rPr>
        <w:t>جميع</w:t>
      </w:r>
      <w:r w:rsidR="00F32B28">
        <w:rPr>
          <w:rtl/>
          <w:lang w:bidi="ar-LB"/>
        </w:rPr>
        <w:t xml:space="preserve"> </w:t>
      </w:r>
      <w:r w:rsidR="00F32B28" w:rsidRPr="00F32B28">
        <w:rPr>
          <w:rtl/>
          <w:lang w:bidi="ar-LB"/>
        </w:rPr>
        <w:t>أعمال</w:t>
      </w:r>
      <w:r w:rsidR="00F32B28">
        <w:rPr>
          <w:rtl/>
          <w:lang w:bidi="ar-LB"/>
        </w:rPr>
        <w:t xml:space="preserve"> </w:t>
      </w:r>
      <w:r w:rsidR="00F32B28" w:rsidRPr="00F32B28">
        <w:rPr>
          <w:rtl/>
          <w:lang w:bidi="ar-LB"/>
        </w:rPr>
        <w:t>العنف</w:t>
      </w:r>
      <w:r w:rsidR="00F32B28">
        <w:rPr>
          <w:rtl/>
          <w:lang w:bidi="ar-LB"/>
        </w:rPr>
        <w:t xml:space="preserve"> </w:t>
      </w:r>
      <w:r w:rsidR="00F32B28" w:rsidRPr="00F32B28">
        <w:rPr>
          <w:rtl/>
          <w:lang w:bidi="ar-LB"/>
        </w:rPr>
        <w:t>والترهيب</w:t>
      </w:r>
      <w:r w:rsidR="004C698D">
        <w:rPr>
          <w:rFonts w:hint="cs"/>
          <w:rtl/>
          <w:lang w:bidi="ar-LB"/>
        </w:rPr>
        <w:t xml:space="preserve"> </w:t>
      </w:r>
      <w:r w:rsidR="00F32B28" w:rsidRPr="00F32B28">
        <w:rPr>
          <w:rtl/>
          <w:lang w:bidi="ar-LB"/>
        </w:rPr>
        <w:t>ضد</w:t>
      </w:r>
      <w:r w:rsidR="00F32B28">
        <w:rPr>
          <w:rtl/>
          <w:lang w:bidi="ar-LB"/>
        </w:rPr>
        <w:t xml:space="preserve"> </w:t>
      </w:r>
      <w:r w:rsidR="00F32B28" w:rsidRPr="00F32B28">
        <w:rPr>
          <w:rtl/>
          <w:lang w:bidi="ar-LB"/>
        </w:rPr>
        <w:t>الممتلكات</w:t>
      </w:r>
      <w:r w:rsidR="00F32B28">
        <w:rPr>
          <w:rtl/>
          <w:lang w:bidi="ar-LB"/>
        </w:rPr>
        <w:t xml:space="preserve"> </w:t>
      </w:r>
      <w:r w:rsidR="00F32B28" w:rsidRPr="00F32B28">
        <w:rPr>
          <w:rtl/>
          <w:lang w:bidi="ar-LB"/>
        </w:rPr>
        <w:t>والأشخاص</w:t>
      </w:r>
      <w:r w:rsidR="00F32B28">
        <w:rPr>
          <w:rtl/>
          <w:lang w:bidi="ar-LB"/>
        </w:rPr>
        <w:t xml:space="preserve"> </w:t>
      </w:r>
      <w:r w:rsidR="00F32B28" w:rsidRPr="00F32B28">
        <w:rPr>
          <w:rtl/>
          <w:lang w:bidi="ar-LB"/>
        </w:rPr>
        <w:t>الفلسطينيين،</w:t>
      </w:r>
      <w:r w:rsidR="00F32B28">
        <w:rPr>
          <w:rtl/>
          <w:lang w:bidi="ar-LB"/>
        </w:rPr>
        <w:t xml:space="preserve"> </w:t>
      </w:r>
      <w:r w:rsidR="00F32B28" w:rsidRPr="00F32B28">
        <w:rPr>
          <w:rtl/>
          <w:lang w:bidi="ar-LB"/>
        </w:rPr>
        <w:t>رجالاً</w:t>
      </w:r>
      <w:r w:rsidR="00F32B28">
        <w:rPr>
          <w:rtl/>
          <w:lang w:bidi="ar-LB"/>
        </w:rPr>
        <w:t xml:space="preserve"> </w:t>
      </w:r>
      <w:r w:rsidR="00F32B28" w:rsidRPr="00F32B28">
        <w:rPr>
          <w:rtl/>
          <w:lang w:bidi="ar-LB"/>
        </w:rPr>
        <w:t>ونساءً،</w:t>
      </w:r>
      <w:r w:rsidR="00F32B28">
        <w:rPr>
          <w:rtl/>
          <w:lang w:bidi="ar-LB"/>
        </w:rPr>
        <w:t xml:space="preserve"> </w:t>
      </w:r>
      <w:r w:rsidR="00F32B28" w:rsidRPr="00F32B28">
        <w:rPr>
          <w:rtl/>
          <w:lang w:bidi="ar-LB"/>
        </w:rPr>
        <w:t>أينما</w:t>
      </w:r>
      <w:r w:rsidR="00F32B28">
        <w:rPr>
          <w:rtl/>
          <w:lang w:bidi="ar-LB"/>
        </w:rPr>
        <w:t xml:space="preserve"> </w:t>
      </w:r>
      <w:r w:rsidR="00F32B28" w:rsidRPr="00F32B28">
        <w:rPr>
          <w:rtl/>
          <w:lang w:bidi="ar-LB"/>
        </w:rPr>
        <w:t>وجدوا.</w:t>
      </w:r>
    </w:p>
    <w:p w:rsidR="00565595" w:rsidRPr="00565595" w:rsidRDefault="00565595" w:rsidP="00565595">
      <w:pPr>
        <w:pStyle w:val="SingleTxt"/>
        <w:spacing w:after="0" w:line="120" w:lineRule="exact"/>
        <w:rPr>
          <w:b/>
          <w:bCs/>
          <w:sz w:val="10"/>
          <w:rtl/>
          <w:lang w:bidi="ar-JO"/>
        </w:rPr>
      </w:pPr>
    </w:p>
    <w:p w:rsidR="00F32B28" w:rsidRPr="00F32B28" w:rsidRDefault="00F32B28" w:rsidP="00565595">
      <w:pPr>
        <w:pStyle w:val="SingleTxt"/>
        <w:rPr>
          <w:b/>
          <w:bCs/>
          <w:rtl/>
          <w:lang w:bidi="ar-JO"/>
        </w:rPr>
      </w:pPr>
      <w:r w:rsidRPr="00F32B28">
        <w:rPr>
          <w:b/>
          <w:bCs/>
          <w:rtl/>
          <w:lang w:bidi="ar-JO"/>
        </w:rPr>
        <w:t>المادة</w:t>
      </w:r>
      <w:r>
        <w:rPr>
          <w:b/>
          <w:bCs/>
          <w:rtl/>
          <w:lang w:bidi="ar-JO"/>
        </w:rPr>
        <w:t xml:space="preserve"> </w:t>
      </w:r>
      <w:r w:rsidRPr="00F32B28">
        <w:rPr>
          <w:b/>
          <w:bCs/>
          <w:rtl/>
          <w:lang w:bidi="ar-JO"/>
        </w:rPr>
        <w:t>(16)</w:t>
      </w:r>
      <w:r w:rsidR="00565595">
        <w:rPr>
          <w:rFonts w:hint="cs"/>
          <w:b/>
          <w:bCs/>
          <w:rtl/>
          <w:lang w:bidi="ar-JO"/>
        </w:rPr>
        <w:tab/>
      </w:r>
      <w:r w:rsidR="00565595">
        <w:rPr>
          <w:rFonts w:hint="cs"/>
          <w:b/>
          <w:bCs/>
          <w:rtl/>
          <w:lang w:bidi="ar-JO"/>
        </w:rPr>
        <w:br/>
      </w:r>
      <w:r w:rsidRPr="00F32B28">
        <w:rPr>
          <w:b/>
          <w:bCs/>
          <w:rtl/>
          <w:lang w:bidi="ar-JO"/>
        </w:rPr>
        <w:t>حقوق</w:t>
      </w:r>
      <w:r>
        <w:rPr>
          <w:b/>
          <w:bCs/>
          <w:rtl/>
          <w:lang w:bidi="ar-JO"/>
        </w:rPr>
        <w:t xml:space="preserve"> </w:t>
      </w:r>
      <w:r w:rsidRPr="00F32B28">
        <w:rPr>
          <w:b/>
          <w:bCs/>
          <w:rtl/>
          <w:lang w:bidi="ar-JO"/>
        </w:rPr>
        <w:t>المرأة</w:t>
      </w:r>
      <w:r>
        <w:rPr>
          <w:b/>
          <w:bCs/>
          <w:rtl/>
          <w:lang w:bidi="ar-JO"/>
        </w:rPr>
        <w:t xml:space="preserve"> </w:t>
      </w:r>
      <w:r w:rsidRPr="00F32B28">
        <w:rPr>
          <w:b/>
          <w:bCs/>
          <w:rtl/>
          <w:lang w:bidi="ar-JO"/>
        </w:rPr>
        <w:t>في</w:t>
      </w:r>
      <w:r>
        <w:rPr>
          <w:b/>
          <w:bCs/>
          <w:rtl/>
          <w:lang w:bidi="ar-JO"/>
        </w:rPr>
        <w:t xml:space="preserve"> </w:t>
      </w:r>
      <w:r w:rsidRPr="00F32B28">
        <w:rPr>
          <w:b/>
          <w:bCs/>
          <w:rtl/>
          <w:lang w:bidi="ar-JO"/>
        </w:rPr>
        <w:t>قوانين</w:t>
      </w:r>
      <w:r>
        <w:rPr>
          <w:b/>
          <w:bCs/>
          <w:rtl/>
          <w:lang w:bidi="ar-JO"/>
        </w:rPr>
        <w:t xml:space="preserve"> </w:t>
      </w:r>
      <w:r w:rsidRPr="00F32B28">
        <w:rPr>
          <w:b/>
          <w:bCs/>
          <w:rtl/>
          <w:lang w:bidi="ar-JO"/>
        </w:rPr>
        <w:t>الأحوال</w:t>
      </w:r>
      <w:r>
        <w:rPr>
          <w:b/>
          <w:bCs/>
          <w:rtl/>
          <w:lang w:bidi="ar-JO"/>
        </w:rPr>
        <w:t xml:space="preserve"> </w:t>
      </w:r>
      <w:r w:rsidRPr="00F32B28">
        <w:rPr>
          <w:b/>
          <w:bCs/>
          <w:rtl/>
          <w:lang w:bidi="ar-JO"/>
        </w:rPr>
        <w:t>الشخصية</w:t>
      </w:r>
    </w:p>
    <w:p w:rsidR="00F32B28" w:rsidRPr="00F32B28" w:rsidRDefault="00565595" w:rsidP="009F4D72">
      <w:pPr>
        <w:pStyle w:val="SingleTxt"/>
        <w:rPr>
          <w:rtl/>
          <w:lang w:bidi="ar-JO"/>
        </w:rPr>
      </w:pPr>
      <w:r>
        <w:rPr>
          <w:rFonts w:hint="cs"/>
          <w:rtl/>
          <w:lang w:bidi="ar-JO"/>
        </w:rPr>
        <w:t xml:space="preserve">323 - </w:t>
      </w:r>
      <w:r w:rsidR="00F32B28" w:rsidRPr="00F32B28">
        <w:rPr>
          <w:rtl/>
          <w:lang w:bidi="ar-JO"/>
        </w:rPr>
        <w:t>يَغيب</w:t>
      </w:r>
      <w:r w:rsidR="00F32B28">
        <w:rPr>
          <w:rtl/>
          <w:lang w:bidi="ar-JO"/>
        </w:rPr>
        <w:t xml:space="preserve"> </w:t>
      </w:r>
      <w:r w:rsidR="00F32B28" w:rsidRPr="00F32B28">
        <w:rPr>
          <w:rtl/>
          <w:lang w:bidi="ar-JO"/>
        </w:rPr>
        <w:t>عن</w:t>
      </w:r>
      <w:r w:rsidR="00F32B28">
        <w:rPr>
          <w:rtl/>
          <w:lang w:bidi="ar-JO"/>
        </w:rPr>
        <w:t xml:space="preserve"> </w:t>
      </w:r>
      <w:r w:rsidR="00F32B28" w:rsidRPr="00F32B28">
        <w:rPr>
          <w:rtl/>
          <w:lang w:bidi="ar-JO"/>
        </w:rPr>
        <w:t>مسائل</w:t>
      </w:r>
      <w:r w:rsidR="00F32B28">
        <w:rPr>
          <w:rtl/>
          <w:lang w:bidi="ar-JO"/>
        </w:rPr>
        <w:t xml:space="preserve"> </w:t>
      </w:r>
      <w:r w:rsidR="00F32B28" w:rsidRPr="00F32B28">
        <w:rPr>
          <w:rtl/>
          <w:lang w:bidi="ar-JO"/>
        </w:rPr>
        <w:t>الأحوال</w:t>
      </w:r>
      <w:r w:rsidR="00F32B28">
        <w:rPr>
          <w:rtl/>
          <w:lang w:bidi="ar-JO"/>
        </w:rPr>
        <w:t xml:space="preserve"> </w:t>
      </w:r>
      <w:r w:rsidR="00F32B28" w:rsidRPr="00F32B28">
        <w:rPr>
          <w:rtl/>
          <w:lang w:bidi="ar-JO"/>
        </w:rPr>
        <w:t>الشخصية</w:t>
      </w:r>
      <w:r w:rsidR="00F32B28">
        <w:rPr>
          <w:rtl/>
          <w:lang w:bidi="ar-JO"/>
        </w:rPr>
        <w:t xml:space="preserve"> </w:t>
      </w:r>
      <w:r w:rsidR="00F32B28" w:rsidRPr="00F32B28">
        <w:rPr>
          <w:rtl/>
          <w:lang w:bidi="ar-JO"/>
        </w:rPr>
        <w:t>للمسلمين</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فلسطين</w:t>
      </w:r>
      <w:r w:rsidR="00F32B28">
        <w:rPr>
          <w:rtl/>
          <w:lang w:bidi="ar-JO"/>
        </w:rPr>
        <w:t xml:space="preserve"> </w:t>
      </w:r>
      <w:r w:rsidR="00F32B28" w:rsidRPr="00F32B28">
        <w:rPr>
          <w:rtl/>
          <w:lang w:bidi="ar-JO"/>
        </w:rPr>
        <w:t>وجود</w:t>
      </w:r>
      <w:r w:rsidR="00F32B28">
        <w:rPr>
          <w:rtl/>
          <w:lang w:bidi="ar-JO"/>
        </w:rPr>
        <w:t xml:space="preserve"> </w:t>
      </w:r>
      <w:r w:rsidR="00F32B28" w:rsidRPr="00F32B28">
        <w:rPr>
          <w:rtl/>
          <w:lang w:bidi="ar-JO"/>
        </w:rPr>
        <w:t>منظومة</w:t>
      </w:r>
      <w:r w:rsidR="00F32B28">
        <w:rPr>
          <w:rtl/>
          <w:lang w:bidi="ar-JO"/>
        </w:rPr>
        <w:t xml:space="preserve"> </w:t>
      </w:r>
      <w:r w:rsidR="00F32B28" w:rsidRPr="00F32B28">
        <w:rPr>
          <w:rtl/>
          <w:lang w:bidi="ar-JO"/>
        </w:rPr>
        <w:t>تشريعية</w:t>
      </w:r>
      <w:r w:rsidR="00F32B28">
        <w:rPr>
          <w:rtl/>
          <w:lang w:bidi="ar-JO"/>
        </w:rPr>
        <w:t xml:space="preserve"> </w:t>
      </w:r>
      <w:r w:rsidR="00F32B28" w:rsidRPr="00F32B28">
        <w:rPr>
          <w:rtl/>
          <w:lang w:bidi="ar-JO"/>
        </w:rPr>
        <w:t>فلسطينية</w:t>
      </w:r>
      <w:r w:rsidR="00F32B28">
        <w:rPr>
          <w:rtl/>
          <w:lang w:bidi="ar-JO"/>
        </w:rPr>
        <w:t xml:space="preserve"> </w:t>
      </w:r>
      <w:r w:rsidR="00F32B28" w:rsidRPr="00F32B28">
        <w:rPr>
          <w:rtl/>
          <w:lang w:bidi="ar-JO"/>
        </w:rPr>
        <w:t>موحدة</w:t>
      </w:r>
      <w:r w:rsidR="00F32B28">
        <w:rPr>
          <w:rtl/>
          <w:lang w:bidi="ar-JO"/>
        </w:rPr>
        <w:t xml:space="preserve"> </w:t>
      </w:r>
      <w:r w:rsidR="00F32B28" w:rsidRPr="00F32B28">
        <w:rPr>
          <w:rtl/>
          <w:lang w:bidi="ar-JO"/>
        </w:rPr>
        <w:t>حديثة</w:t>
      </w:r>
      <w:r w:rsidR="00F32B28">
        <w:rPr>
          <w:rtl/>
          <w:lang w:bidi="ar-JO"/>
        </w:rPr>
        <w:t xml:space="preserve"> </w:t>
      </w:r>
      <w:r w:rsidR="00F32B28" w:rsidRPr="00F32B28">
        <w:rPr>
          <w:rtl/>
          <w:lang w:bidi="ar-JO"/>
        </w:rPr>
        <w:t>وعادلة؛</w:t>
      </w:r>
      <w:r w:rsidR="00F32B28">
        <w:rPr>
          <w:rtl/>
          <w:lang w:bidi="ar-JO"/>
        </w:rPr>
        <w:t xml:space="preserve"> </w:t>
      </w:r>
      <w:r w:rsidR="00F32B28" w:rsidRPr="00F32B28">
        <w:rPr>
          <w:rtl/>
          <w:lang w:bidi="ar-JO"/>
        </w:rPr>
        <w:t>ففي</w:t>
      </w:r>
      <w:r w:rsidR="00F32B28">
        <w:rPr>
          <w:rtl/>
          <w:lang w:bidi="ar-JO"/>
        </w:rPr>
        <w:t xml:space="preserve"> </w:t>
      </w:r>
      <w:r w:rsidR="00F32B28" w:rsidRPr="00F32B28">
        <w:rPr>
          <w:rtl/>
          <w:lang w:bidi="ar-JO"/>
        </w:rPr>
        <w:t>الضفة</w:t>
      </w:r>
      <w:r w:rsidR="00F32B28">
        <w:rPr>
          <w:rtl/>
          <w:lang w:bidi="ar-JO"/>
        </w:rPr>
        <w:t xml:space="preserve"> </w:t>
      </w:r>
      <w:r w:rsidR="00F32B28" w:rsidRPr="00F32B28">
        <w:rPr>
          <w:rtl/>
          <w:lang w:bidi="ar-JO"/>
        </w:rPr>
        <w:t>الغربية</w:t>
      </w:r>
      <w:r w:rsidR="00F32B28">
        <w:rPr>
          <w:rtl/>
          <w:lang w:bidi="ar-JO"/>
        </w:rPr>
        <w:t xml:space="preserve"> </w:t>
      </w:r>
      <w:r w:rsidR="00F32B28" w:rsidRPr="00F32B28">
        <w:rPr>
          <w:rtl/>
          <w:lang w:bidi="ar-JO"/>
        </w:rPr>
        <w:t>يطبق</w:t>
      </w:r>
      <w:r w:rsidR="00F32B28">
        <w:rPr>
          <w:rtl/>
          <w:lang w:bidi="ar-JO"/>
        </w:rPr>
        <w:t xml:space="preserve"> </w:t>
      </w:r>
      <w:r w:rsidR="00F32B28" w:rsidRPr="00F32B28">
        <w:rPr>
          <w:rtl/>
          <w:lang w:bidi="ar-JO"/>
        </w:rPr>
        <w:t>قانون</w:t>
      </w:r>
      <w:r w:rsidR="00F32B28">
        <w:rPr>
          <w:rtl/>
          <w:lang w:bidi="ar-JO"/>
        </w:rPr>
        <w:t xml:space="preserve"> </w:t>
      </w:r>
      <w:r w:rsidR="00F32B28" w:rsidRPr="00F32B28">
        <w:rPr>
          <w:rtl/>
          <w:lang w:bidi="ar-JO"/>
        </w:rPr>
        <w:t>الأحوال</w:t>
      </w:r>
      <w:r w:rsidR="00F32B28">
        <w:rPr>
          <w:rtl/>
          <w:lang w:bidi="ar-JO"/>
        </w:rPr>
        <w:t xml:space="preserve"> </w:t>
      </w:r>
      <w:r w:rsidR="00F32B28" w:rsidRPr="00F32B28">
        <w:rPr>
          <w:rtl/>
          <w:lang w:bidi="ar-JO"/>
        </w:rPr>
        <w:t>الشخصية</w:t>
      </w:r>
      <w:r w:rsidR="00F32B28">
        <w:rPr>
          <w:rtl/>
          <w:lang w:bidi="ar-JO"/>
        </w:rPr>
        <w:t xml:space="preserve"> </w:t>
      </w:r>
      <w:r w:rsidR="00F32B28" w:rsidRPr="00F32B28">
        <w:rPr>
          <w:rtl/>
          <w:lang w:bidi="ar-JO"/>
        </w:rPr>
        <w:t>الأردني</w:t>
      </w:r>
      <w:r w:rsidR="00F32B28">
        <w:rPr>
          <w:rtl/>
          <w:lang w:bidi="ar-JO"/>
        </w:rPr>
        <w:t xml:space="preserve"> </w:t>
      </w:r>
      <w:r w:rsidR="00F32B28" w:rsidRPr="00F32B28">
        <w:rPr>
          <w:rtl/>
          <w:lang w:bidi="ar-JO"/>
        </w:rPr>
        <w:t>رقم</w:t>
      </w:r>
      <w:r w:rsidR="00F32B28">
        <w:rPr>
          <w:rtl/>
          <w:lang w:bidi="ar-JO"/>
        </w:rPr>
        <w:t xml:space="preserve"> </w:t>
      </w:r>
      <w:r w:rsidR="00F32B28" w:rsidRPr="00F32B28">
        <w:rPr>
          <w:rtl/>
          <w:lang w:bidi="ar-JO"/>
        </w:rPr>
        <w:t>(61)</w:t>
      </w:r>
      <w:r w:rsidR="00F32B28">
        <w:rPr>
          <w:rtl/>
          <w:lang w:bidi="ar-JO"/>
        </w:rPr>
        <w:t xml:space="preserve"> </w:t>
      </w:r>
      <w:r w:rsidR="00F32B28" w:rsidRPr="00F32B28">
        <w:rPr>
          <w:rtl/>
          <w:lang w:bidi="ar-JO"/>
        </w:rPr>
        <w:t>لسنة</w:t>
      </w:r>
      <w:r w:rsidR="00F32B28">
        <w:rPr>
          <w:rtl/>
          <w:lang w:bidi="ar-JO"/>
        </w:rPr>
        <w:t xml:space="preserve"> </w:t>
      </w:r>
      <w:r w:rsidR="00F32B28" w:rsidRPr="00F32B28">
        <w:rPr>
          <w:rtl/>
          <w:lang w:bidi="ar-JO"/>
        </w:rPr>
        <w:t>1976</w:t>
      </w:r>
      <w:r w:rsidR="00F32B28">
        <w:rPr>
          <w:rtl/>
          <w:lang w:bidi="ar-JO"/>
        </w:rPr>
        <w:t xml:space="preserve"> </w:t>
      </w:r>
      <w:r w:rsidR="00F32B28" w:rsidRPr="00F32B28">
        <w:rPr>
          <w:rtl/>
          <w:lang w:bidi="ar-JO"/>
        </w:rPr>
        <w:t>وقانون</w:t>
      </w:r>
      <w:r w:rsidR="00F32B28">
        <w:rPr>
          <w:rtl/>
          <w:lang w:bidi="ar-JO"/>
        </w:rPr>
        <w:t xml:space="preserve"> </w:t>
      </w:r>
      <w:r w:rsidR="00F32B28" w:rsidRPr="00F32B28">
        <w:rPr>
          <w:rtl/>
          <w:lang w:bidi="ar-JO"/>
        </w:rPr>
        <w:t>أصول</w:t>
      </w:r>
      <w:r w:rsidR="00F32B28">
        <w:rPr>
          <w:rtl/>
          <w:lang w:bidi="ar-JO"/>
        </w:rPr>
        <w:t xml:space="preserve"> </w:t>
      </w:r>
      <w:r w:rsidR="00F32B28" w:rsidRPr="00F32B28">
        <w:rPr>
          <w:rtl/>
          <w:lang w:bidi="ar-JO"/>
        </w:rPr>
        <w:t>المحاكمات</w:t>
      </w:r>
      <w:r w:rsidR="00F32B28">
        <w:rPr>
          <w:rtl/>
          <w:lang w:bidi="ar-JO"/>
        </w:rPr>
        <w:t xml:space="preserve"> </w:t>
      </w:r>
      <w:r w:rsidR="00F32B28" w:rsidRPr="00F32B28">
        <w:rPr>
          <w:rtl/>
          <w:lang w:bidi="ar-JO"/>
        </w:rPr>
        <w:t>الشرعية</w:t>
      </w:r>
      <w:r w:rsidR="00F32B28">
        <w:rPr>
          <w:rtl/>
          <w:lang w:bidi="ar-JO"/>
        </w:rPr>
        <w:t xml:space="preserve"> </w:t>
      </w:r>
      <w:r w:rsidR="00F32B28" w:rsidRPr="00F32B28">
        <w:rPr>
          <w:rtl/>
          <w:lang w:bidi="ar-JO"/>
        </w:rPr>
        <w:t>رقم</w:t>
      </w:r>
      <w:r w:rsidR="00F32B28">
        <w:rPr>
          <w:rtl/>
          <w:lang w:bidi="ar-JO"/>
        </w:rPr>
        <w:t xml:space="preserve"> </w:t>
      </w:r>
      <w:r w:rsidR="00F32B28" w:rsidRPr="00F32B28">
        <w:rPr>
          <w:rtl/>
          <w:lang w:bidi="ar-JO"/>
        </w:rPr>
        <w:t>(31)</w:t>
      </w:r>
      <w:r w:rsidR="00F32B28">
        <w:rPr>
          <w:rtl/>
          <w:lang w:bidi="ar-JO"/>
        </w:rPr>
        <w:t xml:space="preserve"> </w:t>
      </w:r>
      <w:r w:rsidR="00F32B28" w:rsidRPr="00F32B28">
        <w:rPr>
          <w:rtl/>
          <w:lang w:bidi="ar-JO"/>
        </w:rPr>
        <w:t>لسنة</w:t>
      </w:r>
      <w:r w:rsidR="00F32B28">
        <w:rPr>
          <w:rtl/>
          <w:lang w:bidi="ar-JO"/>
        </w:rPr>
        <w:t xml:space="preserve"> </w:t>
      </w:r>
      <w:r w:rsidR="00F32B28" w:rsidRPr="00F32B28">
        <w:rPr>
          <w:rtl/>
          <w:lang w:bidi="ar-JO"/>
        </w:rPr>
        <w:t>1959</w:t>
      </w:r>
      <w:r w:rsidR="00F32B28">
        <w:rPr>
          <w:rtl/>
          <w:lang w:bidi="ar-JO"/>
        </w:rPr>
        <w:t xml:space="preserve"> </w:t>
      </w:r>
      <w:r w:rsidR="00F32B28" w:rsidRPr="00F32B28">
        <w:rPr>
          <w:rtl/>
          <w:lang w:bidi="ar-JO"/>
        </w:rPr>
        <w:t>مع</w:t>
      </w:r>
      <w:r w:rsidR="00F32B28">
        <w:rPr>
          <w:rtl/>
          <w:lang w:bidi="ar-JO"/>
        </w:rPr>
        <w:t xml:space="preserve"> </w:t>
      </w:r>
      <w:r w:rsidR="00F32B28" w:rsidRPr="00F32B28">
        <w:rPr>
          <w:rtl/>
          <w:lang w:bidi="ar-JO"/>
        </w:rPr>
        <w:t>تعديلاته،</w:t>
      </w:r>
      <w:r w:rsidR="00F32B28">
        <w:rPr>
          <w:rtl/>
          <w:lang w:bidi="ar-JO"/>
        </w:rPr>
        <w:t xml:space="preserve"> </w:t>
      </w:r>
      <w:r w:rsidR="00F32B28" w:rsidRPr="00F32B28">
        <w:rPr>
          <w:rtl/>
          <w:lang w:bidi="ar-JO"/>
        </w:rPr>
        <w:t>وأما</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قطاع</w:t>
      </w:r>
      <w:r w:rsidR="00F32B28">
        <w:rPr>
          <w:rtl/>
          <w:lang w:bidi="ar-JO"/>
        </w:rPr>
        <w:t xml:space="preserve"> </w:t>
      </w:r>
      <w:r w:rsidR="00F32B28" w:rsidRPr="00F32B28">
        <w:rPr>
          <w:rtl/>
          <w:lang w:bidi="ar-JO"/>
        </w:rPr>
        <w:t>غزة</w:t>
      </w:r>
      <w:r w:rsidR="00F32B28">
        <w:rPr>
          <w:rtl/>
          <w:lang w:bidi="ar-JO"/>
        </w:rPr>
        <w:t xml:space="preserve"> </w:t>
      </w:r>
      <w:r w:rsidR="00F32B28" w:rsidRPr="00F32B28">
        <w:rPr>
          <w:rtl/>
          <w:lang w:bidi="ar-JO"/>
        </w:rPr>
        <w:t>فيطبق</w:t>
      </w:r>
      <w:r w:rsidR="00F32B28">
        <w:rPr>
          <w:rtl/>
          <w:lang w:bidi="ar-JO"/>
        </w:rPr>
        <w:t xml:space="preserve"> </w:t>
      </w:r>
      <w:r w:rsidR="00F32B28" w:rsidRPr="00F32B28">
        <w:rPr>
          <w:rtl/>
          <w:lang w:bidi="ar-JO"/>
        </w:rPr>
        <w:t>كل</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قانون</w:t>
      </w:r>
      <w:r w:rsidR="00F32B28">
        <w:rPr>
          <w:rtl/>
          <w:lang w:bidi="ar-JO"/>
        </w:rPr>
        <w:t xml:space="preserve"> </w:t>
      </w:r>
      <w:r w:rsidR="00F32B28" w:rsidRPr="00F32B28">
        <w:rPr>
          <w:rtl/>
          <w:lang w:bidi="ar-JO"/>
        </w:rPr>
        <w:t>الأحوال</w:t>
      </w:r>
      <w:r w:rsidR="00F32B28">
        <w:rPr>
          <w:rtl/>
          <w:lang w:bidi="ar-JO"/>
        </w:rPr>
        <w:t xml:space="preserve"> </w:t>
      </w:r>
      <w:r w:rsidR="00F32B28" w:rsidRPr="00F32B28">
        <w:rPr>
          <w:rtl/>
          <w:lang w:bidi="ar-JO"/>
        </w:rPr>
        <w:t>الشخصية</w:t>
      </w:r>
      <w:r w:rsidR="00F32B28">
        <w:rPr>
          <w:rtl/>
          <w:lang w:bidi="ar-JO"/>
        </w:rPr>
        <w:t xml:space="preserve"> </w:t>
      </w:r>
      <w:r w:rsidR="00F32B28" w:rsidRPr="00F32B28">
        <w:rPr>
          <w:rtl/>
          <w:lang w:bidi="ar-JO"/>
        </w:rPr>
        <w:t>الصادر</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زمن</w:t>
      </w:r>
      <w:r w:rsidR="00F32B28">
        <w:rPr>
          <w:rtl/>
          <w:lang w:bidi="ar-JO"/>
        </w:rPr>
        <w:t xml:space="preserve"> </w:t>
      </w:r>
      <w:r w:rsidR="00F32B28" w:rsidRPr="00F32B28">
        <w:rPr>
          <w:rtl/>
          <w:lang w:bidi="ar-JO"/>
        </w:rPr>
        <w:t>الحكم</w:t>
      </w:r>
      <w:r w:rsidR="00F32B28">
        <w:rPr>
          <w:rtl/>
          <w:lang w:bidi="ar-JO"/>
        </w:rPr>
        <w:t xml:space="preserve"> </w:t>
      </w:r>
      <w:r w:rsidR="00F32B28" w:rsidRPr="00F32B28">
        <w:rPr>
          <w:rtl/>
          <w:lang w:bidi="ar-JO"/>
        </w:rPr>
        <w:t>العثماني</w:t>
      </w:r>
      <w:r w:rsidR="00F32B28">
        <w:rPr>
          <w:rtl/>
          <w:lang w:bidi="ar-JO"/>
        </w:rPr>
        <w:t xml:space="preserve"> </w:t>
      </w:r>
      <w:r w:rsidR="00F32B28" w:rsidRPr="00F32B28">
        <w:rPr>
          <w:rtl/>
          <w:lang w:bidi="ar-JO"/>
        </w:rPr>
        <w:t>لفلسطين</w:t>
      </w:r>
      <w:r w:rsidR="00F32B28">
        <w:rPr>
          <w:rtl/>
          <w:lang w:bidi="ar-JO"/>
        </w:rPr>
        <w:t xml:space="preserve"> </w:t>
      </w:r>
      <w:r w:rsidR="00F32B28" w:rsidRPr="00F32B28">
        <w:rPr>
          <w:rtl/>
          <w:lang w:bidi="ar-JO"/>
        </w:rPr>
        <w:t>لسنة</w:t>
      </w:r>
      <w:r w:rsidR="00F32B28">
        <w:rPr>
          <w:rtl/>
          <w:lang w:bidi="ar-JO"/>
        </w:rPr>
        <w:t xml:space="preserve"> </w:t>
      </w:r>
      <w:r w:rsidR="00F32B28" w:rsidRPr="00F32B28">
        <w:rPr>
          <w:rtl/>
          <w:lang w:bidi="ar-JO"/>
        </w:rPr>
        <w:t>1917</w:t>
      </w:r>
      <w:r w:rsidR="00F32B28">
        <w:rPr>
          <w:rtl/>
          <w:lang w:bidi="ar-JO"/>
        </w:rPr>
        <w:t xml:space="preserve"> </w:t>
      </w:r>
      <w:r w:rsidR="00F32B28" w:rsidRPr="00F32B28">
        <w:rPr>
          <w:rtl/>
          <w:lang w:bidi="ar-JO"/>
        </w:rPr>
        <w:t>وقانون</w:t>
      </w:r>
      <w:r w:rsidR="00F32B28">
        <w:rPr>
          <w:rtl/>
          <w:lang w:bidi="ar-JO"/>
        </w:rPr>
        <w:t xml:space="preserve"> </w:t>
      </w:r>
      <w:r w:rsidR="00F32B28" w:rsidRPr="00F32B28">
        <w:rPr>
          <w:rtl/>
          <w:lang w:bidi="ar-JO"/>
        </w:rPr>
        <w:t>حقوق</w:t>
      </w:r>
      <w:r w:rsidR="00F32B28">
        <w:rPr>
          <w:rtl/>
          <w:lang w:bidi="ar-JO"/>
        </w:rPr>
        <w:t xml:space="preserve"> </w:t>
      </w:r>
      <w:r w:rsidR="00F32B28" w:rsidRPr="00F32B28">
        <w:rPr>
          <w:rtl/>
          <w:lang w:bidi="ar-JO"/>
        </w:rPr>
        <w:t>العائلة</w:t>
      </w:r>
      <w:r w:rsidR="00F32B28">
        <w:rPr>
          <w:rtl/>
          <w:lang w:bidi="ar-JO"/>
        </w:rPr>
        <w:t xml:space="preserve"> </w:t>
      </w:r>
      <w:r w:rsidR="00F32B28" w:rsidRPr="00F32B28">
        <w:rPr>
          <w:rtl/>
          <w:lang w:bidi="ar-JO"/>
        </w:rPr>
        <w:t>الصادر</w:t>
      </w:r>
      <w:r w:rsidR="00F32B28">
        <w:rPr>
          <w:rtl/>
          <w:lang w:bidi="ar-JO"/>
        </w:rPr>
        <w:t xml:space="preserve"> </w:t>
      </w:r>
      <w:r w:rsidR="00F32B28" w:rsidRPr="00F32B28">
        <w:rPr>
          <w:rtl/>
          <w:lang w:bidi="ar-JO"/>
        </w:rPr>
        <w:t>بالأمر</w:t>
      </w:r>
      <w:r w:rsidR="00F32B28">
        <w:rPr>
          <w:rtl/>
          <w:lang w:bidi="ar-JO"/>
        </w:rPr>
        <w:t xml:space="preserve"> </w:t>
      </w:r>
      <w:r w:rsidR="00F32B28" w:rsidRPr="00F32B28">
        <w:rPr>
          <w:rtl/>
          <w:lang w:bidi="ar-JO"/>
        </w:rPr>
        <w:t>رقم</w:t>
      </w:r>
      <w:r w:rsidR="00F32B28">
        <w:rPr>
          <w:rtl/>
          <w:lang w:bidi="ar-JO"/>
        </w:rPr>
        <w:t xml:space="preserve"> </w:t>
      </w:r>
      <w:r w:rsidR="00F32B28" w:rsidRPr="00F32B28">
        <w:rPr>
          <w:rtl/>
          <w:lang w:bidi="ar-JO"/>
        </w:rPr>
        <w:t>(303)</w:t>
      </w:r>
      <w:r w:rsidR="00F32B28">
        <w:rPr>
          <w:rtl/>
          <w:lang w:bidi="ar-JO"/>
        </w:rPr>
        <w:t xml:space="preserve"> </w:t>
      </w:r>
      <w:r w:rsidR="00F32B28" w:rsidRPr="00F32B28">
        <w:rPr>
          <w:rtl/>
          <w:lang w:bidi="ar-JO"/>
        </w:rPr>
        <w:t>لسنة</w:t>
      </w:r>
      <w:r w:rsidR="00F32B28">
        <w:rPr>
          <w:rtl/>
          <w:lang w:bidi="ar-JO"/>
        </w:rPr>
        <w:t xml:space="preserve"> </w:t>
      </w:r>
      <w:r w:rsidR="00F32B28" w:rsidRPr="00F32B28">
        <w:rPr>
          <w:rtl/>
          <w:lang w:bidi="ar-JO"/>
        </w:rPr>
        <w:t>1954،</w:t>
      </w:r>
      <w:r w:rsidR="00F32B28">
        <w:rPr>
          <w:rtl/>
          <w:lang w:bidi="ar-JO"/>
        </w:rPr>
        <w:t xml:space="preserve"> </w:t>
      </w:r>
      <w:r w:rsidR="00F32B28" w:rsidRPr="00F32B28">
        <w:rPr>
          <w:rtl/>
          <w:lang w:bidi="ar-JO"/>
        </w:rPr>
        <w:t>ويتبع</w:t>
      </w:r>
      <w:r w:rsidR="00F32B28">
        <w:rPr>
          <w:rtl/>
          <w:lang w:bidi="ar-JO"/>
        </w:rPr>
        <w:t xml:space="preserve"> </w:t>
      </w:r>
      <w:r w:rsidR="00F32B28" w:rsidRPr="00F32B28">
        <w:rPr>
          <w:rtl/>
          <w:lang w:bidi="ar-JO"/>
        </w:rPr>
        <w:t>ذلك</w:t>
      </w:r>
      <w:r w:rsidR="00F32B28">
        <w:rPr>
          <w:rtl/>
          <w:lang w:bidi="ar-JO"/>
        </w:rPr>
        <w:t xml:space="preserve"> </w:t>
      </w:r>
      <w:r w:rsidR="00F32B28" w:rsidRPr="00F32B28">
        <w:rPr>
          <w:rtl/>
          <w:lang w:bidi="ar-JO"/>
        </w:rPr>
        <w:t>قانون</w:t>
      </w:r>
      <w:r w:rsidR="00F32B28">
        <w:rPr>
          <w:rtl/>
          <w:lang w:bidi="ar-JO"/>
        </w:rPr>
        <w:t xml:space="preserve"> </w:t>
      </w:r>
      <w:r w:rsidR="00F32B28" w:rsidRPr="00F32B28">
        <w:rPr>
          <w:rtl/>
          <w:lang w:bidi="ar-JO"/>
        </w:rPr>
        <w:t>أصول</w:t>
      </w:r>
      <w:r w:rsidR="00F32B28">
        <w:rPr>
          <w:rtl/>
          <w:lang w:bidi="ar-JO"/>
        </w:rPr>
        <w:t xml:space="preserve"> </w:t>
      </w:r>
      <w:r w:rsidR="00F32B28" w:rsidRPr="00F32B28">
        <w:rPr>
          <w:rtl/>
          <w:lang w:bidi="ar-JO"/>
        </w:rPr>
        <w:t>المحاكمات</w:t>
      </w:r>
      <w:r w:rsidR="00F32B28">
        <w:rPr>
          <w:rtl/>
          <w:lang w:bidi="ar-JO"/>
        </w:rPr>
        <w:t xml:space="preserve"> </w:t>
      </w:r>
      <w:r w:rsidR="00F32B28" w:rsidRPr="00F32B28">
        <w:rPr>
          <w:rtl/>
          <w:lang w:bidi="ar-JO"/>
        </w:rPr>
        <w:t>الشرعية</w:t>
      </w:r>
      <w:r w:rsidR="00F32B28">
        <w:rPr>
          <w:rtl/>
          <w:lang w:bidi="ar-JO"/>
        </w:rPr>
        <w:t xml:space="preserve"> </w:t>
      </w:r>
      <w:r w:rsidR="00F32B28" w:rsidRPr="00F32B28">
        <w:rPr>
          <w:rtl/>
          <w:lang w:bidi="ar-JO"/>
        </w:rPr>
        <w:t>رقم</w:t>
      </w:r>
      <w:r w:rsidR="00F32B28">
        <w:rPr>
          <w:rtl/>
          <w:lang w:bidi="ar-JO"/>
        </w:rPr>
        <w:t xml:space="preserve"> </w:t>
      </w:r>
      <w:r w:rsidR="00F32B28" w:rsidRPr="00F32B28">
        <w:rPr>
          <w:rtl/>
          <w:lang w:bidi="ar-JO"/>
        </w:rPr>
        <w:t>(12)</w:t>
      </w:r>
      <w:r w:rsidR="00F32B28">
        <w:rPr>
          <w:rtl/>
          <w:lang w:bidi="ar-JO"/>
        </w:rPr>
        <w:t xml:space="preserve"> </w:t>
      </w:r>
      <w:r w:rsidR="00F32B28" w:rsidRPr="00F32B28">
        <w:rPr>
          <w:rtl/>
          <w:lang w:bidi="ar-JO"/>
        </w:rPr>
        <w:t>لسنة</w:t>
      </w:r>
      <w:r w:rsidR="00F32B28">
        <w:rPr>
          <w:rtl/>
          <w:lang w:bidi="ar-JO"/>
        </w:rPr>
        <w:t xml:space="preserve"> </w:t>
      </w:r>
      <w:r w:rsidR="00F32B28" w:rsidRPr="00F32B28">
        <w:rPr>
          <w:rtl/>
          <w:lang w:bidi="ar-JO"/>
        </w:rPr>
        <w:t>1965</w:t>
      </w:r>
      <w:r w:rsidR="00F32B28">
        <w:rPr>
          <w:rtl/>
          <w:lang w:bidi="ar-JO"/>
        </w:rPr>
        <w:t xml:space="preserve"> </w:t>
      </w:r>
      <w:r w:rsidR="00F32B28" w:rsidRPr="00F32B28">
        <w:rPr>
          <w:rtl/>
          <w:lang w:bidi="ar-JO"/>
        </w:rPr>
        <w:t>الصادر</w:t>
      </w:r>
      <w:r w:rsidR="00F32B28">
        <w:rPr>
          <w:rtl/>
          <w:lang w:bidi="ar-JO"/>
        </w:rPr>
        <w:t xml:space="preserve"> </w:t>
      </w:r>
      <w:r w:rsidR="00F32B28" w:rsidRPr="00F32B28">
        <w:rPr>
          <w:rtl/>
          <w:lang w:bidi="ar-JO"/>
        </w:rPr>
        <w:t>عن</w:t>
      </w:r>
      <w:r w:rsidR="00F32B28">
        <w:rPr>
          <w:rtl/>
          <w:lang w:bidi="ar-JO"/>
        </w:rPr>
        <w:t xml:space="preserve"> </w:t>
      </w:r>
      <w:r w:rsidR="00F32B28" w:rsidRPr="00F32B28">
        <w:rPr>
          <w:rtl/>
          <w:lang w:bidi="ar-JO"/>
        </w:rPr>
        <w:t>الحاكم</w:t>
      </w:r>
      <w:r w:rsidR="00F32B28">
        <w:rPr>
          <w:rtl/>
          <w:lang w:bidi="ar-JO"/>
        </w:rPr>
        <w:t xml:space="preserve"> </w:t>
      </w:r>
      <w:r w:rsidR="00F32B28" w:rsidRPr="00F32B28">
        <w:rPr>
          <w:rtl/>
          <w:lang w:bidi="ar-JO"/>
        </w:rPr>
        <w:t>العام</w:t>
      </w:r>
      <w:r w:rsidR="00F32B28">
        <w:rPr>
          <w:rtl/>
          <w:lang w:bidi="ar-JO"/>
        </w:rPr>
        <w:t xml:space="preserve"> </w:t>
      </w:r>
      <w:r w:rsidR="00F32B28" w:rsidRPr="00F32B28">
        <w:rPr>
          <w:rtl/>
          <w:lang w:bidi="ar-JO"/>
        </w:rPr>
        <w:t>لقطاع</w:t>
      </w:r>
      <w:r w:rsidR="00F32B28">
        <w:rPr>
          <w:rtl/>
          <w:lang w:bidi="ar-JO"/>
        </w:rPr>
        <w:t xml:space="preserve"> </w:t>
      </w:r>
      <w:r w:rsidR="00F32B28" w:rsidRPr="00F32B28">
        <w:rPr>
          <w:rtl/>
          <w:lang w:bidi="ar-JO"/>
        </w:rPr>
        <w:t>غزة،</w:t>
      </w:r>
      <w:r w:rsidR="00F32B28">
        <w:rPr>
          <w:rtl/>
          <w:lang w:bidi="ar-JO"/>
        </w:rPr>
        <w:t xml:space="preserve"> </w:t>
      </w:r>
      <w:r w:rsidR="00F32B28" w:rsidRPr="00F32B28">
        <w:rPr>
          <w:rtl/>
          <w:lang w:bidi="ar-JO"/>
        </w:rPr>
        <w:t>والمواد</w:t>
      </w:r>
      <w:r w:rsidR="00F32B28">
        <w:rPr>
          <w:rtl/>
          <w:lang w:bidi="ar-JO"/>
        </w:rPr>
        <w:t xml:space="preserve"> </w:t>
      </w:r>
      <w:r w:rsidR="00F32B28" w:rsidRPr="00F32B28">
        <w:rPr>
          <w:rtl/>
          <w:lang w:bidi="ar-JO"/>
        </w:rPr>
        <w:t>المكملة</w:t>
      </w:r>
      <w:r w:rsidR="00F32B28">
        <w:rPr>
          <w:rtl/>
          <w:lang w:bidi="ar-JO"/>
        </w:rPr>
        <w:t xml:space="preserve"> </w:t>
      </w:r>
      <w:r w:rsidR="00F32B28" w:rsidRPr="00F32B28">
        <w:rPr>
          <w:rtl/>
          <w:lang w:bidi="ar-JO"/>
        </w:rPr>
        <w:t>له</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مجلة</w:t>
      </w:r>
      <w:r w:rsidR="00F32B28">
        <w:rPr>
          <w:rtl/>
          <w:lang w:bidi="ar-JO"/>
        </w:rPr>
        <w:t xml:space="preserve"> </w:t>
      </w:r>
      <w:r w:rsidR="00F32B28" w:rsidRPr="00F32B28">
        <w:rPr>
          <w:rtl/>
          <w:lang w:bidi="ar-JO"/>
        </w:rPr>
        <w:t>الأحكام</w:t>
      </w:r>
      <w:r w:rsidR="00F32B28">
        <w:rPr>
          <w:rtl/>
          <w:lang w:bidi="ar-JO"/>
        </w:rPr>
        <w:t xml:space="preserve"> </w:t>
      </w:r>
      <w:r w:rsidR="00F32B28" w:rsidRPr="00F32B28">
        <w:rPr>
          <w:rtl/>
          <w:lang w:bidi="ar-JO"/>
        </w:rPr>
        <w:t>العدلية،</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حين</w:t>
      </w:r>
      <w:r w:rsidR="00F32B28">
        <w:rPr>
          <w:rtl/>
          <w:lang w:bidi="ar-JO"/>
        </w:rPr>
        <w:t xml:space="preserve"> </w:t>
      </w:r>
      <w:r w:rsidR="00F32B28" w:rsidRPr="00F32B28">
        <w:rPr>
          <w:rtl/>
          <w:lang w:bidi="ar-JO"/>
        </w:rPr>
        <w:t>يتم</w:t>
      </w:r>
      <w:r w:rsidR="00F32B28">
        <w:rPr>
          <w:rtl/>
          <w:lang w:bidi="ar-JO"/>
        </w:rPr>
        <w:t xml:space="preserve"> </w:t>
      </w:r>
      <w:r w:rsidR="00F32B28" w:rsidRPr="00F32B28">
        <w:rPr>
          <w:rtl/>
          <w:lang w:bidi="ar-JO"/>
        </w:rPr>
        <w:t>العمل</w:t>
      </w:r>
      <w:r w:rsidR="00F32B28">
        <w:rPr>
          <w:rtl/>
          <w:lang w:bidi="ar-JO"/>
        </w:rPr>
        <w:t xml:space="preserve"> </w:t>
      </w:r>
      <w:r w:rsidR="00F32B28" w:rsidRPr="00F32B28">
        <w:rPr>
          <w:rtl/>
          <w:lang w:bidi="ar-JO"/>
        </w:rPr>
        <w:t>بقوانين</w:t>
      </w:r>
      <w:r w:rsidR="00F32B28">
        <w:rPr>
          <w:rtl/>
          <w:lang w:bidi="ar-JO"/>
        </w:rPr>
        <w:t xml:space="preserve"> </w:t>
      </w:r>
      <w:r w:rsidR="00F32B28" w:rsidRPr="00F32B28">
        <w:rPr>
          <w:rtl/>
          <w:lang w:bidi="ar-JO"/>
        </w:rPr>
        <w:t>الأحوال</w:t>
      </w:r>
      <w:r w:rsidR="00F32B28">
        <w:rPr>
          <w:rtl/>
          <w:lang w:bidi="ar-JO"/>
        </w:rPr>
        <w:t xml:space="preserve"> </w:t>
      </w:r>
      <w:r w:rsidR="00F32B28" w:rsidRPr="00F32B28">
        <w:rPr>
          <w:rtl/>
          <w:lang w:bidi="ar-JO"/>
        </w:rPr>
        <w:t>الشخصية</w:t>
      </w:r>
      <w:r w:rsidR="00F32B28">
        <w:rPr>
          <w:rtl/>
          <w:lang w:bidi="ar-JO"/>
        </w:rPr>
        <w:t xml:space="preserve"> </w:t>
      </w:r>
      <w:r w:rsidR="00F32B28" w:rsidRPr="00F32B28">
        <w:rPr>
          <w:rtl/>
          <w:lang w:bidi="ar-JO"/>
        </w:rPr>
        <w:t>التي</w:t>
      </w:r>
      <w:r w:rsidR="00F32B28">
        <w:rPr>
          <w:rtl/>
          <w:lang w:bidi="ar-JO"/>
        </w:rPr>
        <w:t xml:space="preserve"> </w:t>
      </w:r>
      <w:r w:rsidR="00F32B28" w:rsidRPr="00F32B28">
        <w:rPr>
          <w:rtl/>
          <w:lang w:bidi="ar-JO"/>
        </w:rPr>
        <w:t>تسري</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المملكة</w:t>
      </w:r>
      <w:r w:rsidR="00F32B28">
        <w:rPr>
          <w:rtl/>
          <w:lang w:bidi="ar-JO"/>
        </w:rPr>
        <w:t xml:space="preserve"> </w:t>
      </w:r>
      <w:r w:rsidR="00F32B28" w:rsidRPr="00F32B28">
        <w:rPr>
          <w:rtl/>
          <w:lang w:bidi="ar-JO"/>
        </w:rPr>
        <w:t>الأردنية</w:t>
      </w:r>
      <w:r w:rsidR="00F32B28">
        <w:rPr>
          <w:rtl/>
          <w:lang w:bidi="ar-JO"/>
        </w:rPr>
        <w:t xml:space="preserve"> </w:t>
      </w:r>
      <w:r w:rsidR="00F32B28" w:rsidRPr="00F32B28">
        <w:rPr>
          <w:rtl/>
          <w:lang w:bidi="ar-JO"/>
        </w:rPr>
        <w:t>الهاشمية</w:t>
      </w:r>
      <w:r w:rsidR="00F32B28">
        <w:rPr>
          <w:rtl/>
          <w:lang w:bidi="ar-JO"/>
        </w:rPr>
        <w:t xml:space="preserve"> </w:t>
      </w:r>
      <w:r w:rsidR="00F32B28" w:rsidRPr="00F32B28">
        <w:rPr>
          <w:rtl/>
          <w:lang w:bidi="ar-JO"/>
        </w:rPr>
        <w:t>وما</w:t>
      </w:r>
      <w:r w:rsidR="00F32B28">
        <w:rPr>
          <w:rtl/>
          <w:lang w:bidi="ar-JO"/>
        </w:rPr>
        <w:t xml:space="preserve"> </w:t>
      </w:r>
      <w:r w:rsidR="00F32B28" w:rsidRPr="00F32B28">
        <w:rPr>
          <w:rtl/>
          <w:lang w:bidi="ar-JO"/>
        </w:rPr>
        <w:t>يطرأ</w:t>
      </w:r>
      <w:r w:rsidR="00F32B28">
        <w:rPr>
          <w:rtl/>
          <w:lang w:bidi="ar-JO"/>
        </w:rPr>
        <w:t xml:space="preserve"> </w:t>
      </w:r>
      <w:r w:rsidR="00F32B28" w:rsidRPr="00F32B28">
        <w:rPr>
          <w:rtl/>
          <w:lang w:bidi="ar-JO"/>
        </w:rPr>
        <w:t>عليها</w:t>
      </w:r>
      <w:r w:rsidR="00F32B28">
        <w:rPr>
          <w:rtl/>
          <w:lang w:bidi="ar-JO"/>
        </w:rPr>
        <w:t xml:space="preserve"> </w:t>
      </w:r>
      <w:r w:rsidR="00F32B28" w:rsidRPr="00F32B28">
        <w:rPr>
          <w:rtl/>
          <w:lang w:bidi="ar-JO"/>
        </w:rPr>
        <w:t>من</w:t>
      </w:r>
      <w:r w:rsidR="00F32B28">
        <w:rPr>
          <w:rtl/>
          <w:lang w:bidi="ar-JO"/>
        </w:rPr>
        <w:t xml:space="preserve"> </w:t>
      </w:r>
      <w:r w:rsidR="00F32B28" w:rsidRPr="00F32B28">
        <w:rPr>
          <w:rtl/>
          <w:lang w:bidi="ar-JO"/>
        </w:rPr>
        <w:t>تعديلات</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محكمة</w:t>
      </w:r>
      <w:r w:rsidR="00F32B28">
        <w:rPr>
          <w:rtl/>
          <w:lang w:bidi="ar-JO"/>
        </w:rPr>
        <w:t xml:space="preserve"> </w:t>
      </w:r>
      <w:r w:rsidR="00F32B28" w:rsidRPr="00F32B28">
        <w:rPr>
          <w:rtl/>
          <w:lang w:bidi="ar-JO"/>
        </w:rPr>
        <w:t>القدس</w:t>
      </w:r>
      <w:r w:rsidR="00F32B28">
        <w:rPr>
          <w:rtl/>
          <w:lang w:bidi="ar-JO"/>
        </w:rPr>
        <w:t xml:space="preserve"> </w:t>
      </w:r>
      <w:r w:rsidR="00F32B28" w:rsidRPr="00F32B28">
        <w:rPr>
          <w:rtl/>
          <w:lang w:bidi="ar-JO"/>
        </w:rPr>
        <w:t>الشرعية</w:t>
      </w:r>
      <w:r w:rsidR="00F32B28">
        <w:rPr>
          <w:rtl/>
          <w:lang w:bidi="ar-JO"/>
        </w:rPr>
        <w:t xml:space="preserve"> </w:t>
      </w:r>
      <w:r w:rsidR="00F32B28" w:rsidRPr="00F32B28">
        <w:rPr>
          <w:rtl/>
          <w:lang w:bidi="ar-JO"/>
        </w:rPr>
        <w:t>الشرقية</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القدس</w:t>
      </w:r>
      <w:r w:rsidR="00F32B28">
        <w:rPr>
          <w:rtl/>
          <w:lang w:bidi="ar-JO"/>
        </w:rPr>
        <w:t xml:space="preserve"> </w:t>
      </w:r>
      <w:r w:rsidR="00F32B28" w:rsidRPr="00F32B28">
        <w:rPr>
          <w:rtl/>
          <w:lang w:bidi="ar-JO"/>
        </w:rPr>
        <w:t>بأثر</w:t>
      </w:r>
      <w:r w:rsidR="00F32B28">
        <w:rPr>
          <w:rtl/>
          <w:lang w:bidi="ar-JO"/>
        </w:rPr>
        <w:t xml:space="preserve"> </w:t>
      </w:r>
      <w:r w:rsidR="00F32B28" w:rsidRPr="00F32B28">
        <w:rPr>
          <w:rtl/>
          <w:lang w:bidi="ar-JO"/>
        </w:rPr>
        <w:t>فوري،</w:t>
      </w:r>
      <w:r w:rsidR="00F32B28">
        <w:rPr>
          <w:rtl/>
          <w:lang w:bidi="ar-JO"/>
        </w:rPr>
        <w:t xml:space="preserve"> </w:t>
      </w:r>
      <w:r w:rsidR="00F32B28" w:rsidRPr="00F32B28">
        <w:rPr>
          <w:rtl/>
          <w:lang w:bidi="ar-JO"/>
        </w:rPr>
        <w:t>باعتبارها</w:t>
      </w:r>
      <w:r w:rsidR="00F32B28">
        <w:rPr>
          <w:rtl/>
          <w:lang w:bidi="ar-JO"/>
        </w:rPr>
        <w:t xml:space="preserve"> </w:t>
      </w:r>
      <w:r w:rsidR="00F32B28" w:rsidRPr="00F32B28">
        <w:rPr>
          <w:rtl/>
          <w:lang w:bidi="ar-JO"/>
        </w:rPr>
        <w:t>تتبع</w:t>
      </w:r>
      <w:r w:rsidR="00F32B28">
        <w:rPr>
          <w:rtl/>
          <w:lang w:bidi="ar-JO"/>
        </w:rPr>
        <w:t xml:space="preserve"> </w:t>
      </w:r>
      <w:r w:rsidR="00F32B28" w:rsidRPr="00F32B28">
        <w:rPr>
          <w:rtl/>
          <w:lang w:bidi="ar-JO"/>
        </w:rPr>
        <w:t>إدارياً</w:t>
      </w:r>
      <w:r w:rsidR="00F32B28">
        <w:rPr>
          <w:rtl/>
          <w:lang w:bidi="ar-JO"/>
        </w:rPr>
        <w:t xml:space="preserve"> </w:t>
      </w:r>
      <w:r w:rsidR="00F32B28" w:rsidRPr="00F32B28">
        <w:rPr>
          <w:rtl/>
          <w:lang w:bidi="ar-JO"/>
        </w:rPr>
        <w:t>للمملكة</w:t>
      </w:r>
      <w:r w:rsidR="00F32B28">
        <w:rPr>
          <w:rtl/>
          <w:lang w:bidi="ar-JO"/>
        </w:rPr>
        <w:t xml:space="preserve"> </w:t>
      </w:r>
      <w:r w:rsidR="00F32B28" w:rsidRPr="00F32B28">
        <w:rPr>
          <w:rtl/>
          <w:lang w:bidi="ar-JO"/>
        </w:rPr>
        <w:t>حتى</w:t>
      </w:r>
      <w:r w:rsidR="00F32B28">
        <w:rPr>
          <w:rtl/>
          <w:lang w:bidi="ar-JO"/>
        </w:rPr>
        <w:t xml:space="preserve"> </w:t>
      </w:r>
      <w:r w:rsidR="00F32B28" w:rsidRPr="00F32B28">
        <w:rPr>
          <w:rtl/>
          <w:lang w:bidi="ar-JO"/>
        </w:rPr>
        <w:t>تاريخه،</w:t>
      </w:r>
      <w:r w:rsidR="00F32B28">
        <w:rPr>
          <w:rtl/>
          <w:lang w:bidi="ar-JO"/>
        </w:rPr>
        <w:t xml:space="preserve"> </w:t>
      </w:r>
      <w:r w:rsidR="00F32B28" w:rsidRPr="00F32B28">
        <w:rPr>
          <w:rtl/>
          <w:lang w:bidi="ar-JO"/>
        </w:rPr>
        <w:t>وتعمل</w:t>
      </w:r>
      <w:r w:rsidR="00F32B28">
        <w:rPr>
          <w:rtl/>
          <w:lang w:bidi="ar-JO"/>
        </w:rPr>
        <w:t xml:space="preserve"> </w:t>
      </w:r>
      <w:r w:rsidR="00F32B28" w:rsidRPr="00F32B28">
        <w:rPr>
          <w:rtl/>
          <w:lang w:bidi="ar-JO"/>
        </w:rPr>
        <w:t>هذه</w:t>
      </w:r>
      <w:r w:rsidR="00F32B28">
        <w:rPr>
          <w:rtl/>
          <w:lang w:bidi="ar-JO"/>
        </w:rPr>
        <w:t xml:space="preserve"> </w:t>
      </w:r>
      <w:r w:rsidR="00F32B28" w:rsidRPr="00F32B28">
        <w:rPr>
          <w:rtl/>
          <w:lang w:bidi="ar-JO"/>
        </w:rPr>
        <w:t>المحكمة</w:t>
      </w:r>
      <w:r w:rsidR="00F32B28">
        <w:rPr>
          <w:rtl/>
          <w:lang w:bidi="ar-JO"/>
        </w:rPr>
        <w:t xml:space="preserve"> </w:t>
      </w:r>
      <w:r w:rsidR="00F32B28" w:rsidRPr="00F32B28">
        <w:rPr>
          <w:rtl/>
          <w:lang w:bidi="ar-JO"/>
        </w:rPr>
        <w:t>حالياً</w:t>
      </w:r>
      <w:r w:rsidR="00F32B28">
        <w:rPr>
          <w:rtl/>
          <w:lang w:bidi="ar-JO"/>
        </w:rPr>
        <w:t xml:space="preserve"> </w:t>
      </w:r>
      <w:r w:rsidR="00F32B28" w:rsidRPr="00F32B28">
        <w:rPr>
          <w:rtl/>
          <w:lang w:bidi="ar-JO"/>
        </w:rPr>
        <w:t>على</w:t>
      </w:r>
      <w:r w:rsidR="00F32B28">
        <w:rPr>
          <w:rtl/>
          <w:lang w:bidi="ar-JO"/>
        </w:rPr>
        <w:t xml:space="preserve"> </w:t>
      </w:r>
      <w:r w:rsidR="00F32B28" w:rsidRPr="00F32B28">
        <w:rPr>
          <w:rtl/>
          <w:lang w:bidi="ar-JO"/>
        </w:rPr>
        <w:t>تطبيق</w:t>
      </w:r>
      <w:r w:rsidR="00F32B28">
        <w:rPr>
          <w:rtl/>
          <w:lang w:bidi="ar-JO"/>
        </w:rPr>
        <w:t xml:space="preserve"> </w:t>
      </w:r>
      <w:r w:rsidR="00F32B28" w:rsidRPr="00F32B28">
        <w:rPr>
          <w:rtl/>
          <w:lang w:bidi="ar-JO"/>
        </w:rPr>
        <w:t>قانون</w:t>
      </w:r>
      <w:r w:rsidR="00F32B28">
        <w:rPr>
          <w:rtl/>
          <w:lang w:bidi="ar-JO"/>
        </w:rPr>
        <w:t xml:space="preserve"> </w:t>
      </w:r>
      <w:r w:rsidR="00F32B28" w:rsidRPr="00F32B28">
        <w:rPr>
          <w:rtl/>
          <w:lang w:bidi="ar-JO"/>
        </w:rPr>
        <w:t>الأحوال</w:t>
      </w:r>
      <w:r w:rsidR="00F32B28">
        <w:rPr>
          <w:rtl/>
          <w:lang w:bidi="ar-JO"/>
        </w:rPr>
        <w:t xml:space="preserve"> </w:t>
      </w:r>
      <w:r w:rsidR="00F32B28" w:rsidRPr="00F32B28">
        <w:rPr>
          <w:rtl/>
          <w:lang w:bidi="ar-JO"/>
        </w:rPr>
        <w:t>الشخصية</w:t>
      </w:r>
      <w:r w:rsidR="00F32B28">
        <w:rPr>
          <w:rtl/>
          <w:lang w:bidi="ar-JO"/>
        </w:rPr>
        <w:t xml:space="preserve"> </w:t>
      </w:r>
      <w:r w:rsidR="00F32B28" w:rsidRPr="00F32B28">
        <w:rPr>
          <w:rtl/>
          <w:lang w:bidi="ar-JO"/>
        </w:rPr>
        <w:t>الأردني</w:t>
      </w:r>
      <w:r w:rsidR="00F32B28">
        <w:rPr>
          <w:rtl/>
          <w:lang w:bidi="ar-JO"/>
        </w:rPr>
        <w:t xml:space="preserve"> </w:t>
      </w:r>
      <w:r w:rsidR="00F32B28" w:rsidRPr="00F32B28">
        <w:rPr>
          <w:rtl/>
          <w:lang w:bidi="ar-JO"/>
        </w:rPr>
        <w:t>رقم</w:t>
      </w:r>
      <w:r w:rsidR="00F32B28">
        <w:rPr>
          <w:rtl/>
          <w:lang w:bidi="ar-JO"/>
        </w:rPr>
        <w:t xml:space="preserve"> </w:t>
      </w:r>
      <w:r w:rsidR="00F32B28" w:rsidRPr="00F32B28">
        <w:rPr>
          <w:rtl/>
          <w:lang w:bidi="ar-JO"/>
        </w:rPr>
        <w:t>36</w:t>
      </w:r>
      <w:r w:rsidR="0001622C">
        <w:rPr>
          <w:rFonts w:hint="cs"/>
          <w:rtl/>
          <w:lang w:bidi="ar-JO"/>
        </w:rPr>
        <w:t> </w:t>
      </w:r>
      <w:r w:rsidR="00F32B28" w:rsidRPr="00F32B28">
        <w:rPr>
          <w:rtl/>
          <w:lang w:bidi="ar-JO"/>
        </w:rPr>
        <w:t>لسنة</w:t>
      </w:r>
      <w:r w:rsidR="00F32B28">
        <w:rPr>
          <w:rtl/>
          <w:lang w:bidi="ar-JO"/>
        </w:rPr>
        <w:t xml:space="preserve"> </w:t>
      </w:r>
      <w:r w:rsidR="00F32B28" w:rsidRPr="00F32B28">
        <w:rPr>
          <w:rtl/>
          <w:lang w:bidi="ar-JO"/>
        </w:rPr>
        <w:t>2010</w:t>
      </w:r>
      <w:r w:rsidR="009F4D72">
        <w:rPr>
          <w:rFonts w:hint="cs"/>
          <w:rtl/>
          <w:lang w:bidi="ar-JO"/>
        </w:rPr>
        <w:t>.</w:t>
      </w:r>
    </w:p>
    <w:p w:rsidR="00F32B28" w:rsidRPr="00F32B28" w:rsidRDefault="00565595" w:rsidP="00565595">
      <w:pPr>
        <w:pStyle w:val="SingleTxt"/>
        <w:rPr>
          <w:rtl/>
        </w:rPr>
      </w:pPr>
      <w:r>
        <w:rPr>
          <w:rFonts w:hint="cs"/>
          <w:rtl/>
        </w:rPr>
        <w:t xml:space="preserve">324 - </w:t>
      </w:r>
      <w:r w:rsidR="00F32B28" w:rsidRPr="00F32B28">
        <w:rPr>
          <w:rtl/>
        </w:rPr>
        <w:t>وبشكل</w:t>
      </w:r>
      <w:r w:rsidR="00F32B28">
        <w:rPr>
          <w:rtl/>
        </w:rPr>
        <w:t xml:space="preserve"> </w:t>
      </w:r>
      <w:r w:rsidR="00F32B28" w:rsidRPr="00F32B28">
        <w:rPr>
          <w:rtl/>
        </w:rPr>
        <w:t>عام،</w:t>
      </w:r>
      <w:r w:rsidR="00F32B28">
        <w:rPr>
          <w:rtl/>
        </w:rPr>
        <w:t xml:space="preserve"> </w:t>
      </w:r>
      <w:r w:rsidR="00F32B28" w:rsidRPr="00F32B28">
        <w:rPr>
          <w:rtl/>
        </w:rPr>
        <w:t>تنظم</w:t>
      </w:r>
      <w:r w:rsidR="00F32B28">
        <w:rPr>
          <w:rtl/>
        </w:rPr>
        <w:t xml:space="preserve"> </w:t>
      </w:r>
      <w:r w:rsidR="00F32B28" w:rsidRPr="00F32B28">
        <w:rPr>
          <w:rtl/>
        </w:rPr>
        <w:t>هذه</w:t>
      </w:r>
      <w:r w:rsidR="00F32B28">
        <w:rPr>
          <w:rtl/>
        </w:rPr>
        <w:t xml:space="preserve"> </w:t>
      </w:r>
      <w:r w:rsidR="00F32B28" w:rsidRPr="00F32B28">
        <w:rPr>
          <w:rtl/>
        </w:rPr>
        <w:t>القوانين،</w:t>
      </w:r>
      <w:r w:rsidR="00F32B28">
        <w:rPr>
          <w:rtl/>
        </w:rPr>
        <w:t xml:space="preserve"> </w:t>
      </w:r>
      <w:r w:rsidR="00F32B28" w:rsidRPr="00F32B28">
        <w:rPr>
          <w:rtl/>
        </w:rPr>
        <w:t>على</w:t>
      </w:r>
      <w:r w:rsidR="00F32B28">
        <w:rPr>
          <w:rtl/>
        </w:rPr>
        <w:t xml:space="preserve"> </w:t>
      </w:r>
      <w:r w:rsidR="00F32B28" w:rsidRPr="00F32B28">
        <w:rPr>
          <w:rtl/>
        </w:rPr>
        <w:t>اختلافها،</w:t>
      </w:r>
      <w:r w:rsidR="00F32B28">
        <w:rPr>
          <w:rtl/>
        </w:rPr>
        <w:t xml:space="preserve"> </w:t>
      </w:r>
      <w:r w:rsidR="00F32B28" w:rsidRPr="00F32B28">
        <w:rPr>
          <w:rtl/>
        </w:rPr>
        <w:t>المسائل</w:t>
      </w:r>
      <w:r w:rsidR="00F32B28">
        <w:rPr>
          <w:rtl/>
        </w:rPr>
        <w:t xml:space="preserve"> </w:t>
      </w:r>
      <w:r w:rsidR="00F32B28" w:rsidRPr="00F32B28">
        <w:rPr>
          <w:rtl/>
        </w:rPr>
        <w:t>المتعلقة</w:t>
      </w:r>
      <w:r w:rsidR="00F32B28">
        <w:rPr>
          <w:rtl/>
        </w:rPr>
        <w:t xml:space="preserve"> </w:t>
      </w:r>
      <w:r w:rsidR="00F32B28" w:rsidRPr="00F32B28">
        <w:rPr>
          <w:rtl/>
        </w:rPr>
        <w:t>بالزواج</w:t>
      </w:r>
      <w:r w:rsidR="00F32B28">
        <w:rPr>
          <w:rtl/>
        </w:rPr>
        <w:t xml:space="preserve"> </w:t>
      </w:r>
      <w:r w:rsidR="00F32B28" w:rsidRPr="00F32B28">
        <w:rPr>
          <w:rtl/>
        </w:rPr>
        <w:t>والعلاقات</w:t>
      </w:r>
      <w:r w:rsidR="00F32B28">
        <w:rPr>
          <w:rtl/>
        </w:rPr>
        <w:t xml:space="preserve"> </w:t>
      </w:r>
      <w:r w:rsidR="00F32B28" w:rsidRPr="00F32B28">
        <w:rPr>
          <w:rtl/>
        </w:rPr>
        <w:t>الأسرية</w:t>
      </w:r>
      <w:r w:rsidR="00F32B28">
        <w:rPr>
          <w:rtl/>
        </w:rPr>
        <w:t xml:space="preserve"> </w:t>
      </w:r>
      <w:r w:rsidR="00F32B28" w:rsidRPr="00F32B28">
        <w:rPr>
          <w:rtl/>
        </w:rPr>
        <w:t>بدءاً</w:t>
      </w:r>
      <w:r w:rsidR="00F32B28">
        <w:rPr>
          <w:rtl/>
        </w:rPr>
        <w:t xml:space="preserve"> </w:t>
      </w:r>
      <w:r w:rsidR="00F32B28" w:rsidRPr="00F32B28">
        <w:rPr>
          <w:rtl/>
        </w:rPr>
        <w:t>من</w:t>
      </w:r>
      <w:r w:rsidR="00F32B28">
        <w:rPr>
          <w:rtl/>
        </w:rPr>
        <w:t xml:space="preserve"> </w:t>
      </w:r>
      <w:r w:rsidR="00F32B28" w:rsidRPr="00F32B28">
        <w:rPr>
          <w:rtl/>
        </w:rPr>
        <w:t>الخطوبة</w:t>
      </w:r>
      <w:r w:rsidR="00F32B28">
        <w:rPr>
          <w:rtl/>
        </w:rPr>
        <w:t xml:space="preserve"> </w:t>
      </w:r>
      <w:r w:rsidR="00F32B28" w:rsidRPr="00F32B28">
        <w:rPr>
          <w:rtl/>
        </w:rPr>
        <w:t>ثم</w:t>
      </w:r>
      <w:r w:rsidR="00F32B28">
        <w:rPr>
          <w:rtl/>
        </w:rPr>
        <w:t xml:space="preserve"> </w:t>
      </w:r>
      <w:r w:rsidR="00F32B28" w:rsidRPr="00F32B28">
        <w:rPr>
          <w:rtl/>
        </w:rPr>
        <w:t>الزواج</w:t>
      </w:r>
      <w:r w:rsidR="00F32B28">
        <w:rPr>
          <w:rtl/>
        </w:rPr>
        <w:t xml:space="preserve"> </w:t>
      </w:r>
      <w:r w:rsidR="00F32B28" w:rsidRPr="00F32B28">
        <w:rPr>
          <w:rtl/>
        </w:rPr>
        <w:t>وكل</w:t>
      </w:r>
      <w:r w:rsidR="00F32B28">
        <w:rPr>
          <w:rtl/>
        </w:rPr>
        <w:t xml:space="preserve"> </w:t>
      </w:r>
      <w:r w:rsidR="00F32B28" w:rsidRPr="00F32B28">
        <w:rPr>
          <w:rtl/>
        </w:rPr>
        <w:t>ما</w:t>
      </w:r>
      <w:r w:rsidR="00F32B28">
        <w:rPr>
          <w:rtl/>
        </w:rPr>
        <w:t xml:space="preserve"> </w:t>
      </w:r>
      <w:r w:rsidR="00F32B28" w:rsidRPr="00F32B28">
        <w:rPr>
          <w:rtl/>
        </w:rPr>
        <w:t>يتعلق</w:t>
      </w:r>
      <w:r w:rsidR="00F32B28">
        <w:rPr>
          <w:rtl/>
        </w:rPr>
        <w:t xml:space="preserve"> </w:t>
      </w:r>
      <w:r w:rsidR="00F32B28" w:rsidRPr="00F32B28">
        <w:rPr>
          <w:rtl/>
        </w:rPr>
        <w:t>بأمور</w:t>
      </w:r>
      <w:r w:rsidR="00F32B28">
        <w:rPr>
          <w:rtl/>
        </w:rPr>
        <w:t xml:space="preserve"> </w:t>
      </w:r>
      <w:r w:rsidR="00F32B28" w:rsidRPr="00F32B28">
        <w:rPr>
          <w:rtl/>
        </w:rPr>
        <w:t>الولادة</w:t>
      </w:r>
      <w:r w:rsidR="00F32B28">
        <w:rPr>
          <w:rtl/>
        </w:rPr>
        <w:t xml:space="preserve"> </w:t>
      </w:r>
      <w:r w:rsidR="00F32B28" w:rsidRPr="00F32B28">
        <w:rPr>
          <w:rtl/>
        </w:rPr>
        <w:t>والطلاق</w:t>
      </w:r>
      <w:r w:rsidR="00F32B28">
        <w:rPr>
          <w:rtl/>
        </w:rPr>
        <w:t xml:space="preserve"> </w:t>
      </w:r>
      <w:r w:rsidR="00F32B28" w:rsidRPr="00F32B28">
        <w:rPr>
          <w:rtl/>
        </w:rPr>
        <w:t>والوصية</w:t>
      </w:r>
      <w:r w:rsidR="00F32B28">
        <w:rPr>
          <w:rtl/>
        </w:rPr>
        <w:t xml:space="preserve"> </w:t>
      </w:r>
      <w:r w:rsidR="00F32B28" w:rsidRPr="00F32B28">
        <w:rPr>
          <w:rtl/>
        </w:rPr>
        <w:t>والمواريث،</w:t>
      </w:r>
      <w:r w:rsidR="00F32B28">
        <w:rPr>
          <w:rtl/>
        </w:rPr>
        <w:t xml:space="preserve"> </w:t>
      </w:r>
      <w:r w:rsidR="00F32B28" w:rsidRPr="00F32B28">
        <w:rPr>
          <w:rtl/>
        </w:rPr>
        <w:t>وتستند</w:t>
      </w:r>
      <w:r w:rsidR="00F32B28">
        <w:rPr>
          <w:rtl/>
        </w:rPr>
        <w:t xml:space="preserve"> </w:t>
      </w:r>
      <w:r w:rsidR="00F32B28" w:rsidRPr="00F32B28">
        <w:rPr>
          <w:rtl/>
        </w:rPr>
        <w:t>في</w:t>
      </w:r>
      <w:r w:rsidR="00F32B28">
        <w:rPr>
          <w:rtl/>
        </w:rPr>
        <w:t xml:space="preserve"> </w:t>
      </w:r>
      <w:r w:rsidR="00F32B28" w:rsidRPr="00F32B28">
        <w:rPr>
          <w:rtl/>
        </w:rPr>
        <w:t>أحكامها</w:t>
      </w:r>
      <w:r w:rsidR="00F32B28">
        <w:rPr>
          <w:rtl/>
        </w:rPr>
        <w:t xml:space="preserve"> </w:t>
      </w:r>
      <w:r w:rsidR="00F32B28" w:rsidRPr="00F32B28">
        <w:rPr>
          <w:rtl/>
        </w:rPr>
        <w:t>إلى</w:t>
      </w:r>
      <w:r w:rsidR="00F32B28">
        <w:rPr>
          <w:rtl/>
        </w:rPr>
        <w:t xml:space="preserve"> </w:t>
      </w:r>
      <w:r w:rsidR="00F32B28" w:rsidRPr="00F32B28">
        <w:rPr>
          <w:rtl/>
        </w:rPr>
        <w:t>الشريعة</w:t>
      </w:r>
      <w:r w:rsidR="00F32B28">
        <w:rPr>
          <w:rtl/>
        </w:rPr>
        <w:t xml:space="preserve"> </w:t>
      </w:r>
      <w:r w:rsidR="00F32B28" w:rsidRPr="00F32B28">
        <w:rPr>
          <w:rtl/>
        </w:rPr>
        <w:t>الإسلامية،</w:t>
      </w:r>
      <w:r w:rsidR="00F32B28">
        <w:rPr>
          <w:rtl/>
        </w:rPr>
        <w:t xml:space="preserve"> </w:t>
      </w:r>
      <w:r w:rsidR="00F32B28" w:rsidRPr="00F32B28">
        <w:rPr>
          <w:rtl/>
        </w:rPr>
        <w:t>أي</w:t>
      </w:r>
      <w:r w:rsidR="00F32B28">
        <w:rPr>
          <w:rtl/>
        </w:rPr>
        <w:t xml:space="preserve"> </w:t>
      </w:r>
      <w:r w:rsidR="00F32B28" w:rsidRPr="00F32B28">
        <w:rPr>
          <w:rtl/>
        </w:rPr>
        <w:t>القرآن</w:t>
      </w:r>
      <w:r w:rsidR="00F32B28">
        <w:rPr>
          <w:rtl/>
        </w:rPr>
        <w:t xml:space="preserve"> </w:t>
      </w:r>
      <w:r w:rsidR="00F32B28" w:rsidRPr="00F32B28">
        <w:rPr>
          <w:rtl/>
        </w:rPr>
        <w:t>الكريم</w:t>
      </w:r>
      <w:r w:rsidR="00F32B28">
        <w:rPr>
          <w:rtl/>
        </w:rPr>
        <w:t xml:space="preserve"> </w:t>
      </w:r>
      <w:r w:rsidR="00F32B28" w:rsidRPr="00F32B28">
        <w:rPr>
          <w:rtl/>
        </w:rPr>
        <w:t>والسنة</w:t>
      </w:r>
      <w:r w:rsidR="00F32B28">
        <w:rPr>
          <w:rtl/>
        </w:rPr>
        <w:t xml:space="preserve"> </w:t>
      </w:r>
      <w:r w:rsidR="00F32B28" w:rsidRPr="00F32B28">
        <w:rPr>
          <w:rtl/>
        </w:rPr>
        <w:t>النبوية،</w:t>
      </w:r>
      <w:r w:rsidR="00F32B28">
        <w:rPr>
          <w:rtl/>
        </w:rPr>
        <w:t xml:space="preserve"> </w:t>
      </w:r>
      <w:r w:rsidR="00F32B28" w:rsidRPr="00F32B28">
        <w:rPr>
          <w:rtl/>
        </w:rPr>
        <w:t>بالإضافة</w:t>
      </w:r>
      <w:r w:rsidR="00F32B28">
        <w:rPr>
          <w:rtl/>
        </w:rPr>
        <w:t xml:space="preserve"> </w:t>
      </w:r>
      <w:r w:rsidR="00F32B28" w:rsidRPr="00F32B28">
        <w:rPr>
          <w:rtl/>
        </w:rPr>
        <w:t>إلى</w:t>
      </w:r>
      <w:r w:rsidR="00F32B28">
        <w:rPr>
          <w:rtl/>
        </w:rPr>
        <w:t xml:space="preserve"> </w:t>
      </w:r>
      <w:r w:rsidR="00F32B28" w:rsidRPr="00F32B28">
        <w:rPr>
          <w:rtl/>
        </w:rPr>
        <w:t>بعض</w:t>
      </w:r>
      <w:r w:rsidR="00F32B28">
        <w:rPr>
          <w:rtl/>
        </w:rPr>
        <w:t xml:space="preserve"> </w:t>
      </w:r>
      <w:r w:rsidR="00F32B28" w:rsidRPr="00F32B28">
        <w:rPr>
          <w:rtl/>
        </w:rPr>
        <w:t>المذاهب</w:t>
      </w:r>
      <w:r w:rsidR="00F32B28">
        <w:rPr>
          <w:rtl/>
        </w:rPr>
        <w:t xml:space="preserve"> </w:t>
      </w:r>
      <w:r w:rsidR="00F32B28" w:rsidRPr="00F32B28">
        <w:rPr>
          <w:rtl/>
        </w:rPr>
        <w:t>الفقهية</w:t>
      </w:r>
      <w:r w:rsidR="00F32B28">
        <w:rPr>
          <w:rtl/>
        </w:rPr>
        <w:t xml:space="preserve"> </w:t>
      </w:r>
      <w:r w:rsidR="00F32B28" w:rsidRPr="00F32B28">
        <w:rPr>
          <w:rtl/>
        </w:rPr>
        <w:t>الإسلامية،</w:t>
      </w:r>
      <w:r w:rsidR="00F32B28">
        <w:rPr>
          <w:rtl/>
        </w:rPr>
        <w:t xml:space="preserve"> </w:t>
      </w:r>
      <w:r w:rsidR="00F32B28" w:rsidRPr="00F32B28">
        <w:rPr>
          <w:rtl/>
        </w:rPr>
        <w:t>وعلى</w:t>
      </w:r>
      <w:r w:rsidR="00F32B28">
        <w:rPr>
          <w:rtl/>
        </w:rPr>
        <w:t xml:space="preserve"> </w:t>
      </w:r>
      <w:r w:rsidR="00F32B28" w:rsidRPr="00F32B28">
        <w:rPr>
          <w:rtl/>
        </w:rPr>
        <w:t>رأسها</w:t>
      </w:r>
      <w:r w:rsidR="00F32B28">
        <w:rPr>
          <w:rtl/>
        </w:rPr>
        <w:t xml:space="preserve"> </w:t>
      </w:r>
      <w:r w:rsidR="00F32B28" w:rsidRPr="00F32B28">
        <w:rPr>
          <w:rtl/>
        </w:rPr>
        <w:t>المذهب</w:t>
      </w:r>
      <w:r w:rsidR="00F32B28">
        <w:rPr>
          <w:rtl/>
        </w:rPr>
        <w:t xml:space="preserve"> </w:t>
      </w:r>
      <w:r w:rsidR="00F32B28" w:rsidRPr="00F32B28">
        <w:rPr>
          <w:rtl/>
        </w:rPr>
        <w:t>الحنفي،</w:t>
      </w:r>
      <w:r w:rsidR="00F32B28">
        <w:rPr>
          <w:rtl/>
        </w:rPr>
        <w:t xml:space="preserve"> </w:t>
      </w:r>
      <w:r w:rsidR="00F32B28" w:rsidRPr="00F32B28">
        <w:rPr>
          <w:rtl/>
        </w:rPr>
        <w:t>حيث</w:t>
      </w:r>
      <w:r w:rsidR="00F32B28">
        <w:rPr>
          <w:rtl/>
        </w:rPr>
        <w:t xml:space="preserve"> </w:t>
      </w:r>
      <w:r w:rsidR="00F32B28" w:rsidRPr="00F32B28">
        <w:rPr>
          <w:rtl/>
        </w:rPr>
        <w:t>أن</w:t>
      </w:r>
      <w:r w:rsidR="00F32B28">
        <w:rPr>
          <w:rtl/>
        </w:rPr>
        <w:t xml:space="preserve"> </w:t>
      </w:r>
      <w:r w:rsidR="00F32B28" w:rsidRPr="00F32B28">
        <w:rPr>
          <w:rtl/>
        </w:rPr>
        <w:t>بعضاً</w:t>
      </w:r>
      <w:r w:rsidR="00F32B28">
        <w:rPr>
          <w:rtl/>
        </w:rPr>
        <w:t xml:space="preserve"> </w:t>
      </w:r>
      <w:r w:rsidR="00F32B28" w:rsidRPr="00F32B28">
        <w:rPr>
          <w:rtl/>
        </w:rPr>
        <w:t>من</w:t>
      </w:r>
      <w:r w:rsidR="00F32B28">
        <w:rPr>
          <w:rtl/>
        </w:rPr>
        <w:t xml:space="preserve"> </w:t>
      </w:r>
      <w:r w:rsidR="00F32B28" w:rsidRPr="00F32B28">
        <w:rPr>
          <w:rtl/>
        </w:rPr>
        <w:t>هذه</w:t>
      </w:r>
      <w:r w:rsidR="00F32B28">
        <w:rPr>
          <w:rtl/>
        </w:rPr>
        <w:t xml:space="preserve"> </w:t>
      </w:r>
      <w:r w:rsidR="00F32B28" w:rsidRPr="00F32B28">
        <w:rPr>
          <w:rtl/>
        </w:rPr>
        <w:t>القوانين</w:t>
      </w:r>
      <w:r w:rsidR="00F32B28">
        <w:rPr>
          <w:rtl/>
        </w:rPr>
        <w:t xml:space="preserve"> </w:t>
      </w:r>
      <w:r w:rsidR="00F32B28" w:rsidRPr="00F32B28">
        <w:rPr>
          <w:rtl/>
        </w:rPr>
        <w:t>تحيل</w:t>
      </w:r>
      <w:r w:rsidR="00F32B28">
        <w:rPr>
          <w:rtl/>
        </w:rPr>
        <w:t xml:space="preserve"> </w:t>
      </w:r>
      <w:r w:rsidR="00F32B28" w:rsidRPr="00F32B28">
        <w:rPr>
          <w:rtl/>
        </w:rPr>
        <w:t>العمل</w:t>
      </w:r>
      <w:r w:rsidR="00F32B28">
        <w:rPr>
          <w:rtl/>
        </w:rPr>
        <w:t xml:space="preserve"> </w:t>
      </w:r>
      <w:r w:rsidR="00F32B28" w:rsidRPr="00F32B28">
        <w:rPr>
          <w:rtl/>
        </w:rPr>
        <w:t>بما</w:t>
      </w:r>
      <w:r w:rsidR="00F32B28">
        <w:rPr>
          <w:rtl/>
        </w:rPr>
        <w:t xml:space="preserve"> </w:t>
      </w:r>
      <w:r w:rsidR="00F32B28" w:rsidRPr="00F32B28">
        <w:rPr>
          <w:rtl/>
        </w:rPr>
        <w:t>هو</w:t>
      </w:r>
      <w:r w:rsidR="00F32B28">
        <w:rPr>
          <w:rtl/>
        </w:rPr>
        <w:t xml:space="preserve"> </w:t>
      </w:r>
      <w:r w:rsidR="00F32B28" w:rsidRPr="00F32B28">
        <w:rPr>
          <w:rtl/>
        </w:rPr>
        <w:t>راجح</w:t>
      </w:r>
      <w:r w:rsidR="00F32B28">
        <w:rPr>
          <w:rtl/>
        </w:rPr>
        <w:t xml:space="preserve"> </w:t>
      </w:r>
      <w:r w:rsidR="00F32B28" w:rsidRPr="00F32B28">
        <w:rPr>
          <w:rtl/>
        </w:rPr>
        <w:t>في</w:t>
      </w:r>
      <w:r w:rsidR="00F32B28">
        <w:rPr>
          <w:rtl/>
        </w:rPr>
        <w:t xml:space="preserve"> </w:t>
      </w:r>
      <w:r w:rsidR="00F32B28" w:rsidRPr="00F32B28">
        <w:rPr>
          <w:rtl/>
        </w:rPr>
        <w:t>المذهب</w:t>
      </w:r>
      <w:r w:rsidR="00F32B28">
        <w:rPr>
          <w:rtl/>
        </w:rPr>
        <w:t xml:space="preserve"> </w:t>
      </w:r>
      <w:r w:rsidR="00F32B28" w:rsidRPr="00F32B28">
        <w:rPr>
          <w:rtl/>
        </w:rPr>
        <w:lastRenderedPageBreak/>
        <w:t>الحنفي</w:t>
      </w:r>
      <w:r w:rsidR="00F32B28">
        <w:rPr>
          <w:rtl/>
        </w:rPr>
        <w:t xml:space="preserve"> </w:t>
      </w:r>
      <w:r w:rsidR="00F32B28" w:rsidRPr="00F32B28">
        <w:rPr>
          <w:rtl/>
        </w:rPr>
        <w:t>عند</w:t>
      </w:r>
      <w:r w:rsidR="00F32B28">
        <w:rPr>
          <w:rtl/>
        </w:rPr>
        <w:t xml:space="preserve"> </w:t>
      </w:r>
      <w:r w:rsidR="00F32B28" w:rsidRPr="00F32B28">
        <w:rPr>
          <w:rtl/>
        </w:rPr>
        <w:t>شغور</w:t>
      </w:r>
      <w:r w:rsidR="00F32B28">
        <w:rPr>
          <w:rtl/>
        </w:rPr>
        <w:t xml:space="preserve"> </w:t>
      </w:r>
      <w:r w:rsidR="00F32B28" w:rsidRPr="00F32B28">
        <w:rPr>
          <w:rtl/>
        </w:rPr>
        <w:t>النص.</w:t>
      </w:r>
      <w:r w:rsidR="00F32B28">
        <w:rPr>
          <w:rtl/>
        </w:rPr>
        <w:t xml:space="preserve"> </w:t>
      </w:r>
      <w:r w:rsidR="00F32B28" w:rsidRPr="00F32B28">
        <w:rPr>
          <w:rtl/>
          <w:lang w:bidi="ar-JO"/>
        </w:rPr>
        <w:t>ويعتبر</w:t>
      </w:r>
      <w:r w:rsidR="00F32B28">
        <w:rPr>
          <w:rtl/>
          <w:lang w:bidi="ar-JO"/>
        </w:rPr>
        <w:t xml:space="preserve"> </w:t>
      </w:r>
      <w:r w:rsidR="00F32B28" w:rsidRPr="00F32B28">
        <w:rPr>
          <w:rtl/>
          <w:lang w:bidi="ar-JO"/>
        </w:rPr>
        <w:t>ديوان</w:t>
      </w:r>
      <w:r w:rsidR="00F32B28">
        <w:rPr>
          <w:rtl/>
          <w:lang w:bidi="ar-JO"/>
        </w:rPr>
        <w:t xml:space="preserve"> </w:t>
      </w:r>
      <w:r w:rsidR="00F32B28" w:rsidRPr="00F32B28">
        <w:rPr>
          <w:rtl/>
          <w:lang w:bidi="ar-JO"/>
        </w:rPr>
        <w:t>قاضي</w:t>
      </w:r>
      <w:r w:rsidR="00F32B28">
        <w:rPr>
          <w:rtl/>
          <w:lang w:bidi="ar-JO"/>
        </w:rPr>
        <w:t xml:space="preserve"> </w:t>
      </w:r>
      <w:r w:rsidR="00F32B28" w:rsidRPr="00F32B28">
        <w:rPr>
          <w:rtl/>
          <w:lang w:bidi="ar-JO"/>
        </w:rPr>
        <w:t>القضاة</w:t>
      </w:r>
      <w:r w:rsidR="00F32B28">
        <w:rPr>
          <w:rtl/>
          <w:lang w:bidi="ar-JO"/>
        </w:rPr>
        <w:t xml:space="preserve"> </w:t>
      </w:r>
      <w:r w:rsidR="00F32B28" w:rsidRPr="00F32B28">
        <w:rPr>
          <w:rtl/>
          <w:lang w:bidi="ar-JO"/>
        </w:rPr>
        <w:t>الشرعي</w:t>
      </w:r>
      <w:r w:rsidR="00F32B28">
        <w:rPr>
          <w:rtl/>
          <w:lang w:bidi="ar-JO"/>
        </w:rPr>
        <w:t xml:space="preserve"> </w:t>
      </w:r>
      <w:r w:rsidR="00F32B28" w:rsidRPr="00F32B28">
        <w:rPr>
          <w:rtl/>
          <w:lang w:bidi="ar-JO"/>
        </w:rPr>
        <w:t>الجهة</w:t>
      </w:r>
      <w:r w:rsidR="00F32B28">
        <w:rPr>
          <w:rtl/>
          <w:lang w:bidi="ar-JO"/>
        </w:rPr>
        <w:t xml:space="preserve"> </w:t>
      </w:r>
      <w:r w:rsidR="00F32B28" w:rsidRPr="00F32B28">
        <w:rPr>
          <w:rtl/>
          <w:lang w:bidi="ar-JO"/>
        </w:rPr>
        <w:t>المتخصصة</w:t>
      </w:r>
      <w:r w:rsidR="00F32B28">
        <w:rPr>
          <w:rtl/>
          <w:lang w:bidi="ar-JO"/>
        </w:rPr>
        <w:t xml:space="preserve"> </w:t>
      </w:r>
      <w:r w:rsidR="00F32B28" w:rsidRPr="00F32B28">
        <w:rPr>
          <w:rtl/>
          <w:lang w:bidi="ar-JO"/>
        </w:rPr>
        <w:t>بالأحوال</w:t>
      </w:r>
      <w:r w:rsidR="00F32B28">
        <w:rPr>
          <w:rtl/>
          <w:lang w:bidi="ar-JO"/>
        </w:rPr>
        <w:t xml:space="preserve"> </w:t>
      </w:r>
      <w:r w:rsidR="00F32B28" w:rsidRPr="00F32B28">
        <w:rPr>
          <w:rtl/>
          <w:lang w:bidi="ar-JO"/>
        </w:rPr>
        <w:t>الشخصية</w:t>
      </w:r>
      <w:r w:rsidR="00F32B28">
        <w:rPr>
          <w:rtl/>
          <w:lang w:bidi="ar-JO"/>
        </w:rPr>
        <w:t xml:space="preserve"> </w:t>
      </w:r>
      <w:r w:rsidR="00F32B28" w:rsidRPr="00F32B28">
        <w:rPr>
          <w:rtl/>
          <w:lang w:bidi="ar-JO"/>
        </w:rPr>
        <w:t>الخاصة</w:t>
      </w:r>
      <w:r w:rsidR="00F32B28">
        <w:rPr>
          <w:rtl/>
          <w:lang w:bidi="ar-JO"/>
        </w:rPr>
        <w:t xml:space="preserve"> </w:t>
      </w:r>
      <w:r w:rsidR="00F32B28" w:rsidRPr="00F32B28">
        <w:rPr>
          <w:rtl/>
          <w:lang w:bidi="ar-JO"/>
        </w:rPr>
        <w:t>بالمسلمين،</w:t>
      </w:r>
      <w:r w:rsidR="00F32B28">
        <w:rPr>
          <w:rtl/>
          <w:lang w:bidi="ar-JO"/>
        </w:rPr>
        <w:t xml:space="preserve"> </w:t>
      </w:r>
      <w:r w:rsidR="00F32B28" w:rsidRPr="00F32B28">
        <w:rPr>
          <w:rtl/>
          <w:lang w:bidi="ar-JO"/>
        </w:rPr>
        <w:t>وتختص</w:t>
      </w:r>
      <w:r w:rsidR="00F32B28">
        <w:rPr>
          <w:rtl/>
          <w:lang w:bidi="ar-JO"/>
        </w:rPr>
        <w:t xml:space="preserve"> </w:t>
      </w:r>
      <w:r w:rsidR="00F32B28" w:rsidRPr="00F32B28">
        <w:rPr>
          <w:rtl/>
          <w:lang w:bidi="ar-JO"/>
        </w:rPr>
        <w:t>المحاكم</w:t>
      </w:r>
      <w:r w:rsidR="00F32B28">
        <w:rPr>
          <w:rtl/>
          <w:lang w:bidi="ar-JO"/>
        </w:rPr>
        <w:t xml:space="preserve"> </w:t>
      </w:r>
      <w:r w:rsidR="00F32B28" w:rsidRPr="00F32B28">
        <w:rPr>
          <w:rtl/>
          <w:lang w:bidi="ar-JO"/>
        </w:rPr>
        <w:t>الشرعية</w:t>
      </w:r>
      <w:r w:rsidR="00F32B28">
        <w:rPr>
          <w:rtl/>
        </w:rPr>
        <w:t xml:space="preserve"> </w:t>
      </w:r>
      <w:r w:rsidR="00F32B28" w:rsidRPr="00F32B28">
        <w:rPr>
          <w:rtl/>
        </w:rPr>
        <w:t>بالنظر</w:t>
      </w:r>
      <w:r w:rsidR="00F32B28">
        <w:rPr>
          <w:rtl/>
        </w:rPr>
        <w:t xml:space="preserve"> </w:t>
      </w:r>
      <w:r w:rsidR="00F32B28" w:rsidRPr="00F32B28">
        <w:rPr>
          <w:rtl/>
        </w:rPr>
        <w:t>والفصل</w:t>
      </w:r>
      <w:r w:rsidR="00F32B28">
        <w:rPr>
          <w:rtl/>
        </w:rPr>
        <w:t xml:space="preserve"> </w:t>
      </w:r>
      <w:r w:rsidR="00F32B28" w:rsidRPr="00F32B28">
        <w:rPr>
          <w:rtl/>
        </w:rPr>
        <w:t>في</w:t>
      </w:r>
      <w:r w:rsidR="00F32B28">
        <w:rPr>
          <w:rtl/>
        </w:rPr>
        <w:t xml:space="preserve"> </w:t>
      </w:r>
      <w:r w:rsidR="00F32B28" w:rsidRPr="00F32B28">
        <w:rPr>
          <w:rtl/>
        </w:rPr>
        <w:t>مسائل</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للمسلمين</w:t>
      </w:r>
      <w:r w:rsidR="00F32B28" w:rsidRPr="00F32B28">
        <w:rPr>
          <w:rtl/>
          <w:lang w:bidi="ar-SY"/>
        </w:rPr>
        <w:t>.</w:t>
      </w:r>
      <w:r w:rsidR="00F32B28">
        <w:rPr>
          <w:rtl/>
          <w:lang w:bidi="ar-SY"/>
        </w:rPr>
        <w:t xml:space="preserve"> </w:t>
      </w:r>
      <w:r w:rsidR="00F32B28" w:rsidRPr="00F32B28">
        <w:rPr>
          <w:rtl/>
          <w:lang w:bidi="ar-SY"/>
        </w:rPr>
        <w:t>أما</w:t>
      </w:r>
      <w:r w:rsidR="00F32B28">
        <w:rPr>
          <w:rtl/>
          <w:lang w:bidi="ar-SY"/>
        </w:rPr>
        <w:t xml:space="preserve"> </w:t>
      </w:r>
      <w:r w:rsidR="00F32B28" w:rsidRPr="00F32B28">
        <w:rPr>
          <w:rtl/>
          <w:lang w:bidi="ar-SY"/>
        </w:rPr>
        <w:t>بخصوص</w:t>
      </w:r>
      <w:r w:rsidR="00F32B28">
        <w:rPr>
          <w:rtl/>
          <w:lang w:bidi="ar-SY"/>
        </w:rPr>
        <w:t xml:space="preserve"> </w:t>
      </w:r>
      <w:r w:rsidR="00F32B28" w:rsidRPr="00F32B28">
        <w:rPr>
          <w:rtl/>
          <w:lang w:bidi="ar-SY"/>
        </w:rPr>
        <w:t>الطوائف</w:t>
      </w:r>
      <w:r w:rsidR="00F32B28">
        <w:rPr>
          <w:rtl/>
          <w:lang w:bidi="ar-SY"/>
        </w:rPr>
        <w:t xml:space="preserve"> </w:t>
      </w:r>
      <w:r w:rsidR="00F32B28" w:rsidRPr="00F32B28">
        <w:rPr>
          <w:rtl/>
          <w:lang w:bidi="ar-SY"/>
        </w:rPr>
        <w:t>المسيحية،</w:t>
      </w:r>
      <w:r w:rsidR="00F32B28">
        <w:rPr>
          <w:rtl/>
          <w:lang w:bidi="ar-SY"/>
        </w:rPr>
        <w:t xml:space="preserve"> </w:t>
      </w:r>
      <w:r w:rsidR="00F32B28" w:rsidRPr="00F32B28">
        <w:rPr>
          <w:rtl/>
        </w:rPr>
        <w:t>فتخضع</w:t>
      </w:r>
      <w:r w:rsidR="00F32B28">
        <w:rPr>
          <w:rtl/>
        </w:rPr>
        <w:t xml:space="preserve"> </w:t>
      </w:r>
      <w:r w:rsidR="00F32B28" w:rsidRPr="00F32B28">
        <w:rPr>
          <w:rtl/>
        </w:rPr>
        <w:t>كل</w:t>
      </w:r>
      <w:r w:rsidR="00F32B28">
        <w:rPr>
          <w:rtl/>
        </w:rPr>
        <w:t xml:space="preserve"> </w:t>
      </w:r>
      <w:r w:rsidR="00F32B28" w:rsidRPr="00F32B28">
        <w:rPr>
          <w:rtl/>
        </w:rPr>
        <w:t>طائفة</w:t>
      </w:r>
      <w:r w:rsidR="00F32B28">
        <w:rPr>
          <w:rtl/>
        </w:rPr>
        <w:t xml:space="preserve"> </w:t>
      </w:r>
      <w:r w:rsidR="00F32B28" w:rsidRPr="00F32B28">
        <w:rPr>
          <w:rtl/>
        </w:rPr>
        <w:t>منها</w:t>
      </w:r>
      <w:r w:rsidR="00F32B28">
        <w:rPr>
          <w:rtl/>
        </w:rPr>
        <w:t xml:space="preserve"> </w:t>
      </w:r>
      <w:r w:rsidR="00F32B28" w:rsidRPr="00F32B28">
        <w:rPr>
          <w:rtl/>
        </w:rPr>
        <w:t>لقانون</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الخاص</w:t>
      </w:r>
      <w:r w:rsidR="00F32B28">
        <w:rPr>
          <w:rtl/>
        </w:rPr>
        <w:t xml:space="preserve"> </w:t>
      </w:r>
      <w:r w:rsidR="00F32B28" w:rsidRPr="00F32B28">
        <w:rPr>
          <w:rtl/>
        </w:rPr>
        <w:t>بها</w:t>
      </w:r>
      <w:r w:rsidR="00F32B28">
        <w:rPr>
          <w:rtl/>
        </w:rPr>
        <w:t xml:space="preserve"> </w:t>
      </w:r>
      <w:r w:rsidR="00F32B28" w:rsidRPr="00F32B28">
        <w:rPr>
          <w:rtl/>
        </w:rPr>
        <w:t>ولمحكمتها</w:t>
      </w:r>
      <w:r w:rsidR="00F32B28">
        <w:rPr>
          <w:rtl/>
        </w:rPr>
        <w:t xml:space="preserve"> </w:t>
      </w:r>
      <w:r w:rsidR="00F32B28" w:rsidRPr="00F32B28">
        <w:rPr>
          <w:rtl/>
        </w:rPr>
        <w:t>الكنسية</w:t>
      </w:r>
      <w:r w:rsidR="00F32B28">
        <w:rPr>
          <w:rtl/>
        </w:rPr>
        <w:t xml:space="preserve"> </w:t>
      </w:r>
      <w:r w:rsidR="00F32B28" w:rsidRPr="00F32B28">
        <w:rPr>
          <w:rtl/>
        </w:rPr>
        <w:t>الخاصة.</w:t>
      </w:r>
      <w:r w:rsidR="00F32B28">
        <w:rPr>
          <w:rtl/>
        </w:rPr>
        <w:t xml:space="preserve"> </w:t>
      </w:r>
    </w:p>
    <w:p w:rsidR="00F32B28" w:rsidRPr="00F32B28" w:rsidRDefault="00565595" w:rsidP="00565595">
      <w:pPr>
        <w:pStyle w:val="SingleTxt"/>
        <w:rPr>
          <w:rtl/>
        </w:rPr>
      </w:pPr>
      <w:r>
        <w:rPr>
          <w:rFonts w:hint="cs"/>
          <w:rtl/>
        </w:rPr>
        <w:t xml:space="preserve">325 - </w:t>
      </w:r>
      <w:r w:rsidR="00F32B28" w:rsidRPr="00F32B28">
        <w:rPr>
          <w:rtl/>
        </w:rPr>
        <w:t>وتجتمع</w:t>
      </w:r>
      <w:r w:rsidR="00F32B28">
        <w:rPr>
          <w:rtl/>
        </w:rPr>
        <w:t xml:space="preserve"> </w:t>
      </w:r>
      <w:r w:rsidR="00F32B28" w:rsidRPr="00F32B28">
        <w:rPr>
          <w:rtl/>
        </w:rPr>
        <w:t>قوانين</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للمسلمين</w:t>
      </w:r>
      <w:r w:rsidR="00F32B28">
        <w:rPr>
          <w:rtl/>
        </w:rPr>
        <w:t xml:space="preserve"> </w:t>
      </w:r>
      <w:r w:rsidR="00F32B28" w:rsidRPr="00F32B28">
        <w:rPr>
          <w:rtl/>
        </w:rPr>
        <w:t>والمسيحيين</w:t>
      </w:r>
      <w:r w:rsidR="00F32B28">
        <w:rPr>
          <w:rtl/>
        </w:rPr>
        <w:t xml:space="preserve"> </w:t>
      </w:r>
      <w:r w:rsidR="00F32B28" w:rsidRPr="00F32B28">
        <w:rPr>
          <w:rtl/>
        </w:rPr>
        <w:t>السارية</w:t>
      </w:r>
      <w:r w:rsidR="00F32B28">
        <w:rPr>
          <w:rtl/>
        </w:rPr>
        <w:t xml:space="preserve"> </w:t>
      </w:r>
      <w:r w:rsidR="00F32B28" w:rsidRPr="00F32B28">
        <w:rPr>
          <w:rtl/>
        </w:rPr>
        <w:t>على</w:t>
      </w:r>
      <w:r w:rsidR="00F32B28">
        <w:rPr>
          <w:rtl/>
        </w:rPr>
        <w:t xml:space="preserve"> </w:t>
      </w:r>
      <w:r w:rsidR="00F32B28" w:rsidRPr="00F32B28">
        <w:rPr>
          <w:rtl/>
        </w:rPr>
        <w:t>العديد</w:t>
      </w:r>
      <w:r w:rsidR="00F32B28">
        <w:rPr>
          <w:rtl/>
        </w:rPr>
        <w:t xml:space="preserve"> </w:t>
      </w:r>
      <w:r w:rsidR="00F32B28" w:rsidRPr="00F32B28">
        <w:rPr>
          <w:rtl/>
        </w:rPr>
        <w:t>من</w:t>
      </w:r>
      <w:r w:rsidR="00F32B28">
        <w:rPr>
          <w:rtl/>
        </w:rPr>
        <w:t xml:space="preserve"> </w:t>
      </w:r>
      <w:r w:rsidR="00F32B28" w:rsidRPr="00F32B28">
        <w:rPr>
          <w:rtl/>
        </w:rPr>
        <w:t>المبادئ</w:t>
      </w:r>
      <w:r w:rsidR="00F32B28">
        <w:rPr>
          <w:rtl/>
        </w:rPr>
        <w:t xml:space="preserve"> </w:t>
      </w:r>
      <w:r w:rsidR="00F32B28" w:rsidRPr="00F32B28">
        <w:rPr>
          <w:rtl/>
        </w:rPr>
        <w:t>العامة</w:t>
      </w:r>
      <w:r w:rsidR="00F32B28">
        <w:rPr>
          <w:rtl/>
        </w:rPr>
        <w:t xml:space="preserve"> </w:t>
      </w:r>
      <w:r w:rsidR="00F32B28" w:rsidRPr="00F32B28">
        <w:rPr>
          <w:rtl/>
        </w:rPr>
        <w:t>فيما</w:t>
      </w:r>
      <w:r w:rsidR="00F32B28">
        <w:rPr>
          <w:rtl/>
        </w:rPr>
        <w:t xml:space="preserve"> </w:t>
      </w:r>
      <w:r w:rsidR="00F32B28" w:rsidRPr="00F32B28">
        <w:rPr>
          <w:rtl/>
        </w:rPr>
        <w:t>يخص</w:t>
      </w:r>
      <w:r w:rsidR="00F32B28">
        <w:rPr>
          <w:rtl/>
        </w:rPr>
        <w:t xml:space="preserve"> </w:t>
      </w:r>
      <w:r w:rsidR="00F32B28" w:rsidRPr="00F32B28">
        <w:rPr>
          <w:rtl/>
        </w:rPr>
        <w:t>مسائل</w:t>
      </w:r>
      <w:r w:rsidR="00F32B28">
        <w:rPr>
          <w:rtl/>
        </w:rPr>
        <w:t xml:space="preserve"> </w:t>
      </w:r>
      <w:r w:rsidR="00F32B28" w:rsidRPr="00F32B28">
        <w:rPr>
          <w:rtl/>
        </w:rPr>
        <w:t>الزواج،</w:t>
      </w:r>
      <w:r w:rsidR="00F32B28">
        <w:rPr>
          <w:rtl/>
        </w:rPr>
        <w:t xml:space="preserve"> </w:t>
      </w:r>
      <w:r w:rsidR="00F32B28" w:rsidRPr="00F32B28">
        <w:rPr>
          <w:rtl/>
        </w:rPr>
        <w:t>أهمها:</w:t>
      </w:r>
      <w:r w:rsidR="00F32B28">
        <w:rPr>
          <w:rtl/>
        </w:rPr>
        <w:t xml:space="preserve"> </w:t>
      </w:r>
    </w:p>
    <w:p w:rsidR="00F32B28" w:rsidRPr="00F32B28" w:rsidRDefault="00565595" w:rsidP="0056559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عقد</w:t>
      </w:r>
      <w:r w:rsidR="00F32B28">
        <w:rPr>
          <w:rtl/>
        </w:rPr>
        <w:t xml:space="preserve"> </w:t>
      </w:r>
      <w:r w:rsidR="00F32B28" w:rsidRPr="00F32B28">
        <w:rPr>
          <w:rtl/>
        </w:rPr>
        <w:t>الزواج</w:t>
      </w:r>
      <w:r w:rsidR="00F32B28">
        <w:rPr>
          <w:rtl/>
        </w:rPr>
        <w:t xml:space="preserve"> </w:t>
      </w:r>
      <w:r w:rsidR="00F32B28" w:rsidRPr="00F32B28">
        <w:rPr>
          <w:rtl/>
        </w:rPr>
        <w:t>لا</w:t>
      </w:r>
      <w:r w:rsidR="00F32B28">
        <w:rPr>
          <w:rtl/>
        </w:rPr>
        <w:t xml:space="preserve"> </w:t>
      </w:r>
      <w:r w:rsidR="00F32B28" w:rsidRPr="00F32B28">
        <w:rPr>
          <w:rtl/>
        </w:rPr>
        <w:t>ينعقد</w:t>
      </w:r>
      <w:r w:rsidR="00F32B28">
        <w:rPr>
          <w:rtl/>
        </w:rPr>
        <w:t xml:space="preserve"> </w:t>
      </w:r>
      <w:r w:rsidR="00F32B28" w:rsidRPr="00F32B28">
        <w:rPr>
          <w:rtl/>
        </w:rPr>
        <w:t>إلا</w:t>
      </w:r>
      <w:r w:rsidR="00F32B28">
        <w:rPr>
          <w:rtl/>
        </w:rPr>
        <w:t xml:space="preserve"> </w:t>
      </w:r>
      <w:r w:rsidR="00F32B28" w:rsidRPr="00F32B28">
        <w:rPr>
          <w:rtl/>
        </w:rPr>
        <w:t>بين</w:t>
      </w:r>
      <w:r w:rsidR="00F32B28">
        <w:rPr>
          <w:rtl/>
        </w:rPr>
        <w:t xml:space="preserve"> </w:t>
      </w:r>
      <w:r w:rsidR="00F32B28" w:rsidRPr="00F32B28">
        <w:rPr>
          <w:rtl/>
        </w:rPr>
        <w:t>رجل</w:t>
      </w:r>
      <w:r w:rsidR="00F32B28">
        <w:rPr>
          <w:rtl/>
        </w:rPr>
        <w:t xml:space="preserve"> </w:t>
      </w:r>
      <w:r w:rsidR="00F32B28" w:rsidRPr="00F32B28">
        <w:rPr>
          <w:rtl/>
        </w:rPr>
        <w:t>وامرأة؛</w:t>
      </w:r>
      <w:r w:rsidR="00F32B28">
        <w:rPr>
          <w:rtl/>
        </w:rPr>
        <w:t xml:space="preserve"> </w:t>
      </w:r>
    </w:p>
    <w:p w:rsidR="00F32B28" w:rsidRPr="00F32B28" w:rsidRDefault="00565595" w:rsidP="0056559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عدم</w:t>
      </w:r>
      <w:r w:rsidR="00F32B28">
        <w:rPr>
          <w:rtl/>
        </w:rPr>
        <w:t xml:space="preserve"> </w:t>
      </w:r>
      <w:r w:rsidR="00F32B28" w:rsidRPr="00F32B28">
        <w:rPr>
          <w:rtl/>
        </w:rPr>
        <w:t>شرعية</w:t>
      </w:r>
      <w:r w:rsidR="00F32B28">
        <w:rPr>
          <w:rtl/>
        </w:rPr>
        <w:t xml:space="preserve"> </w:t>
      </w:r>
      <w:r w:rsidR="00F32B28" w:rsidRPr="00F32B28">
        <w:rPr>
          <w:rtl/>
        </w:rPr>
        <w:t>العلاقات</w:t>
      </w:r>
      <w:r w:rsidR="00F32B28">
        <w:rPr>
          <w:rtl/>
        </w:rPr>
        <w:t xml:space="preserve"> </w:t>
      </w:r>
      <w:r w:rsidR="00F32B28" w:rsidRPr="00F32B28">
        <w:rPr>
          <w:rtl/>
        </w:rPr>
        <w:t>القائمة</w:t>
      </w:r>
      <w:r w:rsidR="00F32B28">
        <w:rPr>
          <w:rtl/>
        </w:rPr>
        <w:t xml:space="preserve"> </w:t>
      </w:r>
      <w:r w:rsidR="00F32B28" w:rsidRPr="00F32B28">
        <w:rPr>
          <w:rtl/>
        </w:rPr>
        <w:t>بين</w:t>
      </w:r>
      <w:r w:rsidR="00F32B28">
        <w:rPr>
          <w:rtl/>
        </w:rPr>
        <w:t xml:space="preserve"> </w:t>
      </w:r>
      <w:r w:rsidR="00F32B28" w:rsidRPr="00F32B28">
        <w:rPr>
          <w:rtl/>
        </w:rPr>
        <w:t>أي</w:t>
      </w:r>
      <w:r w:rsidR="00F32B28">
        <w:rPr>
          <w:rtl/>
        </w:rPr>
        <w:t xml:space="preserve"> </w:t>
      </w:r>
      <w:r w:rsidR="00F32B28" w:rsidRPr="00F32B28">
        <w:rPr>
          <w:rtl/>
        </w:rPr>
        <w:t>رجل</w:t>
      </w:r>
      <w:r w:rsidR="00F32B28">
        <w:rPr>
          <w:rtl/>
        </w:rPr>
        <w:t xml:space="preserve"> </w:t>
      </w:r>
      <w:r w:rsidR="00F32B28" w:rsidRPr="00F32B28">
        <w:rPr>
          <w:rtl/>
        </w:rPr>
        <w:t>وامرأة</w:t>
      </w:r>
      <w:r w:rsidR="00F32B28">
        <w:rPr>
          <w:rtl/>
        </w:rPr>
        <w:t xml:space="preserve"> </w:t>
      </w:r>
      <w:r w:rsidR="00F32B28" w:rsidRPr="00F32B28">
        <w:rPr>
          <w:rtl/>
        </w:rPr>
        <w:t>خارج</w:t>
      </w:r>
      <w:r w:rsidR="00F32B28">
        <w:rPr>
          <w:rtl/>
        </w:rPr>
        <w:t xml:space="preserve"> </w:t>
      </w:r>
      <w:r w:rsidR="00F32B28" w:rsidRPr="00F32B28">
        <w:rPr>
          <w:rtl/>
        </w:rPr>
        <w:t>إطار</w:t>
      </w:r>
      <w:r w:rsidR="00F32B28">
        <w:rPr>
          <w:rtl/>
        </w:rPr>
        <w:t xml:space="preserve"> </w:t>
      </w:r>
      <w:r w:rsidR="00F32B28" w:rsidRPr="00F32B28">
        <w:rPr>
          <w:rtl/>
        </w:rPr>
        <w:t>مؤسسة</w:t>
      </w:r>
      <w:r w:rsidR="00F32B28">
        <w:rPr>
          <w:rtl/>
        </w:rPr>
        <w:t xml:space="preserve"> </w:t>
      </w:r>
      <w:r w:rsidR="00F32B28" w:rsidRPr="00F32B28">
        <w:rPr>
          <w:rtl/>
        </w:rPr>
        <w:t>الزواج؛</w:t>
      </w:r>
    </w:p>
    <w:p w:rsidR="00F32B28" w:rsidRPr="00F32B28" w:rsidRDefault="00565595" w:rsidP="0056559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الرضى</w:t>
      </w:r>
      <w:r w:rsidR="00F32B28">
        <w:rPr>
          <w:rtl/>
        </w:rPr>
        <w:t xml:space="preserve"> </w:t>
      </w:r>
      <w:r w:rsidR="00F32B28" w:rsidRPr="00F32B28">
        <w:rPr>
          <w:rtl/>
        </w:rPr>
        <w:t>الكامل</w:t>
      </w:r>
      <w:r w:rsidR="00F32B28">
        <w:rPr>
          <w:rtl/>
        </w:rPr>
        <w:t xml:space="preserve"> </w:t>
      </w:r>
      <w:r w:rsidR="00F32B28" w:rsidRPr="00F32B28">
        <w:rPr>
          <w:rtl/>
        </w:rPr>
        <w:t>والحر</w:t>
      </w:r>
      <w:r w:rsidR="00F32B28">
        <w:rPr>
          <w:rtl/>
        </w:rPr>
        <w:t xml:space="preserve"> </w:t>
      </w:r>
      <w:r w:rsidR="00F32B28" w:rsidRPr="00F32B28">
        <w:rPr>
          <w:rtl/>
        </w:rPr>
        <w:t>للرجل</w:t>
      </w:r>
      <w:r w:rsidR="00F32B28">
        <w:rPr>
          <w:rtl/>
        </w:rPr>
        <w:t xml:space="preserve"> </w:t>
      </w:r>
      <w:r w:rsidR="00F32B28" w:rsidRPr="00F32B28">
        <w:rPr>
          <w:rtl/>
        </w:rPr>
        <w:t>والمرأة</w:t>
      </w:r>
      <w:r w:rsidR="00F32B28">
        <w:rPr>
          <w:rtl/>
        </w:rPr>
        <w:t xml:space="preserve"> </w:t>
      </w:r>
      <w:r w:rsidR="00F32B28" w:rsidRPr="00F32B28">
        <w:rPr>
          <w:rtl/>
        </w:rPr>
        <w:t>هو</w:t>
      </w:r>
      <w:r w:rsidR="00F32B28">
        <w:rPr>
          <w:rtl/>
        </w:rPr>
        <w:t xml:space="preserve"> </w:t>
      </w:r>
      <w:r w:rsidR="00F32B28" w:rsidRPr="00F32B28">
        <w:rPr>
          <w:rtl/>
        </w:rPr>
        <w:t>شرط</w:t>
      </w:r>
      <w:r w:rsidR="0001622C">
        <w:rPr>
          <w:rFonts w:hint="cs"/>
          <w:rtl/>
        </w:rPr>
        <w:t xml:space="preserve"> </w:t>
      </w:r>
      <w:r w:rsidR="00F32B28" w:rsidRPr="00F32B28">
        <w:rPr>
          <w:rtl/>
        </w:rPr>
        <w:t>جوهري</w:t>
      </w:r>
      <w:r w:rsidR="00F32B28">
        <w:rPr>
          <w:rtl/>
        </w:rPr>
        <w:t xml:space="preserve"> </w:t>
      </w:r>
      <w:r w:rsidR="00F32B28" w:rsidRPr="00F32B28">
        <w:rPr>
          <w:rtl/>
        </w:rPr>
        <w:t>لانعقاد</w:t>
      </w:r>
      <w:r w:rsidR="00F32B28">
        <w:rPr>
          <w:rtl/>
        </w:rPr>
        <w:t xml:space="preserve"> </w:t>
      </w:r>
      <w:r w:rsidR="00F32B28" w:rsidRPr="00F32B28">
        <w:rPr>
          <w:rtl/>
        </w:rPr>
        <w:t>الزواج</w:t>
      </w:r>
      <w:r w:rsidR="00F32B28">
        <w:rPr>
          <w:rtl/>
        </w:rPr>
        <w:t xml:space="preserve"> </w:t>
      </w:r>
      <w:r w:rsidR="00F32B28" w:rsidRPr="00F32B28">
        <w:rPr>
          <w:rtl/>
        </w:rPr>
        <w:t>صحيحاً؛</w:t>
      </w:r>
    </w:p>
    <w:p w:rsidR="00F32B28" w:rsidRPr="00F32B28" w:rsidRDefault="00565595" w:rsidP="0056559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cs"/>
          <w:rtl/>
        </w:rPr>
        <w:tab/>
      </w:r>
      <w:r w:rsidR="00F32B28" w:rsidRPr="00F32B28">
        <w:rPr>
          <w:rtl/>
        </w:rPr>
        <w:t>إلزامية</w:t>
      </w:r>
      <w:r w:rsidR="00F32B28">
        <w:rPr>
          <w:rtl/>
        </w:rPr>
        <w:t xml:space="preserve"> </w:t>
      </w:r>
      <w:r w:rsidR="00F32B28" w:rsidRPr="00F32B28">
        <w:rPr>
          <w:rtl/>
        </w:rPr>
        <w:t>تسجيل</w:t>
      </w:r>
      <w:r w:rsidR="00F32B28">
        <w:rPr>
          <w:rtl/>
        </w:rPr>
        <w:t xml:space="preserve"> </w:t>
      </w:r>
      <w:r w:rsidR="00F32B28" w:rsidRPr="00F32B28">
        <w:rPr>
          <w:rtl/>
        </w:rPr>
        <w:t>وثائق</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أمام</w:t>
      </w:r>
      <w:r w:rsidR="00F32B28">
        <w:rPr>
          <w:rtl/>
        </w:rPr>
        <w:t xml:space="preserve"> </w:t>
      </w:r>
      <w:r w:rsidR="00F32B28" w:rsidRPr="00F32B28">
        <w:rPr>
          <w:rtl/>
        </w:rPr>
        <w:t>المحاكم</w:t>
      </w:r>
      <w:r w:rsidR="00F32B28">
        <w:rPr>
          <w:rtl/>
        </w:rPr>
        <w:t xml:space="preserve"> </w:t>
      </w:r>
      <w:r w:rsidR="00F32B28" w:rsidRPr="00F32B28">
        <w:rPr>
          <w:rtl/>
        </w:rPr>
        <w:t>الشرعية</w:t>
      </w:r>
      <w:r w:rsidR="00F32B28">
        <w:rPr>
          <w:rtl/>
        </w:rPr>
        <w:t xml:space="preserve"> </w:t>
      </w:r>
      <w:r w:rsidR="00F32B28" w:rsidRPr="00F32B28">
        <w:rPr>
          <w:rtl/>
        </w:rPr>
        <w:t>أو</w:t>
      </w:r>
      <w:r w:rsidR="00F32B28">
        <w:rPr>
          <w:rtl/>
        </w:rPr>
        <w:t xml:space="preserve"> </w:t>
      </w:r>
      <w:r w:rsidR="00F32B28" w:rsidRPr="00F32B28">
        <w:rPr>
          <w:rtl/>
        </w:rPr>
        <w:t>الكنسية،</w:t>
      </w:r>
      <w:r w:rsidR="00F32B28">
        <w:rPr>
          <w:rtl/>
        </w:rPr>
        <w:t xml:space="preserve"> </w:t>
      </w:r>
      <w:r w:rsidR="00F32B28" w:rsidRPr="00F32B28">
        <w:rPr>
          <w:rtl/>
        </w:rPr>
        <w:t>وبخاصة</w:t>
      </w:r>
      <w:r w:rsidR="00F32B28">
        <w:rPr>
          <w:rtl/>
        </w:rPr>
        <w:t xml:space="preserve"> </w:t>
      </w:r>
      <w:r w:rsidR="00F32B28" w:rsidRPr="00F32B28">
        <w:rPr>
          <w:rtl/>
        </w:rPr>
        <w:t>الزواج</w:t>
      </w:r>
      <w:r w:rsidR="00F32B28">
        <w:rPr>
          <w:rtl/>
        </w:rPr>
        <w:t xml:space="preserve"> </w:t>
      </w:r>
      <w:r w:rsidR="00F32B28" w:rsidRPr="00F32B28">
        <w:rPr>
          <w:rtl/>
        </w:rPr>
        <w:t>والطلاق،</w:t>
      </w:r>
      <w:r w:rsidR="00F32B28">
        <w:rPr>
          <w:rtl/>
        </w:rPr>
        <w:t xml:space="preserve"> </w:t>
      </w:r>
      <w:r w:rsidR="00F32B28" w:rsidRPr="00F32B28">
        <w:rPr>
          <w:rtl/>
        </w:rPr>
        <w:t>وذلك</w:t>
      </w:r>
      <w:r w:rsidR="00F32B28">
        <w:rPr>
          <w:rtl/>
        </w:rPr>
        <w:t xml:space="preserve"> </w:t>
      </w:r>
      <w:r w:rsidR="00F32B28" w:rsidRPr="00F32B28">
        <w:rPr>
          <w:rtl/>
        </w:rPr>
        <w:t>صوناً</w:t>
      </w:r>
      <w:r w:rsidR="00F32B28">
        <w:rPr>
          <w:rtl/>
        </w:rPr>
        <w:t xml:space="preserve"> </w:t>
      </w:r>
      <w:r w:rsidR="00F32B28" w:rsidRPr="00F32B28">
        <w:rPr>
          <w:rtl/>
        </w:rPr>
        <w:t>وحماية</w:t>
      </w:r>
      <w:r w:rsidR="00F32B28">
        <w:rPr>
          <w:rtl/>
        </w:rPr>
        <w:t xml:space="preserve"> </w:t>
      </w:r>
      <w:r w:rsidR="00F32B28" w:rsidRPr="00F32B28">
        <w:rPr>
          <w:rtl/>
        </w:rPr>
        <w:t>لحقوق</w:t>
      </w:r>
      <w:r w:rsidR="00F32B28">
        <w:rPr>
          <w:rtl/>
        </w:rPr>
        <w:t xml:space="preserve"> </w:t>
      </w:r>
      <w:r w:rsidR="00F32B28" w:rsidRPr="00F32B28">
        <w:rPr>
          <w:rtl/>
        </w:rPr>
        <w:t>كل</w:t>
      </w:r>
      <w:r w:rsidR="00F32B28">
        <w:rPr>
          <w:rtl/>
        </w:rPr>
        <w:t xml:space="preserve"> </w:t>
      </w:r>
      <w:r w:rsidR="00F32B28" w:rsidRPr="00F32B28">
        <w:rPr>
          <w:rtl/>
        </w:rPr>
        <w:t>من</w:t>
      </w:r>
      <w:r w:rsidR="00F32B28">
        <w:rPr>
          <w:rtl/>
        </w:rPr>
        <w:t xml:space="preserve"> </w:t>
      </w:r>
      <w:r w:rsidR="00F32B28" w:rsidRPr="00F32B28">
        <w:rPr>
          <w:rtl/>
        </w:rPr>
        <w:t>الزوجين</w:t>
      </w:r>
      <w:r w:rsidR="00F32B28">
        <w:rPr>
          <w:rtl/>
        </w:rPr>
        <w:t xml:space="preserve"> </w:t>
      </w:r>
      <w:r w:rsidR="00F32B28" w:rsidRPr="00F32B28">
        <w:rPr>
          <w:rtl/>
        </w:rPr>
        <w:t>والأطفال،</w:t>
      </w:r>
      <w:r w:rsidR="00F32B28">
        <w:rPr>
          <w:rtl/>
        </w:rPr>
        <w:t xml:space="preserve"> </w:t>
      </w:r>
      <w:r w:rsidR="00F32B28" w:rsidRPr="00F32B28">
        <w:rPr>
          <w:rtl/>
        </w:rPr>
        <w:t>كالإرث</w:t>
      </w:r>
      <w:r w:rsidR="00F32B28">
        <w:rPr>
          <w:rtl/>
        </w:rPr>
        <w:t xml:space="preserve"> </w:t>
      </w:r>
      <w:r w:rsidR="00F32B28" w:rsidRPr="00F32B28">
        <w:rPr>
          <w:rtl/>
        </w:rPr>
        <w:t>والنسب</w:t>
      </w:r>
      <w:r w:rsidR="00F32B28">
        <w:rPr>
          <w:rtl/>
        </w:rPr>
        <w:t xml:space="preserve"> </w:t>
      </w:r>
      <w:r w:rsidR="00F32B28" w:rsidRPr="00F32B28">
        <w:rPr>
          <w:rtl/>
        </w:rPr>
        <w:t>والمهر</w:t>
      </w:r>
      <w:r w:rsidR="00F32B28">
        <w:rPr>
          <w:rtl/>
        </w:rPr>
        <w:t xml:space="preserve"> </w:t>
      </w:r>
      <w:r w:rsidR="00F32B28" w:rsidRPr="00F32B28">
        <w:rPr>
          <w:rtl/>
        </w:rPr>
        <w:t>والنفقة.</w:t>
      </w:r>
    </w:p>
    <w:p w:rsidR="00565595" w:rsidRPr="00565595" w:rsidRDefault="00565595" w:rsidP="00565595">
      <w:pPr>
        <w:pStyle w:val="SingleTxt"/>
        <w:spacing w:after="0" w:line="120" w:lineRule="exact"/>
        <w:rPr>
          <w:b/>
          <w:bCs/>
          <w:sz w:val="10"/>
          <w:rtl/>
        </w:rPr>
      </w:pPr>
    </w:p>
    <w:p w:rsidR="00F32B28" w:rsidRPr="00F32B28" w:rsidRDefault="00F32B28" w:rsidP="00F32B28">
      <w:pPr>
        <w:pStyle w:val="SingleTxt"/>
        <w:rPr>
          <w:b/>
          <w:bCs/>
          <w:rtl/>
          <w:lang w:bidi="ar-SY"/>
        </w:rPr>
      </w:pPr>
      <w:r w:rsidRPr="00F32B28">
        <w:rPr>
          <w:b/>
          <w:bCs/>
          <w:rtl/>
        </w:rPr>
        <w:t>الحق</w:t>
      </w:r>
      <w:r>
        <w:rPr>
          <w:b/>
          <w:bCs/>
          <w:rtl/>
        </w:rPr>
        <w:t xml:space="preserve"> </w:t>
      </w:r>
      <w:r w:rsidRPr="00F32B28">
        <w:rPr>
          <w:b/>
          <w:bCs/>
          <w:rtl/>
        </w:rPr>
        <w:t>نفسه</w:t>
      </w:r>
      <w:r>
        <w:rPr>
          <w:b/>
          <w:bCs/>
          <w:rtl/>
        </w:rPr>
        <w:t xml:space="preserve"> </w:t>
      </w:r>
      <w:r w:rsidRPr="00F32B28">
        <w:rPr>
          <w:b/>
          <w:bCs/>
          <w:rtl/>
        </w:rPr>
        <w:t>في</w:t>
      </w:r>
      <w:r>
        <w:rPr>
          <w:b/>
          <w:bCs/>
          <w:rtl/>
        </w:rPr>
        <w:t xml:space="preserve"> </w:t>
      </w:r>
      <w:r w:rsidRPr="00F32B28">
        <w:rPr>
          <w:b/>
          <w:bCs/>
          <w:rtl/>
        </w:rPr>
        <w:t>عقد</w:t>
      </w:r>
      <w:r>
        <w:rPr>
          <w:b/>
          <w:bCs/>
          <w:rtl/>
        </w:rPr>
        <w:t xml:space="preserve"> </w:t>
      </w:r>
      <w:r w:rsidRPr="00F32B28">
        <w:rPr>
          <w:b/>
          <w:bCs/>
          <w:rtl/>
        </w:rPr>
        <w:t>الزواج</w:t>
      </w:r>
    </w:p>
    <w:p w:rsidR="00F32B28" w:rsidRPr="00F32B28" w:rsidRDefault="00565595" w:rsidP="00565595">
      <w:pPr>
        <w:pStyle w:val="SingleTxt"/>
        <w:rPr>
          <w:rtl/>
          <w:lang w:bidi="ar-SY"/>
        </w:rPr>
      </w:pPr>
      <w:r>
        <w:rPr>
          <w:rFonts w:hint="cs"/>
          <w:rtl/>
          <w:lang w:bidi="ar-JO"/>
        </w:rPr>
        <w:t xml:space="preserve">326 - </w:t>
      </w:r>
      <w:r w:rsidR="00F32B28" w:rsidRPr="00F32B28">
        <w:rPr>
          <w:rtl/>
          <w:lang w:bidi="ar-JO"/>
        </w:rPr>
        <w:t>تضمن</w:t>
      </w:r>
      <w:r w:rsidR="00F32B28">
        <w:rPr>
          <w:rtl/>
          <w:lang w:bidi="ar-JO"/>
        </w:rPr>
        <w:t xml:space="preserve"> </w:t>
      </w:r>
      <w:r w:rsidR="00F32B28" w:rsidRPr="00F32B28">
        <w:rPr>
          <w:rtl/>
          <w:lang w:bidi="ar-JO"/>
        </w:rPr>
        <w:t>القوانين</w:t>
      </w:r>
      <w:r w:rsidR="00F32B28">
        <w:rPr>
          <w:rtl/>
          <w:lang w:bidi="ar-JO"/>
        </w:rPr>
        <w:t xml:space="preserve"> </w:t>
      </w:r>
      <w:r w:rsidR="00F32B28" w:rsidRPr="00F32B28">
        <w:rPr>
          <w:rtl/>
          <w:lang w:bidi="ar-SY"/>
        </w:rPr>
        <w:t>حرية</w:t>
      </w:r>
      <w:r w:rsidR="00F32B28">
        <w:rPr>
          <w:rtl/>
          <w:lang w:bidi="ar-JO"/>
        </w:rPr>
        <w:t xml:space="preserve"> </w:t>
      </w:r>
      <w:r w:rsidR="00F32B28" w:rsidRPr="00F32B28">
        <w:rPr>
          <w:rtl/>
          <w:lang w:bidi="ar-JO"/>
        </w:rPr>
        <w:t>المرأة</w:t>
      </w:r>
      <w:r w:rsidR="00F32B28">
        <w:rPr>
          <w:rtl/>
          <w:lang w:bidi="ar-JO"/>
        </w:rPr>
        <w:t xml:space="preserve"> </w:t>
      </w:r>
      <w:r w:rsidR="00F32B28" w:rsidRPr="00F32B28">
        <w:rPr>
          <w:rtl/>
          <w:lang w:bidi="ar-JO"/>
        </w:rPr>
        <w:t>في</w:t>
      </w:r>
      <w:r w:rsidR="00F32B28">
        <w:rPr>
          <w:rtl/>
          <w:lang w:bidi="ar-JO"/>
        </w:rPr>
        <w:t xml:space="preserve"> </w:t>
      </w:r>
      <w:r w:rsidR="00F32B28" w:rsidRPr="00F32B28">
        <w:rPr>
          <w:rtl/>
          <w:lang w:bidi="ar-JO"/>
        </w:rPr>
        <w:t>الخطبة</w:t>
      </w:r>
      <w:r w:rsidR="00F32B28">
        <w:rPr>
          <w:rtl/>
          <w:lang w:bidi="ar-JO"/>
        </w:rPr>
        <w:t xml:space="preserve"> </w:t>
      </w:r>
      <w:r w:rsidR="00F32B28" w:rsidRPr="00F32B28">
        <w:rPr>
          <w:rtl/>
          <w:lang w:bidi="ar-JO"/>
        </w:rPr>
        <w:t>والعدول</w:t>
      </w:r>
      <w:r w:rsidR="00F32B28">
        <w:rPr>
          <w:rtl/>
          <w:lang w:bidi="ar-JO"/>
        </w:rPr>
        <w:t xml:space="preserve"> </w:t>
      </w:r>
      <w:r w:rsidR="00F32B28" w:rsidRPr="00F32B28">
        <w:rPr>
          <w:rtl/>
          <w:lang w:bidi="ar-JO"/>
        </w:rPr>
        <w:t>عنها</w:t>
      </w:r>
      <w:r w:rsidR="00F32B28">
        <w:rPr>
          <w:rtl/>
          <w:lang w:bidi="ar-JO"/>
        </w:rPr>
        <w:t xml:space="preserve"> </w:t>
      </w:r>
      <w:r w:rsidR="00F32B28" w:rsidRPr="00F32B28">
        <w:rPr>
          <w:rtl/>
          <w:lang w:bidi="ar-JO"/>
        </w:rPr>
        <w:t>وإبرام</w:t>
      </w:r>
      <w:r w:rsidR="00F32B28">
        <w:rPr>
          <w:rtl/>
          <w:lang w:bidi="ar-JO"/>
        </w:rPr>
        <w:t xml:space="preserve"> </w:t>
      </w:r>
      <w:r w:rsidR="00F32B28" w:rsidRPr="00F32B28">
        <w:rPr>
          <w:rtl/>
          <w:lang w:bidi="ar-JO"/>
        </w:rPr>
        <w:t>عقد</w:t>
      </w:r>
      <w:r w:rsidR="00F32B28">
        <w:rPr>
          <w:rtl/>
          <w:lang w:bidi="ar-JO"/>
        </w:rPr>
        <w:t xml:space="preserve"> </w:t>
      </w:r>
      <w:r w:rsidR="00F32B28" w:rsidRPr="00F32B28">
        <w:rPr>
          <w:rtl/>
          <w:lang w:bidi="ar-JO"/>
        </w:rPr>
        <w:t>الزواج</w:t>
      </w:r>
      <w:r w:rsidR="00F32B28">
        <w:rPr>
          <w:rtl/>
          <w:lang w:bidi="ar-JO"/>
        </w:rPr>
        <w:t xml:space="preserve"> </w:t>
      </w:r>
      <w:r w:rsidR="00F32B28" w:rsidRPr="00F32B28">
        <w:rPr>
          <w:rtl/>
        </w:rPr>
        <w:t>بإرادتها</w:t>
      </w:r>
      <w:r w:rsidR="00F32B28">
        <w:rPr>
          <w:rtl/>
        </w:rPr>
        <w:t xml:space="preserve"> </w:t>
      </w:r>
      <w:r w:rsidR="00F32B28" w:rsidRPr="00F32B28">
        <w:rPr>
          <w:rtl/>
        </w:rPr>
        <w:t>الحرة</w:t>
      </w:r>
      <w:r w:rsidR="00F32B28">
        <w:rPr>
          <w:rtl/>
        </w:rPr>
        <w:t xml:space="preserve"> </w:t>
      </w:r>
      <w:r w:rsidR="00F32B28" w:rsidRPr="00F32B28">
        <w:rPr>
          <w:rtl/>
        </w:rPr>
        <w:t>ورضاها</w:t>
      </w:r>
      <w:r w:rsidR="00F32B28">
        <w:rPr>
          <w:rtl/>
        </w:rPr>
        <w:t xml:space="preserve"> </w:t>
      </w:r>
      <w:r w:rsidR="00F32B28" w:rsidRPr="00F32B28">
        <w:rPr>
          <w:rtl/>
        </w:rPr>
        <w:t>التام</w:t>
      </w:r>
      <w:r w:rsidR="00F32B28">
        <w:rPr>
          <w:rtl/>
        </w:rPr>
        <w:t xml:space="preserve"> </w:t>
      </w:r>
      <w:r w:rsidR="00F32B28" w:rsidRPr="00F32B28">
        <w:rPr>
          <w:rtl/>
        </w:rPr>
        <w:t>دون</w:t>
      </w:r>
      <w:r w:rsidR="00F32B28">
        <w:rPr>
          <w:rtl/>
        </w:rPr>
        <w:t xml:space="preserve"> </w:t>
      </w:r>
      <w:r w:rsidR="00F32B28" w:rsidRPr="00F32B28">
        <w:rPr>
          <w:rtl/>
        </w:rPr>
        <w:t>أي</w:t>
      </w:r>
      <w:r w:rsidR="00F32B28">
        <w:rPr>
          <w:rtl/>
        </w:rPr>
        <w:t xml:space="preserve"> </w:t>
      </w:r>
      <w:r w:rsidR="00F32B28" w:rsidRPr="00F32B28">
        <w:rPr>
          <w:rtl/>
        </w:rPr>
        <w:t>عيب</w:t>
      </w:r>
      <w:r w:rsidR="00F32B28">
        <w:rPr>
          <w:rtl/>
        </w:rPr>
        <w:t xml:space="preserve"> </w:t>
      </w:r>
      <w:r w:rsidR="00F32B28" w:rsidRPr="00F32B28">
        <w:rPr>
          <w:rtl/>
        </w:rPr>
        <w:t>يؤثر</w:t>
      </w:r>
      <w:r w:rsidR="00F32B28">
        <w:rPr>
          <w:rtl/>
        </w:rPr>
        <w:t xml:space="preserve"> </w:t>
      </w:r>
      <w:r w:rsidR="00F32B28" w:rsidRPr="00F32B28">
        <w:rPr>
          <w:rtl/>
        </w:rPr>
        <w:t>على</w:t>
      </w:r>
      <w:r w:rsidR="00F32B28">
        <w:rPr>
          <w:rtl/>
        </w:rPr>
        <w:t xml:space="preserve"> </w:t>
      </w:r>
      <w:r w:rsidR="00F32B28" w:rsidRPr="00F32B28">
        <w:rPr>
          <w:rtl/>
        </w:rPr>
        <w:t>رضاها</w:t>
      </w:r>
      <w:r w:rsidR="00F32B28">
        <w:rPr>
          <w:rtl/>
        </w:rPr>
        <w:t xml:space="preserve"> </w:t>
      </w:r>
      <w:r w:rsidR="00F32B28" w:rsidRPr="00F32B28">
        <w:rPr>
          <w:rtl/>
        </w:rPr>
        <w:t>أو</w:t>
      </w:r>
      <w:r w:rsidR="00F32B28">
        <w:rPr>
          <w:rtl/>
        </w:rPr>
        <w:t xml:space="preserve"> </w:t>
      </w:r>
      <w:r w:rsidR="00F32B28" w:rsidRPr="00F32B28">
        <w:rPr>
          <w:rtl/>
        </w:rPr>
        <w:t>إرادتها.</w:t>
      </w:r>
      <w:r w:rsidR="00F32B28">
        <w:rPr>
          <w:rtl/>
        </w:rPr>
        <w:t xml:space="preserve"> </w:t>
      </w:r>
      <w:r w:rsidR="00F32B28" w:rsidRPr="00F32B28">
        <w:rPr>
          <w:rtl/>
          <w:lang w:bidi="ar-JO"/>
        </w:rPr>
        <w:t>ويعتبر</w:t>
      </w:r>
      <w:r w:rsidR="00F32B28">
        <w:rPr>
          <w:rtl/>
          <w:lang w:bidi="ar-JO"/>
        </w:rPr>
        <w:t xml:space="preserve"> </w:t>
      </w:r>
      <w:r w:rsidR="00F32B28" w:rsidRPr="00F32B28">
        <w:rPr>
          <w:rtl/>
          <w:lang w:bidi="ar-JO"/>
        </w:rPr>
        <w:t>الزواج</w:t>
      </w:r>
      <w:r w:rsidR="00F32B28">
        <w:rPr>
          <w:rtl/>
          <w:lang w:bidi="ar-JO"/>
        </w:rPr>
        <w:t xml:space="preserve"> </w:t>
      </w:r>
      <w:r w:rsidR="00F32B28" w:rsidRPr="00F32B28">
        <w:rPr>
          <w:rtl/>
          <w:lang w:bidi="ar-JO"/>
        </w:rPr>
        <w:t>المبني</w:t>
      </w:r>
      <w:r w:rsidR="00F32B28">
        <w:rPr>
          <w:rtl/>
          <w:lang w:bidi="ar-JO"/>
        </w:rPr>
        <w:t xml:space="preserve"> </w:t>
      </w:r>
      <w:r w:rsidR="00F32B28" w:rsidRPr="00F32B28">
        <w:rPr>
          <w:rtl/>
          <w:lang w:bidi="ar-JO"/>
        </w:rPr>
        <w:t>على</w:t>
      </w:r>
      <w:r w:rsidR="00F32B28">
        <w:rPr>
          <w:rtl/>
          <w:lang w:bidi="ar-JO"/>
        </w:rPr>
        <w:t xml:space="preserve"> </w:t>
      </w:r>
      <w:r w:rsidR="00F32B28" w:rsidRPr="00F32B28">
        <w:rPr>
          <w:rtl/>
          <w:lang w:bidi="ar-JO"/>
        </w:rPr>
        <w:t>الإكراه</w:t>
      </w:r>
      <w:r w:rsidR="00F32B28">
        <w:rPr>
          <w:rtl/>
          <w:lang w:bidi="ar-JO"/>
        </w:rPr>
        <w:t xml:space="preserve"> </w:t>
      </w:r>
      <w:r w:rsidR="00F32B28" w:rsidRPr="00F32B28">
        <w:rPr>
          <w:rtl/>
          <w:lang w:bidi="ar-JO"/>
        </w:rPr>
        <w:t>فاسداً</w:t>
      </w:r>
      <w:r w:rsidR="00F32B28">
        <w:rPr>
          <w:rtl/>
          <w:lang w:bidi="ar-JO"/>
        </w:rPr>
        <w:t xml:space="preserve"> </w:t>
      </w:r>
      <w:r w:rsidR="00F32B28" w:rsidRPr="00F32B28">
        <w:rPr>
          <w:rtl/>
          <w:lang w:bidi="ar-JO"/>
        </w:rPr>
        <w:t>يمنع</w:t>
      </w:r>
      <w:r w:rsidR="00F32B28">
        <w:rPr>
          <w:rtl/>
          <w:lang w:bidi="ar-JO"/>
        </w:rPr>
        <w:t xml:space="preserve"> </w:t>
      </w:r>
      <w:r w:rsidR="00F32B28" w:rsidRPr="00F32B28">
        <w:rPr>
          <w:rtl/>
          <w:lang w:bidi="ar-JO"/>
        </w:rPr>
        <w:t>فيه</w:t>
      </w:r>
      <w:r w:rsidR="00F32B28">
        <w:rPr>
          <w:rtl/>
          <w:lang w:bidi="ar-JO"/>
        </w:rPr>
        <w:t xml:space="preserve"> </w:t>
      </w:r>
      <w:r w:rsidR="00F32B28" w:rsidRPr="00F32B28">
        <w:rPr>
          <w:rtl/>
          <w:lang w:bidi="ar-JO"/>
        </w:rPr>
        <w:t>إبقاء</w:t>
      </w:r>
      <w:r w:rsidR="00F32B28">
        <w:rPr>
          <w:rtl/>
          <w:lang w:bidi="ar-JO"/>
        </w:rPr>
        <w:t xml:space="preserve"> </w:t>
      </w:r>
      <w:r w:rsidR="00F32B28" w:rsidRPr="00F32B28">
        <w:rPr>
          <w:rtl/>
          <w:lang w:bidi="ar-JO"/>
        </w:rPr>
        <w:t>الزوجين</w:t>
      </w:r>
      <w:r w:rsidR="00F32B28">
        <w:rPr>
          <w:rtl/>
          <w:lang w:bidi="ar-JO"/>
        </w:rPr>
        <w:t xml:space="preserve"> </w:t>
      </w:r>
      <w:r w:rsidR="00F32B28" w:rsidRPr="00F32B28">
        <w:rPr>
          <w:rtl/>
          <w:lang w:bidi="ar-JO"/>
        </w:rPr>
        <w:t>معاً،</w:t>
      </w:r>
      <w:r w:rsidR="00F32B28">
        <w:rPr>
          <w:rtl/>
          <w:lang w:bidi="ar-JO"/>
        </w:rPr>
        <w:t xml:space="preserve"> </w:t>
      </w:r>
      <w:r w:rsidR="00F32B28" w:rsidRPr="00F32B28">
        <w:rPr>
          <w:rtl/>
          <w:lang w:bidi="ar-JO"/>
        </w:rPr>
        <w:t>فإذا</w:t>
      </w:r>
      <w:r w:rsidR="00F32B28">
        <w:rPr>
          <w:rtl/>
          <w:lang w:bidi="ar-JO"/>
        </w:rPr>
        <w:t xml:space="preserve"> </w:t>
      </w:r>
      <w:r w:rsidR="00F32B28" w:rsidRPr="00F32B28">
        <w:rPr>
          <w:rtl/>
          <w:lang w:bidi="ar-JO"/>
        </w:rPr>
        <w:t>لم</w:t>
      </w:r>
      <w:r w:rsidR="00F32B28">
        <w:rPr>
          <w:rtl/>
          <w:lang w:bidi="ar-JO"/>
        </w:rPr>
        <w:t xml:space="preserve"> </w:t>
      </w:r>
      <w:r w:rsidR="00F32B28" w:rsidRPr="00F32B28">
        <w:rPr>
          <w:rtl/>
          <w:lang w:bidi="ar-JO"/>
        </w:rPr>
        <w:t>يفترقا</w:t>
      </w:r>
      <w:r w:rsidR="00F32B28">
        <w:rPr>
          <w:rtl/>
          <w:lang w:bidi="ar-JO"/>
        </w:rPr>
        <w:t xml:space="preserve"> </w:t>
      </w:r>
      <w:r w:rsidR="00F32B28" w:rsidRPr="00F32B28">
        <w:rPr>
          <w:rtl/>
          <w:lang w:bidi="ar-JO"/>
        </w:rPr>
        <w:t>يفرق</w:t>
      </w:r>
      <w:r w:rsidR="00F32B28">
        <w:rPr>
          <w:rtl/>
          <w:lang w:bidi="ar-JO"/>
        </w:rPr>
        <w:t xml:space="preserve"> </w:t>
      </w:r>
      <w:r w:rsidR="00F32B28" w:rsidRPr="00F32B28">
        <w:rPr>
          <w:rtl/>
          <w:lang w:bidi="ar-JO"/>
        </w:rPr>
        <w:t>القاضي</w:t>
      </w:r>
      <w:r w:rsidR="00F32B28">
        <w:rPr>
          <w:rtl/>
          <w:lang w:bidi="ar-JO"/>
        </w:rPr>
        <w:t xml:space="preserve"> </w:t>
      </w:r>
      <w:r w:rsidR="00F32B28" w:rsidRPr="00F32B28">
        <w:rPr>
          <w:rtl/>
          <w:lang w:bidi="ar-JO"/>
        </w:rPr>
        <w:t>بينهما،</w:t>
      </w:r>
      <w:r w:rsidR="00F32B28">
        <w:rPr>
          <w:rtl/>
          <w:lang w:bidi="ar-JO"/>
        </w:rPr>
        <w:t xml:space="preserve"> </w:t>
      </w:r>
      <w:r w:rsidR="00F32B28" w:rsidRPr="00F32B28">
        <w:rPr>
          <w:rtl/>
          <w:lang w:bidi="ar-JO"/>
        </w:rPr>
        <w:t>فإذا</w:t>
      </w:r>
      <w:r w:rsidR="00F32B28">
        <w:rPr>
          <w:rtl/>
          <w:lang w:bidi="ar-JO"/>
        </w:rPr>
        <w:t xml:space="preserve"> </w:t>
      </w:r>
      <w:r w:rsidR="00F32B28" w:rsidRPr="00F32B28">
        <w:rPr>
          <w:rtl/>
          <w:lang w:bidi="ar-JO"/>
        </w:rPr>
        <w:t>لم</w:t>
      </w:r>
      <w:r w:rsidR="00F32B28">
        <w:rPr>
          <w:rtl/>
          <w:lang w:bidi="ar-JO"/>
        </w:rPr>
        <w:t xml:space="preserve"> </w:t>
      </w:r>
      <w:r w:rsidR="00F32B28" w:rsidRPr="00F32B28">
        <w:rPr>
          <w:rtl/>
          <w:lang w:bidi="ar-JO"/>
        </w:rPr>
        <w:t>يقع</w:t>
      </w:r>
      <w:r w:rsidR="00F32B28">
        <w:rPr>
          <w:rtl/>
          <w:lang w:bidi="ar-JO"/>
        </w:rPr>
        <w:t xml:space="preserve"> </w:t>
      </w:r>
      <w:r w:rsidR="00F32B28" w:rsidRPr="00F32B28">
        <w:rPr>
          <w:rtl/>
          <w:lang w:bidi="ar-JO"/>
        </w:rPr>
        <w:t>بهذا</w:t>
      </w:r>
      <w:r w:rsidR="00F32B28">
        <w:rPr>
          <w:rtl/>
          <w:lang w:bidi="ar-JO"/>
        </w:rPr>
        <w:t xml:space="preserve"> </w:t>
      </w:r>
      <w:r w:rsidR="00F32B28" w:rsidRPr="00F32B28">
        <w:rPr>
          <w:rtl/>
          <w:lang w:bidi="ar-JO"/>
        </w:rPr>
        <w:t>الزواج</w:t>
      </w:r>
      <w:r w:rsidR="00F32B28">
        <w:rPr>
          <w:rtl/>
          <w:lang w:bidi="ar-JO"/>
        </w:rPr>
        <w:t xml:space="preserve"> </w:t>
      </w:r>
      <w:r w:rsidR="00F32B28" w:rsidRPr="00F32B28">
        <w:rPr>
          <w:rtl/>
          <w:lang w:bidi="ar-JO"/>
        </w:rPr>
        <w:t>دخولاً</w:t>
      </w:r>
      <w:r w:rsidR="00F32B28">
        <w:rPr>
          <w:rtl/>
          <w:lang w:bidi="ar-JO"/>
        </w:rPr>
        <w:t xml:space="preserve"> </w:t>
      </w:r>
      <w:r w:rsidR="00F32B28" w:rsidRPr="00F32B28">
        <w:rPr>
          <w:rtl/>
          <w:lang w:bidi="ar-JO"/>
        </w:rPr>
        <w:t>فلا</w:t>
      </w:r>
      <w:r w:rsidR="00F32B28">
        <w:rPr>
          <w:rtl/>
          <w:lang w:bidi="ar-JO"/>
        </w:rPr>
        <w:t xml:space="preserve"> </w:t>
      </w:r>
      <w:r w:rsidR="00F32B28" w:rsidRPr="00F32B28">
        <w:rPr>
          <w:rtl/>
          <w:lang w:bidi="ar-JO"/>
        </w:rPr>
        <w:t>يرتب</w:t>
      </w:r>
      <w:r w:rsidR="00F32B28">
        <w:rPr>
          <w:rtl/>
          <w:lang w:bidi="ar-JO"/>
        </w:rPr>
        <w:t xml:space="preserve"> </w:t>
      </w:r>
      <w:r w:rsidR="00F32B28" w:rsidRPr="00F32B28">
        <w:rPr>
          <w:rtl/>
          <w:lang w:bidi="ar-JO"/>
        </w:rPr>
        <w:t>أي</w:t>
      </w:r>
      <w:r w:rsidR="00F32B28">
        <w:rPr>
          <w:rtl/>
          <w:lang w:bidi="ar-JO"/>
        </w:rPr>
        <w:t xml:space="preserve"> </w:t>
      </w:r>
      <w:r w:rsidR="00F32B28" w:rsidRPr="00F32B28">
        <w:rPr>
          <w:rtl/>
          <w:lang w:bidi="ar-JO"/>
        </w:rPr>
        <w:t>أثر،</w:t>
      </w:r>
      <w:r w:rsidR="00F32B28">
        <w:rPr>
          <w:rtl/>
          <w:lang w:bidi="ar-JO"/>
        </w:rPr>
        <w:t xml:space="preserve"> </w:t>
      </w:r>
      <w:r w:rsidR="00F32B28" w:rsidRPr="00F32B28">
        <w:rPr>
          <w:rtl/>
          <w:lang w:bidi="ar-JO"/>
        </w:rPr>
        <w:t>أما</w:t>
      </w:r>
      <w:r w:rsidR="00F32B28">
        <w:rPr>
          <w:rtl/>
          <w:lang w:bidi="ar-JO"/>
        </w:rPr>
        <w:t xml:space="preserve"> </w:t>
      </w:r>
      <w:r w:rsidR="00F32B28" w:rsidRPr="00F32B28">
        <w:rPr>
          <w:rtl/>
          <w:lang w:bidi="ar-JO"/>
        </w:rPr>
        <w:t>إذا</w:t>
      </w:r>
      <w:r w:rsidR="00F32B28">
        <w:rPr>
          <w:rtl/>
          <w:lang w:bidi="ar-JO"/>
        </w:rPr>
        <w:t xml:space="preserve"> </w:t>
      </w:r>
      <w:r w:rsidR="00F32B28" w:rsidRPr="00F32B28">
        <w:rPr>
          <w:rtl/>
          <w:lang w:bidi="ar-JO"/>
        </w:rPr>
        <w:t>وقع</w:t>
      </w:r>
      <w:r w:rsidR="00F32B28">
        <w:rPr>
          <w:rtl/>
          <w:lang w:bidi="ar-JO"/>
        </w:rPr>
        <w:t xml:space="preserve"> </w:t>
      </w:r>
      <w:r w:rsidR="00F32B28" w:rsidRPr="00F32B28">
        <w:rPr>
          <w:rtl/>
          <w:lang w:bidi="ar-JO"/>
        </w:rPr>
        <w:t>به</w:t>
      </w:r>
      <w:r w:rsidR="00F32B28">
        <w:rPr>
          <w:rtl/>
          <w:lang w:bidi="ar-JO"/>
        </w:rPr>
        <w:t xml:space="preserve"> </w:t>
      </w:r>
      <w:r w:rsidR="00F32B28" w:rsidRPr="00F32B28">
        <w:rPr>
          <w:rtl/>
          <w:lang w:bidi="ar-JO"/>
        </w:rPr>
        <w:t>دخول</w:t>
      </w:r>
      <w:r w:rsidR="00F32B28">
        <w:rPr>
          <w:rtl/>
          <w:lang w:bidi="ar-JO"/>
        </w:rPr>
        <w:t xml:space="preserve"> </w:t>
      </w:r>
      <w:r w:rsidR="00F32B28" w:rsidRPr="00F32B28">
        <w:rPr>
          <w:rtl/>
          <w:lang w:bidi="ar-JO"/>
        </w:rPr>
        <w:t>فيلزم</w:t>
      </w:r>
      <w:r w:rsidR="00F32B28">
        <w:rPr>
          <w:rtl/>
          <w:lang w:bidi="ar-JO"/>
        </w:rPr>
        <w:t xml:space="preserve"> </w:t>
      </w:r>
      <w:r w:rsidR="00F32B28" w:rsidRPr="00F32B28">
        <w:rPr>
          <w:rtl/>
          <w:lang w:bidi="ar-JO"/>
        </w:rPr>
        <w:t>به</w:t>
      </w:r>
      <w:r w:rsidR="00F32B28">
        <w:rPr>
          <w:rtl/>
          <w:lang w:bidi="ar-JO"/>
        </w:rPr>
        <w:t xml:space="preserve"> </w:t>
      </w:r>
      <w:r w:rsidR="00F32B28" w:rsidRPr="00F32B28">
        <w:rPr>
          <w:rtl/>
          <w:lang w:bidi="ar-JO"/>
        </w:rPr>
        <w:t>المهر</w:t>
      </w:r>
      <w:r w:rsidR="00F32B28">
        <w:rPr>
          <w:rtl/>
          <w:lang w:bidi="ar-JO"/>
        </w:rPr>
        <w:t xml:space="preserve"> </w:t>
      </w:r>
      <w:r w:rsidR="00F32B28" w:rsidRPr="00F32B28">
        <w:rPr>
          <w:rtl/>
          <w:lang w:bidi="ar-JO"/>
        </w:rPr>
        <w:t>والعدة</w:t>
      </w:r>
      <w:r w:rsidR="00F32B28">
        <w:rPr>
          <w:rtl/>
          <w:lang w:bidi="ar-JO"/>
        </w:rPr>
        <w:t xml:space="preserve"> </w:t>
      </w:r>
      <w:r w:rsidR="00F32B28" w:rsidRPr="00F32B28">
        <w:rPr>
          <w:rtl/>
          <w:lang w:bidi="ar-JO"/>
        </w:rPr>
        <w:t>ويثبت</w:t>
      </w:r>
      <w:r w:rsidR="00F32B28">
        <w:rPr>
          <w:rtl/>
          <w:lang w:bidi="ar-JO"/>
        </w:rPr>
        <w:t xml:space="preserve"> </w:t>
      </w:r>
      <w:r w:rsidR="00F32B28" w:rsidRPr="00F32B28">
        <w:rPr>
          <w:rtl/>
          <w:lang w:bidi="ar-JO"/>
        </w:rPr>
        <w:t>النسب،</w:t>
      </w:r>
      <w:r w:rsidR="00F32B28">
        <w:rPr>
          <w:rtl/>
          <w:lang w:bidi="ar-JO"/>
        </w:rPr>
        <w:t xml:space="preserve"> </w:t>
      </w:r>
      <w:r w:rsidR="00F32B28" w:rsidRPr="00F32B28">
        <w:rPr>
          <w:rtl/>
          <w:lang w:bidi="ar-JO"/>
        </w:rPr>
        <w:t>ولا</w:t>
      </w:r>
      <w:r w:rsidR="00F32B28">
        <w:rPr>
          <w:rtl/>
          <w:lang w:bidi="ar-JO"/>
        </w:rPr>
        <w:t xml:space="preserve"> </w:t>
      </w:r>
      <w:r w:rsidR="00F32B28" w:rsidRPr="00F32B28">
        <w:rPr>
          <w:rtl/>
          <w:lang w:bidi="ar-JO"/>
        </w:rPr>
        <w:t>تلزم</w:t>
      </w:r>
      <w:r w:rsidR="00F32B28">
        <w:rPr>
          <w:rtl/>
          <w:lang w:bidi="ar-JO"/>
        </w:rPr>
        <w:t xml:space="preserve"> </w:t>
      </w:r>
      <w:r w:rsidR="00F32B28" w:rsidRPr="00F32B28">
        <w:rPr>
          <w:rtl/>
          <w:lang w:bidi="ar-JO"/>
        </w:rPr>
        <w:t>بقية</w:t>
      </w:r>
      <w:r w:rsidR="00F32B28">
        <w:rPr>
          <w:rtl/>
          <w:lang w:bidi="ar-JO"/>
        </w:rPr>
        <w:t xml:space="preserve"> </w:t>
      </w:r>
      <w:r w:rsidR="00F32B28" w:rsidRPr="00F32B28">
        <w:rPr>
          <w:rtl/>
          <w:lang w:bidi="ar-JO"/>
        </w:rPr>
        <w:t>الأحكام</w:t>
      </w:r>
      <w:r w:rsidR="00F32B28">
        <w:rPr>
          <w:rtl/>
          <w:lang w:bidi="ar-JO"/>
        </w:rPr>
        <w:t xml:space="preserve"> </w:t>
      </w:r>
      <w:r w:rsidR="00F32B28" w:rsidRPr="00F32B28">
        <w:rPr>
          <w:rtl/>
          <w:lang w:bidi="ar-JO"/>
        </w:rPr>
        <w:t>كالإرث</w:t>
      </w:r>
      <w:r w:rsidR="00F32B28">
        <w:rPr>
          <w:rtl/>
          <w:lang w:bidi="ar-JO"/>
        </w:rPr>
        <w:t xml:space="preserve"> </w:t>
      </w:r>
      <w:r w:rsidR="00F32B28" w:rsidRPr="00F32B28">
        <w:rPr>
          <w:rtl/>
          <w:lang w:bidi="ar-JO"/>
        </w:rPr>
        <w:t>والنفقة</w:t>
      </w:r>
      <w:r w:rsidR="00F32B28">
        <w:rPr>
          <w:rtl/>
          <w:lang w:bidi="ar-JO"/>
        </w:rPr>
        <w:t xml:space="preserve"> </w:t>
      </w:r>
      <w:r w:rsidR="00F32B28" w:rsidRPr="00F32B28">
        <w:rPr>
          <w:rtl/>
          <w:lang w:bidi="ar-JO"/>
        </w:rPr>
        <w:t>قبل</w:t>
      </w:r>
      <w:r w:rsidR="00F32B28">
        <w:rPr>
          <w:rtl/>
          <w:lang w:bidi="ar-JO"/>
        </w:rPr>
        <w:t xml:space="preserve"> </w:t>
      </w:r>
      <w:r w:rsidR="00F32B28" w:rsidRPr="00F32B28">
        <w:rPr>
          <w:rtl/>
          <w:lang w:bidi="ar-JO"/>
        </w:rPr>
        <w:t>التفريق</w:t>
      </w:r>
      <w:r w:rsidR="00F32B28">
        <w:rPr>
          <w:rtl/>
          <w:lang w:bidi="ar-JO"/>
        </w:rPr>
        <w:t xml:space="preserve"> </w:t>
      </w:r>
      <w:r w:rsidR="00F32B28" w:rsidRPr="00F32B28">
        <w:rPr>
          <w:rtl/>
          <w:lang w:bidi="ar-JO"/>
        </w:rPr>
        <w:t>أو</w:t>
      </w:r>
      <w:r w:rsidR="00F32B28">
        <w:rPr>
          <w:rtl/>
          <w:lang w:bidi="ar-JO"/>
        </w:rPr>
        <w:t xml:space="preserve"> </w:t>
      </w:r>
      <w:r w:rsidR="00F32B28" w:rsidRPr="00F32B28">
        <w:rPr>
          <w:rtl/>
          <w:lang w:bidi="ar-JO"/>
        </w:rPr>
        <w:t>بعده.</w:t>
      </w:r>
      <w:r w:rsidR="00F32B28">
        <w:rPr>
          <w:rtl/>
          <w:lang w:bidi="ar-JO"/>
        </w:rPr>
        <w:t xml:space="preserve"> </w:t>
      </w:r>
      <w:r w:rsidR="00F32B28" w:rsidRPr="00F32B28">
        <w:rPr>
          <w:rtl/>
          <w:lang w:bidi="ar-JO"/>
        </w:rPr>
        <w:t>و</w:t>
      </w:r>
      <w:r w:rsidR="00F32B28" w:rsidRPr="00F32B28">
        <w:rPr>
          <w:rtl/>
          <w:lang w:bidi="ar-SY"/>
        </w:rPr>
        <w:t>يحق</w:t>
      </w:r>
      <w:r w:rsidR="00F32B28">
        <w:rPr>
          <w:rtl/>
          <w:lang w:bidi="ar-SY"/>
        </w:rPr>
        <w:t xml:space="preserve"> </w:t>
      </w:r>
      <w:r w:rsidR="00F32B28" w:rsidRPr="00F32B28">
        <w:rPr>
          <w:rtl/>
          <w:lang w:bidi="ar-SY"/>
        </w:rPr>
        <w:t>للمرأة</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تشترط</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عقد</w:t>
      </w:r>
      <w:r w:rsidR="00F32B28">
        <w:rPr>
          <w:rtl/>
          <w:lang w:bidi="ar-SY"/>
        </w:rPr>
        <w:t xml:space="preserve"> </w:t>
      </w:r>
      <w:r w:rsidR="00F32B28" w:rsidRPr="00F32B28">
        <w:rPr>
          <w:rtl/>
          <w:lang w:bidi="ar-SY"/>
        </w:rPr>
        <w:t>زواجها</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شرط</w:t>
      </w:r>
      <w:r w:rsidR="00F32B28">
        <w:rPr>
          <w:rtl/>
          <w:lang w:bidi="ar-SY"/>
        </w:rPr>
        <w:t xml:space="preserve"> </w:t>
      </w:r>
      <w:r w:rsidR="00F32B28" w:rsidRPr="00F32B28">
        <w:rPr>
          <w:rtl/>
          <w:lang w:bidi="ar-SY"/>
        </w:rPr>
        <w:t>يتحقق</w:t>
      </w:r>
      <w:r w:rsidR="00F32B28">
        <w:rPr>
          <w:rtl/>
          <w:lang w:bidi="ar-SY"/>
        </w:rPr>
        <w:t xml:space="preserve"> </w:t>
      </w:r>
      <w:r w:rsidR="00F32B28" w:rsidRPr="00F32B28">
        <w:rPr>
          <w:rtl/>
          <w:lang w:bidi="ar-SY"/>
        </w:rPr>
        <w:t>لها</w:t>
      </w:r>
      <w:r w:rsidR="00F32B28">
        <w:rPr>
          <w:rtl/>
          <w:lang w:bidi="ar-SY"/>
        </w:rPr>
        <w:t xml:space="preserve"> </w:t>
      </w:r>
      <w:r w:rsidR="00F32B28" w:rsidRPr="00F32B28">
        <w:rPr>
          <w:rtl/>
          <w:lang w:bidi="ar-SY"/>
        </w:rPr>
        <w:t>به</w:t>
      </w:r>
      <w:r w:rsidR="00F32B28">
        <w:rPr>
          <w:rtl/>
          <w:lang w:bidi="ar-SY"/>
        </w:rPr>
        <w:t xml:space="preserve"> </w:t>
      </w:r>
      <w:r w:rsidR="00F32B28" w:rsidRPr="00F32B28">
        <w:rPr>
          <w:rtl/>
          <w:lang w:bidi="ar-SY"/>
        </w:rPr>
        <w:t>مصلحة</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محظورة</w:t>
      </w:r>
      <w:r w:rsidR="00F32B28">
        <w:rPr>
          <w:rtl/>
          <w:lang w:bidi="ar-SY"/>
        </w:rPr>
        <w:t xml:space="preserve"> </w:t>
      </w:r>
      <w:r w:rsidR="00F32B28" w:rsidRPr="00F32B28">
        <w:rPr>
          <w:rtl/>
          <w:lang w:bidi="ar-SY"/>
        </w:rPr>
        <w:t>شرعاً</w:t>
      </w:r>
      <w:r w:rsidR="00F32B28">
        <w:rPr>
          <w:rtl/>
          <w:lang w:bidi="ar-SY"/>
        </w:rPr>
        <w:t xml:space="preserve"> </w:t>
      </w:r>
      <w:r w:rsidR="00F32B28" w:rsidRPr="00F32B28">
        <w:rPr>
          <w:rtl/>
          <w:lang w:bidi="ar-SY"/>
        </w:rPr>
        <w:t>ولا</w:t>
      </w:r>
      <w:r w:rsidR="00F32B28">
        <w:rPr>
          <w:rtl/>
          <w:lang w:bidi="ar-SY"/>
        </w:rPr>
        <w:t xml:space="preserve"> </w:t>
      </w:r>
      <w:r w:rsidR="00F32B28" w:rsidRPr="00F32B28">
        <w:rPr>
          <w:rtl/>
          <w:lang w:bidi="ar-SY"/>
        </w:rPr>
        <w:t>يمس</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الغير،</w:t>
      </w:r>
      <w:r w:rsidR="00F32B28">
        <w:rPr>
          <w:rtl/>
          <w:lang w:bidi="ar-SY"/>
        </w:rPr>
        <w:t xml:space="preserve"> </w:t>
      </w:r>
      <w:r w:rsidR="00F32B28" w:rsidRPr="00F32B28">
        <w:rPr>
          <w:rtl/>
          <w:lang w:bidi="ar-SY"/>
        </w:rPr>
        <w:t>فإن</w:t>
      </w:r>
      <w:r w:rsidR="00F32B28">
        <w:rPr>
          <w:rtl/>
          <w:lang w:bidi="ar-SY"/>
        </w:rPr>
        <w:t xml:space="preserve"> </w:t>
      </w:r>
      <w:r w:rsidR="00F32B28" w:rsidRPr="00F32B28">
        <w:rPr>
          <w:rtl/>
          <w:lang w:bidi="ar-SY"/>
        </w:rPr>
        <w:t>لم</w:t>
      </w:r>
      <w:r w:rsidR="00F32B28">
        <w:rPr>
          <w:rtl/>
          <w:lang w:bidi="ar-SY"/>
        </w:rPr>
        <w:t xml:space="preserve"> </w:t>
      </w:r>
      <w:r w:rsidR="00F32B28" w:rsidRPr="00F32B28">
        <w:rPr>
          <w:rtl/>
          <w:lang w:bidi="ar-SY"/>
        </w:rPr>
        <w:t>يلتزم</w:t>
      </w:r>
      <w:r w:rsidR="00F32B28">
        <w:rPr>
          <w:rtl/>
          <w:lang w:bidi="ar-SY"/>
        </w:rPr>
        <w:t xml:space="preserve"> </w:t>
      </w:r>
      <w:r w:rsidR="00F32B28" w:rsidRPr="00F32B28">
        <w:rPr>
          <w:rtl/>
          <w:lang w:bidi="ar-SY"/>
        </w:rPr>
        <w:t>به</w:t>
      </w:r>
      <w:r w:rsidR="00F32B28">
        <w:rPr>
          <w:rtl/>
          <w:lang w:bidi="ar-SY"/>
        </w:rPr>
        <w:t xml:space="preserve"> </w:t>
      </w:r>
      <w:r w:rsidR="00F32B28" w:rsidRPr="00F32B28">
        <w:rPr>
          <w:rtl/>
          <w:lang w:bidi="ar-SY"/>
        </w:rPr>
        <w:t>الزوج</w:t>
      </w:r>
      <w:r w:rsidR="00F32B28">
        <w:rPr>
          <w:rtl/>
          <w:lang w:bidi="ar-SY"/>
        </w:rPr>
        <w:t xml:space="preserve"> </w:t>
      </w:r>
      <w:r w:rsidR="00F32B28" w:rsidRPr="00F32B28">
        <w:rPr>
          <w:rtl/>
          <w:lang w:bidi="ar-SY"/>
        </w:rPr>
        <w:t>فسخ</w:t>
      </w:r>
      <w:r w:rsidR="00F32B28">
        <w:rPr>
          <w:rtl/>
          <w:lang w:bidi="ar-SY"/>
        </w:rPr>
        <w:t xml:space="preserve"> </w:t>
      </w:r>
      <w:r w:rsidR="00F32B28" w:rsidRPr="00F32B28">
        <w:rPr>
          <w:rtl/>
          <w:lang w:bidi="ar-SY"/>
        </w:rPr>
        <w:t>عقد</w:t>
      </w:r>
      <w:r w:rsidR="00F32B28">
        <w:rPr>
          <w:rtl/>
          <w:lang w:bidi="ar-SY"/>
        </w:rPr>
        <w:t xml:space="preserve"> </w:t>
      </w:r>
      <w:r w:rsidR="00F32B28" w:rsidRPr="00F32B28">
        <w:rPr>
          <w:rtl/>
          <w:lang w:bidi="ar-SY"/>
        </w:rPr>
        <w:t>الزواج</w:t>
      </w:r>
      <w:r w:rsidR="00F32B28">
        <w:rPr>
          <w:rtl/>
          <w:lang w:bidi="ar-SY"/>
        </w:rPr>
        <w:t xml:space="preserve"> </w:t>
      </w:r>
      <w:r w:rsidR="00F32B28" w:rsidRPr="00F32B28">
        <w:rPr>
          <w:rtl/>
          <w:lang w:bidi="ar-SY"/>
        </w:rPr>
        <w:t>بطلب</w:t>
      </w:r>
      <w:r w:rsidR="00F32B28">
        <w:rPr>
          <w:rtl/>
          <w:lang w:bidi="ar-SY"/>
        </w:rPr>
        <w:t xml:space="preserve"> </w:t>
      </w:r>
      <w:r w:rsidR="00F32B28" w:rsidRPr="00F32B28">
        <w:rPr>
          <w:rtl/>
          <w:lang w:bidi="ar-SY"/>
        </w:rPr>
        <w:t>الزوجة</w:t>
      </w:r>
      <w:r w:rsidR="00F32B28">
        <w:rPr>
          <w:rtl/>
          <w:lang w:bidi="ar-SY"/>
        </w:rPr>
        <w:t xml:space="preserve"> </w:t>
      </w:r>
      <w:r w:rsidR="00F32B28" w:rsidRPr="00F32B28">
        <w:rPr>
          <w:rtl/>
          <w:lang w:bidi="ar-SY"/>
        </w:rPr>
        <w:t>ولها</w:t>
      </w:r>
      <w:r w:rsidR="00F32B28">
        <w:rPr>
          <w:rtl/>
          <w:lang w:bidi="ar-SY"/>
        </w:rPr>
        <w:t xml:space="preserve"> </w:t>
      </w:r>
      <w:r w:rsidR="00F32B28" w:rsidRPr="00F32B28">
        <w:rPr>
          <w:rtl/>
          <w:lang w:bidi="ar-SY"/>
        </w:rPr>
        <w:t>مطالبته</w:t>
      </w:r>
      <w:r w:rsidR="00F32B28">
        <w:rPr>
          <w:rtl/>
          <w:lang w:bidi="ar-SY"/>
        </w:rPr>
        <w:t xml:space="preserve"> </w:t>
      </w:r>
      <w:r w:rsidR="00F32B28" w:rsidRPr="00F32B28">
        <w:rPr>
          <w:rtl/>
          <w:lang w:bidi="ar-SY"/>
        </w:rPr>
        <w:t>بكافة</w:t>
      </w:r>
      <w:r w:rsidR="00F32B28">
        <w:rPr>
          <w:rtl/>
          <w:lang w:bidi="ar-SY"/>
        </w:rPr>
        <w:t xml:space="preserve"> </w:t>
      </w:r>
      <w:r w:rsidR="00F32B28" w:rsidRPr="00F32B28">
        <w:rPr>
          <w:rtl/>
          <w:lang w:bidi="ar-SY"/>
        </w:rPr>
        <w:t>حقوقها</w:t>
      </w:r>
      <w:r w:rsidR="00F32B28">
        <w:rPr>
          <w:rtl/>
          <w:lang w:bidi="ar-SY"/>
        </w:rPr>
        <w:t xml:space="preserve"> </w:t>
      </w:r>
      <w:r w:rsidR="00F32B28" w:rsidRPr="00F32B28">
        <w:rPr>
          <w:rtl/>
          <w:lang w:bidi="ar-SY"/>
        </w:rPr>
        <w:t>الزوجية.</w:t>
      </w:r>
      <w:r w:rsidR="00F32B28">
        <w:rPr>
          <w:rtl/>
          <w:lang w:bidi="ar-SY"/>
        </w:rPr>
        <w:t xml:space="preserve"> </w:t>
      </w:r>
    </w:p>
    <w:p w:rsidR="00F32B28" w:rsidRPr="00F32B28" w:rsidRDefault="00565595" w:rsidP="00565595">
      <w:pPr>
        <w:pStyle w:val="SingleTxt"/>
        <w:rPr>
          <w:rtl/>
          <w:lang w:bidi="ar-SY"/>
        </w:rPr>
      </w:pPr>
      <w:r>
        <w:rPr>
          <w:rFonts w:hint="cs"/>
          <w:rtl/>
          <w:lang w:bidi="ar-SY"/>
        </w:rPr>
        <w:t xml:space="preserve">327 - </w:t>
      </w:r>
      <w:r w:rsidR="00F32B28" w:rsidRPr="00F32B28">
        <w:rPr>
          <w:rtl/>
          <w:lang w:bidi="ar-SY"/>
        </w:rPr>
        <w:t>إلا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هنالك</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الأحكام</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تقيد</w:t>
      </w:r>
      <w:r w:rsidR="00F32B28">
        <w:rPr>
          <w:rtl/>
          <w:lang w:bidi="ar-SY"/>
        </w:rPr>
        <w:t xml:space="preserve"> </w:t>
      </w:r>
      <w:r w:rsidR="00F32B28" w:rsidRPr="00F32B28">
        <w:rPr>
          <w:rtl/>
          <w:lang w:bidi="ar-SY"/>
        </w:rPr>
        <w:t>وتحد</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حرية</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عقد</w:t>
      </w:r>
      <w:r w:rsidR="00F32B28">
        <w:rPr>
          <w:rtl/>
          <w:lang w:bidi="ar-SY"/>
        </w:rPr>
        <w:t xml:space="preserve"> </w:t>
      </w:r>
      <w:r w:rsidR="00F32B28" w:rsidRPr="00F32B28">
        <w:rPr>
          <w:rtl/>
          <w:lang w:bidi="ar-SY"/>
        </w:rPr>
        <w:t>الزواج؛</w:t>
      </w:r>
      <w:r w:rsidR="00F32B28">
        <w:rPr>
          <w:rtl/>
          <w:lang w:bidi="ar-SY"/>
        </w:rPr>
        <w:t xml:space="preserve"> </w:t>
      </w:r>
      <w:r w:rsidR="00F32B28" w:rsidRPr="00F32B28">
        <w:rPr>
          <w:rtl/>
          <w:lang w:bidi="ar-SY"/>
        </w:rPr>
        <w:t>فيشترط</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عقد</w:t>
      </w:r>
      <w:r w:rsidR="00F32B28">
        <w:rPr>
          <w:rtl/>
          <w:lang w:bidi="ar-SY"/>
        </w:rPr>
        <w:t xml:space="preserve"> </w:t>
      </w:r>
      <w:r w:rsidR="00F32B28" w:rsidRPr="00F32B28">
        <w:rPr>
          <w:rtl/>
          <w:lang w:bidi="ar-SY"/>
        </w:rPr>
        <w:t>زواج</w:t>
      </w:r>
      <w:r w:rsidR="00F32B28">
        <w:rPr>
          <w:rtl/>
          <w:lang w:bidi="ar-SY"/>
        </w:rPr>
        <w:t xml:space="preserve"> </w:t>
      </w:r>
      <w:r w:rsidR="00F32B28" w:rsidRPr="00F32B28">
        <w:rPr>
          <w:rtl/>
          <w:lang w:bidi="ar-SY"/>
        </w:rPr>
        <w:t>البنت</w:t>
      </w:r>
      <w:r w:rsidR="00F32B28">
        <w:rPr>
          <w:rtl/>
          <w:lang w:bidi="ar-SY"/>
        </w:rPr>
        <w:t xml:space="preserve"> </w:t>
      </w:r>
      <w:r w:rsidR="00F32B28" w:rsidRPr="00F32B28">
        <w:rPr>
          <w:rtl/>
          <w:lang w:bidi="ar-SY"/>
        </w:rPr>
        <w:t>البكر</w:t>
      </w:r>
      <w:r w:rsidR="00F32B28">
        <w:rPr>
          <w:rtl/>
          <w:lang w:bidi="ar-SY"/>
        </w:rPr>
        <w:t xml:space="preserve"> </w:t>
      </w:r>
      <w:r w:rsidR="00F32B28" w:rsidRPr="00F32B28">
        <w:rPr>
          <w:rtl/>
          <w:lang w:bidi="ar-SY"/>
        </w:rPr>
        <w:t>موافقة</w:t>
      </w:r>
      <w:r w:rsidR="00F32B28">
        <w:rPr>
          <w:rtl/>
          <w:lang w:bidi="ar-SY"/>
        </w:rPr>
        <w:t xml:space="preserve"> </w:t>
      </w:r>
      <w:r w:rsidR="00F32B28" w:rsidRPr="00F32B28">
        <w:rPr>
          <w:rtl/>
          <w:lang w:bidi="ar-SY"/>
        </w:rPr>
        <w:t>ولي</w:t>
      </w:r>
      <w:r w:rsidR="00F32B28">
        <w:rPr>
          <w:rtl/>
          <w:lang w:bidi="ar-SY"/>
        </w:rPr>
        <w:t xml:space="preserve"> </w:t>
      </w:r>
      <w:r w:rsidR="00F32B28" w:rsidRPr="00F32B28">
        <w:rPr>
          <w:rtl/>
          <w:lang w:bidi="ar-SY"/>
        </w:rPr>
        <w:t>أمرها،</w:t>
      </w:r>
      <w:r w:rsidR="00F32B28">
        <w:rPr>
          <w:rtl/>
          <w:lang w:bidi="ar-SY"/>
        </w:rPr>
        <w:t xml:space="preserve"> </w:t>
      </w:r>
      <w:r w:rsidR="00F32B28" w:rsidRPr="00F32B28">
        <w:rPr>
          <w:rtl/>
          <w:lang w:bidi="ar-SY"/>
        </w:rPr>
        <w:t>الذي</w:t>
      </w:r>
      <w:r w:rsidR="00F32B28">
        <w:rPr>
          <w:rtl/>
          <w:lang w:bidi="ar-SY"/>
        </w:rPr>
        <w:t xml:space="preserve"> </w:t>
      </w:r>
      <w:r w:rsidR="00F32B28" w:rsidRPr="00F32B28">
        <w:rPr>
          <w:rtl/>
          <w:lang w:bidi="ar-SY"/>
        </w:rPr>
        <w:t>دائماً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يكون</w:t>
      </w:r>
      <w:r w:rsidR="00F32B28">
        <w:rPr>
          <w:rtl/>
          <w:lang w:bidi="ar-SY"/>
        </w:rPr>
        <w:t xml:space="preserve"> </w:t>
      </w:r>
      <w:r w:rsidR="00F32B28" w:rsidRPr="00F32B28">
        <w:rPr>
          <w:rtl/>
          <w:lang w:bidi="ar-SY"/>
        </w:rPr>
        <w:t>رجلاً،</w:t>
      </w:r>
      <w:r w:rsidR="00F32B28">
        <w:rPr>
          <w:rtl/>
          <w:lang w:bidi="ar-SY"/>
        </w:rPr>
        <w:t xml:space="preserve"> </w:t>
      </w:r>
      <w:r w:rsidR="00F32B28" w:rsidRPr="00F32B28">
        <w:rPr>
          <w:rtl/>
          <w:lang w:bidi="ar-SY"/>
        </w:rPr>
        <w:t>بينما</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يحتاج</w:t>
      </w:r>
      <w:r w:rsidR="00F32B28">
        <w:rPr>
          <w:rtl/>
          <w:lang w:bidi="ar-SY"/>
        </w:rPr>
        <w:t xml:space="preserve"> </w:t>
      </w:r>
      <w:r w:rsidR="00F32B28" w:rsidRPr="00F32B28">
        <w:rPr>
          <w:rtl/>
          <w:lang w:bidi="ar-SY"/>
        </w:rPr>
        <w:t>الذكور</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موافقة</w:t>
      </w:r>
      <w:r w:rsidR="00F32B28">
        <w:rPr>
          <w:rtl/>
          <w:lang w:bidi="ar-SY"/>
        </w:rPr>
        <w:t xml:space="preserve"> </w:t>
      </w:r>
      <w:r w:rsidR="00F32B28" w:rsidRPr="00F32B28">
        <w:rPr>
          <w:rtl/>
          <w:lang w:bidi="ar-SY"/>
        </w:rPr>
        <w:t>ولي</w:t>
      </w:r>
      <w:r w:rsidR="00F32B28">
        <w:rPr>
          <w:rtl/>
          <w:lang w:bidi="ar-SY"/>
        </w:rPr>
        <w:t xml:space="preserve"> </w:t>
      </w:r>
      <w:r w:rsidR="00F32B28" w:rsidRPr="00F32B28">
        <w:rPr>
          <w:rtl/>
          <w:lang w:bidi="ar-SY"/>
        </w:rPr>
        <w:t>الأمر.</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عدم</w:t>
      </w:r>
      <w:r w:rsidR="00F32B28">
        <w:rPr>
          <w:rtl/>
          <w:lang w:bidi="ar-SY"/>
        </w:rPr>
        <w:t xml:space="preserve"> </w:t>
      </w:r>
      <w:r w:rsidR="00F32B28" w:rsidRPr="00F32B28">
        <w:rPr>
          <w:rtl/>
          <w:lang w:bidi="ar-SY"/>
        </w:rPr>
        <w:t>وجود</w:t>
      </w:r>
      <w:r w:rsidR="00F32B28">
        <w:rPr>
          <w:rtl/>
          <w:lang w:bidi="ar-SY"/>
        </w:rPr>
        <w:t xml:space="preserve"> </w:t>
      </w:r>
      <w:r w:rsidR="00F32B28" w:rsidRPr="00F32B28">
        <w:rPr>
          <w:rtl/>
          <w:lang w:bidi="ar-SY"/>
        </w:rPr>
        <w:t>الولي</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عضله</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رفضه</w:t>
      </w:r>
      <w:r w:rsidR="00F32B28">
        <w:rPr>
          <w:rtl/>
          <w:lang w:bidi="ar-SY"/>
        </w:rPr>
        <w:t xml:space="preserve"> </w:t>
      </w:r>
      <w:r w:rsidR="00F32B28" w:rsidRPr="00F32B28">
        <w:rPr>
          <w:rtl/>
          <w:lang w:bidi="ar-SY"/>
        </w:rPr>
        <w:t>تزويج</w:t>
      </w:r>
      <w:r w:rsidR="00F32B28">
        <w:rPr>
          <w:rtl/>
          <w:lang w:bidi="ar-SY"/>
        </w:rPr>
        <w:t xml:space="preserve"> </w:t>
      </w:r>
      <w:r w:rsidR="00F32B28" w:rsidRPr="00F32B28">
        <w:rPr>
          <w:rtl/>
          <w:lang w:bidi="ar-SY"/>
        </w:rPr>
        <w:t>البنت</w:t>
      </w:r>
      <w:r w:rsidR="00F32B28">
        <w:rPr>
          <w:rtl/>
          <w:lang w:bidi="ar-SY"/>
        </w:rPr>
        <w:t xml:space="preserve"> </w:t>
      </w:r>
      <w:r w:rsidR="00F32B28" w:rsidRPr="00F32B28">
        <w:rPr>
          <w:rtl/>
          <w:lang w:bidi="ar-SY"/>
        </w:rPr>
        <w:t>لغير</w:t>
      </w:r>
      <w:r w:rsidR="00F32B28">
        <w:rPr>
          <w:rtl/>
          <w:lang w:bidi="ar-SY"/>
        </w:rPr>
        <w:t xml:space="preserve"> </w:t>
      </w:r>
      <w:r w:rsidR="00F32B28" w:rsidRPr="00F32B28">
        <w:rPr>
          <w:rtl/>
          <w:lang w:bidi="ar-SY"/>
        </w:rPr>
        <w:t>سبب</w:t>
      </w:r>
      <w:r w:rsidR="00F32B28">
        <w:rPr>
          <w:rtl/>
          <w:lang w:bidi="ar-SY"/>
        </w:rPr>
        <w:t xml:space="preserve"> </w:t>
      </w:r>
      <w:r w:rsidR="00F32B28" w:rsidRPr="00F32B28">
        <w:rPr>
          <w:rtl/>
          <w:lang w:bidi="ar-SY"/>
        </w:rPr>
        <w:t>مشروع)</w:t>
      </w:r>
      <w:r w:rsidR="00F32B28">
        <w:rPr>
          <w:rtl/>
          <w:lang w:bidi="ar-SY"/>
        </w:rPr>
        <w:t xml:space="preserve"> </w:t>
      </w:r>
      <w:r w:rsidR="00F32B28" w:rsidRPr="00F32B28">
        <w:rPr>
          <w:rtl/>
          <w:lang w:bidi="ar-SY"/>
        </w:rPr>
        <w:t>يصبح</w:t>
      </w:r>
      <w:r w:rsidR="00F32B28">
        <w:rPr>
          <w:rtl/>
          <w:lang w:bidi="ar-SY"/>
        </w:rPr>
        <w:t xml:space="preserve"> </w:t>
      </w:r>
      <w:r w:rsidR="00F32B28" w:rsidRPr="00F32B28">
        <w:rPr>
          <w:rtl/>
          <w:lang w:bidi="ar-SY"/>
        </w:rPr>
        <w:t>القاضي</w:t>
      </w:r>
      <w:r w:rsidR="00F32B28">
        <w:rPr>
          <w:rtl/>
          <w:lang w:bidi="ar-SY"/>
        </w:rPr>
        <w:t xml:space="preserve"> </w:t>
      </w:r>
      <w:r w:rsidR="00F32B28" w:rsidRPr="00F32B28">
        <w:rPr>
          <w:rtl/>
          <w:lang w:bidi="ar-SY"/>
        </w:rPr>
        <w:t>ولي</w:t>
      </w:r>
      <w:r w:rsidR="00F32B28">
        <w:rPr>
          <w:rtl/>
          <w:lang w:bidi="ar-SY"/>
        </w:rPr>
        <w:t xml:space="preserve"> </w:t>
      </w:r>
      <w:r w:rsidR="00F32B28" w:rsidRPr="00F32B28">
        <w:rPr>
          <w:rtl/>
          <w:lang w:bidi="ar-SY"/>
        </w:rPr>
        <w:t>أمر</w:t>
      </w:r>
      <w:r w:rsidR="00F32B28">
        <w:rPr>
          <w:rtl/>
          <w:lang w:bidi="ar-SY"/>
        </w:rPr>
        <w:t xml:space="preserve"> </w:t>
      </w:r>
      <w:r w:rsidR="00F32B28" w:rsidRPr="00F32B28">
        <w:rPr>
          <w:rtl/>
          <w:lang w:bidi="ar-SY"/>
        </w:rPr>
        <w:t>البنت</w:t>
      </w:r>
      <w:r w:rsidR="00F32B28">
        <w:rPr>
          <w:rtl/>
          <w:lang w:bidi="ar-SY"/>
        </w:rPr>
        <w:t xml:space="preserve"> </w:t>
      </w:r>
      <w:r w:rsidR="00F32B28" w:rsidRPr="00F32B28">
        <w:rPr>
          <w:rtl/>
          <w:lang w:bidi="ar-SY"/>
        </w:rPr>
        <w:t>وله</w:t>
      </w:r>
      <w:r w:rsidR="00F32B28">
        <w:rPr>
          <w:rtl/>
          <w:lang w:bidi="ar-SY"/>
        </w:rPr>
        <w:t xml:space="preserve"> </w:t>
      </w:r>
      <w:r w:rsidR="00F32B28" w:rsidRPr="00F32B28">
        <w:rPr>
          <w:rtl/>
          <w:lang w:bidi="ar-SY"/>
        </w:rPr>
        <w:t>الحق</w:t>
      </w:r>
      <w:r w:rsidR="00F32B28">
        <w:rPr>
          <w:rtl/>
          <w:lang w:bidi="ar-SY"/>
        </w:rPr>
        <w:t xml:space="preserve"> </w:t>
      </w:r>
      <w:r w:rsidR="00F32B28" w:rsidRPr="00F32B28">
        <w:rPr>
          <w:rtl/>
          <w:lang w:bidi="ar-SY"/>
        </w:rPr>
        <w:t>بتزويجها.</w:t>
      </w:r>
      <w:r w:rsidR="00F32B28">
        <w:rPr>
          <w:rtl/>
          <w:lang w:bidi="ar-SY"/>
        </w:rPr>
        <w:t xml:space="preserve"> </w:t>
      </w:r>
      <w:r w:rsidR="00F32B28" w:rsidRPr="00F32B28">
        <w:rPr>
          <w:rtl/>
          <w:lang w:bidi="ar-SY"/>
        </w:rPr>
        <w:t>أما</w:t>
      </w:r>
      <w:r w:rsidR="00F32B28">
        <w:rPr>
          <w:rtl/>
          <w:lang w:bidi="ar-SY"/>
        </w:rPr>
        <w:t xml:space="preserve"> </w:t>
      </w:r>
      <w:r w:rsidR="00F32B28" w:rsidRPr="00F32B28">
        <w:rPr>
          <w:rtl/>
          <w:lang w:bidi="ar-SY"/>
        </w:rPr>
        <w:t>بالنسبة</w:t>
      </w:r>
      <w:r w:rsidR="00F32B28">
        <w:rPr>
          <w:rtl/>
          <w:lang w:bidi="ar-SY"/>
        </w:rPr>
        <w:t xml:space="preserve"> </w:t>
      </w:r>
      <w:r w:rsidR="00F32B28" w:rsidRPr="00F32B28">
        <w:rPr>
          <w:rtl/>
          <w:lang w:bidi="ar-SY"/>
        </w:rPr>
        <w:t>للأنثى</w:t>
      </w:r>
      <w:r w:rsidR="00F32B28">
        <w:rPr>
          <w:rtl/>
          <w:lang w:bidi="ar-SY"/>
        </w:rPr>
        <w:t xml:space="preserve"> </w:t>
      </w:r>
      <w:r w:rsidR="00F32B28" w:rsidRPr="00F32B28">
        <w:rPr>
          <w:rtl/>
          <w:lang w:bidi="ar-SY"/>
        </w:rPr>
        <w:t>الثيب</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سبق</w:t>
      </w:r>
      <w:r w:rsidR="00F32B28">
        <w:rPr>
          <w:rtl/>
          <w:lang w:bidi="ar-SY"/>
        </w:rPr>
        <w:t xml:space="preserve"> </w:t>
      </w:r>
      <w:r w:rsidR="00F32B28" w:rsidRPr="00F32B28">
        <w:rPr>
          <w:rtl/>
          <w:lang w:bidi="ar-SY"/>
        </w:rPr>
        <w:t>لها</w:t>
      </w:r>
      <w:r w:rsidR="00F32B28">
        <w:rPr>
          <w:rtl/>
          <w:lang w:bidi="ar-SY"/>
        </w:rPr>
        <w:t xml:space="preserve"> </w:t>
      </w:r>
      <w:r w:rsidR="00F32B28" w:rsidRPr="00F32B28">
        <w:rPr>
          <w:rtl/>
          <w:lang w:bidi="ar-SY"/>
        </w:rPr>
        <w:t>الزواج)</w:t>
      </w:r>
      <w:r w:rsidR="00F32B28">
        <w:rPr>
          <w:rtl/>
          <w:lang w:bidi="ar-SY"/>
        </w:rPr>
        <w:t xml:space="preserve"> </w:t>
      </w:r>
      <w:r w:rsidR="00F32B28" w:rsidRPr="00F32B28">
        <w:rPr>
          <w:rtl/>
          <w:lang w:bidi="ar-SY"/>
        </w:rPr>
        <w:t>والتي</w:t>
      </w:r>
      <w:r w:rsidR="00F32B28">
        <w:rPr>
          <w:rtl/>
          <w:lang w:bidi="ar-SY"/>
        </w:rPr>
        <w:t xml:space="preserve"> </w:t>
      </w:r>
      <w:r w:rsidR="00F32B28" w:rsidRPr="00F32B28">
        <w:rPr>
          <w:rtl/>
          <w:lang w:bidi="ar-SY"/>
        </w:rPr>
        <w:t>أتمت</w:t>
      </w:r>
      <w:r w:rsidR="00F32B28">
        <w:rPr>
          <w:rtl/>
          <w:lang w:bidi="ar-SY"/>
        </w:rPr>
        <w:t xml:space="preserve"> </w:t>
      </w:r>
      <w:r w:rsidR="00F32B28" w:rsidRPr="00F32B28">
        <w:rPr>
          <w:rtl/>
          <w:lang w:bidi="ar-SY"/>
        </w:rPr>
        <w:t>الثامنة</w:t>
      </w:r>
      <w:r w:rsidR="00F32B28">
        <w:rPr>
          <w:rtl/>
          <w:lang w:bidi="ar-SY"/>
        </w:rPr>
        <w:t xml:space="preserve"> </w:t>
      </w:r>
      <w:r w:rsidR="00F32B28" w:rsidRPr="00F32B28">
        <w:rPr>
          <w:rtl/>
          <w:lang w:bidi="ar-SY"/>
        </w:rPr>
        <w:t>عشرة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عمرها</w:t>
      </w:r>
      <w:r w:rsidR="00F32B28">
        <w:rPr>
          <w:rtl/>
          <w:lang w:bidi="ar-SY"/>
        </w:rPr>
        <w:t xml:space="preserve"> </w:t>
      </w:r>
      <w:r w:rsidR="00F32B28" w:rsidRPr="00F32B28">
        <w:rPr>
          <w:rtl/>
          <w:lang w:bidi="ar-SY"/>
        </w:rPr>
        <w:t>فلا</w:t>
      </w:r>
      <w:r w:rsidR="00F32B28">
        <w:rPr>
          <w:rtl/>
          <w:lang w:bidi="ar-SY"/>
        </w:rPr>
        <w:t xml:space="preserve"> </w:t>
      </w:r>
      <w:r w:rsidR="00F32B28" w:rsidRPr="00F32B28">
        <w:rPr>
          <w:rtl/>
          <w:lang w:bidi="ar-SY"/>
        </w:rPr>
        <w:t>يشترط</w:t>
      </w:r>
      <w:r w:rsidR="00F32B28">
        <w:rPr>
          <w:rtl/>
          <w:lang w:bidi="ar-SY"/>
        </w:rPr>
        <w:t xml:space="preserve"> </w:t>
      </w:r>
      <w:r w:rsidR="00F32B28" w:rsidRPr="00F32B28">
        <w:rPr>
          <w:rtl/>
          <w:lang w:bidi="ar-SY"/>
        </w:rPr>
        <w:t>موافقة</w:t>
      </w:r>
      <w:r w:rsidR="00F32B28">
        <w:rPr>
          <w:rtl/>
          <w:lang w:bidi="ar-SY"/>
        </w:rPr>
        <w:t xml:space="preserve"> </w:t>
      </w:r>
      <w:r w:rsidR="00F32B28" w:rsidRPr="00F32B28">
        <w:rPr>
          <w:rtl/>
          <w:lang w:bidi="ar-SY"/>
        </w:rPr>
        <w:t>ولي</w:t>
      </w:r>
      <w:r w:rsidR="00F32B28">
        <w:rPr>
          <w:rtl/>
          <w:lang w:bidi="ar-SY"/>
        </w:rPr>
        <w:t xml:space="preserve"> </w:t>
      </w:r>
      <w:r w:rsidR="00F32B28" w:rsidRPr="00F32B28">
        <w:rPr>
          <w:rtl/>
          <w:lang w:bidi="ar-SY"/>
        </w:rPr>
        <w:t>أمرها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زواجها.</w:t>
      </w:r>
      <w:r w:rsidR="00F32B28">
        <w:rPr>
          <w:rtl/>
          <w:lang w:bidi="ar-SY"/>
        </w:rPr>
        <w:t xml:space="preserve"> </w:t>
      </w:r>
    </w:p>
    <w:p w:rsidR="00F32B28" w:rsidRPr="00F32B28" w:rsidRDefault="00565595" w:rsidP="009F4D72">
      <w:pPr>
        <w:pStyle w:val="SingleTxt"/>
      </w:pPr>
      <w:r>
        <w:rPr>
          <w:rFonts w:hint="cs"/>
          <w:rtl/>
        </w:rPr>
        <w:t xml:space="preserve">328 - </w:t>
      </w:r>
      <w:r w:rsidR="00F32B28" w:rsidRPr="00F32B28">
        <w:rPr>
          <w:rtl/>
        </w:rPr>
        <w:t>كما</w:t>
      </w:r>
      <w:r w:rsidR="00F32B28">
        <w:rPr>
          <w:rtl/>
        </w:rPr>
        <w:t xml:space="preserve"> </w:t>
      </w:r>
      <w:r w:rsidR="00F32B28" w:rsidRPr="00F32B28">
        <w:rPr>
          <w:rtl/>
        </w:rPr>
        <w:t>تميّز</w:t>
      </w:r>
      <w:r w:rsidR="00F32B28">
        <w:rPr>
          <w:rtl/>
        </w:rPr>
        <w:t xml:space="preserve"> </w:t>
      </w:r>
      <w:r w:rsidR="00F32B28" w:rsidRPr="00F32B28">
        <w:rPr>
          <w:rtl/>
        </w:rPr>
        <w:t>قوانين</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السارية</w:t>
      </w:r>
      <w:r w:rsidR="00F32B28">
        <w:rPr>
          <w:rtl/>
        </w:rPr>
        <w:t xml:space="preserve"> </w:t>
      </w:r>
      <w:r w:rsidR="00F32B28" w:rsidRPr="00F32B28">
        <w:rPr>
          <w:rtl/>
        </w:rPr>
        <w:t>بين</w:t>
      </w:r>
      <w:r w:rsidR="00F32B28">
        <w:rPr>
          <w:rtl/>
        </w:rPr>
        <w:t xml:space="preserve"> </w:t>
      </w:r>
      <w:r w:rsidR="00F32B28" w:rsidRPr="00F32B28">
        <w:rPr>
          <w:rtl/>
        </w:rPr>
        <w:t>المرأة</w:t>
      </w:r>
      <w:r w:rsidR="00F32B28">
        <w:rPr>
          <w:rtl/>
        </w:rPr>
        <w:t xml:space="preserve"> </w:t>
      </w:r>
      <w:r w:rsidR="00F32B28" w:rsidRPr="00F32B28">
        <w:rPr>
          <w:rtl/>
        </w:rPr>
        <w:t>والرجل</w:t>
      </w:r>
      <w:r w:rsidR="00F32B28">
        <w:rPr>
          <w:rtl/>
        </w:rPr>
        <w:t xml:space="preserve"> </w:t>
      </w:r>
      <w:r w:rsidR="00F32B28" w:rsidRPr="00F32B28">
        <w:rPr>
          <w:rtl/>
        </w:rPr>
        <w:t>في</w:t>
      </w:r>
      <w:r w:rsidR="00F32B28">
        <w:rPr>
          <w:rtl/>
        </w:rPr>
        <w:t xml:space="preserve"> </w:t>
      </w:r>
      <w:r w:rsidR="00F32B28" w:rsidRPr="00F32B28">
        <w:rPr>
          <w:rtl/>
        </w:rPr>
        <w:t>تحديد</w:t>
      </w:r>
      <w:r w:rsidR="00F32B28">
        <w:rPr>
          <w:rtl/>
        </w:rPr>
        <w:t xml:space="preserve"> </w:t>
      </w:r>
      <w:r w:rsidR="00F32B28" w:rsidRPr="00F32B28">
        <w:rPr>
          <w:rtl/>
        </w:rPr>
        <w:t>سن</w:t>
      </w:r>
      <w:r w:rsidR="00F32B28">
        <w:rPr>
          <w:rtl/>
        </w:rPr>
        <w:t xml:space="preserve"> </w:t>
      </w:r>
      <w:r w:rsidR="00F32B28" w:rsidRPr="00F32B28">
        <w:rPr>
          <w:rtl/>
        </w:rPr>
        <w:t>الأهلية</w:t>
      </w:r>
      <w:r w:rsidR="00F32B28">
        <w:rPr>
          <w:rtl/>
        </w:rPr>
        <w:t xml:space="preserve"> </w:t>
      </w:r>
      <w:r w:rsidR="00F32B28" w:rsidRPr="00F32B28">
        <w:rPr>
          <w:rtl/>
        </w:rPr>
        <w:t>للزواج؛</w:t>
      </w:r>
      <w:r w:rsidR="00F32B28">
        <w:rPr>
          <w:rtl/>
        </w:rPr>
        <w:t xml:space="preserve"> </w:t>
      </w:r>
      <w:r w:rsidR="00F32B28" w:rsidRPr="00F32B28">
        <w:rPr>
          <w:rtl/>
        </w:rPr>
        <w:t>فالسن</w:t>
      </w:r>
      <w:r w:rsidR="00F32B28">
        <w:rPr>
          <w:rtl/>
        </w:rPr>
        <w:t xml:space="preserve"> </w:t>
      </w:r>
      <w:r w:rsidR="00F32B28" w:rsidRPr="00F32B28">
        <w:rPr>
          <w:rtl/>
        </w:rPr>
        <w:t>الأدنى</w:t>
      </w:r>
      <w:r w:rsidR="00F32B28">
        <w:rPr>
          <w:rtl/>
        </w:rPr>
        <w:t xml:space="preserve"> </w:t>
      </w:r>
      <w:r w:rsidR="00F32B28" w:rsidRPr="00F32B28">
        <w:rPr>
          <w:rtl/>
        </w:rPr>
        <w:t>للزواج</w:t>
      </w:r>
      <w:r w:rsidR="00F32B28">
        <w:rPr>
          <w:rtl/>
        </w:rPr>
        <w:t xml:space="preserve"> </w:t>
      </w:r>
      <w:r w:rsidR="00F32B28" w:rsidRPr="00F32B28">
        <w:rPr>
          <w:rtl/>
        </w:rPr>
        <w:t>في</w:t>
      </w:r>
      <w:r w:rsidR="00F32B28">
        <w:rPr>
          <w:rtl/>
        </w:rPr>
        <w:t xml:space="preserve"> </w:t>
      </w:r>
      <w:r w:rsidR="00F32B28" w:rsidRPr="00F32B28">
        <w:rPr>
          <w:rtl/>
        </w:rPr>
        <w:t>الضفة</w:t>
      </w:r>
      <w:r w:rsidR="00F32B28">
        <w:rPr>
          <w:rtl/>
        </w:rPr>
        <w:t xml:space="preserve"> </w:t>
      </w:r>
      <w:r w:rsidR="00F32B28" w:rsidRPr="00F32B28">
        <w:rPr>
          <w:rtl/>
        </w:rPr>
        <w:t>الغربية</w:t>
      </w:r>
      <w:r w:rsidR="00F32B28">
        <w:rPr>
          <w:rtl/>
        </w:rPr>
        <w:t xml:space="preserve"> </w:t>
      </w:r>
      <w:r w:rsidR="00F32B28" w:rsidRPr="00F32B28">
        <w:rPr>
          <w:rtl/>
        </w:rPr>
        <w:t>هو</w:t>
      </w:r>
      <w:r w:rsidR="00F32B28">
        <w:rPr>
          <w:rtl/>
        </w:rPr>
        <w:t xml:space="preserve"> </w:t>
      </w:r>
      <w:r w:rsidR="00F32B28" w:rsidRPr="00F32B28">
        <w:rPr>
          <w:rtl/>
        </w:rPr>
        <w:t>16</w:t>
      </w:r>
      <w:r w:rsidR="00F32B28">
        <w:rPr>
          <w:rtl/>
        </w:rPr>
        <w:t xml:space="preserve"> </w:t>
      </w:r>
      <w:r w:rsidR="00F32B28" w:rsidRPr="00F32B28">
        <w:rPr>
          <w:rtl/>
        </w:rPr>
        <w:t>عاماً</w:t>
      </w:r>
      <w:r w:rsidR="00F32B28">
        <w:rPr>
          <w:rtl/>
        </w:rPr>
        <w:t xml:space="preserve"> </w:t>
      </w:r>
      <w:r w:rsidR="00F32B28" w:rsidRPr="00F32B28">
        <w:rPr>
          <w:rtl/>
        </w:rPr>
        <w:t>هجرياً</w:t>
      </w:r>
      <w:r w:rsidR="00F32B28">
        <w:rPr>
          <w:rtl/>
        </w:rPr>
        <w:t xml:space="preserve"> </w:t>
      </w:r>
      <w:r w:rsidR="00F32B28" w:rsidRPr="00F32B28">
        <w:rPr>
          <w:rtl/>
        </w:rPr>
        <w:t>للذكور</w:t>
      </w:r>
      <w:r w:rsidR="00F32B28">
        <w:rPr>
          <w:rtl/>
        </w:rPr>
        <w:t xml:space="preserve"> </w:t>
      </w:r>
      <w:r w:rsidR="00F32B28" w:rsidRPr="00F32B28">
        <w:rPr>
          <w:rtl/>
        </w:rPr>
        <w:t>و</w:t>
      </w:r>
      <w:r w:rsidR="00407D55">
        <w:rPr>
          <w:rFonts w:hint="cs"/>
          <w:rtl/>
        </w:rPr>
        <w:t xml:space="preserve"> </w:t>
      </w:r>
      <w:r w:rsidR="00F32B28" w:rsidRPr="00F32B28">
        <w:rPr>
          <w:rtl/>
        </w:rPr>
        <w:t>15</w:t>
      </w:r>
      <w:r w:rsidR="00F32B28">
        <w:rPr>
          <w:rtl/>
        </w:rPr>
        <w:t xml:space="preserve"> </w:t>
      </w:r>
      <w:r w:rsidR="00F32B28" w:rsidRPr="00F32B28">
        <w:rPr>
          <w:rtl/>
        </w:rPr>
        <w:t>عاماً</w:t>
      </w:r>
      <w:r w:rsidR="00F32B28">
        <w:rPr>
          <w:rtl/>
        </w:rPr>
        <w:t xml:space="preserve"> </w:t>
      </w:r>
      <w:r w:rsidR="00F32B28" w:rsidRPr="00F32B28">
        <w:rPr>
          <w:rtl/>
        </w:rPr>
        <w:t>هجرياً</w:t>
      </w:r>
      <w:r w:rsidR="00F32B28">
        <w:rPr>
          <w:rtl/>
        </w:rPr>
        <w:t xml:space="preserve"> </w:t>
      </w:r>
      <w:r w:rsidR="00F32B28" w:rsidRPr="00F32B28">
        <w:rPr>
          <w:rtl/>
        </w:rPr>
        <w:t>للإناث.</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يبلغ</w:t>
      </w:r>
      <w:r w:rsidR="00F32B28">
        <w:rPr>
          <w:rtl/>
        </w:rPr>
        <w:t xml:space="preserve"> </w:t>
      </w:r>
      <w:r w:rsidR="00F32B28" w:rsidRPr="00F32B28">
        <w:rPr>
          <w:rtl/>
        </w:rPr>
        <w:t>في</w:t>
      </w:r>
      <w:r w:rsidR="00F32B28">
        <w:rPr>
          <w:rtl/>
        </w:rPr>
        <w:t xml:space="preserve"> </w:t>
      </w:r>
      <w:r w:rsidR="00F32B28" w:rsidRPr="00F32B28">
        <w:rPr>
          <w:rtl/>
        </w:rPr>
        <w:t>قطاع</w:t>
      </w:r>
      <w:r w:rsidR="00F32B28">
        <w:rPr>
          <w:rtl/>
        </w:rPr>
        <w:t xml:space="preserve"> </w:t>
      </w:r>
      <w:r w:rsidR="00F32B28" w:rsidRPr="00F32B28">
        <w:rPr>
          <w:rtl/>
        </w:rPr>
        <w:t>غزة</w:t>
      </w:r>
      <w:r w:rsidR="00F32B28">
        <w:rPr>
          <w:rtl/>
        </w:rPr>
        <w:t xml:space="preserve"> </w:t>
      </w:r>
      <w:r w:rsidR="00F32B28" w:rsidRPr="00F32B28">
        <w:rPr>
          <w:rtl/>
        </w:rPr>
        <w:t>للذكور</w:t>
      </w:r>
      <w:r w:rsidR="00F32B28">
        <w:rPr>
          <w:rtl/>
        </w:rPr>
        <w:t xml:space="preserve"> </w:t>
      </w:r>
      <w:r w:rsidR="00F32B28" w:rsidRPr="00F32B28">
        <w:rPr>
          <w:rtl/>
        </w:rPr>
        <w:t>18</w:t>
      </w:r>
      <w:r w:rsidR="00F32B28">
        <w:rPr>
          <w:rtl/>
        </w:rPr>
        <w:t xml:space="preserve"> </w:t>
      </w:r>
      <w:r w:rsidR="00F32B28" w:rsidRPr="00F32B28">
        <w:rPr>
          <w:rtl/>
        </w:rPr>
        <w:t>عاماً</w:t>
      </w:r>
      <w:r w:rsidR="00F32B28">
        <w:rPr>
          <w:rtl/>
        </w:rPr>
        <w:t xml:space="preserve"> </w:t>
      </w:r>
      <w:r w:rsidR="00F32B28" w:rsidRPr="00F32B28">
        <w:rPr>
          <w:rtl/>
        </w:rPr>
        <w:t>وللإناث</w:t>
      </w:r>
      <w:r w:rsidR="00F32B28">
        <w:rPr>
          <w:rtl/>
        </w:rPr>
        <w:t xml:space="preserve"> </w:t>
      </w:r>
      <w:r w:rsidR="00F32B28" w:rsidRPr="00F32B28">
        <w:rPr>
          <w:rtl/>
        </w:rPr>
        <w:t>17</w:t>
      </w:r>
      <w:r w:rsidR="00F32B28">
        <w:rPr>
          <w:rtl/>
        </w:rPr>
        <w:t xml:space="preserve"> </w:t>
      </w:r>
      <w:r w:rsidR="00F32B28" w:rsidRPr="00F32B28">
        <w:rPr>
          <w:rtl/>
        </w:rPr>
        <w:t>عاماً،</w:t>
      </w:r>
      <w:r w:rsidR="00F32B28">
        <w:rPr>
          <w:rtl/>
        </w:rPr>
        <w:t xml:space="preserve"> </w:t>
      </w:r>
      <w:r w:rsidR="00F32B28" w:rsidRPr="00F32B28">
        <w:rPr>
          <w:rtl/>
        </w:rPr>
        <w:t>إلا</w:t>
      </w:r>
      <w:r w:rsidR="00F32B28">
        <w:rPr>
          <w:rtl/>
        </w:rPr>
        <w:t xml:space="preserve"> </w:t>
      </w:r>
      <w:r w:rsidR="00F32B28" w:rsidRPr="00F32B28">
        <w:rPr>
          <w:rtl/>
        </w:rPr>
        <w:t>أنه</w:t>
      </w:r>
      <w:r w:rsidR="00F32B28">
        <w:rPr>
          <w:rtl/>
        </w:rPr>
        <w:t xml:space="preserve"> </w:t>
      </w:r>
      <w:r w:rsidR="00F32B28" w:rsidRPr="00F32B28">
        <w:rPr>
          <w:rtl/>
        </w:rPr>
        <w:t>يجوز</w:t>
      </w:r>
      <w:r w:rsidR="00F32B28">
        <w:rPr>
          <w:rtl/>
        </w:rPr>
        <w:t xml:space="preserve"> </w:t>
      </w:r>
      <w:r w:rsidR="00F32B28" w:rsidRPr="00F32B28">
        <w:rPr>
          <w:rtl/>
        </w:rPr>
        <w:t>للقاضي</w:t>
      </w:r>
      <w:r w:rsidR="00F32B28">
        <w:rPr>
          <w:rtl/>
        </w:rPr>
        <w:t xml:space="preserve"> </w:t>
      </w:r>
      <w:r w:rsidR="00F32B28" w:rsidRPr="00F32B28">
        <w:rPr>
          <w:rtl/>
        </w:rPr>
        <w:t>أن</w:t>
      </w:r>
      <w:r w:rsidR="00F32B28">
        <w:rPr>
          <w:rtl/>
        </w:rPr>
        <w:t xml:space="preserve"> </w:t>
      </w:r>
      <w:r w:rsidR="00F32B28" w:rsidRPr="00F32B28">
        <w:rPr>
          <w:rtl/>
        </w:rPr>
        <w:t>يأذن</w:t>
      </w:r>
      <w:r w:rsidR="00F32B28">
        <w:rPr>
          <w:rtl/>
        </w:rPr>
        <w:t xml:space="preserve"> </w:t>
      </w:r>
      <w:r w:rsidR="00F32B28" w:rsidRPr="00F32B28">
        <w:rPr>
          <w:rtl/>
        </w:rPr>
        <w:t>بتزويج</w:t>
      </w:r>
      <w:r w:rsidR="00F32B28">
        <w:rPr>
          <w:rtl/>
        </w:rPr>
        <w:t xml:space="preserve"> </w:t>
      </w:r>
      <w:r w:rsidR="00F32B28" w:rsidRPr="00F32B28">
        <w:rPr>
          <w:rtl/>
        </w:rPr>
        <w:t>الفتاة</w:t>
      </w:r>
      <w:r w:rsidR="00F32B28">
        <w:rPr>
          <w:rtl/>
        </w:rPr>
        <w:t xml:space="preserve"> </w:t>
      </w:r>
      <w:r w:rsidR="00F32B28" w:rsidRPr="00F32B28">
        <w:rPr>
          <w:rtl/>
        </w:rPr>
        <w:t>التي</w:t>
      </w:r>
      <w:r w:rsidR="00F32B28">
        <w:rPr>
          <w:rtl/>
        </w:rPr>
        <w:t xml:space="preserve"> </w:t>
      </w:r>
      <w:r w:rsidR="00F32B28" w:rsidRPr="00F32B28">
        <w:rPr>
          <w:rtl/>
        </w:rPr>
        <w:t>تتجاوز</w:t>
      </w:r>
      <w:r w:rsidR="00F32B28">
        <w:rPr>
          <w:rtl/>
        </w:rPr>
        <w:t xml:space="preserve"> </w:t>
      </w:r>
      <w:r w:rsidR="00F32B28" w:rsidRPr="00F32B28">
        <w:rPr>
          <w:rtl/>
        </w:rPr>
        <w:t>سن</w:t>
      </w:r>
      <w:r w:rsidR="00F32B28">
        <w:rPr>
          <w:rtl/>
        </w:rPr>
        <w:t xml:space="preserve"> </w:t>
      </w:r>
      <w:r w:rsidR="00F32B28" w:rsidRPr="00F32B28">
        <w:rPr>
          <w:rtl/>
        </w:rPr>
        <w:t>التاسعة</w:t>
      </w:r>
      <w:r w:rsidR="00F32B28">
        <w:rPr>
          <w:rtl/>
        </w:rPr>
        <w:t xml:space="preserve"> </w:t>
      </w:r>
      <w:r w:rsidR="00F32B28" w:rsidRPr="00F32B28">
        <w:rPr>
          <w:rtl/>
        </w:rPr>
        <w:t>من</w:t>
      </w:r>
      <w:r w:rsidR="00F32B28">
        <w:rPr>
          <w:rtl/>
        </w:rPr>
        <w:t xml:space="preserve"> </w:t>
      </w:r>
      <w:r w:rsidR="00F32B28" w:rsidRPr="00F32B28">
        <w:rPr>
          <w:rtl/>
        </w:rPr>
        <w:t>عمرها</w:t>
      </w:r>
      <w:r w:rsidR="00F32B28">
        <w:rPr>
          <w:rtl/>
        </w:rPr>
        <w:t xml:space="preserve"> </w:t>
      </w:r>
      <w:r w:rsidR="00F32B28" w:rsidRPr="00F32B28">
        <w:rPr>
          <w:rtl/>
        </w:rPr>
        <w:t>وتدعى</w:t>
      </w:r>
      <w:r w:rsidR="00F32B28">
        <w:rPr>
          <w:rtl/>
        </w:rPr>
        <w:t xml:space="preserve"> </w:t>
      </w:r>
      <w:r w:rsidR="00F32B28" w:rsidRPr="00F32B28">
        <w:rPr>
          <w:rtl/>
        </w:rPr>
        <w:t>بلوغها</w:t>
      </w:r>
      <w:r w:rsidR="00F32B28">
        <w:rPr>
          <w:rtl/>
        </w:rPr>
        <w:t xml:space="preserve"> </w:t>
      </w:r>
      <w:r w:rsidR="00F32B28" w:rsidRPr="00F32B28">
        <w:rPr>
          <w:rtl/>
        </w:rPr>
        <w:t>وكانت</w:t>
      </w:r>
      <w:r w:rsidR="00F32B28">
        <w:rPr>
          <w:rtl/>
        </w:rPr>
        <w:t xml:space="preserve"> </w:t>
      </w:r>
      <w:r w:rsidR="00F32B28" w:rsidRPr="00F32B28">
        <w:rPr>
          <w:rtl/>
        </w:rPr>
        <w:t>هيئتها</w:t>
      </w:r>
      <w:r w:rsidR="00F32B28">
        <w:rPr>
          <w:rtl/>
        </w:rPr>
        <w:t xml:space="preserve"> </w:t>
      </w:r>
      <w:r w:rsidR="00F32B28" w:rsidRPr="00F32B28">
        <w:rPr>
          <w:rtl/>
        </w:rPr>
        <w:t>تحتمل</w:t>
      </w:r>
      <w:r w:rsidR="00F32B28">
        <w:rPr>
          <w:rtl/>
        </w:rPr>
        <w:t xml:space="preserve"> </w:t>
      </w:r>
      <w:r w:rsidR="00F32B28" w:rsidRPr="00F32B28">
        <w:rPr>
          <w:rtl/>
        </w:rPr>
        <w:t>ذلك</w:t>
      </w:r>
      <w:r w:rsidR="00F32B28">
        <w:rPr>
          <w:rtl/>
        </w:rPr>
        <w:t xml:space="preserve"> </w:t>
      </w:r>
      <w:r w:rsidR="00F32B28" w:rsidRPr="00F32B28">
        <w:rPr>
          <w:rtl/>
        </w:rPr>
        <w:t>وأذن</w:t>
      </w:r>
      <w:r w:rsidR="00F32B28">
        <w:rPr>
          <w:rtl/>
        </w:rPr>
        <w:t xml:space="preserve"> </w:t>
      </w:r>
      <w:r w:rsidR="00F32B28" w:rsidRPr="00F32B28">
        <w:rPr>
          <w:rtl/>
        </w:rPr>
        <w:t>وليها</w:t>
      </w:r>
      <w:r w:rsidR="00F32B28">
        <w:rPr>
          <w:rtl/>
        </w:rPr>
        <w:t xml:space="preserve"> </w:t>
      </w:r>
      <w:r w:rsidR="00F32B28" w:rsidRPr="00F32B28">
        <w:rPr>
          <w:rtl/>
        </w:rPr>
        <w:t>بزواجها،</w:t>
      </w:r>
      <w:r w:rsidR="00F32B28">
        <w:rPr>
          <w:rtl/>
        </w:rPr>
        <w:t xml:space="preserve"> </w:t>
      </w:r>
      <w:r w:rsidR="00F32B28" w:rsidRPr="00F32B28">
        <w:rPr>
          <w:rtl/>
        </w:rPr>
        <w:t>وكذلك</w:t>
      </w:r>
      <w:r w:rsidR="00F32B28">
        <w:rPr>
          <w:rtl/>
        </w:rPr>
        <w:t xml:space="preserve"> </w:t>
      </w:r>
      <w:r w:rsidR="00F32B28" w:rsidRPr="00F32B28">
        <w:rPr>
          <w:rtl/>
        </w:rPr>
        <w:t>الأمر</w:t>
      </w:r>
      <w:r w:rsidR="00F32B28">
        <w:rPr>
          <w:rtl/>
        </w:rPr>
        <w:t xml:space="preserve"> </w:t>
      </w:r>
      <w:r w:rsidR="00F32B28" w:rsidRPr="00F32B28">
        <w:rPr>
          <w:rtl/>
        </w:rPr>
        <w:t>بالنسبة</w:t>
      </w:r>
      <w:r w:rsidR="00F32B28">
        <w:rPr>
          <w:rtl/>
        </w:rPr>
        <w:t xml:space="preserve"> </w:t>
      </w:r>
      <w:r w:rsidR="00F32B28" w:rsidRPr="00F32B28">
        <w:rPr>
          <w:rtl/>
        </w:rPr>
        <w:t>للفتى</w:t>
      </w:r>
      <w:r w:rsidR="00F32B28">
        <w:rPr>
          <w:rtl/>
        </w:rPr>
        <w:t xml:space="preserve"> </w:t>
      </w:r>
      <w:r w:rsidR="00F32B28" w:rsidRPr="00F32B28">
        <w:rPr>
          <w:rtl/>
        </w:rPr>
        <w:t>الذي</w:t>
      </w:r>
      <w:r w:rsidR="00F32B28">
        <w:rPr>
          <w:rtl/>
        </w:rPr>
        <w:t xml:space="preserve"> </w:t>
      </w:r>
      <w:r w:rsidR="00F32B28" w:rsidRPr="00F32B28">
        <w:rPr>
          <w:rtl/>
        </w:rPr>
        <w:t>تجاوز</w:t>
      </w:r>
      <w:r w:rsidR="00F32B28">
        <w:rPr>
          <w:rtl/>
        </w:rPr>
        <w:t xml:space="preserve"> </w:t>
      </w:r>
      <w:r w:rsidR="00F32B28" w:rsidRPr="00F32B28">
        <w:rPr>
          <w:rtl/>
        </w:rPr>
        <w:t>سن</w:t>
      </w:r>
      <w:r w:rsidR="00F32B28">
        <w:rPr>
          <w:rtl/>
        </w:rPr>
        <w:t xml:space="preserve"> </w:t>
      </w:r>
      <w:r w:rsidR="00F32B28" w:rsidRPr="00F32B28">
        <w:rPr>
          <w:rtl/>
        </w:rPr>
        <w:t>الثانية</w:t>
      </w:r>
      <w:r w:rsidR="00F32B28">
        <w:rPr>
          <w:rtl/>
        </w:rPr>
        <w:t xml:space="preserve"> </w:t>
      </w:r>
      <w:r w:rsidR="00F32B28" w:rsidRPr="00F32B28">
        <w:rPr>
          <w:rtl/>
        </w:rPr>
        <w:t>عشر</w:t>
      </w:r>
      <w:r w:rsidR="00F32B28">
        <w:rPr>
          <w:rtl/>
        </w:rPr>
        <w:t xml:space="preserve"> </w:t>
      </w:r>
      <w:r w:rsidR="00F32B28" w:rsidRPr="00F32B28">
        <w:rPr>
          <w:rtl/>
        </w:rPr>
        <w:t>من</w:t>
      </w:r>
      <w:r w:rsidR="00F32B28">
        <w:rPr>
          <w:rtl/>
        </w:rPr>
        <w:t xml:space="preserve"> </w:t>
      </w:r>
      <w:r w:rsidR="00F32B28" w:rsidRPr="00F32B28">
        <w:rPr>
          <w:rtl/>
        </w:rPr>
        <w:t>عمره</w:t>
      </w:r>
      <w:r w:rsidR="00F32B28">
        <w:rPr>
          <w:rtl/>
        </w:rPr>
        <w:t xml:space="preserve"> </w:t>
      </w:r>
      <w:r w:rsidR="00F32B28" w:rsidRPr="00F32B28">
        <w:rPr>
          <w:rtl/>
        </w:rPr>
        <w:t>وادعى</w:t>
      </w:r>
      <w:r w:rsidR="00F32B28">
        <w:rPr>
          <w:rtl/>
        </w:rPr>
        <w:t xml:space="preserve"> </w:t>
      </w:r>
      <w:r w:rsidR="00F32B28" w:rsidRPr="00F32B28">
        <w:rPr>
          <w:rtl/>
        </w:rPr>
        <w:t>بلوغه</w:t>
      </w:r>
      <w:r w:rsidR="00F32B28">
        <w:rPr>
          <w:rtl/>
        </w:rPr>
        <w:t xml:space="preserve"> </w:t>
      </w:r>
      <w:r w:rsidR="00F32B28" w:rsidRPr="00F32B28">
        <w:rPr>
          <w:rtl/>
        </w:rPr>
        <w:t>واحتملت</w:t>
      </w:r>
      <w:r w:rsidR="00F32B28">
        <w:rPr>
          <w:rtl/>
        </w:rPr>
        <w:t xml:space="preserve"> </w:t>
      </w:r>
      <w:r w:rsidR="00F32B28" w:rsidRPr="00F32B28">
        <w:rPr>
          <w:rtl/>
        </w:rPr>
        <w:t>هيئته</w:t>
      </w:r>
      <w:r w:rsidR="00F32B28">
        <w:rPr>
          <w:rtl/>
        </w:rPr>
        <w:t xml:space="preserve"> </w:t>
      </w:r>
      <w:r w:rsidR="00F32B28" w:rsidRPr="00F32B28">
        <w:rPr>
          <w:rtl/>
        </w:rPr>
        <w:t>ذلك</w:t>
      </w:r>
      <w:r w:rsidR="009F4D72">
        <w:rPr>
          <w:rFonts w:hint="cs"/>
          <w:rtl/>
        </w:rPr>
        <w:t xml:space="preserve"> </w:t>
      </w:r>
      <w:r w:rsidR="009F4D72">
        <w:rPr>
          <w:rFonts w:hint="cs"/>
          <w:rtl/>
        </w:rPr>
        <w:br/>
      </w:r>
      <w:r w:rsidR="00F32B28" w:rsidRPr="00F32B28">
        <w:rPr>
          <w:rtl/>
        </w:rPr>
        <w:t>ولو</w:t>
      </w:r>
      <w:r w:rsidR="00F32B28">
        <w:rPr>
          <w:rtl/>
        </w:rPr>
        <w:t xml:space="preserve"> </w:t>
      </w:r>
      <w:r w:rsidR="00F32B28" w:rsidRPr="00F32B28">
        <w:rPr>
          <w:rtl/>
        </w:rPr>
        <w:t>لم</w:t>
      </w:r>
      <w:r w:rsidR="00F32B28">
        <w:rPr>
          <w:rtl/>
        </w:rPr>
        <w:t xml:space="preserve"> </w:t>
      </w:r>
      <w:r w:rsidR="00F32B28" w:rsidRPr="00F32B28">
        <w:rPr>
          <w:rtl/>
        </w:rPr>
        <w:t>يأذن</w:t>
      </w:r>
      <w:r w:rsidR="00F32B28">
        <w:rPr>
          <w:rtl/>
        </w:rPr>
        <w:t xml:space="preserve"> </w:t>
      </w:r>
      <w:r w:rsidR="00F32B28" w:rsidRPr="00F32B28">
        <w:rPr>
          <w:rtl/>
        </w:rPr>
        <w:t>وليه</w:t>
      </w:r>
      <w:r w:rsidR="00F32B28">
        <w:rPr>
          <w:rtl/>
        </w:rPr>
        <w:t xml:space="preserve"> </w:t>
      </w:r>
      <w:r w:rsidR="00F32B28" w:rsidRPr="00F32B28">
        <w:rPr>
          <w:rtl/>
        </w:rPr>
        <w:t>بزواجه.</w:t>
      </w:r>
      <w:r w:rsidR="00F32B28">
        <w:rPr>
          <w:rtl/>
        </w:rPr>
        <w:t xml:space="preserve"> </w:t>
      </w:r>
      <w:r w:rsidR="00F32B28" w:rsidRPr="00F32B28">
        <w:rPr>
          <w:rtl/>
        </w:rPr>
        <w:t>ويشترط</w:t>
      </w:r>
      <w:r w:rsidR="00F32B28">
        <w:rPr>
          <w:rtl/>
        </w:rPr>
        <w:t xml:space="preserve"> </w:t>
      </w:r>
      <w:r w:rsidR="00F32B28" w:rsidRPr="00F32B28">
        <w:rPr>
          <w:rtl/>
        </w:rPr>
        <w:t>أن</w:t>
      </w:r>
      <w:r w:rsidR="00F32B28">
        <w:rPr>
          <w:rtl/>
        </w:rPr>
        <w:t xml:space="preserve"> </w:t>
      </w:r>
      <w:r w:rsidR="00F32B28" w:rsidRPr="00F32B28">
        <w:rPr>
          <w:rtl/>
        </w:rPr>
        <w:t>يكون</w:t>
      </w:r>
      <w:r w:rsidR="00F32B28">
        <w:rPr>
          <w:rtl/>
        </w:rPr>
        <w:t xml:space="preserve"> </w:t>
      </w:r>
      <w:r w:rsidR="00F32B28" w:rsidRPr="00F32B28">
        <w:rPr>
          <w:rtl/>
        </w:rPr>
        <w:t>الخاطب</w:t>
      </w:r>
      <w:r w:rsidR="00F32B28">
        <w:rPr>
          <w:rtl/>
        </w:rPr>
        <w:t xml:space="preserve"> </w:t>
      </w:r>
      <w:r w:rsidR="00F32B28" w:rsidRPr="00F32B28">
        <w:rPr>
          <w:rtl/>
        </w:rPr>
        <w:t>والمخطوبة</w:t>
      </w:r>
      <w:r w:rsidR="00F32B28">
        <w:rPr>
          <w:rtl/>
        </w:rPr>
        <w:t xml:space="preserve"> </w:t>
      </w:r>
      <w:r w:rsidR="00F32B28" w:rsidRPr="00F32B28">
        <w:rPr>
          <w:rtl/>
        </w:rPr>
        <w:t>قد</w:t>
      </w:r>
      <w:r w:rsidR="00F32B28">
        <w:rPr>
          <w:rtl/>
        </w:rPr>
        <w:t xml:space="preserve"> </w:t>
      </w:r>
      <w:r w:rsidR="00F32B28" w:rsidRPr="00F32B28">
        <w:rPr>
          <w:rtl/>
        </w:rPr>
        <w:t>أتم</w:t>
      </w:r>
      <w:r w:rsidR="00F32B28">
        <w:rPr>
          <w:rtl/>
        </w:rPr>
        <w:t xml:space="preserve"> </w:t>
      </w:r>
      <w:r w:rsidR="00F32B28" w:rsidRPr="00F32B28">
        <w:rPr>
          <w:rtl/>
        </w:rPr>
        <w:t>كلاهما</w:t>
      </w:r>
      <w:r w:rsidR="00F32B28">
        <w:rPr>
          <w:rtl/>
        </w:rPr>
        <w:t xml:space="preserve"> </w:t>
      </w:r>
      <w:r w:rsidR="00F32B28" w:rsidRPr="00F32B28">
        <w:rPr>
          <w:rtl/>
        </w:rPr>
        <w:t>سن</w:t>
      </w:r>
      <w:r w:rsidR="00F32B28">
        <w:rPr>
          <w:rtl/>
        </w:rPr>
        <w:t xml:space="preserve"> </w:t>
      </w:r>
      <w:r w:rsidR="00F32B28" w:rsidRPr="00F32B28">
        <w:rPr>
          <w:rtl/>
        </w:rPr>
        <w:t>أهلية</w:t>
      </w:r>
      <w:r w:rsidR="00F32B28">
        <w:rPr>
          <w:rtl/>
        </w:rPr>
        <w:t xml:space="preserve"> </w:t>
      </w:r>
      <w:r w:rsidR="00F32B28" w:rsidRPr="00F32B28">
        <w:rPr>
          <w:rtl/>
        </w:rPr>
        <w:t>الزواج</w:t>
      </w:r>
      <w:r w:rsidR="00F32B28">
        <w:rPr>
          <w:rtl/>
        </w:rPr>
        <w:t xml:space="preserve"> </w:t>
      </w:r>
      <w:r w:rsidR="00F32B28" w:rsidRPr="00F32B28">
        <w:rPr>
          <w:rtl/>
        </w:rPr>
        <w:t>المذكورة</w:t>
      </w:r>
      <w:r w:rsidR="00F32B28">
        <w:rPr>
          <w:rtl/>
        </w:rPr>
        <w:t xml:space="preserve"> </w:t>
      </w:r>
      <w:r w:rsidR="00F32B28" w:rsidRPr="00F32B28">
        <w:rPr>
          <w:rtl/>
        </w:rPr>
        <w:t>لعقد</w:t>
      </w:r>
      <w:r w:rsidR="00F32B28">
        <w:rPr>
          <w:rtl/>
        </w:rPr>
        <w:t xml:space="preserve"> </w:t>
      </w:r>
      <w:r w:rsidR="00F32B28" w:rsidRPr="00F32B28">
        <w:rPr>
          <w:rtl/>
        </w:rPr>
        <w:t>الزواج</w:t>
      </w:r>
      <w:r w:rsidR="00F32B28">
        <w:rPr>
          <w:rtl/>
        </w:rPr>
        <w:t xml:space="preserve"> </w:t>
      </w:r>
      <w:r w:rsidR="00F32B28" w:rsidRPr="00F32B28">
        <w:rPr>
          <w:rtl/>
        </w:rPr>
        <w:t>صحيحاً،</w:t>
      </w:r>
      <w:r w:rsidR="00F32B28">
        <w:rPr>
          <w:rtl/>
        </w:rPr>
        <w:t xml:space="preserve"> </w:t>
      </w:r>
      <w:r w:rsidR="00F32B28" w:rsidRPr="00F32B28">
        <w:rPr>
          <w:rtl/>
        </w:rPr>
        <w:t>وإلا</w:t>
      </w:r>
      <w:r w:rsidR="00F32B28">
        <w:rPr>
          <w:rtl/>
        </w:rPr>
        <w:t xml:space="preserve"> </w:t>
      </w:r>
      <w:r w:rsidR="00F32B28" w:rsidRPr="00F32B28">
        <w:rPr>
          <w:rtl/>
        </w:rPr>
        <w:t>اعتبر</w:t>
      </w:r>
      <w:r w:rsidR="00F32B28">
        <w:rPr>
          <w:rtl/>
        </w:rPr>
        <w:t xml:space="preserve"> </w:t>
      </w:r>
      <w:r w:rsidR="00F32B28" w:rsidRPr="00F32B28">
        <w:rPr>
          <w:rtl/>
        </w:rPr>
        <w:t>الزواج</w:t>
      </w:r>
      <w:r w:rsidR="00F32B28">
        <w:rPr>
          <w:rtl/>
        </w:rPr>
        <w:t xml:space="preserve"> </w:t>
      </w:r>
      <w:r w:rsidR="00F32B28" w:rsidRPr="00F32B28">
        <w:rPr>
          <w:rtl/>
        </w:rPr>
        <w:t>فاسداً.</w:t>
      </w:r>
    </w:p>
    <w:p w:rsidR="00F32B28" w:rsidRPr="00F32B28" w:rsidRDefault="00565595" w:rsidP="00565595">
      <w:pPr>
        <w:pStyle w:val="SingleTxt"/>
      </w:pPr>
      <w:r>
        <w:rPr>
          <w:rFonts w:hint="cs"/>
          <w:rtl/>
        </w:rPr>
        <w:lastRenderedPageBreak/>
        <w:t xml:space="preserve">329 - </w:t>
      </w:r>
      <w:r w:rsidR="00F32B28" w:rsidRPr="00F32B28">
        <w:rPr>
          <w:rtl/>
        </w:rPr>
        <w:t>أما</w:t>
      </w:r>
      <w:r w:rsidR="00F32B28">
        <w:rPr>
          <w:rtl/>
        </w:rPr>
        <w:t xml:space="preserve"> </w:t>
      </w:r>
      <w:r w:rsidR="00F32B28" w:rsidRPr="00F32B28">
        <w:rPr>
          <w:rtl/>
        </w:rPr>
        <w:t>سن</w:t>
      </w:r>
      <w:r w:rsidR="00F32B28">
        <w:rPr>
          <w:rtl/>
        </w:rPr>
        <w:t xml:space="preserve"> </w:t>
      </w:r>
      <w:r w:rsidR="00F32B28" w:rsidRPr="00F32B28">
        <w:rPr>
          <w:rtl/>
        </w:rPr>
        <w:t>الأهلية</w:t>
      </w:r>
      <w:r w:rsidR="00F32B28">
        <w:rPr>
          <w:rtl/>
        </w:rPr>
        <w:t xml:space="preserve"> </w:t>
      </w:r>
      <w:r w:rsidR="00F32B28" w:rsidRPr="00F32B28">
        <w:rPr>
          <w:rtl/>
        </w:rPr>
        <w:t>للزواج</w:t>
      </w:r>
      <w:r w:rsidR="00F32B28">
        <w:rPr>
          <w:rtl/>
        </w:rPr>
        <w:t xml:space="preserve"> </w:t>
      </w:r>
      <w:r w:rsidR="00F32B28" w:rsidRPr="00F32B28">
        <w:rPr>
          <w:rtl/>
        </w:rPr>
        <w:t>بحسب</w:t>
      </w:r>
      <w:r w:rsidR="00F32B28">
        <w:rPr>
          <w:rtl/>
        </w:rPr>
        <w:t xml:space="preserve"> </w:t>
      </w:r>
      <w:r w:rsidR="00F32B28" w:rsidRPr="00F32B28">
        <w:rPr>
          <w:rtl/>
        </w:rPr>
        <w:t>قوانين</w:t>
      </w:r>
      <w:r w:rsidR="00F32B28">
        <w:rPr>
          <w:rtl/>
        </w:rPr>
        <w:t xml:space="preserve"> </w:t>
      </w:r>
      <w:r w:rsidR="00F32B28" w:rsidRPr="00F32B28">
        <w:rPr>
          <w:rtl/>
        </w:rPr>
        <w:t>الكنائس</w:t>
      </w:r>
      <w:r w:rsidR="00F32B28">
        <w:rPr>
          <w:rtl/>
        </w:rPr>
        <w:t xml:space="preserve"> </w:t>
      </w:r>
      <w:r w:rsidR="00F32B28" w:rsidRPr="00F32B28">
        <w:rPr>
          <w:rtl/>
        </w:rPr>
        <w:t>المسيحية</w:t>
      </w:r>
      <w:r w:rsidR="00F32B28">
        <w:rPr>
          <w:rtl/>
        </w:rPr>
        <w:t xml:space="preserve"> </w:t>
      </w:r>
      <w:r w:rsidR="00F32B28" w:rsidRPr="00F32B28">
        <w:rPr>
          <w:rtl/>
        </w:rPr>
        <w:t>الشرقية</w:t>
      </w:r>
      <w:r w:rsidR="00F32B28">
        <w:rPr>
          <w:rtl/>
        </w:rPr>
        <w:t xml:space="preserve"> </w:t>
      </w:r>
      <w:r w:rsidR="00F32B28" w:rsidRPr="00F32B28">
        <w:rPr>
          <w:rtl/>
        </w:rPr>
        <w:t>هو</w:t>
      </w:r>
      <w:r w:rsidR="00F32B28">
        <w:rPr>
          <w:rtl/>
        </w:rPr>
        <w:t xml:space="preserve"> </w:t>
      </w:r>
      <w:r w:rsidR="00F32B28" w:rsidRPr="00F32B28">
        <w:rPr>
          <w:rtl/>
        </w:rPr>
        <w:t>السادسة</w:t>
      </w:r>
      <w:r w:rsidR="00F32B28">
        <w:rPr>
          <w:rtl/>
        </w:rPr>
        <w:t xml:space="preserve"> </w:t>
      </w:r>
      <w:r w:rsidR="00F32B28" w:rsidRPr="00F32B28">
        <w:rPr>
          <w:rtl/>
        </w:rPr>
        <w:t>عشرة</w:t>
      </w:r>
      <w:r w:rsidR="00F32B28">
        <w:rPr>
          <w:rtl/>
        </w:rPr>
        <w:t xml:space="preserve"> </w:t>
      </w:r>
      <w:r w:rsidR="00F32B28" w:rsidRPr="00F32B28">
        <w:rPr>
          <w:rtl/>
        </w:rPr>
        <w:t>للشاب،</w:t>
      </w:r>
      <w:r w:rsidR="00F32B28">
        <w:rPr>
          <w:rtl/>
        </w:rPr>
        <w:t xml:space="preserve"> </w:t>
      </w:r>
      <w:r w:rsidR="00F32B28" w:rsidRPr="00F32B28">
        <w:rPr>
          <w:rtl/>
        </w:rPr>
        <w:t>والرابعة</w:t>
      </w:r>
      <w:r w:rsidR="00F32B28">
        <w:rPr>
          <w:rtl/>
        </w:rPr>
        <w:t xml:space="preserve"> </w:t>
      </w:r>
      <w:r w:rsidR="00F32B28" w:rsidRPr="00F32B28">
        <w:rPr>
          <w:rtl/>
        </w:rPr>
        <w:t>عشرة</w:t>
      </w:r>
      <w:r w:rsidR="00F32B28">
        <w:rPr>
          <w:rtl/>
        </w:rPr>
        <w:t xml:space="preserve"> </w:t>
      </w:r>
      <w:r w:rsidR="00F32B28" w:rsidRPr="00F32B28">
        <w:rPr>
          <w:rtl/>
        </w:rPr>
        <w:t>للفتاة.</w:t>
      </w:r>
      <w:r w:rsidR="00F32B28">
        <w:rPr>
          <w:rtl/>
        </w:rPr>
        <w:t xml:space="preserve"> </w:t>
      </w:r>
      <w:r w:rsidR="00F32B28" w:rsidRPr="00F32B28">
        <w:rPr>
          <w:rtl/>
        </w:rPr>
        <w:t>وكذلك</w:t>
      </w:r>
      <w:r w:rsidR="00F32B28">
        <w:rPr>
          <w:rtl/>
        </w:rPr>
        <w:t xml:space="preserve"> </w:t>
      </w:r>
      <w:r w:rsidR="00F32B28" w:rsidRPr="00F32B28">
        <w:rPr>
          <w:rtl/>
        </w:rPr>
        <w:t>الأمر</w:t>
      </w:r>
      <w:r w:rsidR="00F32B28">
        <w:rPr>
          <w:rtl/>
        </w:rPr>
        <w:t xml:space="preserve"> </w:t>
      </w:r>
      <w:r w:rsidR="00F32B28" w:rsidRPr="00F32B28">
        <w:rPr>
          <w:rtl/>
        </w:rPr>
        <w:t>فيما</w:t>
      </w:r>
      <w:r w:rsidR="00F32B28">
        <w:rPr>
          <w:rtl/>
        </w:rPr>
        <w:t xml:space="preserve"> </w:t>
      </w:r>
      <w:r w:rsidR="00F32B28" w:rsidRPr="00F32B28">
        <w:rPr>
          <w:rtl/>
        </w:rPr>
        <w:t>يخص</w:t>
      </w:r>
      <w:r w:rsidR="00F32B28">
        <w:rPr>
          <w:rtl/>
        </w:rPr>
        <w:t xml:space="preserve"> </w:t>
      </w:r>
      <w:r w:rsidR="00F32B28" w:rsidRPr="00F32B28">
        <w:rPr>
          <w:rtl/>
        </w:rPr>
        <w:t>الكنائس</w:t>
      </w:r>
      <w:r w:rsidR="00F32B28">
        <w:rPr>
          <w:rtl/>
        </w:rPr>
        <w:t xml:space="preserve"> </w:t>
      </w:r>
      <w:r w:rsidR="00F32B28" w:rsidRPr="00F32B28">
        <w:rPr>
          <w:rtl/>
        </w:rPr>
        <w:t>اللاتينية.</w:t>
      </w:r>
      <w:r w:rsidR="00F32B28">
        <w:rPr>
          <w:rtl/>
        </w:rPr>
        <w:t xml:space="preserve"> </w:t>
      </w:r>
      <w:r w:rsidR="00F32B28" w:rsidRPr="00F32B28">
        <w:rPr>
          <w:rtl/>
          <w:lang w:bidi="ar-JO"/>
        </w:rPr>
        <w:t>أما</w:t>
      </w:r>
      <w:r w:rsidR="00F32B28">
        <w:rPr>
          <w:rtl/>
          <w:lang w:bidi="ar-JO"/>
        </w:rPr>
        <w:t xml:space="preserve"> </w:t>
      </w:r>
      <w:r w:rsidR="00F32B28" w:rsidRPr="00F32B28">
        <w:rPr>
          <w:rtl/>
          <w:lang w:bidi="ar-JO"/>
        </w:rPr>
        <w:t>السريان</w:t>
      </w:r>
      <w:r w:rsidR="00F32B28">
        <w:rPr>
          <w:rtl/>
          <w:lang w:bidi="ar-JO"/>
        </w:rPr>
        <w:t xml:space="preserve"> </w:t>
      </w:r>
      <w:r w:rsidR="00F32B28" w:rsidRPr="00F32B28">
        <w:rPr>
          <w:rtl/>
          <w:lang w:bidi="ar-JO"/>
        </w:rPr>
        <w:t>الأرثوذكس،</w:t>
      </w:r>
      <w:r w:rsidR="00F32B28">
        <w:rPr>
          <w:rtl/>
          <w:lang w:bidi="ar-JO"/>
        </w:rPr>
        <w:t xml:space="preserve"> </w:t>
      </w:r>
      <w:r w:rsidR="00F32B28" w:rsidRPr="00F32B28">
        <w:rPr>
          <w:rtl/>
          <w:lang w:bidi="ar-JO"/>
        </w:rPr>
        <w:t>فيشترط</w:t>
      </w:r>
      <w:r w:rsidR="00F32B28">
        <w:rPr>
          <w:rtl/>
          <w:lang w:bidi="ar-JO"/>
        </w:rPr>
        <w:t xml:space="preserve"> </w:t>
      </w:r>
      <w:r w:rsidR="00F32B28" w:rsidRPr="00F32B28">
        <w:rPr>
          <w:rtl/>
          <w:lang w:bidi="ar-JO"/>
        </w:rPr>
        <w:t>أن</w:t>
      </w:r>
      <w:r w:rsidR="00F32B28">
        <w:rPr>
          <w:rtl/>
          <w:lang w:bidi="ar-JO"/>
        </w:rPr>
        <w:t xml:space="preserve"> </w:t>
      </w:r>
      <w:r w:rsidR="00F32B28" w:rsidRPr="00F32B28">
        <w:rPr>
          <w:rtl/>
          <w:lang w:bidi="ar-JO"/>
        </w:rPr>
        <w:t>يتم</w:t>
      </w:r>
      <w:r w:rsidR="00F32B28">
        <w:rPr>
          <w:rtl/>
          <w:lang w:bidi="ar-JO"/>
        </w:rPr>
        <w:t xml:space="preserve"> </w:t>
      </w:r>
      <w:r w:rsidR="00F32B28" w:rsidRPr="00F32B28">
        <w:rPr>
          <w:rtl/>
          <w:lang w:bidi="ar-JO"/>
        </w:rPr>
        <w:t>الشاب</w:t>
      </w:r>
      <w:r w:rsidR="00F32B28">
        <w:rPr>
          <w:rtl/>
          <w:lang w:bidi="ar-JO"/>
        </w:rPr>
        <w:t xml:space="preserve"> </w:t>
      </w:r>
      <w:r w:rsidR="00F32B28" w:rsidRPr="00F32B28">
        <w:rPr>
          <w:rtl/>
          <w:lang w:bidi="ar-JO"/>
        </w:rPr>
        <w:t>سن</w:t>
      </w:r>
      <w:r w:rsidR="00F32B28">
        <w:rPr>
          <w:rtl/>
          <w:lang w:bidi="ar-JO"/>
        </w:rPr>
        <w:t xml:space="preserve"> </w:t>
      </w:r>
      <w:r w:rsidR="00F32B28" w:rsidRPr="00F32B28">
        <w:rPr>
          <w:rtl/>
          <w:lang w:bidi="ar-JO"/>
        </w:rPr>
        <w:t>الثامنة</w:t>
      </w:r>
      <w:r w:rsidR="00F32B28">
        <w:rPr>
          <w:rtl/>
          <w:lang w:bidi="ar-JO"/>
        </w:rPr>
        <w:t xml:space="preserve"> </w:t>
      </w:r>
      <w:r w:rsidR="00F32B28" w:rsidRPr="00F32B28">
        <w:rPr>
          <w:rtl/>
          <w:lang w:bidi="ar-JO"/>
        </w:rPr>
        <w:t>عشرة،</w:t>
      </w:r>
      <w:r w:rsidR="00F32B28">
        <w:rPr>
          <w:rtl/>
          <w:lang w:bidi="ar-JO"/>
        </w:rPr>
        <w:t xml:space="preserve"> </w:t>
      </w:r>
      <w:r w:rsidR="00F32B28" w:rsidRPr="00F32B28">
        <w:rPr>
          <w:rtl/>
          <w:lang w:bidi="ar-JO"/>
        </w:rPr>
        <w:t>والفتاة</w:t>
      </w:r>
      <w:r w:rsidR="00F32B28">
        <w:rPr>
          <w:rtl/>
          <w:lang w:bidi="ar-JO"/>
        </w:rPr>
        <w:t xml:space="preserve"> </w:t>
      </w:r>
      <w:r w:rsidR="00F32B28" w:rsidRPr="00F32B28">
        <w:rPr>
          <w:rtl/>
          <w:lang w:bidi="ar-JO"/>
        </w:rPr>
        <w:t>سن</w:t>
      </w:r>
      <w:r w:rsidR="00F32B28">
        <w:rPr>
          <w:rtl/>
          <w:lang w:bidi="ar-JO"/>
        </w:rPr>
        <w:t xml:space="preserve"> </w:t>
      </w:r>
      <w:r w:rsidR="00F32B28" w:rsidRPr="00F32B28">
        <w:rPr>
          <w:rtl/>
          <w:lang w:bidi="ar-JO"/>
        </w:rPr>
        <w:t>السادسة</w:t>
      </w:r>
      <w:r w:rsidR="00F32B28">
        <w:rPr>
          <w:rtl/>
          <w:lang w:bidi="ar-JO"/>
        </w:rPr>
        <w:t xml:space="preserve"> </w:t>
      </w:r>
      <w:r w:rsidR="00F32B28" w:rsidRPr="00F32B28">
        <w:rPr>
          <w:rtl/>
          <w:lang w:bidi="ar-JO"/>
        </w:rPr>
        <w:t>عشرة.</w:t>
      </w:r>
      <w:r w:rsidR="00F32B28" w:rsidRPr="00F32B28">
        <w:rPr>
          <w:rtl/>
        </w:rPr>
        <w:t>وبشكل</w:t>
      </w:r>
      <w:r w:rsidR="00F32B28">
        <w:rPr>
          <w:rtl/>
        </w:rPr>
        <w:t xml:space="preserve"> </w:t>
      </w:r>
      <w:r w:rsidR="00F32B28" w:rsidRPr="00F32B28">
        <w:rPr>
          <w:rtl/>
        </w:rPr>
        <w:t>عام،</w:t>
      </w:r>
      <w:r w:rsidR="00F32B28">
        <w:rPr>
          <w:rtl/>
        </w:rPr>
        <w:t xml:space="preserve"> </w:t>
      </w:r>
      <w:r w:rsidR="00F32B28" w:rsidRPr="00F32B28">
        <w:rPr>
          <w:rtl/>
        </w:rPr>
        <w:t>تعتبر</w:t>
      </w:r>
      <w:r w:rsidR="00F32B28">
        <w:rPr>
          <w:rtl/>
        </w:rPr>
        <w:t xml:space="preserve"> </w:t>
      </w:r>
      <w:r w:rsidR="00F32B28" w:rsidRPr="00F32B28">
        <w:rPr>
          <w:rtl/>
        </w:rPr>
        <w:t>الطوائف</w:t>
      </w:r>
      <w:r w:rsidR="00F32B28">
        <w:rPr>
          <w:rtl/>
        </w:rPr>
        <w:t xml:space="preserve"> </w:t>
      </w:r>
      <w:r w:rsidR="00F32B28" w:rsidRPr="00F32B28">
        <w:rPr>
          <w:rtl/>
        </w:rPr>
        <w:t>المسيحية</w:t>
      </w:r>
      <w:r w:rsidR="00F32B28">
        <w:rPr>
          <w:rtl/>
        </w:rPr>
        <w:t xml:space="preserve"> </w:t>
      </w:r>
      <w:r w:rsidR="00F32B28" w:rsidRPr="00F32B28">
        <w:rPr>
          <w:rtl/>
        </w:rPr>
        <w:t>أن</w:t>
      </w:r>
      <w:r w:rsidR="00F32B28">
        <w:rPr>
          <w:rtl/>
        </w:rPr>
        <w:t xml:space="preserve"> </w:t>
      </w:r>
      <w:r w:rsidR="00F32B28" w:rsidRPr="00F32B28">
        <w:rPr>
          <w:rtl/>
        </w:rPr>
        <w:t>رابطة</w:t>
      </w:r>
      <w:r w:rsidR="00F32B28">
        <w:rPr>
          <w:rtl/>
        </w:rPr>
        <w:t xml:space="preserve"> </w:t>
      </w:r>
      <w:r w:rsidR="00F32B28" w:rsidRPr="00F32B28">
        <w:rPr>
          <w:rtl/>
        </w:rPr>
        <w:t>الزواج</w:t>
      </w:r>
      <w:r w:rsidR="00F32B28">
        <w:rPr>
          <w:rtl/>
        </w:rPr>
        <w:t xml:space="preserve"> </w:t>
      </w:r>
      <w:r w:rsidR="00F32B28" w:rsidRPr="00F32B28">
        <w:rPr>
          <w:rtl/>
        </w:rPr>
        <w:t>رابطة</w:t>
      </w:r>
      <w:r w:rsidR="00F32B28">
        <w:rPr>
          <w:rtl/>
        </w:rPr>
        <w:t xml:space="preserve"> </w:t>
      </w:r>
      <w:r w:rsidR="00F32B28" w:rsidRPr="00F32B28">
        <w:rPr>
          <w:rtl/>
        </w:rPr>
        <w:t>مقدسة،</w:t>
      </w:r>
      <w:r w:rsidR="00F32B28">
        <w:rPr>
          <w:rtl/>
        </w:rPr>
        <w:t xml:space="preserve"> </w:t>
      </w:r>
      <w:r w:rsidR="00F32B28" w:rsidRPr="00F32B28">
        <w:rPr>
          <w:rtl/>
        </w:rPr>
        <w:t>ويشترط</w:t>
      </w:r>
      <w:r w:rsidR="00F32B28">
        <w:rPr>
          <w:rtl/>
        </w:rPr>
        <w:t xml:space="preserve"> </w:t>
      </w:r>
      <w:r w:rsidR="00F32B28" w:rsidRPr="00F32B28">
        <w:rPr>
          <w:rtl/>
        </w:rPr>
        <w:t>لانعقاده</w:t>
      </w:r>
      <w:r w:rsidR="00F32B28">
        <w:rPr>
          <w:rtl/>
        </w:rPr>
        <w:t xml:space="preserve"> </w:t>
      </w:r>
      <w:r w:rsidR="00F32B28" w:rsidRPr="00F32B28">
        <w:rPr>
          <w:rtl/>
        </w:rPr>
        <w:t>توفر</w:t>
      </w:r>
      <w:r w:rsidR="00F32B28">
        <w:rPr>
          <w:rtl/>
        </w:rPr>
        <w:t xml:space="preserve"> </w:t>
      </w:r>
      <w:r w:rsidR="00F32B28" w:rsidRPr="00F32B28">
        <w:rPr>
          <w:rtl/>
        </w:rPr>
        <w:t>الرضا،</w:t>
      </w:r>
      <w:r w:rsidR="00F32B28">
        <w:rPr>
          <w:rtl/>
        </w:rPr>
        <w:t xml:space="preserve"> </w:t>
      </w:r>
      <w:r w:rsidR="00F32B28" w:rsidRPr="00F32B28">
        <w:rPr>
          <w:rtl/>
        </w:rPr>
        <w:t>والأهلية،</w:t>
      </w:r>
      <w:r w:rsidR="00F32B28">
        <w:rPr>
          <w:rtl/>
        </w:rPr>
        <w:t xml:space="preserve"> </w:t>
      </w:r>
      <w:r w:rsidR="00F32B28" w:rsidRPr="00F32B28">
        <w:rPr>
          <w:rtl/>
        </w:rPr>
        <w:t>والولاية،</w:t>
      </w:r>
      <w:r w:rsidR="00F32B28">
        <w:rPr>
          <w:rtl/>
        </w:rPr>
        <w:t xml:space="preserve"> </w:t>
      </w:r>
      <w:r w:rsidR="00F32B28" w:rsidRPr="00F32B28">
        <w:rPr>
          <w:rtl/>
        </w:rPr>
        <w:t>وعدم</w:t>
      </w:r>
      <w:r w:rsidR="00F32B28">
        <w:rPr>
          <w:rtl/>
        </w:rPr>
        <w:t xml:space="preserve"> </w:t>
      </w:r>
      <w:r w:rsidR="00F32B28" w:rsidRPr="00F32B28">
        <w:rPr>
          <w:rtl/>
        </w:rPr>
        <w:t>المانع</w:t>
      </w:r>
      <w:r w:rsidR="00F32B28">
        <w:rPr>
          <w:rtl/>
        </w:rPr>
        <w:t xml:space="preserve"> </w:t>
      </w:r>
      <w:r w:rsidR="00F32B28" w:rsidRPr="00F32B28">
        <w:rPr>
          <w:rtl/>
        </w:rPr>
        <w:t>والشكل.</w:t>
      </w:r>
    </w:p>
    <w:p w:rsidR="00F32B28" w:rsidRPr="00F32B28" w:rsidRDefault="00565595" w:rsidP="00565595">
      <w:pPr>
        <w:pStyle w:val="SingleTxt"/>
      </w:pPr>
      <w:r>
        <w:rPr>
          <w:rFonts w:hint="cs"/>
          <w:rtl/>
        </w:rPr>
        <w:t xml:space="preserve">330 - </w:t>
      </w:r>
      <w:r w:rsidR="00F32B28" w:rsidRPr="00F32B28">
        <w:rPr>
          <w:rtl/>
        </w:rPr>
        <w:t>كما</w:t>
      </w:r>
      <w:r w:rsidR="00F32B28">
        <w:rPr>
          <w:rtl/>
        </w:rPr>
        <w:t xml:space="preserve"> </w:t>
      </w:r>
      <w:r w:rsidR="00F32B28" w:rsidRPr="00F32B28">
        <w:rPr>
          <w:rtl/>
        </w:rPr>
        <w:t>تقيد</w:t>
      </w:r>
      <w:r w:rsidR="00F32B28">
        <w:rPr>
          <w:rtl/>
        </w:rPr>
        <w:t xml:space="preserve"> </w:t>
      </w:r>
      <w:r w:rsidR="00F32B28" w:rsidRPr="00F32B28">
        <w:rPr>
          <w:rtl/>
        </w:rPr>
        <w:t>قوانين</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للمسلمين</w:t>
      </w:r>
      <w:r w:rsidR="00F32B28">
        <w:rPr>
          <w:rtl/>
        </w:rPr>
        <w:t xml:space="preserve"> </w:t>
      </w:r>
      <w:r w:rsidR="00F32B28" w:rsidRPr="00F32B28">
        <w:rPr>
          <w:rtl/>
        </w:rPr>
        <w:t>السارية</w:t>
      </w:r>
      <w:r w:rsidR="00F32B28">
        <w:rPr>
          <w:rtl/>
        </w:rPr>
        <w:t xml:space="preserve"> </w:t>
      </w:r>
      <w:r w:rsidR="00F32B28" w:rsidRPr="00F32B28">
        <w:rPr>
          <w:rtl/>
        </w:rPr>
        <w:t>من</w:t>
      </w:r>
      <w:r w:rsidR="00F32B28">
        <w:rPr>
          <w:rtl/>
        </w:rPr>
        <w:t xml:space="preserve"> </w:t>
      </w:r>
      <w:r w:rsidR="00F32B28" w:rsidRPr="00F32B28">
        <w:rPr>
          <w:rtl/>
        </w:rPr>
        <w:t>حرية</w:t>
      </w:r>
      <w:r w:rsidR="00F32B28">
        <w:rPr>
          <w:rtl/>
        </w:rPr>
        <w:t xml:space="preserve"> </w:t>
      </w:r>
      <w:r w:rsidR="00F32B28" w:rsidRPr="00F32B28">
        <w:rPr>
          <w:rtl/>
        </w:rPr>
        <w:t>المرأة</w:t>
      </w:r>
      <w:r w:rsidR="00F32B28">
        <w:rPr>
          <w:rtl/>
        </w:rPr>
        <w:t xml:space="preserve"> </w:t>
      </w:r>
      <w:r w:rsidR="00F32B28" w:rsidRPr="00F32B28">
        <w:rPr>
          <w:rtl/>
        </w:rPr>
        <w:t>في</w:t>
      </w:r>
      <w:r w:rsidR="00F32B28">
        <w:rPr>
          <w:rtl/>
        </w:rPr>
        <w:t xml:space="preserve"> </w:t>
      </w:r>
      <w:r w:rsidR="00F32B28" w:rsidRPr="00F32B28">
        <w:rPr>
          <w:rtl/>
        </w:rPr>
        <w:t>اختيار</w:t>
      </w:r>
      <w:r w:rsidR="00F32B28">
        <w:rPr>
          <w:rtl/>
        </w:rPr>
        <w:t xml:space="preserve"> </w:t>
      </w:r>
      <w:r w:rsidR="00F32B28" w:rsidRPr="00F32B28">
        <w:rPr>
          <w:rtl/>
        </w:rPr>
        <w:t>الزوج</w:t>
      </w:r>
      <w:r w:rsidR="00F32B28">
        <w:rPr>
          <w:rtl/>
        </w:rPr>
        <w:t xml:space="preserve"> </w:t>
      </w:r>
      <w:r w:rsidR="00F32B28" w:rsidRPr="00F32B28">
        <w:rPr>
          <w:rtl/>
        </w:rPr>
        <w:t>في</w:t>
      </w:r>
      <w:r w:rsidR="00F32B28">
        <w:rPr>
          <w:rtl/>
        </w:rPr>
        <w:t xml:space="preserve"> </w:t>
      </w:r>
      <w:r w:rsidR="00F32B28" w:rsidRPr="00F32B28">
        <w:rPr>
          <w:rtl/>
        </w:rPr>
        <w:t>بعض</w:t>
      </w:r>
      <w:r w:rsidR="00F32B28">
        <w:rPr>
          <w:rtl/>
        </w:rPr>
        <w:t xml:space="preserve"> </w:t>
      </w:r>
      <w:r w:rsidR="00F32B28" w:rsidRPr="00F32B28">
        <w:rPr>
          <w:rtl/>
        </w:rPr>
        <w:t>الجوانب؛</w:t>
      </w:r>
      <w:r w:rsidR="00F32B28">
        <w:rPr>
          <w:rtl/>
        </w:rPr>
        <w:t xml:space="preserve"> </w:t>
      </w:r>
      <w:r w:rsidR="00F32B28" w:rsidRPr="00F32B28">
        <w:rPr>
          <w:rtl/>
        </w:rPr>
        <w:t>حيث</w:t>
      </w:r>
      <w:r w:rsidR="00F32B28">
        <w:rPr>
          <w:rtl/>
        </w:rPr>
        <w:t xml:space="preserve"> </w:t>
      </w:r>
      <w:r w:rsidR="00F32B28" w:rsidRPr="00F32B28">
        <w:rPr>
          <w:rtl/>
          <w:lang w:bidi="ar-SY"/>
        </w:rPr>
        <w:t>يحق</w:t>
      </w:r>
      <w:r w:rsidR="00F32B28">
        <w:rPr>
          <w:rtl/>
          <w:lang w:bidi="ar-SY"/>
        </w:rPr>
        <w:t xml:space="preserve"> </w:t>
      </w:r>
      <w:r w:rsidR="00F32B28" w:rsidRPr="00F32B28">
        <w:rPr>
          <w:rtl/>
        </w:rPr>
        <w:t>للولي</w:t>
      </w:r>
      <w:r w:rsidR="00F32B28">
        <w:rPr>
          <w:rtl/>
        </w:rPr>
        <w:t xml:space="preserve"> </w:t>
      </w:r>
      <w:r w:rsidR="00F32B28" w:rsidRPr="00F32B28">
        <w:rPr>
          <w:rtl/>
        </w:rPr>
        <w:t>الاعتراض</w:t>
      </w:r>
      <w:r w:rsidR="00F32B28">
        <w:rPr>
          <w:rtl/>
        </w:rPr>
        <w:t xml:space="preserve"> </w:t>
      </w:r>
      <w:r w:rsidR="00F32B28" w:rsidRPr="00F32B28">
        <w:rPr>
          <w:rtl/>
        </w:rPr>
        <w:t>ومراجعة</w:t>
      </w:r>
      <w:r w:rsidR="00F32B28">
        <w:rPr>
          <w:rtl/>
        </w:rPr>
        <w:t xml:space="preserve"> </w:t>
      </w:r>
      <w:r w:rsidR="00F32B28" w:rsidRPr="00F32B28">
        <w:rPr>
          <w:rtl/>
        </w:rPr>
        <w:t>القاضي</w:t>
      </w:r>
      <w:r w:rsidR="00F32B28">
        <w:rPr>
          <w:rtl/>
        </w:rPr>
        <w:t xml:space="preserve"> </w:t>
      </w:r>
      <w:r w:rsidR="00F32B28" w:rsidRPr="00F32B28">
        <w:rPr>
          <w:rtl/>
        </w:rPr>
        <w:t>لفسخ</w:t>
      </w:r>
      <w:r w:rsidR="00F32B28">
        <w:rPr>
          <w:rtl/>
        </w:rPr>
        <w:t xml:space="preserve"> </w:t>
      </w:r>
      <w:r w:rsidR="00F32B28" w:rsidRPr="00F32B28">
        <w:rPr>
          <w:rtl/>
        </w:rPr>
        <w:t>زواج</w:t>
      </w:r>
      <w:r w:rsidR="00F32B28">
        <w:rPr>
          <w:rtl/>
        </w:rPr>
        <w:t xml:space="preserve"> </w:t>
      </w:r>
      <w:r w:rsidR="00F32B28" w:rsidRPr="00F32B28">
        <w:rPr>
          <w:rtl/>
        </w:rPr>
        <w:t>الراشدة</w:t>
      </w:r>
      <w:r w:rsidR="00F32B28">
        <w:rPr>
          <w:rtl/>
        </w:rPr>
        <w:t xml:space="preserve"> </w:t>
      </w:r>
      <w:r w:rsidR="00F32B28" w:rsidRPr="00F32B28">
        <w:rPr>
          <w:rtl/>
        </w:rPr>
        <w:t>إذا</w:t>
      </w:r>
      <w:r w:rsidR="00F32B28">
        <w:rPr>
          <w:rtl/>
        </w:rPr>
        <w:t xml:space="preserve"> </w:t>
      </w:r>
      <w:r w:rsidR="00F32B28" w:rsidRPr="00F32B28">
        <w:rPr>
          <w:rtl/>
        </w:rPr>
        <w:t>تزوجت</w:t>
      </w:r>
      <w:r w:rsidR="00F32B28">
        <w:rPr>
          <w:rtl/>
        </w:rPr>
        <w:t xml:space="preserve"> </w:t>
      </w:r>
      <w:r w:rsidR="00F32B28" w:rsidRPr="00F32B28">
        <w:rPr>
          <w:rtl/>
        </w:rPr>
        <w:t>برجل</w:t>
      </w:r>
      <w:r w:rsidR="00F32B28">
        <w:rPr>
          <w:rtl/>
        </w:rPr>
        <w:t xml:space="preserve"> </w:t>
      </w:r>
      <w:r w:rsidR="00F32B28" w:rsidRPr="00F32B28">
        <w:rPr>
          <w:rtl/>
        </w:rPr>
        <w:t>غير</w:t>
      </w:r>
      <w:r w:rsidR="00F32B28">
        <w:rPr>
          <w:rtl/>
        </w:rPr>
        <w:t xml:space="preserve"> </w:t>
      </w:r>
      <w:r w:rsidR="00F32B28" w:rsidRPr="00F32B28">
        <w:rPr>
          <w:rtl/>
        </w:rPr>
        <w:t>كفؤ</w:t>
      </w:r>
      <w:r w:rsidR="00F32B28">
        <w:rPr>
          <w:rtl/>
        </w:rPr>
        <w:t xml:space="preserve"> </w:t>
      </w:r>
      <w:r w:rsidR="00F32B28" w:rsidRPr="00F32B28">
        <w:rPr>
          <w:rtl/>
        </w:rPr>
        <w:t>لها</w:t>
      </w:r>
      <w:r w:rsidR="00F32B28">
        <w:rPr>
          <w:rtl/>
        </w:rPr>
        <w:t xml:space="preserve"> </w:t>
      </w:r>
      <w:r w:rsidR="00F32B28" w:rsidRPr="00F32B28">
        <w:rPr>
          <w:rtl/>
        </w:rPr>
        <w:t>في</w:t>
      </w:r>
      <w:r w:rsidR="00F32B28">
        <w:rPr>
          <w:rtl/>
        </w:rPr>
        <w:t xml:space="preserve"> </w:t>
      </w:r>
      <w:r w:rsidR="00F32B28" w:rsidRPr="00F32B28">
        <w:rPr>
          <w:rtl/>
        </w:rPr>
        <w:t>المال</w:t>
      </w:r>
      <w:r w:rsidR="00F32B28">
        <w:rPr>
          <w:rtl/>
        </w:rPr>
        <w:t xml:space="preserve"> </w:t>
      </w:r>
      <w:r w:rsidR="00F32B28" w:rsidRPr="00F32B28">
        <w:rPr>
          <w:rtl/>
        </w:rPr>
        <w:t>(أي</w:t>
      </w:r>
      <w:r w:rsidR="00F32B28">
        <w:rPr>
          <w:rtl/>
        </w:rPr>
        <w:t xml:space="preserve"> </w:t>
      </w:r>
      <w:r w:rsidR="00F32B28" w:rsidRPr="00F32B28">
        <w:rPr>
          <w:rtl/>
        </w:rPr>
        <w:t>ألا</w:t>
      </w:r>
      <w:r w:rsidR="00F32B28">
        <w:rPr>
          <w:rtl/>
        </w:rPr>
        <w:t xml:space="preserve"> </w:t>
      </w:r>
      <w:r w:rsidR="00F32B28" w:rsidRPr="00F32B28">
        <w:rPr>
          <w:rtl/>
        </w:rPr>
        <w:t>يكون</w:t>
      </w:r>
      <w:r w:rsidR="00F32B28">
        <w:rPr>
          <w:rtl/>
        </w:rPr>
        <w:t xml:space="preserve"> </w:t>
      </w:r>
      <w:r w:rsidR="00F32B28" w:rsidRPr="00F32B28">
        <w:rPr>
          <w:rtl/>
        </w:rPr>
        <w:t>قادراً</w:t>
      </w:r>
      <w:r w:rsidR="00F32B28">
        <w:rPr>
          <w:rtl/>
        </w:rPr>
        <w:t xml:space="preserve"> </w:t>
      </w:r>
      <w:r w:rsidR="00F32B28" w:rsidRPr="00F32B28">
        <w:rPr>
          <w:rtl/>
        </w:rPr>
        <w:t>على</w:t>
      </w:r>
      <w:r w:rsidR="00F32B28">
        <w:rPr>
          <w:rtl/>
        </w:rPr>
        <w:t xml:space="preserve"> </w:t>
      </w:r>
      <w:r w:rsidR="00F32B28" w:rsidRPr="00F32B28">
        <w:rPr>
          <w:rtl/>
        </w:rPr>
        <w:t>دفع</w:t>
      </w:r>
      <w:r w:rsidR="00F32B28">
        <w:rPr>
          <w:rtl/>
        </w:rPr>
        <w:t xml:space="preserve"> </w:t>
      </w:r>
      <w:r w:rsidR="00F32B28" w:rsidRPr="00F32B28">
        <w:rPr>
          <w:rtl/>
        </w:rPr>
        <w:t>مهرها</w:t>
      </w:r>
      <w:r w:rsidR="00F32B28">
        <w:rPr>
          <w:rtl/>
        </w:rPr>
        <w:t xml:space="preserve"> </w:t>
      </w:r>
      <w:r w:rsidR="00F32B28" w:rsidRPr="00F32B28">
        <w:rPr>
          <w:rtl/>
        </w:rPr>
        <w:t>المعجل</w:t>
      </w:r>
      <w:r w:rsidR="00F32B28">
        <w:rPr>
          <w:rtl/>
        </w:rPr>
        <w:t xml:space="preserve"> </w:t>
      </w:r>
      <w:r w:rsidR="00F32B28" w:rsidRPr="00F32B28">
        <w:rPr>
          <w:rtl/>
        </w:rPr>
        <w:t>ونفقتها)،</w:t>
      </w:r>
      <w:r w:rsidR="00F32B28">
        <w:rPr>
          <w:rtl/>
        </w:rPr>
        <w:t xml:space="preserve"> </w:t>
      </w:r>
      <w:r w:rsidR="00F32B28" w:rsidRPr="00F32B28">
        <w:rPr>
          <w:rtl/>
        </w:rPr>
        <w:t>إلا</w:t>
      </w:r>
      <w:r w:rsidR="00F32B28">
        <w:rPr>
          <w:rtl/>
        </w:rPr>
        <w:t xml:space="preserve"> </w:t>
      </w:r>
      <w:r w:rsidR="00F32B28" w:rsidRPr="00F32B28">
        <w:rPr>
          <w:rtl/>
        </w:rPr>
        <w:t>أن</w:t>
      </w:r>
      <w:r w:rsidR="00F32B28">
        <w:rPr>
          <w:rtl/>
        </w:rPr>
        <w:t xml:space="preserve"> </w:t>
      </w:r>
      <w:r w:rsidR="00F32B28" w:rsidRPr="00F32B28">
        <w:rPr>
          <w:rtl/>
        </w:rPr>
        <w:t>حق</w:t>
      </w:r>
      <w:r w:rsidR="00F32B28">
        <w:rPr>
          <w:rtl/>
        </w:rPr>
        <w:t xml:space="preserve"> </w:t>
      </w:r>
      <w:r w:rsidR="00F32B28" w:rsidRPr="00F32B28">
        <w:rPr>
          <w:rtl/>
        </w:rPr>
        <w:t>الولي</w:t>
      </w:r>
      <w:r w:rsidR="00F32B28">
        <w:rPr>
          <w:rtl/>
        </w:rPr>
        <w:t xml:space="preserve"> </w:t>
      </w:r>
      <w:r w:rsidR="00F32B28" w:rsidRPr="00F32B28">
        <w:rPr>
          <w:rtl/>
        </w:rPr>
        <w:t>في</w:t>
      </w:r>
      <w:r w:rsidR="00F32B28">
        <w:rPr>
          <w:rtl/>
        </w:rPr>
        <w:t xml:space="preserve"> </w:t>
      </w:r>
      <w:r w:rsidR="00F32B28" w:rsidRPr="00F32B28">
        <w:rPr>
          <w:rtl/>
        </w:rPr>
        <w:t>الاعتراض</w:t>
      </w:r>
      <w:r w:rsidR="00F32B28">
        <w:rPr>
          <w:rtl/>
        </w:rPr>
        <w:t xml:space="preserve"> </w:t>
      </w:r>
      <w:r w:rsidR="00F32B28" w:rsidRPr="00F32B28">
        <w:rPr>
          <w:rtl/>
        </w:rPr>
        <w:t>يسقط</w:t>
      </w:r>
      <w:r w:rsidR="00F32B28">
        <w:rPr>
          <w:rtl/>
        </w:rPr>
        <w:t xml:space="preserve"> </w:t>
      </w:r>
      <w:r w:rsidR="00F32B28" w:rsidRPr="00F32B28">
        <w:rPr>
          <w:rtl/>
        </w:rPr>
        <w:t>إذا</w:t>
      </w:r>
      <w:r w:rsidR="00F32B28">
        <w:rPr>
          <w:rtl/>
        </w:rPr>
        <w:t xml:space="preserve"> </w:t>
      </w:r>
      <w:r w:rsidR="00F32B28" w:rsidRPr="00F32B28">
        <w:rPr>
          <w:rtl/>
        </w:rPr>
        <w:t>حملت</w:t>
      </w:r>
      <w:r w:rsidR="00F32B28">
        <w:rPr>
          <w:rtl/>
        </w:rPr>
        <w:t xml:space="preserve"> </w:t>
      </w:r>
      <w:r w:rsidR="00F32B28" w:rsidRPr="00F32B28">
        <w:rPr>
          <w:rtl/>
        </w:rPr>
        <w:t>الزوجة</w:t>
      </w:r>
      <w:r w:rsidR="00F32B28">
        <w:rPr>
          <w:rtl/>
        </w:rPr>
        <w:t xml:space="preserve"> </w:t>
      </w:r>
      <w:r w:rsidR="00F32B28" w:rsidRPr="00F32B28">
        <w:rPr>
          <w:rtl/>
        </w:rPr>
        <w:t>من</w:t>
      </w:r>
      <w:r w:rsidR="00F32B28">
        <w:rPr>
          <w:rtl/>
        </w:rPr>
        <w:t xml:space="preserve"> </w:t>
      </w:r>
      <w:r w:rsidR="00F32B28" w:rsidRPr="00F32B28">
        <w:rPr>
          <w:rtl/>
        </w:rPr>
        <w:t>زوجها،</w:t>
      </w:r>
      <w:r w:rsidR="00F32B28">
        <w:rPr>
          <w:rtl/>
        </w:rPr>
        <w:t xml:space="preserve"> </w:t>
      </w:r>
      <w:r w:rsidR="00F32B28" w:rsidRPr="00F32B28">
        <w:rPr>
          <w:rtl/>
        </w:rPr>
        <w:t>أو</w:t>
      </w:r>
      <w:r w:rsidR="00F32B28">
        <w:rPr>
          <w:rtl/>
        </w:rPr>
        <w:t xml:space="preserve"> </w:t>
      </w:r>
      <w:r w:rsidR="00F32B28" w:rsidRPr="00F32B28">
        <w:rPr>
          <w:rtl/>
        </w:rPr>
        <w:t>إذا</w:t>
      </w:r>
      <w:r w:rsidR="00F32B28">
        <w:rPr>
          <w:rtl/>
        </w:rPr>
        <w:t xml:space="preserve"> </w:t>
      </w:r>
      <w:r w:rsidR="00F32B28" w:rsidRPr="00F32B28">
        <w:rPr>
          <w:rtl/>
        </w:rPr>
        <w:t>أصبح</w:t>
      </w:r>
      <w:r w:rsidR="00F32B28">
        <w:rPr>
          <w:rtl/>
        </w:rPr>
        <w:t xml:space="preserve"> </w:t>
      </w:r>
      <w:r w:rsidR="00F32B28" w:rsidRPr="00F32B28">
        <w:rPr>
          <w:rtl/>
        </w:rPr>
        <w:t>زوجها</w:t>
      </w:r>
      <w:r w:rsidR="00F32B28">
        <w:rPr>
          <w:rtl/>
        </w:rPr>
        <w:t xml:space="preserve"> </w:t>
      </w:r>
      <w:r w:rsidR="00F32B28" w:rsidRPr="00F32B28">
        <w:rPr>
          <w:rtl/>
        </w:rPr>
        <w:t>كفؤا</w:t>
      </w:r>
      <w:r w:rsidR="00F32B28">
        <w:rPr>
          <w:rtl/>
        </w:rPr>
        <w:t xml:space="preserve"> </w:t>
      </w:r>
      <w:r w:rsidR="00F32B28" w:rsidRPr="00F32B28">
        <w:rPr>
          <w:rtl/>
        </w:rPr>
        <w:t>لها</w:t>
      </w:r>
      <w:r w:rsidR="00F32B28">
        <w:rPr>
          <w:rtl/>
        </w:rPr>
        <w:t xml:space="preserve"> </w:t>
      </w:r>
      <w:r w:rsidR="00F32B28" w:rsidRPr="00F32B28">
        <w:rPr>
          <w:rtl/>
        </w:rPr>
        <w:t>وقت</w:t>
      </w:r>
      <w:r w:rsidR="00F32B28">
        <w:rPr>
          <w:rtl/>
        </w:rPr>
        <w:t xml:space="preserve"> </w:t>
      </w:r>
      <w:r w:rsidR="00F32B28" w:rsidRPr="00F32B28">
        <w:rPr>
          <w:rtl/>
        </w:rPr>
        <w:t>الدعوى.</w:t>
      </w:r>
      <w:r w:rsidR="00F32B28">
        <w:rPr>
          <w:rtl/>
        </w:rPr>
        <w:t xml:space="preserve"> </w:t>
      </w:r>
      <w:r w:rsidR="00F32B28" w:rsidRPr="00F32B28">
        <w:rPr>
          <w:rtl/>
        </w:rPr>
        <w:t>ومن</w:t>
      </w:r>
      <w:r w:rsidR="00F32B28">
        <w:rPr>
          <w:rtl/>
        </w:rPr>
        <w:t xml:space="preserve"> </w:t>
      </w:r>
      <w:r w:rsidR="00F32B28" w:rsidRPr="00F32B28">
        <w:rPr>
          <w:rtl/>
        </w:rPr>
        <w:t>ناحية</w:t>
      </w:r>
      <w:r w:rsidR="00F32B28">
        <w:rPr>
          <w:rtl/>
        </w:rPr>
        <w:t xml:space="preserve"> </w:t>
      </w:r>
      <w:r w:rsidR="00F32B28" w:rsidRPr="00F32B28">
        <w:rPr>
          <w:rtl/>
        </w:rPr>
        <w:t>أخرى،</w:t>
      </w:r>
      <w:r w:rsidR="00F32B28">
        <w:rPr>
          <w:rtl/>
        </w:rPr>
        <w:t xml:space="preserve"> </w:t>
      </w:r>
      <w:r w:rsidR="00F32B28" w:rsidRPr="00F32B28">
        <w:rPr>
          <w:rtl/>
        </w:rPr>
        <w:t>يحـق</w:t>
      </w:r>
      <w:r w:rsidR="00F32B28">
        <w:rPr>
          <w:rtl/>
        </w:rPr>
        <w:t xml:space="preserve"> </w:t>
      </w:r>
      <w:r w:rsidR="00F32B28" w:rsidRPr="00F32B28">
        <w:rPr>
          <w:rtl/>
        </w:rPr>
        <w:t>للرجل</w:t>
      </w:r>
      <w:r w:rsidR="00F32B28">
        <w:rPr>
          <w:rtl/>
        </w:rPr>
        <w:t xml:space="preserve"> </w:t>
      </w:r>
      <w:r w:rsidR="00F32B28" w:rsidRPr="00F32B28">
        <w:rPr>
          <w:rtl/>
        </w:rPr>
        <w:t>المسلم</w:t>
      </w:r>
      <w:r w:rsidR="00F32B28">
        <w:rPr>
          <w:rtl/>
        </w:rPr>
        <w:t xml:space="preserve"> </w:t>
      </w:r>
      <w:r w:rsidR="00F32B28" w:rsidRPr="00F32B28">
        <w:rPr>
          <w:rtl/>
        </w:rPr>
        <w:t>الزواج</w:t>
      </w:r>
      <w:r w:rsidR="00F32B28">
        <w:rPr>
          <w:rtl/>
        </w:rPr>
        <w:t xml:space="preserve"> </w:t>
      </w:r>
      <w:r w:rsidR="00F32B28" w:rsidRPr="00F32B28">
        <w:rPr>
          <w:rtl/>
        </w:rPr>
        <w:t>من</w:t>
      </w:r>
      <w:r w:rsidR="00F32B28">
        <w:rPr>
          <w:rtl/>
        </w:rPr>
        <w:t xml:space="preserve"> </w:t>
      </w:r>
      <w:r w:rsidR="00F32B28" w:rsidRPr="00F32B28">
        <w:rPr>
          <w:rtl/>
        </w:rPr>
        <w:t>كتابية</w:t>
      </w:r>
      <w:r w:rsidR="00F32B28">
        <w:rPr>
          <w:rtl/>
        </w:rPr>
        <w:t xml:space="preserve"> </w:t>
      </w:r>
      <w:r w:rsidR="00F32B28" w:rsidRPr="00F32B28">
        <w:rPr>
          <w:rtl/>
        </w:rPr>
        <w:t>ولو</w:t>
      </w:r>
      <w:r w:rsidR="00F32B28">
        <w:rPr>
          <w:rtl/>
        </w:rPr>
        <w:t xml:space="preserve"> </w:t>
      </w:r>
      <w:r w:rsidR="00F32B28" w:rsidRPr="00F32B28">
        <w:rPr>
          <w:rtl/>
        </w:rPr>
        <w:t>بقيت</w:t>
      </w:r>
      <w:r w:rsidR="00F32B28">
        <w:rPr>
          <w:rtl/>
        </w:rPr>
        <w:t xml:space="preserve"> </w:t>
      </w:r>
      <w:r w:rsidR="00F32B28" w:rsidRPr="00F32B28">
        <w:rPr>
          <w:rtl/>
        </w:rPr>
        <w:t>هي</w:t>
      </w:r>
      <w:r w:rsidR="00F32B28">
        <w:rPr>
          <w:rtl/>
        </w:rPr>
        <w:t xml:space="preserve"> </w:t>
      </w:r>
      <w:r w:rsidR="00F32B28" w:rsidRPr="00F32B28">
        <w:rPr>
          <w:rtl/>
        </w:rPr>
        <w:t>على</w:t>
      </w:r>
      <w:r w:rsidR="00F32B28">
        <w:rPr>
          <w:rtl/>
        </w:rPr>
        <w:t xml:space="preserve"> </w:t>
      </w:r>
      <w:r w:rsidR="00F32B28" w:rsidRPr="00F32B28">
        <w:rPr>
          <w:rtl/>
        </w:rPr>
        <w:t>دينها،</w:t>
      </w:r>
      <w:r w:rsidR="00F32B28">
        <w:rPr>
          <w:rtl/>
        </w:rPr>
        <w:t xml:space="preserve"> </w:t>
      </w:r>
      <w:r w:rsidR="00F32B28" w:rsidRPr="00F32B28">
        <w:rPr>
          <w:rtl/>
        </w:rPr>
        <w:t>في</w:t>
      </w:r>
      <w:r w:rsidR="00F32B28">
        <w:rPr>
          <w:rtl/>
        </w:rPr>
        <w:t xml:space="preserve"> </w:t>
      </w:r>
      <w:r w:rsidR="00F32B28" w:rsidRPr="00F32B28">
        <w:rPr>
          <w:rtl/>
        </w:rPr>
        <w:t>حين</w:t>
      </w:r>
      <w:r w:rsidR="00F32B28">
        <w:rPr>
          <w:rtl/>
        </w:rPr>
        <w:t xml:space="preserve"> </w:t>
      </w:r>
      <w:r w:rsidR="00F32B28" w:rsidRPr="00F32B28">
        <w:rPr>
          <w:rtl/>
        </w:rPr>
        <w:t>يعتبر</w:t>
      </w:r>
      <w:r w:rsidR="00F32B28">
        <w:rPr>
          <w:rtl/>
        </w:rPr>
        <w:t xml:space="preserve"> </w:t>
      </w:r>
      <w:r w:rsidR="00F32B28" w:rsidRPr="00F32B28">
        <w:rPr>
          <w:rtl/>
        </w:rPr>
        <w:t>زواج</w:t>
      </w:r>
      <w:r w:rsidR="00F32B28">
        <w:rPr>
          <w:rtl/>
        </w:rPr>
        <w:t xml:space="preserve"> </w:t>
      </w:r>
      <w:r w:rsidR="00F32B28" w:rsidRPr="00F32B28">
        <w:rPr>
          <w:rtl/>
        </w:rPr>
        <w:t>المسلمة</w:t>
      </w:r>
      <w:r w:rsidR="00F32B28">
        <w:rPr>
          <w:rtl/>
        </w:rPr>
        <w:t xml:space="preserve"> </w:t>
      </w:r>
      <w:r w:rsidR="00F32B28" w:rsidRPr="00F32B28">
        <w:rPr>
          <w:rtl/>
        </w:rPr>
        <w:t>بغير</w:t>
      </w:r>
      <w:r w:rsidR="00F32B28">
        <w:rPr>
          <w:rtl/>
        </w:rPr>
        <w:t xml:space="preserve"> </w:t>
      </w:r>
      <w:r w:rsidR="00F32B28" w:rsidRPr="00F32B28">
        <w:rPr>
          <w:rtl/>
        </w:rPr>
        <w:t>مسلم،</w:t>
      </w:r>
      <w:r w:rsidR="00F32B28">
        <w:rPr>
          <w:rtl/>
        </w:rPr>
        <w:t xml:space="preserve"> </w:t>
      </w:r>
      <w:r w:rsidR="00F32B28" w:rsidRPr="00F32B28">
        <w:rPr>
          <w:rtl/>
        </w:rPr>
        <w:t>ولو</w:t>
      </w:r>
      <w:r w:rsidR="00F32B28">
        <w:rPr>
          <w:rtl/>
        </w:rPr>
        <w:t xml:space="preserve"> </w:t>
      </w:r>
      <w:r w:rsidR="00F32B28" w:rsidRPr="00F32B28">
        <w:rPr>
          <w:rtl/>
        </w:rPr>
        <w:t>كان</w:t>
      </w:r>
      <w:r w:rsidR="00F32B28">
        <w:rPr>
          <w:rtl/>
        </w:rPr>
        <w:t xml:space="preserve"> </w:t>
      </w:r>
      <w:r w:rsidR="00F32B28" w:rsidRPr="00F32B28">
        <w:rPr>
          <w:rtl/>
        </w:rPr>
        <w:t>كتابياً،</w:t>
      </w:r>
      <w:r w:rsidR="00F32B28">
        <w:rPr>
          <w:rtl/>
        </w:rPr>
        <w:t xml:space="preserve"> </w:t>
      </w:r>
      <w:r w:rsidR="00F32B28" w:rsidRPr="00F32B28">
        <w:rPr>
          <w:rtl/>
        </w:rPr>
        <w:t>زواجاً</w:t>
      </w:r>
      <w:r w:rsidR="00F32B28">
        <w:rPr>
          <w:rtl/>
        </w:rPr>
        <w:t xml:space="preserve"> </w:t>
      </w:r>
      <w:r w:rsidR="00F32B28" w:rsidRPr="00F32B28">
        <w:rPr>
          <w:rtl/>
        </w:rPr>
        <w:t>باطلاً</w:t>
      </w:r>
      <w:r w:rsidR="00F32B28">
        <w:rPr>
          <w:rtl/>
        </w:rPr>
        <w:t xml:space="preserve"> </w:t>
      </w:r>
      <w:r w:rsidR="00F32B28" w:rsidRPr="00F32B28">
        <w:rPr>
          <w:rtl/>
        </w:rPr>
        <w:t>ولا</w:t>
      </w:r>
      <w:r w:rsidR="00F32B28">
        <w:rPr>
          <w:rtl/>
        </w:rPr>
        <w:t xml:space="preserve"> </w:t>
      </w:r>
      <w:r w:rsidR="00F32B28" w:rsidRPr="00F32B28">
        <w:rPr>
          <w:rtl/>
        </w:rPr>
        <w:t>تثبت</w:t>
      </w:r>
      <w:r w:rsidR="00F32B28">
        <w:rPr>
          <w:rtl/>
        </w:rPr>
        <w:t xml:space="preserve"> </w:t>
      </w:r>
      <w:r w:rsidR="00F32B28" w:rsidRPr="00F32B28">
        <w:rPr>
          <w:rtl/>
        </w:rPr>
        <w:t>به</w:t>
      </w:r>
      <w:r w:rsidR="00F32B28">
        <w:rPr>
          <w:rtl/>
        </w:rPr>
        <w:t xml:space="preserve"> </w:t>
      </w:r>
      <w:r w:rsidR="00F32B28" w:rsidRPr="00F32B28">
        <w:rPr>
          <w:rtl/>
        </w:rPr>
        <w:t>أحكام</w:t>
      </w:r>
      <w:r w:rsidR="00F32B28">
        <w:rPr>
          <w:rtl/>
        </w:rPr>
        <w:t xml:space="preserve"> </w:t>
      </w:r>
      <w:r w:rsidR="00F32B28" w:rsidRPr="00F32B28">
        <w:rPr>
          <w:rtl/>
        </w:rPr>
        <w:t>النسب</w:t>
      </w:r>
      <w:r w:rsidR="00F32B28">
        <w:rPr>
          <w:rtl/>
        </w:rPr>
        <w:t xml:space="preserve"> </w:t>
      </w:r>
      <w:r w:rsidR="00F32B28" w:rsidRPr="00F32B28">
        <w:rPr>
          <w:rtl/>
        </w:rPr>
        <w:t>والنفقة</w:t>
      </w:r>
      <w:r w:rsidR="00F32B28">
        <w:rPr>
          <w:rtl/>
        </w:rPr>
        <w:t xml:space="preserve"> </w:t>
      </w:r>
      <w:r w:rsidR="00F32B28" w:rsidRPr="00F32B28">
        <w:rPr>
          <w:rtl/>
        </w:rPr>
        <w:t>والعدة</w:t>
      </w:r>
      <w:r w:rsidR="00F32B28">
        <w:rPr>
          <w:rtl/>
        </w:rPr>
        <w:t xml:space="preserve"> </w:t>
      </w:r>
      <w:r w:rsidR="00F32B28" w:rsidRPr="00F32B28">
        <w:rPr>
          <w:rtl/>
        </w:rPr>
        <w:t>وحرمة</w:t>
      </w:r>
      <w:r w:rsidR="00F32B28">
        <w:rPr>
          <w:rtl/>
        </w:rPr>
        <w:t xml:space="preserve"> </w:t>
      </w:r>
      <w:r w:rsidR="00F32B28" w:rsidRPr="00F32B28">
        <w:rPr>
          <w:rtl/>
        </w:rPr>
        <w:t>المصاهرة</w:t>
      </w:r>
      <w:r w:rsidR="00F32B28">
        <w:rPr>
          <w:rtl/>
        </w:rPr>
        <w:t xml:space="preserve"> </w:t>
      </w:r>
      <w:r w:rsidR="00F32B28" w:rsidRPr="00F32B28">
        <w:rPr>
          <w:rtl/>
        </w:rPr>
        <w:t>والإرث.</w:t>
      </w:r>
    </w:p>
    <w:p w:rsidR="00565595" w:rsidRPr="00565595" w:rsidRDefault="00565595" w:rsidP="00565595">
      <w:pPr>
        <w:pStyle w:val="SingleTxt"/>
        <w:spacing w:after="0" w:line="120" w:lineRule="exact"/>
        <w:rPr>
          <w:b/>
          <w:bCs/>
          <w:sz w:val="10"/>
          <w:rtl/>
        </w:rPr>
      </w:pPr>
    </w:p>
    <w:p w:rsidR="00F32B28" w:rsidRPr="00F32B28" w:rsidRDefault="00F32B28" w:rsidP="00F32B28">
      <w:pPr>
        <w:pStyle w:val="SingleTxt"/>
        <w:rPr>
          <w:b/>
          <w:bCs/>
        </w:rPr>
      </w:pPr>
      <w:r w:rsidRPr="00F32B28">
        <w:rPr>
          <w:b/>
          <w:bCs/>
          <w:rtl/>
        </w:rPr>
        <w:t>الحقوق</w:t>
      </w:r>
      <w:r>
        <w:rPr>
          <w:b/>
          <w:bCs/>
          <w:rtl/>
        </w:rPr>
        <w:t xml:space="preserve"> </w:t>
      </w:r>
      <w:r w:rsidRPr="00F32B28">
        <w:rPr>
          <w:b/>
          <w:bCs/>
          <w:rtl/>
        </w:rPr>
        <w:t>والمسؤوليات</w:t>
      </w:r>
      <w:r>
        <w:rPr>
          <w:b/>
          <w:bCs/>
          <w:rtl/>
        </w:rPr>
        <w:t xml:space="preserve"> </w:t>
      </w:r>
      <w:r w:rsidRPr="00F32B28">
        <w:rPr>
          <w:b/>
          <w:bCs/>
          <w:rtl/>
        </w:rPr>
        <w:t>أثناء</w:t>
      </w:r>
      <w:r>
        <w:rPr>
          <w:b/>
          <w:bCs/>
          <w:rtl/>
        </w:rPr>
        <w:t xml:space="preserve"> </w:t>
      </w:r>
      <w:r w:rsidRPr="00F32B28">
        <w:rPr>
          <w:b/>
          <w:bCs/>
          <w:rtl/>
        </w:rPr>
        <w:t>عقد</w:t>
      </w:r>
      <w:r>
        <w:rPr>
          <w:b/>
          <w:bCs/>
          <w:rtl/>
        </w:rPr>
        <w:t xml:space="preserve"> </w:t>
      </w:r>
      <w:r w:rsidRPr="00F32B28">
        <w:rPr>
          <w:b/>
          <w:bCs/>
          <w:rtl/>
        </w:rPr>
        <w:t>الزواج</w:t>
      </w:r>
      <w:r>
        <w:rPr>
          <w:b/>
          <w:bCs/>
          <w:rtl/>
        </w:rPr>
        <w:t xml:space="preserve"> </w:t>
      </w:r>
      <w:r w:rsidRPr="00F32B28">
        <w:rPr>
          <w:b/>
          <w:bCs/>
          <w:rtl/>
        </w:rPr>
        <w:t>وعند</w:t>
      </w:r>
      <w:r>
        <w:rPr>
          <w:b/>
          <w:bCs/>
          <w:rtl/>
        </w:rPr>
        <w:t xml:space="preserve"> </w:t>
      </w:r>
      <w:r w:rsidRPr="00F32B28">
        <w:rPr>
          <w:b/>
          <w:bCs/>
          <w:rtl/>
        </w:rPr>
        <w:t>فسخه</w:t>
      </w:r>
    </w:p>
    <w:p w:rsidR="00F32B28" w:rsidRPr="00F32B28" w:rsidRDefault="00565595" w:rsidP="00565595">
      <w:pPr>
        <w:pStyle w:val="SingleTxt"/>
        <w:rPr>
          <w:rtl/>
        </w:rPr>
      </w:pPr>
      <w:r>
        <w:rPr>
          <w:rFonts w:hint="cs"/>
          <w:rtl/>
        </w:rPr>
        <w:t xml:space="preserve">331 - </w:t>
      </w:r>
      <w:r w:rsidR="00F32B28" w:rsidRPr="00F32B28">
        <w:rPr>
          <w:rtl/>
        </w:rPr>
        <w:t>تكرس</w:t>
      </w:r>
      <w:r w:rsidR="00F32B28">
        <w:rPr>
          <w:rtl/>
        </w:rPr>
        <w:t xml:space="preserve"> </w:t>
      </w:r>
      <w:r w:rsidR="00F32B28" w:rsidRPr="00F32B28">
        <w:rPr>
          <w:rtl/>
        </w:rPr>
        <w:t>قوانين</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السارية</w:t>
      </w:r>
      <w:r w:rsidR="00F32B28">
        <w:rPr>
          <w:rtl/>
        </w:rPr>
        <w:t xml:space="preserve"> </w:t>
      </w:r>
      <w:r w:rsidR="00F32B28" w:rsidRPr="00F32B28">
        <w:rPr>
          <w:rtl/>
        </w:rPr>
        <w:t>الأدوار</w:t>
      </w:r>
      <w:r w:rsidR="00F32B28">
        <w:rPr>
          <w:rtl/>
        </w:rPr>
        <w:t xml:space="preserve"> </w:t>
      </w:r>
      <w:r w:rsidR="00F32B28" w:rsidRPr="00F32B28">
        <w:rPr>
          <w:rtl/>
        </w:rPr>
        <w:t>التقليدية</w:t>
      </w:r>
      <w:r w:rsidR="00F32B28">
        <w:rPr>
          <w:rtl/>
        </w:rPr>
        <w:t xml:space="preserve"> </w:t>
      </w:r>
      <w:r w:rsidR="00F32B28" w:rsidRPr="00F32B28">
        <w:rPr>
          <w:rtl/>
        </w:rPr>
        <w:t>لأفراد</w:t>
      </w:r>
      <w:r w:rsidR="00F32B28">
        <w:rPr>
          <w:rtl/>
        </w:rPr>
        <w:t xml:space="preserve"> </w:t>
      </w:r>
      <w:r w:rsidR="00F32B28" w:rsidRPr="00F32B28">
        <w:rPr>
          <w:rtl/>
        </w:rPr>
        <w:t>الأسرة،</w:t>
      </w:r>
      <w:r w:rsidR="00F32B28">
        <w:rPr>
          <w:rtl/>
        </w:rPr>
        <w:t xml:space="preserve"> </w:t>
      </w:r>
      <w:r w:rsidR="00F32B28" w:rsidRPr="00F32B28">
        <w:rPr>
          <w:rtl/>
        </w:rPr>
        <w:t>فبينما</w:t>
      </w:r>
      <w:r w:rsidR="00F32B28">
        <w:rPr>
          <w:rtl/>
        </w:rPr>
        <w:t xml:space="preserve"> </w:t>
      </w:r>
      <w:r w:rsidR="00F32B28" w:rsidRPr="00F32B28">
        <w:rPr>
          <w:rtl/>
        </w:rPr>
        <w:t>تنيط</w:t>
      </w:r>
      <w:r w:rsidR="00F32B28">
        <w:rPr>
          <w:rtl/>
        </w:rPr>
        <w:t xml:space="preserve"> </w:t>
      </w:r>
      <w:r w:rsidR="00F32B28" w:rsidRPr="00F32B28">
        <w:rPr>
          <w:rtl/>
        </w:rPr>
        <w:t>سلطة</w:t>
      </w:r>
      <w:r w:rsidR="00F32B28">
        <w:rPr>
          <w:rtl/>
        </w:rPr>
        <w:t xml:space="preserve"> </w:t>
      </w:r>
      <w:r w:rsidR="00F32B28" w:rsidRPr="00F32B28">
        <w:rPr>
          <w:rtl/>
        </w:rPr>
        <w:t>رئاسة</w:t>
      </w:r>
      <w:r w:rsidR="00F32B28">
        <w:rPr>
          <w:rtl/>
        </w:rPr>
        <w:t xml:space="preserve"> </w:t>
      </w:r>
      <w:r w:rsidR="00F32B28" w:rsidRPr="00F32B28">
        <w:rPr>
          <w:rtl/>
        </w:rPr>
        <w:t>الأسرة</w:t>
      </w:r>
      <w:r w:rsidR="00F32B28">
        <w:rPr>
          <w:rtl/>
        </w:rPr>
        <w:t xml:space="preserve"> </w:t>
      </w:r>
      <w:r w:rsidR="00F32B28" w:rsidRPr="00F32B28">
        <w:rPr>
          <w:rtl/>
        </w:rPr>
        <w:t>والقوامة</w:t>
      </w:r>
      <w:r w:rsidR="00F32B28">
        <w:rPr>
          <w:rtl/>
        </w:rPr>
        <w:t xml:space="preserve"> </w:t>
      </w:r>
      <w:r w:rsidR="00F32B28" w:rsidRPr="00F32B28">
        <w:rPr>
          <w:rtl/>
        </w:rPr>
        <w:t>واتخاذ</w:t>
      </w:r>
      <w:r w:rsidR="00F32B28">
        <w:rPr>
          <w:rtl/>
        </w:rPr>
        <w:t xml:space="preserve"> </w:t>
      </w:r>
      <w:r w:rsidR="00F32B28" w:rsidRPr="00F32B28">
        <w:rPr>
          <w:rtl/>
        </w:rPr>
        <w:t>القرارات</w:t>
      </w:r>
      <w:r w:rsidR="00F32B28">
        <w:rPr>
          <w:rtl/>
        </w:rPr>
        <w:t xml:space="preserve"> </w:t>
      </w:r>
      <w:r w:rsidR="00F32B28" w:rsidRPr="00F32B28">
        <w:rPr>
          <w:rtl/>
        </w:rPr>
        <w:t>بالرجل،</w:t>
      </w:r>
      <w:r w:rsidR="00F32B28">
        <w:rPr>
          <w:rtl/>
        </w:rPr>
        <w:t xml:space="preserve"> </w:t>
      </w:r>
      <w:r w:rsidR="00F32B28" w:rsidRPr="00F32B28">
        <w:rPr>
          <w:rtl/>
        </w:rPr>
        <w:t>تفرض</w:t>
      </w:r>
      <w:r w:rsidR="00F32B28">
        <w:rPr>
          <w:rtl/>
        </w:rPr>
        <w:t xml:space="preserve"> </w:t>
      </w:r>
      <w:r w:rsidR="00F32B28" w:rsidRPr="00F32B28">
        <w:rPr>
          <w:rtl/>
        </w:rPr>
        <w:t>على</w:t>
      </w:r>
      <w:r w:rsidR="00F32B28">
        <w:rPr>
          <w:rtl/>
        </w:rPr>
        <w:t xml:space="preserve"> </w:t>
      </w:r>
      <w:r w:rsidR="00F32B28" w:rsidRPr="00F32B28">
        <w:rPr>
          <w:rtl/>
        </w:rPr>
        <w:t>الزوجة</w:t>
      </w:r>
      <w:r w:rsidR="00F32B28">
        <w:rPr>
          <w:rtl/>
        </w:rPr>
        <w:t xml:space="preserve"> </w:t>
      </w:r>
      <w:r w:rsidR="00F32B28" w:rsidRPr="00F32B28">
        <w:rPr>
          <w:rtl/>
        </w:rPr>
        <w:t>الطاعة</w:t>
      </w:r>
      <w:r w:rsidR="00F32B28">
        <w:rPr>
          <w:rtl/>
        </w:rPr>
        <w:t xml:space="preserve"> </w:t>
      </w:r>
      <w:r w:rsidR="00F32B28" w:rsidRPr="00F32B28">
        <w:rPr>
          <w:rtl/>
        </w:rPr>
        <w:t>والاهتمام</w:t>
      </w:r>
      <w:r w:rsidR="00F32B28">
        <w:rPr>
          <w:rtl/>
        </w:rPr>
        <w:t xml:space="preserve"> </w:t>
      </w:r>
      <w:r w:rsidR="00F32B28" w:rsidRPr="00F32B28">
        <w:rPr>
          <w:rtl/>
        </w:rPr>
        <w:t>بأمور</w:t>
      </w:r>
      <w:r w:rsidR="00F32B28">
        <w:rPr>
          <w:rtl/>
        </w:rPr>
        <w:t xml:space="preserve"> </w:t>
      </w:r>
      <w:r w:rsidR="00F32B28" w:rsidRPr="00F32B28">
        <w:rPr>
          <w:rtl/>
        </w:rPr>
        <w:t>المنزل.</w:t>
      </w:r>
      <w:r w:rsidR="00F32B28">
        <w:rPr>
          <w:rtl/>
        </w:rPr>
        <w:t xml:space="preserve"> </w:t>
      </w:r>
      <w:r w:rsidR="00F32B28" w:rsidRPr="00F32B28">
        <w:rPr>
          <w:rtl/>
        </w:rPr>
        <w:t>فالعلاقة</w:t>
      </w:r>
      <w:r w:rsidR="00F32B28">
        <w:rPr>
          <w:rtl/>
        </w:rPr>
        <w:t xml:space="preserve"> </w:t>
      </w:r>
      <w:r w:rsidR="00F32B28" w:rsidRPr="00F32B28">
        <w:rPr>
          <w:rtl/>
        </w:rPr>
        <w:t>الزوجية</w:t>
      </w:r>
      <w:r w:rsidR="00F32B28">
        <w:rPr>
          <w:rtl/>
        </w:rPr>
        <w:t xml:space="preserve"> </w:t>
      </w:r>
      <w:r w:rsidR="00F32B28" w:rsidRPr="00F32B28">
        <w:rPr>
          <w:rtl/>
        </w:rPr>
        <w:t>القائمة</w:t>
      </w:r>
      <w:r w:rsidR="00F32B28">
        <w:rPr>
          <w:rtl/>
        </w:rPr>
        <w:t xml:space="preserve"> </w:t>
      </w:r>
      <w:r w:rsidR="00F32B28" w:rsidRPr="00F32B28">
        <w:rPr>
          <w:rtl/>
        </w:rPr>
        <w:t>فيما</w:t>
      </w:r>
      <w:r w:rsidR="00F32B28">
        <w:rPr>
          <w:rtl/>
        </w:rPr>
        <w:t xml:space="preserve"> </w:t>
      </w:r>
      <w:r w:rsidR="00F32B28" w:rsidRPr="00F32B28">
        <w:rPr>
          <w:rtl/>
        </w:rPr>
        <w:t>بينهما</w:t>
      </w:r>
      <w:r w:rsidR="00F32B28">
        <w:rPr>
          <w:rtl/>
        </w:rPr>
        <w:t xml:space="preserve"> </w:t>
      </w:r>
      <w:r w:rsidR="00F32B28" w:rsidRPr="00F32B28">
        <w:rPr>
          <w:rtl/>
        </w:rPr>
        <w:t>تقوم</w:t>
      </w:r>
      <w:r w:rsidR="00F32B28">
        <w:rPr>
          <w:rtl/>
        </w:rPr>
        <w:t xml:space="preserve"> </w:t>
      </w:r>
      <w:r w:rsidR="00F32B28" w:rsidRPr="00F32B28">
        <w:rPr>
          <w:rtl/>
        </w:rPr>
        <w:t>على</w:t>
      </w:r>
      <w:r w:rsidR="00F32B28">
        <w:rPr>
          <w:rtl/>
        </w:rPr>
        <w:t xml:space="preserve"> </w:t>
      </w:r>
      <w:r w:rsidR="00F32B28" w:rsidRPr="00F32B28">
        <w:rPr>
          <w:rtl/>
        </w:rPr>
        <w:t>أساس</w:t>
      </w:r>
      <w:r w:rsidR="00F32B28">
        <w:rPr>
          <w:rtl/>
        </w:rPr>
        <w:t xml:space="preserve"> </w:t>
      </w:r>
      <w:r w:rsidR="00F32B28" w:rsidRPr="00F32B28">
        <w:rPr>
          <w:rtl/>
        </w:rPr>
        <w:t>التبادلية</w:t>
      </w:r>
      <w:r w:rsidR="00F32B28">
        <w:rPr>
          <w:rtl/>
        </w:rPr>
        <w:t xml:space="preserve"> </w:t>
      </w:r>
      <w:r w:rsidR="00F32B28" w:rsidRPr="00F32B28">
        <w:rPr>
          <w:rtl/>
        </w:rPr>
        <w:t>في</w:t>
      </w:r>
      <w:r w:rsidR="00F32B28">
        <w:rPr>
          <w:rtl/>
        </w:rPr>
        <w:t xml:space="preserve"> </w:t>
      </w:r>
      <w:r w:rsidR="00F32B28" w:rsidRPr="00F32B28">
        <w:rPr>
          <w:rtl/>
        </w:rPr>
        <w:t>الحقوق</w:t>
      </w:r>
      <w:r w:rsidR="00F32B28">
        <w:rPr>
          <w:rtl/>
        </w:rPr>
        <w:t xml:space="preserve"> </w:t>
      </w:r>
      <w:r w:rsidR="00F32B28" w:rsidRPr="00F32B28">
        <w:rPr>
          <w:rtl/>
        </w:rPr>
        <w:t>والواجبات</w:t>
      </w:r>
      <w:r w:rsidR="00F32B28">
        <w:rPr>
          <w:rtl/>
        </w:rPr>
        <w:t xml:space="preserve"> </w:t>
      </w:r>
      <w:r w:rsidR="00F32B28" w:rsidRPr="00F32B28">
        <w:rPr>
          <w:rtl/>
        </w:rPr>
        <w:t>وليس</w:t>
      </w:r>
      <w:r w:rsidR="00F32B28">
        <w:rPr>
          <w:rtl/>
        </w:rPr>
        <w:t xml:space="preserve"> </w:t>
      </w:r>
      <w:r w:rsidR="00F32B28" w:rsidRPr="00F32B28">
        <w:rPr>
          <w:rtl/>
        </w:rPr>
        <w:t>على</w:t>
      </w:r>
      <w:r w:rsidR="00F32B28">
        <w:rPr>
          <w:rtl/>
        </w:rPr>
        <w:t xml:space="preserve"> </w:t>
      </w:r>
      <w:r w:rsidR="00F32B28" w:rsidRPr="00F32B28">
        <w:rPr>
          <w:rtl/>
        </w:rPr>
        <w:t>المساواة،</w:t>
      </w:r>
      <w:r w:rsidR="00F32B28">
        <w:rPr>
          <w:rtl/>
        </w:rPr>
        <w:t xml:space="preserve"> </w:t>
      </w:r>
      <w:r w:rsidR="00F32B28" w:rsidRPr="00F32B28">
        <w:rPr>
          <w:rtl/>
        </w:rPr>
        <w:t>فللمرأة</w:t>
      </w:r>
      <w:r w:rsidR="00F32B28">
        <w:rPr>
          <w:rtl/>
        </w:rPr>
        <w:t xml:space="preserve"> </w:t>
      </w:r>
      <w:r w:rsidR="00F32B28" w:rsidRPr="00F32B28">
        <w:rPr>
          <w:rtl/>
        </w:rPr>
        <w:t>حقوقاً</w:t>
      </w:r>
      <w:r w:rsidR="00F32B28">
        <w:rPr>
          <w:rtl/>
        </w:rPr>
        <w:t xml:space="preserve"> </w:t>
      </w:r>
      <w:r w:rsidR="00F32B28" w:rsidRPr="00F32B28">
        <w:rPr>
          <w:rtl/>
        </w:rPr>
        <w:t>يقابلها</w:t>
      </w:r>
      <w:r w:rsidR="00F32B28">
        <w:rPr>
          <w:rtl/>
        </w:rPr>
        <w:t xml:space="preserve"> </w:t>
      </w:r>
      <w:r w:rsidR="00F32B28" w:rsidRPr="00F32B28">
        <w:rPr>
          <w:rtl/>
        </w:rPr>
        <w:t>واجبات</w:t>
      </w:r>
      <w:r w:rsidR="00F32B28">
        <w:rPr>
          <w:rtl/>
        </w:rPr>
        <w:t xml:space="preserve"> </w:t>
      </w:r>
      <w:r w:rsidR="00F32B28" w:rsidRPr="00F32B28">
        <w:rPr>
          <w:rtl/>
        </w:rPr>
        <w:t>للرجل،</w:t>
      </w:r>
      <w:r w:rsidR="00F32B28">
        <w:rPr>
          <w:rtl/>
        </w:rPr>
        <w:t xml:space="preserve"> </w:t>
      </w:r>
      <w:r w:rsidR="00F32B28" w:rsidRPr="00F32B28">
        <w:rPr>
          <w:rtl/>
        </w:rPr>
        <w:t>وحقوقاً</w:t>
      </w:r>
      <w:r w:rsidR="00F32B28">
        <w:rPr>
          <w:rtl/>
        </w:rPr>
        <w:t xml:space="preserve"> </w:t>
      </w:r>
      <w:r w:rsidR="00F32B28" w:rsidRPr="00F32B28">
        <w:rPr>
          <w:rtl/>
        </w:rPr>
        <w:t>للرجل</w:t>
      </w:r>
      <w:r w:rsidR="00F32B28">
        <w:rPr>
          <w:rtl/>
        </w:rPr>
        <w:t xml:space="preserve"> </w:t>
      </w:r>
      <w:r w:rsidR="00F32B28" w:rsidRPr="00F32B28">
        <w:rPr>
          <w:rtl/>
        </w:rPr>
        <w:t>يقابلها</w:t>
      </w:r>
      <w:r w:rsidR="00F32B28">
        <w:rPr>
          <w:rtl/>
        </w:rPr>
        <w:t xml:space="preserve"> </w:t>
      </w:r>
      <w:r w:rsidR="00F32B28" w:rsidRPr="00F32B28">
        <w:rPr>
          <w:rtl/>
        </w:rPr>
        <w:t>واجبات</w:t>
      </w:r>
      <w:r w:rsidR="00F32B28">
        <w:rPr>
          <w:rtl/>
        </w:rPr>
        <w:t xml:space="preserve"> </w:t>
      </w:r>
      <w:r w:rsidR="00F32B28" w:rsidRPr="00F32B28">
        <w:rPr>
          <w:rtl/>
        </w:rPr>
        <w:t>للمرأة.</w:t>
      </w:r>
      <w:r w:rsidR="00F32B28">
        <w:rPr>
          <w:rtl/>
        </w:rPr>
        <w:t xml:space="preserve"> </w:t>
      </w:r>
      <w:r w:rsidR="00F32B28" w:rsidRPr="00F32B28">
        <w:rPr>
          <w:rtl/>
        </w:rPr>
        <w:t>حيث</w:t>
      </w:r>
      <w:r w:rsidR="00F32B28">
        <w:rPr>
          <w:rtl/>
        </w:rPr>
        <w:t xml:space="preserve"> </w:t>
      </w:r>
      <w:r w:rsidR="00F32B28" w:rsidRPr="00F32B28">
        <w:rPr>
          <w:rtl/>
        </w:rPr>
        <w:t>تقضي</w:t>
      </w:r>
      <w:r w:rsidR="00F32B28">
        <w:rPr>
          <w:rtl/>
        </w:rPr>
        <w:t xml:space="preserve"> </w:t>
      </w:r>
      <w:r w:rsidR="00F32B28" w:rsidRPr="00F32B28">
        <w:rPr>
          <w:rtl/>
        </w:rPr>
        <w:t>قوانين</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بأن</w:t>
      </w:r>
      <w:r w:rsidR="00F32B28">
        <w:rPr>
          <w:rtl/>
        </w:rPr>
        <w:t xml:space="preserve"> </w:t>
      </w:r>
      <w:r w:rsidR="00F32B28" w:rsidRPr="00F32B28">
        <w:rPr>
          <w:rtl/>
        </w:rPr>
        <w:t>على</w:t>
      </w:r>
      <w:r w:rsidR="00F32B28">
        <w:rPr>
          <w:rtl/>
        </w:rPr>
        <w:t xml:space="preserve"> </w:t>
      </w:r>
      <w:r w:rsidR="00F32B28" w:rsidRPr="00F32B28">
        <w:rPr>
          <w:rtl/>
        </w:rPr>
        <w:t>الزوج</w:t>
      </w:r>
      <w:r w:rsidR="00F32B28">
        <w:rPr>
          <w:rtl/>
        </w:rPr>
        <w:t xml:space="preserve"> </w:t>
      </w:r>
      <w:r w:rsidR="00F32B28" w:rsidRPr="00F32B28">
        <w:rPr>
          <w:rtl/>
        </w:rPr>
        <w:t>أن</w:t>
      </w:r>
      <w:r w:rsidR="00F32B28">
        <w:rPr>
          <w:rtl/>
        </w:rPr>
        <w:t xml:space="preserve"> </w:t>
      </w:r>
      <w:r w:rsidR="00F32B28" w:rsidRPr="00F32B28">
        <w:rPr>
          <w:rtl/>
        </w:rPr>
        <w:t>يحسن</w:t>
      </w:r>
      <w:r w:rsidR="00F32B28">
        <w:rPr>
          <w:rtl/>
        </w:rPr>
        <w:t xml:space="preserve"> </w:t>
      </w:r>
      <w:r w:rsidR="00F32B28" w:rsidRPr="00F32B28">
        <w:rPr>
          <w:rtl/>
        </w:rPr>
        <w:t>معاشرة</w:t>
      </w:r>
      <w:r w:rsidR="00F32B28">
        <w:rPr>
          <w:rtl/>
        </w:rPr>
        <w:t xml:space="preserve"> </w:t>
      </w:r>
      <w:r w:rsidR="00F32B28" w:rsidRPr="00F32B28">
        <w:rPr>
          <w:rtl/>
        </w:rPr>
        <w:t>زوجته</w:t>
      </w:r>
      <w:r w:rsidR="00F32B28">
        <w:rPr>
          <w:rtl/>
        </w:rPr>
        <w:t xml:space="preserve"> </w:t>
      </w:r>
      <w:r w:rsidR="00F32B28" w:rsidRPr="00F32B28">
        <w:rPr>
          <w:rtl/>
        </w:rPr>
        <w:t>وأن</w:t>
      </w:r>
      <w:r w:rsidR="00F32B28">
        <w:rPr>
          <w:rtl/>
        </w:rPr>
        <w:t xml:space="preserve"> </w:t>
      </w:r>
      <w:r w:rsidR="00F32B28" w:rsidRPr="00F32B28">
        <w:rPr>
          <w:rtl/>
        </w:rPr>
        <w:t>يعاملها</w:t>
      </w:r>
      <w:r w:rsidR="00F32B28">
        <w:rPr>
          <w:rtl/>
        </w:rPr>
        <w:t xml:space="preserve"> </w:t>
      </w:r>
      <w:r w:rsidR="00F32B28" w:rsidRPr="00F32B28">
        <w:rPr>
          <w:rtl/>
        </w:rPr>
        <w:t>بالمعروف</w:t>
      </w:r>
      <w:r w:rsidR="00F32B28">
        <w:rPr>
          <w:rtl/>
        </w:rPr>
        <w:t xml:space="preserve"> </w:t>
      </w:r>
      <w:r w:rsidR="00F32B28" w:rsidRPr="00F32B28">
        <w:rPr>
          <w:rtl/>
        </w:rPr>
        <w:t>وعلى</w:t>
      </w:r>
      <w:r w:rsidR="00F32B28">
        <w:rPr>
          <w:rtl/>
        </w:rPr>
        <w:t xml:space="preserve"> </w:t>
      </w:r>
      <w:r w:rsidR="00F32B28" w:rsidRPr="00F32B28">
        <w:rPr>
          <w:rtl/>
        </w:rPr>
        <w:t>المرأة</w:t>
      </w:r>
      <w:r w:rsidR="00F32B28">
        <w:rPr>
          <w:rtl/>
        </w:rPr>
        <w:t xml:space="preserve"> </w:t>
      </w:r>
      <w:r w:rsidR="00F32B28" w:rsidRPr="00F32B28">
        <w:rPr>
          <w:rtl/>
        </w:rPr>
        <w:t>أن</w:t>
      </w:r>
      <w:r w:rsidR="00F32B28">
        <w:rPr>
          <w:rtl/>
        </w:rPr>
        <w:t xml:space="preserve"> </w:t>
      </w:r>
      <w:r w:rsidR="00F32B28" w:rsidRPr="00F32B28">
        <w:rPr>
          <w:rtl/>
        </w:rPr>
        <w:t>تطيع</w:t>
      </w:r>
      <w:r w:rsidR="00F32B28">
        <w:rPr>
          <w:rtl/>
        </w:rPr>
        <w:t xml:space="preserve"> </w:t>
      </w:r>
      <w:r w:rsidR="00F32B28" w:rsidRPr="00F32B28">
        <w:rPr>
          <w:rtl/>
        </w:rPr>
        <w:t>زوجها</w:t>
      </w:r>
      <w:r w:rsidR="00F32B28">
        <w:rPr>
          <w:rtl/>
        </w:rPr>
        <w:t xml:space="preserve"> </w:t>
      </w:r>
      <w:r w:rsidR="00F32B28" w:rsidRPr="00F32B28">
        <w:rPr>
          <w:rtl/>
        </w:rPr>
        <w:t>في</w:t>
      </w:r>
      <w:r w:rsidR="00F32B28">
        <w:rPr>
          <w:rtl/>
        </w:rPr>
        <w:t xml:space="preserve"> </w:t>
      </w:r>
      <w:r w:rsidR="00F32B28" w:rsidRPr="00F32B28">
        <w:rPr>
          <w:rtl/>
        </w:rPr>
        <w:t>الأمور</w:t>
      </w:r>
      <w:r w:rsidR="00F32B28">
        <w:rPr>
          <w:rtl/>
        </w:rPr>
        <w:t xml:space="preserve"> </w:t>
      </w:r>
      <w:r w:rsidR="00F32B28" w:rsidRPr="00F32B28">
        <w:rPr>
          <w:rtl/>
        </w:rPr>
        <w:t>المباحة.</w:t>
      </w:r>
      <w:r w:rsidR="00F32B28">
        <w:rPr>
          <w:rtl/>
        </w:rPr>
        <w:t xml:space="preserve"> </w:t>
      </w:r>
      <w:r w:rsidR="00F32B28" w:rsidRPr="00F32B28">
        <w:rPr>
          <w:rtl/>
        </w:rPr>
        <w:t>فإذا</w:t>
      </w:r>
      <w:r w:rsidR="00F32B28">
        <w:rPr>
          <w:rtl/>
        </w:rPr>
        <w:t xml:space="preserve"> </w:t>
      </w:r>
      <w:r w:rsidR="00F32B28" w:rsidRPr="00F32B28">
        <w:rPr>
          <w:rtl/>
        </w:rPr>
        <w:t>ما</w:t>
      </w:r>
      <w:r w:rsidR="00F32B28">
        <w:rPr>
          <w:rtl/>
        </w:rPr>
        <w:t xml:space="preserve"> </w:t>
      </w:r>
      <w:r w:rsidR="00F32B28" w:rsidRPr="00F32B28">
        <w:rPr>
          <w:rtl/>
        </w:rPr>
        <w:t>نشزت</w:t>
      </w:r>
      <w:r w:rsidR="00F32B28">
        <w:rPr>
          <w:rtl/>
        </w:rPr>
        <w:t xml:space="preserve"> </w:t>
      </w:r>
      <w:r w:rsidR="00F32B28" w:rsidRPr="00F32B28">
        <w:rPr>
          <w:rtl/>
        </w:rPr>
        <w:t>الزوجة،</w:t>
      </w:r>
      <w:r w:rsidR="00F32B28">
        <w:rPr>
          <w:rtl/>
        </w:rPr>
        <w:t xml:space="preserve"> </w:t>
      </w:r>
      <w:r w:rsidR="00F32B28" w:rsidRPr="00F32B28">
        <w:rPr>
          <w:rtl/>
        </w:rPr>
        <w:t>وذلك</w:t>
      </w:r>
      <w:r w:rsidR="00F32B28">
        <w:rPr>
          <w:rtl/>
        </w:rPr>
        <w:t xml:space="preserve"> </w:t>
      </w:r>
      <w:r w:rsidR="00F32B28" w:rsidRPr="00F32B28">
        <w:rPr>
          <w:rtl/>
        </w:rPr>
        <w:t>بتركها</w:t>
      </w:r>
      <w:r w:rsidR="00F32B28">
        <w:rPr>
          <w:rtl/>
        </w:rPr>
        <w:t xml:space="preserve"> </w:t>
      </w:r>
      <w:r w:rsidR="00F32B28" w:rsidRPr="00F32B28">
        <w:rPr>
          <w:rtl/>
        </w:rPr>
        <w:t>لبيت</w:t>
      </w:r>
      <w:r w:rsidR="00F32B28">
        <w:rPr>
          <w:rtl/>
        </w:rPr>
        <w:t xml:space="preserve"> </w:t>
      </w:r>
      <w:r w:rsidR="00F32B28" w:rsidRPr="00F32B28">
        <w:rPr>
          <w:rtl/>
        </w:rPr>
        <w:t>الزوجية</w:t>
      </w:r>
      <w:r w:rsidR="00F32B28">
        <w:rPr>
          <w:rtl/>
        </w:rPr>
        <w:t xml:space="preserve"> </w:t>
      </w:r>
      <w:r w:rsidR="00F32B28" w:rsidRPr="00F32B28">
        <w:rPr>
          <w:rtl/>
        </w:rPr>
        <w:t>بلا</w:t>
      </w:r>
      <w:r w:rsidR="00F32B28">
        <w:rPr>
          <w:rtl/>
        </w:rPr>
        <w:t xml:space="preserve"> </w:t>
      </w:r>
      <w:r w:rsidR="00F32B28" w:rsidRPr="00F32B28">
        <w:rPr>
          <w:rtl/>
        </w:rPr>
        <w:t>مسوغ</w:t>
      </w:r>
      <w:r w:rsidR="00F32B28">
        <w:rPr>
          <w:rtl/>
        </w:rPr>
        <w:t xml:space="preserve"> </w:t>
      </w:r>
      <w:r w:rsidR="00F32B28" w:rsidRPr="00F32B28">
        <w:rPr>
          <w:rtl/>
        </w:rPr>
        <w:t>شرعي</w:t>
      </w:r>
      <w:r w:rsidR="00F32B28">
        <w:rPr>
          <w:rtl/>
        </w:rPr>
        <w:t xml:space="preserve"> </w:t>
      </w:r>
      <w:r w:rsidR="00F32B28" w:rsidRPr="00F32B28">
        <w:rPr>
          <w:rtl/>
        </w:rPr>
        <w:t>(يعتبر</w:t>
      </w:r>
      <w:r w:rsidR="00F32B28">
        <w:rPr>
          <w:rtl/>
        </w:rPr>
        <w:t xml:space="preserve"> </w:t>
      </w:r>
      <w:r w:rsidR="00F32B28" w:rsidRPr="00F32B28">
        <w:rPr>
          <w:rtl/>
        </w:rPr>
        <w:t>من</w:t>
      </w:r>
      <w:r w:rsidR="00F32B28">
        <w:rPr>
          <w:rtl/>
        </w:rPr>
        <w:t xml:space="preserve"> </w:t>
      </w:r>
      <w:r w:rsidR="00F32B28" w:rsidRPr="00F32B28">
        <w:rPr>
          <w:rtl/>
        </w:rPr>
        <w:t>المسوغات</w:t>
      </w:r>
      <w:r w:rsidR="00F32B28">
        <w:rPr>
          <w:rtl/>
        </w:rPr>
        <w:t xml:space="preserve"> </w:t>
      </w:r>
      <w:r w:rsidR="00F32B28" w:rsidRPr="00F32B28">
        <w:rPr>
          <w:rtl/>
        </w:rPr>
        <w:t>الشرعية</w:t>
      </w:r>
      <w:r w:rsidR="00F32B28">
        <w:rPr>
          <w:rtl/>
        </w:rPr>
        <w:t xml:space="preserve"> </w:t>
      </w:r>
      <w:r w:rsidR="00F32B28" w:rsidRPr="00F32B28">
        <w:rPr>
          <w:rtl/>
        </w:rPr>
        <w:t>إيذاء</w:t>
      </w:r>
      <w:r w:rsidR="00F32B28">
        <w:rPr>
          <w:rtl/>
        </w:rPr>
        <w:t xml:space="preserve"> </w:t>
      </w:r>
      <w:r w:rsidR="00F32B28" w:rsidRPr="00F32B28">
        <w:rPr>
          <w:rtl/>
        </w:rPr>
        <w:t>الزوج</w:t>
      </w:r>
      <w:r w:rsidR="00F32B28">
        <w:rPr>
          <w:rtl/>
        </w:rPr>
        <w:t xml:space="preserve"> </w:t>
      </w:r>
      <w:r w:rsidR="00F32B28" w:rsidRPr="00F32B28">
        <w:rPr>
          <w:rtl/>
        </w:rPr>
        <w:t>لزوجته</w:t>
      </w:r>
      <w:r w:rsidR="00F32B28">
        <w:rPr>
          <w:rtl/>
        </w:rPr>
        <w:t xml:space="preserve"> </w:t>
      </w:r>
      <w:r w:rsidR="00F32B28" w:rsidRPr="00F32B28">
        <w:rPr>
          <w:rtl/>
        </w:rPr>
        <w:t>بالضرب</w:t>
      </w:r>
      <w:r w:rsidR="00F32B28">
        <w:rPr>
          <w:rtl/>
        </w:rPr>
        <w:t xml:space="preserve"> </w:t>
      </w:r>
      <w:r w:rsidR="00F32B28" w:rsidRPr="00F32B28">
        <w:rPr>
          <w:rtl/>
        </w:rPr>
        <w:t>أو</w:t>
      </w:r>
      <w:r w:rsidR="00F32B28">
        <w:rPr>
          <w:rtl/>
        </w:rPr>
        <w:t xml:space="preserve"> </w:t>
      </w:r>
      <w:r w:rsidR="00F32B28" w:rsidRPr="00F32B28">
        <w:rPr>
          <w:rtl/>
        </w:rPr>
        <w:t>سوء</w:t>
      </w:r>
      <w:r w:rsidR="00F32B28">
        <w:rPr>
          <w:rtl/>
        </w:rPr>
        <w:t xml:space="preserve"> </w:t>
      </w:r>
      <w:r w:rsidR="00F32B28" w:rsidRPr="00F32B28">
        <w:rPr>
          <w:rtl/>
        </w:rPr>
        <w:t>المعاشرة)</w:t>
      </w:r>
      <w:r w:rsidR="00F32B28">
        <w:rPr>
          <w:rtl/>
        </w:rPr>
        <w:t xml:space="preserve"> </w:t>
      </w:r>
      <w:r w:rsidR="00F32B28" w:rsidRPr="00F32B28">
        <w:rPr>
          <w:rtl/>
        </w:rPr>
        <w:t>أو</w:t>
      </w:r>
      <w:r w:rsidR="00F32B28">
        <w:rPr>
          <w:rtl/>
        </w:rPr>
        <w:t xml:space="preserve"> </w:t>
      </w:r>
      <w:r w:rsidR="00F32B28" w:rsidRPr="00F32B28">
        <w:rPr>
          <w:rtl/>
        </w:rPr>
        <w:t>بمنعها</w:t>
      </w:r>
      <w:r w:rsidR="00F32B28">
        <w:rPr>
          <w:rtl/>
        </w:rPr>
        <w:t xml:space="preserve"> </w:t>
      </w:r>
      <w:r w:rsidR="00F32B28" w:rsidRPr="00F32B28">
        <w:rPr>
          <w:rtl/>
        </w:rPr>
        <w:t>لزوجها</w:t>
      </w:r>
      <w:r w:rsidR="00F32B28">
        <w:rPr>
          <w:rtl/>
        </w:rPr>
        <w:t xml:space="preserve"> </w:t>
      </w:r>
      <w:r w:rsidR="00F32B28" w:rsidRPr="00F32B28">
        <w:rPr>
          <w:rtl/>
        </w:rPr>
        <w:t>من</w:t>
      </w:r>
      <w:r w:rsidR="00F32B28">
        <w:rPr>
          <w:rtl/>
        </w:rPr>
        <w:t xml:space="preserve"> </w:t>
      </w:r>
      <w:r w:rsidR="00F32B28" w:rsidRPr="00F32B28">
        <w:rPr>
          <w:rtl/>
        </w:rPr>
        <w:t>الدخول</w:t>
      </w:r>
      <w:r w:rsidR="00F32B28">
        <w:rPr>
          <w:rtl/>
        </w:rPr>
        <w:t xml:space="preserve"> </w:t>
      </w:r>
      <w:r w:rsidR="00F32B28" w:rsidRPr="00F32B28">
        <w:rPr>
          <w:rtl/>
        </w:rPr>
        <w:t>لبيتها</w:t>
      </w:r>
      <w:r w:rsidR="00F32B28">
        <w:rPr>
          <w:rtl/>
        </w:rPr>
        <w:t xml:space="preserve"> </w:t>
      </w:r>
      <w:r w:rsidR="00F32B28" w:rsidRPr="00F32B28">
        <w:rPr>
          <w:rtl/>
        </w:rPr>
        <w:t>قبل</w:t>
      </w:r>
      <w:r w:rsidR="00F32B28">
        <w:rPr>
          <w:rtl/>
        </w:rPr>
        <w:t xml:space="preserve"> </w:t>
      </w:r>
      <w:r w:rsidR="00F32B28" w:rsidRPr="00F32B28">
        <w:rPr>
          <w:rtl/>
        </w:rPr>
        <w:t>أن</w:t>
      </w:r>
      <w:r w:rsidR="00F32B28">
        <w:rPr>
          <w:rtl/>
        </w:rPr>
        <w:t xml:space="preserve"> </w:t>
      </w:r>
      <w:r w:rsidR="00F32B28" w:rsidRPr="00F32B28">
        <w:rPr>
          <w:rtl/>
        </w:rPr>
        <w:t>تطلب</w:t>
      </w:r>
      <w:r w:rsidR="00F32B28">
        <w:rPr>
          <w:rtl/>
        </w:rPr>
        <w:t xml:space="preserve"> </w:t>
      </w:r>
      <w:r w:rsidR="00F32B28" w:rsidRPr="00F32B28">
        <w:rPr>
          <w:rtl/>
        </w:rPr>
        <w:t>نقلها</w:t>
      </w:r>
      <w:r w:rsidR="00F32B28">
        <w:rPr>
          <w:rtl/>
        </w:rPr>
        <w:t xml:space="preserve"> </w:t>
      </w:r>
      <w:r w:rsidR="00F32B28" w:rsidRPr="00F32B28">
        <w:rPr>
          <w:rtl/>
        </w:rPr>
        <w:t>إلى</w:t>
      </w:r>
      <w:r w:rsidR="00F32B28">
        <w:rPr>
          <w:rtl/>
        </w:rPr>
        <w:t xml:space="preserve"> </w:t>
      </w:r>
      <w:r w:rsidR="00F32B28" w:rsidRPr="00F32B28">
        <w:rPr>
          <w:rtl/>
        </w:rPr>
        <w:t>بيت</w:t>
      </w:r>
      <w:r w:rsidR="00F32B28">
        <w:rPr>
          <w:rtl/>
        </w:rPr>
        <w:t xml:space="preserve"> </w:t>
      </w:r>
      <w:r w:rsidR="00F32B28" w:rsidRPr="00F32B28">
        <w:rPr>
          <w:rtl/>
        </w:rPr>
        <w:t>آخر،</w:t>
      </w:r>
      <w:r w:rsidR="00F32B28">
        <w:rPr>
          <w:rtl/>
        </w:rPr>
        <w:t xml:space="preserve"> </w:t>
      </w:r>
      <w:r w:rsidR="00F32B28" w:rsidRPr="00F32B28">
        <w:rPr>
          <w:rtl/>
        </w:rPr>
        <w:t>فقدت</w:t>
      </w:r>
      <w:r w:rsidR="00F32B28">
        <w:rPr>
          <w:rtl/>
        </w:rPr>
        <w:t xml:space="preserve"> </w:t>
      </w:r>
      <w:r w:rsidR="00F32B28" w:rsidRPr="00F32B28">
        <w:rPr>
          <w:rtl/>
        </w:rPr>
        <w:t>حقها</w:t>
      </w:r>
      <w:r w:rsidR="00F32B28">
        <w:rPr>
          <w:rtl/>
        </w:rPr>
        <w:t xml:space="preserve"> </w:t>
      </w:r>
      <w:r w:rsidR="00F32B28" w:rsidRPr="00F32B28">
        <w:rPr>
          <w:rtl/>
        </w:rPr>
        <w:t>في</w:t>
      </w:r>
      <w:r w:rsidR="00F32B28">
        <w:rPr>
          <w:rtl/>
        </w:rPr>
        <w:t xml:space="preserve"> </w:t>
      </w:r>
      <w:r w:rsidR="00F32B28" w:rsidRPr="00F32B28">
        <w:rPr>
          <w:rtl/>
        </w:rPr>
        <w:t>النفقة</w:t>
      </w:r>
      <w:r w:rsidR="00F32B28">
        <w:rPr>
          <w:rtl/>
        </w:rPr>
        <w:t xml:space="preserve"> </w:t>
      </w:r>
      <w:r w:rsidR="00F32B28" w:rsidRPr="00F32B28">
        <w:rPr>
          <w:rtl/>
        </w:rPr>
        <w:t>الزوجية</w:t>
      </w:r>
      <w:r w:rsidR="00F32B28">
        <w:rPr>
          <w:rtl/>
        </w:rPr>
        <w:t xml:space="preserve"> </w:t>
      </w:r>
      <w:r w:rsidR="00F32B28" w:rsidRPr="00F32B28">
        <w:rPr>
          <w:rtl/>
        </w:rPr>
        <w:t>طوال</w:t>
      </w:r>
      <w:r w:rsidR="00F32B28">
        <w:rPr>
          <w:rtl/>
        </w:rPr>
        <w:t xml:space="preserve"> </w:t>
      </w:r>
      <w:r w:rsidR="00F32B28" w:rsidRPr="00F32B28">
        <w:rPr>
          <w:rtl/>
        </w:rPr>
        <w:t>مدة</w:t>
      </w:r>
      <w:r w:rsidR="00F32B28">
        <w:rPr>
          <w:rtl/>
        </w:rPr>
        <w:t xml:space="preserve"> </w:t>
      </w:r>
      <w:r w:rsidR="00F32B28" w:rsidRPr="00F32B28">
        <w:rPr>
          <w:rtl/>
        </w:rPr>
        <w:t>نشوزها،</w:t>
      </w:r>
      <w:r w:rsidR="00F32B28">
        <w:rPr>
          <w:rtl/>
        </w:rPr>
        <w:t xml:space="preserve"> </w:t>
      </w:r>
      <w:r w:rsidR="00F32B28" w:rsidRPr="00F32B28">
        <w:rPr>
          <w:rtl/>
        </w:rPr>
        <w:t>وإذا</w:t>
      </w:r>
      <w:r w:rsidR="00F32B28">
        <w:rPr>
          <w:rtl/>
        </w:rPr>
        <w:t xml:space="preserve"> </w:t>
      </w:r>
      <w:r w:rsidR="00F32B28" w:rsidRPr="00F32B28">
        <w:rPr>
          <w:rtl/>
        </w:rPr>
        <w:t>ما</w:t>
      </w:r>
      <w:r w:rsidR="00F32B28">
        <w:rPr>
          <w:rtl/>
        </w:rPr>
        <w:t xml:space="preserve"> </w:t>
      </w:r>
      <w:r w:rsidR="00F32B28" w:rsidRPr="00F32B28">
        <w:rPr>
          <w:rtl/>
        </w:rPr>
        <w:t>طُلقت</w:t>
      </w:r>
      <w:r w:rsidR="00F32B28">
        <w:rPr>
          <w:rtl/>
        </w:rPr>
        <w:t xml:space="preserve"> </w:t>
      </w:r>
      <w:r w:rsidR="00F32B28" w:rsidRPr="00F32B28">
        <w:rPr>
          <w:rtl/>
        </w:rPr>
        <w:t>لنشوزها</w:t>
      </w:r>
      <w:r w:rsidR="00F32B28">
        <w:rPr>
          <w:rtl/>
        </w:rPr>
        <w:t xml:space="preserve"> </w:t>
      </w:r>
      <w:r w:rsidR="00F32B28" w:rsidRPr="00F32B28">
        <w:rPr>
          <w:rtl/>
        </w:rPr>
        <w:t>فقدت</w:t>
      </w:r>
      <w:r w:rsidR="00F32B28">
        <w:rPr>
          <w:rtl/>
        </w:rPr>
        <w:t xml:space="preserve"> </w:t>
      </w:r>
      <w:r w:rsidR="00F32B28" w:rsidRPr="00F32B28">
        <w:rPr>
          <w:rtl/>
        </w:rPr>
        <w:t>أيضاً</w:t>
      </w:r>
      <w:r w:rsidR="00F32B28">
        <w:rPr>
          <w:rtl/>
        </w:rPr>
        <w:t xml:space="preserve"> </w:t>
      </w:r>
      <w:r w:rsidR="00F32B28" w:rsidRPr="00F32B28">
        <w:rPr>
          <w:rtl/>
        </w:rPr>
        <w:t>حقها</w:t>
      </w:r>
      <w:r w:rsidR="00F32B28">
        <w:rPr>
          <w:rtl/>
        </w:rPr>
        <w:t xml:space="preserve"> </w:t>
      </w:r>
      <w:r w:rsidR="00F32B28" w:rsidRPr="00F32B28">
        <w:rPr>
          <w:rtl/>
        </w:rPr>
        <w:t>في</w:t>
      </w:r>
      <w:r w:rsidR="00F32B28">
        <w:rPr>
          <w:rtl/>
        </w:rPr>
        <w:t xml:space="preserve"> </w:t>
      </w:r>
      <w:r w:rsidR="00F32B28" w:rsidRPr="00F32B28">
        <w:rPr>
          <w:rtl/>
        </w:rPr>
        <w:t>نفقة</w:t>
      </w:r>
      <w:r w:rsidR="00F32B28">
        <w:rPr>
          <w:rtl/>
        </w:rPr>
        <w:t xml:space="preserve"> </w:t>
      </w:r>
      <w:r w:rsidR="00F32B28" w:rsidRPr="00F32B28">
        <w:rPr>
          <w:rtl/>
        </w:rPr>
        <w:t>العدة.</w:t>
      </w:r>
    </w:p>
    <w:p w:rsidR="00F32B28" w:rsidRPr="00F32B28" w:rsidRDefault="00565595" w:rsidP="00565595">
      <w:pPr>
        <w:pStyle w:val="SingleTxt"/>
      </w:pPr>
      <w:r>
        <w:rPr>
          <w:rFonts w:hint="cs"/>
          <w:rtl/>
        </w:rPr>
        <w:t xml:space="preserve">332 - </w:t>
      </w:r>
      <w:r w:rsidR="00F32B28" w:rsidRPr="00F32B28">
        <w:rPr>
          <w:rtl/>
        </w:rPr>
        <w:t>كما</w:t>
      </w:r>
      <w:r w:rsidR="00F32B28">
        <w:rPr>
          <w:rtl/>
        </w:rPr>
        <w:t xml:space="preserve"> </w:t>
      </w:r>
      <w:r w:rsidR="00F32B28" w:rsidRPr="00F32B28">
        <w:rPr>
          <w:rtl/>
        </w:rPr>
        <w:t>يجوز</w:t>
      </w:r>
      <w:r w:rsidR="00F32B28">
        <w:rPr>
          <w:rtl/>
        </w:rPr>
        <w:t xml:space="preserve"> </w:t>
      </w:r>
      <w:r w:rsidR="00F32B28" w:rsidRPr="00F32B28">
        <w:rPr>
          <w:rtl/>
        </w:rPr>
        <w:t>للرجل</w:t>
      </w:r>
      <w:r w:rsidR="00F32B28">
        <w:rPr>
          <w:rtl/>
        </w:rPr>
        <w:t xml:space="preserve"> </w:t>
      </w:r>
      <w:r w:rsidR="00F32B28" w:rsidRPr="00F32B28">
        <w:rPr>
          <w:rtl/>
        </w:rPr>
        <w:t>أن</w:t>
      </w:r>
      <w:r w:rsidR="00F32B28">
        <w:rPr>
          <w:rtl/>
        </w:rPr>
        <w:t xml:space="preserve"> </w:t>
      </w:r>
      <w:r w:rsidR="00F32B28" w:rsidRPr="00F32B28">
        <w:rPr>
          <w:rtl/>
        </w:rPr>
        <w:t>يعدد</w:t>
      </w:r>
      <w:r w:rsidR="00F32B28">
        <w:rPr>
          <w:rtl/>
        </w:rPr>
        <w:t xml:space="preserve"> </w:t>
      </w:r>
      <w:r w:rsidR="00F32B28" w:rsidRPr="00F32B28">
        <w:rPr>
          <w:rtl/>
        </w:rPr>
        <w:t>زوجاته</w:t>
      </w:r>
      <w:r w:rsidR="00F32B28">
        <w:rPr>
          <w:rtl/>
        </w:rPr>
        <w:t xml:space="preserve"> </w:t>
      </w:r>
      <w:r w:rsidR="00F32B28" w:rsidRPr="00F32B28">
        <w:rPr>
          <w:rtl/>
        </w:rPr>
        <w:t>حتى</w:t>
      </w:r>
      <w:r w:rsidR="00F32B28">
        <w:rPr>
          <w:rtl/>
        </w:rPr>
        <w:t xml:space="preserve"> </w:t>
      </w:r>
      <w:r w:rsidR="00F32B28" w:rsidRPr="00F32B28">
        <w:rPr>
          <w:rtl/>
        </w:rPr>
        <w:t>الأربع،</w:t>
      </w:r>
      <w:r w:rsidR="00F32B28">
        <w:rPr>
          <w:rtl/>
        </w:rPr>
        <w:t xml:space="preserve"> </w:t>
      </w:r>
      <w:r w:rsidR="00F32B28" w:rsidRPr="00F32B28">
        <w:rPr>
          <w:rtl/>
        </w:rPr>
        <w:t>بشرط</w:t>
      </w:r>
      <w:r w:rsidR="00F32B28">
        <w:rPr>
          <w:rtl/>
        </w:rPr>
        <w:t xml:space="preserve"> </w:t>
      </w:r>
      <w:r w:rsidR="00F32B28" w:rsidRPr="00F32B28">
        <w:rPr>
          <w:rtl/>
        </w:rPr>
        <w:t>أن</w:t>
      </w:r>
      <w:r w:rsidR="00F32B28">
        <w:rPr>
          <w:rtl/>
        </w:rPr>
        <w:t xml:space="preserve"> </w:t>
      </w:r>
      <w:r w:rsidR="00F32B28" w:rsidRPr="00F32B28">
        <w:rPr>
          <w:rtl/>
        </w:rPr>
        <w:t>يعدل</w:t>
      </w:r>
      <w:r w:rsidR="00F32B28">
        <w:rPr>
          <w:rtl/>
        </w:rPr>
        <w:t xml:space="preserve"> </w:t>
      </w:r>
      <w:r w:rsidR="00F32B28" w:rsidRPr="00F32B28">
        <w:rPr>
          <w:rtl/>
        </w:rPr>
        <w:t>ويساوي</w:t>
      </w:r>
      <w:r w:rsidR="00F32B28">
        <w:rPr>
          <w:rtl/>
        </w:rPr>
        <w:t xml:space="preserve"> </w:t>
      </w:r>
      <w:r w:rsidR="00F32B28" w:rsidRPr="00F32B28">
        <w:rPr>
          <w:rtl/>
        </w:rPr>
        <w:t>بينهن</w:t>
      </w:r>
      <w:r w:rsidR="00F32B28">
        <w:rPr>
          <w:rtl/>
        </w:rPr>
        <w:t xml:space="preserve"> </w:t>
      </w:r>
      <w:r w:rsidR="00F32B28" w:rsidRPr="00F32B28">
        <w:rPr>
          <w:rtl/>
        </w:rPr>
        <w:t>في</w:t>
      </w:r>
      <w:r w:rsidR="00F32B28">
        <w:rPr>
          <w:rtl/>
        </w:rPr>
        <w:t xml:space="preserve"> </w:t>
      </w:r>
      <w:r w:rsidR="00F32B28" w:rsidRPr="00F32B28">
        <w:rPr>
          <w:rtl/>
        </w:rPr>
        <w:t>المعاملة</w:t>
      </w:r>
      <w:r w:rsidR="00F32B28">
        <w:rPr>
          <w:rtl/>
        </w:rPr>
        <w:t xml:space="preserve"> </w:t>
      </w:r>
      <w:r w:rsidR="00F32B28" w:rsidRPr="00F32B28">
        <w:rPr>
          <w:rtl/>
        </w:rPr>
        <w:t>والنفقة</w:t>
      </w:r>
      <w:r w:rsidR="00F32B28">
        <w:rPr>
          <w:rtl/>
        </w:rPr>
        <w:t xml:space="preserve"> </w:t>
      </w:r>
      <w:r w:rsidR="00F32B28" w:rsidRPr="00F32B28">
        <w:rPr>
          <w:rtl/>
        </w:rPr>
        <w:t>وظروف</w:t>
      </w:r>
      <w:r w:rsidR="00F32B28">
        <w:rPr>
          <w:rtl/>
        </w:rPr>
        <w:t xml:space="preserve"> </w:t>
      </w:r>
      <w:r w:rsidR="00F32B28" w:rsidRPr="00F32B28">
        <w:rPr>
          <w:rtl/>
        </w:rPr>
        <w:t>المعيشة،</w:t>
      </w:r>
      <w:r w:rsidR="00F32B28">
        <w:rPr>
          <w:rtl/>
        </w:rPr>
        <w:t xml:space="preserve"> </w:t>
      </w:r>
      <w:r w:rsidR="00F32B28" w:rsidRPr="00F32B28">
        <w:rPr>
          <w:rtl/>
        </w:rPr>
        <w:t>ولا</w:t>
      </w:r>
      <w:r w:rsidR="00F32B28">
        <w:rPr>
          <w:rtl/>
        </w:rPr>
        <w:t xml:space="preserve"> </w:t>
      </w:r>
      <w:r w:rsidR="00F32B28" w:rsidRPr="00F32B28">
        <w:rPr>
          <w:rtl/>
        </w:rPr>
        <w:t>يحق</w:t>
      </w:r>
      <w:r w:rsidR="00F32B28">
        <w:rPr>
          <w:rtl/>
        </w:rPr>
        <w:t xml:space="preserve"> </w:t>
      </w:r>
      <w:r w:rsidR="00F32B28" w:rsidRPr="00F32B28">
        <w:rPr>
          <w:rtl/>
        </w:rPr>
        <w:t>له</w:t>
      </w:r>
      <w:r w:rsidR="00F32B28">
        <w:rPr>
          <w:rtl/>
        </w:rPr>
        <w:t xml:space="preserve"> </w:t>
      </w:r>
      <w:r w:rsidR="00F32B28" w:rsidRPr="00F32B28">
        <w:rPr>
          <w:rtl/>
        </w:rPr>
        <w:t>إسكانهن</w:t>
      </w:r>
      <w:r w:rsidR="00F32B28">
        <w:rPr>
          <w:rtl/>
        </w:rPr>
        <w:t xml:space="preserve"> </w:t>
      </w:r>
      <w:r w:rsidR="00F32B28" w:rsidRPr="00F32B28">
        <w:rPr>
          <w:rtl/>
        </w:rPr>
        <w:t>في</w:t>
      </w:r>
      <w:r w:rsidR="00F32B28">
        <w:rPr>
          <w:rtl/>
        </w:rPr>
        <w:t xml:space="preserve"> </w:t>
      </w:r>
      <w:r w:rsidR="00F32B28" w:rsidRPr="00F32B28">
        <w:rPr>
          <w:rtl/>
        </w:rPr>
        <w:t>دار</w:t>
      </w:r>
      <w:r w:rsidR="00F32B28">
        <w:rPr>
          <w:rtl/>
        </w:rPr>
        <w:t xml:space="preserve"> </w:t>
      </w:r>
      <w:r w:rsidR="00F32B28" w:rsidRPr="00F32B28">
        <w:rPr>
          <w:rtl/>
        </w:rPr>
        <w:t>واحدة</w:t>
      </w:r>
      <w:r w:rsidR="00F32B28">
        <w:rPr>
          <w:rtl/>
        </w:rPr>
        <w:t xml:space="preserve"> </w:t>
      </w:r>
      <w:r w:rsidR="00F32B28" w:rsidRPr="00F32B28">
        <w:rPr>
          <w:rtl/>
        </w:rPr>
        <w:t>إلا</w:t>
      </w:r>
      <w:r w:rsidR="00F32B28">
        <w:rPr>
          <w:rtl/>
        </w:rPr>
        <w:t xml:space="preserve"> </w:t>
      </w:r>
      <w:r w:rsidR="00F32B28" w:rsidRPr="00F32B28">
        <w:rPr>
          <w:rtl/>
        </w:rPr>
        <w:t>برضاهن.</w:t>
      </w:r>
      <w:r w:rsidR="00F32B28">
        <w:rPr>
          <w:rtl/>
        </w:rPr>
        <w:t xml:space="preserve"> </w:t>
      </w:r>
      <w:r w:rsidR="00F32B28" w:rsidRPr="00F32B28">
        <w:rPr>
          <w:rtl/>
        </w:rPr>
        <w:t>ويحق</w:t>
      </w:r>
      <w:r w:rsidR="00F32B28">
        <w:rPr>
          <w:rtl/>
        </w:rPr>
        <w:t xml:space="preserve"> </w:t>
      </w:r>
      <w:r w:rsidR="00F32B28" w:rsidRPr="00F32B28">
        <w:rPr>
          <w:rtl/>
        </w:rPr>
        <w:t>للزوجة</w:t>
      </w:r>
      <w:r w:rsidR="00F32B28">
        <w:rPr>
          <w:rtl/>
        </w:rPr>
        <w:t xml:space="preserve"> </w:t>
      </w:r>
      <w:r w:rsidR="00F32B28" w:rsidRPr="00F32B28">
        <w:rPr>
          <w:rtl/>
        </w:rPr>
        <w:t>أن</w:t>
      </w:r>
      <w:r w:rsidR="00F32B28">
        <w:rPr>
          <w:rtl/>
        </w:rPr>
        <w:t xml:space="preserve"> </w:t>
      </w:r>
      <w:r w:rsidR="00F32B28" w:rsidRPr="00F32B28">
        <w:rPr>
          <w:rtl/>
        </w:rPr>
        <w:t>تشترط</w:t>
      </w:r>
      <w:r w:rsidR="00F32B28">
        <w:rPr>
          <w:rtl/>
        </w:rPr>
        <w:t xml:space="preserve"> </w:t>
      </w:r>
      <w:r w:rsidR="00F32B28" w:rsidRPr="00F32B28">
        <w:rPr>
          <w:rtl/>
        </w:rPr>
        <w:t>على</w:t>
      </w:r>
      <w:r w:rsidR="00F32B28">
        <w:rPr>
          <w:rtl/>
        </w:rPr>
        <w:t xml:space="preserve"> </w:t>
      </w:r>
      <w:r w:rsidR="00F32B28" w:rsidRPr="00F32B28">
        <w:rPr>
          <w:rtl/>
        </w:rPr>
        <w:t>زوجها</w:t>
      </w:r>
      <w:r w:rsidR="00F32B28">
        <w:rPr>
          <w:rtl/>
        </w:rPr>
        <w:t xml:space="preserve"> </w:t>
      </w:r>
      <w:r w:rsidR="00F32B28" w:rsidRPr="00F32B28">
        <w:rPr>
          <w:rtl/>
        </w:rPr>
        <w:t>في</w:t>
      </w:r>
      <w:r w:rsidR="00F32B28">
        <w:rPr>
          <w:rtl/>
        </w:rPr>
        <w:t xml:space="preserve"> </w:t>
      </w:r>
      <w:r w:rsidR="00F32B28" w:rsidRPr="00F32B28">
        <w:rPr>
          <w:rtl/>
        </w:rPr>
        <w:t>عقد</w:t>
      </w:r>
      <w:r w:rsidR="00F32B28">
        <w:rPr>
          <w:rtl/>
        </w:rPr>
        <w:t xml:space="preserve"> </w:t>
      </w:r>
      <w:r w:rsidR="00F32B28" w:rsidRPr="00F32B28">
        <w:rPr>
          <w:rtl/>
        </w:rPr>
        <w:t>الزواج</w:t>
      </w:r>
      <w:r w:rsidR="00F32B28">
        <w:rPr>
          <w:rtl/>
        </w:rPr>
        <w:t xml:space="preserve"> </w:t>
      </w:r>
      <w:r w:rsidR="00F32B28" w:rsidRPr="00F32B28">
        <w:rPr>
          <w:rtl/>
        </w:rPr>
        <w:t>ألا</w:t>
      </w:r>
      <w:r w:rsidR="00F32B28">
        <w:rPr>
          <w:rtl/>
        </w:rPr>
        <w:t xml:space="preserve"> </w:t>
      </w:r>
      <w:r w:rsidR="00F32B28" w:rsidRPr="00F32B28">
        <w:rPr>
          <w:rtl/>
        </w:rPr>
        <w:t>يتزوج</w:t>
      </w:r>
      <w:r w:rsidR="00F32B28">
        <w:rPr>
          <w:rtl/>
        </w:rPr>
        <w:t xml:space="preserve"> </w:t>
      </w:r>
      <w:r w:rsidR="00F32B28" w:rsidRPr="00F32B28">
        <w:rPr>
          <w:rtl/>
        </w:rPr>
        <w:t>عليها،</w:t>
      </w:r>
      <w:r w:rsidR="00F32B28">
        <w:rPr>
          <w:rtl/>
        </w:rPr>
        <w:t xml:space="preserve"> </w:t>
      </w:r>
      <w:r w:rsidR="00F32B28" w:rsidRPr="00F32B28">
        <w:rPr>
          <w:rtl/>
        </w:rPr>
        <w:t>وإلا</w:t>
      </w:r>
      <w:r w:rsidR="00F32B28">
        <w:rPr>
          <w:rtl/>
        </w:rPr>
        <w:t xml:space="preserve"> </w:t>
      </w:r>
      <w:r w:rsidR="00F32B28" w:rsidRPr="00F32B28">
        <w:rPr>
          <w:rtl/>
        </w:rPr>
        <w:t>فسخ</w:t>
      </w:r>
      <w:r w:rsidR="00F32B28">
        <w:rPr>
          <w:rtl/>
        </w:rPr>
        <w:t xml:space="preserve"> </w:t>
      </w:r>
      <w:r w:rsidR="00F32B28" w:rsidRPr="00F32B28">
        <w:rPr>
          <w:rtl/>
        </w:rPr>
        <w:t>العقد</w:t>
      </w:r>
      <w:r w:rsidR="00F32B28">
        <w:rPr>
          <w:rtl/>
        </w:rPr>
        <w:t xml:space="preserve"> </w:t>
      </w:r>
      <w:r w:rsidR="00F32B28" w:rsidRPr="00F32B28">
        <w:rPr>
          <w:rtl/>
        </w:rPr>
        <w:t>بناءً</w:t>
      </w:r>
      <w:r w:rsidR="00F32B28">
        <w:rPr>
          <w:rtl/>
        </w:rPr>
        <w:t xml:space="preserve"> </w:t>
      </w:r>
      <w:r w:rsidR="00F32B28" w:rsidRPr="00F32B28">
        <w:rPr>
          <w:rtl/>
        </w:rPr>
        <w:t>على</w:t>
      </w:r>
      <w:r w:rsidR="00F32B28">
        <w:rPr>
          <w:rtl/>
        </w:rPr>
        <w:t xml:space="preserve"> </w:t>
      </w:r>
      <w:r w:rsidR="00F32B28" w:rsidRPr="00F32B28">
        <w:rPr>
          <w:rtl/>
        </w:rPr>
        <w:t>طلبها،</w:t>
      </w:r>
      <w:r w:rsidR="00F32B28">
        <w:rPr>
          <w:rtl/>
        </w:rPr>
        <w:t xml:space="preserve"> </w:t>
      </w:r>
      <w:r w:rsidR="00F32B28" w:rsidRPr="00F32B28">
        <w:rPr>
          <w:rtl/>
        </w:rPr>
        <w:t>ولا</w:t>
      </w:r>
      <w:r w:rsidR="00F32B28">
        <w:rPr>
          <w:rtl/>
        </w:rPr>
        <w:t xml:space="preserve"> </w:t>
      </w:r>
      <w:r w:rsidR="00F32B28" w:rsidRPr="00F32B28">
        <w:rPr>
          <w:rtl/>
        </w:rPr>
        <w:t>يحول</w:t>
      </w:r>
      <w:r w:rsidR="00F32B28">
        <w:rPr>
          <w:rtl/>
        </w:rPr>
        <w:t xml:space="preserve"> </w:t>
      </w:r>
      <w:r w:rsidR="00F32B28" w:rsidRPr="00F32B28">
        <w:rPr>
          <w:rtl/>
        </w:rPr>
        <w:t>ذلك</w:t>
      </w:r>
      <w:r w:rsidR="00F32B28">
        <w:rPr>
          <w:rtl/>
        </w:rPr>
        <w:t xml:space="preserve"> </w:t>
      </w:r>
      <w:r w:rsidR="00F32B28" w:rsidRPr="00F32B28">
        <w:rPr>
          <w:rtl/>
        </w:rPr>
        <w:t>دون</w:t>
      </w:r>
      <w:r w:rsidR="00F32B28">
        <w:rPr>
          <w:rtl/>
        </w:rPr>
        <w:t xml:space="preserve"> </w:t>
      </w:r>
      <w:r w:rsidR="00F32B28" w:rsidRPr="00F32B28">
        <w:rPr>
          <w:rtl/>
        </w:rPr>
        <w:t>حقها</w:t>
      </w:r>
      <w:r w:rsidR="00F32B28">
        <w:rPr>
          <w:rtl/>
        </w:rPr>
        <w:t xml:space="preserve"> </w:t>
      </w:r>
      <w:r w:rsidR="00F32B28" w:rsidRPr="00F32B28">
        <w:rPr>
          <w:rtl/>
        </w:rPr>
        <w:t>في</w:t>
      </w:r>
      <w:r w:rsidR="00F32B28">
        <w:rPr>
          <w:rtl/>
        </w:rPr>
        <w:t xml:space="preserve"> </w:t>
      </w:r>
      <w:r w:rsidR="00F32B28" w:rsidRPr="00F32B28">
        <w:rPr>
          <w:rtl/>
        </w:rPr>
        <w:t>المطالبة</w:t>
      </w:r>
      <w:r w:rsidR="00F32B28">
        <w:rPr>
          <w:rtl/>
        </w:rPr>
        <w:t xml:space="preserve"> </w:t>
      </w:r>
      <w:r w:rsidR="00F32B28" w:rsidRPr="00F32B28">
        <w:rPr>
          <w:rtl/>
        </w:rPr>
        <w:t>بكافة</w:t>
      </w:r>
      <w:r w:rsidR="00F32B28">
        <w:rPr>
          <w:rtl/>
        </w:rPr>
        <w:t xml:space="preserve"> </w:t>
      </w:r>
      <w:r w:rsidR="00F32B28" w:rsidRPr="00F32B28">
        <w:rPr>
          <w:rtl/>
        </w:rPr>
        <w:t>حقوقها</w:t>
      </w:r>
      <w:r w:rsidR="00F32B28">
        <w:rPr>
          <w:rtl/>
        </w:rPr>
        <w:t xml:space="preserve"> </w:t>
      </w:r>
      <w:r w:rsidR="00F32B28" w:rsidRPr="00F32B28">
        <w:rPr>
          <w:rtl/>
        </w:rPr>
        <w:t>الزوجية.</w:t>
      </w:r>
      <w:r w:rsidR="00F32B28">
        <w:rPr>
          <w:rtl/>
        </w:rPr>
        <w:t xml:space="preserve"> </w:t>
      </w:r>
      <w:r w:rsidR="00F32B28" w:rsidRPr="00F32B28">
        <w:rPr>
          <w:rtl/>
        </w:rPr>
        <w:t>ويشترط</w:t>
      </w:r>
      <w:r w:rsidR="00F32B28">
        <w:rPr>
          <w:rtl/>
        </w:rPr>
        <w:t xml:space="preserve"> </w:t>
      </w:r>
      <w:r w:rsidR="00F32B28" w:rsidRPr="00F32B28">
        <w:rPr>
          <w:rtl/>
        </w:rPr>
        <w:t>إخبار</w:t>
      </w:r>
      <w:r w:rsidR="00F32B28">
        <w:rPr>
          <w:rtl/>
        </w:rPr>
        <w:t xml:space="preserve"> </w:t>
      </w:r>
      <w:r w:rsidR="00F32B28" w:rsidRPr="00F32B28">
        <w:rPr>
          <w:rtl/>
        </w:rPr>
        <w:t>الزوجة</w:t>
      </w:r>
      <w:r w:rsidR="00F32B28">
        <w:rPr>
          <w:rtl/>
        </w:rPr>
        <w:t xml:space="preserve"> </w:t>
      </w:r>
      <w:r w:rsidR="00F32B28" w:rsidRPr="00F32B28">
        <w:rPr>
          <w:rtl/>
        </w:rPr>
        <w:t>الأولى</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إذا</w:t>
      </w:r>
      <w:r w:rsidR="00F32B28">
        <w:rPr>
          <w:rtl/>
        </w:rPr>
        <w:t xml:space="preserve"> </w:t>
      </w:r>
      <w:r w:rsidR="00F32B28" w:rsidRPr="00F32B28">
        <w:rPr>
          <w:rtl/>
        </w:rPr>
        <w:t>ما</w:t>
      </w:r>
      <w:r w:rsidR="00F32B28">
        <w:rPr>
          <w:rtl/>
        </w:rPr>
        <w:t xml:space="preserve"> </w:t>
      </w:r>
      <w:r w:rsidR="00F32B28" w:rsidRPr="00F32B28">
        <w:rPr>
          <w:rtl/>
        </w:rPr>
        <w:t>رغب</w:t>
      </w:r>
      <w:r w:rsidR="00F32B28">
        <w:rPr>
          <w:rtl/>
        </w:rPr>
        <w:t xml:space="preserve"> </w:t>
      </w:r>
      <w:r w:rsidR="00F32B28" w:rsidRPr="00F32B28">
        <w:rPr>
          <w:rtl/>
        </w:rPr>
        <w:t>الزوج</w:t>
      </w:r>
      <w:r w:rsidR="00F32B28">
        <w:rPr>
          <w:rtl/>
        </w:rPr>
        <w:t xml:space="preserve"> </w:t>
      </w:r>
      <w:r w:rsidR="00F32B28" w:rsidRPr="00F32B28">
        <w:rPr>
          <w:rtl/>
        </w:rPr>
        <w:t>في</w:t>
      </w:r>
      <w:r w:rsidR="00F32B28">
        <w:rPr>
          <w:rtl/>
        </w:rPr>
        <w:t xml:space="preserve"> </w:t>
      </w:r>
      <w:r w:rsidR="00F32B28" w:rsidRPr="00F32B28">
        <w:rPr>
          <w:rtl/>
        </w:rPr>
        <w:t>الزواج</w:t>
      </w:r>
      <w:r w:rsidR="00F32B28">
        <w:rPr>
          <w:rtl/>
        </w:rPr>
        <w:t xml:space="preserve"> </w:t>
      </w:r>
      <w:r w:rsidR="00F32B28" w:rsidRPr="00F32B28">
        <w:rPr>
          <w:rtl/>
        </w:rPr>
        <w:t>من</w:t>
      </w:r>
      <w:r w:rsidR="00F32B28">
        <w:rPr>
          <w:rtl/>
        </w:rPr>
        <w:t xml:space="preserve"> </w:t>
      </w:r>
      <w:r w:rsidR="00F32B28" w:rsidRPr="00F32B28">
        <w:rPr>
          <w:rtl/>
        </w:rPr>
        <w:t>امرأة</w:t>
      </w:r>
      <w:r w:rsidR="00F32B28">
        <w:rPr>
          <w:rtl/>
        </w:rPr>
        <w:t xml:space="preserve"> </w:t>
      </w:r>
      <w:r w:rsidR="00F32B28" w:rsidRPr="00F32B28">
        <w:rPr>
          <w:rtl/>
        </w:rPr>
        <w:t>ثانية</w:t>
      </w:r>
      <w:r w:rsidR="00F32B28">
        <w:rPr>
          <w:rtl/>
        </w:rPr>
        <w:t xml:space="preserve"> </w:t>
      </w:r>
      <w:r w:rsidR="00F32B28" w:rsidRPr="00F32B28">
        <w:rPr>
          <w:rtl/>
        </w:rPr>
        <w:t>وقبل</w:t>
      </w:r>
      <w:r w:rsidR="00F32B28">
        <w:rPr>
          <w:rtl/>
        </w:rPr>
        <w:t xml:space="preserve"> </w:t>
      </w:r>
      <w:r w:rsidR="00F32B28" w:rsidRPr="00F32B28">
        <w:rPr>
          <w:rtl/>
        </w:rPr>
        <w:t>إجراءه</w:t>
      </w:r>
      <w:r w:rsidR="00F32B28">
        <w:rPr>
          <w:rtl/>
        </w:rPr>
        <w:t xml:space="preserve"> </w:t>
      </w:r>
      <w:r w:rsidR="00F32B28" w:rsidRPr="00F32B28">
        <w:rPr>
          <w:rtl/>
        </w:rPr>
        <w:t>لعقد</w:t>
      </w:r>
      <w:r w:rsidR="00F32B28">
        <w:rPr>
          <w:rtl/>
        </w:rPr>
        <w:t xml:space="preserve"> </w:t>
      </w:r>
      <w:r w:rsidR="00F32B28" w:rsidRPr="00F32B28">
        <w:rPr>
          <w:rtl/>
        </w:rPr>
        <w:t>الزواج</w:t>
      </w:r>
      <w:r w:rsidR="00F32B28">
        <w:rPr>
          <w:rtl/>
        </w:rPr>
        <w:t xml:space="preserve"> </w:t>
      </w:r>
      <w:r w:rsidR="00F32B28" w:rsidRPr="00F32B28">
        <w:rPr>
          <w:rtl/>
        </w:rPr>
        <w:t>الثاني،</w:t>
      </w:r>
      <w:r w:rsidR="00F32B28">
        <w:rPr>
          <w:rtl/>
        </w:rPr>
        <w:t xml:space="preserve"> </w:t>
      </w:r>
      <w:r w:rsidR="00F32B28" w:rsidRPr="00F32B28">
        <w:rPr>
          <w:rtl/>
        </w:rPr>
        <w:t>وأن</w:t>
      </w:r>
      <w:r w:rsidR="00F32B28">
        <w:rPr>
          <w:rtl/>
        </w:rPr>
        <w:t xml:space="preserve"> </w:t>
      </w:r>
      <w:r w:rsidR="00F32B28" w:rsidRPr="00F32B28">
        <w:rPr>
          <w:rtl/>
        </w:rPr>
        <w:t>يخبر</w:t>
      </w:r>
      <w:r w:rsidR="00F32B28">
        <w:rPr>
          <w:rtl/>
        </w:rPr>
        <w:t xml:space="preserve"> </w:t>
      </w:r>
      <w:r w:rsidR="00F32B28" w:rsidRPr="00F32B28">
        <w:rPr>
          <w:rtl/>
        </w:rPr>
        <w:t>كذلك</w:t>
      </w:r>
      <w:r w:rsidR="00F32B28">
        <w:rPr>
          <w:rtl/>
        </w:rPr>
        <w:t xml:space="preserve"> </w:t>
      </w:r>
      <w:r w:rsidR="00F32B28" w:rsidRPr="00F32B28">
        <w:rPr>
          <w:rtl/>
        </w:rPr>
        <w:t>الزوجة</w:t>
      </w:r>
      <w:r w:rsidR="00F32B28">
        <w:rPr>
          <w:rtl/>
        </w:rPr>
        <w:t xml:space="preserve"> </w:t>
      </w:r>
      <w:r w:rsidR="00F32B28" w:rsidRPr="00F32B28">
        <w:rPr>
          <w:rtl/>
        </w:rPr>
        <w:t>الثانية</w:t>
      </w:r>
      <w:r w:rsidR="00F32B28">
        <w:rPr>
          <w:rtl/>
        </w:rPr>
        <w:t xml:space="preserve"> </w:t>
      </w:r>
      <w:r w:rsidR="00F32B28" w:rsidRPr="00F32B28">
        <w:rPr>
          <w:rtl/>
        </w:rPr>
        <w:t>بأنه</w:t>
      </w:r>
      <w:r w:rsidR="00F32B28">
        <w:rPr>
          <w:rtl/>
        </w:rPr>
        <w:t xml:space="preserve"> </w:t>
      </w:r>
      <w:r w:rsidR="00F32B28" w:rsidRPr="00F32B28">
        <w:rPr>
          <w:rtl/>
        </w:rPr>
        <w:t>متزوج</w:t>
      </w:r>
      <w:r w:rsidR="00F32B28">
        <w:rPr>
          <w:rtl/>
        </w:rPr>
        <w:t xml:space="preserve"> </w:t>
      </w:r>
      <w:r w:rsidR="00F32B28" w:rsidRPr="00F32B28">
        <w:rPr>
          <w:rtl/>
        </w:rPr>
        <w:t>من</w:t>
      </w:r>
      <w:r w:rsidR="00F32B28">
        <w:rPr>
          <w:rtl/>
        </w:rPr>
        <w:t xml:space="preserve"> </w:t>
      </w:r>
      <w:r w:rsidR="00F32B28" w:rsidRPr="00F32B28">
        <w:rPr>
          <w:rtl/>
        </w:rPr>
        <w:t>أولى.</w:t>
      </w:r>
      <w:r w:rsidR="00F32B28">
        <w:rPr>
          <w:rtl/>
        </w:rPr>
        <w:t xml:space="preserve"> </w:t>
      </w:r>
      <w:r w:rsidR="00F32B28" w:rsidRPr="00F32B28">
        <w:rPr>
          <w:rtl/>
        </w:rPr>
        <w:t>ويعتبر</w:t>
      </w:r>
      <w:r w:rsidR="00F32B28">
        <w:rPr>
          <w:rtl/>
        </w:rPr>
        <w:t xml:space="preserve"> </w:t>
      </w:r>
      <w:r w:rsidR="00F32B28" w:rsidRPr="00F32B28">
        <w:rPr>
          <w:rtl/>
        </w:rPr>
        <w:t>تعدد</w:t>
      </w:r>
      <w:r w:rsidR="00F32B28">
        <w:rPr>
          <w:rtl/>
        </w:rPr>
        <w:t xml:space="preserve"> </w:t>
      </w:r>
      <w:r w:rsidR="00F32B28" w:rsidRPr="00F32B28">
        <w:rPr>
          <w:rtl/>
        </w:rPr>
        <w:t>الزوجات</w:t>
      </w:r>
      <w:r w:rsidR="00F32B28">
        <w:rPr>
          <w:rtl/>
        </w:rPr>
        <w:t xml:space="preserve"> </w:t>
      </w:r>
      <w:r w:rsidR="00F32B28" w:rsidRPr="00F32B28">
        <w:rPr>
          <w:rtl/>
        </w:rPr>
        <w:t>محرما</w:t>
      </w:r>
      <w:r w:rsidR="00F32B28">
        <w:rPr>
          <w:rtl/>
        </w:rPr>
        <w:t xml:space="preserve"> </w:t>
      </w:r>
      <w:r w:rsidR="00F32B28" w:rsidRPr="00F32B28">
        <w:rPr>
          <w:rtl/>
        </w:rPr>
        <w:t>في</w:t>
      </w:r>
      <w:r w:rsidR="00F32B28">
        <w:rPr>
          <w:rtl/>
        </w:rPr>
        <w:t xml:space="preserve"> </w:t>
      </w:r>
      <w:r w:rsidR="00F32B28" w:rsidRPr="00F32B28">
        <w:rPr>
          <w:rtl/>
        </w:rPr>
        <w:t>الديانة</w:t>
      </w:r>
      <w:r w:rsidR="00F32B28">
        <w:rPr>
          <w:rtl/>
        </w:rPr>
        <w:t xml:space="preserve"> </w:t>
      </w:r>
      <w:r w:rsidR="00F32B28" w:rsidRPr="00F32B28">
        <w:rPr>
          <w:rtl/>
        </w:rPr>
        <w:t>المسيحية</w:t>
      </w:r>
      <w:r w:rsidR="00F32B28">
        <w:rPr>
          <w:rtl/>
        </w:rPr>
        <w:t xml:space="preserve"> </w:t>
      </w:r>
      <w:r w:rsidR="00F32B28" w:rsidRPr="00F32B28">
        <w:rPr>
          <w:rtl/>
        </w:rPr>
        <w:t>على</w:t>
      </w:r>
      <w:r w:rsidR="00F32B28">
        <w:rPr>
          <w:rtl/>
        </w:rPr>
        <w:t xml:space="preserve"> </w:t>
      </w:r>
      <w:r w:rsidR="00F32B28" w:rsidRPr="00F32B28">
        <w:rPr>
          <w:rtl/>
        </w:rPr>
        <w:t>اختلاف</w:t>
      </w:r>
      <w:r w:rsidR="00F32B28">
        <w:rPr>
          <w:rtl/>
        </w:rPr>
        <w:t xml:space="preserve"> </w:t>
      </w:r>
      <w:r w:rsidR="00F32B28" w:rsidRPr="00F32B28">
        <w:rPr>
          <w:rtl/>
        </w:rPr>
        <w:t>طوائفها.</w:t>
      </w:r>
    </w:p>
    <w:p w:rsidR="00F32B28" w:rsidRPr="00F32B28" w:rsidRDefault="00565595" w:rsidP="00565595">
      <w:pPr>
        <w:pStyle w:val="SingleTxt"/>
        <w:rPr>
          <w:rtl/>
        </w:rPr>
      </w:pPr>
      <w:r>
        <w:rPr>
          <w:rFonts w:hint="cs"/>
          <w:rtl/>
        </w:rPr>
        <w:t xml:space="preserve">333 - </w:t>
      </w:r>
      <w:r w:rsidR="00F32B28" w:rsidRPr="00F32B28">
        <w:rPr>
          <w:rtl/>
        </w:rPr>
        <w:t>وبحسب</w:t>
      </w:r>
      <w:r w:rsidR="00F32B28">
        <w:rPr>
          <w:rtl/>
        </w:rPr>
        <w:t xml:space="preserve"> </w:t>
      </w:r>
      <w:r w:rsidR="00F32B28" w:rsidRPr="00F32B28">
        <w:rPr>
          <w:rtl/>
        </w:rPr>
        <w:t>قوانين</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للمسلمين،</w:t>
      </w:r>
      <w:r w:rsidR="00F32B28">
        <w:rPr>
          <w:rtl/>
        </w:rPr>
        <w:t xml:space="preserve"> </w:t>
      </w:r>
      <w:r w:rsidR="00F32B28" w:rsidRPr="00F32B28">
        <w:rPr>
          <w:rtl/>
        </w:rPr>
        <w:t>تجب</w:t>
      </w:r>
      <w:r w:rsidR="00F32B28">
        <w:rPr>
          <w:rtl/>
        </w:rPr>
        <w:t xml:space="preserve"> </w:t>
      </w:r>
      <w:r w:rsidR="00F32B28" w:rsidRPr="00F32B28">
        <w:rPr>
          <w:rtl/>
        </w:rPr>
        <w:t>نفقة</w:t>
      </w:r>
      <w:r w:rsidR="00F32B28">
        <w:rPr>
          <w:rtl/>
        </w:rPr>
        <w:t xml:space="preserve"> </w:t>
      </w:r>
      <w:r w:rsidR="00F32B28" w:rsidRPr="00F32B28">
        <w:rPr>
          <w:rtl/>
        </w:rPr>
        <w:t>الزوجة</w:t>
      </w:r>
      <w:r w:rsidR="00F32B28">
        <w:rPr>
          <w:rtl/>
        </w:rPr>
        <w:t xml:space="preserve"> </w:t>
      </w:r>
      <w:r w:rsidR="00F32B28" w:rsidRPr="00F32B28">
        <w:rPr>
          <w:rtl/>
        </w:rPr>
        <w:t>على</w:t>
      </w:r>
      <w:r w:rsidR="00F32B28">
        <w:rPr>
          <w:rtl/>
        </w:rPr>
        <w:t xml:space="preserve"> </w:t>
      </w:r>
      <w:r w:rsidR="00F32B28" w:rsidRPr="00F32B28">
        <w:rPr>
          <w:rtl/>
        </w:rPr>
        <w:t>زوجها</w:t>
      </w:r>
      <w:r w:rsidR="00F32B28">
        <w:rPr>
          <w:rtl/>
        </w:rPr>
        <w:t xml:space="preserve"> </w:t>
      </w:r>
      <w:r w:rsidR="00F32B28" w:rsidRPr="00F32B28">
        <w:rPr>
          <w:rtl/>
        </w:rPr>
        <w:t>موسرة</w:t>
      </w:r>
      <w:r w:rsidR="00F32B28">
        <w:rPr>
          <w:rtl/>
        </w:rPr>
        <w:t xml:space="preserve"> </w:t>
      </w:r>
      <w:r w:rsidR="00F32B28" w:rsidRPr="00F32B28">
        <w:rPr>
          <w:rtl/>
        </w:rPr>
        <w:t>كانت</w:t>
      </w:r>
      <w:r w:rsidR="00F32B28">
        <w:rPr>
          <w:rtl/>
        </w:rPr>
        <w:t xml:space="preserve"> </w:t>
      </w:r>
      <w:r w:rsidR="00F32B28" w:rsidRPr="00F32B28">
        <w:rPr>
          <w:rtl/>
        </w:rPr>
        <w:t>أو</w:t>
      </w:r>
      <w:r w:rsidR="009F4D72">
        <w:rPr>
          <w:rFonts w:hint="cs"/>
          <w:rtl/>
        </w:rPr>
        <w:t> </w:t>
      </w:r>
      <w:r w:rsidR="00F32B28" w:rsidRPr="00F32B28">
        <w:rPr>
          <w:rtl/>
        </w:rPr>
        <w:t>معسرة،</w:t>
      </w:r>
      <w:r w:rsidR="00F32B28">
        <w:rPr>
          <w:rtl/>
        </w:rPr>
        <w:t xml:space="preserve"> </w:t>
      </w:r>
      <w:r w:rsidR="00F32B28" w:rsidRPr="00F32B28">
        <w:rPr>
          <w:rtl/>
        </w:rPr>
        <w:t>ولا</w:t>
      </w:r>
      <w:r w:rsidR="00F32B28">
        <w:rPr>
          <w:rtl/>
        </w:rPr>
        <w:t xml:space="preserve"> </w:t>
      </w:r>
      <w:r w:rsidR="00F32B28" w:rsidRPr="00F32B28">
        <w:rPr>
          <w:rtl/>
        </w:rPr>
        <w:t>يتعين</w:t>
      </w:r>
      <w:r w:rsidR="00F32B28">
        <w:rPr>
          <w:rtl/>
        </w:rPr>
        <w:t xml:space="preserve"> </w:t>
      </w:r>
      <w:r w:rsidR="00F32B28" w:rsidRPr="00F32B28">
        <w:rPr>
          <w:rtl/>
        </w:rPr>
        <w:t>عليها</w:t>
      </w:r>
      <w:r w:rsidR="00F32B28">
        <w:rPr>
          <w:rtl/>
        </w:rPr>
        <w:t xml:space="preserve"> </w:t>
      </w:r>
      <w:r w:rsidR="00F32B28" w:rsidRPr="00F32B28">
        <w:rPr>
          <w:rtl/>
        </w:rPr>
        <w:t>أن</w:t>
      </w:r>
      <w:r w:rsidR="00F32B28">
        <w:rPr>
          <w:rtl/>
        </w:rPr>
        <w:t xml:space="preserve"> </w:t>
      </w:r>
      <w:r w:rsidR="00F32B28" w:rsidRPr="00F32B28">
        <w:rPr>
          <w:rtl/>
        </w:rPr>
        <w:t>تنفق،</w:t>
      </w:r>
      <w:r w:rsidR="00F32B28">
        <w:rPr>
          <w:rtl/>
        </w:rPr>
        <w:t xml:space="preserve"> </w:t>
      </w:r>
      <w:r w:rsidR="00F32B28" w:rsidRPr="00F32B28">
        <w:rPr>
          <w:rtl/>
        </w:rPr>
        <w:t>ولو</w:t>
      </w:r>
      <w:r w:rsidR="00F32B28">
        <w:rPr>
          <w:rtl/>
        </w:rPr>
        <w:t xml:space="preserve"> </w:t>
      </w:r>
      <w:r w:rsidR="00F32B28" w:rsidRPr="00F32B28">
        <w:rPr>
          <w:rtl/>
        </w:rPr>
        <w:t>على</w:t>
      </w:r>
      <w:r w:rsidR="00F32B28">
        <w:rPr>
          <w:rtl/>
        </w:rPr>
        <w:t xml:space="preserve"> </w:t>
      </w:r>
      <w:r w:rsidR="00F32B28" w:rsidRPr="00F32B28">
        <w:rPr>
          <w:rtl/>
        </w:rPr>
        <w:t>نفسها،</w:t>
      </w:r>
      <w:r w:rsidR="00F32B28">
        <w:rPr>
          <w:rtl/>
        </w:rPr>
        <w:t xml:space="preserve"> </w:t>
      </w:r>
      <w:r w:rsidR="00F32B28" w:rsidRPr="00F32B28">
        <w:rPr>
          <w:rtl/>
        </w:rPr>
        <w:t>من</w:t>
      </w:r>
      <w:r w:rsidR="00F32B28">
        <w:rPr>
          <w:rtl/>
        </w:rPr>
        <w:t xml:space="preserve"> </w:t>
      </w:r>
      <w:r w:rsidR="00F32B28" w:rsidRPr="00F32B28">
        <w:rPr>
          <w:rtl/>
        </w:rPr>
        <w:t>مالها</w:t>
      </w:r>
      <w:r w:rsidR="00F32B28">
        <w:rPr>
          <w:rtl/>
        </w:rPr>
        <w:t xml:space="preserve"> </w:t>
      </w:r>
      <w:r w:rsidR="00F32B28" w:rsidRPr="00F32B28">
        <w:rPr>
          <w:rtl/>
        </w:rPr>
        <w:t>الخاص.</w:t>
      </w:r>
      <w:r w:rsidR="00F32B28">
        <w:rPr>
          <w:rtl/>
        </w:rPr>
        <w:t xml:space="preserve"> </w:t>
      </w:r>
      <w:r w:rsidR="00F32B28" w:rsidRPr="00F32B28">
        <w:rPr>
          <w:rtl/>
        </w:rPr>
        <w:t>وتشمل</w:t>
      </w:r>
      <w:r w:rsidR="00F32B28">
        <w:rPr>
          <w:rtl/>
        </w:rPr>
        <w:t xml:space="preserve"> </w:t>
      </w:r>
      <w:r w:rsidR="00F32B28" w:rsidRPr="00F32B28">
        <w:rPr>
          <w:rtl/>
        </w:rPr>
        <w:t>النفقة</w:t>
      </w:r>
      <w:r w:rsidR="00F32B28">
        <w:rPr>
          <w:rtl/>
        </w:rPr>
        <w:t xml:space="preserve"> </w:t>
      </w:r>
      <w:r w:rsidR="00F32B28" w:rsidRPr="00F32B28">
        <w:rPr>
          <w:rtl/>
        </w:rPr>
        <w:t>الزوجية</w:t>
      </w:r>
      <w:r w:rsidR="00F32B28">
        <w:rPr>
          <w:rtl/>
        </w:rPr>
        <w:t xml:space="preserve"> </w:t>
      </w:r>
      <w:r w:rsidR="00F32B28" w:rsidRPr="00F32B28">
        <w:rPr>
          <w:rtl/>
        </w:rPr>
        <w:t>الملزمة</w:t>
      </w:r>
      <w:r w:rsidR="00F32B28">
        <w:rPr>
          <w:rtl/>
        </w:rPr>
        <w:t xml:space="preserve"> </w:t>
      </w:r>
      <w:r w:rsidR="00F32B28" w:rsidRPr="00F32B28">
        <w:rPr>
          <w:rtl/>
        </w:rPr>
        <w:t>المأكل</w:t>
      </w:r>
      <w:r w:rsidR="00F32B28">
        <w:rPr>
          <w:rtl/>
        </w:rPr>
        <w:t xml:space="preserve"> </w:t>
      </w:r>
      <w:r w:rsidR="00F32B28" w:rsidRPr="00F32B28">
        <w:rPr>
          <w:rtl/>
        </w:rPr>
        <w:t>والملبس</w:t>
      </w:r>
      <w:r w:rsidR="00F32B28">
        <w:rPr>
          <w:rtl/>
        </w:rPr>
        <w:t xml:space="preserve"> </w:t>
      </w:r>
      <w:r w:rsidR="00F32B28" w:rsidRPr="00F32B28">
        <w:rPr>
          <w:rtl/>
        </w:rPr>
        <w:t>والمسكن،</w:t>
      </w:r>
      <w:r w:rsidR="00F32B28">
        <w:rPr>
          <w:rtl/>
        </w:rPr>
        <w:t xml:space="preserve"> </w:t>
      </w:r>
      <w:r w:rsidR="00F32B28" w:rsidRPr="00F32B28">
        <w:rPr>
          <w:rtl/>
        </w:rPr>
        <w:t>والتطبيب</w:t>
      </w:r>
      <w:r w:rsidR="00F32B28">
        <w:rPr>
          <w:rtl/>
        </w:rPr>
        <w:t xml:space="preserve"> </w:t>
      </w:r>
      <w:r w:rsidR="00F32B28" w:rsidRPr="00F32B28">
        <w:rPr>
          <w:rtl/>
        </w:rPr>
        <w:t>بالقدر</w:t>
      </w:r>
      <w:r w:rsidR="00F32B28">
        <w:rPr>
          <w:rtl/>
        </w:rPr>
        <w:t xml:space="preserve"> </w:t>
      </w:r>
      <w:r w:rsidR="00F32B28" w:rsidRPr="00F32B28">
        <w:rPr>
          <w:rtl/>
        </w:rPr>
        <w:t>المعروف،</w:t>
      </w:r>
      <w:r w:rsidR="00F32B28">
        <w:rPr>
          <w:rtl/>
        </w:rPr>
        <w:t xml:space="preserve"> </w:t>
      </w:r>
      <w:r w:rsidR="00F32B28" w:rsidRPr="00F32B28">
        <w:rPr>
          <w:rtl/>
        </w:rPr>
        <w:t>وخدمة</w:t>
      </w:r>
      <w:r w:rsidR="00F32B28">
        <w:rPr>
          <w:rtl/>
        </w:rPr>
        <w:t xml:space="preserve"> </w:t>
      </w:r>
      <w:r w:rsidR="00F32B28" w:rsidRPr="00F32B28">
        <w:rPr>
          <w:rtl/>
        </w:rPr>
        <w:t>الزوجة</w:t>
      </w:r>
      <w:r w:rsidR="00F32B28">
        <w:rPr>
          <w:rtl/>
        </w:rPr>
        <w:t xml:space="preserve"> </w:t>
      </w:r>
      <w:r w:rsidR="00F32B28" w:rsidRPr="00F32B28">
        <w:rPr>
          <w:rtl/>
        </w:rPr>
        <w:t>التي</w:t>
      </w:r>
      <w:r w:rsidR="00F32B28">
        <w:rPr>
          <w:rtl/>
        </w:rPr>
        <w:t xml:space="preserve"> </w:t>
      </w:r>
      <w:r w:rsidR="00F32B28" w:rsidRPr="00F32B28">
        <w:rPr>
          <w:rtl/>
        </w:rPr>
        <w:t>يكون</w:t>
      </w:r>
      <w:r w:rsidR="00F32B28">
        <w:rPr>
          <w:rtl/>
        </w:rPr>
        <w:t xml:space="preserve"> </w:t>
      </w:r>
      <w:r w:rsidR="00F32B28" w:rsidRPr="00F32B28">
        <w:rPr>
          <w:rtl/>
        </w:rPr>
        <w:t>لأمثالها</w:t>
      </w:r>
      <w:r w:rsidR="00F32B28">
        <w:rPr>
          <w:rtl/>
        </w:rPr>
        <w:t xml:space="preserve"> </w:t>
      </w:r>
      <w:r w:rsidR="00F32B28" w:rsidRPr="00F32B28">
        <w:rPr>
          <w:rtl/>
        </w:rPr>
        <w:t>خدم</w:t>
      </w:r>
      <w:r w:rsidR="00F32B28" w:rsidRPr="00F32B28">
        <w:rPr>
          <w:rtl/>
          <w:lang w:bidi="ar-SY"/>
        </w:rPr>
        <w:t>،</w:t>
      </w:r>
      <w:r w:rsidR="00F32B28">
        <w:rPr>
          <w:rtl/>
          <w:lang w:bidi="ar-SY"/>
        </w:rPr>
        <w:t xml:space="preserve"> </w:t>
      </w:r>
      <w:r w:rsidR="00F32B28" w:rsidRPr="00F32B28">
        <w:rPr>
          <w:rtl/>
          <w:lang w:bidi="ar-SY"/>
        </w:rPr>
        <w:t>وتجهيز</w:t>
      </w:r>
      <w:r w:rsidR="00F32B28">
        <w:rPr>
          <w:rtl/>
          <w:lang w:bidi="ar-SY"/>
        </w:rPr>
        <w:t xml:space="preserve"> </w:t>
      </w:r>
      <w:r w:rsidR="00F32B28" w:rsidRPr="00F32B28">
        <w:rPr>
          <w:rtl/>
          <w:lang w:bidi="ar-SY"/>
        </w:rPr>
        <w:t>وتكفين</w:t>
      </w:r>
      <w:r w:rsidR="00F32B28">
        <w:rPr>
          <w:rtl/>
          <w:lang w:bidi="ar-SY"/>
        </w:rPr>
        <w:t xml:space="preserve"> </w:t>
      </w:r>
      <w:r w:rsidR="00F32B28" w:rsidRPr="00F32B28">
        <w:rPr>
          <w:rtl/>
          <w:lang w:bidi="ar-SY"/>
        </w:rPr>
        <w:t>الزوجة</w:t>
      </w:r>
      <w:r w:rsidR="00F32B28">
        <w:rPr>
          <w:rtl/>
          <w:lang w:bidi="ar-SY"/>
        </w:rPr>
        <w:t xml:space="preserve"> </w:t>
      </w:r>
      <w:r w:rsidR="00F32B28" w:rsidRPr="00F32B28">
        <w:rPr>
          <w:rtl/>
          <w:lang w:bidi="ar-SY"/>
        </w:rPr>
        <w:t>بعد</w:t>
      </w:r>
      <w:r w:rsidR="00F32B28">
        <w:rPr>
          <w:rtl/>
          <w:lang w:bidi="ar-SY"/>
        </w:rPr>
        <w:t xml:space="preserve"> </w:t>
      </w:r>
      <w:r w:rsidR="00F32B28" w:rsidRPr="00F32B28">
        <w:rPr>
          <w:rtl/>
          <w:lang w:bidi="ar-SY"/>
        </w:rPr>
        <w:t>موتها.</w:t>
      </w:r>
      <w:r w:rsidR="00F32B28">
        <w:rPr>
          <w:rtl/>
          <w:lang w:bidi="ar-SY"/>
        </w:rPr>
        <w:t xml:space="preserve"> </w:t>
      </w:r>
      <w:r w:rsidR="00F32B28" w:rsidRPr="00F32B28">
        <w:rPr>
          <w:rtl/>
        </w:rPr>
        <w:t>وللمرأة</w:t>
      </w:r>
      <w:r w:rsidR="00F32B28">
        <w:rPr>
          <w:rtl/>
        </w:rPr>
        <w:t xml:space="preserve"> </w:t>
      </w:r>
      <w:r w:rsidR="00F32B28" w:rsidRPr="00F32B28">
        <w:rPr>
          <w:rtl/>
        </w:rPr>
        <w:t>المعتدة</w:t>
      </w:r>
      <w:r w:rsidR="00F32B28">
        <w:rPr>
          <w:rtl/>
        </w:rPr>
        <w:t xml:space="preserve"> </w:t>
      </w:r>
      <w:r w:rsidR="00F32B28" w:rsidRPr="00F32B28">
        <w:rPr>
          <w:rtl/>
        </w:rPr>
        <w:t>من</w:t>
      </w:r>
      <w:r w:rsidR="00F32B28">
        <w:rPr>
          <w:rtl/>
        </w:rPr>
        <w:t xml:space="preserve"> </w:t>
      </w:r>
      <w:r w:rsidR="00F32B28" w:rsidRPr="00F32B28">
        <w:rPr>
          <w:rtl/>
        </w:rPr>
        <w:t>تفريق</w:t>
      </w:r>
      <w:r w:rsidR="00F32B28">
        <w:rPr>
          <w:rtl/>
        </w:rPr>
        <w:t xml:space="preserve"> </w:t>
      </w:r>
      <w:r w:rsidR="00F32B28" w:rsidRPr="00F32B28">
        <w:rPr>
          <w:rtl/>
        </w:rPr>
        <w:t>أو</w:t>
      </w:r>
      <w:r w:rsidR="00F32B28">
        <w:rPr>
          <w:rtl/>
        </w:rPr>
        <w:t xml:space="preserve"> </w:t>
      </w:r>
      <w:r w:rsidR="00F32B28" w:rsidRPr="00F32B28">
        <w:rPr>
          <w:rtl/>
        </w:rPr>
        <w:t>فسخ</w:t>
      </w:r>
      <w:r w:rsidR="00F32B28">
        <w:rPr>
          <w:rtl/>
        </w:rPr>
        <w:t xml:space="preserve"> </w:t>
      </w:r>
      <w:r w:rsidR="00F32B28" w:rsidRPr="00F32B28">
        <w:rPr>
          <w:rtl/>
        </w:rPr>
        <w:t>أو</w:t>
      </w:r>
      <w:r w:rsidR="00F32B28">
        <w:rPr>
          <w:rtl/>
        </w:rPr>
        <w:t xml:space="preserve"> </w:t>
      </w:r>
      <w:r w:rsidR="00F32B28" w:rsidRPr="00F32B28">
        <w:rPr>
          <w:rtl/>
        </w:rPr>
        <w:t>طلاق</w:t>
      </w:r>
      <w:r w:rsidR="00F32B28">
        <w:rPr>
          <w:rtl/>
        </w:rPr>
        <w:t xml:space="preserve"> </w:t>
      </w:r>
      <w:r w:rsidR="00F32B28" w:rsidRPr="00F32B28">
        <w:rPr>
          <w:rtl/>
        </w:rPr>
        <w:t>(رجعياً</w:t>
      </w:r>
      <w:r w:rsidR="00F32B28">
        <w:rPr>
          <w:rtl/>
        </w:rPr>
        <w:t xml:space="preserve"> </w:t>
      </w:r>
      <w:r w:rsidR="00F32B28" w:rsidRPr="00F32B28">
        <w:rPr>
          <w:rtl/>
        </w:rPr>
        <w:t>أو</w:t>
      </w:r>
      <w:r w:rsidR="00F32B28">
        <w:rPr>
          <w:rtl/>
        </w:rPr>
        <w:t xml:space="preserve"> </w:t>
      </w:r>
      <w:r w:rsidR="00F32B28" w:rsidRPr="00F32B28">
        <w:rPr>
          <w:rtl/>
        </w:rPr>
        <w:t>بائناً)</w:t>
      </w:r>
      <w:r w:rsidR="00F32B28">
        <w:rPr>
          <w:rtl/>
        </w:rPr>
        <w:t xml:space="preserve"> </w:t>
      </w:r>
      <w:r w:rsidR="00F32B28" w:rsidRPr="00F32B28">
        <w:rPr>
          <w:rtl/>
        </w:rPr>
        <w:t>نفقة</w:t>
      </w:r>
      <w:r w:rsidR="00F32B28">
        <w:rPr>
          <w:rtl/>
        </w:rPr>
        <w:t xml:space="preserve"> </w:t>
      </w:r>
      <w:r w:rsidR="00F32B28" w:rsidRPr="00F32B28">
        <w:rPr>
          <w:rtl/>
        </w:rPr>
        <w:t>ما</w:t>
      </w:r>
      <w:r w:rsidR="00F32B28">
        <w:rPr>
          <w:rtl/>
        </w:rPr>
        <w:t xml:space="preserve"> </w:t>
      </w:r>
      <w:r w:rsidR="00F32B28" w:rsidRPr="00F32B28">
        <w:rPr>
          <w:rtl/>
        </w:rPr>
        <w:t>دامت</w:t>
      </w:r>
      <w:r w:rsidR="00F32B28">
        <w:rPr>
          <w:rtl/>
        </w:rPr>
        <w:t xml:space="preserve"> </w:t>
      </w:r>
      <w:r w:rsidR="00F32B28" w:rsidRPr="00F32B28">
        <w:rPr>
          <w:rtl/>
        </w:rPr>
        <w:t>في</w:t>
      </w:r>
      <w:r w:rsidR="00F32B28">
        <w:rPr>
          <w:rtl/>
        </w:rPr>
        <w:t xml:space="preserve"> </w:t>
      </w:r>
      <w:r w:rsidR="00F32B28" w:rsidRPr="00F32B28">
        <w:rPr>
          <w:rtl/>
        </w:rPr>
        <w:t>فترة</w:t>
      </w:r>
      <w:r w:rsidR="00F32B28">
        <w:rPr>
          <w:rtl/>
        </w:rPr>
        <w:t xml:space="preserve"> </w:t>
      </w:r>
      <w:r w:rsidR="00F32B28" w:rsidRPr="00F32B28">
        <w:rPr>
          <w:rtl/>
        </w:rPr>
        <w:t>العدة.</w:t>
      </w:r>
      <w:r w:rsidR="00F32B28">
        <w:rPr>
          <w:rtl/>
        </w:rPr>
        <w:t xml:space="preserve"> </w:t>
      </w:r>
      <w:r w:rsidR="00F32B28" w:rsidRPr="00F32B28">
        <w:rPr>
          <w:rtl/>
        </w:rPr>
        <w:t>وتكون</w:t>
      </w:r>
      <w:r w:rsidR="00F32B28">
        <w:rPr>
          <w:rtl/>
        </w:rPr>
        <w:t xml:space="preserve"> </w:t>
      </w:r>
      <w:r w:rsidR="00F32B28" w:rsidRPr="00F32B28">
        <w:rPr>
          <w:rtl/>
        </w:rPr>
        <w:t>نفقة</w:t>
      </w:r>
      <w:r w:rsidR="00F32B28">
        <w:rPr>
          <w:rtl/>
        </w:rPr>
        <w:t xml:space="preserve"> </w:t>
      </w:r>
      <w:r w:rsidR="00F32B28" w:rsidRPr="00F32B28">
        <w:rPr>
          <w:rtl/>
        </w:rPr>
        <w:t>العدة</w:t>
      </w:r>
      <w:r w:rsidR="00F32B28">
        <w:rPr>
          <w:rtl/>
        </w:rPr>
        <w:t xml:space="preserve"> </w:t>
      </w:r>
      <w:r w:rsidR="00F32B28" w:rsidRPr="00F32B28">
        <w:rPr>
          <w:rtl/>
        </w:rPr>
        <w:t>كنفقة</w:t>
      </w:r>
      <w:r w:rsidR="00F32B28">
        <w:rPr>
          <w:rtl/>
        </w:rPr>
        <w:t xml:space="preserve"> </w:t>
      </w:r>
      <w:r w:rsidR="00F32B28" w:rsidRPr="00F32B28">
        <w:rPr>
          <w:rtl/>
        </w:rPr>
        <w:t>الزوجية.</w:t>
      </w:r>
      <w:r w:rsidR="00F32B28">
        <w:rPr>
          <w:rtl/>
        </w:rPr>
        <w:t xml:space="preserve"> </w:t>
      </w:r>
      <w:r w:rsidR="00F32B28" w:rsidRPr="00F32B28">
        <w:rPr>
          <w:rtl/>
        </w:rPr>
        <w:t>وليس</w:t>
      </w:r>
      <w:r w:rsidR="00F32B28">
        <w:rPr>
          <w:rtl/>
        </w:rPr>
        <w:t xml:space="preserve"> </w:t>
      </w:r>
      <w:r w:rsidR="00F32B28" w:rsidRPr="00F32B28">
        <w:rPr>
          <w:rtl/>
        </w:rPr>
        <w:t>للمرأة</w:t>
      </w:r>
      <w:r w:rsidR="00F32B28">
        <w:rPr>
          <w:rtl/>
        </w:rPr>
        <w:t xml:space="preserve"> </w:t>
      </w:r>
      <w:r w:rsidR="00F32B28" w:rsidRPr="00F32B28">
        <w:rPr>
          <w:rtl/>
        </w:rPr>
        <w:t>التي</w:t>
      </w:r>
      <w:r w:rsidR="00F32B28">
        <w:rPr>
          <w:rtl/>
        </w:rPr>
        <w:t xml:space="preserve"> </w:t>
      </w:r>
      <w:r w:rsidR="00F32B28" w:rsidRPr="00F32B28">
        <w:rPr>
          <w:rtl/>
        </w:rPr>
        <w:t>توفي</w:t>
      </w:r>
      <w:r w:rsidR="00F32B28">
        <w:rPr>
          <w:rtl/>
        </w:rPr>
        <w:t xml:space="preserve"> </w:t>
      </w:r>
      <w:r w:rsidR="00F32B28" w:rsidRPr="00F32B28">
        <w:rPr>
          <w:rtl/>
        </w:rPr>
        <w:t>زوجها</w:t>
      </w:r>
      <w:r w:rsidR="00F32B28">
        <w:rPr>
          <w:rtl/>
        </w:rPr>
        <w:t xml:space="preserve"> </w:t>
      </w:r>
      <w:r w:rsidR="00F32B28" w:rsidRPr="00F32B28">
        <w:rPr>
          <w:rtl/>
        </w:rPr>
        <w:t>كانت</w:t>
      </w:r>
      <w:r w:rsidR="00F32B28">
        <w:rPr>
          <w:rtl/>
        </w:rPr>
        <w:t xml:space="preserve"> </w:t>
      </w:r>
      <w:r w:rsidR="00F32B28" w:rsidRPr="00F32B28">
        <w:rPr>
          <w:rtl/>
        </w:rPr>
        <w:t>حاملاً</w:t>
      </w:r>
      <w:r w:rsidR="00F32B28">
        <w:rPr>
          <w:rtl/>
        </w:rPr>
        <w:t xml:space="preserve"> </w:t>
      </w:r>
      <w:r w:rsidR="00F32B28" w:rsidRPr="00F32B28">
        <w:rPr>
          <w:rtl/>
        </w:rPr>
        <w:t>أو</w:t>
      </w:r>
      <w:r w:rsidR="00F32B28">
        <w:rPr>
          <w:rtl/>
        </w:rPr>
        <w:t xml:space="preserve"> </w:t>
      </w:r>
      <w:r w:rsidR="00F32B28" w:rsidRPr="00F32B28">
        <w:rPr>
          <w:rtl/>
        </w:rPr>
        <w:t>غير</w:t>
      </w:r>
      <w:r w:rsidR="009F4D72">
        <w:rPr>
          <w:rFonts w:hint="cs"/>
          <w:rtl/>
        </w:rPr>
        <w:t> </w:t>
      </w:r>
      <w:r w:rsidR="00F32B28" w:rsidRPr="00F32B28">
        <w:rPr>
          <w:rtl/>
        </w:rPr>
        <w:t>حامل</w:t>
      </w:r>
      <w:r w:rsidR="00F32B28">
        <w:rPr>
          <w:rtl/>
        </w:rPr>
        <w:t xml:space="preserve"> </w:t>
      </w:r>
      <w:r w:rsidR="00F32B28" w:rsidRPr="00F32B28">
        <w:rPr>
          <w:rtl/>
        </w:rPr>
        <w:t>نفقة</w:t>
      </w:r>
      <w:r w:rsidR="00F32B28">
        <w:rPr>
          <w:rtl/>
        </w:rPr>
        <w:t xml:space="preserve"> </w:t>
      </w:r>
      <w:r w:rsidR="00F32B28" w:rsidRPr="00F32B28">
        <w:rPr>
          <w:rtl/>
        </w:rPr>
        <w:t>عدة.</w:t>
      </w:r>
      <w:r w:rsidR="00F32B28">
        <w:rPr>
          <w:rtl/>
        </w:rPr>
        <w:t xml:space="preserve"> </w:t>
      </w:r>
      <w:r w:rsidR="00F32B28" w:rsidRPr="00F32B28">
        <w:rPr>
          <w:rtl/>
        </w:rPr>
        <w:t>وكذلك</w:t>
      </w:r>
      <w:r w:rsidR="00F32B28">
        <w:rPr>
          <w:rtl/>
        </w:rPr>
        <w:t xml:space="preserve"> </w:t>
      </w:r>
      <w:r w:rsidR="00F32B28" w:rsidRPr="00F32B28">
        <w:rPr>
          <w:rtl/>
        </w:rPr>
        <w:t>الأمر</w:t>
      </w:r>
      <w:r w:rsidR="00F32B28">
        <w:rPr>
          <w:rtl/>
        </w:rPr>
        <w:t xml:space="preserve"> </w:t>
      </w:r>
      <w:r w:rsidR="00F32B28" w:rsidRPr="00F32B28">
        <w:rPr>
          <w:rtl/>
        </w:rPr>
        <w:t>بالنسبة</w:t>
      </w:r>
      <w:r w:rsidR="00F32B28">
        <w:rPr>
          <w:rtl/>
        </w:rPr>
        <w:t xml:space="preserve"> </w:t>
      </w:r>
      <w:r w:rsidR="00F32B28" w:rsidRPr="00F32B28">
        <w:rPr>
          <w:rtl/>
        </w:rPr>
        <w:t>للطوائف</w:t>
      </w:r>
      <w:r w:rsidR="00F32B28">
        <w:rPr>
          <w:rtl/>
        </w:rPr>
        <w:t xml:space="preserve"> </w:t>
      </w:r>
      <w:r w:rsidR="00F32B28" w:rsidRPr="00F32B28">
        <w:rPr>
          <w:rtl/>
        </w:rPr>
        <w:t>المسيحية،</w:t>
      </w:r>
      <w:r w:rsidR="00F32B28">
        <w:rPr>
          <w:rtl/>
        </w:rPr>
        <w:t xml:space="preserve"> </w:t>
      </w:r>
      <w:r w:rsidR="00F32B28" w:rsidRPr="00F32B28">
        <w:rPr>
          <w:rtl/>
        </w:rPr>
        <w:t>حيث</w:t>
      </w:r>
      <w:r w:rsidR="00F32B28">
        <w:rPr>
          <w:rtl/>
        </w:rPr>
        <w:t xml:space="preserve"> </w:t>
      </w:r>
      <w:r w:rsidR="00F32B28" w:rsidRPr="00F32B28">
        <w:rPr>
          <w:rtl/>
        </w:rPr>
        <w:t>أن</w:t>
      </w:r>
      <w:r w:rsidR="00F32B28">
        <w:rPr>
          <w:rtl/>
        </w:rPr>
        <w:t xml:space="preserve"> </w:t>
      </w:r>
      <w:r w:rsidR="00F32B28" w:rsidRPr="00F32B28">
        <w:rPr>
          <w:rtl/>
        </w:rPr>
        <w:t>نفقة</w:t>
      </w:r>
      <w:r w:rsidR="00F32B28">
        <w:rPr>
          <w:rtl/>
        </w:rPr>
        <w:t xml:space="preserve"> </w:t>
      </w:r>
      <w:r w:rsidR="00F32B28" w:rsidRPr="00F32B28">
        <w:rPr>
          <w:rtl/>
        </w:rPr>
        <w:t>الزوجة</w:t>
      </w:r>
      <w:r w:rsidR="00F32B28">
        <w:rPr>
          <w:rtl/>
        </w:rPr>
        <w:t xml:space="preserve"> </w:t>
      </w:r>
      <w:r w:rsidR="00F32B28" w:rsidRPr="00F32B28">
        <w:rPr>
          <w:rtl/>
        </w:rPr>
        <w:t>واجبة</w:t>
      </w:r>
      <w:r w:rsidR="00F32B28">
        <w:rPr>
          <w:rtl/>
        </w:rPr>
        <w:t xml:space="preserve"> </w:t>
      </w:r>
      <w:r w:rsidR="00F32B28" w:rsidRPr="00F32B28">
        <w:rPr>
          <w:rtl/>
        </w:rPr>
        <w:t>على</w:t>
      </w:r>
      <w:r w:rsidR="00F32B28">
        <w:rPr>
          <w:rtl/>
        </w:rPr>
        <w:t xml:space="preserve"> </w:t>
      </w:r>
      <w:r w:rsidR="00F32B28" w:rsidRPr="00F32B28">
        <w:rPr>
          <w:rtl/>
        </w:rPr>
        <w:t>زوجها</w:t>
      </w:r>
      <w:r w:rsidR="00F32B28">
        <w:rPr>
          <w:rtl/>
        </w:rPr>
        <w:t xml:space="preserve"> </w:t>
      </w:r>
      <w:r w:rsidR="00F32B28" w:rsidRPr="00F32B28">
        <w:rPr>
          <w:rtl/>
        </w:rPr>
        <w:t>حتى</w:t>
      </w:r>
      <w:r w:rsidR="00F32B28">
        <w:rPr>
          <w:rtl/>
        </w:rPr>
        <w:t xml:space="preserve"> </w:t>
      </w:r>
      <w:r w:rsidR="00F32B28" w:rsidRPr="00F32B28">
        <w:rPr>
          <w:rtl/>
        </w:rPr>
        <w:t>ولو</w:t>
      </w:r>
      <w:r w:rsidR="00F32B28">
        <w:rPr>
          <w:rtl/>
        </w:rPr>
        <w:t xml:space="preserve"> </w:t>
      </w:r>
      <w:r w:rsidR="00F32B28" w:rsidRPr="00F32B28">
        <w:rPr>
          <w:rtl/>
        </w:rPr>
        <w:t>كانت</w:t>
      </w:r>
      <w:r w:rsidR="00F32B28">
        <w:rPr>
          <w:rtl/>
        </w:rPr>
        <w:t xml:space="preserve"> </w:t>
      </w:r>
      <w:r w:rsidR="00F32B28" w:rsidRPr="00F32B28">
        <w:rPr>
          <w:rtl/>
        </w:rPr>
        <w:t>موسرة،</w:t>
      </w:r>
      <w:r w:rsidR="00F32B28">
        <w:rPr>
          <w:rtl/>
        </w:rPr>
        <w:t xml:space="preserve"> </w:t>
      </w:r>
      <w:r w:rsidR="00F32B28" w:rsidRPr="00F32B28">
        <w:rPr>
          <w:rtl/>
        </w:rPr>
        <w:t>ويسقط</w:t>
      </w:r>
      <w:r w:rsidR="00F32B28">
        <w:rPr>
          <w:rtl/>
        </w:rPr>
        <w:t xml:space="preserve"> </w:t>
      </w:r>
      <w:r w:rsidR="00F32B28" w:rsidRPr="00F32B28">
        <w:rPr>
          <w:rtl/>
        </w:rPr>
        <w:t>حقها</w:t>
      </w:r>
      <w:r w:rsidR="00F32B28">
        <w:rPr>
          <w:rtl/>
        </w:rPr>
        <w:t xml:space="preserve"> </w:t>
      </w:r>
      <w:r w:rsidR="00F32B28" w:rsidRPr="00F32B28">
        <w:rPr>
          <w:rtl/>
        </w:rPr>
        <w:t>فيها</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نشوزها.</w:t>
      </w:r>
    </w:p>
    <w:p w:rsidR="00F32B28" w:rsidRPr="00F32B28" w:rsidRDefault="00565595" w:rsidP="00565595">
      <w:pPr>
        <w:pStyle w:val="SingleTxt"/>
        <w:rPr>
          <w:rtl/>
        </w:rPr>
      </w:pPr>
      <w:r>
        <w:rPr>
          <w:rFonts w:hint="cs"/>
          <w:rtl/>
        </w:rPr>
        <w:lastRenderedPageBreak/>
        <w:t xml:space="preserve">334 - </w:t>
      </w:r>
      <w:r w:rsidR="00F32B28" w:rsidRPr="00F32B28">
        <w:rPr>
          <w:rtl/>
        </w:rPr>
        <w:t>كما</w:t>
      </w:r>
      <w:r w:rsidR="00F32B28">
        <w:rPr>
          <w:rtl/>
        </w:rPr>
        <w:t xml:space="preserve"> </w:t>
      </w:r>
      <w:r w:rsidR="00F32B28" w:rsidRPr="00F32B28">
        <w:rPr>
          <w:rtl/>
        </w:rPr>
        <w:t>تجب</w:t>
      </w:r>
      <w:r w:rsidR="00F32B28">
        <w:rPr>
          <w:rtl/>
        </w:rPr>
        <w:t xml:space="preserve"> </w:t>
      </w:r>
      <w:r w:rsidR="00F32B28" w:rsidRPr="00F32B28">
        <w:rPr>
          <w:rtl/>
        </w:rPr>
        <w:t>نفقة</w:t>
      </w:r>
      <w:r w:rsidR="00F32B28">
        <w:rPr>
          <w:rtl/>
        </w:rPr>
        <w:t xml:space="preserve"> </w:t>
      </w:r>
      <w:r w:rsidR="00F32B28" w:rsidRPr="00F32B28">
        <w:rPr>
          <w:rtl/>
        </w:rPr>
        <w:t>الصغار</w:t>
      </w:r>
      <w:r w:rsidR="00F32B28">
        <w:rPr>
          <w:rtl/>
        </w:rPr>
        <w:t xml:space="preserve"> </w:t>
      </w:r>
      <w:r w:rsidR="00F32B28" w:rsidRPr="00F32B28">
        <w:rPr>
          <w:rtl/>
        </w:rPr>
        <w:t>على</w:t>
      </w:r>
      <w:r w:rsidR="00F32B28">
        <w:rPr>
          <w:rtl/>
        </w:rPr>
        <w:t xml:space="preserve"> </w:t>
      </w:r>
      <w:r w:rsidR="00F32B28" w:rsidRPr="00F32B28">
        <w:rPr>
          <w:rtl/>
        </w:rPr>
        <w:t>الأب،</w:t>
      </w:r>
      <w:r w:rsidR="00F32B28">
        <w:rPr>
          <w:rtl/>
        </w:rPr>
        <w:t xml:space="preserve"> </w:t>
      </w:r>
      <w:r w:rsidR="00F32B28" w:rsidRPr="00F32B28">
        <w:rPr>
          <w:rtl/>
        </w:rPr>
        <w:t>ما</w:t>
      </w:r>
      <w:r w:rsidR="00F32B28">
        <w:rPr>
          <w:rtl/>
        </w:rPr>
        <w:t xml:space="preserve"> </w:t>
      </w:r>
      <w:r w:rsidR="00F32B28" w:rsidRPr="00F32B28">
        <w:rPr>
          <w:rtl/>
        </w:rPr>
        <w:t>لم</w:t>
      </w:r>
      <w:r w:rsidR="00F32B28">
        <w:rPr>
          <w:rtl/>
        </w:rPr>
        <w:t xml:space="preserve"> </w:t>
      </w:r>
      <w:r w:rsidR="00F32B28" w:rsidRPr="00F32B28">
        <w:rPr>
          <w:rtl/>
        </w:rPr>
        <w:t>يكن</w:t>
      </w:r>
      <w:r w:rsidR="00F32B28">
        <w:rPr>
          <w:rtl/>
        </w:rPr>
        <w:t xml:space="preserve"> </w:t>
      </w:r>
      <w:r w:rsidR="00F32B28" w:rsidRPr="00F32B28">
        <w:rPr>
          <w:rtl/>
        </w:rPr>
        <w:t>لهم</w:t>
      </w:r>
      <w:r w:rsidR="00F32B28">
        <w:rPr>
          <w:rtl/>
        </w:rPr>
        <w:t xml:space="preserve"> </w:t>
      </w:r>
      <w:r w:rsidR="00F32B28" w:rsidRPr="00F32B28">
        <w:rPr>
          <w:rtl/>
        </w:rPr>
        <w:t>مال</w:t>
      </w:r>
      <w:r w:rsidR="00F32B28">
        <w:rPr>
          <w:rtl/>
        </w:rPr>
        <w:t xml:space="preserve"> </w:t>
      </w:r>
      <w:r w:rsidR="00F32B28" w:rsidRPr="00F32B28">
        <w:rPr>
          <w:rtl/>
        </w:rPr>
        <w:t>خاص</w:t>
      </w:r>
      <w:r w:rsidR="00F32B28">
        <w:rPr>
          <w:rtl/>
        </w:rPr>
        <w:t xml:space="preserve"> </w:t>
      </w:r>
      <w:r w:rsidR="00F32B28" w:rsidRPr="00F32B28">
        <w:rPr>
          <w:rtl/>
        </w:rPr>
        <w:t>يكفي</w:t>
      </w:r>
      <w:r w:rsidR="00F32B28">
        <w:rPr>
          <w:rtl/>
        </w:rPr>
        <w:t xml:space="preserve"> </w:t>
      </w:r>
      <w:r w:rsidR="00F32B28" w:rsidRPr="00F32B28">
        <w:rPr>
          <w:rtl/>
        </w:rPr>
        <w:t>لنفقتهم،</w:t>
      </w:r>
      <w:r w:rsidR="00F32B28">
        <w:rPr>
          <w:rtl/>
        </w:rPr>
        <w:t xml:space="preserve"> </w:t>
      </w:r>
      <w:r w:rsidR="00F32B28" w:rsidRPr="00F32B28">
        <w:rPr>
          <w:rtl/>
        </w:rPr>
        <w:t>وتستمر</w:t>
      </w:r>
      <w:r w:rsidR="00F32B28">
        <w:rPr>
          <w:rtl/>
        </w:rPr>
        <w:t xml:space="preserve"> </w:t>
      </w:r>
      <w:r w:rsidR="00F32B28" w:rsidRPr="00F32B28">
        <w:rPr>
          <w:rtl/>
        </w:rPr>
        <w:t>نفقة</w:t>
      </w:r>
      <w:r w:rsidR="00F32B28">
        <w:rPr>
          <w:rtl/>
        </w:rPr>
        <w:t xml:space="preserve"> </w:t>
      </w:r>
      <w:r w:rsidR="00F32B28" w:rsidRPr="00F32B28">
        <w:rPr>
          <w:rtl/>
        </w:rPr>
        <w:t>الولد</w:t>
      </w:r>
      <w:r w:rsidR="00F32B28">
        <w:rPr>
          <w:rtl/>
        </w:rPr>
        <w:t xml:space="preserve"> </w:t>
      </w:r>
      <w:r w:rsidR="00F32B28" w:rsidRPr="00F32B28">
        <w:rPr>
          <w:rtl/>
        </w:rPr>
        <w:t>الذكر</w:t>
      </w:r>
      <w:r w:rsidR="00F32B28">
        <w:rPr>
          <w:rtl/>
        </w:rPr>
        <w:t xml:space="preserve"> </w:t>
      </w:r>
      <w:r w:rsidR="00F32B28" w:rsidRPr="00F32B28">
        <w:rPr>
          <w:rtl/>
        </w:rPr>
        <w:t>إلى</w:t>
      </w:r>
      <w:r w:rsidR="00F32B28">
        <w:rPr>
          <w:rtl/>
        </w:rPr>
        <w:t xml:space="preserve"> </w:t>
      </w:r>
      <w:r w:rsidR="00F32B28" w:rsidRPr="00F32B28">
        <w:rPr>
          <w:rtl/>
        </w:rPr>
        <w:t>السن</w:t>
      </w:r>
      <w:r w:rsidR="00F32B28">
        <w:rPr>
          <w:rtl/>
        </w:rPr>
        <w:t xml:space="preserve"> </w:t>
      </w:r>
      <w:r w:rsidR="00F32B28" w:rsidRPr="00F32B28">
        <w:rPr>
          <w:rtl/>
        </w:rPr>
        <w:t>الذي</w:t>
      </w:r>
      <w:r w:rsidR="00F32B28">
        <w:rPr>
          <w:rtl/>
        </w:rPr>
        <w:t xml:space="preserve"> </w:t>
      </w:r>
      <w:r w:rsidR="00F32B28" w:rsidRPr="00F32B28">
        <w:rPr>
          <w:rtl/>
        </w:rPr>
        <w:t>يستطيع</w:t>
      </w:r>
      <w:r w:rsidR="00F32B28">
        <w:rPr>
          <w:rtl/>
        </w:rPr>
        <w:t xml:space="preserve"> </w:t>
      </w:r>
      <w:r w:rsidR="00F32B28" w:rsidRPr="00F32B28">
        <w:rPr>
          <w:rtl/>
        </w:rPr>
        <w:t>أن</w:t>
      </w:r>
      <w:r w:rsidR="00F32B28">
        <w:rPr>
          <w:rtl/>
        </w:rPr>
        <w:t xml:space="preserve"> </w:t>
      </w:r>
      <w:r w:rsidR="00F32B28" w:rsidRPr="00F32B28">
        <w:rPr>
          <w:rtl/>
        </w:rPr>
        <w:t>يعمل</w:t>
      </w:r>
      <w:r w:rsidR="00F32B28">
        <w:rPr>
          <w:rtl/>
        </w:rPr>
        <w:t xml:space="preserve"> </w:t>
      </w:r>
      <w:r w:rsidR="00F32B28" w:rsidRPr="00F32B28">
        <w:rPr>
          <w:rtl/>
        </w:rPr>
        <w:t>به،</w:t>
      </w:r>
      <w:r w:rsidR="00F32B28">
        <w:rPr>
          <w:rtl/>
        </w:rPr>
        <w:t xml:space="preserve"> </w:t>
      </w:r>
      <w:r w:rsidR="00F32B28" w:rsidRPr="00F32B28">
        <w:rPr>
          <w:rtl/>
        </w:rPr>
        <w:t>ما</w:t>
      </w:r>
      <w:r w:rsidR="00F32B28">
        <w:rPr>
          <w:rtl/>
        </w:rPr>
        <w:t xml:space="preserve"> </w:t>
      </w:r>
      <w:r w:rsidR="00F32B28" w:rsidRPr="00F32B28">
        <w:rPr>
          <w:rtl/>
        </w:rPr>
        <w:t>لم</w:t>
      </w:r>
      <w:r w:rsidR="00F32B28">
        <w:rPr>
          <w:rtl/>
        </w:rPr>
        <w:t xml:space="preserve"> </w:t>
      </w:r>
      <w:r w:rsidR="00F32B28" w:rsidRPr="00F32B28">
        <w:rPr>
          <w:rtl/>
        </w:rPr>
        <w:t>يكن</w:t>
      </w:r>
      <w:r w:rsidR="00F32B28">
        <w:rPr>
          <w:rtl/>
        </w:rPr>
        <w:t xml:space="preserve"> </w:t>
      </w:r>
      <w:r w:rsidR="00F32B28" w:rsidRPr="00F32B28">
        <w:rPr>
          <w:rtl/>
        </w:rPr>
        <w:t>طالب</w:t>
      </w:r>
      <w:r w:rsidR="00F32B28">
        <w:rPr>
          <w:rtl/>
        </w:rPr>
        <w:t xml:space="preserve"> </w:t>
      </w:r>
      <w:r w:rsidR="00F32B28" w:rsidRPr="00F32B28">
        <w:rPr>
          <w:rtl/>
        </w:rPr>
        <w:t>علم،</w:t>
      </w:r>
      <w:r w:rsidR="00F32B28">
        <w:rPr>
          <w:rtl/>
        </w:rPr>
        <w:t xml:space="preserve"> </w:t>
      </w:r>
      <w:r w:rsidR="00F32B28" w:rsidRPr="00F32B28">
        <w:rPr>
          <w:rtl/>
        </w:rPr>
        <w:t>وللأنثى</w:t>
      </w:r>
      <w:r w:rsidR="00F32B28">
        <w:rPr>
          <w:rtl/>
        </w:rPr>
        <w:t xml:space="preserve"> </w:t>
      </w:r>
      <w:r w:rsidR="00F32B28" w:rsidRPr="00F32B28">
        <w:rPr>
          <w:rtl/>
        </w:rPr>
        <w:t>إلى</w:t>
      </w:r>
      <w:r w:rsidR="00F32B28">
        <w:rPr>
          <w:rtl/>
        </w:rPr>
        <w:t xml:space="preserve"> </w:t>
      </w:r>
      <w:r w:rsidR="00F32B28" w:rsidRPr="00F32B28">
        <w:rPr>
          <w:rtl/>
        </w:rPr>
        <w:t>أن</w:t>
      </w:r>
      <w:r w:rsidR="00F32B28">
        <w:rPr>
          <w:rtl/>
        </w:rPr>
        <w:t xml:space="preserve"> </w:t>
      </w:r>
      <w:r w:rsidR="00F32B28" w:rsidRPr="00F32B28">
        <w:rPr>
          <w:rtl/>
        </w:rPr>
        <w:t>توسر</w:t>
      </w:r>
      <w:r w:rsidR="00F32B28">
        <w:rPr>
          <w:rtl/>
        </w:rPr>
        <w:t xml:space="preserve"> </w:t>
      </w:r>
      <w:r w:rsidR="00F32B28" w:rsidRPr="00F32B28">
        <w:rPr>
          <w:rtl/>
        </w:rPr>
        <w:t>بعملها</w:t>
      </w:r>
      <w:r w:rsidR="00F32B28">
        <w:rPr>
          <w:rtl/>
        </w:rPr>
        <w:t xml:space="preserve"> </w:t>
      </w:r>
      <w:r w:rsidR="00F32B28" w:rsidRPr="00F32B28">
        <w:rPr>
          <w:rtl/>
        </w:rPr>
        <w:t>أو</w:t>
      </w:r>
      <w:r w:rsidR="00F32B28">
        <w:rPr>
          <w:rtl/>
        </w:rPr>
        <w:t xml:space="preserve"> </w:t>
      </w:r>
      <w:r w:rsidR="00F32B28" w:rsidRPr="00F32B28">
        <w:rPr>
          <w:rtl/>
        </w:rPr>
        <w:t>تتزوج.</w:t>
      </w:r>
      <w:r w:rsidR="00F32B28">
        <w:rPr>
          <w:rtl/>
        </w:rPr>
        <w:t xml:space="preserve"> </w:t>
      </w:r>
      <w:r w:rsidR="00F32B28" w:rsidRPr="00F32B28">
        <w:rPr>
          <w:rtl/>
        </w:rPr>
        <w:t>كما</w:t>
      </w:r>
      <w:r w:rsidR="00F32B28">
        <w:rPr>
          <w:rtl/>
        </w:rPr>
        <w:t xml:space="preserve"> </w:t>
      </w:r>
      <w:r w:rsidR="00F32B28" w:rsidRPr="00F32B28">
        <w:rPr>
          <w:rtl/>
        </w:rPr>
        <w:t>يلتزم</w:t>
      </w:r>
      <w:r w:rsidR="00F32B28">
        <w:rPr>
          <w:rtl/>
        </w:rPr>
        <w:t xml:space="preserve"> </w:t>
      </w:r>
      <w:r w:rsidR="00F32B28" w:rsidRPr="00F32B28">
        <w:rPr>
          <w:rtl/>
        </w:rPr>
        <w:t>الأب</w:t>
      </w:r>
      <w:r w:rsidR="00F32B28">
        <w:rPr>
          <w:rtl/>
        </w:rPr>
        <w:t xml:space="preserve"> </w:t>
      </w:r>
      <w:r w:rsidR="00F32B28" w:rsidRPr="00F32B28">
        <w:rPr>
          <w:rtl/>
        </w:rPr>
        <w:t>بنفقة</w:t>
      </w:r>
      <w:r w:rsidR="00F32B28">
        <w:rPr>
          <w:rtl/>
        </w:rPr>
        <w:t xml:space="preserve"> </w:t>
      </w:r>
      <w:r w:rsidR="00F32B28" w:rsidRPr="00F32B28">
        <w:rPr>
          <w:rtl/>
        </w:rPr>
        <w:t>علاج</w:t>
      </w:r>
      <w:r w:rsidR="00F32B28">
        <w:rPr>
          <w:rtl/>
        </w:rPr>
        <w:t xml:space="preserve"> </w:t>
      </w:r>
      <w:r w:rsidR="00F32B28" w:rsidRPr="00F32B28">
        <w:rPr>
          <w:rtl/>
        </w:rPr>
        <w:t>أولاده،</w:t>
      </w:r>
      <w:r w:rsidR="00F32B28">
        <w:rPr>
          <w:rtl/>
        </w:rPr>
        <w:t xml:space="preserve"> </w:t>
      </w:r>
      <w:r w:rsidR="00F32B28" w:rsidRPr="00F32B28">
        <w:rPr>
          <w:rtl/>
        </w:rPr>
        <w:t>ذكوراً</w:t>
      </w:r>
      <w:r w:rsidR="00F32B28">
        <w:rPr>
          <w:rtl/>
        </w:rPr>
        <w:t xml:space="preserve"> </w:t>
      </w:r>
      <w:r w:rsidR="00F32B28" w:rsidRPr="00F32B28">
        <w:rPr>
          <w:rtl/>
        </w:rPr>
        <w:t>وإناثاً،</w:t>
      </w:r>
      <w:r w:rsidR="00F32B28">
        <w:rPr>
          <w:rtl/>
        </w:rPr>
        <w:t xml:space="preserve"> </w:t>
      </w:r>
      <w:r w:rsidR="00F32B28" w:rsidRPr="00F32B28">
        <w:rPr>
          <w:rtl/>
        </w:rPr>
        <w:t>وكذلك</w:t>
      </w:r>
      <w:r w:rsidR="00F32B28">
        <w:rPr>
          <w:rtl/>
        </w:rPr>
        <w:t xml:space="preserve"> </w:t>
      </w:r>
      <w:r w:rsidR="00F32B28" w:rsidRPr="00F32B28">
        <w:rPr>
          <w:rtl/>
        </w:rPr>
        <w:t>نفقة</w:t>
      </w:r>
      <w:r w:rsidR="00F32B28">
        <w:rPr>
          <w:rtl/>
        </w:rPr>
        <w:t xml:space="preserve"> </w:t>
      </w:r>
      <w:r w:rsidR="00F32B28" w:rsidRPr="00F32B28">
        <w:rPr>
          <w:rtl/>
        </w:rPr>
        <w:t>تعليمهم</w:t>
      </w:r>
      <w:r w:rsidR="00F32B28">
        <w:rPr>
          <w:rtl/>
        </w:rPr>
        <w:t xml:space="preserve"> </w:t>
      </w:r>
      <w:r w:rsidR="00F32B28" w:rsidRPr="00F32B28">
        <w:rPr>
          <w:rtl/>
        </w:rPr>
        <w:t>إلى</w:t>
      </w:r>
      <w:r w:rsidR="00F32B28">
        <w:rPr>
          <w:rtl/>
        </w:rPr>
        <w:t xml:space="preserve"> </w:t>
      </w:r>
      <w:r w:rsidR="00F32B28" w:rsidRPr="00F32B28">
        <w:rPr>
          <w:rtl/>
        </w:rPr>
        <w:t>أن</w:t>
      </w:r>
      <w:r w:rsidR="00F32B28">
        <w:rPr>
          <w:rtl/>
        </w:rPr>
        <w:t xml:space="preserve"> </w:t>
      </w:r>
      <w:r w:rsidR="00F32B28" w:rsidRPr="00F32B28">
        <w:rPr>
          <w:rtl/>
        </w:rPr>
        <w:t>ينالوا</w:t>
      </w:r>
      <w:r w:rsidR="00F32B28">
        <w:rPr>
          <w:rtl/>
        </w:rPr>
        <w:t xml:space="preserve"> </w:t>
      </w:r>
      <w:r w:rsidR="00F32B28" w:rsidRPr="00F32B28">
        <w:rPr>
          <w:rtl/>
        </w:rPr>
        <w:t>الشهادة</w:t>
      </w:r>
      <w:r w:rsidR="00F32B28">
        <w:rPr>
          <w:rtl/>
        </w:rPr>
        <w:t xml:space="preserve"> </w:t>
      </w:r>
      <w:r w:rsidR="00F32B28" w:rsidRPr="00F32B28">
        <w:rPr>
          <w:rtl/>
        </w:rPr>
        <w:t>الجامعية</w:t>
      </w:r>
      <w:r w:rsidR="00F32B28">
        <w:rPr>
          <w:rtl/>
        </w:rPr>
        <w:t xml:space="preserve"> </w:t>
      </w:r>
      <w:r w:rsidR="00F32B28" w:rsidRPr="00F32B28">
        <w:rPr>
          <w:rtl/>
        </w:rPr>
        <w:t>الأولى.</w:t>
      </w:r>
      <w:r w:rsidR="00F32B28">
        <w:rPr>
          <w:rtl/>
        </w:rPr>
        <w:t xml:space="preserve"> </w:t>
      </w:r>
      <w:r w:rsidR="00F32B28" w:rsidRPr="00F32B28">
        <w:rPr>
          <w:rtl/>
        </w:rPr>
        <w:t>وينتقل</w:t>
      </w:r>
      <w:r w:rsidR="00F32B28">
        <w:rPr>
          <w:rtl/>
        </w:rPr>
        <w:t xml:space="preserve"> </w:t>
      </w:r>
      <w:r w:rsidR="00F32B28" w:rsidRPr="00F32B28">
        <w:rPr>
          <w:rtl/>
        </w:rPr>
        <w:t>التزام</w:t>
      </w:r>
      <w:r w:rsidR="00F32B28">
        <w:rPr>
          <w:rtl/>
        </w:rPr>
        <w:t xml:space="preserve"> </w:t>
      </w:r>
      <w:r w:rsidR="00F32B28" w:rsidRPr="00F32B28">
        <w:rPr>
          <w:rtl/>
        </w:rPr>
        <w:t>أداء</w:t>
      </w:r>
      <w:r w:rsidR="00F32B28">
        <w:rPr>
          <w:rtl/>
        </w:rPr>
        <w:t xml:space="preserve"> </w:t>
      </w:r>
      <w:r w:rsidR="00F32B28" w:rsidRPr="00F32B28">
        <w:rPr>
          <w:rtl/>
        </w:rPr>
        <w:t>نفقة</w:t>
      </w:r>
      <w:r w:rsidR="00F32B28">
        <w:rPr>
          <w:rtl/>
        </w:rPr>
        <w:t xml:space="preserve"> </w:t>
      </w:r>
      <w:r w:rsidR="00F32B28" w:rsidRPr="00F32B28">
        <w:rPr>
          <w:rtl/>
        </w:rPr>
        <w:t>التعليم</w:t>
      </w:r>
      <w:r w:rsidR="00F32B28">
        <w:rPr>
          <w:rtl/>
        </w:rPr>
        <w:t xml:space="preserve"> </w:t>
      </w:r>
      <w:r w:rsidR="00F32B28" w:rsidRPr="00F32B28">
        <w:rPr>
          <w:rtl/>
        </w:rPr>
        <w:t>والعلاج</w:t>
      </w:r>
      <w:r w:rsidR="00F32B28">
        <w:rPr>
          <w:rtl/>
        </w:rPr>
        <w:t xml:space="preserve"> </w:t>
      </w:r>
      <w:r w:rsidR="00F32B28" w:rsidRPr="00F32B28">
        <w:rPr>
          <w:rtl/>
        </w:rPr>
        <w:t>إلى</w:t>
      </w:r>
      <w:r w:rsidR="00F32B28">
        <w:rPr>
          <w:rtl/>
        </w:rPr>
        <w:t xml:space="preserve"> </w:t>
      </w:r>
      <w:r w:rsidR="00F32B28" w:rsidRPr="00F32B28">
        <w:rPr>
          <w:rtl/>
        </w:rPr>
        <w:t>الأم</w:t>
      </w:r>
      <w:r w:rsidR="00F32B28">
        <w:rPr>
          <w:rtl/>
        </w:rPr>
        <w:t xml:space="preserve"> </w:t>
      </w:r>
      <w:r w:rsidR="00F32B28" w:rsidRPr="00F32B28">
        <w:rPr>
          <w:rtl/>
        </w:rPr>
        <w:t>الموسرة،</w:t>
      </w:r>
      <w:r w:rsidR="00F32B28">
        <w:rPr>
          <w:rtl/>
        </w:rPr>
        <w:t xml:space="preserve"> </w:t>
      </w:r>
      <w:r w:rsidR="00F32B28" w:rsidRPr="00F32B28">
        <w:rPr>
          <w:rtl/>
        </w:rPr>
        <w:t>في</w:t>
      </w:r>
      <w:r w:rsidR="00F32B28">
        <w:rPr>
          <w:rtl/>
        </w:rPr>
        <w:t xml:space="preserve"> </w:t>
      </w:r>
      <w:r w:rsidR="00F32B28" w:rsidRPr="00F32B28">
        <w:rPr>
          <w:rtl/>
        </w:rPr>
        <w:t>حال</w:t>
      </w:r>
      <w:r w:rsidR="00F32B28">
        <w:rPr>
          <w:rtl/>
        </w:rPr>
        <w:t xml:space="preserve"> </w:t>
      </w:r>
      <w:r w:rsidR="00F32B28" w:rsidRPr="00F32B28">
        <w:rPr>
          <w:rtl/>
        </w:rPr>
        <w:t>عسر</w:t>
      </w:r>
      <w:r w:rsidR="00F32B28">
        <w:rPr>
          <w:rtl/>
        </w:rPr>
        <w:t xml:space="preserve"> </w:t>
      </w:r>
      <w:r w:rsidR="00F32B28" w:rsidRPr="00F32B28">
        <w:rPr>
          <w:rtl/>
        </w:rPr>
        <w:t>الأب</w:t>
      </w:r>
      <w:r w:rsidR="00F32B28">
        <w:rPr>
          <w:rtl/>
        </w:rPr>
        <w:t xml:space="preserve"> </w:t>
      </w:r>
      <w:r w:rsidR="00F32B28" w:rsidRPr="00F32B28">
        <w:rPr>
          <w:rtl/>
        </w:rPr>
        <w:t>أو</w:t>
      </w:r>
      <w:r w:rsidR="00F32B28">
        <w:rPr>
          <w:rtl/>
        </w:rPr>
        <w:t xml:space="preserve"> </w:t>
      </w:r>
      <w:r w:rsidR="00F32B28" w:rsidRPr="00F32B28">
        <w:rPr>
          <w:rtl/>
        </w:rPr>
        <w:t>غيابه،</w:t>
      </w:r>
      <w:r w:rsidR="00F32B28">
        <w:rPr>
          <w:rtl/>
        </w:rPr>
        <w:t xml:space="preserve"> </w:t>
      </w:r>
      <w:r w:rsidR="00F32B28" w:rsidRPr="00F32B28">
        <w:rPr>
          <w:rtl/>
        </w:rPr>
        <w:t>التي</w:t>
      </w:r>
      <w:r w:rsidR="00F32B28">
        <w:rPr>
          <w:rtl/>
        </w:rPr>
        <w:t xml:space="preserve"> </w:t>
      </w:r>
      <w:r w:rsidR="00F32B28" w:rsidRPr="00F32B28">
        <w:rPr>
          <w:rtl/>
        </w:rPr>
        <w:t>يحق</w:t>
      </w:r>
      <w:r w:rsidR="00F32B28">
        <w:rPr>
          <w:rtl/>
        </w:rPr>
        <w:t xml:space="preserve"> </w:t>
      </w:r>
      <w:r w:rsidR="00F32B28" w:rsidRPr="00F32B28">
        <w:rPr>
          <w:rtl/>
        </w:rPr>
        <w:t>لها</w:t>
      </w:r>
      <w:r w:rsidR="00F32B28">
        <w:rPr>
          <w:rtl/>
        </w:rPr>
        <w:t xml:space="preserve"> </w:t>
      </w:r>
      <w:r w:rsidR="00F32B28" w:rsidRPr="00F32B28">
        <w:rPr>
          <w:rtl/>
        </w:rPr>
        <w:t>الرجوع</w:t>
      </w:r>
      <w:r w:rsidR="00F32B28">
        <w:rPr>
          <w:rtl/>
        </w:rPr>
        <w:t xml:space="preserve"> </w:t>
      </w:r>
      <w:r w:rsidR="00F32B28" w:rsidRPr="00F32B28">
        <w:rPr>
          <w:rtl/>
        </w:rPr>
        <w:t>على</w:t>
      </w:r>
      <w:r w:rsidR="00F32B28">
        <w:rPr>
          <w:rtl/>
        </w:rPr>
        <w:t xml:space="preserve"> </w:t>
      </w:r>
      <w:r w:rsidR="00F32B28" w:rsidRPr="00F32B28">
        <w:rPr>
          <w:rtl/>
        </w:rPr>
        <w:t>الأب</w:t>
      </w:r>
      <w:r w:rsidR="00F32B28">
        <w:rPr>
          <w:rtl/>
        </w:rPr>
        <w:t xml:space="preserve"> </w:t>
      </w:r>
      <w:r w:rsidR="00F32B28" w:rsidRPr="00F32B28">
        <w:rPr>
          <w:rtl/>
        </w:rPr>
        <w:t>بما</w:t>
      </w:r>
      <w:r w:rsidR="00F32B28">
        <w:rPr>
          <w:rtl/>
        </w:rPr>
        <w:t xml:space="preserve"> </w:t>
      </w:r>
      <w:r w:rsidR="00F32B28" w:rsidRPr="00F32B28">
        <w:rPr>
          <w:rtl/>
        </w:rPr>
        <w:t>دفعته،</w:t>
      </w:r>
      <w:r w:rsidR="00F32B28">
        <w:rPr>
          <w:rtl/>
        </w:rPr>
        <w:t xml:space="preserve"> </w:t>
      </w:r>
      <w:r w:rsidR="00F32B28" w:rsidRPr="00F32B28">
        <w:rPr>
          <w:rtl/>
        </w:rPr>
        <w:t>حين</w:t>
      </w:r>
      <w:r w:rsidR="00F32B28">
        <w:rPr>
          <w:rtl/>
        </w:rPr>
        <w:t xml:space="preserve"> </w:t>
      </w:r>
      <w:r w:rsidR="00F32B28" w:rsidRPr="00F32B28">
        <w:rPr>
          <w:rtl/>
        </w:rPr>
        <w:t>يساره</w:t>
      </w:r>
      <w:r w:rsidR="00F32B28">
        <w:rPr>
          <w:rtl/>
        </w:rPr>
        <w:t xml:space="preserve"> </w:t>
      </w:r>
      <w:r w:rsidR="00F32B28" w:rsidRPr="00F32B28">
        <w:rPr>
          <w:rtl/>
        </w:rPr>
        <w:t>أو</w:t>
      </w:r>
      <w:r w:rsidR="00F32B28">
        <w:rPr>
          <w:rtl/>
        </w:rPr>
        <w:t xml:space="preserve"> </w:t>
      </w:r>
      <w:r w:rsidR="00F32B28" w:rsidRPr="00F32B28">
        <w:rPr>
          <w:rtl/>
        </w:rPr>
        <w:t>عودته،</w:t>
      </w:r>
      <w:r w:rsidR="00F32B28">
        <w:rPr>
          <w:rtl/>
        </w:rPr>
        <w:t xml:space="preserve"> </w:t>
      </w:r>
      <w:r w:rsidR="00F32B28" w:rsidRPr="00F32B28">
        <w:rPr>
          <w:rtl/>
        </w:rPr>
        <w:t>باعتباره</w:t>
      </w:r>
      <w:r w:rsidR="00F32B28">
        <w:rPr>
          <w:rtl/>
        </w:rPr>
        <w:t xml:space="preserve"> </w:t>
      </w:r>
      <w:r w:rsidR="00F32B28" w:rsidRPr="00F32B28">
        <w:rPr>
          <w:rtl/>
        </w:rPr>
        <w:t>ديناً</w:t>
      </w:r>
      <w:r w:rsidR="00F32B28">
        <w:rPr>
          <w:rtl/>
        </w:rPr>
        <w:t xml:space="preserve"> </w:t>
      </w:r>
      <w:r w:rsidR="00F32B28" w:rsidRPr="00F32B28">
        <w:rPr>
          <w:rtl/>
        </w:rPr>
        <w:t>في</w:t>
      </w:r>
      <w:r w:rsidR="00F32B28">
        <w:rPr>
          <w:rtl/>
        </w:rPr>
        <w:t xml:space="preserve"> </w:t>
      </w:r>
      <w:r w:rsidR="00F32B28" w:rsidRPr="00F32B28">
        <w:rPr>
          <w:rtl/>
        </w:rPr>
        <w:t>ذمته.</w:t>
      </w:r>
    </w:p>
    <w:p w:rsidR="00F32B28" w:rsidRPr="00F32B28" w:rsidRDefault="00565595" w:rsidP="00565595">
      <w:pPr>
        <w:pStyle w:val="SingleTxt"/>
      </w:pPr>
      <w:r>
        <w:rPr>
          <w:rFonts w:hint="cs"/>
          <w:rtl/>
          <w:lang w:bidi="ar-JO"/>
        </w:rPr>
        <w:t xml:space="preserve">335 - </w:t>
      </w:r>
      <w:r w:rsidR="00F32B28" w:rsidRPr="00F32B28">
        <w:rPr>
          <w:rtl/>
          <w:lang w:bidi="ar-JO"/>
        </w:rPr>
        <w:t>وإذا</w:t>
      </w:r>
      <w:r w:rsidR="00F32B28">
        <w:rPr>
          <w:rtl/>
          <w:lang w:bidi="ar-JO"/>
        </w:rPr>
        <w:t xml:space="preserve"> </w:t>
      </w:r>
      <w:r w:rsidR="00F32B28" w:rsidRPr="00F32B28">
        <w:rPr>
          <w:rtl/>
          <w:lang w:bidi="ar-JO"/>
        </w:rPr>
        <w:t>امتنع</w:t>
      </w:r>
      <w:r w:rsidR="00F32B28">
        <w:rPr>
          <w:rtl/>
          <w:lang w:bidi="ar-JO"/>
        </w:rPr>
        <w:t xml:space="preserve"> </w:t>
      </w:r>
      <w:r w:rsidR="00F32B28" w:rsidRPr="00F32B28">
        <w:rPr>
          <w:rtl/>
          <w:lang w:bidi="ar-JO"/>
        </w:rPr>
        <w:t>الزوج</w:t>
      </w:r>
      <w:r w:rsidR="00F32B28">
        <w:rPr>
          <w:rtl/>
          <w:lang w:bidi="ar-JO"/>
        </w:rPr>
        <w:t xml:space="preserve"> </w:t>
      </w:r>
      <w:r w:rsidR="00F32B28" w:rsidRPr="00F32B28">
        <w:rPr>
          <w:rtl/>
          <w:lang w:bidi="ar-JO"/>
        </w:rPr>
        <w:t>ع</w:t>
      </w:r>
      <w:r w:rsidR="00F32B28" w:rsidRPr="00F32B28">
        <w:rPr>
          <w:rtl/>
        </w:rPr>
        <w:t>ن</w:t>
      </w:r>
      <w:r w:rsidR="00F32B28">
        <w:rPr>
          <w:rtl/>
        </w:rPr>
        <w:t xml:space="preserve"> </w:t>
      </w:r>
      <w:r w:rsidR="00F32B28" w:rsidRPr="00F32B28">
        <w:rPr>
          <w:rtl/>
        </w:rPr>
        <w:t>أداء</w:t>
      </w:r>
      <w:r w:rsidR="00F32B28">
        <w:rPr>
          <w:rtl/>
        </w:rPr>
        <w:t xml:space="preserve"> </w:t>
      </w:r>
      <w:r w:rsidR="00F32B28" w:rsidRPr="00F32B28">
        <w:rPr>
          <w:rtl/>
        </w:rPr>
        <w:t>النفقة</w:t>
      </w:r>
      <w:r w:rsidR="00F32B28">
        <w:rPr>
          <w:rtl/>
        </w:rPr>
        <w:t xml:space="preserve"> </w:t>
      </w:r>
      <w:r w:rsidR="00F32B28" w:rsidRPr="00F32B28">
        <w:rPr>
          <w:rtl/>
        </w:rPr>
        <w:t>الزوجية</w:t>
      </w:r>
      <w:r w:rsidR="00F32B28">
        <w:rPr>
          <w:rtl/>
        </w:rPr>
        <w:t xml:space="preserve"> </w:t>
      </w:r>
      <w:r w:rsidR="00F32B28" w:rsidRPr="00F32B28">
        <w:rPr>
          <w:rtl/>
        </w:rPr>
        <w:t>و/أو</w:t>
      </w:r>
      <w:r w:rsidR="00F32B28">
        <w:rPr>
          <w:rtl/>
        </w:rPr>
        <w:t xml:space="preserve"> </w:t>
      </w:r>
      <w:r w:rsidR="00F32B28" w:rsidRPr="00F32B28">
        <w:rPr>
          <w:rtl/>
        </w:rPr>
        <w:t>نفقة</w:t>
      </w:r>
      <w:r w:rsidR="00F32B28">
        <w:rPr>
          <w:rtl/>
        </w:rPr>
        <w:t xml:space="preserve"> </w:t>
      </w:r>
      <w:r w:rsidR="00F32B28" w:rsidRPr="00F32B28">
        <w:rPr>
          <w:rtl/>
        </w:rPr>
        <w:t>الصغار،</w:t>
      </w:r>
      <w:r w:rsidR="00F32B28">
        <w:rPr>
          <w:rtl/>
        </w:rPr>
        <w:t xml:space="preserve"> </w:t>
      </w:r>
      <w:r w:rsidR="00F32B28" w:rsidRPr="00F32B28">
        <w:rPr>
          <w:rtl/>
        </w:rPr>
        <w:t>فيحق</w:t>
      </w:r>
      <w:r w:rsidR="00F32B28">
        <w:rPr>
          <w:rtl/>
        </w:rPr>
        <w:t xml:space="preserve"> </w:t>
      </w:r>
      <w:r w:rsidR="00F32B28" w:rsidRPr="00F32B28">
        <w:rPr>
          <w:rtl/>
        </w:rPr>
        <w:t>للزوجة</w:t>
      </w:r>
      <w:r w:rsidR="00F32B28">
        <w:rPr>
          <w:rtl/>
        </w:rPr>
        <w:t xml:space="preserve"> </w:t>
      </w:r>
      <w:r w:rsidR="00F32B28" w:rsidRPr="00F32B28">
        <w:rPr>
          <w:rtl/>
        </w:rPr>
        <w:t>(أو</w:t>
      </w:r>
      <w:r w:rsidR="00F32B28">
        <w:rPr>
          <w:rtl/>
        </w:rPr>
        <w:t xml:space="preserve"> </w:t>
      </w:r>
      <w:r w:rsidR="00F32B28" w:rsidRPr="00F32B28">
        <w:rPr>
          <w:rtl/>
        </w:rPr>
        <w:t>أولاده</w:t>
      </w:r>
      <w:r w:rsidR="00F32B28">
        <w:rPr>
          <w:rtl/>
        </w:rPr>
        <w:t xml:space="preserve"> </w:t>
      </w:r>
      <w:r w:rsidR="00F32B28" w:rsidRPr="00F32B28">
        <w:rPr>
          <w:rtl/>
        </w:rPr>
        <w:t>عن</w:t>
      </w:r>
      <w:r w:rsidR="00F32B28">
        <w:rPr>
          <w:rtl/>
        </w:rPr>
        <w:t xml:space="preserve"> </w:t>
      </w:r>
      <w:r w:rsidR="00F32B28" w:rsidRPr="00F32B28">
        <w:rPr>
          <w:rtl/>
        </w:rPr>
        <w:t>نفقتهم)</w:t>
      </w:r>
      <w:r w:rsidR="00F32B28">
        <w:rPr>
          <w:rtl/>
        </w:rPr>
        <w:t xml:space="preserve"> </w:t>
      </w:r>
      <w:r w:rsidR="00F32B28" w:rsidRPr="00F32B28">
        <w:rPr>
          <w:rtl/>
        </w:rPr>
        <w:t>إقامة</w:t>
      </w:r>
      <w:r w:rsidR="00F32B28">
        <w:rPr>
          <w:rtl/>
        </w:rPr>
        <w:t xml:space="preserve"> </w:t>
      </w:r>
      <w:r w:rsidR="00F32B28" w:rsidRPr="00F32B28">
        <w:rPr>
          <w:rtl/>
        </w:rPr>
        <w:t>دعوى</w:t>
      </w:r>
      <w:r w:rsidR="00F32B28">
        <w:rPr>
          <w:rtl/>
        </w:rPr>
        <w:t xml:space="preserve"> </w:t>
      </w:r>
      <w:r w:rsidR="00F32B28" w:rsidRPr="00F32B28">
        <w:rPr>
          <w:rtl/>
        </w:rPr>
        <w:t>نفقة</w:t>
      </w:r>
      <w:r w:rsidR="00F32B28">
        <w:rPr>
          <w:rtl/>
        </w:rPr>
        <w:t xml:space="preserve"> </w:t>
      </w:r>
      <w:r w:rsidR="00F32B28" w:rsidRPr="00F32B28">
        <w:rPr>
          <w:rtl/>
        </w:rPr>
        <w:t>أمام</w:t>
      </w:r>
      <w:r w:rsidR="00F32B28">
        <w:rPr>
          <w:rtl/>
        </w:rPr>
        <w:t xml:space="preserve"> </w:t>
      </w:r>
      <w:r w:rsidR="00F32B28" w:rsidRPr="00F32B28">
        <w:rPr>
          <w:rtl/>
        </w:rPr>
        <w:t>المحاكم</w:t>
      </w:r>
      <w:r w:rsidR="00F32B28">
        <w:rPr>
          <w:rtl/>
        </w:rPr>
        <w:t xml:space="preserve"> </w:t>
      </w:r>
      <w:r w:rsidR="00F32B28" w:rsidRPr="00F32B28">
        <w:rPr>
          <w:rtl/>
        </w:rPr>
        <w:t>الشرعية</w:t>
      </w:r>
      <w:r w:rsidR="00F32B28">
        <w:rPr>
          <w:rtl/>
        </w:rPr>
        <w:t xml:space="preserve"> </w:t>
      </w:r>
      <w:r w:rsidR="00F32B28" w:rsidRPr="00F32B28">
        <w:rPr>
          <w:rtl/>
        </w:rPr>
        <w:t>وتنفيذ</w:t>
      </w:r>
      <w:r w:rsidR="00F32B28">
        <w:rPr>
          <w:rtl/>
        </w:rPr>
        <w:t xml:space="preserve"> </w:t>
      </w:r>
      <w:r w:rsidR="00F32B28" w:rsidRPr="00F32B28">
        <w:rPr>
          <w:rtl/>
        </w:rPr>
        <w:t>الحكم</w:t>
      </w:r>
      <w:r w:rsidR="00F32B28">
        <w:rPr>
          <w:rtl/>
        </w:rPr>
        <w:t xml:space="preserve"> </w:t>
      </w:r>
      <w:r w:rsidR="00F32B28" w:rsidRPr="00F32B28">
        <w:rPr>
          <w:rtl/>
        </w:rPr>
        <w:t>الصادر</w:t>
      </w:r>
      <w:r w:rsidR="00F32B28">
        <w:rPr>
          <w:rtl/>
        </w:rPr>
        <w:t xml:space="preserve"> </w:t>
      </w:r>
      <w:r w:rsidR="00F32B28" w:rsidRPr="00F32B28">
        <w:rPr>
          <w:rtl/>
        </w:rPr>
        <w:t>فيها</w:t>
      </w:r>
      <w:r w:rsidR="00F32B28">
        <w:rPr>
          <w:rtl/>
        </w:rPr>
        <w:t xml:space="preserve"> </w:t>
      </w:r>
      <w:r w:rsidR="00F32B28" w:rsidRPr="00F32B28">
        <w:rPr>
          <w:rtl/>
        </w:rPr>
        <w:t>في</w:t>
      </w:r>
      <w:r w:rsidR="00F32B28">
        <w:rPr>
          <w:rtl/>
        </w:rPr>
        <w:t xml:space="preserve"> </w:t>
      </w:r>
      <w:r w:rsidR="00F32B28" w:rsidRPr="00F32B28">
        <w:rPr>
          <w:rtl/>
        </w:rPr>
        <w:t>دوائر</w:t>
      </w:r>
      <w:r w:rsidR="00F32B28">
        <w:rPr>
          <w:rtl/>
        </w:rPr>
        <w:t xml:space="preserve"> </w:t>
      </w:r>
      <w:r w:rsidR="00F32B28" w:rsidRPr="00F32B28">
        <w:rPr>
          <w:rtl/>
        </w:rPr>
        <w:t>التنفيذ</w:t>
      </w:r>
      <w:r w:rsidR="00F32B28">
        <w:rPr>
          <w:rtl/>
        </w:rPr>
        <w:t xml:space="preserve"> </w:t>
      </w:r>
      <w:r w:rsidR="00F32B28" w:rsidRPr="00F32B28">
        <w:rPr>
          <w:rtl/>
        </w:rPr>
        <w:t>لدى</w:t>
      </w:r>
      <w:r w:rsidR="00F32B28">
        <w:rPr>
          <w:rtl/>
        </w:rPr>
        <w:t xml:space="preserve"> </w:t>
      </w:r>
      <w:r w:rsidR="00F32B28" w:rsidRPr="00F32B28">
        <w:rPr>
          <w:rtl/>
        </w:rPr>
        <w:t>محاكم</w:t>
      </w:r>
      <w:r w:rsidR="00F32B28">
        <w:rPr>
          <w:rtl/>
        </w:rPr>
        <w:t xml:space="preserve"> </w:t>
      </w:r>
      <w:r w:rsidR="00F32B28" w:rsidRPr="00F32B28">
        <w:rPr>
          <w:rtl/>
        </w:rPr>
        <w:t>الشرعية.</w:t>
      </w:r>
      <w:r w:rsidR="00F32B28">
        <w:rPr>
          <w:rtl/>
        </w:rPr>
        <w:t xml:space="preserve"> </w:t>
      </w:r>
      <w:r w:rsidR="00F32B28" w:rsidRPr="00F32B28">
        <w:rPr>
          <w:rtl/>
        </w:rPr>
        <w:t>ويحق</w:t>
      </w:r>
      <w:r w:rsidR="00F32B28">
        <w:rPr>
          <w:rtl/>
        </w:rPr>
        <w:t xml:space="preserve"> </w:t>
      </w:r>
      <w:r w:rsidR="00F32B28" w:rsidRPr="00F32B28">
        <w:rPr>
          <w:rtl/>
        </w:rPr>
        <w:t>للزوجة</w:t>
      </w:r>
      <w:r w:rsidR="00F32B28">
        <w:rPr>
          <w:rtl/>
        </w:rPr>
        <w:t xml:space="preserve"> </w:t>
      </w:r>
      <w:r w:rsidR="00F32B28" w:rsidRPr="00F32B28">
        <w:rPr>
          <w:rtl/>
        </w:rPr>
        <w:t>طلب</w:t>
      </w:r>
      <w:r w:rsidR="00F32B28">
        <w:rPr>
          <w:rtl/>
        </w:rPr>
        <w:t xml:space="preserve"> </w:t>
      </w:r>
      <w:r w:rsidR="00F32B28" w:rsidRPr="00F32B28">
        <w:rPr>
          <w:rtl/>
        </w:rPr>
        <w:t>حبس</w:t>
      </w:r>
      <w:r w:rsidR="00F32B28">
        <w:rPr>
          <w:rtl/>
        </w:rPr>
        <w:t xml:space="preserve"> </w:t>
      </w:r>
      <w:r w:rsidR="00F32B28" w:rsidRPr="00F32B28">
        <w:rPr>
          <w:rtl/>
        </w:rPr>
        <w:t>زوجها</w:t>
      </w:r>
      <w:r w:rsidR="00F32B28">
        <w:rPr>
          <w:rtl/>
        </w:rPr>
        <w:t xml:space="preserve"> </w:t>
      </w:r>
      <w:r w:rsidR="00F32B28" w:rsidRPr="00F32B28">
        <w:rPr>
          <w:rtl/>
        </w:rPr>
        <w:t>إذا</w:t>
      </w:r>
      <w:r w:rsidR="00F32B28">
        <w:rPr>
          <w:rtl/>
        </w:rPr>
        <w:t xml:space="preserve"> </w:t>
      </w:r>
      <w:r w:rsidR="00F32B28" w:rsidRPr="00F32B28">
        <w:rPr>
          <w:rtl/>
        </w:rPr>
        <w:t>امتنع</w:t>
      </w:r>
      <w:r w:rsidR="00F32B28">
        <w:rPr>
          <w:rtl/>
        </w:rPr>
        <w:t xml:space="preserve"> </w:t>
      </w:r>
      <w:r w:rsidR="00F32B28" w:rsidRPr="00F32B28">
        <w:rPr>
          <w:rtl/>
        </w:rPr>
        <w:t>عن</w:t>
      </w:r>
      <w:r w:rsidR="00F32B28">
        <w:rPr>
          <w:rtl/>
        </w:rPr>
        <w:t xml:space="preserve"> </w:t>
      </w:r>
      <w:r w:rsidR="00F32B28" w:rsidRPr="00F32B28">
        <w:rPr>
          <w:rtl/>
        </w:rPr>
        <w:t>تسديد</w:t>
      </w:r>
      <w:r w:rsidR="00F32B28">
        <w:rPr>
          <w:rtl/>
        </w:rPr>
        <w:t xml:space="preserve"> </w:t>
      </w:r>
      <w:r w:rsidR="00F32B28" w:rsidRPr="00F32B28">
        <w:rPr>
          <w:rtl/>
        </w:rPr>
        <w:t>النفقـة</w:t>
      </w:r>
      <w:r w:rsidR="00F32B28">
        <w:rPr>
          <w:rtl/>
        </w:rPr>
        <w:t xml:space="preserve"> </w:t>
      </w:r>
      <w:r w:rsidR="00F32B28" w:rsidRPr="00F32B28">
        <w:rPr>
          <w:rtl/>
        </w:rPr>
        <w:t>المحكوم</w:t>
      </w:r>
      <w:r w:rsidR="00F32B28">
        <w:rPr>
          <w:rtl/>
        </w:rPr>
        <w:t xml:space="preserve"> </w:t>
      </w:r>
      <w:r w:rsidR="00F32B28" w:rsidRPr="00F32B28">
        <w:rPr>
          <w:rtl/>
        </w:rPr>
        <w:t>بها،</w:t>
      </w:r>
      <w:r w:rsidR="00F32B28">
        <w:rPr>
          <w:rtl/>
        </w:rPr>
        <w:t xml:space="preserve"> </w:t>
      </w:r>
      <w:r w:rsidR="00F32B28" w:rsidRPr="00F32B28">
        <w:rPr>
          <w:rtl/>
        </w:rPr>
        <w:t>ولا</w:t>
      </w:r>
      <w:r w:rsidR="00F32B28">
        <w:rPr>
          <w:rtl/>
        </w:rPr>
        <w:t xml:space="preserve"> </w:t>
      </w:r>
      <w:r w:rsidR="00F32B28" w:rsidRPr="00F32B28">
        <w:rPr>
          <w:rtl/>
        </w:rPr>
        <w:t>حاجة</w:t>
      </w:r>
      <w:r w:rsidR="00F32B28">
        <w:rPr>
          <w:rtl/>
        </w:rPr>
        <w:t xml:space="preserve"> </w:t>
      </w:r>
      <w:r w:rsidR="00F32B28" w:rsidRPr="00F32B28">
        <w:rPr>
          <w:rtl/>
        </w:rPr>
        <w:t>لها</w:t>
      </w:r>
      <w:r w:rsidR="00F32B28">
        <w:rPr>
          <w:rtl/>
        </w:rPr>
        <w:t xml:space="preserve"> </w:t>
      </w:r>
      <w:r w:rsidR="00F32B28" w:rsidRPr="00F32B28">
        <w:rPr>
          <w:rtl/>
        </w:rPr>
        <w:t>في</w:t>
      </w:r>
      <w:r w:rsidR="00F32B28">
        <w:rPr>
          <w:rtl/>
        </w:rPr>
        <w:t xml:space="preserve"> </w:t>
      </w:r>
      <w:r w:rsidR="00F32B28" w:rsidRPr="00F32B28">
        <w:rPr>
          <w:rtl/>
        </w:rPr>
        <w:t>هذه</w:t>
      </w:r>
      <w:r w:rsidR="00F32B28">
        <w:rPr>
          <w:rtl/>
        </w:rPr>
        <w:t xml:space="preserve"> </w:t>
      </w:r>
      <w:r w:rsidR="00F32B28" w:rsidRPr="00F32B28">
        <w:rPr>
          <w:rtl/>
        </w:rPr>
        <w:t>الحالة</w:t>
      </w:r>
      <w:r w:rsidR="00F32B28">
        <w:rPr>
          <w:rtl/>
        </w:rPr>
        <w:t xml:space="preserve"> </w:t>
      </w:r>
      <w:r w:rsidR="00F32B28" w:rsidRPr="00F32B28">
        <w:rPr>
          <w:rtl/>
        </w:rPr>
        <w:t>لإثبات</w:t>
      </w:r>
      <w:r w:rsidR="00F32B28">
        <w:rPr>
          <w:rtl/>
        </w:rPr>
        <w:t xml:space="preserve"> </w:t>
      </w:r>
      <w:r w:rsidR="00F32B28" w:rsidRPr="00F32B28">
        <w:rPr>
          <w:rtl/>
        </w:rPr>
        <w:t>اقتداره</w:t>
      </w:r>
      <w:r w:rsidR="00F32B28">
        <w:rPr>
          <w:rtl/>
        </w:rPr>
        <w:t xml:space="preserve"> </w:t>
      </w:r>
      <w:r w:rsidR="00F32B28" w:rsidRPr="00F32B28">
        <w:rPr>
          <w:rtl/>
        </w:rPr>
        <w:t>عند</w:t>
      </w:r>
      <w:r w:rsidR="00F32B28">
        <w:rPr>
          <w:rtl/>
        </w:rPr>
        <w:t xml:space="preserve"> </w:t>
      </w:r>
      <w:r w:rsidR="00F32B28" w:rsidRPr="00F32B28">
        <w:rPr>
          <w:rtl/>
        </w:rPr>
        <w:t>طلب</w:t>
      </w:r>
      <w:r w:rsidR="00F32B28">
        <w:rPr>
          <w:rtl/>
        </w:rPr>
        <w:t xml:space="preserve"> </w:t>
      </w:r>
      <w:r w:rsidR="00F32B28" w:rsidRPr="00F32B28">
        <w:rPr>
          <w:rtl/>
        </w:rPr>
        <w:t>حبسه،</w:t>
      </w:r>
      <w:r w:rsidR="00F32B28">
        <w:rPr>
          <w:rtl/>
        </w:rPr>
        <w:t xml:space="preserve"> </w:t>
      </w:r>
      <w:r w:rsidR="00F32B28" w:rsidRPr="00F32B28">
        <w:rPr>
          <w:rtl/>
        </w:rPr>
        <w:t>كما</w:t>
      </w:r>
      <w:r w:rsidR="00F32B28">
        <w:rPr>
          <w:rtl/>
        </w:rPr>
        <w:t xml:space="preserve"> </w:t>
      </w:r>
      <w:r w:rsidR="00F32B28" w:rsidRPr="00F32B28">
        <w:rPr>
          <w:rtl/>
        </w:rPr>
        <w:t>يحق</w:t>
      </w:r>
      <w:r w:rsidR="00F32B28">
        <w:rPr>
          <w:rtl/>
        </w:rPr>
        <w:t xml:space="preserve"> </w:t>
      </w:r>
      <w:r w:rsidR="00F32B28" w:rsidRPr="00F32B28">
        <w:rPr>
          <w:rtl/>
        </w:rPr>
        <w:t>لها</w:t>
      </w:r>
      <w:r w:rsidR="00F32B28">
        <w:rPr>
          <w:rtl/>
        </w:rPr>
        <w:t xml:space="preserve"> </w:t>
      </w:r>
      <w:r w:rsidR="00F32B28" w:rsidRPr="00F32B28">
        <w:rPr>
          <w:rtl/>
        </w:rPr>
        <w:t>الحجز</w:t>
      </w:r>
      <w:r w:rsidR="00F32B28">
        <w:rPr>
          <w:rtl/>
        </w:rPr>
        <w:t xml:space="preserve"> </w:t>
      </w:r>
      <w:r w:rsidR="00F32B28" w:rsidRPr="00F32B28">
        <w:rPr>
          <w:rtl/>
        </w:rPr>
        <w:t>على</w:t>
      </w:r>
      <w:r w:rsidR="00F32B28">
        <w:rPr>
          <w:rtl/>
        </w:rPr>
        <w:t xml:space="preserve"> </w:t>
      </w:r>
      <w:r w:rsidR="00F32B28" w:rsidRPr="00F32B28">
        <w:rPr>
          <w:rtl/>
        </w:rPr>
        <w:t>راتبه</w:t>
      </w:r>
      <w:r w:rsidR="00F32B28">
        <w:rPr>
          <w:rtl/>
        </w:rPr>
        <w:t xml:space="preserve"> </w:t>
      </w:r>
      <w:r w:rsidR="00F32B28" w:rsidRPr="00F32B28">
        <w:rPr>
          <w:rtl/>
        </w:rPr>
        <w:t>أو</w:t>
      </w:r>
      <w:r w:rsidR="00F32B28">
        <w:rPr>
          <w:rtl/>
        </w:rPr>
        <w:t xml:space="preserve"> </w:t>
      </w:r>
      <w:r w:rsidR="00F32B28" w:rsidRPr="00F32B28">
        <w:rPr>
          <w:rtl/>
        </w:rPr>
        <w:t>ما</w:t>
      </w:r>
      <w:r w:rsidR="00F32B28">
        <w:rPr>
          <w:rtl/>
        </w:rPr>
        <w:t xml:space="preserve"> </w:t>
      </w:r>
      <w:r w:rsidR="00F32B28" w:rsidRPr="00F32B28">
        <w:rPr>
          <w:rtl/>
        </w:rPr>
        <w:t>يقوم</w:t>
      </w:r>
      <w:r w:rsidR="00F32B28">
        <w:rPr>
          <w:rtl/>
        </w:rPr>
        <w:t xml:space="preserve"> </w:t>
      </w:r>
      <w:r w:rsidR="00F32B28" w:rsidRPr="00F32B28">
        <w:rPr>
          <w:rtl/>
        </w:rPr>
        <w:t>مقامه</w:t>
      </w:r>
      <w:r w:rsidR="00F32B28">
        <w:rPr>
          <w:rtl/>
        </w:rPr>
        <w:t xml:space="preserve"> </w:t>
      </w:r>
      <w:r w:rsidR="00F32B28" w:rsidRPr="00F32B28">
        <w:rPr>
          <w:rtl/>
        </w:rPr>
        <w:t>بمقدار</w:t>
      </w:r>
      <w:r w:rsidR="00F32B28">
        <w:rPr>
          <w:rtl/>
        </w:rPr>
        <w:t xml:space="preserve"> </w:t>
      </w:r>
      <w:r w:rsidR="00F32B28" w:rsidRPr="00F32B28">
        <w:rPr>
          <w:rtl/>
        </w:rPr>
        <w:t>الربع،</w:t>
      </w:r>
      <w:r w:rsidR="00F32B28">
        <w:rPr>
          <w:rtl/>
        </w:rPr>
        <w:t xml:space="preserve"> </w:t>
      </w:r>
      <w:r w:rsidR="00F32B28" w:rsidRPr="00F32B28">
        <w:rPr>
          <w:rtl/>
        </w:rPr>
        <w:t>وفي</w:t>
      </w:r>
      <w:r w:rsidR="00F32B28">
        <w:rPr>
          <w:rtl/>
        </w:rPr>
        <w:t xml:space="preserve"> </w:t>
      </w:r>
      <w:r w:rsidR="00F32B28" w:rsidRPr="00F32B28">
        <w:rPr>
          <w:rtl/>
        </w:rPr>
        <w:t>حالة</w:t>
      </w:r>
      <w:r w:rsidR="00F32B28">
        <w:rPr>
          <w:rtl/>
        </w:rPr>
        <w:t xml:space="preserve"> </w:t>
      </w:r>
      <w:r w:rsidR="00F32B28" w:rsidRPr="00F32B28">
        <w:rPr>
          <w:rtl/>
        </w:rPr>
        <w:t>تزاحم</w:t>
      </w:r>
      <w:r w:rsidR="00F32B28">
        <w:rPr>
          <w:rtl/>
        </w:rPr>
        <w:t xml:space="preserve"> </w:t>
      </w:r>
      <w:r w:rsidR="00F32B28" w:rsidRPr="00F32B28">
        <w:rPr>
          <w:rtl/>
        </w:rPr>
        <w:t>الديون</w:t>
      </w:r>
      <w:r w:rsidR="00F32B28">
        <w:rPr>
          <w:rtl/>
        </w:rPr>
        <w:t xml:space="preserve"> </w:t>
      </w:r>
      <w:r w:rsidR="00F32B28" w:rsidRPr="00F32B28">
        <w:rPr>
          <w:rtl/>
        </w:rPr>
        <w:t>تكون</w:t>
      </w:r>
      <w:r w:rsidR="00F32B28">
        <w:rPr>
          <w:rtl/>
        </w:rPr>
        <w:t xml:space="preserve"> </w:t>
      </w:r>
      <w:r w:rsidR="00F32B28" w:rsidRPr="00F32B28">
        <w:rPr>
          <w:rtl/>
        </w:rPr>
        <w:t>لديون</w:t>
      </w:r>
      <w:r w:rsidR="00F32B28">
        <w:rPr>
          <w:rtl/>
        </w:rPr>
        <w:t xml:space="preserve"> </w:t>
      </w:r>
      <w:r w:rsidR="00F32B28" w:rsidRPr="00F32B28">
        <w:rPr>
          <w:rtl/>
        </w:rPr>
        <w:t>النفقة</w:t>
      </w:r>
      <w:r w:rsidR="00F32B28">
        <w:rPr>
          <w:rtl/>
        </w:rPr>
        <w:t xml:space="preserve"> </w:t>
      </w:r>
      <w:r w:rsidR="00F32B28" w:rsidRPr="00F32B28">
        <w:rPr>
          <w:rtl/>
        </w:rPr>
        <w:t>المقررة</w:t>
      </w:r>
      <w:r w:rsidR="00F32B28">
        <w:rPr>
          <w:rtl/>
        </w:rPr>
        <w:t xml:space="preserve"> </w:t>
      </w:r>
      <w:r w:rsidR="00F32B28" w:rsidRPr="00F32B28">
        <w:rPr>
          <w:rtl/>
        </w:rPr>
        <w:t>أولوية</w:t>
      </w:r>
      <w:r w:rsidR="00F32B28">
        <w:rPr>
          <w:rtl/>
        </w:rPr>
        <w:t xml:space="preserve"> </w:t>
      </w:r>
      <w:r w:rsidR="00F32B28" w:rsidRPr="00F32B28">
        <w:rPr>
          <w:rtl/>
        </w:rPr>
        <w:t>في</w:t>
      </w:r>
      <w:r w:rsidR="00F32B28">
        <w:rPr>
          <w:rtl/>
        </w:rPr>
        <w:t xml:space="preserve"> </w:t>
      </w:r>
      <w:r w:rsidR="00F32B28" w:rsidRPr="00F32B28">
        <w:rPr>
          <w:rtl/>
        </w:rPr>
        <w:t>الاستيفاء.</w:t>
      </w:r>
      <w:r w:rsidR="00F32B28">
        <w:rPr>
          <w:rtl/>
        </w:rPr>
        <w:t xml:space="preserve"> </w:t>
      </w:r>
      <w:r w:rsidR="00F32B28" w:rsidRPr="00F32B28">
        <w:rPr>
          <w:rtl/>
        </w:rPr>
        <w:t>ويحق</w:t>
      </w:r>
      <w:r w:rsidR="00F32B28">
        <w:rPr>
          <w:rtl/>
        </w:rPr>
        <w:t xml:space="preserve"> </w:t>
      </w:r>
      <w:r w:rsidR="00F32B28" w:rsidRPr="00F32B28">
        <w:rPr>
          <w:rtl/>
        </w:rPr>
        <w:t>لها</w:t>
      </w:r>
      <w:r w:rsidR="00F32B28">
        <w:rPr>
          <w:rtl/>
        </w:rPr>
        <w:t xml:space="preserve"> </w:t>
      </w:r>
      <w:r w:rsidR="00F32B28" w:rsidRPr="00F32B28">
        <w:rPr>
          <w:rtl/>
        </w:rPr>
        <w:t>إلقاء</w:t>
      </w:r>
      <w:r w:rsidR="00F32B28">
        <w:rPr>
          <w:rtl/>
        </w:rPr>
        <w:t xml:space="preserve"> </w:t>
      </w:r>
      <w:r w:rsidR="00F32B28" w:rsidRPr="00F32B28">
        <w:rPr>
          <w:rtl/>
        </w:rPr>
        <w:t>الحجز</w:t>
      </w:r>
      <w:r w:rsidR="00F32B28">
        <w:rPr>
          <w:rtl/>
        </w:rPr>
        <w:t xml:space="preserve"> </w:t>
      </w:r>
      <w:r w:rsidR="00F32B28" w:rsidRPr="00F32B28">
        <w:rPr>
          <w:rtl/>
        </w:rPr>
        <w:t>التنفيذي</w:t>
      </w:r>
      <w:r w:rsidR="00F32B28">
        <w:rPr>
          <w:rtl/>
        </w:rPr>
        <w:t xml:space="preserve"> </w:t>
      </w:r>
      <w:r w:rsidR="00F32B28" w:rsidRPr="00F32B28">
        <w:rPr>
          <w:rtl/>
        </w:rPr>
        <w:t>على</w:t>
      </w:r>
      <w:r w:rsidR="00F32B28">
        <w:rPr>
          <w:rtl/>
        </w:rPr>
        <w:t xml:space="preserve"> </w:t>
      </w:r>
      <w:r w:rsidR="00F32B28" w:rsidRPr="00F32B28">
        <w:rPr>
          <w:rtl/>
        </w:rPr>
        <w:t>أملاك</w:t>
      </w:r>
      <w:r w:rsidR="00F32B28">
        <w:rPr>
          <w:rtl/>
        </w:rPr>
        <w:t xml:space="preserve"> </w:t>
      </w:r>
      <w:r w:rsidR="00F32B28" w:rsidRPr="00F32B28">
        <w:rPr>
          <w:rtl/>
        </w:rPr>
        <w:t>زوجها</w:t>
      </w:r>
      <w:r w:rsidR="00F32B28">
        <w:rPr>
          <w:rtl/>
        </w:rPr>
        <w:t xml:space="preserve"> </w:t>
      </w:r>
      <w:r w:rsidR="00F32B28" w:rsidRPr="00F32B28">
        <w:rPr>
          <w:rtl/>
        </w:rPr>
        <w:t>وبيعها</w:t>
      </w:r>
      <w:r w:rsidR="00F32B28">
        <w:rPr>
          <w:rtl/>
        </w:rPr>
        <w:t xml:space="preserve"> </w:t>
      </w:r>
      <w:r w:rsidR="00F32B28" w:rsidRPr="00F32B28">
        <w:rPr>
          <w:rtl/>
        </w:rPr>
        <w:t>في</w:t>
      </w:r>
      <w:r w:rsidR="00F32B28">
        <w:rPr>
          <w:rtl/>
        </w:rPr>
        <w:t xml:space="preserve"> </w:t>
      </w:r>
      <w:r w:rsidR="00F32B28" w:rsidRPr="00F32B28">
        <w:rPr>
          <w:rtl/>
        </w:rPr>
        <w:t>المزاد</w:t>
      </w:r>
      <w:r w:rsidR="00F32B28">
        <w:rPr>
          <w:rtl/>
        </w:rPr>
        <w:t xml:space="preserve"> </w:t>
      </w:r>
      <w:r w:rsidR="00F32B28" w:rsidRPr="00F32B28">
        <w:rPr>
          <w:rtl/>
        </w:rPr>
        <w:t>العلني.</w:t>
      </w:r>
      <w:r>
        <w:rPr>
          <w:rFonts w:hint="cs"/>
          <w:rtl/>
        </w:rPr>
        <w:t xml:space="preserve"> </w:t>
      </w:r>
      <w:r w:rsidR="00F32B28" w:rsidRPr="00F32B28">
        <w:rPr>
          <w:rtl/>
        </w:rPr>
        <w:t>هذا</w:t>
      </w:r>
      <w:r w:rsidR="00F32B28">
        <w:rPr>
          <w:rtl/>
        </w:rPr>
        <w:t xml:space="preserve"> </w:t>
      </w:r>
      <w:r w:rsidR="00F32B28" w:rsidRPr="00F32B28">
        <w:rPr>
          <w:rtl/>
        </w:rPr>
        <w:t>فضلاً</w:t>
      </w:r>
      <w:r w:rsidR="00F32B28">
        <w:rPr>
          <w:rtl/>
        </w:rPr>
        <w:t xml:space="preserve"> </w:t>
      </w:r>
      <w:r w:rsidR="00F32B28" w:rsidRPr="00F32B28">
        <w:rPr>
          <w:rtl/>
        </w:rPr>
        <w:t>عن</w:t>
      </w:r>
      <w:r w:rsidR="00F32B28">
        <w:rPr>
          <w:rtl/>
        </w:rPr>
        <w:t xml:space="preserve"> </w:t>
      </w:r>
      <w:r w:rsidR="00F32B28" w:rsidRPr="00F32B28">
        <w:rPr>
          <w:rtl/>
        </w:rPr>
        <w:t>أن</w:t>
      </w:r>
      <w:r w:rsidR="00F32B28">
        <w:rPr>
          <w:rtl/>
        </w:rPr>
        <w:t xml:space="preserve"> </w:t>
      </w:r>
      <w:r w:rsidR="00F32B28" w:rsidRPr="00F32B28">
        <w:rPr>
          <w:rtl/>
        </w:rPr>
        <w:t>دين</w:t>
      </w:r>
      <w:r w:rsidR="00F32B28">
        <w:rPr>
          <w:rtl/>
        </w:rPr>
        <w:t xml:space="preserve"> </w:t>
      </w:r>
      <w:r w:rsidR="00F32B28" w:rsidRPr="00F32B28">
        <w:rPr>
          <w:rtl/>
        </w:rPr>
        <w:t>نفقة</w:t>
      </w:r>
      <w:r w:rsidR="00F32B28">
        <w:rPr>
          <w:rtl/>
        </w:rPr>
        <w:t xml:space="preserve"> </w:t>
      </w:r>
      <w:r w:rsidR="00F32B28" w:rsidRPr="00F32B28">
        <w:rPr>
          <w:rtl/>
        </w:rPr>
        <w:t>الزوجة</w:t>
      </w:r>
      <w:r w:rsidR="00F32B28">
        <w:rPr>
          <w:rtl/>
        </w:rPr>
        <w:t xml:space="preserve"> </w:t>
      </w:r>
      <w:r w:rsidR="00F32B28" w:rsidRPr="00F32B28">
        <w:rPr>
          <w:rtl/>
        </w:rPr>
        <w:t>والأولاد</w:t>
      </w:r>
      <w:r w:rsidR="00F32B28">
        <w:rPr>
          <w:rtl/>
        </w:rPr>
        <w:t xml:space="preserve"> </w:t>
      </w:r>
      <w:r w:rsidR="00F32B28" w:rsidRPr="00F32B28">
        <w:rPr>
          <w:rtl/>
        </w:rPr>
        <w:t>المحكوم</w:t>
      </w:r>
      <w:r w:rsidR="00F32B28">
        <w:rPr>
          <w:rtl/>
        </w:rPr>
        <w:t xml:space="preserve"> </w:t>
      </w:r>
      <w:r w:rsidR="00F32B28" w:rsidRPr="00F32B28">
        <w:rPr>
          <w:rtl/>
        </w:rPr>
        <w:t>بها</w:t>
      </w:r>
      <w:r w:rsidR="00F32B28">
        <w:rPr>
          <w:rtl/>
        </w:rPr>
        <w:t xml:space="preserve"> </w:t>
      </w:r>
      <w:r w:rsidR="00F32B28" w:rsidRPr="00F32B28">
        <w:rPr>
          <w:rtl/>
        </w:rPr>
        <w:t>تعتبر</w:t>
      </w:r>
      <w:r w:rsidR="00F32B28">
        <w:rPr>
          <w:rtl/>
        </w:rPr>
        <w:t xml:space="preserve"> </w:t>
      </w:r>
      <w:r w:rsidR="00F32B28" w:rsidRPr="00F32B28">
        <w:rPr>
          <w:rtl/>
        </w:rPr>
        <w:t>بشكل</w:t>
      </w:r>
      <w:r w:rsidR="00F32B28">
        <w:rPr>
          <w:rtl/>
        </w:rPr>
        <w:t xml:space="preserve"> </w:t>
      </w:r>
      <w:r w:rsidR="00F32B28" w:rsidRPr="00F32B28">
        <w:rPr>
          <w:rtl/>
        </w:rPr>
        <w:t>عام</w:t>
      </w:r>
      <w:r w:rsidR="00F32B28">
        <w:rPr>
          <w:rtl/>
        </w:rPr>
        <w:t xml:space="preserve"> </w:t>
      </w:r>
      <w:r w:rsidR="00F32B28" w:rsidRPr="00F32B28">
        <w:rPr>
          <w:rtl/>
        </w:rPr>
        <w:t>من</w:t>
      </w:r>
      <w:r w:rsidR="00F32B28">
        <w:rPr>
          <w:rtl/>
        </w:rPr>
        <w:t xml:space="preserve"> </w:t>
      </w:r>
      <w:r w:rsidR="00F32B28" w:rsidRPr="00F32B28">
        <w:rPr>
          <w:rtl/>
        </w:rPr>
        <w:t>الديون</w:t>
      </w:r>
      <w:r w:rsidR="00F32B28">
        <w:rPr>
          <w:rtl/>
        </w:rPr>
        <w:t xml:space="preserve"> </w:t>
      </w:r>
      <w:r w:rsidR="00F32B28" w:rsidRPr="00F32B28">
        <w:rPr>
          <w:rtl/>
        </w:rPr>
        <w:t>الممتازة</w:t>
      </w:r>
      <w:r w:rsidR="00F32B28">
        <w:rPr>
          <w:rtl/>
        </w:rPr>
        <w:t xml:space="preserve"> </w:t>
      </w:r>
      <w:r w:rsidR="00F32B28" w:rsidRPr="00F32B28">
        <w:rPr>
          <w:rtl/>
        </w:rPr>
        <w:t>امتيازاً</w:t>
      </w:r>
      <w:r w:rsidR="00F32B28">
        <w:rPr>
          <w:rtl/>
        </w:rPr>
        <w:t xml:space="preserve"> </w:t>
      </w:r>
      <w:r w:rsidR="00F32B28" w:rsidRPr="00F32B28">
        <w:rPr>
          <w:rtl/>
        </w:rPr>
        <w:t>عاماً،</w:t>
      </w:r>
      <w:r w:rsidR="00F32B28">
        <w:rPr>
          <w:rtl/>
        </w:rPr>
        <w:t xml:space="preserve"> </w:t>
      </w:r>
      <w:r w:rsidR="00F32B28" w:rsidRPr="00F32B28">
        <w:rPr>
          <w:rtl/>
        </w:rPr>
        <w:t>وتستوفى</w:t>
      </w:r>
      <w:r w:rsidR="00F32B28">
        <w:rPr>
          <w:rtl/>
        </w:rPr>
        <w:t xml:space="preserve"> </w:t>
      </w:r>
      <w:r w:rsidR="00F32B28" w:rsidRPr="00F32B28">
        <w:rPr>
          <w:rtl/>
        </w:rPr>
        <w:t>قبل</w:t>
      </w:r>
      <w:r w:rsidR="00F32B28">
        <w:rPr>
          <w:rtl/>
        </w:rPr>
        <w:t xml:space="preserve"> </w:t>
      </w:r>
      <w:r w:rsidR="00F32B28" w:rsidRPr="00F32B28">
        <w:rPr>
          <w:rtl/>
        </w:rPr>
        <w:t>غيرها</w:t>
      </w:r>
      <w:r w:rsidR="00F32B28">
        <w:rPr>
          <w:rtl/>
        </w:rPr>
        <w:t xml:space="preserve"> </w:t>
      </w:r>
      <w:r w:rsidR="00F32B28" w:rsidRPr="00F32B28">
        <w:rPr>
          <w:rtl/>
        </w:rPr>
        <w:t>من</w:t>
      </w:r>
      <w:r w:rsidR="00F32B28">
        <w:rPr>
          <w:rtl/>
        </w:rPr>
        <w:t xml:space="preserve"> </w:t>
      </w:r>
      <w:r w:rsidR="00F32B28" w:rsidRPr="00F32B28">
        <w:rPr>
          <w:rtl/>
        </w:rPr>
        <w:t>أموال</w:t>
      </w:r>
      <w:r w:rsidR="00F32B28">
        <w:rPr>
          <w:rtl/>
        </w:rPr>
        <w:t xml:space="preserve"> </w:t>
      </w:r>
      <w:r w:rsidR="00F32B28" w:rsidRPr="00F32B28">
        <w:rPr>
          <w:rtl/>
        </w:rPr>
        <w:t>المدين</w:t>
      </w:r>
      <w:r w:rsidR="00F32B28">
        <w:rPr>
          <w:rtl/>
        </w:rPr>
        <w:t xml:space="preserve"> </w:t>
      </w:r>
      <w:r w:rsidR="00F32B28" w:rsidRPr="00F32B28">
        <w:rPr>
          <w:rtl/>
        </w:rPr>
        <w:t>المنقولة</w:t>
      </w:r>
      <w:r w:rsidR="00F32B28">
        <w:rPr>
          <w:rtl/>
        </w:rPr>
        <w:t xml:space="preserve"> </w:t>
      </w:r>
      <w:r w:rsidR="00F32B28" w:rsidRPr="00F32B28">
        <w:rPr>
          <w:rtl/>
        </w:rPr>
        <w:t>وغير</w:t>
      </w:r>
      <w:r w:rsidR="00F32B28">
        <w:rPr>
          <w:rtl/>
        </w:rPr>
        <w:t xml:space="preserve"> </w:t>
      </w:r>
      <w:r w:rsidR="00F32B28" w:rsidRPr="00F32B28">
        <w:rPr>
          <w:rtl/>
        </w:rPr>
        <w:t>المنقولة.</w:t>
      </w:r>
      <w:r w:rsidR="00F32B28">
        <w:rPr>
          <w:rtl/>
        </w:rPr>
        <w:t xml:space="preserve"> </w:t>
      </w:r>
      <w:r w:rsidR="00F32B28" w:rsidRPr="00F32B28">
        <w:rPr>
          <w:rtl/>
          <w:lang w:bidi="ar-SY"/>
        </w:rPr>
        <w:t>وفي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تعذر</w:t>
      </w:r>
      <w:r w:rsidR="00F32B28">
        <w:rPr>
          <w:rtl/>
          <w:lang w:bidi="ar-SY"/>
        </w:rPr>
        <w:t xml:space="preserve"> </w:t>
      </w:r>
      <w:r w:rsidR="00F32B28" w:rsidRPr="00F32B28">
        <w:rPr>
          <w:rtl/>
          <w:lang w:bidi="ar-SY"/>
        </w:rPr>
        <w:t>تنفيذ</w:t>
      </w:r>
      <w:r w:rsidR="00F32B28">
        <w:rPr>
          <w:rtl/>
          <w:lang w:bidi="ar-SY"/>
        </w:rPr>
        <w:t xml:space="preserve"> </w:t>
      </w:r>
      <w:r w:rsidR="00F32B28" w:rsidRPr="00F32B28">
        <w:rPr>
          <w:rtl/>
          <w:lang w:bidi="ar-SY"/>
        </w:rPr>
        <w:t>حكم</w:t>
      </w:r>
      <w:r w:rsidR="00F32B28">
        <w:rPr>
          <w:rtl/>
          <w:lang w:bidi="ar-SY"/>
        </w:rPr>
        <w:t xml:space="preserve"> </w:t>
      </w:r>
      <w:r w:rsidR="00F32B28" w:rsidRPr="00F32B28">
        <w:rPr>
          <w:rtl/>
          <w:lang w:bidi="ar-SY"/>
        </w:rPr>
        <w:t>النفقة،</w:t>
      </w:r>
      <w:r w:rsidR="00F32B28">
        <w:rPr>
          <w:rtl/>
          <w:lang w:bidi="ar-SY"/>
        </w:rPr>
        <w:t xml:space="preserve"> </w:t>
      </w:r>
      <w:r w:rsidR="00F32B28" w:rsidRPr="00F32B28">
        <w:rPr>
          <w:rtl/>
        </w:rPr>
        <w:t>يقوم</w:t>
      </w:r>
      <w:r w:rsidR="00F32B28">
        <w:rPr>
          <w:rtl/>
        </w:rPr>
        <w:t xml:space="preserve"> </w:t>
      </w:r>
      <w:r w:rsidR="00F32B28" w:rsidRPr="00F32B28">
        <w:rPr>
          <w:rtl/>
        </w:rPr>
        <w:t>صندوق</w:t>
      </w:r>
      <w:r w:rsidR="00F32B28">
        <w:rPr>
          <w:rtl/>
        </w:rPr>
        <w:t xml:space="preserve"> </w:t>
      </w:r>
      <w:r w:rsidR="00F32B28" w:rsidRPr="00F32B28">
        <w:rPr>
          <w:rtl/>
        </w:rPr>
        <w:t>النفقة</w:t>
      </w:r>
      <w:r w:rsidR="00F32B28">
        <w:rPr>
          <w:rtl/>
        </w:rPr>
        <w:t xml:space="preserve"> </w:t>
      </w:r>
      <w:r w:rsidR="00F32B28" w:rsidRPr="00F32B28">
        <w:rPr>
          <w:rtl/>
        </w:rPr>
        <w:t>بصرفها</w:t>
      </w:r>
      <w:r w:rsidR="00F32B28">
        <w:rPr>
          <w:rtl/>
        </w:rPr>
        <w:t xml:space="preserve"> </w:t>
      </w:r>
      <w:r w:rsidR="00F32B28" w:rsidRPr="00F32B28">
        <w:rPr>
          <w:rtl/>
        </w:rPr>
        <w:t>للزوجة</w:t>
      </w:r>
      <w:r w:rsidR="00F32B28">
        <w:rPr>
          <w:rtl/>
        </w:rPr>
        <w:t xml:space="preserve"> </w:t>
      </w:r>
      <w:r w:rsidR="00F32B28" w:rsidRPr="00F32B28">
        <w:rPr>
          <w:rtl/>
        </w:rPr>
        <w:t>والأولاد</w:t>
      </w:r>
      <w:r w:rsidR="00F32B28">
        <w:rPr>
          <w:rtl/>
        </w:rPr>
        <w:t xml:space="preserve"> </w:t>
      </w:r>
      <w:r w:rsidR="00F32B28" w:rsidRPr="00F32B28">
        <w:rPr>
          <w:rtl/>
        </w:rPr>
        <w:t>كما</w:t>
      </w:r>
      <w:r w:rsidR="00F32B28">
        <w:rPr>
          <w:rtl/>
        </w:rPr>
        <w:t xml:space="preserve"> </w:t>
      </w:r>
      <w:r w:rsidR="00F32B28" w:rsidRPr="00F32B28">
        <w:rPr>
          <w:rtl/>
        </w:rPr>
        <w:t>سبق</w:t>
      </w:r>
      <w:r w:rsidR="00F32B28">
        <w:rPr>
          <w:rtl/>
        </w:rPr>
        <w:t xml:space="preserve"> </w:t>
      </w:r>
      <w:r w:rsidR="00F32B28" w:rsidRPr="00F32B28">
        <w:rPr>
          <w:rtl/>
        </w:rPr>
        <w:t>بيانه.</w:t>
      </w:r>
    </w:p>
    <w:p w:rsidR="00F32B28" w:rsidRPr="00F32B28" w:rsidRDefault="00565595" w:rsidP="00565595">
      <w:pPr>
        <w:pStyle w:val="SingleTxt"/>
      </w:pPr>
      <w:r>
        <w:rPr>
          <w:rFonts w:hint="cs"/>
          <w:rtl/>
        </w:rPr>
        <w:t xml:space="preserve">336 - </w:t>
      </w:r>
      <w:r w:rsidR="00F32B28" w:rsidRPr="00F32B28">
        <w:rPr>
          <w:rtl/>
        </w:rPr>
        <w:t>أما</w:t>
      </w:r>
      <w:r w:rsidR="00F32B28">
        <w:rPr>
          <w:rtl/>
        </w:rPr>
        <w:t xml:space="preserve"> </w:t>
      </w:r>
      <w:r w:rsidR="00F32B28" w:rsidRPr="00F32B28">
        <w:rPr>
          <w:rtl/>
        </w:rPr>
        <w:t>بخصوص</w:t>
      </w:r>
      <w:r w:rsidR="00F32B28">
        <w:rPr>
          <w:rtl/>
        </w:rPr>
        <w:t xml:space="preserve"> </w:t>
      </w:r>
      <w:r w:rsidR="00F32B28" w:rsidRPr="00F32B28">
        <w:rPr>
          <w:rtl/>
        </w:rPr>
        <w:t>حقوق</w:t>
      </w:r>
      <w:r w:rsidR="00F32B28">
        <w:rPr>
          <w:rtl/>
        </w:rPr>
        <w:t xml:space="preserve"> </w:t>
      </w:r>
      <w:r w:rsidR="00F32B28" w:rsidRPr="00F32B28">
        <w:rPr>
          <w:rtl/>
        </w:rPr>
        <w:t>ومسؤوليات</w:t>
      </w:r>
      <w:r w:rsidR="00F32B28">
        <w:rPr>
          <w:rtl/>
        </w:rPr>
        <w:t xml:space="preserve"> </w:t>
      </w:r>
      <w:r w:rsidR="00F32B28" w:rsidRPr="00F32B28">
        <w:rPr>
          <w:rtl/>
        </w:rPr>
        <w:t>الوالدين</w:t>
      </w:r>
      <w:r w:rsidR="00F32B28" w:rsidRPr="00F32B28">
        <w:rPr>
          <w:b/>
          <w:bCs/>
          <w:rtl/>
        </w:rPr>
        <w:t>،</w:t>
      </w:r>
      <w:r w:rsidR="00F32B28">
        <w:rPr>
          <w:b/>
          <w:bCs/>
          <w:rtl/>
        </w:rPr>
        <w:t xml:space="preserve"> </w:t>
      </w:r>
      <w:r w:rsidR="00F32B28" w:rsidRPr="00F32B28">
        <w:rPr>
          <w:rtl/>
        </w:rPr>
        <w:t>فتشمل</w:t>
      </w:r>
      <w:r>
        <w:rPr>
          <w:rFonts w:hint="cs"/>
          <w:rtl/>
        </w:rPr>
        <w:t xml:space="preserve"> </w:t>
      </w:r>
      <w:r w:rsidR="00F32B28" w:rsidRPr="00F32B28">
        <w:rPr>
          <w:rtl/>
        </w:rPr>
        <w:t>تربية</w:t>
      </w:r>
      <w:r w:rsidR="00F32B28">
        <w:rPr>
          <w:rtl/>
        </w:rPr>
        <w:t xml:space="preserve"> </w:t>
      </w:r>
      <w:r w:rsidR="00F32B28" w:rsidRPr="00F32B28">
        <w:rPr>
          <w:rtl/>
        </w:rPr>
        <w:t>الأطفال</w:t>
      </w:r>
      <w:r>
        <w:rPr>
          <w:rFonts w:hint="cs"/>
          <w:rtl/>
        </w:rPr>
        <w:t xml:space="preserve"> </w:t>
      </w:r>
      <w:r w:rsidR="00F32B28" w:rsidRPr="00F32B28">
        <w:rPr>
          <w:rtl/>
        </w:rPr>
        <w:t>وإدارة</w:t>
      </w:r>
      <w:r w:rsidR="00F32B28">
        <w:rPr>
          <w:rtl/>
        </w:rPr>
        <w:t xml:space="preserve"> </w:t>
      </w:r>
      <w:r w:rsidR="00F32B28" w:rsidRPr="00F32B28">
        <w:rPr>
          <w:rtl/>
        </w:rPr>
        <w:t>أموالهم</w:t>
      </w:r>
      <w:r w:rsidR="00F32B28">
        <w:rPr>
          <w:rtl/>
        </w:rPr>
        <w:t xml:space="preserve"> </w:t>
      </w:r>
      <w:r w:rsidR="00F32B28" w:rsidRPr="00F32B28">
        <w:rPr>
          <w:rtl/>
        </w:rPr>
        <w:t>حتى</w:t>
      </w:r>
      <w:r w:rsidR="00F32B28">
        <w:rPr>
          <w:rtl/>
        </w:rPr>
        <w:t xml:space="preserve"> </w:t>
      </w:r>
      <w:r w:rsidR="00F32B28" w:rsidRPr="00F32B28">
        <w:rPr>
          <w:rtl/>
        </w:rPr>
        <w:t>بلوغهم</w:t>
      </w:r>
      <w:r w:rsidR="00F32B28">
        <w:rPr>
          <w:rtl/>
        </w:rPr>
        <w:t xml:space="preserve"> </w:t>
      </w:r>
      <w:r w:rsidR="00F32B28" w:rsidRPr="00F32B28">
        <w:rPr>
          <w:rtl/>
        </w:rPr>
        <w:t>سن</w:t>
      </w:r>
      <w:r w:rsidR="00F32B28">
        <w:rPr>
          <w:rtl/>
        </w:rPr>
        <w:t xml:space="preserve"> </w:t>
      </w:r>
      <w:r w:rsidR="00F32B28" w:rsidRPr="00F32B28">
        <w:rPr>
          <w:rtl/>
        </w:rPr>
        <w:t>الرشد،</w:t>
      </w:r>
      <w:r w:rsidR="00F32B28">
        <w:rPr>
          <w:rtl/>
        </w:rPr>
        <w:t xml:space="preserve"> </w:t>
      </w:r>
      <w:r w:rsidR="00F32B28" w:rsidRPr="00F32B28">
        <w:rPr>
          <w:rtl/>
        </w:rPr>
        <w:t>أي</w:t>
      </w:r>
      <w:r w:rsidR="00F32B28">
        <w:rPr>
          <w:rtl/>
        </w:rPr>
        <w:t xml:space="preserve"> </w:t>
      </w:r>
      <w:r w:rsidR="00F32B28" w:rsidRPr="00F32B28">
        <w:rPr>
          <w:rtl/>
        </w:rPr>
        <w:t>الولاية</w:t>
      </w:r>
      <w:r w:rsidR="00F32B28">
        <w:rPr>
          <w:rtl/>
        </w:rPr>
        <w:t xml:space="preserve"> </w:t>
      </w:r>
      <w:r w:rsidR="00F32B28" w:rsidRPr="00F32B28">
        <w:rPr>
          <w:rtl/>
        </w:rPr>
        <w:t>على</w:t>
      </w:r>
      <w:r w:rsidR="00F32B28">
        <w:rPr>
          <w:rtl/>
        </w:rPr>
        <w:t xml:space="preserve"> </w:t>
      </w:r>
      <w:r w:rsidR="00F32B28" w:rsidRPr="00F32B28">
        <w:rPr>
          <w:rtl/>
        </w:rPr>
        <w:t>نفس</w:t>
      </w:r>
      <w:r w:rsidR="00F32B28">
        <w:rPr>
          <w:rtl/>
        </w:rPr>
        <w:t xml:space="preserve"> </w:t>
      </w:r>
      <w:r w:rsidR="00F32B28" w:rsidRPr="00F32B28">
        <w:rPr>
          <w:rtl/>
        </w:rPr>
        <w:t>الصغار</w:t>
      </w:r>
      <w:r>
        <w:rPr>
          <w:rFonts w:hint="cs"/>
          <w:rtl/>
        </w:rPr>
        <w:t xml:space="preserve"> </w:t>
      </w:r>
      <w:r w:rsidR="00F32B28" w:rsidRPr="00F32B28">
        <w:rPr>
          <w:rtl/>
        </w:rPr>
        <w:t>والولاية</w:t>
      </w:r>
      <w:r w:rsidR="00F32B28">
        <w:rPr>
          <w:rtl/>
        </w:rPr>
        <w:t xml:space="preserve"> </w:t>
      </w:r>
      <w:r w:rsidR="00F32B28" w:rsidRPr="00F32B28">
        <w:rPr>
          <w:rtl/>
        </w:rPr>
        <w:t>على</w:t>
      </w:r>
      <w:r w:rsidR="00F32B28">
        <w:rPr>
          <w:rtl/>
        </w:rPr>
        <w:t xml:space="preserve"> </w:t>
      </w:r>
      <w:r w:rsidR="00F32B28" w:rsidRPr="00F32B28">
        <w:rPr>
          <w:rtl/>
        </w:rPr>
        <w:t>أموالهم،</w:t>
      </w:r>
      <w:r>
        <w:rPr>
          <w:rFonts w:hint="cs"/>
          <w:rtl/>
        </w:rPr>
        <w:t xml:space="preserve"> </w:t>
      </w:r>
      <w:r w:rsidR="00F32B28" w:rsidRPr="00F32B28">
        <w:rPr>
          <w:rtl/>
        </w:rPr>
        <w:t>وكلا</w:t>
      </w:r>
      <w:r w:rsidR="00F32B28">
        <w:rPr>
          <w:rtl/>
        </w:rPr>
        <w:t xml:space="preserve"> </w:t>
      </w:r>
      <w:r w:rsidR="00F32B28" w:rsidRPr="00F32B28">
        <w:rPr>
          <w:rtl/>
        </w:rPr>
        <w:t>الولايتان</w:t>
      </w:r>
      <w:r w:rsidR="00F32B28">
        <w:rPr>
          <w:rtl/>
        </w:rPr>
        <w:t xml:space="preserve"> </w:t>
      </w:r>
      <w:r w:rsidR="00F32B28" w:rsidRPr="00F32B28">
        <w:rPr>
          <w:rtl/>
        </w:rPr>
        <w:t>تعودان</w:t>
      </w:r>
      <w:r>
        <w:rPr>
          <w:rFonts w:hint="cs"/>
          <w:rtl/>
        </w:rPr>
        <w:t xml:space="preserve"> </w:t>
      </w:r>
      <w:r w:rsidR="00F32B28" w:rsidRPr="00F32B28">
        <w:rPr>
          <w:rtl/>
        </w:rPr>
        <w:t>للأب</w:t>
      </w:r>
      <w:r w:rsidR="00F32B28">
        <w:rPr>
          <w:rtl/>
        </w:rPr>
        <w:t xml:space="preserve"> </w:t>
      </w:r>
      <w:r w:rsidR="00F32B28" w:rsidRPr="00F32B28">
        <w:rPr>
          <w:rtl/>
        </w:rPr>
        <w:t>بالأولوية،</w:t>
      </w:r>
      <w:r w:rsidR="00F32B28">
        <w:rPr>
          <w:rtl/>
        </w:rPr>
        <w:t xml:space="preserve"> </w:t>
      </w:r>
      <w:r w:rsidR="00F32B28" w:rsidRPr="00F32B28">
        <w:rPr>
          <w:rtl/>
        </w:rPr>
        <w:t>ولو</w:t>
      </w:r>
      <w:r w:rsidR="00F32B28">
        <w:rPr>
          <w:rtl/>
        </w:rPr>
        <w:t xml:space="preserve"> </w:t>
      </w:r>
      <w:r w:rsidR="00F32B28" w:rsidRPr="00F32B28">
        <w:rPr>
          <w:rtl/>
        </w:rPr>
        <w:t>كان</w:t>
      </w:r>
      <w:r w:rsidR="00F32B28">
        <w:rPr>
          <w:rtl/>
        </w:rPr>
        <w:t xml:space="preserve"> </w:t>
      </w:r>
      <w:r w:rsidR="00F32B28" w:rsidRPr="00F32B28">
        <w:rPr>
          <w:rtl/>
        </w:rPr>
        <w:t>الصغار</w:t>
      </w:r>
      <w:r w:rsidR="00F32B28">
        <w:rPr>
          <w:rtl/>
        </w:rPr>
        <w:t xml:space="preserve"> </w:t>
      </w:r>
      <w:r w:rsidR="00F32B28" w:rsidRPr="00F32B28">
        <w:rPr>
          <w:rtl/>
        </w:rPr>
        <w:t>في</w:t>
      </w:r>
      <w:r w:rsidR="00F32B28">
        <w:rPr>
          <w:rtl/>
        </w:rPr>
        <w:t xml:space="preserve"> </w:t>
      </w:r>
      <w:r w:rsidR="00F32B28" w:rsidRPr="00F32B28">
        <w:rPr>
          <w:rtl/>
        </w:rPr>
        <w:t>حضانة</w:t>
      </w:r>
      <w:r w:rsidR="00F32B28">
        <w:rPr>
          <w:rtl/>
        </w:rPr>
        <w:t xml:space="preserve"> </w:t>
      </w:r>
      <w:r w:rsidR="00F32B28" w:rsidRPr="00F32B28">
        <w:rPr>
          <w:rtl/>
        </w:rPr>
        <w:t>أمهم</w:t>
      </w:r>
      <w:r w:rsidR="00F32B28">
        <w:rPr>
          <w:rtl/>
        </w:rPr>
        <w:t xml:space="preserve"> </w:t>
      </w:r>
      <w:r w:rsidR="00F32B28" w:rsidRPr="00F32B28">
        <w:rPr>
          <w:rtl/>
        </w:rPr>
        <w:t>أو</w:t>
      </w:r>
      <w:r w:rsidR="00F32B28">
        <w:rPr>
          <w:rtl/>
        </w:rPr>
        <w:t xml:space="preserve"> </w:t>
      </w:r>
      <w:r w:rsidR="00F32B28" w:rsidRPr="00F32B28">
        <w:rPr>
          <w:rtl/>
        </w:rPr>
        <w:t>أقاربهم.</w:t>
      </w:r>
      <w:r w:rsidR="00F32B28" w:rsidRPr="00F32B28">
        <w:rPr>
          <w:rtl/>
          <w:lang w:bidi="ar-LB"/>
        </w:rPr>
        <w:t>فالولاية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المال</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تكون</w:t>
      </w:r>
      <w:r w:rsidR="00F32B28">
        <w:rPr>
          <w:rtl/>
          <w:lang w:bidi="ar-LB"/>
        </w:rPr>
        <w:t xml:space="preserve"> </w:t>
      </w:r>
      <w:r w:rsidR="00F32B28" w:rsidRPr="00F32B28">
        <w:rPr>
          <w:rtl/>
          <w:lang w:bidi="ar-LB"/>
        </w:rPr>
        <w:t>إلا</w:t>
      </w:r>
      <w:r w:rsidR="00F32B28">
        <w:rPr>
          <w:rtl/>
          <w:lang w:bidi="ar-LB"/>
        </w:rPr>
        <w:t xml:space="preserve"> </w:t>
      </w:r>
      <w:r w:rsidR="00F32B28" w:rsidRPr="00F32B28">
        <w:rPr>
          <w:rtl/>
          <w:lang w:bidi="ar-LB"/>
        </w:rPr>
        <w:t>للأب،</w:t>
      </w:r>
      <w:r>
        <w:rPr>
          <w:rFonts w:hint="cs"/>
          <w:rtl/>
          <w:lang w:bidi="ar-LB"/>
        </w:rPr>
        <w:t xml:space="preserve"> </w:t>
      </w:r>
      <w:r w:rsidR="00F32B28" w:rsidRPr="00F32B28">
        <w:rPr>
          <w:rtl/>
          <w:lang w:bidi="ar-LB"/>
        </w:rPr>
        <w:t>ثم</w:t>
      </w:r>
      <w:r w:rsidR="00F32B28">
        <w:rPr>
          <w:rtl/>
          <w:lang w:bidi="ar-LB"/>
        </w:rPr>
        <w:t xml:space="preserve"> </w:t>
      </w:r>
      <w:r w:rsidR="00F32B28" w:rsidRPr="00F32B28">
        <w:rPr>
          <w:rtl/>
          <w:lang w:bidi="ar-LB"/>
        </w:rPr>
        <w:t>الوصي</w:t>
      </w:r>
      <w:r w:rsidR="00F32B28">
        <w:rPr>
          <w:rtl/>
          <w:lang w:bidi="ar-LB"/>
        </w:rPr>
        <w:t xml:space="preserve"> </w:t>
      </w:r>
      <w:r w:rsidR="00F32B28" w:rsidRPr="00F32B28">
        <w:rPr>
          <w:rtl/>
          <w:lang w:bidi="ar-LB"/>
        </w:rPr>
        <w:t>الذي</w:t>
      </w:r>
      <w:r w:rsidR="00F32B28">
        <w:rPr>
          <w:rtl/>
          <w:lang w:bidi="ar-LB"/>
        </w:rPr>
        <w:t xml:space="preserve"> </w:t>
      </w:r>
      <w:r w:rsidR="00F32B28" w:rsidRPr="00F32B28">
        <w:rPr>
          <w:rtl/>
          <w:lang w:bidi="ar-LB"/>
        </w:rPr>
        <w:t>اختاره</w:t>
      </w:r>
      <w:r w:rsidR="00F32B28">
        <w:rPr>
          <w:rtl/>
          <w:lang w:bidi="ar-LB"/>
        </w:rPr>
        <w:t xml:space="preserve"> </w:t>
      </w:r>
      <w:r w:rsidR="00F32B28" w:rsidRPr="00F32B28">
        <w:rPr>
          <w:rtl/>
          <w:lang w:bidi="ar-LB"/>
        </w:rPr>
        <w:t>الأب،</w:t>
      </w:r>
      <w:r w:rsidR="00F32B28">
        <w:rPr>
          <w:rtl/>
          <w:lang w:bidi="ar-LB"/>
        </w:rPr>
        <w:t xml:space="preserve"> </w:t>
      </w:r>
      <w:r w:rsidR="00F32B28" w:rsidRPr="00F32B28">
        <w:rPr>
          <w:rtl/>
          <w:lang w:bidi="ar-LB"/>
        </w:rPr>
        <w:t>ثم</w:t>
      </w:r>
      <w:r w:rsidR="00F32B28">
        <w:rPr>
          <w:rtl/>
          <w:lang w:bidi="ar-LB"/>
        </w:rPr>
        <w:t xml:space="preserve"> </w:t>
      </w:r>
      <w:r w:rsidR="00F32B28" w:rsidRPr="00F32B28">
        <w:rPr>
          <w:rtl/>
          <w:lang w:bidi="ar-LB"/>
        </w:rPr>
        <w:t>وصي</w:t>
      </w:r>
      <w:r w:rsidR="00F32B28">
        <w:rPr>
          <w:rtl/>
          <w:lang w:bidi="ar-LB"/>
        </w:rPr>
        <w:t xml:space="preserve"> </w:t>
      </w:r>
      <w:r w:rsidR="00F32B28" w:rsidRPr="00F32B28">
        <w:rPr>
          <w:rtl/>
          <w:lang w:bidi="ar-LB"/>
        </w:rPr>
        <w:t>الوصي،</w:t>
      </w:r>
      <w:r w:rsidR="00F32B28">
        <w:rPr>
          <w:rtl/>
          <w:lang w:bidi="ar-LB"/>
        </w:rPr>
        <w:t xml:space="preserve"> </w:t>
      </w:r>
      <w:r w:rsidR="00F32B28" w:rsidRPr="00F32B28">
        <w:rPr>
          <w:rtl/>
          <w:lang w:bidi="ar-LB"/>
        </w:rPr>
        <w:t>ثم</w:t>
      </w:r>
      <w:r w:rsidR="00F32B28">
        <w:rPr>
          <w:rtl/>
          <w:lang w:bidi="ar-LB"/>
        </w:rPr>
        <w:t xml:space="preserve"> </w:t>
      </w:r>
      <w:r w:rsidR="00F32B28" w:rsidRPr="00F32B28">
        <w:rPr>
          <w:rtl/>
          <w:lang w:bidi="ar-LB"/>
        </w:rPr>
        <w:t>الجد</w:t>
      </w:r>
      <w:r w:rsidR="00F32B28">
        <w:rPr>
          <w:rtl/>
          <w:lang w:bidi="ar-LB"/>
        </w:rPr>
        <w:t xml:space="preserve"> </w:t>
      </w:r>
      <w:r w:rsidR="00F32B28" w:rsidRPr="00F32B28">
        <w:rPr>
          <w:rtl/>
          <w:lang w:bidi="ar-LB"/>
        </w:rPr>
        <w:t>الصحيح.</w:t>
      </w:r>
      <w:r w:rsidR="00F32B28">
        <w:rPr>
          <w:rtl/>
          <w:lang w:bidi="ar-LB"/>
        </w:rPr>
        <w:t xml:space="preserve"> </w:t>
      </w:r>
      <w:r w:rsidR="00F32B28" w:rsidRPr="00F32B28">
        <w:rPr>
          <w:rtl/>
          <w:lang w:bidi="ar-LB"/>
        </w:rPr>
        <w:t>فإذا</w:t>
      </w:r>
      <w:r w:rsidR="00F32B28">
        <w:rPr>
          <w:rtl/>
          <w:lang w:bidi="ar-LB"/>
        </w:rPr>
        <w:t xml:space="preserve"> </w:t>
      </w:r>
      <w:r w:rsidR="00F32B28" w:rsidRPr="00F32B28">
        <w:rPr>
          <w:rtl/>
          <w:lang w:bidi="ar-LB"/>
        </w:rPr>
        <w:t>توفي</w:t>
      </w:r>
      <w:r w:rsidR="00F32B28">
        <w:rPr>
          <w:rtl/>
          <w:lang w:bidi="ar-LB"/>
        </w:rPr>
        <w:t xml:space="preserve"> </w:t>
      </w:r>
      <w:r w:rsidR="00F32B28" w:rsidRPr="00F32B28">
        <w:rPr>
          <w:rtl/>
          <w:lang w:bidi="ar-LB"/>
        </w:rPr>
        <w:t>الأب</w:t>
      </w:r>
      <w:r w:rsidR="00F32B28">
        <w:rPr>
          <w:rtl/>
          <w:lang w:bidi="ar-LB"/>
        </w:rPr>
        <w:t xml:space="preserve"> </w:t>
      </w:r>
      <w:r w:rsidR="00F32B28" w:rsidRPr="00F32B28">
        <w:rPr>
          <w:rtl/>
          <w:lang w:bidi="ar-LB"/>
        </w:rPr>
        <w:t>ولم</w:t>
      </w:r>
      <w:r w:rsidR="00F32B28">
        <w:rPr>
          <w:rtl/>
          <w:lang w:bidi="ar-LB"/>
        </w:rPr>
        <w:t xml:space="preserve"> </w:t>
      </w:r>
      <w:r w:rsidR="00F32B28" w:rsidRPr="00F32B28">
        <w:rPr>
          <w:rtl/>
          <w:lang w:bidi="ar-LB"/>
        </w:rPr>
        <w:t>يوصِ،</w:t>
      </w:r>
      <w:r w:rsidR="00F32B28">
        <w:rPr>
          <w:rtl/>
          <w:lang w:bidi="ar-LB"/>
        </w:rPr>
        <w:t xml:space="preserve"> </w:t>
      </w:r>
      <w:r w:rsidR="00F32B28" w:rsidRPr="00F32B28">
        <w:rPr>
          <w:rtl/>
          <w:lang w:bidi="ar-LB"/>
        </w:rPr>
        <w:t>تعود</w:t>
      </w:r>
      <w:r w:rsidR="00F32B28">
        <w:rPr>
          <w:rtl/>
          <w:lang w:bidi="ar-LB"/>
        </w:rPr>
        <w:t xml:space="preserve"> </w:t>
      </w:r>
      <w:r w:rsidR="00F32B28" w:rsidRPr="00F32B28">
        <w:rPr>
          <w:rtl/>
          <w:lang w:bidi="ar-LB"/>
        </w:rPr>
        <w:t>الولاية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مال</w:t>
      </w:r>
      <w:r w:rsidR="00F32B28">
        <w:rPr>
          <w:rtl/>
          <w:lang w:bidi="ar-LB"/>
        </w:rPr>
        <w:t xml:space="preserve"> </w:t>
      </w:r>
      <w:r w:rsidR="00F32B28" w:rsidRPr="00F32B28">
        <w:rPr>
          <w:rtl/>
          <w:lang w:bidi="ar-LB"/>
        </w:rPr>
        <w:t>الصغار</w:t>
      </w:r>
      <w:r w:rsidR="00F32B28">
        <w:rPr>
          <w:rtl/>
          <w:lang w:bidi="ar-LB"/>
        </w:rPr>
        <w:t xml:space="preserve"> </w:t>
      </w:r>
      <w:r w:rsidR="00F32B28" w:rsidRPr="00F32B28">
        <w:rPr>
          <w:rtl/>
          <w:lang w:bidi="ar-LB"/>
        </w:rPr>
        <w:t>إلى</w:t>
      </w:r>
      <w:r w:rsidR="00F32B28">
        <w:rPr>
          <w:rtl/>
          <w:lang w:bidi="ar-LB"/>
        </w:rPr>
        <w:t xml:space="preserve"> </w:t>
      </w:r>
      <w:r w:rsidR="00F32B28" w:rsidRPr="00F32B28">
        <w:rPr>
          <w:rtl/>
          <w:lang w:bidi="ar-LB"/>
        </w:rPr>
        <w:t>الجد</w:t>
      </w:r>
      <w:r w:rsidR="00F32B28">
        <w:rPr>
          <w:rtl/>
          <w:lang w:bidi="ar-LB"/>
        </w:rPr>
        <w:t xml:space="preserve"> </w:t>
      </w:r>
      <w:r w:rsidR="00F32B28" w:rsidRPr="00F32B28">
        <w:rPr>
          <w:rtl/>
          <w:lang w:bidi="ar-LB"/>
        </w:rPr>
        <w:t>الصحيح،</w:t>
      </w:r>
      <w:r w:rsidR="00F32B28">
        <w:rPr>
          <w:rtl/>
          <w:lang w:bidi="ar-LB"/>
        </w:rPr>
        <w:t xml:space="preserve"> </w:t>
      </w:r>
      <w:r w:rsidR="00F32B28" w:rsidRPr="00F32B28">
        <w:rPr>
          <w:rtl/>
          <w:lang w:bidi="ar-LB"/>
        </w:rPr>
        <w:t>ثم</w:t>
      </w:r>
      <w:r w:rsidR="00F32B28">
        <w:rPr>
          <w:rtl/>
          <w:lang w:bidi="ar-LB"/>
        </w:rPr>
        <w:t xml:space="preserve"> </w:t>
      </w:r>
      <w:r w:rsidR="00F32B28" w:rsidRPr="00F32B28">
        <w:rPr>
          <w:rtl/>
          <w:lang w:bidi="ar-LB"/>
        </w:rPr>
        <w:t>لوصيه</w:t>
      </w:r>
      <w:r w:rsidR="00F32B28">
        <w:rPr>
          <w:rtl/>
          <w:lang w:bidi="ar-LB"/>
        </w:rPr>
        <w:t xml:space="preserve"> </w:t>
      </w:r>
      <w:r w:rsidR="00F32B28" w:rsidRPr="00F32B28">
        <w:rPr>
          <w:rtl/>
          <w:lang w:bidi="ar-LB"/>
        </w:rPr>
        <w:t>ثم</w:t>
      </w:r>
      <w:r w:rsidR="00F32B28">
        <w:rPr>
          <w:rtl/>
          <w:lang w:bidi="ar-LB"/>
        </w:rPr>
        <w:t xml:space="preserve"> </w:t>
      </w:r>
      <w:r w:rsidR="00F32B28" w:rsidRPr="00F32B28">
        <w:rPr>
          <w:rtl/>
          <w:lang w:bidi="ar-LB"/>
        </w:rPr>
        <w:t>لوصي</w:t>
      </w:r>
      <w:r w:rsidR="00F32B28">
        <w:rPr>
          <w:rtl/>
          <w:lang w:bidi="ar-LB"/>
        </w:rPr>
        <w:t xml:space="preserve"> </w:t>
      </w:r>
      <w:r w:rsidR="00F32B28" w:rsidRPr="00F32B28">
        <w:rPr>
          <w:rtl/>
          <w:lang w:bidi="ar-LB"/>
        </w:rPr>
        <w:t>وصيه،</w:t>
      </w:r>
      <w:r w:rsidR="00F32B28">
        <w:rPr>
          <w:rtl/>
          <w:lang w:bidi="ar-LB"/>
        </w:rPr>
        <w:t xml:space="preserve"> </w:t>
      </w:r>
      <w:r w:rsidR="00F32B28" w:rsidRPr="00F32B28">
        <w:rPr>
          <w:rtl/>
          <w:lang w:bidi="ar-LB"/>
        </w:rPr>
        <w:t>فإن</w:t>
      </w:r>
      <w:r w:rsidR="00F32B28">
        <w:rPr>
          <w:rtl/>
          <w:lang w:bidi="ar-LB"/>
        </w:rPr>
        <w:t xml:space="preserve"> </w:t>
      </w:r>
      <w:r w:rsidR="00F32B28" w:rsidRPr="00F32B28">
        <w:rPr>
          <w:rtl/>
          <w:lang w:bidi="ar-LB"/>
        </w:rPr>
        <w:t>لم</w:t>
      </w:r>
      <w:r w:rsidR="00F32B28">
        <w:rPr>
          <w:rtl/>
          <w:lang w:bidi="ar-LB"/>
        </w:rPr>
        <w:t xml:space="preserve"> </w:t>
      </w:r>
      <w:r w:rsidR="00F32B28" w:rsidRPr="00F32B28">
        <w:rPr>
          <w:rtl/>
          <w:lang w:bidi="ar-LB"/>
        </w:rPr>
        <w:t>يكن</w:t>
      </w:r>
      <w:r w:rsidR="00F32B28">
        <w:rPr>
          <w:rtl/>
          <w:lang w:bidi="ar-LB"/>
        </w:rPr>
        <w:t xml:space="preserve"> </w:t>
      </w:r>
      <w:r w:rsidR="00F32B28" w:rsidRPr="00F32B28">
        <w:rPr>
          <w:rtl/>
          <w:lang w:bidi="ar-LB"/>
        </w:rPr>
        <w:t>الجد</w:t>
      </w:r>
      <w:r w:rsidR="00F32B28">
        <w:rPr>
          <w:rtl/>
          <w:lang w:bidi="ar-LB"/>
        </w:rPr>
        <w:t xml:space="preserve"> </w:t>
      </w:r>
      <w:r w:rsidR="00F32B28" w:rsidRPr="00F32B28">
        <w:rPr>
          <w:rtl/>
          <w:lang w:bidi="ar-LB"/>
        </w:rPr>
        <w:t>ولا</w:t>
      </w:r>
      <w:r w:rsidR="00F32B28">
        <w:rPr>
          <w:rtl/>
          <w:lang w:bidi="ar-LB"/>
        </w:rPr>
        <w:t xml:space="preserve"> </w:t>
      </w:r>
      <w:r w:rsidR="00F32B28" w:rsidRPr="00F32B28">
        <w:rPr>
          <w:rtl/>
          <w:lang w:bidi="ar-LB"/>
        </w:rPr>
        <w:t>وصيه،</w:t>
      </w:r>
      <w:r w:rsidR="00F32B28">
        <w:rPr>
          <w:rtl/>
          <w:lang w:bidi="ar-LB"/>
        </w:rPr>
        <w:t xml:space="preserve"> </w:t>
      </w:r>
      <w:r w:rsidR="00F32B28" w:rsidRPr="00F32B28">
        <w:rPr>
          <w:rtl/>
        </w:rPr>
        <w:t>ثم</w:t>
      </w:r>
      <w:r w:rsidR="00F32B28">
        <w:rPr>
          <w:rtl/>
        </w:rPr>
        <w:t xml:space="preserve"> </w:t>
      </w:r>
      <w:r w:rsidR="00F32B28" w:rsidRPr="00F32B28">
        <w:rPr>
          <w:rtl/>
        </w:rPr>
        <w:t>فالولاية</w:t>
      </w:r>
      <w:r w:rsidR="00F32B28">
        <w:rPr>
          <w:rtl/>
        </w:rPr>
        <w:t xml:space="preserve"> </w:t>
      </w:r>
      <w:r w:rsidR="00F32B28" w:rsidRPr="00F32B28">
        <w:rPr>
          <w:rtl/>
        </w:rPr>
        <w:t>للمحكمة</w:t>
      </w:r>
      <w:r w:rsidR="00F32B28">
        <w:rPr>
          <w:rtl/>
        </w:rPr>
        <w:t xml:space="preserve"> </w:t>
      </w:r>
      <w:r w:rsidR="00F32B28" w:rsidRPr="00F32B28">
        <w:rPr>
          <w:rtl/>
        </w:rPr>
        <w:t>أو</w:t>
      </w:r>
      <w:r w:rsidR="009F4D72">
        <w:rPr>
          <w:rFonts w:hint="cs"/>
          <w:rtl/>
        </w:rPr>
        <w:t> </w:t>
      </w:r>
      <w:r w:rsidR="00F32B28" w:rsidRPr="00F32B28">
        <w:rPr>
          <w:rtl/>
        </w:rPr>
        <w:t>الوصي</w:t>
      </w:r>
      <w:r w:rsidR="00F32B28">
        <w:rPr>
          <w:rtl/>
        </w:rPr>
        <w:t xml:space="preserve"> </w:t>
      </w:r>
      <w:r w:rsidR="00F32B28" w:rsidRPr="00F32B28">
        <w:rPr>
          <w:rtl/>
        </w:rPr>
        <w:t>الذي</w:t>
      </w:r>
      <w:r w:rsidR="00F32B28">
        <w:rPr>
          <w:rtl/>
        </w:rPr>
        <w:t xml:space="preserve"> </w:t>
      </w:r>
      <w:r w:rsidR="00F32B28" w:rsidRPr="00F32B28">
        <w:rPr>
          <w:rtl/>
        </w:rPr>
        <w:t>نصبته</w:t>
      </w:r>
      <w:r w:rsidR="00F32B28">
        <w:rPr>
          <w:rtl/>
        </w:rPr>
        <w:t xml:space="preserve"> </w:t>
      </w:r>
      <w:r w:rsidR="00F32B28" w:rsidRPr="00F32B28">
        <w:rPr>
          <w:rtl/>
        </w:rPr>
        <w:t>المحكمة</w:t>
      </w:r>
      <w:r w:rsidR="00F32B28" w:rsidRPr="00F32B28">
        <w:rPr>
          <w:rtl/>
          <w:lang w:bidi="ar-LB"/>
        </w:rPr>
        <w:t>.</w:t>
      </w:r>
      <w:r w:rsidR="00F32B28" w:rsidRPr="00F32B28">
        <w:rPr>
          <w:rtl/>
        </w:rPr>
        <w:t>وللأب</w:t>
      </w:r>
      <w:r w:rsidR="00F32B28">
        <w:rPr>
          <w:rtl/>
        </w:rPr>
        <w:t xml:space="preserve"> </w:t>
      </w:r>
      <w:r w:rsidR="00F32B28" w:rsidRPr="00F32B28">
        <w:rPr>
          <w:rtl/>
        </w:rPr>
        <w:t>أن</w:t>
      </w:r>
      <w:r w:rsidR="00F32B28">
        <w:rPr>
          <w:rtl/>
        </w:rPr>
        <w:t xml:space="preserve"> </w:t>
      </w:r>
      <w:r w:rsidR="00F32B28" w:rsidRPr="00F32B28">
        <w:rPr>
          <w:rtl/>
        </w:rPr>
        <w:t>يختار</w:t>
      </w:r>
      <w:r w:rsidR="00F32B28">
        <w:rPr>
          <w:rtl/>
        </w:rPr>
        <w:t xml:space="preserve"> </w:t>
      </w:r>
      <w:r w:rsidR="00F32B28" w:rsidRPr="00F32B28">
        <w:rPr>
          <w:rtl/>
        </w:rPr>
        <w:t>زوجته</w:t>
      </w:r>
      <w:r w:rsidR="00F32B28">
        <w:rPr>
          <w:rtl/>
        </w:rPr>
        <w:t xml:space="preserve"> </w:t>
      </w:r>
      <w:r w:rsidR="00F32B28" w:rsidRPr="00F32B28">
        <w:rPr>
          <w:rtl/>
        </w:rPr>
        <w:t>وصية</w:t>
      </w:r>
      <w:r w:rsidR="00F32B28">
        <w:rPr>
          <w:rtl/>
        </w:rPr>
        <w:t xml:space="preserve"> </w:t>
      </w:r>
      <w:r w:rsidR="00F32B28" w:rsidRPr="00F32B28">
        <w:rPr>
          <w:rtl/>
        </w:rPr>
        <w:t>على</w:t>
      </w:r>
      <w:r w:rsidR="00F32B28">
        <w:rPr>
          <w:rtl/>
        </w:rPr>
        <w:t xml:space="preserve"> </w:t>
      </w:r>
      <w:r w:rsidR="00F32B28" w:rsidRPr="00F32B28">
        <w:rPr>
          <w:rtl/>
        </w:rPr>
        <w:t>أولاده</w:t>
      </w:r>
      <w:r w:rsidR="00F32B28">
        <w:rPr>
          <w:rtl/>
        </w:rPr>
        <w:t xml:space="preserve"> </w:t>
      </w:r>
      <w:r w:rsidR="00F32B28" w:rsidRPr="00F32B28">
        <w:rPr>
          <w:rtl/>
        </w:rPr>
        <w:t>بعد</w:t>
      </w:r>
      <w:r w:rsidR="00F32B28">
        <w:rPr>
          <w:rtl/>
        </w:rPr>
        <w:t xml:space="preserve"> </w:t>
      </w:r>
      <w:r w:rsidR="00F32B28" w:rsidRPr="00F32B28">
        <w:rPr>
          <w:rtl/>
        </w:rPr>
        <w:t>وفاته،</w:t>
      </w:r>
      <w:r w:rsidR="00F32B28">
        <w:rPr>
          <w:rtl/>
        </w:rPr>
        <w:t xml:space="preserve"> </w:t>
      </w:r>
      <w:r w:rsidR="00F32B28" w:rsidRPr="00F32B28">
        <w:rPr>
          <w:rtl/>
        </w:rPr>
        <w:t>وكذلك</w:t>
      </w:r>
      <w:r w:rsidR="00F32B28">
        <w:rPr>
          <w:rtl/>
        </w:rPr>
        <w:t xml:space="preserve"> </w:t>
      </w:r>
      <w:r w:rsidR="00F32B28" w:rsidRPr="00F32B28">
        <w:rPr>
          <w:rtl/>
        </w:rPr>
        <w:t>للمحكمة</w:t>
      </w:r>
      <w:r w:rsidR="00F32B28">
        <w:rPr>
          <w:rtl/>
        </w:rPr>
        <w:t xml:space="preserve"> </w:t>
      </w:r>
      <w:r w:rsidR="00F32B28" w:rsidRPr="00F32B28">
        <w:rPr>
          <w:rtl/>
        </w:rPr>
        <w:t>أن</w:t>
      </w:r>
      <w:r w:rsidR="00F32B28">
        <w:rPr>
          <w:rtl/>
        </w:rPr>
        <w:t xml:space="preserve"> </w:t>
      </w:r>
      <w:r w:rsidR="00F32B28" w:rsidRPr="00F32B28">
        <w:rPr>
          <w:rtl/>
        </w:rPr>
        <w:t>تعين</w:t>
      </w:r>
      <w:r w:rsidR="00F32B28">
        <w:rPr>
          <w:rtl/>
        </w:rPr>
        <w:t xml:space="preserve"> </w:t>
      </w:r>
      <w:r w:rsidR="00F32B28" w:rsidRPr="00F32B28">
        <w:rPr>
          <w:rtl/>
        </w:rPr>
        <w:t>الأم</w:t>
      </w:r>
      <w:r w:rsidR="00F32B28">
        <w:rPr>
          <w:rtl/>
        </w:rPr>
        <w:t xml:space="preserve"> </w:t>
      </w:r>
      <w:r w:rsidR="00F32B28" w:rsidRPr="00F32B28">
        <w:rPr>
          <w:rtl/>
        </w:rPr>
        <w:t>وصية</w:t>
      </w:r>
      <w:r w:rsidR="00F32B28">
        <w:rPr>
          <w:rtl/>
        </w:rPr>
        <w:t xml:space="preserve"> </w:t>
      </w:r>
      <w:r w:rsidR="00F32B28" w:rsidRPr="00F32B28">
        <w:rPr>
          <w:rtl/>
        </w:rPr>
        <w:t>على</w:t>
      </w:r>
      <w:r w:rsidR="00F32B28">
        <w:rPr>
          <w:rtl/>
        </w:rPr>
        <w:t xml:space="preserve"> </w:t>
      </w:r>
      <w:r w:rsidR="00F32B28" w:rsidRPr="00F32B28">
        <w:rPr>
          <w:rtl/>
        </w:rPr>
        <w:t>أطفالها</w:t>
      </w:r>
      <w:r w:rsidR="00F32B28">
        <w:rPr>
          <w:rtl/>
        </w:rPr>
        <w:t xml:space="preserve"> </w:t>
      </w:r>
      <w:r w:rsidR="00F32B28" w:rsidRPr="00F32B28">
        <w:rPr>
          <w:rtl/>
        </w:rPr>
        <w:t>وفقاً</w:t>
      </w:r>
      <w:r w:rsidR="00F32B28">
        <w:rPr>
          <w:rtl/>
        </w:rPr>
        <w:t xml:space="preserve"> </w:t>
      </w:r>
      <w:r w:rsidR="00F32B28" w:rsidRPr="00F32B28">
        <w:rPr>
          <w:rtl/>
        </w:rPr>
        <w:t>للأحكام</w:t>
      </w:r>
      <w:r w:rsidR="00F32B28">
        <w:rPr>
          <w:rtl/>
        </w:rPr>
        <w:t xml:space="preserve"> </w:t>
      </w:r>
      <w:r w:rsidR="00F32B28" w:rsidRPr="00F32B28">
        <w:rPr>
          <w:rtl/>
        </w:rPr>
        <w:t>والشروط</w:t>
      </w:r>
      <w:r w:rsidR="00F32B28">
        <w:rPr>
          <w:rtl/>
        </w:rPr>
        <w:t xml:space="preserve"> </w:t>
      </w:r>
      <w:r w:rsidR="00F32B28" w:rsidRPr="00F32B28">
        <w:rPr>
          <w:rtl/>
        </w:rPr>
        <w:t>المقررة</w:t>
      </w:r>
      <w:r w:rsidR="00F32B28">
        <w:rPr>
          <w:rtl/>
        </w:rPr>
        <w:t xml:space="preserve"> </w:t>
      </w:r>
      <w:r w:rsidR="00F32B28" w:rsidRPr="00F32B28">
        <w:rPr>
          <w:rtl/>
        </w:rPr>
        <w:t>قانوناً.</w:t>
      </w:r>
      <w:r w:rsidR="00F32B28">
        <w:rPr>
          <w:rtl/>
        </w:rPr>
        <w:t xml:space="preserve"> </w:t>
      </w:r>
      <w:r w:rsidR="00F32B28" w:rsidRPr="00F32B28">
        <w:rPr>
          <w:rtl/>
          <w:lang w:bidi="ar-LB"/>
        </w:rPr>
        <w:t>وأما</w:t>
      </w:r>
      <w:r w:rsidR="00F32B28">
        <w:rPr>
          <w:rtl/>
          <w:lang w:bidi="ar-LB"/>
        </w:rPr>
        <w:t xml:space="preserve"> </w:t>
      </w:r>
      <w:r w:rsidR="00F32B28" w:rsidRPr="00F32B28">
        <w:rPr>
          <w:rtl/>
          <w:lang w:bidi="ar-LB"/>
        </w:rPr>
        <w:t>الولاية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النفس،</w:t>
      </w:r>
      <w:r w:rsidR="00F32B28">
        <w:rPr>
          <w:rtl/>
          <w:lang w:bidi="ar-LB"/>
        </w:rPr>
        <w:t xml:space="preserve"> </w:t>
      </w:r>
      <w:r w:rsidR="00F32B28" w:rsidRPr="00F32B28">
        <w:rPr>
          <w:rtl/>
          <w:lang w:bidi="ar-LB"/>
        </w:rPr>
        <w:t>وهي</w:t>
      </w:r>
      <w:r w:rsidR="00F32B28">
        <w:rPr>
          <w:rtl/>
          <w:lang w:bidi="ar-LB"/>
        </w:rPr>
        <w:t xml:space="preserve"> </w:t>
      </w:r>
      <w:r w:rsidR="00F32B28" w:rsidRPr="00F32B28">
        <w:rPr>
          <w:rtl/>
          <w:lang w:bidi="ar-LB"/>
        </w:rPr>
        <w:t>كولاية</w:t>
      </w:r>
      <w:r w:rsidR="00F32B28">
        <w:rPr>
          <w:rtl/>
          <w:lang w:bidi="ar-LB"/>
        </w:rPr>
        <w:t xml:space="preserve"> </w:t>
      </w:r>
      <w:r w:rsidR="00F32B28" w:rsidRPr="00F32B28">
        <w:rPr>
          <w:rtl/>
          <w:lang w:bidi="ar-LB"/>
        </w:rPr>
        <w:t>الزواج،</w:t>
      </w:r>
      <w:r w:rsidR="00F32B28">
        <w:rPr>
          <w:rtl/>
          <w:lang w:bidi="ar-LB"/>
        </w:rPr>
        <w:t xml:space="preserve"> </w:t>
      </w:r>
      <w:r w:rsidR="00F32B28" w:rsidRPr="00F32B28">
        <w:rPr>
          <w:rtl/>
          <w:lang w:bidi="ar-LB"/>
        </w:rPr>
        <w:t>تكون</w:t>
      </w:r>
      <w:r w:rsidR="00F32B28">
        <w:rPr>
          <w:rtl/>
          <w:lang w:bidi="ar-LB"/>
        </w:rPr>
        <w:t xml:space="preserve"> </w:t>
      </w:r>
      <w:r w:rsidR="00F32B28" w:rsidRPr="00F32B28">
        <w:rPr>
          <w:rtl/>
          <w:lang w:bidi="ar-LB"/>
        </w:rPr>
        <w:t>لأقرب</w:t>
      </w:r>
      <w:r w:rsidR="00F32B28">
        <w:rPr>
          <w:rtl/>
          <w:lang w:bidi="ar-LB"/>
        </w:rPr>
        <w:t xml:space="preserve"> </w:t>
      </w:r>
      <w:r w:rsidR="00F32B28" w:rsidRPr="00F32B28">
        <w:rPr>
          <w:rtl/>
          <w:lang w:bidi="ar-LB"/>
        </w:rPr>
        <w:t>العصبات</w:t>
      </w:r>
      <w:r w:rsidR="00F32B28">
        <w:rPr>
          <w:rtl/>
          <w:lang w:bidi="ar-LB"/>
        </w:rPr>
        <w:t xml:space="preserve"> </w:t>
      </w:r>
      <w:r w:rsidR="00F32B28" w:rsidRPr="00F32B28">
        <w:rPr>
          <w:rtl/>
          <w:lang w:bidi="ar-LB"/>
        </w:rPr>
        <w:t>الذكور</w:t>
      </w:r>
      <w:r w:rsidR="00F32B28">
        <w:rPr>
          <w:rtl/>
          <w:lang w:bidi="ar-LB"/>
        </w:rPr>
        <w:t xml:space="preserve"> </w:t>
      </w:r>
      <w:r w:rsidR="00F32B28" w:rsidRPr="00F32B28">
        <w:rPr>
          <w:rtl/>
          <w:lang w:bidi="ar-LB"/>
        </w:rPr>
        <w:t>للصغير</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الصغيرة</w:t>
      </w:r>
      <w:r w:rsidR="00F32B28">
        <w:rPr>
          <w:rtl/>
          <w:lang w:bidi="ar-LB"/>
        </w:rPr>
        <w:t xml:space="preserve"> </w:t>
      </w:r>
      <w:r w:rsidR="00F32B28" w:rsidRPr="00F32B28">
        <w:rPr>
          <w:rtl/>
          <w:lang w:bidi="ar-LB"/>
        </w:rPr>
        <w:t>بحسب</w:t>
      </w:r>
      <w:r w:rsidR="00F32B28">
        <w:rPr>
          <w:rtl/>
          <w:lang w:bidi="ar-LB"/>
        </w:rPr>
        <w:t xml:space="preserve"> </w:t>
      </w:r>
      <w:r w:rsidR="00F32B28" w:rsidRPr="00F32B28">
        <w:rPr>
          <w:rtl/>
          <w:lang w:bidi="ar-LB"/>
        </w:rPr>
        <w:t>القول</w:t>
      </w:r>
      <w:r w:rsidR="00F32B28">
        <w:rPr>
          <w:rtl/>
          <w:lang w:bidi="ar-LB"/>
        </w:rPr>
        <w:t xml:space="preserve"> </w:t>
      </w:r>
      <w:r w:rsidR="00F32B28" w:rsidRPr="00F32B28">
        <w:rPr>
          <w:rtl/>
          <w:lang w:bidi="ar-LB"/>
        </w:rPr>
        <w:t>الراجح</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المذهب</w:t>
      </w:r>
      <w:r w:rsidR="0001622C">
        <w:rPr>
          <w:rFonts w:hint="cs"/>
          <w:rtl/>
          <w:lang w:bidi="ar-LB"/>
        </w:rPr>
        <w:t> </w:t>
      </w:r>
      <w:r w:rsidR="00F32B28" w:rsidRPr="00F32B28">
        <w:rPr>
          <w:rtl/>
          <w:lang w:bidi="ar-LB"/>
        </w:rPr>
        <w:t>الحنفي.</w:t>
      </w:r>
    </w:p>
    <w:p w:rsidR="00F32B28" w:rsidRPr="00F32B28" w:rsidRDefault="00565595" w:rsidP="00565595">
      <w:pPr>
        <w:pStyle w:val="SingleTxt"/>
      </w:pPr>
      <w:r>
        <w:rPr>
          <w:rFonts w:hint="cs"/>
          <w:rtl/>
          <w:lang w:bidi="ar-SY"/>
        </w:rPr>
        <w:t xml:space="preserve">337 - </w:t>
      </w:r>
      <w:r w:rsidR="00F32B28" w:rsidRPr="00F32B28">
        <w:rPr>
          <w:rtl/>
          <w:lang w:bidi="ar-SY"/>
        </w:rPr>
        <w:t>تشجع</w:t>
      </w:r>
      <w:r w:rsidR="00F32B28">
        <w:rPr>
          <w:rtl/>
          <w:lang w:bidi="ar-SY"/>
        </w:rPr>
        <w:t xml:space="preserve"> </w:t>
      </w:r>
      <w:r w:rsidR="00F32B28" w:rsidRPr="00F32B28">
        <w:rPr>
          <w:rtl/>
          <w:lang w:bidi="ar-SY"/>
        </w:rPr>
        <w:t>تعاليم</w:t>
      </w:r>
      <w:r w:rsidR="00F32B28">
        <w:rPr>
          <w:rtl/>
          <w:lang w:bidi="ar-SY"/>
        </w:rPr>
        <w:t xml:space="preserve"> </w:t>
      </w:r>
      <w:r w:rsidR="00F32B28" w:rsidRPr="00F32B28">
        <w:rPr>
          <w:rtl/>
          <w:lang w:bidi="ar-SY"/>
        </w:rPr>
        <w:t>الشريعة</w:t>
      </w:r>
      <w:r w:rsidR="00F32B28">
        <w:rPr>
          <w:rtl/>
          <w:lang w:bidi="ar-SY"/>
        </w:rPr>
        <w:t xml:space="preserve"> </w:t>
      </w:r>
      <w:r w:rsidR="00F32B28" w:rsidRPr="00F32B28">
        <w:rPr>
          <w:rtl/>
          <w:lang w:bidi="ar-SY"/>
        </w:rPr>
        <w:t>الإسلامية</w:t>
      </w:r>
      <w:r w:rsidR="00F32B28">
        <w:rPr>
          <w:rtl/>
          <w:lang w:bidi="ar-SY"/>
        </w:rPr>
        <w:t xml:space="preserve"> </w:t>
      </w:r>
      <w:r w:rsidR="00F32B28" w:rsidRPr="00F32B28">
        <w:rPr>
          <w:rtl/>
          <w:lang w:bidi="ar-SY"/>
        </w:rPr>
        <w:t>نظام</w:t>
      </w:r>
      <w:r w:rsidR="00F32B28">
        <w:rPr>
          <w:rtl/>
          <w:lang w:bidi="ar-SY"/>
        </w:rPr>
        <w:t xml:space="preserve"> </w:t>
      </w:r>
      <w:r w:rsidR="00F32B28" w:rsidRPr="00F32B28">
        <w:rPr>
          <w:rtl/>
          <w:lang w:bidi="ar-SY"/>
        </w:rPr>
        <w:t>الكفالة،</w:t>
      </w:r>
      <w:r w:rsidR="00F32B28">
        <w:rPr>
          <w:rtl/>
          <w:lang w:bidi="ar-SY"/>
        </w:rPr>
        <w:t xml:space="preserve"> </w:t>
      </w:r>
      <w:r w:rsidR="00F32B28" w:rsidRPr="00F32B28">
        <w:rPr>
          <w:rtl/>
          <w:lang w:bidi="ar-SY"/>
        </w:rPr>
        <w:t>وذلك</w:t>
      </w:r>
      <w:r w:rsidR="00F32B28">
        <w:rPr>
          <w:rtl/>
          <w:lang w:bidi="ar-SY"/>
        </w:rPr>
        <w:t xml:space="preserve"> </w:t>
      </w:r>
      <w:r w:rsidR="00F32B28" w:rsidRPr="00F32B28">
        <w:rPr>
          <w:rtl/>
          <w:lang w:bidi="ar-SY"/>
        </w:rPr>
        <w:t>عوضاً</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التبني،</w:t>
      </w:r>
      <w:r w:rsidR="00F32B28" w:rsidRPr="00F32B28">
        <w:rPr>
          <w:rtl/>
        </w:rPr>
        <w:t>ولا</w:t>
      </w:r>
      <w:r w:rsidR="00F32B28">
        <w:rPr>
          <w:rtl/>
        </w:rPr>
        <w:t xml:space="preserve"> </w:t>
      </w:r>
      <w:r w:rsidR="00F32B28" w:rsidRPr="00F32B28">
        <w:rPr>
          <w:rtl/>
        </w:rPr>
        <w:t>يوجد</w:t>
      </w:r>
      <w:r w:rsidR="00F32B28">
        <w:rPr>
          <w:rtl/>
        </w:rPr>
        <w:t xml:space="preserve"> </w:t>
      </w:r>
      <w:r w:rsidR="00F32B28" w:rsidRPr="00F32B28">
        <w:rPr>
          <w:rtl/>
        </w:rPr>
        <w:t>ما</w:t>
      </w:r>
      <w:r w:rsidR="00F32B28">
        <w:rPr>
          <w:rtl/>
        </w:rPr>
        <w:t xml:space="preserve"> </w:t>
      </w:r>
      <w:r w:rsidR="00F32B28" w:rsidRPr="00F32B28">
        <w:rPr>
          <w:rtl/>
        </w:rPr>
        <w:t>يمنع</w:t>
      </w:r>
      <w:r w:rsidR="00F32B28">
        <w:rPr>
          <w:rtl/>
        </w:rPr>
        <w:t xml:space="preserve"> </w:t>
      </w:r>
      <w:r w:rsidR="00F32B28" w:rsidRPr="00F32B28">
        <w:rPr>
          <w:rtl/>
        </w:rPr>
        <w:t>قانوناً</w:t>
      </w:r>
      <w:r w:rsidR="00F32B28">
        <w:rPr>
          <w:rtl/>
        </w:rPr>
        <w:t xml:space="preserve"> </w:t>
      </w:r>
      <w:r w:rsidR="00F32B28" w:rsidRPr="00F32B28">
        <w:rPr>
          <w:rtl/>
        </w:rPr>
        <w:t>من</w:t>
      </w:r>
      <w:r w:rsidR="00F32B28">
        <w:rPr>
          <w:rtl/>
        </w:rPr>
        <w:t xml:space="preserve"> </w:t>
      </w:r>
      <w:r w:rsidR="00F32B28" w:rsidRPr="00F32B28">
        <w:rPr>
          <w:rtl/>
        </w:rPr>
        <w:t>أن</w:t>
      </w:r>
      <w:r w:rsidR="00F32B28">
        <w:rPr>
          <w:rtl/>
        </w:rPr>
        <w:t xml:space="preserve"> </w:t>
      </w:r>
      <w:r w:rsidR="00F32B28" w:rsidRPr="00F32B28">
        <w:rPr>
          <w:rtl/>
        </w:rPr>
        <w:t>يكون</w:t>
      </w:r>
      <w:r w:rsidR="00F32B28">
        <w:rPr>
          <w:rtl/>
        </w:rPr>
        <w:t xml:space="preserve"> </w:t>
      </w:r>
      <w:r w:rsidR="00F32B28" w:rsidRPr="00F32B28">
        <w:rPr>
          <w:rtl/>
        </w:rPr>
        <w:t>الشخص</w:t>
      </w:r>
      <w:r w:rsidR="00F32B28">
        <w:rPr>
          <w:rtl/>
        </w:rPr>
        <w:t xml:space="preserve"> </w:t>
      </w:r>
      <w:r w:rsidR="00F32B28" w:rsidRPr="00F32B28">
        <w:rPr>
          <w:rtl/>
        </w:rPr>
        <w:t>الكفيل</w:t>
      </w:r>
      <w:r w:rsidR="00F32B28">
        <w:rPr>
          <w:rtl/>
        </w:rPr>
        <w:t xml:space="preserve"> </w:t>
      </w:r>
      <w:r w:rsidR="00F32B28" w:rsidRPr="00F32B28">
        <w:rPr>
          <w:rtl/>
        </w:rPr>
        <w:t>هو</w:t>
      </w:r>
      <w:r w:rsidR="00F32B28">
        <w:rPr>
          <w:rtl/>
        </w:rPr>
        <w:t xml:space="preserve"> </w:t>
      </w:r>
      <w:r w:rsidR="00F32B28" w:rsidRPr="00F32B28">
        <w:rPr>
          <w:rtl/>
        </w:rPr>
        <w:t>امرأة،</w:t>
      </w:r>
      <w:r w:rsidR="00F32B28">
        <w:rPr>
          <w:rtl/>
        </w:rPr>
        <w:t xml:space="preserve"> </w:t>
      </w:r>
      <w:r w:rsidR="00F32B28" w:rsidRPr="00F32B28">
        <w:rPr>
          <w:rtl/>
          <w:lang w:bidi="ar-SY"/>
        </w:rPr>
        <w:t>وبجميع</w:t>
      </w:r>
      <w:r w:rsidR="00F32B28">
        <w:rPr>
          <w:rtl/>
          <w:lang w:bidi="ar-SY"/>
        </w:rPr>
        <w:t xml:space="preserve"> </w:t>
      </w:r>
      <w:r w:rsidR="00F32B28" w:rsidRPr="00F32B28">
        <w:rPr>
          <w:rtl/>
          <w:lang w:bidi="ar-SY"/>
        </w:rPr>
        <w:t>الأحوال</w:t>
      </w:r>
      <w:r>
        <w:rPr>
          <w:rFonts w:hint="cs"/>
          <w:rtl/>
          <w:lang w:bidi="ar-SY"/>
        </w:rPr>
        <w:t xml:space="preserve"> </w:t>
      </w:r>
      <w:r w:rsidR="00F32B28" w:rsidRPr="00F32B28">
        <w:rPr>
          <w:rtl/>
          <w:lang w:bidi="ar-SY"/>
        </w:rPr>
        <w:t>لا</w:t>
      </w:r>
      <w:r w:rsidR="00F32B28">
        <w:rPr>
          <w:rtl/>
          <w:lang w:bidi="ar-SY"/>
        </w:rPr>
        <w:t xml:space="preserve"> </w:t>
      </w:r>
      <w:r w:rsidR="00F32B28" w:rsidRPr="00F32B28">
        <w:rPr>
          <w:rtl/>
          <w:lang w:bidi="ar-SY"/>
        </w:rPr>
        <w:t>ينسب</w:t>
      </w:r>
      <w:r w:rsidR="00F32B28">
        <w:rPr>
          <w:rtl/>
          <w:lang w:bidi="ar-SY"/>
        </w:rPr>
        <w:t xml:space="preserve"> </w:t>
      </w:r>
      <w:r w:rsidR="00F32B28" w:rsidRPr="00F32B28">
        <w:rPr>
          <w:rtl/>
          <w:lang w:bidi="ar-SY"/>
        </w:rPr>
        <w:t>الأولاد</w:t>
      </w:r>
      <w:r w:rsidR="00F32B28">
        <w:rPr>
          <w:rtl/>
          <w:lang w:bidi="ar-SY"/>
        </w:rPr>
        <w:t xml:space="preserve"> </w:t>
      </w:r>
      <w:r w:rsidR="00F32B28" w:rsidRPr="00F32B28">
        <w:rPr>
          <w:rtl/>
          <w:lang w:bidi="ar-SY"/>
        </w:rPr>
        <w:t>المكفولين</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كفلهم،</w:t>
      </w:r>
      <w:r w:rsidR="00F32B28">
        <w:rPr>
          <w:rtl/>
          <w:lang w:bidi="ar-SY"/>
        </w:rPr>
        <w:t xml:space="preserve"> </w:t>
      </w:r>
      <w:r w:rsidR="00F32B28" w:rsidRPr="00F32B28">
        <w:rPr>
          <w:rtl/>
          <w:lang w:bidi="ar-SY"/>
        </w:rPr>
        <w:t>سواء</w:t>
      </w:r>
      <w:r w:rsidR="00F32B28">
        <w:rPr>
          <w:rtl/>
          <w:lang w:bidi="ar-SY"/>
        </w:rPr>
        <w:t xml:space="preserve"> </w:t>
      </w:r>
      <w:r w:rsidR="00F32B28" w:rsidRPr="00F32B28">
        <w:rPr>
          <w:rtl/>
          <w:lang w:bidi="ar-SY"/>
        </w:rPr>
        <w:t>كان</w:t>
      </w:r>
      <w:r w:rsidR="00F32B28">
        <w:rPr>
          <w:rtl/>
          <w:lang w:bidi="ar-SY"/>
        </w:rPr>
        <w:t xml:space="preserve"> </w:t>
      </w:r>
      <w:r w:rsidR="00F32B28" w:rsidRPr="00F32B28">
        <w:rPr>
          <w:rtl/>
          <w:lang w:bidi="ar-SY"/>
        </w:rPr>
        <w:t>رجلاً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امرأة،</w:t>
      </w:r>
      <w:r w:rsidR="00F32B28">
        <w:rPr>
          <w:rtl/>
          <w:lang w:bidi="ar-SY"/>
        </w:rPr>
        <w:t xml:space="preserve"> </w:t>
      </w:r>
      <w:r w:rsidR="00F32B28" w:rsidRPr="00F32B28">
        <w:rPr>
          <w:rtl/>
          <w:lang w:bidi="ar-SY"/>
        </w:rPr>
        <w:t>بل</w:t>
      </w:r>
      <w:r w:rsidR="00F32B28">
        <w:rPr>
          <w:rtl/>
          <w:lang w:bidi="ar-SY"/>
        </w:rPr>
        <w:t xml:space="preserve"> </w:t>
      </w:r>
      <w:r w:rsidR="00F32B28" w:rsidRPr="00F32B28">
        <w:rPr>
          <w:rtl/>
          <w:lang w:bidi="ar-SY"/>
        </w:rPr>
        <w:t>يبقوا</w:t>
      </w:r>
      <w:r w:rsidR="00F32B28">
        <w:rPr>
          <w:rtl/>
          <w:lang w:bidi="ar-SY"/>
        </w:rPr>
        <w:t xml:space="preserve"> </w:t>
      </w:r>
      <w:r w:rsidR="00F32B28" w:rsidRPr="00F32B28">
        <w:rPr>
          <w:rtl/>
          <w:lang w:bidi="ar-SY"/>
        </w:rPr>
        <w:t>حاملين</w:t>
      </w:r>
      <w:r w:rsidR="00F32B28">
        <w:rPr>
          <w:rtl/>
          <w:lang w:bidi="ar-SY"/>
        </w:rPr>
        <w:t xml:space="preserve"> </w:t>
      </w:r>
      <w:r w:rsidR="00F32B28" w:rsidRPr="00F32B28">
        <w:rPr>
          <w:rtl/>
          <w:lang w:bidi="ar-SY"/>
        </w:rPr>
        <w:t>لأسمائهم</w:t>
      </w:r>
      <w:r w:rsidR="00F32B28">
        <w:rPr>
          <w:rtl/>
          <w:lang w:bidi="ar-SY"/>
        </w:rPr>
        <w:t xml:space="preserve"> </w:t>
      </w:r>
      <w:r w:rsidR="00F32B28" w:rsidRPr="00F32B28">
        <w:rPr>
          <w:rtl/>
          <w:lang w:bidi="ar-SY"/>
        </w:rPr>
        <w:t>الأصلية.</w:t>
      </w:r>
      <w:r w:rsidR="00F32B28">
        <w:rPr>
          <w:rtl/>
          <w:lang w:bidi="ar-SY"/>
        </w:rPr>
        <w:t xml:space="preserve"> </w:t>
      </w:r>
      <w:r w:rsidR="00F32B28" w:rsidRPr="00F32B28">
        <w:rPr>
          <w:rtl/>
          <w:lang w:bidi="ar-SY"/>
        </w:rPr>
        <w:t>كذلك</w:t>
      </w:r>
      <w:r w:rsidR="00F32B28">
        <w:rPr>
          <w:rtl/>
          <w:lang w:bidi="ar-SY"/>
        </w:rPr>
        <w:t xml:space="preserve"> </w:t>
      </w:r>
      <w:r w:rsidR="00F32B28" w:rsidRPr="00F32B28">
        <w:rPr>
          <w:rtl/>
          <w:lang w:bidi="ar-SY"/>
        </w:rPr>
        <w:t>يساوى</w:t>
      </w:r>
      <w:r w:rsidR="00F32B28">
        <w:rPr>
          <w:rtl/>
          <w:lang w:bidi="ar-SY"/>
        </w:rPr>
        <w:t xml:space="preserve"> </w:t>
      </w:r>
      <w:r w:rsidR="00F32B28" w:rsidRPr="00F32B28">
        <w:rPr>
          <w:rtl/>
          <w:lang w:bidi="ar-SY"/>
        </w:rPr>
        <w:t>نظام</w:t>
      </w:r>
      <w:r w:rsidR="00F32B28">
        <w:rPr>
          <w:rtl/>
          <w:lang w:bidi="ar-SY"/>
        </w:rPr>
        <w:t xml:space="preserve"> </w:t>
      </w:r>
      <w:r w:rsidR="00F32B28" w:rsidRPr="00F32B28">
        <w:rPr>
          <w:rtl/>
          <w:lang w:bidi="ar-SY"/>
        </w:rPr>
        <w:t>الاحتضان،</w:t>
      </w:r>
      <w:r w:rsidR="00F32B28">
        <w:rPr>
          <w:rtl/>
          <w:lang w:bidi="ar-SY"/>
        </w:rPr>
        <w:t xml:space="preserve"> </w:t>
      </w:r>
      <w:r w:rsidR="00F32B28" w:rsidRPr="00F32B28">
        <w:rPr>
          <w:rtl/>
          <w:lang w:bidi="ar-SY"/>
        </w:rPr>
        <w:t>والذي</w:t>
      </w:r>
      <w:r w:rsidR="00F32B28">
        <w:rPr>
          <w:rtl/>
          <w:lang w:bidi="ar-SY"/>
        </w:rPr>
        <w:t xml:space="preserve"> </w:t>
      </w:r>
      <w:r w:rsidR="00F32B28" w:rsidRPr="00F32B28">
        <w:rPr>
          <w:rtl/>
          <w:lang w:bidi="ar-SY"/>
        </w:rPr>
        <w:t>أقره</w:t>
      </w:r>
      <w:r w:rsidR="00F32B28">
        <w:rPr>
          <w:rtl/>
          <w:lang w:bidi="ar-SY"/>
        </w:rPr>
        <w:t xml:space="preserve"> </w:t>
      </w:r>
      <w:r w:rsidR="00F32B28" w:rsidRPr="00F32B28">
        <w:rPr>
          <w:rtl/>
          <w:lang w:bidi="ar-SY"/>
        </w:rPr>
        <w:t>مجلس</w:t>
      </w:r>
      <w:r w:rsidR="00F32B28">
        <w:rPr>
          <w:rtl/>
          <w:lang w:bidi="ar-SY"/>
        </w:rPr>
        <w:t xml:space="preserve"> </w:t>
      </w:r>
      <w:r w:rsidR="00F32B28" w:rsidRPr="00F32B28">
        <w:rPr>
          <w:rtl/>
          <w:lang w:bidi="ar-SY"/>
        </w:rPr>
        <w:t>الوزراء</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سنة</w:t>
      </w:r>
      <w:r w:rsidR="00F32B28">
        <w:rPr>
          <w:rtl/>
          <w:lang w:bidi="ar-SY"/>
        </w:rPr>
        <w:t xml:space="preserve"> </w:t>
      </w:r>
      <w:r w:rsidR="00F32B28" w:rsidRPr="00F32B28">
        <w:rPr>
          <w:rtl/>
          <w:lang w:bidi="ar-SY"/>
        </w:rPr>
        <w:t>2013،</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الرجل</w:t>
      </w:r>
      <w:r w:rsidR="00F32B28">
        <w:rPr>
          <w:rtl/>
          <w:lang w:bidi="ar-SY"/>
        </w:rPr>
        <w:t xml:space="preserve"> </w:t>
      </w:r>
      <w:r w:rsidR="00F32B28" w:rsidRPr="00F32B28">
        <w:rPr>
          <w:rtl/>
          <w:lang w:bidi="ar-SY"/>
        </w:rPr>
        <w:t>والمرأة</w:t>
      </w:r>
      <w:r w:rsidR="00F32B28">
        <w:rPr>
          <w:rtl/>
          <w:lang w:bidi="ar-SY"/>
        </w:rPr>
        <w:t xml:space="preserve"> </w:t>
      </w:r>
      <w:r w:rsidR="00F32B28" w:rsidRPr="00F32B28">
        <w:rPr>
          <w:rtl/>
          <w:lang w:bidi="ar-SY"/>
        </w:rPr>
        <w:t>حين</w:t>
      </w:r>
      <w:r w:rsidR="00F32B28">
        <w:rPr>
          <w:rtl/>
          <w:lang w:bidi="ar-SY"/>
        </w:rPr>
        <w:t xml:space="preserve"> </w:t>
      </w:r>
      <w:r w:rsidR="00F32B28" w:rsidRPr="00F32B28">
        <w:rPr>
          <w:rtl/>
          <w:lang w:bidi="ar-SY"/>
        </w:rPr>
        <w:t>اشترط</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تكون</w:t>
      </w:r>
      <w:r w:rsidR="00F32B28">
        <w:rPr>
          <w:rtl/>
          <w:lang w:bidi="ar-SY"/>
        </w:rPr>
        <w:t xml:space="preserve"> </w:t>
      </w:r>
      <w:r w:rsidR="00F32B28" w:rsidRPr="00F32B28">
        <w:rPr>
          <w:rtl/>
          <w:lang w:bidi="ar-SY"/>
        </w:rPr>
        <w:t>الأسرة</w:t>
      </w:r>
      <w:r w:rsidR="00F32B28">
        <w:rPr>
          <w:rtl/>
          <w:lang w:bidi="ar-SY"/>
        </w:rPr>
        <w:t xml:space="preserve"> </w:t>
      </w:r>
      <w:r w:rsidR="00F32B28" w:rsidRPr="00F32B28">
        <w:rPr>
          <w:rtl/>
          <w:lang w:bidi="ar-SY"/>
        </w:rPr>
        <w:t>الحاضنة</w:t>
      </w:r>
      <w:r w:rsidR="00F32B28">
        <w:rPr>
          <w:rtl/>
          <w:lang w:bidi="ar-SY"/>
        </w:rPr>
        <w:t xml:space="preserve"> </w:t>
      </w:r>
      <w:r w:rsidR="00F32B28" w:rsidRPr="00F32B28">
        <w:rPr>
          <w:rtl/>
          <w:lang w:bidi="ar-SY"/>
        </w:rPr>
        <w:t>للطفل،</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الأسرة</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تطلب</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رعاية</w:t>
      </w:r>
      <w:r w:rsidR="00F32B28">
        <w:rPr>
          <w:rtl/>
          <w:lang w:bidi="ar-SY"/>
        </w:rPr>
        <w:t xml:space="preserve"> </w:t>
      </w:r>
      <w:r w:rsidR="00F32B28" w:rsidRPr="00F32B28">
        <w:rPr>
          <w:rtl/>
          <w:lang w:bidi="ar-SY"/>
        </w:rPr>
        <w:t>الطفل</w:t>
      </w:r>
      <w:r w:rsidR="00F32B28">
        <w:rPr>
          <w:rtl/>
          <w:lang w:bidi="ar-SY"/>
        </w:rPr>
        <w:t xml:space="preserve"> </w:t>
      </w:r>
      <w:r w:rsidR="00F32B28" w:rsidRPr="00F32B28">
        <w:rPr>
          <w:rtl/>
          <w:lang w:bidi="ar-SY"/>
        </w:rPr>
        <w:t>وتنشئته،</w:t>
      </w:r>
      <w:r w:rsidR="00F32B28">
        <w:rPr>
          <w:rtl/>
          <w:lang w:bidi="ar-SY"/>
        </w:rPr>
        <w:t xml:space="preserve"> </w:t>
      </w:r>
      <w:r w:rsidR="00F32B28" w:rsidRPr="00F32B28">
        <w:rPr>
          <w:rtl/>
          <w:lang w:bidi="ar-SY"/>
        </w:rPr>
        <w:t>قائمة</w:t>
      </w:r>
      <w:r w:rsidR="00F32B28">
        <w:rPr>
          <w:rtl/>
          <w:lang w:bidi="ar-SY"/>
        </w:rPr>
        <w:t xml:space="preserve"> </w:t>
      </w:r>
      <w:r w:rsidR="00F32B28" w:rsidRPr="00F32B28">
        <w:rPr>
          <w:rtl/>
          <w:lang w:bidi="ar-SY"/>
        </w:rPr>
        <w:t>ومكونة</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زوجين</w:t>
      </w:r>
      <w:r w:rsidR="00F32B28">
        <w:rPr>
          <w:rtl/>
          <w:lang w:bidi="ar-SY"/>
        </w:rPr>
        <w:t xml:space="preserve"> </w:t>
      </w:r>
      <w:r w:rsidR="00F32B28" w:rsidRPr="00F32B28">
        <w:rPr>
          <w:rtl/>
          <w:lang w:bidi="ar-SY"/>
        </w:rPr>
        <w:t>مقيمين</w:t>
      </w:r>
      <w:r w:rsidR="00F32B28">
        <w:rPr>
          <w:rtl/>
          <w:lang w:bidi="ar-SY"/>
        </w:rPr>
        <w:t xml:space="preserve"> </w:t>
      </w:r>
      <w:r w:rsidR="00F32B28" w:rsidRPr="00F32B28">
        <w:rPr>
          <w:rtl/>
          <w:lang w:bidi="ar-SY"/>
        </w:rPr>
        <w:t>معاً،</w:t>
      </w:r>
      <w:r w:rsidR="00F32B28">
        <w:rPr>
          <w:rtl/>
          <w:lang w:bidi="ar-SY"/>
        </w:rPr>
        <w:t xml:space="preserve"> </w:t>
      </w:r>
      <w:r w:rsidR="00F32B28" w:rsidRPr="00F32B28">
        <w:rPr>
          <w:rtl/>
          <w:lang w:bidi="ar-SY"/>
        </w:rPr>
        <w:t>وأن</w:t>
      </w:r>
      <w:r w:rsidR="00F32B28">
        <w:rPr>
          <w:rtl/>
          <w:lang w:bidi="ar-SY"/>
        </w:rPr>
        <w:t xml:space="preserve"> </w:t>
      </w:r>
      <w:r w:rsidR="00F32B28" w:rsidRPr="00F32B28">
        <w:rPr>
          <w:rtl/>
          <w:lang w:bidi="ar-SY"/>
        </w:rPr>
        <w:t>احتضان</w:t>
      </w:r>
      <w:r w:rsidR="004C698D">
        <w:rPr>
          <w:rFonts w:hint="cs"/>
          <w:rtl/>
          <w:lang w:bidi="ar-SY"/>
        </w:rPr>
        <w:t xml:space="preserve"> </w:t>
      </w:r>
      <w:r w:rsidR="00F32B28" w:rsidRPr="00F32B28">
        <w:rPr>
          <w:rtl/>
          <w:lang w:bidi="ar-SY"/>
        </w:rPr>
        <w:t>الطفل</w:t>
      </w:r>
      <w:r w:rsidR="00F32B28">
        <w:rPr>
          <w:rtl/>
          <w:lang w:bidi="ar-SY"/>
        </w:rPr>
        <w:t xml:space="preserve"> </w:t>
      </w:r>
      <w:r w:rsidR="00F32B28" w:rsidRPr="00F32B28">
        <w:rPr>
          <w:rtl/>
          <w:lang w:bidi="ar-SY"/>
        </w:rPr>
        <w:t>المحُتضن</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ينتهي</w:t>
      </w:r>
      <w:r w:rsidR="00F32B28">
        <w:rPr>
          <w:rtl/>
          <w:lang w:bidi="ar-SY"/>
        </w:rPr>
        <w:t xml:space="preserve"> </w:t>
      </w:r>
      <w:r w:rsidR="00F32B28" w:rsidRPr="00F32B28">
        <w:rPr>
          <w:rtl/>
          <w:lang w:bidi="ar-SY"/>
        </w:rPr>
        <w:t>إلا</w:t>
      </w:r>
      <w:r w:rsidR="00F32B28">
        <w:rPr>
          <w:rtl/>
          <w:lang w:bidi="ar-SY"/>
        </w:rPr>
        <w:t xml:space="preserve"> </w:t>
      </w:r>
      <w:r w:rsidR="00F32B28" w:rsidRPr="00F32B28">
        <w:rPr>
          <w:rtl/>
          <w:lang w:bidi="ar-SY"/>
        </w:rPr>
        <w:t>بوفاة</w:t>
      </w:r>
      <w:r w:rsidR="00F32B28">
        <w:rPr>
          <w:rtl/>
          <w:lang w:bidi="ar-SY"/>
        </w:rPr>
        <w:t xml:space="preserve"> </w:t>
      </w:r>
      <w:r w:rsidR="00F32B28" w:rsidRPr="00F32B28">
        <w:rPr>
          <w:rtl/>
          <w:lang w:bidi="ar-SY"/>
        </w:rPr>
        <w:t>كلا</w:t>
      </w:r>
      <w:r w:rsidR="00F32B28">
        <w:rPr>
          <w:rtl/>
          <w:lang w:bidi="ar-SY"/>
        </w:rPr>
        <w:t xml:space="preserve"> </w:t>
      </w:r>
      <w:r w:rsidR="00F32B28" w:rsidRPr="00F32B28">
        <w:rPr>
          <w:rtl/>
          <w:lang w:bidi="ar-SY"/>
        </w:rPr>
        <w:t>الزوجين؛</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الأم</w:t>
      </w:r>
      <w:r w:rsidR="00F32B28">
        <w:rPr>
          <w:rtl/>
          <w:lang w:bidi="ar-SY"/>
        </w:rPr>
        <w:t xml:space="preserve"> </w:t>
      </w:r>
      <w:r w:rsidR="00F32B28" w:rsidRPr="00F32B28">
        <w:rPr>
          <w:rtl/>
          <w:lang w:bidi="ar-SY"/>
        </w:rPr>
        <w:t>المحتضنة</w:t>
      </w:r>
      <w:r w:rsidR="00F32B28">
        <w:rPr>
          <w:rtl/>
          <w:lang w:bidi="ar-SY"/>
        </w:rPr>
        <w:t xml:space="preserve"> </w:t>
      </w:r>
      <w:r w:rsidR="00F32B28" w:rsidRPr="00F32B28">
        <w:rPr>
          <w:rtl/>
          <w:lang w:bidi="ar-SY"/>
        </w:rPr>
        <w:t>تحتفظ</w:t>
      </w:r>
      <w:r w:rsidR="00F32B28">
        <w:rPr>
          <w:rtl/>
          <w:lang w:bidi="ar-SY"/>
        </w:rPr>
        <w:t xml:space="preserve"> </w:t>
      </w:r>
      <w:r w:rsidR="00F32B28" w:rsidRPr="00F32B28">
        <w:rPr>
          <w:rtl/>
          <w:lang w:bidi="ar-SY"/>
        </w:rPr>
        <w:t>بحقها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حضانة</w:t>
      </w:r>
      <w:r w:rsidR="00F32B28">
        <w:rPr>
          <w:rtl/>
          <w:lang w:bidi="ar-SY"/>
        </w:rPr>
        <w:t xml:space="preserve"> </w:t>
      </w:r>
      <w:r w:rsidR="00F32B28" w:rsidRPr="00F32B28">
        <w:rPr>
          <w:rtl/>
          <w:lang w:bidi="ar-SY"/>
        </w:rPr>
        <w:t>الطفل</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لو</w:t>
      </w:r>
      <w:r w:rsidR="00F32B28">
        <w:rPr>
          <w:rtl/>
          <w:lang w:bidi="ar-SY"/>
        </w:rPr>
        <w:t xml:space="preserve"> </w:t>
      </w:r>
      <w:r w:rsidR="00F32B28" w:rsidRPr="00F32B28">
        <w:rPr>
          <w:rtl/>
          <w:lang w:bidi="ar-SY"/>
        </w:rPr>
        <w:t>توفى</w:t>
      </w:r>
      <w:r w:rsidR="00F32B28">
        <w:rPr>
          <w:rtl/>
          <w:lang w:bidi="ar-SY"/>
        </w:rPr>
        <w:t xml:space="preserve"> </w:t>
      </w:r>
      <w:r w:rsidR="00F32B28" w:rsidRPr="00F32B28">
        <w:rPr>
          <w:rtl/>
          <w:lang w:bidi="ar-SY"/>
        </w:rPr>
        <w:t>عنها</w:t>
      </w:r>
      <w:r w:rsidR="00F32B28">
        <w:rPr>
          <w:rtl/>
          <w:lang w:bidi="ar-SY"/>
        </w:rPr>
        <w:t xml:space="preserve"> </w:t>
      </w:r>
      <w:r w:rsidR="00F32B28" w:rsidRPr="00F32B28">
        <w:rPr>
          <w:rtl/>
          <w:lang w:bidi="ar-SY"/>
        </w:rPr>
        <w:t>زوجها</w:t>
      </w:r>
      <w:r w:rsidR="00F32B28">
        <w:rPr>
          <w:rtl/>
          <w:lang w:bidi="ar-SY"/>
        </w:rPr>
        <w:t xml:space="preserve"> </w:t>
      </w:r>
      <w:r w:rsidR="00F32B28" w:rsidRPr="00F32B28">
        <w:rPr>
          <w:rtl/>
          <w:lang w:bidi="ar-SY"/>
        </w:rPr>
        <w:t>المحتضن.</w:t>
      </w:r>
      <w:r w:rsidR="00F32B28">
        <w:rPr>
          <w:rtl/>
          <w:lang w:bidi="ar-SY"/>
        </w:rPr>
        <w:t xml:space="preserve"> </w:t>
      </w:r>
    </w:p>
    <w:p w:rsidR="00565595" w:rsidRPr="00565595" w:rsidRDefault="00565595" w:rsidP="00565595">
      <w:pPr>
        <w:pStyle w:val="SingleTxt"/>
        <w:spacing w:after="0" w:line="120" w:lineRule="exact"/>
        <w:rPr>
          <w:b/>
          <w:bCs/>
          <w:sz w:val="10"/>
          <w:rtl/>
          <w:lang w:bidi="ar-SY"/>
        </w:rPr>
      </w:pPr>
    </w:p>
    <w:p w:rsidR="00F32B28" w:rsidRPr="00F32B28" w:rsidRDefault="00F32B28" w:rsidP="00F32B28">
      <w:pPr>
        <w:pStyle w:val="SingleTxt"/>
        <w:rPr>
          <w:b/>
          <w:bCs/>
          <w:rtl/>
          <w:lang w:bidi="ar-SY"/>
        </w:rPr>
      </w:pPr>
      <w:r w:rsidRPr="00F32B28">
        <w:rPr>
          <w:b/>
          <w:bCs/>
          <w:rtl/>
          <w:lang w:bidi="ar-SY"/>
        </w:rPr>
        <w:t>الطلاق</w:t>
      </w:r>
      <w:r>
        <w:rPr>
          <w:b/>
          <w:bCs/>
          <w:rtl/>
          <w:lang w:bidi="ar-SY"/>
        </w:rPr>
        <w:t xml:space="preserve"> </w:t>
      </w:r>
      <w:r w:rsidRPr="00F32B28">
        <w:rPr>
          <w:b/>
          <w:bCs/>
          <w:rtl/>
          <w:lang w:bidi="ar-SY"/>
        </w:rPr>
        <w:t>والتفريق</w:t>
      </w:r>
    </w:p>
    <w:p w:rsidR="00F32B28" w:rsidRPr="00F32B28" w:rsidRDefault="00565595" w:rsidP="00565595">
      <w:pPr>
        <w:pStyle w:val="SingleTxt"/>
        <w:rPr>
          <w:rtl/>
          <w:lang w:bidi="ar-LB"/>
        </w:rPr>
      </w:pPr>
      <w:r>
        <w:rPr>
          <w:rFonts w:hint="cs"/>
          <w:rtl/>
          <w:lang w:bidi="ar-LB"/>
        </w:rPr>
        <w:t xml:space="preserve">338 - </w:t>
      </w:r>
      <w:r w:rsidR="00F32B28" w:rsidRPr="00F32B28">
        <w:rPr>
          <w:rtl/>
          <w:lang w:bidi="ar-LB"/>
        </w:rPr>
        <w:t>يملك</w:t>
      </w:r>
      <w:r w:rsidR="00F32B28">
        <w:rPr>
          <w:rtl/>
          <w:lang w:bidi="ar-LB"/>
        </w:rPr>
        <w:t xml:space="preserve"> </w:t>
      </w:r>
      <w:r w:rsidR="00F32B28" w:rsidRPr="00F32B28">
        <w:rPr>
          <w:rtl/>
          <w:lang w:bidi="ar-LB"/>
        </w:rPr>
        <w:t>الرجل</w:t>
      </w:r>
      <w:r w:rsidR="00F32B28">
        <w:rPr>
          <w:rtl/>
          <w:lang w:bidi="ar-LB"/>
        </w:rPr>
        <w:t xml:space="preserve"> </w:t>
      </w:r>
      <w:r w:rsidR="00F32B28" w:rsidRPr="00F32B28">
        <w:rPr>
          <w:rtl/>
          <w:lang w:bidi="ar-LB"/>
        </w:rPr>
        <w:t>حق</w:t>
      </w:r>
      <w:r w:rsidR="00F32B28">
        <w:rPr>
          <w:rtl/>
          <w:lang w:bidi="ar-LB"/>
        </w:rPr>
        <w:t xml:space="preserve"> </w:t>
      </w:r>
      <w:r w:rsidR="00F32B28" w:rsidRPr="00F32B28">
        <w:rPr>
          <w:rtl/>
          <w:lang w:bidi="ar-LB"/>
        </w:rPr>
        <w:t>طلاق</w:t>
      </w:r>
      <w:r w:rsidR="00F32B28">
        <w:rPr>
          <w:rtl/>
          <w:lang w:bidi="ar-LB"/>
        </w:rPr>
        <w:t xml:space="preserve"> </w:t>
      </w:r>
      <w:r w:rsidR="00F32B28" w:rsidRPr="00F32B28">
        <w:rPr>
          <w:rtl/>
          <w:lang w:bidi="ar-SY"/>
        </w:rPr>
        <w:t>زوجته</w:t>
      </w:r>
      <w:r w:rsidR="00F32B28">
        <w:rPr>
          <w:rtl/>
          <w:lang w:bidi="ar-SY"/>
        </w:rPr>
        <w:t xml:space="preserve"> </w:t>
      </w:r>
      <w:r w:rsidR="00F32B28" w:rsidRPr="00F32B28">
        <w:rPr>
          <w:rtl/>
          <w:lang w:bidi="ar-SY"/>
        </w:rPr>
        <w:t>بإرادته</w:t>
      </w:r>
      <w:r w:rsidR="00F32B28">
        <w:rPr>
          <w:rtl/>
          <w:lang w:bidi="ar-SY"/>
        </w:rPr>
        <w:t xml:space="preserve"> </w:t>
      </w:r>
      <w:r w:rsidR="00F32B28" w:rsidRPr="00F32B28">
        <w:rPr>
          <w:rtl/>
          <w:lang w:bidi="ar-SY"/>
        </w:rPr>
        <w:t>المنفردة</w:t>
      </w:r>
      <w:r w:rsidR="00F32B28">
        <w:rPr>
          <w:rtl/>
          <w:lang w:bidi="ar-SY"/>
        </w:rPr>
        <w:t xml:space="preserve"> </w:t>
      </w:r>
      <w:r w:rsidR="00F32B28" w:rsidRPr="00F32B28">
        <w:rPr>
          <w:rtl/>
          <w:lang w:bidi="ar-SY"/>
        </w:rPr>
        <w:t>لأي</w:t>
      </w:r>
      <w:r w:rsidR="00F32B28">
        <w:rPr>
          <w:rtl/>
          <w:lang w:bidi="ar-SY"/>
        </w:rPr>
        <w:t xml:space="preserve"> </w:t>
      </w:r>
      <w:r w:rsidR="00F32B28" w:rsidRPr="00F32B28">
        <w:rPr>
          <w:rtl/>
          <w:lang w:bidi="ar-SY"/>
        </w:rPr>
        <w:t>سبب</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الأسباب</w:t>
      </w:r>
      <w:r w:rsidR="00F32B28">
        <w:rPr>
          <w:rtl/>
          <w:lang w:bidi="ar-SY"/>
        </w:rPr>
        <w:t xml:space="preserve"> </w:t>
      </w:r>
      <w:r w:rsidR="00F32B28" w:rsidRPr="00F32B28">
        <w:rPr>
          <w:rtl/>
          <w:lang w:bidi="ar-SY"/>
        </w:rPr>
        <w:t>ولو</w:t>
      </w:r>
      <w:r w:rsidR="00F32B28">
        <w:rPr>
          <w:rtl/>
          <w:lang w:bidi="ar-SY"/>
        </w:rPr>
        <w:t xml:space="preserve"> </w:t>
      </w:r>
      <w:r w:rsidR="00F32B28" w:rsidRPr="00F32B28">
        <w:rPr>
          <w:rtl/>
          <w:lang w:bidi="ar-SY"/>
        </w:rPr>
        <w:t>وقع</w:t>
      </w:r>
      <w:r w:rsidR="00F32B28">
        <w:rPr>
          <w:rtl/>
          <w:lang w:bidi="ar-SY"/>
        </w:rPr>
        <w:t xml:space="preserve"> </w:t>
      </w:r>
      <w:r w:rsidR="00F32B28" w:rsidRPr="00F32B28">
        <w:rPr>
          <w:rtl/>
          <w:lang w:bidi="ar-SY"/>
        </w:rPr>
        <w:t>بغير</w:t>
      </w:r>
      <w:r w:rsidR="00F32B28">
        <w:rPr>
          <w:rtl/>
          <w:lang w:bidi="ar-SY"/>
        </w:rPr>
        <w:t xml:space="preserve"> </w:t>
      </w:r>
      <w:r w:rsidR="00F32B28" w:rsidRPr="00F32B28">
        <w:rPr>
          <w:rtl/>
          <w:lang w:bidi="ar-SY"/>
        </w:rPr>
        <w:t>رضاها،</w:t>
      </w:r>
      <w:r w:rsidR="00F32B28">
        <w:rPr>
          <w:rtl/>
          <w:lang w:bidi="ar-SY"/>
        </w:rPr>
        <w:t xml:space="preserve"> </w:t>
      </w:r>
      <w:r w:rsidR="00F32B28" w:rsidRPr="00F32B28">
        <w:rPr>
          <w:rtl/>
          <w:lang w:bidi="ar-LB"/>
        </w:rPr>
        <w:t>كما</w:t>
      </w:r>
      <w:r w:rsidR="00F32B28">
        <w:rPr>
          <w:rtl/>
          <w:lang w:bidi="ar-LB"/>
        </w:rPr>
        <w:t xml:space="preserve"> </w:t>
      </w:r>
      <w:r w:rsidR="00F32B28" w:rsidRPr="00F32B28">
        <w:rPr>
          <w:rtl/>
          <w:lang w:bidi="ar-LB"/>
        </w:rPr>
        <w:t>له</w:t>
      </w:r>
      <w:r w:rsidR="00F32B28">
        <w:rPr>
          <w:rtl/>
          <w:lang w:bidi="ar-LB"/>
        </w:rPr>
        <w:t xml:space="preserve"> </w:t>
      </w:r>
      <w:r w:rsidR="00F32B28" w:rsidRPr="00F32B28">
        <w:rPr>
          <w:rtl/>
          <w:lang w:bidi="ar-LB"/>
        </w:rPr>
        <w:t>حق</w:t>
      </w:r>
      <w:r w:rsidR="00F32B28">
        <w:rPr>
          <w:rtl/>
          <w:lang w:bidi="ar-LB"/>
        </w:rPr>
        <w:t xml:space="preserve"> </w:t>
      </w:r>
      <w:r w:rsidR="00F32B28" w:rsidRPr="00F32B28">
        <w:rPr>
          <w:rtl/>
          <w:lang w:bidi="ar-LB"/>
        </w:rPr>
        <w:t>تفويض</w:t>
      </w:r>
      <w:r w:rsidR="00F32B28">
        <w:rPr>
          <w:rtl/>
          <w:lang w:bidi="ar-LB"/>
        </w:rPr>
        <w:t xml:space="preserve"> </w:t>
      </w:r>
      <w:r w:rsidR="00F32B28" w:rsidRPr="00F32B28">
        <w:rPr>
          <w:rtl/>
          <w:lang w:bidi="ar-LB"/>
        </w:rPr>
        <w:t>غيره</w:t>
      </w:r>
      <w:r w:rsidR="00F32B28">
        <w:rPr>
          <w:rtl/>
          <w:lang w:bidi="ar-LB"/>
        </w:rPr>
        <w:t xml:space="preserve"> </w:t>
      </w:r>
      <w:r w:rsidR="00F32B28" w:rsidRPr="00F32B28">
        <w:rPr>
          <w:rtl/>
          <w:lang w:bidi="ar-LB"/>
        </w:rPr>
        <w:t>بطلاق</w:t>
      </w:r>
      <w:r w:rsidR="00F32B28">
        <w:rPr>
          <w:rtl/>
          <w:lang w:bidi="ar-LB"/>
        </w:rPr>
        <w:t xml:space="preserve"> </w:t>
      </w:r>
      <w:r w:rsidR="00F32B28" w:rsidRPr="00F32B28">
        <w:rPr>
          <w:rtl/>
          <w:lang w:bidi="ar-LB"/>
        </w:rPr>
        <w:t>زوجته،</w:t>
      </w:r>
      <w:r w:rsidR="00F32B28">
        <w:rPr>
          <w:rtl/>
          <w:lang w:bidi="ar-LB"/>
        </w:rPr>
        <w:t xml:space="preserve"> </w:t>
      </w:r>
      <w:r w:rsidR="00F32B28" w:rsidRPr="00F32B28">
        <w:rPr>
          <w:rtl/>
          <w:lang w:bidi="ar-LB"/>
        </w:rPr>
        <w:t>وعليه</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يسجل</w:t>
      </w:r>
      <w:r w:rsidR="00F32B28">
        <w:rPr>
          <w:rtl/>
          <w:lang w:bidi="ar-LB"/>
        </w:rPr>
        <w:t xml:space="preserve"> </w:t>
      </w:r>
      <w:r w:rsidR="00F32B28" w:rsidRPr="00F32B28">
        <w:rPr>
          <w:rtl/>
          <w:lang w:bidi="ar-LB"/>
        </w:rPr>
        <w:t>طلاقه</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المحكمة</w:t>
      </w:r>
      <w:r w:rsidR="00F32B28">
        <w:rPr>
          <w:rtl/>
          <w:lang w:bidi="ar-LB"/>
        </w:rPr>
        <w:t xml:space="preserve"> </w:t>
      </w:r>
      <w:r w:rsidR="00F32B28" w:rsidRPr="00F32B28">
        <w:rPr>
          <w:rtl/>
          <w:lang w:bidi="ar-LB"/>
        </w:rPr>
        <w:t>الشرعية،</w:t>
      </w:r>
      <w:r w:rsidR="00F32B28">
        <w:rPr>
          <w:rtl/>
          <w:lang w:bidi="ar-LB"/>
        </w:rPr>
        <w:t xml:space="preserve"> </w:t>
      </w:r>
      <w:r w:rsidR="00F32B28" w:rsidRPr="00F32B28">
        <w:rPr>
          <w:rtl/>
          <w:lang w:bidi="ar-LB"/>
        </w:rPr>
        <w:t>وتقوم</w:t>
      </w:r>
      <w:r w:rsidR="00F32B28">
        <w:rPr>
          <w:rtl/>
          <w:lang w:bidi="ar-LB"/>
        </w:rPr>
        <w:t xml:space="preserve"> </w:t>
      </w:r>
      <w:r w:rsidR="00F32B28" w:rsidRPr="00F32B28">
        <w:rPr>
          <w:rtl/>
          <w:lang w:bidi="ar-LB"/>
        </w:rPr>
        <w:t>المحكمة</w:t>
      </w:r>
      <w:r w:rsidR="00F32B28">
        <w:rPr>
          <w:rtl/>
          <w:lang w:bidi="ar-LB"/>
        </w:rPr>
        <w:t xml:space="preserve"> </w:t>
      </w:r>
      <w:r w:rsidR="00F32B28" w:rsidRPr="00F32B28">
        <w:rPr>
          <w:rtl/>
          <w:lang w:bidi="ar-LB"/>
        </w:rPr>
        <w:t>بتبليغ</w:t>
      </w:r>
      <w:r w:rsidR="00F32B28">
        <w:rPr>
          <w:rtl/>
          <w:lang w:bidi="ar-LB"/>
        </w:rPr>
        <w:t xml:space="preserve"> </w:t>
      </w:r>
      <w:r w:rsidR="00F32B28" w:rsidRPr="00F32B28">
        <w:rPr>
          <w:rtl/>
          <w:lang w:bidi="ar-LB"/>
        </w:rPr>
        <w:t>الطلاق</w:t>
      </w:r>
      <w:r w:rsidR="00F32B28">
        <w:rPr>
          <w:rtl/>
          <w:lang w:bidi="ar-LB"/>
        </w:rPr>
        <w:t xml:space="preserve"> </w:t>
      </w:r>
      <w:r w:rsidR="00F32B28" w:rsidRPr="00F32B28">
        <w:rPr>
          <w:rtl/>
          <w:lang w:bidi="ar-LB"/>
        </w:rPr>
        <w:t>الغيابي</w:t>
      </w:r>
      <w:r w:rsidR="00F32B28">
        <w:rPr>
          <w:rtl/>
          <w:lang w:bidi="ar-LB"/>
        </w:rPr>
        <w:t xml:space="preserve"> </w:t>
      </w:r>
      <w:r w:rsidR="00F32B28" w:rsidRPr="00F32B28">
        <w:rPr>
          <w:rtl/>
          <w:lang w:bidi="ar-LB"/>
        </w:rPr>
        <w:t>للزوجة</w:t>
      </w:r>
      <w:r w:rsidR="00F32B28">
        <w:rPr>
          <w:rtl/>
          <w:lang w:bidi="ar-LB"/>
        </w:rPr>
        <w:t xml:space="preserve"> </w:t>
      </w:r>
      <w:r w:rsidR="00F32B28" w:rsidRPr="00F32B28">
        <w:rPr>
          <w:rtl/>
          <w:lang w:bidi="ar-LB"/>
        </w:rPr>
        <w:t>خلال</w:t>
      </w:r>
      <w:r w:rsidR="00F32B28">
        <w:rPr>
          <w:rtl/>
          <w:lang w:bidi="ar-LB"/>
        </w:rPr>
        <w:t xml:space="preserve"> </w:t>
      </w:r>
      <w:r w:rsidR="00F32B28" w:rsidRPr="00F32B28">
        <w:rPr>
          <w:rtl/>
          <w:lang w:bidi="ar-LB"/>
        </w:rPr>
        <w:t>أسبوع</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تسجيله.</w:t>
      </w:r>
    </w:p>
    <w:p w:rsidR="00F32B28" w:rsidRPr="00F32B28" w:rsidRDefault="00565595" w:rsidP="00565595">
      <w:pPr>
        <w:pStyle w:val="SingleTxt"/>
      </w:pPr>
      <w:r>
        <w:rPr>
          <w:rFonts w:hint="cs"/>
          <w:rtl/>
          <w:lang w:bidi="ar-LB"/>
        </w:rPr>
        <w:lastRenderedPageBreak/>
        <w:t xml:space="preserve">339 - </w:t>
      </w:r>
      <w:r w:rsidR="00F32B28" w:rsidRPr="00F32B28">
        <w:rPr>
          <w:rtl/>
          <w:lang w:bidi="ar-LB"/>
        </w:rPr>
        <w:t>والطلاق</w:t>
      </w:r>
      <w:r w:rsidR="00F32B28">
        <w:rPr>
          <w:rtl/>
          <w:lang w:bidi="ar-LB"/>
        </w:rPr>
        <w:t xml:space="preserve"> </w:t>
      </w:r>
      <w:r w:rsidR="00F32B28" w:rsidRPr="00F32B28">
        <w:rPr>
          <w:rtl/>
          <w:lang w:bidi="ar-LB"/>
        </w:rPr>
        <w:t>نوعان:</w:t>
      </w:r>
      <w:r w:rsidR="00F32B28">
        <w:rPr>
          <w:rtl/>
          <w:lang w:bidi="ar-LB"/>
        </w:rPr>
        <w:t xml:space="preserve"> </w:t>
      </w:r>
      <w:r w:rsidR="00F32B28" w:rsidRPr="00F32B28">
        <w:rPr>
          <w:rtl/>
          <w:lang w:bidi="ar-LB"/>
        </w:rPr>
        <w:t>الطلاق</w:t>
      </w:r>
      <w:r w:rsidR="00F32B28">
        <w:rPr>
          <w:rtl/>
          <w:lang w:bidi="ar-LB"/>
        </w:rPr>
        <w:t xml:space="preserve"> </w:t>
      </w:r>
      <w:r w:rsidR="00F32B28" w:rsidRPr="00F32B28">
        <w:rPr>
          <w:rtl/>
          <w:lang w:bidi="ar-LB"/>
        </w:rPr>
        <w:t>الرجعي،</w:t>
      </w:r>
      <w:r w:rsidR="00F32B28">
        <w:rPr>
          <w:rtl/>
          <w:lang w:bidi="ar-LB"/>
        </w:rPr>
        <w:t xml:space="preserve"> </w:t>
      </w:r>
      <w:r w:rsidR="00F32B28" w:rsidRPr="00F32B28">
        <w:rPr>
          <w:rtl/>
          <w:lang w:bidi="ar-LB"/>
        </w:rPr>
        <w:t>وهو</w:t>
      </w:r>
      <w:r w:rsidR="00F32B28">
        <w:rPr>
          <w:rtl/>
          <w:lang w:bidi="ar-LB"/>
        </w:rPr>
        <w:t xml:space="preserve"> </w:t>
      </w:r>
      <w:r w:rsidR="00F32B28" w:rsidRPr="00F32B28">
        <w:rPr>
          <w:rtl/>
          <w:lang w:bidi="ar-LB"/>
        </w:rPr>
        <w:t>الطلاق</w:t>
      </w:r>
      <w:r w:rsidR="00F32B28">
        <w:rPr>
          <w:rtl/>
          <w:lang w:bidi="ar-LB"/>
        </w:rPr>
        <w:t xml:space="preserve"> </w:t>
      </w:r>
      <w:r w:rsidR="00F32B28" w:rsidRPr="00F32B28">
        <w:rPr>
          <w:rtl/>
          <w:lang w:bidi="ar-LB"/>
        </w:rPr>
        <w:t>الذي</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يزيل</w:t>
      </w:r>
      <w:r w:rsidR="00F32B28">
        <w:rPr>
          <w:rtl/>
          <w:lang w:bidi="ar-LB"/>
        </w:rPr>
        <w:t xml:space="preserve"> </w:t>
      </w:r>
      <w:r w:rsidR="00F32B28" w:rsidRPr="00F32B28">
        <w:rPr>
          <w:rtl/>
          <w:lang w:bidi="ar-LB"/>
        </w:rPr>
        <w:t>الزوجية</w:t>
      </w:r>
      <w:r>
        <w:rPr>
          <w:rFonts w:hint="cs"/>
          <w:rtl/>
          <w:lang w:bidi="ar-LB"/>
        </w:rPr>
        <w:t xml:space="preserve"> </w:t>
      </w:r>
      <w:r w:rsidR="00F32B28" w:rsidRPr="00F32B28">
        <w:rPr>
          <w:rtl/>
          <w:lang w:bidi="ar-LB"/>
        </w:rPr>
        <w:t>في</w:t>
      </w:r>
      <w:r w:rsidR="00F32B28">
        <w:rPr>
          <w:rtl/>
          <w:lang w:bidi="ar-LB"/>
        </w:rPr>
        <w:t xml:space="preserve"> </w:t>
      </w:r>
      <w:r w:rsidR="00F32B28" w:rsidRPr="00F32B28">
        <w:rPr>
          <w:rtl/>
          <w:lang w:bidi="ar-LB"/>
        </w:rPr>
        <w:t>الحال،</w:t>
      </w:r>
      <w:r w:rsidR="00F32B28">
        <w:rPr>
          <w:rtl/>
          <w:lang w:bidi="ar-LB"/>
        </w:rPr>
        <w:t xml:space="preserve"> </w:t>
      </w:r>
      <w:r w:rsidR="00F32B28" w:rsidRPr="00F32B28">
        <w:rPr>
          <w:rtl/>
          <w:lang w:bidi="ar-LB"/>
        </w:rPr>
        <w:t>وللزوج</w:t>
      </w:r>
      <w:r w:rsidR="00F32B28">
        <w:rPr>
          <w:rtl/>
          <w:lang w:bidi="ar-LB"/>
        </w:rPr>
        <w:t xml:space="preserve"> </w:t>
      </w:r>
      <w:r w:rsidR="00F32B28" w:rsidRPr="00F32B28">
        <w:rPr>
          <w:rtl/>
        </w:rPr>
        <w:t>حق</w:t>
      </w:r>
      <w:r w:rsidR="00F32B28">
        <w:rPr>
          <w:rtl/>
        </w:rPr>
        <w:t xml:space="preserve"> </w:t>
      </w:r>
      <w:r w:rsidR="00F32B28" w:rsidRPr="00F32B28">
        <w:rPr>
          <w:rtl/>
        </w:rPr>
        <w:t>مراجعة</w:t>
      </w:r>
      <w:r w:rsidR="00F32B28">
        <w:rPr>
          <w:rtl/>
        </w:rPr>
        <w:t xml:space="preserve"> </w:t>
      </w:r>
      <w:r w:rsidR="00F32B28" w:rsidRPr="00F32B28">
        <w:rPr>
          <w:rtl/>
        </w:rPr>
        <w:t>زوجته</w:t>
      </w:r>
      <w:r w:rsidR="00F32B28">
        <w:rPr>
          <w:rtl/>
        </w:rPr>
        <w:t xml:space="preserve"> </w:t>
      </w:r>
      <w:r w:rsidR="00F32B28" w:rsidRPr="00F32B28">
        <w:rPr>
          <w:rtl/>
          <w:lang w:bidi="ar-LB"/>
        </w:rPr>
        <w:t>أثناء</w:t>
      </w:r>
      <w:r w:rsidR="00F32B28">
        <w:rPr>
          <w:rtl/>
          <w:lang w:bidi="ar-LB"/>
        </w:rPr>
        <w:t xml:space="preserve"> </w:t>
      </w:r>
      <w:r w:rsidR="00F32B28" w:rsidRPr="00F32B28">
        <w:rPr>
          <w:rtl/>
          <w:lang w:bidi="ar-LB"/>
        </w:rPr>
        <w:t>العدة</w:t>
      </w:r>
      <w:r w:rsidR="00F32B28">
        <w:rPr>
          <w:rtl/>
          <w:lang w:bidi="ar-LB"/>
        </w:rPr>
        <w:t xml:space="preserve"> </w:t>
      </w:r>
      <w:r w:rsidR="00F32B28" w:rsidRPr="00F32B28">
        <w:rPr>
          <w:rtl/>
          <w:lang w:bidi="ar-LB"/>
        </w:rPr>
        <w:t>بالقول</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الفعل</w:t>
      </w:r>
      <w:r w:rsidR="00F32B28">
        <w:rPr>
          <w:rtl/>
          <w:lang w:bidi="ar-LB"/>
        </w:rPr>
        <w:t xml:space="preserve"> </w:t>
      </w:r>
      <w:r w:rsidR="00F32B28" w:rsidRPr="00F32B28">
        <w:rPr>
          <w:rtl/>
          <w:lang w:bidi="ar-LB"/>
        </w:rPr>
        <w:t>حتى</w:t>
      </w:r>
      <w:r w:rsidR="00F32B28">
        <w:rPr>
          <w:rtl/>
          <w:lang w:bidi="ar-LB"/>
        </w:rPr>
        <w:t xml:space="preserve"> </w:t>
      </w:r>
      <w:r w:rsidR="00F32B28" w:rsidRPr="00F32B28">
        <w:rPr>
          <w:rtl/>
          <w:lang w:bidi="ar-LB"/>
        </w:rPr>
        <w:t>بدون</w:t>
      </w:r>
      <w:r w:rsidR="00F32B28">
        <w:rPr>
          <w:rtl/>
          <w:lang w:bidi="ar-LB"/>
        </w:rPr>
        <w:t xml:space="preserve"> </w:t>
      </w:r>
      <w:r w:rsidR="00F32B28" w:rsidRPr="00F32B28">
        <w:rPr>
          <w:rtl/>
          <w:lang w:bidi="ar-LB"/>
        </w:rPr>
        <w:t>موافقتها</w:t>
      </w:r>
      <w:r w:rsidR="00F32B28">
        <w:rPr>
          <w:rtl/>
          <w:lang w:bidi="ar-LB"/>
        </w:rPr>
        <w:t xml:space="preserve"> </w:t>
      </w:r>
      <w:r w:rsidR="00F32B28" w:rsidRPr="00F32B28">
        <w:rPr>
          <w:rtl/>
        </w:rPr>
        <w:t>ولا</w:t>
      </w:r>
      <w:r w:rsidR="00F32B28">
        <w:rPr>
          <w:rtl/>
        </w:rPr>
        <w:t xml:space="preserve"> </w:t>
      </w:r>
      <w:r w:rsidR="00F32B28" w:rsidRPr="00F32B28">
        <w:rPr>
          <w:rtl/>
        </w:rPr>
        <w:t>يلزم</w:t>
      </w:r>
      <w:r w:rsidR="00F32B28">
        <w:rPr>
          <w:rtl/>
        </w:rPr>
        <w:t xml:space="preserve"> </w:t>
      </w:r>
      <w:r w:rsidR="00F32B28" w:rsidRPr="00F32B28">
        <w:rPr>
          <w:rtl/>
        </w:rPr>
        <w:t>بها</w:t>
      </w:r>
      <w:r w:rsidR="00F32B28">
        <w:rPr>
          <w:rtl/>
        </w:rPr>
        <w:t xml:space="preserve"> </w:t>
      </w:r>
      <w:r w:rsidR="00F32B28" w:rsidRPr="00F32B28">
        <w:rPr>
          <w:rtl/>
        </w:rPr>
        <w:t>مهر</w:t>
      </w:r>
      <w:r w:rsidR="00F32B28">
        <w:rPr>
          <w:rtl/>
        </w:rPr>
        <w:t xml:space="preserve"> </w:t>
      </w:r>
      <w:r w:rsidR="00F32B28" w:rsidRPr="00F32B28">
        <w:rPr>
          <w:rtl/>
        </w:rPr>
        <w:t>جديد.</w:t>
      </w:r>
      <w:r w:rsidR="00F32B28">
        <w:rPr>
          <w:rtl/>
        </w:rPr>
        <w:t xml:space="preserve"> </w:t>
      </w:r>
      <w:r w:rsidR="00F32B28" w:rsidRPr="00F32B28">
        <w:rPr>
          <w:rtl/>
          <w:lang w:bidi="ar-LB"/>
        </w:rPr>
        <w:t>والطلاق</w:t>
      </w:r>
      <w:r w:rsidR="00F32B28">
        <w:rPr>
          <w:rtl/>
          <w:lang w:bidi="ar-LB"/>
        </w:rPr>
        <w:t xml:space="preserve"> </w:t>
      </w:r>
      <w:r w:rsidR="00F32B28" w:rsidRPr="00F32B28">
        <w:rPr>
          <w:rtl/>
          <w:lang w:bidi="ar-LB"/>
        </w:rPr>
        <w:t>البائن،</w:t>
      </w:r>
      <w:r w:rsidR="00F32B28">
        <w:rPr>
          <w:rtl/>
          <w:lang w:bidi="ar-LB"/>
        </w:rPr>
        <w:t xml:space="preserve"> </w:t>
      </w:r>
      <w:r w:rsidR="00F32B28" w:rsidRPr="00F32B28">
        <w:rPr>
          <w:rtl/>
          <w:lang w:bidi="ar-LB"/>
        </w:rPr>
        <w:t>وهو</w:t>
      </w:r>
      <w:r w:rsidR="00F32B28">
        <w:rPr>
          <w:rtl/>
          <w:lang w:bidi="ar-LB"/>
        </w:rPr>
        <w:t xml:space="preserve"> </w:t>
      </w:r>
      <w:r w:rsidR="00F32B28" w:rsidRPr="00F32B28">
        <w:rPr>
          <w:rtl/>
          <w:lang w:bidi="ar-LB"/>
        </w:rPr>
        <w:t>الطلاق</w:t>
      </w:r>
      <w:r w:rsidR="00F32B28">
        <w:rPr>
          <w:rtl/>
          <w:lang w:bidi="ar-LB"/>
        </w:rPr>
        <w:t xml:space="preserve"> </w:t>
      </w:r>
      <w:r w:rsidR="00F32B28" w:rsidRPr="00F32B28">
        <w:rPr>
          <w:rtl/>
          <w:lang w:bidi="ar-LB"/>
        </w:rPr>
        <w:t>الذي</w:t>
      </w:r>
      <w:r w:rsidR="00F32B28">
        <w:rPr>
          <w:rtl/>
          <w:lang w:bidi="ar-LB"/>
        </w:rPr>
        <w:t xml:space="preserve"> </w:t>
      </w:r>
      <w:r w:rsidR="00F32B28" w:rsidRPr="00F32B28">
        <w:rPr>
          <w:rtl/>
          <w:lang w:bidi="ar-LB"/>
        </w:rPr>
        <w:t>يزيل</w:t>
      </w:r>
      <w:r w:rsidR="00F32B28">
        <w:rPr>
          <w:rtl/>
          <w:lang w:bidi="ar-LB"/>
        </w:rPr>
        <w:t xml:space="preserve"> </w:t>
      </w:r>
      <w:r w:rsidR="00F32B28" w:rsidRPr="00F32B28">
        <w:rPr>
          <w:rtl/>
          <w:lang w:bidi="ar-LB"/>
        </w:rPr>
        <w:t>الزوجية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الحال،</w:t>
      </w:r>
      <w:r w:rsidR="00F32B28">
        <w:rPr>
          <w:rtl/>
          <w:lang w:bidi="ar-LB"/>
        </w:rPr>
        <w:t xml:space="preserve"> </w:t>
      </w:r>
      <w:r w:rsidR="00F32B28" w:rsidRPr="00F32B28">
        <w:rPr>
          <w:rtl/>
          <w:lang w:bidi="ar-LB"/>
        </w:rPr>
        <w:t>وهو</w:t>
      </w:r>
      <w:r w:rsidR="00F32B28">
        <w:rPr>
          <w:rtl/>
          <w:lang w:bidi="ar-LB"/>
        </w:rPr>
        <w:t xml:space="preserve"> </w:t>
      </w:r>
      <w:r w:rsidR="00F32B28" w:rsidRPr="00F32B28">
        <w:rPr>
          <w:rtl/>
          <w:lang w:bidi="ar-LB"/>
        </w:rPr>
        <w:t>نوعين:</w:t>
      </w:r>
      <w:r w:rsidR="00F32B28">
        <w:rPr>
          <w:rtl/>
          <w:lang w:bidi="ar-LB"/>
        </w:rPr>
        <w:t xml:space="preserve"> </w:t>
      </w:r>
      <w:r w:rsidR="00F32B28" w:rsidRPr="00F32B28">
        <w:rPr>
          <w:rtl/>
          <w:lang w:bidi="ar-LB"/>
        </w:rPr>
        <w:t>طلاق</w:t>
      </w:r>
      <w:r w:rsidR="00F32B28">
        <w:rPr>
          <w:rtl/>
          <w:lang w:bidi="ar-LB"/>
        </w:rPr>
        <w:t xml:space="preserve"> </w:t>
      </w:r>
      <w:r w:rsidR="00F32B28" w:rsidRPr="00F32B28">
        <w:rPr>
          <w:rtl/>
          <w:lang w:bidi="ar-LB"/>
        </w:rPr>
        <w:t>بائن</w:t>
      </w:r>
      <w:r w:rsidR="00F32B28">
        <w:rPr>
          <w:rtl/>
          <w:lang w:bidi="ar-LB"/>
        </w:rPr>
        <w:t xml:space="preserve"> </w:t>
      </w:r>
      <w:r w:rsidR="00F32B28" w:rsidRPr="00F32B28">
        <w:rPr>
          <w:rtl/>
          <w:lang w:bidi="ar-LB"/>
        </w:rPr>
        <w:t>بينونة</w:t>
      </w:r>
      <w:r w:rsidR="00F32B28">
        <w:rPr>
          <w:rtl/>
          <w:lang w:bidi="ar-LB"/>
        </w:rPr>
        <w:t xml:space="preserve"> </w:t>
      </w:r>
      <w:r w:rsidR="00F32B28" w:rsidRPr="00F32B28">
        <w:rPr>
          <w:rtl/>
          <w:lang w:bidi="ar-LB"/>
        </w:rPr>
        <w:t>صغرى</w:t>
      </w:r>
      <w:r w:rsidR="00F32B28">
        <w:rPr>
          <w:rtl/>
          <w:lang w:bidi="ar-LB"/>
        </w:rPr>
        <w:t xml:space="preserve"> </w:t>
      </w:r>
      <w:r w:rsidR="00F32B28" w:rsidRPr="00F32B28">
        <w:rPr>
          <w:rtl/>
          <w:lang w:bidi="ar-LB"/>
        </w:rPr>
        <w:t>ويقع</w:t>
      </w:r>
      <w:r w:rsidR="00F32B28">
        <w:rPr>
          <w:rtl/>
          <w:lang w:bidi="ar-LB"/>
        </w:rPr>
        <w:t xml:space="preserve"> </w:t>
      </w:r>
      <w:r w:rsidR="00F32B28" w:rsidRPr="00F32B28">
        <w:rPr>
          <w:rtl/>
          <w:lang w:bidi="ar-LB"/>
        </w:rPr>
        <w:t>دون</w:t>
      </w:r>
      <w:r w:rsidR="00F32B28">
        <w:rPr>
          <w:rtl/>
          <w:lang w:bidi="ar-LB"/>
        </w:rPr>
        <w:t xml:space="preserve"> </w:t>
      </w:r>
      <w:r w:rsidR="00F32B28" w:rsidRPr="00F32B28">
        <w:rPr>
          <w:rtl/>
          <w:lang w:bidi="ar-LB"/>
        </w:rPr>
        <w:t>ثلاث</w:t>
      </w:r>
      <w:r w:rsidR="00F32B28">
        <w:rPr>
          <w:rtl/>
          <w:lang w:bidi="ar-LB"/>
        </w:rPr>
        <w:t xml:space="preserve"> </w:t>
      </w:r>
      <w:r w:rsidR="00F32B28" w:rsidRPr="00F32B28">
        <w:rPr>
          <w:rtl/>
          <w:lang w:bidi="ar-LB"/>
        </w:rPr>
        <w:t>طلقات</w:t>
      </w:r>
      <w:r w:rsidR="00F32B28">
        <w:rPr>
          <w:rtl/>
          <w:lang w:bidi="ar-LB"/>
        </w:rPr>
        <w:t xml:space="preserve"> </w:t>
      </w:r>
      <w:r w:rsidR="00F32B28" w:rsidRPr="00F32B28">
        <w:rPr>
          <w:rtl/>
          <w:lang w:bidi="ar-LB"/>
        </w:rPr>
        <w:t>ولا</w:t>
      </w:r>
      <w:r w:rsidR="00F32B28">
        <w:rPr>
          <w:rtl/>
          <w:lang w:bidi="ar-LB"/>
        </w:rPr>
        <w:t xml:space="preserve"> </w:t>
      </w:r>
      <w:r w:rsidR="00F32B28" w:rsidRPr="00F32B28">
        <w:rPr>
          <w:rtl/>
          <w:lang w:bidi="ar-LB"/>
        </w:rPr>
        <w:t>يمنع</w:t>
      </w:r>
      <w:r w:rsidR="00F32B28">
        <w:rPr>
          <w:rtl/>
          <w:lang w:bidi="ar-LB"/>
        </w:rPr>
        <w:t xml:space="preserve"> </w:t>
      </w:r>
      <w:r w:rsidR="00F32B28" w:rsidRPr="00F32B28">
        <w:rPr>
          <w:rtl/>
          <w:lang w:bidi="ar-LB"/>
        </w:rPr>
        <w:t>الزوج</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تجديد</w:t>
      </w:r>
      <w:r w:rsidR="00F32B28">
        <w:rPr>
          <w:rtl/>
          <w:lang w:bidi="ar-LB"/>
        </w:rPr>
        <w:t xml:space="preserve"> </w:t>
      </w:r>
      <w:r w:rsidR="00F32B28" w:rsidRPr="00F32B28">
        <w:rPr>
          <w:rtl/>
          <w:lang w:bidi="ar-LB"/>
        </w:rPr>
        <w:t>الزواج</w:t>
      </w:r>
      <w:r w:rsidR="00F32B28">
        <w:rPr>
          <w:rtl/>
          <w:lang w:bidi="ar-LB"/>
        </w:rPr>
        <w:t xml:space="preserve"> </w:t>
      </w:r>
      <w:r w:rsidR="00F32B28" w:rsidRPr="00F32B28">
        <w:rPr>
          <w:rtl/>
          <w:lang w:bidi="ar-LB"/>
        </w:rPr>
        <w:t>بعقد</w:t>
      </w:r>
      <w:r w:rsidR="00F32B28">
        <w:rPr>
          <w:rtl/>
          <w:lang w:bidi="ar-LB"/>
        </w:rPr>
        <w:t xml:space="preserve"> </w:t>
      </w:r>
      <w:r w:rsidR="00F32B28" w:rsidRPr="00F32B28">
        <w:rPr>
          <w:rtl/>
          <w:lang w:bidi="ar-LB"/>
        </w:rPr>
        <w:t>ومهر</w:t>
      </w:r>
      <w:r w:rsidR="00F32B28">
        <w:rPr>
          <w:rtl/>
          <w:lang w:bidi="ar-LB"/>
        </w:rPr>
        <w:t xml:space="preserve"> </w:t>
      </w:r>
      <w:r w:rsidR="00F32B28" w:rsidRPr="00F32B28">
        <w:rPr>
          <w:rtl/>
          <w:lang w:bidi="ar-LB"/>
        </w:rPr>
        <w:t>جديدين</w:t>
      </w:r>
      <w:r w:rsidR="00F32B28">
        <w:rPr>
          <w:rtl/>
          <w:lang w:bidi="ar-LB"/>
        </w:rPr>
        <w:t xml:space="preserve"> </w:t>
      </w:r>
      <w:r w:rsidR="00F32B28" w:rsidRPr="00F32B28">
        <w:rPr>
          <w:rtl/>
          <w:lang w:bidi="ar-LB"/>
        </w:rPr>
        <w:t>وبرضا</w:t>
      </w:r>
      <w:r w:rsidR="00F32B28">
        <w:rPr>
          <w:rtl/>
          <w:lang w:bidi="ar-LB"/>
        </w:rPr>
        <w:t xml:space="preserve"> </w:t>
      </w:r>
      <w:r w:rsidR="00F32B28" w:rsidRPr="00F32B28">
        <w:rPr>
          <w:rtl/>
          <w:lang w:bidi="ar-LB"/>
        </w:rPr>
        <w:t>الزوجة،</w:t>
      </w:r>
      <w:r w:rsidR="00F32B28">
        <w:rPr>
          <w:rtl/>
          <w:lang w:bidi="ar-LB"/>
        </w:rPr>
        <w:t xml:space="preserve"> </w:t>
      </w:r>
      <w:r w:rsidR="00F32B28" w:rsidRPr="00F32B28">
        <w:rPr>
          <w:rtl/>
          <w:lang w:bidi="ar-LB"/>
        </w:rPr>
        <w:t>والطلاق</w:t>
      </w:r>
      <w:r w:rsidR="00F32B28">
        <w:rPr>
          <w:rtl/>
          <w:lang w:bidi="ar-LB"/>
        </w:rPr>
        <w:t xml:space="preserve"> </w:t>
      </w:r>
      <w:r w:rsidR="00F32B28" w:rsidRPr="00F32B28">
        <w:rPr>
          <w:rtl/>
          <w:lang w:bidi="ar-LB"/>
        </w:rPr>
        <w:t>البائن</w:t>
      </w:r>
      <w:r w:rsidR="00F32B28">
        <w:rPr>
          <w:rtl/>
          <w:lang w:bidi="ar-LB"/>
        </w:rPr>
        <w:t xml:space="preserve"> </w:t>
      </w:r>
      <w:r w:rsidR="00F32B28" w:rsidRPr="00F32B28">
        <w:rPr>
          <w:rtl/>
          <w:lang w:bidi="ar-LB"/>
        </w:rPr>
        <w:t>بينونة</w:t>
      </w:r>
      <w:r w:rsidR="00F32B28">
        <w:rPr>
          <w:rtl/>
          <w:lang w:bidi="ar-LB"/>
        </w:rPr>
        <w:t xml:space="preserve"> </w:t>
      </w:r>
      <w:r w:rsidR="00F32B28" w:rsidRPr="00F32B28">
        <w:rPr>
          <w:rtl/>
          <w:lang w:bidi="ar-LB"/>
        </w:rPr>
        <w:t>كبرى،</w:t>
      </w:r>
      <w:r w:rsidR="00F32B28">
        <w:rPr>
          <w:rtl/>
          <w:lang w:bidi="ar-LB"/>
        </w:rPr>
        <w:t xml:space="preserve"> </w:t>
      </w:r>
      <w:r w:rsidR="00F32B28" w:rsidRPr="00F32B28">
        <w:rPr>
          <w:rtl/>
          <w:lang w:bidi="ar-LB"/>
        </w:rPr>
        <w:t>بحيث</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يجوز</w:t>
      </w:r>
      <w:r w:rsidR="00F32B28">
        <w:rPr>
          <w:rtl/>
          <w:lang w:bidi="ar-LB"/>
        </w:rPr>
        <w:t xml:space="preserve"> </w:t>
      </w:r>
      <w:r w:rsidR="00F32B28" w:rsidRPr="00F32B28">
        <w:rPr>
          <w:rtl/>
          <w:lang w:bidi="ar-LB"/>
        </w:rPr>
        <w:t>للرجل</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يستعيد</w:t>
      </w:r>
      <w:r w:rsidR="00F32B28">
        <w:rPr>
          <w:rtl/>
          <w:lang w:bidi="ar-LB"/>
        </w:rPr>
        <w:t xml:space="preserve"> </w:t>
      </w:r>
      <w:r w:rsidR="00F32B28" w:rsidRPr="00F32B28">
        <w:rPr>
          <w:rtl/>
          <w:lang w:bidi="ar-LB"/>
        </w:rPr>
        <w:t>زوجته</w:t>
      </w:r>
      <w:r w:rsidR="00F32B28">
        <w:rPr>
          <w:rtl/>
          <w:lang w:bidi="ar-LB"/>
        </w:rPr>
        <w:t xml:space="preserve"> </w:t>
      </w:r>
      <w:r w:rsidR="00F32B28" w:rsidRPr="00F32B28">
        <w:rPr>
          <w:rtl/>
          <w:lang w:bidi="ar-LB"/>
        </w:rPr>
        <w:t>إلا</w:t>
      </w:r>
      <w:r w:rsidR="00F32B28">
        <w:rPr>
          <w:rtl/>
          <w:lang w:bidi="ar-LB"/>
        </w:rPr>
        <w:t xml:space="preserve"> </w:t>
      </w:r>
      <w:r w:rsidR="00F32B28" w:rsidRPr="00F32B28">
        <w:rPr>
          <w:rtl/>
          <w:lang w:bidi="ar-LB"/>
        </w:rPr>
        <w:t>إذا</w:t>
      </w:r>
      <w:r w:rsidR="00F32B28">
        <w:rPr>
          <w:rtl/>
          <w:lang w:bidi="ar-LB"/>
        </w:rPr>
        <w:t xml:space="preserve"> </w:t>
      </w:r>
      <w:r w:rsidR="00F32B28" w:rsidRPr="00F32B28">
        <w:rPr>
          <w:rtl/>
          <w:lang w:bidi="ar-LB"/>
        </w:rPr>
        <w:t>تزوجت</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غيره</w:t>
      </w:r>
      <w:r w:rsidR="00F32B28">
        <w:rPr>
          <w:rtl/>
          <w:lang w:bidi="ar-LB"/>
        </w:rPr>
        <w:t xml:space="preserve"> </w:t>
      </w:r>
      <w:r w:rsidR="00F32B28" w:rsidRPr="00F32B28">
        <w:rPr>
          <w:rtl/>
          <w:lang w:bidi="ar-LB"/>
        </w:rPr>
        <w:t>فطلقها</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مات</w:t>
      </w:r>
      <w:r w:rsidR="00F32B28">
        <w:rPr>
          <w:rtl/>
          <w:lang w:bidi="ar-LB"/>
        </w:rPr>
        <w:t xml:space="preserve"> </w:t>
      </w:r>
      <w:r w:rsidR="00F32B28" w:rsidRPr="00F32B28">
        <w:rPr>
          <w:rtl/>
          <w:lang w:bidi="ar-LB"/>
        </w:rPr>
        <w:t>عنها</w:t>
      </w:r>
      <w:r w:rsidR="00F32B28">
        <w:rPr>
          <w:rtl/>
          <w:lang w:bidi="ar-LB"/>
        </w:rPr>
        <w:t xml:space="preserve"> </w:t>
      </w:r>
      <w:r w:rsidR="00F32B28" w:rsidRPr="00F32B28">
        <w:rPr>
          <w:rtl/>
          <w:lang w:bidi="ar-LB"/>
        </w:rPr>
        <w:t>وانقضت</w:t>
      </w:r>
      <w:r w:rsidR="00F32B28">
        <w:rPr>
          <w:rtl/>
          <w:lang w:bidi="ar-LB"/>
        </w:rPr>
        <w:t xml:space="preserve"> </w:t>
      </w:r>
      <w:r w:rsidR="00F32B28" w:rsidRPr="00F32B28">
        <w:rPr>
          <w:rtl/>
          <w:lang w:bidi="ar-LB"/>
        </w:rPr>
        <w:t>عدتها</w:t>
      </w:r>
      <w:r w:rsidR="00F32B28">
        <w:rPr>
          <w:rtl/>
          <w:lang w:bidi="ar-LB"/>
        </w:rPr>
        <w:t xml:space="preserve"> </w:t>
      </w:r>
      <w:r w:rsidR="00F32B28" w:rsidRPr="00F32B28">
        <w:rPr>
          <w:rtl/>
          <w:lang w:bidi="ar-LB"/>
        </w:rPr>
        <w:t>منه.</w:t>
      </w:r>
    </w:p>
    <w:p w:rsidR="00F32B28" w:rsidRPr="00F32B28" w:rsidRDefault="00565595" w:rsidP="00565595">
      <w:pPr>
        <w:pStyle w:val="SingleTxt"/>
      </w:pPr>
      <w:r>
        <w:rPr>
          <w:rFonts w:hint="cs"/>
          <w:rtl/>
          <w:lang w:bidi="ar-LB"/>
        </w:rPr>
        <w:t xml:space="preserve">340 - </w:t>
      </w:r>
      <w:r w:rsidR="00F32B28" w:rsidRPr="00F32B28">
        <w:rPr>
          <w:rtl/>
          <w:lang w:bidi="ar-LB"/>
        </w:rPr>
        <w:t>والأصل</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تستطيع</w:t>
      </w:r>
      <w:r w:rsidR="00F32B28">
        <w:rPr>
          <w:rtl/>
          <w:lang w:bidi="ar-LB"/>
        </w:rPr>
        <w:t xml:space="preserve"> </w:t>
      </w:r>
      <w:r w:rsidR="00F32B28" w:rsidRPr="00F32B28">
        <w:rPr>
          <w:rtl/>
          <w:lang w:bidi="ar-LB"/>
        </w:rPr>
        <w:t>تطليق</w:t>
      </w:r>
      <w:r w:rsidR="00F32B28">
        <w:rPr>
          <w:rtl/>
          <w:lang w:bidi="ar-LB"/>
        </w:rPr>
        <w:t xml:space="preserve"> </w:t>
      </w:r>
      <w:r w:rsidR="00F32B28" w:rsidRPr="00F32B28">
        <w:rPr>
          <w:rtl/>
          <w:lang w:bidi="ar-LB"/>
        </w:rPr>
        <w:t>نفسها</w:t>
      </w:r>
      <w:r w:rsidR="00F32B28">
        <w:rPr>
          <w:rtl/>
          <w:lang w:bidi="ar-LB"/>
        </w:rPr>
        <w:t xml:space="preserve"> </w:t>
      </w:r>
      <w:r w:rsidR="00F32B28" w:rsidRPr="00F32B28">
        <w:rPr>
          <w:rtl/>
          <w:lang w:bidi="ar-LB"/>
        </w:rPr>
        <w:t>بنفسها،</w:t>
      </w:r>
      <w:r w:rsidR="00F32B28">
        <w:rPr>
          <w:rtl/>
          <w:lang w:bidi="ar-LB"/>
        </w:rPr>
        <w:t xml:space="preserve"> </w:t>
      </w:r>
      <w:r w:rsidR="00F32B28" w:rsidRPr="00F32B28">
        <w:rPr>
          <w:rtl/>
          <w:lang w:bidi="ar-LB"/>
        </w:rPr>
        <w:t>إلا</w:t>
      </w:r>
      <w:r w:rsidR="00F32B28">
        <w:rPr>
          <w:rtl/>
          <w:lang w:bidi="ar-LB"/>
        </w:rPr>
        <w:t xml:space="preserve"> </w:t>
      </w:r>
      <w:r w:rsidR="00F32B28" w:rsidRPr="00F32B28">
        <w:rPr>
          <w:rtl/>
          <w:lang w:bidi="ar-LB"/>
        </w:rPr>
        <w:t>أنها</w:t>
      </w:r>
      <w:r w:rsidR="00F32B28">
        <w:rPr>
          <w:rtl/>
          <w:lang w:bidi="ar-LB"/>
        </w:rPr>
        <w:t xml:space="preserve"> </w:t>
      </w:r>
      <w:r w:rsidR="00F32B28" w:rsidRPr="00F32B28">
        <w:rPr>
          <w:rtl/>
          <w:lang w:bidi="ar-LB"/>
        </w:rPr>
        <w:t>تستطيع</w:t>
      </w:r>
      <w:r w:rsidR="00F32B28">
        <w:rPr>
          <w:rtl/>
          <w:lang w:bidi="ar-LB"/>
        </w:rPr>
        <w:t xml:space="preserve"> </w:t>
      </w:r>
      <w:r w:rsidR="00F32B28" w:rsidRPr="00F32B28">
        <w:rPr>
          <w:rtl/>
          <w:lang w:bidi="ar-LB"/>
        </w:rPr>
        <w:t>طلب</w:t>
      </w:r>
      <w:r w:rsidR="00F32B28">
        <w:rPr>
          <w:rtl/>
          <w:lang w:bidi="ar-LB"/>
        </w:rPr>
        <w:t xml:space="preserve"> </w:t>
      </w:r>
      <w:r w:rsidR="00F32B28" w:rsidRPr="00F32B28">
        <w:rPr>
          <w:rtl/>
          <w:lang w:bidi="ar-LB"/>
        </w:rPr>
        <w:t>إنهاء</w:t>
      </w:r>
      <w:r w:rsidR="00F32B28">
        <w:rPr>
          <w:rtl/>
          <w:lang w:bidi="ar-LB"/>
        </w:rPr>
        <w:t xml:space="preserve"> </w:t>
      </w:r>
      <w:r w:rsidR="00F32B28" w:rsidRPr="00F32B28">
        <w:rPr>
          <w:rtl/>
          <w:lang w:bidi="ar-LB"/>
        </w:rPr>
        <w:t>العلاقة</w:t>
      </w:r>
      <w:r w:rsidR="00F32B28">
        <w:rPr>
          <w:rtl/>
          <w:lang w:bidi="ar-LB"/>
        </w:rPr>
        <w:t xml:space="preserve"> </w:t>
      </w:r>
      <w:r w:rsidR="00F32B28" w:rsidRPr="00F32B28">
        <w:rPr>
          <w:rtl/>
          <w:lang w:bidi="ar-LB"/>
        </w:rPr>
        <w:t>الزوجية</w:t>
      </w:r>
      <w:r w:rsidR="00F32B28">
        <w:rPr>
          <w:rtl/>
          <w:lang w:bidi="ar-LB"/>
        </w:rPr>
        <w:t xml:space="preserve"> </w:t>
      </w:r>
      <w:r w:rsidR="00F32B28" w:rsidRPr="00F32B28">
        <w:rPr>
          <w:rtl/>
          <w:lang w:bidi="ar-LB"/>
        </w:rPr>
        <w:t>بعدة</w:t>
      </w:r>
      <w:r w:rsidR="00F32B28">
        <w:rPr>
          <w:rtl/>
          <w:lang w:bidi="ar-LB"/>
        </w:rPr>
        <w:t xml:space="preserve"> </w:t>
      </w:r>
      <w:r w:rsidR="00F32B28" w:rsidRPr="00F32B28">
        <w:rPr>
          <w:rtl/>
          <w:lang w:bidi="ar-LB"/>
        </w:rPr>
        <w:t>طرق،</w:t>
      </w:r>
      <w:r w:rsidR="00F32B28">
        <w:rPr>
          <w:rtl/>
          <w:lang w:bidi="ar-LB"/>
        </w:rPr>
        <w:t xml:space="preserve"> </w:t>
      </w:r>
      <w:r w:rsidR="00F32B28" w:rsidRPr="00F32B28">
        <w:rPr>
          <w:rtl/>
          <w:lang w:bidi="ar-LB"/>
        </w:rPr>
        <w:t>هي:</w:t>
      </w:r>
    </w:p>
    <w:p w:rsidR="00F32B28" w:rsidRPr="00F32B28" w:rsidRDefault="00565595" w:rsidP="0056559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lang w:bidi="ar-LB"/>
        </w:rPr>
        <w:t>عقد</w:t>
      </w:r>
      <w:r w:rsidR="00F32B28">
        <w:rPr>
          <w:rtl/>
          <w:lang w:bidi="ar-LB"/>
        </w:rPr>
        <w:t xml:space="preserve"> </w:t>
      </w:r>
      <w:r w:rsidR="00F32B28" w:rsidRPr="00F32B28">
        <w:rPr>
          <w:rtl/>
        </w:rPr>
        <w:t>الزواج</w:t>
      </w:r>
      <w:r w:rsidR="00F32B28" w:rsidRPr="00F32B28">
        <w:rPr>
          <w:rtl/>
          <w:lang w:bidi="ar-LB"/>
        </w:rPr>
        <w:t>:</w:t>
      </w:r>
      <w:r w:rsidR="00F32B28">
        <w:rPr>
          <w:rtl/>
          <w:lang w:bidi="ar-LB"/>
        </w:rPr>
        <w:t xml:space="preserve"> </w:t>
      </w:r>
      <w:r w:rsidR="00F32B28" w:rsidRPr="00F32B28">
        <w:rPr>
          <w:rtl/>
          <w:lang w:bidi="ar-LB"/>
        </w:rPr>
        <w:t>إذ</w:t>
      </w:r>
      <w:r w:rsidR="00F32B28">
        <w:rPr>
          <w:rtl/>
          <w:lang w:bidi="ar-LB"/>
        </w:rPr>
        <w:t xml:space="preserve"> </w:t>
      </w:r>
      <w:r w:rsidR="00F32B28" w:rsidRPr="00F32B28">
        <w:rPr>
          <w:rtl/>
          <w:lang w:bidi="ar-LB"/>
        </w:rPr>
        <w:t>يحق</w:t>
      </w:r>
      <w:r w:rsidR="00F32B28">
        <w:rPr>
          <w:rtl/>
          <w:lang w:bidi="ar-LB"/>
        </w:rPr>
        <w:t xml:space="preserve"> </w:t>
      </w:r>
      <w:r w:rsidR="00F32B28" w:rsidRPr="00F32B28">
        <w:rPr>
          <w:rtl/>
          <w:lang w:bidi="ar-LB"/>
        </w:rPr>
        <w:t>للمرأة</w:t>
      </w:r>
      <w:r w:rsidR="00F32B28">
        <w:rPr>
          <w:rtl/>
          <w:lang w:bidi="ar-LB"/>
        </w:rPr>
        <w:t xml:space="preserve"> </w:t>
      </w:r>
      <w:r w:rsidR="00F32B28" w:rsidRPr="00F32B28">
        <w:rPr>
          <w:rtl/>
          <w:lang w:bidi="ar-LB"/>
        </w:rPr>
        <w:t>الاشتراط</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عقد</w:t>
      </w:r>
      <w:r w:rsidR="00F32B28">
        <w:rPr>
          <w:rtl/>
          <w:lang w:bidi="ar-LB"/>
        </w:rPr>
        <w:t xml:space="preserve"> </w:t>
      </w:r>
      <w:r w:rsidR="00F32B28" w:rsidRPr="00F32B28">
        <w:rPr>
          <w:rtl/>
          <w:lang w:bidi="ar-LB"/>
        </w:rPr>
        <w:t>زواجها</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تكون</w:t>
      </w:r>
      <w:r w:rsidR="00F32B28">
        <w:rPr>
          <w:rtl/>
          <w:lang w:bidi="ar-LB"/>
        </w:rPr>
        <w:t xml:space="preserve"> </w:t>
      </w:r>
      <w:r w:rsidR="00F32B28" w:rsidRPr="00F32B28">
        <w:rPr>
          <w:rtl/>
        </w:rPr>
        <w:t>عصمتها</w:t>
      </w:r>
      <w:r w:rsidR="00F32B28">
        <w:rPr>
          <w:rtl/>
        </w:rPr>
        <w:t xml:space="preserve"> </w:t>
      </w:r>
      <w:r w:rsidR="00F32B28" w:rsidRPr="00F32B28">
        <w:rPr>
          <w:rtl/>
        </w:rPr>
        <w:t>بيدها</w:t>
      </w:r>
      <w:r w:rsidR="00F32B28">
        <w:rPr>
          <w:rtl/>
        </w:rPr>
        <w:t xml:space="preserve"> </w:t>
      </w:r>
      <w:r w:rsidR="00F32B28" w:rsidRPr="00F32B28">
        <w:rPr>
          <w:rtl/>
        </w:rPr>
        <w:t>فتطلق</w:t>
      </w:r>
      <w:r w:rsidR="00F32B28">
        <w:rPr>
          <w:rtl/>
        </w:rPr>
        <w:t xml:space="preserve"> </w:t>
      </w:r>
      <w:r w:rsidR="00F32B28" w:rsidRPr="00F32B28">
        <w:rPr>
          <w:rtl/>
        </w:rPr>
        <w:t>نفسها؛</w:t>
      </w:r>
      <w:r w:rsidR="00F32B28">
        <w:rPr>
          <w:rtl/>
        </w:rPr>
        <w:t xml:space="preserve"> </w:t>
      </w:r>
    </w:p>
    <w:p w:rsidR="00F32B28" w:rsidRPr="00F32B28" w:rsidRDefault="00565595" w:rsidP="0056559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دعاوى</w:t>
      </w:r>
      <w:r w:rsidR="00F32B28">
        <w:rPr>
          <w:rtl/>
        </w:rPr>
        <w:t xml:space="preserve"> </w:t>
      </w:r>
      <w:r w:rsidR="00F32B28" w:rsidRPr="00F32B28">
        <w:rPr>
          <w:rtl/>
        </w:rPr>
        <w:t>التفريق:</w:t>
      </w:r>
      <w:r w:rsidR="00F32B28">
        <w:rPr>
          <w:rtl/>
        </w:rPr>
        <w:t xml:space="preserve"> </w:t>
      </w:r>
      <w:r w:rsidR="00F32B28" w:rsidRPr="00F32B28">
        <w:rPr>
          <w:rtl/>
        </w:rPr>
        <w:t>يحق</w:t>
      </w:r>
      <w:r w:rsidR="00F32B28">
        <w:rPr>
          <w:rtl/>
        </w:rPr>
        <w:t xml:space="preserve"> </w:t>
      </w:r>
      <w:r w:rsidR="00F32B28" w:rsidRPr="00F32B28">
        <w:rPr>
          <w:rtl/>
        </w:rPr>
        <w:t>للمرأة</w:t>
      </w:r>
      <w:r w:rsidR="00F32B28">
        <w:rPr>
          <w:rtl/>
        </w:rPr>
        <w:t xml:space="preserve"> </w:t>
      </w:r>
      <w:r w:rsidR="00F32B28" w:rsidRPr="00F32B28">
        <w:rPr>
          <w:rtl/>
        </w:rPr>
        <w:t>فسخ</w:t>
      </w:r>
      <w:r w:rsidR="00F32B28">
        <w:rPr>
          <w:rtl/>
        </w:rPr>
        <w:t xml:space="preserve"> </w:t>
      </w:r>
      <w:r w:rsidR="00F32B28" w:rsidRPr="00F32B28">
        <w:rPr>
          <w:rtl/>
        </w:rPr>
        <w:t>عقد</w:t>
      </w:r>
      <w:r w:rsidR="00F32B28">
        <w:rPr>
          <w:rtl/>
        </w:rPr>
        <w:t xml:space="preserve"> </w:t>
      </w:r>
      <w:r w:rsidR="00F32B28" w:rsidRPr="00F32B28">
        <w:rPr>
          <w:rtl/>
        </w:rPr>
        <w:t>الزواج</w:t>
      </w:r>
      <w:r w:rsidR="00F32B28">
        <w:rPr>
          <w:rtl/>
        </w:rPr>
        <w:t xml:space="preserve"> </w:t>
      </w:r>
      <w:r w:rsidR="00F32B28" w:rsidRPr="00F32B28">
        <w:rPr>
          <w:rtl/>
        </w:rPr>
        <w:t>بسبب</w:t>
      </w:r>
      <w:r w:rsidR="00F32B28">
        <w:rPr>
          <w:rtl/>
        </w:rPr>
        <w:t xml:space="preserve"> </w:t>
      </w:r>
      <w:r w:rsidR="00F32B28" w:rsidRPr="00F32B28">
        <w:rPr>
          <w:rtl/>
        </w:rPr>
        <w:t>إخلال</w:t>
      </w:r>
      <w:r w:rsidR="00F32B28">
        <w:rPr>
          <w:rtl/>
        </w:rPr>
        <w:t xml:space="preserve"> </w:t>
      </w:r>
      <w:r w:rsidR="00F32B28" w:rsidRPr="00F32B28">
        <w:rPr>
          <w:rtl/>
        </w:rPr>
        <w:t>الزوج</w:t>
      </w:r>
      <w:r w:rsidR="00F32B28">
        <w:rPr>
          <w:rtl/>
        </w:rPr>
        <w:t xml:space="preserve"> </w:t>
      </w:r>
      <w:r w:rsidR="00F32B28" w:rsidRPr="00F32B28">
        <w:rPr>
          <w:rtl/>
        </w:rPr>
        <w:t>بالتزاماته</w:t>
      </w:r>
      <w:r w:rsidR="00F32B28">
        <w:rPr>
          <w:rtl/>
        </w:rPr>
        <w:t xml:space="preserve"> </w:t>
      </w:r>
      <w:r w:rsidR="00F32B28" w:rsidRPr="00F32B28">
        <w:rPr>
          <w:rtl/>
        </w:rPr>
        <w:t>الزوجية</w:t>
      </w:r>
      <w:r w:rsidR="00F32B28">
        <w:rPr>
          <w:rtl/>
        </w:rPr>
        <w:t xml:space="preserve"> </w:t>
      </w:r>
      <w:r w:rsidR="00F32B28" w:rsidRPr="00F32B28">
        <w:rPr>
          <w:rtl/>
        </w:rPr>
        <w:t>الواردة</w:t>
      </w:r>
      <w:r w:rsidR="00F32B28">
        <w:rPr>
          <w:rtl/>
        </w:rPr>
        <w:t xml:space="preserve"> </w:t>
      </w:r>
      <w:r w:rsidR="00F32B28" w:rsidRPr="00F32B28">
        <w:rPr>
          <w:rtl/>
        </w:rPr>
        <w:t>في</w:t>
      </w:r>
      <w:r w:rsidR="00F32B28">
        <w:rPr>
          <w:rtl/>
        </w:rPr>
        <w:t xml:space="preserve"> </w:t>
      </w:r>
      <w:r w:rsidR="00F32B28" w:rsidRPr="00F32B28">
        <w:rPr>
          <w:rtl/>
        </w:rPr>
        <w:t>القانون</w:t>
      </w:r>
      <w:r w:rsidR="00F32B28">
        <w:rPr>
          <w:rtl/>
        </w:rPr>
        <w:t xml:space="preserve"> </w:t>
      </w:r>
      <w:r w:rsidR="00F32B28" w:rsidRPr="00F32B28">
        <w:rPr>
          <w:rtl/>
        </w:rPr>
        <w:t>وفي</w:t>
      </w:r>
      <w:r w:rsidR="00F32B28">
        <w:rPr>
          <w:rtl/>
        </w:rPr>
        <w:t xml:space="preserve"> </w:t>
      </w:r>
      <w:r w:rsidR="00F32B28" w:rsidRPr="00F32B28">
        <w:rPr>
          <w:rtl/>
        </w:rPr>
        <w:t>عقد</w:t>
      </w:r>
      <w:r w:rsidR="00F32B28">
        <w:rPr>
          <w:rtl/>
        </w:rPr>
        <w:t xml:space="preserve"> </w:t>
      </w:r>
      <w:r w:rsidR="00F32B28" w:rsidRPr="00F32B28">
        <w:rPr>
          <w:rtl/>
        </w:rPr>
        <w:t>الزواج</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رفعها</w:t>
      </w:r>
      <w:r w:rsidR="00F32B28">
        <w:rPr>
          <w:rtl/>
        </w:rPr>
        <w:t xml:space="preserve"> </w:t>
      </w:r>
      <w:r w:rsidR="00F32B28" w:rsidRPr="00F32B28">
        <w:rPr>
          <w:rtl/>
        </w:rPr>
        <w:t>دعوى</w:t>
      </w:r>
      <w:r w:rsidR="00F32B28">
        <w:rPr>
          <w:rtl/>
        </w:rPr>
        <w:t xml:space="preserve"> </w:t>
      </w:r>
      <w:r w:rsidR="00F32B28" w:rsidRPr="00F32B28">
        <w:rPr>
          <w:rtl/>
        </w:rPr>
        <w:t>تفريق</w:t>
      </w:r>
      <w:r w:rsidR="00F32B28">
        <w:rPr>
          <w:rtl/>
        </w:rPr>
        <w:t xml:space="preserve"> </w:t>
      </w:r>
      <w:r w:rsidR="00F32B28" w:rsidRPr="00F32B28">
        <w:rPr>
          <w:rtl/>
        </w:rPr>
        <w:t>أمام</w:t>
      </w:r>
      <w:r w:rsidR="00F32B28">
        <w:rPr>
          <w:rtl/>
        </w:rPr>
        <w:t xml:space="preserve"> </w:t>
      </w:r>
      <w:r w:rsidR="00F32B28" w:rsidRPr="00F32B28">
        <w:rPr>
          <w:rtl/>
        </w:rPr>
        <w:t>المحكمة</w:t>
      </w:r>
      <w:r w:rsidR="00F32B28">
        <w:rPr>
          <w:rtl/>
        </w:rPr>
        <w:t xml:space="preserve"> </w:t>
      </w:r>
      <w:r w:rsidR="00F32B28" w:rsidRPr="00F32B28">
        <w:rPr>
          <w:rtl/>
        </w:rPr>
        <w:t>الشرعية</w:t>
      </w:r>
      <w:r w:rsidR="0001622C">
        <w:rPr>
          <w:rFonts w:hint="cs"/>
          <w:rtl/>
        </w:rPr>
        <w:t xml:space="preserve"> </w:t>
      </w:r>
      <w:r w:rsidR="00F32B28" w:rsidRPr="00F32B28">
        <w:rPr>
          <w:rtl/>
        </w:rPr>
        <w:t>وفقاً</w:t>
      </w:r>
      <w:r w:rsidR="00F32B28">
        <w:rPr>
          <w:rtl/>
        </w:rPr>
        <w:t xml:space="preserve"> </w:t>
      </w:r>
      <w:r w:rsidR="00F32B28" w:rsidRPr="00F32B28">
        <w:rPr>
          <w:rtl/>
        </w:rPr>
        <w:t>لأصول</w:t>
      </w:r>
      <w:r w:rsidR="00F32B28">
        <w:rPr>
          <w:rtl/>
        </w:rPr>
        <w:t xml:space="preserve"> </w:t>
      </w:r>
      <w:r w:rsidR="00F32B28" w:rsidRPr="00F32B28">
        <w:rPr>
          <w:rtl/>
        </w:rPr>
        <w:t>طويلة</w:t>
      </w:r>
      <w:r w:rsidR="00F32B28">
        <w:rPr>
          <w:rtl/>
        </w:rPr>
        <w:t xml:space="preserve"> </w:t>
      </w:r>
      <w:r w:rsidR="00F32B28" w:rsidRPr="00F32B28">
        <w:rPr>
          <w:rtl/>
        </w:rPr>
        <w:t>وشروط</w:t>
      </w:r>
      <w:r w:rsidR="00F32B28">
        <w:rPr>
          <w:rtl/>
        </w:rPr>
        <w:t xml:space="preserve"> </w:t>
      </w:r>
      <w:r w:rsidR="00F32B28" w:rsidRPr="00F32B28">
        <w:rPr>
          <w:rtl/>
        </w:rPr>
        <w:t>معقدة</w:t>
      </w:r>
      <w:r w:rsidR="00F32B28">
        <w:rPr>
          <w:rtl/>
        </w:rPr>
        <w:t xml:space="preserve"> </w:t>
      </w:r>
      <w:r w:rsidR="00F32B28" w:rsidRPr="00F32B28">
        <w:rPr>
          <w:rtl/>
        </w:rPr>
        <w:t>وفي</w:t>
      </w:r>
      <w:r w:rsidR="00F32B28">
        <w:rPr>
          <w:rtl/>
        </w:rPr>
        <w:t xml:space="preserve"> </w:t>
      </w:r>
      <w:r w:rsidR="00F32B28" w:rsidRPr="00F32B28">
        <w:rPr>
          <w:rtl/>
        </w:rPr>
        <w:t>حالات</w:t>
      </w:r>
      <w:r w:rsidR="00F32B28">
        <w:rPr>
          <w:rtl/>
        </w:rPr>
        <w:t xml:space="preserve"> </w:t>
      </w:r>
      <w:r w:rsidR="00F32B28" w:rsidRPr="00F32B28">
        <w:rPr>
          <w:rtl/>
        </w:rPr>
        <w:t>حصرية</w:t>
      </w:r>
      <w:r w:rsidR="00F32B28">
        <w:rPr>
          <w:rtl/>
        </w:rPr>
        <w:t xml:space="preserve"> </w:t>
      </w:r>
      <w:r w:rsidR="00F32B28" w:rsidRPr="00F32B28">
        <w:rPr>
          <w:rtl/>
        </w:rPr>
        <w:t>منها؛</w:t>
      </w:r>
      <w:r w:rsidR="00F32B28">
        <w:rPr>
          <w:rtl/>
        </w:rPr>
        <w:t xml:space="preserve"> </w:t>
      </w:r>
      <w:r w:rsidR="00F32B28" w:rsidRPr="00F32B28">
        <w:rPr>
          <w:rtl/>
        </w:rPr>
        <w:t>الضرر</w:t>
      </w:r>
      <w:r w:rsidR="00F32B28">
        <w:rPr>
          <w:rtl/>
        </w:rPr>
        <w:t xml:space="preserve"> </w:t>
      </w:r>
      <w:r w:rsidR="00F32B28" w:rsidRPr="00F32B28">
        <w:rPr>
          <w:rtl/>
        </w:rPr>
        <w:t>الناشئ</w:t>
      </w:r>
      <w:r w:rsidR="00F32B28">
        <w:rPr>
          <w:rtl/>
        </w:rPr>
        <w:t xml:space="preserve"> </w:t>
      </w:r>
      <w:r w:rsidR="00F32B28" w:rsidRPr="00F32B28">
        <w:rPr>
          <w:rtl/>
        </w:rPr>
        <w:t>عن</w:t>
      </w:r>
      <w:r w:rsidR="00F32B28">
        <w:rPr>
          <w:rtl/>
        </w:rPr>
        <w:t xml:space="preserve"> </w:t>
      </w:r>
      <w:r w:rsidR="00F32B28" w:rsidRPr="00F32B28">
        <w:rPr>
          <w:rtl/>
        </w:rPr>
        <w:t>النزاع</w:t>
      </w:r>
      <w:r w:rsidR="00F32B28">
        <w:rPr>
          <w:rtl/>
        </w:rPr>
        <w:t xml:space="preserve"> </w:t>
      </w:r>
      <w:r w:rsidR="00F32B28" w:rsidRPr="00F32B28">
        <w:rPr>
          <w:rtl/>
        </w:rPr>
        <w:t>والشقاق</w:t>
      </w:r>
      <w:r w:rsidR="00F32B28">
        <w:rPr>
          <w:rtl/>
        </w:rPr>
        <w:t xml:space="preserve"> </w:t>
      </w:r>
      <w:r w:rsidR="00F32B28" w:rsidRPr="00F32B28">
        <w:rPr>
          <w:rtl/>
        </w:rPr>
        <w:t>القائم</w:t>
      </w:r>
      <w:r w:rsidR="00F32B28">
        <w:rPr>
          <w:rtl/>
        </w:rPr>
        <w:t xml:space="preserve"> </w:t>
      </w:r>
      <w:r w:rsidR="00F32B28" w:rsidRPr="00F32B28">
        <w:rPr>
          <w:rtl/>
        </w:rPr>
        <w:t>بين</w:t>
      </w:r>
      <w:r w:rsidR="00F32B28">
        <w:rPr>
          <w:rtl/>
        </w:rPr>
        <w:t xml:space="preserve"> </w:t>
      </w:r>
      <w:r w:rsidR="00F32B28" w:rsidRPr="00F32B28">
        <w:rPr>
          <w:rtl/>
        </w:rPr>
        <w:t>الزوجين؛</w:t>
      </w:r>
      <w:r w:rsidR="00F32B28">
        <w:rPr>
          <w:rtl/>
        </w:rPr>
        <w:t xml:space="preserve"> </w:t>
      </w:r>
      <w:r w:rsidR="00F32B28" w:rsidRPr="00F32B28">
        <w:rPr>
          <w:rtl/>
        </w:rPr>
        <w:t>أو</w:t>
      </w:r>
      <w:r w:rsidR="00F32B28">
        <w:rPr>
          <w:rtl/>
        </w:rPr>
        <w:t xml:space="preserve"> </w:t>
      </w:r>
      <w:r w:rsidR="00F32B28" w:rsidRPr="00F32B28">
        <w:rPr>
          <w:rtl/>
        </w:rPr>
        <w:t>الضرر</w:t>
      </w:r>
      <w:r w:rsidR="00F32B28">
        <w:rPr>
          <w:rtl/>
        </w:rPr>
        <w:t xml:space="preserve"> </w:t>
      </w:r>
      <w:r w:rsidR="00F32B28" w:rsidRPr="00F32B28">
        <w:rPr>
          <w:rtl/>
        </w:rPr>
        <w:t>الناشئ</w:t>
      </w:r>
      <w:r w:rsidR="00F32B28">
        <w:rPr>
          <w:rtl/>
        </w:rPr>
        <w:t xml:space="preserve"> </w:t>
      </w:r>
      <w:r w:rsidR="00F32B28" w:rsidRPr="00F32B28">
        <w:rPr>
          <w:rtl/>
        </w:rPr>
        <w:t>عن</w:t>
      </w:r>
      <w:r w:rsidR="00F32B28">
        <w:rPr>
          <w:rtl/>
        </w:rPr>
        <w:t xml:space="preserve"> </w:t>
      </w:r>
      <w:r w:rsidR="00F32B28" w:rsidRPr="00F32B28">
        <w:rPr>
          <w:rtl/>
        </w:rPr>
        <w:t>هجر</w:t>
      </w:r>
      <w:r w:rsidR="00F32B28">
        <w:rPr>
          <w:rtl/>
        </w:rPr>
        <w:t xml:space="preserve"> </w:t>
      </w:r>
      <w:r w:rsidR="00F32B28" w:rsidRPr="00F32B28">
        <w:rPr>
          <w:rtl/>
        </w:rPr>
        <w:t>الزوج</w:t>
      </w:r>
      <w:r w:rsidR="00F32B28">
        <w:rPr>
          <w:rtl/>
        </w:rPr>
        <w:t xml:space="preserve"> </w:t>
      </w:r>
      <w:r w:rsidR="00F32B28" w:rsidRPr="00F32B28">
        <w:rPr>
          <w:rtl/>
        </w:rPr>
        <w:t>لزوجته</w:t>
      </w:r>
      <w:r w:rsidR="00F32B28">
        <w:rPr>
          <w:rtl/>
        </w:rPr>
        <w:t xml:space="preserve"> </w:t>
      </w:r>
      <w:r w:rsidR="00F32B28" w:rsidRPr="00F32B28">
        <w:rPr>
          <w:rtl/>
        </w:rPr>
        <w:t>أو</w:t>
      </w:r>
      <w:r w:rsidR="00F32B28">
        <w:rPr>
          <w:rtl/>
        </w:rPr>
        <w:t xml:space="preserve"> </w:t>
      </w:r>
      <w:r w:rsidR="00F32B28" w:rsidRPr="00F32B28">
        <w:rPr>
          <w:rtl/>
        </w:rPr>
        <w:t>غيبته</w:t>
      </w:r>
      <w:r w:rsidR="00F32B28">
        <w:rPr>
          <w:rtl/>
        </w:rPr>
        <w:t xml:space="preserve"> </w:t>
      </w:r>
      <w:r w:rsidR="00F32B28" w:rsidRPr="00F32B28">
        <w:rPr>
          <w:rtl/>
        </w:rPr>
        <w:t>عنها؛</w:t>
      </w:r>
      <w:r w:rsidR="00F32B28">
        <w:rPr>
          <w:rtl/>
        </w:rPr>
        <w:t xml:space="preserve"> </w:t>
      </w:r>
      <w:r w:rsidR="00F32B28" w:rsidRPr="00F32B28">
        <w:rPr>
          <w:rtl/>
        </w:rPr>
        <w:t>أو</w:t>
      </w:r>
      <w:r w:rsidR="00F32B28">
        <w:rPr>
          <w:rtl/>
        </w:rPr>
        <w:t xml:space="preserve"> </w:t>
      </w:r>
      <w:r w:rsidR="00F32B28" w:rsidRPr="00F32B28">
        <w:rPr>
          <w:rtl/>
        </w:rPr>
        <w:t>جنونه؛</w:t>
      </w:r>
      <w:r w:rsidR="00F32B28">
        <w:rPr>
          <w:rtl/>
        </w:rPr>
        <w:t xml:space="preserve"> </w:t>
      </w:r>
      <w:r w:rsidR="00F32B28" w:rsidRPr="00F32B28">
        <w:rPr>
          <w:rtl/>
        </w:rPr>
        <w:t>أو</w:t>
      </w:r>
      <w:r w:rsidR="00F32B28">
        <w:rPr>
          <w:rtl/>
        </w:rPr>
        <w:t xml:space="preserve"> </w:t>
      </w:r>
      <w:r w:rsidR="00F32B28" w:rsidRPr="00F32B28">
        <w:rPr>
          <w:rtl/>
        </w:rPr>
        <w:t>لمرض</w:t>
      </w:r>
      <w:r w:rsidR="00F32B28">
        <w:rPr>
          <w:rtl/>
        </w:rPr>
        <w:t xml:space="preserve"> </w:t>
      </w:r>
      <w:r w:rsidR="00F32B28" w:rsidRPr="00F32B28">
        <w:rPr>
          <w:rtl/>
        </w:rPr>
        <w:t>أو</w:t>
      </w:r>
      <w:r w:rsidR="00F32B28">
        <w:rPr>
          <w:rtl/>
        </w:rPr>
        <w:t xml:space="preserve"> </w:t>
      </w:r>
      <w:r w:rsidR="00F32B28" w:rsidRPr="00F32B28">
        <w:rPr>
          <w:rtl/>
        </w:rPr>
        <w:t>عيب</w:t>
      </w:r>
      <w:r w:rsidR="00F32B28">
        <w:rPr>
          <w:rtl/>
        </w:rPr>
        <w:t xml:space="preserve"> </w:t>
      </w:r>
      <w:r w:rsidR="00F32B28" w:rsidRPr="00F32B28">
        <w:rPr>
          <w:rtl/>
        </w:rPr>
        <w:t>فيه؛</w:t>
      </w:r>
      <w:r w:rsidR="00F32B28">
        <w:rPr>
          <w:rtl/>
        </w:rPr>
        <w:t xml:space="preserve"> </w:t>
      </w:r>
      <w:r w:rsidR="00F32B28" w:rsidRPr="00F32B28">
        <w:rPr>
          <w:rtl/>
        </w:rPr>
        <w:t>أو</w:t>
      </w:r>
      <w:r w:rsidR="00F32B28">
        <w:rPr>
          <w:rtl/>
        </w:rPr>
        <w:t xml:space="preserve"> </w:t>
      </w:r>
      <w:r w:rsidR="00F32B28" w:rsidRPr="00F32B28">
        <w:rPr>
          <w:rtl/>
        </w:rPr>
        <w:t>لعدم</w:t>
      </w:r>
      <w:r w:rsidR="00F32B28">
        <w:rPr>
          <w:rtl/>
        </w:rPr>
        <w:t xml:space="preserve"> </w:t>
      </w:r>
      <w:r w:rsidR="00F32B28" w:rsidRPr="00F32B28">
        <w:rPr>
          <w:rtl/>
        </w:rPr>
        <w:t>أداءه</w:t>
      </w:r>
      <w:r w:rsidR="00F32B28">
        <w:rPr>
          <w:rtl/>
        </w:rPr>
        <w:t xml:space="preserve"> </w:t>
      </w:r>
      <w:r w:rsidR="00F32B28" w:rsidRPr="00F32B28">
        <w:rPr>
          <w:rtl/>
        </w:rPr>
        <w:t>النفقة</w:t>
      </w:r>
      <w:r w:rsidR="00F32B28">
        <w:rPr>
          <w:rtl/>
        </w:rPr>
        <w:t xml:space="preserve"> </w:t>
      </w:r>
      <w:r w:rsidR="00F32B28" w:rsidRPr="00F32B28">
        <w:rPr>
          <w:rtl/>
        </w:rPr>
        <w:t>أو</w:t>
      </w:r>
      <w:r w:rsidR="00F32B28">
        <w:rPr>
          <w:rtl/>
        </w:rPr>
        <w:t xml:space="preserve"> </w:t>
      </w:r>
      <w:r w:rsidR="00F32B28" w:rsidRPr="00F32B28">
        <w:rPr>
          <w:rtl/>
        </w:rPr>
        <w:t>المهر</w:t>
      </w:r>
      <w:r w:rsidR="00F32B28">
        <w:rPr>
          <w:rtl/>
        </w:rPr>
        <w:t xml:space="preserve"> </w:t>
      </w:r>
      <w:r w:rsidR="00F32B28" w:rsidRPr="00F32B28">
        <w:rPr>
          <w:rtl/>
        </w:rPr>
        <w:t>المعجل؛</w:t>
      </w:r>
      <w:r w:rsidR="00F32B28">
        <w:rPr>
          <w:rtl/>
        </w:rPr>
        <w:t xml:space="preserve"> </w:t>
      </w:r>
      <w:r w:rsidR="00F32B28" w:rsidRPr="00F32B28">
        <w:rPr>
          <w:rtl/>
        </w:rPr>
        <w:t>أو</w:t>
      </w:r>
      <w:r w:rsidR="00F32B28">
        <w:rPr>
          <w:rtl/>
        </w:rPr>
        <w:t xml:space="preserve"> </w:t>
      </w:r>
      <w:r w:rsidR="00F32B28" w:rsidRPr="00F32B28">
        <w:rPr>
          <w:rtl/>
        </w:rPr>
        <w:t>للحكم</w:t>
      </w:r>
      <w:r w:rsidR="00F32B28">
        <w:rPr>
          <w:rtl/>
        </w:rPr>
        <w:t xml:space="preserve"> </w:t>
      </w:r>
      <w:r w:rsidR="00F32B28" w:rsidRPr="00F32B28">
        <w:rPr>
          <w:rtl/>
        </w:rPr>
        <w:t>عليه</w:t>
      </w:r>
      <w:r w:rsidR="00F32B28">
        <w:rPr>
          <w:rtl/>
        </w:rPr>
        <w:t xml:space="preserve"> </w:t>
      </w:r>
      <w:r w:rsidR="00F32B28" w:rsidRPr="00F32B28">
        <w:rPr>
          <w:rtl/>
        </w:rPr>
        <w:t>بالسجن؛</w:t>
      </w:r>
      <w:r w:rsidR="00F32B28">
        <w:rPr>
          <w:rtl/>
        </w:rPr>
        <w:t xml:space="preserve"> </w:t>
      </w:r>
      <w:r w:rsidR="00F32B28" w:rsidRPr="00F32B28">
        <w:rPr>
          <w:rtl/>
        </w:rPr>
        <w:t>أو</w:t>
      </w:r>
      <w:r w:rsidR="00F32B28">
        <w:rPr>
          <w:rtl/>
        </w:rPr>
        <w:t xml:space="preserve"> </w:t>
      </w:r>
      <w:r w:rsidR="00F32B28" w:rsidRPr="00F32B28">
        <w:rPr>
          <w:rtl/>
        </w:rPr>
        <w:t>عدم</w:t>
      </w:r>
      <w:r w:rsidR="00F32B28">
        <w:rPr>
          <w:rtl/>
        </w:rPr>
        <w:t xml:space="preserve"> </w:t>
      </w:r>
      <w:r w:rsidR="00F32B28" w:rsidRPr="00F32B28">
        <w:rPr>
          <w:rtl/>
        </w:rPr>
        <w:t>وفائه</w:t>
      </w:r>
      <w:r w:rsidR="00F32B28">
        <w:rPr>
          <w:rtl/>
        </w:rPr>
        <w:t xml:space="preserve"> </w:t>
      </w:r>
      <w:r w:rsidR="00F32B28" w:rsidRPr="00F32B28">
        <w:rPr>
          <w:rtl/>
        </w:rPr>
        <w:t>بأحد</w:t>
      </w:r>
      <w:r w:rsidR="00F32B28">
        <w:rPr>
          <w:rtl/>
        </w:rPr>
        <w:t xml:space="preserve"> </w:t>
      </w:r>
      <w:r w:rsidR="00F32B28" w:rsidRPr="00F32B28">
        <w:rPr>
          <w:rtl/>
        </w:rPr>
        <w:t>الشروط</w:t>
      </w:r>
      <w:r w:rsidR="00F32B28">
        <w:rPr>
          <w:rtl/>
        </w:rPr>
        <w:t xml:space="preserve"> </w:t>
      </w:r>
      <w:r w:rsidR="00F32B28" w:rsidRPr="00F32B28">
        <w:rPr>
          <w:rtl/>
        </w:rPr>
        <w:t>الخاصة</w:t>
      </w:r>
      <w:r w:rsidR="00F32B28">
        <w:rPr>
          <w:rtl/>
        </w:rPr>
        <w:t xml:space="preserve"> </w:t>
      </w:r>
      <w:r w:rsidR="00F32B28" w:rsidRPr="00F32B28">
        <w:rPr>
          <w:rtl/>
        </w:rPr>
        <w:t>في</w:t>
      </w:r>
      <w:r w:rsidR="00F32B28">
        <w:rPr>
          <w:rtl/>
        </w:rPr>
        <w:t xml:space="preserve"> </w:t>
      </w:r>
      <w:r w:rsidR="00F32B28" w:rsidRPr="00F32B28">
        <w:rPr>
          <w:rtl/>
        </w:rPr>
        <w:t>عقد</w:t>
      </w:r>
      <w:r w:rsidR="00F32B28">
        <w:rPr>
          <w:rtl/>
        </w:rPr>
        <w:t xml:space="preserve"> </w:t>
      </w:r>
      <w:r w:rsidR="00F32B28" w:rsidRPr="00F32B28">
        <w:rPr>
          <w:rtl/>
        </w:rPr>
        <w:t>الزواج؛</w:t>
      </w:r>
    </w:p>
    <w:p w:rsidR="00F32B28" w:rsidRPr="00F32B28" w:rsidRDefault="00565595" w:rsidP="0056559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الخلع</w:t>
      </w:r>
      <w:r w:rsidR="00F32B28">
        <w:rPr>
          <w:rtl/>
        </w:rPr>
        <w:t xml:space="preserve"> </w:t>
      </w:r>
      <w:r w:rsidR="00F32B28" w:rsidRPr="00F32B28">
        <w:rPr>
          <w:rtl/>
        </w:rPr>
        <w:t>بالتراضي:</w:t>
      </w:r>
      <w:r w:rsidR="00F32B28">
        <w:rPr>
          <w:rtl/>
        </w:rPr>
        <w:t xml:space="preserve"> </w:t>
      </w:r>
      <w:r w:rsidR="00F32B28" w:rsidRPr="00F32B28">
        <w:rPr>
          <w:rtl/>
        </w:rPr>
        <w:t>يحق</w:t>
      </w:r>
      <w:r w:rsidR="00F32B28">
        <w:rPr>
          <w:rtl/>
        </w:rPr>
        <w:t xml:space="preserve"> </w:t>
      </w:r>
      <w:r w:rsidR="00F32B28" w:rsidRPr="00F32B28">
        <w:rPr>
          <w:rtl/>
        </w:rPr>
        <w:t>للمرأة</w:t>
      </w:r>
      <w:r w:rsidR="00F32B28">
        <w:rPr>
          <w:rtl/>
        </w:rPr>
        <w:t xml:space="preserve"> </w:t>
      </w:r>
      <w:r w:rsidR="00F32B28" w:rsidRPr="00F32B28">
        <w:rPr>
          <w:rtl/>
        </w:rPr>
        <w:t>أن</w:t>
      </w:r>
      <w:r w:rsidR="00F32B28">
        <w:rPr>
          <w:rtl/>
        </w:rPr>
        <w:t xml:space="preserve"> </w:t>
      </w:r>
      <w:r w:rsidR="00F32B28" w:rsidRPr="00F32B28">
        <w:rPr>
          <w:rtl/>
        </w:rPr>
        <w:t>تطلب</w:t>
      </w:r>
      <w:r w:rsidR="00F32B28">
        <w:rPr>
          <w:rtl/>
        </w:rPr>
        <w:t xml:space="preserve"> </w:t>
      </w:r>
      <w:r w:rsidR="00F32B28" w:rsidRPr="00F32B28">
        <w:rPr>
          <w:rtl/>
        </w:rPr>
        <w:t>من</w:t>
      </w:r>
      <w:r w:rsidR="00F32B28">
        <w:rPr>
          <w:rtl/>
        </w:rPr>
        <w:t xml:space="preserve"> </w:t>
      </w:r>
      <w:r w:rsidR="00F32B28" w:rsidRPr="00F32B28">
        <w:rPr>
          <w:rtl/>
        </w:rPr>
        <w:t>زوجها</w:t>
      </w:r>
      <w:r w:rsidR="00F32B28">
        <w:rPr>
          <w:rtl/>
        </w:rPr>
        <w:t xml:space="preserve"> </w:t>
      </w:r>
      <w:r w:rsidR="00F32B28" w:rsidRPr="00F32B28">
        <w:rPr>
          <w:rtl/>
        </w:rPr>
        <w:t>أن</w:t>
      </w:r>
      <w:r w:rsidR="00F32B28">
        <w:rPr>
          <w:rtl/>
        </w:rPr>
        <w:t xml:space="preserve"> </w:t>
      </w:r>
      <w:r w:rsidR="00F32B28" w:rsidRPr="00F32B28">
        <w:rPr>
          <w:rtl/>
        </w:rPr>
        <w:t>يطلقها</w:t>
      </w:r>
      <w:r w:rsidR="00F32B28">
        <w:rPr>
          <w:rtl/>
        </w:rPr>
        <w:t xml:space="preserve"> </w:t>
      </w:r>
      <w:r w:rsidR="00F32B28" w:rsidRPr="00F32B28">
        <w:rPr>
          <w:rtl/>
        </w:rPr>
        <w:t>مقابل</w:t>
      </w:r>
      <w:r w:rsidR="00F32B28">
        <w:rPr>
          <w:rtl/>
        </w:rPr>
        <w:t xml:space="preserve"> </w:t>
      </w:r>
      <w:r w:rsidR="00F32B28" w:rsidRPr="00F32B28">
        <w:rPr>
          <w:rtl/>
        </w:rPr>
        <w:t>أن</w:t>
      </w:r>
      <w:r w:rsidR="00F32B28">
        <w:rPr>
          <w:rtl/>
        </w:rPr>
        <w:t xml:space="preserve"> </w:t>
      </w:r>
      <w:r w:rsidR="00F32B28" w:rsidRPr="00F32B28">
        <w:rPr>
          <w:rtl/>
        </w:rPr>
        <w:t>تقوم</w:t>
      </w:r>
      <w:r w:rsidR="00F32B28">
        <w:rPr>
          <w:rtl/>
        </w:rPr>
        <w:t xml:space="preserve"> </w:t>
      </w:r>
      <w:r w:rsidR="00F32B28" w:rsidRPr="00F32B28">
        <w:rPr>
          <w:rtl/>
        </w:rPr>
        <w:t>بإبرائه</w:t>
      </w:r>
      <w:r w:rsidR="00F32B28">
        <w:rPr>
          <w:rtl/>
        </w:rPr>
        <w:t xml:space="preserve"> </w:t>
      </w:r>
      <w:r w:rsidR="00F32B28" w:rsidRPr="00F32B28">
        <w:rPr>
          <w:rtl/>
        </w:rPr>
        <w:t>من</w:t>
      </w:r>
      <w:r w:rsidR="00F32B28">
        <w:rPr>
          <w:rtl/>
        </w:rPr>
        <w:t xml:space="preserve"> </w:t>
      </w:r>
      <w:r w:rsidR="00F32B28" w:rsidRPr="00F32B28">
        <w:rPr>
          <w:rtl/>
        </w:rPr>
        <w:t>حقوقها</w:t>
      </w:r>
      <w:r w:rsidR="00F32B28">
        <w:rPr>
          <w:rtl/>
        </w:rPr>
        <w:t xml:space="preserve"> </w:t>
      </w:r>
      <w:r w:rsidR="00F32B28" w:rsidRPr="00F32B28">
        <w:rPr>
          <w:rtl/>
        </w:rPr>
        <w:t>المادية</w:t>
      </w:r>
      <w:r w:rsidR="00F32B28">
        <w:rPr>
          <w:rtl/>
        </w:rPr>
        <w:t xml:space="preserve"> </w:t>
      </w:r>
      <w:r w:rsidR="00F32B28" w:rsidRPr="00F32B28">
        <w:rPr>
          <w:rtl/>
        </w:rPr>
        <w:t>كلياً</w:t>
      </w:r>
      <w:r w:rsidR="00F32B28">
        <w:rPr>
          <w:rtl/>
        </w:rPr>
        <w:t xml:space="preserve"> </w:t>
      </w:r>
      <w:r w:rsidR="00F32B28" w:rsidRPr="00F32B28">
        <w:rPr>
          <w:rtl/>
        </w:rPr>
        <w:t>أو</w:t>
      </w:r>
      <w:r w:rsidR="00F32B28">
        <w:rPr>
          <w:rtl/>
        </w:rPr>
        <w:t xml:space="preserve"> </w:t>
      </w:r>
      <w:r w:rsidR="00F32B28" w:rsidRPr="00F32B28">
        <w:rPr>
          <w:rtl/>
        </w:rPr>
        <w:t>جزئياً؛</w:t>
      </w:r>
      <w:r w:rsidR="00F32B28">
        <w:rPr>
          <w:rtl/>
        </w:rPr>
        <w:t xml:space="preserve"> </w:t>
      </w:r>
    </w:p>
    <w:p w:rsidR="00F32B28" w:rsidRPr="00F32B28" w:rsidRDefault="00565595" w:rsidP="0056559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cs"/>
          <w:rtl/>
        </w:rPr>
        <w:tab/>
      </w:r>
      <w:r w:rsidR="00F32B28" w:rsidRPr="00F32B28">
        <w:rPr>
          <w:rtl/>
        </w:rPr>
        <w:t>الخلع</w:t>
      </w:r>
      <w:r w:rsidR="00F32B28">
        <w:rPr>
          <w:rtl/>
        </w:rPr>
        <w:t xml:space="preserve"> </w:t>
      </w:r>
      <w:r w:rsidR="00F32B28" w:rsidRPr="00F32B28">
        <w:rPr>
          <w:rtl/>
        </w:rPr>
        <w:t>القضائي:</w:t>
      </w:r>
      <w:r w:rsidR="00F32B28">
        <w:rPr>
          <w:rtl/>
        </w:rPr>
        <w:t xml:space="preserve"> </w:t>
      </w:r>
      <w:r w:rsidR="00F32B28" w:rsidRPr="00F32B28">
        <w:rPr>
          <w:rtl/>
        </w:rPr>
        <w:t>يحق</w:t>
      </w:r>
      <w:r w:rsidR="00F32B28">
        <w:rPr>
          <w:rtl/>
        </w:rPr>
        <w:t xml:space="preserve"> </w:t>
      </w:r>
      <w:r w:rsidR="00F32B28" w:rsidRPr="00F32B28">
        <w:rPr>
          <w:rtl/>
        </w:rPr>
        <w:t>للزوجة</w:t>
      </w:r>
      <w:r w:rsidR="00F32B28">
        <w:rPr>
          <w:rtl/>
        </w:rPr>
        <w:t xml:space="preserve"> </w:t>
      </w:r>
      <w:r w:rsidR="00F32B28" w:rsidRPr="00F32B28">
        <w:rPr>
          <w:rtl/>
        </w:rPr>
        <w:t>غير</w:t>
      </w:r>
      <w:r w:rsidR="00F32B28">
        <w:rPr>
          <w:rtl/>
        </w:rPr>
        <w:t xml:space="preserve"> </w:t>
      </w:r>
      <w:r w:rsidR="00F32B28" w:rsidRPr="00F32B28">
        <w:rPr>
          <w:rtl/>
        </w:rPr>
        <w:t>المدخول</w:t>
      </w:r>
      <w:r w:rsidR="00F32B28">
        <w:rPr>
          <w:rtl/>
        </w:rPr>
        <w:t xml:space="preserve"> </w:t>
      </w:r>
      <w:r w:rsidR="00F32B28" w:rsidRPr="00F32B28">
        <w:rPr>
          <w:rtl/>
        </w:rPr>
        <w:t>بها</w:t>
      </w:r>
      <w:r w:rsidR="00F32B28">
        <w:rPr>
          <w:rtl/>
        </w:rPr>
        <w:t xml:space="preserve"> </w:t>
      </w:r>
      <w:r w:rsidR="00F32B28" w:rsidRPr="00F32B28">
        <w:rPr>
          <w:rtl/>
        </w:rPr>
        <w:t>أو</w:t>
      </w:r>
      <w:r w:rsidR="00F32B28">
        <w:rPr>
          <w:rtl/>
        </w:rPr>
        <w:t xml:space="preserve"> </w:t>
      </w:r>
      <w:r w:rsidR="00F32B28" w:rsidRPr="00F32B28">
        <w:rPr>
          <w:rtl/>
        </w:rPr>
        <w:t>التي</w:t>
      </w:r>
      <w:r w:rsidR="00F32B28">
        <w:rPr>
          <w:rtl/>
        </w:rPr>
        <w:t xml:space="preserve"> </w:t>
      </w:r>
      <w:r w:rsidR="00F32B28" w:rsidRPr="00F32B28">
        <w:rPr>
          <w:rtl/>
        </w:rPr>
        <w:t>لم</w:t>
      </w:r>
      <w:r w:rsidR="00F32B28">
        <w:rPr>
          <w:rtl/>
        </w:rPr>
        <w:t xml:space="preserve"> </w:t>
      </w:r>
      <w:r w:rsidR="00F32B28" w:rsidRPr="00F32B28">
        <w:rPr>
          <w:rtl/>
        </w:rPr>
        <w:t>تختلِ</w:t>
      </w:r>
      <w:r w:rsidR="00F32B28">
        <w:rPr>
          <w:rtl/>
        </w:rPr>
        <w:t xml:space="preserve"> </w:t>
      </w:r>
      <w:r w:rsidR="00F32B28" w:rsidRPr="00F32B28">
        <w:rPr>
          <w:rtl/>
        </w:rPr>
        <w:t>بزوجها</w:t>
      </w:r>
      <w:r w:rsidR="00F32B28">
        <w:rPr>
          <w:rtl/>
        </w:rPr>
        <w:t xml:space="preserve"> </w:t>
      </w:r>
      <w:r w:rsidR="00F32B28" w:rsidRPr="00F32B28">
        <w:rPr>
          <w:rtl/>
        </w:rPr>
        <w:t>خلوة</w:t>
      </w:r>
      <w:r w:rsidR="00F32B28">
        <w:rPr>
          <w:rtl/>
        </w:rPr>
        <w:t xml:space="preserve"> </w:t>
      </w:r>
      <w:r w:rsidR="00F32B28" w:rsidRPr="00F32B28">
        <w:rPr>
          <w:rtl/>
        </w:rPr>
        <w:t>صحيحة</w:t>
      </w:r>
      <w:r w:rsidR="00F32B28">
        <w:rPr>
          <w:rtl/>
        </w:rPr>
        <w:t xml:space="preserve"> </w:t>
      </w:r>
      <w:r w:rsidR="00F32B28" w:rsidRPr="00F32B28">
        <w:rPr>
          <w:rtl/>
        </w:rPr>
        <w:t>حل</w:t>
      </w:r>
      <w:r w:rsidR="00F32B28">
        <w:rPr>
          <w:rtl/>
        </w:rPr>
        <w:t xml:space="preserve"> </w:t>
      </w:r>
      <w:r w:rsidR="00F32B28" w:rsidRPr="00F32B28">
        <w:rPr>
          <w:rtl/>
        </w:rPr>
        <w:t>الرابطة</w:t>
      </w:r>
      <w:r w:rsidR="00F32B28">
        <w:rPr>
          <w:rtl/>
        </w:rPr>
        <w:t xml:space="preserve"> </w:t>
      </w:r>
      <w:r w:rsidR="00F32B28" w:rsidRPr="00F32B28">
        <w:rPr>
          <w:rtl/>
        </w:rPr>
        <w:t>الزوجية،</w:t>
      </w:r>
      <w:r w:rsidR="00F32B28">
        <w:rPr>
          <w:rtl/>
        </w:rPr>
        <w:t xml:space="preserve"> </w:t>
      </w:r>
      <w:r w:rsidR="00F32B28" w:rsidRPr="00F32B28">
        <w:rPr>
          <w:rtl/>
        </w:rPr>
        <w:t>ولو</w:t>
      </w:r>
      <w:r w:rsidR="00F32B28">
        <w:rPr>
          <w:rtl/>
        </w:rPr>
        <w:t xml:space="preserve"> </w:t>
      </w:r>
      <w:r w:rsidR="00F32B28" w:rsidRPr="00F32B28">
        <w:rPr>
          <w:rtl/>
        </w:rPr>
        <w:t>بدون</w:t>
      </w:r>
      <w:r w:rsidR="00F32B28">
        <w:rPr>
          <w:rtl/>
        </w:rPr>
        <w:t xml:space="preserve"> </w:t>
      </w:r>
      <w:r w:rsidR="00F32B28" w:rsidRPr="00F32B28">
        <w:rPr>
          <w:rtl/>
        </w:rPr>
        <w:t>رضا</w:t>
      </w:r>
      <w:r w:rsidR="00F32B28">
        <w:rPr>
          <w:rtl/>
        </w:rPr>
        <w:t xml:space="preserve"> </w:t>
      </w:r>
      <w:r w:rsidR="00F32B28" w:rsidRPr="00F32B28">
        <w:rPr>
          <w:rtl/>
        </w:rPr>
        <w:t>زوجها،</w:t>
      </w:r>
      <w:r w:rsidR="00F32B28">
        <w:rPr>
          <w:rtl/>
        </w:rPr>
        <w:t xml:space="preserve"> </w:t>
      </w:r>
      <w:r w:rsidR="00F32B28" w:rsidRPr="00F32B28">
        <w:rPr>
          <w:rtl/>
        </w:rPr>
        <w:t>من</w:t>
      </w:r>
      <w:r w:rsidR="00F32B28">
        <w:rPr>
          <w:rtl/>
        </w:rPr>
        <w:t xml:space="preserve"> </w:t>
      </w:r>
      <w:r w:rsidR="00F32B28" w:rsidRPr="00F32B28">
        <w:rPr>
          <w:rtl/>
        </w:rPr>
        <w:t>خلال</w:t>
      </w:r>
      <w:r w:rsidR="00F32B28">
        <w:rPr>
          <w:rtl/>
        </w:rPr>
        <w:t xml:space="preserve"> </w:t>
      </w:r>
      <w:r w:rsidR="00F32B28" w:rsidRPr="00F32B28">
        <w:rPr>
          <w:rtl/>
        </w:rPr>
        <w:t>رفعها</w:t>
      </w:r>
      <w:r w:rsidR="00F32B28">
        <w:rPr>
          <w:rtl/>
        </w:rPr>
        <w:t xml:space="preserve"> </w:t>
      </w:r>
      <w:r w:rsidR="00F32B28" w:rsidRPr="00F32B28">
        <w:rPr>
          <w:rtl/>
        </w:rPr>
        <w:t>لدعوى</w:t>
      </w:r>
      <w:r w:rsidR="00F32B28">
        <w:rPr>
          <w:rtl/>
        </w:rPr>
        <w:t xml:space="preserve"> </w:t>
      </w:r>
      <w:r w:rsidR="00F32B28" w:rsidRPr="00F32B28">
        <w:rPr>
          <w:rtl/>
        </w:rPr>
        <w:t>الخلع</w:t>
      </w:r>
      <w:r w:rsidR="00F32B28">
        <w:rPr>
          <w:rtl/>
        </w:rPr>
        <w:t xml:space="preserve"> </w:t>
      </w:r>
      <w:r w:rsidR="00F32B28" w:rsidRPr="00F32B28">
        <w:rPr>
          <w:rtl/>
        </w:rPr>
        <w:t>القضائي</w:t>
      </w:r>
      <w:r w:rsidR="00F32B28">
        <w:rPr>
          <w:rtl/>
        </w:rPr>
        <w:t xml:space="preserve"> </w:t>
      </w:r>
      <w:r w:rsidR="00F32B28" w:rsidRPr="00F32B28">
        <w:rPr>
          <w:rtl/>
        </w:rPr>
        <w:t>أمام</w:t>
      </w:r>
      <w:r w:rsidR="00F32B28">
        <w:rPr>
          <w:rtl/>
        </w:rPr>
        <w:t xml:space="preserve"> </w:t>
      </w:r>
      <w:r w:rsidR="00F32B28" w:rsidRPr="00F32B28">
        <w:rPr>
          <w:rtl/>
        </w:rPr>
        <w:t>المحكمة</w:t>
      </w:r>
      <w:r w:rsidR="00F32B28">
        <w:rPr>
          <w:rtl/>
        </w:rPr>
        <w:t xml:space="preserve"> </w:t>
      </w:r>
      <w:r w:rsidR="00F32B28" w:rsidRPr="00F32B28">
        <w:rPr>
          <w:rtl/>
        </w:rPr>
        <w:t>الشرعية،</w:t>
      </w:r>
      <w:r w:rsidR="00F32B28">
        <w:rPr>
          <w:rtl/>
        </w:rPr>
        <w:t xml:space="preserve"> </w:t>
      </w:r>
      <w:r w:rsidR="00F32B28" w:rsidRPr="00F32B28">
        <w:rPr>
          <w:rtl/>
        </w:rPr>
        <w:t>وبشرط</w:t>
      </w:r>
      <w:r w:rsidR="00F32B28">
        <w:rPr>
          <w:rtl/>
        </w:rPr>
        <w:t xml:space="preserve"> </w:t>
      </w:r>
      <w:r w:rsidR="00F32B28" w:rsidRPr="00F32B28">
        <w:rPr>
          <w:rtl/>
        </w:rPr>
        <w:t>أن</w:t>
      </w:r>
      <w:r w:rsidR="00F32B28">
        <w:rPr>
          <w:rtl/>
        </w:rPr>
        <w:t xml:space="preserve"> </w:t>
      </w:r>
      <w:r w:rsidR="00F32B28" w:rsidRPr="00F32B28">
        <w:rPr>
          <w:rtl/>
        </w:rPr>
        <w:t>تكون</w:t>
      </w:r>
      <w:r w:rsidR="00F32B28">
        <w:rPr>
          <w:rtl/>
        </w:rPr>
        <w:t xml:space="preserve"> </w:t>
      </w:r>
      <w:r w:rsidR="00F32B28" w:rsidRPr="00F32B28">
        <w:rPr>
          <w:rtl/>
        </w:rPr>
        <w:t>الزوجة</w:t>
      </w:r>
      <w:r w:rsidR="00F32B28">
        <w:rPr>
          <w:rtl/>
        </w:rPr>
        <w:t xml:space="preserve"> </w:t>
      </w:r>
      <w:r w:rsidR="00F32B28" w:rsidRPr="00F32B28">
        <w:rPr>
          <w:rtl/>
        </w:rPr>
        <w:t>على</w:t>
      </w:r>
      <w:r w:rsidR="00F32B28">
        <w:rPr>
          <w:rtl/>
        </w:rPr>
        <w:t xml:space="preserve"> </w:t>
      </w:r>
      <w:r w:rsidR="00F32B28" w:rsidRPr="00F32B28">
        <w:rPr>
          <w:rtl/>
        </w:rPr>
        <w:t>كره</w:t>
      </w:r>
      <w:r w:rsidR="00F32B28">
        <w:rPr>
          <w:rtl/>
        </w:rPr>
        <w:t xml:space="preserve"> </w:t>
      </w:r>
      <w:r w:rsidR="00F32B28" w:rsidRPr="00F32B28">
        <w:rPr>
          <w:rtl/>
        </w:rPr>
        <w:t>لزوجها</w:t>
      </w:r>
      <w:r w:rsidR="00F32B28">
        <w:rPr>
          <w:rtl/>
        </w:rPr>
        <w:t xml:space="preserve"> </w:t>
      </w:r>
      <w:r w:rsidR="00F32B28" w:rsidRPr="00F32B28">
        <w:rPr>
          <w:rtl/>
        </w:rPr>
        <w:t>ما</w:t>
      </w:r>
      <w:r w:rsidR="00F32B28">
        <w:rPr>
          <w:rtl/>
        </w:rPr>
        <w:t xml:space="preserve"> </w:t>
      </w:r>
      <w:r w:rsidR="00F32B28" w:rsidRPr="00F32B28">
        <w:rPr>
          <w:rtl/>
        </w:rPr>
        <w:t>يمنعها</w:t>
      </w:r>
      <w:r w:rsidR="00F32B28">
        <w:rPr>
          <w:rtl/>
        </w:rPr>
        <w:t xml:space="preserve"> </w:t>
      </w:r>
      <w:r w:rsidR="00F32B28" w:rsidRPr="00F32B28">
        <w:rPr>
          <w:rtl/>
        </w:rPr>
        <w:t>من</w:t>
      </w:r>
      <w:r w:rsidR="00F32B28">
        <w:rPr>
          <w:rtl/>
        </w:rPr>
        <w:t xml:space="preserve"> </w:t>
      </w:r>
      <w:r w:rsidR="00F32B28" w:rsidRPr="00F32B28">
        <w:rPr>
          <w:rtl/>
        </w:rPr>
        <w:t>إتمام</w:t>
      </w:r>
      <w:r w:rsidR="00F32B28">
        <w:rPr>
          <w:rtl/>
        </w:rPr>
        <w:t xml:space="preserve"> </w:t>
      </w:r>
      <w:r w:rsidR="00F32B28" w:rsidRPr="00F32B28">
        <w:rPr>
          <w:rtl/>
        </w:rPr>
        <w:t>الزواج</w:t>
      </w:r>
      <w:r w:rsidR="00F32B28">
        <w:rPr>
          <w:rtl/>
        </w:rPr>
        <w:t xml:space="preserve"> </w:t>
      </w:r>
      <w:r w:rsidR="00F32B28" w:rsidRPr="00F32B28">
        <w:rPr>
          <w:rtl/>
        </w:rPr>
        <w:t>وإقامة</w:t>
      </w:r>
      <w:r w:rsidR="00F32B28">
        <w:rPr>
          <w:rtl/>
        </w:rPr>
        <w:t xml:space="preserve"> </w:t>
      </w:r>
      <w:r w:rsidR="00F32B28" w:rsidRPr="00F32B28">
        <w:rPr>
          <w:rtl/>
        </w:rPr>
        <w:t>حياة</w:t>
      </w:r>
      <w:r w:rsidR="00F32B28">
        <w:rPr>
          <w:rtl/>
        </w:rPr>
        <w:t xml:space="preserve"> </w:t>
      </w:r>
      <w:r w:rsidR="00F32B28" w:rsidRPr="00F32B28">
        <w:rPr>
          <w:rtl/>
        </w:rPr>
        <w:t>زوجية،</w:t>
      </w:r>
      <w:r w:rsidR="00F32B28">
        <w:rPr>
          <w:rtl/>
        </w:rPr>
        <w:t xml:space="preserve"> </w:t>
      </w:r>
      <w:r w:rsidR="00F32B28" w:rsidRPr="00F32B28">
        <w:rPr>
          <w:rtl/>
        </w:rPr>
        <w:t>وأن</w:t>
      </w:r>
      <w:r w:rsidR="00F32B28">
        <w:rPr>
          <w:rtl/>
        </w:rPr>
        <w:t xml:space="preserve"> </w:t>
      </w:r>
      <w:r w:rsidR="00F32B28" w:rsidRPr="00F32B28">
        <w:rPr>
          <w:rtl/>
        </w:rPr>
        <w:t>تدفع</w:t>
      </w:r>
      <w:r w:rsidR="00F32B28">
        <w:rPr>
          <w:rtl/>
        </w:rPr>
        <w:t xml:space="preserve"> </w:t>
      </w:r>
      <w:r w:rsidR="00F32B28" w:rsidRPr="00F32B28">
        <w:rPr>
          <w:rtl/>
        </w:rPr>
        <w:t>له</w:t>
      </w:r>
      <w:r w:rsidR="00F32B28">
        <w:rPr>
          <w:rtl/>
        </w:rPr>
        <w:t xml:space="preserve"> </w:t>
      </w:r>
      <w:r w:rsidR="00F32B28" w:rsidRPr="00F32B28">
        <w:rPr>
          <w:rtl/>
        </w:rPr>
        <w:t>لقاء</w:t>
      </w:r>
      <w:r w:rsidR="00F32B28">
        <w:rPr>
          <w:rtl/>
        </w:rPr>
        <w:t xml:space="preserve"> </w:t>
      </w:r>
      <w:r w:rsidR="00F32B28" w:rsidRPr="00F32B28">
        <w:rPr>
          <w:rtl/>
        </w:rPr>
        <w:t>ذلك</w:t>
      </w:r>
      <w:r w:rsidR="00F32B28">
        <w:rPr>
          <w:rtl/>
        </w:rPr>
        <w:t xml:space="preserve"> </w:t>
      </w:r>
      <w:r w:rsidR="00F32B28" w:rsidRPr="00F32B28">
        <w:rPr>
          <w:rtl/>
        </w:rPr>
        <w:t>مبلغ</w:t>
      </w:r>
      <w:r w:rsidR="00F32B28">
        <w:rPr>
          <w:rtl/>
        </w:rPr>
        <w:t xml:space="preserve"> </w:t>
      </w:r>
      <w:r w:rsidR="00F32B28" w:rsidRPr="00F32B28">
        <w:rPr>
          <w:rtl/>
        </w:rPr>
        <w:t>من</w:t>
      </w:r>
      <w:r w:rsidR="00F32B28">
        <w:rPr>
          <w:rtl/>
        </w:rPr>
        <w:t xml:space="preserve"> </w:t>
      </w:r>
      <w:r w:rsidR="00F32B28" w:rsidRPr="00F32B28">
        <w:rPr>
          <w:rtl/>
        </w:rPr>
        <w:t>المال</w:t>
      </w:r>
      <w:r w:rsidR="00F32B28">
        <w:rPr>
          <w:rtl/>
        </w:rPr>
        <w:t xml:space="preserve"> </w:t>
      </w:r>
      <w:r w:rsidR="00F32B28" w:rsidRPr="00F32B28">
        <w:rPr>
          <w:rtl/>
        </w:rPr>
        <w:t>تفتدي</w:t>
      </w:r>
      <w:r w:rsidR="00F32B28">
        <w:rPr>
          <w:rtl/>
        </w:rPr>
        <w:t xml:space="preserve"> </w:t>
      </w:r>
      <w:r w:rsidR="00F32B28" w:rsidRPr="00F32B28">
        <w:rPr>
          <w:rtl/>
        </w:rPr>
        <w:t>به</w:t>
      </w:r>
      <w:r w:rsidR="00F32B28">
        <w:rPr>
          <w:rtl/>
        </w:rPr>
        <w:t xml:space="preserve"> </w:t>
      </w:r>
      <w:r w:rsidR="00F32B28" w:rsidRPr="00F32B28">
        <w:rPr>
          <w:rtl/>
        </w:rPr>
        <w:t>نفسها،</w:t>
      </w:r>
      <w:r w:rsidR="00F32B28">
        <w:rPr>
          <w:rtl/>
        </w:rPr>
        <w:t xml:space="preserve"> </w:t>
      </w:r>
      <w:r w:rsidR="00F32B28" w:rsidRPr="00F32B28">
        <w:rPr>
          <w:rtl/>
        </w:rPr>
        <w:t>وذلك</w:t>
      </w:r>
      <w:r w:rsidR="00F32B28">
        <w:rPr>
          <w:rtl/>
          <w:lang w:bidi="ar-LB"/>
        </w:rPr>
        <w:t xml:space="preserve"> </w:t>
      </w:r>
      <w:r w:rsidR="00F32B28" w:rsidRPr="00F32B28">
        <w:rPr>
          <w:rtl/>
          <w:lang w:bidi="ar-LB"/>
        </w:rPr>
        <w:t>بحسب</w:t>
      </w:r>
      <w:r w:rsidR="00F32B28">
        <w:rPr>
          <w:rtl/>
          <w:lang w:bidi="ar-LB"/>
        </w:rPr>
        <w:t xml:space="preserve"> </w:t>
      </w:r>
      <w:r w:rsidR="00F32B28" w:rsidRPr="00F32B28">
        <w:rPr>
          <w:rtl/>
          <w:lang w:bidi="ar-LB"/>
        </w:rPr>
        <w:t>التعميم</w:t>
      </w:r>
      <w:r w:rsidR="00F32B28">
        <w:rPr>
          <w:rtl/>
          <w:lang w:bidi="ar-LB"/>
        </w:rPr>
        <w:t xml:space="preserve"> </w:t>
      </w:r>
      <w:r w:rsidR="00F32B28" w:rsidRPr="00F32B28">
        <w:rPr>
          <w:rtl/>
          <w:lang w:bidi="ar-LB"/>
        </w:rPr>
        <w:t>رقم</w:t>
      </w:r>
      <w:r w:rsidR="00F32B28">
        <w:rPr>
          <w:rtl/>
          <w:lang w:bidi="ar-LB"/>
        </w:rPr>
        <w:t xml:space="preserve"> </w:t>
      </w:r>
      <w:r w:rsidR="00F32B28" w:rsidRPr="00F32B28">
        <w:rPr>
          <w:rtl/>
          <w:lang w:bidi="ar-LB"/>
        </w:rPr>
        <w:t>(59)</w:t>
      </w:r>
      <w:r w:rsidR="00F32B28">
        <w:rPr>
          <w:rtl/>
          <w:lang w:bidi="ar-LB"/>
        </w:rPr>
        <w:t xml:space="preserve"> </w:t>
      </w:r>
      <w:r w:rsidR="00F32B28" w:rsidRPr="00F32B28">
        <w:rPr>
          <w:rtl/>
          <w:lang w:bidi="ar-LB"/>
        </w:rPr>
        <w:t>لسنة</w:t>
      </w:r>
      <w:r w:rsidR="00F32B28">
        <w:rPr>
          <w:rtl/>
          <w:lang w:bidi="ar-LB"/>
        </w:rPr>
        <w:t xml:space="preserve"> </w:t>
      </w:r>
      <w:r w:rsidR="00F32B28" w:rsidRPr="00F32B28">
        <w:rPr>
          <w:rtl/>
          <w:lang w:bidi="ar-LB"/>
        </w:rPr>
        <w:t>2012</w:t>
      </w:r>
      <w:r w:rsidR="00F32B28">
        <w:rPr>
          <w:rtl/>
          <w:lang w:bidi="ar-LB"/>
        </w:rPr>
        <w:t xml:space="preserve"> </w:t>
      </w:r>
      <w:r w:rsidR="00F32B28" w:rsidRPr="00F32B28">
        <w:rPr>
          <w:rtl/>
          <w:lang w:bidi="ar-LB"/>
        </w:rPr>
        <w:t>الصادر</w:t>
      </w:r>
      <w:r w:rsidR="00F32B28">
        <w:rPr>
          <w:rtl/>
          <w:lang w:bidi="ar-LB"/>
        </w:rPr>
        <w:t xml:space="preserve"> </w:t>
      </w:r>
      <w:r w:rsidR="00F32B28" w:rsidRPr="00F32B28">
        <w:rPr>
          <w:rtl/>
          <w:lang w:bidi="ar-LB"/>
        </w:rPr>
        <w:t>عن</w:t>
      </w:r>
      <w:r w:rsidR="00F32B28">
        <w:rPr>
          <w:rtl/>
          <w:lang w:bidi="ar-LB"/>
        </w:rPr>
        <w:t xml:space="preserve"> </w:t>
      </w:r>
      <w:r w:rsidR="00F32B28" w:rsidRPr="00F32B28">
        <w:rPr>
          <w:rtl/>
          <w:lang w:bidi="ar-LB"/>
        </w:rPr>
        <w:t>ديوان</w:t>
      </w:r>
      <w:r w:rsidR="00F32B28">
        <w:rPr>
          <w:rtl/>
          <w:lang w:bidi="ar-LB"/>
        </w:rPr>
        <w:t xml:space="preserve"> </w:t>
      </w:r>
      <w:r w:rsidR="00F32B28" w:rsidRPr="00F32B28">
        <w:rPr>
          <w:rtl/>
          <w:lang w:bidi="ar-LB"/>
        </w:rPr>
        <w:t>قاضي</w:t>
      </w:r>
      <w:r w:rsidR="00F32B28">
        <w:rPr>
          <w:rtl/>
          <w:lang w:bidi="ar-LB"/>
        </w:rPr>
        <w:t xml:space="preserve"> </w:t>
      </w:r>
      <w:r w:rsidR="00F32B28" w:rsidRPr="00F32B28">
        <w:rPr>
          <w:rtl/>
          <w:lang w:bidi="ar-LB"/>
        </w:rPr>
        <w:t>القضاة</w:t>
      </w:r>
      <w:r w:rsidR="00F32B28">
        <w:rPr>
          <w:rtl/>
          <w:lang w:bidi="ar-LB"/>
        </w:rPr>
        <w:t xml:space="preserve"> </w:t>
      </w:r>
      <w:r w:rsidR="00F32B28" w:rsidRPr="00F32B28">
        <w:rPr>
          <w:rtl/>
          <w:lang w:bidi="ar-LB"/>
        </w:rPr>
        <w:t>الشرعي.</w:t>
      </w:r>
      <w:r w:rsidR="00F32B28">
        <w:rPr>
          <w:rtl/>
          <w:lang w:bidi="ar-LB"/>
        </w:rPr>
        <w:t xml:space="preserve"> </w:t>
      </w:r>
    </w:p>
    <w:p w:rsidR="00F32B28" w:rsidRPr="00F32B28" w:rsidRDefault="00565595" w:rsidP="00565595">
      <w:pPr>
        <w:pStyle w:val="SingleTxt"/>
        <w:rPr>
          <w:rtl/>
          <w:lang w:bidi="ar-JO"/>
        </w:rPr>
      </w:pPr>
      <w:r>
        <w:rPr>
          <w:rFonts w:hint="cs"/>
          <w:rtl/>
          <w:lang w:bidi="ar-LB"/>
        </w:rPr>
        <w:t xml:space="preserve">341 - </w:t>
      </w:r>
      <w:r w:rsidR="00F32B28" w:rsidRPr="00F32B28">
        <w:rPr>
          <w:rtl/>
          <w:lang w:bidi="ar-LB"/>
        </w:rPr>
        <w:t>كما</w:t>
      </w:r>
      <w:r w:rsidR="00F32B28">
        <w:rPr>
          <w:rtl/>
          <w:lang w:bidi="ar-LB"/>
        </w:rPr>
        <w:t xml:space="preserve"> </w:t>
      </w:r>
      <w:r w:rsidR="00F32B28" w:rsidRPr="00F32B28">
        <w:rPr>
          <w:rtl/>
          <w:lang w:bidi="ar-LB"/>
        </w:rPr>
        <w:t>يحق</w:t>
      </w:r>
      <w:r w:rsidR="00F32B28">
        <w:rPr>
          <w:rtl/>
          <w:lang w:bidi="ar-LB"/>
        </w:rPr>
        <w:t xml:space="preserve"> </w:t>
      </w:r>
      <w:r w:rsidR="00F32B28" w:rsidRPr="00F32B28">
        <w:rPr>
          <w:rtl/>
          <w:lang w:bidi="ar-LB"/>
        </w:rPr>
        <w:t>للمرأة</w:t>
      </w:r>
      <w:r w:rsidR="00F32B28">
        <w:rPr>
          <w:rtl/>
          <w:lang w:bidi="ar-LB"/>
        </w:rPr>
        <w:t xml:space="preserve"> </w:t>
      </w:r>
      <w:r w:rsidR="00F32B28" w:rsidRPr="00F32B28">
        <w:rPr>
          <w:rtl/>
          <w:lang w:bidi="ar-LB"/>
        </w:rPr>
        <w:t>المطالبة</w:t>
      </w:r>
      <w:r w:rsidR="00F32B28">
        <w:rPr>
          <w:rtl/>
          <w:lang w:bidi="ar-LB"/>
        </w:rPr>
        <w:t xml:space="preserve"> </w:t>
      </w:r>
      <w:r w:rsidR="00F32B28" w:rsidRPr="00F32B28">
        <w:rPr>
          <w:rtl/>
          <w:lang w:bidi="ar-LB"/>
        </w:rPr>
        <w:t>أمام</w:t>
      </w:r>
      <w:r w:rsidR="00F32B28">
        <w:rPr>
          <w:rtl/>
          <w:lang w:bidi="ar-LB"/>
        </w:rPr>
        <w:t xml:space="preserve"> </w:t>
      </w:r>
      <w:r w:rsidR="00F32B28" w:rsidRPr="00F32B28">
        <w:rPr>
          <w:rtl/>
          <w:lang w:bidi="ar-LB"/>
        </w:rPr>
        <w:t>القاضي</w:t>
      </w:r>
      <w:r w:rsidR="00F32B28">
        <w:rPr>
          <w:rtl/>
          <w:lang w:bidi="ar-LB"/>
        </w:rPr>
        <w:t xml:space="preserve"> </w:t>
      </w:r>
      <w:r w:rsidR="00F32B28" w:rsidRPr="00F32B28">
        <w:rPr>
          <w:rtl/>
          <w:lang w:bidi="ar-LB"/>
        </w:rPr>
        <w:t>بالتعويض</w:t>
      </w:r>
      <w:r w:rsidR="00F32B28">
        <w:rPr>
          <w:rtl/>
          <w:lang w:bidi="ar-LB"/>
        </w:rPr>
        <w:t xml:space="preserve"> </w:t>
      </w:r>
      <w:r w:rsidR="00F32B28" w:rsidRPr="00F32B28">
        <w:rPr>
          <w:rtl/>
          <w:lang w:bidi="ar-LB"/>
        </w:rPr>
        <w:t>عن</w:t>
      </w:r>
      <w:r w:rsidR="00F32B28">
        <w:rPr>
          <w:rtl/>
          <w:lang w:bidi="ar-LB"/>
        </w:rPr>
        <w:t xml:space="preserve"> </w:t>
      </w:r>
      <w:r w:rsidR="00F32B28" w:rsidRPr="00F32B28">
        <w:rPr>
          <w:rtl/>
          <w:lang w:bidi="ar-LB"/>
        </w:rPr>
        <w:t>الطلاق</w:t>
      </w:r>
      <w:r w:rsidR="00F32B28">
        <w:rPr>
          <w:rtl/>
          <w:lang w:bidi="ar-LB"/>
        </w:rPr>
        <w:t xml:space="preserve"> </w:t>
      </w:r>
      <w:r w:rsidR="00F32B28" w:rsidRPr="00F32B28">
        <w:rPr>
          <w:rtl/>
          <w:lang w:bidi="ar-LB"/>
        </w:rPr>
        <w:t>الذي</w:t>
      </w:r>
      <w:r w:rsidR="00F32B28">
        <w:rPr>
          <w:rtl/>
          <w:lang w:bidi="ar-LB"/>
        </w:rPr>
        <w:t xml:space="preserve"> </w:t>
      </w:r>
      <w:r w:rsidR="00F32B28" w:rsidRPr="00F32B28">
        <w:rPr>
          <w:rtl/>
          <w:lang w:bidi="ar-LB"/>
        </w:rPr>
        <w:t>أوقعه</w:t>
      </w:r>
      <w:r w:rsidR="00F32B28">
        <w:rPr>
          <w:rtl/>
          <w:lang w:bidi="ar-JO"/>
        </w:rPr>
        <w:t xml:space="preserve"> </w:t>
      </w:r>
      <w:r w:rsidR="00F32B28" w:rsidRPr="00F32B28">
        <w:rPr>
          <w:rtl/>
          <w:lang w:bidi="ar-JO"/>
        </w:rPr>
        <w:t>زوجها</w:t>
      </w:r>
      <w:r w:rsidR="00F32B28">
        <w:rPr>
          <w:rtl/>
          <w:lang w:bidi="ar-JO"/>
        </w:rPr>
        <w:t xml:space="preserve"> </w:t>
      </w:r>
      <w:r w:rsidR="00F32B28" w:rsidRPr="00F32B28">
        <w:rPr>
          <w:rtl/>
          <w:lang w:bidi="ar-JO"/>
        </w:rPr>
        <w:t>تعسفاً</w:t>
      </w:r>
      <w:r w:rsidR="00F32B28">
        <w:rPr>
          <w:rtl/>
          <w:lang w:bidi="ar-JO"/>
        </w:rPr>
        <w:t xml:space="preserve"> </w:t>
      </w:r>
      <w:r w:rsidR="00F32B28" w:rsidRPr="00F32B28">
        <w:rPr>
          <w:rtl/>
          <w:lang w:bidi="ar-JO"/>
        </w:rPr>
        <w:t>ولغير</w:t>
      </w:r>
      <w:r w:rsidR="00F32B28">
        <w:rPr>
          <w:rtl/>
          <w:lang w:bidi="ar-JO"/>
        </w:rPr>
        <w:t xml:space="preserve"> </w:t>
      </w:r>
      <w:r w:rsidR="00F32B28" w:rsidRPr="00F32B28">
        <w:rPr>
          <w:rtl/>
          <w:lang w:bidi="ar-JO"/>
        </w:rPr>
        <w:t>سبب</w:t>
      </w:r>
      <w:r w:rsidR="00F32B28">
        <w:rPr>
          <w:rtl/>
          <w:lang w:bidi="ar-JO"/>
        </w:rPr>
        <w:t xml:space="preserve"> </w:t>
      </w:r>
      <w:r w:rsidR="00F32B28" w:rsidRPr="00F32B28">
        <w:rPr>
          <w:rtl/>
          <w:lang w:bidi="ar-JO"/>
        </w:rPr>
        <w:t>معقول،</w:t>
      </w:r>
      <w:r w:rsidR="00F32B28">
        <w:rPr>
          <w:rtl/>
          <w:lang w:bidi="ar-JO"/>
        </w:rPr>
        <w:t xml:space="preserve"> </w:t>
      </w:r>
      <w:r w:rsidR="00F32B28" w:rsidRPr="00F32B28">
        <w:rPr>
          <w:rtl/>
          <w:lang w:bidi="ar-JO"/>
        </w:rPr>
        <w:t>ويُـقدر</w:t>
      </w:r>
      <w:r w:rsidR="00F32B28">
        <w:rPr>
          <w:rtl/>
          <w:lang w:bidi="ar-JO"/>
        </w:rPr>
        <w:t xml:space="preserve"> </w:t>
      </w:r>
      <w:r w:rsidR="00F32B28" w:rsidRPr="00F32B28">
        <w:rPr>
          <w:rtl/>
          <w:lang w:bidi="ar-JO"/>
        </w:rPr>
        <w:t>هذا</w:t>
      </w:r>
      <w:r w:rsidR="00F32B28">
        <w:rPr>
          <w:rtl/>
          <w:lang w:bidi="ar-JO"/>
        </w:rPr>
        <w:t xml:space="preserve"> </w:t>
      </w:r>
      <w:r w:rsidR="00F32B28" w:rsidRPr="00F32B28">
        <w:rPr>
          <w:rtl/>
          <w:lang w:bidi="ar-JO"/>
        </w:rPr>
        <w:t>التعويض</w:t>
      </w:r>
      <w:r w:rsidR="00F32B28">
        <w:rPr>
          <w:rtl/>
          <w:lang w:bidi="ar-JO"/>
        </w:rPr>
        <w:t xml:space="preserve"> </w:t>
      </w:r>
      <w:r w:rsidR="00F32B28" w:rsidRPr="00F32B28">
        <w:rPr>
          <w:rtl/>
          <w:lang w:bidi="ar-JO"/>
        </w:rPr>
        <w:t>بما</w:t>
      </w:r>
      <w:r w:rsidR="00F32B28">
        <w:rPr>
          <w:rtl/>
          <w:lang w:bidi="ar-JO"/>
        </w:rPr>
        <w:t xml:space="preserve"> </w:t>
      </w:r>
      <w:r w:rsidR="00F32B28" w:rsidRPr="00F32B28">
        <w:rPr>
          <w:rtl/>
          <w:lang w:bidi="ar-JO"/>
        </w:rPr>
        <w:t>يراه</w:t>
      </w:r>
      <w:r w:rsidR="00F32B28">
        <w:rPr>
          <w:rtl/>
          <w:lang w:bidi="ar-JO"/>
        </w:rPr>
        <w:t xml:space="preserve"> </w:t>
      </w:r>
      <w:r w:rsidR="00F32B28" w:rsidRPr="00F32B28">
        <w:rPr>
          <w:rtl/>
          <w:lang w:bidi="ar-JO"/>
        </w:rPr>
        <w:t>القاضي</w:t>
      </w:r>
      <w:r w:rsidR="00F32B28">
        <w:rPr>
          <w:rtl/>
          <w:lang w:bidi="ar-JO"/>
        </w:rPr>
        <w:t xml:space="preserve"> </w:t>
      </w:r>
      <w:r w:rsidR="00F32B28" w:rsidRPr="00F32B28">
        <w:rPr>
          <w:rtl/>
          <w:lang w:bidi="ar-JO"/>
        </w:rPr>
        <w:t>مناسباً</w:t>
      </w:r>
      <w:r w:rsidR="00F32B28">
        <w:rPr>
          <w:rtl/>
          <w:lang w:bidi="ar-JO"/>
        </w:rPr>
        <w:t xml:space="preserve"> </w:t>
      </w:r>
      <w:r w:rsidR="00F32B28" w:rsidRPr="00F32B28">
        <w:rPr>
          <w:rtl/>
          <w:lang w:bidi="ar-JO"/>
        </w:rPr>
        <w:t>بشرط</w:t>
      </w:r>
      <w:r w:rsidR="00F32B28">
        <w:rPr>
          <w:rtl/>
          <w:lang w:bidi="ar-JO"/>
        </w:rPr>
        <w:t xml:space="preserve"> </w:t>
      </w:r>
      <w:r w:rsidR="00F32B28" w:rsidRPr="00F32B28">
        <w:rPr>
          <w:rtl/>
          <w:lang w:bidi="ar-JO"/>
        </w:rPr>
        <w:t>ألا</w:t>
      </w:r>
      <w:r w:rsidR="00F32B28">
        <w:rPr>
          <w:rtl/>
          <w:lang w:bidi="ar-JO"/>
        </w:rPr>
        <w:t xml:space="preserve"> </w:t>
      </w:r>
      <w:r w:rsidR="00F32B28" w:rsidRPr="00F32B28">
        <w:rPr>
          <w:rtl/>
          <w:lang w:bidi="ar-JO"/>
        </w:rPr>
        <w:t>يتجاوز</w:t>
      </w:r>
      <w:r w:rsidR="00F32B28">
        <w:rPr>
          <w:rtl/>
          <w:lang w:bidi="ar-JO"/>
        </w:rPr>
        <w:t xml:space="preserve"> </w:t>
      </w:r>
      <w:r w:rsidR="00F32B28" w:rsidRPr="00F32B28">
        <w:rPr>
          <w:rtl/>
          <w:lang w:bidi="ar-JO"/>
        </w:rPr>
        <w:t>مقدار</w:t>
      </w:r>
      <w:r w:rsidR="00F32B28">
        <w:rPr>
          <w:rtl/>
          <w:lang w:bidi="ar-JO"/>
        </w:rPr>
        <w:t xml:space="preserve"> </w:t>
      </w:r>
      <w:r w:rsidR="00F32B28" w:rsidRPr="00F32B28">
        <w:rPr>
          <w:rtl/>
          <w:lang w:bidi="ar-JO"/>
        </w:rPr>
        <w:t>نفقتها</w:t>
      </w:r>
      <w:r w:rsidR="00F32B28">
        <w:rPr>
          <w:rtl/>
          <w:lang w:bidi="ar-JO"/>
        </w:rPr>
        <w:t xml:space="preserve"> </w:t>
      </w:r>
      <w:r w:rsidR="00F32B28" w:rsidRPr="00F32B28">
        <w:rPr>
          <w:rtl/>
          <w:lang w:bidi="ar-JO"/>
        </w:rPr>
        <w:t>عن</w:t>
      </w:r>
      <w:r w:rsidR="00F32B28">
        <w:rPr>
          <w:rtl/>
          <w:lang w:bidi="ar-JO"/>
        </w:rPr>
        <w:t xml:space="preserve"> </w:t>
      </w:r>
      <w:r w:rsidR="00F32B28" w:rsidRPr="00F32B28">
        <w:rPr>
          <w:rtl/>
          <w:lang w:bidi="ar-JO"/>
        </w:rPr>
        <w:t>سنة،</w:t>
      </w:r>
      <w:r w:rsidR="00F32B28">
        <w:rPr>
          <w:rtl/>
          <w:lang w:bidi="ar-JO"/>
        </w:rPr>
        <w:t xml:space="preserve"> </w:t>
      </w:r>
      <w:r w:rsidR="00F32B28" w:rsidRPr="00F32B28">
        <w:rPr>
          <w:rtl/>
          <w:lang w:bidi="ar-JO"/>
        </w:rPr>
        <w:t>ولا</w:t>
      </w:r>
      <w:r w:rsidR="00F32B28">
        <w:rPr>
          <w:rtl/>
          <w:lang w:bidi="ar-JO"/>
        </w:rPr>
        <w:t xml:space="preserve"> </w:t>
      </w:r>
      <w:r w:rsidR="00F32B28" w:rsidRPr="00F32B28">
        <w:rPr>
          <w:rtl/>
          <w:lang w:bidi="ar-JO"/>
        </w:rPr>
        <w:t>يؤثر</w:t>
      </w:r>
      <w:r w:rsidR="00F32B28">
        <w:rPr>
          <w:rtl/>
          <w:lang w:bidi="ar-JO"/>
        </w:rPr>
        <w:t xml:space="preserve"> </w:t>
      </w:r>
      <w:r w:rsidR="00F32B28" w:rsidRPr="00F32B28">
        <w:rPr>
          <w:rtl/>
          <w:lang w:bidi="ar-JO"/>
        </w:rPr>
        <w:t>الحكم</w:t>
      </w:r>
      <w:r w:rsidR="00F32B28">
        <w:rPr>
          <w:rtl/>
          <w:lang w:bidi="ar-JO"/>
        </w:rPr>
        <w:t xml:space="preserve"> </w:t>
      </w:r>
      <w:r w:rsidR="00F32B28" w:rsidRPr="00F32B28">
        <w:rPr>
          <w:rtl/>
          <w:lang w:bidi="ar-JO"/>
        </w:rPr>
        <w:t>بالتعويض</w:t>
      </w:r>
      <w:r w:rsidR="00F32B28">
        <w:rPr>
          <w:rtl/>
          <w:lang w:bidi="ar-JO"/>
        </w:rPr>
        <w:t xml:space="preserve"> </w:t>
      </w:r>
      <w:r w:rsidR="00F32B28" w:rsidRPr="00F32B28">
        <w:rPr>
          <w:rtl/>
          <w:lang w:bidi="ar-JO"/>
        </w:rPr>
        <w:t>على</w:t>
      </w:r>
      <w:r w:rsidR="00F32B28">
        <w:rPr>
          <w:rtl/>
          <w:lang w:bidi="ar-JO"/>
        </w:rPr>
        <w:t xml:space="preserve"> </w:t>
      </w:r>
      <w:r w:rsidR="00F32B28" w:rsidRPr="00F32B28">
        <w:rPr>
          <w:rtl/>
          <w:lang w:bidi="ar-JO"/>
        </w:rPr>
        <w:t>باقي</w:t>
      </w:r>
      <w:r w:rsidR="00F32B28">
        <w:rPr>
          <w:rtl/>
          <w:lang w:bidi="ar-JO"/>
        </w:rPr>
        <w:t xml:space="preserve"> </w:t>
      </w:r>
      <w:r w:rsidR="00F32B28" w:rsidRPr="00F32B28">
        <w:rPr>
          <w:rtl/>
          <w:lang w:bidi="ar-JO"/>
        </w:rPr>
        <w:t>الحقوق</w:t>
      </w:r>
      <w:r w:rsidR="00F32B28">
        <w:rPr>
          <w:rtl/>
          <w:lang w:bidi="ar-JO"/>
        </w:rPr>
        <w:t xml:space="preserve"> </w:t>
      </w:r>
      <w:r w:rsidR="00F32B28" w:rsidRPr="00F32B28">
        <w:rPr>
          <w:rtl/>
          <w:lang w:bidi="ar-JO"/>
        </w:rPr>
        <w:t>الزوجية</w:t>
      </w:r>
      <w:r>
        <w:rPr>
          <w:rFonts w:hint="cs"/>
          <w:rtl/>
          <w:lang w:bidi="ar-JO"/>
        </w:rPr>
        <w:t xml:space="preserve"> </w:t>
      </w:r>
      <w:r w:rsidR="00F32B28" w:rsidRPr="00F32B28">
        <w:rPr>
          <w:rtl/>
          <w:lang w:bidi="ar-JO"/>
        </w:rPr>
        <w:t>الأخرى</w:t>
      </w:r>
      <w:r w:rsidR="00F32B28">
        <w:rPr>
          <w:rtl/>
          <w:lang w:bidi="ar-JO"/>
        </w:rPr>
        <w:t xml:space="preserve"> </w:t>
      </w:r>
      <w:r w:rsidR="00F32B28" w:rsidRPr="00F32B28">
        <w:rPr>
          <w:rtl/>
          <w:lang w:bidi="ar-JO"/>
        </w:rPr>
        <w:t>للمطلقة</w:t>
      </w:r>
      <w:r w:rsidR="00F32B28">
        <w:rPr>
          <w:rtl/>
          <w:lang w:bidi="ar-JO"/>
        </w:rPr>
        <w:t xml:space="preserve"> </w:t>
      </w:r>
      <w:r w:rsidR="00F32B28" w:rsidRPr="00F32B28">
        <w:rPr>
          <w:rtl/>
          <w:lang w:bidi="ar-JO"/>
        </w:rPr>
        <w:t>بما</w:t>
      </w:r>
      <w:r w:rsidR="00F32B28">
        <w:rPr>
          <w:rtl/>
          <w:lang w:bidi="ar-JO"/>
        </w:rPr>
        <w:t xml:space="preserve"> </w:t>
      </w:r>
      <w:r w:rsidR="00F32B28" w:rsidRPr="00F32B28">
        <w:rPr>
          <w:rtl/>
          <w:lang w:bidi="ar-JO"/>
        </w:rPr>
        <w:t>فيها</w:t>
      </w:r>
      <w:r w:rsidR="00F32B28">
        <w:rPr>
          <w:rtl/>
          <w:lang w:bidi="ar-JO"/>
        </w:rPr>
        <w:t xml:space="preserve"> </w:t>
      </w:r>
      <w:r w:rsidR="00F32B28" w:rsidRPr="00F32B28">
        <w:rPr>
          <w:rtl/>
          <w:lang w:bidi="ar-JO"/>
        </w:rPr>
        <w:t>نفقة</w:t>
      </w:r>
      <w:r w:rsidR="00F32B28">
        <w:rPr>
          <w:rtl/>
          <w:lang w:bidi="ar-JO"/>
        </w:rPr>
        <w:t xml:space="preserve"> </w:t>
      </w:r>
      <w:r w:rsidR="00F32B28" w:rsidRPr="00F32B28">
        <w:rPr>
          <w:rtl/>
          <w:lang w:bidi="ar-JO"/>
        </w:rPr>
        <w:t>العدة.</w:t>
      </w:r>
      <w:r w:rsidR="00F32B28">
        <w:rPr>
          <w:rtl/>
          <w:lang w:bidi="ar-JO"/>
        </w:rPr>
        <w:t xml:space="preserve"> </w:t>
      </w:r>
    </w:p>
    <w:p w:rsidR="00565595" w:rsidRPr="00565595" w:rsidRDefault="00565595" w:rsidP="00565595">
      <w:pPr>
        <w:pStyle w:val="SingleTxt"/>
        <w:spacing w:after="0" w:line="120" w:lineRule="exact"/>
        <w:rPr>
          <w:b/>
          <w:bCs/>
          <w:sz w:val="10"/>
          <w:rtl/>
          <w:lang w:bidi="ar-SY"/>
        </w:rPr>
      </w:pPr>
    </w:p>
    <w:p w:rsidR="00F32B28" w:rsidRPr="00F32B28" w:rsidRDefault="00F32B28" w:rsidP="00F32B28">
      <w:pPr>
        <w:pStyle w:val="SingleTxt"/>
        <w:rPr>
          <w:b/>
          <w:bCs/>
          <w:rtl/>
          <w:lang w:bidi="ar-SY"/>
        </w:rPr>
      </w:pPr>
      <w:r w:rsidRPr="00F32B28">
        <w:rPr>
          <w:b/>
          <w:bCs/>
          <w:rtl/>
          <w:lang w:bidi="ar-SY"/>
        </w:rPr>
        <w:t>الحضانة</w:t>
      </w:r>
    </w:p>
    <w:p w:rsidR="00F32B28" w:rsidRPr="00F32B28" w:rsidRDefault="00565595" w:rsidP="00565595">
      <w:pPr>
        <w:pStyle w:val="SingleTxt"/>
      </w:pPr>
      <w:r>
        <w:rPr>
          <w:rFonts w:hint="cs"/>
          <w:rtl/>
          <w:lang w:bidi="ar-SY"/>
        </w:rPr>
        <w:t xml:space="preserve">342 - </w:t>
      </w:r>
      <w:r w:rsidR="00F32B28" w:rsidRPr="00F32B28">
        <w:rPr>
          <w:rtl/>
          <w:lang w:bidi="ar-SY"/>
        </w:rPr>
        <w:t>أعطت</w:t>
      </w:r>
      <w:r w:rsidR="00F32B28">
        <w:rPr>
          <w:rtl/>
          <w:lang w:bidi="ar-SY"/>
        </w:rPr>
        <w:t xml:space="preserve"> </w:t>
      </w:r>
      <w:r w:rsidR="00F32B28" w:rsidRPr="00F32B28">
        <w:rPr>
          <w:rtl/>
          <w:lang w:bidi="ar-SY"/>
        </w:rPr>
        <w:t>تشريعات</w:t>
      </w:r>
      <w:r w:rsidR="00F32B28">
        <w:rPr>
          <w:rtl/>
          <w:lang w:bidi="ar-SY"/>
        </w:rPr>
        <w:t xml:space="preserve"> </w:t>
      </w:r>
      <w:r w:rsidR="00F32B28" w:rsidRPr="00F32B28">
        <w:rPr>
          <w:rtl/>
          <w:lang w:bidi="ar-SY"/>
        </w:rPr>
        <w:t>الأحوال</w:t>
      </w:r>
      <w:r w:rsidR="00F32B28">
        <w:rPr>
          <w:rtl/>
          <w:lang w:bidi="ar-SY"/>
        </w:rPr>
        <w:t xml:space="preserve"> </w:t>
      </w:r>
      <w:r w:rsidR="00F32B28" w:rsidRPr="00F32B28">
        <w:rPr>
          <w:rtl/>
          <w:lang w:bidi="ar-SY"/>
        </w:rPr>
        <w:t>الشخصية</w:t>
      </w:r>
      <w:r w:rsidR="00F32B28">
        <w:rPr>
          <w:rtl/>
          <w:lang w:bidi="ar-SY"/>
        </w:rPr>
        <w:t xml:space="preserve"> </w:t>
      </w:r>
      <w:r w:rsidR="00F32B28" w:rsidRPr="00F32B28">
        <w:rPr>
          <w:rtl/>
          <w:lang w:bidi="ar-SY"/>
        </w:rPr>
        <w:t>للمسلمين</w:t>
      </w:r>
      <w:r w:rsidR="00F32B28">
        <w:rPr>
          <w:rtl/>
          <w:lang w:bidi="ar-SY"/>
        </w:rPr>
        <w:t xml:space="preserve"> </w:t>
      </w:r>
      <w:r w:rsidR="00F32B28" w:rsidRPr="00F32B28">
        <w:rPr>
          <w:rtl/>
          <w:lang w:bidi="ar-SY"/>
        </w:rPr>
        <w:t>الحق</w:t>
      </w:r>
      <w:r w:rsidR="00F32B28">
        <w:rPr>
          <w:rtl/>
          <w:lang w:bidi="ar-SY"/>
        </w:rPr>
        <w:t xml:space="preserve"> </w:t>
      </w:r>
      <w:r w:rsidR="00F32B28" w:rsidRPr="00F32B28">
        <w:rPr>
          <w:rtl/>
          <w:lang w:bidi="ar-SY"/>
        </w:rPr>
        <w:t>للمرأة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حضانة</w:t>
      </w:r>
      <w:r w:rsidR="00F32B28">
        <w:rPr>
          <w:rtl/>
          <w:lang w:bidi="ar-SY"/>
        </w:rPr>
        <w:t xml:space="preserve"> </w:t>
      </w:r>
      <w:r w:rsidR="00F32B28" w:rsidRPr="00F32B28">
        <w:rPr>
          <w:rtl/>
          <w:lang w:bidi="ar-SY"/>
        </w:rPr>
        <w:t>أولادها،</w:t>
      </w:r>
      <w:r w:rsidR="00F32B28">
        <w:rPr>
          <w:rtl/>
          <w:lang w:bidi="ar-SY"/>
        </w:rPr>
        <w:t xml:space="preserve"> </w:t>
      </w:r>
      <w:r w:rsidR="00F32B28" w:rsidRPr="00F32B28">
        <w:rPr>
          <w:rtl/>
          <w:lang w:bidi="ar-SY"/>
        </w:rPr>
        <w:t>سواء</w:t>
      </w:r>
      <w:r w:rsidR="00F32B28">
        <w:rPr>
          <w:rtl/>
          <w:lang w:bidi="ar-SY"/>
        </w:rPr>
        <w:t xml:space="preserve"> </w:t>
      </w:r>
      <w:r w:rsidR="00F32B28" w:rsidRPr="00F32B28">
        <w:rPr>
          <w:rtl/>
          <w:lang w:bidi="ar-SY"/>
        </w:rPr>
        <w:t>كانت</w:t>
      </w:r>
      <w:r w:rsidR="00F32B28">
        <w:rPr>
          <w:rtl/>
          <w:lang w:bidi="ar-SY"/>
        </w:rPr>
        <w:t xml:space="preserve"> </w:t>
      </w:r>
      <w:r w:rsidR="00F32B28" w:rsidRPr="00F32B28">
        <w:rPr>
          <w:rtl/>
          <w:lang w:bidi="ar-SY"/>
        </w:rPr>
        <w:t>زوجة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مطلقة،</w:t>
      </w:r>
      <w:r w:rsidR="00F32B28">
        <w:rPr>
          <w:rtl/>
          <w:lang w:bidi="ar-SY"/>
        </w:rPr>
        <w:t xml:space="preserve"> </w:t>
      </w:r>
      <w:r w:rsidR="00F32B28" w:rsidRPr="00F32B28">
        <w:rPr>
          <w:rtl/>
          <w:lang w:bidi="ar-SY"/>
        </w:rPr>
        <w:t>وسواء</w:t>
      </w:r>
      <w:r w:rsidR="00F32B28">
        <w:rPr>
          <w:rtl/>
          <w:lang w:bidi="ar-SY"/>
        </w:rPr>
        <w:t xml:space="preserve"> </w:t>
      </w:r>
      <w:r w:rsidR="00F32B28" w:rsidRPr="00F32B28">
        <w:rPr>
          <w:rtl/>
          <w:lang w:bidi="ar-SY"/>
        </w:rPr>
        <w:t>كان</w:t>
      </w:r>
      <w:r w:rsidR="00F32B28">
        <w:rPr>
          <w:rtl/>
          <w:lang w:bidi="ar-SY"/>
        </w:rPr>
        <w:t xml:space="preserve"> </w:t>
      </w:r>
      <w:r w:rsidR="00F32B28" w:rsidRPr="00F32B28">
        <w:rPr>
          <w:rtl/>
          <w:lang w:bidi="ar-SY"/>
        </w:rPr>
        <w:t>أولادها</w:t>
      </w:r>
      <w:r w:rsidR="00F32B28">
        <w:rPr>
          <w:rtl/>
          <w:lang w:bidi="ar-SY"/>
        </w:rPr>
        <w:t xml:space="preserve"> </w:t>
      </w:r>
      <w:r w:rsidR="00F32B28" w:rsidRPr="00F32B28">
        <w:rPr>
          <w:rtl/>
          <w:lang w:bidi="ar-SY"/>
        </w:rPr>
        <w:t>ذكوراً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إناثاً،</w:t>
      </w:r>
      <w:r w:rsidR="00F32B28">
        <w:rPr>
          <w:rtl/>
          <w:lang w:bidi="ar-SY"/>
        </w:rPr>
        <w:t xml:space="preserve"> </w:t>
      </w:r>
      <w:r w:rsidR="00F32B28" w:rsidRPr="00F32B28">
        <w:rPr>
          <w:rtl/>
          <w:lang w:bidi="ar-SY"/>
        </w:rPr>
        <w:t>طالما</w:t>
      </w:r>
      <w:r w:rsidR="00F32B28">
        <w:rPr>
          <w:rtl/>
          <w:lang w:bidi="ar-SY"/>
        </w:rPr>
        <w:t xml:space="preserve"> </w:t>
      </w:r>
      <w:r w:rsidR="00F32B28" w:rsidRPr="00F32B28">
        <w:rPr>
          <w:rtl/>
          <w:lang w:bidi="ar-SY"/>
        </w:rPr>
        <w:t>كانت</w:t>
      </w:r>
      <w:r w:rsidR="00F32B28">
        <w:rPr>
          <w:rtl/>
          <w:lang w:bidi="ar-SY"/>
        </w:rPr>
        <w:t xml:space="preserve"> </w:t>
      </w:r>
      <w:r w:rsidR="00F32B28" w:rsidRPr="00F32B28">
        <w:rPr>
          <w:rtl/>
          <w:lang w:bidi="ar-SY"/>
        </w:rPr>
        <w:t>أهل</w:t>
      </w:r>
      <w:r w:rsidR="00F32B28">
        <w:rPr>
          <w:rtl/>
          <w:lang w:bidi="ar-SY"/>
        </w:rPr>
        <w:t xml:space="preserve"> </w:t>
      </w:r>
      <w:r w:rsidR="00F32B28" w:rsidRPr="00F32B28">
        <w:rPr>
          <w:rtl/>
          <w:lang w:bidi="ar-SY"/>
        </w:rPr>
        <w:t>لذلك.</w:t>
      </w:r>
      <w:r w:rsidR="00F32B28">
        <w:rPr>
          <w:rtl/>
          <w:lang w:bidi="ar-SY"/>
        </w:rPr>
        <w:t xml:space="preserve"> </w:t>
      </w:r>
      <w:r w:rsidR="00F32B28" w:rsidRPr="00F32B28">
        <w:rPr>
          <w:rtl/>
          <w:lang w:bidi="ar-SY"/>
        </w:rPr>
        <w:t>وتستمر</w:t>
      </w:r>
      <w:r w:rsidR="00F32B28">
        <w:rPr>
          <w:rtl/>
          <w:lang w:bidi="ar-SY"/>
        </w:rPr>
        <w:t xml:space="preserve"> </w:t>
      </w:r>
      <w:r w:rsidR="00F32B28" w:rsidRPr="00F32B28">
        <w:rPr>
          <w:rtl/>
          <w:lang w:bidi="ar-SY"/>
        </w:rPr>
        <w:t>ولاية</w:t>
      </w:r>
      <w:r w:rsidR="00F32B28">
        <w:rPr>
          <w:rtl/>
          <w:lang w:bidi="ar-SY"/>
        </w:rPr>
        <w:t xml:space="preserve"> </w:t>
      </w:r>
      <w:r w:rsidR="00F32B28" w:rsidRPr="00F32B28">
        <w:rPr>
          <w:rtl/>
          <w:lang w:bidi="ar-SY"/>
        </w:rPr>
        <w:t>الأب</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أولاده</w:t>
      </w:r>
      <w:r w:rsidR="00F32B28">
        <w:rPr>
          <w:rtl/>
          <w:lang w:bidi="ar-SY"/>
        </w:rPr>
        <w:t xml:space="preserve"> </w:t>
      </w:r>
      <w:r w:rsidR="00F32B28" w:rsidRPr="00F32B28">
        <w:rPr>
          <w:rtl/>
          <w:lang w:bidi="ar-SY"/>
        </w:rPr>
        <w:t>طوال</w:t>
      </w:r>
      <w:r w:rsidR="00F32B28">
        <w:rPr>
          <w:rtl/>
          <w:lang w:bidi="ar-SY"/>
        </w:rPr>
        <w:t xml:space="preserve"> </w:t>
      </w:r>
      <w:r w:rsidR="00F32B28" w:rsidRPr="00F32B28">
        <w:rPr>
          <w:rtl/>
          <w:lang w:bidi="ar-SY"/>
        </w:rPr>
        <w:t>مدة</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وكذلك</w:t>
      </w:r>
      <w:r w:rsidR="00F32B28">
        <w:rPr>
          <w:rtl/>
          <w:lang w:bidi="ar-SY"/>
        </w:rPr>
        <w:t xml:space="preserve"> </w:t>
      </w:r>
      <w:r w:rsidR="00F32B28" w:rsidRPr="00F32B28">
        <w:rPr>
          <w:rtl/>
          <w:lang w:bidi="ar-SY"/>
        </w:rPr>
        <w:t>التزامه</w:t>
      </w:r>
      <w:r w:rsidR="00F32B28">
        <w:rPr>
          <w:rtl/>
          <w:lang w:bidi="ar-SY"/>
        </w:rPr>
        <w:t xml:space="preserve"> </w:t>
      </w:r>
      <w:r w:rsidR="00F32B28" w:rsidRPr="00F32B28">
        <w:rPr>
          <w:rtl/>
          <w:lang w:bidi="ar-SY"/>
        </w:rPr>
        <w:t>بالإنفاق</w:t>
      </w:r>
      <w:r w:rsidR="00F32B28">
        <w:rPr>
          <w:rtl/>
          <w:lang w:bidi="ar-SY"/>
        </w:rPr>
        <w:t xml:space="preserve"> </w:t>
      </w:r>
      <w:r w:rsidR="00F32B28" w:rsidRPr="00F32B28">
        <w:rPr>
          <w:rtl/>
          <w:lang w:bidi="ar-SY"/>
        </w:rPr>
        <w:t>عليهم،</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يلتزم</w:t>
      </w:r>
      <w:r w:rsidR="00F32B28">
        <w:rPr>
          <w:rtl/>
          <w:lang w:bidi="ar-SY"/>
        </w:rPr>
        <w:t xml:space="preserve"> </w:t>
      </w:r>
      <w:r w:rsidR="00F32B28" w:rsidRPr="00F32B28">
        <w:rPr>
          <w:rtl/>
          <w:lang w:bidi="ar-SY"/>
        </w:rPr>
        <w:t>بدفع</w:t>
      </w:r>
      <w:r w:rsidR="00F32B28">
        <w:rPr>
          <w:rtl/>
          <w:lang w:bidi="ar-SY"/>
        </w:rPr>
        <w:t xml:space="preserve"> </w:t>
      </w:r>
      <w:r w:rsidR="00F32B28" w:rsidRPr="00F32B28">
        <w:rPr>
          <w:rtl/>
          <w:lang w:bidi="ar-SY"/>
        </w:rPr>
        <w:t>أجرة</w:t>
      </w:r>
      <w:r w:rsidR="00F32B28">
        <w:rPr>
          <w:rtl/>
          <w:lang w:bidi="ar-SY"/>
        </w:rPr>
        <w:t xml:space="preserve"> </w:t>
      </w:r>
      <w:r w:rsidR="00F32B28" w:rsidRPr="00F32B28">
        <w:rPr>
          <w:rtl/>
          <w:lang w:bidi="ar-SY"/>
        </w:rPr>
        <w:t>مسكن</w:t>
      </w:r>
      <w:r w:rsidR="00F32B28">
        <w:rPr>
          <w:rtl/>
          <w:lang w:bidi="ar-SY"/>
        </w:rPr>
        <w:t xml:space="preserve"> </w:t>
      </w:r>
      <w:r w:rsidR="00F32B28" w:rsidRPr="00F32B28">
        <w:rPr>
          <w:rtl/>
          <w:lang w:bidi="ar-SY"/>
        </w:rPr>
        <w:t>حضانة،</w:t>
      </w:r>
      <w:r w:rsidR="00F32B28">
        <w:rPr>
          <w:rtl/>
          <w:lang w:bidi="ar-SY"/>
        </w:rPr>
        <w:t xml:space="preserve"> </w:t>
      </w:r>
      <w:r w:rsidR="00F32B28" w:rsidRPr="00F32B28">
        <w:rPr>
          <w:rtl/>
          <w:lang w:bidi="ar-SY"/>
        </w:rPr>
        <w:t>وأجرة</w:t>
      </w:r>
      <w:r w:rsidR="00F32B28">
        <w:rPr>
          <w:rtl/>
          <w:lang w:bidi="ar-SY"/>
        </w:rPr>
        <w:t xml:space="preserve"> </w:t>
      </w:r>
      <w:r w:rsidR="00F32B28" w:rsidRPr="00F32B28">
        <w:rPr>
          <w:rtl/>
          <w:lang w:bidi="ar-SY"/>
        </w:rPr>
        <w:t>حضانة</w:t>
      </w:r>
      <w:r w:rsidR="00F32B28">
        <w:rPr>
          <w:rtl/>
          <w:lang w:bidi="ar-SY"/>
        </w:rPr>
        <w:t xml:space="preserve"> </w:t>
      </w:r>
      <w:r w:rsidR="00F32B28" w:rsidRPr="00F32B28">
        <w:rPr>
          <w:rtl/>
          <w:lang w:bidi="ar-SY"/>
        </w:rPr>
        <w:t>للحاضنة</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عدا</w:t>
      </w:r>
      <w:r w:rsidR="00F32B28">
        <w:rPr>
          <w:rtl/>
          <w:lang w:bidi="ar-SY"/>
        </w:rPr>
        <w:t xml:space="preserve"> </w:t>
      </w:r>
      <w:r w:rsidR="00F32B28" w:rsidRPr="00F32B28">
        <w:rPr>
          <w:rtl/>
          <w:lang w:bidi="ar-SY"/>
        </w:rPr>
        <w:t>للأم</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قيام</w:t>
      </w:r>
      <w:r w:rsidR="00F32B28">
        <w:rPr>
          <w:rtl/>
          <w:lang w:bidi="ar-SY"/>
        </w:rPr>
        <w:t xml:space="preserve"> </w:t>
      </w:r>
      <w:r w:rsidR="00F32B28" w:rsidRPr="00F32B28">
        <w:rPr>
          <w:rtl/>
          <w:lang w:bidi="ar-SY"/>
        </w:rPr>
        <w:t>الزوجية</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عدة</w:t>
      </w:r>
      <w:r w:rsidR="00F32B28">
        <w:rPr>
          <w:rtl/>
          <w:lang w:bidi="ar-SY"/>
        </w:rPr>
        <w:t xml:space="preserve"> </w:t>
      </w:r>
      <w:r w:rsidR="00F32B28" w:rsidRPr="00F32B28">
        <w:rPr>
          <w:rtl/>
          <w:lang w:bidi="ar-SY"/>
        </w:rPr>
        <w:t>الطلاق</w:t>
      </w:r>
      <w:r w:rsidR="00F32B28">
        <w:rPr>
          <w:rtl/>
          <w:lang w:bidi="ar-SY"/>
        </w:rPr>
        <w:t xml:space="preserve"> </w:t>
      </w:r>
      <w:r w:rsidR="00F32B28" w:rsidRPr="00F32B28">
        <w:rPr>
          <w:rtl/>
          <w:lang w:bidi="ar-SY"/>
        </w:rPr>
        <w:t>الرجعي).</w:t>
      </w:r>
    </w:p>
    <w:p w:rsidR="00F32B28" w:rsidRPr="00F32B28" w:rsidRDefault="00565595" w:rsidP="00164771">
      <w:pPr>
        <w:pStyle w:val="SingleTxt"/>
        <w:rPr>
          <w:rtl/>
          <w:lang w:bidi="ar-SY"/>
        </w:rPr>
      </w:pPr>
      <w:r>
        <w:rPr>
          <w:rFonts w:hint="cs"/>
          <w:rtl/>
          <w:lang w:bidi="ar-SY"/>
        </w:rPr>
        <w:t>34</w:t>
      </w:r>
      <w:r w:rsidR="00164771">
        <w:rPr>
          <w:rFonts w:hint="cs"/>
          <w:rtl/>
          <w:lang w:bidi="ar-SY"/>
        </w:rPr>
        <w:t>3</w:t>
      </w:r>
      <w:r>
        <w:rPr>
          <w:rFonts w:hint="cs"/>
          <w:rtl/>
          <w:lang w:bidi="ar-SY"/>
        </w:rPr>
        <w:t xml:space="preserve"> - </w:t>
      </w:r>
      <w:r w:rsidR="00F32B28" w:rsidRPr="00F32B28">
        <w:rPr>
          <w:rtl/>
          <w:lang w:bidi="ar-SY"/>
        </w:rPr>
        <w:t>وينتقل</w:t>
      </w:r>
      <w:r w:rsidR="00F32B28">
        <w:rPr>
          <w:rtl/>
          <w:lang w:bidi="ar-SY"/>
        </w:rPr>
        <w:t xml:space="preserve"> </w:t>
      </w:r>
      <w:r w:rsidR="00F32B28" w:rsidRPr="00F32B28">
        <w:rPr>
          <w:rtl/>
          <w:lang w:bidi="ar-SY"/>
        </w:rPr>
        <w:t>الحق</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بعد</w:t>
      </w:r>
      <w:r w:rsidR="00F32B28">
        <w:rPr>
          <w:rtl/>
          <w:lang w:bidi="ar-SY"/>
        </w:rPr>
        <w:t xml:space="preserve"> </w:t>
      </w:r>
      <w:r w:rsidR="00F32B28" w:rsidRPr="00F32B28">
        <w:rPr>
          <w:rtl/>
          <w:lang w:bidi="ar-SY"/>
        </w:rPr>
        <w:t>الأم</w:t>
      </w:r>
      <w:r w:rsidR="00F32B28">
        <w:rPr>
          <w:rtl/>
          <w:lang w:bidi="ar-SY"/>
        </w:rPr>
        <w:t xml:space="preserve"> </w:t>
      </w:r>
      <w:r w:rsidR="00F32B28" w:rsidRPr="00F32B28">
        <w:rPr>
          <w:rtl/>
          <w:lang w:bidi="ar-SY"/>
        </w:rPr>
        <w:t>لمن</w:t>
      </w:r>
      <w:r w:rsidR="00F32B28">
        <w:rPr>
          <w:rtl/>
          <w:lang w:bidi="ar-SY"/>
        </w:rPr>
        <w:t xml:space="preserve"> </w:t>
      </w:r>
      <w:r w:rsidR="00F32B28" w:rsidRPr="00F32B28">
        <w:rPr>
          <w:rtl/>
          <w:lang w:bidi="ar-SY"/>
        </w:rPr>
        <w:t>تليها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حسب</w:t>
      </w:r>
      <w:r w:rsidR="00F32B28">
        <w:rPr>
          <w:rtl/>
          <w:lang w:bidi="ar-SY"/>
        </w:rPr>
        <w:t xml:space="preserve"> </w:t>
      </w:r>
      <w:r w:rsidR="00F32B28" w:rsidRPr="00F32B28">
        <w:rPr>
          <w:rtl/>
          <w:lang w:bidi="ar-SY"/>
        </w:rPr>
        <w:t>الترتيب</w:t>
      </w:r>
      <w:r w:rsidR="00F32B28">
        <w:rPr>
          <w:rtl/>
          <w:lang w:bidi="ar-SY"/>
        </w:rPr>
        <w:t xml:space="preserve"> </w:t>
      </w:r>
      <w:r w:rsidR="00F32B28" w:rsidRPr="00F32B28">
        <w:rPr>
          <w:rtl/>
          <w:lang w:bidi="ar-SY"/>
        </w:rPr>
        <w:t>المنصوص</w:t>
      </w:r>
      <w:r w:rsidR="00F32B28">
        <w:rPr>
          <w:rtl/>
          <w:lang w:bidi="ar-SY"/>
        </w:rPr>
        <w:t xml:space="preserve"> </w:t>
      </w:r>
      <w:r w:rsidR="00F32B28" w:rsidRPr="00F32B28">
        <w:rPr>
          <w:rtl/>
          <w:lang w:bidi="ar-SY"/>
        </w:rPr>
        <w:t>عليه</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المذهب</w:t>
      </w:r>
      <w:r w:rsidR="00F32B28">
        <w:rPr>
          <w:rtl/>
          <w:lang w:bidi="ar-SY"/>
        </w:rPr>
        <w:t xml:space="preserve"> </w:t>
      </w:r>
      <w:r w:rsidR="00F32B28" w:rsidRPr="00F32B28">
        <w:rPr>
          <w:rtl/>
          <w:lang w:bidi="ar-SY"/>
        </w:rPr>
        <w:t>الحنفي؛</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الجدة</w:t>
      </w:r>
      <w:r w:rsidR="00F32B28">
        <w:rPr>
          <w:rtl/>
          <w:lang w:bidi="ar-SY"/>
        </w:rPr>
        <w:t xml:space="preserve"> </w:t>
      </w:r>
      <w:r w:rsidR="00F32B28" w:rsidRPr="00F32B28">
        <w:rPr>
          <w:rtl/>
          <w:lang w:bidi="ar-SY"/>
        </w:rPr>
        <w:t>لأم</w:t>
      </w:r>
      <w:r w:rsidR="00F32B28">
        <w:rPr>
          <w:rtl/>
          <w:lang w:bidi="ar-SY"/>
        </w:rPr>
        <w:t xml:space="preserve"> </w:t>
      </w:r>
      <w:r w:rsidR="00F32B28" w:rsidRPr="00F32B28">
        <w:rPr>
          <w:rtl/>
          <w:lang w:bidi="ar-SY"/>
        </w:rPr>
        <w:t>ثم</w:t>
      </w:r>
      <w:r w:rsidR="00F32B28">
        <w:rPr>
          <w:rtl/>
          <w:lang w:bidi="ar-SY"/>
        </w:rPr>
        <w:t xml:space="preserve"> </w:t>
      </w:r>
      <w:r w:rsidR="00F32B28" w:rsidRPr="00F32B28">
        <w:rPr>
          <w:rtl/>
          <w:lang w:bidi="ar-SY"/>
        </w:rPr>
        <w:t>الجدة</w:t>
      </w:r>
      <w:r w:rsidR="00F32B28">
        <w:rPr>
          <w:rtl/>
          <w:lang w:bidi="ar-SY"/>
        </w:rPr>
        <w:t xml:space="preserve"> </w:t>
      </w:r>
      <w:r w:rsidR="00F32B28" w:rsidRPr="00F32B28">
        <w:rPr>
          <w:rtl/>
          <w:lang w:bidi="ar-SY"/>
        </w:rPr>
        <w:t>لأب</w:t>
      </w:r>
      <w:r w:rsidR="00F32B28">
        <w:rPr>
          <w:rtl/>
          <w:lang w:bidi="ar-SY"/>
        </w:rPr>
        <w:t xml:space="preserve"> </w:t>
      </w:r>
      <w:r w:rsidR="00F32B28" w:rsidRPr="00F32B28">
        <w:rPr>
          <w:rtl/>
          <w:lang w:bidi="ar-SY"/>
        </w:rPr>
        <w:t>ثم</w:t>
      </w:r>
      <w:r w:rsidR="00F32B28">
        <w:rPr>
          <w:rtl/>
          <w:lang w:bidi="ar-SY"/>
        </w:rPr>
        <w:t xml:space="preserve"> </w:t>
      </w:r>
      <w:r w:rsidR="00F32B28" w:rsidRPr="00F32B28">
        <w:rPr>
          <w:rtl/>
          <w:lang w:bidi="ar-SY"/>
        </w:rPr>
        <w:t>شقيقة</w:t>
      </w:r>
      <w:r w:rsidR="00F32B28">
        <w:rPr>
          <w:rtl/>
          <w:lang w:bidi="ar-SY"/>
        </w:rPr>
        <w:t xml:space="preserve"> </w:t>
      </w:r>
      <w:r w:rsidR="00F32B28" w:rsidRPr="00F32B28">
        <w:rPr>
          <w:rtl/>
          <w:lang w:bidi="ar-SY"/>
        </w:rPr>
        <w:t>الصغير</w:t>
      </w:r>
      <w:r w:rsidR="00F32B28">
        <w:rPr>
          <w:rtl/>
          <w:lang w:bidi="ar-SY"/>
        </w:rPr>
        <w:t xml:space="preserve"> </w:t>
      </w:r>
      <w:r w:rsidR="00F32B28" w:rsidRPr="00F32B28">
        <w:rPr>
          <w:rtl/>
          <w:lang w:bidi="ar-SY"/>
        </w:rPr>
        <w:t>البالغة</w:t>
      </w:r>
      <w:r w:rsidR="00F32B28">
        <w:rPr>
          <w:rtl/>
          <w:lang w:bidi="ar-SY"/>
        </w:rPr>
        <w:t xml:space="preserve"> </w:t>
      </w:r>
      <w:r w:rsidR="00F32B28" w:rsidRPr="00F32B28">
        <w:rPr>
          <w:rtl/>
          <w:lang w:bidi="ar-SY"/>
        </w:rPr>
        <w:t>وهكذا.</w:t>
      </w:r>
      <w:r w:rsidR="00F32B28">
        <w:rPr>
          <w:rtl/>
          <w:lang w:bidi="ar-SY"/>
        </w:rPr>
        <w:t xml:space="preserve"> </w:t>
      </w:r>
      <w:r w:rsidR="00F32B28" w:rsidRPr="00F32B28">
        <w:rPr>
          <w:rtl/>
          <w:lang w:bidi="ar-SY"/>
        </w:rPr>
        <w:t>وإذا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تعدد</w:t>
      </w:r>
      <w:r w:rsidR="00F32B28">
        <w:rPr>
          <w:rtl/>
          <w:lang w:bidi="ar-SY"/>
        </w:rPr>
        <w:t xml:space="preserve"> </w:t>
      </w:r>
      <w:r w:rsidR="00F32B28" w:rsidRPr="00F32B28">
        <w:rPr>
          <w:rtl/>
          <w:lang w:bidi="ar-SY"/>
        </w:rPr>
        <w:t>أصحاب</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وتساووا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درجة</w:t>
      </w:r>
      <w:r w:rsidR="00F32B28">
        <w:rPr>
          <w:rtl/>
          <w:lang w:bidi="ar-SY"/>
        </w:rPr>
        <w:t xml:space="preserve"> </w:t>
      </w:r>
      <w:r w:rsidR="00F32B28" w:rsidRPr="00F32B28">
        <w:rPr>
          <w:rtl/>
          <w:lang w:bidi="ar-SY"/>
        </w:rPr>
        <w:t>القرابة،</w:t>
      </w:r>
      <w:r w:rsidR="00F32B28">
        <w:rPr>
          <w:rtl/>
          <w:lang w:bidi="ar-SY"/>
        </w:rPr>
        <w:t xml:space="preserve"> </w:t>
      </w:r>
      <w:r w:rsidR="00F32B28" w:rsidRPr="00F32B28">
        <w:rPr>
          <w:rtl/>
          <w:lang w:bidi="ar-SY"/>
        </w:rPr>
        <w:t>فللقاضي</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اختيار</w:t>
      </w:r>
      <w:r w:rsidR="00F32B28">
        <w:rPr>
          <w:rtl/>
          <w:lang w:bidi="ar-SY"/>
        </w:rPr>
        <w:t xml:space="preserve"> </w:t>
      </w:r>
      <w:r w:rsidR="00F32B28" w:rsidRPr="00F32B28">
        <w:rPr>
          <w:rtl/>
          <w:lang w:bidi="ar-SY"/>
        </w:rPr>
        <w:t>الأصلح</w:t>
      </w:r>
      <w:r w:rsidR="00F32B28">
        <w:rPr>
          <w:rtl/>
          <w:lang w:bidi="ar-SY"/>
        </w:rPr>
        <w:t xml:space="preserve"> </w:t>
      </w:r>
      <w:r w:rsidR="00F32B28" w:rsidRPr="00F32B28">
        <w:rPr>
          <w:rtl/>
          <w:lang w:bidi="ar-SY"/>
        </w:rPr>
        <w:t>للطفل.</w:t>
      </w:r>
    </w:p>
    <w:p w:rsidR="00F32B28" w:rsidRPr="00F32B28" w:rsidRDefault="00565595" w:rsidP="00164771">
      <w:pPr>
        <w:pStyle w:val="SingleTxt"/>
        <w:rPr>
          <w:rtl/>
          <w:lang w:bidi="ar-SY"/>
        </w:rPr>
      </w:pPr>
      <w:r>
        <w:rPr>
          <w:rFonts w:hint="cs"/>
          <w:rtl/>
          <w:lang w:bidi="ar-SY"/>
        </w:rPr>
        <w:lastRenderedPageBreak/>
        <w:t>34</w:t>
      </w:r>
      <w:r w:rsidR="00164771">
        <w:rPr>
          <w:rFonts w:hint="cs"/>
          <w:rtl/>
          <w:lang w:bidi="ar-SY"/>
        </w:rPr>
        <w:t>4</w:t>
      </w:r>
      <w:r>
        <w:rPr>
          <w:rFonts w:hint="cs"/>
          <w:rtl/>
          <w:lang w:bidi="ar-SY"/>
        </w:rPr>
        <w:t xml:space="preserve"> - </w:t>
      </w:r>
      <w:r w:rsidR="00F32B28" w:rsidRPr="00F32B28">
        <w:rPr>
          <w:rtl/>
          <w:lang w:bidi="ar-SY"/>
        </w:rPr>
        <w:t>وتختلف</w:t>
      </w:r>
      <w:r w:rsidR="00F32B28">
        <w:rPr>
          <w:rtl/>
          <w:lang w:bidi="ar-SY"/>
        </w:rPr>
        <w:t xml:space="preserve"> </w:t>
      </w:r>
      <w:r w:rsidR="00F32B28" w:rsidRPr="00F32B28">
        <w:rPr>
          <w:rtl/>
          <w:lang w:bidi="ar-SY"/>
        </w:rPr>
        <w:t>مدة</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المعترف</w:t>
      </w:r>
      <w:r w:rsidR="00F32B28">
        <w:rPr>
          <w:rtl/>
          <w:lang w:bidi="ar-SY"/>
        </w:rPr>
        <w:t xml:space="preserve"> </w:t>
      </w:r>
      <w:r w:rsidR="00F32B28" w:rsidRPr="00F32B28">
        <w:rPr>
          <w:rtl/>
          <w:lang w:bidi="ar-SY"/>
        </w:rPr>
        <w:t>بها</w:t>
      </w:r>
      <w:r w:rsidR="00F32B28">
        <w:rPr>
          <w:rtl/>
          <w:lang w:bidi="ar-SY"/>
        </w:rPr>
        <w:t xml:space="preserve"> </w:t>
      </w:r>
      <w:r w:rsidR="00F32B28" w:rsidRPr="00F32B28">
        <w:rPr>
          <w:rtl/>
          <w:lang w:bidi="ar-SY"/>
        </w:rPr>
        <w:t>للحاضنة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عما</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وتختلف</w:t>
      </w:r>
      <w:r w:rsidR="00F32B28">
        <w:rPr>
          <w:rtl/>
          <w:lang w:bidi="ar-SY"/>
        </w:rPr>
        <w:t xml:space="preserve"> </w:t>
      </w:r>
      <w:r w:rsidR="00F32B28" w:rsidRPr="00F32B28">
        <w:rPr>
          <w:rtl/>
          <w:lang w:bidi="ar-SY"/>
        </w:rPr>
        <w:t>أيضاً</w:t>
      </w:r>
      <w:r w:rsidR="00F32B28">
        <w:rPr>
          <w:rtl/>
          <w:lang w:bidi="ar-SY"/>
        </w:rPr>
        <w:t xml:space="preserve"> </w:t>
      </w:r>
      <w:r w:rsidR="00F32B28" w:rsidRPr="00F32B28">
        <w:rPr>
          <w:rtl/>
          <w:lang w:bidi="ar-SY"/>
        </w:rPr>
        <w:t>حسبما</w:t>
      </w:r>
      <w:r w:rsidR="00F32B28">
        <w:rPr>
          <w:rtl/>
          <w:lang w:bidi="ar-SY"/>
        </w:rPr>
        <w:t xml:space="preserve"> </w:t>
      </w:r>
      <w:r w:rsidR="00F32B28" w:rsidRPr="00F32B28">
        <w:rPr>
          <w:rtl/>
          <w:lang w:bidi="ar-SY"/>
        </w:rPr>
        <w:t>يكون</w:t>
      </w:r>
      <w:r w:rsidR="00F32B28">
        <w:rPr>
          <w:rtl/>
          <w:lang w:bidi="ar-SY"/>
        </w:rPr>
        <w:t xml:space="preserve"> </w:t>
      </w:r>
      <w:r w:rsidR="00F32B28" w:rsidRPr="00F32B28">
        <w:rPr>
          <w:rtl/>
          <w:lang w:bidi="ar-SY"/>
        </w:rPr>
        <w:t>الولد</w:t>
      </w:r>
      <w:r w:rsidR="00F32B28">
        <w:rPr>
          <w:rtl/>
          <w:lang w:bidi="ar-SY"/>
        </w:rPr>
        <w:t xml:space="preserve"> </w:t>
      </w:r>
      <w:r w:rsidR="00F32B28" w:rsidRPr="00F32B28">
        <w:rPr>
          <w:rtl/>
          <w:lang w:bidi="ar-SY"/>
        </w:rPr>
        <w:t>ذكراً</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أنثى؛</w:t>
      </w:r>
      <w:r w:rsidR="00F32B28">
        <w:rPr>
          <w:rtl/>
          <w:lang w:bidi="ar-SY"/>
        </w:rPr>
        <w:t xml:space="preserve"> </w:t>
      </w:r>
      <w:r w:rsidR="00F32B28" w:rsidRPr="00F32B28">
        <w:rPr>
          <w:rtl/>
          <w:lang w:bidi="ar-SY"/>
        </w:rPr>
        <w:t>ففي</w:t>
      </w:r>
      <w:r w:rsidR="00F32B28">
        <w:rPr>
          <w:rtl/>
          <w:lang w:bidi="ar-SY"/>
        </w:rPr>
        <w:t xml:space="preserve"> </w:t>
      </w:r>
      <w:r w:rsidR="00F32B28" w:rsidRPr="00F32B28">
        <w:rPr>
          <w:rtl/>
          <w:lang w:bidi="ar-SY"/>
        </w:rPr>
        <w:t>الضفة</w:t>
      </w:r>
      <w:r w:rsidR="00F32B28">
        <w:rPr>
          <w:rtl/>
          <w:lang w:bidi="ar-SY"/>
        </w:rPr>
        <w:t xml:space="preserve"> </w:t>
      </w:r>
      <w:r w:rsidR="00F32B28" w:rsidRPr="00F32B28">
        <w:rPr>
          <w:rtl/>
          <w:lang w:bidi="ar-SY"/>
        </w:rPr>
        <w:t>الغربية،</w:t>
      </w:r>
      <w:r w:rsidR="00F32B28">
        <w:rPr>
          <w:rtl/>
          <w:lang w:bidi="ar-SY"/>
        </w:rPr>
        <w:t xml:space="preserve"> </w:t>
      </w:r>
      <w:r w:rsidR="00F32B28" w:rsidRPr="00F32B28">
        <w:rPr>
          <w:rtl/>
          <w:lang w:bidi="ar-SY"/>
        </w:rPr>
        <w:t>تمتد</w:t>
      </w:r>
      <w:r w:rsidR="00F32B28">
        <w:rPr>
          <w:rtl/>
          <w:lang w:bidi="ar-SY"/>
        </w:rPr>
        <w:t xml:space="preserve"> </w:t>
      </w:r>
      <w:r w:rsidR="00F32B28" w:rsidRPr="00F32B28">
        <w:rPr>
          <w:rtl/>
          <w:lang w:bidi="ar-SY"/>
        </w:rPr>
        <w:t>حضانة</w:t>
      </w:r>
      <w:r w:rsidR="00F32B28">
        <w:rPr>
          <w:rtl/>
          <w:lang w:bidi="ar-SY"/>
        </w:rPr>
        <w:t xml:space="preserve"> </w:t>
      </w:r>
      <w:r w:rsidR="00F32B28" w:rsidRPr="00F32B28">
        <w:rPr>
          <w:rtl/>
          <w:lang w:bidi="ar-SY"/>
        </w:rPr>
        <w:t>الأم</w:t>
      </w:r>
      <w:r w:rsidR="00F32B28">
        <w:rPr>
          <w:rtl/>
          <w:lang w:bidi="ar-SY"/>
        </w:rPr>
        <w:t xml:space="preserve"> </w:t>
      </w:r>
      <w:r w:rsidR="00F32B28" w:rsidRPr="00F32B28">
        <w:rPr>
          <w:rtl/>
          <w:lang w:bidi="ar-SY"/>
        </w:rPr>
        <w:t>للأولاد</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بلوغهم</w:t>
      </w:r>
      <w:r w:rsidR="00F32B28">
        <w:rPr>
          <w:rtl/>
          <w:lang w:bidi="ar-SY"/>
        </w:rPr>
        <w:t xml:space="preserve"> </w:t>
      </w:r>
      <w:r w:rsidR="00F32B28" w:rsidRPr="00F32B28">
        <w:rPr>
          <w:rtl/>
          <w:lang w:bidi="ar-SY"/>
        </w:rPr>
        <w:t>البلوغ</w:t>
      </w:r>
      <w:r w:rsidR="00F32B28">
        <w:rPr>
          <w:rtl/>
          <w:lang w:bidi="ar-SY"/>
        </w:rPr>
        <w:t xml:space="preserve"> </w:t>
      </w:r>
      <w:r w:rsidR="00F32B28" w:rsidRPr="00F32B28">
        <w:rPr>
          <w:rtl/>
          <w:lang w:bidi="ar-SY"/>
        </w:rPr>
        <w:t>الطبيعي،</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البلوغ</w:t>
      </w:r>
      <w:r w:rsidR="00F32B28">
        <w:rPr>
          <w:rtl/>
          <w:lang w:bidi="ar-SY"/>
        </w:rPr>
        <w:t xml:space="preserve"> </w:t>
      </w:r>
      <w:r w:rsidR="00F32B28" w:rsidRPr="00F32B28">
        <w:rPr>
          <w:rtl/>
          <w:lang w:bidi="ar-SY"/>
        </w:rPr>
        <w:t>الحكمي؛</w:t>
      </w:r>
      <w:r w:rsidR="00F32B28">
        <w:rPr>
          <w:rtl/>
          <w:lang w:bidi="ar-SY"/>
        </w:rPr>
        <w:t xml:space="preserve"> </w:t>
      </w:r>
      <w:r w:rsidR="00F32B28" w:rsidRPr="00F32B28">
        <w:rPr>
          <w:rtl/>
          <w:lang w:bidi="ar-SY"/>
        </w:rPr>
        <w:t>أي</w:t>
      </w:r>
      <w:r w:rsidR="00F32B28">
        <w:rPr>
          <w:rtl/>
          <w:lang w:bidi="ar-SY"/>
        </w:rPr>
        <w:t xml:space="preserve"> </w:t>
      </w:r>
      <w:r w:rsidR="00F32B28" w:rsidRPr="00F32B28">
        <w:rPr>
          <w:rtl/>
          <w:lang w:bidi="ar-SY"/>
        </w:rPr>
        <w:t>حسب</w:t>
      </w:r>
      <w:r w:rsidR="00F32B28">
        <w:rPr>
          <w:rtl/>
          <w:lang w:bidi="ar-SY"/>
        </w:rPr>
        <w:t xml:space="preserve"> </w:t>
      </w:r>
      <w:r w:rsidR="00F32B28" w:rsidRPr="00F32B28">
        <w:rPr>
          <w:rtl/>
          <w:lang w:bidi="ar-SY"/>
        </w:rPr>
        <w:t>القانون</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(15)</w:t>
      </w:r>
      <w:r w:rsidR="00F32B28">
        <w:rPr>
          <w:rtl/>
          <w:lang w:bidi="ar-SY"/>
        </w:rPr>
        <w:t xml:space="preserve"> </w:t>
      </w:r>
      <w:r w:rsidR="00F32B28" w:rsidRPr="00F32B28">
        <w:rPr>
          <w:rtl/>
          <w:lang w:bidi="ar-SY"/>
        </w:rPr>
        <w:t>سنة</w:t>
      </w:r>
      <w:r w:rsidR="00F32B28">
        <w:rPr>
          <w:rtl/>
          <w:lang w:bidi="ar-SY"/>
        </w:rPr>
        <w:t xml:space="preserve"> </w:t>
      </w:r>
      <w:r w:rsidR="00F32B28" w:rsidRPr="00F32B28">
        <w:rPr>
          <w:rtl/>
          <w:lang w:bidi="ar-SY"/>
        </w:rPr>
        <w:t>هجرية،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حين</w:t>
      </w:r>
      <w:r w:rsidR="00F32B28">
        <w:rPr>
          <w:rtl/>
          <w:lang w:bidi="ar-SY"/>
        </w:rPr>
        <w:t xml:space="preserve"> </w:t>
      </w:r>
      <w:r w:rsidR="00F32B28" w:rsidRPr="00F32B28">
        <w:rPr>
          <w:rtl/>
          <w:lang w:bidi="ar-SY"/>
        </w:rPr>
        <w:t>تنتهي</w:t>
      </w:r>
      <w:r w:rsidR="00F32B28">
        <w:rPr>
          <w:rtl/>
          <w:lang w:bidi="ar-SY"/>
        </w:rPr>
        <w:t xml:space="preserve"> </w:t>
      </w:r>
      <w:r w:rsidR="00F32B28" w:rsidRPr="00F32B28">
        <w:rPr>
          <w:rtl/>
          <w:lang w:bidi="ar-SY"/>
        </w:rPr>
        <w:t>حضانة</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الأم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النساء</w:t>
      </w:r>
      <w:r w:rsidR="00F32B28">
        <w:rPr>
          <w:rtl/>
          <w:lang w:bidi="ar-SY"/>
        </w:rPr>
        <w:t xml:space="preserve"> </w:t>
      </w:r>
      <w:r w:rsidR="00F32B28" w:rsidRPr="00F32B28">
        <w:rPr>
          <w:rtl/>
          <w:lang w:bidi="ar-SY"/>
        </w:rPr>
        <w:t>للصغير</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أتم</w:t>
      </w:r>
      <w:r w:rsidR="00F32B28">
        <w:rPr>
          <w:rtl/>
          <w:lang w:bidi="ar-SY"/>
        </w:rPr>
        <w:t xml:space="preserve"> </w:t>
      </w:r>
      <w:r w:rsidR="00F32B28" w:rsidRPr="00F32B28">
        <w:rPr>
          <w:rtl/>
          <w:lang w:bidi="ar-SY"/>
        </w:rPr>
        <w:t>التاسعة،</w:t>
      </w:r>
      <w:r w:rsidR="00F32B28">
        <w:rPr>
          <w:rtl/>
          <w:lang w:bidi="ar-SY"/>
        </w:rPr>
        <w:t xml:space="preserve"> </w:t>
      </w:r>
      <w:r w:rsidR="00F32B28" w:rsidRPr="00F32B28">
        <w:rPr>
          <w:rtl/>
          <w:lang w:bidi="ar-SY"/>
        </w:rPr>
        <w:t>وللصغيرة</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أتمت</w:t>
      </w:r>
      <w:r w:rsidR="00F32B28">
        <w:rPr>
          <w:rtl/>
          <w:lang w:bidi="ar-SY"/>
        </w:rPr>
        <w:t xml:space="preserve"> </w:t>
      </w:r>
      <w:r w:rsidR="00F32B28" w:rsidRPr="00F32B28">
        <w:rPr>
          <w:rtl/>
          <w:lang w:bidi="ar-SY"/>
        </w:rPr>
        <w:t>الحادية</w:t>
      </w:r>
      <w:r w:rsidR="00F32B28">
        <w:rPr>
          <w:rtl/>
          <w:lang w:bidi="ar-SY"/>
        </w:rPr>
        <w:t xml:space="preserve"> </w:t>
      </w:r>
      <w:r w:rsidR="00F32B28" w:rsidRPr="00F32B28">
        <w:rPr>
          <w:rtl/>
          <w:lang w:bidi="ar-SY"/>
        </w:rPr>
        <w:t>عشرة.</w:t>
      </w:r>
      <w:r w:rsidR="00F32B28">
        <w:rPr>
          <w:rtl/>
          <w:lang w:bidi="ar-SY"/>
        </w:rPr>
        <w:t xml:space="preserve"> </w:t>
      </w:r>
      <w:r w:rsidR="00F32B28" w:rsidRPr="00F32B28">
        <w:rPr>
          <w:rtl/>
          <w:lang w:bidi="ar-SY"/>
        </w:rPr>
        <w:t>أما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قطاع</w:t>
      </w:r>
      <w:r w:rsidR="00F32B28">
        <w:rPr>
          <w:rtl/>
          <w:lang w:bidi="ar-SY"/>
        </w:rPr>
        <w:t xml:space="preserve"> </w:t>
      </w:r>
      <w:r w:rsidR="00F32B28" w:rsidRPr="00F32B28">
        <w:rPr>
          <w:rtl/>
          <w:lang w:bidi="ar-SY"/>
        </w:rPr>
        <w:t>غزة،</w:t>
      </w:r>
      <w:r w:rsidR="00F32B28">
        <w:rPr>
          <w:rtl/>
          <w:lang w:bidi="ar-SY"/>
        </w:rPr>
        <w:t xml:space="preserve"> </w:t>
      </w:r>
      <w:r w:rsidR="00F32B28" w:rsidRPr="00F32B28">
        <w:rPr>
          <w:rtl/>
          <w:lang w:bidi="ar-SY"/>
        </w:rPr>
        <w:t>فتكون</w:t>
      </w:r>
      <w:r w:rsidR="00F32B28">
        <w:rPr>
          <w:rtl/>
          <w:lang w:bidi="ar-SY"/>
        </w:rPr>
        <w:t xml:space="preserve"> </w:t>
      </w:r>
      <w:r w:rsidR="00F32B28" w:rsidRPr="00F32B28">
        <w:rPr>
          <w:rtl/>
          <w:lang w:bidi="ar-SY"/>
        </w:rPr>
        <w:t>مدة</w:t>
      </w:r>
      <w:r w:rsidR="00F32B28">
        <w:rPr>
          <w:rtl/>
          <w:lang w:bidi="ar-SY"/>
        </w:rPr>
        <w:t xml:space="preserve"> </w:t>
      </w:r>
      <w:r w:rsidR="00F32B28" w:rsidRPr="00F32B28">
        <w:rPr>
          <w:rtl/>
          <w:lang w:bidi="ar-SY"/>
        </w:rPr>
        <w:t>حضانة</w:t>
      </w:r>
      <w:r w:rsidR="00F32B28">
        <w:rPr>
          <w:rtl/>
          <w:lang w:bidi="ar-SY"/>
        </w:rPr>
        <w:t xml:space="preserve"> </w:t>
      </w:r>
      <w:r w:rsidR="00F32B28" w:rsidRPr="00F32B28">
        <w:rPr>
          <w:rtl/>
          <w:lang w:bidi="ar-SY"/>
        </w:rPr>
        <w:t>الأم</w:t>
      </w:r>
      <w:r w:rsidR="00F32B28">
        <w:rPr>
          <w:rtl/>
          <w:lang w:bidi="ar-SY"/>
        </w:rPr>
        <w:t xml:space="preserve"> </w:t>
      </w:r>
      <w:r w:rsidR="00F32B28" w:rsidRPr="00F32B28">
        <w:rPr>
          <w:rtl/>
          <w:lang w:bidi="ar-SY"/>
        </w:rPr>
        <w:t>وغير</w:t>
      </w:r>
      <w:r w:rsidR="00F32B28">
        <w:rPr>
          <w:rtl/>
          <w:lang w:bidi="ar-SY"/>
        </w:rPr>
        <w:t xml:space="preserve"> </w:t>
      </w:r>
      <w:r w:rsidR="00F32B28" w:rsidRPr="00F32B28">
        <w:rPr>
          <w:rtl/>
          <w:lang w:bidi="ar-SY"/>
        </w:rPr>
        <w:t>الأم</w:t>
      </w:r>
      <w:r w:rsidR="00F32B28">
        <w:rPr>
          <w:rtl/>
          <w:lang w:bidi="ar-SY"/>
        </w:rPr>
        <w:t xml:space="preserve"> </w:t>
      </w:r>
      <w:r w:rsidR="00F32B28" w:rsidRPr="00F32B28">
        <w:rPr>
          <w:rtl/>
          <w:lang w:bidi="ar-SY"/>
        </w:rPr>
        <w:t>للصغير</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سبع</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وللصغيرة</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تسع</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وللقاضي</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يأذن</w:t>
      </w:r>
      <w:r w:rsidR="00F32B28">
        <w:rPr>
          <w:rtl/>
          <w:lang w:bidi="ar-SY"/>
        </w:rPr>
        <w:t xml:space="preserve"> </w:t>
      </w:r>
      <w:r w:rsidR="00F32B28" w:rsidRPr="00F32B28">
        <w:rPr>
          <w:rtl/>
          <w:lang w:bidi="ar-SY"/>
        </w:rPr>
        <w:t>بتمديد</w:t>
      </w:r>
      <w:r w:rsidR="00F32B28">
        <w:rPr>
          <w:rtl/>
          <w:lang w:bidi="ar-SY"/>
        </w:rPr>
        <w:t xml:space="preserve"> </w:t>
      </w:r>
      <w:r w:rsidR="00F32B28" w:rsidRPr="00F32B28">
        <w:rPr>
          <w:rtl/>
          <w:lang w:bidi="ar-SY"/>
        </w:rPr>
        <w:t>مدة</w:t>
      </w:r>
      <w:r w:rsidR="00F32B28">
        <w:rPr>
          <w:rtl/>
          <w:lang w:bidi="ar-SY"/>
        </w:rPr>
        <w:t xml:space="preserve"> </w:t>
      </w:r>
      <w:r w:rsidR="00F32B28" w:rsidRPr="00F32B28">
        <w:rPr>
          <w:rtl/>
          <w:lang w:bidi="ar-SY"/>
        </w:rPr>
        <w:t>حضانة</w:t>
      </w:r>
      <w:r w:rsidR="00F32B28">
        <w:rPr>
          <w:rtl/>
          <w:lang w:bidi="ar-SY"/>
        </w:rPr>
        <w:t xml:space="preserve"> </w:t>
      </w:r>
      <w:r w:rsidR="00F32B28" w:rsidRPr="00F32B28">
        <w:rPr>
          <w:rtl/>
          <w:lang w:bidi="ar-SY"/>
        </w:rPr>
        <w:t>الصغير</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تسع</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والصغيرة</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إحدى</w:t>
      </w:r>
      <w:r w:rsidR="00F32B28">
        <w:rPr>
          <w:rtl/>
          <w:lang w:bidi="ar-SY"/>
        </w:rPr>
        <w:t xml:space="preserve"> </w:t>
      </w:r>
      <w:r w:rsidR="00F32B28" w:rsidRPr="00F32B28">
        <w:rPr>
          <w:rtl/>
          <w:lang w:bidi="ar-SY"/>
        </w:rPr>
        <w:t>عشرة</w:t>
      </w:r>
      <w:r w:rsidR="00F32B28">
        <w:rPr>
          <w:rtl/>
          <w:lang w:bidi="ar-SY"/>
        </w:rPr>
        <w:t xml:space="preserve"> </w:t>
      </w:r>
      <w:r w:rsidR="00F32B28" w:rsidRPr="00F32B28">
        <w:rPr>
          <w:rtl/>
          <w:lang w:bidi="ar-SY"/>
        </w:rPr>
        <w:t>سنة</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تبين</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مصلحتهما</w:t>
      </w:r>
      <w:r w:rsidR="00F32B28">
        <w:rPr>
          <w:rtl/>
          <w:lang w:bidi="ar-SY"/>
        </w:rPr>
        <w:t xml:space="preserve"> </w:t>
      </w:r>
      <w:r w:rsidR="00F32B28" w:rsidRPr="00F32B28">
        <w:rPr>
          <w:rtl/>
          <w:lang w:bidi="ar-SY"/>
        </w:rPr>
        <w:t>تقضي</w:t>
      </w:r>
      <w:r>
        <w:rPr>
          <w:rFonts w:hint="cs"/>
          <w:rtl/>
          <w:lang w:bidi="ar-SY"/>
        </w:rPr>
        <w:t> </w:t>
      </w:r>
      <w:r w:rsidR="00F32B28" w:rsidRPr="00F32B28">
        <w:rPr>
          <w:rtl/>
          <w:lang w:bidi="ar-SY"/>
        </w:rPr>
        <w:t>بذلك.</w:t>
      </w:r>
    </w:p>
    <w:p w:rsidR="00F32B28" w:rsidRPr="00F32B28" w:rsidRDefault="00565595" w:rsidP="00164771">
      <w:pPr>
        <w:pStyle w:val="SingleTxt"/>
        <w:rPr>
          <w:rtl/>
          <w:lang w:bidi="ar-SY"/>
        </w:rPr>
      </w:pPr>
      <w:r>
        <w:rPr>
          <w:rFonts w:hint="cs"/>
          <w:rtl/>
          <w:lang w:bidi="ar-SY"/>
        </w:rPr>
        <w:t>34</w:t>
      </w:r>
      <w:r w:rsidR="00164771">
        <w:rPr>
          <w:rFonts w:hint="cs"/>
          <w:rtl/>
          <w:lang w:bidi="ar-SY"/>
        </w:rPr>
        <w:t>5</w:t>
      </w:r>
      <w:r>
        <w:rPr>
          <w:rFonts w:hint="cs"/>
          <w:rtl/>
          <w:lang w:bidi="ar-SY"/>
        </w:rPr>
        <w:t xml:space="preserve"> - </w:t>
      </w:r>
      <w:r w:rsidR="00F32B28" w:rsidRPr="00F32B28">
        <w:rPr>
          <w:rtl/>
          <w:lang w:bidi="ar-SY"/>
        </w:rPr>
        <w:t>ويسقط</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الحاضنة</w:t>
      </w:r>
      <w:r w:rsidR="00F32B28">
        <w:rPr>
          <w:rtl/>
          <w:lang w:bidi="ar-SY"/>
        </w:rPr>
        <w:t xml:space="preserve"> </w:t>
      </w:r>
      <w:r w:rsidR="00F32B28" w:rsidRPr="00F32B28">
        <w:rPr>
          <w:rtl/>
          <w:lang w:bidi="ar-SY"/>
        </w:rPr>
        <w:t>(الأم</w:t>
      </w:r>
      <w:r w:rsidR="00F32B28">
        <w:rPr>
          <w:rtl/>
          <w:lang w:bidi="ar-SY"/>
        </w:rPr>
        <w:t xml:space="preserve"> </w:t>
      </w:r>
      <w:r w:rsidR="00F32B28" w:rsidRPr="00F32B28">
        <w:rPr>
          <w:rtl/>
          <w:lang w:bidi="ar-SY"/>
        </w:rPr>
        <w:t>وغير</w:t>
      </w:r>
      <w:r w:rsidR="00F32B28">
        <w:rPr>
          <w:rtl/>
          <w:lang w:bidi="ar-SY"/>
        </w:rPr>
        <w:t xml:space="preserve"> </w:t>
      </w:r>
      <w:r w:rsidR="00F32B28" w:rsidRPr="00F32B28">
        <w:rPr>
          <w:rtl/>
          <w:lang w:bidi="ar-SY"/>
        </w:rPr>
        <w:t>الأم)</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تزوجت</w:t>
      </w:r>
      <w:r w:rsidR="00F32B28">
        <w:rPr>
          <w:rtl/>
          <w:lang w:bidi="ar-SY"/>
        </w:rPr>
        <w:t xml:space="preserve"> </w:t>
      </w:r>
      <w:r w:rsidR="00F32B28" w:rsidRPr="00F32B28">
        <w:rPr>
          <w:rtl/>
          <w:lang w:bidi="ar-SY"/>
        </w:rPr>
        <w:t>برجل</w:t>
      </w:r>
      <w:r w:rsidR="00F32B28">
        <w:rPr>
          <w:rtl/>
          <w:lang w:bidi="ar-SY"/>
        </w:rPr>
        <w:t xml:space="preserve"> </w:t>
      </w:r>
      <w:r w:rsidR="00F32B28" w:rsidRPr="00F32B28">
        <w:rPr>
          <w:rtl/>
          <w:lang w:bidi="ar-SY"/>
        </w:rPr>
        <w:t>غير</w:t>
      </w:r>
      <w:r w:rsidR="00F32B28">
        <w:rPr>
          <w:rtl/>
          <w:lang w:bidi="ar-SY"/>
        </w:rPr>
        <w:t xml:space="preserve"> </w:t>
      </w:r>
      <w:r w:rsidR="00F32B28" w:rsidRPr="00F32B28">
        <w:rPr>
          <w:rtl/>
          <w:lang w:bidi="ar-SY"/>
        </w:rPr>
        <w:t>قريب</w:t>
      </w:r>
      <w:r w:rsidR="00F32B28">
        <w:rPr>
          <w:rtl/>
          <w:lang w:bidi="ar-SY"/>
        </w:rPr>
        <w:t xml:space="preserve"> </w:t>
      </w:r>
      <w:r w:rsidR="00F32B28" w:rsidRPr="00F32B28">
        <w:rPr>
          <w:rtl/>
          <w:lang w:bidi="ar-SY"/>
        </w:rPr>
        <w:t>محرم</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الطفل</w:t>
      </w:r>
      <w:r w:rsidR="00F32B28">
        <w:rPr>
          <w:rtl/>
          <w:lang w:bidi="ar-SY"/>
        </w:rPr>
        <w:t xml:space="preserve"> </w:t>
      </w:r>
      <w:r w:rsidR="00F32B28" w:rsidRPr="00F32B28">
        <w:rPr>
          <w:rtl/>
          <w:lang w:bidi="ar-SY"/>
        </w:rPr>
        <w:t>المحضون،</w:t>
      </w:r>
      <w:r w:rsidR="00F32B28">
        <w:rPr>
          <w:rtl/>
          <w:lang w:bidi="ar-SY"/>
        </w:rPr>
        <w:t xml:space="preserve"> </w:t>
      </w:r>
      <w:r w:rsidR="00F32B28" w:rsidRPr="00F32B28">
        <w:rPr>
          <w:rtl/>
          <w:lang w:bidi="ar-SY"/>
        </w:rPr>
        <w:t>وتسترد</w:t>
      </w:r>
      <w:r w:rsidR="00F32B28">
        <w:rPr>
          <w:rtl/>
          <w:lang w:bidi="ar-SY"/>
        </w:rPr>
        <w:t xml:space="preserve"> </w:t>
      </w:r>
      <w:r w:rsidR="00F32B28" w:rsidRPr="00F32B28">
        <w:rPr>
          <w:rtl/>
          <w:lang w:bidi="ar-SY"/>
        </w:rPr>
        <w:t>حقها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فيما</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طُلقت</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توفي</w:t>
      </w:r>
      <w:r w:rsidR="00F32B28">
        <w:rPr>
          <w:rtl/>
          <w:lang w:bidi="ar-SY"/>
        </w:rPr>
        <w:t xml:space="preserve"> </w:t>
      </w:r>
      <w:r w:rsidR="00F32B28" w:rsidRPr="00F32B28">
        <w:rPr>
          <w:rtl/>
          <w:lang w:bidi="ar-SY"/>
        </w:rPr>
        <w:t>عنها</w:t>
      </w:r>
      <w:r w:rsidR="00F32B28">
        <w:rPr>
          <w:rtl/>
          <w:lang w:bidi="ar-SY"/>
        </w:rPr>
        <w:t xml:space="preserve"> </w:t>
      </w:r>
      <w:r w:rsidR="00F32B28" w:rsidRPr="00F32B28">
        <w:rPr>
          <w:rtl/>
          <w:lang w:bidi="ar-SY"/>
        </w:rPr>
        <w:t>زوجها</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وانتهت</w:t>
      </w:r>
      <w:r w:rsidR="00F32B28">
        <w:rPr>
          <w:rtl/>
          <w:lang w:bidi="ar-SY"/>
        </w:rPr>
        <w:t xml:space="preserve"> </w:t>
      </w:r>
      <w:r w:rsidR="00F32B28" w:rsidRPr="00F32B28">
        <w:rPr>
          <w:rtl/>
          <w:lang w:bidi="ar-SY"/>
        </w:rPr>
        <w:t>عدتها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الطلاق</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الوفاة.</w:t>
      </w:r>
      <w:r w:rsidR="00F32B28">
        <w:rPr>
          <w:rtl/>
          <w:lang w:bidi="ar-SY"/>
        </w:rPr>
        <w:t xml:space="preserve"> </w:t>
      </w:r>
      <w:r w:rsidR="00F32B28" w:rsidRPr="00F32B28">
        <w:rPr>
          <w:rtl/>
          <w:lang w:bidi="ar-SY"/>
        </w:rPr>
        <w:t>وبحسب</w:t>
      </w:r>
      <w:r w:rsidR="00F32B28">
        <w:rPr>
          <w:rtl/>
          <w:lang w:bidi="ar-SY"/>
        </w:rPr>
        <w:t xml:space="preserve"> </w:t>
      </w:r>
      <w:r w:rsidR="00F32B28" w:rsidRPr="00F32B28">
        <w:rPr>
          <w:rtl/>
          <w:lang w:bidi="ar-SY"/>
        </w:rPr>
        <w:t>قانون</w:t>
      </w:r>
      <w:r w:rsidR="00F32B28">
        <w:rPr>
          <w:rtl/>
          <w:lang w:bidi="ar-SY"/>
        </w:rPr>
        <w:t xml:space="preserve"> </w:t>
      </w:r>
      <w:r w:rsidR="00F32B28" w:rsidRPr="00F32B28">
        <w:rPr>
          <w:rtl/>
          <w:lang w:bidi="ar-SY"/>
        </w:rPr>
        <w:t>الأحوال</w:t>
      </w:r>
      <w:r w:rsidR="00F32B28">
        <w:rPr>
          <w:rtl/>
          <w:lang w:bidi="ar-SY"/>
        </w:rPr>
        <w:t xml:space="preserve"> </w:t>
      </w:r>
      <w:r w:rsidR="00F32B28" w:rsidRPr="00F32B28">
        <w:rPr>
          <w:rtl/>
          <w:lang w:bidi="ar-SY"/>
        </w:rPr>
        <w:t>الشخصية</w:t>
      </w:r>
      <w:r w:rsidR="00F32B28">
        <w:rPr>
          <w:rtl/>
          <w:lang w:bidi="ar-SY"/>
        </w:rPr>
        <w:t xml:space="preserve"> </w:t>
      </w:r>
      <w:r w:rsidR="00F32B28" w:rsidRPr="00F32B28">
        <w:rPr>
          <w:rtl/>
          <w:lang w:bidi="ar-SY"/>
        </w:rPr>
        <w:t>للسريان</w:t>
      </w:r>
      <w:r w:rsidR="00F32B28">
        <w:rPr>
          <w:rtl/>
          <w:lang w:bidi="ar-SY"/>
        </w:rPr>
        <w:t xml:space="preserve"> </w:t>
      </w:r>
      <w:r w:rsidR="00F32B28" w:rsidRPr="00F32B28">
        <w:rPr>
          <w:rtl/>
          <w:lang w:bidi="ar-SY"/>
        </w:rPr>
        <w:t>الأرثوذوكس،</w:t>
      </w:r>
      <w:r w:rsidR="00F32B28">
        <w:rPr>
          <w:rtl/>
          <w:lang w:bidi="ar-SY"/>
        </w:rPr>
        <w:t xml:space="preserve"> </w:t>
      </w:r>
      <w:r w:rsidR="00F32B28" w:rsidRPr="00F32B28">
        <w:rPr>
          <w:rtl/>
          <w:lang w:bidi="ar-SY"/>
        </w:rPr>
        <w:t>فإن</w:t>
      </w:r>
      <w:r w:rsidR="00F32B28">
        <w:rPr>
          <w:rtl/>
          <w:lang w:bidi="ar-SY"/>
        </w:rPr>
        <w:t xml:space="preserve"> </w:t>
      </w:r>
      <w:r w:rsidR="00F32B28" w:rsidRPr="00F32B28">
        <w:rPr>
          <w:rtl/>
          <w:lang w:bidi="ar-SY"/>
        </w:rPr>
        <w:t>مدة</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تسع</w:t>
      </w:r>
      <w:r w:rsidR="00F32B28">
        <w:rPr>
          <w:rtl/>
          <w:lang w:bidi="ar-SY"/>
        </w:rPr>
        <w:t xml:space="preserve"> </w:t>
      </w:r>
      <w:r w:rsidR="00F32B28" w:rsidRPr="00F32B28">
        <w:rPr>
          <w:rtl/>
          <w:lang w:bidi="ar-SY"/>
        </w:rPr>
        <w:t>سنوات</w:t>
      </w:r>
      <w:r w:rsidR="00F32B28">
        <w:rPr>
          <w:rtl/>
          <w:lang w:bidi="ar-SY"/>
        </w:rPr>
        <w:t xml:space="preserve"> </w:t>
      </w:r>
      <w:r w:rsidR="00F32B28" w:rsidRPr="00F32B28">
        <w:rPr>
          <w:rtl/>
          <w:lang w:bidi="ar-SY"/>
        </w:rPr>
        <w:t>للفتى</w:t>
      </w:r>
      <w:r w:rsidR="00F32B28">
        <w:rPr>
          <w:rtl/>
          <w:lang w:bidi="ar-SY"/>
        </w:rPr>
        <w:t xml:space="preserve"> </w:t>
      </w:r>
      <w:r w:rsidR="00F32B28" w:rsidRPr="00F32B28">
        <w:rPr>
          <w:rtl/>
          <w:lang w:bidi="ar-SY"/>
        </w:rPr>
        <w:t>وإحدى</w:t>
      </w:r>
      <w:r w:rsidR="00F32B28">
        <w:rPr>
          <w:rtl/>
          <w:lang w:bidi="ar-SY"/>
        </w:rPr>
        <w:t xml:space="preserve"> </w:t>
      </w:r>
      <w:r w:rsidR="00F32B28" w:rsidRPr="00F32B28">
        <w:rPr>
          <w:rtl/>
          <w:lang w:bidi="ar-SY"/>
        </w:rPr>
        <w:t>عشرة</w:t>
      </w:r>
      <w:r w:rsidR="00F32B28">
        <w:rPr>
          <w:rtl/>
          <w:lang w:bidi="ar-SY"/>
        </w:rPr>
        <w:t xml:space="preserve"> </w:t>
      </w:r>
      <w:r w:rsidR="00F32B28" w:rsidRPr="00F32B28">
        <w:rPr>
          <w:rtl/>
          <w:lang w:bidi="ar-SY"/>
        </w:rPr>
        <w:t>سنة</w:t>
      </w:r>
      <w:r w:rsidR="00F32B28">
        <w:rPr>
          <w:rtl/>
          <w:lang w:bidi="ar-SY"/>
        </w:rPr>
        <w:t xml:space="preserve"> </w:t>
      </w:r>
      <w:r w:rsidR="00F32B28" w:rsidRPr="00F32B28">
        <w:rPr>
          <w:rtl/>
          <w:lang w:bidi="ar-SY"/>
        </w:rPr>
        <w:t>للفتاة،</w:t>
      </w:r>
      <w:r w:rsidR="00F32B28">
        <w:rPr>
          <w:rtl/>
          <w:lang w:bidi="ar-SY"/>
        </w:rPr>
        <w:t xml:space="preserve"> </w:t>
      </w:r>
      <w:r w:rsidR="00F32B28" w:rsidRPr="00F32B28">
        <w:rPr>
          <w:rtl/>
          <w:lang w:bidi="ar-SY"/>
        </w:rPr>
        <w:t>والأم</w:t>
      </w:r>
      <w:r w:rsidR="00F32B28">
        <w:rPr>
          <w:rtl/>
          <w:lang w:bidi="ar-SY"/>
        </w:rPr>
        <w:t xml:space="preserve"> </w:t>
      </w:r>
      <w:r w:rsidR="00F32B28" w:rsidRPr="00F32B28">
        <w:rPr>
          <w:rtl/>
          <w:lang w:bidi="ar-SY"/>
        </w:rPr>
        <w:t>هي</w:t>
      </w:r>
      <w:r w:rsidR="00F32B28">
        <w:rPr>
          <w:rtl/>
          <w:lang w:bidi="ar-SY"/>
        </w:rPr>
        <w:t xml:space="preserve"> </w:t>
      </w:r>
      <w:r w:rsidR="00F32B28" w:rsidRPr="00F32B28">
        <w:rPr>
          <w:rtl/>
          <w:lang w:bidi="ar-SY"/>
        </w:rPr>
        <w:t>الحاضنة،</w:t>
      </w:r>
      <w:r w:rsidR="00F32B28">
        <w:rPr>
          <w:rtl/>
          <w:lang w:bidi="ar-SY"/>
        </w:rPr>
        <w:t xml:space="preserve"> </w:t>
      </w:r>
      <w:r w:rsidR="00F32B28" w:rsidRPr="00F32B28">
        <w:rPr>
          <w:rtl/>
          <w:lang w:bidi="ar-SY"/>
        </w:rPr>
        <w:t>وتسقط</w:t>
      </w:r>
      <w:r w:rsidR="00F32B28">
        <w:rPr>
          <w:rtl/>
          <w:lang w:bidi="ar-SY"/>
        </w:rPr>
        <w:t xml:space="preserve"> </w:t>
      </w:r>
      <w:r w:rsidR="00F32B28" w:rsidRPr="00F32B28">
        <w:rPr>
          <w:rtl/>
          <w:lang w:bidi="ar-SY"/>
        </w:rPr>
        <w:t>عنها</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ارتبطت</w:t>
      </w:r>
      <w:r w:rsidR="00F32B28">
        <w:rPr>
          <w:rtl/>
          <w:lang w:bidi="ar-SY"/>
        </w:rPr>
        <w:t xml:space="preserve"> </w:t>
      </w:r>
      <w:r w:rsidR="00F32B28" w:rsidRPr="00F32B28">
        <w:rPr>
          <w:rtl/>
          <w:lang w:bidi="ar-SY"/>
        </w:rPr>
        <w:t>بزواج</w:t>
      </w:r>
      <w:r w:rsidR="00F32B28">
        <w:rPr>
          <w:rtl/>
          <w:lang w:bidi="ar-SY"/>
        </w:rPr>
        <w:t xml:space="preserve"> </w:t>
      </w:r>
      <w:r w:rsidR="00F32B28" w:rsidRPr="00F32B28">
        <w:rPr>
          <w:rtl/>
          <w:lang w:bidi="ar-SY"/>
        </w:rPr>
        <w:t>آخر،</w:t>
      </w:r>
      <w:r w:rsidR="00F32B28">
        <w:rPr>
          <w:rtl/>
          <w:lang w:bidi="ar-SY"/>
        </w:rPr>
        <w:t xml:space="preserve"> </w:t>
      </w:r>
      <w:r w:rsidR="00F32B28" w:rsidRPr="00F32B28">
        <w:rPr>
          <w:rtl/>
          <w:lang w:bidi="ar-SY"/>
        </w:rPr>
        <w:t>وتنتقل</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للأب.</w:t>
      </w:r>
    </w:p>
    <w:p w:rsidR="00F32B28" w:rsidRPr="00F32B28" w:rsidRDefault="00565595" w:rsidP="00164771">
      <w:pPr>
        <w:pStyle w:val="SingleTxt"/>
        <w:rPr>
          <w:rtl/>
          <w:lang w:bidi="ar-SY"/>
        </w:rPr>
      </w:pPr>
      <w:r>
        <w:rPr>
          <w:rFonts w:hint="cs"/>
          <w:rtl/>
          <w:lang w:bidi="ar-SY"/>
        </w:rPr>
        <w:t>34</w:t>
      </w:r>
      <w:r w:rsidR="00164771">
        <w:rPr>
          <w:rFonts w:hint="cs"/>
          <w:rtl/>
          <w:lang w:bidi="ar-SY"/>
        </w:rPr>
        <w:t>6</w:t>
      </w:r>
      <w:r>
        <w:rPr>
          <w:rFonts w:hint="cs"/>
          <w:rtl/>
          <w:lang w:bidi="ar-SY"/>
        </w:rPr>
        <w:t xml:space="preserve"> - </w:t>
      </w:r>
      <w:r w:rsidR="00F32B28" w:rsidRPr="00F32B28">
        <w:rPr>
          <w:rtl/>
          <w:lang w:bidi="ar-SY"/>
        </w:rPr>
        <w:t>وعند</w:t>
      </w:r>
      <w:r w:rsidR="00F32B28">
        <w:rPr>
          <w:rtl/>
          <w:lang w:bidi="ar-SY"/>
        </w:rPr>
        <w:t xml:space="preserve"> </w:t>
      </w:r>
      <w:r w:rsidR="00F32B28" w:rsidRPr="00F32B28">
        <w:rPr>
          <w:rtl/>
          <w:lang w:bidi="ar-SY"/>
        </w:rPr>
        <w:t>انتهاء</w:t>
      </w:r>
      <w:r w:rsidR="00F32B28">
        <w:rPr>
          <w:rtl/>
          <w:lang w:bidi="ar-SY"/>
        </w:rPr>
        <w:t xml:space="preserve"> </w:t>
      </w:r>
      <w:r w:rsidR="00F32B28" w:rsidRPr="00F32B28">
        <w:rPr>
          <w:rtl/>
          <w:lang w:bidi="ar-SY"/>
        </w:rPr>
        <w:t>مدة</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تلتزم</w:t>
      </w:r>
      <w:r w:rsidR="00F32B28">
        <w:rPr>
          <w:rtl/>
          <w:lang w:bidi="ar-SY"/>
        </w:rPr>
        <w:t xml:space="preserve"> </w:t>
      </w:r>
      <w:r w:rsidR="00F32B28" w:rsidRPr="00F32B28">
        <w:rPr>
          <w:rtl/>
          <w:lang w:bidi="ar-SY"/>
        </w:rPr>
        <w:t>الحاضنة</w:t>
      </w:r>
      <w:r w:rsidR="00F32B28">
        <w:rPr>
          <w:rtl/>
          <w:lang w:bidi="ar-SY"/>
        </w:rPr>
        <w:t xml:space="preserve"> </w:t>
      </w:r>
      <w:r w:rsidR="00F32B28" w:rsidRPr="00F32B28">
        <w:rPr>
          <w:rtl/>
          <w:lang w:bidi="ar-SY"/>
        </w:rPr>
        <w:t>بتسليم</w:t>
      </w:r>
      <w:r w:rsidR="00F32B28">
        <w:rPr>
          <w:rtl/>
          <w:lang w:bidi="ar-SY"/>
        </w:rPr>
        <w:t xml:space="preserve"> </w:t>
      </w:r>
      <w:r w:rsidR="00F32B28" w:rsidRPr="00F32B28">
        <w:rPr>
          <w:rtl/>
          <w:lang w:bidi="ar-SY"/>
        </w:rPr>
        <w:t>الصغار</w:t>
      </w:r>
      <w:r w:rsidR="00F32B28">
        <w:rPr>
          <w:rtl/>
          <w:lang w:bidi="ar-SY"/>
        </w:rPr>
        <w:t xml:space="preserve"> </w:t>
      </w:r>
      <w:r w:rsidR="00F32B28" w:rsidRPr="00F32B28">
        <w:rPr>
          <w:rtl/>
          <w:lang w:bidi="ar-SY"/>
        </w:rPr>
        <w:t>للأب،</w:t>
      </w:r>
      <w:r w:rsidR="00F32B28">
        <w:rPr>
          <w:rtl/>
          <w:lang w:bidi="ar-SY"/>
        </w:rPr>
        <w:t xml:space="preserve"> </w:t>
      </w:r>
      <w:r w:rsidR="00F32B28" w:rsidRPr="00F32B28">
        <w:rPr>
          <w:rtl/>
          <w:lang w:bidi="ar-SY"/>
        </w:rPr>
        <w:t>وفي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موته</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فقدانه</w:t>
      </w:r>
      <w:r w:rsidR="00F32B28">
        <w:rPr>
          <w:rtl/>
          <w:lang w:bidi="ar-SY"/>
        </w:rPr>
        <w:t xml:space="preserve"> </w:t>
      </w:r>
      <w:r w:rsidR="00F32B28" w:rsidRPr="00F32B28">
        <w:rPr>
          <w:rtl/>
          <w:lang w:bidi="ar-SY"/>
        </w:rPr>
        <w:t>الأهلية</w:t>
      </w:r>
      <w:r w:rsidR="00F32B28">
        <w:rPr>
          <w:rtl/>
          <w:lang w:bidi="ar-SY"/>
        </w:rPr>
        <w:t xml:space="preserve"> </w:t>
      </w:r>
      <w:r w:rsidR="00F32B28" w:rsidRPr="00F32B28">
        <w:rPr>
          <w:rtl/>
          <w:lang w:bidi="ar-SY"/>
        </w:rPr>
        <w:t>للحضانة،</w:t>
      </w:r>
      <w:r w:rsidR="00F32B28">
        <w:rPr>
          <w:rtl/>
          <w:lang w:bidi="ar-SY"/>
        </w:rPr>
        <w:t xml:space="preserve"> </w:t>
      </w:r>
      <w:r w:rsidR="00F32B28" w:rsidRPr="00F32B28">
        <w:rPr>
          <w:rtl/>
          <w:lang w:bidi="ar-SY"/>
        </w:rPr>
        <w:t>فيتم</w:t>
      </w:r>
      <w:r w:rsidR="00F32B28">
        <w:rPr>
          <w:rtl/>
          <w:lang w:bidi="ar-SY"/>
        </w:rPr>
        <w:t xml:space="preserve"> </w:t>
      </w:r>
      <w:r w:rsidR="00F32B28" w:rsidRPr="00F32B28">
        <w:rPr>
          <w:rtl/>
          <w:lang w:bidi="ar-SY"/>
        </w:rPr>
        <w:t>تسليمهم</w:t>
      </w:r>
      <w:r w:rsidR="00F32B28">
        <w:rPr>
          <w:rtl/>
          <w:lang w:bidi="ar-SY"/>
        </w:rPr>
        <w:t xml:space="preserve"> </w:t>
      </w:r>
      <w:r w:rsidR="00F32B28" w:rsidRPr="00F32B28">
        <w:rPr>
          <w:rtl/>
          <w:lang w:bidi="ar-SY"/>
        </w:rPr>
        <w:t>للجد</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العم</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الأخ،</w:t>
      </w:r>
      <w:r w:rsidR="00F32B28">
        <w:rPr>
          <w:rtl/>
          <w:lang w:bidi="ar-SY"/>
        </w:rPr>
        <w:t xml:space="preserve"> </w:t>
      </w:r>
      <w:r w:rsidR="00F32B28" w:rsidRPr="00F32B28">
        <w:rPr>
          <w:rtl/>
          <w:lang w:bidi="ar-SY"/>
        </w:rPr>
        <w:t>وهكذا.</w:t>
      </w:r>
      <w:r w:rsidR="00F32B28">
        <w:rPr>
          <w:rtl/>
          <w:lang w:bidi="ar-SY"/>
        </w:rPr>
        <w:t xml:space="preserve"> </w:t>
      </w:r>
      <w:r w:rsidR="00F32B28" w:rsidRPr="00F32B28">
        <w:rPr>
          <w:rtl/>
          <w:lang w:bidi="ar-SY"/>
        </w:rPr>
        <w:t>وإذا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طالب</w:t>
      </w:r>
      <w:r w:rsidR="00F32B28">
        <w:rPr>
          <w:rtl/>
          <w:lang w:bidi="ar-SY"/>
        </w:rPr>
        <w:t xml:space="preserve"> </w:t>
      </w:r>
      <w:r w:rsidR="00F32B28" w:rsidRPr="00F32B28">
        <w:rPr>
          <w:rtl/>
          <w:lang w:bidi="ar-SY"/>
        </w:rPr>
        <w:t>الأب</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أحد</w:t>
      </w:r>
      <w:r w:rsidR="00F32B28">
        <w:rPr>
          <w:rtl/>
          <w:lang w:bidi="ar-SY"/>
        </w:rPr>
        <w:t xml:space="preserve"> </w:t>
      </w:r>
      <w:r w:rsidR="00F32B28" w:rsidRPr="00F32B28">
        <w:rPr>
          <w:rtl/>
          <w:lang w:bidi="ar-SY"/>
        </w:rPr>
        <w:t>الأولياء</w:t>
      </w:r>
      <w:r w:rsidR="00F32B28">
        <w:rPr>
          <w:rtl/>
          <w:lang w:bidi="ar-SY"/>
        </w:rPr>
        <w:t xml:space="preserve"> </w:t>
      </w:r>
      <w:r w:rsidR="00F32B28" w:rsidRPr="00F32B28">
        <w:rPr>
          <w:rtl/>
          <w:lang w:bidi="ar-SY"/>
        </w:rPr>
        <w:t>المحرمين)</w:t>
      </w:r>
      <w:r w:rsidR="00F32B28">
        <w:rPr>
          <w:rtl/>
          <w:lang w:bidi="ar-SY"/>
        </w:rPr>
        <w:t xml:space="preserve"> </w:t>
      </w:r>
      <w:r w:rsidR="00F32B28" w:rsidRPr="00F32B28">
        <w:rPr>
          <w:rtl/>
          <w:lang w:bidi="ar-SY"/>
        </w:rPr>
        <w:t>الصغيرة</w:t>
      </w:r>
      <w:r w:rsidR="00F32B28">
        <w:rPr>
          <w:rtl/>
          <w:lang w:bidi="ar-SY"/>
        </w:rPr>
        <w:t xml:space="preserve"> </w:t>
      </w:r>
      <w:r w:rsidR="00F32B28" w:rsidRPr="00F32B28">
        <w:rPr>
          <w:rtl/>
          <w:lang w:bidi="ar-SY"/>
        </w:rPr>
        <w:t>للانضمام</w:t>
      </w:r>
      <w:r w:rsidR="00F32B28">
        <w:rPr>
          <w:rtl/>
          <w:lang w:bidi="ar-SY"/>
        </w:rPr>
        <w:t xml:space="preserve"> </w:t>
      </w:r>
      <w:r w:rsidR="00F32B28" w:rsidRPr="00F32B28">
        <w:rPr>
          <w:rtl/>
          <w:lang w:bidi="ar-SY"/>
        </w:rPr>
        <w:t>إليه</w:t>
      </w:r>
      <w:r w:rsidR="00F32B28">
        <w:rPr>
          <w:rtl/>
          <w:lang w:bidi="ar-SY"/>
        </w:rPr>
        <w:t xml:space="preserve"> </w:t>
      </w:r>
      <w:r w:rsidR="00F32B28" w:rsidRPr="00F32B28">
        <w:rPr>
          <w:rtl/>
          <w:lang w:bidi="ar-SY"/>
        </w:rPr>
        <w:t>بعد</w:t>
      </w:r>
      <w:r w:rsidR="00F32B28">
        <w:rPr>
          <w:rtl/>
          <w:lang w:bidi="ar-SY"/>
        </w:rPr>
        <w:t xml:space="preserve"> </w:t>
      </w:r>
      <w:r w:rsidR="00F32B28" w:rsidRPr="00F32B28">
        <w:rPr>
          <w:rtl/>
          <w:lang w:bidi="ar-SY"/>
        </w:rPr>
        <w:t>انتهاء</w:t>
      </w:r>
      <w:r w:rsidR="00F32B28">
        <w:rPr>
          <w:rtl/>
          <w:lang w:bidi="ar-SY"/>
        </w:rPr>
        <w:t xml:space="preserve"> </w:t>
      </w:r>
      <w:r w:rsidR="00F32B28" w:rsidRPr="00F32B28">
        <w:rPr>
          <w:rtl/>
          <w:lang w:bidi="ar-SY"/>
        </w:rPr>
        <w:t>مدة</w:t>
      </w:r>
      <w:r w:rsidR="00F32B28">
        <w:rPr>
          <w:rtl/>
          <w:lang w:bidi="ar-SY"/>
        </w:rPr>
        <w:t xml:space="preserve"> </w:t>
      </w:r>
      <w:r w:rsidR="00F32B28" w:rsidRPr="00F32B28">
        <w:rPr>
          <w:rtl/>
          <w:lang w:bidi="ar-SY"/>
        </w:rPr>
        <w:t>الحضانة</w:t>
      </w:r>
      <w:r w:rsidR="00F32B28">
        <w:rPr>
          <w:rtl/>
          <w:lang w:bidi="ar-SY"/>
        </w:rPr>
        <w:t xml:space="preserve"> </w:t>
      </w:r>
      <w:r w:rsidR="00F32B28" w:rsidRPr="00F32B28">
        <w:rPr>
          <w:rtl/>
          <w:lang w:bidi="ar-SY"/>
        </w:rPr>
        <w:t>ورفضت</w:t>
      </w:r>
      <w:r w:rsidR="00F32B28">
        <w:rPr>
          <w:rtl/>
          <w:lang w:bidi="ar-SY"/>
        </w:rPr>
        <w:t xml:space="preserve"> </w:t>
      </w:r>
      <w:r w:rsidR="00F32B28" w:rsidRPr="00F32B28">
        <w:rPr>
          <w:rtl/>
          <w:lang w:bidi="ar-SY"/>
        </w:rPr>
        <w:t>الانضمام</w:t>
      </w:r>
      <w:r w:rsidR="00F32B28">
        <w:rPr>
          <w:rtl/>
          <w:lang w:bidi="ar-SY"/>
        </w:rPr>
        <w:t xml:space="preserve"> </w:t>
      </w:r>
      <w:r w:rsidR="00F32B28" w:rsidRPr="00F32B28">
        <w:rPr>
          <w:rtl/>
          <w:lang w:bidi="ar-SY"/>
        </w:rPr>
        <w:t>بغير</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يستطيع</w:t>
      </w:r>
      <w:r w:rsidR="00F32B28">
        <w:rPr>
          <w:rtl/>
          <w:lang w:bidi="ar-SY"/>
        </w:rPr>
        <w:t xml:space="preserve"> </w:t>
      </w:r>
      <w:r w:rsidR="00F32B28" w:rsidRPr="00F32B28">
        <w:rPr>
          <w:rtl/>
          <w:lang w:bidi="ar-SY"/>
        </w:rPr>
        <w:t>طالبها</w:t>
      </w:r>
      <w:r w:rsidR="00F32B28">
        <w:rPr>
          <w:rtl/>
          <w:lang w:bidi="ar-SY"/>
        </w:rPr>
        <w:t xml:space="preserve"> </w:t>
      </w:r>
      <w:r w:rsidR="00F32B28" w:rsidRPr="00F32B28">
        <w:rPr>
          <w:rtl/>
          <w:lang w:bidi="ar-SY"/>
        </w:rPr>
        <w:t>أن</w:t>
      </w:r>
      <w:r w:rsidR="00F32B28">
        <w:rPr>
          <w:rtl/>
          <w:lang w:bidi="ar-SY"/>
        </w:rPr>
        <w:t xml:space="preserve"> </w:t>
      </w:r>
      <w:r w:rsidR="00F32B28" w:rsidRPr="00F32B28">
        <w:rPr>
          <w:rtl/>
          <w:lang w:bidi="ar-SY"/>
        </w:rPr>
        <w:t>يقطع</w:t>
      </w:r>
      <w:r w:rsidR="00F32B28">
        <w:rPr>
          <w:rtl/>
          <w:lang w:bidi="ar-SY"/>
        </w:rPr>
        <w:t xml:space="preserve"> </w:t>
      </w:r>
      <w:r w:rsidR="00F32B28" w:rsidRPr="00F32B28">
        <w:rPr>
          <w:rtl/>
          <w:lang w:bidi="ar-SY"/>
        </w:rPr>
        <w:t>عنها</w:t>
      </w:r>
      <w:r w:rsidR="00F32B28">
        <w:rPr>
          <w:rtl/>
          <w:lang w:bidi="ar-SY"/>
        </w:rPr>
        <w:t xml:space="preserve"> </w:t>
      </w:r>
      <w:r w:rsidR="00F32B28" w:rsidRPr="00F32B28">
        <w:rPr>
          <w:rtl/>
          <w:lang w:bidi="ar-SY"/>
        </w:rPr>
        <w:t>نفقتها</w:t>
      </w:r>
      <w:r w:rsidR="00F32B28">
        <w:rPr>
          <w:rtl/>
          <w:lang w:bidi="ar-SY"/>
        </w:rPr>
        <w:t xml:space="preserve"> </w:t>
      </w:r>
      <w:r w:rsidR="00F32B28" w:rsidRPr="00F32B28">
        <w:rPr>
          <w:rtl/>
          <w:lang w:bidi="ar-SY"/>
        </w:rPr>
        <w:t>المفروضة</w:t>
      </w:r>
      <w:r w:rsidR="00F32B28">
        <w:rPr>
          <w:rtl/>
          <w:lang w:bidi="ar-SY"/>
        </w:rPr>
        <w:t xml:space="preserve"> </w:t>
      </w:r>
      <w:r w:rsidR="00F32B28" w:rsidRPr="00F32B28">
        <w:rPr>
          <w:rtl/>
          <w:lang w:bidi="ar-SY"/>
        </w:rPr>
        <w:t>باعتبارها</w:t>
      </w:r>
      <w:r w:rsidR="00F32B28">
        <w:rPr>
          <w:rtl/>
          <w:lang w:bidi="ar-SY"/>
        </w:rPr>
        <w:t xml:space="preserve"> </w:t>
      </w:r>
      <w:r w:rsidR="00F32B28" w:rsidRPr="00F32B28">
        <w:rPr>
          <w:rtl/>
          <w:lang w:bidi="ar-SY"/>
        </w:rPr>
        <w:t>متمردة.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حين</w:t>
      </w:r>
      <w:r w:rsidR="00F32B28">
        <w:rPr>
          <w:rtl/>
          <w:lang w:bidi="ar-SY"/>
        </w:rPr>
        <w:t xml:space="preserve"> </w:t>
      </w:r>
      <w:r w:rsidR="00F32B28" w:rsidRPr="00F32B28">
        <w:rPr>
          <w:rtl/>
          <w:lang w:bidi="ar-SY"/>
        </w:rPr>
        <w:t>يخير</w:t>
      </w:r>
      <w:r w:rsidR="00F32B28">
        <w:rPr>
          <w:rtl/>
          <w:lang w:bidi="ar-SY"/>
        </w:rPr>
        <w:t xml:space="preserve"> </w:t>
      </w:r>
      <w:r w:rsidR="00F32B28" w:rsidRPr="00F32B28">
        <w:rPr>
          <w:rtl/>
          <w:lang w:bidi="ar-SY"/>
        </w:rPr>
        <w:t>الصغير</w:t>
      </w:r>
      <w:r w:rsidR="00F32B28">
        <w:rPr>
          <w:rtl/>
          <w:lang w:bidi="ar-SY"/>
        </w:rPr>
        <w:t xml:space="preserve"> </w:t>
      </w:r>
      <w:r w:rsidR="00F32B28" w:rsidRPr="00F32B28">
        <w:rPr>
          <w:rtl/>
          <w:lang w:bidi="ar-SY"/>
        </w:rPr>
        <w:t>الذكر</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الأم</w:t>
      </w:r>
      <w:r w:rsidR="00F32B28">
        <w:rPr>
          <w:rtl/>
          <w:lang w:bidi="ar-SY"/>
        </w:rPr>
        <w:t xml:space="preserve"> </w:t>
      </w:r>
      <w:r w:rsidR="00F32B28" w:rsidRPr="00F32B28">
        <w:rPr>
          <w:rtl/>
          <w:lang w:bidi="ar-SY"/>
        </w:rPr>
        <w:t>والأب</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حال</w:t>
      </w:r>
      <w:r w:rsidR="00F32B28">
        <w:rPr>
          <w:rtl/>
          <w:lang w:bidi="ar-SY"/>
        </w:rPr>
        <w:t xml:space="preserve"> </w:t>
      </w:r>
      <w:r w:rsidR="00F32B28" w:rsidRPr="00F32B28">
        <w:rPr>
          <w:rtl/>
          <w:lang w:bidi="ar-SY"/>
        </w:rPr>
        <w:t>الحكم</w:t>
      </w:r>
      <w:r w:rsidR="00F32B28">
        <w:rPr>
          <w:rtl/>
          <w:lang w:bidi="ar-SY"/>
        </w:rPr>
        <w:t xml:space="preserve"> </w:t>
      </w:r>
      <w:r w:rsidR="00F32B28" w:rsidRPr="00F32B28">
        <w:rPr>
          <w:rtl/>
          <w:lang w:bidi="ar-SY"/>
        </w:rPr>
        <w:t>عليه</w:t>
      </w:r>
      <w:r w:rsidR="00F32B28">
        <w:rPr>
          <w:rtl/>
          <w:lang w:bidi="ar-SY"/>
        </w:rPr>
        <w:t xml:space="preserve"> </w:t>
      </w:r>
      <w:r w:rsidR="00F32B28" w:rsidRPr="00F32B28">
        <w:rPr>
          <w:rtl/>
          <w:lang w:bidi="ar-SY"/>
        </w:rPr>
        <w:t>بالضم،</w:t>
      </w:r>
      <w:r w:rsidR="00F32B28">
        <w:rPr>
          <w:rtl/>
          <w:lang w:bidi="ar-SY"/>
        </w:rPr>
        <w:t xml:space="preserve"> </w:t>
      </w:r>
      <w:r w:rsidR="00F32B28" w:rsidRPr="00F32B28">
        <w:rPr>
          <w:rtl/>
          <w:lang w:bidi="ar-SY"/>
        </w:rPr>
        <w:t>ولا</w:t>
      </w:r>
      <w:r w:rsidR="00F32B28">
        <w:rPr>
          <w:rtl/>
          <w:lang w:bidi="ar-SY"/>
        </w:rPr>
        <w:t xml:space="preserve"> </w:t>
      </w:r>
      <w:r w:rsidR="00F32B28" w:rsidRPr="00F32B28">
        <w:rPr>
          <w:rtl/>
          <w:lang w:bidi="ar-SY"/>
        </w:rPr>
        <w:t>تقطع</w:t>
      </w:r>
      <w:r w:rsidR="00F32B28">
        <w:rPr>
          <w:rtl/>
          <w:lang w:bidi="ar-SY"/>
        </w:rPr>
        <w:t xml:space="preserve"> </w:t>
      </w:r>
      <w:r w:rsidR="00F32B28" w:rsidRPr="00F32B28">
        <w:rPr>
          <w:rtl/>
          <w:lang w:bidi="ar-SY"/>
        </w:rPr>
        <w:t>عنه</w:t>
      </w:r>
      <w:r w:rsidR="00F32B28">
        <w:rPr>
          <w:rtl/>
          <w:lang w:bidi="ar-SY"/>
        </w:rPr>
        <w:t xml:space="preserve"> </w:t>
      </w:r>
      <w:r w:rsidR="00F32B28" w:rsidRPr="00F32B28">
        <w:rPr>
          <w:rtl/>
          <w:lang w:bidi="ar-SY"/>
        </w:rPr>
        <w:t>النفقة</w:t>
      </w:r>
      <w:r w:rsidR="00F32B28">
        <w:rPr>
          <w:rtl/>
          <w:lang w:bidi="ar-SY"/>
        </w:rPr>
        <w:t xml:space="preserve"> </w:t>
      </w:r>
      <w:r w:rsidR="00F32B28" w:rsidRPr="00F32B28">
        <w:rPr>
          <w:rtl/>
          <w:lang w:bidi="ar-SY"/>
        </w:rPr>
        <w:t>إذا</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اختار</w:t>
      </w:r>
      <w:r w:rsidR="00F32B28">
        <w:rPr>
          <w:rtl/>
          <w:lang w:bidi="ar-SY"/>
        </w:rPr>
        <w:t xml:space="preserve"> </w:t>
      </w:r>
      <w:r w:rsidR="00F32B28" w:rsidRPr="00F32B28">
        <w:rPr>
          <w:rtl/>
          <w:lang w:bidi="ar-SY"/>
        </w:rPr>
        <w:t>البقاء</w:t>
      </w:r>
      <w:r w:rsidR="00F32B28">
        <w:rPr>
          <w:rtl/>
          <w:lang w:bidi="ar-SY"/>
        </w:rPr>
        <w:t xml:space="preserve"> </w:t>
      </w:r>
      <w:r w:rsidR="00F32B28" w:rsidRPr="00F32B28">
        <w:rPr>
          <w:rtl/>
          <w:lang w:bidi="ar-SY"/>
        </w:rPr>
        <w:t>مع</w:t>
      </w:r>
      <w:r w:rsidR="00F32B28">
        <w:rPr>
          <w:rtl/>
          <w:lang w:bidi="ar-SY"/>
        </w:rPr>
        <w:t xml:space="preserve"> </w:t>
      </w:r>
      <w:r w:rsidR="00F32B28" w:rsidRPr="00F32B28">
        <w:rPr>
          <w:rtl/>
          <w:lang w:bidi="ar-SY"/>
        </w:rPr>
        <w:t>الأم.</w:t>
      </w:r>
      <w:r w:rsidR="00F32B28">
        <w:rPr>
          <w:rtl/>
          <w:lang w:bidi="ar-SY"/>
        </w:rPr>
        <w:t xml:space="preserve"> </w:t>
      </w:r>
    </w:p>
    <w:p w:rsidR="00F32B28" w:rsidRPr="00F32B28" w:rsidRDefault="00565595" w:rsidP="00164771">
      <w:pPr>
        <w:pStyle w:val="SingleTxt"/>
        <w:rPr>
          <w:rtl/>
          <w:lang w:bidi="ar-SY"/>
        </w:rPr>
      </w:pPr>
      <w:r>
        <w:rPr>
          <w:rFonts w:hint="cs"/>
          <w:rtl/>
          <w:lang w:bidi="ar-SY"/>
        </w:rPr>
        <w:t>34</w:t>
      </w:r>
      <w:r w:rsidR="00164771">
        <w:rPr>
          <w:rFonts w:hint="cs"/>
          <w:rtl/>
          <w:lang w:bidi="ar-SY"/>
        </w:rPr>
        <w:t>7</w:t>
      </w:r>
      <w:r>
        <w:rPr>
          <w:rFonts w:hint="cs"/>
          <w:rtl/>
          <w:lang w:bidi="ar-SY"/>
        </w:rPr>
        <w:t xml:space="preserve"> - </w:t>
      </w:r>
      <w:r w:rsidR="00F32B28" w:rsidRPr="00F32B28">
        <w:rPr>
          <w:rtl/>
          <w:lang w:bidi="ar-SY"/>
        </w:rPr>
        <w:t>وللأم،</w:t>
      </w:r>
      <w:r w:rsidR="00F32B28">
        <w:rPr>
          <w:rtl/>
          <w:lang w:bidi="ar-SY"/>
        </w:rPr>
        <w:t xml:space="preserve"> </w:t>
      </w:r>
      <w:r w:rsidR="00F32B28" w:rsidRPr="00F32B28">
        <w:rPr>
          <w:rtl/>
          <w:lang w:bidi="ar-SY"/>
        </w:rPr>
        <w:t>كما</w:t>
      </w:r>
      <w:r w:rsidR="00F32B28">
        <w:rPr>
          <w:rtl/>
          <w:lang w:bidi="ar-SY"/>
        </w:rPr>
        <w:t xml:space="preserve"> </w:t>
      </w:r>
      <w:r w:rsidR="00F32B28" w:rsidRPr="00F32B28">
        <w:rPr>
          <w:rtl/>
          <w:lang w:bidi="ar-SY"/>
        </w:rPr>
        <w:t>الأب،</w:t>
      </w:r>
      <w:r w:rsidR="00F32B28">
        <w:rPr>
          <w:rtl/>
          <w:lang w:bidi="ar-SY"/>
        </w:rPr>
        <w:t xml:space="preserve"> </w:t>
      </w:r>
      <w:r w:rsidR="00F32B28" w:rsidRPr="00F32B28">
        <w:rPr>
          <w:rtl/>
          <w:lang w:bidi="ar-SY"/>
        </w:rPr>
        <w:t>الحق</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مشاهدة</w:t>
      </w:r>
      <w:r w:rsidR="00F32B28">
        <w:rPr>
          <w:rtl/>
          <w:lang w:bidi="ar-SY"/>
        </w:rPr>
        <w:t xml:space="preserve"> </w:t>
      </w:r>
      <w:r w:rsidR="00F32B28" w:rsidRPr="00F32B28">
        <w:rPr>
          <w:rtl/>
          <w:lang w:bidi="ar-SY"/>
        </w:rPr>
        <w:t>واستضافة</w:t>
      </w:r>
      <w:r w:rsidR="00F32B28">
        <w:rPr>
          <w:rtl/>
          <w:lang w:bidi="ar-SY"/>
        </w:rPr>
        <w:t xml:space="preserve"> </w:t>
      </w:r>
      <w:r w:rsidR="00F32B28" w:rsidRPr="00F32B28">
        <w:rPr>
          <w:rtl/>
          <w:lang w:bidi="ar-SY"/>
        </w:rPr>
        <w:t>أولادها</w:t>
      </w:r>
      <w:r w:rsidR="00F32B28">
        <w:rPr>
          <w:rtl/>
          <w:lang w:bidi="ar-SY"/>
        </w:rPr>
        <w:t xml:space="preserve"> </w:t>
      </w:r>
      <w:r w:rsidR="00F32B28" w:rsidRPr="00F32B28">
        <w:rPr>
          <w:rtl/>
          <w:lang w:bidi="ar-SY"/>
        </w:rPr>
        <w:t>عندما</w:t>
      </w:r>
      <w:r w:rsidR="00F32B28">
        <w:rPr>
          <w:rtl/>
          <w:lang w:bidi="ar-SY"/>
        </w:rPr>
        <w:t xml:space="preserve"> </w:t>
      </w:r>
      <w:r w:rsidR="00F32B28" w:rsidRPr="00F32B28">
        <w:rPr>
          <w:rtl/>
          <w:lang w:bidi="ar-SY"/>
        </w:rPr>
        <w:t>يكونوا</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يد</w:t>
      </w:r>
      <w:r w:rsidR="00F32B28">
        <w:rPr>
          <w:rtl/>
          <w:lang w:bidi="ar-SY"/>
        </w:rPr>
        <w:t xml:space="preserve"> </w:t>
      </w:r>
      <w:r w:rsidR="00F32B28" w:rsidRPr="00F32B28">
        <w:rPr>
          <w:rtl/>
          <w:lang w:bidi="ar-SY"/>
        </w:rPr>
        <w:t>ممن</w:t>
      </w:r>
      <w:r w:rsidR="00F32B28">
        <w:rPr>
          <w:rtl/>
          <w:lang w:bidi="ar-SY"/>
        </w:rPr>
        <w:t xml:space="preserve"> </w:t>
      </w:r>
      <w:r w:rsidR="00F32B28" w:rsidRPr="00F32B28">
        <w:rPr>
          <w:rtl/>
          <w:lang w:bidi="ar-SY"/>
        </w:rPr>
        <w:t>له</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حضانتهم.</w:t>
      </w:r>
      <w:r w:rsidR="00F32B28">
        <w:rPr>
          <w:rtl/>
          <w:lang w:bidi="ar-SY"/>
        </w:rPr>
        <w:t xml:space="preserve"> </w:t>
      </w:r>
      <w:r w:rsidR="00F32B28" w:rsidRPr="00F32B28">
        <w:rPr>
          <w:rtl/>
          <w:lang w:bidi="ar-SY"/>
        </w:rPr>
        <w:t>حيث</w:t>
      </w:r>
      <w:r w:rsidR="00F32B28">
        <w:rPr>
          <w:rtl/>
          <w:lang w:bidi="ar-SY"/>
        </w:rPr>
        <w:t xml:space="preserve"> </w:t>
      </w:r>
      <w:r w:rsidR="00F32B28" w:rsidRPr="00F32B28">
        <w:rPr>
          <w:rtl/>
          <w:lang w:bidi="ar-SY"/>
        </w:rPr>
        <w:t>يحق</w:t>
      </w:r>
      <w:r w:rsidR="00F32B28">
        <w:rPr>
          <w:rtl/>
          <w:lang w:bidi="ar-SY"/>
        </w:rPr>
        <w:t xml:space="preserve"> </w:t>
      </w:r>
      <w:r w:rsidR="00F32B28" w:rsidRPr="00F32B28">
        <w:rPr>
          <w:rtl/>
          <w:lang w:bidi="ar-SY"/>
        </w:rPr>
        <w:t>لها</w:t>
      </w:r>
      <w:r w:rsidR="00F32B28">
        <w:rPr>
          <w:rtl/>
          <w:lang w:bidi="ar-SY"/>
        </w:rPr>
        <w:t xml:space="preserve"> </w:t>
      </w:r>
      <w:r w:rsidR="00F32B28" w:rsidRPr="00F32B28">
        <w:rPr>
          <w:rtl/>
          <w:lang w:bidi="ar-SY"/>
        </w:rPr>
        <w:t>رؤيتهم</w:t>
      </w:r>
      <w:r w:rsidR="00F32B28">
        <w:rPr>
          <w:rtl/>
          <w:lang w:bidi="ar-SY"/>
        </w:rPr>
        <w:t xml:space="preserve"> </w:t>
      </w:r>
      <w:r w:rsidR="00F32B28" w:rsidRPr="00F32B28">
        <w:rPr>
          <w:rtl/>
          <w:lang w:bidi="ar-SY"/>
        </w:rPr>
        <w:t>واستضافتهم</w:t>
      </w:r>
      <w:r w:rsidR="00F32B28">
        <w:rPr>
          <w:rtl/>
          <w:lang w:bidi="ar-SY"/>
        </w:rPr>
        <w:t xml:space="preserve"> </w:t>
      </w:r>
      <w:r w:rsidR="00F32B28" w:rsidRPr="00F32B28">
        <w:rPr>
          <w:rtl/>
          <w:lang w:bidi="ar-SY"/>
        </w:rPr>
        <w:t>مرة</w:t>
      </w:r>
      <w:r w:rsidR="00F32B28">
        <w:rPr>
          <w:rtl/>
          <w:lang w:bidi="ar-SY"/>
        </w:rPr>
        <w:t xml:space="preserve"> </w:t>
      </w:r>
      <w:r w:rsidR="00F32B28" w:rsidRPr="00F32B28">
        <w:rPr>
          <w:rtl/>
          <w:lang w:bidi="ar-SY"/>
        </w:rPr>
        <w:t>واحدة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الأسبوع</w:t>
      </w:r>
      <w:r w:rsidR="00F32B28">
        <w:rPr>
          <w:rtl/>
          <w:lang w:bidi="ar-SY"/>
        </w:rPr>
        <w:t xml:space="preserve"> </w:t>
      </w:r>
      <w:r w:rsidR="00F32B28" w:rsidRPr="00F32B28">
        <w:rPr>
          <w:rtl/>
          <w:lang w:bidi="ar-SY"/>
        </w:rPr>
        <w:t>لمدة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تقل</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أربع</w:t>
      </w:r>
      <w:r w:rsidR="00F32B28">
        <w:rPr>
          <w:rtl/>
          <w:lang w:bidi="ar-SY"/>
        </w:rPr>
        <w:t xml:space="preserve"> </w:t>
      </w:r>
      <w:r w:rsidR="00F32B28" w:rsidRPr="00F32B28">
        <w:rPr>
          <w:rtl/>
          <w:lang w:bidi="ar-SY"/>
        </w:rPr>
        <w:t>وعشرين</w:t>
      </w:r>
      <w:r w:rsidR="00F32B28">
        <w:rPr>
          <w:rtl/>
          <w:lang w:bidi="ar-SY"/>
        </w:rPr>
        <w:t xml:space="preserve"> </w:t>
      </w:r>
      <w:r w:rsidR="00F32B28" w:rsidRPr="00F32B28">
        <w:rPr>
          <w:rtl/>
          <w:lang w:bidi="ar-SY"/>
        </w:rPr>
        <w:t>ساعة،</w:t>
      </w:r>
      <w:r w:rsidR="00F32B28">
        <w:rPr>
          <w:rtl/>
          <w:lang w:bidi="ar-SY"/>
        </w:rPr>
        <w:t xml:space="preserve"> </w:t>
      </w:r>
      <w:r w:rsidR="00F32B28" w:rsidRPr="00F32B28">
        <w:rPr>
          <w:rtl/>
          <w:lang w:bidi="ar-SY"/>
        </w:rPr>
        <w:t>وأن</w:t>
      </w:r>
      <w:r w:rsidR="00F32B28">
        <w:rPr>
          <w:rtl/>
          <w:lang w:bidi="ar-SY"/>
        </w:rPr>
        <w:t xml:space="preserve"> </w:t>
      </w:r>
      <w:r w:rsidR="00F32B28" w:rsidRPr="00F32B28">
        <w:rPr>
          <w:rtl/>
          <w:lang w:bidi="ar-SY"/>
        </w:rPr>
        <w:t>تعيدهم</w:t>
      </w:r>
      <w:r w:rsidR="00F32B28">
        <w:rPr>
          <w:rtl/>
          <w:lang w:bidi="ar-SY"/>
        </w:rPr>
        <w:t xml:space="preserve"> </w:t>
      </w:r>
      <w:r w:rsidR="00F32B28" w:rsidRPr="00F32B28">
        <w:rPr>
          <w:rtl/>
          <w:lang w:bidi="ar-SY"/>
        </w:rPr>
        <w:t>إلى</w:t>
      </w:r>
      <w:r w:rsidR="00F32B28">
        <w:rPr>
          <w:rtl/>
          <w:lang w:bidi="ar-SY"/>
        </w:rPr>
        <w:t xml:space="preserve"> </w:t>
      </w:r>
      <w:r w:rsidR="00F32B28" w:rsidRPr="00F32B28">
        <w:rPr>
          <w:rtl/>
          <w:lang w:bidi="ar-SY"/>
        </w:rPr>
        <w:t>حاضنهم</w:t>
      </w:r>
      <w:r w:rsidR="00F32B28">
        <w:rPr>
          <w:rtl/>
          <w:lang w:bidi="ar-SY"/>
        </w:rPr>
        <w:t xml:space="preserve"> </w:t>
      </w:r>
      <w:r w:rsidR="00F32B28" w:rsidRPr="00F32B28">
        <w:rPr>
          <w:rtl/>
          <w:lang w:bidi="ar-SY"/>
        </w:rPr>
        <w:t>عند</w:t>
      </w:r>
      <w:r w:rsidR="00F32B28">
        <w:rPr>
          <w:rtl/>
          <w:lang w:bidi="ar-SY"/>
        </w:rPr>
        <w:t xml:space="preserve"> </w:t>
      </w:r>
      <w:r w:rsidR="00F32B28" w:rsidRPr="00F32B28">
        <w:rPr>
          <w:rtl/>
          <w:lang w:bidi="ar-SY"/>
        </w:rPr>
        <w:t>انتهاء</w:t>
      </w:r>
      <w:r w:rsidR="00F32B28">
        <w:rPr>
          <w:rtl/>
          <w:lang w:bidi="ar-SY"/>
        </w:rPr>
        <w:t xml:space="preserve"> </w:t>
      </w:r>
      <w:r w:rsidR="00F32B28" w:rsidRPr="00F32B28">
        <w:rPr>
          <w:rtl/>
          <w:lang w:bidi="ar-SY"/>
        </w:rPr>
        <w:t>المدة.</w:t>
      </w:r>
      <w:r w:rsidR="00F32B28">
        <w:rPr>
          <w:rtl/>
          <w:lang w:bidi="ar-SY"/>
        </w:rPr>
        <w:t xml:space="preserve"> </w:t>
      </w:r>
      <w:r w:rsidR="00F32B28" w:rsidRPr="00F32B28">
        <w:rPr>
          <w:rtl/>
        </w:rPr>
        <w:t>كما</w:t>
      </w:r>
      <w:r w:rsidR="00F32B28">
        <w:rPr>
          <w:rtl/>
        </w:rPr>
        <w:t xml:space="preserve"> </w:t>
      </w:r>
      <w:r w:rsidR="00F32B28" w:rsidRPr="00F32B28">
        <w:rPr>
          <w:rtl/>
        </w:rPr>
        <w:t>يحق</w:t>
      </w:r>
      <w:r w:rsidR="00F32B28">
        <w:rPr>
          <w:rtl/>
        </w:rPr>
        <w:t xml:space="preserve"> </w:t>
      </w:r>
      <w:r w:rsidR="00F32B28" w:rsidRPr="00F32B28">
        <w:rPr>
          <w:rtl/>
        </w:rPr>
        <w:t>للأم</w:t>
      </w:r>
      <w:r w:rsidR="00F32B28">
        <w:rPr>
          <w:rtl/>
        </w:rPr>
        <w:t xml:space="preserve"> </w:t>
      </w:r>
      <w:r w:rsidR="00F32B28" w:rsidRPr="00F32B28">
        <w:rPr>
          <w:rtl/>
        </w:rPr>
        <w:t>المحكوم</w:t>
      </w:r>
      <w:r w:rsidR="00F32B28">
        <w:rPr>
          <w:rtl/>
        </w:rPr>
        <w:t xml:space="preserve"> </w:t>
      </w:r>
      <w:r w:rsidR="00F32B28" w:rsidRPr="00F32B28">
        <w:rPr>
          <w:rtl/>
        </w:rPr>
        <w:t>لها</w:t>
      </w:r>
      <w:r w:rsidR="00F32B28">
        <w:rPr>
          <w:rtl/>
        </w:rPr>
        <w:t xml:space="preserve"> </w:t>
      </w:r>
      <w:r w:rsidR="00F32B28" w:rsidRPr="00F32B28">
        <w:rPr>
          <w:rtl/>
        </w:rPr>
        <w:t>طلب</w:t>
      </w:r>
      <w:r w:rsidR="00F32B28">
        <w:rPr>
          <w:rtl/>
        </w:rPr>
        <w:t xml:space="preserve"> </w:t>
      </w:r>
      <w:r w:rsidR="00F32B28" w:rsidRPr="00F32B28">
        <w:rPr>
          <w:rtl/>
        </w:rPr>
        <w:t>التنفيذ</w:t>
      </w:r>
      <w:r w:rsidR="00F32B28">
        <w:rPr>
          <w:rtl/>
        </w:rPr>
        <w:t xml:space="preserve"> </w:t>
      </w:r>
      <w:r w:rsidR="00F32B28" w:rsidRPr="00F32B28">
        <w:rPr>
          <w:rtl/>
        </w:rPr>
        <w:t>المعجل</w:t>
      </w:r>
      <w:r w:rsidR="00F32B28">
        <w:rPr>
          <w:rtl/>
        </w:rPr>
        <w:t xml:space="preserve"> </w:t>
      </w:r>
      <w:r w:rsidR="00F32B28" w:rsidRPr="00F32B28">
        <w:rPr>
          <w:rtl/>
        </w:rPr>
        <w:t>بغير</w:t>
      </w:r>
      <w:r w:rsidR="00F32B28">
        <w:rPr>
          <w:rtl/>
        </w:rPr>
        <w:t xml:space="preserve"> </w:t>
      </w:r>
      <w:r w:rsidR="00F32B28" w:rsidRPr="00F32B28">
        <w:rPr>
          <w:rtl/>
        </w:rPr>
        <w:t>كفالة</w:t>
      </w:r>
      <w:r w:rsidR="00F32B28">
        <w:rPr>
          <w:rtl/>
        </w:rPr>
        <w:t xml:space="preserve"> </w:t>
      </w:r>
      <w:r w:rsidR="00F32B28" w:rsidRPr="00F32B28">
        <w:rPr>
          <w:rtl/>
        </w:rPr>
        <w:t>للأحكام</w:t>
      </w:r>
      <w:r w:rsidR="00F32B28">
        <w:rPr>
          <w:rtl/>
        </w:rPr>
        <w:t xml:space="preserve"> </w:t>
      </w:r>
      <w:r w:rsidR="00F32B28" w:rsidRPr="00F32B28">
        <w:rPr>
          <w:rtl/>
        </w:rPr>
        <w:t>الصادرة</w:t>
      </w:r>
      <w:r w:rsidR="00F32B28">
        <w:rPr>
          <w:rtl/>
        </w:rPr>
        <w:t xml:space="preserve"> </w:t>
      </w:r>
      <w:r w:rsidR="00F32B28" w:rsidRPr="00F32B28">
        <w:rPr>
          <w:rtl/>
        </w:rPr>
        <w:t>بتسليم</w:t>
      </w:r>
      <w:r w:rsidR="00F32B28">
        <w:rPr>
          <w:rtl/>
        </w:rPr>
        <w:t xml:space="preserve"> </w:t>
      </w:r>
      <w:r w:rsidR="00F32B28" w:rsidRPr="00F32B28">
        <w:rPr>
          <w:rtl/>
        </w:rPr>
        <w:t>الصغير</w:t>
      </w:r>
      <w:r w:rsidR="00F32B28">
        <w:rPr>
          <w:rtl/>
        </w:rPr>
        <w:t xml:space="preserve"> </w:t>
      </w:r>
      <w:r w:rsidR="00F32B28" w:rsidRPr="00F32B28">
        <w:rPr>
          <w:rtl/>
        </w:rPr>
        <w:t>أو</w:t>
      </w:r>
      <w:r w:rsidR="00F32B28">
        <w:rPr>
          <w:rtl/>
        </w:rPr>
        <w:t xml:space="preserve"> </w:t>
      </w:r>
      <w:r w:rsidR="00F32B28" w:rsidRPr="00F32B28">
        <w:rPr>
          <w:rtl/>
        </w:rPr>
        <w:t>رؤيته</w:t>
      </w:r>
      <w:r w:rsidR="00F32B28">
        <w:rPr>
          <w:rtl/>
        </w:rPr>
        <w:t xml:space="preserve"> </w:t>
      </w:r>
      <w:r w:rsidR="00F32B28" w:rsidRPr="00F32B28">
        <w:rPr>
          <w:rtl/>
        </w:rPr>
        <w:t>وطلب</w:t>
      </w:r>
      <w:r w:rsidR="00F32B28">
        <w:rPr>
          <w:rtl/>
        </w:rPr>
        <w:t xml:space="preserve"> </w:t>
      </w:r>
      <w:r w:rsidR="00F32B28" w:rsidRPr="00F32B28">
        <w:rPr>
          <w:rtl/>
        </w:rPr>
        <w:t>حبس</w:t>
      </w:r>
      <w:r w:rsidR="00F32B28">
        <w:rPr>
          <w:rtl/>
        </w:rPr>
        <w:t xml:space="preserve"> </w:t>
      </w:r>
      <w:r w:rsidR="00F32B28" w:rsidRPr="00F32B28">
        <w:rPr>
          <w:rtl/>
        </w:rPr>
        <w:t>الحاضن</w:t>
      </w:r>
      <w:r w:rsidR="00F32B28">
        <w:rPr>
          <w:rtl/>
        </w:rPr>
        <w:t xml:space="preserve"> </w:t>
      </w:r>
      <w:r w:rsidR="00F32B28" w:rsidRPr="00F32B28">
        <w:rPr>
          <w:rtl/>
        </w:rPr>
        <w:t>الممتنع،</w:t>
      </w:r>
      <w:r w:rsidR="00F32B28">
        <w:rPr>
          <w:rtl/>
        </w:rPr>
        <w:t xml:space="preserve"> </w:t>
      </w:r>
      <w:r w:rsidR="00F32B28" w:rsidRPr="00F32B28">
        <w:rPr>
          <w:rtl/>
        </w:rPr>
        <w:t>ولو</w:t>
      </w:r>
      <w:r w:rsidR="00F32B28">
        <w:rPr>
          <w:rtl/>
        </w:rPr>
        <w:t xml:space="preserve"> </w:t>
      </w:r>
      <w:r w:rsidR="00F32B28" w:rsidRPr="00F32B28">
        <w:rPr>
          <w:rtl/>
        </w:rPr>
        <w:t>كان</w:t>
      </w:r>
      <w:r w:rsidR="00F32B28">
        <w:rPr>
          <w:rtl/>
        </w:rPr>
        <w:t xml:space="preserve"> </w:t>
      </w:r>
      <w:r w:rsidR="00F32B28" w:rsidRPr="00F32B28">
        <w:rPr>
          <w:rtl/>
        </w:rPr>
        <w:t>الأب،</w:t>
      </w:r>
      <w:r w:rsidR="00F32B28">
        <w:rPr>
          <w:rtl/>
        </w:rPr>
        <w:t xml:space="preserve"> </w:t>
      </w:r>
      <w:r w:rsidR="00F32B28" w:rsidRPr="00F32B28">
        <w:rPr>
          <w:rtl/>
        </w:rPr>
        <w:t>لحين</w:t>
      </w:r>
      <w:r>
        <w:rPr>
          <w:rFonts w:hint="cs"/>
          <w:rtl/>
        </w:rPr>
        <w:t> </w:t>
      </w:r>
      <w:r w:rsidR="00F32B28" w:rsidRPr="00F32B28">
        <w:rPr>
          <w:rtl/>
        </w:rPr>
        <w:t>إذعانه.</w:t>
      </w:r>
      <w:r w:rsidR="00F32B28">
        <w:rPr>
          <w:rtl/>
        </w:rPr>
        <w:t xml:space="preserve"> </w:t>
      </w:r>
    </w:p>
    <w:p w:rsidR="00F32B28" w:rsidRPr="00F32B28" w:rsidRDefault="00565595" w:rsidP="00164771">
      <w:pPr>
        <w:pStyle w:val="SingleTxt"/>
        <w:rPr>
          <w:rtl/>
          <w:lang w:bidi="ar-SY"/>
        </w:rPr>
      </w:pPr>
      <w:r>
        <w:rPr>
          <w:rFonts w:hint="cs"/>
          <w:rtl/>
          <w:lang w:bidi="ar-SY"/>
        </w:rPr>
        <w:t>34</w:t>
      </w:r>
      <w:r w:rsidR="00164771">
        <w:rPr>
          <w:rFonts w:hint="cs"/>
          <w:rtl/>
          <w:lang w:bidi="ar-SY"/>
        </w:rPr>
        <w:t>8</w:t>
      </w:r>
      <w:r>
        <w:rPr>
          <w:rFonts w:hint="cs"/>
          <w:rtl/>
          <w:lang w:bidi="ar-SY"/>
        </w:rPr>
        <w:t xml:space="preserve"> - </w:t>
      </w:r>
      <w:r w:rsidR="00F32B28" w:rsidRPr="00F32B28">
        <w:rPr>
          <w:rtl/>
          <w:lang w:bidi="ar-SY"/>
        </w:rPr>
        <w:t>ويحق</w:t>
      </w:r>
      <w:r w:rsidR="00F32B28">
        <w:rPr>
          <w:rtl/>
          <w:lang w:bidi="ar-SY"/>
        </w:rPr>
        <w:t xml:space="preserve"> </w:t>
      </w:r>
      <w:r w:rsidR="00F32B28" w:rsidRPr="00F32B28">
        <w:rPr>
          <w:rtl/>
          <w:lang w:bidi="ar-SY"/>
        </w:rPr>
        <w:t>للزوجة</w:t>
      </w:r>
      <w:r w:rsidR="00F32B28">
        <w:rPr>
          <w:rtl/>
          <w:lang w:bidi="ar-SY"/>
        </w:rPr>
        <w:t xml:space="preserve"> </w:t>
      </w:r>
      <w:r w:rsidR="00F32B28" w:rsidRPr="00F32B28">
        <w:rPr>
          <w:rtl/>
          <w:lang w:bidi="ar-SY"/>
        </w:rPr>
        <w:t>الاحتفاظ</w:t>
      </w:r>
      <w:r w:rsidR="00F32B28">
        <w:rPr>
          <w:rtl/>
          <w:lang w:bidi="ar-SY"/>
        </w:rPr>
        <w:t xml:space="preserve"> </w:t>
      </w:r>
      <w:r w:rsidR="00F32B28" w:rsidRPr="00F32B28">
        <w:rPr>
          <w:rtl/>
          <w:lang w:bidi="ar-SY"/>
        </w:rPr>
        <w:t>باسم</w:t>
      </w:r>
      <w:r w:rsidR="00F32B28">
        <w:rPr>
          <w:rtl/>
          <w:lang w:bidi="ar-SY"/>
        </w:rPr>
        <w:t xml:space="preserve"> </w:t>
      </w:r>
      <w:r w:rsidR="00F32B28" w:rsidRPr="00F32B28">
        <w:rPr>
          <w:rtl/>
          <w:lang w:bidi="ar-SY"/>
        </w:rPr>
        <w:t>عائلتها</w:t>
      </w:r>
      <w:r w:rsidR="00F32B28">
        <w:rPr>
          <w:rtl/>
          <w:lang w:bidi="ar-SY"/>
        </w:rPr>
        <w:t xml:space="preserve"> </w:t>
      </w:r>
      <w:r w:rsidR="00F32B28" w:rsidRPr="00F32B28">
        <w:rPr>
          <w:rtl/>
          <w:lang w:bidi="ar-SY"/>
        </w:rPr>
        <w:t>الأساسي،</w:t>
      </w:r>
      <w:r w:rsidR="00F32B28">
        <w:rPr>
          <w:rtl/>
          <w:lang w:bidi="ar-SY"/>
        </w:rPr>
        <w:t xml:space="preserve"> </w:t>
      </w:r>
      <w:r w:rsidR="00F32B28" w:rsidRPr="00F32B28">
        <w:rPr>
          <w:rtl/>
          <w:lang w:bidi="ar-SY"/>
        </w:rPr>
        <w:t>واستخدامه</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كل</w:t>
      </w:r>
      <w:r w:rsidR="00F32B28">
        <w:rPr>
          <w:rtl/>
          <w:lang w:bidi="ar-SY"/>
        </w:rPr>
        <w:t xml:space="preserve"> </w:t>
      </w:r>
      <w:r w:rsidR="00F32B28" w:rsidRPr="00F32B28">
        <w:rPr>
          <w:rtl/>
          <w:lang w:bidi="ar-SY"/>
        </w:rPr>
        <w:t>المعاملات</w:t>
      </w:r>
      <w:r w:rsidR="00F32B28">
        <w:rPr>
          <w:rtl/>
          <w:lang w:bidi="ar-SY"/>
        </w:rPr>
        <w:t xml:space="preserve"> </w:t>
      </w:r>
      <w:r w:rsidR="00F32B28" w:rsidRPr="00F32B28">
        <w:rPr>
          <w:rtl/>
          <w:lang w:bidi="ar-SY"/>
        </w:rPr>
        <w:t>الرسمية.</w:t>
      </w:r>
      <w:r w:rsidR="00F32B28">
        <w:rPr>
          <w:rtl/>
          <w:lang w:bidi="ar-SY"/>
        </w:rPr>
        <w:t xml:space="preserve"> </w:t>
      </w:r>
      <w:r w:rsidR="00F32B28" w:rsidRPr="00F32B28">
        <w:rPr>
          <w:rtl/>
          <w:lang w:bidi="ar-SY"/>
        </w:rPr>
        <w:t>وينسب</w:t>
      </w:r>
      <w:r w:rsidR="00F32B28">
        <w:rPr>
          <w:rtl/>
          <w:lang w:bidi="ar-SY"/>
        </w:rPr>
        <w:t xml:space="preserve"> </w:t>
      </w:r>
      <w:r w:rsidR="00F32B28" w:rsidRPr="00F32B28">
        <w:rPr>
          <w:rtl/>
          <w:lang w:bidi="ar-SY"/>
        </w:rPr>
        <w:t>الأولاد</w:t>
      </w:r>
      <w:r w:rsidR="00F32B28">
        <w:rPr>
          <w:rtl/>
          <w:lang w:bidi="ar-SY"/>
        </w:rPr>
        <w:t xml:space="preserve"> </w:t>
      </w:r>
      <w:r w:rsidR="00F32B28" w:rsidRPr="00F32B28">
        <w:rPr>
          <w:rtl/>
          <w:lang w:bidi="ar-SY"/>
        </w:rPr>
        <w:t>للأب،</w:t>
      </w:r>
      <w:r w:rsidR="00F32B28">
        <w:rPr>
          <w:rtl/>
          <w:lang w:bidi="ar-SY"/>
        </w:rPr>
        <w:t xml:space="preserve"> </w:t>
      </w:r>
      <w:r w:rsidR="00F32B28" w:rsidRPr="00F32B28">
        <w:rPr>
          <w:rtl/>
          <w:lang w:bidi="ar-SY"/>
        </w:rPr>
        <w:t>ويحملون</w:t>
      </w:r>
      <w:r w:rsidR="00F32B28">
        <w:rPr>
          <w:rtl/>
          <w:lang w:bidi="ar-SY"/>
        </w:rPr>
        <w:t xml:space="preserve"> </w:t>
      </w:r>
      <w:r w:rsidR="00F32B28" w:rsidRPr="00F32B28">
        <w:rPr>
          <w:rtl/>
          <w:lang w:bidi="ar-SY"/>
        </w:rPr>
        <w:t>اسم</w:t>
      </w:r>
      <w:r w:rsidR="00F32B28">
        <w:rPr>
          <w:rtl/>
          <w:lang w:bidi="ar-SY"/>
        </w:rPr>
        <w:t xml:space="preserve"> </w:t>
      </w:r>
      <w:r w:rsidR="00F32B28" w:rsidRPr="00F32B28">
        <w:rPr>
          <w:rtl/>
          <w:lang w:bidi="ar-SY"/>
        </w:rPr>
        <w:t>عائلته</w:t>
      </w:r>
      <w:r w:rsidR="00F32B28">
        <w:rPr>
          <w:rtl/>
          <w:lang w:bidi="ar-SY"/>
        </w:rPr>
        <w:t xml:space="preserve"> </w:t>
      </w:r>
      <w:r w:rsidR="00F32B28" w:rsidRPr="00F32B28">
        <w:rPr>
          <w:rtl/>
          <w:lang w:bidi="ar-SY"/>
        </w:rPr>
        <w:t>بصورة</w:t>
      </w:r>
      <w:r w:rsidR="00F32B28">
        <w:rPr>
          <w:rtl/>
          <w:lang w:bidi="ar-SY"/>
        </w:rPr>
        <w:t xml:space="preserve"> </w:t>
      </w:r>
      <w:r w:rsidR="00F32B28" w:rsidRPr="00F32B28">
        <w:rPr>
          <w:rtl/>
          <w:lang w:bidi="ar-SY"/>
        </w:rPr>
        <w:t>إلزامية،</w:t>
      </w:r>
      <w:r w:rsidR="00F32B28">
        <w:rPr>
          <w:rtl/>
          <w:lang w:bidi="ar-SY"/>
        </w:rPr>
        <w:t xml:space="preserve"> </w:t>
      </w:r>
      <w:r w:rsidR="00F32B28" w:rsidRPr="00F32B28">
        <w:rPr>
          <w:rtl/>
          <w:lang w:bidi="ar-SY"/>
        </w:rPr>
        <w:t>لما</w:t>
      </w:r>
      <w:r w:rsidR="00F32B28">
        <w:rPr>
          <w:rtl/>
          <w:lang w:bidi="ar-SY"/>
        </w:rPr>
        <w:t xml:space="preserve"> </w:t>
      </w:r>
      <w:r w:rsidR="00F32B28" w:rsidRPr="00F32B28">
        <w:rPr>
          <w:rtl/>
          <w:lang w:bidi="ar-SY"/>
        </w:rPr>
        <w:t>يترتب</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أحكام</w:t>
      </w:r>
      <w:r w:rsidR="00F32B28">
        <w:rPr>
          <w:rtl/>
          <w:lang w:bidi="ar-SY"/>
        </w:rPr>
        <w:t xml:space="preserve"> </w:t>
      </w:r>
      <w:r w:rsidR="00F32B28" w:rsidRPr="00F32B28">
        <w:rPr>
          <w:rtl/>
          <w:lang w:bidi="ar-SY"/>
        </w:rPr>
        <w:t>الإرث</w:t>
      </w:r>
      <w:r w:rsidR="00F32B28">
        <w:rPr>
          <w:rtl/>
          <w:lang w:bidi="ar-SY"/>
        </w:rPr>
        <w:t xml:space="preserve"> </w:t>
      </w:r>
      <w:r w:rsidR="00F32B28" w:rsidRPr="00F32B28">
        <w:rPr>
          <w:rtl/>
          <w:lang w:bidi="ar-SY"/>
        </w:rPr>
        <w:t>والحل</w:t>
      </w:r>
      <w:r w:rsidR="00F32B28">
        <w:rPr>
          <w:rtl/>
          <w:lang w:bidi="ar-SY"/>
        </w:rPr>
        <w:t xml:space="preserve"> </w:t>
      </w:r>
      <w:r w:rsidR="00F32B28" w:rsidRPr="00F32B28">
        <w:rPr>
          <w:rtl/>
          <w:lang w:bidi="ar-SY"/>
        </w:rPr>
        <w:t>والحرمة.</w:t>
      </w:r>
      <w:r w:rsidR="00F32B28">
        <w:rPr>
          <w:rtl/>
          <w:lang w:bidi="ar-SY"/>
        </w:rPr>
        <w:t xml:space="preserve"> </w:t>
      </w:r>
      <w:r w:rsidR="00F32B28" w:rsidRPr="00F32B28">
        <w:rPr>
          <w:rtl/>
          <w:lang w:bidi="ar-SY"/>
        </w:rPr>
        <w:t>ويستثنى</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ذلك</w:t>
      </w:r>
      <w:r w:rsidR="00F32B28">
        <w:rPr>
          <w:rtl/>
          <w:lang w:bidi="ar-SY"/>
        </w:rPr>
        <w:t xml:space="preserve"> </w:t>
      </w:r>
      <w:r w:rsidR="00F32B28" w:rsidRPr="00F32B28">
        <w:rPr>
          <w:rtl/>
          <w:lang w:bidi="ar-SY"/>
        </w:rPr>
        <w:t>الحالات</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يكون</w:t>
      </w:r>
      <w:r w:rsidR="00F32B28">
        <w:rPr>
          <w:rtl/>
          <w:lang w:bidi="ar-SY"/>
        </w:rPr>
        <w:t xml:space="preserve"> </w:t>
      </w:r>
      <w:r w:rsidR="00F32B28" w:rsidRPr="00F32B28">
        <w:rPr>
          <w:rtl/>
          <w:lang w:bidi="ar-SY"/>
        </w:rPr>
        <w:t>فيها</w:t>
      </w:r>
      <w:r w:rsidR="00F32B28">
        <w:rPr>
          <w:rtl/>
          <w:lang w:bidi="ar-SY"/>
        </w:rPr>
        <w:t xml:space="preserve"> </w:t>
      </w:r>
      <w:r w:rsidR="00F32B28" w:rsidRPr="00F32B28">
        <w:rPr>
          <w:rtl/>
          <w:lang w:bidi="ar-SY"/>
        </w:rPr>
        <w:t>الولد</w:t>
      </w:r>
      <w:r w:rsidR="00F32B28">
        <w:rPr>
          <w:rtl/>
          <w:lang w:bidi="ar-SY"/>
        </w:rPr>
        <w:t xml:space="preserve"> </w:t>
      </w:r>
      <w:r w:rsidR="00F32B28" w:rsidRPr="00F32B28">
        <w:rPr>
          <w:rtl/>
          <w:lang w:bidi="ar-SY"/>
        </w:rPr>
        <w:t>مجهول</w:t>
      </w:r>
      <w:r w:rsidR="00F32B28">
        <w:rPr>
          <w:rtl/>
          <w:lang w:bidi="ar-SY"/>
        </w:rPr>
        <w:t xml:space="preserve"> </w:t>
      </w:r>
      <w:r w:rsidR="00F32B28" w:rsidRPr="00F32B28">
        <w:rPr>
          <w:rtl/>
          <w:lang w:bidi="ar-SY"/>
        </w:rPr>
        <w:t>النسب،</w:t>
      </w:r>
      <w:r w:rsidR="00F32B28">
        <w:rPr>
          <w:rtl/>
          <w:lang w:bidi="ar-SY"/>
        </w:rPr>
        <w:t xml:space="preserve"> </w:t>
      </w:r>
      <w:r w:rsidR="00F32B28" w:rsidRPr="00F32B28">
        <w:rPr>
          <w:rtl/>
          <w:lang w:bidi="ar-SY"/>
        </w:rPr>
        <w:t>فينسب</w:t>
      </w:r>
      <w:r w:rsidR="00F32B28">
        <w:rPr>
          <w:rtl/>
          <w:lang w:bidi="ar-SY"/>
        </w:rPr>
        <w:t xml:space="preserve"> </w:t>
      </w:r>
      <w:r w:rsidR="00F32B28" w:rsidRPr="00F32B28">
        <w:rPr>
          <w:rtl/>
          <w:lang w:bidi="ar-SY"/>
        </w:rPr>
        <w:t>الولد</w:t>
      </w:r>
      <w:r w:rsidR="00F32B28">
        <w:rPr>
          <w:rtl/>
          <w:lang w:bidi="ar-SY"/>
        </w:rPr>
        <w:t xml:space="preserve"> </w:t>
      </w:r>
      <w:r w:rsidR="00F32B28" w:rsidRPr="00F32B28">
        <w:rPr>
          <w:rtl/>
          <w:lang w:bidi="ar-SY"/>
        </w:rPr>
        <w:t>لأمه</w:t>
      </w:r>
      <w:r w:rsidR="00F32B28">
        <w:rPr>
          <w:rtl/>
          <w:lang w:bidi="ar-SY"/>
        </w:rPr>
        <w:t xml:space="preserve"> </w:t>
      </w:r>
      <w:r w:rsidR="00F32B28" w:rsidRPr="00F32B28">
        <w:rPr>
          <w:rtl/>
          <w:lang w:bidi="ar-SY"/>
        </w:rPr>
        <w:t>ويحمل</w:t>
      </w:r>
      <w:r w:rsidR="00F32B28">
        <w:rPr>
          <w:rtl/>
          <w:lang w:bidi="ar-SY"/>
        </w:rPr>
        <w:t xml:space="preserve"> </w:t>
      </w:r>
      <w:r w:rsidR="00F32B28" w:rsidRPr="00F32B28">
        <w:rPr>
          <w:rtl/>
          <w:lang w:bidi="ar-SY"/>
        </w:rPr>
        <w:t>اسمها.</w:t>
      </w:r>
    </w:p>
    <w:p w:rsidR="00F32B28" w:rsidRPr="00F32B28" w:rsidRDefault="00565595" w:rsidP="00164771">
      <w:pPr>
        <w:pStyle w:val="SingleTxt"/>
        <w:rPr>
          <w:rtl/>
        </w:rPr>
      </w:pPr>
      <w:r>
        <w:rPr>
          <w:rFonts w:hint="cs"/>
          <w:rtl/>
          <w:lang w:bidi="ar-SY"/>
        </w:rPr>
        <w:t>34</w:t>
      </w:r>
      <w:r w:rsidR="00164771">
        <w:rPr>
          <w:rFonts w:hint="cs"/>
          <w:rtl/>
          <w:lang w:bidi="ar-SY"/>
        </w:rPr>
        <w:t>9</w:t>
      </w:r>
      <w:r>
        <w:rPr>
          <w:rFonts w:hint="cs"/>
          <w:rtl/>
          <w:lang w:bidi="ar-SY"/>
        </w:rPr>
        <w:t xml:space="preserve"> - </w:t>
      </w:r>
      <w:r w:rsidR="00F32B28" w:rsidRPr="00F32B28">
        <w:rPr>
          <w:rtl/>
          <w:lang w:bidi="ar-SY"/>
        </w:rPr>
        <w:t>وبخصوص</w:t>
      </w:r>
      <w:r w:rsidR="00F32B28">
        <w:rPr>
          <w:rtl/>
          <w:lang w:bidi="ar-SY"/>
        </w:rPr>
        <w:t xml:space="preserve"> </w:t>
      </w:r>
      <w:r w:rsidR="00F32B28" w:rsidRPr="00F32B28">
        <w:rPr>
          <w:rtl/>
        </w:rPr>
        <w:t>العمل</w:t>
      </w:r>
      <w:r w:rsidR="00F32B28">
        <w:rPr>
          <w:rtl/>
        </w:rPr>
        <w:t xml:space="preserve"> </w:t>
      </w:r>
      <w:r w:rsidR="00F32B28" w:rsidRPr="00F32B28">
        <w:rPr>
          <w:rtl/>
        </w:rPr>
        <w:t>وحرية</w:t>
      </w:r>
      <w:r w:rsidR="00F32B28">
        <w:rPr>
          <w:rtl/>
        </w:rPr>
        <w:t xml:space="preserve"> </w:t>
      </w:r>
      <w:r w:rsidR="00F32B28" w:rsidRPr="00F32B28">
        <w:rPr>
          <w:rtl/>
        </w:rPr>
        <w:t>اختيار</w:t>
      </w:r>
      <w:r w:rsidR="00F32B28">
        <w:rPr>
          <w:rtl/>
        </w:rPr>
        <w:t xml:space="preserve"> </w:t>
      </w:r>
      <w:r w:rsidR="00F32B28" w:rsidRPr="00F32B28">
        <w:rPr>
          <w:rtl/>
        </w:rPr>
        <w:t>المهنة،</w:t>
      </w:r>
      <w:r w:rsidR="00F32B28">
        <w:rPr>
          <w:rtl/>
        </w:rPr>
        <w:t xml:space="preserve"> </w:t>
      </w:r>
      <w:r w:rsidR="00F32B28" w:rsidRPr="00F32B28">
        <w:rPr>
          <w:rtl/>
        </w:rPr>
        <w:t>فيعتبر</w:t>
      </w:r>
      <w:r w:rsidR="00F32B28">
        <w:rPr>
          <w:rtl/>
        </w:rPr>
        <w:t xml:space="preserve"> </w:t>
      </w:r>
      <w:r w:rsidR="00F32B28" w:rsidRPr="00F32B28">
        <w:rPr>
          <w:rtl/>
        </w:rPr>
        <w:t>العمل</w:t>
      </w:r>
      <w:r w:rsidR="00F32B28">
        <w:rPr>
          <w:rtl/>
        </w:rPr>
        <w:t xml:space="preserve"> </w:t>
      </w:r>
      <w:r w:rsidR="00F32B28" w:rsidRPr="00F32B28">
        <w:rPr>
          <w:rtl/>
        </w:rPr>
        <w:t>حقاً</w:t>
      </w:r>
      <w:r w:rsidR="00F32B28">
        <w:rPr>
          <w:rtl/>
        </w:rPr>
        <w:t xml:space="preserve"> </w:t>
      </w:r>
      <w:r w:rsidR="00F32B28" w:rsidRPr="00F32B28">
        <w:rPr>
          <w:rtl/>
        </w:rPr>
        <w:t>للمرأة</w:t>
      </w:r>
      <w:r w:rsidR="00F32B28">
        <w:rPr>
          <w:rtl/>
        </w:rPr>
        <w:t xml:space="preserve"> </w:t>
      </w:r>
      <w:r w:rsidR="00F32B28" w:rsidRPr="00F32B28">
        <w:rPr>
          <w:rtl/>
        </w:rPr>
        <w:t>وليس</w:t>
      </w:r>
      <w:r w:rsidR="00F32B28">
        <w:rPr>
          <w:rtl/>
        </w:rPr>
        <w:t xml:space="preserve"> </w:t>
      </w:r>
      <w:r w:rsidR="00F32B28" w:rsidRPr="00F32B28">
        <w:rPr>
          <w:rtl/>
        </w:rPr>
        <w:t>واجباً</w:t>
      </w:r>
      <w:r w:rsidR="00F32B28">
        <w:rPr>
          <w:rtl/>
        </w:rPr>
        <w:t xml:space="preserve"> </w:t>
      </w:r>
      <w:r w:rsidR="00F32B28" w:rsidRPr="00F32B28">
        <w:rPr>
          <w:rtl/>
        </w:rPr>
        <w:t>عليها</w:t>
      </w:r>
      <w:r w:rsidR="00C5454E">
        <w:rPr>
          <w:rFonts w:hint="cs"/>
          <w:rtl/>
        </w:rPr>
        <w:t xml:space="preserve"> </w:t>
      </w:r>
      <w:r w:rsidR="00F32B28" w:rsidRPr="00F32B28">
        <w:rPr>
          <w:rtl/>
        </w:rPr>
        <w:t>وفق</w:t>
      </w:r>
      <w:r w:rsidR="00F32B28">
        <w:rPr>
          <w:rtl/>
        </w:rPr>
        <w:t xml:space="preserve"> </w:t>
      </w:r>
      <w:r w:rsidR="00F32B28" w:rsidRPr="00F32B28">
        <w:rPr>
          <w:rtl/>
        </w:rPr>
        <w:t>قانون</w:t>
      </w:r>
      <w:r w:rsidR="00F32B28">
        <w:rPr>
          <w:rtl/>
        </w:rPr>
        <w:t xml:space="preserve"> </w:t>
      </w:r>
      <w:r w:rsidR="00F32B28" w:rsidRPr="00F32B28">
        <w:rPr>
          <w:rtl/>
        </w:rPr>
        <w:t>الأحوال</w:t>
      </w:r>
      <w:r w:rsidR="00F32B28">
        <w:rPr>
          <w:rtl/>
        </w:rPr>
        <w:t xml:space="preserve"> </w:t>
      </w:r>
      <w:r w:rsidR="00F32B28" w:rsidRPr="00F32B28">
        <w:rPr>
          <w:rtl/>
        </w:rPr>
        <w:t>الشخصية،</w:t>
      </w:r>
      <w:r w:rsidR="00F32B28">
        <w:rPr>
          <w:rtl/>
        </w:rPr>
        <w:t xml:space="preserve"> </w:t>
      </w:r>
      <w:r w:rsidR="00F32B28" w:rsidRPr="00F32B28">
        <w:rPr>
          <w:rtl/>
        </w:rPr>
        <w:t>فللزوجة</w:t>
      </w:r>
      <w:r w:rsidR="00F32B28">
        <w:rPr>
          <w:rtl/>
        </w:rPr>
        <w:t xml:space="preserve"> </w:t>
      </w:r>
      <w:r w:rsidR="00F32B28" w:rsidRPr="00F32B28">
        <w:rPr>
          <w:rtl/>
        </w:rPr>
        <w:t>الحق</w:t>
      </w:r>
      <w:r w:rsidR="00F32B28">
        <w:rPr>
          <w:rtl/>
        </w:rPr>
        <w:t xml:space="preserve"> </w:t>
      </w:r>
      <w:r w:rsidR="00F32B28" w:rsidRPr="00F32B28">
        <w:rPr>
          <w:rtl/>
        </w:rPr>
        <w:t>في</w:t>
      </w:r>
      <w:r w:rsidR="00F32B28">
        <w:rPr>
          <w:rtl/>
        </w:rPr>
        <w:t xml:space="preserve"> </w:t>
      </w:r>
      <w:r w:rsidR="00F32B28" w:rsidRPr="00F32B28">
        <w:rPr>
          <w:rtl/>
        </w:rPr>
        <w:t>العمل</w:t>
      </w:r>
      <w:r w:rsidR="00F32B28">
        <w:rPr>
          <w:rtl/>
        </w:rPr>
        <w:t xml:space="preserve"> </w:t>
      </w:r>
      <w:r w:rsidR="00F32B28" w:rsidRPr="00F32B28">
        <w:rPr>
          <w:rtl/>
        </w:rPr>
        <w:t>بشرط</w:t>
      </w:r>
      <w:r w:rsidR="00F32B28">
        <w:rPr>
          <w:rtl/>
        </w:rPr>
        <w:t xml:space="preserve"> </w:t>
      </w:r>
      <w:r w:rsidR="00F32B28" w:rsidRPr="00F32B28">
        <w:rPr>
          <w:rtl/>
        </w:rPr>
        <w:t>موافقة</w:t>
      </w:r>
      <w:r w:rsidR="00F32B28">
        <w:rPr>
          <w:rtl/>
        </w:rPr>
        <w:t xml:space="preserve"> </w:t>
      </w:r>
      <w:r w:rsidR="00F32B28" w:rsidRPr="00F32B28">
        <w:rPr>
          <w:rtl/>
        </w:rPr>
        <w:t>الزوج،</w:t>
      </w:r>
      <w:r w:rsidR="00F32B28">
        <w:rPr>
          <w:rtl/>
        </w:rPr>
        <w:t xml:space="preserve"> </w:t>
      </w:r>
      <w:r w:rsidR="00F32B28" w:rsidRPr="00F32B28">
        <w:rPr>
          <w:rtl/>
        </w:rPr>
        <w:t>التي</w:t>
      </w:r>
      <w:r w:rsidR="00F32B28">
        <w:rPr>
          <w:rtl/>
        </w:rPr>
        <w:t xml:space="preserve"> </w:t>
      </w:r>
      <w:r w:rsidR="00F32B28" w:rsidRPr="00F32B28">
        <w:rPr>
          <w:rtl/>
        </w:rPr>
        <w:t>تحتفظ</w:t>
      </w:r>
      <w:r w:rsidR="00F32B28">
        <w:rPr>
          <w:rtl/>
        </w:rPr>
        <w:t xml:space="preserve"> </w:t>
      </w:r>
      <w:r w:rsidR="00F32B28" w:rsidRPr="00F32B28">
        <w:rPr>
          <w:rtl/>
        </w:rPr>
        <w:t>بحقها</w:t>
      </w:r>
      <w:r w:rsidR="00F32B28">
        <w:rPr>
          <w:rtl/>
        </w:rPr>
        <w:t xml:space="preserve"> </w:t>
      </w:r>
      <w:r w:rsidR="00F32B28" w:rsidRPr="00F32B28">
        <w:rPr>
          <w:rtl/>
        </w:rPr>
        <w:t>في</w:t>
      </w:r>
      <w:r w:rsidR="00F32B28">
        <w:rPr>
          <w:rtl/>
        </w:rPr>
        <w:t xml:space="preserve"> </w:t>
      </w:r>
      <w:r w:rsidR="00F32B28" w:rsidRPr="00F32B28">
        <w:rPr>
          <w:rtl/>
        </w:rPr>
        <w:t>نفقتها</w:t>
      </w:r>
      <w:r w:rsidR="00F32B28">
        <w:rPr>
          <w:rtl/>
        </w:rPr>
        <w:t xml:space="preserve"> </w:t>
      </w:r>
      <w:r w:rsidR="00F32B28" w:rsidRPr="00F32B28">
        <w:rPr>
          <w:rtl/>
        </w:rPr>
        <w:t>الزوجية</w:t>
      </w:r>
      <w:r w:rsidR="00F32B28">
        <w:rPr>
          <w:rtl/>
        </w:rPr>
        <w:t xml:space="preserve"> </w:t>
      </w:r>
      <w:r w:rsidR="00F32B28" w:rsidRPr="00F32B28">
        <w:rPr>
          <w:rtl/>
        </w:rPr>
        <w:t>وإلزام</w:t>
      </w:r>
      <w:r w:rsidR="00F32B28">
        <w:rPr>
          <w:rtl/>
        </w:rPr>
        <w:t xml:space="preserve"> </w:t>
      </w:r>
      <w:r w:rsidR="00F32B28" w:rsidRPr="00F32B28">
        <w:rPr>
          <w:rtl/>
        </w:rPr>
        <w:t>زوجها</w:t>
      </w:r>
      <w:r w:rsidR="00F32B28">
        <w:rPr>
          <w:rtl/>
        </w:rPr>
        <w:t xml:space="preserve"> </w:t>
      </w:r>
      <w:r w:rsidR="00F32B28" w:rsidRPr="00F32B28">
        <w:rPr>
          <w:rtl/>
        </w:rPr>
        <w:t>بأدائها</w:t>
      </w:r>
      <w:r w:rsidR="00F32B28">
        <w:rPr>
          <w:rtl/>
        </w:rPr>
        <w:t xml:space="preserve"> </w:t>
      </w:r>
      <w:r w:rsidR="00F32B28" w:rsidRPr="00F32B28">
        <w:rPr>
          <w:rtl/>
        </w:rPr>
        <w:t>حتى</w:t>
      </w:r>
      <w:r w:rsidR="00F32B28">
        <w:rPr>
          <w:rtl/>
        </w:rPr>
        <w:t xml:space="preserve"> </w:t>
      </w:r>
      <w:r w:rsidR="00F32B28" w:rsidRPr="00F32B28">
        <w:rPr>
          <w:rtl/>
        </w:rPr>
        <w:t>لو</w:t>
      </w:r>
      <w:r w:rsidR="00F32B28">
        <w:rPr>
          <w:rtl/>
        </w:rPr>
        <w:t xml:space="preserve"> </w:t>
      </w:r>
      <w:r w:rsidR="00F32B28" w:rsidRPr="00F32B28">
        <w:rPr>
          <w:rtl/>
        </w:rPr>
        <w:t>عملت</w:t>
      </w:r>
      <w:r w:rsidR="00F32B28">
        <w:rPr>
          <w:rtl/>
        </w:rPr>
        <w:t xml:space="preserve"> </w:t>
      </w:r>
      <w:r w:rsidR="00F32B28" w:rsidRPr="00F32B28">
        <w:rPr>
          <w:rtl/>
        </w:rPr>
        <w:t>وأوسرت</w:t>
      </w:r>
      <w:r w:rsidR="00F32B28">
        <w:rPr>
          <w:rtl/>
        </w:rPr>
        <w:t xml:space="preserve"> </w:t>
      </w:r>
      <w:r w:rsidR="00F32B28" w:rsidRPr="00F32B28">
        <w:rPr>
          <w:rtl/>
        </w:rPr>
        <w:t>بعملها،</w:t>
      </w:r>
      <w:r w:rsidR="00F32B28">
        <w:rPr>
          <w:rtl/>
        </w:rPr>
        <w:t xml:space="preserve"> </w:t>
      </w:r>
      <w:r w:rsidR="00F32B28" w:rsidRPr="00F32B28">
        <w:rPr>
          <w:rtl/>
        </w:rPr>
        <w:t>ويسقط</w:t>
      </w:r>
      <w:r w:rsidR="00F32B28">
        <w:rPr>
          <w:rtl/>
        </w:rPr>
        <w:t xml:space="preserve"> </w:t>
      </w:r>
      <w:r w:rsidR="00F32B28" w:rsidRPr="00F32B28">
        <w:rPr>
          <w:rtl/>
        </w:rPr>
        <w:t>حقها</w:t>
      </w:r>
      <w:r w:rsidR="00F32B28">
        <w:rPr>
          <w:rtl/>
        </w:rPr>
        <w:t xml:space="preserve"> </w:t>
      </w:r>
      <w:r w:rsidR="00F32B28" w:rsidRPr="00F32B28">
        <w:rPr>
          <w:rtl/>
        </w:rPr>
        <w:t>في</w:t>
      </w:r>
      <w:r w:rsidR="00F32B28">
        <w:rPr>
          <w:rtl/>
        </w:rPr>
        <w:t xml:space="preserve"> </w:t>
      </w:r>
      <w:r w:rsidR="00F32B28" w:rsidRPr="00F32B28">
        <w:rPr>
          <w:rtl/>
        </w:rPr>
        <w:t>النفقة</w:t>
      </w:r>
      <w:r w:rsidR="00F32B28">
        <w:rPr>
          <w:rtl/>
        </w:rPr>
        <w:t xml:space="preserve"> </w:t>
      </w:r>
      <w:r w:rsidR="00F32B28" w:rsidRPr="00F32B28">
        <w:rPr>
          <w:rtl/>
        </w:rPr>
        <w:t>إذا</w:t>
      </w:r>
      <w:r w:rsidR="00F32B28">
        <w:rPr>
          <w:rtl/>
        </w:rPr>
        <w:t xml:space="preserve"> </w:t>
      </w:r>
      <w:r w:rsidR="00F32B28" w:rsidRPr="00F32B28">
        <w:rPr>
          <w:rtl/>
        </w:rPr>
        <w:t>عملت</w:t>
      </w:r>
      <w:r w:rsidR="00F32B28">
        <w:rPr>
          <w:rtl/>
        </w:rPr>
        <w:t xml:space="preserve"> </w:t>
      </w:r>
      <w:r w:rsidR="00F32B28" w:rsidRPr="00F32B28">
        <w:rPr>
          <w:rtl/>
        </w:rPr>
        <w:t>دون</w:t>
      </w:r>
      <w:r w:rsidR="00F32B28">
        <w:rPr>
          <w:rtl/>
        </w:rPr>
        <w:t xml:space="preserve"> </w:t>
      </w:r>
      <w:r w:rsidR="00F32B28" w:rsidRPr="00F32B28">
        <w:rPr>
          <w:rtl/>
        </w:rPr>
        <w:t>رضا</w:t>
      </w:r>
      <w:r w:rsidR="00F32B28">
        <w:rPr>
          <w:rtl/>
        </w:rPr>
        <w:t xml:space="preserve"> </w:t>
      </w:r>
      <w:r w:rsidR="00F32B28" w:rsidRPr="00F32B28">
        <w:rPr>
          <w:rtl/>
        </w:rPr>
        <w:t>زوجها.</w:t>
      </w:r>
      <w:r w:rsidR="00F32B28">
        <w:rPr>
          <w:rtl/>
        </w:rPr>
        <w:t xml:space="preserve"> </w:t>
      </w:r>
      <w:r w:rsidR="00F32B28" w:rsidRPr="00F32B28">
        <w:rPr>
          <w:rtl/>
        </w:rPr>
        <w:t>و</w:t>
      </w:r>
      <w:r w:rsidR="00F32B28" w:rsidRPr="00F32B28">
        <w:rPr>
          <w:rtl/>
          <w:lang w:bidi="ar-SY"/>
        </w:rPr>
        <w:t>لم</w:t>
      </w:r>
      <w:r w:rsidR="00F32B28">
        <w:rPr>
          <w:rtl/>
          <w:lang w:bidi="ar-SY"/>
        </w:rPr>
        <w:t xml:space="preserve"> </w:t>
      </w:r>
      <w:r w:rsidR="00F32B28" w:rsidRPr="00F32B28">
        <w:rPr>
          <w:rtl/>
          <w:lang w:bidi="ar-SY"/>
        </w:rPr>
        <w:t>تقيد</w:t>
      </w:r>
      <w:r w:rsidR="00F32B28">
        <w:rPr>
          <w:rtl/>
          <w:lang w:bidi="ar-SY"/>
        </w:rPr>
        <w:t xml:space="preserve"> </w:t>
      </w:r>
      <w:r w:rsidR="00F32B28" w:rsidRPr="00F32B28">
        <w:rPr>
          <w:rtl/>
          <w:lang w:bidi="ar-SY"/>
        </w:rPr>
        <w:t>التشريعات</w:t>
      </w:r>
      <w:r w:rsidR="00F32B28">
        <w:rPr>
          <w:rtl/>
          <w:lang w:bidi="ar-SY"/>
        </w:rPr>
        <w:t xml:space="preserve"> </w:t>
      </w:r>
      <w:r w:rsidR="00F32B28" w:rsidRPr="00F32B28">
        <w:rPr>
          <w:rtl/>
          <w:lang w:bidi="ar-SY"/>
        </w:rPr>
        <w:t>السارية</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SY"/>
        </w:rPr>
        <w:t>المرأة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تقرير</w:t>
      </w:r>
      <w:r w:rsidR="00F32B28">
        <w:rPr>
          <w:rtl/>
          <w:lang w:bidi="ar-SY"/>
        </w:rPr>
        <w:t xml:space="preserve"> </w:t>
      </w:r>
      <w:r w:rsidR="00F32B28" w:rsidRPr="00F32B28">
        <w:rPr>
          <w:rtl/>
          <w:lang w:bidi="ar-SY"/>
        </w:rPr>
        <w:t>عدد</w:t>
      </w:r>
      <w:r w:rsidR="00F32B28">
        <w:rPr>
          <w:rtl/>
          <w:lang w:bidi="ar-SY"/>
        </w:rPr>
        <w:t xml:space="preserve"> </w:t>
      </w:r>
      <w:r w:rsidR="00F32B28" w:rsidRPr="00F32B28">
        <w:rPr>
          <w:rtl/>
          <w:lang w:bidi="ar-SY"/>
        </w:rPr>
        <w:t>أطفالها</w:t>
      </w:r>
      <w:r w:rsidR="00F32B28">
        <w:rPr>
          <w:rtl/>
          <w:lang w:bidi="ar-SY"/>
        </w:rPr>
        <w:t xml:space="preserve"> </w:t>
      </w:r>
      <w:r w:rsidR="00F32B28" w:rsidRPr="00F32B28">
        <w:rPr>
          <w:rtl/>
          <w:lang w:bidi="ar-SY"/>
        </w:rPr>
        <w:t>والفترة</w:t>
      </w:r>
      <w:r w:rsidR="00F32B28">
        <w:rPr>
          <w:rtl/>
          <w:lang w:bidi="ar-SY"/>
        </w:rPr>
        <w:t xml:space="preserve"> </w:t>
      </w:r>
      <w:r w:rsidR="00F32B28" w:rsidRPr="00F32B28">
        <w:rPr>
          <w:rtl/>
          <w:lang w:bidi="ar-SY"/>
        </w:rPr>
        <w:t>بين</w:t>
      </w:r>
      <w:r w:rsidR="00F32B28">
        <w:rPr>
          <w:rtl/>
          <w:lang w:bidi="ar-SY"/>
        </w:rPr>
        <w:t xml:space="preserve"> </w:t>
      </w:r>
      <w:r w:rsidR="00F32B28" w:rsidRPr="00F32B28">
        <w:rPr>
          <w:rtl/>
          <w:lang w:bidi="ar-SY"/>
        </w:rPr>
        <w:t>إنجاب</w:t>
      </w:r>
      <w:r w:rsidR="00F32B28">
        <w:rPr>
          <w:rtl/>
          <w:lang w:bidi="ar-SY"/>
        </w:rPr>
        <w:t xml:space="preserve"> </w:t>
      </w:r>
      <w:r w:rsidR="00F32B28" w:rsidRPr="00F32B28">
        <w:rPr>
          <w:rtl/>
          <w:lang w:bidi="ar-SY"/>
        </w:rPr>
        <w:t>طفل</w:t>
      </w:r>
      <w:r w:rsidR="00F32B28">
        <w:rPr>
          <w:rtl/>
          <w:lang w:bidi="ar-SY"/>
        </w:rPr>
        <w:t xml:space="preserve"> </w:t>
      </w:r>
      <w:r w:rsidR="00F32B28" w:rsidRPr="00F32B28">
        <w:rPr>
          <w:rtl/>
          <w:lang w:bidi="ar-SY"/>
        </w:rPr>
        <w:t>وآخر،</w:t>
      </w:r>
      <w:r w:rsidR="00F32B28">
        <w:rPr>
          <w:rtl/>
          <w:lang w:bidi="ar-SY"/>
        </w:rPr>
        <w:t xml:space="preserve"> </w:t>
      </w:r>
      <w:r w:rsidR="00F32B28" w:rsidRPr="00F32B28">
        <w:rPr>
          <w:rtl/>
        </w:rPr>
        <w:t>كما</w:t>
      </w:r>
      <w:r w:rsidR="00F32B28">
        <w:rPr>
          <w:rtl/>
        </w:rPr>
        <w:t xml:space="preserve"> </w:t>
      </w:r>
      <w:r w:rsidR="00F32B28" w:rsidRPr="00F32B28">
        <w:rPr>
          <w:rtl/>
        </w:rPr>
        <w:t>لم</w:t>
      </w:r>
      <w:r w:rsidR="00F32B28">
        <w:rPr>
          <w:rtl/>
        </w:rPr>
        <w:t xml:space="preserve"> </w:t>
      </w:r>
      <w:r w:rsidR="00F32B28" w:rsidRPr="00F32B28">
        <w:rPr>
          <w:rtl/>
        </w:rPr>
        <w:t>تشترط</w:t>
      </w:r>
      <w:r w:rsidR="00F32B28">
        <w:rPr>
          <w:rtl/>
        </w:rPr>
        <w:t xml:space="preserve"> </w:t>
      </w:r>
      <w:r w:rsidR="00F32B28" w:rsidRPr="00F32B28">
        <w:rPr>
          <w:rtl/>
        </w:rPr>
        <w:t>حصول</w:t>
      </w:r>
      <w:r w:rsidR="00F32B28">
        <w:rPr>
          <w:rtl/>
        </w:rPr>
        <w:t xml:space="preserve"> </w:t>
      </w:r>
      <w:r w:rsidR="00F32B28" w:rsidRPr="00F32B28">
        <w:rPr>
          <w:rtl/>
        </w:rPr>
        <w:t>المرأة</w:t>
      </w:r>
      <w:r w:rsidR="00F32B28">
        <w:rPr>
          <w:rtl/>
        </w:rPr>
        <w:t xml:space="preserve"> </w:t>
      </w:r>
      <w:r w:rsidR="00F32B28" w:rsidRPr="00F32B28">
        <w:rPr>
          <w:rtl/>
        </w:rPr>
        <w:t>على</w:t>
      </w:r>
      <w:r w:rsidR="00F32B28">
        <w:rPr>
          <w:rtl/>
        </w:rPr>
        <w:t xml:space="preserve"> </w:t>
      </w:r>
      <w:r w:rsidR="00F32B28" w:rsidRPr="00F32B28">
        <w:rPr>
          <w:rtl/>
        </w:rPr>
        <w:t>موافقة</w:t>
      </w:r>
      <w:r w:rsidR="00F32B28">
        <w:rPr>
          <w:rtl/>
        </w:rPr>
        <w:t xml:space="preserve"> </w:t>
      </w:r>
      <w:r w:rsidR="00F32B28" w:rsidRPr="00F32B28">
        <w:rPr>
          <w:rtl/>
        </w:rPr>
        <w:t>زوجها</w:t>
      </w:r>
      <w:r w:rsidR="00F32B28">
        <w:rPr>
          <w:rtl/>
        </w:rPr>
        <w:t xml:space="preserve"> </w:t>
      </w:r>
      <w:r w:rsidR="00F32B28" w:rsidRPr="00F32B28">
        <w:rPr>
          <w:rtl/>
        </w:rPr>
        <w:t>عند</w:t>
      </w:r>
      <w:r w:rsidR="00F32B28">
        <w:rPr>
          <w:rtl/>
        </w:rPr>
        <w:t xml:space="preserve"> </w:t>
      </w:r>
      <w:r w:rsidR="00F32B28" w:rsidRPr="00F32B28">
        <w:rPr>
          <w:rtl/>
        </w:rPr>
        <w:t>استخدامها</w:t>
      </w:r>
      <w:r w:rsidR="00F32B28">
        <w:rPr>
          <w:rtl/>
        </w:rPr>
        <w:t xml:space="preserve"> </w:t>
      </w:r>
      <w:r w:rsidR="00F32B28" w:rsidRPr="00F32B28">
        <w:rPr>
          <w:rtl/>
        </w:rPr>
        <w:t>وسائل</w:t>
      </w:r>
      <w:r w:rsidR="00F32B28">
        <w:rPr>
          <w:rtl/>
        </w:rPr>
        <w:t xml:space="preserve"> </w:t>
      </w:r>
      <w:r w:rsidR="00F32B28" w:rsidRPr="00F32B28">
        <w:rPr>
          <w:rtl/>
        </w:rPr>
        <w:t>تنظيم</w:t>
      </w:r>
      <w:r w:rsidR="00F32B28">
        <w:rPr>
          <w:rtl/>
        </w:rPr>
        <w:t xml:space="preserve"> </w:t>
      </w:r>
      <w:r w:rsidR="00F32B28" w:rsidRPr="00F32B28">
        <w:rPr>
          <w:rtl/>
        </w:rPr>
        <w:t>الأسرة.</w:t>
      </w:r>
    </w:p>
    <w:p w:rsidR="00F32B28" w:rsidRPr="00F32B28" w:rsidRDefault="00565595" w:rsidP="00164771">
      <w:pPr>
        <w:pStyle w:val="SingleTxt"/>
      </w:pPr>
      <w:r>
        <w:rPr>
          <w:rFonts w:hint="cs"/>
          <w:rtl/>
          <w:lang w:bidi="ar-SY"/>
        </w:rPr>
        <w:t>3</w:t>
      </w:r>
      <w:r w:rsidR="00164771">
        <w:rPr>
          <w:rFonts w:hint="cs"/>
          <w:rtl/>
          <w:lang w:bidi="ar-SY"/>
        </w:rPr>
        <w:t>50</w:t>
      </w:r>
      <w:r>
        <w:rPr>
          <w:rFonts w:hint="cs"/>
          <w:rtl/>
          <w:lang w:bidi="ar-SY"/>
        </w:rPr>
        <w:t xml:space="preserve"> - </w:t>
      </w:r>
      <w:r w:rsidR="00F32B28" w:rsidRPr="00F32B28">
        <w:rPr>
          <w:rtl/>
          <w:lang w:bidi="ar-SY"/>
        </w:rPr>
        <w:t>وللمرأة</w:t>
      </w:r>
      <w:r w:rsidR="00F32B28">
        <w:rPr>
          <w:rtl/>
          <w:lang w:bidi="ar-SY"/>
        </w:rPr>
        <w:t xml:space="preserve"> </w:t>
      </w:r>
      <w:r w:rsidR="00F32B28" w:rsidRPr="00F32B28">
        <w:rPr>
          <w:rtl/>
          <w:lang w:bidi="ar-SY"/>
        </w:rPr>
        <w:t>حق</w:t>
      </w:r>
      <w:r w:rsidR="00F32B28">
        <w:rPr>
          <w:rtl/>
          <w:lang w:bidi="ar-SY"/>
        </w:rPr>
        <w:t xml:space="preserve"> </w:t>
      </w:r>
      <w:r w:rsidR="00F32B28" w:rsidRPr="00F32B28">
        <w:rPr>
          <w:rtl/>
          <w:lang w:bidi="ar-LB"/>
        </w:rPr>
        <w:t>تملك</w:t>
      </w:r>
      <w:r w:rsidR="00F32B28">
        <w:rPr>
          <w:rtl/>
          <w:lang w:bidi="ar-LB"/>
        </w:rPr>
        <w:t xml:space="preserve"> </w:t>
      </w:r>
      <w:r w:rsidR="00F32B28" w:rsidRPr="00F32B28">
        <w:rPr>
          <w:rtl/>
          <w:lang w:bidi="ar-LB"/>
        </w:rPr>
        <w:t>الأموال</w:t>
      </w:r>
      <w:r w:rsidR="00F32B28">
        <w:rPr>
          <w:rtl/>
          <w:lang w:bidi="ar-LB"/>
        </w:rPr>
        <w:t xml:space="preserve"> </w:t>
      </w:r>
      <w:r w:rsidR="00F32B28" w:rsidRPr="00F32B28">
        <w:rPr>
          <w:rtl/>
          <w:lang w:bidi="ar-LB"/>
        </w:rPr>
        <w:t>والممتلكات</w:t>
      </w:r>
      <w:r w:rsidR="00F32B28">
        <w:rPr>
          <w:rtl/>
          <w:lang w:bidi="ar-LB"/>
        </w:rPr>
        <w:t xml:space="preserve"> </w:t>
      </w:r>
      <w:r w:rsidR="00F32B28" w:rsidRPr="00F32B28">
        <w:rPr>
          <w:rtl/>
          <w:lang w:bidi="ar-LB"/>
        </w:rPr>
        <w:t>وإدارتها</w:t>
      </w:r>
      <w:r w:rsidR="00F32B28">
        <w:rPr>
          <w:rtl/>
          <w:lang w:bidi="ar-LB"/>
        </w:rPr>
        <w:t xml:space="preserve"> </w:t>
      </w:r>
      <w:r w:rsidR="00F32B28" w:rsidRPr="00F32B28">
        <w:rPr>
          <w:rtl/>
          <w:lang w:bidi="ar-LB"/>
        </w:rPr>
        <w:t>والإشراف</w:t>
      </w:r>
      <w:r w:rsidR="00F32B28">
        <w:rPr>
          <w:rtl/>
          <w:lang w:bidi="ar-LB"/>
        </w:rPr>
        <w:t xml:space="preserve"> </w:t>
      </w:r>
      <w:r w:rsidR="00F32B28" w:rsidRPr="00F32B28">
        <w:rPr>
          <w:rtl/>
          <w:lang w:bidi="ar-LB"/>
        </w:rPr>
        <w:t>عليها</w:t>
      </w:r>
      <w:r w:rsidR="00F32B28">
        <w:rPr>
          <w:rtl/>
          <w:lang w:bidi="ar-LB"/>
        </w:rPr>
        <w:t xml:space="preserve"> </w:t>
      </w:r>
      <w:r w:rsidR="00F32B28" w:rsidRPr="00F32B28">
        <w:rPr>
          <w:rtl/>
          <w:lang w:bidi="ar-LB"/>
        </w:rPr>
        <w:t>باستقلال</w:t>
      </w:r>
      <w:r w:rsidR="00F32B28">
        <w:rPr>
          <w:rtl/>
          <w:lang w:bidi="ar-LB"/>
        </w:rPr>
        <w:t xml:space="preserve"> </w:t>
      </w:r>
      <w:r w:rsidR="00F32B28" w:rsidRPr="00F32B28">
        <w:rPr>
          <w:rtl/>
          <w:lang w:bidi="ar-LB"/>
        </w:rPr>
        <w:t>ودون</w:t>
      </w:r>
      <w:r w:rsidR="00F32B28">
        <w:rPr>
          <w:rtl/>
          <w:lang w:bidi="ar-LB"/>
        </w:rPr>
        <w:t xml:space="preserve"> </w:t>
      </w:r>
      <w:r w:rsidR="00F32B28" w:rsidRPr="00F32B28">
        <w:rPr>
          <w:rtl/>
          <w:lang w:bidi="ar-LB"/>
        </w:rPr>
        <w:t>أي</w:t>
      </w:r>
      <w:r w:rsidR="00F32B28">
        <w:rPr>
          <w:rtl/>
          <w:lang w:bidi="ar-LB"/>
        </w:rPr>
        <w:t xml:space="preserve"> </w:t>
      </w:r>
      <w:r w:rsidR="00F32B28" w:rsidRPr="00F32B28">
        <w:rPr>
          <w:rtl/>
          <w:lang w:bidi="ar-LB"/>
        </w:rPr>
        <w:t>تدخل</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قبل</w:t>
      </w:r>
      <w:r w:rsidR="00F32B28">
        <w:rPr>
          <w:rtl/>
          <w:lang w:bidi="ar-LB"/>
        </w:rPr>
        <w:t xml:space="preserve"> </w:t>
      </w:r>
      <w:r w:rsidR="00F32B28" w:rsidRPr="00F32B28">
        <w:rPr>
          <w:rtl/>
          <w:lang w:bidi="ar-LB"/>
        </w:rPr>
        <w:t>زوجها.</w:t>
      </w:r>
      <w:r w:rsidR="00F32B28">
        <w:rPr>
          <w:rtl/>
          <w:lang w:bidi="ar-LB"/>
        </w:rPr>
        <w:t xml:space="preserve"> </w:t>
      </w:r>
      <w:r w:rsidR="00F32B28" w:rsidRPr="00F32B28">
        <w:rPr>
          <w:rtl/>
          <w:lang w:bidi="ar-LB"/>
        </w:rPr>
        <w:t>وعند</w:t>
      </w:r>
      <w:r w:rsidR="00F32B28">
        <w:rPr>
          <w:rtl/>
          <w:lang w:bidi="ar-LB"/>
        </w:rPr>
        <w:t xml:space="preserve"> </w:t>
      </w:r>
      <w:r w:rsidR="00F32B28" w:rsidRPr="00F32B28">
        <w:rPr>
          <w:rtl/>
          <w:lang w:bidi="ar-LB"/>
        </w:rPr>
        <w:t>وقوع</w:t>
      </w:r>
      <w:r w:rsidR="00F32B28">
        <w:rPr>
          <w:rtl/>
          <w:lang w:bidi="ar-LB"/>
        </w:rPr>
        <w:t xml:space="preserve"> </w:t>
      </w:r>
      <w:r w:rsidR="00F32B28" w:rsidRPr="00F32B28">
        <w:rPr>
          <w:rtl/>
          <w:lang w:bidi="ar-LB"/>
        </w:rPr>
        <w:t>الطلاق،</w:t>
      </w:r>
      <w:r w:rsidR="00F32B28">
        <w:rPr>
          <w:rtl/>
          <w:lang w:bidi="ar-LB"/>
        </w:rPr>
        <w:t xml:space="preserve"> </w:t>
      </w:r>
      <w:r w:rsidR="00F32B28" w:rsidRPr="00F32B28">
        <w:rPr>
          <w:rtl/>
          <w:lang w:bidi="ar-LB"/>
        </w:rPr>
        <w:t>يحتفظ</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الزوجين</w:t>
      </w:r>
      <w:r w:rsidR="00F32B28">
        <w:rPr>
          <w:rtl/>
          <w:lang w:bidi="ar-LB"/>
        </w:rPr>
        <w:t xml:space="preserve"> </w:t>
      </w:r>
      <w:r w:rsidR="00F32B28" w:rsidRPr="00F32B28">
        <w:rPr>
          <w:rtl/>
          <w:lang w:bidi="ar-LB"/>
        </w:rPr>
        <w:t>بما</w:t>
      </w:r>
      <w:r w:rsidR="00F32B28">
        <w:rPr>
          <w:rtl/>
          <w:lang w:bidi="ar-LB"/>
        </w:rPr>
        <w:t xml:space="preserve"> </w:t>
      </w:r>
      <w:r w:rsidR="00F32B28" w:rsidRPr="00F32B28">
        <w:rPr>
          <w:rtl/>
          <w:lang w:bidi="ar-LB"/>
        </w:rPr>
        <w:t>يملكه</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الأموال</w:t>
      </w:r>
      <w:r w:rsidR="00F32B28">
        <w:rPr>
          <w:rtl/>
          <w:lang w:bidi="ar-LB"/>
        </w:rPr>
        <w:t xml:space="preserve"> </w:t>
      </w:r>
      <w:r w:rsidR="00F32B28" w:rsidRPr="00F32B28">
        <w:rPr>
          <w:rtl/>
          <w:lang w:bidi="ar-LB"/>
        </w:rPr>
        <w:t>ولو</w:t>
      </w:r>
      <w:r w:rsidR="00F32B28">
        <w:rPr>
          <w:rtl/>
          <w:lang w:bidi="ar-LB"/>
        </w:rPr>
        <w:t xml:space="preserve"> </w:t>
      </w:r>
      <w:r w:rsidR="00F32B28" w:rsidRPr="00F32B28">
        <w:rPr>
          <w:rtl/>
          <w:lang w:bidi="ar-LB"/>
        </w:rPr>
        <w:t>جناه</w:t>
      </w:r>
      <w:r w:rsidR="00F32B28">
        <w:rPr>
          <w:rtl/>
          <w:lang w:bidi="ar-LB"/>
        </w:rPr>
        <w:t xml:space="preserve"> </w:t>
      </w:r>
      <w:r w:rsidR="00F32B28" w:rsidRPr="00F32B28">
        <w:rPr>
          <w:rtl/>
          <w:lang w:bidi="ar-LB"/>
        </w:rPr>
        <w:t>أثناء</w:t>
      </w:r>
      <w:r w:rsidR="00F32B28">
        <w:rPr>
          <w:rtl/>
          <w:lang w:bidi="ar-LB"/>
        </w:rPr>
        <w:t xml:space="preserve"> </w:t>
      </w:r>
      <w:r w:rsidR="00F32B28" w:rsidRPr="00F32B28">
        <w:rPr>
          <w:rtl/>
          <w:lang w:bidi="ar-LB"/>
        </w:rPr>
        <w:t>قيام</w:t>
      </w:r>
      <w:r w:rsidR="00F32B28">
        <w:rPr>
          <w:rtl/>
          <w:lang w:bidi="ar-LB"/>
        </w:rPr>
        <w:t xml:space="preserve"> </w:t>
      </w:r>
      <w:r w:rsidR="00F32B28" w:rsidRPr="00F32B28">
        <w:rPr>
          <w:rtl/>
          <w:lang w:bidi="ar-LB"/>
        </w:rPr>
        <w:t>الزوجية.</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صلاحية</w:t>
      </w:r>
      <w:r w:rsidR="00F32B28">
        <w:rPr>
          <w:rtl/>
          <w:lang w:bidi="ar-LB"/>
        </w:rPr>
        <w:t xml:space="preserve"> </w:t>
      </w:r>
      <w:r w:rsidR="00F32B28" w:rsidRPr="00F32B28">
        <w:rPr>
          <w:rtl/>
          <w:lang w:bidi="ar-LB"/>
        </w:rPr>
        <w:t>النظر</w:t>
      </w:r>
      <w:r w:rsidR="00F32B28">
        <w:rPr>
          <w:rtl/>
          <w:lang w:bidi="ar-LB"/>
        </w:rPr>
        <w:t xml:space="preserve"> </w:t>
      </w:r>
      <w:r w:rsidR="00F32B28" w:rsidRPr="00F32B28">
        <w:rPr>
          <w:rtl/>
          <w:lang w:bidi="ar-LB"/>
        </w:rPr>
        <w:t>والفصل</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النزاعات</w:t>
      </w:r>
      <w:r w:rsidR="00F32B28">
        <w:rPr>
          <w:rtl/>
          <w:lang w:bidi="ar-LB"/>
        </w:rPr>
        <w:t xml:space="preserve"> </w:t>
      </w:r>
      <w:r w:rsidR="00F32B28" w:rsidRPr="00F32B28">
        <w:rPr>
          <w:rtl/>
          <w:lang w:bidi="ar-LB"/>
        </w:rPr>
        <w:t>الناشئة</w:t>
      </w:r>
      <w:r w:rsidR="00F32B28">
        <w:rPr>
          <w:rtl/>
          <w:lang w:bidi="ar-LB"/>
        </w:rPr>
        <w:t xml:space="preserve"> </w:t>
      </w:r>
      <w:r w:rsidR="00F32B28" w:rsidRPr="00F32B28">
        <w:rPr>
          <w:rtl/>
          <w:lang w:bidi="ar-LB"/>
        </w:rPr>
        <w:t>فيما</w:t>
      </w:r>
      <w:r w:rsidR="00F32B28">
        <w:rPr>
          <w:rtl/>
          <w:lang w:bidi="ar-LB"/>
        </w:rPr>
        <w:t xml:space="preserve"> </w:t>
      </w:r>
      <w:r w:rsidR="00F32B28" w:rsidRPr="00F32B28">
        <w:rPr>
          <w:rtl/>
          <w:lang w:bidi="ar-LB"/>
        </w:rPr>
        <w:t>بين</w:t>
      </w:r>
      <w:r w:rsidR="00F32B28">
        <w:rPr>
          <w:rtl/>
          <w:lang w:bidi="ar-LB"/>
        </w:rPr>
        <w:t xml:space="preserve"> </w:t>
      </w:r>
      <w:r w:rsidR="00F32B28" w:rsidRPr="00F32B28">
        <w:rPr>
          <w:rtl/>
          <w:lang w:bidi="ar-LB"/>
        </w:rPr>
        <w:t>الزوجين</w:t>
      </w:r>
      <w:r w:rsidR="00F32B28">
        <w:rPr>
          <w:rtl/>
          <w:lang w:bidi="ar-LB"/>
        </w:rPr>
        <w:t xml:space="preserve"> </w:t>
      </w:r>
      <w:r w:rsidR="00F32B28" w:rsidRPr="00F32B28">
        <w:rPr>
          <w:rtl/>
          <w:lang w:bidi="ar-LB"/>
        </w:rPr>
        <w:t>بخصوص</w:t>
      </w:r>
      <w:r w:rsidR="00F32B28">
        <w:rPr>
          <w:rtl/>
          <w:lang w:bidi="ar-LB"/>
        </w:rPr>
        <w:t xml:space="preserve"> </w:t>
      </w:r>
      <w:r w:rsidR="00F32B28" w:rsidRPr="00F32B28">
        <w:rPr>
          <w:rtl/>
          <w:lang w:bidi="ar-LB"/>
        </w:rPr>
        <w:t>الأموال</w:t>
      </w:r>
      <w:r w:rsidR="00F32B28">
        <w:rPr>
          <w:rtl/>
          <w:lang w:bidi="ar-LB"/>
        </w:rPr>
        <w:t xml:space="preserve"> </w:t>
      </w:r>
      <w:r w:rsidR="00F32B28" w:rsidRPr="00F32B28">
        <w:rPr>
          <w:rtl/>
          <w:lang w:bidi="ar-LB"/>
        </w:rPr>
        <w:t>المنقولة</w:t>
      </w:r>
      <w:r w:rsidR="00F32B28">
        <w:rPr>
          <w:rtl/>
          <w:lang w:bidi="ar-LB"/>
        </w:rPr>
        <w:t xml:space="preserve"> </w:t>
      </w:r>
      <w:r w:rsidR="00F32B28" w:rsidRPr="00F32B28">
        <w:rPr>
          <w:rtl/>
          <w:lang w:bidi="ar-LB"/>
        </w:rPr>
        <w:lastRenderedPageBreak/>
        <w:t>وغير</w:t>
      </w:r>
      <w:r w:rsidR="00F32B28">
        <w:rPr>
          <w:rtl/>
          <w:lang w:bidi="ar-LB"/>
        </w:rPr>
        <w:t xml:space="preserve"> </w:t>
      </w:r>
      <w:r w:rsidR="00F32B28" w:rsidRPr="00F32B28">
        <w:rPr>
          <w:rtl/>
          <w:lang w:bidi="ar-LB"/>
        </w:rPr>
        <w:t>المنقولة،</w:t>
      </w:r>
      <w:r w:rsidR="00F32B28">
        <w:rPr>
          <w:rtl/>
          <w:lang w:bidi="ar-LB"/>
        </w:rPr>
        <w:t xml:space="preserve"> </w:t>
      </w:r>
      <w:r w:rsidR="00F32B28" w:rsidRPr="00F32B28">
        <w:rPr>
          <w:rtl/>
          <w:lang w:bidi="ar-LB"/>
        </w:rPr>
        <w:t>سواء</w:t>
      </w:r>
      <w:r w:rsidR="00F32B28">
        <w:rPr>
          <w:rtl/>
          <w:lang w:bidi="ar-LB"/>
        </w:rPr>
        <w:t xml:space="preserve"> </w:t>
      </w:r>
      <w:r w:rsidR="00F32B28" w:rsidRPr="00F32B28">
        <w:rPr>
          <w:rtl/>
          <w:lang w:bidi="ar-LB"/>
        </w:rPr>
        <w:t>أثناء</w:t>
      </w:r>
      <w:r w:rsidR="00F32B28">
        <w:rPr>
          <w:rtl/>
          <w:lang w:bidi="ar-LB"/>
        </w:rPr>
        <w:t xml:space="preserve"> </w:t>
      </w:r>
      <w:r w:rsidR="00F32B28" w:rsidRPr="00F32B28">
        <w:rPr>
          <w:rtl/>
          <w:lang w:bidi="ar-LB"/>
        </w:rPr>
        <w:t>قيام</w:t>
      </w:r>
      <w:r w:rsidR="00F32B28">
        <w:rPr>
          <w:rtl/>
          <w:lang w:bidi="ar-LB"/>
        </w:rPr>
        <w:t xml:space="preserve"> </w:t>
      </w:r>
      <w:r w:rsidR="00F32B28" w:rsidRPr="00F32B28">
        <w:rPr>
          <w:rtl/>
          <w:lang w:bidi="ar-LB"/>
        </w:rPr>
        <w:t>الزوجية</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بعد</w:t>
      </w:r>
      <w:r w:rsidR="00F32B28">
        <w:rPr>
          <w:rtl/>
          <w:lang w:bidi="ar-LB"/>
        </w:rPr>
        <w:t xml:space="preserve"> </w:t>
      </w:r>
      <w:r w:rsidR="00F32B28" w:rsidRPr="00F32B28">
        <w:rPr>
          <w:rtl/>
          <w:lang w:bidi="ar-LB"/>
        </w:rPr>
        <w:t>انقضائها،</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تدخل</w:t>
      </w:r>
      <w:r w:rsidR="00F32B28">
        <w:rPr>
          <w:rtl/>
          <w:lang w:bidi="ar-LB"/>
        </w:rPr>
        <w:t xml:space="preserve"> </w:t>
      </w:r>
      <w:r w:rsidR="00F32B28" w:rsidRPr="00F32B28">
        <w:rPr>
          <w:rtl/>
          <w:lang w:bidi="ar-LB"/>
        </w:rPr>
        <w:t>ضمن</w:t>
      </w:r>
      <w:r w:rsidR="00F32B28">
        <w:rPr>
          <w:rtl/>
          <w:lang w:bidi="ar-LB"/>
        </w:rPr>
        <w:t xml:space="preserve"> </w:t>
      </w:r>
      <w:r w:rsidR="00F32B28" w:rsidRPr="00F32B28">
        <w:rPr>
          <w:rtl/>
          <w:lang w:bidi="ar-LB"/>
        </w:rPr>
        <w:t>اختصاص</w:t>
      </w:r>
      <w:r w:rsidR="00F32B28">
        <w:rPr>
          <w:rtl/>
          <w:lang w:bidi="ar-LB"/>
        </w:rPr>
        <w:t xml:space="preserve"> </w:t>
      </w:r>
      <w:r w:rsidR="00F32B28" w:rsidRPr="00F32B28">
        <w:rPr>
          <w:rtl/>
          <w:lang w:bidi="ar-LB"/>
        </w:rPr>
        <w:t>المحاكم</w:t>
      </w:r>
      <w:r w:rsidR="00F32B28">
        <w:rPr>
          <w:rtl/>
          <w:lang w:bidi="ar-LB"/>
        </w:rPr>
        <w:t xml:space="preserve"> </w:t>
      </w:r>
      <w:r w:rsidR="00F32B28" w:rsidRPr="00F32B28">
        <w:rPr>
          <w:rtl/>
          <w:lang w:bidi="ar-LB"/>
        </w:rPr>
        <w:t>الشرعية</w:t>
      </w:r>
      <w:r w:rsidR="00F32B28">
        <w:rPr>
          <w:rtl/>
          <w:lang w:bidi="ar-LB"/>
        </w:rPr>
        <w:t xml:space="preserve"> </w:t>
      </w:r>
      <w:r w:rsidR="00F32B28" w:rsidRPr="00F32B28">
        <w:rPr>
          <w:rtl/>
          <w:lang w:bidi="ar-LB"/>
        </w:rPr>
        <w:t>أو</w:t>
      </w:r>
      <w:r w:rsidR="009F4D72">
        <w:rPr>
          <w:rFonts w:hint="cs"/>
          <w:rtl/>
          <w:lang w:bidi="ar-LB"/>
        </w:rPr>
        <w:t> </w:t>
      </w:r>
      <w:r w:rsidR="00F32B28" w:rsidRPr="00F32B28">
        <w:rPr>
          <w:rtl/>
          <w:lang w:bidi="ar-LB"/>
        </w:rPr>
        <w:t>الكنسية،</w:t>
      </w:r>
      <w:r w:rsidR="00F32B28">
        <w:rPr>
          <w:rtl/>
          <w:lang w:bidi="ar-LB"/>
        </w:rPr>
        <w:t xml:space="preserve"> </w:t>
      </w:r>
      <w:r w:rsidR="00F32B28" w:rsidRPr="00F32B28">
        <w:rPr>
          <w:rtl/>
          <w:lang w:bidi="ar-LB"/>
        </w:rPr>
        <w:t>بل</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اختصاص</w:t>
      </w:r>
      <w:r w:rsidR="00F32B28">
        <w:rPr>
          <w:rtl/>
          <w:lang w:bidi="ar-LB"/>
        </w:rPr>
        <w:t xml:space="preserve"> </w:t>
      </w:r>
      <w:r w:rsidR="00F32B28" w:rsidRPr="00F32B28">
        <w:rPr>
          <w:rtl/>
          <w:lang w:bidi="ar-LB"/>
        </w:rPr>
        <w:t>المحاكم</w:t>
      </w:r>
      <w:r w:rsidR="00F32B28">
        <w:rPr>
          <w:rtl/>
          <w:lang w:bidi="ar-LB"/>
        </w:rPr>
        <w:t xml:space="preserve"> </w:t>
      </w:r>
      <w:r w:rsidR="00F32B28" w:rsidRPr="00F32B28">
        <w:rPr>
          <w:rtl/>
          <w:lang w:bidi="ar-LB"/>
        </w:rPr>
        <w:t>المدنية.</w:t>
      </w:r>
      <w:r w:rsidR="00F32B28">
        <w:rPr>
          <w:rtl/>
          <w:lang w:bidi="ar-LB"/>
        </w:rPr>
        <w:t xml:space="preserve"> </w:t>
      </w:r>
    </w:p>
    <w:p w:rsidR="00565595" w:rsidRPr="00565595" w:rsidRDefault="00565595" w:rsidP="00565595">
      <w:pPr>
        <w:pStyle w:val="SingleTxt"/>
        <w:spacing w:after="0" w:line="120" w:lineRule="exact"/>
        <w:rPr>
          <w:b/>
          <w:bCs/>
          <w:sz w:val="10"/>
          <w:rtl/>
          <w:lang w:bidi="ar-SY"/>
        </w:rPr>
      </w:pPr>
    </w:p>
    <w:p w:rsidR="00F32B28" w:rsidRPr="00F32B28" w:rsidRDefault="00F32B28" w:rsidP="00F32B28">
      <w:pPr>
        <w:pStyle w:val="SingleTxt"/>
        <w:rPr>
          <w:b/>
          <w:bCs/>
          <w:rtl/>
          <w:lang w:bidi="ar-SY"/>
        </w:rPr>
      </w:pPr>
      <w:r w:rsidRPr="00F32B28">
        <w:rPr>
          <w:b/>
          <w:bCs/>
          <w:rtl/>
          <w:lang w:bidi="ar-SY"/>
        </w:rPr>
        <w:t>الميراث</w:t>
      </w:r>
    </w:p>
    <w:p w:rsidR="00F32B28" w:rsidRPr="00F32B28" w:rsidRDefault="00565595" w:rsidP="00D61FDC">
      <w:pPr>
        <w:pStyle w:val="SingleTxt"/>
        <w:rPr>
          <w:rtl/>
          <w:lang w:bidi="ar-SY"/>
        </w:rPr>
      </w:pPr>
      <w:r>
        <w:rPr>
          <w:rFonts w:hint="cs"/>
          <w:rtl/>
          <w:lang w:bidi="ar-LB"/>
        </w:rPr>
        <w:t>35</w:t>
      </w:r>
      <w:r w:rsidR="00164771">
        <w:rPr>
          <w:rFonts w:hint="cs"/>
          <w:rtl/>
          <w:lang w:bidi="ar-LB"/>
        </w:rPr>
        <w:t>1</w:t>
      </w:r>
      <w:r>
        <w:rPr>
          <w:rFonts w:hint="cs"/>
          <w:rtl/>
          <w:lang w:bidi="ar-LB"/>
        </w:rPr>
        <w:t xml:space="preserve"> - </w:t>
      </w:r>
      <w:r w:rsidR="00F32B28" w:rsidRPr="00F32B28">
        <w:rPr>
          <w:rtl/>
          <w:lang w:bidi="ar-LB"/>
        </w:rPr>
        <w:t>جاءت</w:t>
      </w:r>
      <w:r w:rsidR="00F32B28">
        <w:rPr>
          <w:rtl/>
          <w:lang w:bidi="ar-LB"/>
        </w:rPr>
        <w:t xml:space="preserve"> </w:t>
      </w:r>
      <w:r w:rsidR="00F32B28" w:rsidRPr="00F32B28">
        <w:rPr>
          <w:rtl/>
          <w:lang w:bidi="ar-LB"/>
        </w:rPr>
        <w:t>الأسس</w:t>
      </w:r>
      <w:r w:rsidR="00F32B28">
        <w:rPr>
          <w:rtl/>
          <w:lang w:bidi="ar-LB"/>
        </w:rPr>
        <w:t xml:space="preserve"> </w:t>
      </w:r>
      <w:r w:rsidR="00F32B28" w:rsidRPr="00F32B28">
        <w:rPr>
          <w:rtl/>
          <w:lang w:bidi="ar-LB"/>
        </w:rPr>
        <w:t>المعتمدة</w:t>
      </w:r>
      <w:r w:rsidR="00F32B28">
        <w:rPr>
          <w:rtl/>
          <w:lang w:bidi="ar-LB"/>
        </w:rPr>
        <w:t xml:space="preserve"> </w:t>
      </w:r>
      <w:r w:rsidR="00F32B28" w:rsidRPr="00F32B28">
        <w:rPr>
          <w:rtl/>
          <w:lang w:bidi="ar-LB"/>
        </w:rPr>
        <w:t>لاستحقاق</w:t>
      </w:r>
      <w:r w:rsidR="00F32B28">
        <w:rPr>
          <w:rtl/>
          <w:lang w:bidi="ar-LB"/>
        </w:rPr>
        <w:t xml:space="preserve"> </w:t>
      </w:r>
      <w:r w:rsidR="00F32B28" w:rsidRPr="00F32B28">
        <w:rPr>
          <w:rtl/>
          <w:lang w:bidi="ar-LB"/>
        </w:rPr>
        <w:t>الإرث</w:t>
      </w:r>
      <w:r w:rsidR="00F32B28">
        <w:rPr>
          <w:rtl/>
          <w:lang w:bidi="ar-LB"/>
        </w:rPr>
        <w:t xml:space="preserve"> </w:t>
      </w:r>
      <w:r w:rsidR="00F32B28" w:rsidRPr="00F32B28">
        <w:rPr>
          <w:rtl/>
          <w:lang w:bidi="ar-LB"/>
        </w:rPr>
        <w:t>ونسب</w:t>
      </w:r>
      <w:r w:rsidR="00F32B28">
        <w:rPr>
          <w:rtl/>
          <w:lang w:bidi="ar-LB"/>
        </w:rPr>
        <w:t xml:space="preserve"> </w:t>
      </w:r>
      <w:r w:rsidR="00F32B28" w:rsidRPr="00F32B28">
        <w:rPr>
          <w:rtl/>
          <w:lang w:bidi="ar-LB"/>
        </w:rPr>
        <w:t>توزيعه</w:t>
      </w:r>
      <w:r w:rsidR="00F32B28">
        <w:rPr>
          <w:rtl/>
          <w:lang w:bidi="ar-LB"/>
        </w:rPr>
        <w:t xml:space="preserve"> </w:t>
      </w:r>
      <w:r w:rsidR="00F32B28" w:rsidRPr="00F32B28">
        <w:rPr>
          <w:rtl/>
          <w:lang w:bidi="ar-SY"/>
        </w:rPr>
        <w:t>مفصلة</w:t>
      </w:r>
      <w:r w:rsidR="00F32B28">
        <w:rPr>
          <w:rtl/>
          <w:lang w:bidi="ar-SY"/>
        </w:rPr>
        <w:t xml:space="preserve"> </w:t>
      </w:r>
      <w:r w:rsidR="00F32B28" w:rsidRPr="00F32B28">
        <w:rPr>
          <w:rtl/>
          <w:lang w:bidi="ar-LB"/>
        </w:rPr>
        <w:t>في</w:t>
      </w:r>
      <w:r w:rsidR="00F32B28">
        <w:rPr>
          <w:rtl/>
          <w:lang w:bidi="ar-LB"/>
        </w:rPr>
        <w:t xml:space="preserve"> </w:t>
      </w:r>
      <w:r w:rsidR="00F32B28" w:rsidRPr="00F32B28">
        <w:rPr>
          <w:rtl/>
        </w:rPr>
        <w:t>القرآن</w:t>
      </w:r>
      <w:r w:rsidR="00F32B28">
        <w:rPr>
          <w:rtl/>
        </w:rPr>
        <w:t xml:space="preserve"> </w:t>
      </w:r>
      <w:r w:rsidR="00F32B28" w:rsidRPr="00F32B28">
        <w:rPr>
          <w:rtl/>
        </w:rPr>
        <w:t>الكريم،</w:t>
      </w:r>
      <w:r w:rsidR="00F32B28">
        <w:rPr>
          <w:rtl/>
        </w:rPr>
        <w:t xml:space="preserve"> </w:t>
      </w:r>
      <w:r w:rsidR="00F32B28" w:rsidRPr="00F32B28">
        <w:rPr>
          <w:rtl/>
          <w:lang w:bidi="ar-LB"/>
        </w:rPr>
        <w:t>و</w:t>
      </w:r>
      <w:r w:rsidR="00F32B28" w:rsidRPr="00F32B28">
        <w:rPr>
          <w:rtl/>
        </w:rPr>
        <w:t>من</w:t>
      </w:r>
      <w:r w:rsidR="00F32B28">
        <w:rPr>
          <w:rtl/>
        </w:rPr>
        <w:t xml:space="preserve"> </w:t>
      </w:r>
      <w:r w:rsidR="00F32B28" w:rsidRPr="00F32B28">
        <w:rPr>
          <w:rtl/>
        </w:rPr>
        <w:t>أسبابه</w:t>
      </w:r>
      <w:r w:rsidR="00F32B28">
        <w:rPr>
          <w:rtl/>
        </w:rPr>
        <w:t xml:space="preserve"> </w:t>
      </w:r>
      <w:r w:rsidR="00F32B28" w:rsidRPr="00F32B28">
        <w:rPr>
          <w:rtl/>
          <w:lang w:bidi="ar-LB"/>
        </w:rPr>
        <w:t>الزوجية</w:t>
      </w:r>
      <w:r w:rsidR="00F32B28">
        <w:rPr>
          <w:rtl/>
          <w:lang w:bidi="ar-LB"/>
        </w:rPr>
        <w:t xml:space="preserve"> </w:t>
      </w:r>
      <w:r w:rsidR="00F32B28" w:rsidRPr="00F32B28">
        <w:rPr>
          <w:rtl/>
          <w:lang w:bidi="ar-LB"/>
        </w:rPr>
        <w:t>والقرابة.</w:t>
      </w:r>
      <w:r w:rsidR="00F32B28">
        <w:rPr>
          <w:rtl/>
          <w:lang w:bidi="ar-LB"/>
        </w:rPr>
        <w:t xml:space="preserve"> </w:t>
      </w:r>
      <w:r w:rsidR="00F32B28" w:rsidRPr="00F32B28">
        <w:rPr>
          <w:rtl/>
          <w:lang w:bidi="ar-LB"/>
        </w:rPr>
        <w:t>وبحسب</w:t>
      </w:r>
      <w:r w:rsidR="00F32B28">
        <w:rPr>
          <w:rtl/>
          <w:lang w:bidi="ar-LB"/>
        </w:rPr>
        <w:t xml:space="preserve"> </w:t>
      </w:r>
      <w:r w:rsidR="00F32B28" w:rsidRPr="00F32B28">
        <w:rPr>
          <w:rtl/>
          <w:lang w:bidi="ar-LB"/>
        </w:rPr>
        <w:t>أحكام</w:t>
      </w:r>
      <w:r w:rsidR="00F32B28">
        <w:rPr>
          <w:rtl/>
          <w:lang w:bidi="ar-LB"/>
        </w:rPr>
        <w:t xml:space="preserve"> </w:t>
      </w:r>
      <w:r w:rsidR="00F32B28" w:rsidRPr="00F32B28">
        <w:rPr>
          <w:rtl/>
          <w:lang w:bidi="ar-LB"/>
        </w:rPr>
        <w:t>مواريث</w:t>
      </w:r>
      <w:r w:rsidR="00F32B28">
        <w:rPr>
          <w:rtl/>
          <w:lang w:bidi="ar-LB"/>
        </w:rPr>
        <w:t xml:space="preserve"> </w:t>
      </w:r>
      <w:r w:rsidR="00F32B28" w:rsidRPr="00F32B28">
        <w:rPr>
          <w:rtl/>
          <w:lang w:bidi="ar-LB"/>
        </w:rPr>
        <w:t>المسلمين،</w:t>
      </w:r>
      <w:r w:rsidR="00F32B28">
        <w:rPr>
          <w:rtl/>
          <w:lang w:bidi="ar-LB"/>
        </w:rPr>
        <w:t xml:space="preserve"> </w:t>
      </w:r>
      <w:r w:rsidR="00F32B28" w:rsidRPr="00F32B28">
        <w:rPr>
          <w:rtl/>
          <w:lang w:bidi="ar-LB"/>
        </w:rPr>
        <w:t>وخلافاً</w:t>
      </w:r>
      <w:r w:rsidR="00F32B28">
        <w:rPr>
          <w:rtl/>
          <w:lang w:bidi="ar-LB"/>
        </w:rPr>
        <w:t xml:space="preserve"> </w:t>
      </w:r>
      <w:r w:rsidR="00F32B28" w:rsidRPr="00F32B28">
        <w:rPr>
          <w:rtl/>
          <w:lang w:bidi="ar-LB"/>
        </w:rPr>
        <w:t>لما</w:t>
      </w:r>
      <w:r w:rsidR="00F32B28">
        <w:rPr>
          <w:rtl/>
          <w:lang w:bidi="ar-LB"/>
        </w:rPr>
        <w:t xml:space="preserve"> </w:t>
      </w:r>
      <w:r w:rsidR="00F32B28" w:rsidRPr="00F32B28">
        <w:rPr>
          <w:rtl/>
          <w:lang w:bidi="ar-LB"/>
        </w:rPr>
        <w:t>هو</w:t>
      </w:r>
      <w:r w:rsidR="00F32B28">
        <w:rPr>
          <w:rtl/>
          <w:lang w:bidi="ar-LB"/>
        </w:rPr>
        <w:t xml:space="preserve"> </w:t>
      </w:r>
      <w:r w:rsidR="00F32B28" w:rsidRPr="00F32B28">
        <w:rPr>
          <w:rtl/>
          <w:lang w:bidi="ar-LB"/>
        </w:rPr>
        <w:t>شائع،</w:t>
      </w:r>
      <w:r w:rsidR="00F32B28">
        <w:rPr>
          <w:rtl/>
          <w:lang w:bidi="ar-LB"/>
        </w:rPr>
        <w:t xml:space="preserve"> </w:t>
      </w:r>
      <w:r w:rsidR="00F32B28" w:rsidRPr="00F32B28">
        <w:rPr>
          <w:rtl/>
          <w:lang w:bidi="ar-LB"/>
        </w:rPr>
        <w:t>لا</w:t>
      </w:r>
      <w:r w:rsidR="00F32B28">
        <w:rPr>
          <w:rtl/>
          <w:lang w:bidi="ar-LB"/>
        </w:rPr>
        <w:t xml:space="preserve"> </w:t>
      </w:r>
      <w:r w:rsidR="00F32B28" w:rsidRPr="00F32B28">
        <w:rPr>
          <w:rtl/>
          <w:lang w:bidi="ar-LB"/>
        </w:rPr>
        <w:t>تشكل</w:t>
      </w:r>
      <w:r w:rsidR="00F32B28">
        <w:rPr>
          <w:rtl/>
          <w:lang w:bidi="ar-LB"/>
        </w:rPr>
        <w:t xml:space="preserve"> </w:t>
      </w:r>
      <w:r w:rsidR="00F32B28" w:rsidRPr="00F32B28">
        <w:rPr>
          <w:rtl/>
          <w:lang w:bidi="ar-LB"/>
        </w:rPr>
        <w:t>قاعدة</w:t>
      </w:r>
      <w:r w:rsidR="00F32B28">
        <w:rPr>
          <w:rtl/>
          <w:lang w:bidi="ar-LB"/>
        </w:rPr>
        <w:t xml:space="preserve"> </w:t>
      </w:r>
      <w:r w:rsidR="00D06D08">
        <w:rPr>
          <w:rFonts w:hint="cs"/>
          <w:rtl/>
          <w:lang w:bidi="ar-LB"/>
        </w:rPr>
        <w:t>”</w:t>
      </w:r>
      <w:r w:rsidR="00F32B28" w:rsidRPr="00F32B28">
        <w:rPr>
          <w:i/>
          <w:iCs/>
          <w:rtl/>
          <w:lang w:bidi="ar-LB"/>
        </w:rPr>
        <w:t>للذكر</w:t>
      </w:r>
      <w:r w:rsidR="00F32B28">
        <w:rPr>
          <w:i/>
          <w:iCs/>
          <w:rtl/>
          <w:lang w:bidi="ar-LB"/>
        </w:rPr>
        <w:t xml:space="preserve"> </w:t>
      </w:r>
      <w:r w:rsidR="00F32B28" w:rsidRPr="00F32B28">
        <w:rPr>
          <w:i/>
          <w:iCs/>
          <w:rtl/>
          <w:lang w:bidi="ar-LB"/>
        </w:rPr>
        <w:t>مثل</w:t>
      </w:r>
      <w:r w:rsidR="00F32B28">
        <w:rPr>
          <w:i/>
          <w:iCs/>
          <w:rtl/>
          <w:lang w:bidi="ar-LB"/>
        </w:rPr>
        <w:t xml:space="preserve"> </w:t>
      </w:r>
      <w:r w:rsidR="00F32B28" w:rsidRPr="00F32B28">
        <w:rPr>
          <w:i/>
          <w:iCs/>
          <w:rtl/>
          <w:lang w:bidi="ar-LB"/>
        </w:rPr>
        <w:t>حظ</w:t>
      </w:r>
      <w:r w:rsidR="00F32B28">
        <w:rPr>
          <w:i/>
          <w:iCs/>
          <w:rtl/>
          <w:lang w:bidi="ar-LB"/>
        </w:rPr>
        <w:t xml:space="preserve"> </w:t>
      </w:r>
      <w:r w:rsidR="00F32B28" w:rsidRPr="00F32B28">
        <w:rPr>
          <w:i/>
          <w:iCs/>
          <w:rtl/>
          <w:lang w:bidi="ar-LB"/>
        </w:rPr>
        <w:t>الأنثيين</w:t>
      </w:r>
      <w:r w:rsidR="00D06D08">
        <w:rPr>
          <w:rFonts w:hint="cs"/>
          <w:rtl/>
        </w:rPr>
        <w:t>“</w:t>
      </w:r>
      <w:r w:rsidR="00F32B28">
        <w:rPr>
          <w:rtl/>
          <w:lang w:bidi="ar-LB"/>
        </w:rPr>
        <w:t xml:space="preserve"> </w:t>
      </w:r>
      <w:r w:rsidR="00F32B28" w:rsidRPr="00F32B28">
        <w:rPr>
          <w:rtl/>
          <w:lang w:bidi="ar-LB"/>
        </w:rPr>
        <w:t>قاعدة</w:t>
      </w:r>
      <w:r w:rsidR="00F32B28">
        <w:rPr>
          <w:rtl/>
          <w:lang w:bidi="ar-LB"/>
        </w:rPr>
        <w:t xml:space="preserve"> </w:t>
      </w:r>
      <w:r w:rsidR="00F32B28" w:rsidRPr="00F32B28">
        <w:rPr>
          <w:rtl/>
          <w:lang w:bidi="ar-LB"/>
        </w:rPr>
        <w:t>مطردة</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كل</w:t>
      </w:r>
      <w:r w:rsidR="00F32B28">
        <w:rPr>
          <w:rtl/>
          <w:lang w:bidi="ar-LB"/>
        </w:rPr>
        <w:t xml:space="preserve"> </w:t>
      </w:r>
      <w:r w:rsidR="00F32B28" w:rsidRPr="00F32B28">
        <w:rPr>
          <w:rtl/>
          <w:lang w:bidi="ar-LB"/>
        </w:rPr>
        <w:t>حالات</w:t>
      </w:r>
      <w:r w:rsidR="00F32B28">
        <w:rPr>
          <w:rtl/>
          <w:lang w:bidi="ar-LB"/>
        </w:rPr>
        <w:t xml:space="preserve"> </w:t>
      </w:r>
      <w:r w:rsidR="00F32B28" w:rsidRPr="00F32B28">
        <w:rPr>
          <w:rtl/>
          <w:lang w:bidi="ar-LB"/>
        </w:rPr>
        <w:t>الميراث</w:t>
      </w:r>
      <w:r w:rsidR="00F32B28">
        <w:rPr>
          <w:rtl/>
          <w:lang w:bidi="ar-LB"/>
        </w:rPr>
        <w:t xml:space="preserve"> </w:t>
      </w:r>
      <w:r w:rsidR="00F32B28" w:rsidRPr="00F32B28">
        <w:rPr>
          <w:rtl/>
          <w:lang w:bidi="ar-LB"/>
        </w:rPr>
        <w:t>ونسب</w:t>
      </w:r>
      <w:r w:rsidR="00F32B28">
        <w:rPr>
          <w:rtl/>
          <w:lang w:bidi="ar-LB"/>
        </w:rPr>
        <w:t xml:space="preserve"> </w:t>
      </w:r>
      <w:r w:rsidR="00F32B28" w:rsidRPr="00F32B28">
        <w:rPr>
          <w:rtl/>
          <w:lang w:bidi="ar-LB"/>
        </w:rPr>
        <w:t>توزيع</w:t>
      </w:r>
      <w:r w:rsidR="00F32B28">
        <w:rPr>
          <w:rtl/>
          <w:lang w:bidi="ar-LB"/>
        </w:rPr>
        <w:t xml:space="preserve"> </w:t>
      </w:r>
      <w:r w:rsidR="00F32B28" w:rsidRPr="00F32B28">
        <w:rPr>
          <w:rtl/>
          <w:lang w:bidi="ar-LB"/>
        </w:rPr>
        <w:t>حصصه</w:t>
      </w:r>
      <w:r w:rsidR="00F32B28">
        <w:rPr>
          <w:rtl/>
          <w:lang w:bidi="ar-LB"/>
        </w:rPr>
        <w:t xml:space="preserve"> </w:t>
      </w:r>
      <w:r w:rsidR="00F32B28" w:rsidRPr="00F32B28">
        <w:rPr>
          <w:rtl/>
          <w:lang w:bidi="ar-LB"/>
        </w:rPr>
        <w:t>بين</w:t>
      </w:r>
      <w:r w:rsidR="00F32B28">
        <w:rPr>
          <w:rtl/>
          <w:lang w:bidi="ar-LB"/>
        </w:rPr>
        <w:t xml:space="preserve"> </w:t>
      </w:r>
      <w:r w:rsidR="00F32B28" w:rsidRPr="00F32B28">
        <w:rPr>
          <w:rtl/>
          <w:lang w:bidi="ar-LB"/>
        </w:rPr>
        <w:t>الرجال</w:t>
      </w:r>
      <w:r w:rsidR="00F32B28">
        <w:rPr>
          <w:rtl/>
          <w:lang w:bidi="ar-LB"/>
        </w:rPr>
        <w:t xml:space="preserve"> </w:t>
      </w:r>
      <w:r w:rsidR="00F32B28" w:rsidRPr="00F32B28">
        <w:rPr>
          <w:rtl/>
          <w:lang w:bidi="ar-LB"/>
        </w:rPr>
        <w:t>والنساء؛</w:t>
      </w:r>
      <w:r w:rsidR="00F32B28">
        <w:rPr>
          <w:rtl/>
          <w:lang w:bidi="ar-LB"/>
        </w:rPr>
        <w:t xml:space="preserve"> </w:t>
      </w:r>
      <w:r w:rsidR="00F32B28" w:rsidRPr="00F32B28">
        <w:rPr>
          <w:rtl/>
          <w:lang w:bidi="ar-LB"/>
        </w:rPr>
        <w:t>فهنالك</w:t>
      </w:r>
      <w:r w:rsidR="00F32B28">
        <w:rPr>
          <w:rtl/>
          <w:lang w:bidi="ar-LB"/>
        </w:rPr>
        <w:t xml:space="preserve"> </w:t>
      </w:r>
      <w:r w:rsidR="00F32B28" w:rsidRPr="00F32B28">
        <w:rPr>
          <w:rtl/>
          <w:lang w:bidi="ar-LB"/>
        </w:rPr>
        <w:t>أكثر</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ثلاثين</w:t>
      </w:r>
      <w:r w:rsidR="00F32B28">
        <w:rPr>
          <w:rtl/>
          <w:lang w:bidi="ar-LB"/>
        </w:rPr>
        <w:t xml:space="preserve"> </w:t>
      </w:r>
      <w:r w:rsidR="00F32B28" w:rsidRPr="00F32B28">
        <w:rPr>
          <w:rtl/>
          <w:lang w:bidi="ar-LB"/>
        </w:rPr>
        <w:t>حالة</w:t>
      </w:r>
      <w:r w:rsidR="00F32B28">
        <w:rPr>
          <w:rtl/>
          <w:lang w:bidi="ar-LB"/>
        </w:rPr>
        <w:t xml:space="preserve"> </w:t>
      </w:r>
      <w:r w:rsidR="00F32B28" w:rsidRPr="00F32B28">
        <w:rPr>
          <w:rtl/>
          <w:lang w:bidi="ar-LB"/>
        </w:rPr>
        <w:t>تأخذ</w:t>
      </w:r>
      <w:r w:rsidR="00F32B28">
        <w:rPr>
          <w:rtl/>
          <w:lang w:bidi="ar-LB"/>
        </w:rPr>
        <w:t xml:space="preserve"> </w:t>
      </w:r>
      <w:r w:rsidR="00F32B28" w:rsidRPr="00F32B28">
        <w:rPr>
          <w:rtl/>
          <w:lang w:bidi="ar-LB"/>
        </w:rPr>
        <w:t>فيها</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مثل</w:t>
      </w:r>
      <w:r w:rsidR="00F32B28">
        <w:rPr>
          <w:rtl/>
          <w:lang w:bidi="ar-LB"/>
        </w:rPr>
        <w:t xml:space="preserve"> </w:t>
      </w:r>
      <w:r w:rsidR="00F32B28" w:rsidRPr="00F32B28">
        <w:rPr>
          <w:rtl/>
          <w:lang w:bidi="ar-LB"/>
        </w:rPr>
        <w:t>حصة</w:t>
      </w:r>
      <w:r w:rsidR="00F32B28">
        <w:rPr>
          <w:rtl/>
          <w:lang w:bidi="ar-LB"/>
        </w:rPr>
        <w:t xml:space="preserve"> </w:t>
      </w:r>
      <w:r w:rsidR="00F32B28" w:rsidRPr="00F32B28">
        <w:rPr>
          <w:rtl/>
          <w:lang w:bidi="ar-LB"/>
        </w:rPr>
        <w:t>الرجل،</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أكثر</w:t>
      </w:r>
      <w:r w:rsidR="00F32B28">
        <w:rPr>
          <w:rtl/>
          <w:lang w:bidi="ar-LB"/>
        </w:rPr>
        <w:t xml:space="preserve"> </w:t>
      </w:r>
      <w:r w:rsidR="00F32B28" w:rsidRPr="00F32B28">
        <w:rPr>
          <w:rtl/>
          <w:lang w:bidi="ar-LB"/>
        </w:rPr>
        <w:t>منه،</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ترث</w:t>
      </w:r>
      <w:r w:rsidR="00F32B28">
        <w:rPr>
          <w:rtl/>
          <w:lang w:bidi="ar-LB"/>
        </w:rPr>
        <w:t xml:space="preserve"> </w:t>
      </w:r>
      <w:r w:rsidR="00F32B28" w:rsidRPr="00F32B28">
        <w:rPr>
          <w:rtl/>
          <w:lang w:bidi="ar-LB"/>
        </w:rPr>
        <w:t>هي</w:t>
      </w:r>
      <w:r w:rsidR="00F32B28">
        <w:rPr>
          <w:rtl/>
          <w:lang w:bidi="ar-LB"/>
        </w:rPr>
        <w:t xml:space="preserve"> </w:t>
      </w:r>
      <w:r w:rsidR="00F32B28" w:rsidRPr="00F32B28">
        <w:rPr>
          <w:rtl/>
          <w:lang w:bidi="ar-LB"/>
        </w:rPr>
        <w:t>ولا</w:t>
      </w:r>
      <w:r w:rsidR="00F32B28">
        <w:rPr>
          <w:rtl/>
          <w:lang w:bidi="ar-LB"/>
        </w:rPr>
        <w:t xml:space="preserve"> </w:t>
      </w:r>
      <w:r w:rsidR="00F32B28" w:rsidRPr="00F32B28">
        <w:rPr>
          <w:rtl/>
          <w:lang w:bidi="ar-LB"/>
        </w:rPr>
        <w:t>يرث</w:t>
      </w:r>
      <w:r w:rsidR="00F32B28">
        <w:rPr>
          <w:rtl/>
          <w:lang w:bidi="ar-LB"/>
        </w:rPr>
        <w:t xml:space="preserve"> </w:t>
      </w:r>
      <w:r w:rsidR="00F32B28" w:rsidRPr="00F32B28">
        <w:rPr>
          <w:rtl/>
          <w:lang w:bidi="ar-LB"/>
        </w:rPr>
        <w:t>نظيرها</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الرجال،</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المقابل،</w:t>
      </w:r>
      <w:r w:rsidR="00F32B28">
        <w:rPr>
          <w:rtl/>
          <w:lang w:bidi="ar-LB"/>
        </w:rPr>
        <w:t xml:space="preserve"> </w:t>
      </w:r>
      <w:r w:rsidR="00F32B28" w:rsidRPr="00F32B28">
        <w:rPr>
          <w:rtl/>
          <w:lang w:bidi="ar-LB"/>
        </w:rPr>
        <w:t>هنالك</w:t>
      </w:r>
      <w:r w:rsidR="00F32B28">
        <w:rPr>
          <w:rtl/>
          <w:lang w:bidi="ar-LB"/>
        </w:rPr>
        <w:t xml:space="preserve"> </w:t>
      </w:r>
      <w:r w:rsidR="00F32B28" w:rsidRPr="00F32B28">
        <w:rPr>
          <w:rtl/>
          <w:lang w:bidi="ar-LB"/>
        </w:rPr>
        <w:t>أربع</w:t>
      </w:r>
      <w:r w:rsidR="00F32B28">
        <w:rPr>
          <w:rtl/>
          <w:lang w:bidi="ar-LB"/>
        </w:rPr>
        <w:t xml:space="preserve"> </w:t>
      </w:r>
      <w:r w:rsidR="00F32B28" w:rsidRPr="00F32B28">
        <w:rPr>
          <w:rtl/>
          <w:lang w:bidi="ar-LB"/>
        </w:rPr>
        <w:t>حالات</w:t>
      </w:r>
      <w:r w:rsidR="00F32B28">
        <w:rPr>
          <w:rtl/>
          <w:lang w:bidi="ar-LB"/>
        </w:rPr>
        <w:t xml:space="preserve"> </w:t>
      </w:r>
      <w:r w:rsidR="00F32B28" w:rsidRPr="00F32B28">
        <w:rPr>
          <w:rtl/>
          <w:lang w:bidi="ar-LB"/>
        </w:rPr>
        <w:t>واردة</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سبيل</w:t>
      </w:r>
      <w:r w:rsidR="00F32B28">
        <w:rPr>
          <w:rtl/>
          <w:lang w:bidi="ar-LB"/>
        </w:rPr>
        <w:t xml:space="preserve"> </w:t>
      </w:r>
      <w:r w:rsidR="00F32B28" w:rsidRPr="00F32B28">
        <w:rPr>
          <w:rtl/>
          <w:lang w:bidi="ar-LB"/>
        </w:rPr>
        <w:t>الحصر</w:t>
      </w:r>
      <w:r w:rsidR="00F32B28">
        <w:rPr>
          <w:rtl/>
          <w:lang w:bidi="ar-LB"/>
        </w:rPr>
        <w:t xml:space="preserve"> </w:t>
      </w:r>
      <w:r w:rsidR="00F32B28" w:rsidRPr="00F32B28">
        <w:rPr>
          <w:rtl/>
          <w:lang w:bidi="ar-LB"/>
        </w:rPr>
        <w:t>ترث</w:t>
      </w:r>
      <w:r w:rsidR="00F32B28">
        <w:rPr>
          <w:rtl/>
          <w:lang w:bidi="ar-LB"/>
        </w:rPr>
        <w:t xml:space="preserve"> </w:t>
      </w:r>
      <w:r w:rsidR="00F32B28" w:rsidRPr="00F32B28">
        <w:rPr>
          <w:rtl/>
          <w:lang w:bidi="ar-LB"/>
        </w:rPr>
        <w:t>فيها</w:t>
      </w:r>
      <w:r w:rsidR="00F32B28">
        <w:rPr>
          <w:rtl/>
          <w:lang w:bidi="ar-LB"/>
        </w:rPr>
        <w:t xml:space="preserve"> </w:t>
      </w:r>
      <w:r w:rsidR="00F32B28" w:rsidRPr="00F32B28">
        <w:rPr>
          <w:rtl/>
          <w:lang w:bidi="ar-LB"/>
        </w:rPr>
        <w:t>المرأة</w:t>
      </w:r>
      <w:r w:rsidR="00F32B28">
        <w:rPr>
          <w:rtl/>
          <w:lang w:bidi="ar-LB"/>
        </w:rPr>
        <w:t xml:space="preserve"> </w:t>
      </w:r>
      <w:r w:rsidR="00F32B28" w:rsidRPr="00F32B28">
        <w:rPr>
          <w:rtl/>
          <w:lang w:bidi="ar-LB"/>
        </w:rPr>
        <w:t>نصف</w:t>
      </w:r>
      <w:r w:rsidR="00F32B28">
        <w:rPr>
          <w:rtl/>
          <w:lang w:bidi="ar-LB"/>
        </w:rPr>
        <w:t xml:space="preserve"> </w:t>
      </w:r>
      <w:r w:rsidR="00F32B28" w:rsidRPr="00F32B28">
        <w:rPr>
          <w:rtl/>
          <w:lang w:bidi="ar-LB"/>
        </w:rPr>
        <w:t>ما</w:t>
      </w:r>
      <w:r w:rsidR="00F32B28">
        <w:rPr>
          <w:rtl/>
          <w:lang w:bidi="ar-LB"/>
        </w:rPr>
        <w:t xml:space="preserve"> </w:t>
      </w:r>
      <w:r w:rsidR="00F32B28" w:rsidRPr="00F32B28">
        <w:rPr>
          <w:rtl/>
          <w:lang w:bidi="ar-LB"/>
        </w:rPr>
        <w:t>يرثه</w:t>
      </w:r>
      <w:r w:rsidR="00F32B28">
        <w:rPr>
          <w:rtl/>
          <w:lang w:bidi="ar-LB"/>
        </w:rPr>
        <w:t xml:space="preserve"> </w:t>
      </w:r>
      <w:r w:rsidR="00F32B28" w:rsidRPr="00F32B28">
        <w:rPr>
          <w:rtl/>
          <w:lang w:bidi="ar-LB"/>
        </w:rPr>
        <w:t>الرجل.</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للزوجة</w:t>
      </w:r>
      <w:r w:rsidR="00F32B28">
        <w:rPr>
          <w:rtl/>
          <w:lang w:bidi="ar-LB"/>
        </w:rPr>
        <w:t xml:space="preserve"> </w:t>
      </w:r>
      <w:r w:rsidR="00F32B28" w:rsidRPr="00F32B28">
        <w:rPr>
          <w:rtl/>
          <w:lang w:bidi="ar-LB"/>
        </w:rPr>
        <w:t>حصة</w:t>
      </w:r>
      <w:r w:rsidR="00F32B28">
        <w:rPr>
          <w:rtl/>
          <w:lang w:bidi="ar-LB"/>
        </w:rPr>
        <w:t xml:space="preserve"> </w:t>
      </w:r>
      <w:r w:rsidR="00F32B28" w:rsidRPr="00F32B28">
        <w:rPr>
          <w:rtl/>
          <w:lang w:bidi="ar-LB"/>
        </w:rPr>
        <w:t>ثابتة</w:t>
      </w:r>
      <w:r w:rsidR="00F32B28">
        <w:rPr>
          <w:rtl/>
          <w:lang w:bidi="ar-LB"/>
        </w:rPr>
        <w:t xml:space="preserve"> </w:t>
      </w:r>
      <w:r w:rsidR="00F32B28" w:rsidRPr="00F32B28">
        <w:rPr>
          <w:rtl/>
          <w:lang w:bidi="ar-LB"/>
        </w:rPr>
        <w:t>من</w:t>
      </w:r>
      <w:r w:rsidR="00F32B28">
        <w:rPr>
          <w:rtl/>
          <w:lang w:bidi="ar-LB"/>
        </w:rPr>
        <w:t xml:space="preserve"> </w:t>
      </w:r>
      <w:r w:rsidR="00F32B28" w:rsidRPr="00F32B28">
        <w:rPr>
          <w:rtl/>
          <w:lang w:bidi="ar-LB"/>
        </w:rPr>
        <w:t>تركة</w:t>
      </w:r>
      <w:r w:rsidR="00F32B28">
        <w:rPr>
          <w:rtl/>
          <w:lang w:bidi="ar-LB"/>
        </w:rPr>
        <w:t xml:space="preserve"> </w:t>
      </w:r>
      <w:r w:rsidR="00F32B28" w:rsidRPr="00F32B28">
        <w:rPr>
          <w:rtl/>
          <w:lang w:bidi="ar-LB"/>
        </w:rPr>
        <w:t>زوجها</w:t>
      </w:r>
      <w:r w:rsidR="00F32B28">
        <w:rPr>
          <w:rtl/>
          <w:lang w:bidi="ar-LB"/>
        </w:rPr>
        <w:t xml:space="preserve"> </w:t>
      </w:r>
      <w:r w:rsidR="00F32B28" w:rsidRPr="00F32B28">
        <w:rPr>
          <w:rtl/>
          <w:lang w:bidi="ar-LB"/>
        </w:rPr>
        <w:t>المتوفي</w:t>
      </w:r>
      <w:r w:rsidR="00F32B28">
        <w:rPr>
          <w:rtl/>
          <w:lang w:bidi="ar-LB"/>
        </w:rPr>
        <w:t xml:space="preserve"> </w:t>
      </w:r>
      <w:r w:rsidR="00F32B28" w:rsidRPr="00F32B28">
        <w:rPr>
          <w:rtl/>
          <w:lang w:bidi="ar-LB"/>
        </w:rPr>
        <w:t>وهي</w:t>
      </w:r>
      <w:r w:rsidR="00F32B28">
        <w:rPr>
          <w:rtl/>
          <w:lang w:bidi="ar-LB"/>
        </w:rPr>
        <w:t xml:space="preserve"> </w:t>
      </w:r>
      <w:r w:rsidR="00F32B28" w:rsidRPr="00F32B28">
        <w:rPr>
          <w:rtl/>
          <w:lang w:bidi="ar-LB"/>
        </w:rPr>
        <w:t>الُثمن</w:t>
      </w:r>
      <w:r w:rsidR="00F32B28">
        <w:rPr>
          <w:rtl/>
          <w:lang w:bidi="ar-LB"/>
        </w:rPr>
        <w:t xml:space="preserve"> </w:t>
      </w:r>
      <w:r w:rsidR="00F32B28" w:rsidRPr="00F32B28">
        <w:rPr>
          <w:rtl/>
          <w:lang w:bidi="ar-LB"/>
        </w:rPr>
        <w:t>فيما</w:t>
      </w:r>
      <w:r w:rsidR="00F32B28">
        <w:rPr>
          <w:rtl/>
          <w:lang w:bidi="ar-LB"/>
        </w:rPr>
        <w:t xml:space="preserve"> </w:t>
      </w:r>
      <w:r w:rsidR="00F32B28" w:rsidRPr="00F32B28">
        <w:rPr>
          <w:rtl/>
          <w:lang w:bidi="ar-LB"/>
        </w:rPr>
        <w:t>إذا</w:t>
      </w:r>
      <w:r w:rsidR="00F32B28">
        <w:rPr>
          <w:rtl/>
          <w:lang w:bidi="ar-LB"/>
        </w:rPr>
        <w:t xml:space="preserve"> </w:t>
      </w:r>
      <w:r w:rsidR="00F32B28" w:rsidRPr="00F32B28">
        <w:rPr>
          <w:rtl/>
          <w:lang w:bidi="ar-LB"/>
        </w:rPr>
        <w:t>كان</w:t>
      </w:r>
      <w:r w:rsidR="00F32B28">
        <w:rPr>
          <w:rtl/>
          <w:lang w:bidi="ar-LB"/>
        </w:rPr>
        <w:t xml:space="preserve"> </w:t>
      </w:r>
      <w:r w:rsidR="00F32B28" w:rsidRPr="00F32B28">
        <w:rPr>
          <w:rtl/>
          <w:lang w:bidi="ar-LB"/>
        </w:rPr>
        <w:t>له</w:t>
      </w:r>
      <w:r w:rsidR="00F32B28">
        <w:rPr>
          <w:rtl/>
          <w:lang w:bidi="ar-LB"/>
        </w:rPr>
        <w:t xml:space="preserve"> </w:t>
      </w:r>
      <w:r w:rsidR="00F32B28" w:rsidRPr="00F32B28">
        <w:rPr>
          <w:rtl/>
          <w:lang w:bidi="ar-LB"/>
        </w:rPr>
        <w:t>ولد</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ولد</w:t>
      </w:r>
      <w:r w:rsidR="00F32B28">
        <w:rPr>
          <w:rtl/>
          <w:lang w:bidi="ar-LB"/>
        </w:rPr>
        <w:t xml:space="preserve"> </w:t>
      </w:r>
      <w:r w:rsidR="00F32B28" w:rsidRPr="00F32B28">
        <w:rPr>
          <w:rtl/>
          <w:lang w:bidi="ar-LB"/>
        </w:rPr>
        <w:t>ابن</w:t>
      </w:r>
      <w:r w:rsidR="00F32B28">
        <w:rPr>
          <w:rtl/>
          <w:lang w:bidi="ar-LB"/>
        </w:rPr>
        <w:t xml:space="preserve"> </w:t>
      </w:r>
      <w:r w:rsidR="00F32B28" w:rsidRPr="00F32B28">
        <w:rPr>
          <w:rtl/>
          <w:lang w:bidi="ar-LB"/>
        </w:rPr>
        <w:t>وان</w:t>
      </w:r>
      <w:r w:rsidR="00F32B28">
        <w:rPr>
          <w:rtl/>
          <w:lang w:bidi="ar-LB"/>
        </w:rPr>
        <w:t xml:space="preserve"> </w:t>
      </w:r>
      <w:r w:rsidR="00F32B28" w:rsidRPr="00F32B28">
        <w:rPr>
          <w:rtl/>
          <w:lang w:bidi="ar-LB"/>
        </w:rPr>
        <w:t>نزل</w:t>
      </w:r>
      <w:r w:rsidR="00F32B28">
        <w:rPr>
          <w:rtl/>
          <w:lang w:bidi="ar-LB"/>
        </w:rPr>
        <w:t xml:space="preserve"> </w:t>
      </w:r>
      <w:r w:rsidR="00F32B28" w:rsidRPr="00F32B28">
        <w:rPr>
          <w:rtl/>
          <w:lang w:bidi="ar-LB"/>
        </w:rPr>
        <w:t>(والولد</w:t>
      </w:r>
      <w:r w:rsidR="00F32B28">
        <w:rPr>
          <w:rtl/>
          <w:lang w:bidi="ar-LB"/>
        </w:rPr>
        <w:t xml:space="preserve"> </w:t>
      </w:r>
      <w:r w:rsidR="00F32B28" w:rsidRPr="00F32B28">
        <w:rPr>
          <w:rtl/>
          <w:lang w:bidi="ar-LB"/>
        </w:rPr>
        <w:t>يشمل</w:t>
      </w:r>
      <w:r w:rsidR="00F32B28">
        <w:rPr>
          <w:rtl/>
          <w:lang w:bidi="ar-LB"/>
        </w:rPr>
        <w:t xml:space="preserve"> </w:t>
      </w:r>
      <w:r w:rsidR="00F32B28" w:rsidRPr="00F32B28">
        <w:rPr>
          <w:rtl/>
          <w:lang w:bidi="ar-LB"/>
        </w:rPr>
        <w:t>الابن</w:t>
      </w:r>
      <w:r w:rsidR="00F32B28">
        <w:rPr>
          <w:rtl/>
          <w:lang w:bidi="ar-LB"/>
        </w:rPr>
        <w:t xml:space="preserve"> </w:t>
      </w:r>
      <w:r w:rsidR="00F32B28" w:rsidRPr="00F32B28">
        <w:rPr>
          <w:rtl/>
          <w:lang w:bidi="ar-LB"/>
        </w:rPr>
        <w:t>والبنت</w:t>
      </w:r>
      <w:r w:rsidR="00F32B28">
        <w:rPr>
          <w:rtl/>
          <w:lang w:bidi="ar-LB"/>
        </w:rPr>
        <w:t xml:space="preserve"> </w:t>
      </w:r>
      <w:r w:rsidR="00F32B28" w:rsidRPr="00F32B28">
        <w:rPr>
          <w:rtl/>
          <w:lang w:bidi="ar-LB"/>
        </w:rPr>
        <w:t>وولد</w:t>
      </w:r>
      <w:r w:rsidR="00F32B28">
        <w:rPr>
          <w:rtl/>
          <w:lang w:bidi="ar-LB"/>
        </w:rPr>
        <w:t xml:space="preserve"> </w:t>
      </w:r>
      <w:r w:rsidR="00F32B28" w:rsidRPr="00F32B28">
        <w:rPr>
          <w:rtl/>
          <w:lang w:bidi="ar-LB"/>
        </w:rPr>
        <w:t>الابن)،</w:t>
      </w:r>
      <w:r w:rsidR="00F32B28">
        <w:rPr>
          <w:rtl/>
          <w:lang w:bidi="ar-LB"/>
        </w:rPr>
        <w:t xml:space="preserve"> </w:t>
      </w:r>
      <w:r w:rsidR="00F32B28" w:rsidRPr="00F32B28">
        <w:rPr>
          <w:rtl/>
          <w:lang w:bidi="ar-LB"/>
        </w:rPr>
        <w:t>فإن</w:t>
      </w:r>
      <w:r w:rsidR="00F32B28">
        <w:rPr>
          <w:rtl/>
          <w:lang w:bidi="ar-LB"/>
        </w:rPr>
        <w:t xml:space="preserve"> </w:t>
      </w:r>
      <w:r w:rsidR="00F32B28" w:rsidRPr="00F32B28">
        <w:rPr>
          <w:rtl/>
          <w:lang w:bidi="ar-LB"/>
        </w:rPr>
        <w:t>لم</w:t>
      </w:r>
      <w:r w:rsidR="00F32B28">
        <w:rPr>
          <w:rtl/>
          <w:lang w:bidi="ar-LB"/>
        </w:rPr>
        <w:t xml:space="preserve"> </w:t>
      </w:r>
      <w:r w:rsidR="00F32B28" w:rsidRPr="00F32B28">
        <w:rPr>
          <w:rtl/>
          <w:lang w:bidi="ar-LB"/>
        </w:rPr>
        <w:t>يكن</w:t>
      </w:r>
      <w:r w:rsidR="00F32B28">
        <w:rPr>
          <w:rtl/>
          <w:lang w:bidi="ar-LB"/>
        </w:rPr>
        <w:t xml:space="preserve"> </w:t>
      </w:r>
      <w:r w:rsidR="00F32B28" w:rsidRPr="00F32B28">
        <w:rPr>
          <w:rtl/>
          <w:lang w:bidi="ar-LB"/>
        </w:rPr>
        <w:t>له</w:t>
      </w:r>
      <w:r w:rsidR="00F32B28">
        <w:rPr>
          <w:rtl/>
          <w:lang w:bidi="ar-LB"/>
        </w:rPr>
        <w:t xml:space="preserve"> </w:t>
      </w:r>
      <w:r w:rsidR="00F32B28" w:rsidRPr="00F32B28">
        <w:rPr>
          <w:rtl/>
          <w:lang w:bidi="ar-LB"/>
        </w:rPr>
        <w:t>فلزوجته</w:t>
      </w:r>
      <w:r w:rsidR="00F32B28">
        <w:rPr>
          <w:rtl/>
          <w:lang w:bidi="ar-LB"/>
        </w:rPr>
        <w:t xml:space="preserve"> </w:t>
      </w:r>
      <w:r w:rsidR="00F32B28" w:rsidRPr="00F32B28">
        <w:rPr>
          <w:rtl/>
          <w:lang w:bidi="ar-LB"/>
        </w:rPr>
        <w:t>ربع</w:t>
      </w:r>
      <w:r w:rsidR="00F32B28">
        <w:rPr>
          <w:rtl/>
          <w:lang w:bidi="ar-LB"/>
        </w:rPr>
        <w:t xml:space="preserve"> </w:t>
      </w:r>
      <w:r w:rsidR="00F32B28" w:rsidRPr="00F32B28">
        <w:rPr>
          <w:rtl/>
          <w:lang w:bidi="ar-LB"/>
        </w:rPr>
        <w:t>التركة.</w:t>
      </w:r>
      <w:r w:rsidR="00F32B28">
        <w:rPr>
          <w:rtl/>
          <w:lang w:bidi="ar-LB"/>
        </w:rPr>
        <w:t xml:space="preserve"> </w:t>
      </w:r>
      <w:r w:rsidR="00F32B28" w:rsidRPr="00F32B28">
        <w:rPr>
          <w:rtl/>
          <w:lang w:bidi="ar-LB"/>
        </w:rPr>
        <w:t>كما</w:t>
      </w:r>
      <w:r w:rsidR="00F32B28">
        <w:rPr>
          <w:rtl/>
          <w:lang w:bidi="ar-LB"/>
        </w:rPr>
        <w:t xml:space="preserve"> </w:t>
      </w:r>
      <w:r w:rsidR="00F32B28" w:rsidRPr="00F32B28">
        <w:rPr>
          <w:rtl/>
          <w:lang w:bidi="ar-LB"/>
        </w:rPr>
        <w:t>يحق</w:t>
      </w:r>
      <w:r w:rsidR="00F32B28">
        <w:rPr>
          <w:rtl/>
          <w:lang w:bidi="ar-LB"/>
        </w:rPr>
        <w:t xml:space="preserve"> </w:t>
      </w:r>
      <w:r w:rsidR="00F32B28" w:rsidRPr="00F32B28">
        <w:rPr>
          <w:rtl/>
          <w:lang w:bidi="ar-LB"/>
        </w:rPr>
        <w:t>للزوجة</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SY"/>
        </w:rPr>
        <w:t>تأخذ</w:t>
      </w:r>
      <w:r w:rsidR="00F32B28">
        <w:rPr>
          <w:rtl/>
          <w:lang w:bidi="ar-SY"/>
        </w:rPr>
        <w:t xml:space="preserve"> </w:t>
      </w:r>
      <w:r w:rsidR="00F32B28" w:rsidRPr="00F32B28">
        <w:rPr>
          <w:rtl/>
          <w:lang w:bidi="ar-SY"/>
        </w:rPr>
        <w:t>مهرها</w:t>
      </w:r>
      <w:r w:rsidR="00F32B28">
        <w:rPr>
          <w:rtl/>
          <w:lang w:bidi="ar-SY"/>
        </w:rPr>
        <w:t xml:space="preserve"> </w:t>
      </w:r>
      <w:r w:rsidR="00F32B28" w:rsidRPr="00F32B28">
        <w:rPr>
          <w:rtl/>
          <w:lang w:bidi="ar-SY"/>
        </w:rPr>
        <w:t>وكامل</w:t>
      </w:r>
      <w:r w:rsidR="00F32B28">
        <w:rPr>
          <w:rtl/>
          <w:lang w:bidi="ar-SY"/>
        </w:rPr>
        <w:t xml:space="preserve"> </w:t>
      </w:r>
      <w:r w:rsidR="00F32B28" w:rsidRPr="00F32B28">
        <w:rPr>
          <w:rtl/>
          <w:lang w:bidi="ar-SY"/>
        </w:rPr>
        <w:t>ديونها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الإرث</w:t>
      </w:r>
      <w:r w:rsidR="00F32B28">
        <w:rPr>
          <w:rtl/>
          <w:lang w:bidi="ar-SY"/>
        </w:rPr>
        <w:t xml:space="preserve"> </w:t>
      </w:r>
      <w:r w:rsidR="00F32B28" w:rsidRPr="00F32B28">
        <w:rPr>
          <w:rtl/>
          <w:lang w:bidi="ar-SY"/>
        </w:rPr>
        <w:t>مقدماً</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سائر</w:t>
      </w:r>
      <w:r w:rsidR="00F32B28">
        <w:rPr>
          <w:rtl/>
          <w:lang w:bidi="ar-SY"/>
        </w:rPr>
        <w:t xml:space="preserve"> </w:t>
      </w:r>
      <w:r w:rsidR="00F32B28" w:rsidRPr="00F32B28">
        <w:rPr>
          <w:rtl/>
          <w:lang w:bidi="ar-SY"/>
        </w:rPr>
        <w:t>الورثة</w:t>
      </w:r>
      <w:r w:rsidR="00F32B28">
        <w:rPr>
          <w:rtl/>
          <w:lang w:bidi="ar-SY"/>
        </w:rPr>
        <w:t xml:space="preserve"> </w:t>
      </w:r>
      <w:r w:rsidR="00F32B28" w:rsidRPr="00F32B28">
        <w:rPr>
          <w:rtl/>
          <w:lang w:bidi="ar-SY"/>
        </w:rPr>
        <w:t>حتى</w:t>
      </w:r>
      <w:r w:rsidR="00F32B28">
        <w:rPr>
          <w:rtl/>
          <w:lang w:bidi="ar-SY"/>
        </w:rPr>
        <w:t xml:space="preserve"> </w:t>
      </w:r>
      <w:r w:rsidR="00F32B28" w:rsidRPr="00F32B28">
        <w:rPr>
          <w:rtl/>
          <w:lang w:bidi="ar-SY"/>
        </w:rPr>
        <w:t>لو</w:t>
      </w:r>
      <w:r w:rsidR="00F32B28">
        <w:rPr>
          <w:rtl/>
          <w:lang w:bidi="ar-SY"/>
        </w:rPr>
        <w:t xml:space="preserve"> </w:t>
      </w:r>
      <w:r w:rsidR="00F32B28" w:rsidRPr="00F32B28">
        <w:rPr>
          <w:rtl/>
          <w:lang w:bidi="ar-SY"/>
        </w:rPr>
        <w:t>استغرق</w:t>
      </w:r>
      <w:r w:rsidR="00F32B28">
        <w:rPr>
          <w:rtl/>
          <w:lang w:bidi="ar-SY"/>
        </w:rPr>
        <w:t xml:space="preserve"> </w:t>
      </w:r>
      <w:r w:rsidR="00F32B28" w:rsidRPr="00F32B28">
        <w:rPr>
          <w:rtl/>
          <w:lang w:bidi="ar-SY"/>
        </w:rPr>
        <w:t>هذا</w:t>
      </w:r>
      <w:r w:rsidR="00F32B28">
        <w:rPr>
          <w:rtl/>
          <w:lang w:bidi="ar-SY"/>
        </w:rPr>
        <w:t xml:space="preserve"> </w:t>
      </w:r>
      <w:r w:rsidR="00F32B28" w:rsidRPr="00F32B28">
        <w:rPr>
          <w:rtl/>
          <w:lang w:bidi="ar-SY"/>
        </w:rPr>
        <w:t>الدين</w:t>
      </w:r>
      <w:r w:rsidR="00F32B28">
        <w:rPr>
          <w:rtl/>
          <w:lang w:bidi="ar-SY"/>
        </w:rPr>
        <w:t xml:space="preserve"> </w:t>
      </w:r>
      <w:r w:rsidR="00F32B28" w:rsidRPr="00F32B28">
        <w:rPr>
          <w:rtl/>
          <w:lang w:bidi="ar-SY"/>
        </w:rPr>
        <w:t>جميع</w:t>
      </w:r>
      <w:r w:rsidR="00F32B28">
        <w:rPr>
          <w:rtl/>
          <w:lang w:bidi="ar-SY"/>
        </w:rPr>
        <w:t xml:space="preserve"> </w:t>
      </w:r>
      <w:r w:rsidR="00F32B28" w:rsidRPr="00F32B28">
        <w:rPr>
          <w:rtl/>
          <w:lang w:bidi="ar-SY"/>
        </w:rPr>
        <w:t>التركة.</w:t>
      </w:r>
      <w:r w:rsidR="00F32B28">
        <w:rPr>
          <w:rtl/>
          <w:lang w:bidi="ar-SY"/>
        </w:rPr>
        <w:t xml:space="preserve"> </w:t>
      </w:r>
    </w:p>
    <w:p w:rsidR="00F32B28" w:rsidRPr="00F32B28" w:rsidRDefault="006A6F0B" w:rsidP="00D61FDC">
      <w:pPr>
        <w:pStyle w:val="SingleTxt"/>
      </w:pPr>
      <w:r>
        <w:rPr>
          <w:rFonts w:hint="cs"/>
          <w:rtl/>
          <w:lang w:bidi="ar-SY"/>
        </w:rPr>
        <w:t>35</w:t>
      </w:r>
      <w:r w:rsidR="00164771">
        <w:rPr>
          <w:rFonts w:hint="cs"/>
          <w:rtl/>
          <w:lang w:bidi="ar-SY"/>
        </w:rPr>
        <w:t>2</w:t>
      </w:r>
      <w:r>
        <w:rPr>
          <w:rFonts w:hint="cs"/>
          <w:rtl/>
          <w:lang w:bidi="ar-SY"/>
        </w:rPr>
        <w:t xml:space="preserve"> - </w:t>
      </w:r>
      <w:r w:rsidR="00F32B28" w:rsidRPr="00F32B28">
        <w:rPr>
          <w:rtl/>
          <w:lang w:bidi="ar-SY"/>
        </w:rPr>
        <w:t>ومن</w:t>
      </w:r>
      <w:r w:rsidR="00F32B28">
        <w:rPr>
          <w:rtl/>
          <w:lang w:bidi="ar-SY"/>
        </w:rPr>
        <w:t xml:space="preserve"> </w:t>
      </w:r>
      <w:r w:rsidR="00F32B28" w:rsidRPr="00F32B28">
        <w:rPr>
          <w:rtl/>
          <w:lang w:bidi="ar-SY"/>
        </w:rPr>
        <w:t>أجل</w:t>
      </w:r>
      <w:r w:rsidR="00F32B28">
        <w:rPr>
          <w:rtl/>
          <w:lang w:bidi="ar-SY"/>
        </w:rPr>
        <w:t xml:space="preserve"> </w:t>
      </w:r>
      <w:r w:rsidR="00F32B28" w:rsidRPr="00F32B28">
        <w:rPr>
          <w:rtl/>
          <w:lang w:bidi="ar-SY"/>
        </w:rPr>
        <w:t>المساهمة</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القضاء</w:t>
      </w:r>
      <w:r w:rsidR="00F32B28">
        <w:rPr>
          <w:rtl/>
          <w:lang w:bidi="ar-SY"/>
        </w:rPr>
        <w:t xml:space="preserve"> </w:t>
      </w:r>
      <w:r w:rsidR="00F32B28" w:rsidRPr="00F32B28">
        <w:rPr>
          <w:rtl/>
          <w:lang w:bidi="ar-SY"/>
        </w:rPr>
        <w:t>على</w:t>
      </w:r>
      <w:r w:rsidR="00F32B28">
        <w:rPr>
          <w:rtl/>
          <w:lang w:bidi="ar-SY"/>
        </w:rPr>
        <w:t xml:space="preserve"> </w:t>
      </w:r>
      <w:r w:rsidR="00F32B28" w:rsidRPr="00F32B28">
        <w:rPr>
          <w:rtl/>
          <w:lang w:bidi="ar-SY"/>
        </w:rPr>
        <w:t>بعض</w:t>
      </w:r>
      <w:r w:rsidR="00F32B28">
        <w:rPr>
          <w:rtl/>
          <w:lang w:bidi="ar-SY"/>
        </w:rPr>
        <w:t xml:space="preserve"> </w:t>
      </w:r>
      <w:r w:rsidR="00F32B28" w:rsidRPr="00F32B28">
        <w:rPr>
          <w:rtl/>
          <w:lang w:bidi="ar-SY"/>
        </w:rPr>
        <w:t>الجوانب</w:t>
      </w:r>
      <w:r w:rsidR="00F32B28">
        <w:rPr>
          <w:rtl/>
          <w:lang w:bidi="ar-SY"/>
        </w:rPr>
        <w:t xml:space="preserve"> </w:t>
      </w:r>
      <w:r w:rsidR="00F32B28" w:rsidRPr="00F32B28">
        <w:rPr>
          <w:rtl/>
          <w:lang w:bidi="ar-SY"/>
        </w:rPr>
        <w:t>الاجتماعية</w:t>
      </w:r>
      <w:r w:rsidR="00F32B28">
        <w:rPr>
          <w:rtl/>
          <w:lang w:bidi="ar-SY"/>
        </w:rPr>
        <w:t xml:space="preserve"> </w:t>
      </w:r>
      <w:r w:rsidR="00F32B28" w:rsidRPr="00F32B28">
        <w:rPr>
          <w:rtl/>
          <w:lang w:bidi="ar-SY"/>
        </w:rPr>
        <w:t>والعادات</w:t>
      </w:r>
      <w:r w:rsidR="00F32B28">
        <w:rPr>
          <w:rtl/>
          <w:lang w:bidi="ar-SY"/>
        </w:rPr>
        <w:t xml:space="preserve"> </w:t>
      </w:r>
      <w:r w:rsidR="00F32B28" w:rsidRPr="00F32B28">
        <w:rPr>
          <w:rtl/>
          <w:lang w:bidi="ar-SY"/>
        </w:rPr>
        <w:t>والتقاليد،</w:t>
      </w:r>
      <w:r w:rsidR="00F32B28">
        <w:rPr>
          <w:rtl/>
          <w:lang w:bidi="ar-SY"/>
        </w:rPr>
        <w:t xml:space="preserve"> </w:t>
      </w:r>
      <w:r w:rsidR="00F32B28" w:rsidRPr="00F32B28">
        <w:rPr>
          <w:rtl/>
          <w:lang w:bidi="ar-SY"/>
        </w:rPr>
        <w:t>التي</w:t>
      </w:r>
      <w:r w:rsidR="00F32B28">
        <w:rPr>
          <w:rtl/>
          <w:lang w:bidi="ar-SY"/>
        </w:rPr>
        <w:t xml:space="preserve"> </w:t>
      </w:r>
      <w:r w:rsidR="00F32B28" w:rsidRPr="00F32B28">
        <w:rPr>
          <w:rtl/>
          <w:lang w:bidi="ar-SY"/>
        </w:rPr>
        <w:t>تدفع</w:t>
      </w:r>
      <w:r w:rsidR="00F32B28">
        <w:rPr>
          <w:rtl/>
          <w:lang w:bidi="ar-SY"/>
        </w:rPr>
        <w:t xml:space="preserve"> </w:t>
      </w:r>
      <w:r w:rsidR="00F32B28" w:rsidRPr="00F32B28">
        <w:rPr>
          <w:rtl/>
          <w:lang w:bidi="ar-SY"/>
        </w:rPr>
        <w:t>بالنساء</w:t>
      </w:r>
      <w:r>
        <w:rPr>
          <w:rFonts w:hint="cs"/>
          <w:rtl/>
          <w:lang w:bidi="ar-SY"/>
        </w:rPr>
        <w:t xml:space="preserve"> </w:t>
      </w:r>
      <w:r w:rsidR="00F32B28" w:rsidRPr="00F32B28">
        <w:rPr>
          <w:rtl/>
          <w:lang w:bidi="ar-SY"/>
        </w:rPr>
        <w:t>للتنازل</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حصصهن</w:t>
      </w:r>
      <w:r w:rsidR="00F32B28">
        <w:rPr>
          <w:rtl/>
          <w:lang w:bidi="ar-SY"/>
        </w:rPr>
        <w:t xml:space="preserve"> </w:t>
      </w:r>
      <w:r w:rsidR="00F32B28" w:rsidRPr="00F32B28">
        <w:rPr>
          <w:rtl/>
          <w:lang w:bidi="ar-SY"/>
        </w:rPr>
        <w:t>الإرثية</w:t>
      </w:r>
      <w:r w:rsidR="00F32B28">
        <w:rPr>
          <w:rtl/>
          <w:lang w:bidi="ar-SY"/>
        </w:rPr>
        <w:t xml:space="preserve"> </w:t>
      </w:r>
      <w:r w:rsidR="00F32B28" w:rsidRPr="00F32B28">
        <w:rPr>
          <w:rtl/>
          <w:lang w:bidi="ar-SY"/>
        </w:rPr>
        <w:t>بالتخارج</w:t>
      </w:r>
      <w:r w:rsidR="00F32B28">
        <w:rPr>
          <w:rtl/>
          <w:lang w:bidi="ar-SY"/>
        </w:rPr>
        <w:t xml:space="preserve"> </w:t>
      </w:r>
      <w:r w:rsidR="00F32B28" w:rsidRPr="00F32B28">
        <w:rPr>
          <w:rtl/>
          <w:lang w:bidi="ar-SY"/>
        </w:rPr>
        <w:t>لإخوانهن،</w:t>
      </w:r>
      <w:r w:rsidR="00F32B28">
        <w:rPr>
          <w:rtl/>
          <w:lang w:bidi="ar-SY"/>
        </w:rPr>
        <w:t xml:space="preserve"> </w:t>
      </w:r>
      <w:r w:rsidR="00F32B28" w:rsidRPr="00F32B28">
        <w:rPr>
          <w:rtl/>
          <w:lang w:bidi="ar-SY"/>
        </w:rPr>
        <w:t>ومنع</w:t>
      </w:r>
      <w:r w:rsidR="00F32B28">
        <w:rPr>
          <w:rtl/>
          <w:lang w:bidi="ar-SY"/>
        </w:rPr>
        <w:t xml:space="preserve"> </w:t>
      </w:r>
      <w:r w:rsidR="00F32B28" w:rsidRPr="00F32B28">
        <w:rPr>
          <w:rtl/>
          <w:lang w:bidi="ar-SY"/>
        </w:rPr>
        <w:t>استغلالهن</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أوقات</w:t>
      </w:r>
      <w:r w:rsidR="00F32B28">
        <w:rPr>
          <w:rtl/>
          <w:lang w:bidi="ar-SY"/>
        </w:rPr>
        <w:t xml:space="preserve"> </w:t>
      </w:r>
      <w:r w:rsidR="00F32B28" w:rsidRPr="00F32B28">
        <w:rPr>
          <w:rtl/>
          <w:lang w:bidi="ar-SY"/>
        </w:rPr>
        <w:t>الشدة</w:t>
      </w:r>
      <w:r w:rsidR="00F32B28">
        <w:rPr>
          <w:rtl/>
          <w:lang w:bidi="ar-SY"/>
        </w:rPr>
        <w:t xml:space="preserve"> </w:t>
      </w:r>
      <w:r w:rsidR="00F32B28" w:rsidRPr="00F32B28">
        <w:rPr>
          <w:rtl/>
          <w:lang w:bidi="ar-SY"/>
        </w:rPr>
        <w:t>والحزن،</w:t>
      </w:r>
      <w:r w:rsidR="00F32B28">
        <w:rPr>
          <w:rtl/>
          <w:lang w:bidi="ar-SY"/>
        </w:rPr>
        <w:t xml:space="preserve"> </w:t>
      </w:r>
      <w:r w:rsidR="00F32B28" w:rsidRPr="00F32B28">
        <w:rPr>
          <w:rtl/>
          <w:lang w:bidi="ar-SY"/>
        </w:rPr>
        <w:t>أصدر</w:t>
      </w:r>
      <w:r w:rsidR="00F32B28">
        <w:rPr>
          <w:rtl/>
          <w:lang w:bidi="ar-SY"/>
        </w:rPr>
        <w:t xml:space="preserve"> </w:t>
      </w:r>
      <w:r w:rsidR="00F32B28" w:rsidRPr="00F32B28">
        <w:rPr>
          <w:rtl/>
          <w:lang w:bidi="ar-SY"/>
        </w:rPr>
        <w:t>ديوان</w:t>
      </w:r>
      <w:r w:rsidR="00F32B28">
        <w:rPr>
          <w:rtl/>
          <w:lang w:bidi="ar-SY"/>
        </w:rPr>
        <w:t xml:space="preserve"> </w:t>
      </w:r>
      <w:r w:rsidR="00F32B28" w:rsidRPr="00F32B28">
        <w:rPr>
          <w:rtl/>
          <w:lang w:bidi="ar-SY"/>
        </w:rPr>
        <w:t>قاضي</w:t>
      </w:r>
      <w:r w:rsidR="00F32B28">
        <w:rPr>
          <w:rtl/>
          <w:lang w:bidi="ar-SY"/>
        </w:rPr>
        <w:t xml:space="preserve"> </w:t>
      </w:r>
      <w:r w:rsidR="00F32B28" w:rsidRPr="00F32B28">
        <w:rPr>
          <w:rtl/>
          <w:lang w:bidi="ar-SY"/>
        </w:rPr>
        <w:t>القضاة</w:t>
      </w:r>
      <w:r w:rsidR="00F32B28">
        <w:rPr>
          <w:rtl/>
          <w:lang w:bidi="ar-SY"/>
        </w:rPr>
        <w:t xml:space="preserve"> </w:t>
      </w:r>
      <w:r w:rsidR="00F32B28" w:rsidRPr="00F32B28">
        <w:rPr>
          <w:rtl/>
          <w:lang w:bidi="ar-SY"/>
        </w:rPr>
        <w:t>الشرعي</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عام</w:t>
      </w:r>
      <w:r w:rsidR="00F32B28">
        <w:rPr>
          <w:rtl/>
          <w:lang w:bidi="ar-SY"/>
        </w:rPr>
        <w:t xml:space="preserve"> </w:t>
      </w:r>
      <w:r w:rsidR="00F32B28" w:rsidRPr="00F32B28">
        <w:rPr>
          <w:rtl/>
          <w:lang w:bidi="ar-SY"/>
        </w:rPr>
        <w:t>2011</w:t>
      </w:r>
      <w:r w:rsidR="00F32B28">
        <w:rPr>
          <w:rtl/>
          <w:lang w:bidi="ar-SY"/>
        </w:rPr>
        <w:t xml:space="preserve"> </w:t>
      </w:r>
      <w:r w:rsidR="00F32B28" w:rsidRPr="00F32B28">
        <w:rPr>
          <w:rtl/>
          <w:lang w:bidi="ar-SY"/>
        </w:rPr>
        <w:t>تعميماً</w:t>
      </w:r>
      <w:r w:rsidR="00F32B28">
        <w:rPr>
          <w:rtl/>
          <w:lang w:bidi="ar-SY"/>
        </w:rPr>
        <w:t xml:space="preserve"> </w:t>
      </w:r>
      <w:r w:rsidR="00F32B28" w:rsidRPr="00F32B28">
        <w:rPr>
          <w:rtl/>
          <w:lang w:bidi="ar-SY"/>
        </w:rPr>
        <w:t>يحظر</w:t>
      </w:r>
      <w:r w:rsidR="00F32B28">
        <w:rPr>
          <w:rtl/>
          <w:lang w:bidi="ar-SY"/>
        </w:rPr>
        <w:t xml:space="preserve"> </w:t>
      </w:r>
      <w:r w:rsidR="00F32B28" w:rsidRPr="00F32B28">
        <w:rPr>
          <w:rtl/>
          <w:lang w:bidi="ar-SY"/>
        </w:rPr>
        <w:t>بموجبه</w:t>
      </w:r>
      <w:r w:rsidR="00F32B28">
        <w:rPr>
          <w:rtl/>
          <w:lang w:bidi="ar-SY"/>
        </w:rPr>
        <w:t xml:space="preserve"> </w:t>
      </w:r>
      <w:r w:rsidR="00F32B28" w:rsidRPr="00F32B28">
        <w:rPr>
          <w:rtl/>
          <w:lang w:bidi="ar-SY"/>
        </w:rPr>
        <w:t>تسجيل</w:t>
      </w:r>
      <w:r w:rsidR="00F32B28">
        <w:rPr>
          <w:rtl/>
          <w:lang w:bidi="ar-SY"/>
        </w:rPr>
        <w:t xml:space="preserve"> </w:t>
      </w:r>
      <w:r w:rsidR="00F32B28" w:rsidRPr="00F32B28">
        <w:rPr>
          <w:rtl/>
          <w:lang w:bidi="ar-SY"/>
        </w:rPr>
        <w:t>التخارج</w:t>
      </w:r>
      <w:r w:rsidR="00F32B28">
        <w:rPr>
          <w:rtl/>
          <w:lang w:bidi="ar-SY"/>
        </w:rPr>
        <w:t xml:space="preserve"> </w:t>
      </w:r>
      <w:r w:rsidR="00F32B28" w:rsidRPr="00F32B28">
        <w:rPr>
          <w:rtl/>
          <w:lang w:bidi="ar-SY"/>
        </w:rPr>
        <w:t>أمام</w:t>
      </w:r>
      <w:r w:rsidR="00F32B28">
        <w:rPr>
          <w:rtl/>
          <w:lang w:bidi="ar-SY"/>
        </w:rPr>
        <w:t xml:space="preserve"> </w:t>
      </w:r>
      <w:r w:rsidR="00F32B28" w:rsidRPr="00F32B28">
        <w:rPr>
          <w:rtl/>
          <w:lang w:bidi="ar-SY"/>
        </w:rPr>
        <w:t>المحاكم</w:t>
      </w:r>
      <w:r w:rsidR="00F32B28">
        <w:rPr>
          <w:rtl/>
          <w:lang w:bidi="ar-SY"/>
        </w:rPr>
        <w:t xml:space="preserve"> </w:t>
      </w:r>
      <w:r w:rsidR="00F32B28" w:rsidRPr="00F32B28">
        <w:rPr>
          <w:rtl/>
          <w:lang w:bidi="ar-SY"/>
        </w:rPr>
        <w:t>الشرعية</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مضي</w:t>
      </w:r>
      <w:r w:rsidR="00F32B28">
        <w:rPr>
          <w:rtl/>
          <w:lang w:bidi="ar-SY"/>
        </w:rPr>
        <w:t xml:space="preserve"> </w:t>
      </w:r>
      <w:r w:rsidR="00F32B28" w:rsidRPr="00F32B28">
        <w:rPr>
          <w:rtl/>
          <w:lang w:bidi="ar-SY"/>
        </w:rPr>
        <w:t>ما</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يقل</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أربعة</w:t>
      </w:r>
      <w:r w:rsidR="00F32B28">
        <w:rPr>
          <w:rtl/>
          <w:lang w:bidi="ar-SY"/>
        </w:rPr>
        <w:t xml:space="preserve"> </w:t>
      </w:r>
      <w:r w:rsidR="00F32B28" w:rsidRPr="00F32B28">
        <w:rPr>
          <w:rtl/>
          <w:lang w:bidi="ar-SY"/>
        </w:rPr>
        <w:t>أشهر</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تاريخ</w:t>
      </w:r>
      <w:r w:rsidR="00F32B28">
        <w:rPr>
          <w:rtl/>
          <w:lang w:bidi="ar-SY"/>
        </w:rPr>
        <w:t xml:space="preserve"> </w:t>
      </w:r>
      <w:r w:rsidR="00F32B28" w:rsidRPr="00F32B28">
        <w:rPr>
          <w:rtl/>
          <w:lang w:bidi="ar-SY"/>
        </w:rPr>
        <w:t>وفاة</w:t>
      </w:r>
      <w:r w:rsidR="00F32B28">
        <w:rPr>
          <w:rtl/>
          <w:lang w:bidi="ar-SY"/>
        </w:rPr>
        <w:t xml:space="preserve"> </w:t>
      </w:r>
      <w:r w:rsidR="00F32B28" w:rsidRPr="00F32B28">
        <w:rPr>
          <w:rtl/>
          <w:lang w:bidi="ar-SY"/>
        </w:rPr>
        <w:t>المورث،</w:t>
      </w:r>
      <w:r w:rsidR="00F32B28">
        <w:rPr>
          <w:rtl/>
          <w:lang w:bidi="ar-SY"/>
        </w:rPr>
        <w:t xml:space="preserve"> </w:t>
      </w:r>
      <w:r w:rsidR="00F32B28" w:rsidRPr="00F32B28">
        <w:rPr>
          <w:rtl/>
          <w:lang w:bidi="ar-SY"/>
        </w:rPr>
        <w:t>وتقديم</w:t>
      </w:r>
      <w:r w:rsidR="00F32B28">
        <w:rPr>
          <w:rtl/>
          <w:lang w:bidi="ar-SY"/>
        </w:rPr>
        <w:t xml:space="preserve"> </w:t>
      </w:r>
      <w:r w:rsidR="00F32B28" w:rsidRPr="00F32B28">
        <w:rPr>
          <w:rtl/>
          <w:lang w:bidi="ar-SY"/>
        </w:rPr>
        <w:t>كشف</w:t>
      </w:r>
      <w:r w:rsidR="00F32B28">
        <w:rPr>
          <w:rtl/>
          <w:lang w:bidi="ar-SY"/>
        </w:rPr>
        <w:t xml:space="preserve"> </w:t>
      </w:r>
      <w:r w:rsidR="00F32B28" w:rsidRPr="00F32B28">
        <w:rPr>
          <w:rtl/>
          <w:lang w:bidi="ar-SY"/>
        </w:rPr>
        <w:t>تفصيلي</w:t>
      </w:r>
      <w:r w:rsidR="00F32B28">
        <w:rPr>
          <w:rtl/>
          <w:lang w:bidi="ar-SY"/>
        </w:rPr>
        <w:t xml:space="preserve"> </w:t>
      </w:r>
      <w:r w:rsidR="00F32B28" w:rsidRPr="00F32B28">
        <w:rPr>
          <w:rtl/>
          <w:lang w:bidi="ar-SY"/>
        </w:rPr>
        <w:t>بكافة</w:t>
      </w:r>
      <w:r w:rsidR="00F32B28">
        <w:rPr>
          <w:rtl/>
          <w:lang w:bidi="ar-SY"/>
        </w:rPr>
        <w:t xml:space="preserve"> </w:t>
      </w:r>
      <w:r w:rsidR="00F32B28" w:rsidRPr="00F32B28">
        <w:rPr>
          <w:rtl/>
          <w:lang w:bidi="ar-SY"/>
        </w:rPr>
        <w:t>أموال</w:t>
      </w:r>
      <w:r w:rsidR="00F32B28">
        <w:rPr>
          <w:rtl/>
          <w:lang w:bidi="ar-SY"/>
        </w:rPr>
        <w:t xml:space="preserve"> </w:t>
      </w:r>
      <w:r w:rsidR="00F32B28" w:rsidRPr="00F32B28">
        <w:rPr>
          <w:rtl/>
          <w:lang w:bidi="ar-SY"/>
        </w:rPr>
        <w:t>المورث</w:t>
      </w:r>
      <w:r w:rsidR="00F32B28">
        <w:rPr>
          <w:rtl/>
          <w:lang w:bidi="ar-SY"/>
        </w:rPr>
        <w:t xml:space="preserve"> </w:t>
      </w:r>
      <w:r w:rsidR="00F32B28" w:rsidRPr="00F32B28">
        <w:rPr>
          <w:rtl/>
          <w:lang w:bidi="ar-SY"/>
        </w:rPr>
        <w:t>موقعاً</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كافة</w:t>
      </w:r>
      <w:r w:rsidR="00F32B28">
        <w:rPr>
          <w:rtl/>
          <w:lang w:bidi="ar-SY"/>
        </w:rPr>
        <w:t xml:space="preserve"> </w:t>
      </w:r>
      <w:r w:rsidR="00F32B28" w:rsidRPr="00F32B28">
        <w:rPr>
          <w:rtl/>
          <w:lang w:bidi="ar-SY"/>
        </w:rPr>
        <w:t>الورثة</w:t>
      </w:r>
      <w:r w:rsidR="00F32B28">
        <w:rPr>
          <w:rtl/>
          <w:lang w:bidi="ar-SY"/>
        </w:rPr>
        <w:t xml:space="preserve"> </w:t>
      </w:r>
      <w:r w:rsidR="00F32B28" w:rsidRPr="00F32B28">
        <w:rPr>
          <w:rtl/>
          <w:lang w:bidi="ar-SY"/>
        </w:rPr>
        <w:t>ومصادقاً</w:t>
      </w:r>
      <w:r w:rsidR="00F32B28">
        <w:rPr>
          <w:rtl/>
          <w:lang w:bidi="ar-SY"/>
        </w:rPr>
        <w:t xml:space="preserve"> </w:t>
      </w:r>
      <w:r w:rsidR="00F32B28" w:rsidRPr="00F32B28">
        <w:rPr>
          <w:rtl/>
          <w:lang w:bidi="ar-SY"/>
        </w:rPr>
        <w:t>عليه</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الهيئة</w:t>
      </w:r>
      <w:r w:rsidR="00F32B28">
        <w:rPr>
          <w:rtl/>
          <w:lang w:bidi="ar-SY"/>
        </w:rPr>
        <w:t xml:space="preserve"> </w:t>
      </w:r>
      <w:r w:rsidR="00F32B28" w:rsidRPr="00F32B28">
        <w:rPr>
          <w:rtl/>
          <w:lang w:bidi="ar-SY"/>
        </w:rPr>
        <w:t>المحلية</w:t>
      </w:r>
      <w:r>
        <w:rPr>
          <w:rFonts w:hint="cs"/>
          <w:rtl/>
          <w:lang w:bidi="ar-SY"/>
        </w:rPr>
        <w:t xml:space="preserve"> </w:t>
      </w:r>
      <w:r w:rsidR="00F32B28" w:rsidRPr="00F32B28">
        <w:rPr>
          <w:rtl/>
          <w:lang w:bidi="ar-SY"/>
        </w:rPr>
        <w:t>المختصة،</w:t>
      </w:r>
      <w:r w:rsidR="00F32B28">
        <w:rPr>
          <w:rtl/>
          <w:lang w:bidi="ar-SY"/>
        </w:rPr>
        <w:t xml:space="preserve"> </w:t>
      </w:r>
      <w:r w:rsidR="00F32B28" w:rsidRPr="00F32B28">
        <w:rPr>
          <w:rtl/>
          <w:lang w:bidi="ar-SY"/>
        </w:rPr>
        <w:t>وتقرير</w:t>
      </w:r>
      <w:r w:rsidR="00F32B28">
        <w:rPr>
          <w:rtl/>
          <w:lang w:bidi="ar-SY"/>
        </w:rPr>
        <w:t xml:space="preserve"> </w:t>
      </w:r>
      <w:r w:rsidR="00F32B28" w:rsidRPr="00F32B28">
        <w:rPr>
          <w:rtl/>
          <w:lang w:bidi="ar-SY"/>
        </w:rPr>
        <w:t>موقع</w:t>
      </w:r>
      <w:r w:rsidR="00F32B28">
        <w:rPr>
          <w:rtl/>
          <w:lang w:bidi="ar-SY"/>
        </w:rPr>
        <w:t xml:space="preserve"> </w:t>
      </w:r>
      <w:r w:rsidR="00F32B28" w:rsidRPr="00F32B28">
        <w:rPr>
          <w:rtl/>
          <w:lang w:bidi="ar-SY"/>
        </w:rPr>
        <w:t>من</w:t>
      </w:r>
      <w:r w:rsidR="00F32B28">
        <w:rPr>
          <w:rtl/>
          <w:lang w:bidi="ar-SY"/>
        </w:rPr>
        <w:t xml:space="preserve"> </w:t>
      </w:r>
      <w:r w:rsidR="00F32B28" w:rsidRPr="00F32B28">
        <w:rPr>
          <w:rtl/>
          <w:lang w:bidi="ar-SY"/>
        </w:rPr>
        <w:t>ثلاث</w:t>
      </w:r>
      <w:r w:rsidR="00F32B28">
        <w:rPr>
          <w:rtl/>
          <w:lang w:bidi="ar-SY"/>
        </w:rPr>
        <w:t xml:space="preserve"> </w:t>
      </w:r>
      <w:r w:rsidR="00F32B28" w:rsidRPr="00F32B28">
        <w:rPr>
          <w:rtl/>
          <w:lang w:bidi="ar-SY"/>
        </w:rPr>
        <w:t>خبراء</w:t>
      </w:r>
      <w:r w:rsidR="00F32B28">
        <w:rPr>
          <w:rtl/>
          <w:lang w:bidi="ar-SY"/>
        </w:rPr>
        <w:t xml:space="preserve"> </w:t>
      </w:r>
      <w:r w:rsidR="00F32B28" w:rsidRPr="00F32B28">
        <w:rPr>
          <w:rtl/>
          <w:lang w:bidi="ar-SY"/>
        </w:rPr>
        <w:t>يتضمن</w:t>
      </w:r>
      <w:r w:rsidR="00F32B28">
        <w:rPr>
          <w:rtl/>
          <w:lang w:bidi="ar-SY"/>
        </w:rPr>
        <w:t xml:space="preserve"> </w:t>
      </w:r>
      <w:r w:rsidR="00F32B28" w:rsidRPr="00F32B28">
        <w:rPr>
          <w:rtl/>
          <w:lang w:bidi="ar-SY"/>
        </w:rPr>
        <w:t>الثمن</w:t>
      </w:r>
      <w:r w:rsidR="00F32B28">
        <w:rPr>
          <w:rtl/>
          <w:lang w:bidi="ar-SY"/>
        </w:rPr>
        <w:t xml:space="preserve"> </w:t>
      </w:r>
      <w:r w:rsidR="00F32B28" w:rsidRPr="00F32B28">
        <w:rPr>
          <w:rtl/>
          <w:lang w:bidi="ar-SY"/>
        </w:rPr>
        <w:t>الحقيقي</w:t>
      </w:r>
      <w:r w:rsidR="00F32B28">
        <w:rPr>
          <w:rtl/>
          <w:lang w:bidi="ar-SY"/>
        </w:rPr>
        <w:t xml:space="preserve"> </w:t>
      </w:r>
      <w:r w:rsidR="00F32B28" w:rsidRPr="00F32B28">
        <w:rPr>
          <w:rtl/>
          <w:lang w:bidi="ar-SY"/>
        </w:rPr>
        <w:t>للحصص</w:t>
      </w:r>
      <w:r w:rsidR="00F32B28">
        <w:rPr>
          <w:rtl/>
          <w:lang w:bidi="ar-SY"/>
        </w:rPr>
        <w:t xml:space="preserve"> </w:t>
      </w:r>
      <w:r w:rsidR="00F32B28" w:rsidRPr="00F32B28">
        <w:rPr>
          <w:rtl/>
          <w:lang w:bidi="ar-SY"/>
        </w:rPr>
        <w:t>الإرثية</w:t>
      </w:r>
      <w:r w:rsidR="00F32B28">
        <w:rPr>
          <w:rtl/>
          <w:lang w:bidi="ar-SY"/>
        </w:rPr>
        <w:t xml:space="preserve"> </w:t>
      </w:r>
      <w:r w:rsidR="00F32B28" w:rsidRPr="00F32B28">
        <w:rPr>
          <w:rtl/>
          <w:lang w:bidi="ar-SY"/>
        </w:rPr>
        <w:t>المراد</w:t>
      </w:r>
      <w:r w:rsidR="00F32B28">
        <w:rPr>
          <w:rtl/>
          <w:lang w:bidi="ar-SY"/>
        </w:rPr>
        <w:t xml:space="preserve"> </w:t>
      </w:r>
      <w:r w:rsidR="00F32B28" w:rsidRPr="00F32B28">
        <w:rPr>
          <w:rtl/>
          <w:lang w:bidi="ar-SY"/>
        </w:rPr>
        <w:t>التخارج</w:t>
      </w:r>
      <w:r w:rsidR="00F32B28">
        <w:rPr>
          <w:rtl/>
          <w:lang w:bidi="ar-SY"/>
        </w:rPr>
        <w:t xml:space="preserve"> </w:t>
      </w:r>
      <w:r w:rsidR="00F32B28" w:rsidRPr="00F32B28">
        <w:rPr>
          <w:rtl/>
          <w:lang w:bidi="ar-SY"/>
        </w:rPr>
        <w:t>عنها،</w:t>
      </w:r>
      <w:r w:rsidR="00F32B28">
        <w:rPr>
          <w:rtl/>
          <w:lang w:bidi="ar-SY"/>
        </w:rPr>
        <w:t xml:space="preserve"> </w:t>
      </w:r>
      <w:r w:rsidR="00F32B28" w:rsidRPr="00F32B28">
        <w:rPr>
          <w:rtl/>
          <w:lang w:bidi="ar-SY"/>
        </w:rPr>
        <w:t>والإعلان</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التخارج</w:t>
      </w:r>
      <w:r w:rsidR="00F32B28">
        <w:rPr>
          <w:rtl/>
          <w:lang w:bidi="ar-SY"/>
        </w:rPr>
        <w:t xml:space="preserve"> </w:t>
      </w:r>
      <w:r w:rsidR="00F32B28" w:rsidRPr="00F32B28">
        <w:rPr>
          <w:rtl/>
          <w:lang w:bidi="ar-SY"/>
        </w:rPr>
        <w:t>قبل</w:t>
      </w:r>
      <w:r w:rsidR="00F32B28">
        <w:rPr>
          <w:rtl/>
          <w:lang w:bidi="ar-SY"/>
        </w:rPr>
        <w:t xml:space="preserve"> </w:t>
      </w:r>
      <w:r w:rsidR="00F32B28" w:rsidRPr="00F32B28">
        <w:rPr>
          <w:rtl/>
          <w:lang w:bidi="ar-SY"/>
        </w:rPr>
        <w:t>تسجيله</w:t>
      </w:r>
      <w:r w:rsidR="00F32B28">
        <w:rPr>
          <w:rtl/>
          <w:lang w:bidi="ar-SY"/>
        </w:rPr>
        <w:t xml:space="preserve"> </w:t>
      </w:r>
      <w:r w:rsidR="00F32B28" w:rsidRPr="00F32B28">
        <w:rPr>
          <w:rtl/>
          <w:lang w:bidi="ar-SY"/>
        </w:rPr>
        <w:t>بالتعليق</w:t>
      </w:r>
      <w:r w:rsidR="00F32B28">
        <w:rPr>
          <w:rtl/>
          <w:lang w:bidi="ar-SY"/>
        </w:rPr>
        <w:t xml:space="preserve"> </w:t>
      </w:r>
      <w:r w:rsidR="00F32B28" w:rsidRPr="00F32B28">
        <w:rPr>
          <w:rtl/>
          <w:lang w:bidi="ar-SY"/>
        </w:rPr>
        <w:t>أو</w:t>
      </w:r>
      <w:r w:rsidR="00F32B28">
        <w:rPr>
          <w:rtl/>
          <w:lang w:bidi="ar-SY"/>
        </w:rPr>
        <w:t xml:space="preserve"> </w:t>
      </w:r>
      <w:r w:rsidR="00F32B28" w:rsidRPr="00F32B28">
        <w:rPr>
          <w:rtl/>
          <w:lang w:bidi="ar-SY"/>
        </w:rPr>
        <w:t>النشر</w:t>
      </w:r>
      <w:r w:rsidR="00F32B28">
        <w:rPr>
          <w:rtl/>
          <w:lang w:bidi="ar-SY"/>
        </w:rPr>
        <w:t xml:space="preserve"> </w:t>
      </w:r>
      <w:r w:rsidR="00F32B28" w:rsidRPr="00F32B28">
        <w:rPr>
          <w:rtl/>
          <w:lang w:bidi="ar-SY"/>
        </w:rPr>
        <w:t>في</w:t>
      </w:r>
      <w:r w:rsidR="00F32B28">
        <w:rPr>
          <w:rtl/>
          <w:lang w:bidi="ar-SY"/>
        </w:rPr>
        <w:t xml:space="preserve"> </w:t>
      </w:r>
      <w:r w:rsidR="00F32B28" w:rsidRPr="00F32B28">
        <w:rPr>
          <w:rtl/>
          <w:lang w:bidi="ar-SY"/>
        </w:rPr>
        <w:t>إحدى</w:t>
      </w:r>
      <w:r w:rsidR="00F32B28">
        <w:rPr>
          <w:rtl/>
          <w:lang w:bidi="ar-SY"/>
        </w:rPr>
        <w:t xml:space="preserve"> </w:t>
      </w:r>
      <w:r w:rsidR="00F32B28" w:rsidRPr="00F32B28">
        <w:rPr>
          <w:rtl/>
          <w:lang w:bidi="ar-SY"/>
        </w:rPr>
        <w:t>الصحف</w:t>
      </w:r>
      <w:r w:rsidR="00F32B28">
        <w:rPr>
          <w:rtl/>
          <w:lang w:bidi="ar-SY"/>
        </w:rPr>
        <w:t xml:space="preserve"> </w:t>
      </w:r>
      <w:r w:rsidR="00F32B28" w:rsidRPr="00F32B28">
        <w:rPr>
          <w:rtl/>
          <w:lang w:bidi="ar-SY"/>
        </w:rPr>
        <w:t>المحلية</w:t>
      </w:r>
      <w:r w:rsidR="00F32B28">
        <w:rPr>
          <w:rtl/>
          <w:lang w:bidi="ar-SY"/>
        </w:rPr>
        <w:t xml:space="preserve"> </w:t>
      </w:r>
      <w:r w:rsidR="00F32B28" w:rsidRPr="00F32B28">
        <w:rPr>
          <w:rtl/>
          <w:lang w:bidi="ar-SY"/>
        </w:rPr>
        <w:t>لمدة</w:t>
      </w:r>
      <w:r w:rsidR="00F32B28">
        <w:rPr>
          <w:rtl/>
          <w:lang w:bidi="ar-SY"/>
        </w:rPr>
        <w:t xml:space="preserve"> </w:t>
      </w:r>
      <w:r w:rsidR="00F32B28" w:rsidRPr="00F32B28">
        <w:rPr>
          <w:rtl/>
          <w:lang w:bidi="ar-SY"/>
        </w:rPr>
        <w:t>لا</w:t>
      </w:r>
      <w:r w:rsidR="00F32B28">
        <w:rPr>
          <w:rtl/>
          <w:lang w:bidi="ar-SY"/>
        </w:rPr>
        <w:t xml:space="preserve"> </w:t>
      </w:r>
      <w:r w:rsidR="00F32B28" w:rsidRPr="00F32B28">
        <w:rPr>
          <w:rtl/>
          <w:lang w:bidi="ar-SY"/>
        </w:rPr>
        <w:t>تقل</w:t>
      </w:r>
      <w:r w:rsidR="00F32B28">
        <w:rPr>
          <w:rtl/>
          <w:lang w:bidi="ar-SY"/>
        </w:rPr>
        <w:t xml:space="preserve"> </w:t>
      </w:r>
      <w:r w:rsidR="00F32B28" w:rsidRPr="00F32B28">
        <w:rPr>
          <w:rtl/>
          <w:lang w:bidi="ar-SY"/>
        </w:rPr>
        <w:t>عن</w:t>
      </w:r>
      <w:r w:rsidR="00F32B28">
        <w:rPr>
          <w:rtl/>
          <w:lang w:bidi="ar-SY"/>
        </w:rPr>
        <w:t xml:space="preserve"> </w:t>
      </w:r>
      <w:r w:rsidR="00F32B28" w:rsidRPr="00F32B28">
        <w:rPr>
          <w:rtl/>
          <w:lang w:bidi="ar-SY"/>
        </w:rPr>
        <w:t>أسبوع.</w:t>
      </w:r>
    </w:p>
    <w:p w:rsidR="00F32B28" w:rsidRPr="00F32B28" w:rsidRDefault="009F4D72" w:rsidP="00D61FDC">
      <w:pPr>
        <w:pStyle w:val="SingleTxt"/>
      </w:pPr>
      <w:r>
        <w:rPr>
          <w:rFonts w:hint="cs"/>
          <w:noProof/>
        </w:rPr>
        <mc:AlternateContent>
          <mc:Choice Requires="wps">
            <w:drawing>
              <wp:anchor distT="0" distB="0" distL="114300" distR="114300" simplePos="0" relativeHeight="251660288" behindDoc="0" locked="0" layoutInCell="1" allowOverlap="1" wp14:anchorId="695DB73D" wp14:editId="4B4B95C5">
                <wp:simplePos x="0" y="0"/>
                <wp:positionH relativeFrom="margin">
                  <wp:align>center</wp:align>
                </wp:positionH>
                <wp:positionV relativeFrom="paragraph">
                  <wp:posOffset>2552439</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01pt" to="1in,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" strokecolor="#010000" strokeweight=".25pt">
                <w10:wrap anchorx="margin"/>
              </v:line>
            </w:pict>
          </mc:Fallback>
        </mc:AlternateContent>
      </w:r>
      <w:r w:rsidR="006A6F0B">
        <w:rPr>
          <w:rFonts w:hint="cs"/>
          <w:rtl/>
        </w:rPr>
        <w:t>35</w:t>
      </w:r>
      <w:r w:rsidR="00164771">
        <w:rPr>
          <w:rFonts w:hint="cs"/>
          <w:rtl/>
        </w:rPr>
        <w:t>3</w:t>
      </w:r>
      <w:r w:rsidR="006A6F0B">
        <w:rPr>
          <w:rFonts w:hint="cs"/>
          <w:rtl/>
        </w:rPr>
        <w:t xml:space="preserve"> - </w:t>
      </w:r>
      <w:r w:rsidR="00F32B28" w:rsidRPr="00F32B28">
        <w:rPr>
          <w:rtl/>
        </w:rPr>
        <w:t>ويوجب</w:t>
      </w:r>
      <w:r w:rsidR="00F32B28">
        <w:rPr>
          <w:rtl/>
        </w:rPr>
        <w:t xml:space="preserve"> </w:t>
      </w:r>
      <w:r w:rsidR="00F32B28" w:rsidRPr="00F32B28">
        <w:rPr>
          <w:rtl/>
        </w:rPr>
        <w:t>القانون</w:t>
      </w:r>
      <w:r w:rsidR="00F32B28">
        <w:rPr>
          <w:rtl/>
        </w:rPr>
        <w:t xml:space="preserve"> </w:t>
      </w:r>
      <w:r w:rsidR="00F32B28" w:rsidRPr="00F32B28">
        <w:rPr>
          <w:rtl/>
        </w:rPr>
        <w:t>تسجيل</w:t>
      </w:r>
      <w:r w:rsidR="00F32B28">
        <w:rPr>
          <w:rtl/>
        </w:rPr>
        <w:t xml:space="preserve"> </w:t>
      </w:r>
      <w:r w:rsidR="00F32B28" w:rsidRPr="00F32B28">
        <w:rPr>
          <w:rtl/>
        </w:rPr>
        <w:t>الزواج</w:t>
      </w:r>
      <w:r w:rsidR="00F32B28">
        <w:rPr>
          <w:rtl/>
        </w:rPr>
        <w:t xml:space="preserve"> </w:t>
      </w:r>
      <w:r w:rsidR="00F32B28" w:rsidRPr="00F32B28">
        <w:rPr>
          <w:rtl/>
        </w:rPr>
        <w:t>والطلاق</w:t>
      </w:r>
      <w:r w:rsidR="00F32B28">
        <w:rPr>
          <w:rtl/>
        </w:rPr>
        <w:t xml:space="preserve"> </w:t>
      </w:r>
      <w:r w:rsidR="00F32B28" w:rsidRPr="00F32B28">
        <w:rPr>
          <w:rtl/>
        </w:rPr>
        <w:t>لدى</w:t>
      </w:r>
      <w:r w:rsidR="00F32B28">
        <w:rPr>
          <w:rtl/>
        </w:rPr>
        <w:t xml:space="preserve"> </w:t>
      </w:r>
      <w:r w:rsidR="00F32B28" w:rsidRPr="00F32B28">
        <w:rPr>
          <w:rtl/>
        </w:rPr>
        <w:t>المحكمة</w:t>
      </w:r>
      <w:r w:rsidR="00F32B28">
        <w:rPr>
          <w:rtl/>
        </w:rPr>
        <w:t xml:space="preserve"> </w:t>
      </w:r>
      <w:r w:rsidR="00F32B28" w:rsidRPr="00F32B28">
        <w:rPr>
          <w:rtl/>
        </w:rPr>
        <w:t>الشرعية</w:t>
      </w:r>
      <w:r w:rsidR="00F32B28">
        <w:rPr>
          <w:rtl/>
        </w:rPr>
        <w:t xml:space="preserve"> </w:t>
      </w:r>
      <w:r w:rsidR="00F32B28" w:rsidRPr="00F32B28">
        <w:rPr>
          <w:rtl/>
        </w:rPr>
        <w:t>بالنسبة</w:t>
      </w:r>
      <w:r w:rsidR="00F32B28">
        <w:rPr>
          <w:rtl/>
        </w:rPr>
        <w:t xml:space="preserve"> </w:t>
      </w:r>
      <w:r w:rsidR="00F32B28" w:rsidRPr="00F32B28">
        <w:rPr>
          <w:rtl/>
        </w:rPr>
        <w:t>للمسلمين</w:t>
      </w:r>
      <w:r w:rsidR="00F32B28">
        <w:rPr>
          <w:rtl/>
        </w:rPr>
        <w:t xml:space="preserve"> </w:t>
      </w:r>
      <w:r w:rsidR="00F32B28" w:rsidRPr="00F32B28">
        <w:rPr>
          <w:rtl/>
        </w:rPr>
        <w:t>ولدى</w:t>
      </w:r>
      <w:r w:rsidR="00F32B28">
        <w:rPr>
          <w:rtl/>
        </w:rPr>
        <w:t xml:space="preserve"> </w:t>
      </w:r>
      <w:r w:rsidR="00F32B28" w:rsidRPr="00F32B28">
        <w:rPr>
          <w:rtl/>
        </w:rPr>
        <w:t>الكنيسة</w:t>
      </w:r>
      <w:r w:rsidR="00F32B28">
        <w:rPr>
          <w:rtl/>
        </w:rPr>
        <w:t xml:space="preserve"> </w:t>
      </w:r>
      <w:r w:rsidR="00F32B28" w:rsidRPr="00F32B28">
        <w:rPr>
          <w:rtl/>
        </w:rPr>
        <w:t>بالنسبة</w:t>
      </w:r>
      <w:r w:rsidR="00F32B28">
        <w:rPr>
          <w:rtl/>
        </w:rPr>
        <w:t xml:space="preserve"> </w:t>
      </w:r>
      <w:r w:rsidR="00F32B28" w:rsidRPr="00F32B28">
        <w:rPr>
          <w:rtl/>
        </w:rPr>
        <w:t>للمسيحيين،</w:t>
      </w:r>
      <w:r w:rsidR="00F32B28">
        <w:rPr>
          <w:rtl/>
        </w:rPr>
        <w:t xml:space="preserve"> </w:t>
      </w:r>
      <w:r w:rsidR="00F32B28" w:rsidRPr="00F32B28">
        <w:rPr>
          <w:rtl/>
        </w:rPr>
        <w:t>ويجري</w:t>
      </w:r>
      <w:r w:rsidR="00F32B28">
        <w:rPr>
          <w:rtl/>
        </w:rPr>
        <w:t xml:space="preserve"> </w:t>
      </w:r>
      <w:r w:rsidR="00F32B28" w:rsidRPr="00F32B28">
        <w:rPr>
          <w:rtl/>
        </w:rPr>
        <w:t>عقد</w:t>
      </w:r>
      <w:r w:rsidR="00F32B28">
        <w:rPr>
          <w:rtl/>
        </w:rPr>
        <w:t xml:space="preserve"> </w:t>
      </w:r>
      <w:r w:rsidR="00F32B28" w:rsidRPr="00F32B28">
        <w:rPr>
          <w:rtl/>
        </w:rPr>
        <w:t>الزواج</w:t>
      </w:r>
      <w:r w:rsidR="00F32B28">
        <w:rPr>
          <w:rtl/>
        </w:rPr>
        <w:t xml:space="preserve"> </w:t>
      </w:r>
      <w:r w:rsidR="00F32B28" w:rsidRPr="00F32B28">
        <w:rPr>
          <w:rtl/>
        </w:rPr>
        <w:t>من</w:t>
      </w:r>
      <w:r w:rsidR="00F32B28">
        <w:rPr>
          <w:rtl/>
        </w:rPr>
        <w:t xml:space="preserve"> </w:t>
      </w:r>
      <w:r w:rsidR="00F32B28" w:rsidRPr="00F32B28">
        <w:rPr>
          <w:rtl/>
        </w:rPr>
        <w:t>مأذون</w:t>
      </w:r>
      <w:r w:rsidR="00F32B28">
        <w:rPr>
          <w:rtl/>
        </w:rPr>
        <w:t xml:space="preserve"> </w:t>
      </w:r>
      <w:r w:rsidR="00F32B28" w:rsidRPr="00F32B28">
        <w:rPr>
          <w:rtl/>
        </w:rPr>
        <w:t>القاضي</w:t>
      </w:r>
      <w:r w:rsidR="00F32B28">
        <w:rPr>
          <w:rtl/>
        </w:rPr>
        <w:t xml:space="preserve"> </w:t>
      </w:r>
      <w:r w:rsidR="00F32B28" w:rsidRPr="00F32B28">
        <w:rPr>
          <w:rtl/>
        </w:rPr>
        <w:t>بموجب</w:t>
      </w:r>
      <w:r w:rsidR="00F32B28">
        <w:rPr>
          <w:rtl/>
        </w:rPr>
        <w:t xml:space="preserve"> </w:t>
      </w:r>
      <w:r w:rsidR="00F32B28" w:rsidRPr="00F32B28">
        <w:rPr>
          <w:rtl/>
        </w:rPr>
        <w:t>وثيقة</w:t>
      </w:r>
      <w:r w:rsidR="00F32B28">
        <w:rPr>
          <w:rtl/>
        </w:rPr>
        <w:t xml:space="preserve"> </w:t>
      </w:r>
      <w:r w:rsidR="00F32B28" w:rsidRPr="00F32B28">
        <w:rPr>
          <w:rtl/>
        </w:rPr>
        <w:t>رسمية،</w:t>
      </w:r>
      <w:r w:rsidR="00F32B28">
        <w:rPr>
          <w:rtl/>
        </w:rPr>
        <w:t xml:space="preserve"> </w:t>
      </w:r>
      <w:r w:rsidR="00F32B28" w:rsidRPr="00F32B28">
        <w:rPr>
          <w:rtl/>
        </w:rPr>
        <w:t>وإذا</w:t>
      </w:r>
      <w:r w:rsidR="00F32B28">
        <w:rPr>
          <w:rtl/>
        </w:rPr>
        <w:t xml:space="preserve"> </w:t>
      </w:r>
      <w:r w:rsidR="00F32B28" w:rsidRPr="00F32B28">
        <w:rPr>
          <w:rtl/>
        </w:rPr>
        <w:t>جرى</w:t>
      </w:r>
      <w:r w:rsidR="00F32B28">
        <w:rPr>
          <w:rtl/>
        </w:rPr>
        <w:t xml:space="preserve"> </w:t>
      </w:r>
      <w:r w:rsidR="00F32B28" w:rsidRPr="00F32B28">
        <w:rPr>
          <w:rtl/>
        </w:rPr>
        <w:t>الزواج</w:t>
      </w:r>
      <w:r w:rsidR="00F32B28">
        <w:rPr>
          <w:rtl/>
        </w:rPr>
        <w:t xml:space="preserve"> </w:t>
      </w:r>
      <w:r w:rsidR="00F32B28" w:rsidRPr="00F32B28">
        <w:rPr>
          <w:rtl/>
        </w:rPr>
        <w:t>بدون</w:t>
      </w:r>
      <w:r w:rsidR="00F32B28">
        <w:rPr>
          <w:rtl/>
        </w:rPr>
        <w:t xml:space="preserve"> </w:t>
      </w:r>
      <w:r w:rsidR="00F32B28" w:rsidRPr="00F32B28">
        <w:rPr>
          <w:rtl/>
        </w:rPr>
        <w:t>وثيقة</w:t>
      </w:r>
      <w:r w:rsidR="00F32B28">
        <w:rPr>
          <w:rtl/>
        </w:rPr>
        <w:t xml:space="preserve"> </w:t>
      </w:r>
      <w:r w:rsidR="00F32B28" w:rsidRPr="00F32B28">
        <w:rPr>
          <w:rtl/>
        </w:rPr>
        <w:t>رسمية</w:t>
      </w:r>
      <w:r w:rsidR="00F32B28">
        <w:rPr>
          <w:rtl/>
        </w:rPr>
        <w:t xml:space="preserve"> </w:t>
      </w:r>
      <w:r w:rsidR="00F32B28" w:rsidRPr="00F32B28">
        <w:rPr>
          <w:rtl/>
        </w:rPr>
        <w:t>فيعاقب</w:t>
      </w:r>
      <w:r w:rsidR="00F32B28">
        <w:rPr>
          <w:rtl/>
        </w:rPr>
        <w:t xml:space="preserve"> </w:t>
      </w:r>
      <w:r w:rsidR="00F32B28" w:rsidRPr="00F32B28">
        <w:rPr>
          <w:rtl/>
        </w:rPr>
        <w:t>كل</w:t>
      </w:r>
      <w:r w:rsidR="00F32B28">
        <w:rPr>
          <w:rtl/>
        </w:rPr>
        <w:t xml:space="preserve"> </w:t>
      </w:r>
      <w:r w:rsidR="00F32B28" w:rsidRPr="00F32B28">
        <w:rPr>
          <w:rtl/>
        </w:rPr>
        <w:t>من</w:t>
      </w:r>
      <w:r w:rsidR="00F32B28">
        <w:rPr>
          <w:rtl/>
        </w:rPr>
        <w:t xml:space="preserve"> </w:t>
      </w:r>
      <w:r w:rsidR="00F32B28" w:rsidRPr="00F32B28">
        <w:rPr>
          <w:rtl/>
        </w:rPr>
        <w:t>العاقد</w:t>
      </w:r>
      <w:r w:rsidR="00F32B28">
        <w:rPr>
          <w:rtl/>
        </w:rPr>
        <w:t xml:space="preserve"> </w:t>
      </w:r>
      <w:r w:rsidR="00F32B28" w:rsidRPr="00F32B28">
        <w:rPr>
          <w:rtl/>
        </w:rPr>
        <w:t>والزوجين</w:t>
      </w:r>
      <w:r w:rsidR="00F32B28">
        <w:rPr>
          <w:rtl/>
        </w:rPr>
        <w:t xml:space="preserve"> </w:t>
      </w:r>
      <w:r w:rsidR="00F32B28" w:rsidRPr="00F32B28">
        <w:rPr>
          <w:rtl/>
        </w:rPr>
        <w:t>والشهود</w:t>
      </w:r>
      <w:r w:rsidR="00F32B28">
        <w:rPr>
          <w:rtl/>
        </w:rPr>
        <w:t xml:space="preserve"> </w:t>
      </w:r>
      <w:r w:rsidR="00F32B28" w:rsidRPr="00F32B28">
        <w:rPr>
          <w:rtl/>
        </w:rPr>
        <w:t>بالحبس</w:t>
      </w:r>
      <w:r w:rsidR="00F32B28">
        <w:rPr>
          <w:rtl/>
        </w:rPr>
        <w:t xml:space="preserve"> </w:t>
      </w:r>
      <w:r w:rsidR="00F32B28" w:rsidRPr="00F32B28">
        <w:rPr>
          <w:rtl/>
        </w:rPr>
        <w:t>وبالغرامة.</w:t>
      </w:r>
      <w:r w:rsidR="00F32B28">
        <w:rPr>
          <w:rtl/>
        </w:rPr>
        <w:t xml:space="preserve"> </w:t>
      </w:r>
      <w:r w:rsidR="00F32B28" w:rsidRPr="00F32B28">
        <w:rPr>
          <w:rtl/>
        </w:rPr>
        <w:t>ويعاقب</w:t>
      </w:r>
      <w:r w:rsidR="00F32B28">
        <w:rPr>
          <w:rtl/>
        </w:rPr>
        <w:t xml:space="preserve"> </w:t>
      </w:r>
      <w:r w:rsidR="00F32B28" w:rsidRPr="00F32B28">
        <w:rPr>
          <w:rtl/>
        </w:rPr>
        <w:t>كل</w:t>
      </w:r>
      <w:r w:rsidR="00F32B28">
        <w:rPr>
          <w:rtl/>
        </w:rPr>
        <w:t xml:space="preserve"> </w:t>
      </w:r>
      <w:r w:rsidR="00F32B28" w:rsidRPr="00F32B28">
        <w:rPr>
          <w:rtl/>
        </w:rPr>
        <w:t>شخص</w:t>
      </w:r>
      <w:r w:rsidR="00F32B28">
        <w:rPr>
          <w:rtl/>
        </w:rPr>
        <w:t xml:space="preserve"> </w:t>
      </w:r>
      <w:r w:rsidR="00F32B28" w:rsidRPr="00F32B28">
        <w:rPr>
          <w:rtl/>
        </w:rPr>
        <w:t>لم</w:t>
      </w:r>
      <w:r w:rsidR="00F32B28">
        <w:rPr>
          <w:rtl/>
        </w:rPr>
        <w:t xml:space="preserve"> </w:t>
      </w:r>
      <w:r w:rsidR="00F32B28" w:rsidRPr="00F32B28">
        <w:rPr>
          <w:rtl/>
        </w:rPr>
        <w:t>يسجل</w:t>
      </w:r>
      <w:r w:rsidR="00F32B28">
        <w:rPr>
          <w:rtl/>
        </w:rPr>
        <w:t xml:space="preserve"> </w:t>
      </w:r>
      <w:r w:rsidR="00F32B28" w:rsidRPr="00F32B28">
        <w:rPr>
          <w:rtl/>
          <w:lang w:bidi="ar-LB"/>
        </w:rPr>
        <w:t>طلاقه</w:t>
      </w:r>
      <w:r w:rsidR="00F32B28">
        <w:rPr>
          <w:rtl/>
          <w:lang w:bidi="ar-LB"/>
        </w:rPr>
        <w:t xml:space="preserve"> </w:t>
      </w:r>
      <w:r w:rsidR="00F32B28" w:rsidRPr="00F32B28">
        <w:rPr>
          <w:rtl/>
          <w:lang w:bidi="ar-LB"/>
        </w:rPr>
        <w:t>في</w:t>
      </w:r>
      <w:r w:rsidR="00F32B28">
        <w:rPr>
          <w:rtl/>
          <w:lang w:bidi="ar-LB"/>
        </w:rPr>
        <w:t xml:space="preserve"> </w:t>
      </w:r>
      <w:r w:rsidR="00F32B28" w:rsidRPr="00F32B28">
        <w:rPr>
          <w:rtl/>
          <w:lang w:bidi="ar-LB"/>
        </w:rPr>
        <w:t>المحكمة</w:t>
      </w:r>
      <w:r w:rsidR="00F32B28">
        <w:rPr>
          <w:rtl/>
          <w:lang w:bidi="ar-LB"/>
        </w:rPr>
        <w:t xml:space="preserve"> </w:t>
      </w:r>
      <w:r w:rsidR="00F32B28" w:rsidRPr="00F32B28">
        <w:rPr>
          <w:rtl/>
          <w:lang w:bidi="ar-LB"/>
        </w:rPr>
        <w:t>الشرعية</w:t>
      </w:r>
      <w:r w:rsidR="00F32B28">
        <w:rPr>
          <w:rtl/>
          <w:lang w:bidi="ar-LB"/>
        </w:rPr>
        <w:t xml:space="preserve"> </w:t>
      </w:r>
      <w:r w:rsidR="00F32B28" w:rsidRPr="00F32B28">
        <w:rPr>
          <w:rtl/>
          <w:lang w:bidi="ar-LB"/>
        </w:rPr>
        <w:t>خلال</w:t>
      </w:r>
      <w:r w:rsidR="00F32B28">
        <w:rPr>
          <w:rtl/>
          <w:lang w:bidi="ar-LB"/>
        </w:rPr>
        <w:t xml:space="preserve"> </w:t>
      </w:r>
      <w:r w:rsidR="00F32B28" w:rsidRPr="00F32B28">
        <w:rPr>
          <w:rtl/>
          <w:lang w:bidi="ar-LB"/>
        </w:rPr>
        <w:t>خمسة</w:t>
      </w:r>
      <w:r w:rsidR="00F32B28">
        <w:rPr>
          <w:rtl/>
          <w:lang w:bidi="ar-LB"/>
        </w:rPr>
        <w:t xml:space="preserve"> </w:t>
      </w:r>
      <w:r w:rsidR="00F32B28" w:rsidRPr="00F32B28">
        <w:rPr>
          <w:rtl/>
          <w:lang w:bidi="ar-LB"/>
        </w:rPr>
        <w:t>عشر</w:t>
      </w:r>
      <w:r w:rsidR="00F32B28">
        <w:rPr>
          <w:rtl/>
          <w:lang w:bidi="ar-LB"/>
        </w:rPr>
        <w:t xml:space="preserve"> </w:t>
      </w:r>
      <w:r w:rsidR="00F32B28" w:rsidRPr="00F32B28">
        <w:rPr>
          <w:rtl/>
          <w:lang w:bidi="ar-LB"/>
        </w:rPr>
        <w:t>يوماً</w:t>
      </w:r>
      <w:r w:rsidR="00F32B28">
        <w:rPr>
          <w:rtl/>
          <w:lang w:bidi="ar-LB"/>
        </w:rPr>
        <w:t xml:space="preserve"> </w:t>
      </w:r>
      <w:r w:rsidR="00F32B28" w:rsidRPr="00F32B28">
        <w:rPr>
          <w:rtl/>
          <w:lang w:bidi="ar-LB"/>
        </w:rPr>
        <w:t>بالحبس</w:t>
      </w:r>
      <w:r w:rsidR="00F32B28">
        <w:rPr>
          <w:rtl/>
          <w:lang w:bidi="ar-LB"/>
        </w:rPr>
        <w:t xml:space="preserve"> </w:t>
      </w:r>
      <w:r w:rsidR="00F32B28" w:rsidRPr="00F32B28">
        <w:rPr>
          <w:rtl/>
          <w:lang w:bidi="ar-LB"/>
        </w:rPr>
        <w:t>أو</w:t>
      </w:r>
      <w:r w:rsidR="00F32B28">
        <w:rPr>
          <w:rtl/>
          <w:lang w:bidi="ar-LB"/>
        </w:rPr>
        <w:t xml:space="preserve"> </w:t>
      </w:r>
      <w:r w:rsidR="00F32B28" w:rsidRPr="00F32B28">
        <w:rPr>
          <w:rtl/>
          <w:lang w:bidi="ar-LB"/>
        </w:rPr>
        <w:t>بالغرامة،</w:t>
      </w:r>
      <w:r w:rsidR="00F32B28">
        <w:rPr>
          <w:rtl/>
          <w:lang w:bidi="ar-LB"/>
        </w:rPr>
        <w:t xml:space="preserve"> </w:t>
      </w:r>
      <w:r w:rsidR="00F32B28" w:rsidRPr="00F32B28">
        <w:rPr>
          <w:rtl/>
          <w:lang w:bidi="ar-LB"/>
        </w:rPr>
        <w:t>إلا</w:t>
      </w:r>
      <w:r w:rsidR="00F32B28">
        <w:rPr>
          <w:rtl/>
          <w:lang w:bidi="ar-LB"/>
        </w:rPr>
        <w:t xml:space="preserve"> </w:t>
      </w:r>
      <w:r w:rsidR="00F32B28" w:rsidRPr="00F32B28">
        <w:rPr>
          <w:rtl/>
          <w:lang w:bidi="ar-LB"/>
        </w:rPr>
        <w:t>أن</w:t>
      </w:r>
      <w:r w:rsidR="00F32B28">
        <w:rPr>
          <w:rtl/>
          <w:lang w:bidi="ar-LB"/>
        </w:rPr>
        <w:t xml:space="preserve"> </w:t>
      </w:r>
      <w:r w:rsidR="00F32B28" w:rsidRPr="00F32B28">
        <w:rPr>
          <w:rtl/>
          <w:lang w:bidi="ar-LB"/>
        </w:rPr>
        <w:t>هذه</w:t>
      </w:r>
      <w:r w:rsidR="00F32B28">
        <w:rPr>
          <w:rtl/>
          <w:lang w:bidi="ar-LB"/>
        </w:rPr>
        <w:t xml:space="preserve"> </w:t>
      </w:r>
      <w:r w:rsidR="00F32B28" w:rsidRPr="00F32B28">
        <w:rPr>
          <w:rtl/>
          <w:lang w:bidi="ar-LB"/>
        </w:rPr>
        <w:t>العقوبات</w:t>
      </w:r>
      <w:r w:rsidR="00F32B28">
        <w:rPr>
          <w:rtl/>
          <w:lang w:bidi="ar-LB"/>
        </w:rPr>
        <w:t xml:space="preserve"> </w:t>
      </w:r>
      <w:r w:rsidR="00F32B28" w:rsidRPr="00F32B28">
        <w:rPr>
          <w:rtl/>
          <w:lang w:bidi="ar-LB"/>
        </w:rPr>
        <w:t>المفروضة</w:t>
      </w:r>
      <w:r w:rsidR="00F32B28">
        <w:rPr>
          <w:rtl/>
          <w:lang w:bidi="ar-LB"/>
        </w:rPr>
        <w:t xml:space="preserve"> </w:t>
      </w:r>
      <w:r w:rsidR="00F32B28" w:rsidRPr="00F32B28">
        <w:rPr>
          <w:rtl/>
          <w:lang w:bidi="ar-LB"/>
        </w:rPr>
        <w:t>هي</w:t>
      </w:r>
      <w:r w:rsidR="00F32B28">
        <w:rPr>
          <w:rtl/>
          <w:lang w:bidi="ar-LB"/>
        </w:rPr>
        <w:t xml:space="preserve"> </w:t>
      </w:r>
      <w:r w:rsidR="00F32B28" w:rsidRPr="00F32B28">
        <w:rPr>
          <w:rtl/>
          <w:lang w:bidi="ar-LB"/>
        </w:rPr>
        <w:t>عقوبات</w:t>
      </w:r>
      <w:r w:rsidR="00F32B28">
        <w:rPr>
          <w:rtl/>
          <w:lang w:bidi="ar-LB"/>
        </w:rPr>
        <w:t xml:space="preserve"> </w:t>
      </w:r>
      <w:r w:rsidR="00F32B28" w:rsidRPr="00F32B28">
        <w:rPr>
          <w:rtl/>
          <w:lang w:bidi="ar-LB"/>
        </w:rPr>
        <w:t>بسيطة</w:t>
      </w:r>
      <w:r w:rsidR="00F32B28">
        <w:rPr>
          <w:rtl/>
          <w:lang w:bidi="ar-LB"/>
        </w:rPr>
        <w:t xml:space="preserve"> </w:t>
      </w:r>
      <w:r w:rsidR="00F32B28" w:rsidRPr="00F32B28">
        <w:rPr>
          <w:rtl/>
          <w:lang w:bidi="ar-LB"/>
        </w:rPr>
        <w:t>وغير</w:t>
      </w:r>
      <w:r w:rsidR="00F32B28">
        <w:rPr>
          <w:rtl/>
          <w:lang w:bidi="ar-LB"/>
        </w:rPr>
        <w:t xml:space="preserve"> </w:t>
      </w:r>
      <w:r w:rsidR="00F32B28" w:rsidRPr="00F32B28">
        <w:rPr>
          <w:rtl/>
          <w:lang w:bidi="ar-LB"/>
        </w:rPr>
        <w:t>رادعة</w:t>
      </w:r>
      <w:r w:rsidR="00F32B28">
        <w:rPr>
          <w:rtl/>
          <w:lang w:bidi="ar-LB"/>
        </w:rPr>
        <w:t xml:space="preserve"> </w:t>
      </w:r>
      <w:r w:rsidR="00F32B28" w:rsidRPr="00F32B28">
        <w:rPr>
          <w:rtl/>
          <w:lang w:bidi="ar-LB"/>
        </w:rPr>
        <w:t>بطبيعتها</w:t>
      </w:r>
      <w:r w:rsidR="00F32B28">
        <w:rPr>
          <w:rtl/>
          <w:lang w:bidi="ar-LB"/>
        </w:rPr>
        <w:t xml:space="preserve"> </w:t>
      </w:r>
      <w:r w:rsidR="00F32B28" w:rsidRPr="00F32B28">
        <w:rPr>
          <w:rtl/>
          <w:lang w:bidi="ar-LB"/>
        </w:rPr>
        <w:t>ولا</w:t>
      </w:r>
      <w:r w:rsidR="00F32B28">
        <w:rPr>
          <w:rtl/>
          <w:lang w:bidi="ar-LB"/>
        </w:rPr>
        <w:t xml:space="preserve"> </w:t>
      </w:r>
      <w:r w:rsidR="00F32B28" w:rsidRPr="00F32B28">
        <w:rPr>
          <w:rtl/>
          <w:lang w:bidi="ar-LB"/>
        </w:rPr>
        <w:t>تتناسب</w:t>
      </w:r>
      <w:r w:rsidR="00F32B28">
        <w:rPr>
          <w:rtl/>
          <w:lang w:bidi="ar-LB"/>
        </w:rPr>
        <w:t xml:space="preserve"> </w:t>
      </w:r>
      <w:r w:rsidR="00F32B28" w:rsidRPr="00F32B28">
        <w:rPr>
          <w:rtl/>
          <w:lang w:bidi="ar-LB"/>
        </w:rPr>
        <w:t>مع</w:t>
      </w:r>
      <w:r w:rsidR="00F32B28">
        <w:rPr>
          <w:rtl/>
          <w:lang w:bidi="ar-LB"/>
        </w:rPr>
        <w:t xml:space="preserve"> </w:t>
      </w:r>
      <w:r w:rsidR="00F32B28" w:rsidRPr="00F32B28">
        <w:rPr>
          <w:rtl/>
          <w:lang w:bidi="ar-LB"/>
        </w:rPr>
        <w:t>حجم</w:t>
      </w:r>
      <w:r w:rsidR="00F32B28">
        <w:rPr>
          <w:rtl/>
          <w:lang w:bidi="ar-LB"/>
        </w:rPr>
        <w:t xml:space="preserve"> </w:t>
      </w:r>
      <w:r w:rsidR="00F32B28" w:rsidRPr="00F32B28">
        <w:rPr>
          <w:rtl/>
          <w:lang w:bidi="ar-LB"/>
        </w:rPr>
        <w:t>الآثار</w:t>
      </w:r>
      <w:r w:rsidR="00F32B28">
        <w:rPr>
          <w:rtl/>
          <w:lang w:bidi="ar-LB"/>
        </w:rPr>
        <w:t xml:space="preserve"> </w:t>
      </w:r>
      <w:r w:rsidR="00F32B28" w:rsidRPr="00F32B28">
        <w:rPr>
          <w:rtl/>
          <w:lang w:bidi="ar-LB"/>
        </w:rPr>
        <w:t>التي</w:t>
      </w:r>
      <w:r w:rsidR="00F32B28">
        <w:rPr>
          <w:rtl/>
          <w:lang w:bidi="ar-LB"/>
        </w:rPr>
        <w:t xml:space="preserve"> </w:t>
      </w:r>
      <w:r w:rsidR="00F32B28" w:rsidRPr="00F32B28">
        <w:rPr>
          <w:rtl/>
          <w:lang w:bidi="ar-LB"/>
        </w:rPr>
        <w:t>تترتب</w:t>
      </w:r>
      <w:r w:rsidR="00F32B28">
        <w:rPr>
          <w:rtl/>
          <w:lang w:bidi="ar-LB"/>
        </w:rPr>
        <w:t xml:space="preserve"> </w:t>
      </w:r>
      <w:r w:rsidR="00F32B28" w:rsidRPr="00F32B28">
        <w:rPr>
          <w:rtl/>
          <w:lang w:bidi="ar-LB"/>
        </w:rPr>
        <w:t>على</w:t>
      </w:r>
      <w:r w:rsidR="00F32B28">
        <w:rPr>
          <w:rtl/>
          <w:lang w:bidi="ar-LB"/>
        </w:rPr>
        <w:t xml:space="preserve"> </w:t>
      </w:r>
      <w:r w:rsidR="00F32B28" w:rsidRPr="00F32B28">
        <w:rPr>
          <w:rtl/>
          <w:lang w:bidi="ar-LB"/>
        </w:rPr>
        <w:t>عدم</w:t>
      </w:r>
      <w:r w:rsidR="00F32B28">
        <w:rPr>
          <w:rtl/>
          <w:lang w:bidi="ar-LB"/>
        </w:rPr>
        <w:t xml:space="preserve"> </w:t>
      </w:r>
      <w:r w:rsidR="00F32B28" w:rsidRPr="00F32B28">
        <w:rPr>
          <w:rtl/>
          <w:lang w:bidi="ar-LB"/>
        </w:rPr>
        <w:t>تسجيل</w:t>
      </w:r>
      <w:r w:rsidR="00F32B28">
        <w:rPr>
          <w:rtl/>
          <w:lang w:bidi="ar-LB"/>
        </w:rPr>
        <w:t xml:space="preserve"> </w:t>
      </w:r>
      <w:r w:rsidR="00F32B28" w:rsidRPr="00F32B28">
        <w:rPr>
          <w:rtl/>
          <w:lang w:bidi="ar-LB"/>
        </w:rPr>
        <w:t>الطلاق</w:t>
      </w:r>
      <w:r w:rsidR="00F32B28">
        <w:rPr>
          <w:rtl/>
          <w:lang w:bidi="ar-LB"/>
        </w:rPr>
        <w:t xml:space="preserve"> </w:t>
      </w:r>
      <w:r w:rsidR="00F32B28" w:rsidRPr="00F32B28">
        <w:rPr>
          <w:rtl/>
          <w:lang w:bidi="ar-LB"/>
        </w:rPr>
        <w:t>بالنسبة</w:t>
      </w:r>
      <w:r w:rsidR="00F32B28">
        <w:rPr>
          <w:rtl/>
          <w:lang w:bidi="ar-LB"/>
        </w:rPr>
        <w:t xml:space="preserve"> </w:t>
      </w:r>
      <w:r w:rsidR="00F32B28" w:rsidRPr="00F32B28">
        <w:rPr>
          <w:rtl/>
          <w:lang w:bidi="ar-LB"/>
        </w:rPr>
        <w:t>للمرأة</w:t>
      </w:r>
      <w:r w:rsidR="00F32B28">
        <w:rPr>
          <w:rtl/>
          <w:lang w:bidi="ar-LB"/>
        </w:rPr>
        <w:t xml:space="preserve"> </w:t>
      </w:r>
      <w:r w:rsidR="00F32B28" w:rsidRPr="00F32B28">
        <w:rPr>
          <w:rtl/>
          <w:lang w:bidi="ar-LB"/>
        </w:rPr>
        <w:t>وحقوقها.</w:t>
      </w:r>
      <w:r w:rsidR="00F32B28">
        <w:rPr>
          <w:rtl/>
        </w:rPr>
        <w:t xml:space="preserve"> </w:t>
      </w:r>
      <w:r w:rsidR="00F32B28" w:rsidRPr="00F32B28">
        <w:rPr>
          <w:rtl/>
        </w:rPr>
        <w:t>كما</w:t>
      </w:r>
      <w:r w:rsidR="00F32B28">
        <w:rPr>
          <w:rtl/>
        </w:rPr>
        <w:t xml:space="preserve"> </w:t>
      </w:r>
      <w:r w:rsidR="00F32B28" w:rsidRPr="00F32B28">
        <w:rPr>
          <w:rtl/>
        </w:rPr>
        <w:t>تلتزم</w:t>
      </w:r>
      <w:r w:rsidR="00F32B28">
        <w:rPr>
          <w:rtl/>
        </w:rPr>
        <w:t xml:space="preserve"> </w:t>
      </w:r>
      <w:r w:rsidR="00F32B28" w:rsidRPr="00F32B28">
        <w:rPr>
          <w:rtl/>
        </w:rPr>
        <w:t>الجهات</w:t>
      </w:r>
      <w:r w:rsidR="00F32B28">
        <w:rPr>
          <w:rtl/>
        </w:rPr>
        <w:t xml:space="preserve"> </w:t>
      </w:r>
      <w:r w:rsidR="00F32B28" w:rsidRPr="00F32B28">
        <w:rPr>
          <w:rtl/>
        </w:rPr>
        <w:t>المختصة</w:t>
      </w:r>
      <w:r w:rsidR="00F32B28">
        <w:rPr>
          <w:rtl/>
        </w:rPr>
        <w:t xml:space="preserve"> </w:t>
      </w:r>
      <w:r w:rsidR="00F32B28" w:rsidRPr="00F32B28">
        <w:rPr>
          <w:rtl/>
        </w:rPr>
        <w:t>بإجراء</w:t>
      </w:r>
      <w:r w:rsidR="00F32B28">
        <w:rPr>
          <w:rtl/>
        </w:rPr>
        <w:t xml:space="preserve"> </w:t>
      </w:r>
      <w:r w:rsidR="00F32B28" w:rsidRPr="00F32B28">
        <w:rPr>
          <w:rtl/>
        </w:rPr>
        <w:t>عقود</w:t>
      </w:r>
      <w:r w:rsidR="00F32B28">
        <w:rPr>
          <w:rtl/>
        </w:rPr>
        <w:t xml:space="preserve"> </w:t>
      </w:r>
      <w:r w:rsidR="00F32B28" w:rsidRPr="00F32B28">
        <w:rPr>
          <w:rtl/>
        </w:rPr>
        <w:t>الزواج</w:t>
      </w:r>
      <w:r w:rsidR="00F32B28">
        <w:rPr>
          <w:rtl/>
        </w:rPr>
        <w:t xml:space="preserve"> </w:t>
      </w:r>
      <w:r w:rsidR="00F32B28" w:rsidRPr="00F32B28">
        <w:rPr>
          <w:rtl/>
        </w:rPr>
        <w:t>وشهادات</w:t>
      </w:r>
      <w:r w:rsidR="00F32B28">
        <w:rPr>
          <w:rtl/>
        </w:rPr>
        <w:t xml:space="preserve"> </w:t>
      </w:r>
      <w:r w:rsidR="00F32B28" w:rsidRPr="00F32B28">
        <w:rPr>
          <w:rtl/>
        </w:rPr>
        <w:t>الطلاق</w:t>
      </w:r>
      <w:r w:rsidR="00F32B28">
        <w:rPr>
          <w:rtl/>
        </w:rPr>
        <w:t xml:space="preserve"> </w:t>
      </w:r>
      <w:r w:rsidR="00F32B28" w:rsidRPr="00F32B28">
        <w:rPr>
          <w:rtl/>
        </w:rPr>
        <w:t>بإرسال</w:t>
      </w:r>
      <w:r w:rsidR="00F32B28">
        <w:rPr>
          <w:rtl/>
        </w:rPr>
        <w:t xml:space="preserve"> </w:t>
      </w:r>
      <w:r w:rsidR="00F32B28" w:rsidRPr="00F32B28">
        <w:rPr>
          <w:rtl/>
        </w:rPr>
        <w:t>نسخة</w:t>
      </w:r>
      <w:r w:rsidR="00F32B28">
        <w:rPr>
          <w:rtl/>
        </w:rPr>
        <w:t xml:space="preserve"> </w:t>
      </w:r>
      <w:r w:rsidR="00F32B28" w:rsidRPr="00F32B28">
        <w:rPr>
          <w:rtl/>
        </w:rPr>
        <w:t>عنها</w:t>
      </w:r>
      <w:r w:rsidR="00F32B28">
        <w:rPr>
          <w:rtl/>
        </w:rPr>
        <w:t xml:space="preserve"> </w:t>
      </w:r>
      <w:r w:rsidR="00F32B28" w:rsidRPr="00F32B28">
        <w:rPr>
          <w:rtl/>
        </w:rPr>
        <w:t>إلى</w:t>
      </w:r>
      <w:r w:rsidR="00F32B28">
        <w:rPr>
          <w:rtl/>
        </w:rPr>
        <w:t xml:space="preserve"> </w:t>
      </w:r>
      <w:r w:rsidR="00F32B28" w:rsidRPr="00F32B28">
        <w:rPr>
          <w:rtl/>
        </w:rPr>
        <w:t>مديرية</w:t>
      </w:r>
      <w:r w:rsidR="00F32B28">
        <w:rPr>
          <w:rtl/>
        </w:rPr>
        <w:t xml:space="preserve"> </w:t>
      </w:r>
      <w:r w:rsidR="00F32B28" w:rsidRPr="00F32B28">
        <w:rPr>
          <w:rtl/>
        </w:rPr>
        <w:t>الأحوال</w:t>
      </w:r>
      <w:r w:rsidR="00F32B28">
        <w:rPr>
          <w:rtl/>
        </w:rPr>
        <w:t xml:space="preserve"> </w:t>
      </w:r>
      <w:r w:rsidR="00F32B28" w:rsidRPr="00F32B28">
        <w:rPr>
          <w:rtl/>
        </w:rPr>
        <w:t>المدنية.</w:t>
      </w:r>
      <w:r w:rsidR="00F32B28">
        <w:rPr>
          <w:rtl/>
        </w:rPr>
        <w:t xml:space="preserve"> </w:t>
      </w:r>
      <w:r w:rsidR="00F32B28" w:rsidRPr="00F32B28">
        <w:rPr>
          <w:rtl/>
        </w:rPr>
        <w:t>كما</w:t>
      </w:r>
      <w:r w:rsidR="00F32B28">
        <w:rPr>
          <w:rtl/>
        </w:rPr>
        <w:t xml:space="preserve"> </w:t>
      </w:r>
      <w:r w:rsidR="00F32B28" w:rsidRPr="00F32B28">
        <w:rPr>
          <w:rtl/>
        </w:rPr>
        <w:t>تلتزم</w:t>
      </w:r>
      <w:r w:rsidR="00F32B28">
        <w:rPr>
          <w:rtl/>
        </w:rPr>
        <w:t xml:space="preserve"> </w:t>
      </w:r>
      <w:r w:rsidR="00F32B28" w:rsidRPr="00F32B28">
        <w:rPr>
          <w:rtl/>
        </w:rPr>
        <w:t>المحاكم</w:t>
      </w:r>
      <w:r w:rsidR="00F32B28">
        <w:rPr>
          <w:rtl/>
        </w:rPr>
        <w:t xml:space="preserve"> </w:t>
      </w:r>
      <w:r w:rsidR="00F32B28" w:rsidRPr="00F32B28">
        <w:rPr>
          <w:rtl/>
        </w:rPr>
        <w:t>المختصة</w:t>
      </w:r>
      <w:r w:rsidR="00F32B28">
        <w:rPr>
          <w:rtl/>
        </w:rPr>
        <w:t xml:space="preserve"> </w:t>
      </w:r>
      <w:r w:rsidR="00F32B28" w:rsidRPr="00F32B28">
        <w:rPr>
          <w:rtl/>
        </w:rPr>
        <w:t>بتبليغ</w:t>
      </w:r>
      <w:r w:rsidR="00F32B28">
        <w:rPr>
          <w:rtl/>
        </w:rPr>
        <w:t xml:space="preserve"> </w:t>
      </w:r>
      <w:r w:rsidR="00F32B28" w:rsidRPr="00F32B28">
        <w:rPr>
          <w:rtl/>
        </w:rPr>
        <w:t>مديرية</w:t>
      </w:r>
      <w:r w:rsidR="00F32B28">
        <w:rPr>
          <w:rtl/>
        </w:rPr>
        <w:t xml:space="preserve"> </w:t>
      </w:r>
      <w:r w:rsidR="00F32B28" w:rsidRPr="00F32B28">
        <w:rPr>
          <w:rtl/>
        </w:rPr>
        <w:t>الأحوال</w:t>
      </w:r>
      <w:r w:rsidR="00F32B28">
        <w:rPr>
          <w:rtl/>
        </w:rPr>
        <w:t xml:space="preserve"> </w:t>
      </w:r>
      <w:r w:rsidR="00F32B28" w:rsidRPr="00F32B28">
        <w:rPr>
          <w:rtl/>
        </w:rPr>
        <w:t>المدنية</w:t>
      </w:r>
      <w:r w:rsidR="00F32B28">
        <w:rPr>
          <w:rtl/>
        </w:rPr>
        <w:t xml:space="preserve"> </w:t>
      </w:r>
      <w:r w:rsidR="00F32B28" w:rsidRPr="00F32B28">
        <w:rPr>
          <w:rtl/>
        </w:rPr>
        <w:t>بما</w:t>
      </w:r>
      <w:r w:rsidR="00F32B28">
        <w:rPr>
          <w:rtl/>
        </w:rPr>
        <w:t xml:space="preserve"> </w:t>
      </w:r>
      <w:r w:rsidR="00F32B28" w:rsidRPr="00F32B28">
        <w:rPr>
          <w:rtl/>
        </w:rPr>
        <w:t>يصدر</w:t>
      </w:r>
      <w:r w:rsidR="00F32B28">
        <w:rPr>
          <w:rtl/>
        </w:rPr>
        <w:t xml:space="preserve"> </w:t>
      </w:r>
      <w:r w:rsidR="00F32B28" w:rsidRPr="00F32B28">
        <w:rPr>
          <w:rtl/>
        </w:rPr>
        <w:t>من</w:t>
      </w:r>
      <w:r w:rsidR="00F32B28">
        <w:rPr>
          <w:rtl/>
        </w:rPr>
        <w:t xml:space="preserve"> </w:t>
      </w:r>
      <w:r w:rsidR="00F32B28" w:rsidRPr="00F32B28">
        <w:rPr>
          <w:rtl/>
        </w:rPr>
        <w:t>أحكام</w:t>
      </w:r>
      <w:r w:rsidR="00F32B28">
        <w:rPr>
          <w:rtl/>
        </w:rPr>
        <w:t xml:space="preserve"> </w:t>
      </w:r>
      <w:r w:rsidR="00F32B28" w:rsidRPr="00F32B28">
        <w:rPr>
          <w:rtl/>
        </w:rPr>
        <w:t>نهائية</w:t>
      </w:r>
      <w:r w:rsidR="00F32B28">
        <w:rPr>
          <w:rtl/>
        </w:rPr>
        <w:t xml:space="preserve"> </w:t>
      </w:r>
      <w:r w:rsidR="00F32B28" w:rsidRPr="00F32B28">
        <w:rPr>
          <w:rtl/>
        </w:rPr>
        <w:t>بالزواج</w:t>
      </w:r>
      <w:r w:rsidR="00F32B28">
        <w:rPr>
          <w:rtl/>
        </w:rPr>
        <w:t xml:space="preserve"> </w:t>
      </w:r>
      <w:r w:rsidR="00F32B28" w:rsidRPr="00F32B28">
        <w:rPr>
          <w:rtl/>
        </w:rPr>
        <w:t>أو</w:t>
      </w:r>
      <w:r w:rsidR="00F32B28">
        <w:rPr>
          <w:rtl/>
        </w:rPr>
        <w:t xml:space="preserve"> </w:t>
      </w:r>
      <w:r w:rsidR="00F32B28" w:rsidRPr="00F32B28">
        <w:rPr>
          <w:rtl/>
        </w:rPr>
        <w:t>الطلاق</w:t>
      </w:r>
      <w:r w:rsidR="00F32B28">
        <w:rPr>
          <w:rtl/>
        </w:rPr>
        <w:t xml:space="preserve"> </w:t>
      </w:r>
      <w:r w:rsidR="00F32B28" w:rsidRPr="00F32B28">
        <w:rPr>
          <w:rtl/>
        </w:rPr>
        <w:t>أو</w:t>
      </w:r>
      <w:r w:rsidR="00F32B28">
        <w:rPr>
          <w:rtl/>
        </w:rPr>
        <w:t xml:space="preserve"> </w:t>
      </w:r>
      <w:r w:rsidR="00F32B28" w:rsidRPr="00F32B28">
        <w:rPr>
          <w:rtl/>
        </w:rPr>
        <w:t>إثبات</w:t>
      </w:r>
      <w:r w:rsidR="00F32B28">
        <w:rPr>
          <w:rtl/>
        </w:rPr>
        <w:t xml:space="preserve"> </w:t>
      </w:r>
      <w:r w:rsidR="00F32B28" w:rsidRPr="00F32B28">
        <w:rPr>
          <w:rtl/>
        </w:rPr>
        <w:t>النسب،</w:t>
      </w:r>
      <w:r w:rsidR="00F32B28">
        <w:rPr>
          <w:rtl/>
        </w:rPr>
        <w:t xml:space="preserve"> </w:t>
      </w:r>
      <w:r w:rsidR="00F32B28" w:rsidRPr="00F32B28">
        <w:rPr>
          <w:rtl/>
        </w:rPr>
        <w:t>وعلى</w:t>
      </w:r>
      <w:r w:rsidR="00F32B28">
        <w:rPr>
          <w:rtl/>
        </w:rPr>
        <w:t xml:space="preserve"> </w:t>
      </w:r>
      <w:r w:rsidR="00F32B28" w:rsidRPr="00F32B28">
        <w:rPr>
          <w:rtl/>
        </w:rPr>
        <w:t>المديرية</w:t>
      </w:r>
      <w:r w:rsidR="00F32B28">
        <w:rPr>
          <w:rtl/>
        </w:rPr>
        <w:t xml:space="preserve"> </w:t>
      </w:r>
      <w:r w:rsidR="00F32B28" w:rsidRPr="00F32B28">
        <w:rPr>
          <w:rtl/>
        </w:rPr>
        <w:t>قيد</w:t>
      </w:r>
      <w:r w:rsidR="00F32B28">
        <w:rPr>
          <w:rtl/>
        </w:rPr>
        <w:t xml:space="preserve"> </w:t>
      </w:r>
      <w:r w:rsidR="00F32B28" w:rsidRPr="00F32B28">
        <w:rPr>
          <w:rtl/>
        </w:rPr>
        <w:t>العقود</w:t>
      </w:r>
      <w:r w:rsidR="00F32B28">
        <w:rPr>
          <w:rtl/>
        </w:rPr>
        <w:t xml:space="preserve"> </w:t>
      </w:r>
      <w:r w:rsidR="00F32B28" w:rsidRPr="00F32B28">
        <w:rPr>
          <w:rtl/>
        </w:rPr>
        <w:t>والشهادات</w:t>
      </w:r>
      <w:r w:rsidR="00F32B28">
        <w:rPr>
          <w:rtl/>
        </w:rPr>
        <w:t xml:space="preserve"> </w:t>
      </w:r>
      <w:r w:rsidR="00F32B28" w:rsidRPr="00F32B28">
        <w:rPr>
          <w:rtl/>
        </w:rPr>
        <w:t>والأحكام</w:t>
      </w:r>
      <w:r w:rsidR="00F32B28">
        <w:rPr>
          <w:rtl/>
        </w:rPr>
        <w:t xml:space="preserve"> </w:t>
      </w:r>
      <w:r w:rsidR="00F32B28" w:rsidRPr="00F32B28">
        <w:rPr>
          <w:rtl/>
        </w:rPr>
        <w:t>في</w:t>
      </w:r>
      <w:r w:rsidR="00F32B28">
        <w:rPr>
          <w:rtl/>
        </w:rPr>
        <w:t xml:space="preserve"> </w:t>
      </w:r>
      <w:r w:rsidR="00F32B28" w:rsidRPr="00F32B28">
        <w:rPr>
          <w:rtl/>
        </w:rPr>
        <w:t>السجلات</w:t>
      </w:r>
      <w:r w:rsidR="00F32B28">
        <w:rPr>
          <w:rtl/>
        </w:rPr>
        <w:t xml:space="preserve"> </w:t>
      </w:r>
      <w:r w:rsidR="00F32B28" w:rsidRPr="00F32B28">
        <w:rPr>
          <w:rtl/>
        </w:rPr>
        <w:t>الخاصة</w:t>
      </w:r>
      <w:r w:rsidR="00F32B28">
        <w:rPr>
          <w:rtl/>
        </w:rPr>
        <w:t xml:space="preserve"> </w:t>
      </w:r>
      <w:r w:rsidR="00F32B28" w:rsidRPr="00F32B28">
        <w:rPr>
          <w:rtl/>
        </w:rPr>
        <w:t>والاحتفاظ</w:t>
      </w:r>
      <w:r w:rsidR="00F32B28">
        <w:rPr>
          <w:rtl/>
        </w:rPr>
        <w:t xml:space="preserve"> </w:t>
      </w:r>
      <w:r w:rsidR="00F32B28" w:rsidRPr="00F32B28">
        <w:rPr>
          <w:rtl/>
        </w:rPr>
        <w:t>بنسخ</w:t>
      </w:r>
      <w:r w:rsidR="00F32B28">
        <w:rPr>
          <w:rtl/>
        </w:rPr>
        <w:t xml:space="preserve"> </w:t>
      </w:r>
      <w:r w:rsidR="00F32B28" w:rsidRPr="00F32B28">
        <w:rPr>
          <w:rtl/>
        </w:rPr>
        <w:t>عنها.</w:t>
      </w:r>
    </w:p>
    <w:sectPr w:rsidR="00F32B28" w:rsidRPr="00F32B28" w:rsidSect="00F32B28">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0-05T12:16:00Z" w:initials="Start">
    <w:p w:rsidR="00E22C48" w:rsidRDefault="00E22C48">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NO&gt;&gt;N1714863A&lt;&lt;ODS JOB NO</w:t>
      </w:r>
      <w:r>
        <w:rPr>
          <w:rtl/>
        </w:rPr>
        <w:t>&gt;&gt;</w:t>
      </w:r>
    </w:p>
    <w:p w:rsidR="00E22C48" w:rsidRDefault="00E22C48">
      <w:pPr>
        <w:pStyle w:val="CommentText"/>
        <w:rPr>
          <w:rtl/>
        </w:rPr>
      </w:pPr>
      <w:r>
        <w:rPr>
          <w:rtl/>
        </w:rPr>
        <w:t>&lt;&lt;</w:t>
      </w:r>
      <w:r>
        <w:t>ODS DOC SYMBOL1&gt;&gt;CEDAW/C/PSE/1&lt;&lt;ODS DOC SYMBOL1</w:t>
      </w:r>
      <w:r>
        <w:rPr>
          <w:rtl/>
        </w:rPr>
        <w:t>&gt;&gt;</w:t>
      </w:r>
    </w:p>
    <w:p w:rsidR="00E22C48" w:rsidRDefault="00E22C48">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48" w:rsidRDefault="00E22C48" w:rsidP="00693CF9">
      <w:pPr>
        <w:spacing w:line="240" w:lineRule="auto"/>
      </w:pPr>
      <w:r>
        <w:separator/>
      </w:r>
    </w:p>
  </w:endnote>
  <w:endnote w:type="continuationSeparator" w:id="0">
    <w:p w:rsidR="00E22C48" w:rsidRDefault="00E22C4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22C48" w:rsidTr="00680CE8">
      <w:tc>
        <w:tcPr>
          <w:tcW w:w="5028" w:type="dxa"/>
          <w:shd w:val="clear" w:color="auto" w:fill="auto"/>
        </w:tcPr>
        <w:p w:rsidR="00E22C48" w:rsidRPr="00680CE8" w:rsidRDefault="00E22C48" w:rsidP="00680CE8">
          <w:pPr>
            <w:pStyle w:val="Footer"/>
            <w:rPr>
              <w:w w:val="103"/>
            </w:rPr>
          </w:pPr>
          <w:r>
            <w:rPr>
              <w:w w:val="103"/>
            </w:rPr>
            <w:fldChar w:fldCharType="begin"/>
          </w:r>
          <w:r>
            <w:rPr>
              <w:w w:val="103"/>
            </w:rPr>
            <w:instrText xml:space="preserve"> PAGE  \* Arabic  \* MERGEFORMAT </w:instrText>
          </w:r>
          <w:r>
            <w:rPr>
              <w:w w:val="103"/>
            </w:rPr>
            <w:fldChar w:fldCharType="separate"/>
          </w:r>
          <w:r w:rsidR="00D4383B">
            <w:rPr>
              <w:noProof/>
              <w:w w:val="103"/>
            </w:rPr>
            <w:t>80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383B">
            <w:rPr>
              <w:noProof/>
              <w:w w:val="103"/>
            </w:rPr>
            <w:t>80</w:t>
          </w:r>
          <w:r>
            <w:rPr>
              <w:w w:val="103"/>
            </w:rPr>
            <w:fldChar w:fldCharType="end"/>
          </w:r>
        </w:p>
      </w:tc>
      <w:tc>
        <w:tcPr>
          <w:tcW w:w="5028" w:type="dxa"/>
          <w:shd w:val="clear" w:color="auto" w:fill="auto"/>
        </w:tcPr>
        <w:p w:rsidR="00E22C48" w:rsidRPr="00680CE8" w:rsidRDefault="00E22C48" w:rsidP="00680CE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4383B">
            <w:rPr>
              <w:b w:val="0"/>
              <w:w w:val="103"/>
            </w:rPr>
            <w:t>17-08413</w:t>
          </w:r>
          <w:r>
            <w:rPr>
              <w:b w:val="0"/>
              <w:w w:val="103"/>
            </w:rPr>
            <w:fldChar w:fldCharType="end"/>
          </w:r>
        </w:p>
      </w:tc>
    </w:tr>
  </w:tbl>
  <w:p w:rsidR="00E22C48" w:rsidRPr="00680CE8" w:rsidRDefault="00E22C48" w:rsidP="00680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22C48" w:rsidTr="00680CE8">
      <w:tc>
        <w:tcPr>
          <w:tcW w:w="5028" w:type="dxa"/>
          <w:shd w:val="clear" w:color="auto" w:fill="auto"/>
        </w:tcPr>
        <w:p w:rsidR="00E22C48" w:rsidRPr="00680CE8" w:rsidRDefault="00E22C48" w:rsidP="00680CE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4383B">
            <w:rPr>
              <w:b w:val="0"/>
              <w:w w:val="103"/>
            </w:rPr>
            <w:t>17-08413</w:t>
          </w:r>
          <w:r>
            <w:rPr>
              <w:b w:val="0"/>
              <w:w w:val="103"/>
            </w:rPr>
            <w:fldChar w:fldCharType="end"/>
          </w:r>
        </w:p>
      </w:tc>
      <w:tc>
        <w:tcPr>
          <w:tcW w:w="5028" w:type="dxa"/>
          <w:shd w:val="clear" w:color="auto" w:fill="auto"/>
        </w:tcPr>
        <w:p w:rsidR="00E22C48" w:rsidRPr="00680CE8" w:rsidRDefault="00E22C48" w:rsidP="00680CE8">
          <w:pPr>
            <w:pStyle w:val="Footer"/>
            <w:jc w:val="left"/>
            <w:rPr>
              <w:w w:val="103"/>
            </w:rPr>
          </w:pPr>
          <w:r>
            <w:rPr>
              <w:w w:val="103"/>
            </w:rPr>
            <w:fldChar w:fldCharType="begin"/>
          </w:r>
          <w:r>
            <w:rPr>
              <w:w w:val="103"/>
            </w:rPr>
            <w:instrText xml:space="preserve"> PAGE  \* Arabic  \* MERGEFORMAT </w:instrText>
          </w:r>
          <w:r>
            <w:rPr>
              <w:w w:val="103"/>
            </w:rPr>
            <w:fldChar w:fldCharType="separate"/>
          </w:r>
          <w:r w:rsidR="00D4383B">
            <w:rPr>
              <w:noProof/>
              <w:w w:val="103"/>
            </w:rPr>
            <w:t>79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383B">
            <w:rPr>
              <w:noProof/>
              <w:w w:val="103"/>
            </w:rPr>
            <w:t>80</w:t>
          </w:r>
          <w:r>
            <w:rPr>
              <w:w w:val="103"/>
            </w:rPr>
            <w:fldChar w:fldCharType="end"/>
          </w:r>
        </w:p>
      </w:tc>
    </w:tr>
  </w:tbl>
  <w:p w:rsidR="00E22C48" w:rsidRPr="00680CE8" w:rsidRDefault="00E22C48" w:rsidP="00680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E22C48" w:rsidTr="00680CE8">
      <w:trPr>
        <w:jc w:val="right"/>
      </w:trPr>
      <w:tc>
        <w:tcPr>
          <w:tcW w:w="3888" w:type="dxa"/>
        </w:tcPr>
        <w:p w:rsidR="00E22C48" w:rsidRDefault="00E22C48" w:rsidP="00680CE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021FB82" wp14:editId="02BA72E9">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PSE/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E/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5D70F77" wp14:editId="6679124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E22C48" w:rsidRDefault="00E22C48" w:rsidP="00680CE8">
          <w:pPr>
            <w:pStyle w:val="ReleaseDate"/>
          </w:pPr>
          <w:r>
            <w:t xml:space="preserve">051017    051017    </w:t>
          </w:r>
          <w:r w:rsidR="00D4383B">
            <w:fldChar w:fldCharType="begin"/>
          </w:r>
          <w:r w:rsidR="00D4383B">
            <w:instrText xml:space="preserve"> DOCVARIABLE "jobn" \* MERGEFORMAT </w:instrText>
          </w:r>
          <w:r w:rsidR="00D4383B">
            <w:fldChar w:fldCharType="separate"/>
          </w:r>
          <w:r w:rsidR="00D4383B">
            <w:t>17-08413 (A)</w:t>
          </w:r>
          <w:r w:rsidR="00D4383B">
            <w:fldChar w:fldCharType="end"/>
          </w:r>
        </w:p>
        <w:p w:rsidR="00E22C48" w:rsidRPr="00680CE8" w:rsidRDefault="00E22C48" w:rsidP="00680CE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4383B">
            <w:rPr>
              <w:rFonts w:ascii="Barcode 3 of 9 by request" w:hAnsi="Barcode 3 of 9 by request"/>
              <w:sz w:val="24"/>
            </w:rPr>
            <w:t>*1708413*</w:t>
          </w:r>
          <w:r>
            <w:rPr>
              <w:rFonts w:ascii="Barcode 3 of 9 by request" w:hAnsi="Barcode 3 of 9 by request"/>
              <w:sz w:val="24"/>
            </w:rPr>
            <w:fldChar w:fldCharType="end"/>
          </w:r>
        </w:p>
      </w:tc>
    </w:tr>
  </w:tbl>
  <w:p w:rsidR="00E22C48" w:rsidRPr="00680CE8" w:rsidRDefault="00E22C48" w:rsidP="00680CE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48" w:rsidRPr="00846FB9" w:rsidRDefault="00E22C48" w:rsidP="00846FB9">
      <w:pPr>
        <w:pStyle w:val="Footer"/>
        <w:bidi/>
        <w:spacing w:after="80"/>
        <w:ind w:left="792"/>
        <w:jc w:val="left"/>
        <w:rPr>
          <w:sz w:val="16"/>
        </w:rPr>
      </w:pPr>
      <w:r w:rsidRPr="00846FB9">
        <w:rPr>
          <w:sz w:val="16"/>
          <w:rtl/>
        </w:rPr>
        <w:t>__________</w:t>
      </w:r>
    </w:p>
  </w:footnote>
  <w:footnote w:type="continuationSeparator" w:id="0">
    <w:p w:rsidR="00E22C48" w:rsidRPr="00846FB9" w:rsidRDefault="00E22C48" w:rsidP="00846FB9">
      <w:pPr>
        <w:pStyle w:val="Footer"/>
        <w:bidi/>
        <w:spacing w:after="80"/>
        <w:ind w:left="792"/>
        <w:jc w:val="left"/>
        <w:rPr>
          <w:sz w:val="16"/>
        </w:rPr>
      </w:pPr>
      <w:r w:rsidRPr="00846FB9">
        <w:rPr>
          <w:sz w:val="16"/>
          <w:rtl/>
        </w:rPr>
        <w:t>__________</w:t>
      </w:r>
    </w:p>
  </w:footnote>
  <w:footnote w:id="1">
    <w:p w:rsidR="00E22C48" w:rsidRPr="00846FB9" w:rsidRDefault="00E22C48" w:rsidP="008A31F2">
      <w:pPr>
        <w:pStyle w:val="FootnoteText"/>
        <w:tabs>
          <w:tab w:val="clear" w:pos="418"/>
          <w:tab w:val="right" w:pos="1195"/>
          <w:tab w:val="left" w:pos="1267"/>
          <w:tab w:val="left" w:pos="1656"/>
          <w:tab w:val="left" w:pos="2088"/>
        </w:tabs>
        <w:spacing w:after="80"/>
        <w:ind w:left="1267" w:right="1267" w:hanging="547"/>
      </w:pPr>
      <w:r>
        <w:rPr>
          <w:rtl/>
        </w:rPr>
        <w:tab/>
      </w:r>
      <w:r w:rsidRPr="008A31F2">
        <w:rPr>
          <w:rtl/>
        </w:rPr>
        <w:t>(</w:t>
      </w:r>
      <w:r w:rsidRPr="008A31F2">
        <w:rPr>
          <w:rStyle w:val="FootnoteReference"/>
          <w:spacing w:val="0"/>
          <w:w w:val="100"/>
          <w:szCs w:val="24"/>
          <w:vertAlign w:val="baseline"/>
          <w:rtl/>
        </w:rPr>
        <w:footnoteRef/>
      </w:r>
      <w:r w:rsidRPr="008A31F2">
        <w:rPr>
          <w:rtl/>
        </w:rPr>
        <w:t>)</w:t>
      </w:r>
      <w:r w:rsidRPr="008A31F2">
        <w:rPr>
          <w:rtl/>
        </w:rPr>
        <w:tab/>
      </w:r>
      <w:r w:rsidRPr="00846FB9">
        <w:rPr>
          <w:rFonts w:hint="cs"/>
          <w:rtl/>
        </w:rPr>
        <w:t>نتائج انتخابات عام 2012-2013 تتعلق فقط</w:t>
      </w:r>
      <w:r>
        <w:rPr>
          <w:rFonts w:hint="cs"/>
          <w:rtl/>
        </w:rPr>
        <w:t xml:space="preserve"> </w:t>
      </w:r>
      <w:r w:rsidRPr="00846FB9">
        <w:rPr>
          <w:rFonts w:hint="cs"/>
          <w:rtl/>
        </w:rPr>
        <w:t>بمجالس</w:t>
      </w:r>
      <w:r>
        <w:rPr>
          <w:rFonts w:hint="cs"/>
          <w:rtl/>
        </w:rPr>
        <w:t xml:space="preserve"> </w:t>
      </w:r>
      <w:r w:rsidRPr="00846FB9">
        <w:rPr>
          <w:rFonts w:hint="cs"/>
          <w:rtl/>
        </w:rPr>
        <w:t>الهيئات</w:t>
      </w:r>
      <w:r>
        <w:rPr>
          <w:rFonts w:hint="cs"/>
          <w:rtl/>
        </w:rPr>
        <w:t xml:space="preserve"> </w:t>
      </w:r>
      <w:r w:rsidRPr="00846FB9">
        <w:rPr>
          <w:rFonts w:hint="cs"/>
          <w:rtl/>
        </w:rPr>
        <w:t>المحلية</w:t>
      </w:r>
      <w:r>
        <w:rPr>
          <w:rFonts w:hint="cs"/>
          <w:rtl/>
        </w:rPr>
        <w:t xml:space="preserve"> </w:t>
      </w:r>
      <w:r w:rsidRPr="00846FB9">
        <w:rPr>
          <w:rFonts w:hint="cs"/>
          <w:rtl/>
        </w:rPr>
        <w:t>في</w:t>
      </w:r>
      <w:r>
        <w:rPr>
          <w:rFonts w:hint="cs"/>
          <w:rtl/>
        </w:rPr>
        <w:t xml:space="preserve"> </w:t>
      </w:r>
      <w:r w:rsidRPr="00846FB9">
        <w:rPr>
          <w:rFonts w:hint="cs"/>
          <w:rtl/>
        </w:rPr>
        <w:t>الضفة</w:t>
      </w:r>
      <w:r>
        <w:rPr>
          <w:rFonts w:hint="cs"/>
          <w:rtl/>
        </w:rPr>
        <w:t xml:space="preserve"> </w:t>
      </w:r>
      <w:r w:rsidRPr="00846FB9">
        <w:rPr>
          <w:rFonts w:hint="cs"/>
          <w:rtl/>
        </w:rPr>
        <w:t>الغربية</w:t>
      </w:r>
      <w:r w:rsidRPr="00846FB9">
        <w:rPr>
          <w:rtl/>
        </w:rPr>
        <w:t>، حيث لم تجر أية انتخابات محلية في قطاع غزة نتيجة الانقسام السياسي.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60"/>
      <w:gridCol w:w="4980"/>
    </w:tblGrid>
    <w:tr w:rsidR="00E22C48" w:rsidTr="00680CE8">
      <w:trPr>
        <w:trHeight w:hRule="exact" w:val="864"/>
        <w:jc w:val="center"/>
      </w:trPr>
      <w:tc>
        <w:tcPr>
          <w:tcW w:w="4925" w:type="dxa"/>
          <w:shd w:val="clear" w:color="auto" w:fill="auto"/>
          <w:vAlign w:val="bottom"/>
        </w:tcPr>
        <w:p w:rsidR="00E22C48" w:rsidRDefault="00E22C48" w:rsidP="00680CE8">
          <w:pPr>
            <w:pStyle w:val="Header"/>
            <w:bidi/>
          </w:pPr>
        </w:p>
      </w:tc>
      <w:tc>
        <w:tcPr>
          <w:tcW w:w="5028" w:type="dxa"/>
          <w:shd w:val="clear" w:color="auto" w:fill="auto"/>
          <w:vAlign w:val="bottom"/>
        </w:tcPr>
        <w:p w:rsidR="00E22C48" w:rsidRPr="00680CE8" w:rsidRDefault="00E22C48" w:rsidP="00680CE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D4383B">
            <w:rPr>
              <w:w w:val="103"/>
            </w:rPr>
            <w:t>CEDAW/C/PSE/1</w:t>
          </w:r>
          <w:r>
            <w:rPr>
              <w:w w:val="103"/>
            </w:rPr>
            <w:fldChar w:fldCharType="end"/>
          </w:r>
        </w:p>
      </w:tc>
    </w:tr>
  </w:tbl>
  <w:p w:rsidR="00E22C48" w:rsidRPr="00680CE8" w:rsidRDefault="00E22C48" w:rsidP="00680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78"/>
      <w:gridCol w:w="4962"/>
    </w:tblGrid>
    <w:tr w:rsidR="00E22C48" w:rsidTr="00680CE8">
      <w:trPr>
        <w:trHeight w:hRule="exact" w:val="864"/>
        <w:jc w:val="center"/>
      </w:trPr>
      <w:tc>
        <w:tcPr>
          <w:tcW w:w="4925" w:type="dxa"/>
          <w:shd w:val="clear" w:color="auto" w:fill="auto"/>
          <w:vAlign w:val="bottom"/>
        </w:tcPr>
        <w:p w:rsidR="00E22C48" w:rsidRPr="00680CE8" w:rsidRDefault="00E22C48" w:rsidP="00680CE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D4383B">
            <w:rPr>
              <w:w w:val="103"/>
            </w:rPr>
            <w:t>CEDAW/C/PSE/1</w:t>
          </w:r>
          <w:r>
            <w:rPr>
              <w:w w:val="103"/>
            </w:rPr>
            <w:fldChar w:fldCharType="end"/>
          </w:r>
        </w:p>
      </w:tc>
      <w:tc>
        <w:tcPr>
          <w:tcW w:w="5028" w:type="dxa"/>
          <w:shd w:val="clear" w:color="auto" w:fill="auto"/>
          <w:vAlign w:val="bottom"/>
        </w:tcPr>
        <w:p w:rsidR="00E22C48" w:rsidRDefault="00E22C48" w:rsidP="00680CE8">
          <w:pPr>
            <w:pStyle w:val="Header"/>
          </w:pPr>
        </w:p>
      </w:tc>
    </w:tr>
  </w:tbl>
  <w:p w:rsidR="00E22C48" w:rsidRPr="00680CE8" w:rsidRDefault="00E22C48" w:rsidP="00680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22C48" w:rsidTr="00680CE8">
      <w:trPr>
        <w:gridAfter w:val="1"/>
        <w:wAfter w:w="18" w:type="dxa"/>
        <w:trHeight w:hRule="exact" w:val="864"/>
      </w:trPr>
      <w:tc>
        <w:tcPr>
          <w:tcW w:w="1282" w:type="dxa"/>
          <w:tcBorders>
            <w:bottom w:val="single" w:sz="4" w:space="0" w:color="auto"/>
          </w:tcBorders>
          <w:shd w:val="clear" w:color="auto" w:fill="auto"/>
          <w:vAlign w:val="bottom"/>
        </w:tcPr>
        <w:p w:rsidR="00E22C48" w:rsidRDefault="00E22C48" w:rsidP="00680CE8">
          <w:pPr>
            <w:pStyle w:val="Header"/>
            <w:spacing w:after="120"/>
          </w:pPr>
        </w:p>
      </w:tc>
      <w:tc>
        <w:tcPr>
          <w:tcW w:w="1786" w:type="dxa"/>
          <w:tcBorders>
            <w:bottom w:val="single" w:sz="4" w:space="0" w:color="auto"/>
          </w:tcBorders>
          <w:shd w:val="clear" w:color="auto" w:fill="auto"/>
          <w:vAlign w:val="bottom"/>
        </w:tcPr>
        <w:p w:rsidR="00E22C48" w:rsidRPr="00680CE8" w:rsidRDefault="00E22C48" w:rsidP="00680CE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22C48" w:rsidRDefault="00E22C48" w:rsidP="00680CE8">
          <w:pPr>
            <w:pStyle w:val="Header"/>
            <w:spacing w:after="120"/>
          </w:pPr>
        </w:p>
      </w:tc>
      <w:tc>
        <w:tcPr>
          <w:tcW w:w="6523" w:type="dxa"/>
          <w:gridSpan w:val="3"/>
          <w:tcBorders>
            <w:bottom w:val="single" w:sz="4" w:space="0" w:color="auto"/>
          </w:tcBorders>
          <w:shd w:val="clear" w:color="auto" w:fill="auto"/>
          <w:vAlign w:val="bottom"/>
        </w:tcPr>
        <w:p w:rsidR="00E22C48" w:rsidRPr="00680CE8" w:rsidRDefault="00E22C48" w:rsidP="00680CE8">
          <w:pPr>
            <w:spacing w:line="380" w:lineRule="exact"/>
            <w:jc w:val="right"/>
          </w:pPr>
          <w:r>
            <w:rPr>
              <w:sz w:val="40"/>
            </w:rPr>
            <w:t>CEDAW</w:t>
          </w:r>
          <w:r>
            <w:t>/C/PSE/1</w:t>
          </w:r>
        </w:p>
      </w:tc>
    </w:tr>
    <w:tr w:rsidR="00E22C48" w:rsidRPr="00680CE8" w:rsidTr="00680CE8">
      <w:trPr>
        <w:trHeight w:hRule="exact" w:val="2880"/>
      </w:trPr>
      <w:tc>
        <w:tcPr>
          <w:tcW w:w="1282" w:type="dxa"/>
          <w:tcBorders>
            <w:top w:val="single" w:sz="4" w:space="0" w:color="auto"/>
            <w:bottom w:val="single" w:sz="12" w:space="0" w:color="auto"/>
          </w:tcBorders>
          <w:shd w:val="clear" w:color="auto" w:fill="auto"/>
        </w:tcPr>
        <w:p w:rsidR="00E22C48" w:rsidRDefault="00E22C48" w:rsidP="00680CE8">
          <w:pPr>
            <w:pStyle w:val="Header"/>
            <w:spacing w:before="120"/>
            <w:jc w:val="center"/>
          </w:pPr>
          <w:r>
            <w:t xml:space="preserve"> </w:t>
          </w:r>
          <w:r>
            <w:rPr>
              <w:noProof/>
            </w:rPr>
            <w:drawing>
              <wp:inline distT="0" distB="0" distL="0" distR="0" wp14:anchorId="6B19CD75" wp14:editId="57EBE7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E22C48" w:rsidRPr="00680CE8" w:rsidRDefault="00E22C48" w:rsidP="00680CE8">
          <w:pPr>
            <w:pStyle w:val="Header"/>
            <w:spacing w:before="120"/>
            <w:jc w:val="center"/>
          </w:pPr>
        </w:p>
      </w:tc>
      <w:tc>
        <w:tcPr>
          <w:tcW w:w="5227" w:type="dxa"/>
          <w:gridSpan w:val="3"/>
          <w:tcBorders>
            <w:top w:val="single" w:sz="4" w:space="0" w:color="auto"/>
            <w:bottom w:val="single" w:sz="12" w:space="0" w:color="auto"/>
          </w:tcBorders>
          <w:shd w:val="clear" w:color="auto" w:fill="auto"/>
        </w:tcPr>
        <w:p w:rsidR="00E22C48" w:rsidRPr="00680CE8" w:rsidRDefault="00E22C48" w:rsidP="00680CE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E22C48" w:rsidRPr="00680CE8" w:rsidRDefault="00E22C48" w:rsidP="00680CE8">
          <w:pPr>
            <w:pStyle w:val="Header"/>
            <w:spacing w:before="109"/>
          </w:pPr>
        </w:p>
      </w:tc>
      <w:tc>
        <w:tcPr>
          <w:tcW w:w="3100" w:type="dxa"/>
          <w:gridSpan w:val="2"/>
          <w:tcBorders>
            <w:top w:val="single" w:sz="4" w:space="0" w:color="auto"/>
            <w:bottom w:val="single" w:sz="12" w:space="0" w:color="auto"/>
          </w:tcBorders>
          <w:shd w:val="clear" w:color="auto" w:fill="auto"/>
        </w:tcPr>
        <w:p w:rsidR="00E22C48" w:rsidRDefault="00E22C48" w:rsidP="00680CE8">
          <w:pPr>
            <w:pStyle w:val="Distribution"/>
            <w:bidi w:val="0"/>
            <w:spacing w:before="240"/>
          </w:pPr>
          <w:r>
            <w:t>Distr.: General</w:t>
          </w:r>
        </w:p>
        <w:p w:rsidR="00E22C48" w:rsidRDefault="00E22C48" w:rsidP="00F32B28">
          <w:pPr>
            <w:pStyle w:val="Publication"/>
            <w:bidi w:val="0"/>
          </w:pPr>
          <w:r>
            <w:t>24 May 2017</w:t>
          </w:r>
        </w:p>
        <w:p w:rsidR="00E22C48" w:rsidRDefault="00E22C48" w:rsidP="00680CE8">
          <w:pPr>
            <w:bidi w:val="0"/>
            <w:spacing w:line="240" w:lineRule="exact"/>
            <w:jc w:val="left"/>
          </w:pPr>
        </w:p>
        <w:p w:rsidR="00E22C48" w:rsidRDefault="00E22C48" w:rsidP="00680CE8">
          <w:pPr>
            <w:pStyle w:val="Original"/>
            <w:bidi w:val="0"/>
          </w:pPr>
          <w:r>
            <w:t>Original: Arabic</w:t>
          </w:r>
        </w:p>
        <w:p w:rsidR="00E22C48" w:rsidRPr="00680CE8" w:rsidRDefault="00E22C48" w:rsidP="00680CE8">
          <w:pPr>
            <w:bidi w:val="0"/>
            <w:spacing w:line="240" w:lineRule="exact"/>
            <w:jc w:val="left"/>
          </w:pPr>
        </w:p>
      </w:tc>
    </w:tr>
  </w:tbl>
  <w:p w:rsidR="00E22C48" w:rsidRPr="00680CE8" w:rsidRDefault="00E22C48" w:rsidP="00680CE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851AF4"/>
    <w:multiLevelType w:val="hybridMultilevel"/>
    <w:tmpl w:val="084EE4D0"/>
    <w:lvl w:ilvl="0" w:tplc="B5CC0454">
      <w:start w:val="1"/>
      <w:numFmt w:val="bullet"/>
      <w:pStyle w:val="Bullet1GA"/>
      <w:lvlText w:val=""/>
      <w:lvlJc w:val="left"/>
      <w:pPr>
        <w:tabs>
          <w:tab w:val="num" w:pos="2041"/>
        </w:tabs>
        <w:ind w:left="2041" w:hanging="397"/>
      </w:pPr>
      <w:rPr>
        <w:rFonts w:ascii="Symbol" w:hAnsi="Symbol" w:hint="default"/>
        <w:lang w:bidi="ar-J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4F2F5B"/>
    <w:multiLevelType w:val="hybridMultilevel"/>
    <w:tmpl w:val="CEF889F2"/>
    <w:lvl w:ilvl="0" w:tplc="A6102D08">
      <w:start w:val="1"/>
      <w:numFmt w:val="decimal"/>
      <w:lvlText w:val="%1-"/>
      <w:lvlJc w:val="left"/>
      <w:pPr>
        <w:ind w:left="1134" w:firstLine="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F209A"/>
    <w:multiLevelType w:val="hybridMultilevel"/>
    <w:tmpl w:val="D2627A2E"/>
    <w:lvl w:ilvl="0" w:tplc="830E15D4">
      <w:start w:val="4"/>
      <w:numFmt w:val="bullet"/>
      <w:lvlText w:val="-"/>
      <w:lvlJc w:val="left"/>
      <w:pPr>
        <w:ind w:left="720" w:hanging="360"/>
      </w:pPr>
      <w:rPr>
        <w:rFonts w:ascii="Simplified Arabic" w:eastAsia="Times New Roman" w:hAnsi="Simplified Arabic" w:cs="Simplified Arabic" w:hint="default"/>
        <w:b/>
        <w:bCs/>
        <w:color w:val="000000" w:themeColor="text1"/>
      </w:rPr>
    </w:lvl>
    <w:lvl w:ilvl="1" w:tplc="C924EDD6">
      <w:numFmt w:val="bullet"/>
      <w:lvlText w:val=""/>
      <w:lvlJc w:val="left"/>
      <w:pPr>
        <w:ind w:left="1440" w:hanging="360"/>
      </w:pPr>
      <w:rPr>
        <w:rFonts w:ascii="Symbol" w:eastAsiaTheme="minorHAnsi" w:hAnsi="Symbol" w:cs="Traditional Arabic"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36690"/>
    <w:multiLevelType w:val="hybridMultilevel"/>
    <w:tmpl w:val="D9727874"/>
    <w:lvl w:ilvl="0" w:tplc="3300FECE">
      <w:start w:val="4"/>
      <w:numFmt w:val="bullet"/>
      <w:lvlText w:val="-"/>
      <w:lvlJc w:val="left"/>
      <w:pPr>
        <w:ind w:left="1701" w:firstLine="0"/>
      </w:pPr>
      <w:rPr>
        <w:rFonts w:ascii="Simplified Arabic" w:eastAsia="Times New Roman" w:hAnsi="Simplified Arabic" w:hint="default"/>
        <w:b/>
        <w:bCs/>
        <w:color w:val="000000" w:themeColor="text1"/>
      </w:rPr>
    </w:lvl>
    <w:lvl w:ilvl="1" w:tplc="C924EDD6">
      <w:numFmt w:val="bullet"/>
      <w:lvlText w:val=""/>
      <w:lvlJc w:val="left"/>
      <w:pPr>
        <w:ind w:left="1440" w:hanging="360"/>
      </w:pPr>
      <w:rPr>
        <w:rFonts w:ascii="Symbol" w:eastAsiaTheme="minorHAnsi" w:hAnsi="Symbol" w:cs="Traditional Arabic"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13"/>
  </w:num>
  <w:num w:numId="5">
    <w:abstractNumId w:val="21"/>
  </w:num>
  <w:num w:numId="6">
    <w:abstractNumId w:val="18"/>
  </w:num>
  <w:num w:numId="7">
    <w:abstractNumId w:val="13"/>
  </w:num>
  <w:num w:numId="8">
    <w:abstractNumId w:val="21"/>
  </w:num>
  <w:num w:numId="9">
    <w:abstractNumId w:val="18"/>
  </w:num>
  <w:num w:numId="10">
    <w:abstractNumId w:val="13"/>
  </w:num>
  <w:num w:numId="11">
    <w:abstractNumId w:val="21"/>
  </w:num>
  <w:num w:numId="12">
    <w:abstractNumId w:val="18"/>
  </w:num>
  <w:num w:numId="13">
    <w:abstractNumId w:val="13"/>
  </w:num>
  <w:num w:numId="14">
    <w:abstractNumId w:val="21"/>
  </w:num>
  <w:num w:numId="15">
    <w:abstractNumId w:val="18"/>
  </w:num>
  <w:num w:numId="16">
    <w:abstractNumId w:val="1"/>
  </w:num>
  <w:num w:numId="17">
    <w:abstractNumId w:val="0"/>
  </w:num>
  <w:num w:numId="18">
    <w:abstractNumId w:val="2"/>
  </w:num>
  <w:num w:numId="19">
    <w:abstractNumId w:val="3"/>
  </w:num>
  <w:num w:numId="20">
    <w:abstractNumId w:val="8"/>
  </w:num>
  <w:num w:numId="21">
    <w:abstractNumId w:val="9"/>
  </w:num>
  <w:num w:numId="22">
    <w:abstractNumId w:val="7"/>
  </w:num>
  <w:num w:numId="23">
    <w:abstractNumId w:val="6"/>
  </w:num>
  <w:num w:numId="24">
    <w:abstractNumId w:val="5"/>
  </w:num>
  <w:num w:numId="25">
    <w:abstractNumId w:val="4"/>
  </w:num>
  <w:num w:numId="26">
    <w:abstractNumId w:val="19"/>
  </w:num>
  <w:num w:numId="27">
    <w:abstractNumId w:val="14"/>
  </w:num>
  <w:num w:numId="28">
    <w:abstractNumId w:val="11"/>
  </w:num>
  <w:num w:numId="29">
    <w:abstractNumId w:val="10"/>
  </w:num>
  <w:num w:numId="30">
    <w:abstractNumId w:val="20"/>
  </w:num>
  <w:num w:numId="31">
    <w:abstractNumId w:val="12"/>
  </w:num>
  <w:num w:numId="32">
    <w:abstractNumId w:val="17"/>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8413*"/>
    <w:docVar w:name="CreationDt" w:val="05/10/2017 12:14 PM"/>
    <w:docVar w:name="DocCategory" w:val="Doc"/>
    <w:docVar w:name="DocType" w:val="Final"/>
    <w:docVar w:name="DutyStation" w:val="New York"/>
    <w:docVar w:name="FooterJN" w:val="17-08413"/>
    <w:docVar w:name="jobn" w:val="17-08413 (A)"/>
    <w:docVar w:name="jobnDT" w:val="17-08413 (A)   051017"/>
    <w:docVar w:name="jobnDTDT" w:val="17-08413 (A)   051017   051017"/>
    <w:docVar w:name="JobNo" w:val="1708413A"/>
    <w:docVar w:name="LocalDrive" w:val="0"/>
    <w:docVar w:name="OandT" w:val=" "/>
    <w:docVar w:name="sss1" w:val="CEDAW/C/PSE/1"/>
    <w:docVar w:name="sss2" w:val="-"/>
    <w:docVar w:name="Symbol1" w:val="CEDAW/C/PSE/1"/>
    <w:docVar w:name="Symbol2" w:val="-"/>
  </w:docVars>
  <w:rsids>
    <w:rsidRoot w:val="00495C09"/>
    <w:rsid w:val="000020C4"/>
    <w:rsid w:val="0000693B"/>
    <w:rsid w:val="00011071"/>
    <w:rsid w:val="0001622C"/>
    <w:rsid w:val="000170D3"/>
    <w:rsid w:val="00024732"/>
    <w:rsid w:val="00024DD0"/>
    <w:rsid w:val="0002744A"/>
    <w:rsid w:val="000311C9"/>
    <w:rsid w:val="00042425"/>
    <w:rsid w:val="00047F6A"/>
    <w:rsid w:val="0005137B"/>
    <w:rsid w:val="00056AA7"/>
    <w:rsid w:val="00062540"/>
    <w:rsid w:val="00062F37"/>
    <w:rsid w:val="0006648F"/>
    <w:rsid w:val="00070E09"/>
    <w:rsid w:val="0007328B"/>
    <w:rsid w:val="00087310"/>
    <w:rsid w:val="00092439"/>
    <w:rsid w:val="000927B5"/>
    <w:rsid w:val="0009732C"/>
    <w:rsid w:val="000974BE"/>
    <w:rsid w:val="000B4ABE"/>
    <w:rsid w:val="000B640C"/>
    <w:rsid w:val="000C4EED"/>
    <w:rsid w:val="000D0C94"/>
    <w:rsid w:val="000D2CEC"/>
    <w:rsid w:val="000F3F48"/>
    <w:rsid w:val="00100A90"/>
    <w:rsid w:val="00101EE8"/>
    <w:rsid w:val="00102521"/>
    <w:rsid w:val="00102AE6"/>
    <w:rsid w:val="0010461F"/>
    <w:rsid w:val="00113349"/>
    <w:rsid w:val="0012522B"/>
    <w:rsid w:val="0012717F"/>
    <w:rsid w:val="00132672"/>
    <w:rsid w:val="00143096"/>
    <w:rsid w:val="001519A9"/>
    <w:rsid w:val="001568A8"/>
    <w:rsid w:val="001631D2"/>
    <w:rsid w:val="00164771"/>
    <w:rsid w:val="00165F18"/>
    <w:rsid w:val="00170A5E"/>
    <w:rsid w:val="001737F8"/>
    <w:rsid w:val="001775EA"/>
    <w:rsid w:val="0018030C"/>
    <w:rsid w:val="00182D99"/>
    <w:rsid w:val="00186574"/>
    <w:rsid w:val="00187870"/>
    <w:rsid w:val="00194C85"/>
    <w:rsid w:val="001A015D"/>
    <w:rsid w:val="001A0D70"/>
    <w:rsid w:val="001A3A89"/>
    <w:rsid w:val="001A5B00"/>
    <w:rsid w:val="001B59EE"/>
    <w:rsid w:val="001C6531"/>
    <w:rsid w:val="001D1606"/>
    <w:rsid w:val="001D253C"/>
    <w:rsid w:val="001E2BD4"/>
    <w:rsid w:val="001E5A5A"/>
    <w:rsid w:val="001E5A7A"/>
    <w:rsid w:val="001F6786"/>
    <w:rsid w:val="0020295C"/>
    <w:rsid w:val="00212285"/>
    <w:rsid w:val="002141DD"/>
    <w:rsid w:val="002145B3"/>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090"/>
    <w:rsid w:val="00272B6C"/>
    <w:rsid w:val="00273E91"/>
    <w:rsid w:val="00275EB3"/>
    <w:rsid w:val="0027623A"/>
    <w:rsid w:val="0028685E"/>
    <w:rsid w:val="00290F2F"/>
    <w:rsid w:val="002937DA"/>
    <w:rsid w:val="00294F23"/>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4605"/>
    <w:rsid w:val="00307CFF"/>
    <w:rsid w:val="00310FA5"/>
    <w:rsid w:val="00311491"/>
    <w:rsid w:val="00312162"/>
    <w:rsid w:val="00312525"/>
    <w:rsid w:val="003367E5"/>
    <w:rsid w:val="00337510"/>
    <w:rsid w:val="00345B6F"/>
    <w:rsid w:val="003501D5"/>
    <w:rsid w:val="00351324"/>
    <w:rsid w:val="00357D2D"/>
    <w:rsid w:val="00362769"/>
    <w:rsid w:val="0036512C"/>
    <w:rsid w:val="00366E5B"/>
    <w:rsid w:val="003676A8"/>
    <w:rsid w:val="00371AC4"/>
    <w:rsid w:val="003769FD"/>
    <w:rsid w:val="00376CFA"/>
    <w:rsid w:val="003772FC"/>
    <w:rsid w:val="00377C1A"/>
    <w:rsid w:val="00383A67"/>
    <w:rsid w:val="00383CA8"/>
    <w:rsid w:val="00383EF3"/>
    <w:rsid w:val="00385F27"/>
    <w:rsid w:val="003A65ED"/>
    <w:rsid w:val="003C4B86"/>
    <w:rsid w:val="003D3CD9"/>
    <w:rsid w:val="003D4612"/>
    <w:rsid w:val="003E1BB9"/>
    <w:rsid w:val="003E26D7"/>
    <w:rsid w:val="003E3F4A"/>
    <w:rsid w:val="003E4110"/>
    <w:rsid w:val="003E4647"/>
    <w:rsid w:val="003E6DF8"/>
    <w:rsid w:val="003E7BBB"/>
    <w:rsid w:val="003F4B8C"/>
    <w:rsid w:val="00401BDF"/>
    <w:rsid w:val="004053F7"/>
    <w:rsid w:val="00407D55"/>
    <w:rsid w:val="00411BBD"/>
    <w:rsid w:val="00415922"/>
    <w:rsid w:val="00421658"/>
    <w:rsid w:val="00423BD7"/>
    <w:rsid w:val="0042757D"/>
    <w:rsid w:val="0043161B"/>
    <w:rsid w:val="00437C14"/>
    <w:rsid w:val="00445C58"/>
    <w:rsid w:val="004527C9"/>
    <w:rsid w:val="00453069"/>
    <w:rsid w:val="00453533"/>
    <w:rsid w:val="00463D0B"/>
    <w:rsid w:val="00465B26"/>
    <w:rsid w:val="00467905"/>
    <w:rsid w:val="00471C89"/>
    <w:rsid w:val="00475FF6"/>
    <w:rsid w:val="0048330E"/>
    <w:rsid w:val="00483F5B"/>
    <w:rsid w:val="00490874"/>
    <w:rsid w:val="0049408F"/>
    <w:rsid w:val="004948AC"/>
    <w:rsid w:val="00494EE2"/>
    <w:rsid w:val="00495C09"/>
    <w:rsid w:val="00496E83"/>
    <w:rsid w:val="00497193"/>
    <w:rsid w:val="004A2329"/>
    <w:rsid w:val="004A2886"/>
    <w:rsid w:val="004A694F"/>
    <w:rsid w:val="004B14A0"/>
    <w:rsid w:val="004B1CBB"/>
    <w:rsid w:val="004B2CC5"/>
    <w:rsid w:val="004B33D7"/>
    <w:rsid w:val="004B440C"/>
    <w:rsid w:val="004C219B"/>
    <w:rsid w:val="004C698D"/>
    <w:rsid w:val="004D1B0C"/>
    <w:rsid w:val="004D3A7F"/>
    <w:rsid w:val="004D3ACE"/>
    <w:rsid w:val="004D4EA9"/>
    <w:rsid w:val="004F0D2B"/>
    <w:rsid w:val="004F1402"/>
    <w:rsid w:val="004F33CC"/>
    <w:rsid w:val="004F59EC"/>
    <w:rsid w:val="004F75CD"/>
    <w:rsid w:val="005003FF"/>
    <w:rsid w:val="00501EE0"/>
    <w:rsid w:val="0050659B"/>
    <w:rsid w:val="00520086"/>
    <w:rsid w:val="00521CAC"/>
    <w:rsid w:val="0052301E"/>
    <w:rsid w:val="0052427E"/>
    <w:rsid w:val="005243A0"/>
    <w:rsid w:val="00524A2E"/>
    <w:rsid w:val="005279DE"/>
    <w:rsid w:val="00531825"/>
    <w:rsid w:val="00534772"/>
    <w:rsid w:val="00537FCD"/>
    <w:rsid w:val="00541189"/>
    <w:rsid w:val="00542632"/>
    <w:rsid w:val="00545F76"/>
    <w:rsid w:val="00550957"/>
    <w:rsid w:val="00551E87"/>
    <w:rsid w:val="005545BB"/>
    <w:rsid w:val="00556882"/>
    <w:rsid w:val="00561E43"/>
    <w:rsid w:val="00565595"/>
    <w:rsid w:val="00567D7B"/>
    <w:rsid w:val="0057078E"/>
    <w:rsid w:val="00571C2C"/>
    <w:rsid w:val="005729DD"/>
    <w:rsid w:val="00572E70"/>
    <w:rsid w:val="0057582E"/>
    <w:rsid w:val="005771BD"/>
    <w:rsid w:val="00582B0A"/>
    <w:rsid w:val="0058378D"/>
    <w:rsid w:val="005838F5"/>
    <w:rsid w:val="00590340"/>
    <w:rsid w:val="00590CD4"/>
    <w:rsid w:val="00591B45"/>
    <w:rsid w:val="0059221F"/>
    <w:rsid w:val="0059300D"/>
    <w:rsid w:val="005943EA"/>
    <w:rsid w:val="0059555A"/>
    <w:rsid w:val="005956D2"/>
    <w:rsid w:val="00596246"/>
    <w:rsid w:val="00596606"/>
    <w:rsid w:val="005A0F27"/>
    <w:rsid w:val="005A0F73"/>
    <w:rsid w:val="005A2EA3"/>
    <w:rsid w:val="005A45EC"/>
    <w:rsid w:val="005A6DC0"/>
    <w:rsid w:val="005B0557"/>
    <w:rsid w:val="005B0DBE"/>
    <w:rsid w:val="005B2267"/>
    <w:rsid w:val="005B4C28"/>
    <w:rsid w:val="005C07BD"/>
    <w:rsid w:val="005C2239"/>
    <w:rsid w:val="005C2ECE"/>
    <w:rsid w:val="005C46A7"/>
    <w:rsid w:val="005C7ED8"/>
    <w:rsid w:val="005D5B76"/>
    <w:rsid w:val="005E46BF"/>
    <w:rsid w:val="006007BD"/>
    <w:rsid w:val="00600C43"/>
    <w:rsid w:val="006046A6"/>
    <w:rsid w:val="00616500"/>
    <w:rsid w:val="00616E82"/>
    <w:rsid w:val="006218A3"/>
    <w:rsid w:val="00627BB0"/>
    <w:rsid w:val="00631D41"/>
    <w:rsid w:val="00641D93"/>
    <w:rsid w:val="00646E43"/>
    <w:rsid w:val="006564CE"/>
    <w:rsid w:val="00663F64"/>
    <w:rsid w:val="00680CE8"/>
    <w:rsid w:val="0068436E"/>
    <w:rsid w:val="00685439"/>
    <w:rsid w:val="006905A9"/>
    <w:rsid w:val="00692B46"/>
    <w:rsid w:val="00692C45"/>
    <w:rsid w:val="00692FDB"/>
    <w:rsid w:val="00693CF9"/>
    <w:rsid w:val="00696B7A"/>
    <w:rsid w:val="006A1E4E"/>
    <w:rsid w:val="006A3A3B"/>
    <w:rsid w:val="006A4832"/>
    <w:rsid w:val="006A6F0B"/>
    <w:rsid w:val="006B7CB1"/>
    <w:rsid w:val="006C1E40"/>
    <w:rsid w:val="006C38EE"/>
    <w:rsid w:val="006D1A46"/>
    <w:rsid w:val="006D3170"/>
    <w:rsid w:val="006D409F"/>
    <w:rsid w:val="006E1E19"/>
    <w:rsid w:val="006E7E51"/>
    <w:rsid w:val="006F4577"/>
    <w:rsid w:val="007006FC"/>
    <w:rsid w:val="00700F06"/>
    <w:rsid w:val="007020AD"/>
    <w:rsid w:val="00707C92"/>
    <w:rsid w:val="00714319"/>
    <w:rsid w:val="0071531E"/>
    <w:rsid w:val="00715E79"/>
    <w:rsid w:val="0071645B"/>
    <w:rsid w:val="00716E9D"/>
    <w:rsid w:val="0073062A"/>
    <w:rsid w:val="0073328E"/>
    <w:rsid w:val="00740D62"/>
    <w:rsid w:val="00745A2C"/>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17FE"/>
    <w:rsid w:val="007B3DC8"/>
    <w:rsid w:val="007B5729"/>
    <w:rsid w:val="007C7274"/>
    <w:rsid w:val="007D489C"/>
    <w:rsid w:val="007D58C4"/>
    <w:rsid w:val="007D60E0"/>
    <w:rsid w:val="007D6B8D"/>
    <w:rsid w:val="007E32B9"/>
    <w:rsid w:val="00802997"/>
    <w:rsid w:val="0081284F"/>
    <w:rsid w:val="00814843"/>
    <w:rsid w:val="008170DE"/>
    <w:rsid w:val="00820B87"/>
    <w:rsid w:val="00830E32"/>
    <w:rsid w:val="00845A14"/>
    <w:rsid w:val="00846A4A"/>
    <w:rsid w:val="00846FB9"/>
    <w:rsid w:val="00851F93"/>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87A70"/>
    <w:rsid w:val="008913BC"/>
    <w:rsid w:val="00891A4B"/>
    <w:rsid w:val="008974F6"/>
    <w:rsid w:val="008A068D"/>
    <w:rsid w:val="008A31F2"/>
    <w:rsid w:val="008A3FCA"/>
    <w:rsid w:val="008C7FF9"/>
    <w:rsid w:val="008D1C04"/>
    <w:rsid w:val="008D730A"/>
    <w:rsid w:val="008E4514"/>
    <w:rsid w:val="008E739A"/>
    <w:rsid w:val="008F04A0"/>
    <w:rsid w:val="008F3D2C"/>
    <w:rsid w:val="008F419C"/>
    <w:rsid w:val="008F5850"/>
    <w:rsid w:val="008F64A7"/>
    <w:rsid w:val="0090012B"/>
    <w:rsid w:val="0090351F"/>
    <w:rsid w:val="009124C9"/>
    <w:rsid w:val="009133F5"/>
    <w:rsid w:val="00914215"/>
    <w:rsid w:val="009227DE"/>
    <w:rsid w:val="00924745"/>
    <w:rsid w:val="009532EE"/>
    <w:rsid w:val="00956E02"/>
    <w:rsid w:val="009570F4"/>
    <w:rsid w:val="009572F9"/>
    <w:rsid w:val="00964FA8"/>
    <w:rsid w:val="00970BAD"/>
    <w:rsid w:val="009768D1"/>
    <w:rsid w:val="009807FF"/>
    <w:rsid w:val="00981E99"/>
    <w:rsid w:val="00981EB9"/>
    <w:rsid w:val="009829B7"/>
    <w:rsid w:val="00983729"/>
    <w:rsid w:val="009927C0"/>
    <w:rsid w:val="00995138"/>
    <w:rsid w:val="00996063"/>
    <w:rsid w:val="009961E6"/>
    <w:rsid w:val="009975A9"/>
    <w:rsid w:val="009A2A2C"/>
    <w:rsid w:val="009A5D68"/>
    <w:rsid w:val="009A66AE"/>
    <w:rsid w:val="009B107D"/>
    <w:rsid w:val="009B4A58"/>
    <w:rsid w:val="009B6C08"/>
    <w:rsid w:val="009B6C65"/>
    <w:rsid w:val="009B752D"/>
    <w:rsid w:val="009C0017"/>
    <w:rsid w:val="009C15F4"/>
    <w:rsid w:val="009C23E0"/>
    <w:rsid w:val="009C6174"/>
    <w:rsid w:val="009C785C"/>
    <w:rsid w:val="009D25F3"/>
    <w:rsid w:val="009D62A3"/>
    <w:rsid w:val="009E20D9"/>
    <w:rsid w:val="009E23AC"/>
    <w:rsid w:val="009E2A1F"/>
    <w:rsid w:val="009E5241"/>
    <w:rsid w:val="009F231F"/>
    <w:rsid w:val="009F4D72"/>
    <w:rsid w:val="009F5698"/>
    <w:rsid w:val="009F60C8"/>
    <w:rsid w:val="00A027B2"/>
    <w:rsid w:val="00A140D9"/>
    <w:rsid w:val="00A14A6C"/>
    <w:rsid w:val="00A156A3"/>
    <w:rsid w:val="00A248A9"/>
    <w:rsid w:val="00A25CE3"/>
    <w:rsid w:val="00A31113"/>
    <w:rsid w:val="00A376EC"/>
    <w:rsid w:val="00A37C4B"/>
    <w:rsid w:val="00A43192"/>
    <w:rsid w:val="00A43875"/>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A7F71"/>
    <w:rsid w:val="00AC002C"/>
    <w:rsid w:val="00AC0E42"/>
    <w:rsid w:val="00AC2EE0"/>
    <w:rsid w:val="00AC6CDD"/>
    <w:rsid w:val="00AD1A68"/>
    <w:rsid w:val="00AD38D0"/>
    <w:rsid w:val="00AE108C"/>
    <w:rsid w:val="00AE3AF5"/>
    <w:rsid w:val="00AE5AE2"/>
    <w:rsid w:val="00AF1A53"/>
    <w:rsid w:val="00AF1BC1"/>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73D93"/>
    <w:rsid w:val="00B80192"/>
    <w:rsid w:val="00B82BE9"/>
    <w:rsid w:val="00B92A5C"/>
    <w:rsid w:val="00B9542C"/>
    <w:rsid w:val="00B95560"/>
    <w:rsid w:val="00B9745D"/>
    <w:rsid w:val="00BA7FAB"/>
    <w:rsid w:val="00BB6B6E"/>
    <w:rsid w:val="00BB7DEC"/>
    <w:rsid w:val="00BC2F4C"/>
    <w:rsid w:val="00BC43AD"/>
    <w:rsid w:val="00BC4A05"/>
    <w:rsid w:val="00BC567D"/>
    <w:rsid w:val="00BC6BA6"/>
    <w:rsid w:val="00BD1DEE"/>
    <w:rsid w:val="00BE15C1"/>
    <w:rsid w:val="00BF0B15"/>
    <w:rsid w:val="00BF4F07"/>
    <w:rsid w:val="00C12CBB"/>
    <w:rsid w:val="00C16F77"/>
    <w:rsid w:val="00C17412"/>
    <w:rsid w:val="00C22320"/>
    <w:rsid w:val="00C23C58"/>
    <w:rsid w:val="00C25A2D"/>
    <w:rsid w:val="00C260F8"/>
    <w:rsid w:val="00C3050C"/>
    <w:rsid w:val="00C3252A"/>
    <w:rsid w:val="00C32889"/>
    <w:rsid w:val="00C34B99"/>
    <w:rsid w:val="00C36420"/>
    <w:rsid w:val="00C40CC8"/>
    <w:rsid w:val="00C43FBE"/>
    <w:rsid w:val="00C449C6"/>
    <w:rsid w:val="00C44AA1"/>
    <w:rsid w:val="00C52142"/>
    <w:rsid w:val="00C5454E"/>
    <w:rsid w:val="00C564B0"/>
    <w:rsid w:val="00C61F0B"/>
    <w:rsid w:val="00C6283F"/>
    <w:rsid w:val="00C6582C"/>
    <w:rsid w:val="00C71487"/>
    <w:rsid w:val="00C7606D"/>
    <w:rsid w:val="00C814A5"/>
    <w:rsid w:val="00C81706"/>
    <w:rsid w:val="00C82932"/>
    <w:rsid w:val="00C84B2B"/>
    <w:rsid w:val="00C855F6"/>
    <w:rsid w:val="00C96573"/>
    <w:rsid w:val="00CA17A8"/>
    <w:rsid w:val="00CA17B1"/>
    <w:rsid w:val="00CA1C73"/>
    <w:rsid w:val="00CA286A"/>
    <w:rsid w:val="00CA4791"/>
    <w:rsid w:val="00CA7205"/>
    <w:rsid w:val="00CB7C29"/>
    <w:rsid w:val="00CC04B5"/>
    <w:rsid w:val="00CD03C6"/>
    <w:rsid w:val="00CD0BB8"/>
    <w:rsid w:val="00CD3849"/>
    <w:rsid w:val="00CE0509"/>
    <w:rsid w:val="00CE2D9C"/>
    <w:rsid w:val="00CF4D77"/>
    <w:rsid w:val="00CF7384"/>
    <w:rsid w:val="00D00717"/>
    <w:rsid w:val="00D00A7D"/>
    <w:rsid w:val="00D0526B"/>
    <w:rsid w:val="00D06D08"/>
    <w:rsid w:val="00D221F3"/>
    <w:rsid w:val="00D225D0"/>
    <w:rsid w:val="00D2343D"/>
    <w:rsid w:val="00D30EAE"/>
    <w:rsid w:val="00D318F1"/>
    <w:rsid w:val="00D32EAD"/>
    <w:rsid w:val="00D40B0E"/>
    <w:rsid w:val="00D416C2"/>
    <w:rsid w:val="00D4383B"/>
    <w:rsid w:val="00D44FE0"/>
    <w:rsid w:val="00D4694F"/>
    <w:rsid w:val="00D51E19"/>
    <w:rsid w:val="00D5423E"/>
    <w:rsid w:val="00D61FDC"/>
    <w:rsid w:val="00D652E9"/>
    <w:rsid w:val="00D66413"/>
    <w:rsid w:val="00D810DB"/>
    <w:rsid w:val="00D95D28"/>
    <w:rsid w:val="00DA46A0"/>
    <w:rsid w:val="00DA66B7"/>
    <w:rsid w:val="00DB0865"/>
    <w:rsid w:val="00DB0C91"/>
    <w:rsid w:val="00DB7206"/>
    <w:rsid w:val="00DC36C8"/>
    <w:rsid w:val="00DC5A01"/>
    <w:rsid w:val="00DC5C1E"/>
    <w:rsid w:val="00DE5433"/>
    <w:rsid w:val="00DE68A7"/>
    <w:rsid w:val="00DF0562"/>
    <w:rsid w:val="00DF2A65"/>
    <w:rsid w:val="00DF2AE6"/>
    <w:rsid w:val="00DF5A43"/>
    <w:rsid w:val="00DF5F38"/>
    <w:rsid w:val="00DF628D"/>
    <w:rsid w:val="00DF6AA9"/>
    <w:rsid w:val="00DF6B4E"/>
    <w:rsid w:val="00DF7639"/>
    <w:rsid w:val="00E04526"/>
    <w:rsid w:val="00E07BAA"/>
    <w:rsid w:val="00E1179E"/>
    <w:rsid w:val="00E12813"/>
    <w:rsid w:val="00E14180"/>
    <w:rsid w:val="00E21491"/>
    <w:rsid w:val="00E21D3D"/>
    <w:rsid w:val="00E22C48"/>
    <w:rsid w:val="00E23336"/>
    <w:rsid w:val="00E31661"/>
    <w:rsid w:val="00E32B52"/>
    <w:rsid w:val="00E34040"/>
    <w:rsid w:val="00E34EAD"/>
    <w:rsid w:val="00E35D91"/>
    <w:rsid w:val="00E3652F"/>
    <w:rsid w:val="00E36D1B"/>
    <w:rsid w:val="00E46D06"/>
    <w:rsid w:val="00E474C1"/>
    <w:rsid w:val="00E47EB8"/>
    <w:rsid w:val="00E52428"/>
    <w:rsid w:val="00E52F1E"/>
    <w:rsid w:val="00E65644"/>
    <w:rsid w:val="00E704FD"/>
    <w:rsid w:val="00E71F5F"/>
    <w:rsid w:val="00E750E1"/>
    <w:rsid w:val="00E7795A"/>
    <w:rsid w:val="00E829A3"/>
    <w:rsid w:val="00E84510"/>
    <w:rsid w:val="00E9114A"/>
    <w:rsid w:val="00EA0D5B"/>
    <w:rsid w:val="00EA3948"/>
    <w:rsid w:val="00EA489C"/>
    <w:rsid w:val="00EA7B59"/>
    <w:rsid w:val="00EB0CA7"/>
    <w:rsid w:val="00EB128F"/>
    <w:rsid w:val="00EB344D"/>
    <w:rsid w:val="00EB4992"/>
    <w:rsid w:val="00EC2B29"/>
    <w:rsid w:val="00EC7A7E"/>
    <w:rsid w:val="00ED251D"/>
    <w:rsid w:val="00ED3C2E"/>
    <w:rsid w:val="00EE4046"/>
    <w:rsid w:val="00EE4215"/>
    <w:rsid w:val="00EE7D94"/>
    <w:rsid w:val="00EF0947"/>
    <w:rsid w:val="00EF2E52"/>
    <w:rsid w:val="00EF4F85"/>
    <w:rsid w:val="00F004A8"/>
    <w:rsid w:val="00F00D7A"/>
    <w:rsid w:val="00F031FB"/>
    <w:rsid w:val="00F15C1B"/>
    <w:rsid w:val="00F247BA"/>
    <w:rsid w:val="00F32228"/>
    <w:rsid w:val="00F32B28"/>
    <w:rsid w:val="00F32E4A"/>
    <w:rsid w:val="00F3470F"/>
    <w:rsid w:val="00F36D8C"/>
    <w:rsid w:val="00F4710F"/>
    <w:rsid w:val="00F53DA5"/>
    <w:rsid w:val="00F571D1"/>
    <w:rsid w:val="00F57DED"/>
    <w:rsid w:val="00F668BD"/>
    <w:rsid w:val="00F77719"/>
    <w:rsid w:val="00F90A71"/>
    <w:rsid w:val="00F923A5"/>
    <w:rsid w:val="00F92724"/>
    <w:rsid w:val="00F93545"/>
    <w:rsid w:val="00F96337"/>
    <w:rsid w:val="00F96FBA"/>
    <w:rsid w:val="00FB0C1B"/>
    <w:rsid w:val="00FB2B5B"/>
    <w:rsid w:val="00FB469E"/>
    <w:rsid w:val="00FB4E06"/>
    <w:rsid w:val="00FB6C6C"/>
    <w:rsid w:val="00FC3483"/>
    <w:rsid w:val="00FC4303"/>
    <w:rsid w:val="00FC4D68"/>
    <w:rsid w:val="00FC56D7"/>
    <w:rsid w:val="00FD2ADA"/>
    <w:rsid w:val="00FD2B5B"/>
    <w:rsid w:val="00FD5AB0"/>
    <w:rsid w:val="00FD6731"/>
    <w:rsid w:val="00FD675B"/>
    <w:rsid w:val="00FE4594"/>
    <w:rsid w:val="00FE5D1E"/>
    <w:rsid w:val="00FF0A17"/>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uiPriority="99" w:qFormat="1"/>
    <w:lsdException w:name="caption" w:semiHidden="1" w:unhideWhenUsed="1" w:qFormat="1"/>
    <w:lsdException w:name="line number" w:qFormat="1"/>
    <w:lsdException w:name="endnote text" w:uiPriority="99"/>
    <w:lsdException w:name="Title"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29DD"/>
    <w:pPr>
      <w:bidi/>
      <w:spacing w:line="360" w:lineRule="exact"/>
      <w:jc w:val="lowKashida"/>
    </w:pPr>
    <w:rPr>
      <w:kern w:val="14"/>
      <w:szCs w:val="28"/>
      <w:lang w:eastAsia="en-US"/>
    </w:rPr>
  </w:style>
  <w:style w:type="paragraph" w:styleId="Heading1">
    <w:name w:val="heading 1"/>
    <w:aliases w:val="Table_G"/>
    <w:basedOn w:val="Normal"/>
    <w:next w:val="Normal"/>
    <w:link w:val="Heading1Char"/>
    <w:uiPriority w:val="9"/>
    <w:qFormat/>
    <w:rsid w:val="005729DD"/>
    <w:pPr>
      <w:keepNext/>
      <w:tabs>
        <w:tab w:val="num" w:pos="926"/>
      </w:tabs>
      <w:ind w:left="926" w:hanging="360"/>
      <w:outlineLvl w:val="0"/>
    </w:pPr>
    <w:rPr>
      <w:sz w:val="24"/>
      <w:szCs w:val="24"/>
    </w:rPr>
  </w:style>
  <w:style w:type="paragraph" w:styleId="Heading2">
    <w:name w:val="heading 2"/>
    <w:basedOn w:val="Normal"/>
    <w:next w:val="Normal"/>
    <w:link w:val="Heading2Char"/>
    <w:uiPriority w:val="9"/>
    <w:qFormat/>
    <w:rsid w:val="005729DD"/>
    <w:pPr>
      <w:numPr>
        <w:ilvl w:val="1"/>
        <w:numId w:val="18"/>
      </w:numPr>
      <w:outlineLvl w:val="1"/>
    </w:pPr>
  </w:style>
  <w:style w:type="paragraph" w:styleId="Heading3">
    <w:name w:val="heading 3"/>
    <w:basedOn w:val="Normal"/>
    <w:next w:val="Normal"/>
    <w:link w:val="Heading3Char"/>
    <w:uiPriority w:val="9"/>
    <w:qFormat/>
    <w:rsid w:val="005729DD"/>
    <w:pPr>
      <w:keepNext/>
      <w:numPr>
        <w:ilvl w:val="2"/>
        <w:numId w:val="18"/>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qFormat/>
    <w:rsid w:val="00F32B28"/>
    <w:pPr>
      <w:numPr>
        <w:ilvl w:val="3"/>
        <w:numId w:val="18"/>
      </w:numPr>
      <w:suppressAutoHyphens/>
      <w:bidi w:val="0"/>
      <w:spacing w:line="240" w:lineRule="auto"/>
      <w:ind w:left="864" w:hanging="144"/>
      <w:jc w:val="left"/>
      <w:outlineLvl w:val="3"/>
    </w:pPr>
    <w:rPr>
      <w:rFonts w:eastAsia="Times New Roman" w:cs="Times New Roman"/>
      <w:kern w:val="0"/>
      <w:szCs w:val="20"/>
      <w:lang w:val="en-GB"/>
    </w:rPr>
  </w:style>
  <w:style w:type="paragraph" w:styleId="Heading5">
    <w:name w:val="heading 5"/>
    <w:basedOn w:val="Normal"/>
    <w:next w:val="Normal"/>
    <w:link w:val="Heading5Char"/>
    <w:uiPriority w:val="9"/>
    <w:qFormat/>
    <w:rsid w:val="00F32B28"/>
    <w:pPr>
      <w:numPr>
        <w:ilvl w:val="4"/>
        <w:numId w:val="18"/>
      </w:numPr>
      <w:suppressAutoHyphens/>
      <w:bidi w:val="0"/>
      <w:spacing w:line="240" w:lineRule="auto"/>
      <w:ind w:left="1008" w:hanging="432"/>
      <w:jc w:val="left"/>
      <w:outlineLvl w:val="4"/>
    </w:pPr>
    <w:rPr>
      <w:rFonts w:eastAsia="Times New Roman" w:cs="Times New Roman"/>
      <w:kern w:val="0"/>
      <w:szCs w:val="20"/>
      <w:lang w:val="en-GB"/>
    </w:rPr>
  </w:style>
  <w:style w:type="paragraph" w:styleId="Heading6">
    <w:name w:val="heading 6"/>
    <w:basedOn w:val="Normal"/>
    <w:next w:val="Normal"/>
    <w:link w:val="Heading6Char"/>
    <w:uiPriority w:val="9"/>
    <w:qFormat/>
    <w:rsid w:val="00F32B28"/>
    <w:pPr>
      <w:numPr>
        <w:ilvl w:val="5"/>
        <w:numId w:val="18"/>
      </w:numPr>
      <w:suppressAutoHyphens/>
      <w:bidi w:val="0"/>
      <w:spacing w:line="240" w:lineRule="auto"/>
      <w:ind w:left="1152" w:hanging="432"/>
      <w:jc w:val="left"/>
      <w:outlineLvl w:val="5"/>
    </w:pPr>
    <w:rPr>
      <w:rFonts w:eastAsia="Times New Roman" w:cs="Times New Roman"/>
      <w:kern w:val="0"/>
      <w:szCs w:val="20"/>
      <w:lang w:val="en-GB"/>
    </w:rPr>
  </w:style>
  <w:style w:type="paragraph" w:styleId="Heading7">
    <w:name w:val="heading 7"/>
    <w:basedOn w:val="Normal"/>
    <w:next w:val="Normal"/>
    <w:link w:val="Heading7Char"/>
    <w:uiPriority w:val="9"/>
    <w:qFormat/>
    <w:rsid w:val="00F32B28"/>
    <w:pPr>
      <w:numPr>
        <w:ilvl w:val="6"/>
        <w:numId w:val="18"/>
      </w:numPr>
      <w:suppressAutoHyphens/>
      <w:bidi w:val="0"/>
      <w:spacing w:line="240" w:lineRule="auto"/>
      <w:ind w:left="1296" w:hanging="288"/>
      <w:jc w:val="left"/>
      <w:outlineLvl w:val="6"/>
    </w:pPr>
    <w:rPr>
      <w:rFonts w:eastAsia="Times New Roman" w:cs="Times New Roman"/>
      <w:kern w:val="0"/>
      <w:szCs w:val="20"/>
      <w:lang w:val="en-GB"/>
    </w:rPr>
  </w:style>
  <w:style w:type="paragraph" w:styleId="Heading8">
    <w:name w:val="heading 8"/>
    <w:basedOn w:val="Normal"/>
    <w:next w:val="Normal"/>
    <w:link w:val="Heading8Char"/>
    <w:qFormat/>
    <w:rsid w:val="00F32B28"/>
    <w:pPr>
      <w:numPr>
        <w:ilvl w:val="7"/>
        <w:numId w:val="18"/>
      </w:numPr>
      <w:suppressAutoHyphens/>
      <w:bidi w:val="0"/>
      <w:spacing w:line="240" w:lineRule="auto"/>
      <w:ind w:left="1440" w:hanging="432"/>
      <w:jc w:val="left"/>
      <w:outlineLvl w:val="7"/>
    </w:pPr>
    <w:rPr>
      <w:rFonts w:eastAsia="Times New Roman" w:cs="Times New Roman"/>
      <w:kern w:val="0"/>
      <w:szCs w:val="20"/>
      <w:lang w:val="en-GB"/>
    </w:rPr>
  </w:style>
  <w:style w:type="paragraph" w:styleId="Heading9">
    <w:name w:val="heading 9"/>
    <w:basedOn w:val="Normal"/>
    <w:next w:val="Normal"/>
    <w:link w:val="Heading9Char"/>
    <w:qFormat/>
    <w:rsid w:val="00F32B28"/>
    <w:pPr>
      <w:numPr>
        <w:ilvl w:val="8"/>
        <w:numId w:val="18"/>
      </w:numPr>
      <w:suppressAutoHyphens/>
      <w:bidi w:val="0"/>
      <w:spacing w:line="240" w:lineRule="auto"/>
      <w:ind w:left="1584" w:hanging="144"/>
      <w:jc w:val="left"/>
      <w:outlineLvl w:val="8"/>
    </w:pPr>
    <w:rPr>
      <w:rFonts w:eastAsia="Times New Roman" w:cs="Times New Roman"/>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29DD"/>
    <w:pPr>
      <w:keepNext/>
      <w:keepLines/>
      <w:spacing w:after="120" w:line="400" w:lineRule="exact"/>
      <w:outlineLvl w:val="0"/>
    </w:pPr>
    <w:rPr>
      <w:b/>
      <w:bCs/>
      <w:sz w:val="24"/>
      <w:szCs w:val="32"/>
    </w:rPr>
  </w:style>
  <w:style w:type="paragraph" w:customStyle="1" w:styleId="HCh">
    <w:name w:val="_ H _Ch"/>
    <w:basedOn w:val="H1"/>
    <w:next w:val="SingleTxt"/>
    <w:qFormat/>
    <w:rsid w:val="005729DD"/>
    <w:pPr>
      <w:spacing w:line="440" w:lineRule="exact"/>
    </w:pPr>
    <w:rPr>
      <w:spacing w:val="-2"/>
      <w:sz w:val="28"/>
      <w:szCs w:val="36"/>
    </w:rPr>
  </w:style>
  <w:style w:type="character" w:styleId="CommentReference">
    <w:name w:val="annotation reference"/>
    <w:basedOn w:val="DefaultParagraphFont"/>
    <w:semiHidden/>
    <w:rsid w:val="005729DD"/>
    <w:rPr>
      <w:sz w:val="6"/>
      <w:szCs w:val="9"/>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qFormat/>
    <w:rsid w:val="005729DD"/>
    <w:pPr>
      <w:tabs>
        <w:tab w:val="right" w:pos="418"/>
      </w:tabs>
      <w:spacing w:line="280" w:lineRule="exact"/>
      <w:ind w:left="663" w:right="663" w:hanging="663"/>
    </w:pPr>
    <w:rPr>
      <w:sz w:val="17"/>
      <w:szCs w:val="24"/>
    </w:rPr>
  </w:style>
  <w:style w:type="paragraph" w:styleId="EndnoteText">
    <w:name w:val="endnote text"/>
    <w:aliases w:val="2_G"/>
    <w:basedOn w:val="FootnoteText"/>
    <w:link w:val="EndnoteTextChar"/>
    <w:uiPriority w:val="99"/>
    <w:rsid w:val="005729D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
    <w:basedOn w:val="DefaultParagraphFont"/>
    <w:rsid w:val="005729D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5729DD"/>
    <w:rPr>
      <w:rFonts w:ascii="Tahoma" w:hAnsi="Tahoma" w:cs="Tahoma"/>
      <w:sz w:val="16"/>
      <w:szCs w:val="16"/>
    </w:rPr>
  </w:style>
  <w:style w:type="paragraph" w:customStyle="1" w:styleId="HM">
    <w:name w:val="_ H __M"/>
    <w:basedOn w:val="HCh"/>
    <w:next w:val="Normal"/>
    <w:qFormat/>
    <w:rsid w:val="005729DD"/>
    <w:pPr>
      <w:suppressAutoHyphens/>
      <w:spacing w:line="520" w:lineRule="exact"/>
    </w:pPr>
    <w:rPr>
      <w:spacing w:val="-3"/>
      <w:sz w:val="34"/>
      <w:szCs w:val="48"/>
    </w:rPr>
  </w:style>
  <w:style w:type="paragraph" w:customStyle="1" w:styleId="SingleTxt">
    <w:name w:val="__Single Txt"/>
    <w:basedOn w:val="Normal"/>
    <w:qFormat/>
    <w:rsid w:val="005729D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5729DD"/>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5729DD"/>
    <w:pPr>
      <w:keepNext/>
      <w:keepLines/>
      <w:suppressAutoHyphens/>
      <w:spacing w:after="120"/>
      <w:outlineLvl w:val="3"/>
    </w:pPr>
    <w:rPr>
      <w:i/>
      <w:iCs/>
    </w:rPr>
  </w:style>
  <w:style w:type="paragraph" w:customStyle="1" w:styleId="H56">
    <w:name w:val="_ H_5/6"/>
    <w:basedOn w:val="Normal"/>
    <w:next w:val="Normal"/>
    <w:qFormat/>
    <w:rsid w:val="005729DD"/>
    <w:pPr>
      <w:keepNext/>
      <w:keepLines/>
      <w:suppressAutoHyphens/>
      <w:spacing w:after="120"/>
      <w:outlineLvl w:val="4"/>
    </w:pPr>
  </w:style>
  <w:style w:type="paragraph" w:customStyle="1" w:styleId="DualTxt">
    <w:name w:val="__Dual Txt"/>
    <w:basedOn w:val="Normal"/>
    <w:qFormat/>
    <w:rsid w:val="005729DD"/>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729D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5729DD"/>
    <w:pPr>
      <w:tabs>
        <w:tab w:val="center" w:pos="4320"/>
        <w:tab w:val="right" w:pos="8640"/>
      </w:tabs>
      <w:spacing w:line="210" w:lineRule="exact"/>
      <w:jc w:val="right"/>
    </w:pPr>
    <w:rPr>
      <w:b/>
      <w:bCs/>
      <w:kern w:val="14"/>
      <w:sz w:val="17"/>
      <w:szCs w:val="25"/>
      <w:lang w:eastAsia="en-US"/>
    </w:rPr>
  </w:style>
  <w:style w:type="character" w:customStyle="1" w:styleId="FooterChar">
    <w:name w:val="Footer Char"/>
    <w:aliases w:val="3_G Char"/>
    <w:basedOn w:val="DefaultParagraphFont"/>
    <w:link w:val="Footer"/>
    <w:uiPriority w:val="99"/>
    <w:rsid w:val="005729DD"/>
    <w:rPr>
      <w:b/>
      <w:bCs/>
      <w:kern w:val="14"/>
      <w:sz w:val="17"/>
      <w:szCs w:val="25"/>
      <w:lang w:eastAsia="en-US"/>
    </w:rPr>
  </w:style>
  <w:style w:type="paragraph" w:styleId="Header">
    <w:name w:val="header"/>
    <w:aliases w:val="6_G"/>
    <w:link w:val="HeaderChar"/>
    <w:qFormat/>
    <w:rsid w:val="005729DD"/>
    <w:pPr>
      <w:tabs>
        <w:tab w:val="center" w:pos="4320"/>
        <w:tab w:val="right" w:pos="8640"/>
      </w:tabs>
      <w:jc w:val="right"/>
    </w:pPr>
    <w:rPr>
      <w:b/>
      <w:bCs/>
      <w:w w:val="105"/>
      <w:kern w:val="14"/>
      <w:sz w:val="17"/>
      <w:szCs w:val="25"/>
      <w:lang w:eastAsia="en-US"/>
    </w:rPr>
  </w:style>
  <w:style w:type="character" w:customStyle="1" w:styleId="HeaderChar">
    <w:name w:val="Header Char"/>
    <w:aliases w:val="6_G Char"/>
    <w:basedOn w:val="DefaultParagraphFont"/>
    <w:link w:val="Header"/>
    <w:rsid w:val="005729DD"/>
    <w:rPr>
      <w:b/>
      <w:bCs/>
      <w:w w:val="105"/>
      <w:kern w:val="14"/>
      <w:sz w:val="17"/>
      <w:szCs w:val="25"/>
      <w:lang w:eastAsia="en-US"/>
    </w:rPr>
  </w:style>
  <w:style w:type="character" w:customStyle="1" w:styleId="Heading3Char">
    <w:name w:val="Heading 3 Char"/>
    <w:basedOn w:val="DefaultParagraphFont"/>
    <w:link w:val="Heading3"/>
    <w:uiPriority w:val="9"/>
    <w:rsid w:val="005729DD"/>
    <w:rPr>
      <w:rFonts w:ascii="Arial" w:eastAsiaTheme="majorEastAsia" w:hAnsi="Arial" w:cs="Arial"/>
      <w:b/>
      <w:bCs/>
      <w:kern w:val="14"/>
      <w:sz w:val="26"/>
      <w:szCs w:val="26"/>
      <w:lang w:eastAsia="en-US"/>
    </w:rPr>
  </w:style>
  <w:style w:type="paragraph" w:customStyle="1" w:styleId="JSingleTxt">
    <w:name w:val="J__Single Txt"/>
    <w:basedOn w:val="Normal"/>
    <w:qFormat/>
    <w:rsid w:val="005729D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729DD"/>
    <w:pPr>
      <w:spacing w:after="120" w:line="440" w:lineRule="exact"/>
      <w:jc w:val="center"/>
    </w:pPr>
    <w:rPr>
      <w:b/>
      <w:bCs/>
      <w:sz w:val="25"/>
      <w:szCs w:val="38"/>
    </w:rPr>
  </w:style>
  <w:style w:type="paragraph" w:customStyle="1" w:styleId="JH1">
    <w:name w:val="J_H_1"/>
    <w:basedOn w:val="JCH"/>
    <w:qFormat/>
    <w:rsid w:val="005729DD"/>
    <w:pPr>
      <w:spacing w:line="420" w:lineRule="exact"/>
    </w:pPr>
    <w:rPr>
      <w:sz w:val="23"/>
      <w:szCs w:val="34"/>
    </w:rPr>
  </w:style>
  <w:style w:type="paragraph" w:customStyle="1" w:styleId="JH2">
    <w:name w:val="J_H_2"/>
    <w:basedOn w:val="JH1"/>
    <w:qFormat/>
    <w:rsid w:val="005729DD"/>
    <w:pPr>
      <w:spacing w:line="400" w:lineRule="exact"/>
    </w:pPr>
    <w:rPr>
      <w:sz w:val="20"/>
      <w:szCs w:val="30"/>
    </w:rPr>
  </w:style>
  <w:style w:type="paragraph" w:customStyle="1" w:styleId="JSmall">
    <w:name w:val="J_Small"/>
    <w:basedOn w:val="JSingleTxt"/>
    <w:next w:val="JSingleTxt"/>
    <w:qFormat/>
    <w:rsid w:val="005729DD"/>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729D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729DD"/>
    <w:rPr>
      <w:sz w:val="14"/>
      <w:szCs w:val="16"/>
    </w:rPr>
  </w:style>
  <w:style w:type="paragraph" w:customStyle="1" w:styleId="SmallX">
    <w:name w:val="SmallX"/>
    <w:basedOn w:val="Small"/>
    <w:next w:val="Normal"/>
    <w:qFormat/>
    <w:rsid w:val="005729DD"/>
    <w:pPr>
      <w:spacing w:line="240" w:lineRule="exact"/>
    </w:pPr>
    <w:rPr>
      <w:spacing w:val="6"/>
      <w:w w:val="106"/>
      <w:sz w:val="14"/>
      <w:szCs w:val="21"/>
    </w:rPr>
  </w:style>
  <w:style w:type="paragraph" w:customStyle="1" w:styleId="XLarge">
    <w:name w:val="XLarge"/>
    <w:basedOn w:val="HM"/>
    <w:qFormat/>
    <w:rsid w:val="005729D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729DD"/>
    <w:pPr>
      <w:spacing w:line="820" w:lineRule="exact"/>
    </w:pPr>
    <w:rPr>
      <w:spacing w:val="-8"/>
      <w:w w:val="96"/>
      <w:sz w:val="57"/>
      <w:szCs w:val="86"/>
    </w:rPr>
  </w:style>
  <w:style w:type="paragraph" w:customStyle="1" w:styleId="Distribution">
    <w:name w:val="Distribution"/>
    <w:basedOn w:val="Normal"/>
    <w:next w:val="Normal"/>
    <w:qFormat/>
    <w:rsid w:val="005729D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729D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729DD"/>
    <w:pPr>
      <w:tabs>
        <w:tab w:val="left" w:pos="662"/>
        <w:tab w:val="left" w:pos="1267"/>
        <w:tab w:val="left" w:pos="1987"/>
        <w:tab w:val="left" w:pos="2650"/>
      </w:tabs>
      <w:spacing w:line="240" w:lineRule="exact"/>
    </w:pPr>
  </w:style>
  <w:style w:type="paragraph" w:customStyle="1" w:styleId="ReleaseDate">
    <w:name w:val="Release Date"/>
    <w:next w:val="Footer"/>
    <w:qFormat/>
    <w:rsid w:val="005729DD"/>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729DD"/>
    <w:pPr>
      <w:tabs>
        <w:tab w:val="left" w:pos="662"/>
        <w:tab w:val="left" w:pos="1267"/>
        <w:tab w:val="left" w:pos="1987"/>
        <w:tab w:val="left" w:pos="2650"/>
      </w:tabs>
      <w:ind w:left="663" w:hanging="663"/>
    </w:pPr>
  </w:style>
  <w:style w:type="paragraph" w:customStyle="1" w:styleId="Committee">
    <w:name w:val="Committee"/>
    <w:basedOn w:val="H1"/>
    <w:qFormat/>
    <w:rsid w:val="005729DD"/>
    <w:pPr>
      <w:tabs>
        <w:tab w:val="left" w:pos="662"/>
        <w:tab w:val="left" w:pos="1267"/>
        <w:tab w:val="left" w:pos="1987"/>
        <w:tab w:val="left" w:pos="2650"/>
      </w:tabs>
      <w:ind w:right="1264"/>
    </w:pPr>
  </w:style>
  <w:style w:type="paragraph" w:customStyle="1" w:styleId="AgendaItemNormal">
    <w:name w:val="Agenda_Item_Normal"/>
    <w:next w:val="Normal"/>
    <w:qFormat/>
    <w:rsid w:val="005729DD"/>
    <w:pPr>
      <w:spacing w:line="240" w:lineRule="exact"/>
      <w:jc w:val="lowKashida"/>
    </w:pPr>
    <w:rPr>
      <w:w w:val="103"/>
      <w:kern w:val="14"/>
      <w:szCs w:val="30"/>
      <w:lang w:eastAsia="en-US"/>
    </w:rPr>
  </w:style>
  <w:style w:type="paragraph" w:customStyle="1" w:styleId="Sponsors">
    <w:name w:val="Sponsors"/>
    <w:basedOn w:val="H23"/>
    <w:qFormat/>
    <w:rsid w:val="005729DD"/>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paragraph" w:customStyle="1" w:styleId="TitleH1">
    <w:name w:val="Title_H1"/>
    <w:basedOn w:val="H1"/>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uiPriority w:val="99"/>
    <w:rsid w:val="005729DD"/>
    <w:rPr>
      <w:color w:val="0000FF" w:themeColor="hyperlink"/>
      <w:u w:val="single"/>
    </w:rPr>
  </w:style>
  <w:style w:type="character" w:styleId="FollowedHyperlink">
    <w:name w:val="FollowedHyperlink"/>
    <w:basedOn w:val="DefaultParagraphFont"/>
    <w:uiPriority w:val="99"/>
    <w:rsid w:val="005729DD"/>
    <w:rPr>
      <w:color w:val="0000FF"/>
      <w:u w:val="single"/>
    </w:rPr>
  </w:style>
  <w:style w:type="paragraph" w:customStyle="1" w:styleId="Bullet1">
    <w:name w:val="Bullet 1"/>
    <w:basedOn w:val="Normal"/>
    <w:qFormat/>
    <w:rsid w:val="005729DD"/>
    <w:pPr>
      <w:numPr>
        <w:numId w:val="13"/>
      </w:numPr>
      <w:spacing w:after="120"/>
      <w:ind w:right="1264"/>
    </w:pPr>
  </w:style>
  <w:style w:type="paragraph" w:customStyle="1" w:styleId="Bullet2">
    <w:name w:val="Bullet 2"/>
    <w:basedOn w:val="Normal"/>
    <w:qFormat/>
    <w:rsid w:val="005729DD"/>
    <w:pPr>
      <w:numPr>
        <w:numId w:val="14"/>
      </w:numPr>
      <w:spacing w:after="120"/>
      <w:ind w:right="1264"/>
    </w:pPr>
  </w:style>
  <w:style w:type="character" w:styleId="EndnoteReference">
    <w:name w:val="endnote reference"/>
    <w:aliases w:val="1_G"/>
    <w:basedOn w:val="DefaultParagraphFont"/>
    <w:rsid w:val="005729D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729DD"/>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5729DD"/>
    <w:pPr>
      <w:spacing w:after="0" w:line="240" w:lineRule="exact"/>
      <w:ind w:left="0" w:right="0" w:firstLine="0"/>
      <w:outlineLvl w:val="1"/>
    </w:pPr>
    <w:rPr>
      <w:sz w:val="20"/>
    </w:rPr>
  </w:style>
  <w:style w:type="character" w:customStyle="1" w:styleId="BalloonTextChar">
    <w:name w:val="Balloon Text Char"/>
    <w:basedOn w:val="DefaultParagraphFont"/>
    <w:link w:val="BalloonText"/>
    <w:uiPriority w:val="99"/>
    <w:rsid w:val="005729DD"/>
    <w:rPr>
      <w:rFonts w:ascii="Tahoma" w:hAnsi="Tahoma" w:cs="Tahoma"/>
      <w:kern w:val="14"/>
      <w:sz w:val="16"/>
      <w:szCs w:val="16"/>
      <w:lang w:eastAsia="en-US"/>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5729DD"/>
    <w:rPr>
      <w:kern w:val="14"/>
      <w:sz w:val="17"/>
      <w:szCs w:val="24"/>
      <w:lang w:eastAsia="en-US"/>
    </w:rPr>
  </w:style>
  <w:style w:type="character" w:customStyle="1" w:styleId="EndnoteTextChar">
    <w:name w:val="Endnote Text Char"/>
    <w:aliases w:val="2_G Char"/>
    <w:basedOn w:val="DefaultParagraphFont"/>
    <w:link w:val="EndnoteText"/>
    <w:uiPriority w:val="99"/>
    <w:rsid w:val="005729DD"/>
    <w:rPr>
      <w:kern w:val="14"/>
      <w:sz w:val="17"/>
      <w:szCs w:val="24"/>
      <w:lang w:eastAsia="en-US"/>
    </w:rPr>
  </w:style>
  <w:style w:type="character" w:customStyle="1" w:styleId="Heading1Char">
    <w:name w:val="Heading 1 Char"/>
    <w:aliases w:val="Table_G Char"/>
    <w:basedOn w:val="DefaultParagraphFont"/>
    <w:link w:val="Heading1"/>
    <w:uiPriority w:val="9"/>
    <w:rsid w:val="005729DD"/>
    <w:rPr>
      <w:kern w:val="14"/>
      <w:sz w:val="24"/>
      <w:szCs w:val="24"/>
      <w:lang w:eastAsia="en-US"/>
    </w:rPr>
  </w:style>
  <w:style w:type="character" w:customStyle="1" w:styleId="Heading2Char">
    <w:name w:val="Heading 2 Char"/>
    <w:basedOn w:val="DefaultParagraphFont"/>
    <w:link w:val="Heading2"/>
    <w:uiPriority w:val="9"/>
    <w:rsid w:val="005729DD"/>
    <w:rPr>
      <w:kern w:val="14"/>
      <w:szCs w:val="28"/>
      <w:lang w:eastAsia="en-US"/>
    </w:rPr>
  </w:style>
  <w:style w:type="paragraph" w:styleId="CommentText">
    <w:name w:val="annotation text"/>
    <w:basedOn w:val="Normal"/>
    <w:link w:val="CommentTextChar"/>
    <w:rsid w:val="00680CE8"/>
    <w:pPr>
      <w:spacing w:line="240" w:lineRule="auto"/>
    </w:pPr>
    <w:rPr>
      <w:szCs w:val="20"/>
    </w:rPr>
  </w:style>
  <w:style w:type="character" w:customStyle="1" w:styleId="CommentTextChar">
    <w:name w:val="Comment Text Char"/>
    <w:basedOn w:val="DefaultParagraphFont"/>
    <w:link w:val="CommentText"/>
    <w:rsid w:val="00680CE8"/>
    <w:rPr>
      <w:kern w:val="14"/>
      <w:lang w:eastAsia="en-US"/>
    </w:rPr>
  </w:style>
  <w:style w:type="paragraph" w:styleId="CommentSubject">
    <w:name w:val="annotation subject"/>
    <w:basedOn w:val="CommentText"/>
    <w:next w:val="CommentText"/>
    <w:link w:val="CommentSubjectChar"/>
    <w:rsid w:val="00680CE8"/>
    <w:rPr>
      <w:b/>
      <w:bCs/>
    </w:rPr>
  </w:style>
  <w:style w:type="character" w:customStyle="1" w:styleId="CommentSubjectChar">
    <w:name w:val="Comment Subject Char"/>
    <w:basedOn w:val="CommentTextChar"/>
    <w:link w:val="CommentSubject"/>
    <w:rsid w:val="00680CE8"/>
    <w:rPr>
      <w:b/>
      <w:bCs/>
      <w:kern w:val="14"/>
      <w:lang w:eastAsia="en-US"/>
    </w:rPr>
  </w:style>
  <w:style w:type="character" w:customStyle="1" w:styleId="Heading4Char">
    <w:name w:val="Heading 4 Char"/>
    <w:basedOn w:val="DefaultParagraphFont"/>
    <w:link w:val="Heading4"/>
    <w:uiPriority w:val="9"/>
    <w:rsid w:val="00F32B28"/>
    <w:rPr>
      <w:rFonts w:eastAsia="Times New Roman" w:cs="Times New Roman"/>
      <w:lang w:val="en-GB" w:eastAsia="en-US"/>
    </w:rPr>
  </w:style>
  <w:style w:type="character" w:customStyle="1" w:styleId="Heading5Char">
    <w:name w:val="Heading 5 Char"/>
    <w:basedOn w:val="DefaultParagraphFont"/>
    <w:link w:val="Heading5"/>
    <w:uiPriority w:val="9"/>
    <w:rsid w:val="00F32B28"/>
    <w:rPr>
      <w:rFonts w:eastAsia="Times New Roman" w:cs="Times New Roman"/>
      <w:lang w:val="en-GB" w:eastAsia="en-US"/>
    </w:rPr>
  </w:style>
  <w:style w:type="character" w:customStyle="1" w:styleId="Heading6Char">
    <w:name w:val="Heading 6 Char"/>
    <w:basedOn w:val="DefaultParagraphFont"/>
    <w:link w:val="Heading6"/>
    <w:uiPriority w:val="9"/>
    <w:rsid w:val="00F32B28"/>
    <w:rPr>
      <w:rFonts w:eastAsia="Times New Roman" w:cs="Times New Roman"/>
      <w:lang w:val="en-GB" w:eastAsia="en-US"/>
    </w:rPr>
  </w:style>
  <w:style w:type="character" w:customStyle="1" w:styleId="Heading7Char">
    <w:name w:val="Heading 7 Char"/>
    <w:basedOn w:val="DefaultParagraphFont"/>
    <w:link w:val="Heading7"/>
    <w:uiPriority w:val="9"/>
    <w:rsid w:val="00F32B28"/>
    <w:rPr>
      <w:rFonts w:eastAsia="Times New Roman" w:cs="Times New Roman"/>
      <w:lang w:val="en-GB" w:eastAsia="en-US"/>
    </w:rPr>
  </w:style>
  <w:style w:type="character" w:customStyle="1" w:styleId="Heading8Char">
    <w:name w:val="Heading 8 Char"/>
    <w:basedOn w:val="DefaultParagraphFont"/>
    <w:link w:val="Heading8"/>
    <w:rsid w:val="00F32B28"/>
    <w:rPr>
      <w:rFonts w:eastAsia="Times New Roman" w:cs="Times New Roman"/>
      <w:lang w:val="en-GB" w:eastAsia="en-US"/>
    </w:rPr>
  </w:style>
  <w:style w:type="character" w:customStyle="1" w:styleId="Heading9Char">
    <w:name w:val="Heading 9 Char"/>
    <w:basedOn w:val="DefaultParagraphFont"/>
    <w:link w:val="Heading9"/>
    <w:rsid w:val="00F32B28"/>
    <w:rPr>
      <w:rFonts w:eastAsia="Times New Roman" w:cs="Times New Roman"/>
      <w:lang w:val="en-GB" w:eastAsia="en-US"/>
    </w:rPr>
  </w:style>
  <w:style w:type="paragraph" w:customStyle="1" w:styleId="HMG">
    <w:name w:val="_ H __M_G"/>
    <w:basedOn w:val="Normal"/>
    <w:next w:val="Normal"/>
    <w:rsid w:val="00F32B28"/>
    <w:pPr>
      <w:keepNext/>
      <w:keepLines/>
      <w:tabs>
        <w:tab w:val="right" w:pos="851"/>
      </w:tabs>
      <w:suppressAutoHyphens/>
      <w:bidi w:val="0"/>
      <w:spacing w:before="240" w:after="240"/>
      <w:ind w:left="1134" w:right="1134" w:hanging="1134"/>
      <w:jc w:val="left"/>
    </w:pPr>
    <w:rPr>
      <w:rFonts w:eastAsia="Times New Roman" w:cs="Times New Roman"/>
      <w:b/>
      <w:kern w:val="0"/>
      <w:sz w:val="34"/>
      <w:szCs w:val="20"/>
      <w:lang w:val="en-GB"/>
    </w:rPr>
  </w:style>
  <w:style w:type="paragraph" w:customStyle="1" w:styleId="HChG">
    <w:name w:val="_ H _Ch_G"/>
    <w:basedOn w:val="Normal"/>
    <w:next w:val="Normal"/>
    <w:link w:val="HChGChar"/>
    <w:rsid w:val="00F32B28"/>
    <w:pPr>
      <w:keepNext/>
      <w:keepLines/>
      <w:tabs>
        <w:tab w:val="right" w:pos="851"/>
      </w:tabs>
      <w:suppressAutoHyphens/>
      <w:bidi w:val="0"/>
      <w:spacing w:before="360" w:after="240" w:line="300" w:lineRule="exact"/>
      <w:ind w:left="1134" w:right="1134" w:hanging="1134"/>
      <w:jc w:val="left"/>
    </w:pPr>
    <w:rPr>
      <w:rFonts w:eastAsia="Times New Roman" w:cs="Times New Roman"/>
      <w:b/>
      <w:kern w:val="0"/>
      <w:sz w:val="28"/>
      <w:szCs w:val="20"/>
      <w:lang w:val="en-GB"/>
    </w:rPr>
  </w:style>
  <w:style w:type="paragraph" w:customStyle="1" w:styleId="SingleTxtG">
    <w:name w:val="_ Single Txt_G"/>
    <w:basedOn w:val="Normal"/>
    <w:rsid w:val="00F32B28"/>
    <w:pPr>
      <w:suppressAutoHyphens/>
      <w:bidi w:val="0"/>
      <w:spacing w:after="120" w:line="240" w:lineRule="atLeast"/>
      <w:ind w:left="1134" w:right="1134"/>
      <w:jc w:val="both"/>
    </w:pPr>
    <w:rPr>
      <w:rFonts w:eastAsia="Times New Roman" w:cs="Times New Roman"/>
      <w:kern w:val="0"/>
      <w:szCs w:val="20"/>
      <w:lang w:val="en-GB"/>
    </w:rPr>
  </w:style>
  <w:style w:type="character" w:styleId="PageNumber">
    <w:name w:val="page number"/>
    <w:aliases w:val="7_G"/>
    <w:rsid w:val="00F32B28"/>
    <w:rPr>
      <w:rFonts w:ascii="Times New Roman" w:hAnsi="Times New Roman"/>
      <w:b/>
      <w:sz w:val="18"/>
    </w:rPr>
  </w:style>
  <w:style w:type="paragraph" w:styleId="PlainText">
    <w:name w:val="Plain Text"/>
    <w:basedOn w:val="Normal"/>
    <w:link w:val="PlainTextChar"/>
    <w:rsid w:val="00F32B28"/>
    <w:pPr>
      <w:suppressAutoHyphens/>
      <w:bidi w:val="0"/>
      <w:spacing w:line="240" w:lineRule="atLeast"/>
      <w:jc w:val="left"/>
    </w:pPr>
    <w:rPr>
      <w:rFonts w:eastAsia="Times New Roman" w:cs="Courier New"/>
      <w:kern w:val="0"/>
      <w:szCs w:val="20"/>
      <w:lang w:val="en-GB"/>
    </w:rPr>
  </w:style>
  <w:style w:type="character" w:customStyle="1" w:styleId="PlainTextChar">
    <w:name w:val="Plain Text Char"/>
    <w:basedOn w:val="DefaultParagraphFont"/>
    <w:link w:val="PlainText"/>
    <w:rsid w:val="00F32B28"/>
    <w:rPr>
      <w:rFonts w:eastAsia="Times New Roman" w:cs="Courier New"/>
      <w:lang w:val="en-GB" w:eastAsia="en-US"/>
    </w:rPr>
  </w:style>
  <w:style w:type="paragraph" w:styleId="BodyText">
    <w:name w:val="Body Text"/>
    <w:basedOn w:val="Normal"/>
    <w:next w:val="Normal"/>
    <w:link w:val="BodyTextChar"/>
    <w:rsid w:val="00F32B28"/>
    <w:pPr>
      <w:suppressAutoHyphens/>
      <w:bidi w:val="0"/>
      <w:spacing w:line="240" w:lineRule="atLeast"/>
      <w:jc w:val="left"/>
    </w:pPr>
    <w:rPr>
      <w:rFonts w:eastAsia="Times New Roman" w:cs="Times New Roman"/>
      <w:kern w:val="0"/>
      <w:szCs w:val="20"/>
      <w:lang w:val="en-GB"/>
    </w:rPr>
  </w:style>
  <w:style w:type="character" w:customStyle="1" w:styleId="BodyTextChar">
    <w:name w:val="Body Text Char"/>
    <w:basedOn w:val="DefaultParagraphFont"/>
    <w:link w:val="BodyText"/>
    <w:rsid w:val="00F32B28"/>
    <w:rPr>
      <w:rFonts w:eastAsia="Times New Roman" w:cs="Times New Roman"/>
      <w:lang w:val="en-GB" w:eastAsia="en-US"/>
    </w:rPr>
  </w:style>
  <w:style w:type="paragraph" w:styleId="BodyTextIndent">
    <w:name w:val="Body Text Indent"/>
    <w:basedOn w:val="Normal"/>
    <w:link w:val="BodyTextIndentChar"/>
    <w:rsid w:val="00F32B28"/>
    <w:pPr>
      <w:suppressAutoHyphens/>
      <w:bidi w:val="0"/>
      <w:spacing w:after="120" w:line="240" w:lineRule="atLeast"/>
      <w:ind w:left="283"/>
      <w:jc w:val="left"/>
    </w:pPr>
    <w:rPr>
      <w:rFonts w:eastAsia="Times New Roman" w:cs="Times New Roman"/>
      <w:kern w:val="0"/>
      <w:szCs w:val="20"/>
      <w:lang w:val="en-GB"/>
    </w:rPr>
  </w:style>
  <w:style w:type="character" w:customStyle="1" w:styleId="BodyTextIndentChar">
    <w:name w:val="Body Text Indent Char"/>
    <w:basedOn w:val="DefaultParagraphFont"/>
    <w:link w:val="BodyTextIndent"/>
    <w:rsid w:val="00F32B28"/>
    <w:rPr>
      <w:rFonts w:eastAsia="Times New Roman" w:cs="Times New Roman"/>
      <w:lang w:val="en-GB" w:eastAsia="en-US"/>
    </w:rPr>
  </w:style>
  <w:style w:type="paragraph" w:styleId="BlockText">
    <w:name w:val="Block Text"/>
    <w:basedOn w:val="Normal"/>
    <w:rsid w:val="00F32B28"/>
    <w:pPr>
      <w:suppressAutoHyphens/>
      <w:bidi w:val="0"/>
      <w:spacing w:line="240" w:lineRule="atLeast"/>
      <w:ind w:left="1440" w:right="1440"/>
      <w:jc w:val="left"/>
    </w:pPr>
    <w:rPr>
      <w:rFonts w:eastAsia="Times New Roman" w:cs="Times New Roman"/>
      <w:kern w:val="0"/>
      <w:szCs w:val="20"/>
      <w:lang w:val="en-GB"/>
    </w:rPr>
  </w:style>
  <w:style w:type="paragraph" w:customStyle="1" w:styleId="SMG">
    <w:name w:val="__S_M_G"/>
    <w:basedOn w:val="Normal"/>
    <w:next w:val="Normal"/>
    <w:rsid w:val="00F32B28"/>
    <w:pPr>
      <w:keepNext/>
      <w:keepLines/>
      <w:suppressAutoHyphens/>
      <w:bidi w:val="0"/>
      <w:spacing w:before="240" w:after="240" w:line="420" w:lineRule="exact"/>
      <w:ind w:left="1134" w:right="1134"/>
      <w:jc w:val="left"/>
    </w:pPr>
    <w:rPr>
      <w:rFonts w:eastAsia="Times New Roman" w:cs="Times New Roman"/>
      <w:b/>
      <w:kern w:val="0"/>
      <w:sz w:val="40"/>
      <w:szCs w:val="20"/>
      <w:lang w:val="en-GB"/>
    </w:rPr>
  </w:style>
  <w:style w:type="paragraph" w:customStyle="1" w:styleId="SLG">
    <w:name w:val="__S_L_G"/>
    <w:basedOn w:val="Normal"/>
    <w:next w:val="Normal"/>
    <w:rsid w:val="00F32B28"/>
    <w:pPr>
      <w:keepNext/>
      <w:keepLines/>
      <w:suppressAutoHyphens/>
      <w:bidi w:val="0"/>
      <w:spacing w:before="240" w:after="240" w:line="580" w:lineRule="exact"/>
      <w:ind w:left="1134" w:right="1134"/>
      <w:jc w:val="left"/>
    </w:pPr>
    <w:rPr>
      <w:rFonts w:eastAsia="Times New Roman" w:cs="Times New Roman"/>
      <w:b/>
      <w:kern w:val="0"/>
      <w:sz w:val="56"/>
      <w:szCs w:val="20"/>
      <w:lang w:val="en-GB"/>
    </w:rPr>
  </w:style>
  <w:style w:type="paragraph" w:customStyle="1" w:styleId="SSG">
    <w:name w:val="__S_S_G"/>
    <w:basedOn w:val="Normal"/>
    <w:next w:val="Normal"/>
    <w:rsid w:val="00F32B28"/>
    <w:pPr>
      <w:keepNext/>
      <w:keepLines/>
      <w:suppressAutoHyphens/>
      <w:bidi w:val="0"/>
      <w:spacing w:before="240" w:after="240" w:line="300" w:lineRule="exact"/>
      <w:ind w:left="1134" w:right="1134"/>
      <w:jc w:val="left"/>
    </w:pPr>
    <w:rPr>
      <w:rFonts w:eastAsia="Times New Roman" w:cs="Times New Roman"/>
      <w:b/>
      <w:kern w:val="0"/>
      <w:sz w:val="28"/>
      <w:szCs w:val="20"/>
      <w:lang w:val="en-GB"/>
    </w:rPr>
  </w:style>
  <w:style w:type="paragraph" w:customStyle="1" w:styleId="XLargeG">
    <w:name w:val="__XLarge_G"/>
    <w:basedOn w:val="Normal"/>
    <w:next w:val="Normal"/>
    <w:rsid w:val="00F32B28"/>
    <w:pPr>
      <w:keepNext/>
      <w:keepLines/>
      <w:suppressAutoHyphens/>
      <w:bidi w:val="0"/>
      <w:spacing w:before="240" w:after="240" w:line="420" w:lineRule="exact"/>
      <w:ind w:left="1134" w:right="1134"/>
      <w:jc w:val="left"/>
    </w:pPr>
    <w:rPr>
      <w:rFonts w:eastAsia="Times New Roman" w:cs="Times New Roman"/>
      <w:b/>
      <w:kern w:val="0"/>
      <w:sz w:val="40"/>
      <w:szCs w:val="20"/>
      <w:lang w:val="en-GB"/>
    </w:rPr>
  </w:style>
  <w:style w:type="paragraph" w:customStyle="1" w:styleId="Bullet1G">
    <w:name w:val="_Bullet 1_G"/>
    <w:basedOn w:val="Normal"/>
    <w:rsid w:val="00F32B28"/>
    <w:pPr>
      <w:numPr>
        <w:numId w:val="29"/>
      </w:numPr>
      <w:suppressAutoHyphens/>
      <w:bidi w:val="0"/>
      <w:spacing w:after="120" w:line="240" w:lineRule="atLeast"/>
      <w:ind w:right="1134"/>
      <w:jc w:val="both"/>
    </w:pPr>
    <w:rPr>
      <w:rFonts w:eastAsia="Times New Roman" w:cs="Times New Roman"/>
      <w:kern w:val="0"/>
      <w:szCs w:val="20"/>
      <w:lang w:val="en-GB"/>
    </w:rPr>
  </w:style>
  <w:style w:type="paragraph" w:customStyle="1" w:styleId="Bullet2G">
    <w:name w:val="_Bullet 2_G"/>
    <w:basedOn w:val="Normal"/>
    <w:rsid w:val="00F32B28"/>
    <w:pPr>
      <w:numPr>
        <w:numId w:val="30"/>
      </w:numPr>
      <w:suppressAutoHyphens/>
      <w:bidi w:val="0"/>
      <w:spacing w:after="120" w:line="240" w:lineRule="atLeast"/>
      <w:ind w:right="1134"/>
      <w:jc w:val="both"/>
    </w:pPr>
    <w:rPr>
      <w:rFonts w:eastAsia="Times New Roman" w:cs="Times New Roman"/>
      <w:kern w:val="0"/>
      <w:szCs w:val="20"/>
      <w:lang w:val="en-GB"/>
    </w:rPr>
  </w:style>
  <w:style w:type="paragraph" w:customStyle="1" w:styleId="H1G">
    <w:name w:val="_ H_1_G"/>
    <w:basedOn w:val="Normal"/>
    <w:next w:val="Normal"/>
    <w:rsid w:val="00F32B28"/>
    <w:pPr>
      <w:keepNext/>
      <w:keepLines/>
      <w:tabs>
        <w:tab w:val="right" w:pos="851"/>
      </w:tabs>
      <w:suppressAutoHyphens/>
      <w:bidi w:val="0"/>
      <w:spacing w:before="360" w:after="240" w:line="270" w:lineRule="exact"/>
      <w:ind w:left="1134" w:right="1134" w:hanging="1134"/>
      <w:jc w:val="left"/>
    </w:pPr>
    <w:rPr>
      <w:rFonts w:eastAsia="Times New Roman" w:cs="Times New Roman"/>
      <w:b/>
      <w:kern w:val="0"/>
      <w:sz w:val="24"/>
      <w:szCs w:val="20"/>
      <w:lang w:val="en-GB"/>
    </w:rPr>
  </w:style>
  <w:style w:type="paragraph" w:customStyle="1" w:styleId="H23G">
    <w:name w:val="_ H_2/3_G"/>
    <w:basedOn w:val="Normal"/>
    <w:next w:val="Normal"/>
    <w:rsid w:val="00F32B28"/>
    <w:pPr>
      <w:keepNext/>
      <w:keepLines/>
      <w:tabs>
        <w:tab w:val="right" w:pos="851"/>
      </w:tabs>
      <w:suppressAutoHyphens/>
      <w:bidi w:val="0"/>
      <w:spacing w:before="240" w:after="120" w:line="240" w:lineRule="exact"/>
      <w:ind w:left="1134" w:right="1134" w:hanging="1134"/>
      <w:jc w:val="left"/>
    </w:pPr>
    <w:rPr>
      <w:rFonts w:eastAsia="Times New Roman" w:cs="Times New Roman"/>
      <w:b/>
      <w:kern w:val="0"/>
      <w:szCs w:val="20"/>
      <w:lang w:val="en-GB"/>
    </w:rPr>
  </w:style>
  <w:style w:type="paragraph" w:customStyle="1" w:styleId="H4G">
    <w:name w:val="_ H_4_G"/>
    <w:basedOn w:val="Normal"/>
    <w:next w:val="Normal"/>
    <w:rsid w:val="00F32B28"/>
    <w:pPr>
      <w:keepNext/>
      <w:keepLines/>
      <w:tabs>
        <w:tab w:val="right" w:pos="851"/>
      </w:tabs>
      <w:suppressAutoHyphens/>
      <w:bidi w:val="0"/>
      <w:spacing w:before="240" w:after="120" w:line="240" w:lineRule="exact"/>
      <w:ind w:left="1134" w:right="1134" w:hanging="1134"/>
      <w:jc w:val="left"/>
    </w:pPr>
    <w:rPr>
      <w:rFonts w:eastAsia="Times New Roman" w:cs="Times New Roman"/>
      <w:i/>
      <w:kern w:val="0"/>
      <w:szCs w:val="20"/>
      <w:lang w:val="en-GB"/>
    </w:rPr>
  </w:style>
  <w:style w:type="paragraph" w:customStyle="1" w:styleId="H56G">
    <w:name w:val="_ H_5/6_G"/>
    <w:basedOn w:val="Normal"/>
    <w:next w:val="Normal"/>
    <w:rsid w:val="00F32B28"/>
    <w:pPr>
      <w:keepNext/>
      <w:keepLines/>
      <w:tabs>
        <w:tab w:val="right" w:pos="851"/>
      </w:tabs>
      <w:suppressAutoHyphens/>
      <w:bidi w:val="0"/>
      <w:spacing w:before="240" w:after="120" w:line="240" w:lineRule="exact"/>
      <w:ind w:left="1134" w:right="1134" w:hanging="1134"/>
      <w:jc w:val="left"/>
    </w:pPr>
    <w:rPr>
      <w:rFonts w:eastAsia="Times New Roman" w:cs="Times New Roman"/>
      <w:kern w:val="0"/>
      <w:szCs w:val="20"/>
      <w:lang w:val="en-GB"/>
    </w:rPr>
  </w:style>
  <w:style w:type="numbering" w:styleId="111111">
    <w:name w:val="Outline List 2"/>
    <w:basedOn w:val="NoList"/>
    <w:rsid w:val="00F32B28"/>
    <w:pPr>
      <w:numPr>
        <w:numId w:val="26"/>
      </w:numPr>
    </w:pPr>
  </w:style>
  <w:style w:type="numbering" w:styleId="1ai">
    <w:name w:val="Outline List 1"/>
    <w:basedOn w:val="NoList"/>
    <w:rsid w:val="00F32B28"/>
    <w:pPr>
      <w:numPr>
        <w:numId w:val="27"/>
      </w:numPr>
    </w:pPr>
  </w:style>
  <w:style w:type="numbering" w:styleId="ArticleSection">
    <w:name w:val="Outline List 3"/>
    <w:basedOn w:val="NoList"/>
    <w:rsid w:val="00F32B28"/>
    <w:pPr>
      <w:numPr>
        <w:numId w:val="28"/>
      </w:numPr>
    </w:pPr>
  </w:style>
  <w:style w:type="paragraph" w:styleId="BodyText2">
    <w:name w:val="Body Text 2"/>
    <w:basedOn w:val="Normal"/>
    <w:link w:val="BodyText2Char"/>
    <w:rsid w:val="00F32B28"/>
    <w:pPr>
      <w:suppressAutoHyphens/>
      <w:bidi w:val="0"/>
      <w:spacing w:after="120" w:line="480" w:lineRule="auto"/>
      <w:jc w:val="left"/>
    </w:pPr>
    <w:rPr>
      <w:rFonts w:eastAsia="Times New Roman" w:cs="Times New Roman"/>
      <w:kern w:val="0"/>
      <w:szCs w:val="20"/>
      <w:lang w:val="en-GB"/>
    </w:rPr>
  </w:style>
  <w:style w:type="character" w:customStyle="1" w:styleId="BodyText2Char">
    <w:name w:val="Body Text 2 Char"/>
    <w:basedOn w:val="DefaultParagraphFont"/>
    <w:link w:val="BodyText2"/>
    <w:rsid w:val="00F32B28"/>
    <w:rPr>
      <w:rFonts w:eastAsia="Times New Roman" w:cs="Times New Roman"/>
      <w:lang w:val="en-GB" w:eastAsia="en-US"/>
    </w:rPr>
  </w:style>
  <w:style w:type="paragraph" w:styleId="BodyText3">
    <w:name w:val="Body Text 3"/>
    <w:basedOn w:val="Normal"/>
    <w:link w:val="BodyText3Char"/>
    <w:rsid w:val="00F32B28"/>
    <w:pPr>
      <w:suppressAutoHyphens/>
      <w:bidi w:val="0"/>
      <w:spacing w:after="120" w:line="240" w:lineRule="atLeast"/>
      <w:jc w:val="left"/>
    </w:pPr>
    <w:rPr>
      <w:rFonts w:eastAsia="Times New Roman" w:cs="Times New Roman"/>
      <w:kern w:val="0"/>
      <w:sz w:val="16"/>
      <w:szCs w:val="16"/>
      <w:lang w:val="en-GB"/>
    </w:rPr>
  </w:style>
  <w:style w:type="character" w:customStyle="1" w:styleId="BodyText3Char">
    <w:name w:val="Body Text 3 Char"/>
    <w:basedOn w:val="DefaultParagraphFont"/>
    <w:link w:val="BodyText3"/>
    <w:rsid w:val="00F32B28"/>
    <w:rPr>
      <w:rFonts w:eastAsia="Times New Roman" w:cs="Times New Roman"/>
      <w:sz w:val="16"/>
      <w:szCs w:val="16"/>
      <w:lang w:val="en-GB" w:eastAsia="en-US"/>
    </w:rPr>
  </w:style>
  <w:style w:type="paragraph" w:styleId="BodyTextFirstIndent">
    <w:name w:val="Body Text First Indent"/>
    <w:basedOn w:val="BodyText"/>
    <w:link w:val="BodyTextFirstIndentChar"/>
    <w:rsid w:val="00F32B28"/>
    <w:pPr>
      <w:spacing w:after="120"/>
      <w:ind w:firstLine="210"/>
    </w:pPr>
  </w:style>
  <w:style w:type="character" w:customStyle="1" w:styleId="BodyTextFirstIndentChar">
    <w:name w:val="Body Text First Indent Char"/>
    <w:basedOn w:val="BodyTextChar"/>
    <w:link w:val="BodyTextFirstIndent"/>
    <w:rsid w:val="00F32B28"/>
    <w:rPr>
      <w:rFonts w:eastAsia="Times New Roman" w:cs="Times New Roman"/>
      <w:lang w:val="en-GB" w:eastAsia="en-US"/>
    </w:rPr>
  </w:style>
  <w:style w:type="paragraph" w:styleId="BodyTextFirstIndent2">
    <w:name w:val="Body Text First Indent 2"/>
    <w:basedOn w:val="BodyTextIndent"/>
    <w:link w:val="BodyTextFirstIndent2Char"/>
    <w:rsid w:val="00F32B28"/>
    <w:pPr>
      <w:ind w:firstLine="210"/>
    </w:pPr>
  </w:style>
  <w:style w:type="character" w:customStyle="1" w:styleId="BodyTextFirstIndent2Char">
    <w:name w:val="Body Text First Indent 2 Char"/>
    <w:basedOn w:val="BodyTextIndentChar"/>
    <w:link w:val="BodyTextFirstIndent2"/>
    <w:rsid w:val="00F32B28"/>
    <w:rPr>
      <w:rFonts w:eastAsia="Times New Roman" w:cs="Times New Roman"/>
      <w:lang w:val="en-GB" w:eastAsia="en-US"/>
    </w:rPr>
  </w:style>
  <w:style w:type="paragraph" w:styleId="BodyTextIndent2">
    <w:name w:val="Body Text Indent 2"/>
    <w:basedOn w:val="Normal"/>
    <w:link w:val="BodyTextIndent2Char"/>
    <w:rsid w:val="00F32B28"/>
    <w:pPr>
      <w:suppressAutoHyphens/>
      <w:bidi w:val="0"/>
      <w:spacing w:after="120" w:line="480" w:lineRule="auto"/>
      <w:ind w:left="283"/>
      <w:jc w:val="left"/>
    </w:pPr>
    <w:rPr>
      <w:rFonts w:eastAsia="Times New Roman" w:cs="Times New Roman"/>
      <w:kern w:val="0"/>
      <w:szCs w:val="20"/>
      <w:lang w:val="en-GB"/>
    </w:rPr>
  </w:style>
  <w:style w:type="character" w:customStyle="1" w:styleId="BodyTextIndent2Char">
    <w:name w:val="Body Text Indent 2 Char"/>
    <w:basedOn w:val="DefaultParagraphFont"/>
    <w:link w:val="BodyTextIndent2"/>
    <w:rsid w:val="00F32B28"/>
    <w:rPr>
      <w:rFonts w:eastAsia="Times New Roman" w:cs="Times New Roman"/>
      <w:lang w:val="en-GB" w:eastAsia="en-US"/>
    </w:rPr>
  </w:style>
  <w:style w:type="paragraph" w:styleId="BodyTextIndent3">
    <w:name w:val="Body Text Indent 3"/>
    <w:basedOn w:val="Normal"/>
    <w:link w:val="BodyTextIndent3Char"/>
    <w:rsid w:val="00F32B28"/>
    <w:pPr>
      <w:suppressAutoHyphens/>
      <w:bidi w:val="0"/>
      <w:spacing w:after="120" w:line="240" w:lineRule="atLeast"/>
      <w:ind w:left="283"/>
      <w:jc w:val="left"/>
    </w:pPr>
    <w:rPr>
      <w:rFonts w:eastAsia="Times New Roman" w:cs="Times New Roman"/>
      <w:kern w:val="0"/>
      <w:sz w:val="16"/>
      <w:szCs w:val="16"/>
      <w:lang w:val="en-GB"/>
    </w:rPr>
  </w:style>
  <w:style w:type="character" w:customStyle="1" w:styleId="BodyTextIndent3Char">
    <w:name w:val="Body Text Indent 3 Char"/>
    <w:basedOn w:val="DefaultParagraphFont"/>
    <w:link w:val="BodyTextIndent3"/>
    <w:rsid w:val="00F32B28"/>
    <w:rPr>
      <w:rFonts w:eastAsia="Times New Roman" w:cs="Times New Roman"/>
      <w:sz w:val="16"/>
      <w:szCs w:val="16"/>
      <w:lang w:val="en-GB" w:eastAsia="en-US"/>
    </w:rPr>
  </w:style>
  <w:style w:type="paragraph" w:styleId="Closing">
    <w:name w:val="Closing"/>
    <w:basedOn w:val="Normal"/>
    <w:link w:val="ClosingChar"/>
    <w:rsid w:val="00F32B28"/>
    <w:pPr>
      <w:suppressAutoHyphens/>
      <w:bidi w:val="0"/>
      <w:spacing w:line="240" w:lineRule="atLeast"/>
      <w:ind w:left="4252"/>
      <w:jc w:val="left"/>
    </w:pPr>
    <w:rPr>
      <w:rFonts w:eastAsia="Times New Roman" w:cs="Times New Roman"/>
      <w:kern w:val="0"/>
      <w:szCs w:val="20"/>
      <w:lang w:val="en-GB"/>
    </w:rPr>
  </w:style>
  <w:style w:type="character" w:customStyle="1" w:styleId="ClosingChar">
    <w:name w:val="Closing Char"/>
    <w:basedOn w:val="DefaultParagraphFont"/>
    <w:link w:val="Closing"/>
    <w:rsid w:val="00F32B28"/>
    <w:rPr>
      <w:rFonts w:eastAsia="Times New Roman" w:cs="Times New Roman"/>
      <w:lang w:val="en-GB" w:eastAsia="en-US"/>
    </w:rPr>
  </w:style>
  <w:style w:type="paragraph" w:styleId="Date">
    <w:name w:val="Date"/>
    <w:basedOn w:val="Normal"/>
    <w:next w:val="Normal"/>
    <w:link w:val="DateChar"/>
    <w:rsid w:val="00F32B28"/>
    <w:pPr>
      <w:suppressAutoHyphens/>
      <w:bidi w:val="0"/>
      <w:spacing w:line="240" w:lineRule="atLeast"/>
      <w:jc w:val="left"/>
    </w:pPr>
    <w:rPr>
      <w:rFonts w:eastAsia="Times New Roman" w:cs="Times New Roman"/>
      <w:kern w:val="0"/>
      <w:szCs w:val="20"/>
      <w:lang w:val="en-GB"/>
    </w:rPr>
  </w:style>
  <w:style w:type="character" w:customStyle="1" w:styleId="DateChar">
    <w:name w:val="Date Char"/>
    <w:basedOn w:val="DefaultParagraphFont"/>
    <w:link w:val="Date"/>
    <w:rsid w:val="00F32B28"/>
    <w:rPr>
      <w:rFonts w:eastAsia="Times New Roman" w:cs="Times New Roman"/>
      <w:lang w:val="en-GB" w:eastAsia="en-US"/>
    </w:rPr>
  </w:style>
  <w:style w:type="paragraph" w:styleId="E-mailSignature">
    <w:name w:val="E-mail Signature"/>
    <w:basedOn w:val="Normal"/>
    <w:link w:val="E-mailSignatureChar"/>
    <w:rsid w:val="00F32B28"/>
    <w:pPr>
      <w:suppressAutoHyphens/>
      <w:bidi w:val="0"/>
      <w:spacing w:line="240" w:lineRule="atLeast"/>
      <w:jc w:val="left"/>
    </w:pPr>
    <w:rPr>
      <w:rFonts w:eastAsia="Times New Roman" w:cs="Times New Roman"/>
      <w:kern w:val="0"/>
      <w:szCs w:val="20"/>
      <w:lang w:val="en-GB"/>
    </w:rPr>
  </w:style>
  <w:style w:type="character" w:customStyle="1" w:styleId="E-mailSignatureChar">
    <w:name w:val="E-mail Signature Char"/>
    <w:basedOn w:val="DefaultParagraphFont"/>
    <w:link w:val="E-mailSignature"/>
    <w:rsid w:val="00F32B28"/>
    <w:rPr>
      <w:rFonts w:eastAsia="Times New Roman" w:cs="Times New Roman"/>
      <w:lang w:val="en-GB" w:eastAsia="en-US"/>
    </w:rPr>
  </w:style>
  <w:style w:type="character" w:styleId="Emphasis">
    <w:name w:val="Emphasis"/>
    <w:uiPriority w:val="20"/>
    <w:qFormat/>
    <w:rsid w:val="00F32B28"/>
    <w:rPr>
      <w:i/>
      <w:iCs/>
    </w:rPr>
  </w:style>
  <w:style w:type="paragraph" w:styleId="EnvelopeReturn">
    <w:name w:val="envelope return"/>
    <w:basedOn w:val="Normal"/>
    <w:rsid w:val="00F32B28"/>
    <w:pPr>
      <w:suppressAutoHyphens/>
      <w:bidi w:val="0"/>
      <w:spacing w:line="240" w:lineRule="atLeast"/>
      <w:jc w:val="left"/>
    </w:pPr>
    <w:rPr>
      <w:rFonts w:ascii="Arial" w:eastAsia="Times New Roman" w:hAnsi="Arial" w:cs="Arial"/>
      <w:kern w:val="0"/>
      <w:szCs w:val="20"/>
      <w:lang w:val="en-GB"/>
    </w:rPr>
  </w:style>
  <w:style w:type="character" w:styleId="HTMLAcronym">
    <w:name w:val="HTML Acronym"/>
    <w:basedOn w:val="DefaultParagraphFont"/>
    <w:rsid w:val="00F32B28"/>
  </w:style>
  <w:style w:type="paragraph" w:styleId="HTMLAddress">
    <w:name w:val="HTML Address"/>
    <w:basedOn w:val="Normal"/>
    <w:link w:val="HTMLAddressChar"/>
    <w:rsid w:val="00F32B28"/>
    <w:pPr>
      <w:suppressAutoHyphens/>
      <w:bidi w:val="0"/>
      <w:spacing w:line="240" w:lineRule="atLeast"/>
      <w:jc w:val="left"/>
    </w:pPr>
    <w:rPr>
      <w:rFonts w:eastAsia="Times New Roman" w:cs="Times New Roman"/>
      <w:i/>
      <w:iCs/>
      <w:kern w:val="0"/>
      <w:szCs w:val="20"/>
      <w:lang w:val="en-GB"/>
    </w:rPr>
  </w:style>
  <w:style w:type="character" w:customStyle="1" w:styleId="HTMLAddressChar">
    <w:name w:val="HTML Address Char"/>
    <w:basedOn w:val="DefaultParagraphFont"/>
    <w:link w:val="HTMLAddress"/>
    <w:rsid w:val="00F32B28"/>
    <w:rPr>
      <w:rFonts w:eastAsia="Times New Roman" w:cs="Times New Roman"/>
      <w:i/>
      <w:iCs/>
      <w:lang w:val="en-GB" w:eastAsia="en-US"/>
    </w:rPr>
  </w:style>
  <w:style w:type="character" w:styleId="HTMLCite">
    <w:name w:val="HTML Cite"/>
    <w:rsid w:val="00F32B28"/>
    <w:rPr>
      <w:i/>
      <w:iCs/>
    </w:rPr>
  </w:style>
  <w:style w:type="character" w:styleId="HTMLCode">
    <w:name w:val="HTML Code"/>
    <w:rsid w:val="00F32B28"/>
    <w:rPr>
      <w:rFonts w:ascii="Courier New" w:hAnsi="Courier New" w:cs="Courier New"/>
      <w:sz w:val="20"/>
      <w:szCs w:val="20"/>
    </w:rPr>
  </w:style>
  <w:style w:type="character" w:styleId="HTMLDefinition">
    <w:name w:val="HTML Definition"/>
    <w:rsid w:val="00F32B28"/>
    <w:rPr>
      <w:i/>
      <w:iCs/>
    </w:rPr>
  </w:style>
  <w:style w:type="character" w:styleId="HTMLKeyboard">
    <w:name w:val="HTML Keyboard"/>
    <w:rsid w:val="00F32B28"/>
    <w:rPr>
      <w:rFonts w:ascii="Courier New" w:hAnsi="Courier New" w:cs="Courier New"/>
      <w:sz w:val="20"/>
      <w:szCs w:val="20"/>
    </w:rPr>
  </w:style>
  <w:style w:type="paragraph" w:styleId="HTMLPreformatted">
    <w:name w:val="HTML Preformatted"/>
    <w:basedOn w:val="Normal"/>
    <w:link w:val="HTMLPreformattedChar"/>
    <w:rsid w:val="00F32B28"/>
    <w:pPr>
      <w:suppressAutoHyphens/>
      <w:bidi w:val="0"/>
      <w:spacing w:line="240" w:lineRule="atLeast"/>
      <w:jc w:val="left"/>
    </w:pPr>
    <w:rPr>
      <w:rFonts w:ascii="Courier New" w:eastAsia="Times New Roman" w:hAnsi="Courier New" w:cs="Courier New"/>
      <w:kern w:val="0"/>
      <w:szCs w:val="20"/>
      <w:lang w:val="en-GB"/>
    </w:rPr>
  </w:style>
  <w:style w:type="character" w:customStyle="1" w:styleId="HTMLPreformattedChar">
    <w:name w:val="HTML Preformatted Char"/>
    <w:basedOn w:val="DefaultParagraphFont"/>
    <w:link w:val="HTMLPreformatted"/>
    <w:rsid w:val="00F32B28"/>
    <w:rPr>
      <w:rFonts w:ascii="Courier New" w:eastAsia="Times New Roman" w:hAnsi="Courier New" w:cs="Courier New"/>
      <w:lang w:val="en-GB" w:eastAsia="en-US"/>
    </w:rPr>
  </w:style>
  <w:style w:type="character" w:styleId="HTMLSample">
    <w:name w:val="HTML Sample"/>
    <w:rsid w:val="00F32B28"/>
    <w:rPr>
      <w:rFonts w:ascii="Courier New" w:hAnsi="Courier New" w:cs="Courier New"/>
    </w:rPr>
  </w:style>
  <w:style w:type="character" w:styleId="HTMLTypewriter">
    <w:name w:val="HTML Typewriter"/>
    <w:rsid w:val="00F32B28"/>
    <w:rPr>
      <w:rFonts w:ascii="Courier New" w:hAnsi="Courier New" w:cs="Courier New"/>
      <w:sz w:val="20"/>
      <w:szCs w:val="20"/>
    </w:rPr>
  </w:style>
  <w:style w:type="character" w:styleId="HTMLVariable">
    <w:name w:val="HTML Variable"/>
    <w:rsid w:val="00F32B28"/>
    <w:rPr>
      <w:i/>
      <w:iCs/>
    </w:rPr>
  </w:style>
  <w:style w:type="paragraph" w:styleId="List">
    <w:name w:val="List"/>
    <w:basedOn w:val="Normal"/>
    <w:rsid w:val="00F32B28"/>
    <w:pPr>
      <w:suppressAutoHyphens/>
      <w:bidi w:val="0"/>
      <w:spacing w:line="240" w:lineRule="atLeast"/>
      <w:ind w:left="283" w:hanging="283"/>
      <w:jc w:val="left"/>
    </w:pPr>
    <w:rPr>
      <w:rFonts w:eastAsia="Times New Roman" w:cs="Times New Roman"/>
      <w:kern w:val="0"/>
      <w:szCs w:val="20"/>
      <w:lang w:val="en-GB"/>
    </w:rPr>
  </w:style>
  <w:style w:type="paragraph" w:styleId="List2">
    <w:name w:val="List 2"/>
    <w:basedOn w:val="Normal"/>
    <w:rsid w:val="00F32B28"/>
    <w:pPr>
      <w:suppressAutoHyphens/>
      <w:bidi w:val="0"/>
      <w:spacing w:line="240" w:lineRule="atLeast"/>
      <w:ind w:left="566" w:hanging="283"/>
      <w:jc w:val="left"/>
    </w:pPr>
    <w:rPr>
      <w:rFonts w:eastAsia="Times New Roman" w:cs="Times New Roman"/>
      <w:kern w:val="0"/>
      <w:szCs w:val="20"/>
      <w:lang w:val="en-GB"/>
    </w:rPr>
  </w:style>
  <w:style w:type="paragraph" w:styleId="List3">
    <w:name w:val="List 3"/>
    <w:basedOn w:val="Normal"/>
    <w:rsid w:val="00F32B28"/>
    <w:pPr>
      <w:suppressAutoHyphens/>
      <w:bidi w:val="0"/>
      <w:spacing w:line="240" w:lineRule="atLeast"/>
      <w:ind w:left="849" w:hanging="283"/>
      <w:jc w:val="left"/>
    </w:pPr>
    <w:rPr>
      <w:rFonts w:eastAsia="Times New Roman" w:cs="Times New Roman"/>
      <w:kern w:val="0"/>
      <w:szCs w:val="20"/>
      <w:lang w:val="en-GB"/>
    </w:rPr>
  </w:style>
  <w:style w:type="paragraph" w:styleId="List4">
    <w:name w:val="List 4"/>
    <w:basedOn w:val="Normal"/>
    <w:rsid w:val="00F32B28"/>
    <w:pPr>
      <w:suppressAutoHyphens/>
      <w:bidi w:val="0"/>
      <w:spacing w:line="240" w:lineRule="atLeast"/>
      <w:ind w:left="1132" w:hanging="283"/>
      <w:jc w:val="left"/>
    </w:pPr>
    <w:rPr>
      <w:rFonts w:eastAsia="Times New Roman" w:cs="Times New Roman"/>
      <w:kern w:val="0"/>
      <w:szCs w:val="20"/>
      <w:lang w:val="en-GB"/>
    </w:rPr>
  </w:style>
  <w:style w:type="paragraph" w:styleId="List5">
    <w:name w:val="List 5"/>
    <w:basedOn w:val="Normal"/>
    <w:rsid w:val="00F32B28"/>
    <w:pPr>
      <w:suppressAutoHyphens/>
      <w:bidi w:val="0"/>
      <w:spacing w:line="240" w:lineRule="atLeast"/>
      <w:ind w:left="1415" w:hanging="283"/>
      <w:jc w:val="left"/>
    </w:pPr>
    <w:rPr>
      <w:rFonts w:eastAsia="Times New Roman" w:cs="Times New Roman"/>
      <w:kern w:val="0"/>
      <w:szCs w:val="20"/>
      <w:lang w:val="en-GB"/>
    </w:rPr>
  </w:style>
  <w:style w:type="paragraph" w:styleId="ListBullet">
    <w:name w:val="List Bullet"/>
    <w:basedOn w:val="Normal"/>
    <w:rsid w:val="00F32B28"/>
    <w:pPr>
      <w:numPr>
        <w:numId w:val="21"/>
      </w:numPr>
      <w:suppressAutoHyphens/>
      <w:bidi w:val="0"/>
      <w:spacing w:line="240" w:lineRule="atLeast"/>
      <w:jc w:val="left"/>
    </w:pPr>
    <w:rPr>
      <w:rFonts w:eastAsia="Times New Roman" w:cs="Times New Roman"/>
      <w:kern w:val="0"/>
      <w:szCs w:val="20"/>
      <w:lang w:val="en-GB"/>
    </w:rPr>
  </w:style>
  <w:style w:type="paragraph" w:styleId="ListBullet2">
    <w:name w:val="List Bullet 2"/>
    <w:basedOn w:val="Normal"/>
    <w:rsid w:val="00F32B28"/>
    <w:pPr>
      <w:numPr>
        <w:numId w:val="22"/>
      </w:numPr>
      <w:suppressAutoHyphens/>
      <w:bidi w:val="0"/>
      <w:spacing w:line="240" w:lineRule="atLeast"/>
      <w:jc w:val="left"/>
    </w:pPr>
    <w:rPr>
      <w:rFonts w:eastAsia="Times New Roman" w:cs="Times New Roman"/>
      <w:kern w:val="0"/>
      <w:szCs w:val="20"/>
      <w:lang w:val="en-GB"/>
    </w:rPr>
  </w:style>
  <w:style w:type="paragraph" w:styleId="ListBullet3">
    <w:name w:val="List Bullet 3"/>
    <w:basedOn w:val="Normal"/>
    <w:rsid w:val="00F32B28"/>
    <w:pPr>
      <w:numPr>
        <w:numId w:val="23"/>
      </w:numPr>
      <w:suppressAutoHyphens/>
      <w:bidi w:val="0"/>
      <w:spacing w:line="240" w:lineRule="atLeast"/>
      <w:jc w:val="left"/>
    </w:pPr>
    <w:rPr>
      <w:rFonts w:eastAsia="Times New Roman" w:cs="Times New Roman"/>
      <w:kern w:val="0"/>
      <w:szCs w:val="20"/>
      <w:lang w:val="en-GB"/>
    </w:rPr>
  </w:style>
  <w:style w:type="paragraph" w:styleId="ListBullet4">
    <w:name w:val="List Bullet 4"/>
    <w:basedOn w:val="Normal"/>
    <w:rsid w:val="00F32B28"/>
    <w:pPr>
      <w:numPr>
        <w:numId w:val="24"/>
      </w:numPr>
      <w:suppressAutoHyphens/>
      <w:bidi w:val="0"/>
      <w:spacing w:line="240" w:lineRule="atLeast"/>
      <w:jc w:val="left"/>
    </w:pPr>
    <w:rPr>
      <w:rFonts w:eastAsia="Times New Roman" w:cs="Times New Roman"/>
      <w:kern w:val="0"/>
      <w:szCs w:val="20"/>
      <w:lang w:val="en-GB"/>
    </w:rPr>
  </w:style>
  <w:style w:type="paragraph" w:styleId="ListBullet5">
    <w:name w:val="List Bullet 5"/>
    <w:basedOn w:val="Normal"/>
    <w:rsid w:val="00F32B28"/>
    <w:pPr>
      <w:numPr>
        <w:numId w:val="25"/>
      </w:numPr>
      <w:suppressAutoHyphens/>
      <w:bidi w:val="0"/>
      <w:spacing w:line="240" w:lineRule="atLeast"/>
      <w:jc w:val="left"/>
    </w:pPr>
    <w:rPr>
      <w:rFonts w:eastAsia="Times New Roman" w:cs="Times New Roman"/>
      <w:kern w:val="0"/>
      <w:szCs w:val="20"/>
      <w:lang w:val="en-GB"/>
    </w:rPr>
  </w:style>
  <w:style w:type="paragraph" w:styleId="ListContinue">
    <w:name w:val="List Continue"/>
    <w:basedOn w:val="Normal"/>
    <w:rsid w:val="00F32B28"/>
    <w:pPr>
      <w:suppressAutoHyphens/>
      <w:bidi w:val="0"/>
      <w:spacing w:after="120" w:line="240" w:lineRule="atLeast"/>
      <w:ind w:left="283"/>
      <w:jc w:val="left"/>
    </w:pPr>
    <w:rPr>
      <w:rFonts w:eastAsia="Times New Roman" w:cs="Times New Roman"/>
      <w:kern w:val="0"/>
      <w:szCs w:val="20"/>
      <w:lang w:val="en-GB"/>
    </w:rPr>
  </w:style>
  <w:style w:type="paragraph" w:styleId="ListContinue2">
    <w:name w:val="List Continue 2"/>
    <w:basedOn w:val="Normal"/>
    <w:rsid w:val="00F32B28"/>
    <w:pPr>
      <w:suppressAutoHyphens/>
      <w:bidi w:val="0"/>
      <w:spacing w:after="120" w:line="240" w:lineRule="atLeast"/>
      <w:ind w:left="566"/>
      <w:jc w:val="left"/>
    </w:pPr>
    <w:rPr>
      <w:rFonts w:eastAsia="Times New Roman" w:cs="Times New Roman"/>
      <w:kern w:val="0"/>
      <w:szCs w:val="20"/>
      <w:lang w:val="en-GB"/>
    </w:rPr>
  </w:style>
  <w:style w:type="paragraph" w:styleId="ListContinue3">
    <w:name w:val="List Continue 3"/>
    <w:basedOn w:val="Normal"/>
    <w:rsid w:val="00F32B28"/>
    <w:pPr>
      <w:suppressAutoHyphens/>
      <w:bidi w:val="0"/>
      <w:spacing w:after="120" w:line="240" w:lineRule="atLeast"/>
      <w:ind w:left="849"/>
      <w:jc w:val="left"/>
    </w:pPr>
    <w:rPr>
      <w:rFonts w:eastAsia="Times New Roman" w:cs="Times New Roman"/>
      <w:kern w:val="0"/>
      <w:szCs w:val="20"/>
      <w:lang w:val="en-GB"/>
    </w:rPr>
  </w:style>
  <w:style w:type="paragraph" w:styleId="ListContinue4">
    <w:name w:val="List Continue 4"/>
    <w:basedOn w:val="Normal"/>
    <w:rsid w:val="00F32B28"/>
    <w:pPr>
      <w:suppressAutoHyphens/>
      <w:bidi w:val="0"/>
      <w:spacing w:after="120" w:line="240" w:lineRule="atLeast"/>
      <w:ind w:left="1132"/>
      <w:jc w:val="left"/>
    </w:pPr>
    <w:rPr>
      <w:rFonts w:eastAsia="Times New Roman" w:cs="Times New Roman"/>
      <w:kern w:val="0"/>
      <w:szCs w:val="20"/>
      <w:lang w:val="en-GB"/>
    </w:rPr>
  </w:style>
  <w:style w:type="paragraph" w:styleId="ListContinue5">
    <w:name w:val="List Continue 5"/>
    <w:basedOn w:val="Normal"/>
    <w:rsid w:val="00F32B28"/>
    <w:pPr>
      <w:suppressAutoHyphens/>
      <w:bidi w:val="0"/>
      <w:spacing w:after="120" w:line="240" w:lineRule="atLeast"/>
      <w:ind w:left="1415"/>
      <w:jc w:val="left"/>
    </w:pPr>
    <w:rPr>
      <w:rFonts w:eastAsia="Times New Roman" w:cs="Times New Roman"/>
      <w:kern w:val="0"/>
      <w:szCs w:val="20"/>
      <w:lang w:val="en-GB"/>
    </w:rPr>
  </w:style>
  <w:style w:type="paragraph" w:styleId="ListNumber">
    <w:name w:val="List Number"/>
    <w:basedOn w:val="Normal"/>
    <w:rsid w:val="00F32B28"/>
    <w:pPr>
      <w:numPr>
        <w:numId w:val="20"/>
      </w:numPr>
      <w:suppressAutoHyphens/>
      <w:bidi w:val="0"/>
      <w:spacing w:line="240" w:lineRule="atLeast"/>
      <w:jc w:val="left"/>
    </w:pPr>
    <w:rPr>
      <w:rFonts w:eastAsia="Times New Roman" w:cs="Times New Roman"/>
      <w:kern w:val="0"/>
      <w:szCs w:val="20"/>
      <w:lang w:val="en-GB"/>
    </w:rPr>
  </w:style>
  <w:style w:type="paragraph" w:styleId="ListNumber2">
    <w:name w:val="List Number 2"/>
    <w:basedOn w:val="Normal"/>
    <w:rsid w:val="00F32B28"/>
    <w:pPr>
      <w:numPr>
        <w:numId w:val="19"/>
      </w:numPr>
      <w:suppressAutoHyphens/>
      <w:bidi w:val="0"/>
      <w:spacing w:line="240" w:lineRule="atLeast"/>
      <w:jc w:val="left"/>
    </w:pPr>
    <w:rPr>
      <w:rFonts w:eastAsia="Times New Roman" w:cs="Times New Roman"/>
      <w:kern w:val="0"/>
      <w:szCs w:val="20"/>
      <w:lang w:val="en-GB"/>
    </w:rPr>
  </w:style>
  <w:style w:type="paragraph" w:styleId="ListNumber3">
    <w:name w:val="List Number 3"/>
    <w:basedOn w:val="Normal"/>
    <w:rsid w:val="00F32B28"/>
    <w:pPr>
      <w:tabs>
        <w:tab w:val="num" w:pos="926"/>
      </w:tabs>
      <w:suppressAutoHyphens/>
      <w:bidi w:val="0"/>
      <w:spacing w:line="240" w:lineRule="atLeast"/>
      <w:ind w:left="926" w:hanging="360"/>
      <w:jc w:val="left"/>
    </w:pPr>
    <w:rPr>
      <w:rFonts w:eastAsia="Times New Roman" w:cs="Times New Roman"/>
      <w:kern w:val="0"/>
      <w:szCs w:val="20"/>
      <w:lang w:val="en-GB"/>
    </w:rPr>
  </w:style>
  <w:style w:type="paragraph" w:styleId="ListNumber4">
    <w:name w:val="List Number 4"/>
    <w:basedOn w:val="Normal"/>
    <w:rsid w:val="00F32B28"/>
    <w:pPr>
      <w:numPr>
        <w:numId w:val="16"/>
      </w:numPr>
      <w:suppressAutoHyphens/>
      <w:bidi w:val="0"/>
      <w:spacing w:line="240" w:lineRule="atLeast"/>
      <w:jc w:val="left"/>
    </w:pPr>
    <w:rPr>
      <w:rFonts w:eastAsia="Times New Roman" w:cs="Times New Roman"/>
      <w:kern w:val="0"/>
      <w:szCs w:val="20"/>
      <w:lang w:val="en-GB"/>
    </w:rPr>
  </w:style>
  <w:style w:type="paragraph" w:styleId="ListNumber5">
    <w:name w:val="List Number 5"/>
    <w:basedOn w:val="Normal"/>
    <w:rsid w:val="00F32B28"/>
    <w:pPr>
      <w:numPr>
        <w:numId w:val="17"/>
      </w:numPr>
      <w:suppressAutoHyphens/>
      <w:bidi w:val="0"/>
      <w:spacing w:line="240" w:lineRule="atLeast"/>
      <w:jc w:val="left"/>
    </w:pPr>
    <w:rPr>
      <w:rFonts w:eastAsia="Times New Roman" w:cs="Times New Roman"/>
      <w:kern w:val="0"/>
      <w:szCs w:val="20"/>
      <w:lang w:val="en-GB"/>
    </w:rPr>
  </w:style>
  <w:style w:type="paragraph" w:styleId="MessageHeader">
    <w:name w:val="Message Header"/>
    <w:basedOn w:val="Normal"/>
    <w:link w:val="MessageHeaderChar"/>
    <w:rsid w:val="00F32B28"/>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kern w:val="0"/>
      <w:sz w:val="24"/>
      <w:szCs w:val="24"/>
      <w:lang w:val="en-GB"/>
    </w:rPr>
  </w:style>
  <w:style w:type="character" w:customStyle="1" w:styleId="MessageHeaderChar">
    <w:name w:val="Message Header Char"/>
    <w:basedOn w:val="DefaultParagraphFont"/>
    <w:link w:val="MessageHeader"/>
    <w:rsid w:val="00F32B28"/>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F32B28"/>
    <w:pPr>
      <w:suppressAutoHyphens/>
      <w:bidi w:val="0"/>
      <w:spacing w:line="240" w:lineRule="atLeast"/>
      <w:jc w:val="left"/>
    </w:pPr>
    <w:rPr>
      <w:rFonts w:eastAsia="Times New Roman" w:cs="Times New Roman"/>
      <w:kern w:val="0"/>
      <w:sz w:val="24"/>
      <w:szCs w:val="24"/>
      <w:lang w:val="en-GB"/>
    </w:rPr>
  </w:style>
  <w:style w:type="paragraph" w:styleId="NormalIndent">
    <w:name w:val="Normal Indent"/>
    <w:basedOn w:val="Normal"/>
    <w:rsid w:val="00F32B28"/>
    <w:pPr>
      <w:suppressAutoHyphens/>
      <w:bidi w:val="0"/>
      <w:spacing w:line="240" w:lineRule="atLeast"/>
      <w:ind w:left="567"/>
      <w:jc w:val="left"/>
    </w:pPr>
    <w:rPr>
      <w:rFonts w:eastAsia="Times New Roman" w:cs="Times New Roman"/>
      <w:kern w:val="0"/>
      <w:szCs w:val="20"/>
      <w:lang w:val="en-GB"/>
    </w:rPr>
  </w:style>
  <w:style w:type="paragraph" w:styleId="NoteHeading">
    <w:name w:val="Note Heading"/>
    <w:basedOn w:val="Normal"/>
    <w:next w:val="Normal"/>
    <w:link w:val="NoteHeadingChar"/>
    <w:rsid w:val="00F32B28"/>
    <w:pPr>
      <w:suppressAutoHyphens/>
      <w:bidi w:val="0"/>
      <w:spacing w:line="240" w:lineRule="atLeast"/>
      <w:jc w:val="left"/>
    </w:pPr>
    <w:rPr>
      <w:rFonts w:eastAsia="Times New Roman" w:cs="Times New Roman"/>
      <w:kern w:val="0"/>
      <w:szCs w:val="20"/>
      <w:lang w:val="en-GB"/>
    </w:rPr>
  </w:style>
  <w:style w:type="character" w:customStyle="1" w:styleId="NoteHeadingChar">
    <w:name w:val="Note Heading Char"/>
    <w:basedOn w:val="DefaultParagraphFont"/>
    <w:link w:val="NoteHeading"/>
    <w:rsid w:val="00F32B28"/>
    <w:rPr>
      <w:rFonts w:eastAsia="Times New Roman" w:cs="Times New Roman"/>
      <w:lang w:val="en-GB" w:eastAsia="en-US"/>
    </w:rPr>
  </w:style>
  <w:style w:type="paragraph" w:styleId="Salutation">
    <w:name w:val="Salutation"/>
    <w:basedOn w:val="Normal"/>
    <w:next w:val="Normal"/>
    <w:link w:val="SalutationChar"/>
    <w:rsid w:val="00F32B28"/>
    <w:pPr>
      <w:suppressAutoHyphens/>
      <w:bidi w:val="0"/>
      <w:spacing w:line="240" w:lineRule="atLeast"/>
      <w:jc w:val="left"/>
    </w:pPr>
    <w:rPr>
      <w:rFonts w:eastAsia="Times New Roman" w:cs="Times New Roman"/>
      <w:kern w:val="0"/>
      <w:szCs w:val="20"/>
      <w:lang w:val="en-GB"/>
    </w:rPr>
  </w:style>
  <w:style w:type="character" w:customStyle="1" w:styleId="SalutationChar">
    <w:name w:val="Salutation Char"/>
    <w:basedOn w:val="DefaultParagraphFont"/>
    <w:link w:val="Salutation"/>
    <w:rsid w:val="00F32B28"/>
    <w:rPr>
      <w:rFonts w:eastAsia="Times New Roman" w:cs="Times New Roman"/>
      <w:lang w:val="en-GB" w:eastAsia="en-US"/>
    </w:rPr>
  </w:style>
  <w:style w:type="paragraph" w:styleId="Signature">
    <w:name w:val="Signature"/>
    <w:basedOn w:val="Normal"/>
    <w:link w:val="SignatureChar"/>
    <w:rsid w:val="00F32B28"/>
    <w:pPr>
      <w:suppressAutoHyphens/>
      <w:bidi w:val="0"/>
      <w:spacing w:line="240" w:lineRule="atLeast"/>
      <w:ind w:left="4252"/>
      <w:jc w:val="left"/>
    </w:pPr>
    <w:rPr>
      <w:rFonts w:eastAsia="Times New Roman" w:cs="Times New Roman"/>
      <w:kern w:val="0"/>
      <w:szCs w:val="20"/>
      <w:lang w:val="en-GB"/>
    </w:rPr>
  </w:style>
  <w:style w:type="character" w:customStyle="1" w:styleId="SignatureChar">
    <w:name w:val="Signature Char"/>
    <w:basedOn w:val="DefaultParagraphFont"/>
    <w:link w:val="Signature"/>
    <w:rsid w:val="00F32B28"/>
    <w:rPr>
      <w:rFonts w:eastAsia="Times New Roman" w:cs="Times New Roman"/>
      <w:lang w:val="en-GB" w:eastAsia="en-US"/>
    </w:rPr>
  </w:style>
  <w:style w:type="character" w:styleId="Strong">
    <w:name w:val="Strong"/>
    <w:uiPriority w:val="22"/>
    <w:qFormat/>
    <w:rsid w:val="00F32B28"/>
    <w:rPr>
      <w:b/>
      <w:bCs/>
    </w:rPr>
  </w:style>
  <w:style w:type="paragraph" w:styleId="Subtitle">
    <w:name w:val="Subtitle"/>
    <w:basedOn w:val="Normal"/>
    <w:link w:val="SubtitleChar"/>
    <w:uiPriority w:val="11"/>
    <w:qFormat/>
    <w:rsid w:val="00F32B28"/>
    <w:pPr>
      <w:suppressAutoHyphens/>
      <w:bidi w:val="0"/>
      <w:spacing w:after="60" w:line="240" w:lineRule="atLeast"/>
      <w:jc w:val="center"/>
      <w:outlineLvl w:val="1"/>
    </w:pPr>
    <w:rPr>
      <w:rFonts w:ascii="Arial" w:eastAsia="Times New Roman" w:hAnsi="Arial" w:cs="Arial"/>
      <w:kern w:val="0"/>
      <w:sz w:val="24"/>
      <w:szCs w:val="24"/>
      <w:lang w:val="en-GB"/>
    </w:rPr>
  </w:style>
  <w:style w:type="character" w:customStyle="1" w:styleId="SubtitleChar">
    <w:name w:val="Subtitle Char"/>
    <w:basedOn w:val="DefaultParagraphFont"/>
    <w:link w:val="Subtitle"/>
    <w:uiPriority w:val="11"/>
    <w:rsid w:val="00F32B28"/>
    <w:rPr>
      <w:rFonts w:ascii="Arial" w:eastAsia="Times New Roman" w:hAnsi="Arial" w:cs="Arial"/>
      <w:sz w:val="24"/>
      <w:szCs w:val="24"/>
      <w:lang w:val="en-GB" w:eastAsia="en-US"/>
    </w:rPr>
  </w:style>
  <w:style w:type="table" w:styleId="Table3Deffects1">
    <w:name w:val="Table 3D effects 1"/>
    <w:basedOn w:val="TableNormal"/>
    <w:rsid w:val="00F32B28"/>
    <w:pPr>
      <w:suppressAutoHyphens/>
      <w:spacing w:line="240" w:lineRule="atLeast"/>
    </w:pPr>
    <w:rPr>
      <w:rFonts w:eastAsia="Times New Roman" w:cs="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32B28"/>
    <w:pPr>
      <w:suppressAutoHyphens/>
      <w:spacing w:line="240" w:lineRule="atLeast"/>
    </w:pPr>
    <w:rPr>
      <w:rFonts w:eastAsia="Times New Roman" w:cs="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32B28"/>
    <w:pPr>
      <w:suppressAutoHyphens/>
      <w:spacing w:line="240" w:lineRule="atLeast"/>
    </w:pPr>
    <w:rPr>
      <w:rFonts w:eastAsia="Times New Roman" w:cs="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32B28"/>
    <w:pPr>
      <w:suppressAutoHyphens/>
      <w:spacing w:line="240" w:lineRule="atLeast"/>
    </w:pPr>
    <w:rPr>
      <w:rFonts w:eastAsia="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2B28"/>
    <w:pPr>
      <w:suppressAutoHyphens/>
      <w:spacing w:line="240" w:lineRule="atLeast"/>
    </w:pPr>
    <w:rPr>
      <w:rFonts w:eastAsia="Times New Roman" w:cs="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32B28"/>
    <w:pPr>
      <w:suppressAutoHyphens/>
      <w:spacing w:line="240" w:lineRule="atLeast"/>
    </w:pPr>
    <w:rPr>
      <w:rFonts w:eastAsia="Times New Roman" w:cs="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32B28"/>
    <w:pPr>
      <w:suppressAutoHyphens/>
      <w:spacing w:line="240" w:lineRule="atLeast"/>
    </w:pPr>
    <w:rPr>
      <w:rFonts w:eastAsia="Times New Roman" w:cs="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32B28"/>
    <w:pPr>
      <w:suppressAutoHyphens/>
      <w:spacing w:line="240" w:lineRule="atLeast"/>
    </w:pPr>
    <w:rPr>
      <w:rFonts w:eastAsia="Times New Roman" w:cs="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32B28"/>
    <w:pPr>
      <w:suppressAutoHyphens/>
      <w:spacing w:line="240" w:lineRule="atLeast"/>
    </w:pPr>
    <w:rPr>
      <w:rFonts w:eastAsia="Times New Roman" w:cs="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32B28"/>
    <w:pPr>
      <w:suppressAutoHyphens/>
      <w:spacing w:line="240" w:lineRule="atLeast"/>
    </w:pPr>
    <w:rPr>
      <w:rFonts w:eastAsia="Times New Roman" w:cs="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32B28"/>
    <w:pPr>
      <w:suppressAutoHyphens/>
      <w:spacing w:line="240" w:lineRule="atLeast"/>
    </w:pPr>
    <w:rPr>
      <w:rFonts w:eastAsia="Times New Roman" w:cs="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32B28"/>
    <w:pPr>
      <w:suppressAutoHyphens/>
      <w:spacing w:line="240" w:lineRule="atLeast"/>
    </w:pPr>
    <w:rPr>
      <w:rFonts w:eastAsia="Times New Roman" w:cs="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32B28"/>
    <w:pPr>
      <w:suppressAutoHyphens/>
      <w:spacing w:line="240" w:lineRule="atLeast"/>
    </w:pPr>
    <w:rPr>
      <w:rFonts w:eastAsia="Times New Roman" w:cs="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32B28"/>
    <w:pPr>
      <w:suppressAutoHyphens/>
      <w:spacing w:line="240" w:lineRule="atLeast"/>
    </w:pPr>
    <w:rPr>
      <w:rFonts w:eastAsia="Times New Roman" w:cs="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32B28"/>
    <w:pPr>
      <w:suppressAutoHyphens/>
      <w:spacing w:line="240" w:lineRule="atLeast"/>
    </w:pPr>
    <w:rPr>
      <w:rFonts w:eastAsia="Times New Roman" w:cs="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32B28"/>
    <w:pPr>
      <w:suppressAutoHyphens/>
      <w:spacing w:line="240" w:lineRule="atLeast"/>
    </w:pPr>
    <w:rPr>
      <w:rFonts w:eastAsia="Times New Roman" w:cs="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32B28"/>
    <w:pPr>
      <w:suppressAutoHyphens/>
      <w:spacing w:line="240" w:lineRule="atLeast"/>
    </w:pPr>
    <w:rPr>
      <w:rFonts w:eastAsia="Times New Roman" w:cs="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32B28"/>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F32B28"/>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32B28"/>
    <w:pPr>
      <w:suppressAutoHyphens/>
      <w:spacing w:line="240" w:lineRule="atLeast"/>
    </w:pPr>
    <w:rPr>
      <w:rFonts w:eastAsia="Times New Roman" w:cs="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32B28"/>
    <w:pPr>
      <w:suppressAutoHyphens/>
      <w:spacing w:line="240" w:lineRule="atLeast"/>
    </w:pPr>
    <w:rPr>
      <w:rFonts w:eastAsia="Times New Roman" w:cs="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32B28"/>
    <w:pPr>
      <w:suppressAutoHyphens/>
      <w:spacing w:line="240" w:lineRule="atLeast"/>
    </w:pPr>
    <w:rPr>
      <w:rFonts w:eastAsia="Times New Roman" w:cs="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32B28"/>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32B28"/>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32B28"/>
    <w:pPr>
      <w:suppressAutoHyphens/>
      <w:spacing w:line="240" w:lineRule="atLeast"/>
    </w:pPr>
    <w:rPr>
      <w:rFonts w:eastAsia="Times New Roman" w:cs="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32B28"/>
    <w:pPr>
      <w:suppressAutoHyphens/>
      <w:spacing w:line="240" w:lineRule="atLeast"/>
    </w:pPr>
    <w:rPr>
      <w:rFonts w:eastAsia="Times New Roman" w:cs="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32B28"/>
    <w:pPr>
      <w:suppressAutoHyphens/>
      <w:spacing w:line="240" w:lineRule="atLeast"/>
    </w:pPr>
    <w:rPr>
      <w:rFonts w:eastAsia="Times New Roman" w:cs="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32B28"/>
    <w:pPr>
      <w:suppressAutoHyphens/>
      <w:spacing w:line="240" w:lineRule="atLeast"/>
    </w:pPr>
    <w:rPr>
      <w:rFonts w:eastAsia="Times New Roman" w:cs="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32B28"/>
    <w:pPr>
      <w:suppressAutoHyphens/>
      <w:spacing w:line="240" w:lineRule="atLeast"/>
    </w:pPr>
    <w:rPr>
      <w:rFonts w:eastAsia="Times New Roman" w:cs="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32B28"/>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32B28"/>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32B28"/>
    <w:pPr>
      <w:suppressAutoHyphens/>
      <w:spacing w:line="240" w:lineRule="atLeast"/>
    </w:pPr>
    <w:rPr>
      <w:rFonts w:eastAsia="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32B28"/>
    <w:pPr>
      <w:suppressAutoHyphens/>
      <w:spacing w:line="240" w:lineRule="atLeast"/>
    </w:pPr>
    <w:rPr>
      <w:rFonts w:eastAsia="Times New Roman" w:cs="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32B28"/>
    <w:pPr>
      <w:suppressAutoHyphens/>
      <w:spacing w:line="240" w:lineRule="atLeast"/>
    </w:pPr>
    <w:rPr>
      <w:rFonts w:eastAsia="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32B28"/>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32B28"/>
    <w:pPr>
      <w:suppressAutoHyphens/>
      <w:spacing w:line="240" w:lineRule="atLeast"/>
    </w:pPr>
    <w:rPr>
      <w:rFonts w:eastAsia="Times New Roman" w:cs="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32B28"/>
    <w:pPr>
      <w:suppressAutoHyphens/>
      <w:spacing w:line="240" w:lineRule="atLeast"/>
    </w:pPr>
    <w:rPr>
      <w:rFonts w:eastAsia="Times New Roman" w:cs="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32B28"/>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32B28"/>
    <w:pPr>
      <w:suppressAutoHyphens/>
      <w:spacing w:line="240" w:lineRule="atLeast"/>
    </w:pPr>
    <w:rPr>
      <w:rFonts w:eastAsia="Times New Roman" w:cs="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32B28"/>
    <w:pPr>
      <w:suppressAutoHyphens/>
      <w:spacing w:line="240" w:lineRule="atLeast"/>
    </w:pPr>
    <w:rPr>
      <w:rFonts w:eastAsia="Times New Roman" w:cs="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32B28"/>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32B28"/>
    <w:pPr>
      <w:suppressAutoHyphens/>
      <w:spacing w:line="240" w:lineRule="atLeast"/>
    </w:pPr>
    <w:rPr>
      <w:rFonts w:eastAsia="Times New Roman" w:cs="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32B28"/>
    <w:pPr>
      <w:suppressAutoHyphens/>
      <w:spacing w:line="240" w:lineRule="atLeast"/>
    </w:pPr>
    <w:rPr>
      <w:rFonts w:eastAsia="Times New Roman" w:cs="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32B28"/>
    <w:pPr>
      <w:suppressAutoHyphens/>
      <w:spacing w:line="240" w:lineRule="atLeast"/>
    </w:pPr>
    <w:rPr>
      <w:rFonts w:eastAsia="Times New Roman" w:cs="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32B28"/>
    <w:pPr>
      <w:suppressAutoHyphens/>
      <w:bidi w:val="0"/>
      <w:spacing w:before="240" w:after="60" w:line="240" w:lineRule="atLeast"/>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F32B28"/>
    <w:rPr>
      <w:rFonts w:ascii="Arial" w:eastAsia="Times New Roman" w:hAnsi="Arial" w:cs="Arial"/>
      <w:b/>
      <w:bCs/>
      <w:kern w:val="28"/>
      <w:sz w:val="32"/>
      <w:szCs w:val="32"/>
      <w:lang w:val="en-GB" w:eastAsia="en-US"/>
    </w:rPr>
  </w:style>
  <w:style w:type="paragraph" w:styleId="EnvelopeAddress">
    <w:name w:val="envelope address"/>
    <w:basedOn w:val="Normal"/>
    <w:rsid w:val="00F32B28"/>
    <w:pPr>
      <w:framePr w:w="7920" w:h="1980" w:hRule="exact" w:hSpace="180" w:wrap="auto" w:hAnchor="page" w:xAlign="center" w:yAlign="bottom"/>
      <w:suppressAutoHyphens/>
      <w:bidi w:val="0"/>
      <w:spacing w:line="240" w:lineRule="atLeast"/>
      <w:ind w:left="2880"/>
      <w:jc w:val="left"/>
    </w:pPr>
    <w:rPr>
      <w:rFonts w:ascii="Arial" w:eastAsia="Times New Roman" w:hAnsi="Arial" w:cs="Arial"/>
      <w:kern w:val="0"/>
      <w:sz w:val="24"/>
      <w:szCs w:val="24"/>
      <w:lang w:val="en-GB"/>
    </w:rPr>
  </w:style>
  <w:style w:type="character" w:customStyle="1" w:styleId="HChGChar">
    <w:name w:val="_ H _Ch_G Char"/>
    <w:link w:val="HChG"/>
    <w:rsid w:val="00F32B28"/>
    <w:rPr>
      <w:rFonts w:eastAsia="Times New Roman" w:cs="Times New Roman"/>
      <w:b/>
      <w:sz w:val="28"/>
      <w:lang w:val="en-GB" w:eastAsia="en-US"/>
    </w:rPr>
  </w:style>
  <w:style w:type="character" w:customStyle="1" w:styleId="BalloonTextChar1">
    <w:name w:val="Balloon Text Char1"/>
    <w:basedOn w:val="DefaultParagraphFont"/>
    <w:uiPriority w:val="99"/>
    <w:rsid w:val="00F32B28"/>
    <w:rPr>
      <w:rFonts w:ascii="Tahoma" w:hAnsi="Tahoma" w:cs="Tahoma"/>
      <w:sz w:val="16"/>
      <w:szCs w:val="16"/>
      <w:lang w:eastAsia="en-US"/>
    </w:rPr>
  </w:style>
  <w:style w:type="paragraph" w:styleId="ListParagraph">
    <w:name w:val="List Paragraph"/>
    <w:basedOn w:val="Normal"/>
    <w:link w:val="ListParagraphChar"/>
    <w:uiPriority w:val="34"/>
    <w:qFormat/>
    <w:rsid w:val="00F32B28"/>
    <w:pPr>
      <w:bidi w:val="0"/>
      <w:spacing w:after="200" w:line="276" w:lineRule="auto"/>
      <w:ind w:left="720"/>
      <w:contextualSpacing/>
      <w:jc w:val="left"/>
    </w:pPr>
    <w:rPr>
      <w:rFonts w:ascii="Calibri" w:eastAsia="Calibri" w:hAnsi="Calibri" w:cs="Arial"/>
      <w:kern w:val="0"/>
      <w:sz w:val="22"/>
      <w:szCs w:val="22"/>
    </w:rPr>
  </w:style>
  <w:style w:type="character" w:customStyle="1" w:styleId="ListParagraphChar">
    <w:name w:val="List Paragraph Char"/>
    <w:link w:val="ListParagraph"/>
    <w:uiPriority w:val="34"/>
    <w:rsid w:val="00F32B28"/>
    <w:rPr>
      <w:rFonts w:ascii="Calibri" w:eastAsia="Calibri" w:hAnsi="Calibri" w:cs="Arial"/>
      <w:sz w:val="22"/>
      <w:szCs w:val="22"/>
      <w:lang w:eastAsia="en-US"/>
    </w:rPr>
  </w:style>
  <w:style w:type="character" w:customStyle="1" w:styleId="apple-converted-space">
    <w:name w:val="apple-converted-space"/>
    <w:rsid w:val="00F32B28"/>
  </w:style>
  <w:style w:type="table" w:customStyle="1" w:styleId="GridTable5Dark-Accent31">
    <w:name w:val="Grid Table 5 Dark - Accent 31"/>
    <w:basedOn w:val="TableNormal"/>
    <w:uiPriority w:val="50"/>
    <w:rsid w:val="00F32B28"/>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2-Accent31">
    <w:name w:val="Grid Table 2 - Accent 31"/>
    <w:basedOn w:val="TableNormal"/>
    <w:uiPriority w:val="47"/>
    <w:rsid w:val="00F32B28"/>
    <w:rPr>
      <w:rFonts w:ascii="Calibri" w:eastAsia="Calibri" w:hAnsi="Calibri" w:cs="Arial"/>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rsid w:val="00F32B28"/>
    <w:rPr>
      <w:rFonts w:ascii="Calibri" w:eastAsia="Calibri" w:hAnsi="Calibri" w:cs="Arial"/>
      <w:color w:val="7B7B7B"/>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Accent31">
    <w:name w:val="Grid Table 1 Light - Accent 31"/>
    <w:basedOn w:val="TableNormal"/>
    <w:uiPriority w:val="46"/>
    <w:rsid w:val="00F32B28"/>
    <w:rPr>
      <w:rFonts w:ascii="Calibri" w:eastAsia="Calibri" w:hAnsi="Calibri" w:cs="Arial"/>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F32B28"/>
    <w:rPr>
      <w:rFonts w:ascii="Calibri" w:eastAsia="Calibri" w:hAnsi="Calibri"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TxtGA">
    <w:name w:val="_ Single Txt_GA"/>
    <w:basedOn w:val="Normal"/>
    <w:link w:val="SingleTxtGAChar"/>
    <w:rsid w:val="00F32B28"/>
    <w:pPr>
      <w:tabs>
        <w:tab w:val="left" w:pos="1928"/>
        <w:tab w:val="left" w:pos="2608"/>
        <w:tab w:val="left" w:pos="3289"/>
        <w:tab w:val="left" w:pos="3969"/>
        <w:tab w:val="left" w:pos="4649"/>
        <w:tab w:val="left" w:pos="5330"/>
      </w:tabs>
      <w:spacing w:after="120" w:line="380" w:lineRule="exact"/>
      <w:ind w:left="1247" w:right="1247"/>
    </w:pPr>
    <w:rPr>
      <w:rFonts w:eastAsia="Times New Roman"/>
      <w:kern w:val="0"/>
      <w:szCs w:val="30"/>
    </w:rPr>
  </w:style>
  <w:style w:type="character" w:customStyle="1" w:styleId="SingleTxtGAChar">
    <w:name w:val="_ Single Txt_GA Char"/>
    <w:link w:val="SingleTxtGA"/>
    <w:rsid w:val="00F32B28"/>
    <w:rPr>
      <w:rFonts w:eastAsia="Times New Roman"/>
      <w:szCs w:val="30"/>
      <w:lang w:eastAsia="en-US"/>
    </w:rPr>
  </w:style>
  <w:style w:type="paragraph" w:customStyle="1" w:styleId="Bullet1GA">
    <w:name w:val="_Bullet 1_GA"/>
    <w:basedOn w:val="Normal"/>
    <w:rsid w:val="00F32B28"/>
    <w:pPr>
      <w:numPr>
        <w:numId w:val="31"/>
      </w:numPr>
      <w:suppressAutoHyphens/>
      <w:bidi w:val="0"/>
      <w:spacing w:after="120" w:line="380" w:lineRule="exact"/>
      <w:ind w:right="1247"/>
    </w:pPr>
    <w:rPr>
      <w:rFonts w:eastAsia="Times New Roman"/>
      <w:kern w:val="0"/>
      <w:szCs w:val="30"/>
    </w:rPr>
  </w:style>
  <w:style w:type="table" w:customStyle="1" w:styleId="PlainTable12">
    <w:name w:val="Plain Table 12"/>
    <w:basedOn w:val="TableNormal"/>
    <w:uiPriority w:val="41"/>
    <w:rsid w:val="00F32B28"/>
    <w:rPr>
      <w:rFonts w:ascii="Calibri" w:eastAsia="Calibri" w:hAnsi="Calibri"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tejustify">
    <w:name w:val="rtejustify"/>
    <w:basedOn w:val="Normal"/>
    <w:rsid w:val="00F32B28"/>
    <w:pPr>
      <w:bidi w:val="0"/>
      <w:spacing w:before="100" w:beforeAutospacing="1" w:after="100" w:afterAutospacing="1" w:line="240" w:lineRule="auto"/>
      <w:jc w:val="left"/>
    </w:pPr>
    <w:rPr>
      <w:rFonts w:eastAsia="Times New Roman" w:cs="Times New Roman"/>
      <w:kern w:val="0"/>
      <w:sz w:val="24"/>
      <w:szCs w:val="24"/>
    </w:rPr>
  </w:style>
  <w:style w:type="paragraph" w:styleId="DocumentMap">
    <w:name w:val="Document Map"/>
    <w:basedOn w:val="Normal"/>
    <w:link w:val="DocumentMapChar"/>
    <w:uiPriority w:val="99"/>
    <w:unhideWhenUsed/>
    <w:rsid w:val="00F32B28"/>
    <w:pPr>
      <w:bidi w:val="0"/>
      <w:spacing w:line="240" w:lineRule="auto"/>
      <w:jc w:val="left"/>
    </w:pPr>
    <w:rPr>
      <w:rFonts w:ascii="Tahoma" w:eastAsia="Calibri" w:hAnsi="Tahoma" w:cs="Tahoma"/>
      <w:kern w:val="0"/>
      <w:sz w:val="16"/>
      <w:szCs w:val="16"/>
    </w:rPr>
  </w:style>
  <w:style w:type="character" w:customStyle="1" w:styleId="DocumentMapChar">
    <w:name w:val="Document Map Char"/>
    <w:basedOn w:val="DefaultParagraphFont"/>
    <w:link w:val="DocumentMap"/>
    <w:uiPriority w:val="99"/>
    <w:rsid w:val="00F32B2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uiPriority="99" w:qFormat="1"/>
    <w:lsdException w:name="caption" w:semiHidden="1" w:unhideWhenUsed="1" w:qFormat="1"/>
    <w:lsdException w:name="line number" w:qFormat="1"/>
    <w:lsdException w:name="endnote text" w:uiPriority="99"/>
    <w:lsdException w:name="Title"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29DD"/>
    <w:pPr>
      <w:bidi/>
      <w:spacing w:line="360" w:lineRule="exact"/>
      <w:jc w:val="lowKashida"/>
    </w:pPr>
    <w:rPr>
      <w:kern w:val="14"/>
      <w:szCs w:val="28"/>
      <w:lang w:eastAsia="en-US"/>
    </w:rPr>
  </w:style>
  <w:style w:type="paragraph" w:styleId="Heading1">
    <w:name w:val="heading 1"/>
    <w:aliases w:val="Table_G"/>
    <w:basedOn w:val="Normal"/>
    <w:next w:val="Normal"/>
    <w:link w:val="Heading1Char"/>
    <w:uiPriority w:val="9"/>
    <w:qFormat/>
    <w:rsid w:val="005729DD"/>
    <w:pPr>
      <w:keepNext/>
      <w:tabs>
        <w:tab w:val="num" w:pos="926"/>
      </w:tabs>
      <w:ind w:left="926" w:hanging="360"/>
      <w:outlineLvl w:val="0"/>
    </w:pPr>
    <w:rPr>
      <w:sz w:val="24"/>
      <w:szCs w:val="24"/>
    </w:rPr>
  </w:style>
  <w:style w:type="paragraph" w:styleId="Heading2">
    <w:name w:val="heading 2"/>
    <w:basedOn w:val="Normal"/>
    <w:next w:val="Normal"/>
    <w:link w:val="Heading2Char"/>
    <w:uiPriority w:val="9"/>
    <w:qFormat/>
    <w:rsid w:val="005729DD"/>
    <w:pPr>
      <w:numPr>
        <w:ilvl w:val="1"/>
        <w:numId w:val="18"/>
      </w:numPr>
      <w:outlineLvl w:val="1"/>
    </w:pPr>
  </w:style>
  <w:style w:type="paragraph" w:styleId="Heading3">
    <w:name w:val="heading 3"/>
    <w:basedOn w:val="Normal"/>
    <w:next w:val="Normal"/>
    <w:link w:val="Heading3Char"/>
    <w:uiPriority w:val="9"/>
    <w:qFormat/>
    <w:rsid w:val="005729DD"/>
    <w:pPr>
      <w:keepNext/>
      <w:numPr>
        <w:ilvl w:val="2"/>
        <w:numId w:val="18"/>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qFormat/>
    <w:rsid w:val="00F32B28"/>
    <w:pPr>
      <w:numPr>
        <w:ilvl w:val="3"/>
        <w:numId w:val="18"/>
      </w:numPr>
      <w:suppressAutoHyphens/>
      <w:bidi w:val="0"/>
      <w:spacing w:line="240" w:lineRule="auto"/>
      <w:ind w:left="864" w:hanging="144"/>
      <w:jc w:val="left"/>
      <w:outlineLvl w:val="3"/>
    </w:pPr>
    <w:rPr>
      <w:rFonts w:eastAsia="Times New Roman" w:cs="Times New Roman"/>
      <w:kern w:val="0"/>
      <w:szCs w:val="20"/>
      <w:lang w:val="en-GB"/>
    </w:rPr>
  </w:style>
  <w:style w:type="paragraph" w:styleId="Heading5">
    <w:name w:val="heading 5"/>
    <w:basedOn w:val="Normal"/>
    <w:next w:val="Normal"/>
    <w:link w:val="Heading5Char"/>
    <w:uiPriority w:val="9"/>
    <w:qFormat/>
    <w:rsid w:val="00F32B28"/>
    <w:pPr>
      <w:numPr>
        <w:ilvl w:val="4"/>
        <w:numId w:val="18"/>
      </w:numPr>
      <w:suppressAutoHyphens/>
      <w:bidi w:val="0"/>
      <w:spacing w:line="240" w:lineRule="auto"/>
      <w:ind w:left="1008" w:hanging="432"/>
      <w:jc w:val="left"/>
      <w:outlineLvl w:val="4"/>
    </w:pPr>
    <w:rPr>
      <w:rFonts w:eastAsia="Times New Roman" w:cs="Times New Roman"/>
      <w:kern w:val="0"/>
      <w:szCs w:val="20"/>
      <w:lang w:val="en-GB"/>
    </w:rPr>
  </w:style>
  <w:style w:type="paragraph" w:styleId="Heading6">
    <w:name w:val="heading 6"/>
    <w:basedOn w:val="Normal"/>
    <w:next w:val="Normal"/>
    <w:link w:val="Heading6Char"/>
    <w:uiPriority w:val="9"/>
    <w:qFormat/>
    <w:rsid w:val="00F32B28"/>
    <w:pPr>
      <w:numPr>
        <w:ilvl w:val="5"/>
        <w:numId w:val="18"/>
      </w:numPr>
      <w:suppressAutoHyphens/>
      <w:bidi w:val="0"/>
      <w:spacing w:line="240" w:lineRule="auto"/>
      <w:ind w:left="1152" w:hanging="432"/>
      <w:jc w:val="left"/>
      <w:outlineLvl w:val="5"/>
    </w:pPr>
    <w:rPr>
      <w:rFonts w:eastAsia="Times New Roman" w:cs="Times New Roman"/>
      <w:kern w:val="0"/>
      <w:szCs w:val="20"/>
      <w:lang w:val="en-GB"/>
    </w:rPr>
  </w:style>
  <w:style w:type="paragraph" w:styleId="Heading7">
    <w:name w:val="heading 7"/>
    <w:basedOn w:val="Normal"/>
    <w:next w:val="Normal"/>
    <w:link w:val="Heading7Char"/>
    <w:uiPriority w:val="9"/>
    <w:qFormat/>
    <w:rsid w:val="00F32B28"/>
    <w:pPr>
      <w:numPr>
        <w:ilvl w:val="6"/>
        <w:numId w:val="18"/>
      </w:numPr>
      <w:suppressAutoHyphens/>
      <w:bidi w:val="0"/>
      <w:spacing w:line="240" w:lineRule="auto"/>
      <w:ind w:left="1296" w:hanging="288"/>
      <w:jc w:val="left"/>
      <w:outlineLvl w:val="6"/>
    </w:pPr>
    <w:rPr>
      <w:rFonts w:eastAsia="Times New Roman" w:cs="Times New Roman"/>
      <w:kern w:val="0"/>
      <w:szCs w:val="20"/>
      <w:lang w:val="en-GB"/>
    </w:rPr>
  </w:style>
  <w:style w:type="paragraph" w:styleId="Heading8">
    <w:name w:val="heading 8"/>
    <w:basedOn w:val="Normal"/>
    <w:next w:val="Normal"/>
    <w:link w:val="Heading8Char"/>
    <w:qFormat/>
    <w:rsid w:val="00F32B28"/>
    <w:pPr>
      <w:numPr>
        <w:ilvl w:val="7"/>
        <w:numId w:val="18"/>
      </w:numPr>
      <w:suppressAutoHyphens/>
      <w:bidi w:val="0"/>
      <w:spacing w:line="240" w:lineRule="auto"/>
      <w:ind w:left="1440" w:hanging="432"/>
      <w:jc w:val="left"/>
      <w:outlineLvl w:val="7"/>
    </w:pPr>
    <w:rPr>
      <w:rFonts w:eastAsia="Times New Roman" w:cs="Times New Roman"/>
      <w:kern w:val="0"/>
      <w:szCs w:val="20"/>
      <w:lang w:val="en-GB"/>
    </w:rPr>
  </w:style>
  <w:style w:type="paragraph" w:styleId="Heading9">
    <w:name w:val="heading 9"/>
    <w:basedOn w:val="Normal"/>
    <w:next w:val="Normal"/>
    <w:link w:val="Heading9Char"/>
    <w:qFormat/>
    <w:rsid w:val="00F32B28"/>
    <w:pPr>
      <w:numPr>
        <w:ilvl w:val="8"/>
        <w:numId w:val="18"/>
      </w:numPr>
      <w:suppressAutoHyphens/>
      <w:bidi w:val="0"/>
      <w:spacing w:line="240" w:lineRule="auto"/>
      <w:ind w:left="1584" w:hanging="144"/>
      <w:jc w:val="left"/>
      <w:outlineLvl w:val="8"/>
    </w:pPr>
    <w:rPr>
      <w:rFonts w:eastAsia="Times New Roman" w:cs="Times New Roman"/>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29DD"/>
    <w:pPr>
      <w:keepNext/>
      <w:keepLines/>
      <w:spacing w:after="120" w:line="400" w:lineRule="exact"/>
      <w:outlineLvl w:val="0"/>
    </w:pPr>
    <w:rPr>
      <w:b/>
      <w:bCs/>
      <w:sz w:val="24"/>
      <w:szCs w:val="32"/>
    </w:rPr>
  </w:style>
  <w:style w:type="paragraph" w:customStyle="1" w:styleId="HCh">
    <w:name w:val="_ H _Ch"/>
    <w:basedOn w:val="H1"/>
    <w:next w:val="SingleTxt"/>
    <w:qFormat/>
    <w:rsid w:val="005729DD"/>
    <w:pPr>
      <w:spacing w:line="440" w:lineRule="exact"/>
    </w:pPr>
    <w:rPr>
      <w:spacing w:val="-2"/>
      <w:sz w:val="28"/>
      <w:szCs w:val="36"/>
    </w:rPr>
  </w:style>
  <w:style w:type="character" w:styleId="CommentReference">
    <w:name w:val="annotation reference"/>
    <w:basedOn w:val="DefaultParagraphFont"/>
    <w:semiHidden/>
    <w:rsid w:val="005729DD"/>
    <w:rPr>
      <w:sz w:val="6"/>
      <w:szCs w:val="9"/>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qFormat/>
    <w:rsid w:val="005729DD"/>
    <w:pPr>
      <w:tabs>
        <w:tab w:val="right" w:pos="418"/>
      </w:tabs>
      <w:spacing w:line="280" w:lineRule="exact"/>
      <w:ind w:left="663" w:right="663" w:hanging="663"/>
    </w:pPr>
    <w:rPr>
      <w:sz w:val="17"/>
      <w:szCs w:val="24"/>
    </w:rPr>
  </w:style>
  <w:style w:type="paragraph" w:styleId="EndnoteText">
    <w:name w:val="endnote text"/>
    <w:aliases w:val="2_G"/>
    <w:basedOn w:val="FootnoteText"/>
    <w:link w:val="EndnoteTextChar"/>
    <w:uiPriority w:val="99"/>
    <w:rsid w:val="005729D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
    <w:basedOn w:val="DefaultParagraphFont"/>
    <w:rsid w:val="005729D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5729DD"/>
    <w:rPr>
      <w:rFonts w:ascii="Tahoma" w:hAnsi="Tahoma" w:cs="Tahoma"/>
      <w:sz w:val="16"/>
      <w:szCs w:val="16"/>
    </w:rPr>
  </w:style>
  <w:style w:type="paragraph" w:customStyle="1" w:styleId="HM">
    <w:name w:val="_ H __M"/>
    <w:basedOn w:val="HCh"/>
    <w:next w:val="Normal"/>
    <w:qFormat/>
    <w:rsid w:val="005729DD"/>
    <w:pPr>
      <w:suppressAutoHyphens/>
      <w:spacing w:line="520" w:lineRule="exact"/>
    </w:pPr>
    <w:rPr>
      <w:spacing w:val="-3"/>
      <w:sz w:val="34"/>
      <w:szCs w:val="48"/>
    </w:rPr>
  </w:style>
  <w:style w:type="paragraph" w:customStyle="1" w:styleId="SingleTxt">
    <w:name w:val="__Single Txt"/>
    <w:basedOn w:val="Normal"/>
    <w:qFormat/>
    <w:rsid w:val="005729D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5729DD"/>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5729DD"/>
    <w:pPr>
      <w:keepNext/>
      <w:keepLines/>
      <w:suppressAutoHyphens/>
      <w:spacing w:after="120"/>
      <w:outlineLvl w:val="3"/>
    </w:pPr>
    <w:rPr>
      <w:i/>
      <w:iCs/>
    </w:rPr>
  </w:style>
  <w:style w:type="paragraph" w:customStyle="1" w:styleId="H56">
    <w:name w:val="_ H_5/6"/>
    <w:basedOn w:val="Normal"/>
    <w:next w:val="Normal"/>
    <w:qFormat/>
    <w:rsid w:val="005729DD"/>
    <w:pPr>
      <w:keepNext/>
      <w:keepLines/>
      <w:suppressAutoHyphens/>
      <w:spacing w:after="120"/>
      <w:outlineLvl w:val="4"/>
    </w:pPr>
  </w:style>
  <w:style w:type="paragraph" w:customStyle="1" w:styleId="DualTxt">
    <w:name w:val="__Dual Txt"/>
    <w:basedOn w:val="Normal"/>
    <w:qFormat/>
    <w:rsid w:val="005729DD"/>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729D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5729DD"/>
    <w:pPr>
      <w:tabs>
        <w:tab w:val="center" w:pos="4320"/>
        <w:tab w:val="right" w:pos="8640"/>
      </w:tabs>
      <w:spacing w:line="210" w:lineRule="exact"/>
      <w:jc w:val="right"/>
    </w:pPr>
    <w:rPr>
      <w:b/>
      <w:bCs/>
      <w:kern w:val="14"/>
      <w:sz w:val="17"/>
      <w:szCs w:val="25"/>
      <w:lang w:eastAsia="en-US"/>
    </w:rPr>
  </w:style>
  <w:style w:type="character" w:customStyle="1" w:styleId="FooterChar">
    <w:name w:val="Footer Char"/>
    <w:aliases w:val="3_G Char"/>
    <w:basedOn w:val="DefaultParagraphFont"/>
    <w:link w:val="Footer"/>
    <w:uiPriority w:val="99"/>
    <w:rsid w:val="005729DD"/>
    <w:rPr>
      <w:b/>
      <w:bCs/>
      <w:kern w:val="14"/>
      <w:sz w:val="17"/>
      <w:szCs w:val="25"/>
      <w:lang w:eastAsia="en-US"/>
    </w:rPr>
  </w:style>
  <w:style w:type="paragraph" w:styleId="Header">
    <w:name w:val="header"/>
    <w:aliases w:val="6_G"/>
    <w:link w:val="HeaderChar"/>
    <w:qFormat/>
    <w:rsid w:val="005729DD"/>
    <w:pPr>
      <w:tabs>
        <w:tab w:val="center" w:pos="4320"/>
        <w:tab w:val="right" w:pos="8640"/>
      </w:tabs>
      <w:jc w:val="right"/>
    </w:pPr>
    <w:rPr>
      <w:b/>
      <w:bCs/>
      <w:w w:val="105"/>
      <w:kern w:val="14"/>
      <w:sz w:val="17"/>
      <w:szCs w:val="25"/>
      <w:lang w:eastAsia="en-US"/>
    </w:rPr>
  </w:style>
  <w:style w:type="character" w:customStyle="1" w:styleId="HeaderChar">
    <w:name w:val="Header Char"/>
    <w:aliases w:val="6_G Char"/>
    <w:basedOn w:val="DefaultParagraphFont"/>
    <w:link w:val="Header"/>
    <w:rsid w:val="005729DD"/>
    <w:rPr>
      <w:b/>
      <w:bCs/>
      <w:w w:val="105"/>
      <w:kern w:val="14"/>
      <w:sz w:val="17"/>
      <w:szCs w:val="25"/>
      <w:lang w:eastAsia="en-US"/>
    </w:rPr>
  </w:style>
  <w:style w:type="character" w:customStyle="1" w:styleId="Heading3Char">
    <w:name w:val="Heading 3 Char"/>
    <w:basedOn w:val="DefaultParagraphFont"/>
    <w:link w:val="Heading3"/>
    <w:uiPriority w:val="9"/>
    <w:rsid w:val="005729DD"/>
    <w:rPr>
      <w:rFonts w:ascii="Arial" w:eastAsiaTheme="majorEastAsia" w:hAnsi="Arial" w:cs="Arial"/>
      <w:b/>
      <w:bCs/>
      <w:kern w:val="14"/>
      <w:sz w:val="26"/>
      <w:szCs w:val="26"/>
      <w:lang w:eastAsia="en-US"/>
    </w:rPr>
  </w:style>
  <w:style w:type="paragraph" w:customStyle="1" w:styleId="JSingleTxt">
    <w:name w:val="J__Single Txt"/>
    <w:basedOn w:val="Normal"/>
    <w:qFormat/>
    <w:rsid w:val="005729D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729DD"/>
    <w:pPr>
      <w:spacing w:after="120" w:line="440" w:lineRule="exact"/>
      <w:jc w:val="center"/>
    </w:pPr>
    <w:rPr>
      <w:b/>
      <w:bCs/>
      <w:sz w:val="25"/>
      <w:szCs w:val="38"/>
    </w:rPr>
  </w:style>
  <w:style w:type="paragraph" w:customStyle="1" w:styleId="JH1">
    <w:name w:val="J_H_1"/>
    <w:basedOn w:val="JCH"/>
    <w:qFormat/>
    <w:rsid w:val="005729DD"/>
    <w:pPr>
      <w:spacing w:line="420" w:lineRule="exact"/>
    </w:pPr>
    <w:rPr>
      <w:sz w:val="23"/>
      <w:szCs w:val="34"/>
    </w:rPr>
  </w:style>
  <w:style w:type="paragraph" w:customStyle="1" w:styleId="JH2">
    <w:name w:val="J_H_2"/>
    <w:basedOn w:val="JH1"/>
    <w:qFormat/>
    <w:rsid w:val="005729DD"/>
    <w:pPr>
      <w:spacing w:line="400" w:lineRule="exact"/>
    </w:pPr>
    <w:rPr>
      <w:sz w:val="20"/>
      <w:szCs w:val="30"/>
    </w:rPr>
  </w:style>
  <w:style w:type="paragraph" w:customStyle="1" w:styleId="JSmall">
    <w:name w:val="J_Small"/>
    <w:basedOn w:val="JSingleTxt"/>
    <w:next w:val="JSingleTxt"/>
    <w:qFormat/>
    <w:rsid w:val="005729DD"/>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729D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729DD"/>
    <w:rPr>
      <w:sz w:val="14"/>
      <w:szCs w:val="16"/>
    </w:rPr>
  </w:style>
  <w:style w:type="paragraph" w:customStyle="1" w:styleId="SmallX">
    <w:name w:val="SmallX"/>
    <w:basedOn w:val="Small"/>
    <w:next w:val="Normal"/>
    <w:qFormat/>
    <w:rsid w:val="005729DD"/>
    <w:pPr>
      <w:spacing w:line="240" w:lineRule="exact"/>
    </w:pPr>
    <w:rPr>
      <w:spacing w:val="6"/>
      <w:w w:val="106"/>
      <w:sz w:val="14"/>
      <w:szCs w:val="21"/>
    </w:rPr>
  </w:style>
  <w:style w:type="paragraph" w:customStyle="1" w:styleId="XLarge">
    <w:name w:val="XLarge"/>
    <w:basedOn w:val="HM"/>
    <w:qFormat/>
    <w:rsid w:val="005729D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729DD"/>
    <w:pPr>
      <w:spacing w:line="820" w:lineRule="exact"/>
    </w:pPr>
    <w:rPr>
      <w:spacing w:val="-8"/>
      <w:w w:val="96"/>
      <w:sz w:val="57"/>
      <w:szCs w:val="86"/>
    </w:rPr>
  </w:style>
  <w:style w:type="paragraph" w:customStyle="1" w:styleId="Distribution">
    <w:name w:val="Distribution"/>
    <w:basedOn w:val="Normal"/>
    <w:next w:val="Normal"/>
    <w:qFormat/>
    <w:rsid w:val="005729D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729D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729DD"/>
    <w:pPr>
      <w:tabs>
        <w:tab w:val="left" w:pos="662"/>
        <w:tab w:val="left" w:pos="1267"/>
        <w:tab w:val="left" w:pos="1987"/>
        <w:tab w:val="left" w:pos="2650"/>
      </w:tabs>
      <w:spacing w:line="240" w:lineRule="exact"/>
    </w:pPr>
  </w:style>
  <w:style w:type="paragraph" w:customStyle="1" w:styleId="ReleaseDate">
    <w:name w:val="Release Date"/>
    <w:next w:val="Footer"/>
    <w:qFormat/>
    <w:rsid w:val="005729DD"/>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729DD"/>
    <w:pPr>
      <w:tabs>
        <w:tab w:val="left" w:pos="662"/>
        <w:tab w:val="left" w:pos="1267"/>
        <w:tab w:val="left" w:pos="1987"/>
        <w:tab w:val="left" w:pos="2650"/>
      </w:tabs>
      <w:ind w:left="663" w:hanging="663"/>
    </w:pPr>
  </w:style>
  <w:style w:type="paragraph" w:customStyle="1" w:styleId="Committee">
    <w:name w:val="Committee"/>
    <w:basedOn w:val="H1"/>
    <w:qFormat/>
    <w:rsid w:val="005729DD"/>
    <w:pPr>
      <w:tabs>
        <w:tab w:val="left" w:pos="662"/>
        <w:tab w:val="left" w:pos="1267"/>
        <w:tab w:val="left" w:pos="1987"/>
        <w:tab w:val="left" w:pos="2650"/>
      </w:tabs>
      <w:ind w:right="1264"/>
    </w:pPr>
  </w:style>
  <w:style w:type="paragraph" w:customStyle="1" w:styleId="AgendaItemNormal">
    <w:name w:val="Agenda_Item_Normal"/>
    <w:next w:val="Normal"/>
    <w:qFormat/>
    <w:rsid w:val="005729DD"/>
    <w:pPr>
      <w:spacing w:line="240" w:lineRule="exact"/>
      <w:jc w:val="lowKashida"/>
    </w:pPr>
    <w:rPr>
      <w:w w:val="103"/>
      <w:kern w:val="14"/>
      <w:szCs w:val="30"/>
      <w:lang w:eastAsia="en-US"/>
    </w:rPr>
  </w:style>
  <w:style w:type="paragraph" w:customStyle="1" w:styleId="Sponsors">
    <w:name w:val="Sponsors"/>
    <w:basedOn w:val="H23"/>
    <w:qFormat/>
    <w:rsid w:val="005729DD"/>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paragraph" w:customStyle="1" w:styleId="TitleH1">
    <w:name w:val="Title_H1"/>
    <w:basedOn w:val="H1"/>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uiPriority w:val="99"/>
    <w:rsid w:val="005729DD"/>
    <w:rPr>
      <w:color w:val="0000FF" w:themeColor="hyperlink"/>
      <w:u w:val="single"/>
    </w:rPr>
  </w:style>
  <w:style w:type="character" w:styleId="FollowedHyperlink">
    <w:name w:val="FollowedHyperlink"/>
    <w:basedOn w:val="DefaultParagraphFont"/>
    <w:uiPriority w:val="99"/>
    <w:rsid w:val="005729DD"/>
    <w:rPr>
      <w:color w:val="0000FF"/>
      <w:u w:val="single"/>
    </w:rPr>
  </w:style>
  <w:style w:type="paragraph" w:customStyle="1" w:styleId="Bullet1">
    <w:name w:val="Bullet 1"/>
    <w:basedOn w:val="Normal"/>
    <w:qFormat/>
    <w:rsid w:val="005729DD"/>
    <w:pPr>
      <w:numPr>
        <w:numId w:val="13"/>
      </w:numPr>
      <w:spacing w:after="120"/>
      <w:ind w:right="1264"/>
    </w:pPr>
  </w:style>
  <w:style w:type="paragraph" w:customStyle="1" w:styleId="Bullet2">
    <w:name w:val="Bullet 2"/>
    <w:basedOn w:val="Normal"/>
    <w:qFormat/>
    <w:rsid w:val="005729DD"/>
    <w:pPr>
      <w:numPr>
        <w:numId w:val="14"/>
      </w:numPr>
      <w:spacing w:after="120"/>
      <w:ind w:right="1264"/>
    </w:pPr>
  </w:style>
  <w:style w:type="character" w:styleId="EndnoteReference">
    <w:name w:val="endnote reference"/>
    <w:aliases w:val="1_G"/>
    <w:basedOn w:val="DefaultParagraphFont"/>
    <w:rsid w:val="005729D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729DD"/>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5729DD"/>
    <w:pPr>
      <w:spacing w:after="0" w:line="240" w:lineRule="exact"/>
      <w:ind w:left="0" w:right="0" w:firstLine="0"/>
      <w:outlineLvl w:val="1"/>
    </w:pPr>
    <w:rPr>
      <w:sz w:val="20"/>
    </w:rPr>
  </w:style>
  <w:style w:type="character" w:customStyle="1" w:styleId="BalloonTextChar">
    <w:name w:val="Balloon Text Char"/>
    <w:basedOn w:val="DefaultParagraphFont"/>
    <w:link w:val="BalloonText"/>
    <w:uiPriority w:val="99"/>
    <w:rsid w:val="005729DD"/>
    <w:rPr>
      <w:rFonts w:ascii="Tahoma" w:hAnsi="Tahoma" w:cs="Tahoma"/>
      <w:kern w:val="14"/>
      <w:sz w:val="16"/>
      <w:szCs w:val="16"/>
      <w:lang w:eastAsia="en-US"/>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5729DD"/>
    <w:rPr>
      <w:kern w:val="14"/>
      <w:sz w:val="17"/>
      <w:szCs w:val="24"/>
      <w:lang w:eastAsia="en-US"/>
    </w:rPr>
  </w:style>
  <w:style w:type="character" w:customStyle="1" w:styleId="EndnoteTextChar">
    <w:name w:val="Endnote Text Char"/>
    <w:aliases w:val="2_G Char"/>
    <w:basedOn w:val="DefaultParagraphFont"/>
    <w:link w:val="EndnoteText"/>
    <w:uiPriority w:val="99"/>
    <w:rsid w:val="005729DD"/>
    <w:rPr>
      <w:kern w:val="14"/>
      <w:sz w:val="17"/>
      <w:szCs w:val="24"/>
      <w:lang w:eastAsia="en-US"/>
    </w:rPr>
  </w:style>
  <w:style w:type="character" w:customStyle="1" w:styleId="Heading1Char">
    <w:name w:val="Heading 1 Char"/>
    <w:aliases w:val="Table_G Char"/>
    <w:basedOn w:val="DefaultParagraphFont"/>
    <w:link w:val="Heading1"/>
    <w:uiPriority w:val="9"/>
    <w:rsid w:val="005729DD"/>
    <w:rPr>
      <w:kern w:val="14"/>
      <w:sz w:val="24"/>
      <w:szCs w:val="24"/>
      <w:lang w:eastAsia="en-US"/>
    </w:rPr>
  </w:style>
  <w:style w:type="character" w:customStyle="1" w:styleId="Heading2Char">
    <w:name w:val="Heading 2 Char"/>
    <w:basedOn w:val="DefaultParagraphFont"/>
    <w:link w:val="Heading2"/>
    <w:uiPriority w:val="9"/>
    <w:rsid w:val="005729DD"/>
    <w:rPr>
      <w:kern w:val="14"/>
      <w:szCs w:val="28"/>
      <w:lang w:eastAsia="en-US"/>
    </w:rPr>
  </w:style>
  <w:style w:type="paragraph" w:styleId="CommentText">
    <w:name w:val="annotation text"/>
    <w:basedOn w:val="Normal"/>
    <w:link w:val="CommentTextChar"/>
    <w:rsid w:val="00680CE8"/>
    <w:pPr>
      <w:spacing w:line="240" w:lineRule="auto"/>
    </w:pPr>
    <w:rPr>
      <w:szCs w:val="20"/>
    </w:rPr>
  </w:style>
  <w:style w:type="character" w:customStyle="1" w:styleId="CommentTextChar">
    <w:name w:val="Comment Text Char"/>
    <w:basedOn w:val="DefaultParagraphFont"/>
    <w:link w:val="CommentText"/>
    <w:rsid w:val="00680CE8"/>
    <w:rPr>
      <w:kern w:val="14"/>
      <w:lang w:eastAsia="en-US"/>
    </w:rPr>
  </w:style>
  <w:style w:type="paragraph" w:styleId="CommentSubject">
    <w:name w:val="annotation subject"/>
    <w:basedOn w:val="CommentText"/>
    <w:next w:val="CommentText"/>
    <w:link w:val="CommentSubjectChar"/>
    <w:rsid w:val="00680CE8"/>
    <w:rPr>
      <w:b/>
      <w:bCs/>
    </w:rPr>
  </w:style>
  <w:style w:type="character" w:customStyle="1" w:styleId="CommentSubjectChar">
    <w:name w:val="Comment Subject Char"/>
    <w:basedOn w:val="CommentTextChar"/>
    <w:link w:val="CommentSubject"/>
    <w:rsid w:val="00680CE8"/>
    <w:rPr>
      <w:b/>
      <w:bCs/>
      <w:kern w:val="14"/>
      <w:lang w:eastAsia="en-US"/>
    </w:rPr>
  </w:style>
  <w:style w:type="character" w:customStyle="1" w:styleId="Heading4Char">
    <w:name w:val="Heading 4 Char"/>
    <w:basedOn w:val="DefaultParagraphFont"/>
    <w:link w:val="Heading4"/>
    <w:uiPriority w:val="9"/>
    <w:rsid w:val="00F32B28"/>
    <w:rPr>
      <w:rFonts w:eastAsia="Times New Roman" w:cs="Times New Roman"/>
      <w:lang w:val="en-GB" w:eastAsia="en-US"/>
    </w:rPr>
  </w:style>
  <w:style w:type="character" w:customStyle="1" w:styleId="Heading5Char">
    <w:name w:val="Heading 5 Char"/>
    <w:basedOn w:val="DefaultParagraphFont"/>
    <w:link w:val="Heading5"/>
    <w:uiPriority w:val="9"/>
    <w:rsid w:val="00F32B28"/>
    <w:rPr>
      <w:rFonts w:eastAsia="Times New Roman" w:cs="Times New Roman"/>
      <w:lang w:val="en-GB" w:eastAsia="en-US"/>
    </w:rPr>
  </w:style>
  <w:style w:type="character" w:customStyle="1" w:styleId="Heading6Char">
    <w:name w:val="Heading 6 Char"/>
    <w:basedOn w:val="DefaultParagraphFont"/>
    <w:link w:val="Heading6"/>
    <w:uiPriority w:val="9"/>
    <w:rsid w:val="00F32B28"/>
    <w:rPr>
      <w:rFonts w:eastAsia="Times New Roman" w:cs="Times New Roman"/>
      <w:lang w:val="en-GB" w:eastAsia="en-US"/>
    </w:rPr>
  </w:style>
  <w:style w:type="character" w:customStyle="1" w:styleId="Heading7Char">
    <w:name w:val="Heading 7 Char"/>
    <w:basedOn w:val="DefaultParagraphFont"/>
    <w:link w:val="Heading7"/>
    <w:uiPriority w:val="9"/>
    <w:rsid w:val="00F32B28"/>
    <w:rPr>
      <w:rFonts w:eastAsia="Times New Roman" w:cs="Times New Roman"/>
      <w:lang w:val="en-GB" w:eastAsia="en-US"/>
    </w:rPr>
  </w:style>
  <w:style w:type="character" w:customStyle="1" w:styleId="Heading8Char">
    <w:name w:val="Heading 8 Char"/>
    <w:basedOn w:val="DefaultParagraphFont"/>
    <w:link w:val="Heading8"/>
    <w:rsid w:val="00F32B28"/>
    <w:rPr>
      <w:rFonts w:eastAsia="Times New Roman" w:cs="Times New Roman"/>
      <w:lang w:val="en-GB" w:eastAsia="en-US"/>
    </w:rPr>
  </w:style>
  <w:style w:type="character" w:customStyle="1" w:styleId="Heading9Char">
    <w:name w:val="Heading 9 Char"/>
    <w:basedOn w:val="DefaultParagraphFont"/>
    <w:link w:val="Heading9"/>
    <w:rsid w:val="00F32B28"/>
    <w:rPr>
      <w:rFonts w:eastAsia="Times New Roman" w:cs="Times New Roman"/>
      <w:lang w:val="en-GB" w:eastAsia="en-US"/>
    </w:rPr>
  </w:style>
  <w:style w:type="paragraph" w:customStyle="1" w:styleId="HMG">
    <w:name w:val="_ H __M_G"/>
    <w:basedOn w:val="Normal"/>
    <w:next w:val="Normal"/>
    <w:rsid w:val="00F32B28"/>
    <w:pPr>
      <w:keepNext/>
      <w:keepLines/>
      <w:tabs>
        <w:tab w:val="right" w:pos="851"/>
      </w:tabs>
      <w:suppressAutoHyphens/>
      <w:bidi w:val="0"/>
      <w:spacing w:before="240" w:after="240"/>
      <w:ind w:left="1134" w:right="1134" w:hanging="1134"/>
      <w:jc w:val="left"/>
    </w:pPr>
    <w:rPr>
      <w:rFonts w:eastAsia="Times New Roman" w:cs="Times New Roman"/>
      <w:b/>
      <w:kern w:val="0"/>
      <w:sz w:val="34"/>
      <w:szCs w:val="20"/>
      <w:lang w:val="en-GB"/>
    </w:rPr>
  </w:style>
  <w:style w:type="paragraph" w:customStyle="1" w:styleId="HChG">
    <w:name w:val="_ H _Ch_G"/>
    <w:basedOn w:val="Normal"/>
    <w:next w:val="Normal"/>
    <w:link w:val="HChGChar"/>
    <w:rsid w:val="00F32B28"/>
    <w:pPr>
      <w:keepNext/>
      <w:keepLines/>
      <w:tabs>
        <w:tab w:val="right" w:pos="851"/>
      </w:tabs>
      <w:suppressAutoHyphens/>
      <w:bidi w:val="0"/>
      <w:spacing w:before="360" w:after="240" w:line="300" w:lineRule="exact"/>
      <w:ind w:left="1134" w:right="1134" w:hanging="1134"/>
      <w:jc w:val="left"/>
    </w:pPr>
    <w:rPr>
      <w:rFonts w:eastAsia="Times New Roman" w:cs="Times New Roman"/>
      <w:b/>
      <w:kern w:val="0"/>
      <w:sz w:val="28"/>
      <w:szCs w:val="20"/>
      <w:lang w:val="en-GB"/>
    </w:rPr>
  </w:style>
  <w:style w:type="paragraph" w:customStyle="1" w:styleId="SingleTxtG">
    <w:name w:val="_ Single Txt_G"/>
    <w:basedOn w:val="Normal"/>
    <w:rsid w:val="00F32B28"/>
    <w:pPr>
      <w:suppressAutoHyphens/>
      <w:bidi w:val="0"/>
      <w:spacing w:after="120" w:line="240" w:lineRule="atLeast"/>
      <w:ind w:left="1134" w:right="1134"/>
      <w:jc w:val="both"/>
    </w:pPr>
    <w:rPr>
      <w:rFonts w:eastAsia="Times New Roman" w:cs="Times New Roman"/>
      <w:kern w:val="0"/>
      <w:szCs w:val="20"/>
      <w:lang w:val="en-GB"/>
    </w:rPr>
  </w:style>
  <w:style w:type="character" w:styleId="PageNumber">
    <w:name w:val="page number"/>
    <w:aliases w:val="7_G"/>
    <w:rsid w:val="00F32B28"/>
    <w:rPr>
      <w:rFonts w:ascii="Times New Roman" w:hAnsi="Times New Roman"/>
      <w:b/>
      <w:sz w:val="18"/>
    </w:rPr>
  </w:style>
  <w:style w:type="paragraph" w:styleId="PlainText">
    <w:name w:val="Plain Text"/>
    <w:basedOn w:val="Normal"/>
    <w:link w:val="PlainTextChar"/>
    <w:rsid w:val="00F32B28"/>
    <w:pPr>
      <w:suppressAutoHyphens/>
      <w:bidi w:val="0"/>
      <w:spacing w:line="240" w:lineRule="atLeast"/>
      <w:jc w:val="left"/>
    </w:pPr>
    <w:rPr>
      <w:rFonts w:eastAsia="Times New Roman" w:cs="Courier New"/>
      <w:kern w:val="0"/>
      <w:szCs w:val="20"/>
      <w:lang w:val="en-GB"/>
    </w:rPr>
  </w:style>
  <w:style w:type="character" w:customStyle="1" w:styleId="PlainTextChar">
    <w:name w:val="Plain Text Char"/>
    <w:basedOn w:val="DefaultParagraphFont"/>
    <w:link w:val="PlainText"/>
    <w:rsid w:val="00F32B28"/>
    <w:rPr>
      <w:rFonts w:eastAsia="Times New Roman" w:cs="Courier New"/>
      <w:lang w:val="en-GB" w:eastAsia="en-US"/>
    </w:rPr>
  </w:style>
  <w:style w:type="paragraph" w:styleId="BodyText">
    <w:name w:val="Body Text"/>
    <w:basedOn w:val="Normal"/>
    <w:next w:val="Normal"/>
    <w:link w:val="BodyTextChar"/>
    <w:rsid w:val="00F32B28"/>
    <w:pPr>
      <w:suppressAutoHyphens/>
      <w:bidi w:val="0"/>
      <w:spacing w:line="240" w:lineRule="atLeast"/>
      <w:jc w:val="left"/>
    </w:pPr>
    <w:rPr>
      <w:rFonts w:eastAsia="Times New Roman" w:cs="Times New Roman"/>
      <w:kern w:val="0"/>
      <w:szCs w:val="20"/>
      <w:lang w:val="en-GB"/>
    </w:rPr>
  </w:style>
  <w:style w:type="character" w:customStyle="1" w:styleId="BodyTextChar">
    <w:name w:val="Body Text Char"/>
    <w:basedOn w:val="DefaultParagraphFont"/>
    <w:link w:val="BodyText"/>
    <w:rsid w:val="00F32B28"/>
    <w:rPr>
      <w:rFonts w:eastAsia="Times New Roman" w:cs="Times New Roman"/>
      <w:lang w:val="en-GB" w:eastAsia="en-US"/>
    </w:rPr>
  </w:style>
  <w:style w:type="paragraph" w:styleId="BodyTextIndent">
    <w:name w:val="Body Text Indent"/>
    <w:basedOn w:val="Normal"/>
    <w:link w:val="BodyTextIndentChar"/>
    <w:rsid w:val="00F32B28"/>
    <w:pPr>
      <w:suppressAutoHyphens/>
      <w:bidi w:val="0"/>
      <w:spacing w:after="120" w:line="240" w:lineRule="atLeast"/>
      <w:ind w:left="283"/>
      <w:jc w:val="left"/>
    </w:pPr>
    <w:rPr>
      <w:rFonts w:eastAsia="Times New Roman" w:cs="Times New Roman"/>
      <w:kern w:val="0"/>
      <w:szCs w:val="20"/>
      <w:lang w:val="en-GB"/>
    </w:rPr>
  </w:style>
  <w:style w:type="character" w:customStyle="1" w:styleId="BodyTextIndentChar">
    <w:name w:val="Body Text Indent Char"/>
    <w:basedOn w:val="DefaultParagraphFont"/>
    <w:link w:val="BodyTextIndent"/>
    <w:rsid w:val="00F32B28"/>
    <w:rPr>
      <w:rFonts w:eastAsia="Times New Roman" w:cs="Times New Roman"/>
      <w:lang w:val="en-GB" w:eastAsia="en-US"/>
    </w:rPr>
  </w:style>
  <w:style w:type="paragraph" w:styleId="BlockText">
    <w:name w:val="Block Text"/>
    <w:basedOn w:val="Normal"/>
    <w:rsid w:val="00F32B28"/>
    <w:pPr>
      <w:suppressAutoHyphens/>
      <w:bidi w:val="0"/>
      <w:spacing w:line="240" w:lineRule="atLeast"/>
      <w:ind w:left="1440" w:right="1440"/>
      <w:jc w:val="left"/>
    </w:pPr>
    <w:rPr>
      <w:rFonts w:eastAsia="Times New Roman" w:cs="Times New Roman"/>
      <w:kern w:val="0"/>
      <w:szCs w:val="20"/>
      <w:lang w:val="en-GB"/>
    </w:rPr>
  </w:style>
  <w:style w:type="paragraph" w:customStyle="1" w:styleId="SMG">
    <w:name w:val="__S_M_G"/>
    <w:basedOn w:val="Normal"/>
    <w:next w:val="Normal"/>
    <w:rsid w:val="00F32B28"/>
    <w:pPr>
      <w:keepNext/>
      <w:keepLines/>
      <w:suppressAutoHyphens/>
      <w:bidi w:val="0"/>
      <w:spacing w:before="240" w:after="240" w:line="420" w:lineRule="exact"/>
      <w:ind w:left="1134" w:right="1134"/>
      <w:jc w:val="left"/>
    </w:pPr>
    <w:rPr>
      <w:rFonts w:eastAsia="Times New Roman" w:cs="Times New Roman"/>
      <w:b/>
      <w:kern w:val="0"/>
      <w:sz w:val="40"/>
      <w:szCs w:val="20"/>
      <w:lang w:val="en-GB"/>
    </w:rPr>
  </w:style>
  <w:style w:type="paragraph" w:customStyle="1" w:styleId="SLG">
    <w:name w:val="__S_L_G"/>
    <w:basedOn w:val="Normal"/>
    <w:next w:val="Normal"/>
    <w:rsid w:val="00F32B28"/>
    <w:pPr>
      <w:keepNext/>
      <w:keepLines/>
      <w:suppressAutoHyphens/>
      <w:bidi w:val="0"/>
      <w:spacing w:before="240" w:after="240" w:line="580" w:lineRule="exact"/>
      <w:ind w:left="1134" w:right="1134"/>
      <w:jc w:val="left"/>
    </w:pPr>
    <w:rPr>
      <w:rFonts w:eastAsia="Times New Roman" w:cs="Times New Roman"/>
      <w:b/>
      <w:kern w:val="0"/>
      <w:sz w:val="56"/>
      <w:szCs w:val="20"/>
      <w:lang w:val="en-GB"/>
    </w:rPr>
  </w:style>
  <w:style w:type="paragraph" w:customStyle="1" w:styleId="SSG">
    <w:name w:val="__S_S_G"/>
    <w:basedOn w:val="Normal"/>
    <w:next w:val="Normal"/>
    <w:rsid w:val="00F32B28"/>
    <w:pPr>
      <w:keepNext/>
      <w:keepLines/>
      <w:suppressAutoHyphens/>
      <w:bidi w:val="0"/>
      <w:spacing w:before="240" w:after="240" w:line="300" w:lineRule="exact"/>
      <w:ind w:left="1134" w:right="1134"/>
      <w:jc w:val="left"/>
    </w:pPr>
    <w:rPr>
      <w:rFonts w:eastAsia="Times New Roman" w:cs="Times New Roman"/>
      <w:b/>
      <w:kern w:val="0"/>
      <w:sz w:val="28"/>
      <w:szCs w:val="20"/>
      <w:lang w:val="en-GB"/>
    </w:rPr>
  </w:style>
  <w:style w:type="paragraph" w:customStyle="1" w:styleId="XLargeG">
    <w:name w:val="__XLarge_G"/>
    <w:basedOn w:val="Normal"/>
    <w:next w:val="Normal"/>
    <w:rsid w:val="00F32B28"/>
    <w:pPr>
      <w:keepNext/>
      <w:keepLines/>
      <w:suppressAutoHyphens/>
      <w:bidi w:val="0"/>
      <w:spacing w:before="240" w:after="240" w:line="420" w:lineRule="exact"/>
      <w:ind w:left="1134" w:right="1134"/>
      <w:jc w:val="left"/>
    </w:pPr>
    <w:rPr>
      <w:rFonts w:eastAsia="Times New Roman" w:cs="Times New Roman"/>
      <w:b/>
      <w:kern w:val="0"/>
      <w:sz w:val="40"/>
      <w:szCs w:val="20"/>
      <w:lang w:val="en-GB"/>
    </w:rPr>
  </w:style>
  <w:style w:type="paragraph" w:customStyle="1" w:styleId="Bullet1G">
    <w:name w:val="_Bullet 1_G"/>
    <w:basedOn w:val="Normal"/>
    <w:rsid w:val="00F32B28"/>
    <w:pPr>
      <w:numPr>
        <w:numId w:val="29"/>
      </w:numPr>
      <w:suppressAutoHyphens/>
      <w:bidi w:val="0"/>
      <w:spacing w:after="120" w:line="240" w:lineRule="atLeast"/>
      <w:ind w:right="1134"/>
      <w:jc w:val="both"/>
    </w:pPr>
    <w:rPr>
      <w:rFonts w:eastAsia="Times New Roman" w:cs="Times New Roman"/>
      <w:kern w:val="0"/>
      <w:szCs w:val="20"/>
      <w:lang w:val="en-GB"/>
    </w:rPr>
  </w:style>
  <w:style w:type="paragraph" w:customStyle="1" w:styleId="Bullet2G">
    <w:name w:val="_Bullet 2_G"/>
    <w:basedOn w:val="Normal"/>
    <w:rsid w:val="00F32B28"/>
    <w:pPr>
      <w:numPr>
        <w:numId w:val="30"/>
      </w:numPr>
      <w:suppressAutoHyphens/>
      <w:bidi w:val="0"/>
      <w:spacing w:after="120" w:line="240" w:lineRule="atLeast"/>
      <w:ind w:right="1134"/>
      <w:jc w:val="both"/>
    </w:pPr>
    <w:rPr>
      <w:rFonts w:eastAsia="Times New Roman" w:cs="Times New Roman"/>
      <w:kern w:val="0"/>
      <w:szCs w:val="20"/>
      <w:lang w:val="en-GB"/>
    </w:rPr>
  </w:style>
  <w:style w:type="paragraph" w:customStyle="1" w:styleId="H1G">
    <w:name w:val="_ H_1_G"/>
    <w:basedOn w:val="Normal"/>
    <w:next w:val="Normal"/>
    <w:rsid w:val="00F32B28"/>
    <w:pPr>
      <w:keepNext/>
      <w:keepLines/>
      <w:tabs>
        <w:tab w:val="right" w:pos="851"/>
      </w:tabs>
      <w:suppressAutoHyphens/>
      <w:bidi w:val="0"/>
      <w:spacing w:before="360" w:after="240" w:line="270" w:lineRule="exact"/>
      <w:ind w:left="1134" w:right="1134" w:hanging="1134"/>
      <w:jc w:val="left"/>
    </w:pPr>
    <w:rPr>
      <w:rFonts w:eastAsia="Times New Roman" w:cs="Times New Roman"/>
      <w:b/>
      <w:kern w:val="0"/>
      <w:sz w:val="24"/>
      <w:szCs w:val="20"/>
      <w:lang w:val="en-GB"/>
    </w:rPr>
  </w:style>
  <w:style w:type="paragraph" w:customStyle="1" w:styleId="H23G">
    <w:name w:val="_ H_2/3_G"/>
    <w:basedOn w:val="Normal"/>
    <w:next w:val="Normal"/>
    <w:rsid w:val="00F32B28"/>
    <w:pPr>
      <w:keepNext/>
      <w:keepLines/>
      <w:tabs>
        <w:tab w:val="right" w:pos="851"/>
      </w:tabs>
      <w:suppressAutoHyphens/>
      <w:bidi w:val="0"/>
      <w:spacing w:before="240" w:after="120" w:line="240" w:lineRule="exact"/>
      <w:ind w:left="1134" w:right="1134" w:hanging="1134"/>
      <w:jc w:val="left"/>
    </w:pPr>
    <w:rPr>
      <w:rFonts w:eastAsia="Times New Roman" w:cs="Times New Roman"/>
      <w:b/>
      <w:kern w:val="0"/>
      <w:szCs w:val="20"/>
      <w:lang w:val="en-GB"/>
    </w:rPr>
  </w:style>
  <w:style w:type="paragraph" w:customStyle="1" w:styleId="H4G">
    <w:name w:val="_ H_4_G"/>
    <w:basedOn w:val="Normal"/>
    <w:next w:val="Normal"/>
    <w:rsid w:val="00F32B28"/>
    <w:pPr>
      <w:keepNext/>
      <w:keepLines/>
      <w:tabs>
        <w:tab w:val="right" w:pos="851"/>
      </w:tabs>
      <w:suppressAutoHyphens/>
      <w:bidi w:val="0"/>
      <w:spacing w:before="240" w:after="120" w:line="240" w:lineRule="exact"/>
      <w:ind w:left="1134" w:right="1134" w:hanging="1134"/>
      <w:jc w:val="left"/>
    </w:pPr>
    <w:rPr>
      <w:rFonts w:eastAsia="Times New Roman" w:cs="Times New Roman"/>
      <w:i/>
      <w:kern w:val="0"/>
      <w:szCs w:val="20"/>
      <w:lang w:val="en-GB"/>
    </w:rPr>
  </w:style>
  <w:style w:type="paragraph" w:customStyle="1" w:styleId="H56G">
    <w:name w:val="_ H_5/6_G"/>
    <w:basedOn w:val="Normal"/>
    <w:next w:val="Normal"/>
    <w:rsid w:val="00F32B28"/>
    <w:pPr>
      <w:keepNext/>
      <w:keepLines/>
      <w:tabs>
        <w:tab w:val="right" w:pos="851"/>
      </w:tabs>
      <w:suppressAutoHyphens/>
      <w:bidi w:val="0"/>
      <w:spacing w:before="240" w:after="120" w:line="240" w:lineRule="exact"/>
      <w:ind w:left="1134" w:right="1134" w:hanging="1134"/>
      <w:jc w:val="left"/>
    </w:pPr>
    <w:rPr>
      <w:rFonts w:eastAsia="Times New Roman" w:cs="Times New Roman"/>
      <w:kern w:val="0"/>
      <w:szCs w:val="20"/>
      <w:lang w:val="en-GB"/>
    </w:rPr>
  </w:style>
  <w:style w:type="numbering" w:styleId="111111">
    <w:name w:val="Outline List 2"/>
    <w:basedOn w:val="NoList"/>
    <w:rsid w:val="00F32B28"/>
    <w:pPr>
      <w:numPr>
        <w:numId w:val="26"/>
      </w:numPr>
    </w:pPr>
  </w:style>
  <w:style w:type="numbering" w:styleId="1ai">
    <w:name w:val="Outline List 1"/>
    <w:basedOn w:val="NoList"/>
    <w:rsid w:val="00F32B28"/>
    <w:pPr>
      <w:numPr>
        <w:numId w:val="27"/>
      </w:numPr>
    </w:pPr>
  </w:style>
  <w:style w:type="numbering" w:styleId="ArticleSection">
    <w:name w:val="Outline List 3"/>
    <w:basedOn w:val="NoList"/>
    <w:rsid w:val="00F32B28"/>
    <w:pPr>
      <w:numPr>
        <w:numId w:val="28"/>
      </w:numPr>
    </w:pPr>
  </w:style>
  <w:style w:type="paragraph" w:styleId="BodyText2">
    <w:name w:val="Body Text 2"/>
    <w:basedOn w:val="Normal"/>
    <w:link w:val="BodyText2Char"/>
    <w:rsid w:val="00F32B28"/>
    <w:pPr>
      <w:suppressAutoHyphens/>
      <w:bidi w:val="0"/>
      <w:spacing w:after="120" w:line="480" w:lineRule="auto"/>
      <w:jc w:val="left"/>
    </w:pPr>
    <w:rPr>
      <w:rFonts w:eastAsia="Times New Roman" w:cs="Times New Roman"/>
      <w:kern w:val="0"/>
      <w:szCs w:val="20"/>
      <w:lang w:val="en-GB"/>
    </w:rPr>
  </w:style>
  <w:style w:type="character" w:customStyle="1" w:styleId="BodyText2Char">
    <w:name w:val="Body Text 2 Char"/>
    <w:basedOn w:val="DefaultParagraphFont"/>
    <w:link w:val="BodyText2"/>
    <w:rsid w:val="00F32B28"/>
    <w:rPr>
      <w:rFonts w:eastAsia="Times New Roman" w:cs="Times New Roman"/>
      <w:lang w:val="en-GB" w:eastAsia="en-US"/>
    </w:rPr>
  </w:style>
  <w:style w:type="paragraph" w:styleId="BodyText3">
    <w:name w:val="Body Text 3"/>
    <w:basedOn w:val="Normal"/>
    <w:link w:val="BodyText3Char"/>
    <w:rsid w:val="00F32B28"/>
    <w:pPr>
      <w:suppressAutoHyphens/>
      <w:bidi w:val="0"/>
      <w:spacing w:after="120" w:line="240" w:lineRule="atLeast"/>
      <w:jc w:val="left"/>
    </w:pPr>
    <w:rPr>
      <w:rFonts w:eastAsia="Times New Roman" w:cs="Times New Roman"/>
      <w:kern w:val="0"/>
      <w:sz w:val="16"/>
      <w:szCs w:val="16"/>
      <w:lang w:val="en-GB"/>
    </w:rPr>
  </w:style>
  <w:style w:type="character" w:customStyle="1" w:styleId="BodyText3Char">
    <w:name w:val="Body Text 3 Char"/>
    <w:basedOn w:val="DefaultParagraphFont"/>
    <w:link w:val="BodyText3"/>
    <w:rsid w:val="00F32B28"/>
    <w:rPr>
      <w:rFonts w:eastAsia="Times New Roman" w:cs="Times New Roman"/>
      <w:sz w:val="16"/>
      <w:szCs w:val="16"/>
      <w:lang w:val="en-GB" w:eastAsia="en-US"/>
    </w:rPr>
  </w:style>
  <w:style w:type="paragraph" w:styleId="BodyTextFirstIndent">
    <w:name w:val="Body Text First Indent"/>
    <w:basedOn w:val="BodyText"/>
    <w:link w:val="BodyTextFirstIndentChar"/>
    <w:rsid w:val="00F32B28"/>
    <w:pPr>
      <w:spacing w:after="120"/>
      <w:ind w:firstLine="210"/>
    </w:pPr>
  </w:style>
  <w:style w:type="character" w:customStyle="1" w:styleId="BodyTextFirstIndentChar">
    <w:name w:val="Body Text First Indent Char"/>
    <w:basedOn w:val="BodyTextChar"/>
    <w:link w:val="BodyTextFirstIndent"/>
    <w:rsid w:val="00F32B28"/>
    <w:rPr>
      <w:rFonts w:eastAsia="Times New Roman" w:cs="Times New Roman"/>
      <w:lang w:val="en-GB" w:eastAsia="en-US"/>
    </w:rPr>
  </w:style>
  <w:style w:type="paragraph" w:styleId="BodyTextFirstIndent2">
    <w:name w:val="Body Text First Indent 2"/>
    <w:basedOn w:val="BodyTextIndent"/>
    <w:link w:val="BodyTextFirstIndent2Char"/>
    <w:rsid w:val="00F32B28"/>
    <w:pPr>
      <w:ind w:firstLine="210"/>
    </w:pPr>
  </w:style>
  <w:style w:type="character" w:customStyle="1" w:styleId="BodyTextFirstIndent2Char">
    <w:name w:val="Body Text First Indent 2 Char"/>
    <w:basedOn w:val="BodyTextIndentChar"/>
    <w:link w:val="BodyTextFirstIndent2"/>
    <w:rsid w:val="00F32B28"/>
    <w:rPr>
      <w:rFonts w:eastAsia="Times New Roman" w:cs="Times New Roman"/>
      <w:lang w:val="en-GB" w:eastAsia="en-US"/>
    </w:rPr>
  </w:style>
  <w:style w:type="paragraph" w:styleId="BodyTextIndent2">
    <w:name w:val="Body Text Indent 2"/>
    <w:basedOn w:val="Normal"/>
    <w:link w:val="BodyTextIndent2Char"/>
    <w:rsid w:val="00F32B28"/>
    <w:pPr>
      <w:suppressAutoHyphens/>
      <w:bidi w:val="0"/>
      <w:spacing w:after="120" w:line="480" w:lineRule="auto"/>
      <w:ind w:left="283"/>
      <w:jc w:val="left"/>
    </w:pPr>
    <w:rPr>
      <w:rFonts w:eastAsia="Times New Roman" w:cs="Times New Roman"/>
      <w:kern w:val="0"/>
      <w:szCs w:val="20"/>
      <w:lang w:val="en-GB"/>
    </w:rPr>
  </w:style>
  <w:style w:type="character" w:customStyle="1" w:styleId="BodyTextIndent2Char">
    <w:name w:val="Body Text Indent 2 Char"/>
    <w:basedOn w:val="DefaultParagraphFont"/>
    <w:link w:val="BodyTextIndent2"/>
    <w:rsid w:val="00F32B28"/>
    <w:rPr>
      <w:rFonts w:eastAsia="Times New Roman" w:cs="Times New Roman"/>
      <w:lang w:val="en-GB" w:eastAsia="en-US"/>
    </w:rPr>
  </w:style>
  <w:style w:type="paragraph" w:styleId="BodyTextIndent3">
    <w:name w:val="Body Text Indent 3"/>
    <w:basedOn w:val="Normal"/>
    <w:link w:val="BodyTextIndent3Char"/>
    <w:rsid w:val="00F32B28"/>
    <w:pPr>
      <w:suppressAutoHyphens/>
      <w:bidi w:val="0"/>
      <w:spacing w:after="120" w:line="240" w:lineRule="atLeast"/>
      <w:ind w:left="283"/>
      <w:jc w:val="left"/>
    </w:pPr>
    <w:rPr>
      <w:rFonts w:eastAsia="Times New Roman" w:cs="Times New Roman"/>
      <w:kern w:val="0"/>
      <w:sz w:val="16"/>
      <w:szCs w:val="16"/>
      <w:lang w:val="en-GB"/>
    </w:rPr>
  </w:style>
  <w:style w:type="character" w:customStyle="1" w:styleId="BodyTextIndent3Char">
    <w:name w:val="Body Text Indent 3 Char"/>
    <w:basedOn w:val="DefaultParagraphFont"/>
    <w:link w:val="BodyTextIndent3"/>
    <w:rsid w:val="00F32B28"/>
    <w:rPr>
      <w:rFonts w:eastAsia="Times New Roman" w:cs="Times New Roman"/>
      <w:sz w:val="16"/>
      <w:szCs w:val="16"/>
      <w:lang w:val="en-GB" w:eastAsia="en-US"/>
    </w:rPr>
  </w:style>
  <w:style w:type="paragraph" w:styleId="Closing">
    <w:name w:val="Closing"/>
    <w:basedOn w:val="Normal"/>
    <w:link w:val="ClosingChar"/>
    <w:rsid w:val="00F32B28"/>
    <w:pPr>
      <w:suppressAutoHyphens/>
      <w:bidi w:val="0"/>
      <w:spacing w:line="240" w:lineRule="atLeast"/>
      <w:ind w:left="4252"/>
      <w:jc w:val="left"/>
    </w:pPr>
    <w:rPr>
      <w:rFonts w:eastAsia="Times New Roman" w:cs="Times New Roman"/>
      <w:kern w:val="0"/>
      <w:szCs w:val="20"/>
      <w:lang w:val="en-GB"/>
    </w:rPr>
  </w:style>
  <w:style w:type="character" w:customStyle="1" w:styleId="ClosingChar">
    <w:name w:val="Closing Char"/>
    <w:basedOn w:val="DefaultParagraphFont"/>
    <w:link w:val="Closing"/>
    <w:rsid w:val="00F32B28"/>
    <w:rPr>
      <w:rFonts w:eastAsia="Times New Roman" w:cs="Times New Roman"/>
      <w:lang w:val="en-GB" w:eastAsia="en-US"/>
    </w:rPr>
  </w:style>
  <w:style w:type="paragraph" w:styleId="Date">
    <w:name w:val="Date"/>
    <w:basedOn w:val="Normal"/>
    <w:next w:val="Normal"/>
    <w:link w:val="DateChar"/>
    <w:rsid w:val="00F32B28"/>
    <w:pPr>
      <w:suppressAutoHyphens/>
      <w:bidi w:val="0"/>
      <w:spacing w:line="240" w:lineRule="atLeast"/>
      <w:jc w:val="left"/>
    </w:pPr>
    <w:rPr>
      <w:rFonts w:eastAsia="Times New Roman" w:cs="Times New Roman"/>
      <w:kern w:val="0"/>
      <w:szCs w:val="20"/>
      <w:lang w:val="en-GB"/>
    </w:rPr>
  </w:style>
  <w:style w:type="character" w:customStyle="1" w:styleId="DateChar">
    <w:name w:val="Date Char"/>
    <w:basedOn w:val="DefaultParagraphFont"/>
    <w:link w:val="Date"/>
    <w:rsid w:val="00F32B28"/>
    <w:rPr>
      <w:rFonts w:eastAsia="Times New Roman" w:cs="Times New Roman"/>
      <w:lang w:val="en-GB" w:eastAsia="en-US"/>
    </w:rPr>
  </w:style>
  <w:style w:type="paragraph" w:styleId="E-mailSignature">
    <w:name w:val="E-mail Signature"/>
    <w:basedOn w:val="Normal"/>
    <w:link w:val="E-mailSignatureChar"/>
    <w:rsid w:val="00F32B28"/>
    <w:pPr>
      <w:suppressAutoHyphens/>
      <w:bidi w:val="0"/>
      <w:spacing w:line="240" w:lineRule="atLeast"/>
      <w:jc w:val="left"/>
    </w:pPr>
    <w:rPr>
      <w:rFonts w:eastAsia="Times New Roman" w:cs="Times New Roman"/>
      <w:kern w:val="0"/>
      <w:szCs w:val="20"/>
      <w:lang w:val="en-GB"/>
    </w:rPr>
  </w:style>
  <w:style w:type="character" w:customStyle="1" w:styleId="E-mailSignatureChar">
    <w:name w:val="E-mail Signature Char"/>
    <w:basedOn w:val="DefaultParagraphFont"/>
    <w:link w:val="E-mailSignature"/>
    <w:rsid w:val="00F32B28"/>
    <w:rPr>
      <w:rFonts w:eastAsia="Times New Roman" w:cs="Times New Roman"/>
      <w:lang w:val="en-GB" w:eastAsia="en-US"/>
    </w:rPr>
  </w:style>
  <w:style w:type="character" w:styleId="Emphasis">
    <w:name w:val="Emphasis"/>
    <w:uiPriority w:val="20"/>
    <w:qFormat/>
    <w:rsid w:val="00F32B28"/>
    <w:rPr>
      <w:i/>
      <w:iCs/>
    </w:rPr>
  </w:style>
  <w:style w:type="paragraph" w:styleId="EnvelopeReturn">
    <w:name w:val="envelope return"/>
    <w:basedOn w:val="Normal"/>
    <w:rsid w:val="00F32B28"/>
    <w:pPr>
      <w:suppressAutoHyphens/>
      <w:bidi w:val="0"/>
      <w:spacing w:line="240" w:lineRule="atLeast"/>
      <w:jc w:val="left"/>
    </w:pPr>
    <w:rPr>
      <w:rFonts w:ascii="Arial" w:eastAsia="Times New Roman" w:hAnsi="Arial" w:cs="Arial"/>
      <w:kern w:val="0"/>
      <w:szCs w:val="20"/>
      <w:lang w:val="en-GB"/>
    </w:rPr>
  </w:style>
  <w:style w:type="character" w:styleId="HTMLAcronym">
    <w:name w:val="HTML Acronym"/>
    <w:basedOn w:val="DefaultParagraphFont"/>
    <w:rsid w:val="00F32B28"/>
  </w:style>
  <w:style w:type="paragraph" w:styleId="HTMLAddress">
    <w:name w:val="HTML Address"/>
    <w:basedOn w:val="Normal"/>
    <w:link w:val="HTMLAddressChar"/>
    <w:rsid w:val="00F32B28"/>
    <w:pPr>
      <w:suppressAutoHyphens/>
      <w:bidi w:val="0"/>
      <w:spacing w:line="240" w:lineRule="atLeast"/>
      <w:jc w:val="left"/>
    </w:pPr>
    <w:rPr>
      <w:rFonts w:eastAsia="Times New Roman" w:cs="Times New Roman"/>
      <w:i/>
      <w:iCs/>
      <w:kern w:val="0"/>
      <w:szCs w:val="20"/>
      <w:lang w:val="en-GB"/>
    </w:rPr>
  </w:style>
  <w:style w:type="character" w:customStyle="1" w:styleId="HTMLAddressChar">
    <w:name w:val="HTML Address Char"/>
    <w:basedOn w:val="DefaultParagraphFont"/>
    <w:link w:val="HTMLAddress"/>
    <w:rsid w:val="00F32B28"/>
    <w:rPr>
      <w:rFonts w:eastAsia="Times New Roman" w:cs="Times New Roman"/>
      <w:i/>
      <w:iCs/>
      <w:lang w:val="en-GB" w:eastAsia="en-US"/>
    </w:rPr>
  </w:style>
  <w:style w:type="character" w:styleId="HTMLCite">
    <w:name w:val="HTML Cite"/>
    <w:rsid w:val="00F32B28"/>
    <w:rPr>
      <w:i/>
      <w:iCs/>
    </w:rPr>
  </w:style>
  <w:style w:type="character" w:styleId="HTMLCode">
    <w:name w:val="HTML Code"/>
    <w:rsid w:val="00F32B28"/>
    <w:rPr>
      <w:rFonts w:ascii="Courier New" w:hAnsi="Courier New" w:cs="Courier New"/>
      <w:sz w:val="20"/>
      <w:szCs w:val="20"/>
    </w:rPr>
  </w:style>
  <w:style w:type="character" w:styleId="HTMLDefinition">
    <w:name w:val="HTML Definition"/>
    <w:rsid w:val="00F32B28"/>
    <w:rPr>
      <w:i/>
      <w:iCs/>
    </w:rPr>
  </w:style>
  <w:style w:type="character" w:styleId="HTMLKeyboard">
    <w:name w:val="HTML Keyboard"/>
    <w:rsid w:val="00F32B28"/>
    <w:rPr>
      <w:rFonts w:ascii="Courier New" w:hAnsi="Courier New" w:cs="Courier New"/>
      <w:sz w:val="20"/>
      <w:szCs w:val="20"/>
    </w:rPr>
  </w:style>
  <w:style w:type="paragraph" w:styleId="HTMLPreformatted">
    <w:name w:val="HTML Preformatted"/>
    <w:basedOn w:val="Normal"/>
    <w:link w:val="HTMLPreformattedChar"/>
    <w:rsid w:val="00F32B28"/>
    <w:pPr>
      <w:suppressAutoHyphens/>
      <w:bidi w:val="0"/>
      <w:spacing w:line="240" w:lineRule="atLeast"/>
      <w:jc w:val="left"/>
    </w:pPr>
    <w:rPr>
      <w:rFonts w:ascii="Courier New" w:eastAsia="Times New Roman" w:hAnsi="Courier New" w:cs="Courier New"/>
      <w:kern w:val="0"/>
      <w:szCs w:val="20"/>
      <w:lang w:val="en-GB"/>
    </w:rPr>
  </w:style>
  <w:style w:type="character" w:customStyle="1" w:styleId="HTMLPreformattedChar">
    <w:name w:val="HTML Preformatted Char"/>
    <w:basedOn w:val="DefaultParagraphFont"/>
    <w:link w:val="HTMLPreformatted"/>
    <w:rsid w:val="00F32B28"/>
    <w:rPr>
      <w:rFonts w:ascii="Courier New" w:eastAsia="Times New Roman" w:hAnsi="Courier New" w:cs="Courier New"/>
      <w:lang w:val="en-GB" w:eastAsia="en-US"/>
    </w:rPr>
  </w:style>
  <w:style w:type="character" w:styleId="HTMLSample">
    <w:name w:val="HTML Sample"/>
    <w:rsid w:val="00F32B28"/>
    <w:rPr>
      <w:rFonts w:ascii="Courier New" w:hAnsi="Courier New" w:cs="Courier New"/>
    </w:rPr>
  </w:style>
  <w:style w:type="character" w:styleId="HTMLTypewriter">
    <w:name w:val="HTML Typewriter"/>
    <w:rsid w:val="00F32B28"/>
    <w:rPr>
      <w:rFonts w:ascii="Courier New" w:hAnsi="Courier New" w:cs="Courier New"/>
      <w:sz w:val="20"/>
      <w:szCs w:val="20"/>
    </w:rPr>
  </w:style>
  <w:style w:type="character" w:styleId="HTMLVariable">
    <w:name w:val="HTML Variable"/>
    <w:rsid w:val="00F32B28"/>
    <w:rPr>
      <w:i/>
      <w:iCs/>
    </w:rPr>
  </w:style>
  <w:style w:type="paragraph" w:styleId="List">
    <w:name w:val="List"/>
    <w:basedOn w:val="Normal"/>
    <w:rsid w:val="00F32B28"/>
    <w:pPr>
      <w:suppressAutoHyphens/>
      <w:bidi w:val="0"/>
      <w:spacing w:line="240" w:lineRule="atLeast"/>
      <w:ind w:left="283" w:hanging="283"/>
      <w:jc w:val="left"/>
    </w:pPr>
    <w:rPr>
      <w:rFonts w:eastAsia="Times New Roman" w:cs="Times New Roman"/>
      <w:kern w:val="0"/>
      <w:szCs w:val="20"/>
      <w:lang w:val="en-GB"/>
    </w:rPr>
  </w:style>
  <w:style w:type="paragraph" w:styleId="List2">
    <w:name w:val="List 2"/>
    <w:basedOn w:val="Normal"/>
    <w:rsid w:val="00F32B28"/>
    <w:pPr>
      <w:suppressAutoHyphens/>
      <w:bidi w:val="0"/>
      <w:spacing w:line="240" w:lineRule="atLeast"/>
      <w:ind w:left="566" w:hanging="283"/>
      <w:jc w:val="left"/>
    </w:pPr>
    <w:rPr>
      <w:rFonts w:eastAsia="Times New Roman" w:cs="Times New Roman"/>
      <w:kern w:val="0"/>
      <w:szCs w:val="20"/>
      <w:lang w:val="en-GB"/>
    </w:rPr>
  </w:style>
  <w:style w:type="paragraph" w:styleId="List3">
    <w:name w:val="List 3"/>
    <w:basedOn w:val="Normal"/>
    <w:rsid w:val="00F32B28"/>
    <w:pPr>
      <w:suppressAutoHyphens/>
      <w:bidi w:val="0"/>
      <w:spacing w:line="240" w:lineRule="atLeast"/>
      <w:ind w:left="849" w:hanging="283"/>
      <w:jc w:val="left"/>
    </w:pPr>
    <w:rPr>
      <w:rFonts w:eastAsia="Times New Roman" w:cs="Times New Roman"/>
      <w:kern w:val="0"/>
      <w:szCs w:val="20"/>
      <w:lang w:val="en-GB"/>
    </w:rPr>
  </w:style>
  <w:style w:type="paragraph" w:styleId="List4">
    <w:name w:val="List 4"/>
    <w:basedOn w:val="Normal"/>
    <w:rsid w:val="00F32B28"/>
    <w:pPr>
      <w:suppressAutoHyphens/>
      <w:bidi w:val="0"/>
      <w:spacing w:line="240" w:lineRule="atLeast"/>
      <w:ind w:left="1132" w:hanging="283"/>
      <w:jc w:val="left"/>
    </w:pPr>
    <w:rPr>
      <w:rFonts w:eastAsia="Times New Roman" w:cs="Times New Roman"/>
      <w:kern w:val="0"/>
      <w:szCs w:val="20"/>
      <w:lang w:val="en-GB"/>
    </w:rPr>
  </w:style>
  <w:style w:type="paragraph" w:styleId="List5">
    <w:name w:val="List 5"/>
    <w:basedOn w:val="Normal"/>
    <w:rsid w:val="00F32B28"/>
    <w:pPr>
      <w:suppressAutoHyphens/>
      <w:bidi w:val="0"/>
      <w:spacing w:line="240" w:lineRule="atLeast"/>
      <w:ind w:left="1415" w:hanging="283"/>
      <w:jc w:val="left"/>
    </w:pPr>
    <w:rPr>
      <w:rFonts w:eastAsia="Times New Roman" w:cs="Times New Roman"/>
      <w:kern w:val="0"/>
      <w:szCs w:val="20"/>
      <w:lang w:val="en-GB"/>
    </w:rPr>
  </w:style>
  <w:style w:type="paragraph" w:styleId="ListBullet">
    <w:name w:val="List Bullet"/>
    <w:basedOn w:val="Normal"/>
    <w:rsid w:val="00F32B28"/>
    <w:pPr>
      <w:numPr>
        <w:numId w:val="21"/>
      </w:numPr>
      <w:suppressAutoHyphens/>
      <w:bidi w:val="0"/>
      <w:spacing w:line="240" w:lineRule="atLeast"/>
      <w:jc w:val="left"/>
    </w:pPr>
    <w:rPr>
      <w:rFonts w:eastAsia="Times New Roman" w:cs="Times New Roman"/>
      <w:kern w:val="0"/>
      <w:szCs w:val="20"/>
      <w:lang w:val="en-GB"/>
    </w:rPr>
  </w:style>
  <w:style w:type="paragraph" w:styleId="ListBullet2">
    <w:name w:val="List Bullet 2"/>
    <w:basedOn w:val="Normal"/>
    <w:rsid w:val="00F32B28"/>
    <w:pPr>
      <w:numPr>
        <w:numId w:val="22"/>
      </w:numPr>
      <w:suppressAutoHyphens/>
      <w:bidi w:val="0"/>
      <w:spacing w:line="240" w:lineRule="atLeast"/>
      <w:jc w:val="left"/>
    </w:pPr>
    <w:rPr>
      <w:rFonts w:eastAsia="Times New Roman" w:cs="Times New Roman"/>
      <w:kern w:val="0"/>
      <w:szCs w:val="20"/>
      <w:lang w:val="en-GB"/>
    </w:rPr>
  </w:style>
  <w:style w:type="paragraph" w:styleId="ListBullet3">
    <w:name w:val="List Bullet 3"/>
    <w:basedOn w:val="Normal"/>
    <w:rsid w:val="00F32B28"/>
    <w:pPr>
      <w:numPr>
        <w:numId w:val="23"/>
      </w:numPr>
      <w:suppressAutoHyphens/>
      <w:bidi w:val="0"/>
      <w:spacing w:line="240" w:lineRule="atLeast"/>
      <w:jc w:val="left"/>
    </w:pPr>
    <w:rPr>
      <w:rFonts w:eastAsia="Times New Roman" w:cs="Times New Roman"/>
      <w:kern w:val="0"/>
      <w:szCs w:val="20"/>
      <w:lang w:val="en-GB"/>
    </w:rPr>
  </w:style>
  <w:style w:type="paragraph" w:styleId="ListBullet4">
    <w:name w:val="List Bullet 4"/>
    <w:basedOn w:val="Normal"/>
    <w:rsid w:val="00F32B28"/>
    <w:pPr>
      <w:numPr>
        <w:numId w:val="24"/>
      </w:numPr>
      <w:suppressAutoHyphens/>
      <w:bidi w:val="0"/>
      <w:spacing w:line="240" w:lineRule="atLeast"/>
      <w:jc w:val="left"/>
    </w:pPr>
    <w:rPr>
      <w:rFonts w:eastAsia="Times New Roman" w:cs="Times New Roman"/>
      <w:kern w:val="0"/>
      <w:szCs w:val="20"/>
      <w:lang w:val="en-GB"/>
    </w:rPr>
  </w:style>
  <w:style w:type="paragraph" w:styleId="ListBullet5">
    <w:name w:val="List Bullet 5"/>
    <w:basedOn w:val="Normal"/>
    <w:rsid w:val="00F32B28"/>
    <w:pPr>
      <w:numPr>
        <w:numId w:val="25"/>
      </w:numPr>
      <w:suppressAutoHyphens/>
      <w:bidi w:val="0"/>
      <w:spacing w:line="240" w:lineRule="atLeast"/>
      <w:jc w:val="left"/>
    </w:pPr>
    <w:rPr>
      <w:rFonts w:eastAsia="Times New Roman" w:cs="Times New Roman"/>
      <w:kern w:val="0"/>
      <w:szCs w:val="20"/>
      <w:lang w:val="en-GB"/>
    </w:rPr>
  </w:style>
  <w:style w:type="paragraph" w:styleId="ListContinue">
    <w:name w:val="List Continue"/>
    <w:basedOn w:val="Normal"/>
    <w:rsid w:val="00F32B28"/>
    <w:pPr>
      <w:suppressAutoHyphens/>
      <w:bidi w:val="0"/>
      <w:spacing w:after="120" w:line="240" w:lineRule="atLeast"/>
      <w:ind w:left="283"/>
      <w:jc w:val="left"/>
    </w:pPr>
    <w:rPr>
      <w:rFonts w:eastAsia="Times New Roman" w:cs="Times New Roman"/>
      <w:kern w:val="0"/>
      <w:szCs w:val="20"/>
      <w:lang w:val="en-GB"/>
    </w:rPr>
  </w:style>
  <w:style w:type="paragraph" w:styleId="ListContinue2">
    <w:name w:val="List Continue 2"/>
    <w:basedOn w:val="Normal"/>
    <w:rsid w:val="00F32B28"/>
    <w:pPr>
      <w:suppressAutoHyphens/>
      <w:bidi w:val="0"/>
      <w:spacing w:after="120" w:line="240" w:lineRule="atLeast"/>
      <w:ind w:left="566"/>
      <w:jc w:val="left"/>
    </w:pPr>
    <w:rPr>
      <w:rFonts w:eastAsia="Times New Roman" w:cs="Times New Roman"/>
      <w:kern w:val="0"/>
      <w:szCs w:val="20"/>
      <w:lang w:val="en-GB"/>
    </w:rPr>
  </w:style>
  <w:style w:type="paragraph" w:styleId="ListContinue3">
    <w:name w:val="List Continue 3"/>
    <w:basedOn w:val="Normal"/>
    <w:rsid w:val="00F32B28"/>
    <w:pPr>
      <w:suppressAutoHyphens/>
      <w:bidi w:val="0"/>
      <w:spacing w:after="120" w:line="240" w:lineRule="atLeast"/>
      <w:ind w:left="849"/>
      <w:jc w:val="left"/>
    </w:pPr>
    <w:rPr>
      <w:rFonts w:eastAsia="Times New Roman" w:cs="Times New Roman"/>
      <w:kern w:val="0"/>
      <w:szCs w:val="20"/>
      <w:lang w:val="en-GB"/>
    </w:rPr>
  </w:style>
  <w:style w:type="paragraph" w:styleId="ListContinue4">
    <w:name w:val="List Continue 4"/>
    <w:basedOn w:val="Normal"/>
    <w:rsid w:val="00F32B28"/>
    <w:pPr>
      <w:suppressAutoHyphens/>
      <w:bidi w:val="0"/>
      <w:spacing w:after="120" w:line="240" w:lineRule="atLeast"/>
      <w:ind w:left="1132"/>
      <w:jc w:val="left"/>
    </w:pPr>
    <w:rPr>
      <w:rFonts w:eastAsia="Times New Roman" w:cs="Times New Roman"/>
      <w:kern w:val="0"/>
      <w:szCs w:val="20"/>
      <w:lang w:val="en-GB"/>
    </w:rPr>
  </w:style>
  <w:style w:type="paragraph" w:styleId="ListContinue5">
    <w:name w:val="List Continue 5"/>
    <w:basedOn w:val="Normal"/>
    <w:rsid w:val="00F32B28"/>
    <w:pPr>
      <w:suppressAutoHyphens/>
      <w:bidi w:val="0"/>
      <w:spacing w:after="120" w:line="240" w:lineRule="atLeast"/>
      <w:ind w:left="1415"/>
      <w:jc w:val="left"/>
    </w:pPr>
    <w:rPr>
      <w:rFonts w:eastAsia="Times New Roman" w:cs="Times New Roman"/>
      <w:kern w:val="0"/>
      <w:szCs w:val="20"/>
      <w:lang w:val="en-GB"/>
    </w:rPr>
  </w:style>
  <w:style w:type="paragraph" w:styleId="ListNumber">
    <w:name w:val="List Number"/>
    <w:basedOn w:val="Normal"/>
    <w:rsid w:val="00F32B28"/>
    <w:pPr>
      <w:numPr>
        <w:numId w:val="20"/>
      </w:numPr>
      <w:suppressAutoHyphens/>
      <w:bidi w:val="0"/>
      <w:spacing w:line="240" w:lineRule="atLeast"/>
      <w:jc w:val="left"/>
    </w:pPr>
    <w:rPr>
      <w:rFonts w:eastAsia="Times New Roman" w:cs="Times New Roman"/>
      <w:kern w:val="0"/>
      <w:szCs w:val="20"/>
      <w:lang w:val="en-GB"/>
    </w:rPr>
  </w:style>
  <w:style w:type="paragraph" w:styleId="ListNumber2">
    <w:name w:val="List Number 2"/>
    <w:basedOn w:val="Normal"/>
    <w:rsid w:val="00F32B28"/>
    <w:pPr>
      <w:numPr>
        <w:numId w:val="19"/>
      </w:numPr>
      <w:suppressAutoHyphens/>
      <w:bidi w:val="0"/>
      <w:spacing w:line="240" w:lineRule="atLeast"/>
      <w:jc w:val="left"/>
    </w:pPr>
    <w:rPr>
      <w:rFonts w:eastAsia="Times New Roman" w:cs="Times New Roman"/>
      <w:kern w:val="0"/>
      <w:szCs w:val="20"/>
      <w:lang w:val="en-GB"/>
    </w:rPr>
  </w:style>
  <w:style w:type="paragraph" w:styleId="ListNumber3">
    <w:name w:val="List Number 3"/>
    <w:basedOn w:val="Normal"/>
    <w:rsid w:val="00F32B28"/>
    <w:pPr>
      <w:tabs>
        <w:tab w:val="num" w:pos="926"/>
      </w:tabs>
      <w:suppressAutoHyphens/>
      <w:bidi w:val="0"/>
      <w:spacing w:line="240" w:lineRule="atLeast"/>
      <w:ind w:left="926" w:hanging="360"/>
      <w:jc w:val="left"/>
    </w:pPr>
    <w:rPr>
      <w:rFonts w:eastAsia="Times New Roman" w:cs="Times New Roman"/>
      <w:kern w:val="0"/>
      <w:szCs w:val="20"/>
      <w:lang w:val="en-GB"/>
    </w:rPr>
  </w:style>
  <w:style w:type="paragraph" w:styleId="ListNumber4">
    <w:name w:val="List Number 4"/>
    <w:basedOn w:val="Normal"/>
    <w:rsid w:val="00F32B28"/>
    <w:pPr>
      <w:numPr>
        <w:numId w:val="16"/>
      </w:numPr>
      <w:suppressAutoHyphens/>
      <w:bidi w:val="0"/>
      <w:spacing w:line="240" w:lineRule="atLeast"/>
      <w:jc w:val="left"/>
    </w:pPr>
    <w:rPr>
      <w:rFonts w:eastAsia="Times New Roman" w:cs="Times New Roman"/>
      <w:kern w:val="0"/>
      <w:szCs w:val="20"/>
      <w:lang w:val="en-GB"/>
    </w:rPr>
  </w:style>
  <w:style w:type="paragraph" w:styleId="ListNumber5">
    <w:name w:val="List Number 5"/>
    <w:basedOn w:val="Normal"/>
    <w:rsid w:val="00F32B28"/>
    <w:pPr>
      <w:numPr>
        <w:numId w:val="17"/>
      </w:numPr>
      <w:suppressAutoHyphens/>
      <w:bidi w:val="0"/>
      <w:spacing w:line="240" w:lineRule="atLeast"/>
      <w:jc w:val="left"/>
    </w:pPr>
    <w:rPr>
      <w:rFonts w:eastAsia="Times New Roman" w:cs="Times New Roman"/>
      <w:kern w:val="0"/>
      <w:szCs w:val="20"/>
      <w:lang w:val="en-GB"/>
    </w:rPr>
  </w:style>
  <w:style w:type="paragraph" w:styleId="MessageHeader">
    <w:name w:val="Message Header"/>
    <w:basedOn w:val="Normal"/>
    <w:link w:val="MessageHeaderChar"/>
    <w:rsid w:val="00F32B28"/>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kern w:val="0"/>
      <w:sz w:val="24"/>
      <w:szCs w:val="24"/>
      <w:lang w:val="en-GB"/>
    </w:rPr>
  </w:style>
  <w:style w:type="character" w:customStyle="1" w:styleId="MessageHeaderChar">
    <w:name w:val="Message Header Char"/>
    <w:basedOn w:val="DefaultParagraphFont"/>
    <w:link w:val="MessageHeader"/>
    <w:rsid w:val="00F32B28"/>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F32B28"/>
    <w:pPr>
      <w:suppressAutoHyphens/>
      <w:bidi w:val="0"/>
      <w:spacing w:line="240" w:lineRule="atLeast"/>
      <w:jc w:val="left"/>
    </w:pPr>
    <w:rPr>
      <w:rFonts w:eastAsia="Times New Roman" w:cs="Times New Roman"/>
      <w:kern w:val="0"/>
      <w:sz w:val="24"/>
      <w:szCs w:val="24"/>
      <w:lang w:val="en-GB"/>
    </w:rPr>
  </w:style>
  <w:style w:type="paragraph" w:styleId="NormalIndent">
    <w:name w:val="Normal Indent"/>
    <w:basedOn w:val="Normal"/>
    <w:rsid w:val="00F32B28"/>
    <w:pPr>
      <w:suppressAutoHyphens/>
      <w:bidi w:val="0"/>
      <w:spacing w:line="240" w:lineRule="atLeast"/>
      <w:ind w:left="567"/>
      <w:jc w:val="left"/>
    </w:pPr>
    <w:rPr>
      <w:rFonts w:eastAsia="Times New Roman" w:cs="Times New Roman"/>
      <w:kern w:val="0"/>
      <w:szCs w:val="20"/>
      <w:lang w:val="en-GB"/>
    </w:rPr>
  </w:style>
  <w:style w:type="paragraph" w:styleId="NoteHeading">
    <w:name w:val="Note Heading"/>
    <w:basedOn w:val="Normal"/>
    <w:next w:val="Normal"/>
    <w:link w:val="NoteHeadingChar"/>
    <w:rsid w:val="00F32B28"/>
    <w:pPr>
      <w:suppressAutoHyphens/>
      <w:bidi w:val="0"/>
      <w:spacing w:line="240" w:lineRule="atLeast"/>
      <w:jc w:val="left"/>
    </w:pPr>
    <w:rPr>
      <w:rFonts w:eastAsia="Times New Roman" w:cs="Times New Roman"/>
      <w:kern w:val="0"/>
      <w:szCs w:val="20"/>
      <w:lang w:val="en-GB"/>
    </w:rPr>
  </w:style>
  <w:style w:type="character" w:customStyle="1" w:styleId="NoteHeadingChar">
    <w:name w:val="Note Heading Char"/>
    <w:basedOn w:val="DefaultParagraphFont"/>
    <w:link w:val="NoteHeading"/>
    <w:rsid w:val="00F32B28"/>
    <w:rPr>
      <w:rFonts w:eastAsia="Times New Roman" w:cs="Times New Roman"/>
      <w:lang w:val="en-GB" w:eastAsia="en-US"/>
    </w:rPr>
  </w:style>
  <w:style w:type="paragraph" w:styleId="Salutation">
    <w:name w:val="Salutation"/>
    <w:basedOn w:val="Normal"/>
    <w:next w:val="Normal"/>
    <w:link w:val="SalutationChar"/>
    <w:rsid w:val="00F32B28"/>
    <w:pPr>
      <w:suppressAutoHyphens/>
      <w:bidi w:val="0"/>
      <w:spacing w:line="240" w:lineRule="atLeast"/>
      <w:jc w:val="left"/>
    </w:pPr>
    <w:rPr>
      <w:rFonts w:eastAsia="Times New Roman" w:cs="Times New Roman"/>
      <w:kern w:val="0"/>
      <w:szCs w:val="20"/>
      <w:lang w:val="en-GB"/>
    </w:rPr>
  </w:style>
  <w:style w:type="character" w:customStyle="1" w:styleId="SalutationChar">
    <w:name w:val="Salutation Char"/>
    <w:basedOn w:val="DefaultParagraphFont"/>
    <w:link w:val="Salutation"/>
    <w:rsid w:val="00F32B28"/>
    <w:rPr>
      <w:rFonts w:eastAsia="Times New Roman" w:cs="Times New Roman"/>
      <w:lang w:val="en-GB" w:eastAsia="en-US"/>
    </w:rPr>
  </w:style>
  <w:style w:type="paragraph" w:styleId="Signature">
    <w:name w:val="Signature"/>
    <w:basedOn w:val="Normal"/>
    <w:link w:val="SignatureChar"/>
    <w:rsid w:val="00F32B28"/>
    <w:pPr>
      <w:suppressAutoHyphens/>
      <w:bidi w:val="0"/>
      <w:spacing w:line="240" w:lineRule="atLeast"/>
      <w:ind w:left="4252"/>
      <w:jc w:val="left"/>
    </w:pPr>
    <w:rPr>
      <w:rFonts w:eastAsia="Times New Roman" w:cs="Times New Roman"/>
      <w:kern w:val="0"/>
      <w:szCs w:val="20"/>
      <w:lang w:val="en-GB"/>
    </w:rPr>
  </w:style>
  <w:style w:type="character" w:customStyle="1" w:styleId="SignatureChar">
    <w:name w:val="Signature Char"/>
    <w:basedOn w:val="DefaultParagraphFont"/>
    <w:link w:val="Signature"/>
    <w:rsid w:val="00F32B28"/>
    <w:rPr>
      <w:rFonts w:eastAsia="Times New Roman" w:cs="Times New Roman"/>
      <w:lang w:val="en-GB" w:eastAsia="en-US"/>
    </w:rPr>
  </w:style>
  <w:style w:type="character" w:styleId="Strong">
    <w:name w:val="Strong"/>
    <w:uiPriority w:val="22"/>
    <w:qFormat/>
    <w:rsid w:val="00F32B28"/>
    <w:rPr>
      <w:b/>
      <w:bCs/>
    </w:rPr>
  </w:style>
  <w:style w:type="paragraph" w:styleId="Subtitle">
    <w:name w:val="Subtitle"/>
    <w:basedOn w:val="Normal"/>
    <w:link w:val="SubtitleChar"/>
    <w:uiPriority w:val="11"/>
    <w:qFormat/>
    <w:rsid w:val="00F32B28"/>
    <w:pPr>
      <w:suppressAutoHyphens/>
      <w:bidi w:val="0"/>
      <w:spacing w:after="60" w:line="240" w:lineRule="atLeast"/>
      <w:jc w:val="center"/>
      <w:outlineLvl w:val="1"/>
    </w:pPr>
    <w:rPr>
      <w:rFonts w:ascii="Arial" w:eastAsia="Times New Roman" w:hAnsi="Arial" w:cs="Arial"/>
      <w:kern w:val="0"/>
      <w:sz w:val="24"/>
      <w:szCs w:val="24"/>
      <w:lang w:val="en-GB"/>
    </w:rPr>
  </w:style>
  <w:style w:type="character" w:customStyle="1" w:styleId="SubtitleChar">
    <w:name w:val="Subtitle Char"/>
    <w:basedOn w:val="DefaultParagraphFont"/>
    <w:link w:val="Subtitle"/>
    <w:uiPriority w:val="11"/>
    <w:rsid w:val="00F32B28"/>
    <w:rPr>
      <w:rFonts w:ascii="Arial" w:eastAsia="Times New Roman" w:hAnsi="Arial" w:cs="Arial"/>
      <w:sz w:val="24"/>
      <w:szCs w:val="24"/>
      <w:lang w:val="en-GB" w:eastAsia="en-US"/>
    </w:rPr>
  </w:style>
  <w:style w:type="table" w:styleId="Table3Deffects1">
    <w:name w:val="Table 3D effects 1"/>
    <w:basedOn w:val="TableNormal"/>
    <w:rsid w:val="00F32B28"/>
    <w:pPr>
      <w:suppressAutoHyphens/>
      <w:spacing w:line="240" w:lineRule="atLeast"/>
    </w:pPr>
    <w:rPr>
      <w:rFonts w:eastAsia="Times New Roman" w:cs="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32B28"/>
    <w:pPr>
      <w:suppressAutoHyphens/>
      <w:spacing w:line="240" w:lineRule="atLeast"/>
    </w:pPr>
    <w:rPr>
      <w:rFonts w:eastAsia="Times New Roman" w:cs="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32B28"/>
    <w:pPr>
      <w:suppressAutoHyphens/>
      <w:spacing w:line="240" w:lineRule="atLeast"/>
    </w:pPr>
    <w:rPr>
      <w:rFonts w:eastAsia="Times New Roman" w:cs="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32B28"/>
    <w:pPr>
      <w:suppressAutoHyphens/>
      <w:spacing w:line="240" w:lineRule="atLeast"/>
    </w:pPr>
    <w:rPr>
      <w:rFonts w:eastAsia="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2B28"/>
    <w:pPr>
      <w:suppressAutoHyphens/>
      <w:spacing w:line="240" w:lineRule="atLeast"/>
    </w:pPr>
    <w:rPr>
      <w:rFonts w:eastAsia="Times New Roman" w:cs="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32B28"/>
    <w:pPr>
      <w:suppressAutoHyphens/>
      <w:spacing w:line="240" w:lineRule="atLeast"/>
    </w:pPr>
    <w:rPr>
      <w:rFonts w:eastAsia="Times New Roman" w:cs="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32B28"/>
    <w:pPr>
      <w:suppressAutoHyphens/>
      <w:spacing w:line="240" w:lineRule="atLeast"/>
    </w:pPr>
    <w:rPr>
      <w:rFonts w:eastAsia="Times New Roman" w:cs="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32B28"/>
    <w:pPr>
      <w:suppressAutoHyphens/>
      <w:spacing w:line="240" w:lineRule="atLeast"/>
    </w:pPr>
    <w:rPr>
      <w:rFonts w:eastAsia="Times New Roman" w:cs="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32B28"/>
    <w:pPr>
      <w:suppressAutoHyphens/>
      <w:spacing w:line="240" w:lineRule="atLeast"/>
    </w:pPr>
    <w:rPr>
      <w:rFonts w:eastAsia="Times New Roman" w:cs="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32B28"/>
    <w:pPr>
      <w:suppressAutoHyphens/>
      <w:spacing w:line="240" w:lineRule="atLeast"/>
    </w:pPr>
    <w:rPr>
      <w:rFonts w:eastAsia="Times New Roman" w:cs="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32B28"/>
    <w:pPr>
      <w:suppressAutoHyphens/>
      <w:spacing w:line="240" w:lineRule="atLeast"/>
    </w:pPr>
    <w:rPr>
      <w:rFonts w:eastAsia="Times New Roman" w:cs="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32B28"/>
    <w:pPr>
      <w:suppressAutoHyphens/>
      <w:spacing w:line="240" w:lineRule="atLeast"/>
    </w:pPr>
    <w:rPr>
      <w:rFonts w:eastAsia="Times New Roman" w:cs="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32B28"/>
    <w:pPr>
      <w:suppressAutoHyphens/>
      <w:spacing w:line="240" w:lineRule="atLeast"/>
    </w:pPr>
    <w:rPr>
      <w:rFonts w:eastAsia="Times New Roman" w:cs="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32B28"/>
    <w:pPr>
      <w:suppressAutoHyphens/>
      <w:spacing w:line="240" w:lineRule="atLeast"/>
    </w:pPr>
    <w:rPr>
      <w:rFonts w:eastAsia="Times New Roman" w:cs="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32B28"/>
    <w:pPr>
      <w:suppressAutoHyphens/>
      <w:spacing w:line="240" w:lineRule="atLeast"/>
    </w:pPr>
    <w:rPr>
      <w:rFonts w:eastAsia="Times New Roman" w:cs="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32B28"/>
    <w:pPr>
      <w:suppressAutoHyphens/>
      <w:spacing w:line="240" w:lineRule="atLeast"/>
    </w:pPr>
    <w:rPr>
      <w:rFonts w:eastAsia="Times New Roman" w:cs="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32B28"/>
    <w:pPr>
      <w:suppressAutoHyphens/>
      <w:spacing w:line="240" w:lineRule="atLeast"/>
    </w:pPr>
    <w:rPr>
      <w:rFonts w:eastAsia="Times New Roman" w:cs="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32B28"/>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F32B28"/>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32B28"/>
    <w:pPr>
      <w:suppressAutoHyphens/>
      <w:spacing w:line="240" w:lineRule="atLeast"/>
    </w:pPr>
    <w:rPr>
      <w:rFonts w:eastAsia="Times New Roman" w:cs="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32B28"/>
    <w:pPr>
      <w:suppressAutoHyphens/>
      <w:spacing w:line="240" w:lineRule="atLeast"/>
    </w:pPr>
    <w:rPr>
      <w:rFonts w:eastAsia="Times New Roman" w:cs="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32B28"/>
    <w:pPr>
      <w:suppressAutoHyphens/>
      <w:spacing w:line="240" w:lineRule="atLeast"/>
    </w:pPr>
    <w:rPr>
      <w:rFonts w:eastAsia="Times New Roman" w:cs="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32B28"/>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32B28"/>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32B28"/>
    <w:pPr>
      <w:suppressAutoHyphens/>
      <w:spacing w:line="240" w:lineRule="atLeast"/>
    </w:pPr>
    <w:rPr>
      <w:rFonts w:eastAsia="Times New Roman" w:cs="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32B28"/>
    <w:pPr>
      <w:suppressAutoHyphens/>
      <w:spacing w:line="240" w:lineRule="atLeast"/>
    </w:pPr>
    <w:rPr>
      <w:rFonts w:eastAsia="Times New Roman" w:cs="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32B28"/>
    <w:pPr>
      <w:suppressAutoHyphens/>
      <w:spacing w:line="240" w:lineRule="atLeast"/>
    </w:pPr>
    <w:rPr>
      <w:rFonts w:eastAsia="Times New Roman" w:cs="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32B28"/>
    <w:pPr>
      <w:suppressAutoHyphens/>
      <w:spacing w:line="240" w:lineRule="atLeast"/>
    </w:pPr>
    <w:rPr>
      <w:rFonts w:eastAsia="Times New Roman" w:cs="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32B28"/>
    <w:pPr>
      <w:suppressAutoHyphens/>
      <w:spacing w:line="240" w:lineRule="atLeast"/>
    </w:pPr>
    <w:rPr>
      <w:rFonts w:eastAsia="Times New Roman" w:cs="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32B28"/>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32B28"/>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32B28"/>
    <w:pPr>
      <w:suppressAutoHyphens/>
      <w:spacing w:line="240" w:lineRule="atLeast"/>
    </w:pPr>
    <w:rPr>
      <w:rFonts w:eastAsia="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32B28"/>
    <w:pPr>
      <w:suppressAutoHyphens/>
      <w:spacing w:line="240" w:lineRule="atLeast"/>
    </w:pPr>
    <w:rPr>
      <w:rFonts w:eastAsia="Times New Roman" w:cs="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32B28"/>
    <w:pPr>
      <w:suppressAutoHyphens/>
      <w:spacing w:line="240" w:lineRule="atLeast"/>
    </w:pPr>
    <w:rPr>
      <w:rFonts w:eastAsia="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32B28"/>
    <w:pPr>
      <w:suppressAutoHyphens/>
      <w:spacing w:line="240" w:lineRule="atLeast"/>
    </w:pPr>
    <w:rPr>
      <w:rFonts w:eastAsia="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32B28"/>
    <w:pPr>
      <w:suppressAutoHyphens/>
      <w:spacing w:line="240" w:lineRule="atLeast"/>
    </w:pPr>
    <w:rPr>
      <w:rFonts w:eastAsia="Times New Roman" w:cs="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32B28"/>
    <w:pPr>
      <w:suppressAutoHyphens/>
      <w:spacing w:line="240" w:lineRule="atLeast"/>
    </w:pPr>
    <w:rPr>
      <w:rFonts w:eastAsia="Times New Roman" w:cs="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32B28"/>
    <w:pPr>
      <w:suppressAutoHyphens/>
      <w:spacing w:line="240" w:lineRule="atLeast"/>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32B28"/>
    <w:pPr>
      <w:suppressAutoHyphens/>
      <w:spacing w:line="240" w:lineRule="atLeast"/>
    </w:pPr>
    <w:rPr>
      <w:rFonts w:eastAsia="Times New Roman" w:cs="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32B28"/>
    <w:pPr>
      <w:suppressAutoHyphens/>
      <w:spacing w:line="240" w:lineRule="atLeast"/>
    </w:pPr>
    <w:rPr>
      <w:rFonts w:eastAsia="Times New Roman" w:cs="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32B28"/>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32B28"/>
    <w:pPr>
      <w:suppressAutoHyphens/>
      <w:spacing w:line="240" w:lineRule="atLeast"/>
    </w:pPr>
    <w:rPr>
      <w:rFonts w:eastAsia="Times New Roman" w:cs="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32B28"/>
    <w:pPr>
      <w:suppressAutoHyphens/>
      <w:spacing w:line="240" w:lineRule="atLeast"/>
    </w:pPr>
    <w:rPr>
      <w:rFonts w:eastAsia="Times New Roman" w:cs="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32B28"/>
    <w:pPr>
      <w:suppressAutoHyphens/>
      <w:spacing w:line="240" w:lineRule="atLeast"/>
    </w:pPr>
    <w:rPr>
      <w:rFonts w:eastAsia="Times New Roman" w:cs="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32B28"/>
    <w:pPr>
      <w:suppressAutoHyphens/>
      <w:bidi w:val="0"/>
      <w:spacing w:before="240" w:after="60" w:line="240" w:lineRule="atLeast"/>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F32B28"/>
    <w:rPr>
      <w:rFonts w:ascii="Arial" w:eastAsia="Times New Roman" w:hAnsi="Arial" w:cs="Arial"/>
      <w:b/>
      <w:bCs/>
      <w:kern w:val="28"/>
      <w:sz w:val="32"/>
      <w:szCs w:val="32"/>
      <w:lang w:val="en-GB" w:eastAsia="en-US"/>
    </w:rPr>
  </w:style>
  <w:style w:type="paragraph" w:styleId="EnvelopeAddress">
    <w:name w:val="envelope address"/>
    <w:basedOn w:val="Normal"/>
    <w:rsid w:val="00F32B28"/>
    <w:pPr>
      <w:framePr w:w="7920" w:h="1980" w:hRule="exact" w:hSpace="180" w:wrap="auto" w:hAnchor="page" w:xAlign="center" w:yAlign="bottom"/>
      <w:suppressAutoHyphens/>
      <w:bidi w:val="0"/>
      <w:spacing w:line="240" w:lineRule="atLeast"/>
      <w:ind w:left="2880"/>
      <w:jc w:val="left"/>
    </w:pPr>
    <w:rPr>
      <w:rFonts w:ascii="Arial" w:eastAsia="Times New Roman" w:hAnsi="Arial" w:cs="Arial"/>
      <w:kern w:val="0"/>
      <w:sz w:val="24"/>
      <w:szCs w:val="24"/>
      <w:lang w:val="en-GB"/>
    </w:rPr>
  </w:style>
  <w:style w:type="character" w:customStyle="1" w:styleId="HChGChar">
    <w:name w:val="_ H _Ch_G Char"/>
    <w:link w:val="HChG"/>
    <w:rsid w:val="00F32B28"/>
    <w:rPr>
      <w:rFonts w:eastAsia="Times New Roman" w:cs="Times New Roman"/>
      <w:b/>
      <w:sz w:val="28"/>
      <w:lang w:val="en-GB" w:eastAsia="en-US"/>
    </w:rPr>
  </w:style>
  <w:style w:type="character" w:customStyle="1" w:styleId="BalloonTextChar1">
    <w:name w:val="Balloon Text Char1"/>
    <w:basedOn w:val="DefaultParagraphFont"/>
    <w:uiPriority w:val="99"/>
    <w:rsid w:val="00F32B28"/>
    <w:rPr>
      <w:rFonts w:ascii="Tahoma" w:hAnsi="Tahoma" w:cs="Tahoma"/>
      <w:sz w:val="16"/>
      <w:szCs w:val="16"/>
      <w:lang w:eastAsia="en-US"/>
    </w:rPr>
  </w:style>
  <w:style w:type="paragraph" w:styleId="ListParagraph">
    <w:name w:val="List Paragraph"/>
    <w:basedOn w:val="Normal"/>
    <w:link w:val="ListParagraphChar"/>
    <w:uiPriority w:val="34"/>
    <w:qFormat/>
    <w:rsid w:val="00F32B28"/>
    <w:pPr>
      <w:bidi w:val="0"/>
      <w:spacing w:after="200" w:line="276" w:lineRule="auto"/>
      <w:ind w:left="720"/>
      <w:contextualSpacing/>
      <w:jc w:val="left"/>
    </w:pPr>
    <w:rPr>
      <w:rFonts w:ascii="Calibri" w:eastAsia="Calibri" w:hAnsi="Calibri" w:cs="Arial"/>
      <w:kern w:val="0"/>
      <w:sz w:val="22"/>
      <w:szCs w:val="22"/>
    </w:rPr>
  </w:style>
  <w:style w:type="character" w:customStyle="1" w:styleId="ListParagraphChar">
    <w:name w:val="List Paragraph Char"/>
    <w:link w:val="ListParagraph"/>
    <w:uiPriority w:val="34"/>
    <w:rsid w:val="00F32B28"/>
    <w:rPr>
      <w:rFonts w:ascii="Calibri" w:eastAsia="Calibri" w:hAnsi="Calibri" w:cs="Arial"/>
      <w:sz w:val="22"/>
      <w:szCs w:val="22"/>
      <w:lang w:eastAsia="en-US"/>
    </w:rPr>
  </w:style>
  <w:style w:type="character" w:customStyle="1" w:styleId="apple-converted-space">
    <w:name w:val="apple-converted-space"/>
    <w:rsid w:val="00F32B28"/>
  </w:style>
  <w:style w:type="table" w:customStyle="1" w:styleId="GridTable5Dark-Accent31">
    <w:name w:val="Grid Table 5 Dark - Accent 31"/>
    <w:basedOn w:val="TableNormal"/>
    <w:uiPriority w:val="50"/>
    <w:rsid w:val="00F32B28"/>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2-Accent31">
    <w:name w:val="Grid Table 2 - Accent 31"/>
    <w:basedOn w:val="TableNormal"/>
    <w:uiPriority w:val="47"/>
    <w:rsid w:val="00F32B28"/>
    <w:rPr>
      <w:rFonts w:ascii="Calibri" w:eastAsia="Calibri" w:hAnsi="Calibri" w:cs="Arial"/>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rsid w:val="00F32B28"/>
    <w:rPr>
      <w:rFonts w:ascii="Calibri" w:eastAsia="Calibri" w:hAnsi="Calibri" w:cs="Arial"/>
      <w:color w:val="7B7B7B"/>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Accent31">
    <w:name w:val="Grid Table 1 Light - Accent 31"/>
    <w:basedOn w:val="TableNormal"/>
    <w:uiPriority w:val="46"/>
    <w:rsid w:val="00F32B28"/>
    <w:rPr>
      <w:rFonts w:ascii="Calibri" w:eastAsia="Calibri" w:hAnsi="Calibri" w:cs="Arial"/>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F32B28"/>
    <w:rPr>
      <w:rFonts w:ascii="Calibri" w:eastAsia="Calibri" w:hAnsi="Calibri"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TxtGA">
    <w:name w:val="_ Single Txt_GA"/>
    <w:basedOn w:val="Normal"/>
    <w:link w:val="SingleTxtGAChar"/>
    <w:rsid w:val="00F32B28"/>
    <w:pPr>
      <w:tabs>
        <w:tab w:val="left" w:pos="1928"/>
        <w:tab w:val="left" w:pos="2608"/>
        <w:tab w:val="left" w:pos="3289"/>
        <w:tab w:val="left" w:pos="3969"/>
        <w:tab w:val="left" w:pos="4649"/>
        <w:tab w:val="left" w:pos="5330"/>
      </w:tabs>
      <w:spacing w:after="120" w:line="380" w:lineRule="exact"/>
      <w:ind w:left="1247" w:right="1247"/>
    </w:pPr>
    <w:rPr>
      <w:rFonts w:eastAsia="Times New Roman"/>
      <w:kern w:val="0"/>
      <w:szCs w:val="30"/>
    </w:rPr>
  </w:style>
  <w:style w:type="character" w:customStyle="1" w:styleId="SingleTxtGAChar">
    <w:name w:val="_ Single Txt_GA Char"/>
    <w:link w:val="SingleTxtGA"/>
    <w:rsid w:val="00F32B28"/>
    <w:rPr>
      <w:rFonts w:eastAsia="Times New Roman"/>
      <w:szCs w:val="30"/>
      <w:lang w:eastAsia="en-US"/>
    </w:rPr>
  </w:style>
  <w:style w:type="paragraph" w:customStyle="1" w:styleId="Bullet1GA">
    <w:name w:val="_Bullet 1_GA"/>
    <w:basedOn w:val="Normal"/>
    <w:rsid w:val="00F32B28"/>
    <w:pPr>
      <w:numPr>
        <w:numId w:val="31"/>
      </w:numPr>
      <w:suppressAutoHyphens/>
      <w:bidi w:val="0"/>
      <w:spacing w:after="120" w:line="380" w:lineRule="exact"/>
      <w:ind w:right="1247"/>
    </w:pPr>
    <w:rPr>
      <w:rFonts w:eastAsia="Times New Roman"/>
      <w:kern w:val="0"/>
      <w:szCs w:val="30"/>
    </w:rPr>
  </w:style>
  <w:style w:type="table" w:customStyle="1" w:styleId="PlainTable12">
    <w:name w:val="Plain Table 12"/>
    <w:basedOn w:val="TableNormal"/>
    <w:uiPriority w:val="41"/>
    <w:rsid w:val="00F32B28"/>
    <w:rPr>
      <w:rFonts w:ascii="Calibri" w:eastAsia="Calibri" w:hAnsi="Calibri"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tejustify">
    <w:name w:val="rtejustify"/>
    <w:basedOn w:val="Normal"/>
    <w:rsid w:val="00F32B28"/>
    <w:pPr>
      <w:bidi w:val="0"/>
      <w:spacing w:before="100" w:beforeAutospacing="1" w:after="100" w:afterAutospacing="1" w:line="240" w:lineRule="auto"/>
      <w:jc w:val="left"/>
    </w:pPr>
    <w:rPr>
      <w:rFonts w:eastAsia="Times New Roman" w:cs="Times New Roman"/>
      <w:kern w:val="0"/>
      <w:sz w:val="24"/>
      <w:szCs w:val="24"/>
    </w:rPr>
  </w:style>
  <w:style w:type="paragraph" w:styleId="DocumentMap">
    <w:name w:val="Document Map"/>
    <w:basedOn w:val="Normal"/>
    <w:link w:val="DocumentMapChar"/>
    <w:uiPriority w:val="99"/>
    <w:unhideWhenUsed/>
    <w:rsid w:val="00F32B28"/>
    <w:pPr>
      <w:bidi w:val="0"/>
      <w:spacing w:line="240" w:lineRule="auto"/>
      <w:jc w:val="left"/>
    </w:pPr>
    <w:rPr>
      <w:rFonts w:ascii="Tahoma" w:eastAsia="Calibri" w:hAnsi="Tahoma" w:cs="Tahoma"/>
      <w:kern w:val="0"/>
      <w:sz w:val="16"/>
      <w:szCs w:val="16"/>
    </w:rPr>
  </w:style>
  <w:style w:type="character" w:customStyle="1" w:styleId="DocumentMapChar">
    <w:name w:val="Document Map Char"/>
    <w:basedOn w:val="DefaultParagraphFont"/>
    <w:link w:val="DocumentMap"/>
    <w:uiPriority w:val="99"/>
    <w:rsid w:val="00F32B2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B276-5012-40D0-B528-C97173B0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30296</Words>
  <Characters>172693</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202584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Fady Gergis</dc:creator>
  <cp:lastModifiedBy>Randa Alliddawi</cp:lastModifiedBy>
  <cp:revision>3</cp:revision>
  <cp:lastPrinted>2017-10-12T15:01:00Z</cp:lastPrinted>
  <dcterms:created xsi:type="dcterms:W3CDTF">2017-10-12T15:00:00Z</dcterms:created>
  <dcterms:modified xsi:type="dcterms:W3CDTF">2017-10-12T15:01:00Z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1708413</vt:lpwstr>
  </property>
  <property fmtid="{D5CDD505-2E9C-101B-9397-08002B2CF9AE}" pid="3" name="ODSRefJobNo">
    <vt:lpwstr>1714863A</vt:lpwstr>
  </property>
  <property fmtid="{D5CDD505-2E9C-101B-9397-08002B2CF9AE}" pid="4" name="Symbol1">
    <vt:lpwstr>CEDAW/C/PSE/1</vt:lpwstr>
  </property>
  <property fmtid="{D5CDD505-2E9C-101B-9397-08002B2CF9AE}" pid="5" name="Symbol2">
    <vt:lpwstr/>
  </property>
  <property fmtid="{D5CDD505-2E9C-101B-9397-08002B2CF9AE}" pid="6" name="Translator">
    <vt:lpwstr/>
  </property>
  <property fmtid="{D5CDD505-2E9C-101B-9397-08002B2CF9AE}" pid="7" name="Category">
    <vt:lpwstr>Doc</vt:lpwstr>
  </property>
  <property fmtid="{D5CDD505-2E9C-101B-9397-08002B2CF9AE}" pid="8" name="Language">
    <vt:lpwstr>Arabic</vt:lpwstr>
  </property>
  <property fmtid="{D5CDD505-2E9C-101B-9397-08002B2CF9AE}" pid="9" name="Comment">
    <vt:lpwstr>Final</vt:lpwstr>
  </property>
  <property fmtid="{D5CDD505-2E9C-101B-9397-08002B2CF9AE}" pid="10" name="DraftPages">
    <vt:lpwstr> </vt:lpwstr>
  </property>
  <property fmtid="{D5CDD505-2E9C-101B-9397-08002B2CF9AE}" pid="11" name="Operator">
    <vt:lpwstr>فادي</vt:lpwstr>
  </property>
  <property fmtid="{D5CDD505-2E9C-101B-9397-08002B2CF9AE}" pid="12" name="Distribution">
    <vt:lpwstr>General</vt:lpwstr>
  </property>
  <property fmtid="{D5CDD505-2E9C-101B-9397-08002B2CF9AE}" pid="13" name="Publication Date">
    <vt:lpwstr>24 May 2017</vt:lpwstr>
  </property>
  <property fmtid="{D5CDD505-2E9C-101B-9397-08002B2CF9AE}" pid="14" name="Original">
    <vt:lpwstr>Arabic</vt:lpwstr>
  </property>
  <property fmtid="{D5CDD505-2E9C-101B-9397-08002B2CF9AE}" pid="15" name="Release Date">
    <vt:lpwstr/>
  </property>
  <property fmtid="{D5CDD505-2E9C-101B-9397-08002B2CF9AE}" pid="16" name="Title0">
    <vt:lpwstr>اللجنة المعنية بالقضاء على التمييز ضد المرأة</vt:lpwstr>
  </property>
</Properties>
</file>