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CF0E66" w:rsidP="00CF0E66">
            <w:pPr>
              <w:jc w:val="right"/>
            </w:pPr>
            <w:r w:rsidRPr="00CF0E66">
              <w:rPr>
                <w:sz w:val="40"/>
              </w:rPr>
              <w:t>CERD</w:t>
            </w:r>
            <w:r>
              <w:t>/C/POL/CO/20-21</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w:t>
            </w:r>
            <w:r w:rsidR="00FF648A">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CF0E66" w:rsidRDefault="00CF0E66" w:rsidP="00593658">
            <w:pPr>
              <w:spacing w:before="240"/>
            </w:pPr>
            <w:r>
              <w:t>Distr. générale</w:t>
            </w:r>
          </w:p>
          <w:p w:rsidR="00CF0E66" w:rsidRDefault="00CF0E66" w:rsidP="00CF0E66">
            <w:pPr>
              <w:spacing w:line="240" w:lineRule="exact"/>
            </w:pPr>
            <w:r>
              <w:t>19 mars 2014</w:t>
            </w:r>
          </w:p>
          <w:p w:rsidR="00CF0E66" w:rsidRDefault="00CF0E66" w:rsidP="00CF0E66">
            <w:pPr>
              <w:spacing w:line="240" w:lineRule="exact"/>
            </w:pPr>
            <w:r>
              <w:t>Français</w:t>
            </w:r>
          </w:p>
          <w:p w:rsidR="002E0D40" w:rsidRPr="00DB58B5" w:rsidRDefault="00CF0E66" w:rsidP="00CF0E66">
            <w:pPr>
              <w:spacing w:line="240" w:lineRule="exact"/>
            </w:pPr>
            <w:r>
              <w:t>Original: anglais</w:t>
            </w:r>
          </w:p>
        </w:tc>
      </w:tr>
    </w:tbl>
    <w:p w:rsidR="00FF1DBD" w:rsidRDefault="0078670C" w:rsidP="00911FEA">
      <w:pPr>
        <w:spacing w:before="120"/>
        <w:rPr>
          <w:b/>
          <w:sz w:val="24"/>
          <w:szCs w:val="24"/>
        </w:rPr>
      </w:pPr>
      <w:r w:rsidRPr="00C56102">
        <w:rPr>
          <w:b/>
          <w:sz w:val="24"/>
          <w:szCs w:val="24"/>
        </w:rPr>
        <w:t>Comité pour l</w:t>
      </w:r>
      <w:r w:rsidR="00FF648A">
        <w:rPr>
          <w:b/>
          <w:sz w:val="24"/>
          <w:szCs w:val="24"/>
        </w:rPr>
        <w:t>’</w:t>
      </w:r>
      <w:r w:rsidRPr="00C56102">
        <w:rPr>
          <w:b/>
          <w:sz w:val="24"/>
          <w:szCs w:val="24"/>
        </w:rPr>
        <w:t>éliminati</w:t>
      </w:r>
      <w:r w:rsidR="00CF0E66">
        <w:rPr>
          <w:b/>
          <w:sz w:val="24"/>
          <w:szCs w:val="24"/>
        </w:rPr>
        <w:t>on de la discrimination raciale</w:t>
      </w:r>
    </w:p>
    <w:p w:rsidR="00CF0E66" w:rsidRPr="007A6612" w:rsidRDefault="00CF0E66" w:rsidP="00CF0E66">
      <w:pPr>
        <w:pStyle w:val="HChG"/>
        <w:rPr>
          <w:lang w:val="fr-FR"/>
        </w:rPr>
      </w:pPr>
      <w:r w:rsidRPr="007A6612">
        <w:rPr>
          <w:lang w:val="fr-FR"/>
        </w:rPr>
        <w:tab/>
      </w:r>
      <w:r w:rsidRPr="007A6612">
        <w:rPr>
          <w:lang w:val="fr-FR"/>
        </w:rPr>
        <w:tab/>
        <w:t>Observations finales concernant les vingtième</w:t>
      </w:r>
      <w:r w:rsidR="00D83A39">
        <w:rPr>
          <w:lang w:val="fr-FR"/>
        </w:rPr>
        <w:br/>
      </w:r>
      <w:r w:rsidRPr="007A6612">
        <w:rPr>
          <w:lang w:val="fr-FR"/>
        </w:rPr>
        <w:t>et vingt et unième rapports périodiques</w:t>
      </w:r>
      <w:r w:rsidR="00D83A39">
        <w:rPr>
          <w:lang w:val="fr-FR"/>
        </w:rPr>
        <w:br/>
      </w:r>
      <w:r w:rsidRPr="007A6612">
        <w:rPr>
          <w:lang w:val="fr-FR"/>
        </w:rPr>
        <w:t>de la Pologne,</w:t>
      </w:r>
      <w:r w:rsidR="00D83A39">
        <w:rPr>
          <w:lang w:val="fr-FR"/>
        </w:rPr>
        <w:t xml:space="preserve"> </w:t>
      </w:r>
      <w:r w:rsidRPr="007A6612">
        <w:rPr>
          <w:lang w:val="fr-FR"/>
        </w:rPr>
        <w:t>soumis en un seul document</w:t>
      </w:r>
      <w:r w:rsidR="00D83A39" w:rsidRPr="00D83A39">
        <w:rPr>
          <w:rStyle w:val="FootnoteReference"/>
          <w:b w:val="0"/>
          <w:sz w:val="20"/>
          <w:vertAlign w:val="baseline"/>
        </w:rPr>
        <w:footnoteReference w:customMarkFollows="1" w:id="2"/>
        <w:t>*</w:t>
      </w:r>
    </w:p>
    <w:p w:rsidR="000473FA" w:rsidRDefault="00CF0E66" w:rsidP="00FF648A">
      <w:pPr>
        <w:pStyle w:val="ParNoG"/>
        <w:tabs>
          <w:tab w:val="clear" w:pos="1701"/>
        </w:tabs>
      </w:pPr>
      <w:r w:rsidRPr="007A6612">
        <w:rPr>
          <w:lang w:val="fr-FR"/>
        </w:rPr>
        <w:t xml:space="preserve">Le Comité a examiné les </w:t>
      </w:r>
      <w:r w:rsidRPr="00B53ECC">
        <w:t xml:space="preserve">vingtième et vingt et unième </w:t>
      </w:r>
      <w:r w:rsidRPr="007A6612">
        <w:rPr>
          <w:lang w:val="fr-FR"/>
        </w:rPr>
        <w:t xml:space="preserve">rapports périodiques de la Pologne </w:t>
      </w:r>
      <w:r w:rsidRPr="00B53ECC">
        <w:t>(CERD/C/POL/20</w:t>
      </w:r>
      <w:r w:rsidR="000473FA">
        <w:t>-</w:t>
      </w:r>
      <w:r w:rsidRPr="00B53ECC">
        <w:t>21)</w:t>
      </w:r>
      <w:r w:rsidR="005968D3">
        <w:t xml:space="preserve"> </w:t>
      </w:r>
      <w:r w:rsidR="005968D3">
        <w:rPr>
          <w:lang w:val="fr-FR"/>
        </w:rPr>
        <w:t>soumis en un seul document</w:t>
      </w:r>
      <w:r w:rsidRPr="00B53ECC">
        <w:t>, à ses 2275</w:t>
      </w:r>
      <w:r w:rsidR="005968D3" w:rsidRPr="005968D3">
        <w:rPr>
          <w:vertAlign w:val="superscript"/>
        </w:rPr>
        <w:t>e</w:t>
      </w:r>
      <w:r w:rsidR="005968D3">
        <w:t xml:space="preserve"> </w:t>
      </w:r>
      <w:r w:rsidRPr="00B53ECC">
        <w:t>et 2276</w:t>
      </w:r>
      <w:r w:rsidR="005968D3" w:rsidRPr="005968D3">
        <w:rPr>
          <w:vertAlign w:val="superscript"/>
        </w:rPr>
        <w:t>e</w:t>
      </w:r>
      <w:r w:rsidR="005968D3">
        <w:t> </w:t>
      </w:r>
      <w:r w:rsidRPr="00B53ECC">
        <w:t>séances (CERD/C/SR.2275 et CERD/C/SR.2276), les 10 et 11</w:t>
      </w:r>
      <w:r w:rsidR="005968D3">
        <w:t> </w:t>
      </w:r>
      <w:r w:rsidRPr="00B53ECC">
        <w:t xml:space="preserve">février 2014. </w:t>
      </w:r>
      <w:r w:rsidR="005968D3">
        <w:t>À</w:t>
      </w:r>
      <w:r w:rsidRPr="00B53ECC">
        <w:t xml:space="preserve"> sa 2290</w:t>
      </w:r>
      <w:r w:rsidR="005968D3" w:rsidRPr="005968D3">
        <w:rPr>
          <w:vertAlign w:val="superscript"/>
        </w:rPr>
        <w:t>e</w:t>
      </w:r>
      <w:r w:rsidR="005968D3">
        <w:t> </w:t>
      </w:r>
      <w:r w:rsidRPr="00B53ECC">
        <w:t>séance, le</w:t>
      </w:r>
      <w:r w:rsidR="00D83A39">
        <w:t> </w:t>
      </w:r>
      <w:r w:rsidRPr="00B53ECC">
        <w:t>20</w:t>
      </w:r>
      <w:r w:rsidR="00FF648A">
        <w:t> </w:t>
      </w:r>
      <w:r w:rsidRPr="00B53ECC">
        <w:t xml:space="preserve">février 2013, </w:t>
      </w:r>
      <w:r w:rsidRPr="007A6612">
        <w:rPr>
          <w:lang w:val="fr-FR"/>
        </w:rPr>
        <w:t>il a adopté les observations finales ci-après</w:t>
      </w:r>
      <w:r w:rsidRPr="00B53ECC">
        <w:t>.</w:t>
      </w:r>
    </w:p>
    <w:p w:rsidR="00CF0E66" w:rsidRPr="007A6612" w:rsidRDefault="00CF0E66" w:rsidP="00D83A39">
      <w:pPr>
        <w:pStyle w:val="H1G"/>
        <w:spacing w:before="320" w:after="220"/>
        <w:rPr>
          <w:lang w:val="fr-FR"/>
        </w:rPr>
      </w:pPr>
      <w:r w:rsidRPr="007A6612">
        <w:rPr>
          <w:lang w:val="fr-FR"/>
        </w:rPr>
        <w:tab/>
        <w:t>A.</w:t>
      </w:r>
      <w:r w:rsidRPr="007A6612">
        <w:rPr>
          <w:lang w:val="fr-FR"/>
        </w:rPr>
        <w:tab/>
      </w:r>
      <w:r w:rsidRPr="00CF0E66">
        <w:t>Introduction</w:t>
      </w:r>
    </w:p>
    <w:p w:rsidR="00CF0E66" w:rsidRPr="00B53ECC" w:rsidRDefault="00CF0E66" w:rsidP="00CF0E66">
      <w:pPr>
        <w:pStyle w:val="ParNoG"/>
      </w:pPr>
      <w:r>
        <w:t xml:space="preserve">Le Comité accueille avec satisfaction </w:t>
      </w:r>
      <w:r w:rsidR="005968D3">
        <w:t>l</w:t>
      </w:r>
      <w:r>
        <w:t>es vingtième et vingt et unième rapports périodiques de la</w:t>
      </w:r>
      <w:r w:rsidRPr="00B53ECC">
        <w:t xml:space="preserve"> Pologne, soumis en un seul document. Il se félicite de la régularité avec laquelle l</w:t>
      </w:r>
      <w:r w:rsidR="00FF648A">
        <w:t>’</w:t>
      </w:r>
      <w:r w:rsidRPr="00B53ECC">
        <w:t>État partie soumet ses rapports périodiques, conformément aux directives concernant l</w:t>
      </w:r>
      <w:r w:rsidR="00FF648A">
        <w:t>’</w:t>
      </w:r>
      <w:r w:rsidRPr="00B53ECC">
        <w:t>établissement des rapports. Il note également avec satisfaction que les rapports mettent l</w:t>
      </w:r>
      <w:r w:rsidR="00FF648A">
        <w:t>’</w:t>
      </w:r>
      <w:r w:rsidRPr="00B53ECC">
        <w:t>accent sur la suite donnée à ses précédentes recommandations et que le rapport de suivi a été soumis dans les délais prescrits. Il se félicite du dialogue constructif qu</w:t>
      </w:r>
      <w:r w:rsidR="00FF648A">
        <w:t>’</w:t>
      </w:r>
      <w:r w:rsidRPr="00B53ECC">
        <w:t xml:space="preserve">il a eu </w:t>
      </w:r>
      <w:r w:rsidRPr="000473FA">
        <w:rPr>
          <w:spacing w:val="-2"/>
        </w:rPr>
        <w:t xml:space="preserve">avec </w:t>
      </w:r>
      <w:r w:rsidR="005968D3" w:rsidRPr="000473FA">
        <w:rPr>
          <w:spacing w:val="-2"/>
        </w:rPr>
        <w:t>l</w:t>
      </w:r>
      <w:r w:rsidR="00FF648A">
        <w:rPr>
          <w:spacing w:val="-2"/>
        </w:rPr>
        <w:t>’</w:t>
      </w:r>
      <w:r w:rsidR="005968D3" w:rsidRPr="000473FA">
        <w:rPr>
          <w:spacing w:val="-2"/>
        </w:rPr>
        <w:t>importante</w:t>
      </w:r>
      <w:r w:rsidRPr="000473FA">
        <w:rPr>
          <w:spacing w:val="-2"/>
        </w:rPr>
        <w:t xml:space="preserve"> délégation de l</w:t>
      </w:r>
      <w:r w:rsidR="00FF648A">
        <w:rPr>
          <w:spacing w:val="-2"/>
        </w:rPr>
        <w:t>’</w:t>
      </w:r>
      <w:r w:rsidRPr="000473FA">
        <w:rPr>
          <w:spacing w:val="-2"/>
        </w:rPr>
        <w:t xml:space="preserve">État partie. Enfin, il accueille avec satisfaction </w:t>
      </w:r>
      <w:r w:rsidR="005968D3" w:rsidRPr="000473FA">
        <w:rPr>
          <w:spacing w:val="-2"/>
        </w:rPr>
        <w:t>le</w:t>
      </w:r>
      <w:r w:rsidRPr="000473FA">
        <w:rPr>
          <w:spacing w:val="-2"/>
        </w:rPr>
        <w:t xml:space="preserve"> document</w:t>
      </w:r>
      <w:r>
        <w:t xml:space="preserve"> de base commun mis à jour</w:t>
      </w:r>
      <w:r w:rsidR="005968D3">
        <w:t xml:space="preserve"> de l</w:t>
      </w:r>
      <w:r w:rsidR="00FF648A">
        <w:t>’</w:t>
      </w:r>
      <w:r w:rsidR="005968D3">
        <w:t>État partie.</w:t>
      </w:r>
    </w:p>
    <w:p w:rsidR="00CF0E66" w:rsidRPr="007A6612" w:rsidRDefault="00CF0E66" w:rsidP="00D83A39">
      <w:pPr>
        <w:pStyle w:val="H1G"/>
        <w:spacing w:before="320" w:after="220"/>
        <w:rPr>
          <w:lang w:val="fr-FR"/>
        </w:rPr>
      </w:pPr>
      <w:r>
        <w:rPr>
          <w:lang w:val="fr-FR"/>
        </w:rPr>
        <w:tab/>
        <w:t>B.</w:t>
      </w:r>
      <w:r>
        <w:rPr>
          <w:lang w:val="fr-FR"/>
        </w:rPr>
        <w:tab/>
        <w:t>Aspects p</w:t>
      </w:r>
      <w:r w:rsidRPr="007A6612">
        <w:rPr>
          <w:lang w:val="fr-FR"/>
        </w:rPr>
        <w:t>ositi</w:t>
      </w:r>
      <w:r>
        <w:rPr>
          <w:lang w:val="fr-FR"/>
        </w:rPr>
        <w:t>f</w:t>
      </w:r>
      <w:r w:rsidRPr="007A6612">
        <w:rPr>
          <w:lang w:val="fr-FR"/>
        </w:rPr>
        <w:t>s</w:t>
      </w:r>
    </w:p>
    <w:p w:rsidR="000473FA" w:rsidRDefault="00CF0E66" w:rsidP="00CF0E66">
      <w:pPr>
        <w:pStyle w:val="ParNoG"/>
        <w:rPr>
          <w:lang w:val="fr-FR"/>
        </w:rPr>
      </w:pPr>
      <w:r>
        <w:rPr>
          <w:lang w:val="fr-FR"/>
        </w:rPr>
        <w:t>Le Com</w:t>
      </w:r>
      <w:r w:rsidRPr="007A6612">
        <w:rPr>
          <w:lang w:val="fr-FR"/>
        </w:rPr>
        <w:t>it</w:t>
      </w:r>
      <w:r>
        <w:rPr>
          <w:lang w:val="fr-FR"/>
        </w:rPr>
        <w:t>é</w:t>
      </w:r>
      <w:r w:rsidRPr="007A6612">
        <w:rPr>
          <w:lang w:val="fr-FR"/>
        </w:rPr>
        <w:t xml:space="preserve"> </w:t>
      </w:r>
      <w:r>
        <w:rPr>
          <w:lang w:val="fr-FR"/>
        </w:rPr>
        <w:t>constate avec satisfaction que l</w:t>
      </w:r>
      <w:r w:rsidR="00FF648A">
        <w:rPr>
          <w:lang w:val="fr-FR"/>
        </w:rPr>
        <w:t>’</w:t>
      </w:r>
      <w:r>
        <w:rPr>
          <w:lang w:val="fr-FR"/>
        </w:rPr>
        <w:t>État partie a ratifié la</w:t>
      </w:r>
      <w:r w:rsidRPr="007A6612">
        <w:rPr>
          <w:lang w:val="fr-FR"/>
        </w:rPr>
        <w:t xml:space="preserve"> </w:t>
      </w:r>
      <w:r w:rsidRPr="00B53ECC">
        <w:rPr>
          <w:lang w:val="fr-FR"/>
        </w:rPr>
        <w:t xml:space="preserve">Convention relative aux droits des personnes handicapées </w:t>
      </w:r>
      <w:r>
        <w:rPr>
          <w:lang w:val="fr-FR"/>
        </w:rPr>
        <w:t>e</w:t>
      </w:r>
      <w:r w:rsidRPr="007A6612">
        <w:rPr>
          <w:lang w:val="fr-FR"/>
        </w:rPr>
        <w:t xml:space="preserve">n </w:t>
      </w:r>
      <w:r>
        <w:rPr>
          <w:lang w:val="fr-FR"/>
        </w:rPr>
        <w:t>s</w:t>
      </w:r>
      <w:r w:rsidRPr="007A6612">
        <w:rPr>
          <w:lang w:val="fr-FR"/>
        </w:rPr>
        <w:t>eptemb</w:t>
      </w:r>
      <w:r>
        <w:rPr>
          <w:lang w:val="fr-FR"/>
        </w:rPr>
        <w:t>re</w:t>
      </w:r>
      <w:r w:rsidRPr="007A6612">
        <w:rPr>
          <w:lang w:val="fr-FR"/>
        </w:rPr>
        <w:t xml:space="preserve"> 2012. I</w:t>
      </w:r>
      <w:r>
        <w:rPr>
          <w:lang w:val="fr-FR"/>
        </w:rPr>
        <w:t>l note également que l</w:t>
      </w:r>
      <w:r w:rsidR="00FF648A">
        <w:rPr>
          <w:lang w:val="fr-FR"/>
        </w:rPr>
        <w:t>’</w:t>
      </w:r>
      <w:r>
        <w:rPr>
          <w:lang w:val="fr-FR"/>
        </w:rPr>
        <w:t>État partie a annoncé l</w:t>
      </w:r>
      <w:r w:rsidR="00FF648A">
        <w:rPr>
          <w:lang w:val="fr-FR"/>
        </w:rPr>
        <w:t>’</w:t>
      </w:r>
      <w:r>
        <w:rPr>
          <w:lang w:val="fr-FR"/>
        </w:rPr>
        <w:t>achèvement, e</w:t>
      </w:r>
      <w:r w:rsidRPr="007A6612">
        <w:rPr>
          <w:lang w:val="fr-FR"/>
        </w:rPr>
        <w:t xml:space="preserve">n </w:t>
      </w:r>
      <w:r>
        <w:rPr>
          <w:lang w:val="fr-FR"/>
        </w:rPr>
        <w:t>août</w:t>
      </w:r>
      <w:r w:rsidRPr="007A6612">
        <w:rPr>
          <w:lang w:val="fr-FR"/>
        </w:rPr>
        <w:t xml:space="preserve"> 2013</w:t>
      </w:r>
      <w:r>
        <w:rPr>
          <w:lang w:val="fr-FR"/>
        </w:rPr>
        <w:t>, d</w:t>
      </w:r>
      <w:r w:rsidRPr="007A6612">
        <w:rPr>
          <w:lang w:val="fr-FR"/>
        </w:rPr>
        <w:t>e</w:t>
      </w:r>
      <w:r>
        <w:rPr>
          <w:lang w:val="fr-FR"/>
        </w:rPr>
        <w:t xml:space="preserve"> la</w:t>
      </w:r>
      <w:r w:rsidRPr="007A6612">
        <w:rPr>
          <w:lang w:val="fr-FR"/>
        </w:rPr>
        <w:t xml:space="preserve"> procédure </w:t>
      </w:r>
      <w:r>
        <w:rPr>
          <w:lang w:val="fr-FR"/>
        </w:rPr>
        <w:t>interne de</w:t>
      </w:r>
      <w:r w:rsidRPr="007A6612">
        <w:rPr>
          <w:lang w:val="fr-FR"/>
        </w:rPr>
        <w:t xml:space="preserve"> ratification </w:t>
      </w:r>
      <w:r>
        <w:rPr>
          <w:lang w:val="fr-FR"/>
        </w:rPr>
        <w:t>du</w:t>
      </w:r>
      <w:r w:rsidRPr="007A6612">
        <w:rPr>
          <w:lang w:val="fr-FR"/>
        </w:rPr>
        <w:t xml:space="preserve"> </w:t>
      </w:r>
      <w:r w:rsidRPr="00B53ECC">
        <w:rPr>
          <w:lang w:val="fr-FR"/>
        </w:rPr>
        <w:t>Deuxième Protocole facultatif se rapportant au Pacte international relatif aux droits civils et</w:t>
      </w:r>
      <w:r w:rsidR="000473FA">
        <w:rPr>
          <w:lang w:val="fr-FR"/>
        </w:rPr>
        <w:t> </w:t>
      </w:r>
      <w:r w:rsidRPr="00B53ECC">
        <w:rPr>
          <w:lang w:val="fr-FR"/>
        </w:rPr>
        <w:t>politiques, visant à abolir la peine de mort.</w:t>
      </w:r>
    </w:p>
    <w:p w:rsidR="00CF0E66" w:rsidRPr="00417C4D" w:rsidRDefault="00CF0E66" w:rsidP="000473FA">
      <w:pPr>
        <w:pStyle w:val="ParNoG"/>
        <w:keepNext/>
      </w:pPr>
      <w:r>
        <w:t>Le Comité salue également les mesures</w:t>
      </w:r>
      <w:r w:rsidRPr="00417C4D">
        <w:t xml:space="preserve"> législatives </w:t>
      </w:r>
      <w:r>
        <w:t>prises pendant la période considérée</w:t>
      </w:r>
      <w:r w:rsidRPr="00417C4D">
        <w:t xml:space="preserve">, </w:t>
      </w:r>
      <w:r>
        <w:t>notamment</w:t>
      </w:r>
      <w:r w:rsidRPr="00417C4D">
        <w:t>:</w:t>
      </w:r>
    </w:p>
    <w:p w:rsidR="00CF0E66" w:rsidRPr="00B53ECC" w:rsidRDefault="00CF0E66" w:rsidP="00CF0E66">
      <w:pPr>
        <w:pStyle w:val="SingleTxtG"/>
        <w:ind w:firstLine="567"/>
        <w:rPr>
          <w:lang w:val="fr-FR"/>
        </w:rPr>
      </w:pPr>
      <w:r w:rsidRPr="00B53ECC">
        <w:t>a)</w:t>
      </w:r>
      <w:r w:rsidRPr="00B53ECC">
        <w:tab/>
      </w:r>
      <w:r w:rsidRPr="00B53ECC">
        <w:rPr>
          <w:lang w:val="fr-FR"/>
        </w:rPr>
        <w:t>L</w:t>
      </w:r>
      <w:r w:rsidR="00FF648A">
        <w:rPr>
          <w:lang w:val="fr-FR"/>
        </w:rPr>
        <w:t>’</w:t>
      </w:r>
      <w:r w:rsidRPr="00B53ECC">
        <w:rPr>
          <w:lang w:val="fr-FR"/>
        </w:rPr>
        <w:t>adoption de la nouvelle loi relative aux étrangers, qui prévoit de nouvelles procédures</w:t>
      </w:r>
      <w:r w:rsidR="005968D3">
        <w:rPr>
          <w:lang w:val="fr-FR"/>
        </w:rPr>
        <w:t xml:space="preserve"> améliorées </w:t>
      </w:r>
      <w:r w:rsidRPr="00B53ECC">
        <w:rPr>
          <w:lang w:val="fr-FR"/>
        </w:rPr>
        <w:t>d</w:t>
      </w:r>
      <w:r w:rsidR="00FF648A">
        <w:rPr>
          <w:lang w:val="fr-FR"/>
        </w:rPr>
        <w:t>’</w:t>
      </w:r>
      <w:r w:rsidRPr="00B53ECC">
        <w:rPr>
          <w:lang w:val="fr-FR"/>
        </w:rPr>
        <w:t>obtention des permis de séjour et de travail pour les étrangers, ainsi que l</w:t>
      </w:r>
      <w:r w:rsidR="00FF648A">
        <w:rPr>
          <w:lang w:val="fr-FR"/>
        </w:rPr>
        <w:t>’</w:t>
      </w:r>
      <w:r w:rsidRPr="00B53ECC">
        <w:rPr>
          <w:lang w:val="fr-FR"/>
        </w:rPr>
        <w:t>établissement d</w:t>
      </w:r>
      <w:r w:rsidR="00FF648A">
        <w:rPr>
          <w:lang w:val="fr-FR"/>
        </w:rPr>
        <w:t>’</w:t>
      </w:r>
      <w:r w:rsidRPr="00B53ECC">
        <w:rPr>
          <w:lang w:val="fr-FR"/>
        </w:rPr>
        <w:t>un système de mesures non privatives de liberté, applicables aux</w:t>
      </w:r>
      <w:r w:rsidR="000473FA">
        <w:rPr>
          <w:lang w:val="fr-FR"/>
        </w:rPr>
        <w:t> </w:t>
      </w:r>
      <w:r w:rsidRPr="00B53ECC">
        <w:rPr>
          <w:lang w:val="fr-FR"/>
        </w:rPr>
        <w:t>étrangers en situation irrégulière;</w:t>
      </w:r>
    </w:p>
    <w:p w:rsidR="00CF0E66" w:rsidRPr="00B53ECC" w:rsidRDefault="00CF0E66" w:rsidP="00CF0E66">
      <w:pPr>
        <w:pStyle w:val="SingleTxtG"/>
        <w:ind w:firstLine="567"/>
        <w:rPr>
          <w:lang w:val="fr-FR"/>
        </w:rPr>
      </w:pPr>
      <w:r w:rsidRPr="00B53ECC">
        <w:rPr>
          <w:lang w:val="fr-FR"/>
        </w:rPr>
        <w:t>b)</w:t>
      </w:r>
      <w:r w:rsidRPr="00B53ECC">
        <w:rPr>
          <w:lang w:val="fr-FR"/>
        </w:rPr>
        <w:tab/>
        <w:t>La modification du Code pénal, en 2010, qui visait à élargir la définition des crimes motivés par la haine et à réprimer certaines activités telles que la production, l</w:t>
      </w:r>
      <w:r w:rsidR="00FF648A">
        <w:rPr>
          <w:lang w:val="fr-FR"/>
        </w:rPr>
        <w:t>’</w:t>
      </w:r>
      <w:r w:rsidRPr="00B53ECC">
        <w:rPr>
          <w:lang w:val="fr-FR"/>
        </w:rPr>
        <w:t>enregistrement, l</w:t>
      </w:r>
      <w:r w:rsidR="00FF648A">
        <w:rPr>
          <w:lang w:val="fr-FR"/>
        </w:rPr>
        <w:t>’</w:t>
      </w:r>
      <w:r w:rsidRPr="00B53ECC">
        <w:rPr>
          <w:lang w:val="fr-FR"/>
        </w:rPr>
        <w:t>achat, l</w:t>
      </w:r>
      <w:r w:rsidR="00FF648A">
        <w:rPr>
          <w:lang w:val="fr-FR"/>
        </w:rPr>
        <w:t>’</w:t>
      </w:r>
      <w:r w:rsidRPr="00B53ECC">
        <w:rPr>
          <w:lang w:val="fr-FR"/>
        </w:rPr>
        <w:t>entreposage ou le transfert de produits dont le contenu promeut les régimes totalitaires, fascistes et autres, ou incite à la haine nationale, raciale</w:t>
      </w:r>
      <w:r w:rsidR="00D83A39">
        <w:rPr>
          <w:lang w:val="fr-FR"/>
        </w:rPr>
        <w:t xml:space="preserve"> </w:t>
      </w:r>
      <w:r w:rsidRPr="00B53ECC">
        <w:rPr>
          <w:lang w:val="fr-FR"/>
        </w:rPr>
        <w:t>ou ethnique;</w:t>
      </w:r>
    </w:p>
    <w:p w:rsidR="00CF0E66" w:rsidRPr="00B53ECC" w:rsidRDefault="00CF0E66" w:rsidP="00CF0E66">
      <w:pPr>
        <w:pStyle w:val="SingleTxtG"/>
        <w:ind w:firstLine="567"/>
      </w:pPr>
      <w:r w:rsidRPr="00B53ECC">
        <w:t>c)</w:t>
      </w:r>
      <w:r w:rsidRPr="00B53ECC">
        <w:tab/>
        <w:t>L</w:t>
      </w:r>
      <w:r w:rsidR="00FF648A">
        <w:t>’</w:t>
      </w:r>
      <w:r w:rsidRPr="00B53ECC">
        <w:t xml:space="preserve">adoption, en décembre </w:t>
      </w:r>
      <w:r w:rsidRPr="00CF0E66">
        <w:rPr>
          <w:lang w:val="fr-FR"/>
        </w:rPr>
        <w:t>2010</w:t>
      </w:r>
      <w:r w:rsidRPr="00B53ECC">
        <w:t>, de la loi contre la discrimination, qui transpose certaines directives</w:t>
      </w:r>
      <w:r w:rsidR="00D83A39">
        <w:t xml:space="preserve"> </w:t>
      </w:r>
      <w:r w:rsidRPr="00B53ECC">
        <w:t>européennes relatives à l</w:t>
      </w:r>
      <w:r w:rsidR="00FF648A">
        <w:t>’</w:t>
      </w:r>
      <w:r w:rsidRPr="00B53ECC">
        <w:t>égalité de traitement, et l</w:t>
      </w:r>
      <w:r w:rsidR="00FF648A">
        <w:t>’</w:t>
      </w:r>
      <w:r w:rsidRPr="00B53ECC">
        <w:t>adoption du Plan national d</w:t>
      </w:r>
      <w:r w:rsidR="00FF648A">
        <w:t>’</w:t>
      </w:r>
      <w:r w:rsidRPr="00B53ECC">
        <w:t>action pour l</w:t>
      </w:r>
      <w:r w:rsidR="00FF648A">
        <w:t>’</w:t>
      </w:r>
      <w:r w:rsidRPr="00B53ECC">
        <w:t>égalité de traitement</w:t>
      </w:r>
      <w:r w:rsidR="00D83A39">
        <w:t xml:space="preserve"> </w:t>
      </w:r>
      <w:r w:rsidRPr="00B53ECC">
        <w:t>2013</w:t>
      </w:r>
      <w:r w:rsidR="005968D3">
        <w:t>-</w:t>
      </w:r>
      <w:r w:rsidRPr="00B53ECC">
        <w:t>2016.</w:t>
      </w:r>
    </w:p>
    <w:p w:rsidR="00CF0E66" w:rsidRPr="00F83BE1" w:rsidRDefault="00CF0E66" w:rsidP="000473FA">
      <w:pPr>
        <w:pStyle w:val="ParNoG"/>
        <w:keepNext/>
        <w:rPr>
          <w:lang w:val="fr-FR"/>
        </w:rPr>
      </w:pPr>
      <w:r>
        <w:rPr>
          <w:lang w:val="fr-FR"/>
        </w:rPr>
        <w:t>Le Com</w:t>
      </w:r>
      <w:r w:rsidRPr="00F83BE1">
        <w:rPr>
          <w:lang w:val="fr-FR"/>
        </w:rPr>
        <w:t>it</w:t>
      </w:r>
      <w:r>
        <w:rPr>
          <w:lang w:val="fr-FR"/>
        </w:rPr>
        <w:t>é</w:t>
      </w:r>
      <w:r w:rsidRPr="00F83BE1">
        <w:rPr>
          <w:lang w:val="fr-FR"/>
        </w:rPr>
        <w:t xml:space="preserve"> </w:t>
      </w:r>
      <w:r>
        <w:rPr>
          <w:lang w:val="fr-FR"/>
        </w:rPr>
        <w:t xml:space="preserve">note également avec satisfaction </w:t>
      </w:r>
      <w:r w:rsidR="005968D3">
        <w:rPr>
          <w:lang w:val="fr-FR"/>
        </w:rPr>
        <w:t>l</w:t>
      </w:r>
      <w:r>
        <w:rPr>
          <w:lang w:val="fr-FR"/>
        </w:rPr>
        <w:t>es mesures suivantes</w:t>
      </w:r>
      <w:r w:rsidRPr="00F83BE1">
        <w:rPr>
          <w:lang w:val="fr-FR"/>
        </w:rPr>
        <w:t>:</w:t>
      </w:r>
    </w:p>
    <w:p w:rsidR="00CF0E66" w:rsidRPr="00B53ECC" w:rsidRDefault="00CF0E66" w:rsidP="00CF0E66">
      <w:pPr>
        <w:pStyle w:val="SingleTxtG"/>
        <w:ind w:firstLine="567"/>
        <w:rPr>
          <w:lang w:val="fr-FR"/>
        </w:rPr>
      </w:pPr>
      <w:r w:rsidRPr="00B53ECC">
        <w:rPr>
          <w:lang w:val="fr-FR"/>
        </w:rPr>
        <w:t>a)</w:t>
      </w:r>
      <w:r w:rsidRPr="00B53ECC">
        <w:rPr>
          <w:lang w:val="fr-FR"/>
        </w:rPr>
        <w:tab/>
        <w:t>L</w:t>
      </w:r>
      <w:r w:rsidR="00FF648A">
        <w:rPr>
          <w:lang w:val="fr-FR"/>
        </w:rPr>
        <w:t>’</w:t>
      </w:r>
      <w:r w:rsidRPr="00B53ECC">
        <w:rPr>
          <w:lang w:val="fr-FR"/>
        </w:rPr>
        <w:t>établissement, au Ministère de la justice, en décembre 2009, d</w:t>
      </w:r>
      <w:r w:rsidR="00FF648A">
        <w:rPr>
          <w:lang w:val="fr-FR"/>
        </w:rPr>
        <w:t>’</w:t>
      </w:r>
      <w:r w:rsidRPr="00B53ECC">
        <w:rPr>
          <w:lang w:val="fr-FR"/>
        </w:rPr>
        <w:t xml:space="preserve">un </w:t>
      </w:r>
      <w:r w:rsidR="005968D3">
        <w:rPr>
          <w:lang w:val="fr-FR"/>
        </w:rPr>
        <w:t>s</w:t>
      </w:r>
      <w:r w:rsidRPr="00B53ECC">
        <w:rPr>
          <w:lang w:val="fr-FR"/>
        </w:rPr>
        <w:t>ervice des droits de l</w:t>
      </w:r>
      <w:r w:rsidR="00FF648A">
        <w:rPr>
          <w:lang w:val="fr-FR"/>
        </w:rPr>
        <w:t>’</w:t>
      </w:r>
      <w:r w:rsidRPr="00B53ECC">
        <w:rPr>
          <w:lang w:val="fr-FR"/>
        </w:rPr>
        <w:t>homme, chargé de rendre compte aux organes créés en vertu d</w:t>
      </w:r>
      <w:r w:rsidR="00FF648A">
        <w:rPr>
          <w:lang w:val="fr-FR"/>
        </w:rPr>
        <w:t>’</w:t>
      </w:r>
      <w:r w:rsidRPr="00B53ECC">
        <w:rPr>
          <w:lang w:val="fr-FR"/>
        </w:rPr>
        <w:t xml:space="preserve">instruments </w:t>
      </w:r>
      <w:r w:rsidR="005968D3">
        <w:rPr>
          <w:lang w:val="fr-FR"/>
        </w:rPr>
        <w:t xml:space="preserve">internationaux </w:t>
      </w:r>
      <w:r w:rsidRPr="00B53ECC">
        <w:rPr>
          <w:lang w:val="fr-FR"/>
        </w:rPr>
        <w:t>relatifs aux droits de l</w:t>
      </w:r>
      <w:r w:rsidR="00FF648A">
        <w:rPr>
          <w:lang w:val="fr-FR"/>
        </w:rPr>
        <w:t>’</w:t>
      </w:r>
      <w:r w:rsidRPr="00B53ECC">
        <w:rPr>
          <w:lang w:val="fr-FR"/>
        </w:rPr>
        <w:t>homme;</w:t>
      </w:r>
    </w:p>
    <w:p w:rsidR="00CF0E66" w:rsidRPr="00B53ECC" w:rsidRDefault="00CF0E66" w:rsidP="00CF0E66">
      <w:pPr>
        <w:pStyle w:val="SingleTxtG"/>
        <w:ind w:firstLine="567"/>
        <w:rPr>
          <w:lang w:val="fr-FR"/>
        </w:rPr>
      </w:pPr>
      <w:r w:rsidRPr="00B53ECC">
        <w:rPr>
          <w:lang w:val="fr-FR"/>
        </w:rPr>
        <w:t>b)</w:t>
      </w:r>
      <w:r w:rsidRPr="00B53ECC">
        <w:rPr>
          <w:lang w:val="fr-FR"/>
        </w:rPr>
        <w:tab/>
        <w:t>L</w:t>
      </w:r>
      <w:r w:rsidR="00FF648A">
        <w:rPr>
          <w:lang w:val="fr-FR"/>
        </w:rPr>
        <w:t>’</w:t>
      </w:r>
      <w:r w:rsidRPr="00B53ECC">
        <w:rPr>
          <w:lang w:val="fr-FR"/>
        </w:rPr>
        <w:t>établissement, par le Ministère de l</w:t>
      </w:r>
      <w:r w:rsidR="00FF648A">
        <w:rPr>
          <w:lang w:val="fr-FR"/>
        </w:rPr>
        <w:t>’</w:t>
      </w:r>
      <w:r w:rsidRPr="00B53ECC">
        <w:rPr>
          <w:lang w:val="fr-FR"/>
        </w:rPr>
        <w:t>éducation nationale, le 1</w:t>
      </w:r>
      <w:r w:rsidRPr="00B53ECC">
        <w:rPr>
          <w:vertAlign w:val="superscript"/>
          <w:lang w:val="fr-FR"/>
        </w:rPr>
        <w:t>er</w:t>
      </w:r>
      <w:r w:rsidR="00FF648A">
        <w:rPr>
          <w:lang w:val="fr-FR"/>
        </w:rPr>
        <w:t> </w:t>
      </w:r>
      <w:r w:rsidRPr="00B53ECC">
        <w:rPr>
          <w:lang w:val="fr-FR"/>
        </w:rPr>
        <w:t>avril 2010, de règlements prévoyant l</w:t>
      </w:r>
      <w:r w:rsidR="00FF648A">
        <w:rPr>
          <w:lang w:val="fr-FR"/>
        </w:rPr>
        <w:t>’</w:t>
      </w:r>
      <w:r w:rsidRPr="00B53ECC">
        <w:rPr>
          <w:lang w:val="fr-FR"/>
        </w:rPr>
        <w:t>admission des étrangers dans les établissements d</w:t>
      </w:r>
      <w:r w:rsidR="00FF648A">
        <w:rPr>
          <w:lang w:val="fr-FR"/>
        </w:rPr>
        <w:t>’</w:t>
      </w:r>
      <w:r w:rsidRPr="00B53ECC">
        <w:rPr>
          <w:lang w:val="fr-FR"/>
        </w:rPr>
        <w:t xml:space="preserve">enseignement publics et la création de </w:t>
      </w:r>
      <w:r w:rsidR="005968D3">
        <w:rPr>
          <w:lang w:val="fr-FR"/>
        </w:rPr>
        <w:t>classes</w:t>
      </w:r>
      <w:r w:rsidRPr="00B53ECC">
        <w:rPr>
          <w:lang w:val="fr-FR"/>
        </w:rPr>
        <w:t xml:space="preserve"> supplémentaires à leur intention, notamment de cours de</w:t>
      </w:r>
      <w:r w:rsidR="000473FA">
        <w:rPr>
          <w:lang w:val="fr-FR"/>
        </w:rPr>
        <w:t> </w:t>
      </w:r>
      <w:r w:rsidRPr="00B53ECC">
        <w:rPr>
          <w:lang w:val="fr-FR"/>
        </w:rPr>
        <w:t>rattrapage et de cours de langue;</w:t>
      </w:r>
    </w:p>
    <w:p w:rsidR="00CF0E66" w:rsidRPr="00B53ECC" w:rsidRDefault="00CF0E66" w:rsidP="00CF0E66">
      <w:pPr>
        <w:pStyle w:val="SingleTxtG"/>
        <w:ind w:firstLine="567"/>
        <w:rPr>
          <w:lang w:val="fr-FR"/>
        </w:rPr>
      </w:pPr>
      <w:r w:rsidRPr="00B53ECC">
        <w:rPr>
          <w:lang w:val="fr-FR"/>
        </w:rPr>
        <w:t>c)</w:t>
      </w:r>
      <w:r w:rsidRPr="00B53ECC">
        <w:rPr>
          <w:lang w:val="fr-FR"/>
        </w:rPr>
        <w:tab/>
        <w:t>La création, en décembre 2011, de l</w:t>
      </w:r>
      <w:r w:rsidR="00FF648A">
        <w:rPr>
          <w:lang w:val="fr-FR"/>
        </w:rPr>
        <w:t>’</w:t>
      </w:r>
      <w:r w:rsidRPr="00B53ECC">
        <w:rPr>
          <w:lang w:val="fr-FR"/>
        </w:rPr>
        <w:t>équipe de protection des droits de l</w:t>
      </w:r>
      <w:r w:rsidR="00FF648A">
        <w:rPr>
          <w:lang w:val="fr-FR"/>
        </w:rPr>
        <w:t>’</w:t>
      </w:r>
      <w:r w:rsidRPr="00B53ECC">
        <w:rPr>
          <w:lang w:val="fr-FR"/>
        </w:rPr>
        <w:t>homme, rattachée au Ministère de l</w:t>
      </w:r>
      <w:r w:rsidR="00FF648A">
        <w:rPr>
          <w:lang w:val="fr-FR"/>
        </w:rPr>
        <w:t>’</w:t>
      </w:r>
      <w:r w:rsidRPr="00B53ECC">
        <w:rPr>
          <w:lang w:val="fr-FR"/>
        </w:rPr>
        <w:t>intérieur et de l</w:t>
      </w:r>
      <w:r w:rsidR="00FF648A">
        <w:rPr>
          <w:lang w:val="fr-FR"/>
        </w:rPr>
        <w:t>’</w:t>
      </w:r>
      <w:r w:rsidRPr="00B53ECC">
        <w:rPr>
          <w:lang w:val="fr-FR"/>
        </w:rPr>
        <w:t xml:space="preserve">administration et chargée de surveiller les </w:t>
      </w:r>
      <w:r w:rsidR="005968D3">
        <w:rPr>
          <w:lang w:val="fr-FR"/>
        </w:rPr>
        <w:t>violations des</w:t>
      </w:r>
      <w:r w:rsidRPr="00B53ECC">
        <w:rPr>
          <w:lang w:val="fr-FR"/>
        </w:rPr>
        <w:t xml:space="preserve"> droits de l</w:t>
      </w:r>
      <w:r w:rsidR="00FF648A">
        <w:rPr>
          <w:lang w:val="fr-FR"/>
        </w:rPr>
        <w:t>’</w:t>
      </w:r>
      <w:r w:rsidRPr="00B53ECC">
        <w:rPr>
          <w:lang w:val="fr-FR"/>
        </w:rPr>
        <w:t>homme.</w:t>
      </w:r>
    </w:p>
    <w:p w:rsidR="000473FA" w:rsidRDefault="00CF0E66" w:rsidP="00CF0E66">
      <w:pPr>
        <w:pStyle w:val="H1G"/>
        <w:rPr>
          <w:lang w:val="fr-FR"/>
        </w:rPr>
      </w:pPr>
      <w:r w:rsidRPr="00F83BE1">
        <w:rPr>
          <w:lang w:val="fr-FR"/>
        </w:rPr>
        <w:tab/>
        <w:t>C.</w:t>
      </w:r>
      <w:r w:rsidRPr="00F83BE1">
        <w:rPr>
          <w:lang w:val="fr-FR"/>
        </w:rPr>
        <w:tab/>
      </w:r>
      <w:r w:rsidRPr="00B53ECC">
        <w:rPr>
          <w:lang w:val="fr-FR"/>
        </w:rPr>
        <w:t>Sujets de préoccupation et recommandations</w:t>
      </w:r>
    </w:p>
    <w:p w:rsidR="00CF0E66" w:rsidRPr="00F83BE1" w:rsidRDefault="00CF0E66" w:rsidP="00CF0E66">
      <w:pPr>
        <w:pStyle w:val="H23G"/>
        <w:rPr>
          <w:lang w:val="fr-FR"/>
        </w:rPr>
      </w:pPr>
      <w:r w:rsidRPr="00F83BE1">
        <w:rPr>
          <w:lang w:val="fr-FR"/>
        </w:rPr>
        <w:tab/>
      </w:r>
      <w:r w:rsidRPr="00F83BE1">
        <w:rPr>
          <w:lang w:val="fr-FR"/>
        </w:rPr>
        <w:tab/>
      </w:r>
      <w:r>
        <w:rPr>
          <w:lang w:val="fr-FR"/>
        </w:rPr>
        <w:t>Données statistiques pertinentes</w:t>
      </w:r>
    </w:p>
    <w:p w:rsidR="00CF0E66" w:rsidRPr="00F83BE1" w:rsidRDefault="00CF0E66" w:rsidP="00CF0E66">
      <w:pPr>
        <w:pStyle w:val="ParNoG"/>
        <w:rPr>
          <w:lang w:val="fr-FR"/>
        </w:rPr>
      </w:pPr>
      <w:r>
        <w:rPr>
          <w:lang w:val="fr-FR"/>
        </w:rPr>
        <w:t>Le</w:t>
      </w:r>
      <w:r w:rsidRPr="00F83BE1">
        <w:rPr>
          <w:lang w:val="fr-FR"/>
        </w:rPr>
        <w:t xml:space="preserve"> Comit</w:t>
      </w:r>
      <w:r>
        <w:rPr>
          <w:lang w:val="fr-FR"/>
        </w:rPr>
        <w:t>é</w:t>
      </w:r>
      <w:r w:rsidRPr="00F83BE1">
        <w:rPr>
          <w:lang w:val="fr-FR"/>
        </w:rPr>
        <w:t xml:space="preserve"> regret</w:t>
      </w:r>
      <w:r>
        <w:rPr>
          <w:lang w:val="fr-FR"/>
        </w:rPr>
        <w:t>te</w:t>
      </w:r>
      <w:r w:rsidRPr="00F83BE1">
        <w:rPr>
          <w:lang w:val="fr-FR"/>
        </w:rPr>
        <w:t xml:space="preserve"> </w:t>
      </w:r>
      <w:r w:rsidR="005968D3">
        <w:rPr>
          <w:lang w:val="fr-FR"/>
        </w:rPr>
        <w:t>l</w:t>
      </w:r>
      <w:r w:rsidR="00FF648A">
        <w:rPr>
          <w:lang w:val="fr-FR"/>
        </w:rPr>
        <w:t>’</w:t>
      </w:r>
      <w:r w:rsidR="005968D3">
        <w:rPr>
          <w:lang w:val="fr-FR"/>
        </w:rPr>
        <w:t xml:space="preserve">absence </w:t>
      </w:r>
      <w:r>
        <w:rPr>
          <w:lang w:val="fr-FR"/>
        </w:rPr>
        <w:t>d</w:t>
      </w:r>
      <w:r w:rsidR="00FF648A">
        <w:rPr>
          <w:lang w:val="fr-FR"/>
        </w:rPr>
        <w:t>’</w:t>
      </w:r>
      <w:r>
        <w:rPr>
          <w:lang w:val="fr-FR"/>
        </w:rPr>
        <w:t>information</w:t>
      </w:r>
      <w:r w:rsidR="001774CF">
        <w:rPr>
          <w:lang w:val="fr-FR"/>
        </w:rPr>
        <w:t>s</w:t>
      </w:r>
      <w:r>
        <w:rPr>
          <w:lang w:val="fr-FR"/>
        </w:rPr>
        <w:t xml:space="preserve"> à jour sur</w:t>
      </w:r>
      <w:r w:rsidRPr="00F83BE1">
        <w:rPr>
          <w:lang w:val="fr-FR"/>
        </w:rPr>
        <w:t xml:space="preserve"> </w:t>
      </w:r>
      <w:r>
        <w:rPr>
          <w:lang w:val="fr-FR"/>
        </w:rPr>
        <w:t xml:space="preserve">la composition ethnique de la population à la suite du recensement national de </w:t>
      </w:r>
      <w:r w:rsidRPr="00F83BE1">
        <w:rPr>
          <w:lang w:val="fr-FR"/>
        </w:rPr>
        <w:t xml:space="preserve">2011, </w:t>
      </w:r>
      <w:r>
        <w:rPr>
          <w:lang w:val="fr-FR"/>
        </w:rPr>
        <w:t>et notamment d</w:t>
      </w:r>
      <w:r w:rsidR="00FF648A">
        <w:rPr>
          <w:lang w:val="fr-FR"/>
        </w:rPr>
        <w:t>’</w:t>
      </w:r>
      <w:r>
        <w:rPr>
          <w:lang w:val="fr-FR"/>
        </w:rPr>
        <w:t>indicateurs socioéconomiques permettant de mesurer l</w:t>
      </w:r>
      <w:r w:rsidR="00FF648A">
        <w:rPr>
          <w:lang w:val="fr-FR"/>
        </w:rPr>
        <w:t>’</w:t>
      </w:r>
      <w:r>
        <w:rPr>
          <w:lang w:val="fr-FR"/>
        </w:rPr>
        <w:t xml:space="preserve">égale jouissance, par tous, des droits consacrés par la Convention </w:t>
      </w:r>
      <w:r w:rsidRPr="00F83BE1">
        <w:rPr>
          <w:lang w:val="fr-FR"/>
        </w:rPr>
        <w:t>(art. 1</w:t>
      </w:r>
      <w:r w:rsidRPr="006D7E9A">
        <w:rPr>
          <w:vertAlign w:val="superscript"/>
          <w:lang w:val="fr-FR"/>
        </w:rPr>
        <w:t>er</w:t>
      </w:r>
      <w:r w:rsidRPr="00F83BE1">
        <w:rPr>
          <w:lang w:val="fr-FR"/>
        </w:rPr>
        <w:t xml:space="preserve"> </w:t>
      </w:r>
      <w:r>
        <w:rPr>
          <w:lang w:val="fr-FR"/>
        </w:rPr>
        <w:t>et</w:t>
      </w:r>
      <w:r w:rsidRPr="00F83BE1">
        <w:rPr>
          <w:lang w:val="fr-FR"/>
        </w:rPr>
        <w:t xml:space="preserve"> 5).</w:t>
      </w:r>
    </w:p>
    <w:p w:rsidR="00CF0E66" w:rsidRPr="00A20B9E" w:rsidRDefault="00CF0E66" w:rsidP="00A20B9E">
      <w:pPr>
        <w:pStyle w:val="SingleTxtG"/>
        <w:rPr>
          <w:b/>
          <w:lang w:val="fr-FR"/>
        </w:rPr>
      </w:pPr>
      <w:r w:rsidRPr="00A20B9E">
        <w:rPr>
          <w:b/>
          <w:lang w:val="fr-FR"/>
        </w:rPr>
        <w:t>Le Comité note l</w:t>
      </w:r>
      <w:r w:rsidR="00FF648A">
        <w:rPr>
          <w:b/>
          <w:lang w:val="fr-FR"/>
        </w:rPr>
        <w:t>’</w:t>
      </w:r>
      <w:r w:rsidRPr="00A20B9E">
        <w:rPr>
          <w:b/>
          <w:lang w:val="fr-FR"/>
        </w:rPr>
        <w:t>homogénéité relative de la population polonaise, mais il demande à l</w:t>
      </w:r>
      <w:r w:rsidR="00FF648A">
        <w:rPr>
          <w:b/>
          <w:lang w:val="fr-FR"/>
        </w:rPr>
        <w:t>’</w:t>
      </w:r>
      <w:r w:rsidRPr="00A20B9E">
        <w:rPr>
          <w:b/>
          <w:lang w:val="fr-FR"/>
        </w:rPr>
        <w:t xml:space="preserve">État partie de lui fournir des données statistiques détaillées et à jour sur la composition ethnique de la population, conformément à ses </w:t>
      </w:r>
      <w:r w:rsidRPr="00A20B9E">
        <w:rPr>
          <w:b/>
        </w:rPr>
        <w:t>directives révisées pour l</w:t>
      </w:r>
      <w:r w:rsidR="00FF648A">
        <w:rPr>
          <w:b/>
        </w:rPr>
        <w:t>’</w:t>
      </w:r>
      <w:r w:rsidRPr="00A20B9E">
        <w:rPr>
          <w:b/>
        </w:rPr>
        <w:t xml:space="preserve">établissement des rapports </w:t>
      </w:r>
      <w:r w:rsidRPr="00A20B9E">
        <w:rPr>
          <w:b/>
          <w:lang w:val="fr-FR"/>
        </w:rPr>
        <w:t>(CERD/C/2007/1). Il demande à l</w:t>
      </w:r>
      <w:r w:rsidR="00FF648A">
        <w:rPr>
          <w:b/>
          <w:lang w:val="fr-FR"/>
        </w:rPr>
        <w:t>’</w:t>
      </w:r>
      <w:r w:rsidRPr="00A20B9E">
        <w:rPr>
          <w:b/>
          <w:lang w:val="fr-FR"/>
        </w:rPr>
        <w:t>État partie de lui faire part des conclusions de l</w:t>
      </w:r>
      <w:r w:rsidR="00FF648A">
        <w:rPr>
          <w:b/>
          <w:lang w:val="fr-FR"/>
        </w:rPr>
        <w:t>’</w:t>
      </w:r>
      <w:r w:rsidRPr="00A20B9E">
        <w:rPr>
          <w:b/>
          <w:lang w:val="fr-FR"/>
        </w:rPr>
        <w:t>étude sur l</w:t>
      </w:r>
      <w:r w:rsidR="00FF648A">
        <w:rPr>
          <w:b/>
          <w:lang w:val="fr-FR"/>
        </w:rPr>
        <w:t>’</w:t>
      </w:r>
      <w:r w:rsidRPr="00A20B9E">
        <w:rPr>
          <w:b/>
          <w:lang w:val="fr-FR"/>
        </w:rPr>
        <w:t>identité nationale de la population</w:t>
      </w:r>
      <w:r w:rsidR="00D83A39">
        <w:rPr>
          <w:b/>
          <w:lang w:val="fr-FR"/>
        </w:rPr>
        <w:t xml:space="preserve"> </w:t>
      </w:r>
      <w:r w:rsidRPr="00A20B9E">
        <w:rPr>
          <w:b/>
          <w:lang w:val="fr-FR"/>
        </w:rPr>
        <w:t xml:space="preserve">qui a été réalisée à la suite du recensement. </w:t>
      </w:r>
      <w:r w:rsidR="005968D3">
        <w:rPr>
          <w:b/>
          <w:lang w:val="fr-FR"/>
        </w:rPr>
        <w:t>À</w:t>
      </w:r>
      <w:r w:rsidRPr="00A20B9E">
        <w:rPr>
          <w:b/>
          <w:lang w:val="fr-FR"/>
        </w:rPr>
        <w:t xml:space="preserve"> cet égard, et compte tenu de sa Recommandation générale </w:t>
      </w:r>
      <w:r w:rsidR="005968D3" w:rsidRPr="005968D3">
        <w:rPr>
          <w:b/>
          <w:lang w:val="fr-FR"/>
        </w:rPr>
        <w:t>n</w:t>
      </w:r>
      <w:r w:rsidR="005968D3" w:rsidRPr="005968D3">
        <w:rPr>
          <w:b/>
          <w:vertAlign w:val="superscript"/>
          <w:lang w:val="fr-FR"/>
        </w:rPr>
        <w:t>o</w:t>
      </w:r>
      <w:r w:rsidR="005968D3">
        <w:rPr>
          <w:b/>
          <w:lang w:val="fr-FR"/>
        </w:rPr>
        <w:t> 8</w:t>
      </w:r>
      <w:r w:rsidRPr="00A20B9E">
        <w:rPr>
          <w:b/>
          <w:lang w:val="fr-FR"/>
        </w:rPr>
        <w:t xml:space="preserve"> (1990) </w:t>
      </w:r>
      <w:r w:rsidR="005968D3">
        <w:rPr>
          <w:b/>
          <w:lang w:val="fr-FR"/>
        </w:rPr>
        <w:t>sur</w:t>
      </w:r>
      <w:r w:rsidRPr="00A20B9E">
        <w:rPr>
          <w:b/>
          <w:lang w:val="fr-FR"/>
        </w:rPr>
        <w:t xml:space="preserve"> </w:t>
      </w:r>
      <w:r w:rsidRPr="00A20B9E">
        <w:rPr>
          <w:b/>
          <w:bCs/>
          <w:lang w:val="fr-FR"/>
        </w:rPr>
        <w:t>l</w:t>
      </w:r>
      <w:r w:rsidR="00FF648A">
        <w:rPr>
          <w:b/>
          <w:bCs/>
          <w:lang w:val="fr-FR"/>
        </w:rPr>
        <w:t>’</w:t>
      </w:r>
      <w:r w:rsidRPr="00A20B9E">
        <w:rPr>
          <w:b/>
          <w:bCs/>
          <w:lang w:val="fr-FR"/>
        </w:rPr>
        <w:t>identification des individus comme appartenant à un groupe racial ou ethnique particulier</w:t>
      </w:r>
      <w:r w:rsidRPr="00A20B9E">
        <w:rPr>
          <w:b/>
          <w:lang w:val="fr-FR"/>
        </w:rPr>
        <w:t xml:space="preserve"> (</w:t>
      </w:r>
      <w:r w:rsidR="00FF648A">
        <w:rPr>
          <w:b/>
          <w:lang w:val="fr-FR"/>
        </w:rPr>
        <w:t>art. </w:t>
      </w:r>
      <w:r w:rsidRPr="00A20B9E">
        <w:rPr>
          <w:b/>
          <w:lang w:val="fr-FR"/>
        </w:rPr>
        <w:t>1</w:t>
      </w:r>
      <w:r w:rsidRPr="00A20B9E">
        <w:rPr>
          <w:b/>
          <w:vertAlign w:val="superscript"/>
          <w:lang w:val="fr-FR"/>
        </w:rPr>
        <w:t>er</w:t>
      </w:r>
      <w:r w:rsidRPr="00A20B9E">
        <w:rPr>
          <w:b/>
          <w:lang w:val="fr-FR"/>
        </w:rPr>
        <w:t xml:space="preserve">, </w:t>
      </w:r>
      <w:r w:rsidR="00FF648A">
        <w:rPr>
          <w:b/>
          <w:lang w:val="fr-FR"/>
        </w:rPr>
        <w:t>par. </w:t>
      </w:r>
      <w:r w:rsidRPr="00A20B9E">
        <w:rPr>
          <w:b/>
          <w:lang w:val="fr-FR"/>
        </w:rPr>
        <w:t>1 et 4), il insiste sur le fait qu</w:t>
      </w:r>
      <w:r w:rsidR="00FF648A">
        <w:rPr>
          <w:b/>
          <w:lang w:val="fr-FR"/>
        </w:rPr>
        <w:t>’</w:t>
      </w:r>
      <w:r w:rsidRPr="00A20B9E">
        <w:rPr>
          <w:b/>
          <w:lang w:val="fr-FR"/>
        </w:rPr>
        <w:t xml:space="preserve">il est extrêmement important que les personnes appartenant </w:t>
      </w:r>
      <w:r w:rsidRPr="00A20B9E">
        <w:rPr>
          <w:b/>
          <w:bCs/>
          <w:lang w:val="fr-FR"/>
        </w:rPr>
        <w:t>à un groupe racial ou ethnique particulier se définissent elles-mêmes comme telles</w:t>
      </w:r>
      <w:r w:rsidRPr="00A20B9E">
        <w:rPr>
          <w:b/>
          <w:lang w:val="fr-FR"/>
        </w:rPr>
        <w:t>.</w:t>
      </w:r>
    </w:p>
    <w:p w:rsidR="00CF0E66" w:rsidRPr="00127AEC" w:rsidRDefault="00CF0E66" w:rsidP="00A20B9E">
      <w:pPr>
        <w:pStyle w:val="H23G"/>
      </w:pPr>
      <w:r>
        <w:tab/>
      </w:r>
      <w:r>
        <w:tab/>
        <w:t>Place de la</w:t>
      </w:r>
      <w:r w:rsidRPr="00417C4D">
        <w:t xml:space="preserve"> </w:t>
      </w:r>
      <w:r w:rsidRPr="00A20B9E">
        <w:rPr>
          <w:lang w:val="fr-FR"/>
        </w:rPr>
        <w:t>Convention</w:t>
      </w:r>
      <w:r w:rsidRPr="00417C4D">
        <w:t xml:space="preserve"> </w:t>
      </w:r>
      <w:r>
        <w:t>dans l</w:t>
      </w:r>
      <w:r w:rsidR="00FF648A">
        <w:t>’</w:t>
      </w:r>
      <w:r>
        <w:t>ordre</w:t>
      </w:r>
      <w:r w:rsidRPr="00417C4D">
        <w:t xml:space="preserve"> </w:t>
      </w:r>
      <w:r>
        <w:t>juridique interne et application par les tribunaux</w:t>
      </w:r>
    </w:p>
    <w:p w:rsidR="00CF0E66" w:rsidRPr="00AC685E" w:rsidRDefault="00CF0E66" w:rsidP="00A20B9E">
      <w:pPr>
        <w:pStyle w:val="ParNoG"/>
        <w:rPr>
          <w:lang w:val="fr-FR"/>
        </w:rPr>
      </w:pPr>
      <w:r w:rsidRPr="00AC685E">
        <w:rPr>
          <w:lang w:val="fr-FR"/>
        </w:rPr>
        <w:t xml:space="preserve">Le Comité note </w:t>
      </w:r>
      <w:r>
        <w:rPr>
          <w:lang w:val="fr-FR"/>
        </w:rPr>
        <w:t>qu</w:t>
      </w:r>
      <w:r w:rsidR="00FF648A">
        <w:rPr>
          <w:lang w:val="fr-FR"/>
        </w:rPr>
        <w:t>’</w:t>
      </w:r>
      <w:r>
        <w:rPr>
          <w:lang w:val="fr-FR"/>
        </w:rPr>
        <w:t>en dépit de la disposition de l</w:t>
      </w:r>
      <w:r w:rsidR="00FF648A">
        <w:rPr>
          <w:lang w:val="fr-FR"/>
        </w:rPr>
        <w:t>’article </w:t>
      </w:r>
      <w:r>
        <w:rPr>
          <w:lang w:val="fr-FR"/>
        </w:rPr>
        <w:t>91 de la Constitution en vertu de laquelle un instrument international ratifié par l</w:t>
      </w:r>
      <w:r w:rsidR="00FF648A">
        <w:rPr>
          <w:lang w:val="fr-FR"/>
        </w:rPr>
        <w:t>’</w:t>
      </w:r>
      <w:r>
        <w:rPr>
          <w:lang w:val="fr-FR"/>
        </w:rPr>
        <w:t>État partie fait partie de l</w:t>
      </w:r>
      <w:r w:rsidR="00FF648A">
        <w:rPr>
          <w:lang w:val="fr-FR"/>
        </w:rPr>
        <w:t>’</w:t>
      </w:r>
      <w:r>
        <w:rPr>
          <w:lang w:val="fr-FR"/>
        </w:rPr>
        <w:t>ordre juridique interne</w:t>
      </w:r>
      <w:r w:rsidRPr="00AC685E">
        <w:rPr>
          <w:lang w:val="fr-FR"/>
        </w:rPr>
        <w:t xml:space="preserve"> </w:t>
      </w:r>
      <w:r>
        <w:rPr>
          <w:lang w:val="fr-FR"/>
        </w:rPr>
        <w:t>et est directement applicable</w:t>
      </w:r>
      <w:r w:rsidRPr="00AC685E">
        <w:rPr>
          <w:lang w:val="fr-FR"/>
        </w:rPr>
        <w:t xml:space="preserve">, </w:t>
      </w:r>
      <w:r>
        <w:rPr>
          <w:lang w:val="fr-FR"/>
        </w:rPr>
        <w:t>on ne recense aucun cas</w:t>
      </w:r>
      <w:r w:rsidRPr="00AC685E">
        <w:rPr>
          <w:lang w:val="fr-FR"/>
        </w:rPr>
        <w:t xml:space="preserve"> </w:t>
      </w:r>
      <w:r>
        <w:rPr>
          <w:lang w:val="fr-FR"/>
        </w:rPr>
        <w:t>d</w:t>
      </w:r>
      <w:r w:rsidR="00FF648A">
        <w:rPr>
          <w:lang w:val="fr-FR"/>
        </w:rPr>
        <w:t>’</w:t>
      </w:r>
      <w:r>
        <w:rPr>
          <w:lang w:val="fr-FR"/>
        </w:rPr>
        <w:t>application</w:t>
      </w:r>
      <w:r w:rsidRPr="00AC685E">
        <w:rPr>
          <w:lang w:val="fr-FR"/>
        </w:rPr>
        <w:t xml:space="preserve"> direct</w:t>
      </w:r>
      <w:r>
        <w:rPr>
          <w:lang w:val="fr-FR"/>
        </w:rPr>
        <w:t>e d</w:t>
      </w:r>
      <w:r w:rsidRPr="00AC685E">
        <w:rPr>
          <w:lang w:val="fr-FR"/>
        </w:rPr>
        <w:t>e</w:t>
      </w:r>
      <w:r>
        <w:rPr>
          <w:lang w:val="fr-FR"/>
        </w:rPr>
        <w:t xml:space="preserve"> la</w:t>
      </w:r>
      <w:r w:rsidRPr="00AC685E">
        <w:rPr>
          <w:lang w:val="fr-FR"/>
        </w:rPr>
        <w:t xml:space="preserve"> Convention </w:t>
      </w:r>
      <w:r>
        <w:rPr>
          <w:lang w:val="fr-FR"/>
        </w:rPr>
        <w:t>par les tribunaux nationaux</w:t>
      </w:r>
      <w:r w:rsidRPr="00AC685E">
        <w:rPr>
          <w:lang w:val="fr-FR"/>
        </w:rPr>
        <w:t xml:space="preserve"> (art. 2).</w:t>
      </w:r>
    </w:p>
    <w:p w:rsidR="00CF0E66" w:rsidRPr="00AC685E" w:rsidRDefault="00CF0E66" w:rsidP="00A20B9E">
      <w:pPr>
        <w:pStyle w:val="SingleTxtG"/>
        <w:rPr>
          <w:b/>
          <w:lang w:val="fr-FR"/>
        </w:rPr>
      </w:pPr>
      <w:r>
        <w:rPr>
          <w:b/>
          <w:lang w:val="fr-FR"/>
        </w:rPr>
        <w:t>Le Comité recommande à l</w:t>
      </w:r>
      <w:r w:rsidR="00FF648A">
        <w:rPr>
          <w:b/>
          <w:lang w:val="fr-FR"/>
        </w:rPr>
        <w:t>’</w:t>
      </w:r>
      <w:r>
        <w:rPr>
          <w:b/>
          <w:lang w:val="fr-FR"/>
        </w:rPr>
        <w:t>État partie de diffuser le texte de la Convention</w:t>
      </w:r>
      <w:r w:rsidRPr="00AC685E">
        <w:rPr>
          <w:b/>
          <w:lang w:val="fr-FR"/>
        </w:rPr>
        <w:t xml:space="preserve"> </w:t>
      </w:r>
      <w:r>
        <w:rPr>
          <w:b/>
          <w:lang w:val="fr-FR"/>
        </w:rPr>
        <w:t xml:space="preserve">dans le cadre de la formation des juges et des avocats et </w:t>
      </w:r>
      <w:r w:rsidRPr="00A20B9E">
        <w:rPr>
          <w:b/>
        </w:rPr>
        <w:t>d</w:t>
      </w:r>
      <w:r w:rsidR="00FF648A">
        <w:rPr>
          <w:b/>
        </w:rPr>
        <w:t>’</w:t>
      </w:r>
      <w:r w:rsidRPr="00A20B9E">
        <w:rPr>
          <w:b/>
        </w:rPr>
        <w:t>appliquer</w:t>
      </w:r>
      <w:r>
        <w:rPr>
          <w:b/>
          <w:lang w:val="fr-FR"/>
        </w:rPr>
        <w:t>, s</w:t>
      </w:r>
      <w:r w:rsidR="00FF648A">
        <w:rPr>
          <w:b/>
          <w:lang w:val="fr-FR"/>
        </w:rPr>
        <w:t>’</w:t>
      </w:r>
      <w:r>
        <w:rPr>
          <w:b/>
          <w:lang w:val="fr-FR"/>
        </w:rPr>
        <w:t>il y a lieu, la disposition de la Constitution portant sur l</w:t>
      </w:r>
      <w:r w:rsidR="00FF648A">
        <w:rPr>
          <w:b/>
          <w:lang w:val="fr-FR"/>
        </w:rPr>
        <w:t>’</w:t>
      </w:r>
      <w:r>
        <w:rPr>
          <w:b/>
          <w:lang w:val="fr-FR"/>
        </w:rPr>
        <w:t xml:space="preserve">application directe des instruments </w:t>
      </w:r>
      <w:r w:rsidRPr="00AC685E">
        <w:rPr>
          <w:b/>
          <w:lang w:val="fr-FR"/>
        </w:rPr>
        <w:t>internationa</w:t>
      </w:r>
      <w:r>
        <w:rPr>
          <w:b/>
          <w:lang w:val="fr-FR"/>
        </w:rPr>
        <w:t>ux</w:t>
      </w:r>
      <w:r w:rsidRPr="00AC685E">
        <w:rPr>
          <w:b/>
          <w:lang w:val="fr-FR"/>
        </w:rPr>
        <w:t>.</w:t>
      </w:r>
    </w:p>
    <w:p w:rsidR="000473FA" w:rsidRDefault="00CF0E66" w:rsidP="00A20B9E">
      <w:pPr>
        <w:pStyle w:val="H23G"/>
        <w:rPr>
          <w:lang w:val="fr-FR"/>
        </w:rPr>
      </w:pPr>
      <w:r w:rsidRPr="00AC685E">
        <w:rPr>
          <w:lang w:val="fr-FR"/>
        </w:rPr>
        <w:tab/>
      </w:r>
      <w:r w:rsidRPr="00AC685E">
        <w:rPr>
          <w:lang w:val="fr-FR"/>
        </w:rPr>
        <w:tab/>
      </w:r>
      <w:r>
        <w:rPr>
          <w:lang w:val="fr-FR"/>
        </w:rPr>
        <w:t>M</w:t>
      </w:r>
      <w:r w:rsidRPr="00AC685E">
        <w:rPr>
          <w:lang w:val="fr-FR"/>
        </w:rPr>
        <w:t>otivation</w:t>
      </w:r>
      <w:r>
        <w:rPr>
          <w:lang w:val="fr-FR"/>
        </w:rPr>
        <w:t xml:space="preserve"> raciste</w:t>
      </w:r>
    </w:p>
    <w:p w:rsidR="00CF0E66" w:rsidRPr="00AC685E" w:rsidRDefault="00CF0E66" w:rsidP="00A20B9E">
      <w:pPr>
        <w:pStyle w:val="ParNoG"/>
        <w:rPr>
          <w:lang w:val="fr-FR"/>
        </w:rPr>
      </w:pPr>
      <w:r>
        <w:rPr>
          <w:lang w:val="fr-FR"/>
        </w:rPr>
        <w:t>Le Comité note qu</w:t>
      </w:r>
      <w:r w:rsidR="00FF648A">
        <w:rPr>
          <w:lang w:val="fr-FR"/>
        </w:rPr>
        <w:t>’</w:t>
      </w:r>
      <w:r>
        <w:rPr>
          <w:lang w:val="fr-FR"/>
        </w:rPr>
        <w:t xml:space="preserve">en vertu du </w:t>
      </w:r>
      <w:r w:rsidR="00FF648A">
        <w:rPr>
          <w:lang w:val="fr-FR"/>
        </w:rPr>
        <w:t>paragraphe </w:t>
      </w:r>
      <w:r>
        <w:rPr>
          <w:lang w:val="fr-FR"/>
        </w:rPr>
        <w:t>2 de l</w:t>
      </w:r>
      <w:r w:rsidR="00FF648A">
        <w:rPr>
          <w:lang w:val="fr-FR"/>
        </w:rPr>
        <w:t>’article </w:t>
      </w:r>
      <w:r w:rsidRPr="00AC685E">
        <w:rPr>
          <w:lang w:val="fr-FR"/>
        </w:rPr>
        <w:t>53</w:t>
      </w:r>
      <w:r>
        <w:rPr>
          <w:lang w:val="fr-FR"/>
        </w:rPr>
        <w:t xml:space="preserve"> du</w:t>
      </w:r>
      <w:r w:rsidRPr="00AC685E">
        <w:rPr>
          <w:lang w:val="fr-FR"/>
        </w:rPr>
        <w:t xml:space="preserve"> Code</w:t>
      </w:r>
      <w:r>
        <w:rPr>
          <w:lang w:val="fr-FR"/>
        </w:rPr>
        <w:t xml:space="preserve"> pénal, la</w:t>
      </w:r>
      <w:r w:rsidRPr="00AC685E">
        <w:rPr>
          <w:lang w:val="fr-FR"/>
        </w:rPr>
        <w:t xml:space="preserve"> motivation </w:t>
      </w:r>
      <w:r>
        <w:rPr>
          <w:lang w:val="fr-FR"/>
        </w:rPr>
        <w:t>et la conduite de l</w:t>
      </w:r>
      <w:r w:rsidR="00FF648A">
        <w:rPr>
          <w:lang w:val="fr-FR"/>
        </w:rPr>
        <w:t>’</w:t>
      </w:r>
      <w:r>
        <w:rPr>
          <w:lang w:val="fr-FR"/>
        </w:rPr>
        <w:t xml:space="preserve">auteur des </w:t>
      </w:r>
      <w:r w:rsidRPr="006D7E9A">
        <w:rPr>
          <w:lang w:val="fr-FR"/>
        </w:rPr>
        <w:t>faits doivent être prises en compte par les tribunaux dans la détermination de la peine.</w:t>
      </w:r>
      <w:r w:rsidRPr="00AC685E">
        <w:rPr>
          <w:lang w:val="fr-FR"/>
        </w:rPr>
        <w:t xml:space="preserve"> </w:t>
      </w:r>
      <w:r>
        <w:rPr>
          <w:lang w:val="fr-FR"/>
        </w:rPr>
        <w:t xml:space="preserve">Il constate toutefois avec préoccupation que le Code pénal ne comporte pas de disposition </w:t>
      </w:r>
      <w:r w:rsidRPr="00B53ECC">
        <w:rPr>
          <w:lang w:val="fr-FR"/>
        </w:rPr>
        <w:t>érigeant</w:t>
      </w:r>
      <w:r>
        <w:rPr>
          <w:lang w:val="fr-FR"/>
        </w:rPr>
        <w:t xml:space="preserve"> expressément </w:t>
      </w:r>
      <w:r w:rsidRPr="00B53ECC">
        <w:rPr>
          <w:lang w:val="fr-FR"/>
        </w:rPr>
        <w:t>en circonstance aggravante</w:t>
      </w:r>
      <w:r w:rsidR="00D83A39">
        <w:rPr>
          <w:lang w:val="fr-FR"/>
        </w:rPr>
        <w:t xml:space="preserve"> </w:t>
      </w:r>
      <w:r>
        <w:rPr>
          <w:lang w:val="fr-FR"/>
        </w:rPr>
        <w:t>la motivation raciste d</w:t>
      </w:r>
      <w:r w:rsidR="00FF648A">
        <w:rPr>
          <w:lang w:val="fr-FR"/>
        </w:rPr>
        <w:t>’</w:t>
      </w:r>
      <w:r>
        <w:rPr>
          <w:lang w:val="fr-FR"/>
        </w:rPr>
        <w:t xml:space="preserve">une infraction </w:t>
      </w:r>
      <w:r w:rsidRPr="00AC685E">
        <w:rPr>
          <w:lang w:val="fr-FR"/>
        </w:rPr>
        <w:t>(</w:t>
      </w:r>
      <w:r w:rsidR="00FF648A">
        <w:rPr>
          <w:lang w:val="fr-FR"/>
        </w:rPr>
        <w:t>art. </w:t>
      </w:r>
      <w:r w:rsidRPr="00AC685E">
        <w:rPr>
          <w:lang w:val="fr-FR"/>
        </w:rPr>
        <w:t>4).</w:t>
      </w:r>
    </w:p>
    <w:p w:rsidR="00CF0E66" w:rsidRPr="00AC685E" w:rsidRDefault="00CF0E66" w:rsidP="00A20B9E">
      <w:pPr>
        <w:pStyle w:val="SingleTxtG"/>
        <w:rPr>
          <w:b/>
          <w:color w:val="000000"/>
          <w:lang w:val="fr-FR"/>
        </w:rPr>
      </w:pPr>
      <w:r>
        <w:rPr>
          <w:b/>
          <w:color w:val="000000"/>
          <w:lang w:val="fr-FR"/>
        </w:rPr>
        <w:t>Le</w:t>
      </w:r>
      <w:r w:rsidRPr="00AC685E">
        <w:rPr>
          <w:b/>
          <w:color w:val="000000"/>
          <w:lang w:val="fr-FR"/>
        </w:rPr>
        <w:t xml:space="preserve"> Com</w:t>
      </w:r>
      <w:r>
        <w:rPr>
          <w:b/>
          <w:color w:val="000000"/>
          <w:lang w:val="fr-FR"/>
        </w:rPr>
        <w:t>ité</w:t>
      </w:r>
      <w:r w:rsidRPr="00AC685E">
        <w:rPr>
          <w:b/>
          <w:color w:val="000000"/>
          <w:lang w:val="fr-FR"/>
        </w:rPr>
        <w:t xml:space="preserve"> recomm</w:t>
      </w:r>
      <w:r>
        <w:rPr>
          <w:b/>
          <w:color w:val="000000"/>
          <w:lang w:val="fr-FR"/>
        </w:rPr>
        <w:t>a</w:t>
      </w:r>
      <w:r w:rsidRPr="00AC685E">
        <w:rPr>
          <w:b/>
          <w:color w:val="000000"/>
          <w:lang w:val="fr-FR"/>
        </w:rPr>
        <w:t>nd</w:t>
      </w:r>
      <w:r>
        <w:rPr>
          <w:b/>
          <w:color w:val="000000"/>
          <w:lang w:val="fr-FR"/>
        </w:rPr>
        <w:t>e</w:t>
      </w:r>
      <w:r w:rsidRPr="00AC685E">
        <w:rPr>
          <w:b/>
          <w:color w:val="000000"/>
          <w:lang w:val="fr-FR"/>
        </w:rPr>
        <w:t xml:space="preserve"> </w:t>
      </w:r>
      <w:r>
        <w:rPr>
          <w:b/>
          <w:color w:val="000000"/>
          <w:lang w:val="fr-FR"/>
        </w:rPr>
        <w:t>à l</w:t>
      </w:r>
      <w:r w:rsidR="00FF648A">
        <w:rPr>
          <w:b/>
          <w:color w:val="000000"/>
          <w:lang w:val="fr-FR"/>
        </w:rPr>
        <w:t>’</w:t>
      </w:r>
      <w:r>
        <w:rPr>
          <w:b/>
          <w:color w:val="000000"/>
          <w:lang w:val="fr-FR"/>
        </w:rPr>
        <w:t>État partie de réviser son Code pénal</w:t>
      </w:r>
      <w:r w:rsidRPr="00AC685E">
        <w:rPr>
          <w:b/>
          <w:color w:val="000000"/>
          <w:lang w:val="fr-FR"/>
        </w:rPr>
        <w:t xml:space="preserve"> </w:t>
      </w:r>
      <w:r>
        <w:rPr>
          <w:b/>
          <w:color w:val="000000"/>
          <w:lang w:val="fr-FR"/>
        </w:rPr>
        <w:t xml:space="preserve">de façon à inscrire expressément la motivation raciste au nombre des </w:t>
      </w:r>
      <w:r w:rsidRPr="00A20B9E">
        <w:rPr>
          <w:b/>
        </w:rPr>
        <w:t>circonstances</w:t>
      </w:r>
      <w:r>
        <w:rPr>
          <w:b/>
          <w:color w:val="000000"/>
          <w:lang w:val="fr-FR"/>
        </w:rPr>
        <w:t xml:space="preserve"> aggravantes et à prévoir des peines plus lourdes pour lutter contre de tels actes</w:t>
      </w:r>
      <w:r w:rsidRPr="00AC685E">
        <w:rPr>
          <w:b/>
          <w:color w:val="000000"/>
          <w:lang w:val="fr-FR"/>
        </w:rPr>
        <w:t>.</w:t>
      </w:r>
    </w:p>
    <w:p w:rsidR="000473FA" w:rsidRDefault="00CF0E66" w:rsidP="00A20B9E">
      <w:pPr>
        <w:pStyle w:val="H23G"/>
        <w:rPr>
          <w:color w:val="000000"/>
          <w:lang w:val="fr-FR"/>
        </w:rPr>
      </w:pPr>
      <w:r w:rsidRPr="00AC685E">
        <w:rPr>
          <w:color w:val="000000"/>
          <w:lang w:val="fr-FR"/>
        </w:rPr>
        <w:tab/>
      </w:r>
      <w:r w:rsidRPr="00AC685E">
        <w:rPr>
          <w:color w:val="000000"/>
          <w:lang w:val="fr-FR"/>
        </w:rPr>
        <w:tab/>
      </w:r>
      <w:r>
        <w:rPr>
          <w:color w:val="000000"/>
          <w:lang w:val="fr-FR"/>
        </w:rPr>
        <w:t xml:space="preserve">Organes </w:t>
      </w:r>
      <w:r w:rsidRPr="00A20B9E">
        <w:rPr>
          <w:lang w:val="fr-FR"/>
        </w:rPr>
        <w:t>nationaux</w:t>
      </w:r>
      <w:r>
        <w:rPr>
          <w:color w:val="000000"/>
          <w:lang w:val="fr-FR"/>
        </w:rPr>
        <w:t xml:space="preserve"> des droits de l</w:t>
      </w:r>
      <w:r w:rsidR="00FF648A">
        <w:rPr>
          <w:color w:val="000000"/>
          <w:lang w:val="fr-FR"/>
        </w:rPr>
        <w:t>’</w:t>
      </w:r>
      <w:r>
        <w:rPr>
          <w:color w:val="000000"/>
          <w:lang w:val="fr-FR"/>
        </w:rPr>
        <w:t>homme</w:t>
      </w:r>
    </w:p>
    <w:p w:rsidR="00CF0E66" w:rsidRPr="00B53ECC" w:rsidRDefault="00CF0E66" w:rsidP="00A20B9E">
      <w:pPr>
        <w:pStyle w:val="ParNoG"/>
      </w:pPr>
      <w:r w:rsidRPr="00B53ECC">
        <w:t>Le Comité note que le Défenseur des droits de l</w:t>
      </w:r>
      <w:r w:rsidR="00FF648A">
        <w:t>’</w:t>
      </w:r>
      <w:r w:rsidRPr="00B53ECC">
        <w:t>homme</w:t>
      </w:r>
      <w:r w:rsidR="00FF648A">
        <w:t>,</w:t>
      </w:r>
      <w:r w:rsidRPr="00B53ECC">
        <w:t xml:space="preserve"> qui s</w:t>
      </w:r>
      <w:r w:rsidR="00FF648A">
        <w:t>’</w:t>
      </w:r>
      <w:r w:rsidRPr="00B53ECC">
        <w:t xml:space="preserve">est vu accorder, une nouvelle fois, le statut </w:t>
      </w:r>
      <w:r w:rsidRPr="00A20B9E">
        <w:rPr>
          <w:lang w:val="fr-FR"/>
        </w:rPr>
        <w:t>d</w:t>
      </w:r>
      <w:r w:rsidR="00FF648A">
        <w:rPr>
          <w:lang w:val="fr-FR"/>
        </w:rPr>
        <w:t>’</w:t>
      </w:r>
      <w:r w:rsidRPr="00A20B9E">
        <w:rPr>
          <w:lang w:val="fr-FR"/>
        </w:rPr>
        <w:t>accréditation</w:t>
      </w:r>
      <w:r w:rsidRPr="00B53ECC">
        <w:t xml:space="preserve"> «A» en 2012, assume également les fonctions de mécanisme national de prévention et d</w:t>
      </w:r>
      <w:r w:rsidR="00FF648A">
        <w:t>’</w:t>
      </w:r>
      <w:r w:rsidRPr="00B53ECC">
        <w:t>organe pour l</w:t>
      </w:r>
      <w:r w:rsidR="00FF648A">
        <w:t>’</w:t>
      </w:r>
      <w:r w:rsidRPr="00B53ECC">
        <w:t>égalité. Il craint toutefois que les ressources dont celui-ci dispose ne soient pas suffisantes pour lui permettre de s</w:t>
      </w:r>
      <w:r w:rsidR="00FF648A">
        <w:t>’</w:t>
      </w:r>
      <w:r w:rsidRPr="00B53ECC">
        <w:t>acquitter de tous ces mandats importants. Il note également avec préoccupation que le Défenseur des droits de l</w:t>
      </w:r>
      <w:r w:rsidR="00FF648A">
        <w:t>’</w:t>
      </w:r>
      <w:r w:rsidRPr="00B53ECC">
        <w:t>homme n</w:t>
      </w:r>
      <w:r w:rsidR="00FF648A">
        <w:t>’</w:t>
      </w:r>
      <w:r w:rsidRPr="00B53ECC">
        <w:t>est pas statutairement compétent</w:t>
      </w:r>
      <w:r w:rsidR="00D83A39">
        <w:t xml:space="preserve"> </w:t>
      </w:r>
      <w:r w:rsidRPr="00B53ECC">
        <w:t>pour examiner les plaintes déposées par des victimes de discrimination raciale pour des faits relevant de la sphère privée. Enfin, le Comité regrette que l</w:t>
      </w:r>
      <w:r w:rsidR="00FF648A">
        <w:t>’</w:t>
      </w:r>
      <w:r w:rsidRPr="00B53ECC">
        <w:t>on ne dispose pas d</w:t>
      </w:r>
      <w:r w:rsidR="00FF648A">
        <w:t>’</w:t>
      </w:r>
      <w:r w:rsidRPr="00B53ECC">
        <w:t>information sur l</w:t>
      </w:r>
      <w:r w:rsidR="00FF648A">
        <w:t>’</w:t>
      </w:r>
      <w:r w:rsidRPr="00B53ECC">
        <w:t>incidence des activités du Conseil pour la prévention de la discrimination raciale, de la xénophobie et de l</w:t>
      </w:r>
      <w:r w:rsidR="00FF648A">
        <w:t>’</w:t>
      </w:r>
      <w:r w:rsidRPr="00B53ECC">
        <w:t>intolérance qui y est associée,</w:t>
      </w:r>
      <w:r>
        <w:t xml:space="preserve"> créé </w:t>
      </w:r>
      <w:r w:rsidRPr="00B53ECC">
        <w:t>en février 2013 (art. 2 et 6).</w:t>
      </w:r>
    </w:p>
    <w:p w:rsidR="000473FA" w:rsidRDefault="00CF0E66" w:rsidP="00A20B9E">
      <w:pPr>
        <w:pStyle w:val="SingleTxtG"/>
        <w:rPr>
          <w:b/>
          <w:color w:val="000000"/>
          <w:lang w:val="fr-FR"/>
        </w:rPr>
      </w:pPr>
      <w:r>
        <w:rPr>
          <w:b/>
          <w:color w:val="000000"/>
          <w:lang w:val="fr-FR"/>
        </w:rPr>
        <w:t>Le Com</w:t>
      </w:r>
      <w:r w:rsidRPr="00AC685E">
        <w:rPr>
          <w:b/>
          <w:color w:val="000000"/>
          <w:lang w:val="fr-FR"/>
        </w:rPr>
        <w:t>it</w:t>
      </w:r>
      <w:r>
        <w:rPr>
          <w:b/>
          <w:color w:val="000000"/>
          <w:lang w:val="fr-FR"/>
        </w:rPr>
        <w:t>é recomma</w:t>
      </w:r>
      <w:r w:rsidRPr="00AC685E">
        <w:rPr>
          <w:b/>
          <w:color w:val="000000"/>
          <w:lang w:val="fr-FR"/>
        </w:rPr>
        <w:t>nd</w:t>
      </w:r>
      <w:r>
        <w:rPr>
          <w:b/>
          <w:color w:val="000000"/>
          <w:lang w:val="fr-FR"/>
        </w:rPr>
        <w:t>e</w:t>
      </w:r>
      <w:r w:rsidRPr="00AC685E">
        <w:rPr>
          <w:b/>
          <w:color w:val="000000"/>
          <w:lang w:val="fr-FR"/>
        </w:rPr>
        <w:t xml:space="preserve"> </w:t>
      </w:r>
      <w:r>
        <w:rPr>
          <w:b/>
          <w:color w:val="000000"/>
          <w:lang w:val="fr-FR"/>
        </w:rPr>
        <w:t>à l</w:t>
      </w:r>
      <w:r w:rsidR="00FF648A">
        <w:rPr>
          <w:b/>
          <w:color w:val="000000"/>
          <w:lang w:val="fr-FR"/>
        </w:rPr>
        <w:t>’</w:t>
      </w:r>
      <w:r>
        <w:rPr>
          <w:b/>
          <w:color w:val="000000"/>
          <w:lang w:val="fr-FR"/>
        </w:rPr>
        <w:t>État partie de fournir des ressources humaines et financières suffisantes au Défenseur des droits de l</w:t>
      </w:r>
      <w:r w:rsidR="00FF648A">
        <w:rPr>
          <w:b/>
          <w:color w:val="000000"/>
          <w:lang w:val="fr-FR"/>
        </w:rPr>
        <w:t>’</w:t>
      </w:r>
      <w:r>
        <w:rPr>
          <w:b/>
          <w:color w:val="000000"/>
          <w:lang w:val="fr-FR"/>
        </w:rPr>
        <w:t>homme et de veiller à ce que celui</w:t>
      </w:r>
      <w:r w:rsidR="001774CF">
        <w:rPr>
          <w:b/>
          <w:color w:val="000000"/>
          <w:lang w:val="fr-FR"/>
        </w:rPr>
        <w:noBreakHyphen/>
      </w:r>
      <w:r>
        <w:rPr>
          <w:b/>
          <w:color w:val="000000"/>
          <w:lang w:val="fr-FR"/>
        </w:rPr>
        <w:t>ci soit chargé des questions liées à la discrimination raciale tant dans le domaine public que dans la sphère privée</w:t>
      </w:r>
      <w:r w:rsidRPr="00AC685E">
        <w:rPr>
          <w:b/>
          <w:color w:val="000000"/>
          <w:lang w:val="fr-FR"/>
        </w:rPr>
        <w:t xml:space="preserve">. </w:t>
      </w:r>
      <w:r>
        <w:rPr>
          <w:b/>
          <w:color w:val="000000"/>
          <w:lang w:val="fr-FR"/>
        </w:rPr>
        <w:t>Il prie l</w:t>
      </w:r>
      <w:r w:rsidR="00FF648A">
        <w:rPr>
          <w:b/>
          <w:color w:val="000000"/>
          <w:lang w:val="fr-FR"/>
        </w:rPr>
        <w:t>’</w:t>
      </w:r>
      <w:r>
        <w:rPr>
          <w:b/>
          <w:color w:val="000000"/>
          <w:lang w:val="fr-FR"/>
        </w:rPr>
        <w:t>État partie de l</w:t>
      </w:r>
      <w:r w:rsidR="00FF648A">
        <w:rPr>
          <w:b/>
          <w:color w:val="000000"/>
          <w:lang w:val="fr-FR"/>
        </w:rPr>
        <w:t>’</w:t>
      </w:r>
      <w:r>
        <w:rPr>
          <w:b/>
          <w:color w:val="000000"/>
          <w:lang w:val="fr-FR"/>
        </w:rPr>
        <w:t xml:space="preserve">informer des résultats concrets obtenus par le </w:t>
      </w:r>
      <w:r w:rsidRPr="0092490B">
        <w:rPr>
          <w:b/>
          <w:color w:val="000000"/>
          <w:lang w:val="fr-FR"/>
        </w:rPr>
        <w:t>Conseil pour la prévention de la discrimination raciale, de la xénophobie et de l</w:t>
      </w:r>
      <w:r w:rsidR="00FF648A">
        <w:rPr>
          <w:b/>
          <w:color w:val="000000"/>
          <w:lang w:val="fr-FR"/>
        </w:rPr>
        <w:t>’</w:t>
      </w:r>
      <w:r w:rsidRPr="0092490B">
        <w:rPr>
          <w:b/>
          <w:color w:val="000000"/>
          <w:lang w:val="fr-FR"/>
        </w:rPr>
        <w:t>intolérance qui y est associée</w:t>
      </w:r>
      <w:r w:rsidRPr="00AC685E">
        <w:rPr>
          <w:b/>
          <w:color w:val="000000"/>
          <w:lang w:val="fr-FR"/>
        </w:rPr>
        <w:t xml:space="preserve"> </w:t>
      </w:r>
      <w:r>
        <w:rPr>
          <w:b/>
          <w:color w:val="000000"/>
          <w:lang w:val="fr-FR"/>
        </w:rPr>
        <w:t>dans le cadre de son programme</w:t>
      </w:r>
      <w:r w:rsidRPr="00AC685E">
        <w:rPr>
          <w:b/>
          <w:color w:val="000000"/>
          <w:lang w:val="fr-FR"/>
        </w:rPr>
        <w:t xml:space="preserve"> </w:t>
      </w:r>
      <w:r>
        <w:rPr>
          <w:b/>
          <w:color w:val="000000"/>
          <w:lang w:val="fr-FR"/>
        </w:rPr>
        <w:t>général d</w:t>
      </w:r>
      <w:r w:rsidR="00FF648A">
        <w:rPr>
          <w:b/>
          <w:color w:val="000000"/>
          <w:lang w:val="fr-FR"/>
        </w:rPr>
        <w:t>’</w:t>
      </w:r>
      <w:r>
        <w:rPr>
          <w:b/>
          <w:color w:val="000000"/>
          <w:lang w:val="fr-FR"/>
        </w:rPr>
        <w:t>action</w:t>
      </w:r>
      <w:r w:rsidRPr="00AC685E">
        <w:rPr>
          <w:b/>
          <w:color w:val="000000"/>
          <w:lang w:val="fr-FR"/>
        </w:rPr>
        <w:t xml:space="preserve"> </w:t>
      </w:r>
      <w:r>
        <w:rPr>
          <w:b/>
          <w:color w:val="000000"/>
          <w:lang w:val="fr-FR"/>
        </w:rPr>
        <w:t>et d</w:t>
      </w:r>
      <w:r w:rsidR="00FF648A">
        <w:rPr>
          <w:b/>
          <w:color w:val="000000"/>
          <w:lang w:val="fr-FR"/>
        </w:rPr>
        <w:t>’</w:t>
      </w:r>
      <w:r>
        <w:rPr>
          <w:b/>
          <w:color w:val="000000"/>
          <w:lang w:val="fr-FR"/>
        </w:rPr>
        <w:t>expliquer comment l</w:t>
      </w:r>
      <w:r w:rsidR="00FF648A">
        <w:rPr>
          <w:b/>
          <w:color w:val="000000"/>
          <w:lang w:val="fr-FR"/>
        </w:rPr>
        <w:t>’</w:t>
      </w:r>
      <w:r>
        <w:rPr>
          <w:b/>
          <w:color w:val="000000"/>
          <w:lang w:val="fr-FR"/>
        </w:rPr>
        <w:t>État améliore la coordination et la synergie entre tous les organes nationaux des droits de l</w:t>
      </w:r>
      <w:r w:rsidR="00FF648A">
        <w:rPr>
          <w:b/>
          <w:color w:val="000000"/>
          <w:lang w:val="fr-FR"/>
        </w:rPr>
        <w:t>’</w:t>
      </w:r>
      <w:r>
        <w:rPr>
          <w:b/>
          <w:color w:val="000000"/>
          <w:lang w:val="fr-FR"/>
        </w:rPr>
        <w:t>homme</w:t>
      </w:r>
      <w:r w:rsidRPr="00AC685E">
        <w:rPr>
          <w:b/>
          <w:color w:val="000000"/>
          <w:lang w:val="fr-FR"/>
        </w:rPr>
        <w:t>.</w:t>
      </w:r>
    </w:p>
    <w:p w:rsidR="00CF0E66" w:rsidRPr="00AC685E" w:rsidRDefault="00CF0E66" w:rsidP="00A20B9E">
      <w:pPr>
        <w:pStyle w:val="H23G"/>
        <w:rPr>
          <w:lang w:val="fr-FR"/>
        </w:rPr>
      </w:pPr>
      <w:r w:rsidRPr="00AC685E">
        <w:rPr>
          <w:lang w:val="fr-FR"/>
        </w:rPr>
        <w:tab/>
      </w:r>
      <w:r w:rsidRPr="00AC685E">
        <w:rPr>
          <w:lang w:val="fr-FR"/>
        </w:rPr>
        <w:tab/>
      </w:r>
      <w:r w:rsidR="00C97511">
        <w:rPr>
          <w:lang w:val="fr-FR"/>
        </w:rPr>
        <w:t xml:space="preserve">Discours de haine </w:t>
      </w:r>
      <w:r>
        <w:rPr>
          <w:lang w:val="fr-FR"/>
        </w:rPr>
        <w:t>et crimes motivés par la haine</w:t>
      </w:r>
    </w:p>
    <w:p w:rsidR="00CF0E66" w:rsidRPr="00AC685E" w:rsidRDefault="00CF0E66" w:rsidP="00A20B9E">
      <w:pPr>
        <w:pStyle w:val="ParNoG"/>
        <w:rPr>
          <w:lang w:val="fr-FR"/>
        </w:rPr>
      </w:pPr>
      <w:r>
        <w:rPr>
          <w:lang w:val="fr-FR"/>
        </w:rPr>
        <w:t>Le Comité demeure préoccupé par la persistance du racisme dans le sport et par</w:t>
      </w:r>
      <w:r w:rsidRPr="00AC685E">
        <w:rPr>
          <w:lang w:val="fr-FR"/>
        </w:rPr>
        <w:t xml:space="preserve"> </w:t>
      </w:r>
      <w:r>
        <w:rPr>
          <w:lang w:val="fr-FR"/>
        </w:rPr>
        <w:t>les propos haineux qui continuent d</w:t>
      </w:r>
      <w:r w:rsidR="00FF648A">
        <w:rPr>
          <w:lang w:val="fr-FR"/>
        </w:rPr>
        <w:t>’</w:t>
      </w:r>
      <w:r>
        <w:rPr>
          <w:lang w:val="fr-FR"/>
        </w:rPr>
        <w:t>être tenus</w:t>
      </w:r>
      <w:r w:rsidRPr="00AC685E">
        <w:rPr>
          <w:lang w:val="fr-FR"/>
        </w:rPr>
        <w:t xml:space="preserve"> </w:t>
      </w:r>
      <w:r>
        <w:rPr>
          <w:lang w:val="fr-FR"/>
        </w:rPr>
        <w:t>dans ce milieu</w:t>
      </w:r>
      <w:r w:rsidRPr="00AC685E">
        <w:rPr>
          <w:lang w:val="fr-FR"/>
        </w:rPr>
        <w:t xml:space="preserve">. </w:t>
      </w:r>
      <w:r>
        <w:rPr>
          <w:lang w:val="fr-FR"/>
        </w:rPr>
        <w:t>Aujourd</w:t>
      </w:r>
      <w:r w:rsidR="00FF648A">
        <w:rPr>
          <w:lang w:val="fr-FR"/>
        </w:rPr>
        <w:t>’</w:t>
      </w:r>
      <w:r>
        <w:rPr>
          <w:lang w:val="fr-FR"/>
        </w:rPr>
        <w:t>hui encore, de nombreuses diatribes haineuses sont publiées sur Internet</w:t>
      </w:r>
      <w:r w:rsidRPr="00AC685E">
        <w:rPr>
          <w:lang w:val="fr-FR"/>
        </w:rPr>
        <w:t xml:space="preserve"> </w:t>
      </w:r>
      <w:r>
        <w:rPr>
          <w:lang w:val="fr-FR"/>
        </w:rPr>
        <w:t>et les mesures prises pour lutter contre ce phénomène sont insuffisantes</w:t>
      </w:r>
      <w:r w:rsidRPr="00AC685E">
        <w:rPr>
          <w:lang w:val="fr-FR"/>
        </w:rPr>
        <w:t xml:space="preserve">. </w:t>
      </w:r>
      <w:r>
        <w:rPr>
          <w:lang w:val="fr-FR"/>
        </w:rPr>
        <w:t>En outre, le</w:t>
      </w:r>
      <w:r w:rsidRPr="00AC685E">
        <w:rPr>
          <w:lang w:val="fr-FR"/>
        </w:rPr>
        <w:t xml:space="preserve"> Comit</w:t>
      </w:r>
      <w:r>
        <w:rPr>
          <w:lang w:val="fr-FR"/>
        </w:rPr>
        <w:t>é est préoccupé d</w:t>
      </w:r>
      <w:r w:rsidR="00FF648A">
        <w:rPr>
          <w:lang w:val="fr-FR"/>
        </w:rPr>
        <w:t>’</w:t>
      </w:r>
      <w:r>
        <w:rPr>
          <w:lang w:val="fr-FR"/>
        </w:rPr>
        <w:t>apprendre qu</w:t>
      </w:r>
      <w:r w:rsidR="00FF648A">
        <w:rPr>
          <w:lang w:val="fr-FR"/>
        </w:rPr>
        <w:t>’</w:t>
      </w:r>
      <w:r>
        <w:rPr>
          <w:lang w:val="fr-FR"/>
        </w:rPr>
        <w:t>au moins quatre organisations d</w:t>
      </w:r>
      <w:r w:rsidR="00FF648A">
        <w:rPr>
          <w:lang w:val="fr-FR"/>
        </w:rPr>
        <w:t>’</w:t>
      </w:r>
      <w:r>
        <w:rPr>
          <w:lang w:val="fr-FR"/>
        </w:rPr>
        <w:t>extrême droite sont toujours en activité</w:t>
      </w:r>
      <w:r w:rsidRPr="00AC685E">
        <w:rPr>
          <w:lang w:val="fr-FR"/>
        </w:rPr>
        <w:t xml:space="preserve"> </w:t>
      </w:r>
      <w:r>
        <w:rPr>
          <w:lang w:val="fr-FR"/>
        </w:rPr>
        <w:t xml:space="preserve">en Pologne en dépit de la décision de justice, rendue en </w:t>
      </w:r>
      <w:r w:rsidRPr="00AC685E">
        <w:rPr>
          <w:lang w:val="fr-FR"/>
        </w:rPr>
        <w:t xml:space="preserve">2009 </w:t>
      </w:r>
      <w:r>
        <w:rPr>
          <w:lang w:val="fr-FR"/>
        </w:rPr>
        <w:t>à Brzeg, qui avait frappé d</w:t>
      </w:r>
      <w:r w:rsidR="00FF648A">
        <w:rPr>
          <w:lang w:val="fr-FR"/>
        </w:rPr>
        <w:t>’</w:t>
      </w:r>
      <w:r>
        <w:rPr>
          <w:lang w:val="fr-FR"/>
        </w:rPr>
        <w:t>interdiction un</w:t>
      </w:r>
      <w:r w:rsidRPr="00AC685E">
        <w:rPr>
          <w:lang w:val="fr-FR"/>
        </w:rPr>
        <w:t xml:space="preserve"> </w:t>
      </w:r>
      <w:r>
        <w:rPr>
          <w:lang w:val="fr-FR"/>
        </w:rPr>
        <w:t>o</w:t>
      </w:r>
      <w:r w:rsidRPr="00AC685E">
        <w:rPr>
          <w:lang w:val="fr-FR"/>
        </w:rPr>
        <w:t>rgani</w:t>
      </w:r>
      <w:r>
        <w:rPr>
          <w:lang w:val="fr-FR"/>
        </w:rPr>
        <w:t xml:space="preserve">sme promouvant les régimes </w:t>
      </w:r>
      <w:r w:rsidRPr="00AC685E">
        <w:rPr>
          <w:lang w:val="fr-FR"/>
        </w:rPr>
        <w:t>fascis</w:t>
      </w:r>
      <w:r>
        <w:rPr>
          <w:lang w:val="fr-FR"/>
        </w:rPr>
        <w:t>tes et</w:t>
      </w:r>
      <w:r w:rsidRPr="00AC685E">
        <w:rPr>
          <w:lang w:val="fr-FR"/>
        </w:rPr>
        <w:t xml:space="preserve"> totalitai</w:t>
      </w:r>
      <w:r>
        <w:rPr>
          <w:lang w:val="fr-FR"/>
        </w:rPr>
        <w:t>r</w:t>
      </w:r>
      <w:r w:rsidRPr="00AC685E">
        <w:rPr>
          <w:lang w:val="fr-FR"/>
        </w:rPr>
        <w:t xml:space="preserve">es. </w:t>
      </w:r>
      <w:r>
        <w:rPr>
          <w:lang w:val="fr-FR"/>
        </w:rPr>
        <w:t>Il note également avec inquiétude qu</w:t>
      </w:r>
      <w:r w:rsidR="00FF648A">
        <w:rPr>
          <w:lang w:val="fr-FR"/>
        </w:rPr>
        <w:t>’</w:t>
      </w:r>
      <w:r>
        <w:rPr>
          <w:lang w:val="fr-FR"/>
        </w:rPr>
        <w:t>en dépit du fait qu</w:t>
      </w:r>
      <w:r w:rsidR="00FF648A">
        <w:rPr>
          <w:lang w:val="fr-FR"/>
        </w:rPr>
        <w:t>’</w:t>
      </w:r>
      <w:r>
        <w:rPr>
          <w:lang w:val="fr-FR"/>
        </w:rPr>
        <w:t xml:space="preserve">en </w:t>
      </w:r>
      <w:r w:rsidRPr="00AC685E">
        <w:rPr>
          <w:lang w:val="fr-FR"/>
        </w:rPr>
        <w:t>2010</w:t>
      </w:r>
      <w:r>
        <w:rPr>
          <w:lang w:val="fr-FR"/>
        </w:rPr>
        <w:t>,</w:t>
      </w:r>
      <w:r w:rsidRPr="00AC685E">
        <w:rPr>
          <w:lang w:val="fr-FR"/>
        </w:rPr>
        <w:t xml:space="preserve"> </w:t>
      </w:r>
      <w:r>
        <w:rPr>
          <w:lang w:val="fr-FR"/>
        </w:rPr>
        <w:t>trois personnes aient été reconnues coupables par le tribunal de Wroclaw d</w:t>
      </w:r>
      <w:r w:rsidR="00FF648A">
        <w:rPr>
          <w:lang w:val="fr-FR"/>
        </w:rPr>
        <w:t>’</w:t>
      </w:r>
      <w:r>
        <w:rPr>
          <w:lang w:val="fr-FR"/>
        </w:rPr>
        <w:t>avoir créé un site Web promouvant la discrimination raciale, le</w:t>
      </w:r>
      <w:r w:rsidR="00E5454F">
        <w:rPr>
          <w:lang w:val="fr-FR"/>
        </w:rPr>
        <w:t> </w:t>
      </w:r>
      <w:r>
        <w:rPr>
          <w:lang w:val="fr-FR"/>
        </w:rPr>
        <w:t>site en question existe toujours</w:t>
      </w:r>
      <w:r w:rsidRPr="00AC685E">
        <w:rPr>
          <w:lang w:val="fr-FR"/>
        </w:rPr>
        <w:t xml:space="preserve"> (art. 4).</w:t>
      </w:r>
    </w:p>
    <w:p w:rsidR="00CF0E66" w:rsidRPr="00AC685E" w:rsidRDefault="00CF0E66" w:rsidP="00E5454F">
      <w:pPr>
        <w:pStyle w:val="SingleTxtG"/>
        <w:keepNext/>
        <w:rPr>
          <w:b/>
          <w:color w:val="000000"/>
          <w:lang w:val="fr-FR"/>
        </w:rPr>
      </w:pPr>
      <w:r>
        <w:rPr>
          <w:b/>
          <w:lang w:val="fr-FR"/>
        </w:rPr>
        <w:t>Compte tenu de sa Recommandation générale</w:t>
      </w:r>
      <w:r w:rsidRPr="00AC685E">
        <w:rPr>
          <w:b/>
          <w:lang w:val="fr-FR"/>
        </w:rPr>
        <w:t xml:space="preserve"> </w:t>
      </w:r>
      <w:r w:rsidR="00C97511" w:rsidRPr="00C97511">
        <w:rPr>
          <w:b/>
          <w:lang w:val="fr-FR"/>
        </w:rPr>
        <w:t>n</w:t>
      </w:r>
      <w:r w:rsidR="00C97511" w:rsidRPr="00C97511">
        <w:rPr>
          <w:b/>
          <w:vertAlign w:val="superscript"/>
          <w:lang w:val="fr-FR"/>
        </w:rPr>
        <w:t>o</w:t>
      </w:r>
      <w:r w:rsidR="00C97511">
        <w:rPr>
          <w:b/>
          <w:lang w:val="fr-FR"/>
        </w:rPr>
        <w:t> 35</w:t>
      </w:r>
      <w:r w:rsidRPr="00AC685E">
        <w:rPr>
          <w:b/>
          <w:lang w:val="fr-FR"/>
        </w:rPr>
        <w:t xml:space="preserve"> (2013) </w:t>
      </w:r>
      <w:r w:rsidR="001774CF">
        <w:rPr>
          <w:b/>
          <w:lang w:val="fr-FR"/>
        </w:rPr>
        <w:t>sur</w:t>
      </w:r>
      <w:r>
        <w:rPr>
          <w:b/>
          <w:lang w:val="fr-FR"/>
        </w:rPr>
        <w:t xml:space="preserve"> </w:t>
      </w:r>
      <w:r w:rsidRPr="00B53ECC">
        <w:rPr>
          <w:b/>
          <w:lang w:val="fr-FR"/>
        </w:rPr>
        <w:t>la lutte contre les discours de haine raciale</w:t>
      </w:r>
      <w:r w:rsidRPr="00AC685E">
        <w:rPr>
          <w:b/>
          <w:lang w:val="fr-FR"/>
        </w:rPr>
        <w:t xml:space="preserve">, </w:t>
      </w:r>
      <w:r>
        <w:rPr>
          <w:b/>
          <w:lang w:val="fr-FR"/>
        </w:rPr>
        <w:t>le Comité recommande à l</w:t>
      </w:r>
      <w:r w:rsidR="00FF648A">
        <w:rPr>
          <w:b/>
          <w:lang w:val="fr-FR"/>
        </w:rPr>
        <w:t>’</w:t>
      </w:r>
      <w:r>
        <w:rPr>
          <w:b/>
          <w:lang w:val="fr-FR"/>
        </w:rPr>
        <w:t>État partie</w:t>
      </w:r>
      <w:r w:rsidRPr="00AC685E">
        <w:rPr>
          <w:b/>
          <w:color w:val="000000"/>
          <w:lang w:val="fr-FR"/>
        </w:rPr>
        <w:t>:</w:t>
      </w:r>
    </w:p>
    <w:p w:rsidR="00CF0E66" w:rsidRPr="00AC685E" w:rsidRDefault="00CF0E66" w:rsidP="00D83A39">
      <w:pPr>
        <w:pStyle w:val="SingleTxtG"/>
        <w:ind w:firstLine="567"/>
        <w:rPr>
          <w:b/>
          <w:lang w:val="fr-FR"/>
        </w:rPr>
      </w:pPr>
      <w:r w:rsidRPr="00AC685E">
        <w:rPr>
          <w:b/>
          <w:lang w:val="fr-FR"/>
        </w:rPr>
        <w:t>a)</w:t>
      </w:r>
      <w:r w:rsidRPr="00AC685E">
        <w:rPr>
          <w:b/>
          <w:lang w:val="fr-FR"/>
        </w:rPr>
        <w:tab/>
      </w:r>
      <w:r>
        <w:rPr>
          <w:b/>
          <w:lang w:val="fr-FR"/>
        </w:rPr>
        <w:t>De rechercher des moyens efficaces de lutter contre le racisme dans le sport</w:t>
      </w:r>
      <w:r w:rsidRPr="00AC685E">
        <w:rPr>
          <w:b/>
          <w:lang w:val="fr-FR"/>
        </w:rPr>
        <w:t xml:space="preserve">, </w:t>
      </w:r>
      <w:r>
        <w:rPr>
          <w:b/>
          <w:lang w:val="fr-FR"/>
        </w:rPr>
        <w:t>notamment d</w:t>
      </w:r>
      <w:r w:rsidR="00FF648A">
        <w:rPr>
          <w:b/>
          <w:lang w:val="fr-FR"/>
        </w:rPr>
        <w:t>’</w:t>
      </w:r>
      <w:r>
        <w:rPr>
          <w:b/>
          <w:lang w:val="fr-FR"/>
        </w:rPr>
        <w:t xml:space="preserve">infliger des amendes aux </w:t>
      </w:r>
      <w:r w:rsidRPr="00A20B9E">
        <w:rPr>
          <w:b/>
        </w:rPr>
        <w:t>clubs</w:t>
      </w:r>
      <w:r>
        <w:rPr>
          <w:b/>
          <w:lang w:val="fr-FR"/>
        </w:rPr>
        <w:t xml:space="preserve"> de sport pour sanctionner les actes </w:t>
      </w:r>
      <w:r w:rsidRPr="00E5454F">
        <w:rPr>
          <w:b/>
          <w:spacing w:val="-2"/>
          <w:lang w:val="fr-FR"/>
        </w:rPr>
        <w:t>racistes commis par leurs supporters, et de continuer de collaborer avec les associations</w:t>
      </w:r>
      <w:r>
        <w:rPr>
          <w:b/>
          <w:lang w:val="fr-FR"/>
        </w:rPr>
        <w:t xml:space="preserve"> sportives en vue de promouvoir la tolérance et la diversité</w:t>
      </w:r>
      <w:r w:rsidRPr="00AC685E">
        <w:rPr>
          <w:b/>
          <w:lang w:val="fr-FR"/>
        </w:rPr>
        <w:t>;</w:t>
      </w:r>
    </w:p>
    <w:p w:rsidR="00CF0E66" w:rsidRPr="00AC685E" w:rsidRDefault="00CF0E66" w:rsidP="00E5454F">
      <w:pPr>
        <w:pStyle w:val="SingleTxtG"/>
        <w:spacing w:after="100" w:line="236" w:lineRule="exact"/>
        <w:ind w:firstLine="567"/>
        <w:rPr>
          <w:b/>
          <w:lang w:val="fr-FR"/>
        </w:rPr>
      </w:pPr>
      <w:r w:rsidRPr="00AC685E">
        <w:rPr>
          <w:b/>
          <w:lang w:val="fr-FR"/>
        </w:rPr>
        <w:t>b)</w:t>
      </w:r>
      <w:r w:rsidRPr="00AC685E">
        <w:rPr>
          <w:b/>
          <w:lang w:val="fr-FR"/>
        </w:rPr>
        <w:tab/>
      </w:r>
      <w:r w:rsidRPr="00E5454F">
        <w:rPr>
          <w:b/>
          <w:spacing w:val="-2"/>
          <w:lang w:val="fr-FR"/>
        </w:rPr>
        <w:t xml:space="preserve">De </w:t>
      </w:r>
      <w:r w:rsidRPr="00E5454F">
        <w:rPr>
          <w:b/>
          <w:spacing w:val="-2"/>
        </w:rPr>
        <w:t>prendre</w:t>
      </w:r>
      <w:r w:rsidRPr="00E5454F">
        <w:rPr>
          <w:b/>
          <w:spacing w:val="-2"/>
          <w:lang w:val="fr-FR"/>
        </w:rPr>
        <w:t xml:space="preserve"> </w:t>
      </w:r>
      <w:r w:rsidR="00C97511" w:rsidRPr="00E5454F">
        <w:rPr>
          <w:b/>
          <w:spacing w:val="-2"/>
          <w:lang w:val="fr-FR"/>
        </w:rPr>
        <w:t>d</w:t>
      </w:r>
      <w:r w:rsidR="00FF648A">
        <w:rPr>
          <w:b/>
          <w:spacing w:val="-2"/>
          <w:lang w:val="fr-FR"/>
        </w:rPr>
        <w:t>’</w:t>
      </w:r>
      <w:r w:rsidR="00C97511" w:rsidRPr="00E5454F">
        <w:rPr>
          <w:b/>
          <w:spacing w:val="-2"/>
          <w:lang w:val="fr-FR"/>
        </w:rPr>
        <w:t>autres</w:t>
      </w:r>
      <w:r w:rsidRPr="00E5454F">
        <w:rPr>
          <w:b/>
          <w:spacing w:val="-2"/>
          <w:lang w:val="fr-FR"/>
        </w:rPr>
        <w:t xml:space="preserve"> mesures, conformément à sa législation et à l</w:t>
      </w:r>
      <w:r w:rsidR="00FF648A">
        <w:rPr>
          <w:b/>
          <w:spacing w:val="-2"/>
          <w:lang w:val="fr-FR"/>
        </w:rPr>
        <w:t>’</w:t>
      </w:r>
      <w:r w:rsidRPr="00E5454F">
        <w:rPr>
          <w:b/>
          <w:spacing w:val="-2"/>
          <w:lang w:val="fr-FR"/>
        </w:rPr>
        <w:t>article 4</w:t>
      </w:r>
      <w:r w:rsidRPr="00AC685E">
        <w:rPr>
          <w:b/>
          <w:lang w:val="fr-FR"/>
        </w:rPr>
        <w:t xml:space="preserve"> </w:t>
      </w:r>
      <w:r>
        <w:rPr>
          <w:b/>
          <w:lang w:val="fr-FR"/>
        </w:rPr>
        <w:t>d</w:t>
      </w:r>
      <w:r w:rsidRPr="00AC685E">
        <w:rPr>
          <w:b/>
          <w:lang w:val="fr-FR"/>
        </w:rPr>
        <w:t>e</w:t>
      </w:r>
      <w:r>
        <w:rPr>
          <w:b/>
          <w:lang w:val="fr-FR"/>
        </w:rPr>
        <w:t xml:space="preserve"> la</w:t>
      </w:r>
      <w:r w:rsidRPr="00AC685E">
        <w:rPr>
          <w:b/>
          <w:lang w:val="fr-FR"/>
        </w:rPr>
        <w:t xml:space="preserve"> Convention, </w:t>
      </w:r>
      <w:r>
        <w:rPr>
          <w:b/>
          <w:lang w:val="fr-FR"/>
        </w:rPr>
        <w:t>e</w:t>
      </w:r>
      <w:r w:rsidRPr="00AC685E">
        <w:rPr>
          <w:b/>
          <w:lang w:val="fr-FR"/>
        </w:rPr>
        <w:t xml:space="preserve">n </w:t>
      </w:r>
      <w:r>
        <w:rPr>
          <w:b/>
          <w:lang w:val="fr-FR"/>
        </w:rPr>
        <w:t>sus des</w:t>
      </w:r>
      <w:r w:rsidRPr="00AC685E">
        <w:rPr>
          <w:b/>
          <w:lang w:val="fr-FR"/>
        </w:rPr>
        <w:t xml:space="preserve"> initiatives</w:t>
      </w:r>
      <w:r>
        <w:rPr>
          <w:b/>
          <w:lang w:val="fr-FR"/>
        </w:rPr>
        <w:t xml:space="preserve"> prises par le Procureur général</w:t>
      </w:r>
      <w:r w:rsidRPr="00AC685E">
        <w:rPr>
          <w:b/>
          <w:lang w:val="fr-FR"/>
        </w:rPr>
        <w:t xml:space="preserve">, </w:t>
      </w:r>
      <w:r>
        <w:rPr>
          <w:b/>
          <w:lang w:val="fr-FR"/>
        </w:rPr>
        <w:t>pour lutter plus efficacement contre l</w:t>
      </w:r>
      <w:r w:rsidR="00FF648A">
        <w:rPr>
          <w:b/>
          <w:lang w:val="fr-FR"/>
        </w:rPr>
        <w:t>’</w:t>
      </w:r>
      <w:r>
        <w:rPr>
          <w:b/>
          <w:lang w:val="fr-FR"/>
        </w:rPr>
        <w:t>incitation à la haine sur I</w:t>
      </w:r>
      <w:r w:rsidRPr="00AC685E">
        <w:rPr>
          <w:b/>
          <w:lang w:val="fr-FR"/>
        </w:rPr>
        <w:t>nternet;</w:t>
      </w:r>
    </w:p>
    <w:p w:rsidR="00CF0E66" w:rsidRPr="00AC685E" w:rsidRDefault="00CF0E66" w:rsidP="00E5454F">
      <w:pPr>
        <w:pStyle w:val="SingleTxtG"/>
        <w:spacing w:after="100" w:line="236" w:lineRule="exact"/>
        <w:ind w:firstLine="567"/>
        <w:rPr>
          <w:b/>
          <w:lang w:val="fr-FR"/>
        </w:rPr>
      </w:pPr>
      <w:r w:rsidRPr="00AC685E">
        <w:rPr>
          <w:b/>
          <w:lang w:val="fr-FR"/>
        </w:rPr>
        <w:t>c)</w:t>
      </w:r>
      <w:r w:rsidRPr="00AC685E">
        <w:rPr>
          <w:b/>
          <w:lang w:val="fr-FR"/>
        </w:rPr>
        <w:tab/>
      </w:r>
      <w:r>
        <w:rPr>
          <w:b/>
          <w:lang w:val="fr-FR"/>
        </w:rPr>
        <w:t xml:space="preserve">De lutter contre les </w:t>
      </w:r>
      <w:r w:rsidRPr="00AC685E">
        <w:rPr>
          <w:b/>
          <w:lang w:val="fr-FR"/>
        </w:rPr>
        <w:t xml:space="preserve">sites </w:t>
      </w:r>
      <w:r>
        <w:rPr>
          <w:b/>
          <w:lang w:val="fr-FR"/>
        </w:rPr>
        <w:t>Web qui encouragent la haine raciale</w:t>
      </w:r>
      <w:r w:rsidRPr="00AC685E">
        <w:rPr>
          <w:b/>
          <w:lang w:val="fr-FR"/>
        </w:rPr>
        <w:t>;</w:t>
      </w:r>
    </w:p>
    <w:p w:rsidR="00CF0E66" w:rsidRPr="00AC685E" w:rsidRDefault="00CF0E66" w:rsidP="00E5454F">
      <w:pPr>
        <w:pStyle w:val="SingleTxtG"/>
        <w:spacing w:after="100" w:line="236" w:lineRule="exact"/>
        <w:ind w:firstLine="567"/>
        <w:rPr>
          <w:b/>
          <w:lang w:val="fr-FR"/>
        </w:rPr>
      </w:pPr>
      <w:r w:rsidRPr="00AC685E">
        <w:rPr>
          <w:b/>
          <w:lang w:val="fr-FR"/>
        </w:rPr>
        <w:t>d)</w:t>
      </w:r>
      <w:r w:rsidRPr="00AC685E">
        <w:rPr>
          <w:b/>
          <w:lang w:val="fr-FR"/>
        </w:rPr>
        <w:tab/>
      </w:r>
      <w:r>
        <w:rPr>
          <w:b/>
          <w:lang w:val="fr-FR"/>
        </w:rPr>
        <w:t xml:space="preserve">De </w:t>
      </w:r>
      <w:r w:rsidRPr="00A20B9E">
        <w:rPr>
          <w:b/>
        </w:rPr>
        <w:t>veiller</w:t>
      </w:r>
      <w:r>
        <w:rPr>
          <w:b/>
          <w:lang w:val="fr-FR"/>
        </w:rPr>
        <w:t xml:space="preserve"> à l</w:t>
      </w:r>
      <w:r w:rsidR="00FF648A">
        <w:rPr>
          <w:b/>
          <w:lang w:val="fr-FR"/>
        </w:rPr>
        <w:t>’</w:t>
      </w:r>
      <w:r>
        <w:rPr>
          <w:b/>
          <w:lang w:val="fr-FR"/>
        </w:rPr>
        <w:t>application effective des lois nationales</w:t>
      </w:r>
      <w:r w:rsidRPr="00AC685E">
        <w:rPr>
          <w:b/>
          <w:lang w:val="fr-FR"/>
        </w:rPr>
        <w:t xml:space="preserve"> </w:t>
      </w:r>
      <w:r>
        <w:rPr>
          <w:b/>
          <w:lang w:val="fr-FR"/>
        </w:rPr>
        <w:t>déclarant illégaux</w:t>
      </w:r>
      <w:r w:rsidRPr="00AC685E">
        <w:rPr>
          <w:b/>
          <w:lang w:val="fr-FR"/>
        </w:rPr>
        <w:t xml:space="preserve"> </w:t>
      </w:r>
      <w:r>
        <w:rPr>
          <w:b/>
          <w:lang w:val="fr-FR"/>
        </w:rPr>
        <w:t xml:space="preserve">les </w:t>
      </w:r>
      <w:r w:rsidRPr="00AC685E">
        <w:rPr>
          <w:b/>
          <w:lang w:val="fr-FR"/>
        </w:rPr>
        <w:t xml:space="preserve">partis </w:t>
      </w:r>
      <w:r>
        <w:rPr>
          <w:b/>
          <w:lang w:val="fr-FR"/>
        </w:rPr>
        <w:t>ou les</w:t>
      </w:r>
      <w:r w:rsidRPr="00AC685E">
        <w:rPr>
          <w:b/>
          <w:lang w:val="fr-FR"/>
        </w:rPr>
        <w:t xml:space="preserve"> organi</w:t>
      </w:r>
      <w:r>
        <w:rPr>
          <w:b/>
          <w:lang w:val="fr-FR"/>
        </w:rPr>
        <w:t>s</w:t>
      </w:r>
      <w:r w:rsidRPr="00AC685E">
        <w:rPr>
          <w:b/>
          <w:lang w:val="fr-FR"/>
        </w:rPr>
        <w:t xml:space="preserve">ations </w:t>
      </w:r>
      <w:r>
        <w:rPr>
          <w:b/>
          <w:lang w:val="fr-FR"/>
        </w:rPr>
        <w:t>qui incitent à la discrimination raciale ou l</w:t>
      </w:r>
      <w:r w:rsidR="00FF648A">
        <w:rPr>
          <w:b/>
          <w:lang w:val="fr-FR"/>
        </w:rPr>
        <w:t>’</w:t>
      </w:r>
      <w:r>
        <w:rPr>
          <w:b/>
          <w:lang w:val="fr-FR"/>
        </w:rPr>
        <w:t>encouragent</w:t>
      </w:r>
      <w:r w:rsidRPr="00AC685E">
        <w:rPr>
          <w:b/>
          <w:lang w:val="fr-FR"/>
        </w:rPr>
        <w:t xml:space="preserve">, </w:t>
      </w:r>
      <w:r>
        <w:rPr>
          <w:b/>
          <w:lang w:val="fr-FR"/>
        </w:rPr>
        <w:t>conformément à l</w:t>
      </w:r>
      <w:r w:rsidR="00FF648A">
        <w:rPr>
          <w:b/>
          <w:lang w:val="fr-FR"/>
        </w:rPr>
        <w:t>’article </w:t>
      </w:r>
      <w:r w:rsidRPr="00AC685E">
        <w:rPr>
          <w:b/>
          <w:lang w:val="fr-FR"/>
        </w:rPr>
        <w:t xml:space="preserve">4 b) </w:t>
      </w:r>
      <w:r>
        <w:rPr>
          <w:b/>
          <w:lang w:val="fr-FR"/>
        </w:rPr>
        <w:t>de la</w:t>
      </w:r>
      <w:r w:rsidRPr="00AC685E">
        <w:rPr>
          <w:b/>
          <w:lang w:val="fr-FR"/>
        </w:rPr>
        <w:t xml:space="preserve"> Convention.</w:t>
      </w:r>
    </w:p>
    <w:p w:rsidR="000473FA" w:rsidRDefault="00CF0E66" w:rsidP="00E5454F">
      <w:pPr>
        <w:pStyle w:val="H23G"/>
        <w:spacing w:before="220" w:after="100"/>
        <w:rPr>
          <w:color w:val="000000"/>
          <w:lang w:val="fr-FR"/>
        </w:rPr>
      </w:pPr>
      <w:r w:rsidRPr="00AC685E">
        <w:rPr>
          <w:color w:val="000000"/>
          <w:lang w:val="fr-FR"/>
        </w:rPr>
        <w:tab/>
      </w:r>
      <w:r w:rsidRPr="00AC685E">
        <w:rPr>
          <w:color w:val="000000"/>
          <w:lang w:val="fr-FR"/>
        </w:rPr>
        <w:tab/>
      </w:r>
      <w:r w:rsidRPr="00A20B9E">
        <w:rPr>
          <w:lang w:val="fr-FR"/>
        </w:rPr>
        <w:t>Discrimination</w:t>
      </w:r>
      <w:r w:rsidRPr="00AC685E">
        <w:rPr>
          <w:color w:val="000000"/>
          <w:lang w:val="fr-FR"/>
        </w:rPr>
        <w:t xml:space="preserve"> </w:t>
      </w:r>
      <w:r>
        <w:rPr>
          <w:color w:val="000000"/>
          <w:lang w:val="fr-FR"/>
        </w:rPr>
        <w:t>raciale dans le système de justice pénale</w:t>
      </w:r>
    </w:p>
    <w:p w:rsidR="00CF0E66" w:rsidRDefault="00CF0E66" w:rsidP="00E5454F">
      <w:pPr>
        <w:pStyle w:val="ParNoG"/>
        <w:spacing w:after="100" w:line="236" w:lineRule="exact"/>
      </w:pPr>
      <w:r>
        <w:t>Le</w:t>
      </w:r>
      <w:r w:rsidRPr="00255DE9">
        <w:t xml:space="preserve"> Comit</w:t>
      </w:r>
      <w:r>
        <w:t xml:space="preserve">é </w:t>
      </w:r>
      <w:r w:rsidRPr="00A20B9E">
        <w:rPr>
          <w:lang w:val="fr-FR"/>
        </w:rPr>
        <w:t>s</w:t>
      </w:r>
      <w:r w:rsidR="00FF648A">
        <w:rPr>
          <w:lang w:val="fr-FR"/>
        </w:rPr>
        <w:t>’</w:t>
      </w:r>
      <w:r w:rsidRPr="00A20B9E">
        <w:rPr>
          <w:lang w:val="fr-FR"/>
        </w:rPr>
        <w:t>inquiète</w:t>
      </w:r>
      <w:r>
        <w:t xml:space="preserve"> du peu d</w:t>
      </w:r>
      <w:r w:rsidR="00FF648A">
        <w:t>’</w:t>
      </w:r>
      <w:r>
        <w:t>affaires de discrimination raciale portées devant les tribunaux, malgré l</w:t>
      </w:r>
      <w:r w:rsidR="00FF648A">
        <w:t>’</w:t>
      </w:r>
      <w:r>
        <w:t>augmentation du nombre de crimes motivés par la haine</w:t>
      </w:r>
      <w:r w:rsidRPr="00255DE9">
        <w:t xml:space="preserve">. </w:t>
      </w:r>
      <w:r>
        <w:t>Il craint en outre que les peines prononcées</w:t>
      </w:r>
      <w:r w:rsidRPr="00255DE9">
        <w:t xml:space="preserve"> </w:t>
      </w:r>
      <w:r>
        <w:t>lorsque des affaires de ce type sont finalement portées devant la justice ne soient pas assez sévères pour être dissuasives. Il est également préoccupé par les informations selon lesquelles certaines victimes de crimes motivés par la haine, notamment de profilage ethnique ou de mauvais traitements infligés par des agents de la force publique</w:t>
      </w:r>
      <w:r w:rsidRPr="00255DE9">
        <w:t xml:space="preserve">, </w:t>
      </w:r>
      <w:r>
        <w:t xml:space="preserve">ne souhaitent pas </w:t>
      </w:r>
      <w:r w:rsidRPr="00255DE9">
        <w:t>s</w:t>
      </w:r>
      <w:r>
        <w:t>ignaler les faits</w:t>
      </w:r>
      <w:r w:rsidRPr="00255DE9">
        <w:t xml:space="preserve"> </w:t>
      </w:r>
      <w:r>
        <w:t>car elles doutent que les responsables de l</w:t>
      </w:r>
      <w:r w:rsidR="00FF648A">
        <w:t>’</w:t>
      </w:r>
      <w:r>
        <w:t>application des lois puissent ou veuillent leur donner la possibilité d</w:t>
      </w:r>
      <w:r w:rsidR="00FF648A">
        <w:t>’</w:t>
      </w:r>
      <w:r>
        <w:t>exercer un recours utile (</w:t>
      </w:r>
      <w:r w:rsidR="00FF648A">
        <w:t>art. </w:t>
      </w:r>
      <w:r w:rsidRPr="00255DE9">
        <w:t xml:space="preserve">4 </w:t>
      </w:r>
      <w:r>
        <w:t>et</w:t>
      </w:r>
      <w:r w:rsidRPr="00255DE9">
        <w:t xml:space="preserve"> 6).</w:t>
      </w:r>
    </w:p>
    <w:p w:rsidR="00CF0E66" w:rsidRPr="00255DE9" w:rsidRDefault="00CF0E66" w:rsidP="00E5454F">
      <w:pPr>
        <w:pStyle w:val="SingleTxtG"/>
        <w:spacing w:after="100" w:line="236" w:lineRule="exact"/>
        <w:rPr>
          <w:b/>
        </w:rPr>
      </w:pPr>
      <w:r>
        <w:rPr>
          <w:b/>
        </w:rPr>
        <w:t>Le</w:t>
      </w:r>
      <w:r w:rsidRPr="00255DE9">
        <w:rPr>
          <w:b/>
        </w:rPr>
        <w:t xml:space="preserve"> Com</w:t>
      </w:r>
      <w:r>
        <w:rPr>
          <w:b/>
        </w:rPr>
        <w:t>ité</w:t>
      </w:r>
      <w:r w:rsidRPr="00255DE9">
        <w:rPr>
          <w:b/>
        </w:rPr>
        <w:t xml:space="preserve"> recomm</w:t>
      </w:r>
      <w:r>
        <w:rPr>
          <w:b/>
        </w:rPr>
        <w:t>a</w:t>
      </w:r>
      <w:r w:rsidRPr="00255DE9">
        <w:rPr>
          <w:b/>
        </w:rPr>
        <w:t>nd</w:t>
      </w:r>
      <w:r>
        <w:rPr>
          <w:b/>
        </w:rPr>
        <w:t>e</w:t>
      </w:r>
      <w:r w:rsidRPr="00255DE9">
        <w:rPr>
          <w:b/>
        </w:rPr>
        <w:t xml:space="preserve"> </w:t>
      </w:r>
      <w:r>
        <w:rPr>
          <w:b/>
        </w:rPr>
        <w:t>à l</w:t>
      </w:r>
      <w:r w:rsidR="00FF648A">
        <w:rPr>
          <w:b/>
        </w:rPr>
        <w:t>’</w:t>
      </w:r>
      <w:r>
        <w:rPr>
          <w:b/>
        </w:rPr>
        <w:t>État partie de continuer de mettre en œuvre, à l</w:t>
      </w:r>
      <w:r w:rsidR="00FF648A">
        <w:rPr>
          <w:b/>
        </w:rPr>
        <w:t>’</w:t>
      </w:r>
      <w:r>
        <w:rPr>
          <w:b/>
        </w:rPr>
        <w:t>intention des</w:t>
      </w:r>
      <w:r w:rsidRPr="00255DE9">
        <w:rPr>
          <w:b/>
        </w:rPr>
        <w:t xml:space="preserve"> procu</w:t>
      </w:r>
      <w:r>
        <w:rPr>
          <w:b/>
        </w:rPr>
        <w:t>reu</w:t>
      </w:r>
      <w:r w:rsidRPr="00255DE9">
        <w:rPr>
          <w:b/>
        </w:rPr>
        <w:t xml:space="preserve">rs, </w:t>
      </w:r>
      <w:r>
        <w:rPr>
          <w:b/>
        </w:rPr>
        <w:t>des policiers et des juges, des programmes de formation sur les</w:t>
      </w:r>
      <w:r w:rsidRPr="00255DE9">
        <w:rPr>
          <w:b/>
        </w:rPr>
        <w:t xml:space="preserve"> </w:t>
      </w:r>
      <w:r>
        <w:rPr>
          <w:b/>
        </w:rPr>
        <w:t>infractions à motivation raciste, dans le cadre desquels on insistera sur le fait qu</w:t>
      </w:r>
      <w:r w:rsidR="00FF648A">
        <w:rPr>
          <w:b/>
        </w:rPr>
        <w:t>’</w:t>
      </w:r>
      <w:r>
        <w:rPr>
          <w:b/>
        </w:rPr>
        <w:t>il est important de traiter ces infractions</w:t>
      </w:r>
      <w:r w:rsidRPr="00255DE9">
        <w:rPr>
          <w:b/>
        </w:rPr>
        <w:t xml:space="preserve"> </w:t>
      </w:r>
      <w:r>
        <w:rPr>
          <w:b/>
        </w:rPr>
        <w:t>avec toute la sévérité qu</w:t>
      </w:r>
      <w:r w:rsidR="00FF648A">
        <w:rPr>
          <w:b/>
        </w:rPr>
        <w:t>’</w:t>
      </w:r>
      <w:r>
        <w:rPr>
          <w:b/>
        </w:rPr>
        <w:t>elles méritent</w:t>
      </w:r>
      <w:r w:rsidRPr="00255DE9">
        <w:rPr>
          <w:b/>
        </w:rPr>
        <w:t xml:space="preserve">. </w:t>
      </w:r>
      <w:r w:rsidR="005D68BC">
        <w:rPr>
          <w:b/>
        </w:rPr>
        <w:t>À</w:t>
      </w:r>
      <w:r>
        <w:rPr>
          <w:b/>
        </w:rPr>
        <w:t xml:space="preserve"> la lumière de la Recommandation générale </w:t>
      </w:r>
      <w:r w:rsidR="00C97511" w:rsidRPr="00C97511">
        <w:rPr>
          <w:b/>
        </w:rPr>
        <w:t>n</w:t>
      </w:r>
      <w:r w:rsidR="00C97511" w:rsidRPr="00C97511">
        <w:rPr>
          <w:b/>
          <w:vertAlign w:val="superscript"/>
        </w:rPr>
        <w:t>o</w:t>
      </w:r>
      <w:r w:rsidR="00C97511">
        <w:rPr>
          <w:b/>
        </w:rPr>
        <w:t> 31</w:t>
      </w:r>
      <w:r w:rsidRPr="00B53ECC">
        <w:rPr>
          <w:b/>
        </w:rPr>
        <w:t xml:space="preserve"> (2005) </w:t>
      </w:r>
      <w:r w:rsidRPr="00C84CDA">
        <w:rPr>
          <w:b/>
        </w:rPr>
        <w:t>du Comité</w:t>
      </w:r>
      <w:r w:rsidRPr="00B53ECC">
        <w:rPr>
          <w:b/>
        </w:rPr>
        <w:t xml:space="preserve"> sur la prévention de la discrimination raciale dans l</w:t>
      </w:r>
      <w:r w:rsidR="00FF648A">
        <w:rPr>
          <w:b/>
        </w:rPr>
        <w:t>’</w:t>
      </w:r>
      <w:r w:rsidRPr="00B53ECC">
        <w:rPr>
          <w:b/>
        </w:rPr>
        <w:t>administration et le fonctionnement du système de justice pénale</w:t>
      </w:r>
      <w:r w:rsidRPr="00255DE9">
        <w:rPr>
          <w:b/>
        </w:rPr>
        <w:t xml:space="preserve">, </w:t>
      </w:r>
      <w:r>
        <w:rPr>
          <w:b/>
        </w:rPr>
        <w:t>l</w:t>
      </w:r>
      <w:r w:rsidR="00FF648A">
        <w:rPr>
          <w:b/>
        </w:rPr>
        <w:t>’</w:t>
      </w:r>
      <w:r>
        <w:rPr>
          <w:b/>
        </w:rPr>
        <w:t xml:space="preserve">État partie </w:t>
      </w:r>
      <w:r w:rsidRPr="00255DE9">
        <w:rPr>
          <w:b/>
        </w:rPr>
        <w:t>d</w:t>
      </w:r>
      <w:r>
        <w:rPr>
          <w:b/>
        </w:rPr>
        <w:t>evrait rappeler aux procureurs qu</w:t>
      </w:r>
      <w:r w:rsidR="00FF648A">
        <w:rPr>
          <w:b/>
        </w:rPr>
        <w:t>’</w:t>
      </w:r>
      <w:r>
        <w:rPr>
          <w:b/>
        </w:rPr>
        <w:t>il est important, de manière générale, de</w:t>
      </w:r>
      <w:r w:rsidRPr="00255DE9">
        <w:rPr>
          <w:b/>
        </w:rPr>
        <w:t xml:space="preserve"> </w:t>
      </w:r>
      <w:r>
        <w:rPr>
          <w:b/>
        </w:rPr>
        <w:t>poursuivre les auteurs de crimes racistes, quels qu</w:t>
      </w:r>
      <w:r w:rsidR="00FF648A">
        <w:rPr>
          <w:b/>
        </w:rPr>
        <w:t>’</w:t>
      </w:r>
      <w:r>
        <w:rPr>
          <w:b/>
        </w:rPr>
        <w:t>ils soient,</w:t>
      </w:r>
      <w:r w:rsidRPr="00255DE9">
        <w:rPr>
          <w:b/>
        </w:rPr>
        <w:t xml:space="preserve"> </w:t>
      </w:r>
      <w:r>
        <w:rPr>
          <w:b/>
        </w:rPr>
        <w:t>et</w:t>
      </w:r>
      <w:r w:rsidRPr="00255DE9">
        <w:rPr>
          <w:b/>
        </w:rPr>
        <w:t xml:space="preserve"> </w:t>
      </w:r>
      <w:r>
        <w:rPr>
          <w:b/>
        </w:rPr>
        <w:t>d</w:t>
      </w:r>
      <w:r w:rsidR="00FF648A">
        <w:rPr>
          <w:b/>
        </w:rPr>
        <w:t>’</w:t>
      </w:r>
      <w:r>
        <w:rPr>
          <w:b/>
        </w:rPr>
        <w:t>appliquer</w:t>
      </w:r>
      <w:r w:rsidRPr="00255DE9">
        <w:rPr>
          <w:b/>
        </w:rPr>
        <w:t xml:space="preserve"> </w:t>
      </w:r>
      <w:r>
        <w:rPr>
          <w:b/>
        </w:rPr>
        <w:t xml:space="preserve">des sanctions </w:t>
      </w:r>
      <w:r w:rsidRPr="00255DE9">
        <w:rPr>
          <w:b/>
        </w:rPr>
        <w:t>proportion</w:t>
      </w:r>
      <w:r>
        <w:rPr>
          <w:b/>
        </w:rPr>
        <w:t>nelles à la gravité des faits. Enfin</w:t>
      </w:r>
      <w:r w:rsidRPr="00255DE9">
        <w:rPr>
          <w:b/>
        </w:rPr>
        <w:t xml:space="preserve">, </w:t>
      </w:r>
      <w:r>
        <w:rPr>
          <w:b/>
        </w:rPr>
        <w:t>l</w:t>
      </w:r>
      <w:r w:rsidRPr="00255DE9">
        <w:rPr>
          <w:b/>
        </w:rPr>
        <w:t>e Comit</w:t>
      </w:r>
      <w:r>
        <w:rPr>
          <w:b/>
        </w:rPr>
        <w:t>é</w:t>
      </w:r>
      <w:r w:rsidRPr="00255DE9">
        <w:rPr>
          <w:b/>
        </w:rPr>
        <w:t xml:space="preserve"> recomm</w:t>
      </w:r>
      <w:r>
        <w:rPr>
          <w:b/>
        </w:rPr>
        <w:t>a</w:t>
      </w:r>
      <w:r w:rsidRPr="00255DE9">
        <w:rPr>
          <w:b/>
        </w:rPr>
        <w:t>nd</w:t>
      </w:r>
      <w:r>
        <w:rPr>
          <w:b/>
        </w:rPr>
        <w:t>e</w:t>
      </w:r>
      <w:r w:rsidRPr="00255DE9">
        <w:rPr>
          <w:b/>
        </w:rPr>
        <w:t xml:space="preserve"> </w:t>
      </w:r>
      <w:r>
        <w:rPr>
          <w:b/>
        </w:rPr>
        <w:t>à l</w:t>
      </w:r>
      <w:r w:rsidR="00FF648A">
        <w:rPr>
          <w:b/>
        </w:rPr>
        <w:t>’</w:t>
      </w:r>
      <w:r>
        <w:rPr>
          <w:b/>
        </w:rPr>
        <w:t xml:space="preserve">État partie de créer un organe indépendant chargé de recevoir les plaintes pour violences policières ou mauvais traitements infligés par les forces de </w:t>
      </w:r>
      <w:r w:rsidRPr="00E5454F">
        <w:rPr>
          <w:b/>
          <w:spacing w:val="-2"/>
        </w:rPr>
        <w:t>l</w:t>
      </w:r>
      <w:r w:rsidR="00FF648A">
        <w:rPr>
          <w:b/>
          <w:spacing w:val="-2"/>
        </w:rPr>
        <w:t>’</w:t>
      </w:r>
      <w:r w:rsidRPr="00E5454F">
        <w:rPr>
          <w:b/>
          <w:spacing w:val="-2"/>
        </w:rPr>
        <w:t>ordre</w:t>
      </w:r>
      <w:r w:rsidR="00C97511" w:rsidRPr="00E5454F">
        <w:rPr>
          <w:b/>
          <w:spacing w:val="-2"/>
        </w:rPr>
        <w:t>,</w:t>
      </w:r>
      <w:r w:rsidRPr="00E5454F">
        <w:rPr>
          <w:b/>
          <w:spacing w:val="-2"/>
        </w:rPr>
        <w:t xml:space="preserve"> et de prendre les mesures voulues pour garantir le recrutement, dans la police,</w:t>
      </w:r>
      <w:r>
        <w:rPr>
          <w:b/>
        </w:rPr>
        <w:t xml:space="preserve"> de personnes appartenant à des minorités</w:t>
      </w:r>
      <w:r w:rsidRPr="00255DE9">
        <w:rPr>
          <w:b/>
        </w:rPr>
        <w:t>.</w:t>
      </w:r>
    </w:p>
    <w:p w:rsidR="000473FA" w:rsidRDefault="00CF0E66" w:rsidP="00E5454F">
      <w:pPr>
        <w:pStyle w:val="H23G"/>
        <w:spacing w:before="220" w:after="100"/>
      </w:pPr>
      <w:r>
        <w:tab/>
      </w:r>
      <w:r>
        <w:tab/>
      </w:r>
      <w:r w:rsidRPr="00A20B9E">
        <w:rPr>
          <w:lang w:val="fr-FR"/>
        </w:rPr>
        <w:t>Situation</w:t>
      </w:r>
      <w:r w:rsidRPr="00255DE9">
        <w:t xml:space="preserve"> </w:t>
      </w:r>
      <w:r>
        <w:t>des minorités nationales et ethniques</w:t>
      </w:r>
    </w:p>
    <w:p w:rsidR="00CF0E66" w:rsidRPr="00B53ECC" w:rsidRDefault="00CF0E66" w:rsidP="00E5454F">
      <w:pPr>
        <w:pStyle w:val="ParNoG"/>
        <w:spacing w:after="100" w:line="236" w:lineRule="exact"/>
      </w:pPr>
      <w:r w:rsidRPr="00B53ECC">
        <w:t>Bien que l</w:t>
      </w:r>
      <w:r w:rsidR="00FF648A">
        <w:t>’</w:t>
      </w:r>
      <w:r w:rsidRPr="00B53ECC">
        <w:t xml:space="preserve">État partie se soit efforcé de promouvoir les droits des personnes appartenant à des minorités, notamment </w:t>
      </w:r>
      <w:r w:rsidR="00C97511">
        <w:t xml:space="preserve">au moyen </w:t>
      </w:r>
      <w:r w:rsidRPr="00B53ECC">
        <w:t>de l</w:t>
      </w:r>
      <w:r w:rsidR="00FF648A">
        <w:t>’</w:t>
      </w:r>
      <w:r w:rsidRPr="00B53ECC">
        <w:t>application de la loi relative aux minorités nationales et ethniques et aux langues régionales, le Comité s</w:t>
      </w:r>
      <w:r w:rsidR="00FF648A">
        <w:t>’</w:t>
      </w:r>
      <w:r w:rsidRPr="00B53ECC">
        <w:t>inquiète des stéréotypes dont les minorités nationales et ethniques continuent de faire l</w:t>
      </w:r>
      <w:r w:rsidR="00FF648A">
        <w:t>’</w:t>
      </w:r>
      <w:r w:rsidRPr="00B53ECC">
        <w:t>objet. Il est particulièrement préoccupé par l</w:t>
      </w:r>
      <w:r w:rsidR="00FF648A">
        <w:t>’</w:t>
      </w:r>
      <w:r w:rsidRPr="00B53ECC">
        <w:t>antisémitisme et les comportements racistes à l</w:t>
      </w:r>
      <w:r w:rsidR="00FF648A">
        <w:t>’</w:t>
      </w:r>
      <w:r w:rsidRPr="00B53ECC">
        <w:t>égard des Roms et des personnes d</w:t>
      </w:r>
      <w:r w:rsidR="00FF648A">
        <w:t>’</w:t>
      </w:r>
      <w:r w:rsidRPr="00B53ECC">
        <w:t>ascendance africaine et asiatique. Il a demandé des renseignements sur la situation des Slovinces</w:t>
      </w:r>
      <w:r w:rsidR="00D83A39">
        <w:t xml:space="preserve"> </w:t>
      </w:r>
      <w:r w:rsidRPr="00B53ECC">
        <w:t xml:space="preserve">et note que, selon la réponse </w:t>
      </w:r>
      <w:r w:rsidR="00C97511">
        <w:t>de</w:t>
      </w:r>
      <w:r w:rsidRPr="00B53ECC">
        <w:t xml:space="preserve"> la délégation de l</w:t>
      </w:r>
      <w:r w:rsidR="00FF648A">
        <w:t>’</w:t>
      </w:r>
      <w:r w:rsidRPr="00B53ECC">
        <w:t>État partie, aucun groupe de population de ce nom ne réside actuellement sur le</w:t>
      </w:r>
      <w:r w:rsidR="00E5454F">
        <w:t> </w:t>
      </w:r>
      <w:r w:rsidRPr="00B53ECC">
        <w:t>territoire polonais (</w:t>
      </w:r>
      <w:r w:rsidR="00FF648A">
        <w:t>art. </w:t>
      </w:r>
      <w:r w:rsidRPr="00B53ECC">
        <w:t>2, 4, 5 et 7).</w:t>
      </w:r>
    </w:p>
    <w:p w:rsidR="00CF0E66" w:rsidRPr="000F0908" w:rsidRDefault="00CF0E66" w:rsidP="00E5454F">
      <w:pPr>
        <w:pStyle w:val="SingleTxtG"/>
        <w:spacing w:after="100" w:line="236" w:lineRule="exact"/>
        <w:rPr>
          <w:b/>
          <w:lang w:val="fr-FR"/>
        </w:rPr>
      </w:pPr>
      <w:r>
        <w:rPr>
          <w:b/>
          <w:lang w:val="fr-FR"/>
        </w:rPr>
        <w:t>Le</w:t>
      </w:r>
      <w:r w:rsidRPr="000F0908">
        <w:rPr>
          <w:b/>
          <w:lang w:val="fr-FR"/>
        </w:rPr>
        <w:t xml:space="preserve"> Comit</w:t>
      </w:r>
      <w:r>
        <w:rPr>
          <w:b/>
          <w:lang w:val="fr-FR"/>
        </w:rPr>
        <w:t>é</w:t>
      </w:r>
      <w:r w:rsidRPr="000F0908">
        <w:rPr>
          <w:b/>
          <w:lang w:val="fr-FR"/>
        </w:rPr>
        <w:t xml:space="preserve"> recomm</w:t>
      </w:r>
      <w:r>
        <w:rPr>
          <w:b/>
          <w:lang w:val="fr-FR"/>
        </w:rPr>
        <w:t>a</w:t>
      </w:r>
      <w:r w:rsidRPr="000F0908">
        <w:rPr>
          <w:b/>
          <w:lang w:val="fr-FR"/>
        </w:rPr>
        <w:t>nd</w:t>
      </w:r>
      <w:r>
        <w:rPr>
          <w:b/>
          <w:lang w:val="fr-FR"/>
        </w:rPr>
        <w:t>e</w:t>
      </w:r>
      <w:r w:rsidRPr="000F0908">
        <w:rPr>
          <w:b/>
          <w:lang w:val="fr-FR"/>
        </w:rPr>
        <w:t xml:space="preserve"> </w:t>
      </w:r>
      <w:r>
        <w:rPr>
          <w:b/>
          <w:lang w:val="fr-FR"/>
        </w:rPr>
        <w:t>à l</w:t>
      </w:r>
      <w:r w:rsidR="00FF648A">
        <w:rPr>
          <w:b/>
          <w:lang w:val="fr-FR"/>
        </w:rPr>
        <w:t>’</w:t>
      </w:r>
      <w:r>
        <w:rPr>
          <w:b/>
          <w:lang w:val="fr-FR"/>
        </w:rPr>
        <w:t>État partie d</w:t>
      </w:r>
      <w:r w:rsidR="00FF648A">
        <w:rPr>
          <w:b/>
          <w:lang w:val="fr-FR"/>
        </w:rPr>
        <w:t>’</w:t>
      </w:r>
      <w:r>
        <w:rPr>
          <w:b/>
          <w:lang w:val="fr-FR"/>
        </w:rPr>
        <w:t>améliorer ses programmes de sensibilisation du grand public au dialogue</w:t>
      </w:r>
      <w:r w:rsidRPr="000F0908">
        <w:rPr>
          <w:b/>
          <w:lang w:val="fr-FR"/>
        </w:rPr>
        <w:t xml:space="preserve"> intercultur</w:t>
      </w:r>
      <w:r>
        <w:rPr>
          <w:b/>
          <w:lang w:val="fr-FR"/>
        </w:rPr>
        <w:t>el, à la tolérance</w:t>
      </w:r>
      <w:r w:rsidRPr="000F0908">
        <w:rPr>
          <w:b/>
          <w:lang w:val="fr-FR"/>
        </w:rPr>
        <w:t xml:space="preserve"> </w:t>
      </w:r>
      <w:r>
        <w:rPr>
          <w:b/>
          <w:lang w:val="fr-FR"/>
        </w:rPr>
        <w:t>et à l</w:t>
      </w:r>
      <w:r w:rsidR="00FF648A">
        <w:rPr>
          <w:b/>
          <w:lang w:val="fr-FR"/>
        </w:rPr>
        <w:t>’</w:t>
      </w:r>
      <w:r>
        <w:rPr>
          <w:b/>
          <w:lang w:val="fr-FR"/>
        </w:rPr>
        <w:t>histoire et la culture des minorités ethniques et nationales</w:t>
      </w:r>
      <w:r w:rsidRPr="000F0908">
        <w:rPr>
          <w:b/>
          <w:lang w:val="fr-FR"/>
        </w:rPr>
        <w:t xml:space="preserve">. </w:t>
      </w:r>
      <w:r>
        <w:rPr>
          <w:b/>
          <w:lang w:val="fr-FR"/>
        </w:rPr>
        <w:t xml:space="preserve">Compte tenu de sa Recommandation générale </w:t>
      </w:r>
      <w:r w:rsidR="00C97511" w:rsidRPr="00C97511">
        <w:rPr>
          <w:b/>
          <w:lang w:val="fr-FR"/>
        </w:rPr>
        <w:t>n</w:t>
      </w:r>
      <w:r w:rsidR="00C97511" w:rsidRPr="00C97511">
        <w:rPr>
          <w:b/>
          <w:vertAlign w:val="superscript"/>
          <w:lang w:val="fr-FR"/>
        </w:rPr>
        <w:t>o</w:t>
      </w:r>
      <w:r w:rsidR="00C97511">
        <w:rPr>
          <w:b/>
          <w:lang w:val="fr-FR"/>
        </w:rPr>
        <w:t> 32</w:t>
      </w:r>
      <w:r w:rsidRPr="000F0908">
        <w:rPr>
          <w:b/>
          <w:lang w:val="fr-FR"/>
        </w:rPr>
        <w:t xml:space="preserve"> (2009) </w:t>
      </w:r>
      <w:r w:rsidRPr="00B53ECC">
        <w:rPr>
          <w:b/>
          <w:bCs/>
        </w:rPr>
        <w:t>sur la signification et la portée des mesures spéciales dans la Convention</w:t>
      </w:r>
      <w:r w:rsidRPr="00B53ECC">
        <w:rPr>
          <w:bCs/>
        </w:rPr>
        <w:t>,</w:t>
      </w:r>
      <w:r w:rsidRPr="000F0908">
        <w:rPr>
          <w:b/>
          <w:lang w:val="fr-FR"/>
        </w:rPr>
        <w:t xml:space="preserve"> </w:t>
      </w:r>
      <w:r>
        <w:rPr>
          <w:b/>
          <w:lang w:val="fr-FR"/>
        </w:rPr>
        <w:t>il lui recommande également d</w:t>
      </w:r>
      <w:r w:rsidR="00FF648A">
        <w:rPr>
          <w:b/>
          <w:lang w:val="fr-FR"/>
        </w:rPr>
        <w:t>’</w:t>
      </w:r>
      <w:r>
        <w:rPr>
          <w:b/>
          <w:lang w:val="fr-FR"/>
        </w:rPr>
        <w:t>envisager sérieusement d</w:t>
      </w:r>
      <w:r w:rsidR="00FF648A">
        <w:rPr>
          <w:b/>
          <w:lang w:val="fr-FR"/>
        </w:rPr>
        <w:t>’</w:t>
      </w:r>
      <w:r>
        <w:rPr>
          <w:b/>
          <w:lang w:val="fr-FR"/>
        </w:rPr>
        <w:t xml:space="preserve">adopter </w:t>
      </w:r>
      <w:r w:rsidRPr="00DA58C4">
        <w:rPr>
          <w:b/>
          <w:bCs/>
        </w:rPr>
        <w:t xml:space="preserve">des </w:t>
      </w:r>
      <w:r w:rsidRPr="00B53ECC">
        <w:rPr>
          <w:b/>
          <w:bCs/>
        </w:rPr>
        <w:t xml:space="preserve">mesures spéciales temporaires visant à garantir </w:t>
      </w:r>
      <w:r w:rsidRPr="00B53ECC">
        <w:rPr>
          <w:b/>
          <w:bCs/>
          <w:lang w:val="fr-FR"/>
        </w:rPr>
        <w:t>aux</w:t>
      </w:r>
      <w:r w:rsidRPr="00DA58C4">
        <w:rPr>
          <w:b/>
          <w:bCs/>
          <w:lang w:val="fr-FR"/>
        </w:rPr>
        <w:t xml:space="preserve"> personnes appartenant à des minorités, </w:t>
      </w:r>
      <w:r w:rsidRPr="00B53ECC">
        <w:rPr>
          <w:b/>
          <w:bCs/>
          <w:lang w:val="fr-FR"/>
        </w:rPr>
        <w:t>dans des conditions</w:t>
      </w:r>
      <w:r w:rsidRPr="00B53ECC">
        <w:rPr>
          <w:b/>
          <w:lang w:val="fr-FR"/>
        </w:rPr>
        <w:t xml:space="preserve"> d</w:t>
      </w:r>
      <w:r w:rsidR="00FF648A">
        <w:rPr>
          <w:b/>
          <w:lang w:val="fr-FR"/>
        </w:rPr>
        <w:t>’</w:t>
      </w:r>
      <w:r w:rsidRPr="00B53ECC">
        <w:rPr>
          <w:b/>
          <w:lang w:val="fr-FR"/>
        </w:rPr>
        <w:t>égalité, la pleine jouissance des droits de l</w:t>
      </w:r>
      <w:r w:rsidR="00FF648A">
        <w:rPr>
          <w:b/>
          <w:lang w:val="fr-FR"/>
        </w:rPr>
        <w:t>’</w:t>
      </w:r>
      <w:r w:rsidRPr="00B53ECC">
        <w:rPr>
          <w:b/>
          <w:lang w:val="fr-FR"/>
        </w:rPr>
        <w:t>homme et des libertés fondamentales</w:t>
      </w:r>
      <w:r w:rsidRPr="00B53ECC">
        <w:rPr>
          <w:lang w:val="fr-FR"/>
        </w:rPr>
        <w:t>,</w:t>
      </w:r>
      <w:r>
        <w:rPr>
          <w:b/>
          <w:lang w:val="fr-FR"/>
        </w:rPr>
        <w:t xml:space="preserve"> notamment à assurer la stricte application des dispositions de la Convention</w:t>
      </w:r>
      <w:r w:rsidRPr="000F0908">
        <w:rPr>
          <w:b/>
          <w:lang w:val="fr-FR"/>
        </w:rPr>
        <w:t xml:space="preserve">. </w:t>
      </w:r>
      <w:r>
        <w:rPr>
          <w:b/>
          <w:lang w:val="fr-FR"/>
        </w:rPr>
        <w:t>Il prie également l</w:t>
      </w:r>
      <w:r w:rsidR="00FF648A">
        <w:rPr>
          <w:b/>
          <w:lang w:val="fr-FR"/>
        </w:rPr>
        <w:t>’</w:t>
      </w:r>
      <w:r>
        <w:rPr>
          <w:b/>
          <w:lang w:val="fr-FR"/>
        </w:rPr>
        <w:t>État partie de lui fournir des informations sur les</w:t>
      </w:r>
      <w:r w:rsidR="00E5454F">
        <w:rPr>
          <w:b/>
          <w:lang w:val="fr-FR"/>
        </w:rPr>
        <w:t> </w:t>
      </w:r>
      <w:r w:rsidRPr="00B6654E">
        <w:rPr>
          <w:b/>
          <w:lang w:val="fr-FR"/>
        </w:rPr>
        <w:t>Slovinces</w:t>
      </w:r>
      <w:r w:rsidRPr="000F0908">
        <w:rPr>
          <w:b/>
          <w:lang w:val="fr-FR"/>
        </w:rPr>
        <w:t xml:space="preserve"> </w:t>
      </w:r>
      <w:r>
        <w:rPr>
          <w:b/>
          <w:lang w:val="fr-FR"/>
        </w:rPr>
        <w:t>qui se trouvent en</w:t>
      </w:r>
      <w:r w:rsidRPr="000F0908">
        <w:rPr>
          <w:b/>
          <w:lang w:val="fr-FR"/>
        </w:rPr>
        <w:t xml:space="preserve"> Pol</w:t>
      </w:r>
      <w:r>
        <w:rPr>
          <w:b/>
          <w:lang w:val="fr-FR"/>
        </w:rPr>
        <w:t>ogne</w:t>
      </w:r>
      <w:r w:rsidRPr="000F0908">
        <w:rPr>
          <w:b/>
          <w:lang w:val="fr-FR"/>
        </w:rPr>
        <w:t>.</w:t>
      </w:r>
    </w:p>
    <w:p w:rsidR="000473FA" w:rsidRDefault="00CF0E66" w:rsidP="00E5454F">
      <w:pPr>
        <w:pStyle w:val="H23G"/>
        <w:spacing w:before="220" w:after="100"/>
        <w:rPr>
          <w:lang w:val="fr-FR"/>
        </w:rPr>
      </w:pPr>
      <w:r w:rsidRPr="000F0908">
        <w:rPr>
          <w:lang w:val="fr-FR"/>
        </w:rPr>
        <w:tab/>
      </w:r>
      <w:r w:rsidRPr="000F0908">
        <w:rPr>
          <w:lang w:val="fr-FR"/>
        </w:rPr>
        <w:tab/>
        <w:t xml:space="preserve">Situation </w:t>
      </w:r>
      <w:r>
        <w:rPr>
          <w:lang w:val="fr-FR"/>
        </w:rPr>
        <w:t>de la communauté rom</w:t>
      </w:r>
    </w:p>
    <w:p w:rsidR="00CF0E66" w:rsidRPr="00E5454F" w:rsidRDefault="00CF0E66" w:rsidP="00E5454F">
      <w:pPr>
        <w:pStyle w:val="ParNoG"/>
        <w:spacing w:after="100" w:line="238" w:lineRule="exact"/>
        <w:rPr>
          <w:lang w:val="fr-FR"/>
        </w:rPr>
      </w:pPr>
      <w:r w:rsidRPr="00E5454F">
        <w:rPr>
          <w:lang w:val="fr-FR"/>
        </w:rPr>
        <w:t>Le Comité prend note des résultats obtenus dans le cadre du programme en faveur de la communauté rom de Pologne 2004</w:t>
      </w:r>
      <w:r w:rsidR="00C97511" w:rsidRPr="00E5454F">
        <w:rPr>
          <w:lang w:val="fr-FR"/>
        </w:rPr>
        <w:t>-</w:t>
      </w:r>
      <w:r w:rsidRPr="00E5454F">
        <w:rPr>
          <w:lang w:val="fr-FR"/>
        </w:rPr>
        <w:t>2013. La situation des Roms demeure toutefois préoccupante: cette communauté affiche en effet un taux élevé d</w:t>
      </w:r>
      <w:r w:rsidR="00FF648A">
        <w:rPr>
          <w:lang w:val="fr-FR"/>
        </w:rPr>
        <w:t>’</w:t>
      </w:r>
      <w:r w:rsidRPr="00E5454F">
        <w:rPr>
          <w:lang w:val="fr-FR"/>
        </w:rPr>
        <w:t xml:space="preserve">abandon scolaire et vit dans </w:t>
      </w:r>
      <w:r w:rsidR="001774CF">
        <w:rPr>
          <w:lang w:val="fr-FR"/>
        </w:rPr>
        <w:t xml:space="preserve">des </w:t>
      </w:r>
      <w:r w:rsidRPr="00E5454F">
        <w:rPr>
          <w:lang w:val="fr-FR"/>
        </w:rPr>
        <w:t>conditions déplorables; elle est notamment victime d</w:t>
      </w:r>
      <w:r w:rsidR="00FF648A">
        <w:rPr>
          <w:lang w:val="fr-FR"/>
        </w:rPr>
        <w:t>’</w:t>
      </w:r>
      <w:r w:rsidRPr="00E5454F">
        <w:rPr>
          <w:lang w:val="fr-FR"/>
        </w:rPr>
        <w:t xml:space="preserve">une ségrégation de fait en matière de logement et </w:t>
      </w:r>
      <w:r w:rsidRPr="00E5454F">
        <w:rPr>
          <w:iCs/>
          <w:lang w:val="fr-FR"/>
        </w:rPr>
        <w:t>visée par des menaces d</w:t>
      </w:r>
      <w:r w:rsidR="00FF648A">
        <w:rPr>
          <w:iCs/>
          <w:lang w:val="fr-FR"/>
        </w:rPr>
        <w:t>’</w:t>
      </w:r>
      <w:r w:rsidRPr="00E5454F">
        <w:rPr>
          <w:iCs/>
          <w:lang w:val="fr-FR"/>
        </w:rPr>
        <w:t>expulsion</w:t>
      </w:r>
      <w:r w:rsidRPr="00E5454F">
        <w:rPr>
          <w:lang w:val="fr-FR"/>
        </w:rPr>
        <w:t>; en outre, peu de Roms intègrent le marché du travail et nombre d</w:t>
      </w:r>
      <w:r w:rsidR="00FF648A">
        <w:rPr>
          <w:lang w:val="fr-FR"/>
        </w:rPr>
        <w:t>’</w:t>
      </w:r>
      <w:r w:rsidRPr="00E5454F">
        <w:rPr>
          <w:lang w:val="fr-FR"/>
        </w:rPr>
        <w:t>enfants roms sont scolarisés dans des établissements d</w:t>
      </w:r>
      <w:r w:rsidR="00FF648A">
        <w:rPr>
          <w:lang w:val="fr-FR"/>
        </w:rPr>
        <w:t>’</w:t>
      </w:r>
      <w:r w:rsidRPr="00E5454F">
        <w:rPr>
          <w:lang w:val="fr-FR"/>
        </w:rPr>
        <w:t>enseignement spécialisés. Le Comité est également préoccupé par les stéréotypes dont cette communauté continue de faire l</w:t>
      </w:r>
      <w:r w:rsidR="00FF648A">
        <w:rPr>
          <w:lang w:val="fr-FR"/>
        </w:rPr>
        <w:t>’</w:t>
      </w:r>
      <w:r w:rsidRPr="00E5454F">
        <w:rPr>
          <w:lang w:val="fr-FR"/>
        </w:rPr>
        <w:t>objet et par la discrimination dont elle est encore victime (art. 2 à 7).</w:t>
      </w:r>
    </w:p>
    <w:p w:rsidR="00CF0E66" w:rsidRPr="00E5454F" w:rsidRDefault="00C97511" w:rsidP="00E5454F">
      <w:pPr>
        <w:pStyle w:val="SingleTxtG"/>
        <w:spacing w:after="100" w:line="238" w:lineRule="exact"/>
        <w:rPr>
          <w:b/>
          <w:spacing w:val="-2"/>
          <w:lang w:val="fr-FR" w:eastAsia="en-GB"/>
        </w:rPr>
      </w:pPr>
      <w:r w:rsidRPr="00E5454F">
        <w:rPr>
          <w:b/>
          <w:spacing w:val="-2"/>
          <w:lang w:val="fr-FR"/>
        </w:rPr>
        <w:t>À</w:t>
      </w:r>
      <w:r w:rsidR="00CF0E66" w:rsidRPr="00E5454F">
        <w:rPr>
          <w:b/>
          <w:spacing w:val="-2"/>
          <w:lang w:val="fr-FR"/>
        </w:rPr>
        <w:t xml:space="preserve"> la lumière de sa Recommandation générale</w:t>
      </w:r>
      <w:r w:rsidRPr="00E5454F">
        <w:rPr>
          <w:b/>
          <w:spacing w:val="-2"/>
          <w:lang w:val="fr-FR"/>
        </w:rPr>
        <w:t xml:space="preserve"> n</w:t>
      </w:r>
      <w:r w:rsidRPr="00E5454F">
        <w:rPr>
          <w:b/>
          <w:spacing w:val="-2"/>
          <w:vertAlign w:val="superscript"/>
          <w:lang w:val="fr-FR"/>
        </w:rPr>
        <w:t>o</w:t>
      </w:r>
      <w:r w:rsidRPr="00E5454F">
        <w:rPr>
          <w:b/>
          <w:spacing w:val="-2"/>
          <w:lang w:val="fr-FR"/>
        </w:rPr>
        <w:t> 27</w:t>
      </w:r>
      <w:r w:rsidR="001774CF">
        <w:rPr>
          <w:b/>
          <w:spacing w:val="-2"/>
          <w:lang w:val="fr-FR"/>
        </w:rPr>
        <w:t xml:space="preserve"> </w:t>
      </w:r>
      <w:r w:rsidR="00CF0E66" w:rsidRPr="00E5454F">
        <w:rPr>
          <w:b/>
          <w:spacing w:val="-2"/>
          <w:lang w:val="fr-FR"/>
        </w:rPr>
        <w:t>(2000) sur la discrimination à l</w:t>
      </w:r>
      <w:r w:rsidR="00FF648A">
        <w:rPr>
          <w:b/>
          <w:spacing w:val="-2"/>
          <w:lang w:val="fr-FR"/>
        </w:rPr>
        <w:t>’</w:t>
      </w:r>
      <w:r w:rsidR="00CF0E66" w:rsidRPr="00E5454F">
        <w:rPr>
          <w:b/>
          <w:spacing w:val="-2"/>
          <w:lang w:val="fr-FR"/>
        </w:rPr>
        <w:t>égard des Roms, le Comité recommande à l</w:t>
      </w:r>
      <w:r w:rsidR="00FF648A">
        <w:rPr>
          <w:b/>
          <w:spacing w:val="-2"/>
          <w:lang w:val="fr-FR"/>
        </w:rPr>
        <w:t>’</w:t>
      </w:r>
      <w:r w:rsidR="00CF0E66" w:rsidRPr="00E5454F">
        <w:rPr>
          <w:b/>
          <w:spacing w:val="-2"/>
          <w:lang w:val="fr-FR"/>
        </w:rPr>
        <w:t>État partie d</w:t>
      </w:r>
      <w:r w:rsidR="00FF648A">
        <w:rPr>
          <w:b/>
          <w:spacing w:val="-2"/>
          <w:lang w:val="fr-FR"/>
        </w:rPr>
        <w:t>’</w:t>
      </w:r>
      <w:r w:rsidR="00CF0E66" w:rsidRPr="00E5454F">
        <w:rPr>
          <w:b/>
          <w:spacing w:val="-2"/>
          <w:lang w:val="fr-FR" w:eastAsia="en-GB"/>
        </w:rPr>
        <w:t>intensifier les mesures spéciales adoptées pour promouvoir les droits économiques, sociaux et culturels de la communauté rom, et notamment de veiller à ce que toutes les politiques et tous les programmes concernant les Roms soient élaborés, mis en œuvre, suivis et évalués avec la pleine participation des organisations qui les représentent. Dans cette optique, l</w:t>
      </w:r>
      <w:r w:rsidR="00FF648A">
        <w:rPr>
          <w:b/>
          <w:spacing w:val="-2"/>
          <w:lang w:val="fr-FR" w:eastAsia="en-GB"/>
        </w:rPr>
        <w:t>’</w:t>
      </w:r>
      <w:r w:rsidR="00CF0E66" w:rsidRPr="00E5454F">
        <w:rPr>
          <w:b/>
          <w:spacing w:val="-2"/>
          <w:lang w:val="fr-FR" w:eastAsia="en-GB"/>
        </w:rPr>
        <w:t>État partie devrait accélérer l</w:t>
      </w:r>
      <w:r w:rsidR="00FF648A">
        <w:rPr>
          <w:b/>
          <w:spacing w:val="-2"/>
          <w:lang w:val="fr-FR" w:eastAsia="en-GB"/>
        </w:rPr>
        <w:t>’</w:t>
      </w:r>
      <w:r w:rsidR="00CF0E66" w:rsidRPr="00E5454F">
        <w:rPr>
          <w:b/>
          <w:spacing w:val="-2"/>
          <w:lang w:val="fr-FR" w:eastAsia="en-GB"/>
        </w:rPr>
        <w:t xml:space="preserve">adoption du nouveau </w:t>
      </w:r>
      <w:r w:rsidR="00CF0E66" w:rsidRPr="00E5454F">
        <w:rPr>
          <w:b/>
          <w:spacing w:val="-2"/>
          <w:lang w:val="fr-FR"/>
        </w:rPr>
        <w:t>programme en faveur de la communauté rom pour la période 2014</w:t>
      </w:r>
      <w:r w:rsidR="000473FA" w:rsidRPr="00E5454F">
        <w:rPr>
          <w:b/>
          <w:spacing w:val="-2"/>
          <w:lang w:val="fr-FR"/>
        </w:rPr>
        <w:t>-</w:t>
      </w:r>
      <w:r w:rsidR="00CF0E66" w:rsidRPr="00E5454F">
        <w:rPr>
          <w:b/>
          <w:spacing w:val="-2"/>
          <w:lang w:val="fr-FR"/>
        </w:rPr>
        <w:t>2020 et veiller à ce que des mesures concrètes soient prises pour améliorer les conditions de vie des Roms</w:t>
      </w:r>
      <w:r w:rsidR="00CF0E66" w:rsidRPr="00E5454F">
        <w:rPr>
          <w:b/>
          <w:spacing w:val="-2"/>
          <w:lang w:val="fr-FR" w:eastAsia="en-GB"/>
        </w:rPr>
        <w:t>, notamment leur accès aux établissements d</w:t>
      </w:r>
      <w:r w:rsidR="00FF648A">
        <w:rPr>
          <w:b/>
          <w:spacing w:val="-2"/>
          <w:lang w:val="fr-FR" w:eastAsia="en-GB"/>
        </w:rPr>
        <w:t>’</w:t>
      </w:r>
      <w:r w:rsidR="00CF0E66" w:rsidRPr="00E5454F">
        <w:rPr>
          <w:b/>
          <w:spacing w:val="-2"/>
          <w:lang w:val="fr-FR" w:eastAsia="en-GB"/>
        </w:rPr>
        <w:t>enseignement ordinaires et à l</w:t>
      </w:r>
      <w:r w:rsidR="00FF648A">
        <w:rPr>
          <w:b/>
          <w:spacing w:val="-2"/>
          <w:lang w:val="fr-FR" w:eastAsia="en-GB"/>
        </w:rPr>
        <w:t>’</w:t>
      </w:r>
      <w:r w:rsidR="00CF0E66" w:rsidRPr="00E5454F">
        <w:rPr>
          <w:b/>
          <w:spacing w:val="-2"/>
          <w:lang w:val="fr-FR" w:eastAsia="en-GB"/>
        </w:rPr>
        <w:t>enseignement supérieur, à des logements adéquats, aux services de santé et à l</w:t>
      </w:r>
      <w:r w:rsidR="00FF648A">
        <w:rPr>
          <w:b/>
          <w:spacing w:val="-2"/>
          <w:lang w:val="fr-FR" w:eastAsia="en-GB"/>
        </w:rPr>
        <w:t>’</w:t>
      </w:r>
      <w:r w:rsidR="00CF0E66" w:rsidRPr="00E5454F">
        <w:rPr>
          <w:b/>
          <w:spacing w:val="-2"/>
          <w:lang w:val="fr-FR" w:eastAsia="en-GB"/>
        </w:rPr>
        <w:t xml:space="preserve">emploi. De nouvelles mesures devraient être prises pour remédier aux causes profondes de la pauvreté et de la marginalisation de la communauté rom, notamment pour lutter contre toute discrimination indirecte dont celle-ci pourrait être victime, et pour promouvoir les droits des femmes roms, qui subissent souvent une double discrimination, en tenant compte de la Recommandation générale </w:t>
      </w:r>
      <w:r w:rsidRPr="00E5454F">
        <w:rPr>
          <w:b/>
          <w:spacing w:val="-2"/>
          <w:lang w:val="fr-FR" w:eastAsia="en-GB"/>
        </w:rPr>
        <w:t>n</w:t>
      </w:r>
      <w:r w:rsidRPr="00E5454F">
        <w:rPr>
          <w:b/>
          <w:spacing w:val="-2"/>
          <w:vertAlign w:val="superscript"/>
          <w:lang w:val="fr-FR" w:eastAsia="en-GB"/>
        </w:rPr>
        <w:t>o</w:t>
      </w:r>
      <w:r w:rsidRPr="00E5454F">
        <w:rPr>
          <w:b/>
          <w:spacing w:val="-2"/>
          <w:lang w:val="fr-FR" w:eastAsia="en-GB"/>
        </w:rPr>
        <w:t> 25</w:t>
      </w:r>
      <w:r w:rsidR="00CF0E66" w:rsidRPr="00E5454F">
        <w:rPr>
          <w:b/>
          <w:spacing w:val="-2"/>
          <w:lang w:val="fr-FR" w:eastAsia="en-GB"/>
        </w:rPr>
        <w:t xml:space="preserve"> (2000) </w:t>
      </w:r>
      <w:r w:rsidRPr="00E5454F">
        <w:rPr>
          <w:b/>
          <w:spacing w:val="-2"/>
        </w:rPr>
        <w:t>sur</w:t>
      </w:r>
      <w:r w:rsidR="00CF0E66" w:rsidRPr="00E5454F">
        <w:rPr>
          <w:b/>
          <w:spacing w:val="-2"/>
        </w:rPr>
        <w:t xml:space="preserve"> la dimension sexiste de la</w:t>
      </w:r>
      <w:r w:rsidR="00E5454F" w:rsidRPr="00E5454F">
        <w:rPr>
          <w:b/>
          <w:spacing w:val="-2"/>
        </w:rPr>
        <w:t> </w:t>
      </w:r>
      <w:r w:rsidR="00CF0E66" w:rsidRPr="00E5454F">
        <w:rPr>
          <w:b/>
          <w:spacing w:val="-2"/>
        </w:rPr>
        <w:t>discrimination raciale</w:t>
      </w:r>
      <w:r w:rsidR="00CF0E66" w:rsidRPr="00E5454F">
        <w:rPr>
          <w:b/>
          <w:spacing w:val="-2"/>
          <w:lang w:val="fr-FR" w:eastAsia="en-GB"/>
        </w:rPr>
        <w:t>.</w:t>
      </w:r>
    </w:p>
    <w:p w:rsidR="000473FA" w:rsidRDefault="00CF0E66" w:rsidP="00E5454F">
      <w:pPr>
        <w:pStyle w:val="H23G"/>
        <w:spacing w:before="220" w:after="100"/>
        <w:rPr>
          <w:lang w:val="fr-FR"/>
        </w:rPr>
      </w:pPr>
      <w:r w:rsidRPr="000F0908">
        <w:rPr>
          <w:lang w:val="fr-FR"/>
        </w:rPr>
        <w:tab/>
      </w:r>
      <w:r w:rsidRPr="000F0908">
        <w:rPr>
          <w:lang w:val="fr-FR"/>
        </w:rPr>
        <w:tab/>
        <w:t xml:space="preserve">Situation </w:t>
      </w:r>
      <w:r>
        <w:rPr>
          <w:lang w:val="fr-FR"/>
        </w:rPr>
        <w:t>de la communauté juive</w:t>
      </w:r>
    </w:p>
    <w:p w:rsidR="00CF0E66" w:rsidRPr="000F0908" w:rsidRDefault="00CF0E66" w:rsidP="00E5454F">
      <w:pPr>
        <w:pStyle w:val="ParNoG"/>
        <w:spacing w:after="100" w:line="238" w:lineRule="exact"/>
        <w:rPr>
          <w:lang w:val="fr-FR"/>
        </w:rPr>
      </w:pPr>
      <w:r>
        <w:rPr>
          <w:lang w:val="fr-FR"/>
        </w:rPr>
        <w:t xml:space="preserve">Compte tenu du drame vécu par la communauté juive de </w:t>
      </w:r>
      <w:r w:rsidRPr="000F0908">
        <w:rPr>
          <w:lang w:val="fr-FR"/>
        </w:rPr>
        <w:t>Pol</w:t>
      </w:r>
      <w:r>
        <w:rPr>
          <w:lang w:val="fr-FR"/>
        </w:rPr>
        <w:t xml:space="preserve">ogne, qui a été quasi exterminée, en particulier </w:t>
      </w:r>
      <w:r w:rsidR="00C97511">
        <w:rPr>
          <w:lang w:val="fr-FR"/>
        </w:rPr>
        <w:t>sous</w:t>
      </w:r>
      <w:r>
        <w:rPr>
          <w:lang w:val="fr-FR"/>
        </w:rPr>
        <w:t xml:space="preserve"> l</w:t>
      </w:r>
      <w:r w:rsidR="00FF648A">
        <w:rPr>
          <w:lang w:val="fr-FR"/>
        </w:rPr>
        <w:t>’</w:t>
      </w:r>
      <w:r>
        <w:rPr>
          <w:lang w:val="fr-FR"/>
        </w:rPr>
        <w:t>occupation pendant la Seconde Guerre mondiale</w:t>
      </w:r>
      <w:r w:rsidRPr="000F0908">
        <w:rPr>
          <w:lang w:val="fr-FR"/>
        </w:rPr>
        <w:t xml:space="preserve">, </w:t>
      </w:r>
      <w:r>
        <w:rPr>
          <w:lang w:val="fr-FR"/>
        </w:rPr>
        <w:t>l</w:t>
      </w:r>
      <w:r w:rsidRPr="000F0908">
        <w:rPr>
          <w:lang w:val="fr-FR"/>
        </w:rPr>
        <w:t>e Comit</w:t>
      </w:r>
      <w:r>
        <w:rPr>
          <w:lang w:val="fr-FR"/>
        </w:rPr>
        <w:t>é est préoccupé par l</w:t>
      </w:r>
      <w:r w:rsidR="00FF648A">
        <w:rPr>
          <w:lang w:val="fr-FR"/>
        </w:rPr>
        <w:t>’</w:t>
      </w:r>
      <w:r>
        <w:rPr>
          <w:lang w:val="fr-FR"/>
        </w:rPr>
        <w:t xml:space="preserve">antisémitisme qui subsiste </w:t>
      </w:r>
      <w:r w:rsidR="002845BA">
        <w:rPr>
          <w:lang w:val="fr-FR"/>
        </w:rPr>
        <w:t>dans</w:t>
      </w:r>
      <w:r>
        <w:rPr>
          <w:lang w:val="fr-FR"/>
        </w:rPr>
        <w:t xml:space="preserve"> la société polonaise et par les actes antisémites qui continuent d</w:t>
      </w:r>
      <w:r w:rsidR="00FF648A">
        <w:rPr>
          <w:lang w:val="fr-FR"/>
        </w:rPr>
        <w:t>’</w:t>
      </w:r>
      <w:r>
        <w:rPr>
          <w:lang w:val="fr-FR"/>
        </w:rPr>
        <w:t>être commis</w:t>
      </w:r>
      <w:r w:rsidRPr="000F0908">
        <w:rPr>
          <w:lang w:val="fr-FR"/>
        </w:rPr>
        <w:t xml:space="preserve">, </w:t>
      </w:r>
      <w:r>
        <w:rPr>
          <w:lang w:val="fr-FR"/>
        </w:rPr>
        <w:t>en dépit des nombreuses initiatives prises pour lutter contre ce phénomène</w:t>
      </w:r>
      <w:r w:rsidRPr="000F0908">
        <w:rPr>
          <w:lang w:val="fr-FR"/>
        </w:rPr>
        <w:t xml:space="preserve">. </w:t>
      </w:r>
      <w:r>
        <w:rPr>
          <w:lang w:val="fr-FR"/>
        </w:rPr>
        <w:t>Il note également avec inquiétude les informations qui lui ont été communiquées concernant l</w:t>
      </w:r>
      <w:r w:rsidR="00FF648A">
        <w:rPr>
          <w:lang w:val="fr-FR"/>
        </w:rPr>
        <w:t>’</w:t>
      </w:r>
      <w:r>
        <w:rPr>
          <w:lang w:val="fr-FR"/>
        </w:rPr>
        <w:t xml:space="preserve">attitude de certaines autorités polonaises, qui ont mis fin à </w:t>
      </w:r>
      <w:r w:rsidR="002845BA">
        <w:rPr>
          <w:lang w:val="fr-FR"/>
        </w:rPr>
        <w:t>des</w:t>
      </w:r>
      <w:r>
        <w:rPr>
          <w:lang w:val="fr-FR"/>
        </w:rPr>
        <w:t xml:space="preserve"> enquêtes menées sur des actes d</w:t>
      </w:r>
      <w:r w:rsidR="00FF648A">
        <w:rPr>
          <w:lang w:val="fr-FR"/>
        </w:rPr>
        <w:t>’</w:t>
      </w:r>
      <w:r>
        <w:rPr>
          <w:lang w:val="fr-FR"/>
        </w:rPr>
        <w:t>antisémitisme au motif que la victime n</w:t>
      </w:r>
      <w:r w:rsidR="00FF648A">
        <w:rPr>
          <w:lang w:val="fr-FR"/>
        </w:rPr>
        <w:t>’</w:t>
      </w:r>
      <w:r>
        <w:rPr>
          <w:lang w:val="fr-FR"/>
        </w:rPr>
        <w:t>appartenait pas à la communauté juive (</w:t>
      </w:r>
      <w:r w:rsidR="00FF648A">
        <w:rPr>
          <w:lang w:val="fr-FR"/>
        </w:rPr>
        <w:t>art. </w:t>
      </w:r>
      <w:r w:rsidRPr="000F0908">
        <w:rPr>
          <w:lang w:val="fr-FR"/>
        </w:rPr>
        <w:t xml:space="preserve">4 </w:t>
      </w:r>
      <w:r>
        <w:rPr>
          <w:lang w:val="fr-FR"/>
        </w:rPr>
        <w:t>et</w:t>
      </w:r>
      <w:r w:rsidRPr="000F0908">
        <w:rPr>
          <w:lang w:val="fr-FR"/>
        </w:rPr>
        <w:t xml:space="preserve"> 6).</w:t>
      </w:r>
    </w:p>
    <w:p w:rsidR="000473FA" w:rsidRDefault="00CF0E66" w:rsidP="00E5454F">
      <w:pPr>
        <w:pStyle w:val="SingleTxtG"/>
        <w:spacing w:after="100" w:line="238" w:lineRule="exact"/>
        <w:rPr>
          <w:b/>
        </w:rPr>
      </w:pPr>
      <w:r>
        <w:rPr>
          <w:b/>
        </w:rPr>
        <w:t xml:space="preserve">Compte tenu du drame vécu par la communauté juive de Pologne, en particulier </w:t>
      </w:r>
      <w:r w:rsidR="002845BA">
        <w:rPr>
          <w:b/>
        </w:rPr>
        <w:t>sous</w:t>
      </w:r>
      <w:r>
        <w:rPr>
          <w:b/>
        </w:rPr>
        <w:t xml:space="preserve"> l</w:t>
      </w:r>
      <w:r w:rsidR="00FF648A">
        <w:rPr>
          <w:b/>
        </w:rPr>
        <w:t>’</w:t>
      </w:r>
      <w:r>
        <w:rPr>
          <w:b/>
        </w:rPr>
        <w:t>occupation pendant la Seconde Guerre mondiale, le Comité recommande à l</w:t>
      </w:r>
      <w:r w:rsidR="00FF648A">
        <w:rPr>
          <w:b/>
        </w:rPr>
        <w:t>’</w:t>
      </w:r>
      <w:r>
        <w:rPr>
          <w:b/>
        </w:rPr>
        <w:t>État partie de redoubler d</w:t>
      </w:r>
      <w:r w:rsidR="00FF648A">
        <w:rPr>
          <w:b/>
        </w:rPr>
        <w:t>’</w:t>
      </w:r>
      <w:r>
        <w:rPr>
          <w:b/>
        </w:rPr>
        <w:t>efforts pour lutter contre l</w:t>
      </w:r>
      <w:r w:rsidR="00FF648A">
        <w:rPr>
          <w:b/>
        </w:rPr>
        <w:t>’</w:t>
      </w:r>
      <w:r>
        <w:rPr>
          <w:b/>
        </w:rPr>
        <w:t>antisémitisme et poursuivre efficacement les auteurs d</w:t>
      </w:r>
      <w:r w:rsidR="00FF648A">
        <w:rPr>
          <w:b/>
        </w:rPr>
        <w:t>’</w:t>
      </w:r>
      <w:r>
        <w:rPr>
          <w:b/>
        </w:rPr>
        <w:t>actes antisémites, et notamment de faire entendre aux procureurs et aux juges que la législation et les dispositions de la Convention doivent être strictement appliquées</w:t>
      </w:r>
      <w:r w:rsidRPr="001526ED">
        <w:rPr>
          <w:b/>
        </w:rPr>
        <w:t>.</w:t>
      </w:r>
    </w:p>
    <w:p w:rsidR="000473FA" w:rsidRDefault="00CF0E66" w:rsidP="00E5454F">
      <w:pPr>
        <w:pStyle w:val="H23G"/>
        <w:spacing w:before="220" w:after="100"/>
      </w:pPr>
      <w:r>
        <w:tab/>
      </w:r>
      <w:r>
        <w:tab/>
      </w:r>
      <w:r w:rsidRPr="00A20B9E">
        <w:rPr>
          <w:lang w:val="fr-FR"/>
        </w:rPr>
        <w:t>Discrimination</w:t>
      </w:r>
      <w:r w:rsidRPr="001526ED">
        <w:t xml:space="preserve"> </w:t>
      </w:r>
      <w:r>
        <w:t>à l</w:t>
      </w:r>
      <w:r w:rsidR="00FF648A">
        <w:t>’</w:t>
      </w:r>
      <w:r>
        <w:t>égard des</w:t>
      </w:r>
      <w:r w:rsidRPr="001526ED">
        <w:t xml:space="preserve"> non-</w:t>
      </w:r>
      <w:r>
        <w:t>ressortissants</w:t>
      </w:r>
    </w:p>
    <w:p w:rsidR="00CF0E66" w:rsidRPr="00B53ECC" w:rsidRDefault="00CF0E66" w:rsidP="00E5454F">
      <w:pPr>
        <w:pStyle w:val="ParNoG"/>
        <w:spacing w:after="100" w:line="238" w:lineRule="exact"/>
      </w:pPr>
      <w:r w:rsidRPr="00B53ECC">
        <w:t>Le Comité note avec inquiétude que les mineurs sont toujours détenus avec leurs parents dans les centres de rétention pour demandeurs d</w:t>
      </w:r>
      <w:r w:rsidR="00FF648A">
        <w:t>’</w:t>
      </w:r>
      <w:r w:rsidRPr="00B53ECC">
        <w:t xml:space="preserve">asile, ce qui les empêche de recevoir </w:t>
      </w:r>
      <w:r w:rsidR="002845BA">
        <w:t>une instruction</w:t>
      </w:r>
      <w:r w:rsidRPr="00B53ECC">
        <w:t>. Il est également préoccupé d</w:t>
      </w:r>
      <w:r w:rsidR="00FF648A">
        <w:t>’</w:t>
      </w:r>
      <w:r w:rsidRPr="00B53ECC">
        <w:t>apprendre que les non-ressortissants, en particulier les migrants et les réfugiés, sont victimes de discrimination sur le marché du travail, qu</w:t>
      </w:r>
      <w:r w:rsidR="00FF648A">
        <w:t>’</w:t>
      </w:r>
      <w:r w:rsidRPr="00B53ECC">
        <w:t>ils seraient moins bien rémunérés et travailleraient plus d</w:t>
      </w:r>
      <w:r w:rsidR="00FF648A">
        <w:t>’</w:t>
      </w:r>
      <w:r w:rsidRPr="00B53ECC">
        <w:t>heures sans contrat officiel et qu</w:t>
      </w:r>
      <w:r w:rsidR="00FF648A">
        <w:t>’</w:t>
      </w:r>
      <w:r w:rsidRPr="00B53ECC">
        <w:t>ils sont victimes de discrimination en matière de logement, les propriétaires étant souvent réticents à louer leur appartement à des ressortissants étrangers ou à signer des contrats avec eux (</w:t>
      </w:r>
      <w:r w:rsidR="00FF648A">
        <w:t>art. </w:t>
      </w:r>
      <w:r w:rsidRPr="00B53ECC">
        <w:t>5 et 6).</w:t>
      </w:r>
    </w:p>
    <w:p w:rsidR="00CF0E66" w:rsidRPr="006D6A41" w:rsidRDefault="00CF0E66" w:rsidP="00A20B9E">
      <w:pPr>
        <w:pStyle w:val="SingleTxtG"/>
        <w:rPr>
          <w:b/>
          <w:lang w:val="fr-FR"/>
        </w:rPr>
      </w:pPr>
      <w:r>
        <w:rPr>
          <w:b/>
          <w:lang w:val="fr-FR"/>
        </w:rPr>
        <w:t>Le Co</w:t>
      </w:r>
      <w:r w:rsidRPr="006D6A41">
        <w:rPr>
          <w:b/>
          <w:lang w:val="fr-FR"/>
        </w:rPr>
        <w:t>mit</w:t>
      </w:r>
      <w:r>
        <w:rPr>
          <w:b/>
          <w:lang w:val="fr-FR"/>
        </w:rPr>
        <w:t>é recommande à l</w:t>
      </w:r>
      <w:r w:rsidR="00FF648A">
        <w:rPr>
          <w:b/>
          <w:lang w:val="fr-FR"/>
        </w:rPr>
        <w:t>’</w:t>
      </w:r>
      <w:r>
        <w:rPr>
          <w:b/>
          <w:lang w:val="fr-FR"/>
        </w:rPr>
        <w:t>État partie de s</w:t>
      </w:r>
      <w:r w:rsidR="00FF648A">
        <w:rPr>
          <w:b/>
          <w:lang w:val="fr-FR"/>
        </w:rPr>
        <w:t>’</w:t>
      </w:r>
      <w:r>
        <w:rPr>
          <w:b/>
          <w:lang w:val="fr-FR"/>
        </w:rPr>
        <w:t>abstenir de placer les demandeurs d</w:t>
      </w:r>
      <w:r w:rsidR="00FF648A">
        <w:rPr>
          <w:b/>
          <w:lang w:val="fr-FR"/>
        </w:rPr>
        <w:t>’</w:t>
      </w:r>
      <w:r>
        <w:rPr>
          <w:b/>
          <w:lang w:val="fr-FR"/>
        </w:rPr>
        <w:t>asile mineurs en rétention administrative et d</w:t>
      </w:r>
      <w:r w:rsidR="00FF648A">
        <w:rPr>
          <w:b/>
          <w:lang w:val="fr-FR"/>
        </w:rPr>
        <w:t>’</w:t>
      </w:r>
      <w:r>
        <w:rPr>
          <w:b/>
          <w:lang w:val="fr-FR"/>
        </w:rPr>
        <w:t>appliquer pleinement la loi modifiée sur le système éducatif de façon à remédier aux difficultés que ceux-ci rencontrent en matière d</w:t>
      </w:r>
      <w:r w:rsidR="00FF648A">
        <w:rPr>
          <w:b/>
          <w:lang w:val="fr-FR"/>
        </w:rPr>
        <w:t>’</w:t>
      </w:r>
      <w:r>
        <w:rPr>
          <w:b/>
          <w:lang w:val="fr-FR"/>
        </w:rPr>
        <w:t>enseignement en leur proposant des cours de langues ou un soutien scolaire dans leur langue maternelle</w:t>
      </w:r>
      <w:r w:rsidRPr="006D6A41">
        <w:rPr>
          <w:b/>
          <w:lang w:val="fr-FR"/>
        </w:rPr>
        <w:t xml:space="preserve">. </w:t>
      </w:r>
      <w:r w:rsidR="005D68BC">
        <w:rPr>
          <w:b/>
          <w:lang w:val="fr-FR"/>
        </w:rPr>
        <w:t>À</w:t>
      </w:r>
      <w:r>
        <w:rPr>
          <w:b/>
          <w:lang w:val="fr-FR"/>
        </w:rPr>
        <w:t xml:space="preserve"> la lumière de sa Recomma</w:t>
      </w:r>
      <w:r w:rsidRPr="006D6A41">
        <w:rPr>
          <w:b/>
          <w:lang w:val="fr-FR"/>
        </w:rPr>
        <w:t>ndation</w:t>
      </w:r>
      <w:r>
        <w:rPr>
          <w:b/>
          <w:lang w:val="fr-FR"/>
        </w:rPr>
        <w:t xml:space="preserve"> générale </w:t>
      </w:r>
      <w:r w:rsidR="002845BA" w:rsidRPr="002845BA">
        <w:rPr>
          <w:b/>
          <w:lang w:val="fr-FR"/>
        </w:rPr>
        <w:t>n</w:t>
      </w:r>
      <w:r w:rsidR="002845BA" w:rsidRPr="002845BA">
        <w:rPr>
          <w:b/>
          <w:vertAlign w:val="superscript"/>
          <w:lang w:val="fr-FR"/>
        </w:rPr>
        <w:t>o</w:t>
      </w:r>
      <w:r w:rsidR="002845BA">
        <w:rPr>
          <w:b/>
          <w:lang w:val="fr-FR"/>
        </w:rPr>
        <w:t xml:space="preserve"> 30 </w:t>
      </w:r>
      <w:r w:rsidRPr="001774CF">
        <w:rPr>
          <w:b/>
          <w:spacing w:val="-2"/>
          <w:lang w:val="fr-FR"/>
        </w:rPr>
        <w:t xml:space="preserve">(2004) </w:t>
      </w:r>
      <w:r w:rsidR="002845BA" w:rsidRPr="001774CF">
        <w:rPr>
          <w:b/>
          <w:spacing w:val="-2"/>
          <w:lang w:val="fr-FR"/>
        </w:rPr>
        <w:t>sur</w:t>
      </w:r>
      <w:r w:rsidRPr="001774CF">
        <w:rPr>
          <w:b/>
          <w:spacing w:val="-2"/>
          <w:lang w:val="fr-FR"/>
        </w:rPr>
        <w:t xml:space="preserve"> la discrimination contre les non-ressortissants, il lui recommande également</w:t>
      </w:r>
      <w:r>
        <w:rPr>
          <w:b/>
          <w:lang w:val="fr-FR"/>
        </w:rPr>
        <w:t xml:space="preserve"> de faire tomber les </w:t>
      </w:r>
      <w:r w:rsidRPr="006D6A41">
        <w:rPr>
          <w:b/>
          <w:lang w:val="fr-FR"/>
        </w:rPr>
        <w:t>obstacles</w:t>
      </w:r>
      <w:r>
        <w:rPr>
          <w:b/>
          <w:lang w:val="fr-FR"/>
        </w:rPr>
        <w:t xml:space="preserve"> à la jouissance, par les non-ressortissants, des droits économiques, sociaux et culturels et </w:t>
      </w:r>
      <w:r w:rsidRPr="006D6A41">
        <w:rPr>
          <w:b/>
          <w:lang w:val="fr-FR"/>
        </w:rPr>
        <w:t>d</w:t>
      </w:r>
      <w:r>
        <w:rPr>
          <w:b/>
          <w:lang w:val="fr-FR"/>
        </w:rPr>
        <w:t>e redoubler d</w:t>
      </w:r>
      <w:r w:rsidR="00FF648A">
        <w:rPr>
          <w:b/>
          <w:lang w:val="fr-FR"/>
        </w:rPr>
        <w:t>’</w:t>
      </w:r>
      <w:r>
        <w:rPr>
          <w:b/>
          <w:lang w:val="fr-FR"/>
        </w:rPr>
        <w:t>efforts pour appliquer la législation et la Convention de façon à lutter contre la discrimination raciale directe ou indirecte dont ceux-ci sont victimes, en particulier dans les domaines de l</w:t>
      </w:r>
      <w:r w:rsidR="00FF648A">
        <w:rPr>
          <w:b/>
          <w:lang w:val="fr-FR"/>
        </w:rPr>
        <w:t>’</w:t>
      </w:r>
      <w:r>
        <w:rPr>
          <w:b/>
          <w:lang w:val="fr-FR"/>
        </w:rPr>
        <w:t>enseignement, du logement et de l</w:t>
      </w:r>
      <w:r w:rsidR="00FF648A">
        <w:rPr>
          <w:b/>
          <w:lang w:val="fr-FR"/>
        </w:rPr>
        <w:t>’</w:t>
      </w:r>
      <w:r>
        <w:rPr>
          <w:b/>
          <w:lang w:val="fr-FR"/>
        </w:rPr>
        <w:t>emploi</w:t>
      </w:r>
      <w:r w:rsidRPr="006D6A41">
        <w:rPr>
          <w:b/>
          <w:lang w:val="fr-FR"/>
        </w:rPr>
        <w:t>.</w:t>
      </w:r>
    </w:p>
    <w:p w:rsidR="000473FA" w:rsidRDefault="00CF0E66" w:rsidP="00A20B9E">
      <w:pPr>
        <w:pStyle w:val="H1G"/>
        <w:rPr>
          <w:lang w:val="fr-FR"/>
        </w:rPr>
      </w:pPr>
      <w:r w:rsidRPr="006D6A41">
        <w:rPr>
          <w:lang w:val="fr-FR"/>
        </w:rPr>
        <w:tab/>
        <w:t>D.</w:t>
      </w:r>
      <w:r w:rsidRPr="006D6A41">
        <w:rPr>
          <w:lang w:val="fr-FR"/>
        </w:rPr>
        <w:tab/>
      </w:r>
      <w:r>
        <w:rPr>
          <w:lang w:val="fr-FR"/>
        </w:rPr>
        <w:t>Autres</w:t>
      </w:r>
      <w:r w:rsidRPr="006D6A41">
        <w:rPr>
          <w:lang w:val="fr-FR"/>
        </w:rPr>
        <w:t xml:space="preserve"> recommandations</w:t>
      </w:r>
    </w:p>
    <w:p w:rsidR="00CF0E66" w:rsidRPr="006D6A41" w:rsidRDefault="00CF0E66" w:rsidP="00A20B9E">
      <w:pPr>
        <w:pStyle w:val="H23G"/>
        <w:rPr>
          <w:color w:val="000000"/>
          <w:lang w:val="fr-FR"/>
        </w:rPr>
      </w:pPr>
      <w:r w:rsidRPr="006D6A41">
        <w:rPr>
          <w:color w:val="000000"/>
          <w:lang w:val="fr-FR"/>
        </w:rPr>
        <w:tab/>
      </w:r>
      <w:r w:rsidRPr="006D6A41">
        <w:rPr>
          <w:color w:val="000000"/>
          <w:lang w:val="fr-FR"/>
        </w:rPr>
        <w:tab/>
      </w:r>
      <w:r w:rsidRPr="00A20B9E">
        <w:rPr>
          <w:lang w:val="fr-FR"/>
        </w:rPr>
        <w:t>Ratification</w:t>
      </w:r>
      <w:r w:rsidRPr="006D6A41">
        <w:rPr>
          <w:color w:val="000000"/>
          <w:lang w:val="fr-FR"/>
        </w:rPr>
        <w:t xml:space="preserve"> </w:t>
      </w:r>
      <w:r>
        <w:rPr>
          <w:color w:val="000000"/>
          <w:lang w:val="fr-FR"/>
        </w:rPr>
        <w:t>d</w:t>
      </w:r>
      <w:r w:rsidR="00FF648A">
        <w:rPr>
          <w:color w:val="000000"/>
          <w:lang w:val="fr-FR"/>
        </w:rPr>
        <w:t>’</w:t>
      </w:r>
      <w:r>
        <w:rPr>
          <w:color w:val="000000"/>
          <w:lang w:val="fr-FR"/>
        </w:rPr>
        <w:t>autres instruments</w:t>
      </w:r>
    </w:p>
    <w:p w:rsidR="000473FA" w:rsidRDefault="00CF0E66" w:rsidP="00A20B9E">
      <w:pPr>
        <w:pStyle w:val="ParNoG"/>
        <w:rPr>
          <w:bCs/>
        </w:rPr>
      </w:pPr>
      <w:r w:rsidRPr="00B53ECC">
        <w:t>Compte tenu de l</w:t>
      </w:r>
      <w:r w:rsidR="00FF648A">
        <w:t>’</w:t>
      </w:r>
      <w:r w:rsidRPr="00B53ECC">
        <w:t>indivisibilité de tous les droits de l</w:t>
      </w:r>
      <w:r w:rsidR="00FF648A">
        <w:t>’</w:t>
      </w:r>
      <w:r w:rsidRPr="00B53ECC">
        <w:t>homme, le Comité encourage l</w:t>
      </w:r>
      <w:r w:rsidR="00FF648A">
        <w:t>’</w:t>
      </w:r>
      <w:r w:rsidRPr="00B53ECC">
        <w:t xml:space="preserve">État partie à envisager de ratifier les </w:t>
      </w:r>
      <w:r w:rsidRPr="00A20B9E">
        <w:rPr>
          <w:lang w:val="fr-FR"/>
        </w:rPr>
        <w:t>instruments</w:t>
      </w:r>
      <w:r w:rsidRPr="00B53ECC">
        <w:t xml:space="preserve"> internationaux relatifs aux droits de l</w:t>
      </w:r>
      <w:r w:rsidR="00FF648A">
        <w:t>’</w:t>
      </w:r>
      <w:r w:rsidRPr="00B53ECC">
        <w:t>homme qui ne l</w:t>
      </w:r>
      <w:r w:rsidR="00FF648A">
        <w:t>’</w:t>
      </w:r>
      <w:r w:rsidRPr="00B53ECC">
        <w:t>ont pas encore été, en particulier ceux dont les dispositions se rapportent directement à la question de la discrimination raciale, tels que la Convention internationale sur la protection des droits de tous les travailleurs migrants et des membres de leur famille.</w:t>
      </w:r>
    </w:p>
    <w:p w:rsidR="00CF0E66" w:rsidRPr="006D6A41" w:rsidRDefault="00A20B9E" w:rsidP="00A20B9E">
      <w:pPr>
        <w:pStyle w:val="H23G"/>
        <w:rPr>
          <w:color w:val="000000"/>
          <w:lang w:val="fr-FR"/>
        </w:rPr>
      </w:pPr>
      <w:r>
        <w:rPr>
          <w:color w:val="000000"/>
          <w:lang w:val="fr-FR"/>
        </w:rPr>
        <w:tab/>
      </w:r>
      <w:r>
        <w:rPr>
          <w:color w:val="000000"/>
          <w:lang w:val="fr-FR"/>
        </w:rPr>
        <w:tab/>
      </w:r>
      <w:r w:rsidR="00CF0E66">
        <w:rPr>
          <w:color w:val="000000"/>
          <w:lang w:val="fr-FR"/>
        </w:rPr>
        <w:t>Suite donnée à la Déclaration et au Programme d</w:t>
      </w:r>
      <w:r w:rsidR="00FF648A">
        <w:rPr>
          <w:color w:val="000000"/>
          <w:lang w:val="fr-FR"/>
        </w:rPr>
        <w:t>’</w:t>
      </w:r>
      <w:r w:rsidR="00CF0E66">
        <w:rPr>
          <w:color w:val="000000"/>
          <w:lang w:val="fr-FR"/>
        </w:rPr>
        <w:t>action de Durban</w:t>
      </w:r>
    </w:p>
    <w:p w:rsidR="00CF0E66" w:rsidRPr="00E5454F" w:rsidRDefault="00CF0E66" w:rsidP="00A20B9E">
      <w:pPr>
        <w:pStyle w:val="ParNoG"/>
        <w:rPr>
          <w:spacing w:val="-2"/>
        </w:rPr>
      </w:pPr>
      <w:r w:rsidRPr="00E5454F">
        <w:rPr>
          <w:spacing w:val="-2"/>
        </w:rPr>
        <w:t xml:space="preserve">À la lumière de sa Recommandation générale </w:t>
      </w:r>
      <w:r w:rsidR="002845BA" w:rsidRPr="00E5454F">
        <w:rPr>
          <w:spacing w:val="-2"/>
        </w:rPr>
        <w:t>n</w:t>
      </w:r>
      <w:r w:rsidR="002845BA" w:rsidRPr="00E5454F">
        <w:rPr>
          <w:spacing w:val="-2"/>
          <w:vertAlign w:val="superscript"/>
        </w:rPr>
        <w:t>o</w:t>
      </w:r>
      <w:r w:rsidR="002845BA" w:rsidRPr="00E5454F">
        <w:rPr>
          <w:spacing w:val="-2"/>
        </w:rPr>
        <w:t> 33</w:t>
      </w:r>
      <w:r w:rsidRPr="00E5454F">
        <w:rPr>
          <w:spacing w:val="-2"/>
        </w:rPr>
        <w:t xml:space="preserve"> (2009) sur le suivi de la Conférence d</w:t>
      </w:r>
      <w:r w:rsidR="00FF648A">
        <w:rPr>
          <w:spacing w:val="-2"/>
        </w:rPr>
        <w:t>’</w:t>
      </w:r>
      <w:r w:rsidRPr="00E5454F">
        <w:rPr>
          <w:spacing w:val="-2"/>
        </w:rPr>
        <w:t>examen de Durban, le Comité recommande à l</w:t>
      </w:r>
      <w:r w:rsidR="00FF648A">
        <w:rPr>
          <w:spacing w:val="-2"/>
        </w:rPr>
        <w:t>’</w:t>
      </w:r>
      <w:r w:rsidRPr="00E5454F">
        <w:rPr>
          <w:spacing w:val="-2"/>
        </w:rPr>
        <w:t>État partie de donner effet à la Déclaration et au Programme d</w:t>
      </w:r>
      <w:r w:rsidR="00FF648A">
        <w:rPr>
          <w:spacing w:val="-2"/>
        </w:rPr>
        <w:t>’</w:t>
      </w:r>
      <w:r w:rsidRPr="00E5454F">
        <w:rPr>
          <w:spacing w:val="-2"/>
        </w:rPr>
        <w:t xml:space="preserve">action de Durban adoptés en septembre 2001 par la Conférence mondiale contre le racisme, la discrimination raciale, la xénophobie et </w:t>
      </w:r>
      <w:r w:rsidRPr="00E5454F">
        <w:rPr>
          <w:spacing w:val="-2"/>
          <w:lang w:val="fr-FR"/>
        </w:rPr>
        <w:t>l</w:t>
      </w:r>
      <w:r w:rsidR="00FF648A">
        <w:rPr>
          <w:spacing w:val="-2"/>
          <w:lang w:val="fr-FR"/>
        </w:rPr>
        <w:t>’</w:t>
      </w:r>
      <w:r w:rsidRPr="00E5454F">
        <w:rPr>
          <w:spacing w:val="-2"/>
          <w:lang w:val="fr-FR"/>
        </w:rPr>
        <w:t>intolérance</w:t>
      </w:r>
      <w:r w:rsidRPr="00E5454F">
        <w:rPr>
          <w:spacing w:val="-2"/>
        </w:rPr>
        <w:t xml:space="preserve"> qui y est associée, en tenant compte du Document final de la Conférence d</w:t>
      </w:r>
      <w:r w:rsidR="00FF648A">
        <w:rPr>
          <w:spacing w:val="-2"/>
        </w:rPr>
        <w:t>’</w:t>
      </w:r>
      <w:r w:rsidRPr="00E5454F">
        <w:rPr>
          <w:spacing w:val="-2"/>
        </w:rPr>
        <w:t>examen de Durban, tenue à Genève en avril 2009, quand il applique la Convention. Le Comité demande à l</w:t>
      </w:r>
      <w:r w:rsidR="00FF648A">
        <w:rPr>
          <w:spacing w:val="-2"/>
        </w:rPr>
        <w:t>’</w:t>
      </w:r>
      <w:r w:rsidRPr="00E5454F">
        <w:rPr>
          <w:spacing w:val="-2"/>
        </w:rPr>
        <w:t>État partie de faire figurer dans son prochain rapport périodique des renseignements précis sur les plans d</w:t>
      </w:r>
      <w:r w:rsidR="00FF648A">
        <w:rPr>
          <w:spacing w:val="-2"/>
        </w:rPr>
        <w:t>’</w:t>
      </w:r>
      <w:r w:rsidRPr="00E5454F">
        <w:rPr>
          <w:spacing w:val="-2"/>
        </w:rPr>
        <w:t>action qu</w:t>
      </w:r>
      <w:r w:rsidR="00FF648A">
        <w:rPr>
          <w:spacing w:val="-2"/>
        </w:rPr>
        <w:t>’</w:t>
      </w:r>
      <w:r w:rsidRPr="00E5454F">
        <w:rPr>
          <w:spacing w:val="-2"/>
        </w:rPr>
        <w:t>il aura adoptés et les autres mesures qu</w:t>
      </w:r>
      <w:r w:rsidR="00FF648A">
        <w:rPr>
          <w:spacing w:val="-2"/>
        </w:rPr>
        <w:t>’</w:t>
      </w:r>
      <w:r w:rsidRPr="00E5454F">
        <w:rPr>
          <w:spacing w:val="-2"/>
        </w:rPr>
        <w:t>il aura prises pour appliquer la Déclaration et le Programme d</w:t>
      </w:r>
      <w:r w:rsidR="00FF648A">
        <w:rPr>
          <w:spacing w:val="-2"/>
        </w:rPr>
        <w:t>’</w:t>
      </w:r>
      <w:r w:rsidRPr="00E5454F">
        <w:rPr>
          <w:spacing w:val="-2"/>
        </w:rPr>
        <w:t>action de Durban au niveau national.</w:t>
      </w:r>
    </w:p>
    <w:p w:rsidR="00CF0E66" w:rsidRPr="00FA5DE9" w:rsidRDefault="00CF0E66" w:rsidP="00A20B9E">
      <w:pPr>
        <w:pStyle w:val="H23G"/>
      </w:pPr>
      <w:r>
        <w:tab/>
      </w:r>
      <w:r>
        <w:tab/>
        <w:t xml:space="preserve">Consultations avec les organisations de </w:t>
      </w:r>
      <w:r w:rsidRPr="00FA5DE9">
        <w:t>la société civile</w:t>
      </w:r>
    </w:p>
    <w:p w:rsidR="00CF0E66" w:rsidRPr="00B53ECC" w:rsidRDefault="00CF0E66" w:rsidP="00A20B9E">
      <w:pPr>
        <w:pStyle w:val="ParNoG"/>
      </w:pPr>
      <w:r w:rsidRPr="00FA5DE9">
        <w:t>Le Comité recommande à l</w:t>
      </w:r>
      <w:r w:rsidR="00FF648A">
        <w:t>’</w:t>
      </w:r>
      <w:r w:rsidRPr="00FA5DE9">
        <w:t xml:space="preserve">État partie </w:t>
      </w:r>
      <w:r>
        <w:t>d</w:t>
      </w:r>
      <w:r w:rsidR="00FF648A">
        <w:t>’</w:t>
      </w:r>
      <w:r>
        <w:t xml:space="preserve">engager des consultations et de renforcer </w:t>
      </w:r>
      <w:r w:rsidRPr="00FA5DE9">
        <w:t xml:space="preserve">son dialogue avec les organisations de la société civile </w:t>
      </w:r>
      <w:r>
        <w:t xml:space="preserve">œuvrant dans le domaine de la protection </w:t>
      </w:r>
      <w:r w:rsidRPr="00FA5DE9">
        <w:t>des droits de l</w:t>
      </w:r>
      <w:r w:rsidR="00FF648A">
        <w:t>’</w:t>
      </w:r>
      <w:r w:rsidRPr="00FA5DE9">
        <w:t xml:space="preserve">homme, en particulier </w:t>
      </w:r>
      <w:r>
        <w:t xml:space="preserve">de </w:t>
      </w:r>
      <w:r w:rsidRPr="00FA5DE9">
        <w:t xml:space="preserve">la lutte contre la discrimination raciale, </w:t>
      </w:r>
      <w:r>
        <w:t>dans le cadre de l</w:t>
      </w:r>
      <w:r w:rsidR="00FF648A">
        <w:t>’</w:t>
      </w:r>
      <w:r>
        <w:t xml:space="preserve">application des présentes observations finales et de </w:t>
      </w:r>
      <w:r w:rsidRPr="00FA5DE9">
        <w:t>l</w:t>
      </w:r>
      <w:r w:rsidR="00FF648A">
        <w:t>’</w:t>
      </w:r>
      <w:r w:rsidRPr="00FA5DE9">
        <w:t xml:space="preserve">élaboration </w:t>
      </w:r>
      <w:r>
        <w:t xml:space="preserve">de son </w:t>
      </w:r>
      <w:r w:rsidRPr="00FA5DE9">
        <w:t>prochain rapport périodique</w:t>
      </w:r>
      <w:r w:rsidRPr="00B53ECC">
        <w:t>.</w:t>
      </w:r>
    </w:p>
    <w:p w:rsidR="00CF0E66" w:rsidRPr="006D6A41" w:rsidRDefault="00CF0E66" w:rsidP="00A20B9E">
      <w:pPr>
        <w:pStyle w:val="H23G"/>
        <w:rPr>
          <w:color w:val="000000"/>
          <w:lang w:val="fr-FR"/>
        </w:rPr>
      </w:pPr>
      <w:r w:rsidRPr="006D6A41">
        <w:rPr>
          <w:color w:val="000000"/>
          <w:lang w:val="fr-FR"/>
        </w:rPr>
        <w:tab/>
      </w:r>
      <w:r w:rsidRPr="006D6A41">
        <w:rPr>
          <w:color w:val="000000"/>
          <w:lang w:val="fr-FR"/>
        </w:rPr>
        <w:tab/>
        <w:t>Di</w:t>
      </w:r>
      <w:r>
        <w:rPr>
          <w:color w:val="000000"/>
          <w:lang w:val="fr-FR"/>
        </w:rPr>
        <w:t>ffusion</w:t>
      </w:r>
    </w:p>
    <w:p w:rsidR="000473FA" w:rsidRPr="00E5454F" w:rsidRDefault="00CF0E66" w:rsidP="00A20B9E">
      <w:pPr>
        <w:pStyle w:val="ParNoG"/>
        <w:rPr>
          <w:spacing w:val="-2"/>
        </w:rPr>
      </w:pPr>
      <w:r w:rsidRPr="00E5454F">
        <w:rPr>
          <w:spacing w:val="-2"/>
        </w:rPr>
        <w:t>Le Comité félicite l</w:t>
      </w:r>
      <w:r w:rsidR="00FF648A">
        <w:rPr>
          <w:spacing w:val="-2"/>
        </w:rPr>
        <w:t>’</w:t>
      </w:r>
      <w:r w:rsidRPr="00E5454F">
        <w:rPr>
          <w:spacing w:val="-2"/>
        </w:rPr>
        <w:t>État partie pour ses efforts et lui recommande de faire en sorte que ses rapports soient rendus publics et soient consultables</w:t>
      </w:r>
      <w:r w:rsidR="00D83A39" w:rsidRPr="00E5454F">
        <w:rPr>
          <w:spacing w:val="-2"/>
        </w:rPr>
        <w:t xml:space="preserve"> </w:t>
      </w:r>
      <w:r w:rsidRPr="00E5454F">
        <w:rPr>
          <w:spacing w:val="-2"/>
        </w:rPr>
        <w:t>au moment de leur soumission, et que les observations finales du Comité qui s</w:t>
      </w:r>
      <w:r w:rsidR="00FF648A">
        <w:rPr>
          <w:spacing w:val="-2"/>
        </w:rPr>
        <w:t>’</w:t>
      </w:r>
      <w:r w:rsidRPr="00E5454F">
        <w:rPr>
          <w:spacing w:val="-2"/>
        </w:rPr>
        <w:t xml:space="preserve">y rapportent </w:t>
      </w:r>
      <w:r w:rsidRPr="00E5454F">
        <w:rPr>
          <w:spacing w:val="-2"/>
          <w:lang w:val="fr-FR"/>
        </w:rPr>
        <w:t>continuent</w:t>
      </w:r>
      <w:r w:rsidRPr="00E5454F">
        <w:rPr>
          <w:spacing w:val="-2"/>
        </w:rPr>
        <w:t xml:space="preserve"> d</w:t>
      </w:r>
      <w:r w:rsidR="00FF648A">
        <w:rPr>
          <w:spacing w:val="-2"/>
        </w:rPr>
        <w:t>’</w:t>
      </w:r>
      <w:r w:rsidRPr="00E5454F">
        <w:rPr>
          <w:spacing w:val="-2"/>
        </w:rPr>
        <w:t xml:space="preserve">être largement diffusées dans les langues officielles et les autres langues couramment </w:t>
      </w:r>
      <w:r w:rsidR="002845BA" w:rsidRPr="00E5454F">
        <w:rPr>
          <w:spacing w:val="-2"/>
        </w:rPr>
        <w:t>utilisées</w:t>
      </w:r>
      <w:r w:rsidR="00D83A39" w:rsidRPr="00E5454F">
        <w:rPr>
          <w:spacing w:val="-2"/>
        </w:rPr>
        <w:t xml:space="preserve"> </w:t>
      </w:r>
      <w:r w:rsidRPr="00E5454F">
        <w:rPr>
          <w:spacing w:val="-2"/>
        </w:rPr>
        <w:t>selon qu</w:t>
      </w:r>
      <w:r w:rsidR="00FF648A">
        <w:rPr>
          <w:spacing w:val="-2"/>
        </w:rPr>
        <w:t>’</w:t>
      </w:r>
      <w:r w:rsidRPr="00E5454F">
        <w:rPr>
          <w:spacing w:val="-2"/>
        </w:rPr>
        <w:t>il convient.</w:t>
      </w:r>
    </w:p>
    <w:p w:rsidR="00CF0E66" w:rsidRPr="006D6A41" w:rsidRDefault="00CF0E66" w:rsidP="00A20B9E">
      <w:pPr>
        <w:pStyle w:val="H23G"/>
        <w:rPr>
          <w:color w:val="000000"/>
          <w:lang w:val="fr-FR"/>
        </w:rPr>
      </w:pPr>
      <w:r w:rsidRPr="006D6A41">
        <w:rPr>
          <w:color w:val="000000"/>
          <w:lang w:val="fr-FR"/>
        </w:rPr>
        <w:tab/>
      </w:r>
      <w:r w:rsidRPr="006D6A41">
        <w:rPr>
          <w:color w:val="000000"/>
          <w:lang w:val="fr-FR"/>
        </w:rPr>
        <w:tab/>
      </w:r>
      <w:r w:rsidRPr="00CD38E5">
        <w:t>Suite donnée aux observations finales</w:t>
      </w:r>
    </w:p>
    <w:p w:rsidR="000473FA" w:rsidRPr="00E5454F" w:rsidRDefault="00CF0E66" w:rsidP="00A20B9E">
      <w:pPr>
        <w:pStyle w:val="ParNoG"/>
        <w:rPr>
          <w:spacing w:val="-2"/>
        </w:rPr>
      </w:pPr>
      <w:r w:rsidRPr="00E5454F">
        <w:rPr>
          <w:spacing w:val="-2"/>
        </w:rPr>
        <w:t>Conformément au paragraphe 1 de l</w:t>
      </w:r>
      <w:r w:rsidR="00FF648A">
        <w:rPr>
          <w:spacing w:val="-2"/>
        </w:rPr>
        <w:t>’</w:t>
      </w:r>
      <w:r w:rsidRPr="00E5454F">
        <w:rPr>
          <w:spacing w:val="-2"/>
        </w:rPr>
        <w:t>article 9 de la Convention et à l</w:t>
      </w:r>
      <w:r w:rsidR="00FF648A">
        <w:rPr>
          <w:spacing w:val="-2"/>
        </w:rPr>
        <w:t>’</w:t>
      </w:r>
      <w:r w:rsidRPr="00E5454F">
        <w:rPr>
          <w:spacing w:val="-2"/>
        </w:rPr>
        <w:t xml:space="preserve">article 65 de son </w:t>
      </w:r>
      <w:r w:rsidR="002845BA" w:rsidRPr="00E5454F">
        <w:rPr>
          <w:spacing w:val="-2"/>
        </w:rPr>
        <w:t>R</w:t>
      </w:r>
      <w:r w:rsidRPr="00E5454F">
        <w:rPr>
          <w:spacing w:val="-2"/>
        </w:rPr>
        <w:t>èglement intérieur modifié, le Comité demande à l</w:t>
      </w:r>
      <w:r w:rsidR="00FF648A">
        <w:rPr>
          <w:spacing w:val="-2"/>
        </w:rPr>
        <w:t>’</w:t>
      </w:r>
      <w:r w:rsidRPr="00E5454F">
        <w:rPr>
          <w:spacing w:val="-2"/>
        </w:rPr>
        <w:t>État partie de fournir des renseignements sur la suite qu</w:t>
      </w:r>
      <w:r w:rsidR="00FF648A">
        <w:rPr>
          <w:spacing w:val="-2"/>
        </w:rPr>
        <w:t>’</w:t>
      </w:r>
      <w:r w:rsidRPr="00E5454F">
        <w:rPr>
          <w:spacing w:val="-2"/>
        </w:rPr>
        <w:t xml:space="preserve">il aura donnée aux recommandations figurant aux </w:t>
      </w:r>
      <w:r w:rsidR="00FF648A">
        <w:rPr>
          <w:spacing w:val="-2"/>
        </w:rPr>
        <w:t>paragraphes </w:t>
      </w:r>
      <w:r w:rsidRPr="00E5454F">
        <w:rPr>
          <w:spacing w:val="-2"/>
        </w:rPr>
        <w:t>9, 10 et 13 dans un délai d</w:t>
      </w:r>
      <w:r w:rsidR="00FF648A">
        <w:rPr>
          <w:spacing w:val="-2"/>
        </w:rPr>
        <w:t>’</w:t>
      </w:r>
      <w:r w:rsidRPr="00E5454F">
        <w:rPr>
          <w:spacing w:val="-2"/>
        </w:rPr>
        <w:t>un an à compter de l</w:t>
      </w:r>
      <w:r w:rsidR="00FF648A">
        <w:rPr>
          <w:spacing w:val="-2"/>
        </w:rPr>
        <w:t>’</w:t>
      </w:r>
      <w:r w:rsidRPr="00E5454F">
        <w:rPr>
          <w:spacing w:val="-2"/>
        </w:rPr>
        <w:t>adoption des présentes observations finales.</w:t>
      </w:r>
    </w:p>
    <w:p w:rsidR="000473FA" w:rsidRDefault="00CF0E66" w:rsidP="00A20B9E">
      <w:pPr>
        <w:pStyle w:val="H23G"/>
        <w:rPr>
          <w:b w:val="0"/>
        </w:rPr>
      </w:pPr>
      <w:r w:rsidRPr="006D6A41">
        <w:rPr>
          <w:color w:val="000000"/>
          <w:lang w:val="fr-FR"/>
        </w:rPr>
        <w:tab/>
      </w:r>
      <w:r w:rsidRPr="006D6A41">
        <w:rPr>
          <w:color w:val="000000"/>
          <w:lang w:val="fr-FR"/>
        </w:rPr>
        <w:tab/>
      </w:r>
      <w:r w:rsidRPr="00B53ECC">
        <w:t>Recommandations d</w:t>
      </w:r>
      <w:r w:rsidR="00FF648A">
        <w:t>’</w:t>
      </w:r>
      <w:r w:rsidRPr="00B53ECC">
        <w:t>importance particulière</w:t>
      </w:r>
    </w:p>
    <w:p w:rsidR="00CF0E66" w:rsidRPr="00B53ECC" w:rsidRDefault="00CF0E66" w:rsidP="00A20B9E">
      <w:pPr>
        <w:pStyle w:val="ParNoG"/>
      </w:pPr>
      <w:r w:rsidRPr="00DF2F5E">
        <w:t>Le Comité souhaite aussi appeler l</w:t>
      </w:r>
      <w:r w:rsidR="00FF648A">
        <w:t>’</w:t>
      </w:r>
      <w:r w:rsidRPr="00DF2F5E">
        <w:t>attention de l</w:t>
      </w:r>
      <w:r w:rsidR="00FF648A">
        <w:t>’</w:t>
      </w:r>
      <w:r w:rsidRPr="00DF2F5E">
        <w:t>État partie sur l</w:t>
      </w:r>
      <w:r w:rsidR="00FF648A">
        <w:t>’</w:t>
      </w:r>
      <w:r w:rsidRPr="00DF2F5E">
        <w:t xml:space="preserve">importance particulière des </w:t>
      </w:r>
      <w:r w:rsidRPr="00A20B9E">
        <w:rPr>
          <w:lang w:val="fr-FR"/>
        </w:rPr>
        <w:t>recommandations</w:t>
      </w:r>
      <w:r w:rsidRPr="00DF2F5E">
        <w:t xml:space="preserve"> figurant aux paragraphes </w:t>
      </w:r>
      <w:r w:rsidRPr="00B53ECC">
        <w:t xml:space="preserve">8, 14 et 15 </w:t>
      </w:r>
      <w:r w:rsidRPr="00DF2F5E">
        <w:t>et demande à l</w:t>
      </w:r>
      <w:r w:rsidR="00FF648A">
        <w:t>’</w:t>
      </w:r>
      <w:r w:rsidRPr="00DF2F5E">
        <w:t>État partie de faire figurer dans son prochain rapport périodique des renseignements détaillés sur</w:t>
      </w:r>
      <w:r w:rsidR="00E5454F">
        <w:t> </w:t>
      </w:r>
      <w:r w:rsidRPr="00DF2F5E">
        <w:t>les mesures concrètes qu</w:t>
      </w:r>
      <w:r w:rsidR="00FF648A">
        <w:t>’</w:t>
      </w:r>
      <w:r w:rsidRPr="00DF2F5E">
        <w:t>il aura prises</w:t>
      </w:r>
      <w:r w:rsidRPr="00CD38E5">
        <w:t xml:space="preserve"> pour </w:t>
      </w:r>
      <w:r>
        <w:t>y donner suite</w:t>
      </w:r>
      <w:r w:rsidRPr="00B53ECC">
        <w:t>.</w:t>
      </w:r>
    </w:p>
    <w:p w:rsidR="00CF0E66" w:rsidRPr="00801C1E" w:rsidRDefault="00CF0E66" w:rsidP="00A20B9E">
      <w:pPr>
        <w:pStyle w:val="H23G"/>
        <w:rPr>
          <w:b w:val="0"/>
          <w:color w:val="000000"/>
          <w:lang w:val="fr-FR"/>
        </w:rPr>
      </w:pPr>
      <w:r w:rsidRPr="006D6A41">
        <w:rPr>
          <w:color w:val="000000"/>
          <w:lang w:val="fr-FR"/>
        </w:rPr>
        <w:tab/>
      </w:r>
      <w:r w:rsidRPr="006D6A41">
        <w:rPr>
          <w:color w:val="000000"/>
          <w:lang w:val="fr-FR"/>
        </w:rPr>
        <w:tab/>
      </w:r>
      <w:r w:rsidRPr="00B53ECC">
        <w:t>Élaboration du prochain rapport</w:t>
      </w:r>
      <w:r w:rsidR="002845BA">
        <w:t xml:space="preserve"> périodique</w:t>
      </w:r>
    </w:p>
    <w:p w:rsidR="00CF0E66" w:rsidRPr="00D83A39" w:rsidRDefault="00CF0E66" w:rsidP="00A20B9E">
      <w:pPr>
        <w:pStyle w:val="ParNoG"/>
        <w:rPr>
          <w:b/>
          <w:sz w:val="24"/>
          <w:szCs w:val="24"/>
        </w:rPr>
      </w:pPr>
      <w:r w:rsidRPr="00DF2F5E">
        <w:t>Le Comité recommande à l</w:t>
      </w:r>
      <w:r w:rsidR="00FF648A">
        <w:t>’</w:t>
      </w:r>
      <w:r w:rsidRPr="00DF2F5E">
        <w:t xml:space="preserve">État partie de soumettre ses </w:t>
      </w:r>
      <w:r w:rsidR="001774CF">
        <w:t>vingt-deuxième à vingt</w:t>
      </w:r>
      <w:r w:rsidR="001774CF">
        <w:noBreakHyphen/>
      </w:r>
      <w:r>
        <w:t xml:space="preserve">quatrième </w:t>
      </w:r>
      <w:r w:rsidRPr="00B53ECC">
        <w:t xml:space="preserve">rapports périodiques en un seul document, </w:t>
      </w:r>
      <w:r w:rsidR="002845BA">
        <w:t>d</w:t>
      </w:r>
      <w:r w:rsidR="00FF648A">
        <w:t>’</w:t>
      </w:r>
      <w:r w:rsidR="002845BA">
        <w:t xml:space="preserve">ici au </w:t>
      </w:r>
      <w:r w:rsidRPr="00B53ECC">
        <w:t>4</w:t>
      </w:r>
      <w:r w:rsidR="002845BA">
        <w:t> </w:t>
      </w:r>
      <w:r w:rsidRPr="00B53ECC">
        <w:t xml:space="preserve">janvier 2018, </w:t>
      </w:r>
      <w:r w:rsidR="002845BA">
        <w:t>en tenant</w:t>
      </w:r>
      <w:r w:rsidRPr="00B53ECC">
        <w:t xml:space="preserve"> compte des directives </w:t>
      </w:r>
      <w:r w:rsidR="002845BA">
        <w:t xml:space="preserve">pour </w:t>
      </w:r>
      <w:r w:rsidRPr="00B53ECC">
        <w:t>l</w:t>
      </w:r>
      <w:r w:rsidR="00FF648A">
        <w:t>’</w:t>
      </w:r>
      <w:r w:rsidRPr="00B53ECC">
        <w:t xml:space="preserve">élaboration </w:t>
      </w:r>
      <w:r w:rsidR="002845BA">
        <w:t>du</w:t>
      </w:r>
      <w:r w:rsidRPr="00B53ECC">
        <w:t xml:space="preserve"> document propre au Comité pour l</w:t>
      </w:r>
      <w:r w:rsidR="00FF648A">
        <w:t>’</w:t>
      </w:r>
      <w:r w:rsidRPr="00B53ECC">
        <w:t xml:space="preserve">élimination de la discrimination raciale, adoptées par le Comité à sa soixante et onzième session (CERD/C/2007/1), </w:t>
      </w:r>
      <w:r w:rsidR="001774CF">
        <w:t xml:space="preserve">et </w:t>
      </w:r>
      <w:r w:rsidR="002845BA">
        <w:t xml:space="preserve">en traitant de </w:t>
      </w:r>
      <w:r w:rsidRPr="00B53ECC">
        <w:t xml:space="preserve">tous les points soulevés dans les présentes observations finales. Le Comité </w:t>
      </w:r>
      <w:r w:rsidR="002845BA">
        <w:t>demande instamment à l</w:t>
      </w:r>
      <w:r w:rsidR="00FF648A">
        <w:t>’</w:t>
      </w:r>
      <w:r w:rsidR="002845BA">
        <w:t xml:space="preserve">État partie de </w:t>
      </w:r>
      <w:r w:rsidRPr="00B53ECC">
        <w:t>respecter la limite de 40</w:t>
      </w:r>
      <w:r w:rsidR="002845BA">
        <w:t> </w:t>
      </w:r>
      <w:r w:rsidRPr="00B53ECC">
        <w:t xml:space="preserve">pages fixée pour les rapports </w:t>
      </w:r>
      <w:r w:rsidR="002845BA">
        <w:t xml:space="preserve">propres au Comité </w:t>
      </w:r>
      <w:r w:rsidRPr="00B53ECC">
        <w:t>et la limite de 60 à 80</w:t>
      </w:r>
      <w:r w:rsidR="002845BA">
        <w:t> </w:t>
      </w:r>
      <w:r w:rsidRPr="00A20B9E">
        <w:rPr>
          <w:lang w:val="fr-FR"/>
        </w:rPr>
        <w:t>pages</w:t>
      </w:r>
      <w:r w:rsidRPr="00B53ECC">
        <w:t xml:space="preserve"> </w:t>
      </w:r>
      <w:r w:rsidR="002845BA">
        <w:t>fixée</w:t>
      </w:r>
      <w:r w:rsidRPr="00B53ECC">
        <w:t xml:space="preserve"> pour le document de base </w:t>
      </w:r>
      <w:r w:rsidR="002845BA">
        <w:t xml:space="preserve">commun </w:t>
      </w:r>
      <w:r w:rsidRPr="00B53ECC">
        <w:t xml:space="preserve">(voir les Directives </w:t>
      </w:r>
      <w:r w:rsidR="00E5454F" w:rsidRPr="00B53ECC">
        <w:t>harmonisées figurant</w:t>
      </w:r>
      <w:r w:rsidRPr="00B53ECC">
        <w:t xml:space="preserve"> dans le document HRI/GEN.2/Rev.6, par.</w:t>
      </w:r>
      <w:r w:rsidR="002845BA">
        <w:t> </w:t>
      </w:r>
      <w:r w:rsidRPr="00B53ECC">
        <w:t>19).</w:t>
      </w:r>
    </w:p>
    <w:p w:rsidR="00D83A39" w:rsidRPr="00D83A39" w:rsidRDefault="00D83A39" w:rsidP="00D83A39">
      <w:pPr>
        <w:pStyle w:val="SingleTxtG"/>
        <w:spacing w:before="240" w:after="0"/>
        <w:jc w:val="center"/>
        <w:rPr>
          <w:u w:val="single"/>
        </w:rPr>
      </w:pPr>
      <w:r>
        <w:rPr>
          <w:u w:val="single"/>
        </w:rPr>
        <w:tab/>
      </w:r>
      <w:r>
        <w:rPr>
          <w:u w:val="single"/>
        </w:rPr>
        <w:tab/>
      </w:r>
      <w:r>
        <w:rPr>
          <w:u w:val="single"/>
        </w:rPr>
        <w:tab/>
      </w:r>
    </w:p>
    <w:sectPr w:rsidR="00D83A39" w:rsidRPr="00D83A39" w:rsidSect="00CF0E6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4CF" w:rsidRDefault="001774CF"/>
  </w:endnote>
  <w:endnote w:type="continuationSeparator" w:id="0">
    <w:p w:rsidR="001774CF" w:rsidRDefault="001774CF"/>
  </w:endnote>
  <w:endnote w:type="continuationNotice" w:id="1">
    <w:p w:rsidR="001774CF" w:rsidRPr="00201F68" w:rsidRDefault="001774CF" w:rsidP="00201F68">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4CF" w:rsidRPr="00CF0E66" w:rsidRDefault="001774CF" w:rsidP="00CF0E66">
    <w:pPr>
      <w:pStyle w:val="Footer"/>
      <w:tabs>
        <w:tab w:val="right" w:pos="9638"/>
      </w:tabs>
    </w:pPr>
    <w:r w:rsidRPr="00CF0E66">
      <w:rPr>
        <w:b/>
        <w:sz w:val="18"/>
      </w:rPr>
      <w:fldChar w:fldCharType="begin"/>
    </w:r>
    <w:r w:rsidRPr="00CF0E66">
      <w:rPr>
        <w:b/>
        <w:sz w:val="18"/>
      </w:rPr>
      <w:instrText xml:space="preserve"> PAGE  \* MERGEFORMAT </w:instrText>
    </w:r>
    <w:r w:rsidRPr="00CF0E66">
      <w:rPr>
        <w:b/>
        <w:sz w:val="18"/>
      </w:rPr>
      <w:fldChar w:fldCharType="separate"/>
    </w:r>
    <w:r w:rsidR="00FA0CC9">
      <w:rPr>
        <w:b/>
        <w:noProof/>
        <w:sz w:val="18"/>
      </w:rPr>
      <w:t>6</w:t>
    </w:r>
    <w:r w:rsidRPr="00CF0E66">
      <w:rPr>
        <w:b/>
        <w:sz w:val="18"/>
      </w:rPr>
      <w:fldChar w:fldCharType="end"/>
    </w:r>
    <w:r>
      <w:rPr>
        <w:b/>
        <w:sz w:val="18"/>
      </w:rPr>
      <w:tab/>
    </w:r>
    <w:r>
      <w:t>GE.14-41810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4CF" w:rsidRPr="00CF0E66" w:rsidRDefault="001774CF" w:rsidP="00CF0E66">
    <w:pPr>
      <w:pStyle w:val="Footer"/>
      <w:tabs>
        <w:tab w:val="right" w:pos="9638"/>
      </w:tabs>
      <w:rPr>
        <w:b/>
        <w:sz w:val="18"/>
      </w:rPr>
    </w:pPr>
    <w:r>
      <w:t>GE.14-41810</w:t>
    </w:r>
    <w:r>
      <w:tab/>
    </w:r>
    <w:r w:rsidRPr="00CF0E66">
      <w:rPr>
        <w:b/>
        <w:sz w:val="18"/>
      </w:rPr>
      <w:fldChar w:fldCharType="begin"/>
    </w:r>
    <w:r w:rsidRPr="00CF0E66">
      <w:rPr>
        <w:b/>
        <w:sz w:val="18"/>
      </w:rPr>
      <w:instrText xml:space="preserve"> PAGE  \* MERGEFORMAT </w:instrText>
    </w:r>
    <w:r w:rsidRPr="00CF0E66">
      <w:rPr>
        <w:b/>
        <w:sz w:val="18"/>
      </w:rPr>
      <w:fldChar w:fldCharType="separate"/>
    </w:r>
    <w:r w:rsidR="00FA0CC9">
      <w:rPr>
        <w:b/>
        <w:noProof/>
        <w:sz w:val="18"/>
      </w:rPr>
      <w:t>5</w:t>
    </w:r>
    <w:r w:rsidRPr="00CF0E6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4CF" w:rsidRPr="00CF0E66" w:rsidRDefault="001774CF" w:rsidP="00CF0E66">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14-41810  (F)    080414    090414</w:t>
    </w:r>
    <w:r>
      <w:rPr>
        <w:sz w:val="20"/>
      </w:rPr>
      <w:br/>
    </w:r>
    <w:r w:rsidRPr="00CF0E66">
      <w:rPr>
        <w:rFonts w:ascii="C39T30Lfz" w:hAnsi="C39T30Lfz"/>
        <w:sz w:val="56"/>
      </w:rPr>
      <w:t></w:t>
    </w:r>
    <w:r w:rsidRPr="00CF0E66">
      <w:rPr>
        <w:rFonts w:ascii="C39T30Lfz" w:hAnsi="C39T30Lfz"/>
        <w:sz w:val="56"/>
      </w:rPr>
      <w:t></w:t>
    </w:r>
    <w:r w:rsidRPr="00CF0E66">
      <w:rPr>
        <w:rFonts w:ascii="C39T30Lfz" w:hAnsi="C39T30Lfz"/>
        <w:sz w:val="56"/>
      </w:rPr>
      <w:t></w:t>
    </w:r>
    <w:r w:rsidRPr="00CF0E66">
      <w:rPr>
        <w:rFonts w:ascii="C39T30Lfz" w:hAnsi="C39T30Lfz"/>
        <w:sz w:val="56"/>
      </w:rPr>
      <w:t></w:t>
    </w:r>
    <w:r w:rsidRPr="00CF0E66">
      <w:rPr>
        <w:rFonts w:ascii="C39T30Lfz" w:hAnsi="C39T30Lfz"/>
        <w:sz w:val="56"/>
      </w:rPr>
      <w:t></w:t>
    </w:r>
    <w:r w:rsidRPr="00CF0E66">
      <w:rPr>
        <w:rFonts w:ascii="C39T30Lfz" w:hAnsi="C39T30Lfz"/>
        <w:sz w:val="56"/>
      </w:rPr>
      <w:t></w:t>
    </w:r>
    <w:r w:rsidRPr="00CF0E66">
      <w:rPr>
        <w:rFonts w:ascii="C39T30Lfz" w:hAnsi="C39T30Lfz"/>
        <w:sz w:val="56"/>
      </w:rPr>
      <w:t></w:t>
    </w:r>
    <w:r w:rsidRPr="00CF0E66">
      <w:rPr>
        <w:rFonts w:ascii="C39T30Lfz" w:hAnsi="C39T30Lfz"/>
        <w:sz w:val="56"/>
      </w:rPr>
      <w:t></w:t>
    </w:r>
    <w:r w:rsidRPr="00CF0E66">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20-21&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4CF" w:rsidRPr="00D27D5E" w:rsidRDefault="001774CF" w:rsidP="00D27D5E">
      <w:pPr>
        <w:tabs>
          <w:tab w:val="right" w:pos="2155"/>
        </w:tabs>
        <w:spacing w:after="80"/>
        <w:ind w:left="680"/>
        <w:rPr>
          <w:u w:val="single"/>
        </w:rPr>
      </w:pPr>
      <w:r>
        <w:rPr>
          <w:u w:val="single"/>
        </w:rPr>
        <w:tab/>
      </w:r>
    </w:p>
  </w:footnote>
  <w:footnote w:type="continuationSeparator" w:id="0">
    <w:p w:rsidR="001774CF" w:rsidRPr="00AA7FE7" w:rsidRDefault="001774CF" w:rsidP="00AA7FE7">
      <w:pPr>
        <w:tabs>
          <w:tab w:val="right" w:pos="2155"/>
        </w:tabs>
        <w:spacing w:after="80"/>
        <w:ind w:left="680"/>
        <w:rPr>
          <w:u w:val="single"/>
        </w:rPr>
      </w:pPr>
      <w:r w:rsidRPr="00AA7FE7">
        <w:rPr>
          <w:u w:val="single"/>
        </w:rPr>
        <w:tab/>
      </w:r>
    </w:p>
  </w:footnote>
  <w:footnote w:type="continuationNotice" w:id="1">
    <w:p w:rsidR="001774CF" w:rsidRPr="00201F68" w:rsidRDefault="001774CF" w:rsidP="00201F68">
      <w:pPr>
        <w:spacing w:line="240" w:lineRule="auto"/>
        <w:rPr>
          <w:sz w:val="2"/>
          <w:szCs w:val="2"/>
        </w:rPr>
      </w:pPr>
    </w:p>
  </w:footnote>
  <w:footnote w:id="2">
    <w:p w:rsidR="001774CF" w:rsidRPr="00D83A39" w:rsidRDefault="001774CF" w:rsidP="00FF648A">
      <w:pPr>
        <w:pStyle w:val="FootnoteText"/>
        <w:tabs>
          <w:tab w:val="right" w:pos="1021"/>
        </w:tabs>
      </w:pPr>
      <w:r>
        <w:tab/>
      </w:r>
      <w:r w:rsidRPr="00D83A39">
        <w:rPr>
          <w:rStyle w:val="FootnoteReference"/>
          <w:sz w:val="20"/>
          <w:vertAlign w:val="baseline"/>
        </w:rPr>
        <w:t>*</w:t>
      </w:r>
      <w:r>
        <w:rPr>
          <w:sz w:val="20"/>
        </w:rPr>
        <w:tab/>
      </w:r>
      <w:r w:rsidRPr="00BE6ECC">
        <w:rPr>
          <w:szCs w:val="18"/>
        </w:rPr>
        <w:t>Adopt</w:t>
      </w:r>
      <w:r>
        <w:rPr>
          <w:szCs w:val="18"/>
        </w:rPr>
        <w:t>é</w:t>
      </w:r>
      <w:r w:rsidRPr="00BE6ECC">
        <w:rPr>
          <w:szCs w:val="18"/>
        </w:rPr>
        <w:t>e</w:t>
      </w:r>
      <w:r>
        <w:rPr>
          <w:szCs w:val="18"/>
        </w:rPr>
        <w:t xml:space="preserve">s par le </w:t>
      </w:r>
      <w:r w:rsidRPr="00BE6ECC">
        <w:rPr>
          <w:szCs w:val="18"/>
        </w:rPr>
        <w:t>Comit</w:t>
      </w:r>
      <w:r>
        <w:rPr>
          <w:szCs w:val="18"/>
        </w:rPr>
        <w:t>é</w:t>
      </w:r>
      <w:r w:rsidRPr="00BE6ECC">
        <w:rPr>
          <w:szCs w:val="18"/>
        </w:rPr>
        <w:t xml:space="preserve"> </w:t>
      </w:r>
      <w:r>
        <w:rPr>
          <w:szCs w:val="18"/>
        </w:rPr>
        <w:t>à sa</w:t>
      </w:r>
      <w:r w:rsidRPr="00BE6ECC">
        <w:rPr>
          <w:szCs w:val="18"/>
        </w:rPr>
        <w:t xml:space="preserve"> </w:t>
      </w:r>
      <w:r>
        <w:rPr>
          <w:szCs w:val="18"/>
        </w:rPr>
        <w:t>quatre-vingt-quatrième</w:t>
      </w:r>
      <w:r w:rsidRPr="00BE6ECC">
        <w:rPr>
          <w:szCs w:val="18"/>
        </w:rPr>
        <w:t xml:space="preserve"> session (3</w:t>
      </w:r>
      <w:r>
        <w:rPr>
          <w:szCs w:val="18"/>
        </w:rPr>
        <w:t>-</w:t>
      </w:r>
      <w:r w:rsidRPr="00BE6ECC">
        <w:rPr>
          <w:szCs w:val="18"/>
        </w:rPr>
        <w:t>21</w:t>
      </w:r>
      <w:r>
        <w:rPr>
          <w:szCs w:val="18"/>
        </w:rPr>
        <w:t> février</w:t>
      </w:r>
      <w:r w:rsidRPr="00BE6ECC">
        <w:rPr>
          <w:szCs w:val="18"/>
        </w:rPr>
        <w:t xml:space="preserve">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4CF" w:rsidRPr="00CF0E66" w:rsidRDefault="001774CF">
    <w:pPr>
      <w:pStyle w:val="Header"/>
    </w:pPr>
    <w:r>
      <w:t>CERD/C/POL/CO/20-21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4CF" w:rsidRPr="00CF0E66" w:rsidRDefault="001774CF" w:rsidP="00CF0E66">
    <w:pPr>
      <w:pStyle w:val="Header"/>
      <w:jc w:val="right"/>
    </w:pPr>
    <w:r>
      <w:t>CERD/C/POL/CO/20-21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0CCE08E"/>
    <w:lvl w:ilvl="0">
      <w:start w:val="1"/>
      <w:numFmt w:val="decimal"/>
      <w:lvlText w:val="%1."/>
      <w:lvlJc w:val="left"/>
      <w:pPr>
        <w:tabs>
          <w:tab w:val="num" w:pos="1492"/>
        </w:tabs>
        <w:ind w:left="1492" w:hanging="360"/>
      </w:pPr>
    </w:lvl>
  </w:abstractNum>
  <w:abstractNum w:abstractNumId="1">
    <w:nsid w:val="FFFFFF7D"/>
    <w:multiLevelType w:val="singleLevel"/>
    <w:tmpl w:val="089A7058"/>
    <w:lvl w:ilvl="0">
      <w:start w:val="1"/>
      <w:numFmt w:val="decimal"/>
      <w:lvlText w:val="%1."/>
      <w:lvlJc w:val="left"/>
      <w:pPr>
        <w:tabs>
          <w:tab w:val="num" w:pos="1209"/>
        </w:tabs>
        <w:ind w:left="1209" w:hanging="360"/>
      </w:pPr>
    </w:lvl>
  </w:abstractNum>
  <w:abstractNum w:abstractNumId="2">
    <w:nsid w:val="FFFFFF7E"/>
    <w:multiLevelType w:val="singleLevel"/>
    <w:tmpl w:val="3300D0BA"/>
    <w:lvl w:ilvl="0">
      <w:start w:val="1"/>
      <w:numFmt w:val="decimal"/>
      <w:lvlText w:val="%1."/>
      <w:lvlJc w:val="left"/>
      <w:pPr>
        <w:tabs>
          <w:tab w:val="num" w:pos="926"/>
        </w:tabs>
        <w:ind w:left="926" w:hanging="360"/>
      </w:pPr>
    </w:lvl>
  </w:abstractNum>
  <w:abstractNum w:abstractNumId="3">
    <w:nsid w:val="FFFFFF7F"/>
    <w:multiLevelType w:val="singleLevel"/>
    <w:tmpl w:val="F8022330"/>
    <w:lvl w:ilvl="0">
      <w:start w:val="1"/>
      <w:numFmt w:val="decimal"/>
      <w:lvlText w:val="%1."/>
      <w:lvlJc w:val="left"/>
      <w:pPr>
        <w:tabs>
          <w:tab w:val="num" w:pos="643"/>
        </w:tabs>
        <w:ind w:left="643" w:hanging="360"/>
      </w:pPr>
    </w:lvl>
  </w:abstractNum>
  <w:abstractNum w:abstractNumId="4">
    <w:nsid w:val="FFFFFF80"/>
    <w:multiLevelType w:val="singleLevel"/>
    <w:tmpl w:val="39421B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24BF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2AA5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9A99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FC47F6"/>
    <w:lvl w:ilvl="0">
      <w:start w:val="1"/>
      <w:numFmt w:val="decimal"/>
      <w:lvlText w:val="%1."/>
      <w:lvlJc w:val="left"/>
      <w:pPr>
        <w:tabs>
          <w:tab w:val="num" w:pos="360"/>
        </w:tabs>
        <w:ind w:left="360" w:hanging="360"/>
      </w:pPr>
    </w:lvl>
  </w:abstractNum>
  <w:abstractNum w:abstractNumId="9">
    <w:nsid w:val="FFFFFF89"/>
    <w:multiLevelType w:val="singleLevel"/>
    <w:tmpl w:val="4008D97E"/>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5DF3"/>
    <w:rsid w:val="00001B82"/>
    <w:rsid w:val="00016AC5"/>
    <w:rsid w:val="000473FA"/>
    <w:rsid w:val="00054609"/>
    <w:rsid w:val="00085DF3"/>
    <w:rsid w:val="000A6F55"/>
    <w:rsid w:val="000E7579"/>
    <w:rsid w:val="000F41F2"/>
    <w:rsid w:val="000F78B1"/>
    <w:rsid w:val="001231AD"/>
    <w:rsid w:val="001450E6"/>
    <w:rsid w:val="00150465"/>
    <w:rsid w:val="00160540"/>
    <w:rsid w:val="001774CF"/>
    <w:rsid w:val="00192EEB"/>
    <w:rsid w:val="00197832"/>
    <w:rsid w:val="001A20FB"/>
    <w:rsid w:val="001B3867"/>
    <w:rsid w:val="001D6B27"/>
    <w:rsid w:val="001D72C5"/>
    <w:rsid w:val="001D7F8A"/>
    <w:rsid w:val="001E3FEB"/>
    <w:rsid w:val="001E4A02"/>
    <w:rsid w:val="00201F68"/>
    <w:rsid w:val="00225A8C"/>
    <w:rsid w:val="002626D4"/>
    <w:rsid w:val="002659F1"/>
    <w:rsid w:val="00265CD7"/>
    <w:rsid w:val="002845BA"/>
    <w:rsid w:val="00287E79"/>
    <w:rsid w:val="002928F9"/>
    <w:rsid w:val="002A5D07"/>
    <w:rsid w:val="002D3F03"/>
    <w:rsid w:val="002E0D40"/>
    <w:rsid w:val="002E5B0C"/>
    <w:rsid w:val="00300D06"/>
    <w:rsid w:val="003016B7"/>
    <w:rsid w:val="003515AA"/>
    <w:rsid w:val="00374106"/>
    <w:rsid w:val="003976D5"/>
    <w:rsid w:val="003D3F17"/>
    <w:rsid w:val="003D6C68"/>
    <w:rsid w:val="004159D0"/>
    <w:rsid w:val="00472145"/>
    <w:rsid w:val="00540389"/>
    <w:rsid w:val="00543D5E"/>
    <w:rsid w:val="00571F41"/>
    <w:rsid w:val="00593658"/>
    <w:rsid w:val="005968D3"/>
    <w:rsid w:val="005D68BC"/>
    <w:rsid w:val="005E5D1F"/>
    <w:rsid w:val="006034FC"/>
    <w:rsid w:val="00611D43"/>
    <w:rsid w:val="00612D48"/>
    <w:rsid w:val="00616B45"/>
    <w:rsid w:val="00630D9B"/>
    <w:rsid w:val="00631953"/>
    <w:rsid w:val="006439EC"/>
    <w:rsid w:val="0065167E"/>
    <w:rsid w:val="00657120"/>
    <w:rsid w:val="00693E16"/>
    <w:rsid w:val="006B4590"/>
    <w:rsid w:val="006C340C"/>
    <w:rsid w:val="006D7B0B"/>
    <w:rsid w:val="006E6AE5"/>
    <w:rsid w:val="006F39E4"/>
    <w:rsid w:val="0070347C"/>
    <w:rsid w:val="007176C1"/>
    <w:rsid w:val="007231EF"/>
    <w:rsid w:val="0078670C"/>
    <w:rsid w:val="007F55CB"/>
    <w:rsid w:val="00844750"/>
    <w:rsid w:val="008B44C4"/>
    <w:rsid w:val="008D2259"/>
    <w:rsid w:val="008E7FAE"/>
    <w:rsid w:val="00911BF7"/>
    <w:rsid w:val="00911FEA"/>
    <w:rsid w:val="00977EC8"/>
    <w:rsid w:val="009C17F5"/>
    <w:rsid w:val="009D3A8C"/>
    <w:rsid w:val="009D6F78"/>
    <w:rsid w:val="009E7956"/>
    <w:rsid w:val="00A20B9E"/>
    <w:rsid w:val="00A2492E"/>
    <w:rsid w:val="00A82B6C"/>
    <w:rsid w:val="00AA7FE7"/>
    <w:rsid w:val="00AB3173"/>
    <w:rsid w:val="00AC01AA"/>
    <w:rsid w:val="00AC67A1"/>
    <w:rsid w:val="00AC7977"/>
    <w:rsid w:val="00AE352C"/>
    <w:rsid w:val="00B11A6A"/>
    <w:rsid w:val="00B32E2D"/>
    <w:rsid w:val="00B61990"/>
    <w:rsid w:val="00BF0556"/>
    <w:rsid w:val="00C03431"/>
    <w:rsid w:val="00C261F8"/>
    <w:rsid w:val="00C33100"/>
    <w:rsid w:val="00C97511"/>
    <w:rsid w:val="00CD1A71"/>
    <w:rsid w:val="00CD1FBB"/>
    <w:rsid w:val="00CF0E66"/>
    <w:rsid w:val="00D016B5"/>
    <w:rsid w:val="00D034F1"/>
    <w:rsid w:val="00D27D5E"/>
    <w:rsid w:val="00D37345"/>
    <w:rsid w:val="00D83A39"/>
    <w:rsid w:val="00DC156C"/>
    <w:rsid w:val="00DE6D90"/>
    <w:rsid w:val="00DF002F"/>
    <w:rsid w:val="00E0244D"/>
    <w:rsid w:val="00E1753A"/>
    <w:rsid w:val="00E42D5E"/>
    <w:rsid w:val="00E5454F"/>
    <w:rsid w:val="00E81E94"/>
    <w:rsid w:val="00E82607"/>
    <w:rsid w:val="00EC5A42"/>
    <w:rsid w:val="00F44EA4"/>
    <w:rsid w:val="00F63BC6"/>
    <w:rsid w:val="00FA0CC9"/>
    <w:rsid w:val="00FA5A79"/>
    <w:rsid w:val="00FB0BFE"/>
    <w:rsid w:val="00FB4C51"/>
    <w:rsid w:val="00FF1DBD"/>
    <w:rsid w:val="00FF64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val="fr-CH"/>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1"/>
      </w:numPr>
      <w:spacing w:after="120"/>
      <w:ind w:right="1134"/>
      <w:jc w:val="both"/>
    </w:pPr>
  </w:style>
  <w:style w:type="paragraph" w:customStyle="1" w:styleId="Bullet2G">
    <w:name w:val="_Bullet 2_G"/>
    <w:basedOn w:val="Normal"/>
    <w:rsid w:val="009C17F5"/>
    <w:pPr>
      <w:numPr>
        <w:numId w:val="2"/>
      </w:numPr>
      <w:spacing w:after="120"/>
      <w:ind w:right="1134"/>
      <w:jc w:val="both"/>
    </w:pPr>
  </w:style>
  <w:style w:type="character" w:styleId="FootnoteReference">
    <w:name w:val="footnote reference"/>
    <w:aliases w:val="4_G"/>
    <w:basedOn w:val="DefaultParagraphFont"/>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basedOn w:val="DefaultParagraphFont"/>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basedOn w:val="DefaultParagraphFont"/>
    <w:rsid w:val="00540389"/>
    <w:rPr>
      <w:color w:val="auto"/>
      <w:u w:val="none"/>
    </w:rPr>
  </w:style>
  <w:style w:type="character" w:styleId="FollowedHyperlink">
    <w:name w:val="FollowedHyperlink"/>
    <w:basedOn w:val="DefaultParagraphFont"/>
    <w:rsid w:val="00540389"/>
    <w:rPr>
      <w:color w:val="auto"/>
      <w:u w:val="none"/>
    </w:rPr>
  </w:style>
  <w:style w:type="paragraph" w:customStyle="1" w:styleId="ParNoG">
    <w:name w:val="_ParNo_G"/>
    <w:basedOn w:val="SingleTxtG"/>
    <w:rsid w:val="009D6F78"/>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7</Pages>
  <Words>3274</Words>
  <Characters>18172</Characters>
  <Application>Microsoft Office Outlook</Application>
  <DocSecurity>4</DocSecurity>
  <Lines>288</Lines>
  <Paragraphs>84</Paragraphs>
  <ScaleCrop>false</ScaleCrop>
  <HeadingPairs>
    <vt:vector size="2" baseType="variant">
      <vt:variant>
        <vt:lpstr>Titre</vt:lpstr>
      </vt:variant>
      <vt:variant>
        <vt:i4>1</vt:i4>
      </vt:variant>
    </vt:vector>
  </HeadingPairs>
  <TitlesOfParts>
    <vt:vector size="1" baseType="lpstr">
      <vt:lpstr>CERD/C/POL/CO/20-21</vt:lpstr>
    </vt:vector>
  </TitlesOfParts>
  <Company>CSD</Company>
  <LinksUpToDate>false</LinksUpToDate>
  <CharactersWithSpaces>21362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CERD/C/POL/CO/20-21</dc:title>
  <dc:subject>Final</dc:subject>
  <dc:creator>Beysard</dc:creator>
  <cp:keywords/>
  <dc:description/>
  <cp:lastModifiedBy>Beysard</cp:lastModifiedBy>
  <cp:revision>2</cp:revision>
  <cp:lastPrinted>2014-04-09T06:52:00Z</cp:lastPrinted>
  <dcterms:created xsi:type="dcterms:W3CDTF">2014-04-09T07:58:00Z</dcterms:created>
  <dcterms:modified xsi:type="dcterms:W3CDTF">2014-04-09T07:58:00Z</dcterms:modified>
</cp:coreProperties>
</file>