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21B42" w:rsidP="00C21B42">
            <w:pPr>
              <w:bidi w:val="0"/>
              <w:spacing w:after="20"/>
              <w:jc w:val="left"/>
              <w:rPr>
                <w:szCs w:val="20"/>
              </w:rPr>
            </w:pPr>
            <w:r w:rsidRPr="00C21B42">
              <w:rPr>
                <w:sz w:val="40"/>
                <w:szCs w:val="20"/>
              </w:rPr>
              <w:t>CERD</w:t>
            </w:r>
            <w:r>
              <w:rPr>
                <w:szCs w:val="20"/>
              </w:rPr>
              <w:t>/C/POL/CO/20-21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21B42" w:rsidRDefault="00C21B42" w:rsidP="00C21B42">
            <w:pPr>
              <w:bidi w:val="0"/>
              <w:spacing w:before="240"/>
              <w:jc w:val="left"/>
            </w:pPr>
            <w:r>
              <w:t>Distr.: General</w:t>
            </w:r>
          </w:p>
          <w:p w:rsidR="00C21B42" w:rsidRDefault="00C21B42" w:rsidP="00C21B42">
            <w:pPr>
              <w:bidi w:val="0"/>
              <w:jc w:val="left"/>
            </w:pPr>
            <w:r>
              <w:t>19 March 2014</w:t>
            </w:r>
          </w:p>
          <w:p w:rsidR="00C21B42" w:rsidRDefault="00C21B42" w:rsidP="00C21B42">
            <w:pPr>
              <w:bidi w:val="0"/>
              <w:jc w:val="left"/>
            </w:pPr>
            <w:r>
              <w:t>Arabic</w:t>
            </w:r>
          </w:p>
          <w:p w:rsidR="00257225" w:rsidRPr="008B4BC6" w:rsidRDefault="00C21B42" w:rsidP="00C21B42">
            <w:pPr>
              <w:bidi w:val="0"/>
              <w:jc w:val="left"/>
            </w:pPr>
            <w:r>
              <w:t>Original: English</w:t>
            </w:r>
          </w:p>
        </w:tc>
      </w:tr>
    </w:tbl>
    <w:p w:rsidR="00C21B42" w:rsidRPr="003D5060" w:rsidRDefault="00C21B42" w:rsidP="003D5060">
      <w:pPr>
        <w:spacing w:before="120" w:after="120" w:line="380" w:lineRule="exact"/>
        <w:rPr>
          <w:rFonts w:hint="cs"/>
          <w:b/>
          <w:bCs/>
          <w:sz w:val="26"/>
          <w:szCs w:val="36"/>
          <w:rtl/>
          <w:lang w:val="fr-CH"/>
        </w:rPr>
      </w:pPr>
      <w:r w:rsidRPr="003D5060">
        <w:rPr>
          <w:rFonts w:hint="cs"/>
          <w:b/>
          <w:bCs/>
          <w:sz w:val="26"/>
          <w:szCs w:val="36"/>
          <w:rtl/>
          <w:lang w:val="fr-CH"/>
        </w:rPr>
        <w:t>لجنة القضاء على التمييز العنصري</w:t>
      </w:r>
    </w:p>
    <w:p w:rsidR="00C21B42" w:rsidRPr="00D46CCD" w:rsidRDefault="003D5060" w:rsidP="003D5060">
      <w:pPr>
        <w:pStyle w:val="HChGA"/>
        <w:rPr>
          <w:rFonts w:hint="cs"/>
          <w:rtl/>
          <w:lang w:val="fr-CH"/>
        </w:rPr>
      </w:pPr>
      <w:r>
        <w:rPr>
          <w:rFonts w:hint="cs"/>
          <w:rtl/>
          <w:lang w:val="fr-CH"/>
        </w:rPr>
        <w:tab/>
      </w:r>
      <w:r>
        <w:rPr>
          <w:rFonts w:hint="cs"/>
          <w:rtl/>
          <w:lang w:val="fr-CH"/>
        </w:rPr>
        <w:tab/>
      </w:r>
      <w:r w:rsidR="00C21B42" w:rsidRPr="00D46CCD">
        <w:rPr>
          <w:rFonts w:hint="cs"/>
          <w:rtl/>
          <w:lang w:val="fr-CH"/>
        </w:rPr>
        <w:t xml:space="preserve">الملاحظات الختامية بشأن التقرير </w:t>
      </w:r>
      <w:r w:rsidR="00C21B42">
        <w:rPr>
          <w:rFonts w:hint="cs"/>
          <w:rtl/>
          <w:lang w:val="fr-CH"/>
        </w:rPr>
        <w:t>الجامع</w:t>
      </w:r>
      <w:r w:rsidR="00C21B42" w:rsidRPr="00D46CCD">
        <w:rPr>
          <w:rFonts w:hint="cs"/>
          <w:rtl/>
          <w:lang w:val="fr-CH"/>
        </w:rPr>
        <w:t xml:space="preserve"> للتقريرين الدوريين العشرين والحادي والعشرين لبولندا</w:t>
      </w:r>
      <w:r w:rsidR="00C21B42" w:rsidRPr="00D46CCD">
        <w:rPr>
          <w:rStyle w:val="FootnoteReference"/>
          <w:sz w:val="20"/>
          <w:vertAlign w:val="baseline"/>
          <w:rtl/>
          <w:lang w:val="fr-CH"/>
        </w:rPr>
        <w:footnoteReference w:customMarkFollows="1" w:id="1"/>
        <w:t>*</w:t>
      </w:r>
    </w:p>
    <w:p w:rsidR="00C21B42" w:rsidRDefault="00C21B42" w:rsidP="003D5060">
      <w:pPr>
        <w:pStyle w:val="SingleTxtGA"/>
        <w:rPr>
          <w:rFonts w:hint="cs"/>
          <w:rtl/>
          <w:lang w:val="fr-CH"/>
        </w:rPr>
      </w:pPr>
      <w:r>
        <w:rPr>
          <w:rFonts w:hint="cs"/>
          <w:rtl/>
          <w:lang w:val="fr-CH"/>
        </w:rPr>
        <w:t>1-</w:t>
      </w:r>
      <w:r>
        <w:rPr>
          <w:rFonts w:hint="cs"/>
          <w:rtl/>
          <w:lang w:val="fr-CH"/>
        </w:rPr>
        <w:tab/>
        <w:t>نظرت اللجنة في التقريرين الدوريين العشرين والحادي والعشرين</w:t>
      </w:r>
      <w:r w:rsidRPr="002F1A89">
        <w:rPr>
          <w:rFonts w:hint="cs"/>
          <w:rtl/>
          <w:lang w:val="fr-CH"/>
        </w:rPr>
        <w:t xml:space="preserve"> </w:t>
      </w:r>
      <w:r>
        <w:rPr>
          <w:rFonts w:hint="cs"/>
          <w:rtl/>
          <w:lang w:val="fr-CH"/>
        </w:rPr>
        <w:t>لبولندا (</w:t>
      </w:r>
      <w:r w:rsidRPr="00417C4D">
        <w:rPr>
          <w:color w:val="000000"/>
        </w:rPr>
        <w:t>CERD/C/POL/20</w:t>
      </w:r>
      <w:r>
        <w:rPr>
          <w:color w:val="000000"/>
        </w:rPr>
        <w:t>–</w:t>
      </w:r>
      <w:r w:rsidRPr="00417C4D">
        <w:rPr>
          <w:color w:val="000000"/>
        </w:rPr>
        <w:t>21</w:t>
      </w:r>
      <w:r>
        <w:rPr>
          <w:rFonts w:hint="cs"/>
          <w:rtl/>
          <w:lang w:val="fr-CH"/>
        </w:rPr>
        <w:t>) المقدمين في وثيقة واحدة، في جلستيها 2275 و2276 (</w:t>
      </w:r>
      <w:r w:rsidRPr="00417C4D">
        <w:rPr>
          <w:color w:val="000000"/>
        </w:rPr>
        <w:t>CERD/C/SR.2275</w:t>
      </w:r>
      <w:r>
        <w:rPr>
          <w:rFonts w:hint="cs"/>
          <w:rtl/>
          <w:lang w:val="fr-CH"/>
        </w:rPr>
        <w:t xml:space="preserve"> و</w:t>
      </w:r>
      <w:r w:rsidRPr="00417C4D">
        <w:rPr>
          <w:color w:val="000000"/>
        </w:rPr>
        <w:t>CERD/C/SR.227</w:t>
      </w:r>
      <w:r>
        <w:rPr>
          <w:color w:val="000000"/>
        </w:rPr>
        <w:t>6</w:t>
      </w:r>
      <w:r>
        <w:rPr>
          <w:rFonts w:hint="cs"/>
          <w:rtl/>
          <w:lang w:val="fr-CH"/>
        </w:rPr>
        <w:t>) المعقودتين يوم</w:t>
      </w:r>
      <w:r w:rsidR="00DA5825">
        <w:rPr>
          <w:rFonts w:hint="cs"/>
          <w:rtl/>
          <w:lang w:val="fr-CH"/>
        </w:rPr>
        <w:t>ي</w:t>
      </w:r>
      <w:r>
        <w:rPr>
          <w:rFonts w:hint="cs"/>
          <w:rtl/>
          <w:lang w:val="fr-CH"/>
        </w:rPr>
        <w:t xml:space="preserve"> 10 و11 شباط/فبراير 2014. واعتمدت في الجلسة 2290 المعقودة في 20 شباط/فبراير 2013، الملاحظات الختامية التالية.</w:t>
      </w:r>
    </w:p>
    <w:p w:rsidR="00C21B42" w:rsidRPr="00D46CCD" w:rsidRDefault="00C21B42" w:rsidP="003D5060">
      <w:pPr>
        <w:pStyle w:val="H1GA"/>
        <w:rPr>
          <w:rFonts w:hint="cs"/>
          <w:rtl/>
          <w:lang w:val="fr-CH"/>
        </w:rPr>
      </w:pPr>
      <w:r w:rsidRPr="00D46CCD">
        <w:rPr>
          <w:rFonts w:hint="cs"/>
          <w:rtl/>
          <w:lang w:val="fr-CH"/>
        </w:rPr>
        <w:tab/>
        <w:t>ألف-</w:t>
      </w:r>
      <w:r w:rsidRPr="00D46CCD">
        <w:rPr>
          <w:rFonts w:hint="cs"/>
          <w:rtl/>
          <w:lang w:val="fr-CH"/>
        </w:rPr>
        <w:tab/>
        <w:t>مقدمة</w:t>
      </w:r>
    </w:p>
    <w:p w:rsidR="00C21B42" w:rsidRDefault="00C21B42" w:rsidP="003D5060">
      <w:pPr>
        <w:pStyle w:val="SingleTxtGA"/>
        <w:rPr>
          <w:rFonts w:hint="cs"/>
          <w:rtl/>
          <w:lang w:val="fr-CH"/>
        </w:rPr>
      </w:pPr>
      <w:r>
        <w:rPr>
          <w:rFonts w:hint="cs"/>
          <w:rtl/>
          <w:lang w:val="fr-CH"/>
        </w:rPr>
        <w:t>2-</w:t>
      </w:r>
      <w:r>
        <w:rPr>
          <w:rFonts w:hint="cs"/>
          <w:rtl/>
          <w:lang w:val="fr-CH"/>
        </w:rPr>
        <w:tab/>
        <w:t xml:space="preserve">ترحب اللجنة بتقديم بولندا للتقرير الجامع للتقريرين الدوريين العشرين والحادي والعشرين. وتعرب عن ارتياحها للطريقة المنتظمة التي تقدم </w:t>
      </w:r>
      <w:r w:rsidR="003D5060">
        <w:rPr>
          <w:rFonts w:hint="cs"/>
          <w:rtl/>
          <w:lang w:val="fr-CH"/>
        </w:rPr>
        <w:t>ب</w:t>
      </w:r>
      <w:r>
        <w:rPr>
          <w:rFonts w:hint="cs"/>
          <w:rtl/>
          <w:lang w:val="fr-CH"/>
        </w:rPr>
        <w:t xml:space="preserve">ها الدولة الطرف تقاريرها الدورية وفقاً للمبادئ التوجيهية لتقديم التقارير. وتعرب اللجنة أيضاً عن ارتياحها لما جاء في التقرير من تركيز على تنفيذ التوصيات السابقة للجنة ولتقديم تقرير المتابعة في الموعد المحدد. وتعرب اللجنة عن ارتياحها إزاء الحوار البناء الذي عقدته مع </w:t>
      </w:r>
      <w:r w:rsidR="003D5060">
        <w:rPr>
          <w:rFonts w:hint="cs"/>
          <w:rtl/>
          <w:lang w:val="fr-CH"/>
        </w:rPr>
        <w:t>ال</w:t>
      </w:r>
      <w:r>
        <w:rPr>
          <w:rFonts w:hint="cs"/>
          <w:rtl/>
          <w:lang w:val="fr-CH"/>
        </w:rPr>
        <w:t xml:space="preserve">وفد </w:t>
      </w:r>
      <w:r w:rsidR="003D5060">
        <w:rPr>
          <w:rFonts w:hint="cs"/>
          <w:rtl/>
          <w:lang w:val="fr-CH"/>
        </w:rPr>
        <w:t>الكبير ل</w:t>
      </w:r>
      <w:r>
        <w:rPr>
          <w:rFonts w:hint="cs"/>
          <w:rtl/>
          <w:lang w:val="fr-CH"/>
        </w:rPr>
        <w:t>لدولة الطرف. وترحب أيضاً بالوثيقة الأساسية المشتركة المحدثة التي قدمتها الدولة الطرف.</w:t>
      </w:r>
    </w:p>
    <w:p w:rsidR="00C21B42" w:rsidRDefault="00C21B42" w:rsidP="002647E4">
      <w:pPr>
        <w:pStyle w:val="H1GA"/>
        <w:rPr>
          <w:rFonts w:hint="cs"/>
          <w:rtl/>
          <w:lang w:val="fr-CH"/>
        </w:rPr>
      </w:pPr>
      <w:r>
        <w:rPr>
          <w:rFonts w:hint="cs"/>
          <w:rtl/>
          <w:lang w:val="fr-CH"/>
        </w:rPr>
        <w:tab/>
        <w:t>باء-</w:t>
      </w:r>
      <w:r>
        <w:rPr>
          <w:rFonts w:hint="cs"/>
          <w:rtl/>
          <w:lang w:val="fr-CH"/>
        </w:rPr>
        <w:tab/>
        <w:t>الجوانب الإيجابية</w:t>
      </w:r>
    </w:p>
    <w:p w:rsidR="00C21B42" w:rsidRDefault="00C21B42" w:rsidP="00974DF9">
      <w:pPr>
        <w:pStyle w:val="SingleTxtGA"/>
        <w:rPr>
          <w:rFonts w:hint="cs"/>
          <w:rtl/>
          <w:lang w:val="fr-CH"/>
        </w:rPr>
      </w:pPr>
      <w:r>
        <w:rPr>
          <w:rFonts w:hint="cs"/>
          <w:rtl/>
          <w:lang w:val="fr-CH"/>
        </w:rPr>
        <w:t>3-</w:t>
      </w:r>
      <w:r>
        <w:rPr>
          <w:rFonts w:hint="cs"/>
          <w:rtl/>
          <w:lang w:val="fr-CH"/>
        </w:rPr>
        <w:tab/>
        <w:t>ترحب اللجنة بتصديق الدولة الطرف على اتفاقية حقوق الأشخاص ذوي الإعاقة، في أيلول/سبتمبر 2012. وتلاحظ أيضاً أن الد</w:t>
      </w:r>
      <w:r w:rsidR="003D5060">
        <w:rPr>
          <w:rFonts w:hint="cs"/>
          <w:rtl/>
          <w:lang w:val="fr-CH"/>
        </w:rPr>
        <w:t>ولة الطرف أبلغت عن الانتهاء في آ</w:t>
      </w:r>
      <w:r>
        <w:rPr>
          <w:rFonts w:hint="cs"/>
          <w:rtl/>
          <w:lang w:val="fr-CH"/>
        </w:rPr>
        <w:t xml:space="preserve">ب/أغسطس 2013 من إجراء التصديق الداخلي المتعلق بالبروتوكول الاختياري الثاني الملحق بالعهد الدولي الخاص بالحقوق المدنية والسياسية </w:t>
      </w:r>
      <w:r w:rsidR="00974DF9">
        <w:rPr>
          <w:rFonts w:hint="cs"/>
          <w:rtl/>
          <w:lang w:val="fr-CH"/>
        </w:rPr>
        <w:t>والهادف</w:t>
      </w:r>
      <w:r>
        <w:rPr>
          <w:rFonts w:hint="cs"/>
          <w:rtl/>
          <w:lang w:val="fr-CH"/>
        </w:rPr>
        <w:t xml:space="preserve"> إلى إلغاء عقوبة الإعدام.</w:t>
      </w:r>
    </w:p>
    <w:p w:rsidR="00C21B42" w:rsidRDefault="00C21B42" w:rsidP="00F31738">
      <w:pPr>
        <w:pStyle w:val="SingleTxtGA"/>
        <w:rPr>
          <w:rFonts w:hint="cs"/>
          <w:rtl/>
          <w:lang w:val="fr-CH"/>
        </w:rPr>
      </w:pPr>
      <w:r>
        <w:rPr>
          <w:rFonts w:hint="cs"/>
          <w:rtl/>
          <w:lang w:val="fr-CH"/>
        </w:rPr>
        <w:t>4-</w:t>
      </w:r>
      <w:r>
        <w:rPr>
          <w:rFonts w:hint="cs"/>
          <w:rtl/>
          <w:lang w:val="fr-CH"/>
        </w:rPr>
        <w:tab/>
        <w:t>وترحب اللجنة أيضاً بالتدابير التشريعية التي اتُخذت أثناء الفترة قيد الاستعراض بما في ذلك:</w:t>
      </w:r>
    </w:p>
    <w:p w:rsidR="00C21B42" w:rsidRDefault="00C21B42" w:rsidP="00511819">
      <w:pPr>
        <w:pStyle w:val="SingleTxtGA"/>
        <w:rPr>
          <w:rFonts w:hint="cs"/>
          <w:rtl/>
          <w:lang w:val="fr-CH"/>
        </w:rPr>
      </w:pPr>
      <w:r>
        <w:rPr>
          <w:rFonts w:hint="cs"/>
          <w:rtl/>
          <w:lang w:val="fr-CH"/>
        </w:rPr>
        <w:tab/>
        <w:t>(أ)</w:t>
      </w:r>
      <w:r>
        <w:rPr>
          <w:rFonts w:hint="cs"/>
          <w:rtl/>
          <w:lang w:val="fr-CH"/>
        </w:rPr>
        <w:tab/>
        <w:t>قانون الأجانب الجديد الذي يُيسر عدداً من الإجراءات الجديدة والمحسنة للمقيمين وتراخيص العمل للأجانب</w:t>
      </w:r>
      <w:r w:rsidR="008A2424">
        <w:rPr>
          <w:rFonts w:hint="cs"/>
          <w:rtl/>
          <w:lang w:val="fr-CH"/>
        </w:rPr>
        <w:t>، وي</w:t>
      </w:r>
      <w:r w:rsidR="00511819">
        <w:rPr>
          <w:rFonts w:hint="cs"/>
          <w:rtl/>
          <w:lang w:val="fr-CH"/>
        </w:rPr>
        <w:t>ُ</w:t>
      </w:r>
      <w:r w:rsidR="008A2424">
        <w:rPr>
          <w:rFonts w:hint="cs"/>
          <w:rtl/>
          <w:lang w:val="fr-CH"/>
        </w:rPr>
        <w:t>نشئ</w:t>
      </w:r>
      <w:r>
        <w:rPr>
          <w:rFonts w:hint="cs"/>
          <w:rtl/>
          <w:lang w:val="fr-CH"/>
        </w:rPr>
        <w:t xml:space="preserve"> نظاماً للتدابير غير الاحتجازية للأجانب</w:t>
      </w:r>
      <w:r w:rsidR="00F31738">
        <w:rPr>
          <w:rFonts w:hint="cs"/>
          <w:rtl/>
          <w:lang w:val="fr-CH"/>
        </w:rPr>
        <w:t xml:space="preserve"> </w:t>
      </w:r>
      <w:r w:rsidR="008A2424">
        <w:rPr>
          <w:rFonts w:hint="cs"/>
          <w:rtl/>
          <w:lang w:val="fr-CH"/>
        </w:rPr>
        <w:t>ذوي الأ</w:t>
      </w:r>
      <w:r>
        <w:rPr>
          <w:rFonts w:hint="cs"/>
          <w:rtl/>
          <w:lang w:val="fr-CH"/>
        </w:rPr>
        <w:t xml:space="preserve">وضاع غير </w:t>
      </w:r>
      <w:r w:rsidR="008A2424">
        <w:rPr>
          <w:rFonts w:hint="cs"/>
          <w:rtl/>
          <w:lang w:val="fr-CH"/>
        </w:rPr>
        <w:t>ال</w:t>
      </w:r>
      <w:r>
        <w:rPr>
          <w:rFonts w:hint="cs"/>
          <w:rtl/>
          <w:lang w:val="fr-CH"/>
        </w:rPr>
        <w:t>قانونية؛</w:t>
      </w:r>
    </w:p>
    <w:p w:rsidR="00C21B42" w:rsidRDefault="00C21B42" w:rsidP="005475B4">
      <w:pPr>
        <w:pStyle w:val="SingleTxtGA"/>
        <w:rPr>
          <w:rFonts w:hint="cs"/>
          <w:rtl/>
          <w:lang w:val="fr-CH"/>
        </w:rPr>
      </w:pPr>
      <w:r>
        <w:rPr>
          <w:rFonts w:hint="cs"/>
          <w:rtl/>
          <w:lang w:val="fr-CH"/>
        </w:rPr>
        <w:tab/>
        <w:t>(ب)</w:t>
      </w:r>
      <w:r>
        <w:rPr>
          <w:rFonts w:hint="cs"/>
          <w:rtl/>
          <w:lang w:val="fr-CH"/>
        </w:rPr>
        <w:tab/>
        <w:t xml:space="preserve">تعديل القانون الجنائي في عام 2010 لتوسيع نطاق الجرائم المرتكبة بدافع الكراهية والمعاقبة على أنشطة من قبيل إنتاج أو تسجيل أو شراء أو خزن أو نقل مواد </w:t>
      </w:r>
      <w:r w:rsidR="005475B4">
        <w:rPr>
          <w:rFonts w:hint="cs"/>
          <w:rtl/>
          <w:lang w:val="fr-CH"/>
        </w:rPr>
        <w:t>تروج</w:t>
      </w:r>
      <w:r>
        <w:rPr>
          <w:rFonts w:hint="cs"/>
          <w:rtl/>
          <w:lang w:val="fr-CH"/>
        </w:rPr>
        <w:t xml:space="preserve"> محتوياتها </w:t>
      </w:r>
      <w:r w:rsidR="005475B4">
        <w:rPr>
          <w:rFonts w:hint="cs"/>
          <w:rtl/>
          <w:lang w:val="fr-CH"/>
        </w:rPr>
        <w:t>ل</w:t>
      </w:r>
      <w:r>
        <w:rPr>
          <w:rFonts w:hint="cs"/>
          <w:rtl/>
          <w:lang w:val="fr-CH"/>
        </w:rPr>
        <w:t>لفاشية أو غيرها من نظم الدولة الاستبدادية، أو تحرض على الكراهية القومية</w:t>
      </w:r>
      <w:r w:rsidR="005475B4">
        <w:rPr>
          <w:rFonts w:hint="cs"/>
          <w:rtl/>
          <w:lang w:val="fr-CH"/>
        </w:rPr>
        <w:t xml:space="preserve">           </w:t>
      </w:r>
      <w:r>
        <w:rPr>
          <w:rFonts w:hint="cs"/>
          <w:rtl/>
          <w:lang w:val="fr-CH"/>
        </w:rPr>
        <w:t xml:space="preserve"> أو </w:t>
      </w:r>
      <w:r w:rsidR="005475B4">
        <w:rPr>
          <w:rFonts w:hint="cs"/>
          <w:rtl/>
          <w:lang w:val="fr-CH"/>
        </w:rPr>
        <w:t xml:space="preserve">العنصرية </w:t>
      </w:r>
      <w:r>
        <w:rPr>
          <w:rFonts w:hint="cs"/>
          <w:rtl/>
          <w:lang w:val="fr-CH"/>
        </w:rPr>
        <w:t>أو الإثنية؛</w:t>
      </w:r>
    </w:p>
    <w:p w:rsidR="00C21B42" w:rsidRDefault="00C21B42" w:rsidP="00511819">
      <w:pPr>
        <w:pStyle w:val="SingleTxtGA"/>
        <w:rPr>
          <w:rFonts w:hint="cs"/>
          <w:rtl/>
          <w:lang w:val="fr-CH"/>
        </w:rPr>
      </w:pPr>
      <w:r>
        <w:rPr>
          <w:rFonts w:hint="cs"/>
          <w:rtl/>
          <w:lang w:val="fr-CH"/>
        </w:rPr>
        <w:tab/>
        <w:t>(ج)</w:t>
      </w:r>
      <w:r>
        <w:rPr>
          <w:rFonts w:hint="cs"/>
          <w:rtl/>
          <w:lang w:val="fr-CH"/>
        </w:rPr>
        <w:tab/>
        <w:t>إصدار قانون مكافحة التمييز في عام 2010 الذي يُنفذ بعض المبادئ التوجيهية الأوروبية بشأن المساواة في المعاملة</w:t>
      </w:r>
      <w:r w:rsidR="00F50D87">
        <w:rPr>
          <w:rFonts w:hint="cs"/>
          <w:rtl/>
          <w:lang w:val="fr-CH"/>
        </w:rPr>
        <w:t>،</w:t>
      </w:r>
      <w:r>
        <w:rPr>
          <w:rFonts w:hint="cs"/>
          <w:rtl/>
          <w:lang w:val="fr-CH"/>
        </w:rPr>
        <w:t xml:space="preserve"> واعتماد خطة </w:t>
      </w:r>
      <w:r w:rsidR="00F50D87">
        <w:rPr>
          <w:rFonts w:hint="cs"/>
          <w:rtl/>
          <w:lang w:val="fr-CH"/>
        </w:rPr>
        <w:t>ال</w:t>
      </w:r>
      <w:r>
        <w:rPr>
          <w:rFonts w:hint="cs"/>
          <w:rtl/>
          <w:lang w:val="fr-CH"/>
        </w:rPr>
        <w:t xml:space="preserve">عمل </w:t>
      </w:r>
      <w:r w:rsidR="00F50D87">
        <w:rPr>
          <w:rFonts w:hint="cs"/>
          <w:rtl/>
          <w:lang w:val="fr-CH"/>
        </w:rPr>
        <w:t>ال</w:t>
      </w:r>
      <w:r>
        <w:rPr>
          <w:rFonts w:hint="cs"/>
          <w:rtl/>
          <w:lang w:val="fr-CH"/>
        </w:rPr>
        <w:t>وطنية بشأن المساواة في المعاملة للفترة 2013-201</w:t>
      </w:r>
      <w:r w:rsidR="00511819">
        <w:rPr>
          <w:rFonts w:hint="cs"/>
          <w:rtl/>
          <w:lang w:val="fr-CH"/>
        </w:rPr>
        <w:t>6</w:t>
      </w:r>
      <w:r>
        <w:rPr>
          <w:rFonts w:hint="cs"/>
          <w:rtl/>
          <w:lang w:val="fr-CH"/>
        </w:rPr>
        <w:t>.</w:t>
      </w:r>
    </w:p>
    <w:p w:rsidR="00C21B42" w:rsidRDefault="00C21B42" w:rsidP="00946C4D">
      <w:pPr>
        <w:pStyle w:val="SingleTxtGA"/>
        <w:rPr>
          <w:rFonts w:hint="cs"/>
          <w:rtl/>
          <w:lang w:val="fr-CH"/>
        </w:rPr>
      </w:pPr>
      <w:r>
        <w:rPr>
          <w:rFonts w:hint="cs"/>
          <w:rtl/>
          <w:lang w:val="fr-CH"/>
        </w:rPr>
        <w:t>5-</w:t>
      </w:r>
      <w:r>
        <w:rPr>
          <w:rFonts w:hint="cs"/>
          <w:rtl/>
          <w:lang w:val="fr-CH"/>
        </w:rPr>
        <w:tab/>
        <w:t>وترحب اللجنة أيضاً بالتدابير التالية:</w:t>
      </w:r>
    </w:p>
    <w:p w:rsidR="00C21B42" w:rsidRDefault="00C21B42" w:rsidP="00672641">
      <w:pPr>
        <w:pStyle w:val="SingleTxtGA"/>
        <w:rPr>
          <w:rFonts w:hint="cs"/>
          <w:rtl/>
          <w:lang w:val="fr-CH"/>
        </w:rPr>
      </w:pPr>
      <w:r>
        <w:rPr>
          <w:rFonts w:hint="cs"/>
          <w:rtl/>
          <w:lang w:val="fr-CH"/>
        </w:rPr>
        <w:tab/>
        <w:t>(أ)</w:t>
      </w:r>
      <w:r>
        <w:rPr>
          <w:rFonts w:hint="cs"/>
          <w:rtl/>
          <w:lang w:val="fr-CH"/>
        </w:rPr>
        <w:tab/>
        <w:t>إنشاء إدارة حقوق الإنسان في وزارة العدل، في كانون الأول/</w:t>
      </w:r>
      <w:r w:rsidR="006A21E7">
        <w:rPr>
          <w:rFonts w:hint="cs"/>
          <w:rtl/>
          <w:lang w:val="fr-CH"/>
        </w:rPr>
        <w:t xml:space="preserve">              </w:t>
      </w:r>
      <w:r>
        <w:rPr>
          <w:rFonts w:hint="cs"/>
          <w:rtl/>
          <w:lang w:val="fr-CH"/>
        </w:rPr>
        <w:t xml:space="preserve">ديسمبر 2009، </w:t>
      </w:r>
      <w:r w:rsidR="006A21E7">
        <w:rPr>
          <w:rFonts w:hint="cs"/>
          <w:rtl/>
          <w:lang w:val="fr-CH"/>
        </w:rPr>
        <w:t xml:space="preserve">وهي </w:t>
      </w:r>
      <w:r>
        <w:rPr>
          <w:rFonts w:hint="cs"/>
          <w:rtl/>
          <w:lang w:val="fr-CH"/>
        </w:rPr>
        <w:t xml:space="preserve">مسؤولة عن </w:t>
      </w:r>
      <w:r w:rsidR="006A21E7">
        <w:rPr>
          <w:rFonts w:hint="cs"/>
          <w:rtl/>
          <w:lang w:val="fr-CH"/>
        </w:rPr>
        <w:t xml:space="preserve">تقديم التقارير </w:t>
      </w:r>
      <w:r>
        <w:rPr>
          <w:rFonts w:hint="cs"/>
          <w:rtl/>
          <w:lang w:val="fr-CH"/>
        </w:rPr>
        <w:t>لهيئات معاهدات حقوق الإنسان؛</w:t>
      </w:r>
    </w:p>
    <w:p w:rsidR="00C21B42" w:rsidRDefault="00C21B42" w:rsidP="00DB0E02">
      <w:pPr>
        <w:pStyle w:val="SingleTxtGA"/>
        <w:rPr>
          <w:rFonts w:hint="cs"/>
          <w:rtl/>
          <w:lang w:val="fr-CH"/>
        </w:rPr>
      </w:pPr>
      <w:r>
        <w:rPr>
          <w:rFonts w:hint="cs"/>
          <w:rtl/>
          <w:lang w:val="fr-CH"/>
        </w:rPr>
        <w:tab/>
        <w:t>(ب)</w:t>
      </w:r>
      <w:r>
        <w:rPr>
          <w:rFonts w:hint="cs"/>
          <w:rtl/>
          <w:lang w:val="fr-CH"/>
        </w:rPr>
        <w:tab/>
        <w:t xml:space="preserve">اللوائح التي وضعتها وزارة التعليم </w:t>
      </w:r>
      <w:r w:rsidR="00DB0E02">
        <w:rPr>
          <w:rFonts w:hint="cs"/>
          <w:rtl/>
          <w:lang w:val="fr-CH"/>
        </w:rPr>
        <w:t xml:space="preserve">الوطني </w:t>
      </w:r>
      <w:r>
        <w:rPr>
          <w:rFonts w:hint="cs"/>
          <w:rtl/>
          <w:lang w:val="fr-CH"/>
        </w:rPr>
        <w:t xml:space="preserve">في 1 نيسان/أبريل 2010 </w:t>
      </w:r>
      <w:r w:rsidR="00511819">
        <w:rPr>
          <w:rFonts w:hint="cs"/>
          <w:rtl/>
          <w:lang w:val="fr-CH"/>
        </w:rPr>
        <w:t>و</w:t>
      </w:r>
      <w:r>
        <w:rPr>
          <w:rFonts w:hint="cs"/>
          <w:rtl/>
          <w:lang w:val="fr-CH"/>
        </w:rPr>
        <w:t>التي تنص على قبول الأجانب في المدارس العامة وتزويدهم بصفوف إضافية، بما في ذلك صفوف علاجية ولغوية؛</w:t>
      </w:r>
    </w:p>
    <w:p w:rsidR="00C21B42" w:rsidRDefault="001B6654" w:rsidP="005F6FF5">
      <w:pPr>
        <w:pStyle w:val="SingleTxtGA"/>
        <w:rPr>
          <w:rFonts w:hint="cs"/>
          <w:rtl/>
          <w:lang w:val="fr-CH"/>
        </w:rPr>
      </w:pPr>
      <w:r>
        <w:rPr>
          <w:rFonts w:hint="cs"/>
          <w:rtl/>
          <w:lang w:val="fr-CH"/>
        </w:rPr>
        <w:tab/>
        <w:t>(ج)</w:t>
      </w:r>
      <w:r>
        <w:rPr>
          <w:rFonts w:hint="cs"/>
          <w:rtl/>
          <w:lang w:val="fr-CH"/>
        </w:rPr>
        <w:tab/>
        <w:t>إنشاء فريق معني</w:t>
      </w:r>
      <w:r w:rsidR="00C21B42">
        <w:rPr>
          <w:rFonts w:hint="cs"/>
          <w:rtl/>
          <w:lang w:val="fr-CH"/>
        </w:rPr>
        <w:t xml:space="preserve"> بحماية حقوق الإنسان داخل وزارة الداخلية والإدارة، في كانون الأول/ديسمبر 2011 لرصد انتهاكات حقوق الإنسان.</w:t>
      </w:r>
    </w:p>
    <w:p w:rsidR="00C21B42" w:rsidRPr="00E914B6" w:rsidRDefault="00C21B42" w:rsidP="007C16F6">
      <w:pPr>
        <w:pStyle w:val="H1GA"/>
        <w:rPr>
          <w:rFonts w:hint="cs"/>
          <w:rtl/>
          <w:lang w:val="fr-CH"/>
        </w:rPr>
      </w:pPr>
      <w:r w:rsidRPr="00E914B6">
        <w:rPr>
          <w:rFonts w:hint="cs"/>
          <w:rtl/>
          <w:lang w:val="fr-CH"/>
        </w:rPr>
        <w:tab/>
        <w:t>جيم-</w:t>
      </w:r>
      <w:r w:rsidRPr="00E914B6">
        <w:rPr>
          <w:rFonts w:hint="cs"/>
          <w:rtl/>
          <w:lang w:val="fr-CH"/>
        </w:rPr>
        <w:tab/>
        <w:t>دواعي القلق والتوصيات</w:t>
      </w:r>
    </w:p>
    <w:p w:rsidR="00C21B42" w:rsidRPr="00E914B6" w:rsidRDefault="00C21B42" w:rsidP="00AF4146">
      <w:pPr>
        <w:pStyle w:val="H23GA"/>
        <w:rPr>
          <w:rFonts w:hint="cs"/>
          <w:rtl/>
          <w:lang w:val="fr-CH"/>
        </w:rPr>
      </w:pPr>
      <w:r w:rsidRPr="00E914B6">
        <w:rPr>
          <w:rFonts w:hint="cs"/>
          <w:rtl/>
          <w:lang w:val="fr-CH"/>
        </w:rPr>
        <w:tab/>
      </w:r>
      <w:r w:rsidRPr="00E914B6">
        <w:rPr>
          <w:rFonts w:hint="cs"/>
          <w:rtl/>
          <w:lang w:val="fr-CH"/>
        </w:rPr>
        <w:tab/>
        <w:t>البيانات الإحصائية ذات الصلة</w:t>
      </w:r>
    </w:p>
    <w:p w:rsidR="00C21B42" w:rsidRDefault="00C21B42" w:rsidP="00541877">
      <w:pPr>
        <w:pStyle w:val="SingleTxtGA"/>
        <w:rPr>
          <w:rFonts w:hint="cs"/>
          <w:rtl/>
          <w:lang w:val="fr-CH"/>
        </w:rPr>
      </w:pPr>
      <w:r>
        <w:rPr>
          <w:rFonts w:hint="cs"/>
          <w:rtl/>
          <w:lang w:val="fr-CH"/>
        </w:rPr>
        <w:t>6-</w:t>
      </w:r>
      <w:r>
        <w:rPr>
          <w:rFonts w:hint="cs"/>
          <w:rtl/>
          <w:lang w:val="fr-CH"/>
        </w:rPr>
        <w:tab/>
        <w:t>تأسف اللجنة لعدم تقديم معلومات محدثة عن التكوين الإثني للسكان</w:t>
      </w:r>
      <w:r w:rsidR="007232D4">
        <w:rPr>
          <w:rFonts w:hint="cs"/>
          <w:rtl/>
          <w:lang w:val="fr-CH"/>
        </w:rPr>
        <w:t xml:space="preserve"> بعد التعداد السكان</w:t>
      </w:r>
      <w:r>
        <w:rPr>
          <w:rFonts w:hint="cs"/>
          <w:rtl/>
          <w:lang w:val="fr-CH"/>
        </w:rPr>
        <w:t xml:space="preserve"> </w:t>
      </w:r>
      <w:r w:rsidR="007C16F6">
        <w:rPr>
          <w:rFonts w:hint="cs"/>
          <w:rtl/>
          <w:lang w:val="fr-CH"/>
        </w:rPr>
        <w:t>الوطني</w:t>
      </w:r>
      <w:r>
        <w:rPr>
          <w:rFonts w:hint="cs"/>
          <w:rtl/>
          <w:lang w:val="fr-CH"/>
        </w:rPr>
        <w:t xml:space="preserve"> لعام 2011، بما في ذلك مؤشرات اجتماعية اقتصادية ذات صلة لتقييم مساواة الجميع في التمتع بالحقوق المشمولة </w:t>
      </w:r>
      <w:r w:rsidR="00541877">
        <w:rPr>
          <w:rFonts w:hint="cs"/>
          <w:rtl/>
          <w:lang w:val="fr-CH"/>
        </w:rPr>
        <w:t>ب</w:t>
      </w:r>
      <w:r>
        <w:rPr>
          <w:rFonts w:hint="cs"/>
          <w:rtl/>
          <w:lang w:val="fr-CH"/>
        </w:rPr>
        <w:t>الاتفاقية (المادتان 1 و5).</w:t>
      </w:r>
    </w:p>
    <w:p w:rsidR="00C21B42" w:rsidRDefault="00C21B42" w:rsidP="00AE032A">
      <w:pPr>
        <w:pStyle w:val="SingleTxtGA"/>
        <w:rPr>
          <w:rFonts w:hint="cs"/>
          <w:b/>
          <w:bCs/>
          <w:rtl/>
          <w:lang w:val="fr-CH"/>
        </w:rPr>
      </w:pPr>
      <w:r>
        <w:rPr>
          <w:rtl/>
          <w:lang w:val="fr-CH"/>
        </w:rPr>
        <w:tab/>
      </w:r>
      <w:r>
        <w:rPr>
          <w:rFonts w:hint="cs"/>
          <w:b/>
          <w:bCs/>
          <w:rtl/>
          <w:lang w:val="fr-CH"/>
        </w:rPr>
        <w:t xml:space="preserve">فيما تلاحظ </w:t>
      </w:r>
      <w:r w:rsidR="0087500B">
        <w:rPr>
          <w:rFonts w:hint="cs"/>
          <w:b/>
          <w:bCs/>
          <w:rtl/>
          <w:lang w:val="fr-CH"/>
        </w:rPr>
        <w:t>ا</w:t>
      </w:r>
      <w:r>
        <w:rPr>
          <w:rFonts w:hint="cs"/>
          <w:b/>
          <w:bCs/>
          <w:rtl/>
          <w:lang w:val="fr-CH"/>
        </w:rPr>
        <w:t>للجنة التجانس النسبي للسكان في بولندا، تطلب إلى الدولة الطرف أن تقدم بيانات إحصائية محدثة ومفصلة عن التكوين الإثني للسكان على ضوء مبادئها التوجيهية المنقحة لتقديم التقارير (</w:t>
      </w:r>
      <w:r w:rsidRPr="006A59CD">
        <w:rPr>
          <w:b/>
        </w:rPr>
        <w:t>CERD/C/2007/1</w:t>
      </w:r>
      <w:r>
        <w:rPr>
          <w:rFonts w:hint="cs"/>
          <w:b/>
          <w:bCs/>
          <w:rtl/>
          <w:lang w:val="fr-CH"/>
        </w:rPr>
        <w:t>). وتطلب إلى الدولة الطرف أن تتقاسم معها نتائج الدراسة التي تلت عملية التعداد السكاني، والمتعلقة بالهوية القومية للسكان. وفيما يتعلق بهذ</w:t>
      </w:r>
      <w:r w:rsidR="0087500B">
        <w:rPr>
          <w:rFonts w:hint="cs"/>
          <w:b/>
          <w:bCs/>
          <w:rtl/>
          <w:lang w:val="fr-CH"/>
        </w:rPr>
        <w:t>ا</w:t>
      </w:r>
      <w:r>
        <w:rPr>
          <w:rFonts w:hint="cs"/>
          <w:b/>
          <w:bCs/>
          <w:rtl/>
          <w:lang w:val="fr-CH"/>
        </w:rPr>
        <w:t xml:space="preserve"> </w:t>
      </w:r>
      <w:r w:rsidR="0087500B">
        <w:rPr>
          <w:rFonts w:hint="cs"/>
          <w:b/>
          <w:bCs/>
          <w:rtl/>
          <w:lang w:val="fr-CH"/>
        </w:rPr>
        <w:t>الأمر</w:t>
      </w:r>
      <w:r>
        <w:rPr>
          <w:rFonts w:hint="cs"/>
          <w:b/>
          <w:bCs/>
          <w:rtl/>
          <w:lang w:val="fr-CH"/>
        </w:rPr>
        <w:t>، وفي ضوء توصية اللجنة العا</w:t>
      </w:r>
      <w:r w:rsidR="00265577">
        <w:rPr>
          <w:rFonts w:hint="cs"/>
          <w:b/>
          <w:bCs/>
          <w:rtl/>
          <w:lang w:val="fr-CH"/>
        </w:rPr>
        <w:t>مة رقم 8(1990) المتعلقة بتحديد الأ</w:t>
      </w:r>
      <w:r>
        <w:rPr>
          <w:rFonts w:hint="cs"/>
          <w:b/>
          <w:bCs/>
          <w:rtl/>
          <w:lang w:val="fr-CH"/>
        </w:rPr>
        <w:t xml:space="preserve">فراد </w:t>
      </w:r>
      <w:r w:rsidR="00265577">
        <w:rPr>
          <w:rFonts w:hint="cs"/>
          <w:b/>
          <w:bCs/>
          <w:rtl/>
          <w:lang w:val="fr-CH"/>
        </w:rPr>
        <w:t xml:space="preserve">هويتهم من حيث انتمائهم لجماعات </w:t>
      </w:r>
      <w:r>
        <w:rPr>
          <w:rFonts w:hint="cs"/>
          <w:b/>
          <w:bCs/>
          <w:rtl/>
          <w:lang w:val="fr-CH"/>
        </w:rPr>
        <w:t xml:space="preserve">عرقية </w:t>
      </w:r>
      <w:r w:rsidR="00265577">
        <w:rPr>
          <w:rFonts w:hint="cs"/>
          <w:b/>
          <w:bCs/>
          <w:rtl/>
          <w:lang w:val="fr-CH"/>
        </w:rPr>
        <w:t xml:space="preserve">أو </w:t>
      </w:r>
      <w:r>
        <w:rPr>
          <w:rFonts w:hint="cs"/>
          <w:b/>
          <w:bCs/>
          <w:rtl/>
          <w:lang w:val="fr-CH"/>
        </w:rPr>
        <w:t xml:space="preserve">إثنية </w:t>
      </w:r>
      <w:r w:rsidR="00635953">
        <w:rPr>
          <w:rFonts w:hint="cs"/>
          <w:b/>
          <w:bCs/>
          <w:rtl/>
          <w:lang w:val="fr-CH"/>
        </w:rPr>
        <w:t>معني</w:t>
      </w:r>
      <w:r w:rsidR="0055578C">
        <w:rPr>
          <w:rFonts w:hint="cs"/>
          <w:b/>
          <w:bCs/>
          <w:rtl/>
          <w:lang w:val="fr-CH"/>
        </w:rPr>
        <w:t>ة</w:t>
      </w:r>
      <w:r w:rsidR="00D55A31">
        <w:rPr>
          <w:rFonts w:hint="cs"/>
          <w:b/>
          <w:bCs/>
          <w:rtl/>
          <w:lang w:val="fr-CH"/>
        </w:rPr>
        <w:t xml:space="preserve"> </w:t>
      </w:r>
      <w:r>
        <w:rPr>
          <w:rFonts w:hint="cs"/>
          <w:b/>
          <w:bCs/>
          <w:rtl/>
          <w:lang w:val="fr-CH"/>
        </w:rPr>
        <w:t xml:space="preserve">(الفقرتان 1 و4 من المادة 1)، تؤكد اللجنة الأهمية القصوى لتحديد الأفراد المنتمين </w:t>
      </w:r>
      <w:r w:rsidR="00294CF8">
        <w:rPr>
          <w:rFonts w:hint="cs"/>
          <w:b/>
          <w:bCs/>
          <w:rtl/>
          <w:lang w:val="fr-CH"/>
        </w:rPr>
        <w:t>لجماعات</w:t>
      </w:r>
      <w:r>
        <w:rPr>
          <w:rFonts w:hint="cs"/>
          <w:b/>
          <w:bCs/>
          <w:rtl/>
          <w:lang w:val="fr-CH"/>
        </w:rPr>
        <w:t xml:space="preserve"> عرقية</w:t>
      </w:r>
      <w:r w:rsidR="000C30A3">
        <w:rPr>
          <w:rFonts w:hint="cs"/>
          <w:b/>
          <w:bCs/>
          <w:rtl/>
          <w:lang w:val="fr-CH"/>
        </w:rPr>
        <w:t xml:space="preserve">             </w:t>
      </w:r>
      <w:r>
        <w:rPr>
          <w:rFonts w:hint="cs"/>
          <w:b/>
          <w:bCs/>
          <w:rtl/>
          <w:lang w:val="fr-CH"/>
        </w:rPr>
        <w:t xml:space="preserve"> أو إثنية</w:t>
      </w:r>
      <w:r w:rsidR="003D5060">
        <w:rPr>
          <w:rFonts w:hint="cs"/>
          <w:b/>
          <w:bCs/>
          <w:rtl/>
          <w:lang w:val="fr-CH"/>
        </w:rPr>
        <w:t xml:space="preserve"> </w:t>
      </w:r>
      <w:r w:rsidR="00294CF8">
        <w:rPr>
          <w:rFonts w:hint="cs"/>
          <w:b/>
          <w:bCs/>
          <w:rtl/>
          <w:lang w:val="fr-CH"/>
        </w:rPr>
        <w:t xml:space="preserve">معنية لهذه الهوية </w:t>
      </w:r>
      <w:r>
        <w:rPr>
          <w:rFonts w:hint="cs"/>
          <w:b/>
          <w:bCs/>
          <w:rtl/>
          <w:lang w:val="fr-CH"/>
        </w:rPr>
        <w:t xml:space="preserve">بأنفسهم. </w:t>
      </w:r>
    </w:p>
    <w:p w:rsidR="00C21B42" w:rsidRDefault="00C21B42" w:rsidP="00635953">
      <w:pPr>
        <w:pStyle w:val="H23GA"/>
        <w:rPr>
          <w:rFonts w:hint="cs"/>
          <w:rtl/>
          <w:lang w:val="fr-CH"/>
        </w:rPr>
      </w:pPr>
      <w:r>
        <w:rPr>
          <w:rFonts w:hint="cs"/>
          <w:rtl/>
          <w:lang w:val="fr-CH"/>
        </w:rPr>
        <w:tab/>
      </w:r>
      <w:r>
        <w:rPr>
          <w:rFonts w:hint="cs"/>
          <w:rtl/>
          <w:lang w:val="fr-CH"/>
        </w:rPr>
        <w:tab/>
        <w:t xml:space="preserve">الاتفاقية في التشريعات المحلية وفي المحاكم </w:t>
      </w:r>
    </w:p>
    <w:p w:rsidR="00C21B42" w:rsidRDefault="00C21B42" w:rsidP="00A26AD1">
      <w:pPr>
        <w:pStyle w:val="SingleTxtGA"/>
        <w:rPr>
          <w:rFonts w:hint="cs"/>
          <w:rtl/>
          <w:lang w:val="fr-CH"/>
        </w:rPr>
      </w:pPr>
      <w:r>
        <w:rPr>
          <w:rFonts w:hint="cs"/>
          <w:rtl/>
          <w:lang w:val="fr-CH"/>
        </w:rPr>
        <w:t>7-</w:t>
      </w:r>
      <w:r>
        <w:rPr>
          <w:rFonts w:hint="cs"/>
          <w:rtl/>
          <w:lang w:val="fr-CH"/>
        </w:rPr>
        <w:tab/>
        <w:t>تلاحظ اللجنة أنه على الرغم من المادة 91 من دستور بولندا التي تنص على أن الاتفاق الدولي المصدق عليه يشكل جزءاً من النظام القانوني المحلي وينبغي تطبيقه مباشرة،</w:t>
      </w:r>
      <w:r w:rsidR="000C30A3">
        <w:rPr>
          <w:rFonts w:hint="cs"/>
          <w:rtl/>
          <w:lang w:val="fr-CH"/>
        </w:rPr>
        <w:t xml:space="preserve">                </w:t>
      </w:r>
      <w:r>
        <w:rPr>
          <w:rFonts w:hint="cs"/>
          <w:rtl/>
          <w:lang w:val="fr-CH"/>
        </w:rPr>
        <w:t xml:space="preserve"> </w:t>
      </w:r>
      <w:r w:rsidR="00A26AD1">
        <w:rPr>
          <w:rFonts w:hint="cs"/>
          <w:rtl/>
          <w:lang w:val="fr-CH"/>
        </w:rPr>
        <w:t>لا توجد</w:t>
      </w:r>
      <w:r>
        <w:rPr>
          <w:rFonts w:hint="cs"/>
          <w:rtl/>
          <w:lang w:val="fr-CH"/>
        </w:rPr>
        <w:t xml:space="preserve"> حالات </w:t>
      </w:r>
      <w:r w:rsidR="00A26AD1">
        <w:rPr>
          <w:rFonts w:hint="cs"/>
          <w:rtl/>
          <w:lang w:val="fr-CH"/>
        </w:rPr>
        <w:t xml:space="preserve">للتطبيق المباشر للاتفاقية في المحاكم المحلية </w:t>
      </w:r>
      <w:r>
        <w:rPr>
          <w:rFonts w:hint="cs"/>
          <w:rtl/>
          <w:lang w:val="fr-CH"/>
        </w:rPr>
        <w:t>(المادة 2).</w:t>
      </w:r>
    </w:p>
    <w:p w:rsidR="00C21B42" w:rsidRDefault="00C21B42" w:rsidP="005F6FF5">
      <w:pPr>
        <w:pStyle w:val="SingleTxtGA"/>
        <w:rPr>
          <w:rFonts w:hint="cs"/>
          <w:b/>
          <w:bCs/>
          <w:rtl/>
          <w:lang w:val="fr-CH"/>
        </w:rPr>
      </w:pPr>
      <w:r>
        <w:rPr>
          <w:b/>
          <w:bCs/>
          <w:rtl/>
          <w:lang w:val="fr-CH"/>
        </w:rPr>
        <w:tab/>
      </w:r>
      <w:r>
        <w:rPr>
          <w:rFonts w:hint="cs"/>
          <w:b/>
          <w:bCs/>
          <w:rtl/>
          <w:lang w:val="fr-CH"/>
        </w:rPr>
        <w:t>توصي اللجنة الدولة الطرف بنشر مضمون الاتفاقية كجزء من تدريب القضاة والمحامين وبتطبيق المادة من الدستور المتعلقة بالتطبيق المباشر للاتفاقات الدولية كلما كان ذلك مناسباً.</w:t>
      </w:r>
    </w:p>
    <w:p w:rsidR="00C21B42" w:rsidRDefault="00C21B42" w:rsidP="00F15E22">
      <w:pPr>
        <w:pStyle w:val="H23GA"/>
        <w:rPr>
          <w:rFonts w:hint="cs"/>
          <w:rtl/>
          <w:lang w:val="fr-CH"/>
        </w:rPr>
      </w:pPr>
      <w:r>
        <w:rPr>
          <w:rFonts w:hint="cs"/>
          <w:rtl/>
          <w:lang w:val="fr-CH"/>
        </w:rPr>
        <w:tab/>
      </w:r>
      <w:r>
        <w:rPr>
          <w:rFonts w:hint="cs"/>
          <w:rtl/>
          <w:lang w:val="fr-CH"/>
        </w:rPr>
        <w:tab/>
        <w:t>الدوافع العنصرية</w:t>
      </w:r>
    </w:p>
    <w:p w:rsidR="00C21B42" w:rsidRDefault="00C21B42" w:rsidP="00F15E22">
      <w:pPr>
        <w:pStyle w:val="SingleTxtGA"/>
        <w:rPr>
          <w:rFonts w:hint="cs"/>
          <w:rtl/>
          <w:lang w:val="fr-CH"/>
        </w:rPr>
      </w:pPr>
      <w:r>
        <w:rPr>
          <w:rFonts w:hint="cs"/>
          <w:rtl/>
          <w:lang w:val="fr-CH"/>
        </w:rPr>
        <w:t>8-</w:t>
      </w:r>
      <w:r>
        <w:rPr>
          <w:rFonts w:hint="cs"/>
          <w:rtl/>
          <w:lang w:val="fr-CH"/>
        </w:rPr>
        <w:tab/>
      </w:r>
      <w:r w:rsidR="00F15E22">
        <w:rPr>
          <w:rFonts w:hint="cs"/>
          <w:rtl/>
          <w:lang w:val="fr-CH"/>
        </w:rPr>
        <w:t>تحيط</w:t>
      </w:r>
      <w:r>
        <w:rPr>
          <w:rFonts w:hint="cs"/>
          <w:rtl/>
          <w:lang w:val="fr-CH"/>
        </w:rPr>
        <w:t xml:space="preserve"> اللجنة علماً بأن الفقرة 2 من المادة 53 من القانون الجنائي تطلب إلى المحاكم مراعاة دافع وسلوك الجاني عند فرض العقوبات. ومع ذلك، يساور اللجنة القلق لأن القانون الجنائي لا يتضمن حكماً يقضي صراحة بأن الدافع العنصري لارتكاب جريمة يشكل</w:t>
      </w:r>
      <w:r w:rsidR="003D5060">
        <w:rPr>
          <w:rFonts w:hint="cs"/>
          <w:rtl/>
          <w:lang w:val="fr-CH"/>
        </w:rPr>
        <w:t xml:space="preserve"> </w:t>
      </w:r>
      <w:r>
        <w:rPr>
          <w:rFonts w:hint="cs"/>
          <w:rtl/>
          <w:lang w:val="fr-CH"/>
        </w:rPr>
        <w:t>ظرفاً مشدداً (المادة 4).</w:t>
      </w:r>
    </w:p>
    <w:p w:rsidR="00C21B42" w:rsidRDefault="00C21B42" w:rsidP="00040A04">
      <w:pPr>
        <w:pStyle w:val="SingleTxtGA"/>
        <w:rPr>
          <w:rFonts w:hint="cs"/>
          <w:b/>
          <w:bCs/>
          <w:rtl/>
          <w:lang w:val="fr-CH"/>
        </w:rPr>
      </w:pPr>
      <w:r>
        <w:rPr>
          <w:rtl/>
          <w:lang w:val="fr-CH"/>
        </w:rPr>
        <w:tab/>
      </w:r>
      <w:r>
        <w:rPr>
          <w:rFonts w:hint="cs"/>
          <w:b/>
          <w:bCs/>
          <w:rtl/>
          <w:lang w:val="fr-CH"/>
        </w:rPr>
        <w:t xml:space="preserve">توصي اللجنة الدولة الطرف بتعديل قانونها الجنائي ولا سيما جعل الدافع العنصري للجريمة ظرفاً مشدداً والسماح بتشديد العقوبة من أجل مكافحة </w:t>
      </w:r>
      <w:r w:rsidR="00040A04">
        <w:rPr>
          <w:rFonts w:hint="cs"/>
          <w:b/>
          <w:bCs/>
          <w:rtl/>
          <w:lang w:val="fr-CH"/>
        </w:rPr>
        <w:t>وقوع</w:t>
      </w:r>
      <w:r>
        <w:rPr>
          <w:rFonts w:hint="cs"/>
          <w:b/>
          <w:bCs/>
          <w:rtl/>
          <w:lang w:val="fr-CH"/>
        </w:rPr>
        <w:t xml:space="preserve"> </w:t>
      </w:r>
      <w:r w:rsidR="000C30A3">
        <w:rPr>
          <w:rFonts w:hint="cs"/>
          <w:b/>
          <w:bCs/>
          <w:rtl/>
          <w:lang w:val="fr-CH"/>
        </w:rPr>
        <w:t xml:space="preserve">               </w:t>
      </w:r>
      <w:r>
        <w:rPr>
          <w:rFonts w:hint="cs"/>
          <w:b/>
          <w:bCs/>
          <w:rtl/>
          <w:lang w:val="fr-CH"/>
        </w:rPr>
        <w:t>هذه الأفعال.</w:t>
      </w:r>
    </w:p>
    <w:p w:rsidR="00C21B42" w:rsidRDefault="00C21B42" w:rsidP="00035450">
      <w:pPr>
        <w:pStyle w:val="H23GA"/>
        <w:rPr>
          <w:rFonts w:hint="cs"/>
          <w:rtl/>
          <w:lang w:val="fr-CH"/>
        </w:rPr>
      </w:pPr>
      <w:r>
        <w:rPr>
          <w:rFonts w:hint="cs"/>
          <w:rtl/>
          <w:lang w:val="fr-CH"/>
        </w:rPr>
        <w:tab/>
      </w:r>
      <w:r>
        <w:rPr>
          <w:rFonts w:hint="cs"/>
          <w:rtl/>
          <w:lang w:val="fr-CH"/>
        </w:rPr>
        <w:tab/>
        <w:t>الهيئات الوطنية لحقوق الإنسان</w:t>
      </w:r>
    </w:p>
    <w:p w:rsidR="00C21B42" w:rsidRDefault="00C21B42" w:rsidP="008171E0">
      <w:pPr>
        <w:pStyle w:val="SingleTxtGA"/>
        <w:rPr>
          <w:rFonts w:hint="cs"/>
          <w:rtl/>
          <w:lang w:val="fr-CH"/>
        </w:rPr>
      </w:pPr>
      <w:r>
        <w:rPr>
          <w:rFonts w:hint="cs"/>
          <w:rtl/>
          <w:lang w:val="fr-CH"/>
        </w:rPr>
        <w:t>9-</w:t>
      </w:r>
      <w:r>
        <w:rPr>
          <w:rFonts w:hint="cs"/>
          <w:rtl/>
          <w:lang w:val="fr-CH"/>
        </w:rPr>
        <w:tab/>
        <w:t xml:space="preserve">فيما </w:t>
      </w:r>
      <w:r w:rsidR="00035450">
        <w:rPr>
          <w:rFonts w:hint="cs"/>
          <w:rtl/>
          <w:lang w:val="fr-CH"/>
        </w:rPr>
        <w:t>تحيط</w:t>
      </w:r>
      <w:r>
        <w:rPr>
          <w:rFonts w:hint="cs"/>
          <w:rtl/>
          <w:lang w:val="fr-CH"/>
        </w:rPr>
        <w:t xml:space="preserve"> اللجنة علماً بأن مكتب المدافع عن حقوق الإنسان</w:t>
      </w:r>
      <w:r w:rsidR="00035450">
        <w:rPr>
          <w:rFonts w:hint="cs"/>
          <w:rtl/>
          <w:lang w:val="fr-CH"/>
        </w:rPr>
        <w:t>،</w:t>
      </w:r>
      <w:r>
        <w:rPr>
          <w:rFonts w:hint="cs"/>
          <w:rtl/>
          <w:lang w:val="fr-CH"/>
        </w:rPr>
        <w:t xml:space="preserve"> الذي </w:t>
      </w:r>
      <w:r w:rsidR="00035450">
        <w:rPr>
          <w:rFonts w:hint="cs"/>
          <w:rtl/>
          <w:lang w:val="fr-CH"/>
        </w:rPr>
        <w:t xml:space="preserve">اعتُمد </w:t>
      </w:r>
      <w:r>
        <w:rPr>
          <w:rFonts w:hint="cs"/>
          <w:rtl/>
          <w:lang w:val="fr-CH"/>
        </w:rPr>
        <w:t xml:space="preserve">من جديد في عام 2012 </w:t>
      </w:r>
      <w:r w:rsidR="00035450">
        <w:rPr>
          <w:rFonts w:hint="cs"/>
          <w:rtl/>
          <w:lang w:val="fr-CH"/>
        </w:rPr>
        <w:t>بال</w:t>
      </w:r>
      <w:r>
        <w:rPr>
          <w:rFonts w:hint="cs"/>
          <w:rtl/>
          <w:lang w:val="fr-CH"/>
        </w:rPr>
        <w:t xml:space="preserve">مركز </w:t>
      </w:r>
      <w:r w:rsidR="00035450">
        <w:rPr>
          <w:rFonts w:hint="cs"/>
          <w:rtl/>
          <w:lang w:val="fr-CH"/>
        </w:rPr>
        <w:t>"ألف"</w:t>
      </w:r>
      <w:r>
        <w:rPr>
          <w:rFonts w:hint="cs"/>
          <w:rtl/>
          <w:lang w:val="fr-CH"/>
        </w:rPr>
        <w:t xml:space="preserve">، هو أيضاً الآلية </w:t>
      </w:r>
      <w:r w:rsidR="00BC47AF">
        <w:rPr>
          <w:rFonts w:hint="cs"/>
          <w:rtl/>
          <w:lang w:val="fr-CH"/>
        </w:rPr>
        <w:t xml:space="preserve">الوقائية </w:t>
      </w:r>
      <w:r>
        <w:rPr>
          <w:rFonts w:hint="cs"/>
          <w:rtl/>
          <w:lang w:val="fr-CH"/>
        </w:rPr>
        <w:t xml:space="preserve">الوطنية والهيئة المعنية بالمساواة، </w:t>
      </w:r>
      <w:r w:rsidR="00BC47AF">
        <w:rPr>
          <w:rFonts w:hint="cs"/>
          <w:rtl/>
          <w:lang w:val="fr-CH"/>
        </w:rPr>
        <w:t>فإن</w:t>
      </w:r>
      <w:r>
        <w:rPr>
          <w:rFonts w:hint="cs"/>
          <w:rtl/>
          <w:lang w:val="fr-CH"/>
        </w:rPr>
        <w:t xml:space="preserve"> القلق </w:t>
      </w:r>
      <w:r w:rsidR="00BC47AF">
        <w:rPr>
          <w:rFonts w:hint="cs"/>
          <w:rtl/>
          <w:lang w:val="fr-CH"/>
        </w:rPr>
        <w:t xml:space="preserve">يساورها </w:t>
      </w:r>
      <w:r>
        <w:rPr>
          <w:rFonts w:hint="cs"/>
          <w:rtl/>
          <w:lang w:val="fr-CH"/>
        </w:rPr>
        <w:t xml:space="preserve">لأن الموارد المخصصة </w:t>
      </w:r>
      <w:r w:rsidR="00BC47AF">
        <w:rPr>
          <w:rFonts w:hint="cs"/>
          <w:rtl/>
          <w:lang w:val="fr-CH"/>
        </w:rPr>
        <w:t>ل</w:t>
      </w:r>
      <w:r>
        <w:rPr>
          <w:rFonts w:hint="cs"/>
          <w:rtl/>
          <w:lang w:val="fr-CH"/>
        </w:rPr>
        <w:t>لمكتب قد لا تكون كافية لتغطية جميع هذه الولايات الهامة. ويساور اللجنة القلق أيضاً لأن المدافع عن حقوق الإنسان لا ي</w:t>
      </w:r>
      <w:r w:rsidR="00E84351">
        <w:rPr>
          <w:rFonts w:hint="cs"/>
          <w:rtl/>
          <w:lang w:val="fr-CH"/>
        </w:rPr>
        <w:t xml:space="preserve">ملك ولاية قانونية للنظر في </w:t>
      </w:r>
      <w:r w:rsidR="008171E0">
        <w:rPr>
          <w:rFonts w:hint="cs"/>
          <w:rtl/>
          <w:lang w:val="fr-CH"/>
        </w:rPr>
        <w:t xml:space="preserve">الدعاوى </w:t>
      </w:r>
      <w:r>
        <w:rPr>
          <w:rFonts w:hint="cs"/>
          <w:rtl/>
          <w:lang w:val="fr-CH"/>
        </w:rPr>
        <w:t xml:space="preserve">المقدمة من ضحايا التمييز العنصري فيما يتعلق </w:t>
      </w:r>
      <w:r w:rsidR="008171E0">
        <w:rPr>
          <w:rFonts w:hint="cs"/>
          <w:rtl/>
          <w:lang w:val="fr-CH"/>
        </w:rPr>
        <w:t xml:space="preserve">بالحوادث التي تقع </w:t>
      </w:r>
      <w:r>
        <w:rPr>
          <w:rFonts w:hint="cs"/>
          <w:rtl/>
          <w:lang w:val="fr-CH"/>
        </w:rPr>
        <w:t>في المجال الخاص. وأخيراً، تأسف اللجنة لعدم تقديم معلومات عن أثر عمل المجلس المعني بمنع التمييز العنصري وكره الأجانب وما يتصل بذلك من تعصب</w:t>
      </w:r>
      <w:r w:rsidR="000C761A">
        <w:rPr>
          <w:rFonts w:hint="cs"/>
          <w:rtl/>
          <w:lang w:val="fr-CH"/>
        </w:rPr>
        <w:t>،</w:t>
      </w:r>
      <w:r>
        <w:rPr>
          <w:rFonts w:hint="cs"/>
          <w:rtl/>
          <w:lang w:val="fr-CH"/>
        </w:rPr>
        <w:t xml:space="preserve"> الذي أُنشئ في شباط/</w:t>
      </w:r>
      <w:r w:rsidR="00D84E94">
        <w:rPr>
          <w:rFonts w:hint="cs"/>
          <w:rtl/>
          <w:lang w:val="fr-CH"/>
        </w:rPr>
        <w:t xml:space="preserve">            </w:t>
      </w:r>
      <w:r>
        <w:rPr>
          <w:rFonts w:hint="cs"/>
          <w:rtl/>
          <w:lang w:val="fr-CH"/>
        </w:rPr>
        <w:t>فبراير 2013 (المادتان 2 و6).</w:t>
      </w:r>
    </w:p>
    <w:p w:rsidR="00C21B42" w:rsidRDefault="00C21B42" w:rsidP="000C761A">
      <w:pPr>
        <w:pStyle w:val="SingleTxtGA"/>
        <w:rPr>
          <w:rFonts w:hint="cs"/>
          <w:b/>
          <w:bCs/>
          <w:rtl/>
          <w:lang w:val="fr-CH"/>
        </w:rPr>
      </w:pPr>
      <w:r>
        <w:rPr>
          <w:rtl/>
          <w:lang w:val="fr-CH"/>
        </w:rPr>
        <w:tab/>
      </w:r>
      <w:r>
        <w:rPr>
          <w:rFonts w:hint="cs"/>
          <w:b/>
          <w:bCs/>
          <w:rtl/>
          <w:lang w:val="fr-CH"/>
        </w:rPr>
        <w:t xml:space="preserve">توصي اللجنة الدولة الطرف بتوفير الموارد البشرية والمالية </w:t>
      </w:r>
      <w:r w:rsidR="00442527">
        <w:rPr>
          <w:rFonts w:hint="cs"/>
          <w:b/>
          <w:bCs/>
          <w:rtl/>
          <w:lang w:val="fr-CH"/>
        </w:rPr>
        <w:t>الكافية</w:t>
      </w:r>
      <w:r>
        <w:rPr>
          <w:rFonts w:hint="cs"/>
          <w:b/>
          <w:bCs/>
          <w:rtl/>
          <w:lang w:val="fr-CH"/>
        </w:rPr>
        <w:t xml:space="preserve"> لمكتب المدافع عن حقوق الإنسان وضمان قيامه </w:t>
      </w:r>
      <w:r w:rsidR="00442527">
        <w:rPr>
          <w:rFonts w:hint="cs"/>
          <w:b/>
          <w:bCs/>
          <w:rtl/>
          <w:lang w:val="fr-CH"/>
        </w:rPr>
        <w:t>بالتصدي</w:t>
      </w:r>
      <w:r>
        <w:rPr>
          <w:rFonts w:hint="cs"/>
          <w:b/>
          <w:bCs/>
          <w:rtl/>
          <w:lang w:val="fr-CH"/>
        </w:rPr>
        <w:t xml:space="preserve"> </w:t>
      </w:r>
      <w:r w:rsidR="00442527">
        <w:rPr>
          <w:rFonts w:hint="cs"/>
          <w:b/>
          <w:bCs/>
          <w:rtl/>
          <w:lang w:val="fr-CH"/>
        </w:rPr>
        <w:t>ل</w:t>
      </w:r>
      <w:r>
        <w:rPr>
          <w:rFonts w:hint="cs"/>
          <w:b/>
          <w:bCs/>
          <w:rtl/>
          <w:lang w:val="fr-CH"/>
        </w:rPr>
        <w:t xml:space="preserve">لتمييز العنصري في المجالين العام والخاص. </w:t>
      </w:r>
      <w:r w:rsidR="00442527">
        <w:rPr>
          <w:rFonts w:hint="cs"/>
          <w:b/>
          <w:bCs/>
          <w:rtl/>
          <w:lang w:val="fr-CH"/>
        </w:rPr>
        <w:t>وتطلب</w:t>
      </w:r>
      <w:r>
        <w:rPr>
          <w:rFonts w:hint="cs"/>
          <w:b/>
          <w:bCs/>
          <w:rtl/>
          <w:lang w:val="fr-CH"/>
        </w:rPr>
        <w:t xml:space="preserve"> اللجنة من الدولة الطرف أن تزودها بمعلومات عن النتائج الملموسة التي حصل عليها المجلس المعني بمنع التمييز العنصري وكره الأجانب وما يتصل بذلك من تعصب من خلال برنامج عمله الإطاري</w:t>
      </w:r>
      <w:r w:rsidR="00C923CF">
        <w:rPr>
          <w:rFonts w:hint="cs"/>
          <w:b/>
          <w:bCs/>
          <w:rtl/>
          <w:lang w:val="fr-CH"/>
        </w:rPr>
        <w:t>،</w:t>
      </w:r>
      <w:r>
        <w:rPr>
          <w:rFonts w:hint="cs"/>
          <w:b/>
          <w:bCs/>
          <w:rtl/>
          <w:lang w:val="fr-CH"/>
        </w:rPr>
        <w:t xml:space="preserve"> </w:t>
      </w:r>
      <w:r w:rsidR="00C923CF">
        <w:rPr>
          <w:rFonts w:hint="cs"/>
          <w:b/>
          <w:bCs/>
          <w:rtl/>
          <w:lang w:val="fr-CH"/>
        </w:rPr>
        <w:t xml:space="preserve">وأن توضح </w:t>
      </w:r>
      <w:r>
        <w:rPr>
          <w:rFonts w:hint="cs"/>
          <w:b/>
          <w:bCs/>
          <w:rtl/>
          <w:lang w:val="fr-CH"/>
        </w:rPr>
        <w:t>كيف</w:t>
      </w:r>
      <w:r w:rsidR="00C923CF">
        <w:rPr>
          <w:rFonts w:hint="cs"/>
          <w:b/>
          <w:bCs/>
          <w:rtl/>
          <w:lang w:val="fr-CH"/>
        </w:rPr>
        <w:t>ية</w:t>
      </w:r>
      <w:r>
        <w:rPr>
          <w:rFonts w:hint="cs"/>
          <w:b/>
          <w:bCs/>
          <w:rtl/>
          <w:lang w:val="fr-CH"/>
        </w:rPr>
        <w:t xml:space="preserve"> تعز</w:t>
      </w:r>
      <w:r w:rsidR="00C923CF">
        <w:rPr>
          <w:rFonts w:hint="cs"/>
          <w:b/>
          <w:bCs/>
          <w:rtl/>
          <w:lang w:val="fr-CH"/>
        </w:rPr>
        <w:t>ي</w:t>
      </w:r>
      <w:r>
        <w:rPr>
          <w:rFonts w:hint="cs"/>
          <w:b/>
          <w:bCs/>
          <w:rtl/>
          <w:lang w:val="fr-CH"/>
        </w:rPr>
        <w:t>ز</w:t>
      </w:r>
      <w:r w:rsidR="00C923CF">
        <w:rPr>
          <w:rFonts w:hint="cs"/>
          <w:b/>
          <w:bCs/>
          <w:rtl/>
          <w:lang w:val="fr-CH"/>
        </w:rPr>
        <w:t>ها</w:t>
      </w:r>
      <w:r>
        <w:rPr>
          <w:rFonts w:hint="cs"/>
          <w:b/>
          <w:bCs/>
          <w:rtl/>
          <w:lang w:val="fr-CH"/>
        </w:rPr>
        <w:t xml:space="preserve"> </w:t>
      </w:r>
      <w:r w:rsidR="00C923CF">
        <w:rPr>
          <w:rFonts w:hint="cs"/>
          <w:b/>
          <w:bCs/>
          <w:rtl/>
          <w:lang w:val="fr-CH"/>
        </w:rPr>
        <w:t>ل</w:t>
      </w:r>
      <w:r>
        <w:rPr>
          <w:rFonts w:hint="cs"/>
          <w:b/>
          <w:bCs/>
          <w:rtl/>
          <w:lang w:val="fr-CH"/>
        </w:rPr>
        <w:t>لتنسيق والتآزر فيما بين جميع الهيئات الوطنية المعنية بحقوق الإنسان.</w:t>
      </w:r>
    </w:p>
    <w:p w:rsidR="00C21B42" w:rsidRDefault="00C21B42" w:rsidP="00C923CF">
      <w:pPr>
        <w:pStyle w:val="H23GA"/>
        <w:rPr>
          <w:rFonts w:hint="cs"/>
          <w:rtl/>
          <w:lang w:val="fr-CH"/>
        </w:rPr>
      </w:pPr>
      <w:r>
        <w:rPr>
          <w:rFonts w:hint="cs"/>
          <w:rtl/>
          <w:lang w:val="fr-CH"/>
        </w:rPr>
        <w:tab/>
      </w:r>
      <w:r>
        <w:rPr>
          <w:rFonts w:hint="cs"/>
          <w:rtl/>
          <w:lang w:val="fr-CH"/>
        </w:rPr>
        <w:tab/>
      </w:r>
      <w:r w:rsidR="00C923CF">
        <w:rPr>
          <w:rFonts w:hint="cs"/>
          <w:rtl/>
          <w:lang w:val="fr-CH"/>
        </w:rPr>
        <w:t>خطاب</w:t>
      </w:r>
      <w:r>
        <w:rPr>
          <w:rFonts w:hint="cs"/>
          <w:rtl/>
          <w:lang w:val="fr-CH"/>
        </w:rPr>
        <w:t xml:space="preserve"> الكراهية والجرائم</w:t>
      </w:r>
      <w:r w:rsidR="00C923CF">
        <w:rPr>
          <w:rFonts w:hint="cs"/>
          <w:rtl/>
          <w:lang w:val="fr-CH"/>
        </w:rPr>
        <w:t xml:space="preserve"> بدافع الكراهية</w:t>
      </w:r>
    </w:p>
    <w:p w:rsidR="00C21B42" w:rsidRDefault="00C21B42" w:rsidP="000C761A">
      <w:pPr>
        <w:pStyle w:val="SingleTxtGA"/>
        <w:rPr>
          <w:rFonts w:hint="cs"/>
          <w:rtl/>
          <w:lang w:val="fr-CH"/>
        </w:rPr>
      </w:pPr>
      <w:r>
        <w:rPr>
          <w:rFonts w:hint="cs"/>
          <w:rtl/>
          <w:lang w:val="fr-CH"/>
        </w:rPr>
        <w:t>10-</w:t>
      </w:r>
      <w:r>
        <w:rPr>
          <w:rFonts w:hint="cs"/>
          <w:rtl/>
          <w:lang w:val="fr-CH"/>
        </w:rPr>
        <w:tab/>
      </w:r>
      <w:r w:rsidR="00C923CF">
        <w:rPr>
          <w:rFonts w:hint="cs"/>
          <w:rtl/>
          <w:lang w:val="fr-CH"/>
        </w:rPr>
        <w:t>لا يزال القلق يساور اللجنة</w:t>
      </w:r>
      <w:r>
        <w:rPr>
          <w:rFonts w:hint="cs"/>
          <w:rtl/>
          <w:lang w:val="fr-CH"/>
        </w:rPr>
        <w:t xml:space="preserve"> إزاء استمرار خط</w:t>
      </w:r>
      <w:r w:rsidR="00C923CF">
        <w:rPr>
          <w:rFonts w:hint="cs"/>
          <w:rtl/>
          <w:lang w:val="fr-CH"/>
        </w:rPr>
        <w:t>ا</w:t>
      </w:r>
      <w:r>
        <w:rPr>
          <w:rFonts w:hint="cs"/>
          <w:rtl/>
          <w:lang w:val="fr-CH"/>
        </w:rPr>
        <w:t xml:space="preserve">ب العنصرية </w:t>
      </w:r>
      <w:r w:rsidR="00473961">
        <w:rPr>
          <w:rFonts w:hint="cs"/>
          <w:rtl/>
          <w:lang w:val="fr-CH"/>
        </w:rPr>
        <w:t>والكراهية في مجال الرياضة. ولا ي</w:t>
      </w:r>
      <w:r>
        <w:rPr>
          <w:rFonts w:hint="cs"/>
          <w:rtl/>
          <w:lang w:val="fr-CH"/>
        </w:rPr>
        <w:t>زال خط</w:t>
      </w:r>
      <w:r w:rsidR="000C761A">
        <w:rPr>
          <w:rFonts w:hint="cs"/>
          <w:rtl/>
          <w:lang w:val="fr-CH"/>
        </w:rPr>
        <w:t>ا</w:t>
      </w:r>
      <w:r>
        <w:rPr>
          <w:rFonts w:hint="cs"/>
          <w:rtl/>
          <w:lang w:val="fr-CH"/>
        </w:rPr>
        <w:t xml:space="preserve">ب الكراهية </w:t>
      </w:r>
      <w:r w:rsidR="00473961">
        <w:rPr>
          <w:rFonts w:hint="cs"/>
          <w:rtl/>
          <w:lang w:val="fr-CH"/>
        </w:rPr>
        <w:t>منتشراً</w:t>
      </w:r>
      <w:r>
        <w:rPr>
          <w:rFonts w:hint="cs"/>
          <w:rtl/>
          <w:lang w:val="fr-CH"/>
        </w:rPr>
        <w:t xml:space="preserve"> على الإنترنت </w:t>
      </w:r>
      <w:r w:rsidR="00473961">
        <w:rPr>
          <w:rFonts w:hint="cs"/>
          <w:rtl/>
          <w:lang w:val="fr-CH"/>
        </w:rPr>
        <w:t>دون التصدي له بفعالية</w:t>
      </w:r>
      <w:r>
        <w:rPr>
          <w:rFonts w:hint="cs"/>
          <w:rtl/>
          <w:lang w:val="fr-CH"/>
        </w:rPr>
        <w:t xml:space="preserve">. وتعرب اللجنة أيضاً عن قلقها إزاء المعلومات التي تفيد بمواصلة نشاط ما لا يقل عن 4 منظمات لليمين المتطرف في بولندا على الرغم من قرار المحكمة في عام 2009 في بريزيغ بحظر منظمة </w:t>
      </w:r>
      <w:r w:rsidR="003B394C">
        <w:rPr>
          <w:rFonts w:hint="cs"/>
          <w:rtl/>
          <w:lang w:val="fr-CH"/>
        </w:rPr>
        <w:t>كانت تروّج</w:t>
      </w:r>
      <w:r>
        <w:rPr>
          <w:rFonts w:hint="cs"/>
          <w:rtl/>
          <w:lang w:val="fr-CH"/>
        </w:rPr>
        <w:t xml:space="preserve"> </w:t>
      </w:r>
      <w:r w:rsidR="003B394C">
        <w:rPr>
          <w:rFonts w:hint="cs"/>
          <w:rtl/>
          <w:lang w:val="fr-CH"/>
        </w:rPr>
        <w:t>ل</w:t>
      </w:r>
      <w:r>
        <w:rPr>
          <w:rFonts w:hint="cs"/>
          <w:rtl/>
          <w:lang w:val="fr-CH"/>
        </w:rPr>
        <w:t>لنظم الفاشية والاستبدادية. وت</w:t>
      </w:r>
      <w:r w:rsidR="003B394C">
        <w:rPr>
          <w:rFonts w:hint="cs"/>
          <w:rtl/>
          <w:lang w:val="fr-CH"/>
        </w:rPr>
        <w:t>حيط</w:t>
      </w:r>
      <w:r>
        <w:rPr>
          <w:rFonts w:hint="cs"/>
          <w:rtl/>
          <w:lang w:val="fr-CH"/>
        </w:rPr>
        <w:t xml:space="preserve"> اللجنة علماً أيضاً مع القلق بأنه على الرغم من إدانة المحكمة في وروكلاو</w:t>
      </w:r>
      <w:r w:rsidR="005E3D39">
        <w:rPr>
          <w:rFonts w:hint="cs"/>
          <w:rtl/>
          <w:lang w:val="fr-CH"/>
        </w:rPr>
        <w:t xml:space="preserve"> </w:t>
      </w:r>
      <w:r w:rsidR="00676305">
        <w:rPr>
          <w:rFonts w:hint="cs"/>
          <w:rtl/>
          <w:lang w:val="fr-CH"/>
        </w:rPr>
        <w:t>عام</w:t>
      </w:r>
      <w:r w:rsidR="005E3D39">
        <w:rPr>
          <w:rFonts w:hint="cs"/>
          <w:rtl/>
          <w:lang w:val="fr-CH"/>
        </w:rPr>
        <w:t xml:space="preserve"> 2010</w:t>
      </w:r>
      <w:r>
        <w:rPr>
          <w:rFonts w:hint="cs"/>
          <w:rtl/>
          <w:lang w:val="fr-CH"/>
        </w:rPr>
        <w:t xml:space="preserve"> لثلاثة أشخاص </w:t>
      </w:r>
      <w:r w:rsidR="00676305">
        <w:rPr>
          <w:rFonts w:hint="cs"/>
          <w:rtl/>
          <w:lang w:val="fr-CH"/>
        </w:rPr>
        <w:t xml:space="preserve">بإنشاء </w:t>
      </w:r>
      <w:r>
        <w:rPr>
          <w:rFonts w:hint="cs"/>
          <w:rtl/>
          <w:lang w:val="fr-CH"/>
        </w:rPr>
        <w:t>موقع شبكي يعزز التمييز العنصري، فإن هذا الموقع الشبكي لا يزال عاملاً (المادة 4).</w:t>
      </w:r>
    </w:p>
    <w:p w:rsidR="00C21B42" w:rsidRDefault="00C21B42" w:rsidP="005F6FF5">
      <w:pPr>
        <w:pStyle w:val="SingleTxtGA"/>
        <w:rPr>
          <w:rFonts w:hint="cs"/>
          <w:b/>
          <w:bCs/>
          <w:rtl/>
          <w:lang w:val="fr-CH"/>
        </w:rPr>
      </w:pPr>
      <w:r>
        <w:rPr>
          <w:b/>
          <w:bCs/>
          <w:rtl/>
          <w:lang w:val="fr-CH"/>
        </w:rPr>
        <w:tab/>
      </w:r>
      <w:r>
        <w:rPr>
          <w:rFonts w:hint="cs"/>
          <w:b/>
          <w:bCs/>
          <w:rtl/>
          <w:lang w:val="fr-CH"/>
        </w:rPr>
        <w:t>واللجنة إذ تأخذ في الاعتبار توصيتها العامة رقم 35(2013) بشأن مكافحة خطاب التحريض على الكراهية العنصرية، توصي الدولة الطرف بما يلي:</w:t>
      </w:r>
    </w:p>
    <w:p w:rsidR="00C21B42" w:rsidRDefault="00C21B42" w:rsidP="00F158B0">
      <w:pPr>
        <w:pStyle w:val="SingleTxtGA"/>
        <w:rPr>
          <w:rFonts w:hint="cs"/>
          <w:b/>
          <w:bCs/>
          <w:rtl/>
          <w:lang w:val="fr-CH"/>
        </w:rPr>
      </w:pPr>
      <w:r>
        <w:rPr>
          <w:rFonts w:hint="cs"/>
          <w:b/>
          <w:bCs/>
          <w:rtl/>
          <w:lang w:val="fr-CH"/>
        </w:rPr>
        <w:tab/>
        <w:t>(أ)</w:t>
      </w:r>
      <w:r>
        <w:rPr>
          <w:rFonts w:hint="cs"/>
          <w:b/>
          <w:bCs/>
          <w:rtl/>
          <w:lang w:val="fr-CH"/>
        </w:rPr>
        <w:tab/>
        <w:t xml:space="preserve">التماس وسائل فعالة لمكافحة العنصرية في مجال الرياضة، بما في ذلك فرض غرامات على النوادي التي يقوم </w:t>
      </w:r>
      <w:r w:rsidR="00F158B0">
        <w:rPr>
          <w:rFonts w:hint="cs"/>
          <w:b/>
          <w:bCs/>
          <w:rtl/>
          <w:lang w:val="fr-CH"/>
        </w:rPr>
        <w:t>مشجعوها</w:t>
      </w:r>
      <w:r>
        <w:rPr>
          <w:rFonts w:hint="cs"/>
          <w:b/>
          <w:bCs/>
          <w:rtl/>
          <w:lang w:val="fr-CH"/>
        </w:rPr>
        <w:t xml:space="preserve"> بأفعال عنصرية</w:t>
      </w:r>
      <w:r w:rsidR="00F158B0">
        <w:rPr>
          <w:rFonts w:hint="cs"/>
          <w:b/>
          <w:bCs/>
          <w:rtl/>
          <w:lang w:val="fr-CH"/>
        </w:rPr>
        <w:t>،</w:t>
      </w:r>
      <w:r>
        <w:rPr>
          <w:rFonts w:hint="cs"/>
          <w:b/>
          <w:bCs/>
          <w:rtl/>
          <w:lang w:val="fr-CH"/>
        </w:rPr>
        <w:t xml:space="preserve"> ومواصلة العمل مع رابطات الرياضة لتعزيز التسامح والتنوع؛</w:t>
      </w:r>
    </w:p>
    <w:p w:rsidR="00C21B42" w:rsidRDefault="00C21B42" w:rsidP="00F05929">
      <w:pPr>
        <w:pStyle w:val="SingleTxtGA"/>
        <w:rPr>
          <w:rFonts w:hint="cs"/>
          <w:b/>
          <w:bCs/>
          <w:rtl/>
          <w:lang w:val="fr-CH"/>
        </w:rPr>
      </w:pPr>
      <w:r>
        <w:rPr>
          <w:rFonts w:hint="cs"/>
          <w:b/>
          <w:bCs/>
          <w:rtl/>
          <w:lang w:val="fr-CH"/>
        </w:rPr>
        <w:tab/>
        <w:t>(ب)</w:t>
      </w:r>
      <w:r>
        <w:rPr>
          <w:rFonts w:hint="cs"/>
          <w:b/>
          <w:bCs/>
          <w:rtl/>
          <w:lang w:val="fr-CH"/>
        </w:rPr>
        <w:tab/>
        <w:t xml:space="preserve">اتخاذ مزيد من التدابير طبقاً </w:t>
      </w:r>
      <w:r w:rsidR="00F158B0">
        <w:rPr>
          <w:rFonts w:hint="cs"/>
          <w:b/>
          <w:bCs/>
          <w:rtl/>
          <w:lang w:val="fr-CH"/>
        </w:rPr>
        <w:t>لقوانينها</w:t>
      </w:r>
      <w:r>
        <w:rPr>
          <w:rFonts w:hint="cs"/>
          <w:b/>
          <w:bCs/>
          <w:rtl/>
          <w:lang w:val="fr-CH"/>
        </w:rPr>
        <w:t xml:space="preserve"> وللمادة 4 من الاتفاقية، بالإضافة إلى مبادرات الادعاء العام، </w:t>
      </w:r>
      <w:r w:rsidR="00332563">
        <w:rPr>
          <w:rFonts w:hint="cs"/>
          <w:b/>
          <w:bCs/>
          <w:rtl/>
          <w:lang w:val="fr-CH"/>
        </w:rPr>
        <w:t>لتحسين التصدي لخطاب</w:t>
      </w:r>
      <w:r>
        <w:rPr>
          <w:rFonts w:hint="cs"/>
          <w:b/>
          <w:bCs/>
          <w:rtl/>
          <w:lang w:val="fr-CH"/>
        </w:rPr>
        <w:t xml:space="preserve"> الكراهية على الإنترنت؛</w:t>
      </w:r>
    </w:p>
    <w:p w:rsidR="00C21B42" w:rsidRDefault="00C21B42" w:rsidP="00A35F45">
      <w:pPr>
        <w:pStyle w:val="SingleTxtGA"/>
        <w:rPr>
          <w:rFonts w:hint="cs"/>
          <w:b/>
          <w:bCs/>
          <w:rtl/>
          <w:lang w:val="fr-CH"/>
        </w:rPr>
      </w:pPr>
      <w:r>
        <w:rPr>
          <w:rFonts w:hint="cs"/>
          <w:b/>
          <w:bCs/>
          <w:rtl/>
          <w:lang w:val="fr-CH"/>
        </w:rPr>
        <w:tab/>
        <w:t>(ج)</w:t>
      </w:r>
      <w:r>
        <w:rPr>
          <w:rFonts w:hint="cs"/>
          <w:b/>
          <w:bCs/>
          <w:rtl/>
          <w:lang w:val="fr-CH"/>
        </w:rPr>
        <w:tab/>
        <w:t xml:space="preserve">اتخاذ إجراءات </w:t>
      </w:r>
      <w:r w:rsidR="00A35F45">
        <w:rPr>
          <w:rFonts w:hint="cs"/>
          <w:b/>
          <w:bCs/>
          <w:rtl/>
          <w:lang w:val="fr-CH"/>
        </w:rPr>
        <w:t xml:space="preserve">ضد المواقع الشبكية التي تروج </w:t>
      </w:r>
      <w:r w:rsidR="00781763">
        <w:rPr>
          <w:rFonts w:hint="cs"/>
          <w:b/>
          <w:bCs/>
          <w:rtl/>
          <w:lang w:val="fr-CH"/>
        </w:rPr>
        <w:t>للكراهية العنصرية</w:t>
      </w:r>
      <w:r>
        <w:rPr>
          <w:rFonts w:hint="cs"/>
          <w:b/>
          <w:bCs/>
          <w:rtl/>
          <w:lang w:val="fr-CH"/>
        </w:rPr>
        <w:t>؛</w:t>
      </w:r>
    </w:p>
    <w:p w:rsidR="00C21B42" w:rsidRDefault="00C21B42" w:rsidP="00964087">
      <w:pPr>
        <w:pStyle w:val="SingleTxtGA"/>
        <w:rPr>
          <w:rFonts w:hint="cs"/>
          <w:b/>
          <w:bCs/>
          <w:rtl/>
          <w:lang w:val="fr-CH"/>
        </w:rPr>
      </w:pPr>
      <w:r>
        <w:rPr>
          <w:rFonts w:hint="cs"/>
          <w:b/>
          <w:bCs/>
          <w:rtl/>
          <w:lang w:val="fr-CH"/>
        </w:rPr>
        <w:tab/>
        <w:t>(د)</w:t>
      </w:r>
      <w:r>
        <w:rPr>
          <w:rFonts w:hint="cs"/>
          <w:b/>
          <w:bCs/>
          <w:rtl/>
          <w:lang w:val="fr-CH"/>
        </w:rPr>
        <w:tab/>
        <w:t xml:space="preserve">ضمان </w:t>
      </w:r>
      <w:r w:rsidR="00BC70C5">
        <w:rPr>
          <w:rFonts w:hint="cs"/>
          <w:b/>
          <w:bCs/>
          <w:rtl/>
          <w:lang w:val="fr-CH"/>
        </w:rPr>
        <w:t>الإنفاذ الفعال</w:t>
      </w:r>
      <w:r>
        <w:rPr>
          <w:rFonts w:hint="cs"/>
          <w:b/>
          <w:bCs/>
          <w:rtl/>
          <w:lang w:val="fr-CH"/>
        </w:rPr>
        <w:t xml:space="preserve"> </w:t>
      </w:r>
      <w:r w:rsidR="00BC70C5">
        <w:rPr>
          <w:rFonts w:hint="cs"/>
          <w:b/>
          <w:bCs/>
          <w:rtl/>
          <w:lang w:val="fr-CH"/>
        </w:rPr>
        <w:t>ل</w:t>
      </w:r>
      <w:r>
        <w:rPr>
          <w:rFonts w:hint="cs"/>
          <w:b/>
          <w:bCs/>
          <w:rtl/>
          <w:lang w:val="fr-CH"/>
        </w:rPr>
        <w:t xml:space="preserve">قوانين الدولة الطرف </w:t>
      </w:r>
      <w:r w:rsidR="00BC70C5">
        <w:rPr>
          <w:rFonts w:hint="cs"/>
          <w:b/>
          <w:bCs/>
          <w:rtl/>
          <w:lang w:val="fr-CH"/>
        </w:rPr>
        <w:t xml:space="preserve">التي تنص على </w:t>
      </w:r>
      <w:r>
        <w:rPr>
          <w:rFonts w:hint="cs"/>
          <w:b/>
          <w:bCs/>
          <w:rtl/>
          <w:lang w:val="fr-CH"/>
        </w:rPr>
        <w:t xml:space="preserve">عدم قانونية الأحزاب أو المنظمات التي </w:t>
      </w:r>
      <w:r w:rsidR="00964087">
        <w:rPr>
          <w:rFonts w:hint="cs"/>
          <w:b/>
          <w:bCs/>
          <w:rtl/>
          <w:lang w:val="fr-CH"/>
        </w:rPr>
        <w:t>تروج</w:t>
      </w:r>
      <w:r>
        <w:rPr>
          <w:rFonts w:hint="cs"/>
          <w:b/>
          <w:bCs/>
          <w:rtl/>
          <w:lang w:val="fr-CH"/>
        </w:rPr>
        <w:t xml:space="preserve"> </w:t>
      </w:r>
      <w:r w:rsidR="00964087">
        <w:rPr>
          <w:rFonts w:hint="cs"/>
          <w:b/>
          <w:bCs/>
          <w:rtl/>
          <w:lang w:val="fr-CH"/>
        </w:rPr>
        <w:t>ل</w:t>
      </w:r>
      <w:r>
        <w:rPr>
          <w:rFonts w:hint="cs"/>
          <w:b/>
          <w:bCs/>
          <w:rtl/>
          <w:lang w:val="fr-CH"/>
        </w:rPr>
        <w:t>لتمييز العنصري</w:t>
      </w:r>
      <w:r w:rsidR="00964087">
        <w:rPr>
          <w:rFonts w:hint="cs"/>
          <w:b/>
          <w:bCs/>
          <w:rtl/>
          <w:lang w:val="fr-CH"/>
        </w:rPr>
        <w:t xml:space="preserve"> أ</w:t>
      </w:r>
      <w:r w:rsidR="00AE032A">
        <w:rPr>
          <w:rFonts w:hint="cs"/>
          <w:b/>
          <w:bCs/>
          <w:rtl/>
          <w:lang w:val="fr-CH"/>
        </w:rPr>
        <w:t>و</w:t>
      </w:r>
      <w:r w:rsidR="00964087">
        <w:rPr>
          <w:rFonts w:hint="cs"/>
          <w:b/>
          <w:bCs/>
          <w:rtl/>
          <w:lang w:val="fr-CH"/>
        </w:rPr>
        <w:t xml:space="preserve"> تحرض عليه</w:t>
      </w:r>
      <w:r>
        <w:rPr>
          <w:rFonts w:hint="cs"/>
          <w:b/>
          <w:bCs/>
          <w:rtl/>
          <w:lang w:val="fr-CH"/>
        </w:rPr>
        <w:t>، وذلك وفقاً للمادة 4(ب) من الاتفاقية.</w:t>
      </w:r>
    </w:p>
    <w:p w:rsidR="00C21B42" w:rsidRDefault="00C21B42" w:rsidP="007E3633">
      <w:pPr>
        <w:pStyle w:val="H23GA"/>
        <w:rPr>
          <w:rFonts w:hint="cs"/>
          <w:rtl/>
          <w:lang w:val="fr-CH"/>
        </w:rPr>
      </w:pPr>
      <w:r>
        <w:rPr>
          <w:rFonts w:hint="cs"/>
          <w:rtl/>
          <w:lang w:val="fr-CH"/>
        </w:rPr>
        <w:tab/>
      </w:r>
      <w:r>
        <w:rPr>
          <w:rFonts w:hint="cs"/>
          <w:rtl/>
          <w:lang w:val="fr-CH"/>
        </w:rPr>
        <w:tab/>
        <w:t>التمييز العنصري في القضاء الجنائي</w:t>
      </w:r>
    </w:p>
    <w:p w:rsidR="00C21B42" w:rsidRDefault="007E3633" w:rsidP="00B50B39">
      <w:pPr>
        <w:pStyle w:val="SingleTxtGA"/>
        <w:rPr>
          <w:rFonts w:hint="cs"/>
          <w:lang w:val="fr-CH"/>
        </w:rPr>
      </w:pPr>
      <w:r>
        <w:rPr>
          <w:rFonts w:hint="cs"/>
          <w:rtl/>
          <w:lang w:val="fr-CH"/>
        </w:rPr>
        <w:t>11-</w:t>
      </w:r>
      <w:r>
        <w:rPr>
          <w:rFonts w:hint="cs"/>
          <w:rtl/>
          <w:lang w:val="fr-CH"/>
        </w:rPr>
        <w:tab/>
      </w:r>
      <w:r w:rsidR="00C21B42">
        <w:rPr>
          <w:rFonts w:hint="cs"/>
          <w:rtl/>
          <w:lang w:val="fr-CH"/>
        </w:rPr>
        <w:t>تعرب اللجنة عن قلقها إزاء العدد القليل لحالات التمييز العنصري المحالة إلى المحاكم على الرغم من ازدياد جرائم الكراهية. ويساورها القلق أيضاً لأنه في حالة تقديم القضية في نهاية الأمر إلى المحكمة، فإن العقوبة المفروضة قد لا تكون كافية لكي يكون له</w:t>
      </w:r>
      <w:r w:rsidR="00B50B39">
        <w:rPr>
          <w:rFonts w:hint="cs"/>
          <w:rtl/>
          <w:lang w:val="fr-CH"/>
        </w:rPr>
        <w:t>ا</w:t>
      </w:r>
      <w:r w:rsidR="00C21B42">
        <w:rPr>
          <w:rFonts w:hint="cs"/>
          <w:rtl/>
          <w:lang w:val="fr-CH"/>
        </w:rPr>
        <w:t xml:space="preserve"> أثر رادع، وإزاء المعلومات التي تفيد بأن عدد</w:t>
      </w:r>
      <w:r w:rsidR="00B50B39">
        <w:rPr>
          <w:rFonts w:hint="cs"/>
          <w:rtl/>
          <w:lang w:val="fr-CH"/>
        </w:rPr>
        <w:t>اً</w:t>
      </w:r>
      <w:r w:rsidR="00C21B42">
        <w:rPr>
          <w:rFonts w:hint="cs"/>
          <w:rtl/>
          <w:lang w:val="fr-CH"/>
        </w:rPr>
        <w:t xml:space="preserve"> من ضحايا جرائم الكراهية بمن فيهم ضحايا الاعتداءات والتنميط العرقي من جانب موظفي إنفاذ القوانين، غير مستعدين </w:t>
      </w:r>
      <w:r w:rsidR="00B50B39">
        <w:rPr>
          <w:rFonts w:hint="cs"/>
          <w:rtl/>
          <w:lang w:val="fr-CH"/>
        </w:rPr>
        <w:t>ل</w:t>
      </w:r>
      <w:r w:rsidR="00C21B42">
        <w:rPr>
          <w:rFonts w:hint="cs"/>
          <w:rtl/>
          <w:lang w:val="fr-CH"/>
        </w:rPr>
        <w:t>لإبلاغ عن هذه الحالات لأنهم</w:t>
      </w:r>
      <w:r w:rsidR="003D5060">
        <w:rPr>
          <w:rFonts w:hint="cs"/>
          <w:rtl/>
          <w:lang w:val="fr-CH"/>
        </w:rPr>
        <w:t xml:space="preserve"> </w:t>
      </w:r>
      <w:r w:rsidR="00C21B42">
        <w:rPr>
          <w:rFonts w:hint="cs"/>
          <w:rtl/>
          <w:lang w:val="fr-CH"/>
        </w:rPr>
        <w:t xml:space="preserve">يشكون </w:t>
      </w:r>
      <w:r w:rsidR="00B50B39">
        <w:rPr>
          <w:rFonts w:hint="cs"/>
          <w:rtl/>
          <w:lang w:val="fr-CH"/>
        </w:rPr>
        <w:t xml:space="preserve">في </w:t>
      </w:r>
      <w:r w:rsidR="00C21B42">
        <w:rPr>
          <w:rFonts w:hint="cs"/>
          <w:rtl/>
          <w:lang w:val="fr-CH"/>
        </w:rPr>
        <w:t xml:space="preserve">قدرة </w:t>
      </w:r>
      <w:r w:rsidR="00B50B39">
        <w:rPr>
          <w:rFonts w:hint="cs"/>
          <w:rtl/>
          <w:lang w:val="fr-CH"/>
        </w:rPr>
        <w:t xml:space="preserve">وحرص </w:t>
      </w:r>
      <w:r w:rsidR="00C21B42">
        <w:rPr>
          <w:rFonts w:hint="cs"/>
          <w:rtl/>
          <w:lang w:val="fr-CH"/>
        </w:rPr>
        <w:t xml:space="preserve">الموظفين المكلفين بإنفاذ القانون </w:t>
      </w:r>
      <w:r w:rsidR="00B50B39">
        <w:rPr>
          <w:rFonts w:hint="cs"/>
          <w:rtl/>
          <w:lang w:val="fr-CH"/>
        </w:rPr>
        <w:t xml:space="preserve">على </w:t>
      </w:r>
      <w:r w:rsidR="00C21B42">
        <w:rPr>
          <w:rFonts w:hint="cs"/>
          <w:rtl/>
          <w:lang w:val="fr-CH"/>
        </w:rPr>
        <w:t>تقديم الانتصاف المناسب (المادتان 4 و6).</w:t>
      </w:r>
    </w:p>
    <w:p w:rsidR="00C21B42" w:rsidRDefault="00B1301B" w:rsidP="008B52B7">
      <w:pPr>
        <w:pStyle w:val="SingleTxtGA"/>
        <w:rPr>
          <w:rFonts w:hint="cs"/>
          <w:b/>
          <w:bCs/>
          <w:rtl/>
          <w:lang w:val="fr-CH"/>
        </w:rPr>
      </w:pPr>
      <w:r>
        <w:rPr>
          <w:rFonts w:hint="cs"/>
          <w:b/>
          <w:bCs/>
          <w:rtl/>
          <w:lang w:val="fr-CH"/>
        </w:rPr>
        <w:tab/>
      </w:r>
      <w:r w:rsidR="00C21B42">
        <w:rPr>
          <w:rFonts w:hint="cs"/>
          <w:b/>
          <w:bCs/>
          <w:rtl/>
          <w:lang w:val="fr-CH"/>
        </w:rPr>
        <w:t xml:space="preserve">توصي اللجنة الدولة الطرف بمواصلة برامجها التدريبية لصالح أعضاء النيابة العامة وموظفي الشرطة والقضاة بشأن الجرائم المرتكبة بدافع العنصرية وأهمية </w:t>
      </w:r>
      <w:r w:rsidR="001E424A">
        <w:rPr>
          <w:rFonts w:hint="cs"/>
          <w:b/>
          <w:bCs/>
          <w:rtl/>
          <w:lang w:val="fr-CH"/>
        </w:rPr>
        <w:t>مواجهتها</w:t>
      </w:r>
      <w:r w:rsidR="00C21B42">
        <w:rPr>
          <w:rFonts w:hint="cs"/>
          <w:b/>
          <w:bCs/>
          <w:rtl/>
          <w:lang w:val="fr-CH"/>
        </w:rPr>
        <w:t xml:space="preserve"> بالجدية اللازمة. ويتعين على الدولة الطرف</w:t>
      </w:r>
      <w:r w:rsidR="00CB62D3">
        <w:rPr>
          <w:rFonts w:hint="cs"/>
          <w:b/>
          <w:bCs/>
          <w:rtl/>
          <w:lang w:val="fr-CH"/>
        </w:rPr>
        <w:t>،</w:t>
      </w:r>
      <w:r w:rsidR="00C21B42">
        <w:rPr>
          <w:rFonts w:hint="cs"/>
          <w:b/>
          <w:bCs/>
          <w:rtl/>
          <w:lang w:val="fr-CH"/>
        </w:rPr>
        <w:t xml:space="preserve"> في ضوء التوصية العامة للجنة رقم 31(2005) بشأن منع التمييز العنصري في إدارة و</w:t>
      </w:r>
      <w:r w:rsidR="006B5CA0">
        <w:rPr>
          <w:rFonts w:hint="cs"/>
          <w:b/>
          <w:bCs/>
          <w:rtl/>
          <w:lang w:val="fr-CH"/>
        </w:rPr>
        <w:t xml:space="preserve">سير عمل نظام </w:t>
      </w:r>
      <w:r w:rsidR="00C21B42">
        <w:rPr>
          <w:rFonts w:hint="cs"/>
          <w:b/>
          <w:bCs/>
          <w:rtl/>
          <w:lang w:val="fr-CH"/>
        </w:rPr>
        <w:t>العدالة الجنائية، أن تُذكّر أعضاء النيابة العامة بأ</w:t>
      </w:r>
      <w:r w:rsidR="008B52B7">
        <w:rPr>
          <w:rFonts w:hint="cs"/>
          <w:b/>
          <w:bCs/>
          <w:rtl/>
          <w:lang w:val="fr-CH"/>
        </w:rPr>
        <w:t>همية مقاضاة جميع الأ</w:t>
      </w:r>
      <w:r w:rsidR="00C21B42">
        <w:rPr>
          <w:rFonts w:hint="cs"/>
          <w:b/>
          <w:bCs/>
          <w:rtl/>
          <w:lang w:val="fr-CH"/>
        </w:rPr>
        <w:t>فعال العنصرية، بوجه عام، وفرض العقوبات التي تتناسب</w:t>
      </w:r>
      <w:r w:rsidR="008B52B7">
        <w:rPr>
          <w:rFonts w:hint="cs"/>
          <w:b/>
          <w:bCs/>
          <w:rtl/>
          <w:lang w:val="fr-CH"/>
        </w:rPr>
        <w:t xml:space="preserve"> مع</w:t>
      </w:r>
      <w:r w:rsidR="00C21B42">
        <w:rPr>
          <w:rFonts w:hint="cs"/>
          <w:b/>
          <w:bCs/>
          <w:rtl/>
          <w:lang w:val="fr-CH"/>
        </w:rPr>
        <w:t xml:space="preserve"> خطورة هذه الأفعال. وأخيراً، توصي اللجنة الدولة الطرف بإنشاء هيئة مستقلة لتلقي الشكاوى المقدمة بشأن أعما</w:t>
      </w:r>
      <w:r w:rsidR="00CB62D3">
        <w:rPr>
          <w:rFonts w:hint="cs"/>
          <w:b/>
          <w:bCs/>
          <w:rtl/>
          <w:lang w:val="fr-CH"/>
        </w:rPr>
        <w:t>ل</w:t>
      </w:r>
      <w:r w:rsidR="00C21B42">
        <w:rPr>
          <w:rFonts w:hint="cs"/>
          <w:b/>
          <w:bCs/>
          <w:rtl/>
          <w:lang w:val="fr-CH"/>
        </w:rPr>
        <w:t xml:space="preserve"> العنف أو الاعتداء من جانب الشرطة واتخاذ التدابير اللازمة لضمان توظيف أشخاص </w:t>
      </w:r>
      <w:r w:rsidR="008B52B7">
        <w:rPr>
          <w:rFonts w:hint="cs"/>
          <w:b/>
          <w:bCs/>
          <w:rtl/>
          <w:lang w:val="fr-CH"/>
        </w:rPr>
        <w:t xml:space="preserve">من </w:t>
      </w:r>
      <w:r w:rsidR="00C21B42">
        <w:rPr>
          <w:rFonts w:hint="cs"/>
          <w:b/>
          <w:bCs/>
          <w:rtl/>
          <w:lang w:val="fr-CH"/>
        </w:rPr>
        <w:t xml:space="preserve">المنتمين </w:t>
      </w:r>
      <w:r w:rsidR="008B52B7">
        <w:rPr>
          <w:rFonts w:hint="cs"/>
          <w:b/>
          <w:bCs/>
          <w:rtl/>
          <w:lang w:val="fr-CH"/>
        </w:rPr>
        <w:t xml:space="preserve">للأقليات في </w:t>
      </w:r>
      <w:r w:rsidR="00C21B42">
        <w:rPr>
          <w:rFonts w:hint="cs"/>
          <w:b/>
          <w:bCs/>
          <w:rtl/>
          <w:lang w:val="fr-CH"/>
        </w:rPr>
        <w:t>الشرطة.</w:t>
      </w:r>
    </w:p>
    <w:p w:rsidR="00C21B42" w:rsidRDefault="00CF3CD9" w:rsidP="00420792">
      <w:pPr>
        <w:pStyle w:val="H23GA"/>
        <w:rPr>
          <w:rFonts w:hint="cs"/>
          <w:rtl/>
          <w:lang w:val="fr-CH"/>
        </w:rPr>
      </w:pPr>
      <w:r>
        <w:rPr>
          <w:rFonts w:hint="cs"/>
          <w:rtl/>
          <w:lang w:val="fr-CH"/>
        </w:rPr>
        <w:tab/>
      </w:r>
      <w:r>
        <w:rPr>
          <w:rFonts w:hint="cs"/>
          <w:rtl/>
          <w:lang w:val="fr-CH"/>
        </w:rPr>
        <w:tab/>
      </w:r>
      <w:r w:rsidR="00C21B42">
        <w:rPr>
          <w:rFonts w:hint="cs"/>
          <w:rtl/>
          <w:lang w:val="fr-CH"/>
        </w:rPr>
        <w:t xml:space="preserve">حالة الأقليات </w:t>
      </w:r>
      <w:r w:rsidR="00420792">
        <w:rPr>
          <w:rFonts w:hint="cs"/>
          <w:rtl/>
          <w:lang w:val="fr-CH"/>
        </w:rPr>
        <w:t>القومية</w:t>
      </w:r>
      <w:r w:rsidR="00C21B42">
        <w:rPr>
          <w:rFonts w:hint="cs"/>
          <w:rtl/>
          <w:lang w:val="fr-CH"/>
        </w:rPr>
        <w:t xml:space="preserve"> والإثنية</w:t>
      </w:r>
    </w:p>
    <w:p w:rsidR="00C21B42" w:rsidRDefault="00C21B42" w:rsidP="00B24FB3">
      <w:pPr>
        <w:pStyle w:val="SingleTxtGA"/>
        <w:rPr>
          <w:rFonts w:hint="cs"/>
          <w:rtl/>
          <w:lang w:val="fr-CH"/>
        </w:rPr>
      </w:pPr>
      <w:r>
        <w:rPr>
          <w:rFonts w:hint="cs"/>
          <w:rtl/>
          <w:lang w:val="fr-CH"/>
        </w:rPr>
        <w:t>12-</w:t>
      </w:r>
      <w:r>
        <w:rPr>
          <w:rFonts w:hint="cs"/>
          <w:rtl/>
          <w:lang w:val="fr-CH"/>
        </w:rPr>
        <w:tab/>
        <w:t>على الرغم من جهود الدولة الطرف لتعزيز حقوق الأشخاص المنتمين للأقليات،</w:t>
      </w:r>
      <w:r w:rsidR="00CA6FBA">
        <w:rPr>
          <w:rFonts w:hint="cs"/>
          <w:rtl/>
          <w:lang w:val="fr-CH"/>
        </w:rPr>
        <w:t xml:space="preserve">          </w:t>
      </w:r>
      <w:r>
        <w:rPr>
          <w:rFonts w:hint="cs"/>
          <w:rtl/>
          <w:lang w:val="fr-CH"/>
        </w:rPr>
        <w:t xml:space="preserve"> بما في ذلك تنفيذ </w:t>
      </w:r>
      <w:r w:rsidR="00CA6FBA">
        <w:rPr>
          <w:rFonts w:hint="cs"/>
          <w:rtl/>
          <w:lang w:val="fr-CH"/>
        </w:rPr>
        <w:t>ال</w:t>
      </w:r>
      <w:r>
        <w:rPr>
          <w:rFonts w:hint="cs"/>
          <w:rtl/>
          <w:lang w:val="fr-CH"/>
        </w:rPr>
        <w:t xml:space="preserve">قانون </w:t>
      </w:r>
      <w:r w:rsidR="00CA6FBA">
        <w:rPr>
          <w:rFonts w:hint="cs"/>
          <w:rtl/>
          <w:lang w:val="fr-CH"/>
        </w:rPr>
        <w:t>المعني ب</w:t>
      </w:r>
      <w:r>
        <w:rPr>
          <w:rFonts w:hint="cs"/>
          <w:rtl/>
          <w:lang w:val="fr-CH"/>
        </w:rPr>
        <w:t xml:space="preserve">الأقليات القومية والإثنية واللغات الإقليمية، يساور اللجنة القلق إزاء استمرار القوالب </w:t>
      </w:r>
      <w:r w:rsidR="00CA6FBA">
        <w:rPr>
          <w:rFonts w:hint="cs"/>
          <w:rtl/>
          <w:lang w:val="fr-CH"/>
        </w:rPr>
        <w:t>النمطية</w:t>
      </w:r>
      <w:r w:rsidR="007B2A2F">
        <w:rPr>
          <w:rFonts w:hint="cs"/>
          <w:rtl/>
          <w:lang w:val="fr-CH"/>
        </w:rPr>
        <w:t xml:space="preserve"> </w:t>
      </w:r>
      <w:r>
        <w:rPr>
          <w:rFonts w:hint="cs"/>
          <w:rtl/>
          <w:lang w:val="fr-CH"/>
        </w:rPr>
        <w:t>السلبية للأقليات القومية والإثنية. ويساور اللجنة قلق بصفة خاصة إزاء السلوك العنصري ضد الروما واليهود وال</w:t>
      </w:r>
      <w:r w:rsidR="007B2A2F">
        <w:rPr>
          <w:rFonts w:hint="cs"/>
          <w:rtl/>
          <w:lang w:val="fr-CH"/>
        </w:rPr>
        <w:t>أشخاص المنحدرين من أصل أفريقي وآ</w:t>
      </w:r>
      <w:r>
        <w:rPr>
          <w:rFonts w:hint="cs"/>
          <w:rtl/>
          <w:lang w:val="fr-CH"/>
        </w:rPr>
        <w:t xml:space="preserve">سيوي. </w:t>
      </w:r>
      <w:r w:rsidR="00B24FB3">
        <w:rPr>
          <w:rFonts w:hint="cs"/>
          <w:rtl/>
          <w:lang w:val="fr-CH"/>
        </w:rPr>
        <w:t xml:space="preserve">وطلبت </w:t>
      </w:r>
      <w:r>
        <w:rPr>
          <w:rFonts w:hint="cs"/>
          <w:rtl/>
          <w:lang w:val="fr-CH"/>
        </w:rPr>
        <w:t xml:space="preserve">اللجنة إلى الدولة الطرف تقديم معلومات عن حالة </w:t>
      </w:r>
      <w:r w:rsidR="00B24FB3">
        <w:rPr>
          <w:rFonts w:hint="cs"/>
          <w:rtl/>
          <w:lang w:val="fr-CH"/>
        </w:rPr>
        <w:t xml:space="preserve">جماعة </w:t>
      </w:r>
      <w:r>
        <w:rPr>
          <w:rFonts w:hint="cs"/>
          <w:rtl/>
          <w:lang w:val="fr-CH"/>
        </w:rPr>
        <w:t>سلاونسي</w:t>
      </w:r>
      <w:r w:rsidR="00B24FB3">
        <w:rPr>
          <w:rFonts w:hint="cs"/>
          <w:rtl/>
          <w:lang w:val="fr-CH"/>
        </w:rPr>
        <w:t>،</w:t>
      </w:r>
      <w:r>
        <w:rPr>
          <w:rFonts w:hint="cs"/>
          <w:rtl/>
          <w:lang w:val="fr-CH"/>
        </w:rPr>
        <w:t xml:space="preserve"> وتلاحظ أنه وفقاً لرد وفد الدولة الطرف، لا توجد </w:t>
      </w:r>
      <w:r w:rsidR="00B24FB3">
        <w:rPr>
          <w:rFonts w:hint="cs"/>
          <w:rtl/>
          <w:lang w:val="fr-CH"/>
        </w:rPr>
        <w:t xml:space="preserve">جماعة </w:t>
      </w:r>
      <w:r>
        <w:rPr>
          <w:rFonts w:hint="cs"/>
          <w:rtl/>
          <w:lang w:val="fr-CH"/>
        </w:rPr>
        <w:t>تُعرف بسلاونس</w:t>
      </w:r>
      <w:r w:rsidR="00B24FB3">
        <w:rPr>
          <w:rFonts w:hint="cs"/>
          <w:rtl/>
          <w:lang w:val="fr-CH"/>
        </w:rPr>
        <w:t>ي تقيم</w:t>
      </w:r>
      <w:r>
        <w:rPr>
          <w:rFonts w:hint="cs"/>
          <w:rtl/>
          <w:lang w:val="fr-CH"/>
        </w:rPr>
        <w:t xml:space="preserve"> حالياً على أراضي بولندا (المواد 2</w:t>
      </w:r>
      <w:r w:rsidR="00B24FB3">
        <w:rPr>
          <w:rFonts w:hint="cs"/>
          <w:rtl/>
          <w:lang w:val="fr-CH"/>
        </w:rPr>
        <w:t xml:space="preserve"> </w:t>
      </w:r>
      <w:r>
        <w:rPr>
          <w:rFonts w:hint="cs"/>
          <w:rtl/>
          <w:lang w:val="fr-CH"/>
        </w:rPr>
        <w:t>و4 و5 و7).</w:t>
      </w:r>
    </w:p>
    <w:p w:rsidR="00D317C3" w:rsidRDefault="00C21B42" w:rsidP="00811547">
      <w:pPr>
        <w:pStyle w:val="SingleTxtGA"/>
        <w:rPr>
          <w:b/>
          <w:bCs/>
          <w:rtl/>
          <w:lang w:val="fr-CH"/>
        </w:rPr>
      </w:pPr>
      <w:r>
        <w:rPr>
          <w:rFonts w:hint="cs"/>
          <w:rtl/>
          <w:lang w:val="fr-CH"/>
        </w:rPr>
        <w:tab/>
      </w:r>
      <w:r>
        <w:rPr>
          <w:rFonts w:hint="cs"/>
          <w:b/>
          <w:bCs/>
          <w:rtl/>
          <w:lang w:val="fr-CH"/>
        </w:rPr>
        <w:t xml:space="preserve">توصي اللجنة الدولة الطرف بأن تعزز برامجها لبث الوعي في صفوف الجمهور العام بشأن الحوار </w:t>
      </w:r>
      <w:r w:rsidR="00D42FFF">
        <w:rPr>
          <w:rFonts w:hint="cs"/>
          <w:b/>
          <w:bCs/>
          <w:rtl/>
          <w:lang w:val="fr-CH"/>
        </w:rPr>
        <w:t xml:space="preserve">والتسامح </w:t>
      </w:r>
      <w:r>
        <w:rPr>
          <w:rFonts w:hint="cs"/>
          <w:b/>
          <w:bCs/>
          <w:rtl/>
          <w:lang w:val="fr-CH"/>
        </w:rPr>
        <w:t xml:space="preserve">فيما بين الثقافات وبشأن تاريخ وثقافة الأقليات الإثنية والقومية. </w:t>
      </w:r>
      <w:r w:rsidR="00D42FFF">
        <w:rPr>
          <w:rFonts w:hint="cs"/>
          <w:b/>
          <w:bCs/>
          <w:rtl/>
          <w:lang w:val="fr-CH"/>
        </w:rPr>
        <w:t>و</w:t>
      </w:r>
      <w:r>
        <w:rPr>
          <w:rFonts w:hint="cs"/>
          <w:b/>
          <w:bCs/>
          <w:rtl/>
          <w:lang w:val="fr-CH"/>
        </w:rPr>
        <w:t xml:space="preserve">في ضوء توصيتها العامة رقم 32(2009) بشأن معنى ونطاق التدابير الخاصة الواردة في الاتفاقية، توصي </w:t>
      </w:r>
      <w:r w:rsidR="00D42FFF">
        <w:rPr>
          <w:rFonts w:hint="cs"/>
          <w:b/>
          <w:bCs/>
          <w:rtl/>
          <w:lang w:val="fr-CH"/>
        </w:rPr>
        <w:t xml:space="preserve">اللجنة </w:t>
      </w:r>
      <w:r>
        <w:rPr>
          <w:rFonts w:hint="cs"/>
          <w:b/>
          <w:bCs/>
          <w:rtl/>
          <w:lang w:val="fr-CH"/>
        </w:rPr>
        <w:t xml:space="preserve">الدولة الطرف بإيلاء الاعتبار الواجب لاعتماد تدابير خاصة مؤقتة ترمي إلى ضمان تمتع </w:t>
      </w:r>
      <w:r w:rsidR="00D42FFF">
        <w:rPr>
          <w:rFonts w:hint="cs"/>
          <w:b/>
          <w:bCs/>
          <w:rtl/>
          <w:lang w:val="fr-CH"/>
        </w:rPr>
        <w:t xml:space="preserve">أبناء الأقليات بشكل </w:t>
      </w:r>
      <w:r>
        <w:rPr>
          <w:rFonts w:hint="cs"/>
          <w:b/>
          <w:bCs/>
          <w:rtl/>
          <w:lang w:val="fr-CH"/>
        </w:rPr>
        <w:t xml:space="preserve">كامل وعلى قدم المساواة </w:t>
      </w:r>
      <w:r w:rsidR="00D42FFF">
        <w:rPr>
          <w:rFonts w:hint="cs"/>
          <w:b/>
          <w:bCs/>
          <w:rtl/>
          <w:lang w:val="fr-CH"/>
        </w:rPr>
        <w:t xml:space="preserve">مع غيرهم </w:t>
      </w:r>
      <w:r>
        <w:rPr>
          <w:rFonts w:hint="cs"/>
          <w:b/>
          <w:bCs/>
          <w:rtl/>
          <w:lang w:val="fr-CH"/>
        </w:rPr>
        <w:t xml:space="preserve">بحقوق الإنسان والحريات الأساسية، بما </w:t>
      </w:r>
      <w:r w:rsidR="00811547">
        <w:rPr>
          <w:rFonts w:hint="cs"/>
          <w:b/>
          <w:bCs/>
          <w:rtl/>
          <w:lang w:val="fr-CH"/>
        </w:rPr>
        <w:t>يشمل</w:t>
      </w:r>
      <w:r>
        <w:rPr>
          <w:rFonts w:hint="cs"/>
          <w:b/>
          <w:bCs/>
          <w:rtl/>
          <w:lang w:val="fr-CH"/>
        </w:rPr>
        <w:t xml:space="preserve"> </w:t>
      </w:r>
      <w:r w:rsidR="00811547">
        <w:rPr>
          <w:rFonts w:hint="cs"/>
          <w:b/>
          <w:bCs/>
          <w:rtl/>
          <w:lang w:val="fr-CH"/>
        </w:rPr>
        <w:t>التنفيذ الدقيق لأحكام الاتفاقية.</w:t>
      </w:r>
      <w:r w:rsidR="003D5060">
        <w:rPr>
          <w:rFonts w:hint="cs"/>
          <w:b/>
          <w:bCs/>
          <w:rtl/>
          <w:lang w:val="fr-CH"/>
        </w:rPr>
        <w:t xml:space="preserve"> </w:t>
      </w:r>
      <w:r w:rsidR="00811547">
        <w:rPr>
          <w:rFonts w:hint="cs"/>
          <w:b/>
          <w:bCs/>
          <w:rtl/>
          <w:lang w:val="fr-CH"/>
        </w:rPr>
        <w:t>وتطلب</w:t>
      </w:r>
      <w:r>
        <w:rPr>
          <w:rFonts w:hint="cs"/>
          <w:b/>
          <w:bCs/>
          <w:rtl/>
          <w:lang w:val="fr-CH"/>
        </w:rPr>
        <w:t xml:space="preserve"> اللجنة من الدولة الطرف أيضاً أن </w:t>
      </w:r>
      <w:r w:rsidR="001C5144">
        <w:rPr>
          <w:rFonts w:hint="cs"/>
          <w:b/>
          <w:bCs/>
          <w:rtl/>
          <w:lang w:val="fr-CH"/>
        </w:rPr>
        <w:t>تقدم معلومات بشأن مجموعة سلاونس</w:t>
      </w:r>
      <w:r>
        <w:rPr>
          <w:rFonts w:hint="cs"/>
          <w:b/>
          <w:bCs/>
          <w:rtl/>
          <w:lang w:val="fr-CH"/>
        </w:rPr>
        <w:t>ي في بولندا.</w:t>
      </w:r>
    </w:p>
    <w:p w:rsidR="00C21B42" w:rsidRDefault="00D317C3" w:rsidP="00D317C3">
      <w:pPr>
        <w:pStyle w:val="H23GA"/>
        <w:rPr>
          <w:rFonts w:hint="cs"/>
          <w:rtl/>
          <w:lang w:val="fr-CH"/>
        </w:rPr>
      </w:pPr>
      <w:r>
        <w:rPr>
          <w:rtl/>
          <w:lang w:val="fr-CH"/>
        </w:rPr>
        <w:br w:type="page"/>
      </w:r>
      <w:r w:rsidR="001C5144">
        <w:rPr>
          <w:rFonts w:hint="cs"/>
          <w:rtl/>
          <w:lang w:val="fr-CH"/>
        </w:rPr>
        <w:tab/>
      </w:r>
      <w:r w:rsidR="001C5144">
        <w:rPr>
          <w:rFonts w:hint="cs"/>
          <w:rtl/>
          <w:lang w:val="fr-CH"/>
        </w:rPr>
        <w:tab/>
      </w:r>
      <w:r w:rsidR="00C21B42">
        <w:rPr>
          <w:rFonts w:hint="cs"/>
          <w:rtl/>
          <w:lang w:val="fr-CH"/>
        </w:rPr>
        <w:t xml:space="preserve">حالة </w:t>
      </w:r>
      <w:r w:rsidR="001C5144">
        <w:rPr>
          <w:rFonts w:hint="cs"/>
          <w:rtl/>
          <w:lang w:val="fr-CH"/>
        </w:rPr>
        <w:t>جماعة</w:t>
      </w:r>
      <w:r w:rsidR="00C21B42">
        <w:rPr>
          <w:rFonts w:hint="cs"/>
          <w:rtl/>
          <w:lang w:val="fr-CH"/>
        </w:rPr>
        <w:t xml:space="preserve"> الروما</w:t>
      </w:r>
    </w:p>
    <w:p w:rsidR="00C21B42" w:rsidRDefault="00C21B42" w:rsidP="009A195D">
      <w:pPr>
        <w:pStyle w:val="SingleTxtGA"/>
        <w:rPr>
          <w:rFonts w:hint="cs"/>
          <w:rtl/>
          <w:lang w:val="fr-CH"/>
        </w:rPr>
      </w:pPr>
      <w:r>
        <w:rPr>
          <w:rFonts w:hint="cs"/>
          <w:rtl/>
          <w:lang w:val="fr-CH"/>
        </w:rPr>
        <w:t>13-</w:t>
      </w:r>
      <w:r>
        <w:rPr>
          <w:rFonts w:hint="cs"/>
          <w:rtl/>
          <w:lang w:val="fr-CH"/>
        </w:rPr>
        <w:tab/>
      </w:r>
      <w:r w:rsidR="00BE17C0">
        <w:rPr>
          <w:rFonts w:hint="cs"/>
          <w:rtl/>
          <w:lang w:val="fr-CH"/>
        </w:rPr>
        <w:t>تحيط</w:t>
      </w:r>
      <w:r>
        <w:rPr>
          <w:rFonts w:hint="cs"/>
          <w:rtl/>
          <w:lang w:val="fr-CH"/>
        </w:rPr>
        <w:t xml:space="preserve"> اللجنة علماً بعدد النتائج المحرزة من خلال برنامج </w:t>
      </w:r>
      <w:r w:rsidR="00BE17C0">
        <w:rPr>
          <w:rFonts w:hint="cs"/>
          <w:rtl/>
          <w:lang w:val="fr-CH"/>
        </w:rPr>
        <w:t>جماعة</w:t>
      </w:r>
      <w:r>
        <w:rPr>
          <w:rFonts w:hint="cs"/>
          <w:rtl/>
          <w:lang w:val="fr-CH"/>
        </w:rPr>
        <w:t xml:space="preserve"> الروما في بولندا للفترة 2004-2013. ومع ذلك، لا تزال حالة الروما تبعث على القلق فيما يتعلق بارتفاع معدلات التسرب من الدراسة، وإيداع عدد كبير من أطفال الروما في مدارس خاصة، وسوء ظروف المعيشة، بما في ذلك العزل بفعل الواقع في السكن، والتهديد بالإخلاء والعدد المحدود لأفراد الروما الملتحقين بسوق العمل. ويساور اللجنة القلق </w:t>
      </w:r>
      <w:r w:rsidR="00AC1CD4">
        <w:rPr>
          <w:rFonts w:hint="cs"/>
          <w:rtl/>
          <w:lang w:val="fr-CH"/>
        </w:rPr>
        <w:t xml:space="preserve">كذلك </w:t>
      </w:r>
      <w:r>
        <w:rPr>
          <w:rFonts w:hint="cs"/>
          <w:rtl/>
          <w:lang w:val="fr-CH"/>
        </w:rPr>
        <w:t xml:space="preserve">إزاء استمرار الأفكار النمطية السلبية والتمييز ضد هذه </w:t>
      </w:r>
      <w:r w:rsidR="009A195D">
        <w:rPr>
          <w:rFonts w:hint="cs"/>
          <w:rtl/>
          <w:lang w:val="fr-CH"/>
        </w:rPr>
        <w:t>الجماعة</w:t>
      </w:r>
      <w:r>
        <w:rPr>
          <w:rFonts w:hint="cs"/>
          <w:rtl/>
          <w:lang w:val="fr-CH"/>
        </w:rPr>
        <w:t xml:space="preserve"> (المواد من 2 إلى 7).</w:t>
      </w:r>
    </w:p>
    <w:p w:rsidR="00C21B42" w:rsidRDefault="00C21B42" w:rsidP="00CB62D3">
      <w:pPr>
        <w:pStyle w:val="SingleTxtGA"/>
        <w:rPr>
          <w:rFonts w:hint="cs"/>
          <w:b/>
          <w:bCs/>
          <w:rtl/>
          <w:lang w:val="fr-CH"/>
        </w:rPr>
      </w:pPr>
      <w:r>
        <w:rPr>
          <w:rFonts w:hint="cs"/>
          <w:rtl/>
          <w:lang w:val="fr-CH"/>
        </w:rPr>
        <w:tab/>
      </w:r>
      <w:r>
        <w:rPr>
          <w:rFonts w:hint="cs"/>
          <w:b/>
          <w:bCs/>
          <w:rtl/>
          <w:lang w:val="fr-CH"/>
        </w:rPr>
        <w:t xml:space="preserve">وفي ضوء توصية اللجنة العامة رقم 27(2000) بشأن التمييز ضد الغجر، توصي اللجنة الدولة الطرف بتكثيف تدابيرها الخاصة لتعزيز الحقوق الاقتصادية والاجتماعية والثقافية </w:t>
      </w:r>
      <w:r w:rsidR="00D01C0F">
        <w:rPr>
          <w:rFonts w:hint="cs"/>
          <w:b/>
          <w:bCs/>
          <w:rtl/>
          <w:lang w:val="fr-CH"/>
        </w:rPr>
        <w:t>لجماعة</w:t>
      </w:r>
      <w:r>
        <w:rPr>
          <w:rFonts w:hint="cs"/>
          <w:b/>
          <w:bCs/>
          <w:rtl/>
          <w:lang w:val="fr-CH"/>
        </w:rPr>
        <w:t xml:space="preserve"> الروما، وضمان صياغة جميع السياسات والبرامج التي تؤثر عليهم وتنفيذها ورصدها وتقييمها بمشاركة كاملة للمنظمات التي تمثلهم. وفي هذا الصدد، يتعين على الدولة الطرف أن تعجل باعتماد </w:t>
      </w:r>
      <w:r w:rsidR="00EC4498">
        <w:rPr>
          <w:rFonts w:hint="cs"/>
          <w:b/>
          <w:bCs/>
          <w:rtl/>
          <w:lang w:val="fr-CH"/>
        </w:rPr>
        <w:t>ال</w:t>
      </w:r>
      <w:r>
        <w:rPr>
          <w:rFonts w:hint="cs"/>
          <w:b/>
          <w:bCs/>
          <w:rtl/>
          <w:lang w:val="fr-CH"/>
        </w:rPr>
        <w:t xml:space="preserve">برنامج </w:t>
      </w:r>
      <w:r w:rsidR="00EC4498">
        <w:rPr>
          <w:rFonts w:hint="cs"/>
          <w:b/>
          <w:bCs/>
          <w:rtl/>
          <w:lang w:val="fr-CH"/>
        </w:rPr>
        <w:t>ال</w:t>
      </w:r>
      <w:r>
        <w:rPr>
          <w:rFonts w:hint="cs"/>
          <w:b/>
          <w:bCs/>
          <w:rtl/>
          <w:lang w:val="fr-CH"/>
        </w:rPr>
        <w:t xml:space="preserve">جديد </w:t>
      </w:r>
      <w:r w:rsidR="00EC4498">
        <w:rPr>
          <w:rFonts w:hint="cs"/>
          <w:b/>
          <w:bCs/>
          <w:rtl/>
          <w:lang w:val="fr-CH"/>
        </w:rPr>
        <w:t xml:space="preserve">لجماعة </w:t>
      </w:r>
      <w:r>
        <w:rPr>
          <w:rFonts w:hint="cs"/>
          <w:b/>
          <w:bCs/>
          <w:rtl/>
          <w:lang w:val="fr-CH"/>
        </w:rPr>
        <w:t xml:space="preserve">الروما </w:t>
      </w:r>
      <w:r w:rsidR="001A77D8">
        <w:rPr>
          <w:rFonts w:hint="cs"/>
          <w:b/>
          <w:bCs/>
          <w:rtl/>
          <w:lang w:val="fr-CH"/>
        </w:rPr>
        <w:t xml:space="preserve">            </w:t>
      </w:r>
      <w:r>
        <w:rPr>
          <w:rFonts w:hint="cs"/>
          <w:b/>
          <w:bCs/>
          <w:rtl/>
          <w:lang w:val="fr-CH"/>
        </w:rPr>
        <w:t xml:space="preserve">للفترة 2014-2020 وأن تضمن اتخاذ تدابير ملموسة لتحسين ظروف معيشة الروما، بما في ذلك </w:t>
      </w:r>
      <w:r w:rsidR="00D772A9">
        <w:rPr>
          <w:rFonts w:hint="cs"/>
          <w:b/>
          <w:bCs/>
          <w:rtl/>
          <w:lang w:val="fr-CH"/>
        </w:rPr>
        <w:t>إمكانية الالتحاق ب</w:t>
      </w:r>
      <w:r>
        <w:rPr>
          <w:rFonts w:hint="cs"/>
          <w:b/>
          <w:bCs/>
          <w:rtl/>
          <w:lang w:val="fr-CH"/>
        </w:rPr>
        <w:t xml:space="preserve">التعليم النظامي </w:t>
      </w:r>
      <w:r w:rsidR="00D772A9">
        <w:rPr>
          <w:rFonts w:hint="cs"/>
          <w:b/>
          <w:bCs/>
          <w:rtl/>
          <w:lang w:val="fr-CH"/>
        </w:rPr>
        <w:t xml:space="preserve">والعالي </w:t>
      </w:r>
      <w:r>
        <w:rPr>
          <w:rFonts w:hint="cs"/>
          <w:b/>
          <w:bCs/>
          <w:rtl/>
          <w:lang w:val="fr-CH"/>
        </w:rPr>
        <w:t>و</w:t>
      </w:r>
      <w:r w:rsidR="00D772A9">
        <w:rPr>
          <w:rFonts w:hint="cs"/>
          <w:b/>
          <w:bCs/>
          <w:rtl/>
          <w:lang w:val="fr-CH"/>
        </w:rPr>
        <w:t>الحصول على السكن اللائق</w:t>
      </w:r>
      <w:r>
        <w:rPr>
          <w:rFonts w:hint="cs"/>
          <w:b/>
          <w:bCs/>
          <w:rtl/>
          <w:lang w:val="fr-CH"/>
        </w:rPr>
        <w:t xml:space="preserve"> و</w:t>
      </w:r>
      <w:r w:rsidR="00D772A9">
        <w:rPr>
          <w:rFonts w:hint="cs"/>
          <w:b/>
          <w:bCs/>
          <w:rtl/>
          <w:lang w:val="fr-CH"/>
        </w:rPr>
        <w:t>ال</w:t>
      </w:r>
      <w:r>
        <w:rPr>
          <w:rFonts w:hint="cs"/>
          <w:b/>
          <w:bCs/>
          <w:rtl/>
          <w:lang w:val="fr-CH"/>
        </w:rPr>
        <w:t>خدمات الصح</w:t>
      </w:r>
      <w:r w:rsidR="00D772A9">
        <w:rPr>
          <w:rFonts w:hint="cs"/>
          <w:b/>
          <w:bCs/>
          <w:rtl/>
          <w:lang w:val="fr-CH"/>
        </w:rPr>
        <w:t>ي</w:t>
      </w:r>
      <w:r>
        <w:rPr>
          <w:rFonts w:hint="cs"/>
          <w:b/>
          <w:bCs/>
          <w:rtl/>
          <w:lang w:val="fr-CH"/>
        </w:rPr>
        <w:t xml:space="preserve">ة والعمل. وينبغي اتخاذ مزيد من التدابير للتصدي للأسباب الجذرية </w:t>
      </w:r>
      <w:r w:rsidR="005C3F65">
        <w:rPr>
          <w:rFonts w:hint="cs"/>
          <w:b/>
          <w:bCs/>
          <w:rtl/>
          <w:lang w:val="fr-CH"/>
        </w:rPr>
        <w:t>لما تعانيه جماعة الروما من فقر وتهميش</w:t>
      </w:r>
      <w:r>
        <w:rPr>
          <w:rFonts w:hint="cs"/>
          <w:b/>
          <w:bCs/>
          <w:rtl/>
          <w:lang w:val="fr-CH"/>
        </w:rPr>
        <w:t xml:space="preserve">، بما في ذلك أي تمييز غير مباشر يتعرضون له، وتعزيز حقوق المرأة </w:t>
      </w:r>
      <w:r w:rsidR="00374609">
        <w:rPr>
          <w:rFonts w:hint="cs"/>
          <w:b/>
          <w:bCs/>
          <w:rtl/>
          <w:lang w:val="fr-CH"/>
        </w:rPr>
        <w:t xml:space="preserve">في هذه الجماعة حيث </w:t>
      </w:r>
      <w:r>
        <w:rPr>
          <w:rFonts w:hint="cs"/>
          <w:b/>
          <w:bCs/>
          <w:rtl/>
          <w:lang w:val="fr-CH"/>
        </w:rPr>
        <w:t xml:space="preserve">غالباً ما تتعرض لتمييز </w:t>
      </w:r>
      <w:r w:rsidR="00374609">
        <w:rPr>
          <w:rFonts w:hint="cs"/>
          <w:b/>
          <w:bCs/>
          <w:rtl/>
          <w:lang w:val="fr-CH"/>
        </w:rPr>
        <w:t xml:space="preserve">مزدوج، </w:t>
      </w:r>
      <w:r>
        <w:rPr>
          <w:rFonts w:hint="cs"/>
          <w:b/>
          <w:bCs/>
          <w:rtl/>
          <w:lang w:val="fr-CH"/>
        </w:rPr>
        <w:t>مع مراعاة توصية اللجنة العامة رقم 25(2000) بشأن أبعاد التمييز العنصري المتعلقة بنوع الجنس.</w:t>
      </w:r>
    </w:p>
    <w:p w:rsidR="00C21B42" w:rsidRDefault="00E663E5" w:rsidP="00E663E5">
      <w:pPr>
        <w:pStyle w:val="H23GA"/>
        <w:rPr>
          <w:rFonts w:hint="cs"/>
          <w:rtl/>
          <w:lang w:val="fr-CH"/>
        </w:rPr>
      </w:pPr>
      <w:r>
        <w:rPr>
          <w:rFonts w:hint="cs"/>
          <w:rtl/>
          <w:lang w:val="fr-CH"/>
        </w:rPr>
        <w:tab/>
      </w:r>
      <w:r>
        <w:rPr>
          <w:rFonts w:hint="cs"/>
          <w:rtl/>
          <w:lang w:val="fr-CH"/>
        </w:rPr>
        <w:tab/>
      </w:r>
      <w:r w:rsidR="00C21B42">
        <w:rPr>
          <w:rFonts w:hint="cs"/>
          <w:rtl/>
          <w:lang w:val="fr-CH"/>
        </w:rPr>
        <w:t xml:space="preserve">حالة الطائفة اليهودية </w:t>
      </w:r>
    </w:p>
    <w:p w:rsidR="00C21B42" w:rsidRDefault="00E663E5" w:rsidP="00E663E5">
      <w:pPr>
        <w:pStyle w:val="SingleTxtGA"/>
        <w:rPr>
          <w:rFonts w:hint="cs"/>
          <w:rtl/>
          <w:lang w:val="fr-CH"/>
        </w:rPr>
      </w:pPr>
      <w:r>
        <w:rPr>
          <w:rFonts w:hint="cs"/>
          <w:rtl/>
          <w:lang w:val="fr-CH"/>
        </w:rPr>
        <w:t>14-</w:t>
      </w:r>
      <w:r>
        <w:rPr>
          <w:rFonts w:hint="cs"/>
          <w:rtl/>
          <w:lang w:val="fr-CH"/>
        </w:rPr>
        <w:tab/>
      </w:r>
      <w:r w:rsidR="00C21B42">
        <w:rPr>
          <w:rFonts w:hint="cs"/>
          <w:rtl/>
          <w:lang w:val="fr-CH"/>
        </w:rPr>
        <w:t xml:space="preserve">نظراً للتجربة المأساوية التي تعرضت لها الطائفة اليهودية في بولندا وإبادتها </w:t>
      </w:r>
      <w:r>
        <w:rPr>
          <w:rFonts w:hint="cs"/>
          <w:rtl/>
          <w:lang w:val="fr-CH"/>
        </w:rPr>
        <w:t>تقريباً</w:t>
      </w:r>
      <w:r w:rsidR="00C21B42">
        <w:rPr>
          <w:rFonts w:hint="cs"/>
          <w:rtl/>
          <w:lang w:val="fr-CH"/>
        </w:rPr>
        <w:t xml:space="preserve">، </w:t>
      </w:r>
      <w:r>
        <w:rPr>
          <w:rFonts w:hint="cs"/>
          <w:rtl/>
          <w:lang w:val="fr-CH"/>
        </w:rPr>
        <w:t xml:space="preserve"> </w:t>
      </w:r>
      <w:r w:rsidR="00C21B42">
        <w:rPr>
          <w:rFonts w:hint="cs"/>
          <w:rtl/>
          <w:lang w:val="fr-CH"/>
        </w:rPr>
        <w:t>ولا سيما خلال الاحتلال أثناء الحرب العالمية</w:t>
      </w:r>
      <w:r>
        <w:rPr>
          <w:rFonts w:hint="cs"/>
          <w:rtl/>
          <w:lang w:val="fr-CH"/>
        </w:rPr>
        <w:t xml:space="preserve"> الثانية</w:t>
      </w:r>
      <w:r w:rsidR="00C21B42">
        <w:rPr>
          <w:rFonts w:hint="cs"/>
          <w:rtl/>
          <w:lang w:val="fr-CH"/>
        </w:rPr>
        <w:t xml:space="preserve">، تعرب اللجنة عن قلقها إزاء استمرار انتشار </w:t>
      </w:r>
      <w:r>
        <w:rPr>
          <w:rFonts w:hint="cs"/>
          <w:rtl/>
          <w:lang w:val="fr-CH"/>
        </w:rPr>
        <w:t>مشاعر</w:t>
      </w:r>
      <w:r w:rsidR="00C21B42">
        <w:rPr>
          <w:rFonts w:hint="cs"/>
          <w:rtl/>
          <w:lang w:val="fr-CH"/>
        </w:rPr>
        <w:t xml:space="preserve"> معاداة السامية والحوادث المتعلقة بذلك في بولندا، على الرغم من الأنشطة العديدة المتخذة لمكافح</w:t>
      </w:r>
      <w:r>
        <w:rPr>
          <w:rFonts w:hint="cs"/>
          <w:rtl/>
          <w:lang w:val="fr-CH"/>
        </w:rPr>
        <w:t>ة هذا الأمر</w:t>
      </w:r>
      <w:r w:rsidR="00C21B42">
        <w:rPr>
          <w:rFonts w:hint="cs"/>
          <w:rtl/>
          <w:lang w:val="fr-CH"/>
        </w:rPr>
        <w:t>. ويساور</w:t>
      </w:r>
      <w:r w:rsidR="00B8351A">
        <w:rPr>
          <w:rFonts w:hint="cs"/>
          <w:rtl/>
          <w:lang w:val="fr-CH"/>
        </w:rPr>
        <w:t xml:space="preserve"> </w:t>
      </w:r>
      <w:r w:rsidR="00C21B42">
        <w:rPr>
          <w:rFonts w:hint="cs"/>
          <w:rtl/>
          <w:lang w:val="fr-CH"/>
        </w:rPr>
        <w:t>اللجنة القلق أيضاً إزاء المعلومات الواردة المتعلقة بمواقف بعض السلطات البولندية التي توقفت عن إجراء التحقيق في بعض حالات معاداة السامية بالاستناد إلى أن الضحية لا تنتمي للطائفة اليهودية (المادتان 4 و6).</w:t>
      </w:r>
    </w:p>
    <w:p w:rsidR="00EE50CC" w:rsidRDefault="00C21B42" w:rsidP="00EE50CC">
      <w:pPr>
        <w:pStyle w:val="SingleTxtGA"/>
        <w:rPr>
          <w:b/>
          <w:bCs/>
          <w:rtl/>
          <w:lang w:val="fr-CH"/>
        </w:rPr>
      </w:pPr>
      <w:r>
        <w:rPr>
          <w:rFonts w:hint="cs"/>
          <w:rtl/>
          <w:lang w:val="fr-CH"/>
        </w:rPr>
        <w:tab/>
      </w:r>
      <w:r>
        <w:rPr>
          <w:rFonts w:hint="cs"/>
          <w:b/>
          <w:bCs/>
          <w:rtl/>
          <w:lang w:val="fr-CH"/>
        </w:rPr>
        <w:t xml:space="preserve">مع مراعاة التجربة المأساوية للطائفة اليهودية في بولندا، ولا سيما خلال الاحتلال أثناء الحرب العالمية الثانية، توصي اللجنة الدولة الطرف بتكثيف جهودها لمكافحة معاداة السامية والقيام بفعالية </w:t>
      </w:r>
      <w:r w:rsidR="00B8351A">
        <w:rPr>
          <w:rFonts w:hint="cs"/>
          <w:b/>
          <w:bCs/>
          <w:rtl/>
          <w:lang w:val="fr-CH"/>
        </w:rPr>
        <w:t>باتخاذ الإجراءات إزاء</w:t>
      </w:r>
      <w:r>
        <w:rPr>
          <w:rFonts w:hint="cs"/>
          <w:b/>
          <w:bCs/>
          <w:rtl/>
          <w:lang w:val="fr-CH"/>
        </w:rPr>
        <w:t xml:space="preserve"> مظاهرها من خلال توعية أفراد النيابة العامة والقضاة </w:t>
      </w:r>
      <w:r w:rsidR="00EE50CC">
        <w:rPr>
          <w:rFonts w:hint="cs"/>
          <w:b/>
          <w:bCs/>
          <w:rtl/>
          <w:lang w:val="fr-CH"/>
        </w:rPr>
        <w:t xml:space="preserve">بضرورة </w:t>
      </w:r>
      <w:r>
        <w:rPr>
          <w:rFonts w:hint="cs"/>
          <w:b/>
          <w:bCs/>
          <w:rtl/>
          <w:lang w:val="fr-CH"/>
        </w:rPr>
        <w:t xml:space="preserve">تطبيق القانون والاتفاقية بشكل </w:t>
      </w:r>
      <w:r w:rsidR="00EE50CC">
        <w:rPr>
          <w:rFonts w:hint="cs"/>
          <w:b/>
          <w:bCs/>
          <w:rtl/>
          <w:lang w:val="fr-CH"/>
        </w:rPr>
        <w:t>فاعل</w:t>
      </w:r>
      <w:r>
        <w:rPr>
          <w:rFonts w:hint="cs"/>
          <w:b/>
          <w:bCs/>
          <w:rtl/>
          <w:lang w:val="fr-CH"/>
        </w:rPr>
        <w:t xml:space="preserve">. </w:t>
      </w:r>
    </w:p>
    <w:p w:rsidR="00C21B42" w:rsidRDefault="00EE50CC" w:rsidP="00FD563B">
      <w:pPr>
        <w:pStyle w:val="H23GA"/>
        <w:rPr>
          <w:rFonts w:hint="cs"/>
          <w:rtl/>
          <w:lang w:val="fr-CH"/>
        </w:rPr>
      </w:pPr>
      <w:r>
        <w:rPr>
          <w:rtl/>
          <w:lang w:val="fr-CH"/>
        </w:rPr>
        <w:br w:type="page"/>
      </w:r>
      <w:r>
        <w:rPr>
          <w:rFonts w:hint="cs"/>
          <w:rtl/>
          <w:lang w:val="fr-CH"/>
        </w:rPr>
        <w:tab/>
      </w:r>
      <w:r>
        <w:rPr>
          <w:rFonts w:hint="cs"/>
          <w:rtl/>
          <w:lang w:val="fr-CH"/>
        </w:rPr>
        <w:tab/>
      </w:r>
      <w:r w:rsidR="00C21B42">
        <w:rPr>
          <w:rFonts w:hint="cs"/>
          <w:rtl/>
          <w:lang w:val="fr-CH"/>
        </w:rPr>
        <w:t>التمييز ضد غير المواطنين</w:t>
      </w:r>
    </w:p>
    <w:p w:rsidR="00C21B42" w:rsidRDefault="00C21B42" w:rsidP="00B0560E">
      <w:pPr>
        <w:pStyle w:val="SingleTxtGA"/>
        <w:rPr>
          <w:rFonts w:hint="cs"/>
          <w:rtl/>
          <w:lang w:val="fr-CH"/>
        </w:rPr>
      </w:pPr>
      <w:r>
        <w:rPr>
          <w:rFonts w:hint="cs"/>
          <w:rtl/>
          <w:lang w:val="fr-CH"/>
        </w:rPr>
        <w:t>15-</w:t>
      </w:r>
      <w:r>
        <w:rPr>
          <w:rFonts w:hint="cs"/>
          <w:rtl/>
          <w:lang w:val="fr-CH"/>
        </w:rPr>
        <w:tab/>
        <w:t xml:space="preserve">يساور اللجنة القلق إزاء استمرار ممارسة احتجاز </w:t>
      </w:r>
      <w:r w:rsidR="00FD563B">
        <w:rPr>
          <w:rFonts w:hint="cs"/>
          <w:rtl/>
          <w:lang w:val="fr-CH"/>
        </w:rPr>
        <w:t>القصّر</w:t>
      </w:r>
      <w:r>
        <w:rPr>
          <w:rFonts w:hint="cs"/>
          <w:rtl/>
          <w:lang w:val="fr-CH"/>
        </w:rPr>
        <w:t xml:space="preserve"> مع آبائهم وأمهاتهم في مراكز ملتمسي اللجوء </w:t>
      </w:r>
      <w:r w:rsidR="00FD563B">
        <w:rPr>
          <w:rFonts w:hint="cs"/>
          <w:rtl/>
          <w:lang w:val="fr-CH"/>
        </w:rPr>
        <w:t>الخاضعة للحراسة</w:t>
      </w:r>
      <w:r>
        <w:rPr>
          <w:rFonts w:hint="cs"/>
          <w:rtl/>
          <w:lang w:val="fr-CH"/>
        </w:rPr>
        <w:t xml:space="preserve">، مما يمنع </w:t>
      </w:r>
      <w:r w:rsidR="00FD563B">
        <w:rPr>
          <w:rFonts w:hint="cs"/>
          <w:rtl/>
          <w:lang w:val="fr-CH"/>
        </w:rPr>
        <w:t xml:space="preserve">حصول </w:t>
      </w:r>
      <w:r>
        <w:rPr>
          <w:rFonts w:hint="cs"/>
          <w:rtl/>
          <w:lang w:val="fr-CH"/>
        </w:rPr>
        <w:t xml:space="preserve">أولئك </w:t>
      </w:r>
      <w:r w:rsidR="00FD563B">
        <w:rPr>
          <w:rFonts w:hint="cs"/>
          <w:rtl/>
          <w:lang w:val="fr-CH"/>
        </w:rPr>
        <w:t xml:space="preserve">القصّر على </w:t>
      </w:r>
      <w:r>
        <w:rPr>
          <w:rFonts w:hint="cs"/>
          <w:rtl/>
          <w:lang w:val="fr-CH"/>
        </w:rPr>
        <w:t>التعليم المناسب. ويساور اللجنة القلق أيضاً إزاء المعلومات بأن غير المواطنين ولا سيما المهاجرون واللاجئون يواجهون التمييز في مجال العمل و</w:t>
      </w:r>
      <w:r w:rsidR="00B0560E">
        <w:rPr>
          <w:rFonts w:hint="cs"/>
          <w:rtl/>
          <w:lang w:val="fr-CH"/>
        </w:rPr>
        <w:t>يُزعم أنهم يتلقون</w:t>
      </w:r>
      <w:r>
        <w:rPr>
          <w:rFonts w:hint="cs"/>
          <w:rtl/>
          <w:lang w:val="fr-CH"/>
        </w:rPr>
        <w:t xml:space="preserve"> مرتبات أدنى</w:t>
      </w:r>
      <w:r w:rsidR="00B0560E">
        <w:rPr>
          <w:rFonts w:hint="cs"/>
          <w:rtl/>
          <w:lang w:val="fr-CH"/>
        </w:rPr>
        <w:t xml:space="preserve"> من غيرهم</w:t>
      </w:r>
      <w:r>
        <w:rPr>
          <w:rFonts w:hint="cs"/>
          <w:rtl/>
          <w:lang w:val="fr-CH"/>
        </w:rPr>
        <w:t>، و</w:t>
      </w:r>
      <w:r w:rsidR="00B0560E">
        <w:rPr>
          <w:rFonts w:hint="cs"/>
          <w:rtl/>
          <w:lang w:val="fr-CH"/>
        </w:rPr>
        <w:t xml:space="preserve">أنهم </w:t>
      </w:r>
      <w:r>
        <w:rPr>
          <w:rFonts w:hint="cs"/>
          <w:rtl/>
          <w:lang w:val="fr-CH"/>
        </w:rPr>
        <w:t>يعملون لساعات أطول دون عقود رسمية</w:t>
      </w:r>
      <w:r w:rsidR="003F539E">
        <w:rPr>
          <w:rFonts w:hint="cs"/>
          <w:rtl/>
          <w:lang w:val="fr-CH"/>
        </w:rPr>
        <w:t>،</w:t>
      </w:r>
      <w:r>
        <w:rPr>
          <w:rFonts w:hint="cs"/>
          <w:rtl/>
          <w:lang w:val="fr-CH"/>
        </w:rPr>
        <w:t xml:space="preserve"> </w:t>
      </w:r>
      <w:r w:rsidR="00917828">
        <w:rPr>
          <w:rFonts w:hint="cs"/>
          <w:rtl/>
          <w:lang w:val="fr-CH"/>
        </w:rPr>
        <w:t>ويواجهون أيضاً التمييز في السكن</w:t>
      </w:r>
      <w:r>
        <w:rPr>
          <w:rFonts w:hint="cs"/>
          <w:rtl/>
          <w:lang w:val="fr-CH"/>
        </w:rPr>
        <w:t xml:space="preserve"> لأن أصحاب المساكن يرفضون في حالات كثيرة تأجير الشقق السكنية إلى مواطنين أجانب أو التوقيع على عقود معهم (المادتان 5 و6).</w:t>
      </w:r>
    </w:p>
    <w:p w:rsidR="00C21B42" w:rsidRDefault="00C21B42" w:rsidP="008A78D4">
      <w:pPr>
        <w:pStyle w:val="SingleTxtGA"/>
        <w:rPr>
          <w:rFonts w:hint="cs"/>
          <w:b/>
          <w:bCs/>
          <w:rtl/>
          <w:lang w:val="fr-CH"/>
        </w:rPr>
      </w:pPr>
      <w:r>
        <w:rPr>
          <w:rFonts w:hint="cs"/>
          <w:b/>
          <w:bCs/>
          <w:rtl/>
          <w:lang w:val="fr-CH"/>
        </w:rPr>
        <w:tab/>
        <w:t xml:space="preserve">توصي اللجنة الدولة الطرف بالعدول عن احتجاز </w:t>
      </w:r>
      <w:r w:rsidR="00917828">
        <w:rPr>
          <w:rFonts w:hint="cs"/>
          <w:b/>
          <w:bCs/>
          <w:rtl/>
          <w:lang w:val="fr-CH"/>
        </w:rPr>
        <w:t>القصّر</w:t>
      </w:r>
      <w:r>
        <w:rPr>
          <w:rFonts w:hint="cs"/>
          <w:b/>
          <w:bCs/>
          <w:rtl/>
          <w:lang w:val="fr-CH"/>
        </w:rPr>
        <w:t xml:space="preserve"> ملتمسي اللجوء</w:t>
      </w:r>
      <w:r w:rsidR="00917828">
        <w:rPr>
          <w:rFonts w:hint="cs"/>
          <w:b/>
          <w:bCs/>
          <w:rtl/>
          <w:lang w:val="fr-CH"/>
        </w:rPr>
        <w:t>،</w:t>
      </w:r>
      <w:r>
        <w:rPr>
          <w:rFonts w:hint="cs"/>
          <w:b/>
          <w:bCs/>
          <w:rtl/>
          <w:lang w:val="fr-CH"/>
        </w:rPr>
        <w:t xml:space="preserve"> والتنفيذ الكامل للقانون المنقح المتعلق بنظام التعليم للتصدي للصعوبات التعليمية التي يواجهونها، من خلال توفير صفوف ل</w:t>
      </w:r>
      <w:r w:rsidR="00D5434F">
        <w:rPr>
          <w:rFonts w:hint="cs"/>
          <w:b/>
          <w:bCs/>
          <w:rtl/>
          <w:lang w:val="fr-CH"/>
        </w:rPr>
        <w:t>غوية أو مساعدة للتعليم بلغتهم</w:t>
      </w:r>
      <w:r>
        <w:rPr>
          <w:rFonts w:hint="cs"/>
          <w:b/>
          <w:bCs/>
          <w:rtl/>
          <w:lang w:val="fr-CH"/>
        </w:rPr>
        <w:t xml:space="preserve"> الأم. </w:t>
      </w:r>
      <w:r w:rsidR="00747B2D">
        <w:rPr>
          <w:rFonts w:hint="cs"/>
          <w:b/>
          <w:bCs/>
          <w:rtl/>
          <w:lang w:val="fr-CH"/>
        </w:rPr>
        <w:t>و</w:t>
      </w:r>
      <w:r>
        <w:rPr>
          <w:rFonts w:hint="cs"/>
          <w:b/>
          <w:bCs/>
          <w:rtl/>
          <w:lang w:val="fr-CH"/>
        </w:rPr>
        <w:t xml:space="preserve">في ضوء توصيتها العامة رقم 30(2004) بشأن التمييز ضد غير المواطنين، </w:t>
      </w:r>
      <w:r w:rsidR="00747B2D">
        <w:rPr>
          <w:rFonts w:hint="cs"/>
          <w:b/>
          <w:bCs/>
          <w:rtl/>
          <w:lang w:val="fr-CH"/>
        </w:rPr>
        <w:t xml:space="preserve">توصي اللجنة </w:t>
      </w:r>
      <w:r>
        <w:rPr>
          <w:rFonts w:hint="cs"/>
          <w:b/>
          <w:bCs/>
          <w:rtl/>
          <w:lang w:val="fr-CH"/>
        </w:rPr>
        <w:t xml:space="preserve">الدولة الطرف بأن </w:t>
      </w:r>
      <w:r w:rsidR="008A78D4">
        <w:rPr>
          <w:rFonts w:hint="cs"/>
          <w:b/>
          <w:bCs/>
          <w:rtl/>
          <w:lang w:val="fr-CH"/>
        </w:rPr>
        <w:t xml:space="preserve">تزيل </w:t>
      </w:r>
      <w:r>
        <w:rPr>
          <w:rFonts w:hint="cs"/>
          <w:b/>
          <w:bCs/>
          <w:rtl/>
          <w:lang w:val="fr-CH"/>
        </w:rPr>
        <w:t>العقبات أمام تمتع غير المواطنين بالحقوق الاقتصادية والاجتماعية والثقافية و</w:t>
      </w:r>
      <w:r w:rsidR="008A78D4">
        <w:rPr>
          <w:rFonts w:hint="cs"/>
          <w:b/>
          <w:bCs/>
          <w:rtl/>
          <w:lang w:val="fr-CH"/>
        </w:rPr>
        <w:t xml:space="preserve">بأن </w:t>
      </w:r>
      <w:r>
        <w:rPr>
          <w:rFonts w:hint="cs"/>
          <w:b/>
          <w:bCs/>
          <w:rtl/>
          <w:lang w:val="fr-CH"/>
        </w:rPr>
        <w:t xml:space="preserve">تعزز جهودها </w:t>
      </w:r>
      <w:r w:rsidR="008A78D4">
        <w:rPr>
          <w:rFonts w:hint="cs"/>
          <w:b/>
          <w:bCs/>
          <w:rtl/>
          <w:lang w:val="fr-CH"/>
        </w:rPr>
        <w:t xml:space="preserve">الرامية إلى </w:t>
      </w:r>
      <w:r>
        <w:rPr>
          <w:rFonts w:hint="cs"/>
          <w:b/>
          <w:bCs/>
          <w:rtl/>
          <w:lang w:val="fr-CH"/>
        </w:rPr>
        <w:t xml:space="preserve">تطبيق </w:t>
      </w:r>
      <w:r w:rsidR="008A78D4">
        <w:rPr>
          <w:rFonts w:hint="cs"/>
          <w:b/>
          <w:bCs/>
          <w:rtl/>
          <w:lang w:val="fr-CH"/>
        </w:rPr>
        <w:t xml:space="preserve">تشريعاتها </w:t>
      </w:r>
      <w:r>
        <w:rPr>
          <w:rFonts w:hint="cs"/>
          <w:b/>
          <w:bCs/>
          <w:rtl/>
          <w:lang w:val="fr-CH"/>
        </w:rPr>
        <w:t xml:space="preserve">والاتفاقية </w:t>
      </w:r>
      <w:r w:rsidR="008A78D4">
        <w:rPr>
          <w:rFonts w:hint="cs"/>
          <w:b/>
          <w:bCs/>
          <w:rtl/>
          <w:lang w:val="fr-CH"/>
        </w:rPr>
        <w:t xml:space="preserve">من أجل </w:t>
      </w:r>
      <w:r>
        <w:rPr>
          <w:rFonts w:hint="cs"/>
          <w:b/>
          <w:bCs/>
          <w:rtl/>
          <w:lang w:val="fr-CH"/>
        </w:rPr>
        <w:t xml:space="preserve">مكافحة التمييز العنصري المباشر وغير المباشر ضدهم، ولا سيما فيما يتعلق بالتعليم والسكن والعمل. </w:t>
      </w:r>
    </w:p>
    <w:p w:rsidR="00C21B42" w:rsidRDefault="00422B85" w:rsidP="00422B85">
      <w:pPr>
        <w:pStyle w:val="H1GA"/>
        <w:rPr>
          <w:rFonts w:hint="cs"/>
          <w:rtl/>
          <w:lang w:val="fr-CH"/>
        </w:rPr>
      </w:pPr>
      <w:r>
        <w:rPr>
          <w:rFonts w:hint="cs"/>
          <w:rtl/>
          <w:lang w:val="fr-CH"/>
        </w:rPr>
        <w:tab/>
      </w:r>
      <w:r w:rsidR="00C21B42">
        <w:rPr>
          <w:rFonts w:hint="cs"/>
          <w:rtl/>
          <w:lang w:val="fr-CH"/>
        </w:rPr>
        <w:t>دال-</w:t>
      </w:r>
      <w:r w:rsidR="00C21B42">
        <w:rPr>
          <w:rFonts w:hint="cs"/>
          <w:rtl/>
          <w:lang w:val="fr-CH"/>
        </w:rPr>
        <w:tab/>
        <w:t>توصيات أخرى</w:t>
      </w:r>
    </w:p>
    <w:p w:rsidR="00C21B42" w:rsidRDefault="00422B85" w:rsidP="00422B85">
      <w:pPr>
        <w:pStyle w:val="H23GA"/>
        <w:rPr>
          <w:rFonts w:hint="cs"/>
          <w:rtl/>
          <w:lang w:val="fr-CH"/>
        </w:rPr>
      </w:pPr>
      <w:r>
        <w:rPr>
          <w:rFonts w:hint="cs"/>
          <w:rtl/>
          <w:lang w:val="fr-CH"/>
        </w:rPr>
        <w:tab/>
      </w:r>
      <w:r>
        <w:rPr>
          <w:rFonts w:hint="cs"/>
          <w:rtl/>
          <w:lang w:val="fr-CH"/>
        </w:rPr>
        <w:tab/>
      </w:r>
      <w:r w:rsidR="00C21B42">
        <w:rPr>
          <w:rFonts w:hint="cs"/>
          <w:rtl/>
          <w:lang w:val="fr-CH"/>
        </w:rPr>
        <w:t>التصديق على معاهدات أخرى</w:t>
      </w:r>
    </w:p>
    <w:p w:rsidR="00C21B42" w:rsidRDefault="00C21B42" w:rsidP="005F6FF5">
      <w:pPr>
        <w:pStyle w:val="SingleTxtGA"/>
        <w:rPr>
          <w:rFonts w:hint="cs"/>
          <w:rtl/>
          <w:lang w:val="fr-CH"/>
        </w:rPr>
      </w:pPr>
      <w:r>
        <w:rPr>
          <w:rFonts w:hint="cs"/>
          <w:rtl/>
          <w:lang w:val="fr-CH"/>
        </w:rPr>
        <w:t>16-</w:t>
      </w:r>
      <w:r>
        <w:rPr>
          <w:rFonts w:hint="cs"/>
          <w:rtl/>
          <w:lang w:val="fr-CH"/>
        </w:rPr>
        <w:tab/>
      </w:r>
      <w:r>
        <w:rPr>
          <w:rFonts w:hint="cs"/>
          <w:rtl/>
          <w:lang/>
        </w:rPr>
        <w:t xml:space="preserve">إذ تضع اللجنة في اعتبارها عدم قابلية جميع حقوق الإنسان للتجزئة، </w:t>
      </w:r>
      <w:r>
        <w:rPr>
          <w:rFonts w:hint="cs"/>
          <w:rtl/>
        </w:rPr>
        <w:t>تشجِّع الدولة الطرف على أن تنظر في التصديق على المعاهدات الدولية لحقوق الإنسان التي لم تصدِّق عليها بعد، لا سيما المعاهدات التي تتصل أحكامها اتصالاً مباشراً بموضوع التمييز العنصري، كالاتفاقية الدولية لحماية حقوق جميع العمال المهاجرين وأفراد أسرهم</w:t>
      </w:r>
      <w:r>
        <w:rPr>
          <w:rFonts w:hint="cs"/>
          <w:rtl/>
          <w:lang w:val="fr-CH"/>
        </w:rPr>
        <w:t>.</w:t>
      </w:r>
    </w:p>
    <w:p w:rsidR="00C21B42" w:rsidRDefault="009A1842" w:rsidP="009A1842">
      <w:pPr>
        <w:pStyle w:val="H23GA"/>
        <w:rPr>
          <w:rFonts w:hint="cs"/>
          <w:rtl/>
          <w:lang w:val="fr-CH"/>
        </w:rPr>
      </w:pPr>
      <w:r>
        <w:rPr>
          <w:rFonts w:hint="cs"/>
          <w:rtl/>
          <w:lang w:val="fr-CH"/>
        </w:rPr>
        <w:tab/>
      </w:r>
      <w:r>
        <w:rPr>
          <w:rFonts w:hint="cs"/>
          <w:rtl/>
          <w:lang w:val="fr-CH"/>
        </w:rPr>
        <w:tab/>
      </w:r>
      <w:r w:rsidR="00C21B42">
        <w:rPr>
          <w:rFonts w:hint="cs"/>
          <w:rtl/>
          <w:lang w:val="fr-CH"/>
        </w:rPr>
        <w:t>متابعة إعلان وبرنامج عمل ديربان</w:t>
      </w:r>
    </w:p>
    <w:p w:rsidR="00C21B42" w:rsidRPr="007C6025" w:rsidRDefault="00C21B42" w:rsidP="00850923">
      <w:pPr>
        <w:pStyle w:val="SingleTxtGA"/>
        <w:rPr>
          <w:rFonts w:hint="cs"/>
          <w:rtl/>
          <w:lang w:val="fr-CH"/>
        </w:rPr>
      </w:pPr>
      <w:r>
        <w:rPr>
          <w:rFonts w:hint="cs"/>
          <w:rtl/>
          <w:lang w:val="fr-CH"/>
        </w:rPr>
        <w:t>17-</w:t>
      </w:r>
      <w:r>
        <w:rPr>
          <w:rFonts w:hint="cs"/>
          <w:rtl/>
          <w:lang w:val="fr-CH"/>
        </w:rPr>
        <w:tab/>
        <w:t>توصي اللجنة الدولة الطرف،</w:t>
      </w:r>
      <w:r w:rsidR="00E556F9">
        <w:rPr>
          <w:rFonts w:hint="cs"/>
          <w:rtl/>
          <w:lang w:val="fr-CH"/>
        </w:rPr>
        <w:t xml:space="preserve"> </w:t>
      </w:r>
      <w:r>
        <w:rPr>
          <w:rFonts w:hint="cs"/>
          <w:rtl/>
          <w:lang w:val="fr-CH"/>
        </w:rPr>
        <w:t>في ضوء توصيتها العامة رقم 33(2009) بشأن متابعة مؤتمر</w:t>
      </w:r>
      <w:r w:rsidRPr="007C6025">
        <w:rPr>
          <w:rFonts w:hint="cs"/>
          <w:rtl/>
          <w:lang w:val="fr-CH"/>
        </w:rPr>
        <w:t xml:space="preserve"> استعراض </w:t>
      </w:r>
      <w:r w:rsidR="00E556F9">
        <w:rPr>
          <w:rFonts w:hint="cs"/>
          <w:rtl/>
          <w:lang w:val="fr-CH"/>
        </w:rPr>
        <w:t xml:space="preserve">نتائج </w:t>
      </w:r>
      <w:r w:rsidRPr="007C6025">
        <w:rPr>
          <w:rFonts w:hint="cs"/>
          <w:rtl/>
          <w:lang w:val="fr-CH"/>
        </w:rPr>
        <w:t>ديربان</w:t>
      </w:r>
      <w:r w:rsidR="00E556F9">
        <w:rPr>
          <w:rFonts w:hint="cs"/>
          <w:rtl/>
          <w:lang w:val="fr-CH"/>
        </w:rPr>
        <w:t>،</w:t>
      </w:r>
      <w:r w:rsidRPr="007C6025">
        <w:rPr>
          <w:rFonts w:hint="cs"/>
          <w:rtl/>
          <w:lang w:val="fr-CH"/>
        </w:rPr>
        <w:t xml:space="preserve"> بأن تنفِّذ</w:t>
      </w:r>
      <w:r>
        <w:rPr>
          <w:rFonts w:hint="cs"/>
          <w:rtl/>
          <w:lang w:val="fr-CH"/>
        </w:rPr>
        <w:t xml:space="preserve"> </w:t>
      </w:r>
      <w:r w:rsidRPr="007C6025">
        <w:rPr>
          <w:rFonts w:hint="cs"/>
          <w:rtl/>
          <w:lang w:val="fr-CH"/>
        </w:rPr>
        <w:t>إعلان وبرنامج عمل ديربان ال</w:t>
      </w:r>
      <w:r w:rsidR="00E556F9">
        <w:rPr>
          <w:rFonts w:hint="cs"/>
          <w:rtl/>
          <w:lang w:val="fr-CH"/>
        </w:rPr>
        <w:t>ل</w:t>
      </w:r>
      <w:r w:rsidRPr="007C6025">
        <w:rPr>
          <w:rFonts w:hint="cs"/>
          <w:rtl/>
          <w:lang w:val="fr-CH"/>
        </w:rPr>
        <w:t xml:space="preserve">ذين اعتمدهما المؤتمر العالمي لمكافحة العنصرية والتمييز العنصري وكره الأجانب وما يتصل بذلك من تعصب في أيلول/سبتمبر 2001، </w:t>
      </w:r>
      <w:r w:rsidR="00E556F9">
        <w:rPr>
          <w:rFonts w:hint="cs"/>
          <w:rtl/>
          <w:lang w:val="fr-CH"/>
        </w:rPr>
        <w:t xml:space="preserve">مع </w:t>
      </w:r>
      <w:r>
        <w:rPr>
          <w:rFonts w:hint="cs"/>
          <w:rtl/>
          <w:lang w:val="fr-CH"/>
        </w:rPr>
        <w:t xml:space="preserve">مراعاة الوثيقة </w:t>
      </w:r>
      <w:r w:rsidRPr="007C6025">
        <w:rPr>
          <w:rFonts w:hint="cs"/>
          <w:rtl/>
          <w:lang w:val="fr-CH"/>
        </w:rPr>
        <w:t xml:space="preserve">الختامية لمؤتمر الاستعراض المعقود في جنيف في نيسان/أبريل 2009 </w:t>
      </w:r>
      <w:r w:rsidR="00850923">
        <w:rPr>
          <w:rFonts w:hint="cs"/>
          <w:rtl/>
          <w:lang w:val="fr-CH"/>
        </w:rPr>
        <w:t xml:space="preserve">عند </w:t>
      </w:r>
      <w:r w:rsidRPr="007C6025">
        <w:rPr>
          <w:rFonts w:hint="cs"/>
          <w:rtl/>
          <w:lang w:val="fr-CH"/>
        </w:rPr>
        <w:t>تنفيذها للاتفاقية في نظامها القانوني المحلي. وتطلب اللجنة إلى الدولة الطرف أن تدرج في تقريرها الدوري المقبل معلومات محدَّدة</w:t>
      </w:r>
      <w:r w:rsidR="003D5060">
        <w:rPr>
          <w:rFonts w:hint="cs"/>
          <w:rtl/>
          <w:lang w:val="fr-CH"/>
        </w:rPr>
        <w:t xml:space="preserve"> </w:t>
      </w:r>
      <w:r w:rsidRPr="007C6025">
        <w:rPr>
          <w:rFonts w:hint="cs"/>
          <w:rtl/>
          <w:lang w:val="fr-CH"/>
        </w:rPr>
        <w:t>عن خطط العمل وغيرها من التدابير المتخذة لتنفيذ إعلان وبرنامج عمل ديربان على</w:t>
      </w:r>
      <w:r w:rsidR="003D5060">
        <w:rPr>
          <w:rFonts w:hint="cs"/>
          <w:rtl/>
          <w:lang w:val="fr-CH"/>
        </w:rPr>
        <w:t xml:space="preserve"> </w:t>
      </w:r>
      <w:r w:rsidRPr="007C6025">
        <w:rPr>
          <w:rFonts w:hint="cs"/>
          <w:rtl/>
          <w:lang w:val="fr-CH"/>
        </w:rPr>
        <w:t>المستوى الوطني.</w:t>
      </w:r>
    </w:p>
    <w:p w:rsidR="00C21B42" w:rsidRDefault="00850923" w:rsidP="00850923">
      <w:pPr>
        <w:pStyle w:val="H23GA"/>
        <w:rPr>
          <w:rFonts w:hint="cs"/>
          <w:rtl/>
          <w:lang w:val="fr-CH"/>
        </w:rPr>
      </w:pPr>
      <w:r>
        <w:rPr>
          <w:rFonts w:hint="cs"/>
          <w:rtl/>
          <w:lang w:val="fr-CH"/>
        </w:rPr>
        <w:tab/>
      </w:r>
      <w:r>
        <w:rPr>
          <w:rFonts w:hint="cs"/>
          <w:rtl/>
          <w:lang w:val="fr-CH"/>
        </w:rPr>
        <w:tab/>
      </w:r>
      <w:r w:rsidR="00C21B42">
        <w:rPr>
          <w:rFonts w:hint="cs"/>
          <w:rtl/>
          <w:lang w:val="fr-CH"/>
        </w:rPr>
        <w:t>التشاور مع منظمات المجتمع المدني</w:t>
      </w:r>
    </w:p>
    <w:p w:rsidR="00C21B42" w:rsidRPr="00CB745B" w:rsidRDefault="00C21B42" w:rsidP="007318FC">
      <w:pPr>
        <w:pStyle w:val="SingleTxtGA"/>
        <w:rPr>
          <w:rFonts w:hint="cs"/>
          <w:rtl/>
          <w:lang w:val="fr-CH"/>
        </w:rPr>
      </w:pPr>
      <w:r>
        <w:rPr>
          <w:rFonts w:hint="cs"/>
          <w:rtl/>
          <w:lang w:val="fr-CH"/>
        </w:rPr>
        <w:t>18-</w:t>
      </w:r>
      <w:r>
        <w:rPr>
          <w:rFonts w:hint="cs"/>
          <w:rtl/>
          <w:lang w:val="fr-CH"/>
        </w:rPr>
        <w:tab/>
        <w:t xml:space="preserve">توصي اللجنة الدولة الطرف بالتشاور وتوسيع نطاق الحوار مع منظمات المجتمع المدني العاملة في مجال حماية حقوق الإنسان، ولا سيما في مكافحة التمييز العنصري، </w:t>
      </w:r>
      <w:r w:rsidR="000C30A3">
        <w:rPr>
          <w:rFonts w:hint="cs"/>
          <w:rtl/>
          <w:lang w:val="fr-CH"/>
        </w:rPr>
        <w:t xml:space="preserve">                </w:t>
      </w:r>
      <w:r>
        <w:rPr>
          <w:rFonts w:hint="cs"/>
          <w:rtl/>
          <w:lang w:val="fr-CH"/>
        </w:rPr>
        <w:t xml:space="preserve">فيما يتعلق بتنفيذ </w:t>
      </w:r>
      <w:r w:rsidR="007318FC">
        <w:rPr>
          <w:rFonts w:hint="cs"/>
          <w:rtl/>
          <w:lang w:val="fr-CH"/>
        </w:rPr>
        <w:t xml:space="preserve">هذه </w:t>
      </w:r>
      <w:r>
        <w:rPr>
          <w:rFonts w:hint="cs"/>
          <w:rtl/>
          <w:lang w:val="fr-CH"/>
        </w:rPr>
        <w:t>الملاحظات الختامية وإعداد التقرير الدوري المقبل.</w:t>
      </w:r>
    </w:p>
    <w:p w:rsidR="00C21B42" w:rsidRDefault="00AB3902" w:rsidP="00AB3902">
      <w:pPr>
        <w:pStyle w:val="H23GA"/>
        <w:rPr>
          <w:rFonts w:hint="cs"/>
          <w:rtl/>
          <w:lang w:val="fr-CH"/>
        </w:rPr>
      </w:pPr>
      <w:r>
        <w:rPr>
          <w:rFonts w:hint="cs"/>
          <w:rtl/>
          <w:lang w:val="fr-CH"/>
        </w:rPr>
        <w:tab/>
      </w:r>
      <w:r>
        <w:rPr>
          <w:rFonts w:hint="cs"/>
          <w:rtl/>
          <w:lang w:val="fr-CH"/>
        </w:rPr>
        <w:tab/>
      </w:r>
      <w:r w:rsidR="00C21B42" w:rsidRPr="007315FA">
        <w:rPr>
          <w:rFonts w:hint="cs"/>
          <w:rtl/>
          <w:lang w:val="fr-CH"/>
        </w:rPr>
        <w:t>النشر</w:t>
      </w:r>
    </w:p>
    <w:p w:rsidR="00C21B42" w:rsidRPr="0084703B" w:rsidRDefault="00AB3902" w:rsidP="005C1CB4">
      <w:pPr>
        <w:pStyle w:val="SingleTxtGA"/>
        <w:rPr>
          <w:rFonts w:hint="cs"/>
          <w:spacing w:val="-4"/>
          <w:rtl/>
        </w:rPr>
      </w:pPr>
      <w:r w:rsidRPr="0084703B">
        <w:rPr>
          <w:rFonts w:hint="cs"/>
          <w:spacing w:val="-4"/>
          <w:rtl/>
          <w:lang w:val="fr-CH"/>
        </w:rPr>
        <w:t>19-</w:t>
      </w:r>
      <w:r w:rsidRPr="0084703B">
        <w:rPr>
          <w:rFonts w:hint="cs"/>
          <w:spacing w:val="-4"/>
          <w:rtl/>
          <w:lang w:val="fr-CH"/>
        </w:rPr>
        <w:tab/>
      </w:r>
      <w:r w:rsidR="005C1CB4" w:rsidRPr="0084703B">
        <w:rPr>
          <w:rFonts w:hint="cs"/>
          <w:spacing w:val="-4"/>
          <w:rtl/>
          <w:lang w:val="fr-CH"/>
        </w:rPr>
        <w:t xml:space="preserve">تشيد </w:t>
      </w:r>
      <w:r w:rsidR="00C21B42" w:rsidRPr="0084703B">
        <w:rPr>
          <w:rFonts w:hint="cs"/>
          <w:spacing w:val="-4"/>
          <w:rtl/>
          <w:lang w:val="fr-CH"/>
        </w:rPr>
        <w:t>ا</w:t>
      </w:r>
      <w:r w:rsidRPr="0084703B">
        <w:rPr>
          <w:rFonts w:hint="cs"/>
          <w:spacing w:val="-4"/>
          <w:rtl/>
          <w:lang w:val="fr-CH"/>
        </w:rPr>
        <w:t>ل</w:t>
      </w:r>
      <w:r w:rsidR="00C21B42" w:rsidRPr="0084703B">
        <w:rPr>
          <w:rFonts w:hint="cs"/>
          <w:spacing w:val="-4"/>
          <w:rtl/>
          <w:lang w:val="fr-CH"/>
        </w:rPr>
        <w:t xml:space="preserve">لجنة </w:t>
      </w:r>
      <w:r w:rsidRPr="0084703B">
        <w:rPr>
          <w:rFonts w:hint="cs"/>
          <w:spacing w:val="-4"/>
          <w:rtl/>
          <w:lang w:val="fr-CH"/>
        </w:rPr>
        <w:t>ب</w:t>
      </w:r>
      <w:r w:rsidR="00C21B42" w:rsidRPr="0084703B">
        <w:rPr>
          <w:rFonts w:hint="cs"/>
          <w:spacing w:val="-4"/>
          <w:rtl/>
          <w:lang w:val="fr-CH"/>
        </w:rPr>
        <w:t xml:space="preserve">الدولة الطرف على جهودها وتوصيها </w:t>
      </w:r>
      <w:r w:rsidR="00C21B42" w:rsidRPr="0084703B">
        <w:rPr>
          <w:rFonts w:hint="cs"/>
          <w:spacing w:val="-4"/>
          <w:rtl/>
          <w:lang/>
        </w:rPr>
        <w:t xml:space="preserve">بأن </w:t>
      </w:r>
      <w:r w:rsidR="005C1CB4" w:rsidRPr="0084703B">
        <w:rPr>
          <w:rFonts w:hint="cs"/>
          <w:spacing w:val="-4"/>
          <w:rtl/>
          <w:lang/>
        </w:rPr>
        <w:t>تتيح</w:t>
      </w:r>
      <w:r w:rsidR="00C21B42" w:rsidRPr="0084703B">
        <w:rPr>
          <w:rFonts w:hint="cs"/>
          <w:spacing w:val="-4"/>
          <w:rtl/>
          <w:lang/>
        </w:rPr>
        <w:t xml:space="preserve"> تقاريرها للجمهور </w:t>
      </w:r>
      <w:r w:rsidR="005C1CB4" w:rsidRPr="0084703B">
        <w:rPr>
          <w:rFonts w:hint="cs"/>
          <w:spacing w:val="-4"/>
          <w:rtl/>
          <w:lang/>
        </w:rPr>
        <w:t xml:space="preserve">وتيسر اطلاعه عليها </w:t>
      </w:r>
      <w:r w:rsidR="00C21B42" w:rsidRPr="0084703B">
        <w:rPr>
          <w:rFonts w:hint="cs"/>
          <w:spacing w:val="-4"/>
          <w:rtl/>
          <w:lang/>
        </w:rPr>
        <w:t xml:space="preserve">عند تقديمها، وأن </w:t>
      </w:r>
      <w:r w:rsidR="005C1CB4" w:rsidRPr="0084703B">
        <w:rPr>
          <w:rFonts w:hint="cs"/>
          <w:spacing w:val="-4"/>
          <w:rtl/>
          <w:lang/>
        </w:rPr>
        <w:t xml:space="preserve">تستمر في نشر </w:t>
      </w:r>
      <w:r w:rsidR="00C21B42" w:rsidRPr="0084703B">
        <w:rPr>
          <w:rFonts w:hint="cs"/>
          <w:spacing w:val="-4"/>
          <w:rtl/>
          <w:lang/>
        </w:rPr>
        <w:t xml:space="preserve">الملاحظات التي تقدمها اللجنة بشأن هذه التقارير </w:t>
      </w:r>
      <w:r w:rsidR="005C1CB4" w:rsidRPr="0084703B">
        <w:rPr>
          <w:rFonts w:hint="cs"/>
          <w:spacing w:val="-4"/>
          <w:rtl/>
          <w:lang/>
        </w:rPr>
        <w:t xml:space="preserve">على نطاق واسع </w:t>
      </w:r>
      <w:r w:rsidR="00C21B42" w:rsidRPr="0084703B">
        <w:rPr>
          <w:rFonts w:hint="cs"/>
          <w:spacing w:val="-4"/>
          <w:rtl/>
          <w:lang/>
        </w:rPr>
        <w:t>باللغة الرسمية وبغيرها من اللغات الشائعة الاستخدام، عند الاقتضاء</w:t>
      </w:r>
      <w:r w:rsidR="00C21B42" w:rsidRPr="0084703B">
        <w:rPr>
          <w:rFonts w:hint="cs"/>
          <w:spacing w:val="-4"/>
          <w:rtl/>
        </w:rPr>
        <w:t>.</w:t>
      </w:r>
    </w:p>
    <w:p w:rsidR="00C21B42" w:rsidRDefault="006A52B3" w:rsidP="006A52B3">
      <w:pPr>
        <w:pStyle w:val="H23GA"/>
        <w:rPr>
          <w:rFonts w:hint="cs"/>
          <w:rtl/>
        </w:rPr>
      </w:pPr>
      <w:r>
        <w:rPr>
          <w:rFonts w:hint="cs"/>
          <w:rtl/>
        </w:rPr>
        <w:tab/>
      </w:r>
      <w:r>
        <w:rPr>
          <w:rFonts w:hint="cs"/>
          <w:rtl/>
        </w:rPr>
        <w:tab/>
      </w:r>
      <w:r w:rsidR="00C21B42">
        <w:rPr>
          <w:rFonts w:hint="cs"/>
          <w:rtl/>
        </w:rPr>
        <w:t>متابعة الملاحظات الختامية</w:t>
      </w:r>
    </w:p>
    <w:p w:rsidR="00C21B42" w:rsidRPr="00605F27" w:rsidRDefault="00C21B42" w:rsidP="005F6FF5">
      <w:pPr>
        <w:pStyle w:val="SingleTxtGA"/>
        <w:rPr>
          <w:rFonts w:hint="cs"/>
          <w:spacing w:val="-4"/>
          <w:rtl/>
        </w:rPr>
      </w:pPr>
      <w:r w:rsidRPr="00605F27">
        <w:rPr>
          <w:rFonts w:hint="cs"/>
          <w:spacing w:val="-4"/>
          <w:rtl/>
        </w:rPr>
        <w:t>20-</w:t>
      </w:r>
      <w:r w:rsidRPr="00605F27">
        <w:rPr>
          <w:rFonts w:hint="cs"/>
          <w:spacing w:val="-4"/>
          <w:rtl/>
        </w:rPr>
        <w:tab/>
      </w:r>
      <w:r w:rsidRPr="00605F27">
        <w:rPr>
          <w:rFonts w:hint="cs"/>
          <w:spacing w:val="-4"/>
          <w:rtl/>
          <w:lang/>
        </w:rPr>
        <w:t xml:space="preserve">تـطلب اللجنة إلى الدولة الطرف، عـملاً بالفقرة 1 من المادة 9 من الاتفاقية </w:t>
      </w:r>
      <w:r w:rsidR="00AE032A">
        <w:rPr>
          <w:rFonts w:hint="cs"/>
          <w:spacing w:val="-4"/>
          <w:rtl/>
          <w:lang/>
        </w:rPr>
        <w:t xml:space="preserve">           </w:t>
      </w:r>
      <w:r w:rsidRPr="00605F27">
        <w:rPr>
          <w:rFonts w:hint="cs"/>
          <w:spacing w:val="-4"/>
          <w:rtl/>
          <w:lang/>
        </w:rPr>
        <w:t xml:space="preserve">والمادة 65 من نظامها الداخلي المعدل، أن توافيها في غضون سنة واحدة من اعتماد هذه الملاحظات الختامية بمعلومات عن متابعتها للتوصيات الواردة في الفقرات </w:t>
      </w:r>
      <w:r w:rsidRPr="00605F27">
        <w:rPr>
          <w:rFonts w:hint="cs"/>
          <w:spacing w:val="-4"/>
          <w:rtl/>
        </w:rPr>
        <w:t>9 و10 و13 أعلاه.</w:t>
      </w:r>
    </w:p>
    <w:p w:rsidR="00C21B42" w:rsidRDefault="00C21B42" w:rsidP="006A52B3">
      <w:pPr>
        <w:pStyle w:val="H23GA"/>
        <w:rPr>
          <w:rFonts w:hint="cs"/>
          <w:rtl/>
        </w:rPr>
      </w:pPr>
      <w:r>
        <w:rPr>
          <w:rFonts w:hint="cs"/>
          <w:rtl/>
        </w:rPr>
        <w:tab/>
      </w:r>
      <w:r>
        <w:rPr>
          <w:rFonts w:hint="cs"/>
          <w:rtl/>
        </w:rPr>
        <w:tab/>
        <w:t>الفقرات ذات الأهمية الخاصة</w:t>
      </w:r>
    </w:p>
    <w:p w:rsidR="00C21B42" w:rsidRDefault="00C21B42" w:rsidP="00AE032A">
      <w:pPr>
        <w:pStyle w:val="SingleTxtGA"/>
        <w:rPr>
          <w:rFonts w:hint="cs"/>
          <w:rtl/>
        </w:rPr>
      </w:pPr>
      <w:r>
        <w:rPr>
          <w:rFonts w:hint="cs"/>
          <w:rtl/>
        </w:rPr>
        <w:t>21-</w:t>
      </w:r>
      <w:r>
        <w:rPr>
          <w:rFonts w:hint="cs"/>
          <w:rtl/>
        </w:rPr>
        <w:tab/>
      </w:r>
      <w:r>
        <w:rPr>
          <w:rFonts w:hint="cs"/>
          <w:rtl/>
          <w:lang/>
        </w:rPr>
        <w:t>تود اللجنة أيضاً أن توجِّه انتباه الدولة الطرف إلى الأهمية الخاصة للتوصيات الواردة في الفقرات</w:t>
      </w:r>
      <w:r>
        <w:rPr>
          <w:rFonts w:hint="cs"/>
          <w:rtl/>
        </w:rPr>
        <w:t xml:space="preserve"> 8 و14 و15 أعلاه، و</w:t>
      </w:r>
      <w:r>
        <w:rPr>
          <w:rFonts w:hint="cs"/>
          <w:rtl/>
          <w:lang/>
        </w:rPr>
        <w:t>تطلب إلى الدولة الطرف أن تقدم في تقريرها الدوري المقبل معلومات مفصلة عن التدابير الملموسة المتخذة لتنفيذ هذه التوصيات</w:t>
      </w:r>
      <w:r>
        <w:rPr>
          <w:rFonts w:hint="cs"/>
          <w:rtl/>
        </w:rPr>
        <w:t>.</w:t>
      </w:r>
    </w:p>
    <w:p w:rsidR="00C21B42" w:rsidRDefault="00C21B42" w:rsidP="006A52B3">
      <w:pPr>
        <w:pStyle w:val="H23GA"/>
        <w:rPr>
          <w:rFonts w:hint="cs"/>
          <w:rtl/>
        </w:rPr>
      </w:pPr>
      <w:r>
        <w:rPr>
          <w:rFonts w:hint="cs"/>
          <w:rtl/>
        </w:rPr>
        <w:tab/>
      </w:r>
      <w:r>
        <w:rPr>
          <w:rFonts w:hint="cs"/>
          <w:rtl/>
        </w:rPr>
        <w:tab/>
        <w:t>إعداد التقرير الدوري المقبل</w:t>
      </w:r>
    </w:p>
    <w:p w:rsidR="00C21B42" w:rsidRDefault="006A52B3" w:rsidP="0084703B">
      <w:pPr>
        <w:pStyle w:val="SingleTxtGA"/>
        <w:rPr>
          <w:rFonts w:hint="cs"/>
          <w:spacing w:val="-4"/>
          <w:rtl/>
          <w:lang/>
        </w:rPr>
      </w:pPr>
      <w:r>
        <w:rPr>
          <w:rFonts w:hint="cs"/>
          <w:rtl/>
        </w:rPr>
        <w:t>22</w:t>
      </w:r>
      <w:r w:rsidR="00C21B42">
        <w:rPr>
          <w:rFonts w:hint="cs"/>
          <w:rtl/>
        </w:rPr>
        <w:t>-</w:t>
      </w:r>
      <w:r w:rsidR="00C21B42">
        <w:rPr>
          <w:rFonts w:hint="cs"/>
          <w:rtl/>
        </w:rPr>
        <w:tab/>
      </w:r>
      <w:r w:rsidR="00C21B42" w:rsidRPr="00605F27">
        <w:rPr>
          <w:rFonts w:hint="cs"/>
          <w:spacing w:val="-4"/>
          <w:rtl/>
        </w:rPr>
        <w:t>توصي اللجنة الدولة الطرف بأن تقدِّم تقاريرها الدورية</w:t>
      </w:r>
      <w:r w:rsidRPr="00605F27">
        <w:rPr>
          <w:rFonts w:hint="cs"/>
          <w:spacing w:val="-4"/>
          <w:rtl/>
        </w:rPr>
        <w:t xml:space="preserve"> من الثاني والعشرين إلى الرابع و</w:t>
      </w:r>
      <w:r w:rsidR="00C21B42" w:rsidRPr="00605F27">
        <w:rPr>
          <w:rFonts w:hint="cs"/>
          <w:spacing w:val="-4"/>
          <w:rtl/>
        </w:rPr>
        <w:t xml:space="preserve">العشرين في وثيقة واحدة في موعد أقصاه 4 كانون الثاني/يناير 2018، على أن تأخذ في اعتبارها المبادئ التوجيهية المحدّدة لتقديم </w:t>
      </w:r>
      <w:r w:rsidRPr="00605F27">
        <w:rPr>
          <w:rFonts w:hint="cs"/>
          <w:spacing w:val="-4"/>
          <w:rtl/>
        </w:rPr>
        <w:t>الوثيقة الخاصة بالاتفا</w:t>
      </w:r>
      <w:r w:rsidR="00AE032A">
        <w:rPr>
          <w:rFonts w:hint="cs"/>
          <w:spacing w:val="-4"/>
          <w:rtl/>
        </w:rPr>
        <w:t>ق</w:t>
      </w:r>
      <w:r w:rsidRPr="00605F27">
        <w:rPr>
          <w:rFonts w:hint="cs"/>
          <w:spacing w:val="-4"/>
          <w:rtl/>
        </w:rPr>
        <w:t>ية،</w:t>
      </w:r>
      <w:r w:rsidR="00C21B42" w:rsidRPr="00605F27">
        <w:rPr>
          <w:rFonts w:hint="cs"/>
          <w:spacing w:val="-4"/>
          <w:rtl/>
        </w:rPr>
        <w:t xml:space="preserve"> التي اعتمدتها اللجنة في دورتها الحادية والسبعين (</w:t>
      </w:r>
      <w:r w:rsidR="00C21B42" w:rsidRPr="00605F27">
        <w:rPr>
          <w:spacing w:val="-4"/>
        </w:rPr>
        <w:t>CERD/C/2007/1</w:t>
      </w:r>
      <w:r w:rsidR="00C21B42" w:rsidRPr="00605F27">
        <w:rPr>
          <w:rFonts w:hint="cs"/>
          <w:spacing w:val="-4"/>
          <w:rtl/>
        </w:rPr>
        <w:t>)، وأن تتناول جميع النقاط التي أُثيرت في هذه الملاحظات الختامية. وتحثُّ اللجنة أيضاً الدولة الطرف على مراعاة الحد الأقصى لعدد صفحات التقارير الخاصة بكل معاهدة وهو 40 صفحة،</w:t>
      </w:r>
      <w:r w:rsidR="00C21B42" w:rsidRPr="00605F27">
        <w:rPr>
          <w:rFonts w:hint="cs"/>
          <w:spacing w:val="-4"/>
          <w:rtl/>
          <w:lang/>
        </w:rPr>
        <w:t xml:space="preserve"> والحد الأقصى الذي يتراوح بين 60 و80 صفحة لعدد ص</w:t>
      </w:r>
      <w:r w:rsidR="009973D6" w:rsidRPr="00605F27">
        <w:rPr>
          <w:rFonts w:hint="cs"/>
          <w:spacing w:val="-4"/>
          <w:rtl/>
          <w:lang/>
        </w:rPr>
        <w:t>فحات الوثيقة الأساسية المشتركة (ا</w:t>
      </w:r>
      <w:r w:rsidR="00C21B42" w:rsidRPr="00605F27">
        <w:rPr>
          <w:rFonts w:hint="cs"/>
          <w:spacing w:val="-4"/>
          <w:rtl/>
          <w:lang/>
        </w:rPr>
        <w:t xml:space="preserve">نظر المبادئ التوجيهية المنسقة لتقديم التقارير الواردة في الوثيقة </w:t>
      </w:r>
      <w:r w:rsidR="00C21B42" w:rsidRPr="00605F27">
        <w:rPr>
          <w:rFonts w:hint="cs"/>
          <w:spacing w:val="-4"/>
          <w:lang/>
        </w:rPr>
        <w:t>HRI/GEN.2/Rev.6</w:t>
      </w:r>
      <w:r w:rsidR="00C21B42" w:rsidRPr="00605F27">
        <w:rPr>
          <w:rFonts w:hint="cs"/>
          <w:spacing w:val="-4"/>
          <w:rtl/>
          <w:lang/>
        </w:rPr>
        <w:t>، الفقرة 19).</w:t>
      </w:r>
      <w:r w:rsidR="000C30A3">
        <w:rPr>
          <w:rFonts w:hint="cs"/>
          <w:spacing w:val="-4"/>
          <w:rtl/>
          <w:lang/>
        </w:rPr>
        <w:t xml:space="preserve"> </w:t>
      </w:r>
    </w:p>
    <w:p w:rsidR="0084703B" w:rsidRPr="00AE032A" w:rsidRDefault="00AE032A" w:rsidP="00AE032A">
      <w:pPr>
        <w:spacing w:before="120"/>
        <w:jc w:val="center"/>
        <w:rPr>
          <w:rFonts w:hint="cs"/>
          <w:u w:val="single"/>
          <w:rtl/>
        </w:rPr>
      </w:pPr>
      <w:r>
        <w:rPr>
          <w:u w:val="single"/>
          <w:rtl/>
          <w:lang/>
        </w:rPr>
        <w:tab/>
      </w:r>
      <w:r>
        <w:rPr>
          <w:u w:val="single"/>
          <w:rtl/>
          <w:lang/>
        </w:rPr>
        <w:tab/>
      </w:r>
      <w:r>
        <w:rPr>
          <w:u w:val="single"/>
          <w:rtl/>
          <w:lang/>
        </w:rPr>
        <w:tab/>
      </w:r>
    </w:p>
    <w:sectPr w:rsidR="0084703B" w:rsidRPr="00AE032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5E" w:rsidRPr="00FE6865" w:rsidRDefault="009E595E" w:rsidP="00FE6865">
      <w:pPr>
        <w:pStyle w:val="Footer"/>
      </w:pPr>
    </w:p>
  </w:endnote>
  <w:endnote w:type="continuationSeparator" w:id="0">
    <w:p w:rsidR="009E595E" w:rsidRDefault="009E5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2" w:rsidRPr="00C21B42" w:rsidRDefault="00C21B42" w:rsidP="00C21B42">
    <w:pPr>
      <w:pStyle w:val="Footer"/>
      <w:tabs>
        <w:tab w:val="right" w:pos="9598"/>
      </w:tabs>
    </w:pPr>
    <w:r>
      <w:t>GE.14-41807</w:t>
    </w:r>
    <w:r>
      <w:tab/>
    </w:r>
    <w:r w:rsidRPr="00C21B42">
      <w:rPr>
        <w:b/>
        <w:sz w:val="18"/>
      </w:rPr>
      <w:fldChar w:fldCharType="begin"/>
    </w:r>
    <w:r w:rsidRPr="00C21B42">
      <w:rPr>
        <w:b/>
        <w:sz w:val="18"/>
      </w:rPr>
      <w:instrText xml:space="preserve"> PAGE  \* MERGEFORMAT </w:instrText>
    </w:r>
    <w:r w:rsidRPr="00C21B42">
      <w:rPr>
        <w:b/>
        <w:sz w:val="18"/>
      </w:rPr>
      <w:fldChar w:fldCharType="separate"/>
    </w:r>
    <w:r w:rsidR="00460DF3">
      <w:rPr>
        <w:b/>
        <w:noProof/>
        <w:sz w:val="18"/>
      </w:rPr>
      <w:t>2</w:t>
    </w:r>
    <w:r w:rsidRPr="00C21B4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2" w:rsidRPr="00C21B42" w:rsidRDefault="00C21B42" w:rsidP="00C21B42">
    <w:pPr>
      <w:pStyle w:val="Footer"/>
      <w:tabs>
        <w:tab w:val="right" w:pos="9598"/>
      </w:tabs>
      <w:rPr>
        <w:b/>
        <w:sz w:val="18"/>
      </w:rPr>
    </w:pPr>
    <w:r w:rsidRPr="00C21B42">
      <w:rPr>
        <w:b/>
        <w:sz w:val="18"/>
      </w:rPr>
      <w:fldChar w:fldCharType="begin"/>
    </w:r>
    <w:r w:rsidRPr="00C21B42">
      <w:rPr>
        <w:b/>
        <w:sz w:val="18"/>
      </w:rPr>
      <w:instrText xml:space="preserve"> PAGE  \* MERGEFORMAT </w:instrText>
    </w:r>
    <w:r w:rsidRPr="00C21B42">
      <w:rPr>
        <w:b/>
        <w:sz w:val="18"/>
      </w:rPr>
      <w:fldChar w:fldCharType="separate"/>
    </w:r>
    <w:r w:rsidR="00460DF3">
      <w:rPr>
        <w:b/>
        <w:noProof/>
        <w:sz w:val="18"/>
      </w:rPr>
      <w:t>3</w:t>
    </w:r>
    <w:r w:rsidRPr="00C21B42">
      <w:rPr>
        <w:b/>
        <w:sz w:val="18"/>
      </w:rPr>
      <w:fldChar w:fldCharType="end"/>
    </w:r>
    <w:r>
      <w:rPr>
        <w:b/>
        <w:sz w:val="18"/>
      </w:rPr>
      <w:tab/>
    </w:r>
    <w:r>
      <w:t>GE.14-41807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35" w:rsidRDefault="00C21B42" w:rsidP="002647E4">
    <w:pPr>
      <w:pStyle w:val="Footer"/>
      <w:jc w:val="right"/>
    </w:pPr>
    <w:r>
      <w:rPr>
        <w:sz w:val="20"/>
      </w:rPr>
      <w:t>(A)   GE.14-41807    030414    0</w:t>
    </w:r>
    <w:r w:rsidR="002647E4">
      <w:rPr>
        <w:sz w:val="20"/>
      </w:rPr>
      <w:t>4</w:t>
    </w:r>
    <w:r>
      <w:rPr>
        <w:sz w:val="20"/>
      </w:rPr>
      <w:t>0414</w:t>
    </w:r>
    <w:r w:rsidR="0055043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9214C1">
      <w:br/>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sidRPr="009214C1">
      <w:rPr>
        <w:rFonts w:ascii="C39T30Lfz" w:hAnsi="C39T30Lfz"/>
        <w:sz w:val="56"/>
      </w:rPr>
      <w:t></w:t>
    </w:r>
    <w:r w:rsidR="009214C1">
      <w:rPr>
        <w:rFonts w:ascii="C39T30Lfz" w:hAnsi="C39T30Lfz"/>
        <w:sz w:val="56"/>
      </w:rPr>
      <w:tab/>
    </w:r>
    <w:r w:rsidR="009214C1">
      <w:rPr>
        <w:noProof/>
        <w:lang w:val="en-US"/>
      </w:rPr>
      <w:pict>
        <v:shape id="_x0000_s2054" type="#_x0000_t75" style="position:absolute;left:0;text-align:left;margin-left:.05pt;margin-top:0;width:50.25pt;height:50.25pt;z-index:3;mso-position-horizontal-relative:text;mso-position-vertical-relative:text" o:allowincell="f">
          <v:imagedata r:id="rId2" o:title="20-2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5E" w:rsidRDefault="009E595E" w:rsidP="00300142">
      <w:pPr>
        <w:pStyle w:val="Footer"/>
        <w:bidi/>
        <w:spacing w:after="80" w:line="200" w:lineRule="exact"/>
        <w:ind w:left="680"/>
      </w:pPr>
      <w:r>
        <w:rPr>
          <w:rFonts w:hint="cs"/>
          <w:rtl/>
        </w:rPr>
        <w:t>__________</w:t>
      </w:r>
    </w:p>
  </w:footnote>
  <w:footnote w:type="continuationSeparator" w:id="0">
    <w:p w:rsidR="009E595E" w:rsidRDefault="009E595E" w:rsidP="00300142">
      <w:pPr>
        <w:pStyle w:val="Footer"/>
        <w:bidi/>
        <w:spacing w:after="80" w:line="200" w:lineRule="exact"/>
        <w:ind w:left="680"/>
      </w:pPr>
      <w:r>
        <w:rPr>
          <w:rFonts w:hint="cs"/>
          <w:rtl/>
        </w:rPr>
        <w:t>__________</w:t>
      </w:r>
    </w:p>
  </w:footnote>
  <w:footnote w:id="1">
    <w:p w:rsidR="00C21B42" w:rsidRPr="00D46CCD" w:rsidRDefault="00C21B42" w:rsidP="009214C1">
      <w:pPr>
        <w:pStyle w:val="footnoteText0"/>
        <w:spacing w:after="240"/>
        <w:rPr>
          <w:rFonts w:hint="cs"/>
        </w:rPr>
      </w:pPr>
      <w:r>
        <w:rPr>
          <w:rtl/>
        </w:rPr>
        <w:tab/>
      </w:r>
      <w:r w:rsidRPr="00D46CCD">
        <w:rPr>
          <w:rStyle w:val="FootnoteReference"/>
          <w:sz w:val="20"/>
          <w:vertAlign w:val="baseline"/>
          <w:rtl/>
        </w:rPr>
        <w:t>*</w:t>
      </w:r>
      <w:r>
        <w:rPr>
          <w:rtl/>
        </w:rPr>
        <w:tab/>
      </w:r>
      <w:r>
        <w:rPr>
          <w:rFonts w:hint="cs"/>
          <w:rtl/>
        </w:rPr>
        <w:t>اعتمدتها اللجنة في دورتها الرابعة والثمانين (3-21 شباط/فبراير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2" w:rsidRPr="00C21B42" w:rsidRDefault="00C21B42" w:rsidP="00C21B42">
    <w:pPr>
      <w:pStyle w:val="Header"/>
      <w:jc w:val="right"/>
    </w:pPr>
    <w:r w:rsidRPr="00C21B42">
      <w:t>CERD/C/POL/CO/20-21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35" w:rsidRPr="00C21B42" w:rsidRDefault="00C21B42" w:rsidP="00C21B42">
    <w:pPr>
      <w:pStyle w:val="Header"/>
      <w:jc w:val="left"/>
    </w:pPr>
    <w:r w:rsidRPr="00C21B42">
      <w:t>CERD/C/POL/CO/20-21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35" w:rsidRDefault="0055043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550435" w:rsidRPr="00A85A54" w:rsidRDefault="00550435"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8642C7D"/>
    <w:multiLevelType w:val="hybridMultilevel"/>
    <w:tmpl w:val="CD4C8DBE"/>
    <w:lvl w:ilvl="0" w:tplc="A6A0CA06">
      <w:start w:val="14"/>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4A0686"/>
    <w:multiLevelType w:val="hybridMultilevel"/>
    <w:tmpl w:val="AAA4F8C6"/>
    <w:lvl w:ilvl="0" w:tplc="DDF48996">
      <w:start w:val="11"/>
      <w:numFmt w:val="decimal"/>
      <w:lvlText w:val="%1-"/>
      <w:lvlJc w:val="left"/>
      <w:pPr>
        <w:tabs>
          <w:tab w:val="num" w:pos="1215"/>
        </w:tabs>
        <w:ind w:left="121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8"/>
  </w:num>
  <w:num w:numId="6">
    <w:abstractNumId w:val="22"/>
  </w:num>
  <w:num w:numId="7">
    <w:abstractNumId w:val="11"/>
  </w:num>
  <w:num w:numId="8">
    <w:abstractNumId w:val="10"/>
  </w:num>
  <w:num w:numId="9">
    <w:abstractNumId w:val="14"/>
  </w:num>
  <w:num w:numId="10">
    <w:abstractNumId w:val="21"/>
  </w:num>
  <w:num w:numId="11">
    <w:abstractNumId w:val="1"/>
  </w:num>
  <w:num w:numId="12">
    <w:abstractNumId w:val="15"/>
  </w:num>
  <w:num w:numId="13">
    <w:abstractNumId w:val="12"/>
  </w:num>
  <w:num w:numId="14">
    <w:abstractNumId w:val="8"/>
  </w:num>
  <w:num w:numId="15">
    <w:abstractNumId w:val="22"/>
  </w:num>
  <w:num w:numId="16">
    <w:abstractNumId w:val="1"/>
  </w:num>
  <w:num w:numId="17">
    <w:abstractNumId w:val="15"/>
  </w:num>
  <w:num w:numId="18">
    <w:abstractNumId w:val="12"/>
  </w:num>
  <w:num w:numId="19">
    <w:abstractNumId w:val="8"/>
  </w:num>
  <w:num w:numId="20">
    <w:abstractNumId w:val="22"/>
  </w:num>
  <w:num w:numId="21">
    <w:abstractNumId w:val="1"/>
  </w:num>
  <w:num w:numId="22">
    <w:abstractNumId w:val="15"/>
  </w:num>
  <w:num w:numId="23">
    <w:abstractNumId w:val="8"/>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7"/>
  </w:num>
  <w:num w:numId="32">
    <w:abstractNumId w:val="16"/>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3"/>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435"/>
    <w:rsid w:val="00035450"/>
    <w:rsid w:val="00040A04"/>
    <w:rsid w:val="00040E25"/>
    <w:rsid w:val="00042149"/>
    <w:rsid w:val="000648EA"/>
    <w:rsid w:val="00076443"/>
    <w:rsid w:val="000957C8"/>
    <w:rsid w:val="00097049"/>
    <w:rsid w:val="000A04D5"/>
    <w:rsid w:val="000B52F2"/>
    <w:rsid w:val="000C30A3"/>
    <w:rsid w:val="000C761A"/>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A77D8"/>
    <w:rsid w:val="001B6654"/>
    <w:rsid w:val="001C5144"/>
    <w:rsid w:val="001E424A"/>
    <w:rsid w:val="00232277"/>
    <w:rsid w:val="0023736D"/>
    <w:rsid w:val="00257225"/>
    <w:rsid w:val="002647E4"/>
    <w:rsid w:val="00265577"/>
    <w:rsid w:val="00294CF8"/>
    <w:rsid w:val="00300142"/>
    <w:rsid w:val="00310160"/>
    <w:rsid w:val="00332563"/>
    <w:rsid w:val="00341A8C"/>
    <w:rsid w:val="003519E6"/>
    <w:rsid w:val="00355F81"/>
    <w:rsid w:val="00374609"/>
    <w:rsid w:val="003907A1"/>
    <w:rsid w:val="003B394C"/>
    <w:rsid w:val="003B4356"/>
    <w:rsid w:val="003D5060"/>
    <w:rsid w:val="003F08A8"/>
    <w:rsid w:val="003F539E"/>
    <w:rsid w:val="00420792"/>
    <w:rsid w:val="00422B85"/>
    <w:rsid w:val="004250E3"/>
    <w:rsid w:val="00442527"/>
    <w:rsid w:val="00450332"/>
    <w:rsid w:val="00460DF3"/>
    <w:rsid w:val="00472A81"/>
    <w:rsid w:val="00473961"/>
    <w:rsid w:val="004A20A6"/>
    <w:rsid w:val="004B2C92"/>
    <w:rsid w:val="004D6A3A"/>
    <w:rsid w:val="004F4AD7"/>
    <w:rsid w:val="00511819"/>
    <w:rsid w:val="00541877"/>
    <w:rsid w:val="00543BB8"/>
    <w:rsid w:val="0054755A"/>
    <w:rsid w:val="005475B4"/>
    <w:rsid w:val="00550435"/>
    <w:rsid w:val="0055578C"/>
    <w:rsid w:val="00557CD3"/>
    <w:rsid w:val="00571432"/>
    <w:rsid w:val="005732A2"/>
    <w:rsid w:val="005762A5"/>
    <w:rsid w:val="00590BA3"/>
    <w:rsid w:val="005B46D9"/>
    <w:rsid w:val="005B7AE0"/>
    <w:rsid w:val="005C1CB4"/>
    <w:rsid w:val="005C3F65"/>
    <w:rsid w:val="005E23F5"/>
    <w:rsid w:val="005E3D39"/>
    <w:rsid w:val="005F146F"/>
    <w:rsid w:val="005F6FF5"/>
    <w:rsid w:val="005F71B6"/>
    <w:rsid w:val="00605F27"/>
    <w:rsid w:val="00635953"/>
    <w:rsid w:val="00654786"/>
    <w:rsid w:val="00660FD4"/>
    <w:rsid w:val="00665BE4"/>
    <w:rsid w:val="00672641"/>
    <w:rsid w:val="00676305"/>
    <w:rsid w:val="006950AD"/>
    <w:rsid w:val="006A21E7"/>
    <w:rsid w:val="006A4425"/>
    <w:rsid w:val="006A52B3"/>
    <w:rsid w:val="006B00A4"/>
    <w:rsid w:val="006B4669"/>
    <w:rsid w:val="006B5CA0"/>
    <w:rsid w:val="006D3CFA"/>
    <w:rsid w:val="006F6BF8"/>
    <w:rsid w:val="00707BDF"/>
    <w:rsid w:val="00710727"/>
    <w:rsid w:val="00715F45"/>
    <w:rsid w:val="00721DC4"/>
    <w:rsid w:val="007232D4"/>
    <w:rsid w:val="00731815"/>
    <w:rsid w:val="007318FC"/>
    <w:rsid w:val="00731B84"/>
    <w:rsid w:val="00734AE7"/>
    <w:rsid w:val="00747B2D"/>
    <w:rsid w:val="007623AB"/>
    <w:rsid w:val="00781763"/>
    <w:rsid w:val="0079344E"/>
    <w:rsid w:val="00795DA2"/>
    <w:rsid w:val="007B2A2F"/>
    <w:rsid w:val="007B2A75"/>
    <w:rsid w:val="007C16F6"/>
    <w:rsid w:val="007E197F"/>
    <w:rsid w:val="007E3633"/>
    <w:rsid w:val="007F68C4"/>
    <w:rsid w:val="00811547"/>
    <w:rsid w:val="008153DE"/>
    <w:rsid w:val="008171E0"/>
    <w:rsid w:val="0084703B"/>
    <w:rsid w:val="00850923"/>
    <w:rsid w:val="00852A10"/>
    <w:rsid w:val="00862634"/>
    <w:rsid w:val="00866C59"/>
    <w:rsid w:val="0087500B"/>
    <w:rsid w:val="00877306"/>
    <w:rsid w:val="00885524"/>
    <w:rsid w:val="008A2424"/>
    <w:rsid w:val="008A6242"/>
    <w:rsid w:val="008A78D4"/>
    <w:rsid w:val="008B4BC6"/>
    <w:rsid w:val="008B52B7"/>
    <w:rsid w:val="008F6743"/>
    <w:rsid w:val="00901E57"/>
    <w:rsid w:val="009070DF"/>
    <w:rsid w:val="00917828"/>
    <w:rsid w:val="009214C1"/>
    <w:rsid w:val="00935F0E"/>
    <w:rsid w:val="00945899"/>
    <w:rsid w:val="00946C4D"/>
    <w:rsid w:val="0095208F"/>
    <w:rsid w:val="00964087"/>
    <w:rsid w:val="00974DF9"/>
    <w:rsid w:val="00977B3F"/>
    <w:rsid w:val="009814AE"/>
    <w:rsid w:val="009901D3"/>
    <w:rsid w:val="00996BBE"/>
    <w:rsid w:val="009973D6"/>
    <w:rsid w:val="009A1842"/>
    <w:rsid w:val="009A195D"/>
    <w:rsid w:val="009B2C03"/>
    <w:rsid w:val="009B4A13"/>
    <w:rsid w:val="009D17B9"/>
    <w:rsid w:val="009D1DD5"/>
    <w:rsid w:val="009E595E"/>
    <w:rsid w:val="009F722C"/>
    <w:rsid w:val="00A26157"/>
    <w:rsid w:val="00A265C3"/>
    <w:rsid w:val="00A26AD1"/>
    <w:rsid w:val="00A35F45"/>
    <w:rsid w:val="00A43F9A"/>
    <w:rsid w:val="00A53F38"/>
    <w:rsid w:val="00A543D4"/>
    <w:rsid w:val="00A85A54"/>
    <w:rsid w:val="00A928D7"/>
    <w:rsid w:val="00AB3902"/>
    <w:rsid w:val="00AC1CD4"/>
    <w:rsid w:val="00AD0014"/>
    <w:rsid w:val="00AD4CF2"/>
    <w:rsid w:val="00AD60B0"/>
    <w:rsid w:val="00AE032A"/>
    <w:rsid w:val="00AF0BBA"/>
    <w:rsid w:val="00AF4146"/>
    <w:rsid w:val="00B0560E"/>
    <w:rsid w:val="00B1301B"/>
    <w:rsid w:val="00B24FB3"/>
    <w:rsid w:val="00B25159"/>
    <w:rsid w:val="00B30468"/>
    <w:rsid w:val="00B44E31"/>
    <w:rsid w:val="00B50B39"/>
    <w:rsid w:val="00B8351A"/>
    <w:rsid w:val="00BA4F7E"/>
    <w:rsid w:val="00BB2C41"/>
    <w:rsid w:val="00BC47AF"/>
    <w:rsid w:val="00BC55C8"/>
    <w:rsid w:val="00BC5C10"/>
    <w:rsid w:val="00BC70C5"/>
    <w:rsid w:val="00BE17C0"/>
    <w:rsid w:val="00BE2964"/>
    <w:rsid w:val="00BF6CF0"/>
    <w:rsid w:val="00C21623"/>
    <w:rsid w:val="00C21B42"/>
    <w:rsid w:val="00C24FBD"/>
    <w:rsid w:val="00C34A5E"/>
    <w:rsid w:val="00C473BA"/>
    <w:rsid w:val="00C611ED"/>
    <w:rsid w:val="00C6490A"/>
    <w:rsid w:val="00C64FE1"/>
    <w:rsid w:val="00C726D2"/>
    <w:rsid w:val="00C74296"/>
    <w:rsid w:val="00C8345E"/>
    <w:rsid w:val="00C923CF"/>
    <w:rsid w:val="00CA58DD"/>
    <w:rsid w:val="00CA5F7C"/>
    <w:rsid w:val="00CA6FBA"/>
    <w:rsid w:val="00CB62D3"/>
    <w:rsid w:val="00CF3CD9"/>
    <w:rsid w:val="00D01C0F"/>
    <w:rsid w:val="00D317C3"/>
    <w:rsid w:val="00D42FFF"/>
    <w:rsid w:val="00D51067"/>
    <w:rsid w:val="00D5434F"/>
    <w:rsid w:val="00D55A31"/>
    <w:rsid w:val="00D75657"/>
    <w:rsid w:val="00D772A9"/>
    <w:rsid w:val="00D84E94"/>
    <w:rsid w:val="00D960AD"/>
    <w:rsid w:val="00DA0E0E"/>
    <w:rsid w:val="00DA5825"/>
    <w:rsid w:val="00DB0885"/>
    <w:rsid w:val="00DB0C39"/>
    <w:rsid w:val="00DB0E02"/>
    <w:rsid w:val="00DB7679"/>
    <w:rsid w:val="00DC5058"/>
    <w:rsid w:val="00DF1702"/>
    <w:rsid w:val="00DF4DD8"/>
    <w:rsid w:val="00DF668E"/>
    <w:rsid w:val="00E04826"/>
    <w:rsid w:val="00E14D2B"/>
    <w:rsid w:val="00E20DBA"/>
    <w:rsid w:val="00E31966"/>
    <w:rsid w:val="00E556F9"/>
    <w:rsid w:val="00E6524A"/>
    <w:rsid w:val="00E660D6"/>
    <w:rsid w:val="00E663E5"/>
    <w:rsid w:val="00E771AB"/>
    <w:rsid w:val="00E84351"/>
    <w:rsid w:val="00EA796F"/>
    <w:rsid w:val="00EB077B"/>
    <w:rsid w:val="00EC4498"/>
    <w:rsid w:val="00EC50B9"/>
    <w:rsid w:val="00ED26A0"/>
    <w:rsid w:val="00ED72D7"/>
    <w:rsid w:val="00EE50CC"/>
    <w:rsid w:val="00F05929"/>
    <w:rsid w:val="00F158B0"/>
    <w:rsid w:val="00F15E22"/>
    <w:rsid w:val="00F1727A"/>
    <w:rsid w:val="00F31738"/>
    <w:rsid w:val="00F34764"/>
    <w:rsid w:val="00F50D87"/>
    <w:rsid w:val="00F54E3C"/>
    <w:rsid w:val="00F6275A"/>
    <w:rsid w:val="00F73227"/>
    <w:rsid w:val="00F874BD"/>
    <w:rsid w:val="00FB1D0B"/>
    <w:rsid w:val="00FD563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C21B42"/>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2242</Words>
  <Characters>12784</Characters>
  <Application>Microsoft Office Outlook</Application>
  <DocSecurity>4</DocSecurity>
  <Lines>106</Lines>
  <Paragraphs>29</Paragraphs>
  <ScaleCrop>false</ScaleCrop>
  <HeadingPairs>
    <vt:vector size="2" baseType="variant">
      <vt:variant>
        <vt:lpstr>العنوان</vt:lpstr>
      </vt:variant>
      <vt:variant>
        <vt:i4>1</vt:i4>
      </vt:variant>
    </vt:vector>
  </HeadingPairs>
  <TitlesOfParts>
    <vt:vector size="1" baseType="lpstr">
      <vt:lpstr>CERD/C/POL/CO/20-21</vt:lpstr>
    </vt:vector>
  </TitlesOfParts>
  <Company>CSD</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CERD/C/POL/CO/20-21</dc:title>
  <dc:subject>Khudhairi-Emara</dc:subject>
  <dc:creator>Mervat</dc:creator>
  <cp:keywords/>
  <dc:description/>
  <cp:lastModifiedBy>TPS</cp:lastModifiedBy>
  <cp:revision>2</cp:revision>
  <cp:lastPrinted>2014-04-03T10:13:00Z</cp:lastPrinted>
  <dcterms:created xsi:type="dcterms:W3CDTF">2014-04-04T08:55:00Z</dcterms:created>
  <dcterms:modified xsi:type="dcterms:W3CDTF">2014-04-04T08:55:00Z</dcterms:modified>
</cp:coreProperties>
</file>