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81682" w:rsidP="00281682">
            <w:pPr>
              <w:bidi w:val="0"/>
              <w:spacing w:after="20"/>
              <w:jc w:val="left"/>
              <w:rPr>
                <w:szCs w:val="20"/>
              </w:rPr>
            </w:pPr>
            <w:r w:rsidRPr="00281682">
              <w:rPr>
                <w:sz w:val="40"/>
                <w:szCs w:val="20"/>
              </w:rPr>
              <w:t>CMW</w:t>
            </w:r>
            <w:r>
              <w:rPr>
                <w:szCs w:val="20"/>
              </w:rPr>
              <w:t>/C/BFA/CO/1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F976C0">
            <w:pPr>
              <w:jc w:val="center"/>
              <w:rPr>
                <w:rFonts w:hint="cs"/>
                <w:szCs w:val="60"/>
                <w:rtl/>
              </w:rPr>
            </w:pPr>
          </w:p>
        </w:tc>
        <w:tc>
          <w:tcPr>
            <w:tcW w:w="3612" w:type="dxa"/>
            <w:tcBorders>
              <w:top w:val="single" w:sz="4" w:space="0" w:color="auto"/>
              <w:bottom w:val="single" w:sz="12" w:space="0" w:color="auto"/>
            </w:tcBorders>
          </w:tcPr>
          <w:p w:rsidR="00281682" w:rsidRDefault="00281682" w:rsidP="00281682">
            <w:pPr>
              <w:bidi w:val="0"/>
              <w:spacing w:before="240"/>
              <w:jc w:val="left"/>
            </w:pPr>
            <w:r>
              <w:t>Distr.: General</w:t>
            </w:r>
          </w:p>
          <w:p w:rsidR="00281682" w:rsidRDefault="00281682" w:rsidP="00281682">
            <w:pPr>
              <w:bidi w:val="0"/>
              <w:jc w:val="left"/>
            </w:pPr>
            <w:r>
              <w:t>8 October 2013</w:t>
            </w:r>
          </w:p>
          <w:p w:rsidR="00281682" w:rsidRDefault="00281682" w:rsidP="00281682">
            <w:pPr>
              <w:bidi w:val="0"/>
              <w:jc w:val="left"/>
            </w:pPr>
            <w:r>
              <w:t>Arabic</w:t>
            </w:r>
          </w:p>
          <w:p w:rsidR="00257225" w:rsidRPr="008B4BC6" w:rsidRDefault="00281682" w:rsidP="00281682">
            <w:pPr>
              <w:bidi w:val="0"/>
              <w:jc w:val="left"/>
            </w:pPr>
            <w:r>
              <w:t>Original: French</w:t>
            </w:r>
          </w:p>
        </w:tc>
      </w:tr>
    </w:tbl>
    <w:p w:rsidR="000503BE" w:rsidRPr="000503BE" w:rsidRDefault="000503BE" w:rsidP="000503BE">
      <w:pPr>
        <w:spacing w:before="120" w:line="380" w:lineRule="exact"/>
        <w:rPr>
          <w:rFonts w:hint="cs"/>
          <w:b/>
          <w:bCs/>
          <w:szCs w:val="36"/>
          <w:rtl/>
          <w:lang w:val="fr-CH"/>
        </w:rPr>
      </w:pPr>
      <w:r w:rsidRPr="000503BE">
        <w:rPr>
          <w:rFonts w:hint="cs"/>
          <w:b/>
          <w:bCs/>
          <w:szCs w:val="36"/>
          <w:rtl/>
          <w:lang w:val="fr-CH"/>
        </w:rPr>
        <w:t>اللجنة المعنية بحماية حقوق جميع العمال المهاجرين وأفراد أسرهم</w:t>
      </w:r>
    </w:p>
    <w:p w:rsidR="000503BE" w:rsidRDefault="000503BE" w:rsidP="00AE3767">
      <w:pPr>
        <w:pStyle w:val="HChGA"/>
        <w:rPr>
          <w:rFonts w:hint="cs"/>
          <w:rtl/>
          <w:lang w:val="fr-CH"/>
        </w:rPr>
      </w:pPr>
      <w:r>
        <w:rPr>
          <w:rFonts w:hint="cs"/>
          <w:rtl/>
          <w:lang w:val="fr-CH"/>
        </w:rPr>
        <w:tab/>
      </w:r>
      <w:r>
        <w:rPr>
          <w:rFonts w:hint="cs"/>
          <w:rtl/>
          <w:lang w:val="fr-CH"/>
        </w:rPr>
        <w:tab/>
        <w:t xml:space="preserve">الملاحظات الختامية التي اعتمدتها اللجنة </w:t>
      </w:r>
      <w:r w:rsidR="00AE3767">
        <w:rPr>
          <w:rFonts w:hint="cs"/>
          <w:rtl/>
          <w:lang w:val="fr-CH"/>
        </w:rPr>
        <w:t xml:space="preserve">بشأن التقرير الأولي لبوركينا </w:t>
      </w:r>
      <w:proofErr w:type="spellStart"/>
      <w:r w:rsidR="00AE3767">
        <w:rPr>
          <w:rFonts w:hint="cs"/>
          <w:rtl/>
          <w:lang w:val="fr-CH"/>
        </w:rPr>
        <w:t>فاسو</w:t>
      </w:r>
      <w:proofErr w:type="spellEnd"/>
      <w:r w:rsidR="00AE3767">
        <w:rPr>
          <w:rFonts w:hint="cs"/>
          <w:rtl/>
          <w:lang w:val="fr-CH"/>
        </w:rPr>
        <w:t xml:space="preserve"> </w:t>
      </w:r>
      <w:r>
        <w:rPr>
          <w:rFonts w:hint="cs"/>
          <w:rtl/>
          <w:lang w:val="fr-CH"/>
        </w:rPr>
        <w:t>في دورتها التاسعة عشرة المعقودة في الفترة من 9 إلى 13 أيلول/</w:t>
      </w:r>
      <w:r w:rsidR="00AE3767">
        <w:rPr>
          <w:rFonts w:hint="cs"/>
          <w:rtl/>
          <w:lang w:val="fr-CH"/>
        </w:rPr>
        <w:t xml:space="preserve"> </w:t>
      </w:r>
      <w:r>
        <w:rPr>
          <w:rFonts w:hint="cs"/>
          <w:rtl/>
          <w:lang w:val="fr-CH"/>
        </w:rPr>
        <w:t>سبتمبر 2013</w:t>
      </w:r>
    </w:p>
    <w:p w:rsidR="000503BE" w:rsidRDefault="000503BE" w:rsidP="00670255">
      <w:pPr>
        <w:pStyle w:val="SingleTxtGA"/>
        <w:rPr>
          <w:rFonts w:hint="cs"/>
          <w:rtl/>
        </w:rPr>
      </w:pPr>
      <w:r>
        <w:rPr>
          <w:rFonts w:hint="cs"/>
          <w:rtl/>
          <w:lang w:val="fr-CH"/>
        </w:rPr>
        <w:t>1-</w:t>
      </w:r>
      <w:r>
        <w:rPr>
          <w:rFonts w:hint="cs"/>
          <w:rtl/>
          <w:lang w:val="fr-CH"/>
        </w:rPr>
        <w:tab/>
        <w:t xml:space="preserve">نظرت اللجنة في التقرير الأولي لبوركينا </w:t>
      </w:r>
      <w:proofErr w:type="spellStart"/>
      <w:r>
        <w:rPr>
          <w:rFonts w:hint="cs"/>
          <w:rtl/>
          <w:lang w:val="fr-CH"/>
        </w:rPr>
        <w:t>فاسو</w:t>
      </w:r>
      <w:proofErr w:type="spellEnd"/>
      <w:r>
        <w:rPr>
          <w:rFonts w:hint="cs"/>
          <w:rtl/>
          <w:lang w:val="fr-CH"/>
        </w:rPr>
        <w:t xml:space="preserve"> (</w:t>
      </w:r>
      <w:r>
        <w:t>CMW/C/BFA/1</w:t>
      </w:r>
      <w:r>
        <w:rPr>
          <w:rFonts w:hint="cs"/>
          <w:rtl/>
        </w:rPr>
        <w:t>) في جلستيها 233 و234 (</w:t>
      </w:r>
      <w:r>
        <w:t>CMW/C/SR.233</w:t>
      </w:r>
      <w:r>
        <w:rPr>
          <w:rFonts w:hint="cs"/>
          <w:rtl/>
        </w:rPr>
        <w:t xml:space="preserve"> و</w:t>
      </w:r>
      <w:r>
        <w:t>SR.234</w:t>
      </w:r>
      <w:r>
        <w:rPr>
          <w:rFonts w:hint="cs"/>
          <w:rtl/>
        </w:rPr>
        <w:t>)، المعقودتين في 9 و10 أيلول/سبتمبر 2013، واعتمدت في جلستها 241 (</w:t>
      </w:r>
      <w:r>
        <w:t>CMW/C/SR.241</w:t>
      </w:r>
      <w:r>
        <w:rPr>
          <w:rFonts w:hint="cs"/>
          <w:rtl/>
        </w:rPr>
        <w:t>)، المعقودة في 13 أيلول/سبتمبر 2013، الملاحظات الختامية التالية.</w:t>
      </w:r>
    </w:p>
    <w:p w:rsidR="000503BE" w:rsidRDefault="000503BE" w:rsidP="000503BE">
      <w:pPr>
        <w:pStyle w:val="H1GA"/>
        <w:rPr>
          <w:rFonts w:hint="cs"/>
          <w:rtl/>
        </w:rPr>
      </w:pPr>
      <w:r>
        <w:rPr>
          <w:rFonts w:hint="cs"/>
          <w:rtl/>
        </w:rPr>
        <w:tab/>
        <w:t>ألف-</w:t>
      </w:r>
      <w:r>
        <w:rPr>
          <w:rFonts w:hint="cs"/>
          <w:rtl/>
        </w:rPr>
        <w:tab/>
        <w:t>مقدمة</w:t>
      </w:r>
    </w:p>
    <w:p w:rsidR="000503BE" w:rsidRDefault="000503BE" w:rsidP="005F7BFD">
      <w:pPr>
        <w:pStyle w:val="SingleTxtGA"/>
        <w:rPr>
          <w:rFonts w:hint="cs"/>
          <w:rtl/>
        </w:rPr>
      </w:pPr>
      <w:r>
        <w:rPr>
          <w:rFonts w:hint="cs"/>
          <w:rtl/>
        </w:rPr>
        <w:t>2-</w:t>
      </w:r>
      <w:r>
        <w:rPr>
          <w:rFonts w:hint="cs"/>
          <w:rtl/>
        </w:rPr>
        <w:tab/>
        <w:t xml:space="preserve">ترحِّب اللجنة بتقديم الدولة الطرف للتقرير الأولي، وإن </w:t>
      </w:r>
      <w:r w:rsidR="00670255">
        <w:rPr>
          <w:rFonts w:hint="cs"/>
          <w:rtl/>
        </w:rPr>
        <w:t xml:space="preserve">كانت قد </w:t>
      </w:r>
      <w:r>
        <w:rPr>
          <w:rFonts w:hint="cs"/>
          <w:rtl/>
        </w:rPr>
        <w:t>تأخرت في تقديمه، وتشكر الدولة الطرف على ردودها (</w:t>
      </w:r>
      <w:r>
        <w:t>CMW/C/BFA/Q/1/Add.1</w:t>
      </w:r>
      <w:r>
        <w:rPr>
          <w:rFonts w:hint="cs"/>
          <w:rtl/>
        </w:rPr>
        <w:t>) المقدمة على قائمة المسائل ضمن المهل المحددة.</w:t>
      </w:r>
    </w:p>
    <w:p w:rsidR="000503BE" w:rsidRDefault="000503BE" w:rsidP="00EE58DE">
      <w:pPr>
        <w:pStyle w:val="SingleTxtGA"/>
        <w:rPr>
          <w:rFonts w:hint="cs"/>
          <w:rtl/>
        </w:rPr>
      </w:pPr>
      <w:r>
        <w:rPr>
          <w:rFonts w:hint="cs"/>
          <w:rtl/>
        </w:rPr>
        <w:t>3-</w:t>
      </w:r>
      <w:r>
        <w:rPr>
          <w:rFonts w:hint="cs"/>
          <w:rtl/>
        </w:rPr>
        <w:tab/>
        <w:t xml:space="preserve">وتثني اللجنة على الدولة الطرف لإرسالها وفداً رفيع المستوى يرأسه الأمين العام لوزارة حقوق الإنسان والنهوض بحسِّ المواطنة، السيد </w:t>
      </w:r>
      <w:proofErr w:type="spellStart"/>
      <w:r>
        <w:rPr>
          <w:rFonts w:hint="cs"/>
          <w:rtl/>
        </w:rPr>
        <w:t>أمادو</w:t>
      </w:r>
      <w:proofErr w:type="spellEnd"/>
      <w:r>
        <w:rPr>
          <w:rFonts w:hint="cs"/>
          <w:rtl/>
        </w:rPr>
        <w:t xml:space="preserve"> </w:t>
      </w:r>
      <w:proofErr w:type="spellStart"/>
      <w:r>
        <w:rPr>
          <w:rFonts w:hint="cs"/>
          <w:rtl/>
        </w:rPr>
        <w:t>كونسيغي</w:t>
      </w:r>
      <w:proofErr w:type="spellEnd"/>
      <w:r>
        <w:rPr>
          <w:rFonts w:hint="cs"/>
          <w:rtl/>
        </w:rPr>
        <w:t xml:space="preserve">، وتضمُّ الممثل الدائم لبوركينا </w:t>
      </w:r>
      <w:proofErr w:type="spellStart"/>
      <w:r>
        <w:rPr>
          <w:rFonts w:hint="cs"/>
          <w:rtl/>
        </w:rPr>
        <w:t>فاسو</w:t>
      </w:r>
      <w:proofErr w:type="spellEnd"/>
      <w:r>
        <w:rPr>
          <w:rFonts w:hint="cs"/>
          <w:rtl/>
        </w:rPr>
        <w:t xml:space="preserve"> لدى مكتب الأمم المتحدة في جنيف، ومساعد الممثل الدائم لبوركينا </w:t>
      </w:r>
      <w:proofErr w:type="spellStart"/>
      <w:r>
        <w:rPr>
          <w:rFonts w:hint="cs"/>
          <w:rtl/>
        </w:rPr>
        <w:t>فاسو</w:t>
      </w:r>
      <w:proofErr w:type="spellEnd"/>
      <w:r>
        <w:rPr>
          <w:rFonts w:hint="cs"/>
          <w:rtl/>
        </w:rPr>
        <w:t xml:space="preserve"> لدى مكتب الأمم المتحدة في جنيف وممثلي</w:t>
      </w:r>
      <w:r w:rsidR="005F7BFD">
        <w:rPr>
          <w:rFonts w:hint="cs"/>
          <w:rtl/>
        </w:rPr>
        <w:t>ن ل</w:t>
      </w:r>
      <w:r>
        <w:rPr>
          <w:rFonts w:hint="cs"/>
          <w:rtl/>
        </w:rPr>
        <w:t>مختلف الوزارات و</w:t>
      </w:r>
      <w:r w:rsidR="00EE58DE">
        <w:rPr>
          <w:rFonts w:hint="cs"/>
          <w:rtl/>
        </w:rPr>
        <w:t>ل</w:t>
      </w:r>
      <w:r>
        <w:rPr>
          <w:rFonts w:hint="cs"/>
          <w:rtl/>
        </w:rPr>
        <w:t>لبعثة الدائمة. وتُعرب اللجنة عن تقديرها للحوار الذي جرى بين الوفد وأعضائها،</w:t>
      </w:r>
      <w:r w:rsidR="005F7BFD">
        <w:rPr>
          <w:rFonts w:hint="cs"/>
          <w:rtl/>
        </w:rPr>
        <w:t xml:space="preserve"> رغم أن بعض الردود الخطية والشفو</w:t>
      </w:r>
      <w:r>
        <w:rPr>
          <w:rFonts w:hint="cs"/>
          <w:rtl/>
        </w:rPr>
        <w:t xml:space="preserve">ية </w:t>
      </w:r>
      <w:r w:rsidR="005F7BFD">
        <w:rPr>
          <w:rFonts w:hint="cs"/>
          <w:rtl/>
        </w:rPr>
        <w:t xml:space="preserve">ليست </w:t>
      </w:r>
      <w:r>
        <w:rPr>
          <w:rFonts w:hint="cs"/>
          <w:rtl/>
        </w:rPr>
        <w:t xml:space="preserve">دقيقة بما يكفي أو </w:t>
      </w:r>
      <w:r w:rsidR="005F7BFD">
        <w:rPr>
          <w:rFonts w:hint="cs"/>
          <w:rtl/>
        </w:rPr>
        <w:t>تفتقر إلى ال</w:t>
      </w:r>
      <w:r>
        <w:rPr>
          <w:rFonts w:hint="cs"/>
          <w:rtl/>
        </w:rPr>
        <w:t xml:space="preserve">بيانات </w:t>
      </w:r>
      <w:r w:rsidR="005F7BFD">
        <w:rPr>
          <w:rFonts w:hint="cs"/>
          <w:rtl/>
        </w:rPr>
        <w:t>ال</w:t>
      </w:r>
      <w:r>
        <w:rPr>
          <w:rFonts w:hint="cs"/>
          <w:rtl/>
        </w:rPr>
        <w:t xml:space="preserve">إحصائية. </w:t>
      </w:r>
    </w:p>
    <w:p w:rsidR="000503BE" w:rsidRDefault="000503BE" w:rsidP="005E462D">
      <w:pPr>
        <w:pStyle w:val="SingleTxtGA"/>
        <w:rPr>
          <w:rFonts w:hint="cs"/>
          <w:rtl/>
        </w:rPr>
      </w:pPr>
      <w:r>
        <w:rPr>
          <w:rFonts w:hint="cs"/>
          <w:rtl/>
        </w:rPr>
        <w:t>4-</w:t>
      </w:r>
      <w:r>
        <w:rPr>
          <w:rFonts w:hint="cs"/>
          <w:rtl/>
        </w:rPr>
        <w:tab/>
        <w:t xml:space="preserve">وتلاحظ اللجنة أن البلدان التي يعمل فيها غالبية المهاجرين من الدولة الطرف </w:t>
      </w:r>
      <w:r w:rsidR="005F7BFD">
        <w:rPr>
          <w:rFonts w:hint="cs"/>
          <w:rtl/>
        </w:rPr>
        <w:t xml:space="preserve">ليست </w:t>
      </w:r>
      <w:r>
        <w:rPr>
          <w:rFonts w:hint="cs"/>
          <w:rtl/>
        </w:rPr>
        <w:t>بعد أطرافاً في الاتفاقية، ما يشكل عائقاً أمام تمتُّع هؤلاء العمال بما لهم من حقوق بموجب الاتفاقية.</w:t>
      </w:r>
    </w:p>
    <w:p w:rsidR="000503BE" w:rsidRDefault="000503BE" w:rsidP="000503BE">
      <w:pPr>
        <w:pStyle w:val="H1GA"/>
        <w:rPr>
          <w:rFonts w:hint="cs"/>
          <w:rtl/>
        </w:rPr>
      </w:pPr>
      <w:r>
        <w:rPr>
          <w:rFonts w:hint="cs"/>
          <w:rtl/>
        </w:rPr>
        <w:tab/>
        <w:t>باء-</w:t>
      </w:r>
      <w:r>
        <w:rPr>
          <w:rFonts w:hint="cs"/>
          <w:rtl/>
        </w:rPr>
        <w:tab/>
        <w:t>الجوانب الإيجابية</w:t>
      </w:r>
    </w:p>
    <w:p w:rsidR="000503BE" w:rsidRDefault="000503BE" w:rsidP="000503BE">
      <w:pPr>
        <w:pStyle w:val="SingleTxtGA"/>
        <w:rPr>
          <w:rFonts w:hint="cs"/>
          <w:rtl/>
        </w:rPr>
      </w:pPr>
      <w:r>
        <w:rPr>
          <w:rFonts w:hint="cs"/>
          <w:rtl/>
        </w:rPr>
        <w:t>5-</w:t>
      </w:r>
      <w:r>
        <w:rPr>
          <w:rFonts w:hint="cs"/>
          <w:rtl/>
        </w:rPr>
        <w:tab/>
        <w:t>تلاحظ اللجنة بارتياح التدابير التشريعية والسياسية التالية:</w:t>
      </w:r>
    </w:p>
    <w:p w:rsidR="000503BE" w:rsidRDefault="000503BE" w:rsidP="00C36E6E">
      <w:pPr>
        <w:pStyle w:val="SingleTxtGA"/>
        <w:rPr>
          <w:rFonts w:hint="cs"/>
          <w:rtl/>
        </w:rPr>
      </w:pPr>
      <w:r>
        <w:rPr>
          <w:rFonts w:hint="cs"/>
          <w:rtl/>
        </w:rPr>
        <w:tab/>
        <w:t>(أ)</w:t>
      </w:r>
      <w:r>
        <w:rPr>
          <w:rFonts w:hint="cs"/>
          <w:rtl/>
        </w:rPr>
        <w:tab/>
        <w:t xml:space="preserve">اعتماد القانون رقم </w:t>
      </w:r>
      <w:r>
        <w:t>062-2009/AN</w:t>
      </w:r>
      <w:r>
        <w:rPr>
          <w:rFonts w:hint="cs"/>
          <w:rtl/>
        </w:rPr>
        <w:t xml:space="preserve"> والمرسوم رقم </w:t>
      </w:r>
      <w:r>
        <w:t>2010/559/PRES/PM/MPDH</w:t>
      </w:r>
      <w:r>
        <w:rPr>
          <w:rFonts w:hint="cs"/>
          <w:rtl/>
        </w:rPr>
        <w:t xml:space="preserve"> المنظمين لعمل اللجنة الوطنية الجديدة لحقوق الإنسان التي تتمتع بسلطة إجراء </w:t>
      </w:r>
      <w:r w:rsidR="00C36E6E">
        <w:rPr>
          <w:rFonts w:hint="cs"/>
          <w:rtl/>
        </w:rPr>
        <w:t>ال</w:t>
      </w:r>
      <w:r>
        <w:rPr>
          <w:rFonts w:hint="cs"/>
          <w:rtl/>
        </w:rPr>
        <w:t xml:space="preserve">تحقيقات وتلقي </w:t>
      </w:r>
      <w:r w:rsidR="00C36E6E">
        <w:rPr>
          <w:rFonts w:hint="cs"/>
          <w:rtl/>
        </w:rPr>
        <w:t xml:space="preserve">الالتماسات المتعلقة بحالات فردية، بما فيها حالات </w:t>
      </w:r>
      <w:r>
        <w:rPr>
          <w:rFonts w:hint="cs"/>
          <w:rtl/>
        </w:rPr>
        <w:t>العمال المهاجر</w:t>
      </w:r>
      <w:r w:rsidR="00C36E6E">
        <w:rPr>
          <w:rFonts w:hint="cs"/>
          <w:rtl/>
        </w:rPr>
        <w:t>ي</w:t>
      </w:r>
      <w:r>
        <w:rPr>
          <w:rFonts w:hint="cs"/>
          <w:rtl/>
        </w:rPr>
        <w:t>ن، والقيام بزيارات إلى أماكن الاحتجاز؛</w:t>
      </w:r>
    </w:p>
    <w:p w:rsidR="000503BE" w:rsidRDefault="000503BE" w:rsidP="00C36E6E">
      <w:pPr>
        <w:pStyle w:val="SingleTxtGA"/>
        <w:rPr>
          <w:rFonts w:hint="cs"/>
          <w:rtl/>
        </w:rPr>
      </w:pPr>
      <w:r>
        <w:rPr>
          <w:rFonts w:hint="cs"/>
          <w:rtl/>
        </w:rPr>
        <w:tab/>
        <w:t>(ب)</w:t>
      </w:r>
      <w:r>
        <w:rPr>
          <w:rFonts w:hint="cs"/>
          <w:rtl/>
        </w:rPr>
        <w:tab/>
      </w:r>
      <w:r w:rsidR="00C36E6E">
        <w:rPr>
          <w:rFonts w:hint="cs"/>
          <w:rtl/>
        </w:rPr>
        <w:t>ال</w:t>
      </w:r>
      <w:r>
        <w:rPr>
          <w:rFonts w:hint="cs"/>
          <w:rtl/>
        </w:rPr>
        <w:t xml:space="preserve">اتفاق </w:t>
      </w:r>
      <w:r w:rsidR="00C36E6E">
        <w:rPr>
          <w:rFonts w:hint="cs"/>
          <w:rtl/>
        </w:rPr>
        <w:t xml:space="preserve">المبرم </w:t>
      </w:r>
      <w:r>
        <w:rPr>
          <w:rFonts w:hint="cs"/>
          <w:rtl/>
        </w:rPr>
        <w:t xml:space="preserve">بين بوركينا </w:t>
      </w:r>
      <w:proofErr w:type="spellStart"/>
      <w:r>
        <w:rPr>
          <w:rFonts w:hint="cs"/>
          <w:rtl/>
        </w:rPr>
        <w:t>فاسو</w:t>
      </w:r>
      <w:proofErr w:type="spellEnd"/>
      <w:r>
        <w:rPr>
          <w:rFonts w:hint="cs"/>
          <w:rtl/>
        </w:rPr>
        <w:t xml:space="preserve"> وفرنسا </w:t>
      </w:r>
      <w:r w:rsidR="00C36E6E">
        <w:rPr>
          <w:rFonts w:hint="cs"/>
          <w:rtl/>
        </w:rPr>
        <w:t xml:space="preserve">بشأن </w:t>
      </w:r>
      <w:r>
        <w:rPr>
          <w:rFonts w:hint="cs"/>
          <w:rtl/>
        </w:rPr>
        <w:t xml:space="preserve">الإدارة </w:t>
      </w:r>
      <w:r w:rsidR="00C36E6E">
        <w:rPr>
          <w:rFonts w:hint="cs"/>
          <w:rtl/>
        </w:rPr>
        <w:t xml:space="preserve">التعاونية </w:t>
      </w:r>
      <w:r>
        <w:rPr>
          <w:rFonts w:hint="cs"/>
          <w:rtl/>
        </w:rPr>
        <w:t xml:space="preserve">لتدفقات المهاجرين والتنمية </w:t>
      </w:r>
      <w:r w:rsidR="00C36E6E">
        <w:rPr>
          <w:rFonts w:hint="cs"/>
          <w:rtl/>
        </w:rPr>
        <w:t>الشاملة و</w:t>
      </w:r>
      <w:r>
        <w:rPr>
          <w:rFonts w:hint="cs"/>
          <w:rtl/>
        </w:rPr>
        <w:t>الذي وُقِّع عام 2009، وهو اتفاق يتناول عدَّة مجالات تشملها الاتفاقية؛</w:t>
      </w:r>
    </w:p>
    <w:p w:rsidR="000503BE" w:rsidRDefault="000503BE" w:rsidP="00C36E6E">
      <w:pPr>
        <w:pStyle w:val="SingleTxtGA"/>
        <w:rPr>
          <w:rFonts w:hint="cs"/>
          <w:rtl/>
        </w:rPr>
      </w:pPr>
      <w:r>
        <w:rPr>
          <w:rFonts w:hint="cs"/>
          <w:rtl/>
        </w:rPr>
        <w:tab/>
        <w:t>(ج)</w:t>
      </w:r>
      <w:r>
        <w:rPr>
          <w:rFonts w:hint="cs"/>
          <w:rtl/>
        </w:rPr>
        <w:tab/>
        <w:t xml:space="preserve">التوقيع في عام 2013 على الاتفاق المتعلِّق بالإدارة </w:t>
      </w:r>
      <w:r w:rsidR="00C36E6E">
        <w:rPr>
          <w:rFonts w:hint="cs"/>
          <w:rtl/>
        </w:rPr>
        <w:t xml:space="preserve">التعاونية </w:t>
      </w:r>
      <w:r>
        <w:rPr>
          <w:rFonts w:hint="cs"/>
          <w:rtl/>
        </w:rPr>
        <w:t xml:space="preserve">لتدفقات المهاجرين بين بوركينا </w:t>
      </w:r>
      <w:proofErr w:type="spellStart"/>
      <w:r>
        <w:rPr>
          <w:rFonts w:hint="cs"/>
          <w:rtl/>
        </w:rPr>
        <w:t>فاسو</w:t>
      </w:r>
      <w:proofErr w:type="spellEnd"/>
      <w:r>
        <w:rPr>
          <w:rFonts w:hint="cs"/>
          <w:rtl/>
        </w:rPr>
        <w:t xml:space="preserve"> ومالطة.</w:t>
      </w:r>
    </w:p>
    <w:p w:rsidR="000503BE" w:rsidRDefault="000503BE" w:rsidP="000503BE">
      <w:pPr>
        <w:pStyle w:val="SingleTxtGA"/>
        <w:rPr>
          <w:rFonts w:hint="cs"/>
          <w:rtl/>
        </w:rPr>
      </w:pPr>
      <w:r>
        <w:rPr>
          <w:rFonts w:hint="cs"/>
          <w:rtl/>
        </w:rPr>
        <w:t>6-</w:t>
      </w:r>
      <w:r>
        <w:rPr>
          <w:rFonts w:hint="cs"/>
          <w:rtl/>
        </w:rPr>
        <w:tab/>
        <w:t>وتلاحظ اللجنة مع التقدير تصديق الدولة الطرف على المعاهدات الدولية التالية:</w:t>
      </w:r>
    </w:p>
    <w:p w:rsidR="000503BE" w:rsidRDefault="000503BE" w:rsidP="000503BE">
      <w:pPr>
        <w:pStyle w:val="SingleTxtGA"/>
        <w:rPr>
          <w:rFonts w:hint="cs"/>
          <w:rtl/>
        </w:rPr>
      </w:pPr>
      <w:r>
        <w:rPr>
          <w:rFonts w:hint="cs"/>
          <w:rtl/>
        </w:rPr>
        <w:tab/>
        <w:t>(أ)</w:t>
      </w:r>
      <w:r>
        <w:rPr>
          <w:rFonts w:hint="cs"/>
          <w:rtl/>
        </w:rPr>
        <w:tab/>
        <w:t xml:space="preserve">البروتوكول الاختياري لاتفاقية مناهضة التعذيب وغيره من ضروب المعاملة أو العقوبة القاسية أو اللاإنسانية أو المهينة، </w:t>
      </w:r>
      <w:r w:rsidR="00F86E66">
        <w:rPr>
          <w:rFonts w:hint="cs"/>
          <w:rtl/>
        </w:rPr>
        <w:t xml:space="preserve">في </w:t>
      </w:r>
      <w:r>
        <w:rPr>
          <w:rFonts w:hint="cs"/>
          <w:rtl/>
        </w:rPr>
        <w:t>عام 2010؛</w:t>
      </w:r>
    </w:p>
    <w:p w:rsidR="000503BE" w:rsidRDefault="000503BE" w:rsidP="00F86E66">
      <w:pPr>
        <w:pStyle w:val="SingleTxtGA"/>
        <w:rPr>
          <w:rFonts w:hint="cs"/>
          <w:rtl/>
        </w:rPr>
      </w:pPr>
      <w:r>
        <w:rPr>
          <w:rFonts w:hint="cs"/>
          <w:rtl/>
        </w:rPr>
        <w:tab/>
        <w:t>(ب)</w:t>
      </w:r>
      <w:r>
        <w:rPr>
          <w:rFonts w:hint="cs"/>
          <w:rtl/>
        </w:rPr>
        <w:tab/>
        <w:t xml:space="preserve">البروتوكول الاختياري </w:t>
      </w:r>
      <w:r w:rsidR="00F86E66">
        <w:rPr>
          <w:rFonts w:hint="cs"/>
          <w:rtl/>
        </w:rPr>
        <w:t>الملحق با</w:t>
      </w:r>
      <w:r>
        <w:rPr>
          <w:rFonts w:hint="cs"/>
          <w:rtl/>
        </w:rPr>
        <w:t>لعهد الدولي الخاص بالحقوق الاقتصادية والاجتماعية والثقافية، عام 2012؛</w:t>
      </w:r>
    </w:p>
    <w:p w:rsidR="000503BE" w:rsidRDefault="000503BE" w:rsidP="00F86E66">
      <w:pPr>
        <w:pStyle w:val="SingleTxtGA"/>
        <w:rPr>
          <w:rFonts w:hint="cs"/>
          <w:rtl/>
        </w:rPr>
      </w:pPr>
      <w:r>
        <w:rPr>
          <w:rFonts w:hint="cs"/>
          <w:rtl/>
        </w:rPr>
        <w:tab/>
        <w:t>(ج)</w:t>
      </w:r>
      <w:r>
        <w:rPr>
          <w:rFonts w:hint="cs"/>
          <w:rtl/>
        </w:rPr>
        <w:tab/>
        <w:t xml:space="preserve">اتفاقية </w:t>
      </w:r>
      <w:r w:rsidR="00F86E66">
        <w:rPr>
          <w:rFonts w:hint="cs"/>
          <w:rtl/>
        </w:rPr>
        <w:t xml:space="preserve">منظمة العمل الدولية رقم 122 بشأن سياسة العمالة لعام 1964، في </w:t>
      </w:r>
      <w:r>
        <w:rPr>
          <w:rFonts w:hint="cs"/>
          <w:rtl/>
        </w:rPr>
        <w:t>عام 2009.</w:t>
      </w:r>
    </w:p>
    <w:p w:rsidR="000503BE" w:rsidRDefault="000503BE" w:rsidP="000503BE">
      <w:pPr>
        <w:pStyle w:val="H1GA"/>
        <w:rPr>
          <w:rFonts w:hint="cs"/>
          <w:rtl/>
        </w:rPr>
      </w:pPr>
      <w:r>
        <w:rPr>
          <w:rFonts w:hint="cs"/>
          <w:rtl/>
        </w:rPr>
        <w:tab/>
        <w:t>جيم-</w:t>
      </w:r>
      <w:r>
        <w:rPr>
          <w:rFonts w:hint="cs"/>
          <w:rtl/>
        </w:rPr>
        <w:tab/>
        <w:t>العوامل والصعوبات التي تعيق تنفيذ الاتفاقية</w:t>
      </w:r>
    </w:p>
    <w:p w:rsidR="000503BE" w:rsidRDefault="000503BE" w:rsidP="000503BE">
      <w:pPr>
        <w:pStyle w:val="SingleTxtGA"/>
        <w:rPr>
          <w:rFonts w:hint="cs"/>
          <w:rtl/>
        </w:rPr>
      </w:pPr>
      <w:r>
        <w:rPr>
          <w:rFonts w:hint="cs"/>
          <w:rtl/>
        </w:rPr>
        <w:t>7-</w:t>
      </w:r>
      <w:r>
        <w:rPr>
          <w:rFonts w:hint="cs"/>
          <w:rtl/>
        </w:rPr>
        <w:tab/>
        <w:t>تسلم اللجنة بالصعوبات التي تواجهها الدولة الطرف، لا سيما سهولة اختراق الحدود والأزمات الاجتماعية - السياسية التي يمرُّ بها بعض البلدان المجاورة إضافة إلى التغيرات المناخية التي يمكن أن تعيق الإعمال التام لجميع الحقوق والحريات الأساسية للعمال المهاجرين وأفراد أسرهم.</w:t>
      </w:r>
    </w:p>
    <w:p w:rsidR="000503BE" w:rsidRDefault="000503BE" w:rsidP="00FC630F">
      <w:pPr>
        <w:pStyle w:val="H1GA"/>
        <w:rPr>
          <w:rFonts w:hint="cs"/>
          <w:rtl/>
        </w:rPr>
      </w:pPr>
      <w:r>
        <w:rPr>
          <w:rFonts w:hint="cs"/>
          <w:rtl/>
        </w:rPr>
        <w:tab/>
        <w:t>دال-</w:t>
      </w:r>
      <w:r>
        <w:rPr>
          <w:rFonts w:hint="cs"/>
          <w:rtl/>
        </w:rPr>
        <w:tab/>
        <w:t>دواعي القلق الرئيسية والاقتراحات والتوصيات</w:t>
      </w:r>
    </w:p>
    <w:p w:rsidR="000503BE" w:rsidRDefault="000503BE" w:rsidP="00FC630F">
      <w:pPr>
        <w:pStyle w:val="H23GA"/>
        <w:keepNext/>
        <w:keepLines/>
        <w:rPr>
          <w:rFonts w:hint="cs"/>
          <w:rtl/>
        </w:rPr>
      </w:pPr>
      <w:r>
        <w:rPr>
          <w:rFonts w:hint="cs"/>
          <w:rtl/>
        </w:rPr>
        <w:tab/>
        <w:t>1-</w:t>
      </w:r>
      <w:r>
        <w:rPr>
          <w:rFonts w:hint="cs"/>
          <w:rtl/>
        </w:rPr>
        <w:tab/>
        <w:t>تدابير التنفيذ العامة (المادتان 73 و84)</w:t>
      </w:r>
    </w:p>
    <w:p w:rsidR="000503BE" w:rsidRDefault="000503BE" w:rsidP="000503BE">
      <w:pPr>
        <w:pStyle w:val="H4GA"/>
        <w:rPr>
          <w:rFonts w:hint="cs"/>
          <w:rtl/>
        </w:rPr>
      </w:pPr>
      <w:r>
        <w:rPr>
          <w:rFonts w:hint="cs"/>
          <w:rtl/>
        </w:rPr>
        <w:tab/>
      </w:r>
      <w:r>
        <w:rPr>
          <w:rFonts w:hint="cs"/>
          <w:rtl/>
        </w:rPr>
        <w:tab/>
        <w:t>التشريعات والتطبيق</w:t>
      </w:r>
    </w:p>
    <w:p w:rsidR="000503BE" w:rsidRDefault="000503BE" w:rsidP="000503BE">
      <w:pPr>
        <w:pStyle w:val="SingleTxtGA"/>
        <w:rPr>
          <w:rFonts w:hint="cs"/>
          <w:rtl/>
        </w:rPr>
      </w:pPr>
      <w:r>
        <w:rPr>
          <w:rFonts w:hint="cs"/>
          <w:rtl/>
        </w:rPr>
        <w:t>8-</w:t>
      </w:r>
      <w:r>
        <w:rPr>
          <w:rFonts w:hint="cs"/>
          <w:rtl/>
        </w:rPr>
        <w:tab/>
        <w:t xml:space="preserve">تحيط اللجنة علماً مع الأسف بأن الدولة الطرف لم تصدر حتى الآن الإعلانين المنصوص عليهما في المادتين 76 و77 من الاتفاقية، اللذين </w:t>
      </w:r>
      <w:r w:rsidR="00F86E66">
        <w:rPr>
          <w:rFonts w:hint="cs"/>
          <w:rtl/>
        </w:rPr>
        <w:t xml:space="preserve">ينبغي أن </w:t>
      </w:r>
      <w:r>
        <w:rPr>
          <w:rFonts w:hint="cs"/>
          <w:rtl/>
        </w:rPr>
        <w:t>تعترف فيهما باختصاص اللجنة في تلقي بلاغات من الدول الأطراف والأفراد.</w:t>
      </w:r>
    </w:p>
    <w:p w:rsidR="000503BE" w:rsidRPr="000503BE" w:rsidRDefault="000503BE" w:rsidP="00E30120">
      <w:pPr>
        <w:pStyle w:val="SingleTxtGA"/>
        <w:rPr>
          <w:rFonts w:hint="cs"/>
          <w:b/>
          <w:bCs/>
          <w:rtl/>
        </w:rPr>
      </w:pPr>
      <w:r>
        <w:rPr>
          <w:rFonts w:hint="cs"/>
          <w:rtl/>
        </w:rPr>
        <w:t>9-</w:t>
      </w:r>
      <w:r>
        <w:rPr>
          <w:rFonts w:hint="cs"/>
          <w:rtl/>
        </w:rPr>
        <w:tab/>
      </w:r>
      <w:r w:rsidRPr="000503BE">
        <w:rPr>
          <w:rFonts w:hint="cs"/>
          <w:b/>
          <w:bCs/>
          <w:rtl/>
        </w:rPr>
        <w:t>تدعو اللجنة الدولة الطرف إلى إصدار الإعلانين المنصوص عليهما في المادتين</w:t>
      </w:r>
      <w:r w:rsidR="00E30120">
        <w:rPr>
          <w:rFonts w:hint="eastAsia"/>
          <w:b/>
          <w:bCs/>
          <w:rtl/>
        </w:rPr>
        <w:t> </w:t>
      </w:r>
      <w:r w:rsidRPr="000503BE">
        <w:rPr>
          <w:rFonts w:hint="cs"/>
          <w:b/>
          <w:bCs/>
          <w:rtl/>
        </w:rPr>
        <w:t>76 و77 من الاتفاقية.</w:t>
      </w:r>
    </w:p>
    <w:p w:rsidR="000503BE" w:rsidRDefault="000503BE" w:rsidP="008A528F">
      <w:pPr>
        <w:pStyle w:val="SingleTxtGA"/>
        <w:rPr>
          <w:rFonts w:hint="cs"/>
          <w:rtl/>
        </w:rPr>
      </w:pPr>
      <w:r>
        <w:rPr>
          <w:rFonts w:hint="cs"/>
          <w:rtl/>
        </w:rPr>
        <w:t>10-</w:t>
      </w:r>
      <w:r>
        <w:rPr>
          <w:rFonts w:hint="cs"/>
          <w:rtl/>
        </w:rPr>
        <w:tab/>
        <w:t xml:space="preserve">وتحيط اللجنة علماً بأن الدولة الطرف التزمت بالتصديق قريباً على اتفاقية </w:t>
      </w:r>
      <w:r w:rsidR="00F86E66">
        <w:rPr>
          <w:rFonts w:hint="cs"/>
          <w:rtl/>
        </w:rPr>
        <w:t xml:space="preserve">منظمة العمل الدولية </w:t>
      </w:r>
      <w:r>
        <w:rPr>
          <w:rFonts w:hint="cs"/>
          <w:rtl/>
        </w:rPr>
        <w:t>رقم</w:t>
      </w:r>
      <w:r w:rsidR="00F86E66">
        <w:rPr>
          <w:rFonts w:hint="cs"/>
          <w:rtl/>
        </w:rPr>
        <w:t xml:space="preserve"> </w:t>
      </w:r>
      <w:r>
        <w:rPr>
          <w:rFonts w:hint="cs"/>
          <w:rtl/>
        </w:rPr>
        <w:t xml:space="preserve">189(2011)، بشأن العمل اللائق للعمال المنزليين، لكنها تلاحظ أن الدولة الطرف </w:t>
      </w:r>
      <w:r w:rsidR="008A528F">
        <w:rPr>
          <w:rFonts w:hint="cs"/>
          <w:rtl/>
        </w:rPr>
        <w:t xml:space="preserve">ليست طرفاً </w:t>
      </w:r>
      <w:r>
        <w:rPr>
          <w:rFonts w:hint="cs"/>
          <w:rtl/>
        </w:rPr>
        <w:t xml:space="preserve">حتى الآن </w:t>
      </w:r>
      <w:r w:rsidR="008A528F">
        <w:rPr>
          <w:rFonts w:hint="cs"/>
          <w:rtl/>
        </w:rPr>
        <w:t xml:space="preserve">في </w:t>
      </w:r>
      <w:r>
        <w:rPr>
          <w:rFonts w:hint="cs"/>
          <w:rtl/>
        </w:rPr>
        <w:t>هذه الاتفاقية.</w:t>
      </w:r>
    </w:p>
    <w:p w:rsidR="000503BE" w:rsidRPr="00D15598" w:rsidRDefault="000503BE" w:rsidP="008A528F">
      <w:pPr>
        <w:pStyle w:val="SingleTxtGA"/>
        <w:rPr>
          <w:rFonts w:hint="cs"/>
          <w:b/>
          <w:bCs/>
          <w:rtl/>
        </w:rPr>
      </w:pPr>
      <w:r>
        <w:rPr>
          <w:rFonts w:hint="cs"/>
          <w:rtl/>
        </w:rPr>
        <w:t>11-</w:t>
      </w:r>
      <w:r>
        <w:rPr>
          <w:rFonts w:hint="cs"/>
          <w:rtl/>
        </w:rPr>
        <w:tab/>
      </w:r>
      <w:r w:rsidRPr="00D15598">
        <w:rPr>
          <w:rFonts w:hint="cs"/>
          <w:b/>
          <w:bCs/>
          <w:rtl/>
        </w:rPr>
        <w:t xml:space="preserve">توصي اللجنة بأن تصدِّق الدولة الطرف على اتفاقية منظمة العمل الدولية </w:t>
      </w:r>
      <w:r w:rsidR="008A528F" w:rsidRPr="00D15598">
        <w:rPr>
          <w:rFonts w:hint="cs"/>
          <w:b/>
          <w:bCs/>
          <w:rtl/>
        </w:rPr>
        <w:t>رقم</w:t>
      </w:r>
      <w:r w:rsidR="008A528F">
        <w:rPr>
          <w:rFonts w:hint="eastAsia"/>
          <w:b/>
          <w:bCs/>
          <w:rtl/>
        </w:rPr>
        <w:t> </w:t>
      </w:r>
      <w:r w:rsidR="008A528F" w:rsidRPr="00D15598">
        <w:rPr>
          <w:rFonts w:hint="cs"/>
          <w:b/>
          <w:bCs/>
          <w:rtl/>
        </w:rPr>
        <w:t xml:space="preserve">189 </w:t>
      </w:r>
      <w:r w:rsidRPr="00D15598">
        <w:rPr>
          <w:rFonts w:hint="cs"/>
          <w:b/>
          <w:bCs/>
          <w:rtl/>
        </w:rPr>
        <w:t>وب</w:t>
      </w:r>
      <w:r w:rsidR="008A528F">
        <w:rPr>
          <w:rFonts w:hint="cs"/>
          <w:b/>
          <w:bCs/>
          <w:rtl/>
        </w:rPr>
        <w:t xml:space="preserve">أن </w:t>
      </w:r>
      <w:r w:rsidRPr="00D15598">
        <w:rPr>
          <w:rFonts w:hint="cs"/>
          <w:b/>
          <w:bCs/>
          <w:rtl/>
        </w:rPr>
        <w:t xml:space="preserve">تحدد </w:t>
      </w:r>
      <w:r w:rsidR="008A528F">
        <w:rPr>
          <w:rFonts w:hint="cs"/>
          <w:b/>
          <w:bCs/>
          <w:rtl/>
        </w:rPr>
        <w:t xml:space="preserve">بدقة </w:t>
      </w:r>
      <w:r w:rsidRPr="00D15598">
        <w:rPr>
          <w:rFonts w:hint="cs"/>
          <w:b/>
          <w:bCs/>
          <w:rtl/>
        </w:rPr>
        <w:t>مهلة لهذا التصديق.</w:t>
      </w:r>
    </w:p>
    <w:p w:rsidR="000503BE" w:rsidRDefault="000503BE" w:rsidP="008A528F">
      <w:pPr>
        <w:pStyle w:val="SingleTxtGA"/>
        <w:rPr>
          <w:rFonts w:hint="cs"/>
          <w:rtl/>
        </w:rPr>
      </w:pPr>
      <w:r>
        <w:rPr>
          <w:rFonts w:hint="cs"/>
          <w:rtl/>
        </w:rPr>
        <w:t>12-</w:t>
      </w:r>
      <w:r>
        <w:rPr>
          <w:rFonts w:hint="cs"/>
          <w:rtl/>
        </w:rPr>
        <w:tab/>
        <w:t xml:space="preserve">وتلاحظ اللجنة استعداد الدولة الطرف لوضع وإقرار استراتيجية وطنية للهجرة تغطي الفترة 2014-2025، إلى جانب خطة </w:t>
      </w:r>
      <w:r w:rsidR="008A528F">
        <w:rPr>
          <w:rFonts w:hint="cs"/>
          <w:rtl/>
        </w:rPr>
        <w:t xml:space="preserve">ممتدة </w:t>
      </w:r>
      <w:r>
        <w:rPr>
          <w:rFonts w:hint="cs"/>
          <w:rtl/>
        </w:rPr>
        <w:t>ثلاث سنوات للفترة 2014-2016. لكن اللجنة تعرب عن أسفها إزاء عدم اعتماد هذه الاستراتيجية. علاوةً على ذلك، ترحِّب اللجنة بتنفيذ الدولة الطرف للاتفاقية، لكنها تعرب عن قلقها إزاء القصور في التنسيق بين مختلف الوزارات المعنية.</w:t>
      </w:r>
    </w:p>
    <w:p w:rsidR="000503BE" w:rsidRPr="00D15598" w:rsidRDefault="000503BE" w:rsidP="008A528F">
      <w:pPr>
        <w:pStyle w:val="SingleTxtGA"/>
        <w:rPr>
          <w:rFonts w:hint="cs"/>
          <w:b/>
          <w:bCs/>
          <w:rtl/>
        </w:rPr>
      </w:pPr>
      <w:r>
        <w:rPr>
          <w:rFonts w:hint="cs"/>
          <w:rtl/>
        </w:rPr>
        <w:t>13-</w:t>
      </w:r>
      <w:r>
        <w:rPr>
          <w:rFonts w:hint="cs"/>
          <w:rtl/>
        </w:rPr>
        <w:tab/>
      </w:r>
      <w:r w:rsidRPr="00D15598">
        <w:rPr>
          <w:rFonts w:hint="cs"/>
          <w:b/>
          <w:bCs/>
          <w:rtl/>
        </w:rPr>
        <w:t xml:space="preserve">تشجِّع اللجنة الدولة الطرف على </w:t>
      </w:r>
      <w:r w:rsidR="008A528F">
        <w:rPr>
          <w:rFonts w:hint="cs"/>
          <w:b/>
          <w:bCs/>
          <w:rtl/>
        </w:rPr>
        <w:t xml:space="preserve">الإسراع في </w:t>
      </w:r>
      <w:r w:rsidRPr="00D15598">
        <w:rPr>
          <w:rFonts w:hint="cs"/>
          <w:b/>
          <w:bCs/>
          <w:rtl/>
        </w:rPr>
        <w:t xml:space="preserve">اعتماد الاستراتيجية الوطنية للهجرة مع توفير الموارد اللازمة لضمان تنفيذها ومتابعتها بشكل منتظم. وتوصي اللجنة بأن تحسِّن الدولة الطرف التنسيق بين الوزارات </w:t>
      </w:r>
      <w:r w:rsidR="008A528F">
        <w:rPr>
          <w:rFonts w:hint="cs"/>
          <w:b/>
          <w:bCs/>
          <w:rtl/>
        </w:rPr>
        <w:t xml:space="preserve">المشاركة </w:t>
      </w:r>
      <w:r w:rsidRPr="00D15598">
        <w:rPr>
          <w:rFonts w:hint="cs"/>
          <w:b/>
          <w:bCs/>
          <w:rtl/>
        </w:rPr>
        <w:t>في تنفيذ الاتفاقية.</w:t>
      </w:r>
    </w:p>
    <w:p w:rsidR="000503BE" w:rsidRDefault="000503BE" w:rsidP="00D15598">
      <w:pPr>
        <w:pStyle w:val="H4GA"/>
        <w:rPr>
          <w:rFonts w:hint="cs"/>
          <w:rtl/>
        </w:rPr>
      </w:pPr>
      <w:r>
        <w:rPr>
          <w:rFonts w:hint="cs"/>
          <w:rtl/>
        </w:rPr>
        <w:tab/>
      </w:r>
      <w:r>
        <w:rPr>
          <w:rFonts w:hint="cs"/>
          <w:rtl/>
        </w:rPr>
        <w:tab/>
        <w:t>جمع البيانات</w:t>
      </w:r>
    </w:p>
    <w:p w:rsidR="000503BE" w:rsidRDefault="000503BE" w:rsidP="008A528F">
      <w:pPr>
        <w:pStyle w:val="SingleTxtGA"/>
        <w:rPr>
          <w:rFonts w:hint="cs"/>
          <w:rtl/>
        </w:rPr>
      </w:pPr>
      <w:r>
        <w:rPr>
          <w:rFonts w:hint="cs"/>
          <w:rtl/>
        </w:rPr>
        <w:t>14-</w:t>
      </w:r>
      <w:r>
        <w:rPr>
          <w:rFonts w:hint="cs"/>
          <w:rtl/>
        </w:rPr>
        <w:tab/>
        <w:t xml:space="preserve">تحيط اللجنة علماً بجهود الدولة الطرف لتصنيف البيانات المستمدة من </w:t>
      </w:r>
      <w:r w:rsidR="008A528F">
        <w:rPr>
          <w:rFonts w:hint="cs"/>
          <w:rtl/>
        </w:rPr>
        <w:t xml:space="preserve">التعدادات </w:t>
      </w:r>
      <w:r>
        <w:rPr>
          <w:rFonts w:hint="cs"/>
          <w:rtl/>
        </w:rPr>
        <w:t>السكاني</w:t>
      </w:r>
      <w:r w:rsidR="008A528F">
        <w:rPr>
          <w:rFonts w:hint="cs"/>
          <w:rtl/>
        </w:rPr>
        <w:t>ة</w:t>
      </w:r>
      <w:r>
        <w:rPr>
          <w:rFonts w:hint="cs"/>
          <w:rtl/>
        </w:rPr>
        <w:t xml:space="preserve"> ولتقديم بعض البيانات الإحصائية في ردودها الشفوية، لكنها في الوقت نفسه تعرب عن أسفها إزاء نقص البيانات الإحصائية الدقيقة حول المسائل المتصلة بالهجرة، كتدفقات المهاجرين من وإلى الدولة الطرف، والعدد الإجمالي للعمال المهاجرين وأفراد أسرهم. وتذكِّر اللجنة بأن هذه المعلومات لا غنى عنها لفهم وضع الهجرة في الدولة الطرف وتقييم مدى تطبيق الاتفاقية.</w:t>
      </w:r>
    </w:p>
    <w:p w:rsidR="000503BE" w:rsidRPr="00D15598" w:rsidRDefault="000503BE" w:rsidP="008A528F">
      <w:pPr>
        <w:pStyle w:val="SingleTxtGA"/>
        <w:rPr>
          <w:rFonts w:hint="cs"/>
          <w:b/>
          <w:bCs/>
          <w:rtl/>
        </w:rPr>
      </w:pPr>
      <w:r>
        <w:rPr>
          <w:rFonts w:hint="cs"/>
          <w:rtl/>
        </w:rPr>
        <w:t>15-</w:t>
      </w:r>
      <w:r>
        <w:rPr>
          <w:rFonts w:hint="cs"/>
          <w:rtl/>
        </w:rPr>
        <w:tab/>
      </w:r>
      <w:r w:rsidR="008A528F">
        <w:rPr>
          <w:rFonts w:hint="cs"/>
          <w:b/>
          <w:bCs/>
          <w:rtl/>
        </w:rPr>
        <w:t xml:space="preserve">تشجِّع اللجنة </w:t>
      </w:r>
      <w:r w:rsidR="008A528F" w:rsidRPr="00D15598">
        <w:rPr>
          <w:rFonts w:hint="cs"/>
          <w:b/>
          <w:bCs/>
          <w:rtl/>
        </w:rPr>
        <w:t>بقوة</w:t>
      </w:r>
      <w:r w:rsidR="008A528F">
        <w:rPr>
          <w:rFonts w:hint="cs"/>
          <w:b/>
          <w:bCs/>
          <w:rtl/>
        </w:rPr>
        <w:t xml:space="preserve"> الدولة الطرف، في إطار </w:t>
      </w:r>
      <w:proofErr w:type="spellStart"/>
      <w:r w:rsidR="008A528F">
        <w:rPr>
          <w:rFonts w:hint="cs"/>
          <w:b/>
          <w:bCs/>
          <w:rtl/>
        </w:rPr>
        <w:t>استراتيجي</w:t>
      </w:r>
      <w:r w:rsidRPr="00D15598">
        <w:rPr>
          <w:rFonts w:hint="cs"/>
          <w:b/>
          <w:bCs/>
          <w:rtl/>
        </w:rPr>
        <w:t>تها</w:t>
      </w:r>
      <w:proofErr w:type="spellEnd"/>
      <w:r w:rsidRPr="00D15598">
        <w:rPr>
          <w:rFonts w:hint="cs"/>
          <w:b/>
          <w:bCs/>
          <w:rtl/>
        </w:rPr>
        <w:t xml:space="preserve"> الوطنية الجديدة للهجرة وخطة عملها الثلاثية السنوات، على وضع قاعدة بيانات مركزية، مصنفة بحسب الجنس والسن والأصل، من أجل فهم أفضل لسياق الهجرة ووضع العمال المهاجرين في البلد، </w:t>
      </w:r>
      <w:r w:rsidR="008A528F">
        <w:rPr>
          <w:rFonts w:hint="cs"/>
          <w:b/>
          <w:bCs/>
          <w:rtl/>
        </w:rPr>
        <w:t xml:space="preserve">بمن فيهم </w:t>
      </w:r>
      <w:r w:rsidRPr="00D15598">
        <w:rPr>
          <w:rFonts w:hint="cs"/>
          <w:b/>
          <w:bCs/>
          <w:rtl/>
        </w:rPr>
        <w:t xml:space="preserve">المهاجرون غير الشرعيين، ومن أجل ضمان تنفيذ فعَّال لسياستها في مجال الهجرة </w:t>
      </w:r>
      <w:r w:rsidR="008A528F">
        <w:rPr>
          <w:rFonts w:hint="cs"/>
          <w:b/>
          <w:bCs/>
          <w:rtl/>
        </w:rPr>
        <w:t xml:space="preserve">ورصد </w:t>
      </w:r>
      <w:r w:rsidRPr="00D15598">
        <w:rPr>
          <w:rFonts w:hint="cs"/>
          <w:b/>
          <w:bCs/>
          <w:rtl/>
        </w:rPr>
        <w:t xml:space="preserve">تنفيذ </w:t>
      </w:r>
      <w:r w:rsidR="008A528F">
        <w:rPr>
          <w:rFonts w:hint="cs"/>
          <w:b/>
          <w:bCs/>
          <w:rtl/>
        </w:rPr>
        <w:t xml:space="preserve">أحكام </w:t>
      </w:r>
      <w:r w:rsidRPr="00D15598">
        <w:rPr>
          <w:rFonts w:hint="cs"/>
          <w:b/>
          <w:bCs/>
          <w:rtl/>
        </w:rPr>
        <w:t xml:space="preserve">الاتفاقية. وفي حالة </w:t>
      </w:r>
      <w:r w:rsidR="008A528F">
        <w:rPr>
          <w:rFonts w:hint="cs"/>
          <w:b/>
          <w:bCs/>
          <w:rtl/>
        </w:rPr>
        <w:t xml:space="preserve">عدم توافر </w:t>
      </w:r>
      <w:r w:rsidRPr="00D15598">
        <w:rPr>
          <w:rFonts w:hint="cs"/>
          <w:b/>
          <w:bCs/>
          <w:rtl/>
        </w:rPr>
        <w:t xml:space="preserve">المعلومات الدقيقة، تودُّ اللجنة الحصول على بيانات </w:t>
      </w:r>
      <w:r w:rsidR="008A528F">
        <w:rPr>
          <w:rFonts w:hint="cs"/>
          <w:b/>
          <w:bCs/>
          <w:rtl/>
        </w:rPr>
        <w:t xml:space="preserve">مستندة </w:t>
      </w:r>
      <w:r w:rsidRPr="00D15598">
        <w:rPr>
          <w:rFonts w:hint="cs"/>
          <w:b/>
          <w:bCs/>
          <w:rtl/>
        </w:rPr>
        <w:t xml:space="preserve">إلى دراسات أو </w:t>
      </w:r>
      <w:r w:rsidR="008A528F">
        <w:rPr>
          <w:rFonts w:hint="cs"/>
          <w:b/>
          <w:bCs/>
          <w:rtl/>
        </w:rPr>
        <w:t>تقديرات</w:t>
      </w:r>
      <w:r w:rsidRPr="00D15598">
        <w:rPr>
          <w:rFonts w:hint="cs"/>
          <w:b/>
          <w:bCs/>
          <w:rtl/>
        </w:rPr>
        <w:t>.</w:t>
      </w:r>
    </w:p>
    <w:p w:rsidR="000503BE" w:rsidRDefault="000503BE" w:rsidP="00D15598">
      <w:pPr>
        <w:pStyle w:val="H4GA"/>
        <w:rPr>
          <w:rFonts w:hint="cs"/>
          <w:rtl/>
        </w:rPr>
      </w:pPr>
      <w:r>
        <w:rPr>
          <w:rFonts w:hint="cs"/>
          <w:rtl/>
        </w:rPr>
        <w:tab/>
      </w:r>
      <w:r>
        <w:rPr>
          <w:rFonts w:hint="cs"/>
          <w:rtl/>
        </w:rPr>
        <w:tab/>
        <w:t>التدريب في مجال الاتفاقية ونشرها</w:t>
      </w:r>
    </w:p>
    <w:p w:rsidR="000503BE" w:rsidRDefault="000503BE" w:rsidP="001C4252">
      <w:pPr>
        <w:pStyle w:val="SingleTxtGA"/>
        <w:rPr>
          <w:rFonts w:hint="cs"/>
          <w:rtl/>
        </w:rPr>
      </w:pPr>
      <w:r>
        <w:rPr>
          <w:rFonts w:hint="cs"/>
          <w:rtl/>
        </w:rPr>
        <w:t>16-</w:t>
      </w:r>
      <w:r>
        <w:rPr>
          <w:rFonts w:hint="cs"/>
          <w:rtl/>
        </w:rPr>
        <w:tab/>
        <w:t xml:space="preserve">تلاحظ اللجنة باهتمام تنظيم دورات تدريبية </w:t>
      </w:r>
      <w:r w:rsidR="008A528F">
        <w:rPr>
          <w:rFonts w:hint="cs"/>
          <w:rtl/>
        </w:rPr>
        <w:t>ل</w:t>
      </w:r>
      <w:r>
        <w:rPr>
          <w:rFonts w:hint="cs"/>
          <w:rtl/>
        </w:rPr>
        <w:t xml:space="preserve">قوات الشرطة وحرس الحدود والقضاة في الدولة الطرف. بيد أن اللجنة تشعر بالقلق لأن هذه الدورات التدريبية ليست إلزامية </w:t>
      </w:r>
      <w:r w:rsidR="008A528F">
        <w:rPr>
          <w:rFonts w:hint="cs"/>
          <w:rtl/>
        </w:rPr>
        <w:t>ولا</w:t>
      </w:r>
      <w:r w:rsidR="001C4252">
        <w:rPr>
          <w:rFonts w:hint="eastAsia"/>
          <w:rtl/>
        </w:rPr>
        <w:t> </w:t>
      </w:r>
      <w:r w:rsidR="008A528F">
        <w:rPr>
          <w:rFonts w:hint="cs"/>
          <w:rtl/>
        </w:rPr>
        <w:t xml:space="preserve">تتاح </w:t>
      </w:r>
      <w:r>
        <w:rPr>
          <w:rFonts w:hint="cs"/>
          <w:rtl/>
        </w:rPr>
        <w:t>بشكل من</w:t>
      </w:r>
      <w:r w:rsidR="008A528F">
        <w:rPr>
          <w:rFonts w:hint="cs"/>
          <w:rtl/>
        </w:rPr>
        <w:t>ت</w:t>
      </w:r>
      <w:r>
        <w:rPr>
          <w:rFonts w:hint="cs"/>
          <w:rtl/>
        </w:rPr>
        <w:t>ظم لجميع الموظفين الذين يتعاملون مع العمال المهاجرين.</w:t>
      </w:r>
    </w:p>
    <w:p w:rsidR="000503BE" w:rsidRPr="00D15598" w:rsidRDefault="000503BE" w:rsidP="00793821">
      <w:pPr>
        <w:pStyle w:val="SingleTxtGA"/>
        <w:rPr>
          <w:rFonts w:hint="cs"/>
          <w:b/>
          <w:bCs/>
          <w:rtl/>
        </w:rPr>
      </w:pPr>
      <w:r>
        <w:rPr>
          <w:rFonts w:hint="cs"/>
          <w:rtl/>
        </w:rPr>
        <w:t>17-</w:t>
      </w:r>
      <w:r>
        <w:rPr>
          <w:rFonts w:hint="cs"/>
          <w:rtl/>
        </w:rPr>
        <w:tab/>
      </w:r>
      <w:r w:rsidRPr="00D15598">
        <w:rPr>
          <w:rFonts w:hint="cs"/>
          <w:b/>
          <w:bCs/>
          <w:rtl/>
        </w:rPr>
        <w:t xml:space="preserve">توصي اللجنة بأن تعزِّز الدولة الطرف جهودها من أجل </w:t>
      </w:r>
      <w:r w:rsidR="008A528F">
        <w:rPr>
          <w:rFonts w:hint="cs"/>
          <w:b/>
          <w:bCs/>
          <w:rtl/>
        </w:rPr>
        <w:t xml:space="preserve">إتاحة </w:t>
      </w:r>
      <w:r w:rsidRPr="00D15598">
        <w:rPr>
          <w:rFonts w:hint="cs"/>
          <w:b/>
          <w:bCs/>
          <w:rtl/>
        </w:rPr>
        <w:t xml:space="preserve">دورات تدريبية </w:t>
      </w:r>
      <w:r w:rsidR="008A528F">
        <w:rPr>
          <w:rFonts w:hint="cs"/>
          <w:b/>
          <w:bCs/>
          <w:rtl/>
        </w:rPr>
        <w:t xml:space="preserve">إلزامية بانتظام </w:t>
      </w:r>
      <w:r w:rsidRPr="00D15598">
        <w:rPr>
          <w:rFonts w:hint="cs"/>
          <w:b/>
          <w:bCs/>
          <w:rtl/>
        </w:rPr>
        <w:t xml:space="preserve">حول موادّ الاتفاقية وانطباقها المباشر، </w:t>
      </w:r>
      <w:r w:rsidR="008A528F">
        <w:rPr>
          <w:rFonts w:hint="cs"/>
          <w:b/>
          <w:bCs/>
          <w:rtl/>
        </w:rPr>
        <w:t>ل</w:t>
      </w:r>
      <w:r w:rsidRPr="00D15598">
        <w:rPr>
          <w:rFonts w:hint="cs"/>
          <w:b/>
          <w:bCs/>
          <w:rtl/>
        </w:rPr>
        <w:t>جميع الموظفين الذين يتعاملون مع العمال المهاجرين، خصوصاً القضاة، وأفراد الشرطة، وحرس الحدود، وموظفي الهجرة، والموظفين القنصليين، ومف</w:t>
      </w:r>
      <w:r w:rsidR="00793821">
        <w:rPr>
          <w:rFonts w:hint="cs"/>
          <w:b/>
          <w:bCs/>
          <w:rtl/>
        </w:rPr>
        <w:t>ت</w:t>
      </w:r>
      <w:r w:rsidRPr="00D15598">
        <w:rPr>
          <w:rFonts w:hint="cs"/>
          <w:b/>
          <w:bCs/>
          <w:rtl/>
        </w:rPr>
        <w:t>شي العمل، والأخصائيين الاجتماعيين.</w:t>
      </w:r>
    </w:p>
    <w:p w:rsidR="000503BE" w:rsidRDefault="000503BE" w:rsidP="00D15598">
      <w:pPr>
        <w:pStyle w:val="H23GA"/>
        <w:rPr>
          <w:rFonts w:hint="cs"/>
          <w:rtl/>
        </w:rPr>
      </w:pPr>
      <w:r>
        <w:rPr>
          <w:rFonts w:hint="cs"/>
          <w:rtl/>
        </w:rPr>
        <w:tab/>
        <w:t>2-</w:t>
      </w:r>
      <w:r>
        <w:rPr>
          <w:rFonts w:hint="cs"/>
          <w:rtl/>
        </w:rPr>
        <w:tab/>
        <w:t>المبادئ العامة (المادتين 7 و83)</w:t>
      </w:r>
    </w:p>
    <w:p w:rsidR="000503BE" w:rsidRDefault="000503BE" w:rsidP="00D15598">
      <w:pPr>
        <w:pStyle w:val="H4GA"/>
        <w:rPr>
          <w:rFonts w:hint="cs"/>
          <w:rtl/>
          <w:lang w:eastAsia="ar-SA"/>
        </w:rPr>
      </w:pPr>
      <w:r>
        <w:rPr>
          <w:rFonts w:hint="cs"/>
          <w:rtl/>
          <w:lang w:eastAsia="ar-SA"/>
        </w:rPr>
        <w:tab/>
      </w:r>
      <w:r>
        <w:rPr>
          <w:rFonts w:hint="cs"/>
          <w:rtl/>
          <w:lang w:eastAsia="ar-SA"/>
        </w:rPr>
        <w:tab/>
        <w:t>الحق في سبيل انتصاف فعَّال</w:t>
      </w:r>
    </w:p>
    <w:p w:rsidR="000503BE" w:rsidRDefault="000503BE" w:rsidP="007F5CCF">
      <w:pPr>
        <w:pStyle w:val="SingleTxtGA"/>
        <w:rPr>
          <w:rFonts w:hint="cs"/>
          <w:rtl/>
          <w:lang w:eastAsia="ar-SA"/>
        </w:rPr>
      </w:pPr>
      <w:r>
        <w:rPr>
          <w:rFonts w:hint="cs"/>
          <w:rtl/>
          <w:lang w:eastAsia="ar-SA"/>
        </w:rPr>
        <w:t>18-</w:t>
      </w:r>
      <w:r>
        <w:rPr>
          <w:rFonts w:hint="cs"/>
          <w:rtl/>
          <w:lang w:eastAsia="ar-SA"/>
        </w:rPr>
        <w:tab/>
        <w:t xml:space="preserve">تحيط اللجنة علماً بالمعلومات التي قدمتها الدولة الطرف والتي تشير إلى أن </w:t>
      </w:r>
      <w:r w:rsidR="008A528F">
        <w:rPr>
          <w:rFonts w:hint="cs"/>
          <w:rtl/>
          <w:lang w:eastAsia="ar-SA"/>
        </w:rPr>
        <w:t>ل</w:t>
      </w:r>
      <w:r>
        <w:rPr>
          <w:rFonts w:hint="cs"/>
          <w:rtl/>
          <w:lang w:eastAsia="ar-SA"/>
        </w:rPr>
        <w:t xml:space="preserve">كل شخص، </w:t>
      </w:r>
      <w:r w:rsidR="008A528F">
        <w:rPr>
          <w:rFonts w:hint="cs"/>
          <w:rtl/>
          <w:lang w:eastAsia="ar-SA"/>
        </w:rPr>
        <w:t xml:space="preserve">بغض النظر عن </w:t>
      </w:r>
      <w:r>
        <w:rPr>
          <w:rFonts w:hint="cs"/>
          <w:rtl/>
          <w:lang w:eastAsia="ar-SA"/>
        </w:rPr>
        <w:t xml:space="preserve">جنسيته، </w:t>
      </w:r>
      <w:r w:rsidR="008A528F">
        <w:rPr>
          <w:rFonts w:hint="cs"/>
          <w:rtl/>
          <w:lang w:eastAsia="ar-SA"/>
        </w:rPr>
        <w:t xml:space="preserve">أن يلجأ إلى </w:t>
      </w:r>
      <w:r>
        <w:rPr>
          <w:rFonts w:hint="cs"/>
          <w:rtl/>
          <w:lang w:eastAsia="ar-SA"/>
        </w:rPr>
        <w:t xml:space="preserve">القضاء ويتمتع بحماية </w:t>
      </w:r>
      <w:r w:rsidR="008A528F">
        <w:rPr>
          <w:rFonts w:hint="cs"/>
          <w:rtl/>
          <w:lang w:eastAsia="ar-SA"/>
        </w:rPr>
        <w:t>الحقوق</w:t>
      </w:r>
      <w:r>
        <w:rPr>
          <w:rFonts w:hint="cs"/>
          <w:rtl/>
          <w:lang w:eastAsia="ar-SA"/>
        </w:rPr>
        <w:t xml:space="preserve"> التي تضمنها التشريعات. وتلاحظ اللجنة باهتمام المعلومات المتعلِّقة بالهيئات القضائية والإدارية المختصة في </w:t>
      </w:r>
      <w:r w:rsidR="008A528F">
        <w:rPr>
          <w:rFonts w:hint="cs"/>
          <w:rtl/>
          <w:lang w:eastAsia="ar-SA"/>
        </w:rPr>
        <w:t xml:space="preserve">التحقيق في </w:t>
      </w:r>
      <w:r>
        <w:rPr>
          <w:rFonts w:hint="cs"/>
          <w:rtl/>
          <w:lang w:eastAsia="ar-SA"/>
        </w:rPr>
        <w:t xml:space="preserve">شكاوى العمال المهاجرين، لكنها في الوقت نفسه تلاحظ بقلق عدم تقديم أية معلومات عن عدد الحالات و/أو قضايا الاستئناف التي درستها الهيئات المختلفة، بما في ذلك اللجنة الوطنية لحقوق الإنسان، منذ تصديق الدولة الطرف على الاتفاقية، الأمر الذي قد يشير إلى </w:t>
      </w:r>
      <w:r w:rsidR="008A528F">
        <w:rPr>
          <w:rFonts w:hint="cs"/>
          <w:rtl/>
          <w:lang w:eastAsia="ar-SA"/>
        </w:rPr>
        <w:t xml:space="preserve">جهل </w:t>
      </w:r>
      <w:r>
        <w:rPr>
          <w:rFonts w:hint="cs"/>
          <w:rtl/>
          <w:lang w:eastAsia="ar-SA"/>
        </w:rPr>
        <w:t xml:space="preserve">العمال المهاجرين بسبل الانتصاف المتاحة، وإلى </w:t>
      </w:r>
      <w:r w:rsidR="007F5CCF">
        <w:rPr>
          <w:rFonts w:hint="cs"/>
          <w:rtl/>
          <w:lang w:eastAsia="ar-SA"/>
        </w:rPr>
        <w:t xml:space="preserve">عدم فعالية </w:t>
      </w:r>
      <w:r>
        <w:rPr>
          <w:rFonts w:hint="cs"/>
          <w:rtl/>
          <w:lang w:eastAsia="ar-SA"/>
        </w:rPr>
        <w:t xml:space="preserve">التشريعات ذات الصلة. علاوةً على ذلك، تشعر اللجنة بالقلق إزاء أوجه قصور النظام القضائي التي أشارت إليها الدولة الطرف الأمر الذي يحول دون وصول العمال المهاجرين إلى سبيل انتصاف فعّال في حالة انتهاك حقوقهم. وتشعر اللجنة </w:t>
      </w:r>
      <w:r w:rsidR="007F5CCF">
        <w:rPr>
          <w:rFonts w:hint="cs"/>
          <w:rtl/>
          <w:lang w:eastAsia="ar-SA"/>
        </w:rPr>
        <w:t xml:space="preserve">بالأسف أيضاً </w:t>
      </w:r>
      <w:r>
        <w:rPr>
          <w:rFonts w:hint="cs"/>
          <w:rtl/>
          <w:lang w:eastAsia="ar-SA"/>
        </w:rPr>
        <w:t xml:space="preserve">إزاء نقص المعلومات حول تنفيذ المرسوم رقم </w:t>
      </w:r>
      <w:r>
        <w:rPr>
          <w:lang w:eastAsia="ar-SA"/>
        </w:rPr>
        <w:t>2009-558/PRES/PM/MJ/MEF/MATD</w:t>
      </w:r>
      <w:r>
        <w:rPr>
          <w:rFonts w:hint="cs"/>
          <w:rtl/>
          <w:lang w:eastAsia="ar-SA"/>
        </w:rPr>
        <w:t xml:space="preserve"> المتعلِّق بالمساعدة القضائية وبإجراءات حصول العمال المهاجرين على هذه المساعدة.</w:t>
      </w:r>
    </w:p>
    <w:p w:rsidR="000503BE" w:rsidRPr="00D15598" w:rsidRDefault="000503BE" w:rsidP="00FC630F">
      <w:pPr>
        <w:pStyle w:val="SingleTxtGA"/>
        <w:keepNext/>
        <w:keepLines/>
        <w:rPr>
          <w:rFonts w:hint="cs"/>
          <w:b/>
          <w:bCs/>
          <w:rtl/>
          <w:lang w:eastAsia="ar-SA"/>
        </w:rPr>
      </w:pPr>
      <w:r>
        <w:rPr>
          <w:rFonts w:hint="cs"/>
          <w:rtl/>
          <w:lang w:eastAsia="ar-SA"/>
        </w:rPr>
        <w:t>19-</w:t>
      </w:r>
      <w:r>
        <w:rPr>
          <w:rFonts w:hint="cs"/>
          <w:rtl/>
          <w:lang w:eastAsia="ar-SA"/>
        </w:rPr>
        <w:tab/>
      </w:r>
      <w:r w:rsidRPr="00D15598">
        <w:rPr>
          <w:rFonts w:hint="cs"/>
          <w:b/>
          <w:bCs/>
          <w:rtl/>
          <w:lang w:eastAsia="ar-SA"/>
        </w:rPr>
        <w:t>تدعو اللجنة الدولة الطرف إلى ما يلي:</w:t>
      </w:r>
    </w:p>
    <w:p w:rsidR="000503BE" w:rsidRPr="00D15598" w:rsidRDefault="000503BE" w:rsidP="00312995">
      <w:pPr>
        <w:pStyle w:val="SingleTxtGA"/>
        <w:rPr>
          <w:rFonts w:hint="cs"/>
          <w:b/>
          <w:bCs/>
          <w:rtl/>
          <w:lang w:eastAsia="ar-SA"/>
        </w:rPr>
      </w:pPr>
      <w:r w:rsidRPr="00D15598">
        <w:rPr>
          <w:rFonts w:hint="cs"/>
          <w:b/>
          <w:bCs/>
          <w:rtl/>
          <w:lang w:eastAsia="ar-SA"/>
        </w:rPr>
        <w:tab/>
        <w:t>(أ)</w:t>
      </w:r>
      <w:r w:rsidRPr="00D15598">
        <w:rPr>
          <w:rFonts w:hint="cs"/>
          <w:b/>
          <w:bCs/>
          <w:rtl/>
          <w:lang w:eastAsia="ar-SA"/>
        </w:rPr>
        <w:tab/>
        <w:t xml:space="preserve">أن تضمن حصول العمال المهاجرين وأفراد أسرهم، </w:t>
      </w:r>
      <w:r w:rsidR="007F5CCF">
        <w:rPr>
          <w:rFonts w:hint="cs"/>
          <w:b/>
          <w:bCs/>
          <w:rtl/>
          <w:lang w:eastAsia="ar-SA"/>
        </w:rPr>
        <w:t xml:space="preserve">بمن فيهم </w:t>
      </w:r>
      <w:r w:rsidRPr="00D15598">
        <w:rPr>
          <w:rFonts w:hint="cs"/>
          <w:b/>
          <w:bCs/>
          <w:rtl/>
          <w:lang w:eastAsia="ar-SA"/>
        </w:rPr>
        <w:t>المخالفون منهم، على نفس الحقوق التي يتمتع بها مواطنو الدولة الطرف، في القانون والممارسة، فيما</w:t>
      </w:r>
      <w:r w:rsidR="007F5CCF">
        <w:rPr>
          <w:rFonts w:hint="eastAsia"/>
          <w:b/>
          <w:bCs/>
          <w:rtl/>
          <w:lang w:eastAsia="ar-SA"/>
        </w:rPr>
        <w:t> </w:t>
      </w:r>
      <w:r w:rsidRPr="00D15598">
        <w:rPr>
          <w:rFonts w:hint="cs"/>
          <w:b/>
          <w:bCs/>
          <w:rtl/>
          <w:lang w:eastAsia="ar-SA"/>
        </w:rPr>
        <w:t xml:space="preserve">يتعلَّق برفع الشكاوى </w:t>
      </w:r>
      <w:r w:rsidR="00312995">
        <w:rPr>
          <w:rFonts w:hint="cs"/>
          <w:b/>
          <w:bCs/>
          <w:rtl/>
          <w:lang w:eastAsia="ar-SA"/>
        </w:rPr>
        <w:t xml:space="preserve">والتماس إنصاف فعال </w:t>
      </w:r>
      <w:r w:rsidRPr="00D15598">
        <w:rPr>
          <w:rFonts w:hint="cs"/>
          <w:b/>
          <w:bCs/>
          <w:rtl/>
          <w:lang w:eastAsia="ar-SA"/>
        </w:rPr>
        <w:t>أمام المحاكم عند انتهاك حقوقهم؛</w:t>
      </w:r>
    </w:p>
    <w:p w:rsidR="000503BE" w:rsidRPr="00D15598" w:rsidRDefault="000503BE" w:rsidP="00312995">
      <w:pPr>
        <w:pStyle w:val="SingleTxtGA"/>
        <w:rPr>
          <w:rFonts w:hint="cs"/>
          <w:b/>
          <w:bCs/>
          <w:rtl/>
          <w:lang w:eastAsia="ar-SA"/>
        </w:rPr>
      </w:pPr>
      <w:r w:rsidRPr="00D15598">
        <w:rPr>
          <w:rFonts w:hint="cs"/>
          <w:b/>
          <w:bCs/>
          <w:rtl/>
          <w:lang w:eastAsia="ar-SA"/>
        </w:rPr>
        <w:tab/>
        <w:t>(ب)</w:t>
      </w:r>
      <w:r w:rsidRPr="00D15598">
        <w:rPr>
          <w:rFonts w:hint="cs"/>
          <w:b/>
          <w:bCs/>
          <w:rtl/>
          <w:lang w:eastAsia="ar-SA"/>
        </w:rPr>
        <w:tab/>
        <w:t xml:space="preserve">أن </w:t>
      </w:r>
      <w:r w:rsidR="00312995">
        <w:rPr>
          <w:rFonts w:hint="cs"/>
          <w:b/>
          <w:bCs/>
          <w:rtl/>
          <w:lang w:eastAsia="ar-SA"/>
        </w:rPr>
        <w:t xml:space="preserve">تعلم </w:t>
      </w:r>
      <w:r w:rsidRPr="00D15598">
        <w:rPr>
          <w:rFonts w:hint="cs"/>
          <w:b/>
          <w:bCs/>
          <w:rtl/>
          <w:lang w:eastAsia="ar-SA"/>
        </w:rPr>
        <w:t xml:space="preserve">العمال المهاجرين وأفراد أسرهم بسبل الانتصاف </w:t>
      </w:r>
      <w:r w:rsidR="00312995">
        <w:rPr>
          <w:rFonts w:hint="cs"/>
          <w:b/>
          <w:bCs/>
          <w:rtl/>
          <w:lang w:eastAsia="ar-SA"/>
        </w:rPr>
        <w:t xml:space="preserve">القضائية </w:t>
      </w:r>
      <w:r w:rsidRPr="00D15598">
        <w:rPr>
          <w:rFonts w:hint="cs"/>
          <w:b/>
          <w:bCs/>
          <w:rtl/>
          <w:lang w:eastAsia="ar-SA"/>
        </w:rPr>
        <w:t xml:space="preserve">وغيرها من السبل المتاحة لهم في حالة انتهاك </w:t>
      </w:r>
      <w:r w:rsidR="00312995">
        <w:rPr>
          <w:rFonts w:hint="cs"/>
          <w:b/>
          <w:bCs/>
          <w:rtl/>
          <w:lang w:eastAsia="ar-SA"/>
        </w:rPr>
        <w:t xml:space="preserve">أحكام </w:t>
      </w:r>
      <w:r w:rsidRPr="00D15598">
        <w:rPr>
          <w:rFonts w:hint="cs"/>
          <w:b/>
          <w:bCs/>
          <w:rtl/>
          <w:lang w:eastAsia="ar-SA"/>
        </w:rPr>
        <w:t>الاتفاقية ودراسة شكاواهم بأقصى قدر من الفعالية؛</w:t>
      </w:r>
    </w:p>
    <w:p w:rsidR="000503BE" w:rsidRPr="00D15598" w:rsidRDefault="000503BE" w:rsidP="00312995">
      <w:pPr>
        <w:pStyle w:val="SingleTxtGA"/>
        <w:rPr>
          <w:rFonts w:hint="cs"/>
          <w:b/>
          <w:bCs/>
          <w:rtl/>
          <w:lang w:eastAsia="ar-SA"/>
        </w:rPr>
      </w:pPr>
      <w:r w:rsidRPr="00D15598">
        <w:rPr>
          <w:rFonts w:hint="cs"/>
          <w:b/>
          <w:bCs/>
          <w:rtl/>
          <w:lang w:eastAsia="ar-SA"/>
        </w:rPr>
        <w:tab/>
        <w:t>(ج)</w:t>
      </w:r>
      <w:r w:rsidRPr="00D15598">
        <w:rPr>
          <w:rFonts w:hint="cs"/>
          <w:b/>
          <w:bCs/>
          <w:rtl/>
          <w:lang w:eastAsia="ar-SA"/>
        </w:rPr>
        <w:tab/>
        <w:t xml:space="preserve">أن تضمن </w:t>
      </w:r>
      <w:r w:rsidR="00312995">
        <w:rPr>
          <w:rFonts w:hint="cs"/>
          <w:b/>
          <w:bCs/>
          <w:rtl/>
          <w:lang w:eastAsia="ar-SA"/>
        </w:rPr>
        <w:t xml:space="preserve">إعلام </w:t>
      </w:r>
      <w:r w:rsidRPr="00D15598">
        <w:rPr>
          <w:rFonts w:hint="cs"/>
          <w:b/>
          <w:bCs/>
          <w:rtl/>
          <w:lang w:eastAsia="ar-SA"/>
        </w:rPr>
        <w:t>العمال المهاجرين على النحو الواجب بإجراءات الحصول على المساعدة القضائية وتقديم معلومات في التقرير الدوري المقبل عن الحالات التي استفاد فيها العمال المهاجرون من المساعدة القضائية.</w:t>
      </w:r>
    </w:p>
    <w:p w:rsidR="000503BE" w:rsidRDefault="000503BE" w:rsidP="00D15598">
      <w:pPr>
        <w:pStyle w:val="H23GA"/>
        <w:rPr>
          <w:rFonts w:hint="cs"/>
          <w:rtl/>
        </w:rPr>
      </w:pPr>
      <w:r>
        <w:rPr>
          <w:rFonts w:hint="cs"/>
          <w:rtl/>
        </w:rPr>
        <w:tab/>
        <w:t>3-</w:t>
      </w:r>
      <w:r>
        <w:rPr>
          <w:rFonts w:hint="cs"/>
          <w:rtl/>
        </w:rPr>
        <w:tab/>
        <w:t>حقوق الإنسان لجميع العمال المهاجرين وأفراد أسرهم (المواد من 8 إلى 35)</w:t>
      </w:r>
    </w:p>
    <w:p w:rsidR="000503BE" w:rsidRDefault="000503BE" w:rsidP="00793821">
      <w:pPr>
        <w:pStyle w:val="SingleTxtGA"/>
        <w:rPr>
          <w:rFonts w:hint="cs"/>
          <w:rtl/>
          <w:lang w:eastAsia="ar-SA"/>
        </w:rPr>
      </w:pPr>
      <w:r>
        <w:rPr>
          <w:rFonts w:hint="cs"/>
          <w:rtl/>
          <w:lang w:eastAsia="ar-SA"/>
        </w:rPr>
        <w:t>20-</w:t>
      </w:r>
      <w:r>
        <w:rPr>
          <w:rFonts w:hint="cs"/>
          <w:rtl/>
          <w:lang w:eastAsia="ar-SA"/>
        </w:rPr>
        <w:tab/>
        <w:t xml:space="preserve">تحيط اللجنة علماً بالجهود التي بذلتها الدولة الطرف فيما يتعلَّق بمنع العمل القسري. بيد أنها لا تزال تشعر بالقلق إزاء تواصل واستمرار هذه الممارسة، لا سيما بحق العمال المهاجرين الذين يقعون، في الكثير من الأحيان، ضحية العمل القسري </w:t>
      </w:r>
      <w:r w:rsidR="00312995">
        <w:rPr>
          <w:rFonts w:hint="cs"/>
          <w:rtl/>
          <w:lang w:eastAsia="ar-SA"/>
        </w:rPr>
        <w:t xml:space="preserve">والتعسف </w:t>
      </w:r>
      <w:r>
        <w:rPr>
          <w:rFonts w:hint="cs"/>
          <w:rtl/>
          <w:lang w:eastAsia="ar-SA"/>
        </w:rPr>
        <w:t xml:space="preserve">وغير ذلك من أشكال الاستغلال، كدفع أجور غير </w:t>
      </w:r>
      <w:r w:rsidR="00312995">
        <w:rPr>
          <w:rFonts w:hint="cs"/>
          <w:rtl/>
          <w:lang w:eastAsia="ar-SA"/>
        </w:rPr>
        <w:t xml:space="preserve">كافية </w:t>
      </w:r>
      <w:r>
        <w:rPr>
          <w:rFonts w:hint="cs"/>
          <w:rtl/>
          <w:lang w:eastAsia="ar-SA"/>
        </w:rPr>
        <w:t xml:space="preserve">أو تشغيلهم لساعات طويلة، خصوصاً في </w:t>
      </w:r>
      <w:r w:rsidR="00312995">
        <w:rPr>
          <w:rFonts w:hint="cs"/>
          <w:rtl/>
          <w:lang w:eastAsia="ar-SA"/>
        </w:rPr>
        <w:t xml:space="preserve">قطاع </w:t>
      </w:r>
      <w:r>
        <w:rPr>
          <w:rFonts w:hint="cs"/>
          <w:rtl/>
          <w:lang w:eastAsia="ar-SA"/>
        </w:rPr>
        <w:t xml:space="preserve">الزراعة </w:t>
      </w:r>
      <w:r w:rsidR="00793821">
        <w:rPr>
          <w:rFonts w:hint="cs"/>
          <w:rtl/>
          <w:lang w:eastAsia="ar-SA"/>
        </w:rPr>
        <w:t xml:space="preserve">وفي </w:t>
      </w:r>
      <w:r>
        <w:rPr>
          <w:rFonts w:hint="cs"/>
          <w:rtl/>
          <w:lang w:eastAsia="ar-SA"/>
        </w:rPr>
        <w:t xml:space="preserve">المناجم </w:t>
      </w:r>
      <w:r w:rsidR="00793821">
        <w:rPr>
          <w:rFonts w:hint="cs"/>
          <w:rtl/>
          <w:lang w:eastAsia="ar-SA"/>
        </w:rPr>
        <w:t>و</w:t>
      </w:r>
      <w:r>
        <w:rPr>
          <w:rFonts w:hint="cs"/>
          <w:rtl/>
          <w:lang w:eastAsia="ar-SA"/>
        </w:rPr>
        <w:t xml:space="preserve">الأعمال المنزلية. وتلاحظ اللجنة مع القلق حالة النساء المهاجرات غير الشرعيات اللواتي يعملن في المنازل واللواتي يتعرضن للاستغلال وكذلك </w:t>
      </w:r>
      <w:r w:rsidR="00312995">
        <w:rPr>
          <w:rFonts w:hint="cs"/>
          <w:rtl/>
          <w:lang w:eastAsia="ar-SA"/>
        </w:rPr>
        <w:t>ل</w:t>
      </w:r>
      <w:r>
        <w:rPr>
          <w:rFonts w:hint="cs"/>
          <w:rtl/>
          <w:lang w:eastAsia="ar-SA"/>
        </w:rPr>
        <w:t xml:space="preserve">تشغيلهن في البغاء. وتشعر اللجنة بالقلق إزاء نقص المعلومات المتعلقة بالتدابير المتخذة بحق أرباب العمل الذين </w:t>
      </w:r>
      <w:proofErr w:type="spellStart"/>
      <w:r>
        <w:rPr>
          <w:rFonts w:hint="cs"/>
          <w:rtl/>
          <w:lang w:eastAsia="ar-SA"/>
        </w:rPr>
        <w:t>يلجأون</w:t>
      </w:r>
      <w:proofErr w:type="spellEnd"/>
      <w:r>
        <w:rPr>
          <w:rFonts w:hint="cs"/>
          <w:rtl/>
          <w:lang w:eastAsia="ar-SA"/>
        </w:rPr>
        <w:t xml:space="preserve"> إلى العمل القسري، رغم </w:t>
      </w:r>
      <w:r w:rsidR="00312995">
        <w:rPr>
          <w:rFonts w:hint="cs"/>
          <w:rtl/>
          <w:lang w:eastAsia="ar-SA"/>
        </w:rPr>
        <w:t>الترتيبات السارية</w:t>
      </w:r>
      <w:r>
        <w:rPr>
          <w:rFonts w:hint="cs"/>
          <w:rtl/>
          <w:lang w:eastAsia="ar-SA"/>
        </w:rPr>
        <w:t xml:space="preserve">، بما في ذلك </w:t>
      </w:r>
      <w:r w:rsidR="00312995">
        <w:rPr>
          <w:rFonts w:hint="cs"/>
          <w:rtl/>
          <w:lang w:eastAsia="ar-SA"/>
        </w:rPr>
        <w:t xml:space="preserve">الترتيبات في قطاع التفتيش على </w:t>
      </w:r>
      <w:r>
        <w:rPr>
          <w:rFonts w:hint="cs"/>
          <w:rtl/>
          <w:lang w:eastAsia="ar-SA"/>
        </w:rPr>
        <w:t xml:space="preserve">العمل </w:t>
      </w:r>
      <w:r w:rsidR="00312995">
        <w:rPr>
          <w:rFonts w:hint="cs"/>
          <w:rtl/>
          <w:lang w:eastAsia="ar-SA"/>
        </w:rPr>
        <w:t xml:space="preserve">الذي يمكنه إخطار </w:t>
      </w:r>
      <w:r>
        <w:rPr>
          <w:rFonts w:hint="cs"/>
          <w:rtl/>
          <w:lang w:eastAsia="ar-SA"/>
        </w:rPr>
        <w:t xml:space="preserve">السلطات بأية انتهاكات أو اعتداءات </w:t>
      </w:r>
      <w:r w:rsidR="00312995">
        <w:rPr>
          <w:rFonts w:hint="cs"/>
          <w:rtl/>
          <w:lang w:eastAsia="ar-SA"/>
        </w:rPr>
        <w:t xml:space="preserve">تحدث </w:t>
      </w:r>
      <w:r>
        <w:rPr>
          <w:rFonts w:hint="cs"/>
          <w:rtl/>
          <w:lang w:eastAsia="ar-SA"/>
        </w:rPr>
        <w:t>في أماكن العمل.</w:t>
      </w:r>
    </w:p>
    <w:p w:rsidR="000503BE" w:rsidRPr="00D15598" w:rsidRDefault="000503BE" w:rsidP="00D15598">
      <w:pPr>
        <w:pStyle w:val="SingleTxtGA"/>
        <w:rPr>
          <w:rFonts w:hint="cs"/>
          <w:b/>
          <w:bCs/>
          <w:rtl/>
          <w:lang w:eastAsia="ar-SA"/>
        </w:rPr>
      </w:pPr>
      <w:r>
        <w:rPr>
          <w:rFonts w:hint="cs"/>
          <w:rtl/>
          <w:lang w:eastAsia="ar-SA"/>
        </w:rPr>
        <w:t>21-</w:t>
      </w:r>
      <w:r>
        <w:rPr>
          <w:rFonts w:hint="cs"/>
          <w:rtl/>
          <w:lang w:eastAsia="ar-SA"/>
        </w:rPr>
        <w:tab/>
      </w:r>
      <w:r w:rsidRPr="00D15598">
        <w:rPr>
          <w:rFonts w:hint="cs"/>
          <w:b/>
          <w:bCs/>
          <w:rtl/>
          <w:lang w:eastAsia="ar-SA"/>
        </w:rPr>
        <w:t>وتحثُّ اللجنة الدولة الطرف على ما يلي:</w:t>
      </w:r>
    </w:p>
    <w:p w:rsidR="000503BE" w:rsidRPr="00D15598" w:rsidRDefault="000503BE" w:rsidP="00312995">
      <w:pPr>
        <w:pStyle w:val="SingleTxtGA"/>
        <w:rPr>
          <w:rFonts w:hint="cs"/>
          <w:b/>
          <w:bCs/>
          <w:rtl/>
          <w:lang w:eastAsia="ar-SA"/>
        </w:rPr>
      </w:pPr>
      <w:r w:rsidRPr="00D15598">
        <w:rPr>
          <w:rFonts w:hint="cs"/>
          <w:b/>
          <w:bCs/>
          <w:rtl/>
          <w:lang w:eastAsia="ar-SA"/>
        </w:rPr>
        <w:tab/>
        <w:t>(أ)</w:t>
      </w:r>
      <w:r w:rsidRPr="00D15598">
        <w:rPr>
          <w:rFonts w:hint="cs"/>
          <w:b/>
          <w:bCs/>
          <w:rtl/>
          <w:lang w:eastAsia="ar-SA"/>
        </w:rPr>
        <w:tab/>
        <w:t xml:space="preserve">ضمان </w:t>
      </w:r>
      <w:r w:rsidR="00312995">
        <w:rPr>
          <w:rFonts w:hint="cs"/>
          <w:b/>
          <w:bCs/>
          <w:rtl/>
          <w:lang w:eastAsia="ar-SA"/>
        </w:rPr>
        <w:t xml:space="preserve">ممارسة </w:t>
      </w:r>
      <w:proofErr w:type="spellStart"/>
      <w:r w:rsidRPr="00D15598">
        <w:rPr>
          <w:rFonts w:hint="cs"/>
          <w:b/>
          <w:bCs/>
          <w:rtl/>
          <w:lang w:eastAsia="ar-SA"/>
        </w:rPr>
        <w:t>مفتشية</w:t>
      </w:r>
      <w:proofErr w:type="spellEnd"/>
      <w:r w:rsidRPr="00D15598">
        <w:rPr>
          <w:rFonts w:hint="cs"/>
          <w:b/>
          <w:bCs/>
          <w:rtl/>
          <w:lang w:eastAsia="ar-SA"/>
        </w:rPr>
        <w:t xml:space="preserve"> العمل </w:t>
      </w:r>
      <w:r w:rsidR="00312995">
        <w:rPr>
          <w:rFonts w:hint="cs"/>
          <w:b/>
          <w:bCs/>
          <w:rtl/>
          <w:lang w:eastAsia="ar-SA"/>
        </w:rPr>
        <w:t xml:space="preserve">الرقابة بشكل </w:t>
      </w:r>
      <w:r w:rsidRPr="00D15598">
        <w:rPr>
          <w:rFonts w:hint="cs"/>
          <w:b/>
          <w:bCs/>
          <w:rtl/>
          <w:lang w:eastAsia="ar-SA"/>
        </w:rPr>
        <w:t xml:space="preserve">أكثر انتظاماً </w:t>
      </w:r>
      <w:r w:rsidR="00312995">
        <w:rPr>
          <w:rFonts w:hint="cs"/>
          <w:b/>
          <w:bCs/>
          <w:rtl/>
          <w:lang w:eastAsia="ar-SA"/>
        </w:rPr>
        <w:t xml:space="preserve">على </w:t>
      </w:r>
      <w:r w:rsidRPr="00D15598">
        <w:rPr>
          <w:rFonts w:hint="cs"/>
          <w:b/>
          <w:bCs/>
          <w:rtl/>
          <w:lang w:eastAsia="ar-SA"/>
        </w:rPr>
        <w:t xml:space="preserve">ظروف عمل العمال المهاجرين الشرعيين وغير الشرعيين، </w:t>
      </w:r>
      <w:r w:rsidR="00312995">
        <w:rPr>
          <w:rFonts w:hint="cs"/>
          <w:b/>
          <w:bCs/>
          <w:rtl/>
          <w:lang w:eastAsia="ar-SA"/>
        </w:rPr>
        <w:t xml:space="preserve">مع </w:t>
      </w:r>
      <w:r w:rsidRPr="00D15598">
        <w:rPr>
          <w:rFonts w:hint="cs"/>
          <w:b/>
          <w:bCs/>
          <w:rtl/>
          <w:lang w:eastAsia="ar-SA"/>
        </w:rPr>
        <w:t xml:space="preserve">توسيع نطاق تطبيق الاتفاقية ليشمل القطاع غير النظامي </w:t>
      </w:r>
      <w:r w:rsidR="00312995">
        <w:rPr>
          <w:rFonts w:hint="cs"/>
          <w:b/>
          <w:bCs/>
          <w:rtl/>
          <w:lang w:eastAsia="ar-SA"/>
        </w:rPr>
        <w:t xml:space="preserve">وإخطار </w:t>
      </w:r>
      <w:r w:rsidRPr="00D15598">
        <w:rPr>
          <w:rFonts w:hint="cs"/>
          <w:b/>
          <w:bCs/>
          <w:rtl/>
          <w:lang w:eastAsia="ar-SA"/>
        </w:rPr>
        <w:t xml:space="preserve">السلطات بحالات </w:t>
      </w:r>
      <w:r w:rsidR="00312995">
        <w:rPr>
          <w:rFonts w:hint="cs"/>
          <w:b/>
          <w:bCs/>
          <w:rtl/>
          <w:lang w:eastAsia="ar-SA"/>
        </w:rPr>
        <w:t xml:space="preserve">التعسف </w:t>
      </w:r>
      <w:r w:rsidRPr="00D15598">
        <w:rPr>
          <w:rFonts w:hint="cs"/>
          <w:b/>
          <w:bCs/>
          <w:rtl/>
          <w:lang w:eastAsia="ar-SA"/>
        </w:rPr>
        <w:t>على نحو منتظم؛</w:t>
      </w:r>
    </w:p>
    <w:p w:rsidR="000503BE" w:rsidRPr="00D15598" w:rsidRDefault="000503BE" w:rsidP="003300B5">
      <w:pPr>
        <w:pStyle w:val="SingleTxtGA"/>
        <w:rPr>
          <w:rFonts w:hint="cs"/>
          <w:b/>
          <w:bCs/>
          <w:rtl/>
          <w:lang w:eastAsia="ar-SA"/>
        </w:rPr>
      </w:pPr>
      <w:r w:rsidRPr="00D15598">
        <w:rPr>
          <w:rFonts w:hint="cs"/>
          <w:b/>
          <w:bCs/>
          <w:rtl/>
          <w:lang w:eastAsia="ar-SA"/>
        </w:rPr>
        <w:tab/>
        <w:t>(ب)</w:t>
      </w:r>
      <w:r w:rsidRPr="00D15598">
        <w:rPr>
          <w:rFonts w:hint="cs"/>
          <w:b/>
          <w:bCs/>
          <w:rtl/>
          <w:lang w:eastAsia="ar-SA"/>
        </w:rPr>
        <w:tab/>
        <w:t xml:space="preserve">الحرص على تمكين جميع العمال المهاجرين، خصوصاً العاملات المهاجرات المستخدمات في المنازل، من الوصول إلى آليات فعَّالة لتقديم شكاوى ضد من يستغلهم وينتهك حقوقهم، وضمان </w:t>
      </w:r>
      <w:r w:rsidR="003300B5">
        <w:rPr>
          <w:rFonts w:hint="cs"/>
          <w:b/>
          <w:bCs/>
          <w:rtl/>
          <w:lang w:eastAsia="ar-SA"/>
        </w:rPr>
        <w:t xml:space="preserve">إعلامهم </w:t>
      </w:r>
      <w:r w:rsidRPr="00D15598">
        <w:rPr>
          <w:rFonts w:hint="cs"/>
          <w:b/>
          <w:bCs/>
          <w:rtl/>
          <w:lang w:eastAsia="ar-SA"/>
        </w:rPr>
        <w:t>على النحو الواجب بالإجراءات المتاحة؛</w:t>
      </w:r>
    </w:p>
    <w:p w:rsidR="000503BE" w:rsidRPr="00D15598" w:rsidRDefault="000503BE" w:rsidP="00DB35B9">
      <w:pPr>
        <w:pStyle w:val="SingleTxtGA"/>
        <w:rPr>
          <w:rFonts w:hint="cs"/>
          <w:b/>
          <w:bCs/>
          <w:rtl/>
          <w:lang w:eastAsia="ar-SA"/>
        </w:rPr>
      </w:pPr>
      <w:r w:rsidRPr="00D15598">
        <w:rPr>
          <w:rFonts w:hint="cs"/>
          <w:b/>
          <w:bCs/>
          <w:rtl/>
          <w:lang w:eastAsia="ar-SA"/>
        </w:rPr>
        <w:tab/>
        <w:t>(ج)</w:t>
      </w:r>
      <w:r w:rsidRPr="00D15598">
        <w:rPr>
          <w:rFonts w:hint="cs"/>
          <w:b/>
          <w:bCs/>
          <w:rtl/>
          <w:lang w:eastAsia="ar-SA"/>
        </w:rPr>
        <w:tab/>
        <w:t xml:space="preserve">تكثيف الجهود الرامية إلى تنفيذ </w:t>
      </w:r>
      <w:r w:rsidR="00DB35B9">
        <w:rPr>
          <w:rFonts w:hint="cs"/>
          <w:b/>
          <w:bCs/>
          <w:rtl/>
          <w:lang w:eastAsia="ar-SA"/>
        </w:rPr>
        <w:t xml:space="preserve">التشريعات </w:t>
      </w:r>
      <w:r w:rsidRPr="00D15598">
        <w:rPr>
          <w:rFonts w:hint="cs"/>
          <w:b/>
          <w:bCs/>
          <w:rtl/>
          <w:lang w:eastAsia="ar-SA"/>
        </w:rPr>
        <w:t xml:space="preserve">وفرض غرامات وعقوبات أشدّ على أرباب العمل الذين يستغلون عمالا مهاجرين أو يفرضون عليهم العمل القسري وغير ذلك من </w:t>
      </w:r>
      <w:r w:rsidR="00DB35B9">
        <w:rPr>
          <w:rFonts w:hint="cs"/>
          <w:b/>
          <w:bCs/>
          <w:rtl/>
          <w:lang w:eastAsia="ar-SA"/>
        </w:rPr>
        <w:t>أشكال التعسف</w:t>
      </w:r>
      <w:r w:rsidRPr="00D15598">
        <w:rPr>
          <w:rFonts w:hint="cs"/>
          <w:b/>
          <w:bCs/>
          <w:rtl/>
          <w:lang w:eastAsia="ar-SA"/>
        </w:rPr>
        <w:t>.</w:t>
      </w:r>
    </w:p>
    <w:p w:rsidR="000503BE" w:rsidRDefault="000503BE" w:rsidP="00D367DB">
      <w:pPr>
        <w:pStyle w:val="SingleTxtGA"/>
        <w:rPr>
          <w:rFonts w:hint="cs"/>
          <w:rtl/>
          <w:lang w:eastAsia="ar-SA"/>
        </w:rPr>
      </w:pPr>
      <w:r>
        <w:rPr>
          <w:rFonts w:hint="cs"/>
          <w:rtl/>
          <w:lang w:eastAsia="ar-SA"/>
        </w:rPr>
        <w:t>22-</w:t>
      </w:r>
      <w:r>
        <w:rPr>
          <w:rFonts w:hint="cs"/>
          <w:rtl/>
          <w:lang w:eastAsia="ar-SA"/>
        </w:rPr>
        <w:tab/>
        <w:t>وتلاحظ اللجنة وضع خطة عمل سنوية تتعلَّق بالأطفال المتسولين وإنشاء لجنة متابعة، لكنها تعرب في الوقت نفسه عن قلقها إز</w:t>
      </w:r>
      <w:r w:rsidR="00DB35B9">
        <w:rPr>
          <w:rFonts w:hint="cs"/>
          <w:rtl/>
          <w:lang w:eastAsia="ar-SA"/>
        </w:rPr>
        <w:t>اء حالة الضعف الخاصة التي يعاني</w:t>
      </w:r>
      <w:r>
        <w:rPr>
          <w:rFonts w:hint="cs"/>
          <w:rtl/>
          <w:lang w:eastAsia="ar-SA"/>
        </w:rPr>
        <w:t xml:space="preserve">ها </w:t>
      </w:r>
      <w:r w:rsidR="00DB35B9">
        <w:rPr>
          <w:rFonts w:hint="cs"/>
          <w:rtl/>
          <w:lang w:eastAsia="ar-SA"/>
        </w:rPr>
        <w:t>ال</w:t>
      </w:r>
      <w:r>
        <w:rPr>
          <w:rFonts w:hint="cs"/>
          <w:rtl/>
          <w:lang w:eastAsia="ar-SA"/>
        </w:rPr>
        <w:t xml:space="preserve">أطفال </w:t>
      </w:r>
      <w:r w:rsidR="00DB35B9">
        <w:rPr>
          <w:rFonts w:hint="cs"/>
          <w:i/>
          <w:iCs/>
          <w:rtl/>
          <w:lang w:eastAsia="ar-SA"/>
        </w:rPr>
        <w:t xml:space="preserve">تلاميذ المدارس الإسلامية </w:t>
      </w:r>
      <w:r w:rsidR="00DB35B9" w:rsidRPr="00DB35B9">
        <w:rPr>
          <w:rFonts w:hint="cs"/>
          <w:i/>
          <w:iCs/>
          <w:rtl/>
          <w:lang w:eastAsia="ar-SA"/>
        </w:rPr>
        <w:t>(</w:t>
      </w:r>
      <w:proofErr w:type="spellStart"/>
      <w:r w:rsidR="00DB35B9" w:rsidRPr="00DB35B9">
        <w:rPr>
          <w:i/>
          <w:iCs/>
        </w:rPr>
        <w:t>talibé</w:t>
      </w:r>
      <w:proofErr w:type="spellEnd"/>
      <w:r w:rsidR="00D367DB">
        <w:rPr>
          <w:rFonts w:hint="cs"/>
          <w:i/>
          <w:iCs/>
          <w:rtl/>
        </w:rPr>
        <w:t xml:space="preserve"> </w:t>
      </w:r>
      <w:r w:rsidR="00D367DB" w:rsidRPr="00D367DB">
        <w:rPr>
          <w:rFonts w:hint="cs"/>
          <w:rtl/>
        </w:rPr>
        <w:t>أو</w:t>
      </w:r>
      <w:r w:rsidR="00D367DB">
        <w:rPr>
          <w:rFonts w:hint="cs"/>
          <w:i/>
          <w:iCs/>
          <w:rtl/>
        </w:rPr>
        <w:t xml:space="preserve"> </w:t>
      </w:r>
      <w:proofErr w:type="spellStart"/>
      <w:r w:rsidR="00DB35B9" w:rsidRPr="00DB35B9">
        <w:rPr>
          <w:i/>
          <w:iCs/>
        </w:rPr>
        <w:t>garibou</w:t>
      </w:r>
      <w:r w:rsidR="00A02F98">
        <w:rPr>
          <w:i/>
          <w:iCs/>
        </w:rPr>
        <w:t>s</w:t>
      </w:r>
      <w:proofErr w:type="spellEnd"/>
      <w:r w:rsidR="00DB35B9" w:rsidRPr="00DB35B9">
        <w:rPr>
          <w:rFonts w:hint="cs"/>
          <w:i/>
          <w:iCs/>
          <w:rtl/>
          <w:lang w:eastAsia="ar-SA"/>
        </w:rPr>
        <w:t>)</w:t>
      </w:r>
      <w:r w:rsidR="00DB35B9">
        <w:rPr>
          <w:rFonts w:hint="cs"/>
          <w:rtl/>
          <w:lang w:eastAsia="ar-SA"/>
        </w:rPr>
        <w:t xml:space="preserve"> </w:t>
      </w:r>
      <w:r w:rsidR="00593399">
        <w:rPr>
          <w:rFonts w:hint="cs"/>
          <w:rtl/>
          <w:lang w:eastAsia="ar-SA"/>
        </w:rPr>
        <w:t>المهاجرو</w:t>
      </w:r>
      <w:r>
        <w:rPr>
          <w:rFonts w:hint="cs"/>
          <w:rtl/>
          <w:lang w:eastAsia="ar-SA"/>
        </w:rPr>
        <w:t xml:space="preserve">ن الذين يرغمون على التسول، خصوصاً الأطفال المقيمين بصفة غير شرعية، والمنفصلين عن أسرهم أو غير المصحوبين، وإزاء نقص التدابير </w:t>
      </w:r>
      <w:r w:rsidR="00593399">
        <w:rPr>
          <w:rFonts w:hint="cs"/>
          <w:rtl/>
          <w:lang w:eastAsia="ar-SA"/>
        </w:rPr>
        <w:t>اللازمة ل</w:t>
      </w:r>
      <w:r>
        <w:rPr>
          <w:rFonts w:hint="cs"/>
          <w:rtl/>
          <w:lang w:eastAsia="ar-SA"/>
        </w:rPr>
        <w:t xml:space="preserve">أخذ حالتهم في الحسبان في خطة العمل. وتلاحظ اللجنة ما تبذله الدولة الطرف من جهود </w:t>
      </w:r>
      <w:r w:rsidR="00593399">
        <w:rPr>
          <w:rFonts w:hint="cs"/>
          <w:rtl/>
          <w:lang w:eastAsia="ar-SA"/>
        </w:rPr>
        <w:t>ل</w:t>
      </w:r>
      <w:r>
        <w:rPr>
          <w:rFonts w:hint="cs"/>
          <w:rtl/>
          <w:lang w:eastAsia="ar-SA"/>
        </w:rPr>
        <w:t>إعادة إدماج الأطفال غير المصحوبين، لكنها تشعر بالقلق إزاء عدم وجود تدابير ترمي إلى توفير الحماية والمساعدة المتخصِّصة لهم.</w:t>
      </w:r>
    </w:p>
    <w:p w:rsidR="000503BE" w:rsidRPr="00D15598" w:rsidRDefault="000503BE" w:rsidP="00305C56">
      <w:pPr>
        <w:pStyle w:val="SingleTxtGA"/>
        <w:rPr>
          <w:rFonts w:hint="cs"/>
          <w:b/>
          <w:bCs/>
          <w:rtl/>
          <w:lang w:eastAsia="ar-SA"/>
        </w:rPr>
      </w:pPr>
      <w:r>
        <w:rPr>
          <w:rFonts w:hint="cs"/>
          <w:rtl/>
          <w:lang w:eastAsia="ar-SA"/>
        </w:rPr>
        <w:t>23-</w:t>
      </w:r>
      <w:r>
        <w:rPr>
          <w:rFonts w:hint="cs"/>
          <w:rtl/>
          <w:lang w:eastAsia="ar-SA"/>
        </w:rPr>
        <w:tab/>
      </w:r>
      <w:r w:rsidRPr="00D15598">
        <w:rPr>
          <w:rFonts w:hint="cs"/>
          <w:b/>
          <w:bCs/>
          <w:rtl/>
          <w:lang w:eastAsia="ar-SA"/>
        </w:rPr>
        <w:t xml:space="preserve">في ضوء </w:t>
      </w:r>
      <w:r w:rsidR="00593399">
        <w:rPr>
          <w:rFonts w:hint="cs"/>
          <w:b/>
          <w:bCs/>
          <w:rtl/>
          <w:lang w:eastAsia="ar-SA"/>
        </w:rPr>
        <w:t>ال</w:t>
      </w:r>
      <w:r w:rsidRPr="00D15598">
        <w:rPr>
          <w:rFonts w:hint="cs"/>
          <w:b/>
          <w:bCs/>
          <w:rtl/>
          <w:lang w:eastAsia="ar-SA"/>
        </w:rPr>
        <w:t xml:space="preserve">توصيات </w:t>
      </w:r>
      <w:r w:rsidR="00593399">
        <w:rPr>
          <w:rFonts w:hint="cs"/>
          <w:b/>
          <w:bCs/>
          <w:rtl/>
          <w:lang w:eastAsia="ar-SA"/>
        </w:rPr>
        <w:t xml:space="preserve">التي قدمتها </w:t>
      </w:r>
      <w:r w:rsidRPr="00D15598">
        <w:rPr>
          <w:rFonts w:hint="cs"/>
          <w:b/>
          <w:bCs/>
          <w:rtl/>
          <w:lang w:eastAsia="ar-SA"/>
        </w:rPr>
        <w:t>لجنة حقوق الطفل في ملاحظاتها الختامية المؤرَّخة</w:t>
      </w:r>
      <w:r w:rsidR="00593399">
        <w:rPr>
          <w:rFonts w:hint="eastAsia"/>
          <w:b/>
          <w:bCs/>
          <w:rtl/>
          <w:lang w:eastAsia="ar-SA"/>
        </w:rPr>
        <w:t> </w:t>
      </w:r>
      <w:r w:rsidRPr="00D15598">
        <w:rPr>
          <w:rFonts w:hint="cs"/>
          <w:b/>
          <w:bCs/>
          <w:rtl/>
          <w:lang w:eastAsia="ar-SA"/>
        </w:rPr>
        <w:t>1 شباط/فبراير 2013 (</w:t>
      </w:r>
      <w:r w:rsidRPr="00D15598">
        <w:rPr>
          <w:b/>
          <w:bCs/>
          <w:lang w:eastAsia="ar-SA"/>
        </w:rPr>
        <w:t>CRC/C/OPSC/BFA/CO/1</w:t>
      </w:r>
      <w:r w:rsidRPr="00D15598">
        <w:rPr>
          <w:rFonts w:hint="cs"/>
          <w:b/>
          <w:bCs/>
          <w:rtl/>
          <w:lang w:eastAsia="ar-SA"/>
        </w:rPr>
        <w:t xml:space="preserve">، الفقرتان 19 و31)، توصي اللجنة </w:t>
      </w:r>
      <w:r w:rsidR="00305C56">
        <w:rPr>
          <w:rFonts w:hint="cs"/>
          <w:b/>
          <w:bCs/>
          <w:rtl/>
          <w:lang w:eastAsia="ar-SA"/>
        </w:rPr>
        <w:t xml:space="preserve">الدولة الطرف </w:t>
      </w:r>
      <w:r w:rsidRPr="00D15598">
        <w:rPr>
          <w:rFonts w:hint="cs"/>
          <w:b/>
          <w:bCs/>
          <w:rtl/>
          <w:lang w:eastAsia="ar-SA"/>
        </w:rPr>
        <w:t xml:space="preserve">بأن يضمن </w:t>
      </w:r>
      <w:r w:rsidR="00305C56">
        <w:rPr>
          <w:rFonts w:hint="cs"/>
          <w:b/>
          <w:bCs/>
          <w:rtl/>
          <w:lang w:eastAsia="ar-SA"/>
        </w:rPr>
        <w:t xml:space="preserve">اشتمال </w:t>
      </w:r>
      <w:r w:rsidRPr="00D15598">
        <w:rPr>
          <w:rFonts w:hint="cs"/>
          <w:b/>
          <w:bCs/>
          <w:rtl/>
          <w:lang w:eastAsia="ar-SA"/>
        </w:rPr>
        <w:t xml:space="preserve">تنفيذ خطة العمل الوطنية المتعلِّقة بالأطفال المتسولين والأطفال غير المصحوبين </w:t>
      </w:r>
      <w:r w:rsidR="00305C56">
        <w:rPr>
          <w:rFonts w:hint="cs"/>
          <w:b/>
          <w:bCs/>
          <w:rtl/>
          <w:lang w:eastAsia="ar-SA"/>
        </w:rPr>
        <w:t xml:space="preserve">على </w:t>
      </w:r>
      <w:r w:rsidRPr="00D15598">
        <w:rPr>
          <w:rFonts w:hint="cs"/>
          <w:b/>
          <w:bCs/>
          <w:rtl/>
          <w:lang w:eastAsia="ar-SA"/>
        </w:rPr>
        <w:t xml:space="preserve">تدابير </w:t>
      </w:r>
      <w:r w:rsidR="00305C56">
        <w:rPr>
          <w:rFonts w:hint="cs"/>
          <w:b/>
          <w:bCs/>
          <w:rtl/>
          <w:lang w:eastAsia="ar-SA"/>
        </w:rPr>
        <w:t>ل</w:t>
      </w:r>
      <w:r w:rsidRPr="00D15598">
        <w:rPr>
          <w:rFonts w:hint="cs"/>
          <w:b/>
          <w:bCs/>
          <w:rtl/>
          <w:lang w:eastAsia="ar-SA"/>
        </w:rPr>
        <w:t>تحد</w:t>
      </w:r>
      <w:r w:rsidR="00305C56">
        <w:rPr>
          <w:rFonts w:hint="cs"/>
          <w:b/>
          <w:bCs/>
          <w:rtl/>
          <w:lang w:eastAsia="ar-SA"/>
        </w:rPr>
        <w:t>ي</w:t>
      </w:r>
      <w:r w:rsidRPr="00D15598">
        <w:rPr>
          <w:rFonts w:hint="cs"/>
          <w:b/>
          <w:bCs/>
          <w:rtl/>
          <w:lang w:eastAsia="ar-SA"/>
        </w:rPr>
        <w:t xml:space="preserve">د الأطفال </w:t>
      </w:r>
      <w:r w:rsidR="00305C56">
        <w:rPr>
          <w:rFonts w:hint="cs"/>
          <w:b/>
          <w:bCs/>
          <w:rtl/>
          <w:lang w:eastAsia="ar-SA"/>
        </w:rPr>
        <w:t xml:space="preserve">الخاضعين للسخرة وحمايتهم </w:t>
      </w:r>
      <w:r w:rsidRPr="00D15598">
        <w:rPr>
          <w:rFonts w:hint="cs"/>
          <w:b/>
          <w:bCs/>
          <w:rtl/>
          <w:lang w:eastAsia="ar-SA"/>
        </w:rPr>
        <w:t xml:space="preserve">وأن </w:t>
      </w:r>
      <w:r w:rsidR="00305C56">
        <w:rPr>
          <w:rFonts w:hint="cs"/>
          <w:b/>
          <w:bCs/>
          <w:rtl/>
          <w:lang w:eastAsia="ar-SA"/>
        </w:rPr>
        <w:t xml:space="preserve">تخصص </w:t>
      </w:r>
      <w:r w:rsidRPr="00D15598">
        <w:rPr>
          <w:rFonts w:hint="cs"/>
          <w:b/>
          <w:bCs/>
          <w:rtl/>
          <w:lang w:eastAsia="ar-SA"/>
        </w:rPr>
        <w:t>المواردَّ البشرية والما</w:t>
      </w:r>
      <w:r w:rsidR="00305C56">
        <w:rPr>
          <w:rFonts w:hint="cs"/>
          <w:b/>
          <w:bCs/>
          <w:rtl/>
          <w:lang w:eastAsia="ar-SA"/>
        </w:rPr>
        <w:t>لية الكافية لتنفيذ خطة العمل</w:t>
      </w:r>
      <w:r w:rsidRPr="00D15598">
        <w:rPr>
          <w:rFonts w:hint="cs"/>
          <w:b/>
          <w:bCs/>
          <w:rtl/>
          <w:lang w:eastAsia="ar-SA"/>
        </w:rPr>
        <w:t>.</w:t>
      </w:r>
    </w:p>
    <w:p w:rsidR="000503BE" w:rsidRDefault="00407C2D" w:rsidP="007975E3">
      <w:pPr>
        <w:pStyle w:val="SingleTxtGA"/>
        <w:rPr>
          <w:rFonts w:hint="cs"/>
          <w:rtl/>
          <w:lang w:val="fr-CH"/>
        </w:rPr>
      </w:pPr>
      <w:r>
        <w:rPr>
          <w:rFonts w:hint="cs"/>
          <w:rtl/>
          <w:lang w:val="fr-CH"/>
        </w:rPr>
        <w:t>24-</w:t>
      </w:r>
      <w:r>
        <w:rPr>
          <w:rFonts w:hint="cs"/>
          <w:rtl/>
          <w:lang w:val="fr-CH"/>
        </w:rPr>
        <w:tab/>
      </w:r>
      <w:r w:rsidR="000503BE">
        <w:rPr>
          <w:rFonts w:hint="cs"/>
          <w:rtl/>
          <w:lang w:val="fr-CH"/>
        </w:rPr>
        <w:t xml:space="preserve">وتحيط اللجنة علماً بإعلان الدولة الطرف أنها لم تحتجز أي عامل مُهاجر منذ </w:t>
      </w:r>
      <w:r w:rsidR="004A0C93">
        <w:rPr>
          <w:rFonts w:hint="cs"/>
          <w:rtl/>
          <w:lang w:val="fr-CH"/>
        </w:rPr>
        <w:t>عام</w:t>
      </w:r>
      <w:r w:rsidR="004A0C93">
        <w:rPr>
          <w:rFonts w:hint="eastAsia"/>
          <w:rtl/>
          <w:lang w:val="fr-CH"/>
        </w:rPr>
        <w:t> </w:t>
      </w:r>
      <w:r w:rsidR="000503BE">
        <w:rPr>
          <w:rFonts w:hint="cs"/>
          <w:rtl/>
          <w:lang w:val="fr-CH"/>
        </w:rPr>
        <w:t xml:space="preserve">2010. لكن اللجنة لا تزال تشعر بالقلق </w:t>
      </w:r>
      <w:r w:rsidR="001F2EDF">
        <w:rPr>
          <w:rFonts w:hint="cs"/>
          <w:rtl/>
          <w:lang w:val="fr-CH"/>
        </w:rPr>
        <w:t>لما قد يتعرض له العمال المهاجرو</w:t>
      </w:r>
      <w:r w:rsidR="000503BE">
        <w:rPr>
          <w:rFonts w:hint="cs"/>
          <w:rtl/>
          <w:lang w:val="fr-CH"/>
        </w:rPr>
        <w:t xml:space="preserve">ن الذين يجري توقيفهم بسبب </w:t>
      </w:r>
      <w:r w:rsidR="001F2EDF">
        <w:rPr>
          <w:rFonts w:hint="cs"/>
          <w:rtl/>
          <w:lang w:val="fr-CH"/>
        </w:rPr>
        <w:t xml:space="preserve">مخالفتهم </w:t>
      </w:r>
      <w:r w:rsidR="000503BE">
        <w:rPr>
          <w:rFonts w:hint="cs"/>
          <w:rtl/>
          <w:lang w:val="fr-CH"/>
        </w:rPr>
        <w:t xml:space="preserve">للأمر رقم 84-49 (1984) </w:t>
      </w:r>
      <w:r w:rsidR="001F2EDF">
        <w:rPr>
          <w:rFonts w:hint="cs"/>
          <w:rtl/>
          <w:lang w:val="fr-CH"/>
        </w:rPr>
        <w:t>من احتجاز</w:t>
      </w:r>
      <w:r w:rsidR="000503BE">
        <w:rPr>
          <w:rFonts w:hint="cs"/>
          <w:rtl/>
          <w:lang w:val="fr-CH"/>
        </w:rPr>
        <w:t xml:space="preserve"> في مرفق </w:t>
      </w:r>
      <w:r w:rsidR="001F2EDF">
        <w:rPr>
          <w:rFonts w:hint="cs"/>
          <w:rtl/>
          <w:lang w:val="fr-CH"/>
        </w:rPr>
        <w:t xml:space="preserve">دولي </w:t>
      </w:r>
      <w:r w:rsidR="001F2EDF" w:rsidRPr="007975E3">
        <w:rPr>
          <w:rFonts w:hint="cs"/>
          <w:i/>
          <w:iCs/>
          <w:rtl/>
          <w:lang w:val="fr-CH"/>
        </w:rPr>
        <w:t>(</w:t>
      </w:r>
      <w:proofErr w:type="spellStart"/>
      <w:r w:rsidR="00DA3304">
        <w:rPr>
          <w:i/>
          <w:iCs/>
          <w:lang w:eastAsia="en-GB"/>
        </w:rPr>
        <w:t>chamb</w:t>
      </w:r>
      <w:r w:rsidR="007975E3">
        <w:rPr>
          <w:i/>
          <w:iCs/>
          <w:lang w:eastAsia="en-GB"/>
        </w:rPr>
        <w:t>r</w:t>
      </w:r>
      <w:r w:rsidR="00DA3304">
        <w:rPr>
          <w:i/>
          <w:iCs/>
          <w:lang w:eastAsia="en-GB"/>
        </w:rPr>
        <w:t>e</w:t>
      </w:r>
      <w:proofErr w:type="spellEnd"/>
      <w:r w:rsidR="007975E3">
        <w:rPr>
          <w:i/>
          <w:iCs/>
          <w:lang w:eastAsia="en-GB"/>
        </w:rPr>
        <w:t> </w:t>
      </w:r>
      <w:proofErr w:type="spellStart"/>
      <w:r w:rsidR="001F2EDF" w:rsidRPr="007975E3">
        <w:rPr>
          <w:i/>
          <w:iCs/>
          <w:lang w:eastAsia="en-GB"/>
        </w:rPr>
        <w:t>internationale</w:t>
      </w:r>
      <w:proofErr w:type="spellEnd"/>
      <w:r w:rsidR="001F2EDF" w:rsidRPr="007975E3">
        <w:rPr>
          <w:rFonts w:hint="cs"/>
          <w:i/>
          <w:iCs/>
          <w:rtl/>
          <w:lang w:val="fr-CH"/>
        </w:rPr>
        <w:t>)</w:t>
      </w:r>
      <w:r w:rsidR="001F2EDF">
        <w:rPr>
          <w:rFonts w:hint="cs"/>
          <w:rtl/>
          <w:lang w:val="fr-CH"/>
        </w:rPr>
        <w:t xml:space="preserve"> </w:t>
      </w:r>
      <w:r w:rsidR="000503BE">
        <w:rPr>
          <w:rFonts w:hint="cs"/>
          <w:rtl/>
          <w:lang w:val="fr-CH"/>
        </w:rPr>
        <w:t xml:space="preserve">أو </w:t>
      </w:r>
      <w:r w:rsidR="007975E3">
        <w:rPr>
          <w:rFonts w:hint="cs"/>
          <w:rtl/>
          <w:lang w:val="fr-CH"/>
        </w:rPr>
        <w:t>احتجاز تحت حراسة قوى الأمن، أو حبس</w:t>
      </w:r>
      <w:r w:rsidR="000503BE">
        <w:rPr>
          <w:rFonts w:hint="cs"/>
          <w:rtl/>
          <w:lang w:val="fr-CH"/>
        </w:rPr>
        <w:t xml:space="preserve"> لفترة تتراوح بين شهر وستة أشهر، وهي قلقة إزاء </w:t>
      </w:r>
      <w:r w:rsidR="007975E3">
        <w:rPr>
          <w:rFonts w:hint="cs"/>
          <w:rtl/>
          <w:lang w:val="fr-CH"/>
        </w:rPr>
        <w:t xml:space="preserve">وجود </w:t>
      </w:r>
      <w:r w:rsidR="000503BE">
        <w:rPr>
          <w:rFonts w:hint="cs"/>
          <w:rtl/>
          <w:lang w:val="fr-CH"/>
        </w:rPr>
        <w:t xml:space="preserve">تناقض بين المواد 10 و11 و12 من هذا الأمر. </w:t>
      </w:r>
      <w:r w:rsidR="007975E3">
        <w:rPr>
          <w:rFonts w:hint="cs"/>
          <w:rtl/>
          <w:lang w:val="fr-CH"/>
        </w:rPr>
        <w:t>و</w:t>
      </w:r>
      <w:r w:rsidR="000503BE">
        <w:rPr>
          <w:rFonts w:hint="cs"/>
          <w:rtl/>
          <w:lang w:val="fr-CH"/>
        </w:rPr>
        <w:t xml:space="preserve">إضافة إلى ذلك، أحاطت اللجنة علماً بالصعوبات التي تواجهها الدولة الطرف لكنها تشعر بقلق شديد إزاء عدم الفصل بين العمال المهاجرين المحتجزين والأشخاص المتهمين </w:t>
      </w:r>
      <w:r w:rsidR="007975E3">
        <w:rPr>
          <w:rFonts w:hint="cs"/>
          <w:rtl/>
          <w:lang w:val="fr-CH"/>
        </w:rPr>
        <w:t>أ</w:t>
      </w:r>
      <w:r w:rsidR="000503BE">
        <w:rPr>
          <w:rFonts w:hint="cs"/>
          <w:rtl/>
          <w:lang w:val="fr-CH"/>
        </w:rPr>
        <w:t>و</w:t>
      </w:r>
      <w:r w:rsidR="007975E3">
        <w:rPr>
          <w:rFonts w:hint="cs"/>
          <w:rtl/>
          <w:lang w:val="fr-CH"/>
        </w:rPr>
        <w:t xml:space="preserve"> </w:t>
      </w:r>
      <w:r w:rsidR="000503BE">
        <w:rPr>
          <w:rFonts w:hint="cs"/>
          <w:rtl/>
          <w:lang w:val="fr-CH"/>
        </w:rPr>
        <w:t xml:space="preserve">المدانين بارتكاب جرائم، كما تشعر </w:t>
      </w:r>
      <w:r w:rsidR="007975E3">
        <w:rPr>
          <w:rFonts w:hint="cs"/>
          <w:rtl/>
          <w:lang w:val="fr-CH"/>
        </w:rPr>
        <w:t xml:space="preserve">بالأسف </w:t>
      </w:r>
      <w:r w:rsidR="000503BE">
        <w:rPr>
          <w:rFonts w:hint="cs"/>
          <w:rtl/>
          <w:lang w:val="fr-CH"/>
        </w:rPr>
        <w:t>إزاء الظروف السائدة في السجون.</w:t>
      </w:r>
    </w:p>
    <w:p w:rsidR="000503BE" w:rsidRPr="00407C2D" w:rsidRDefault="000503BE" w:rsidP="00407C2D">
      <w:pPr>
        <w:pStyle w:val="SingleTxtGA"/>
        <w:rPr>
          <w:rFonts w:hint="cs"/>
          <w:b/>
          <w:bCs/>
          <w:rtl/>
          <w:lang w:val="fr-CH"/>
        </w:rPr>
      </w:pPr>
      <w:r>
        <w:rPr>
          <w:rFonts w:hint="cs"/>
          <w:rtl/>
          <w:lang w:val="fr-CH"/>
        </w:rPr>
        <w:t>25-</w:t>
      </w:r>
      <w:r>
        <w:rPr>
          <w:rFonts w:hint="cs"/>
          <w:rtl/>
          <w:lang w:val="fr-CH"/>
        </w:rPr>
        <w:tab/>
      </w:r>
      <w:r w:rsidRPr="00407C2D">
        <w:rPr>
          <w:rFonts w:hint="cs"/>
          <w:b/>
          <w:bCs/>
          <w:rtl/>
          <w:lang w:val="fr-CH"/>
        </w:rPr>
        <w:t>تدعو اللجنة الدولة الطرف إلى ما يلي:</w:t>
      </w:r>
    </w:p>
    <w:p w:rsidR="000503BE" w:rsidRPr="00407C2D" w:rsidRDefault="000503BE" w:rsidP="007975E3">
      <w:pPr>
        <w:pStyle w:val="SingleTxtGA"/>
        <w:rPr>
          <w:rFonts w:hint="cs"/>
          <w:b/>
          <w:bCs/>
          <w:rtl/>
          <w:lang w:val="fr-CH"/>
        </w:rPr>
      </w:pPr>
      <w:r w:rsidRPr="00407C2D">
        <w:rPr>
          <w:rFonts w:hint="cs"/>
          <w:b/>
          <w:bCs/>
          <w:rtl/>
          <w:lang w:val="fr-CH"/>
        </w:rPr>
        <w:tab/>
        <w:t>(أ)</w:t>
      </w:r>
      <w:r w:rsidRPr="00407C2D">
        <w:rPr>
          <w:rFonts w:hint="cs"/>
          <w:b/>
          <w:bCs/>
          <w:rtl/>
          <w:lang w:val="fr-CH"/>
        </w:rPr>
        <w:tab/>
      </w:r>
      <w:r w:rsidR="007975E3">
        <w:rPr>
          <w:rFonts w:hint="cs"/>
          <w:b/>
          <w:bCs/>
          <w:rtl/>
          <w:lang w:val="fr-CH"/>
        </w:rPr>
        <w:t xml:space="preserve">تنسيق </w:t>
      </w:r>
      <w:r w:rsidRPr="00407C2D">
        <w:rPr>
          <w:rFonts w:hint="cs"/>
          <w:b/>
          <w:bCs/>
          <w:rtl/>
          <w:lang w:val="fr-CH"/>
        </w:rPr>
        <w:t>مضمون المواد 10 و11 و12 من الأمر 84-49 وضمان أن يكون هذا الأمر متماشياً مع الاتفاقية وغيرها من المعايير الدولية؛</w:t>
      </w:r>
    </w:p>
    <w:p w:rsidR="000503BE" w:rsidRPr="00407C2D" w:rsidRDefault="000503BE" w:rsidP="00407C2D">
      <w:pPr>
        <w:pStyle w:val="SingleTxtGA"/>
        <w:rPr>
          <w:rFonts w:hint="cs"/>
          <w:b/>
          <w:bCs/>
          <w:rtl/>
          <w:lang w:val="fr-CH"/>
        </w:rPr>
      </w:pPr>
      <w:r w:rsidRPr="00407C2D">
        <w:rPr>
          <w:rFonts w:hint="cs"/>
          <w:b/>
          <w:bCs/>
          <w:rtl/>
          <w:lang w:val="fr-CH"/>
        </w:rPr>
        <w:tab/>
        <w:t>(ب)</w:t>
      </w:r>
      <w:r w:rsidRPr="00407C2D">
        <w:rPr>
          <w:rFonts w:hint="cs"/>
          <w:b/>
          <w:bCs/>
          <w:rtl/>
          <w:lang w:val="fr-CH"/>
        </w:rPr>
        <w:tab/>
        <w:t>الحرص على ألا يكون أي شكل من أشكال احتجاز العمال المهاجرين لمخالفتهم قانون الهجرة تعسفياً وألا يتم اللجوء إلى هذا التدبير إلا كخيار أخير؛</w:t>
      </w:r>
    </w:p>
    <w:p w:rsidR="000503BE" w:rsidRPr="00407C2D" w:rsidRDefault="000503BE" w:rsidP="007975E3">
      <w:pPr>
        <w:pStyle w:val="SingleTxtGA"/>
        <w:rPr>
          <w:rFonts w:hint="cs"/>
          <w:b/>
          <w:bCs/>
          <w:rtl/>
          <w:lang w:val="fr-CH"/>
        </w:rPr>
      </w:pPr>
      <w:r w:rsidRPr="00407C2D">
        <w:rPr>
          <w:rFonts w:hint="cs"/>
          <w:b/>
          <w:bCs/>
          <w:rtl/>
          <w:lang w:val="fr-CH"/>
        </w:rPr>
        <w:tab/>
        <w:t>(ج)</w:t>
      </w:r>
      <w:r w:rsidRPr="00407C2D">
        <w:rPr>
          <w:rFonts w:hint="cs"/>
          <w:b/>
          <w:bCs/>
          <w:rtl/>
          <w:lang w:val="fr-CH"/>
        </w:rPr>
        <w:tab/>
        <w:t xml:space="preserve">اتخاذ تدابير لتحسين ظروف الاحتجاز </w:t>
      </w:r>
      <w:r w:rsidR="007975E3">
        <w:rPr>
          <w:rFonts w:hint="cs"/>
          <w:b/>
          <w:bCs/>
          <w:rtl/>
          <w:lang w:val="fr-CH"/>
        </w:rPr>
        <w:t xml:space="preserve">وفقاً للمعايير الدولية، </w:t>
      </w:r>
      <w:r w:rsidRPr="00407C2D">
        <w:rPr>
          <w:rFonts w:hint="cs"/>
          <w:b/>
          <w:bCs/>
          <w:rtl/>
          <w:lang w:val="fr-CH"/>
        </w:rPr>
        <w:t>بما في ذلك الظروف السائدة في مرافق الاحتجاز الخاصة بالرعايا الأجانب.</w:t>
      </w:r>
    </w:p>
    <w:p w:rsidR="000503BE" w:rsidRDefault="000503BE" w:rsidP="007975E3">
      <w:pPr>
        <w:pStyle w:val="SingleTxtGA"/>
        <w:rPr>
          <w:rFonts w:hint="cs"/>
          <w:rtl/>
          <w:lang w:val="fr-CH"/>
        </w:rPr>
      </w:pPr>
      <w:r>
        <w:rPr>
          <w:rFonts w:hint="cs"/>
          <w:rtl/>
          <w:lang w:val="fr-CH"/>
        </w:rPr>
        <w:t>26-</w:t>
      </w:r>
      <w:r>
        <w:rPr>
          <w:rFonts w:hint="cs"/>
          <w:rtl/>
          <w:lang w:val="fr-CH"/>
        </w:rPr>
        <w:tab/>
        <w:t>ورغم أن الدولة الطرف أشارت إلى أنها لم تطرد أي عامل مهاجر أو فرد من أفر</w:t>
      </w:r>
      <w:r w:rsidR="007975E3">
        <w:rPr>
          <w:rFonts w:hint="cs"/>
          <w:rtl/>
          <w:lang w:val="fr-CH"/>
        </w:rPr>
        <w:t>اد أسرته منذ عام 2010، فإن اللجنة</w:t>
      </w:r>
      <w:r>
        <w:rPr>
          <w:rFonts w:hint="cs"/>
          <w:rtl/>
          <w:lang w:val="fr-CH"/>
        </w:rPr>
        <w:t xml:space="preserve"> تشعر بالقلق إزاء نقص المعلومات المتصلة بوصول العمال المهاجرين غير الشرعيين </w:t>
      </w:r>
      <w:r w:rsidR="007975E3">
        <w:rPr>
          <w:rFonts w:hint="cs"/>
          <w:rtl/>
          <w:lang w:val="fr-CH"/>
        </w:rPr>
        <w:t xml:space="preserve">وصولاً فعلياً </w:t>
      </w:r>
      <w:r>
        <w:rPr>
          <w:rFonts w:hint="cs"/>
          <w:rtl/>
          <w:lang w:val="fr-CH"/>
        </w:rPr>
        <w:t>إلى سبل انتصاف تتيح لهم الطعن في قرارات طردهم.</w:t>
      </w:r>
    </w:p>
    <w:p w:rsidR="000503BE" w:rsidRPr="00407C2D" w:rsidRDefault="000503BE" w:rsidP="007722D5">
      <w:pPr>
        <w:pStyle w:val="SingleTxtGA"/>
        <w:rPr>
          <w:rFonts w:hint="cs"/>
          <w:b/>
          <w:bCs/>
          <w:rtl/>
          <w:lang w:val="fr-CH"/>
        </w:rPr>
      </w:pPr>
      <w:r>
        <w:rPr>
          <w:rFonts w:hint="cs"/>
          <w:rtl/>
          <w:lang w:val="fr-CH"/>
        </w:rPr>
        <w:t>27-</w:t>
      </w:r>
      <w:r>
        <w:rPr>
          <w:rFonts w:hint="cs"/>
          <w:rtl/>
          <w:lang w:val="fr-CH"/>
        </w:rPr>
        <w:tab/>
      </w:r>
      <w:r w:rsidRPr="00407C2D">
        <w:rPr>
          <w:rFonts w:hint="cs"/>
          <w:b/>
          <w:bCs/>
          <w:rtl/>
          <w:lang w:val="fr-CH"/>
        </w:rPr>
        <w:t xml:space="preserve">توصي اللجنة بأن تُعدّل الدولة الطرف تشريعاتها كي تضمن عدم طرد العمال المهاجرين وأفراد أُسرهم إلا تطبيقاً لقرار تتخذه سلطة مختصة وفقاً للقانون، وأن تضمن احترام حقهم في الطعن في هكذا قرار </w:t>
      </w:r>
      <w:r w:rsidR="007722D5">
        <w:rPr>
          <w:rFonts w:hint="cs"/>
          <w:b/>
          <w:bCs/>
          <w:rtl/>
          <w:lang w:val="fr-CH"/>
        </w:rPr>
        <w:t>ب</w:t>
      </w:r>
      <w:r w:rsidRPr="00407C2D">
        <w:rPr>
          <w:rFonts w:hint="cs"/>
          <w:b/>
          <w:bCs/>
          <w:rtl/>
          <w:lang w:val="fr-CH"/>
        </w:rPr>
        <w:t>أثر مُعلّق للتنفيذ.</w:t>
      </w:r>
    </w:p>
    <w:p w:rsidR="000503BE" w:rsidRDefault="000503BE" w:rsidP="007722D5">
      <w:pPr>
        <w:pStyle w:val="SingleTxtGA"/>
        <w:rPr>
          <w:rFonts w:hint="cs"/>
          <w:rtl/>
          <w:lang w:val="fr-CH"/>
        </w:rPr>
      </w:pPr>
      <w:r>
        <w:rPr>
          <w:rFonts w:hint="cs"/>
          <w:rtl/>
          <w:lang w:val="fr-CH"/>
        </w:rPr>
        <w:t>28-</w:t>
      </w:r>
      <w:r>
        <w:rPr>
          <w:rFonts w:hint="cs"/>
          <w:rtl/>
          <w:lang w:val="fr-CH"/>
        </w:rPr>
        <w:tab/>
        <w:t xml:space="preserve">وترحب اللجنة بعملية التسجيل المجاني للولادات التي </w:t>
      </w:r>
      <w:r w:rsidR="007722D5">
        <w:rPr>
          <w:rFonts w:hint="cs"/>
          <w:rtl/>
          <w:lang w:val="fr-CH"/>
        </w:rPr>
        <w:t xml:space="preserve">أتاحتها </w:t>
      </w:r>
      <w:r>
        <w:rPr>
          <w:rFonts w:hint="cs"/>
          <w:rtl/>
          <w:lang w:val="fr-CH"/>
        </w:rPr>
        <w:t xml:space="preserve">الدولة الطرف لكنها تشعر بالأسف </w:t>
      </w:r>
      <w:r w:rsidR="007722D5">
        <w:rPr>
          <w:rFonts w:hint="cs"/>
          <w:rtl/>
          <w:lang w:val="fr-CH"/>
        </w:rPr>
        <w:t>لانتهاء هذه العملية</w:t>
      </w:r>
      <w:r>
        <w:rPr>
          <w:rFonts w:hint="cs"/>
          <w:rtl/>
          <w:lang w:val="fr-CH"/>
        </w:rPr>
        <w:t xml:space="preserve">، وتُعرب عن قلقها إزاء الصعوبات التي </w:t>
      </w:r>
      <w:r w:rsidR="007722D5">
        <w:rPr>
          <w:rFonts w:hint="cs"/>
          <w:rtl/>
          <w:lang w:val="fr-CH"/>
        </w:rPr>
        <w:t>ي</w:t>
      </w:r>
      <w:r>
        <w:rPr>
          <w:rFonts w:hint="cs"/>
          <w:rtl/>
          <w:lang w:val="fr-CH"/>
        </w:rPr>
        <w:t>واجه</w:t>
      </w:r>
      <w:r w:rsidR="007722D5">
        <w:rPr>
          <w:rFonts w:hint="cs"/>
          <w:rtl/>
          <w:lang w:val="fr-CH"/>
        </w:rPr>
        <w:t>ها العمال المهاجرو</w:t>
      </w:r>
      <w:r>
        <w:rPr>
          <w:rFonts w:hint="cs"/>
          <w:rtl/>
          <w:lang w:val="fr-CH"/>
        </w:rPr>
        <w:t>ن في تسجيل ولادات أطفالهم في الدولة الطرف.</w:t>
      </w:r>
    </w:p>
    <w:p w:rsidR="000503BE" w:rsidRPr="00407C2D" w:rsidRDefault="000503BE" w:rsidP="007722D5">
      <w:pPr>
        <w:pStyle w:val="SingleTxtGA"/>
        <w:rPr>
          <w:rFonts w:hint="cs"/>
          <w:b/>
          <w:bCs/>
          <w:rtl/>
          <w:lang w:val="fr-CH"/>
        </w:rPr>
      </w:pPr>
      <w:r>
        <w:rPr>
          <w:rFonts w:hint="cs"/>
          <w:rtl/>
          <w:lang w:val="fr-CH"/>
        </w:rPr>
        <w:t>29-</w:t>
      </w:r>
      <w:r>
        <w:rPr>
          <w:rFonts w:hint="cs"/>
          <w:rtl/>
          <w:lang w:val="fr-CH"/>
        </w:rPr>
        <w:tab/>
      </w:r>
      <w:r w:rsidRPr="00407C2D">
        <w:rPr>
          <w:rFonts w:hint="cs"/>
          <w:b/>
          <w:bCs/>
          <w:rtl/>
          <w:lang w:val="fr-CH"/>
        </w:rPr>
        <w:t xml:space="preserve">توصي اللجنة بأن تكثّف الدولة الطرف جهودها كي تضمن تسجيل جميع أطفال العمال المهاجرين حال ولادتهم </w:t>
      </w:r>
      <w:r w:rsidR="007722D5">
        <w:rPr>
          <w:rFonts w:hint="cs"/>
          <w:b/>
          <w:bCs/>
          <w:rtl/>
          <w:lang w:val="fr-CH"/>
        </w:rPr>
        <w:t xml:space="preserve">ومنحهم </w:t>
      </w:r>
      <w:r w:rsidRPr="00407C2D">
        <w:rPr>
          <w:rFonts w:hint="cs"/>
          <w:b/>
          <w:bCs/>
          <w:rtl/>
          <w:lang w:val="fr-CH"/>
        </w:rPr>
        <w:t xml:space="preserve">وثائق </w:t>
      </w:r>
      <w:r w:rsidR="007722D5">
        <w:rPr>
          <w:rFonts w:hint="cs"/>
          <w:b/>
          <w:bCs/>
          <w:rtl/>
          <w:lang w:val="fr-CH"/>
        </w:rPr>
        <w:t xml:space="preserve">هوية </w:t>
      </w:r>
      <w:r w:rsidRPr="00407C2D">
        <w:rPr>
          <w:rFonts w:hint="cs"/>
          <w:b/>
          <w:bCs/>
          <w:rtl/>
          <w:lang w:val="fr-CH"/>
        </w:rPr>
        <w:t>شخصية وفقاً للمادة</w:t>
      </w:r>
      <w:r w:rsidRPr="00407C2D">
        <w:rPr>
          <w:rFonts w:hint="eastAsia"/>
          <w:b/>
          <w:bCs/>
          <w:rtl/>
          <w:lang w:val="fr-CH"/>
        </w:rPr>
        <w:t> </w:t>
      </w:r>
      <w:r w:rsidRPr="00407C2D">
        <w:rPr>
          <w:rFonts w:hint="cs"/>
          <w:b/>
          <w:bCs/>
          <w:rtl/>
          <w:lang w:val="fr-CH"/>
        </w:rPr>
        <w:t>29 من الاتفاقية وتشجع الدولة الطرف</w:t>
      </w:r>
      <w:r w:rsidR="007722D5">
        <w:rPr>
          <w:rFonts w:hint="cs"/>
          <w:b/>
          <w:bCs/>
          <w:rtl/>
          <w:lang w:val="fr-CH"/>
        </w:rPr>
        <w:t xml:space="preserve"> على أن تستأنف</w:t>
      </w:r>
      <w:r w:rsidRPr="00407C2D">
        <w:rPr>
          <w:rFonts w:hint="cs"/>
          <w:b/>
          <w:bCs/>
          <w:rtl/>
          <w:lang w:val="fr-CH"/>
        </w:rPr>
        <w:t xml:space="preserve">، في حدود الممكن، </w:t>
      </w:r>
      <w:r w:rsidR="007722D5">
        <w:rPr>
          <w:rFonts w:hint="cs"/>
          <w:b/>
          <w:bCs/>
          <w:rtl/>
          <w:lang w:val="fr-CH"/>
        </w:rPr>
        <w:t xml:space="preserve">عملية </w:t>
      </w:r>
      <w:r w:rsidRPr="00407C2D">
        <w:rPr>
          <w:rFonts w:hint="cs"/>
          <w:b/>
          <w:bCs/>
          <w:rtl/>
          <w:lang w:val="fr-CH"/>
        </w:rPr>
        <w:t xml:space="preserve">التسجيل المجاني للولادات. وتوصي اللجنة كذلك بأن تواصل الدولة الطرف </w:t>
      </w:r>
      <w:r w:rsidR="007722D5">
        <w:rPr>
          <w:rFonts w:hint="cs"/>
          <w:b/>
          <w:bCs/>
          <w:rtl/>
          <w:lang w:val="fr-CH"/>
        </w:rPr>
        <w:t xml:space="preserve">تيسير </w:t>
      </w:r>
      <w:r w:rsidRPr="00407C2D">
        <w:rPr>
          <w:rFonts w:hint="cs"/>
          <w:b/>
          <w:bCs/>
          <w:rtl/>
          <w:lang w:val="fr-CH"/>
        </w:rPr>
        <w:t xml:space="preserve">وجود خدمات </w:t>
      </w:r>
      <w:r w:rsidR="007722D5">
        <w:rPr>
          <w:rFonts w:hint="cs"/>
          <w:b/>
          <w:bCs/>
          <w:rtl/>
          <w:lang w:val="fr-CH"/>
        </w:rPr>
        <w:t>السجل المدني</w:t>
      </w:r>
      <w:r w:rsidRPr="00407C2D">
        <w:rPr>
          <w:rFonts w:hint="cs"/>
          <w:b/>
          <w:bCs/>
          <w:rtl/>
          <w:lang w:val="fr-CH"/>
        </w:rPr>
        <w:t xml:space="preserve"> في دور الولادة، خصوصاً في الأوساط الريفية، وأن تواصل توعية العمال المهاجرين وأفراد أُسرهم، خصوصاً المقيمين بصفة غير شرعية منهم، بأهمية تسجيل الولادات.</w:t>
      </w:r>
    </w:p>
    <w:p w:rsidR="000503BE" w:rsidRDefault="000503BE" w:rsidP="00E33889">
      <w:pPr>
        <w:pStyle w:val="SingleTxtGA"/>
        <w:rPr>
          <w:rFonts w:hint="cs"/>
          <w:rtl/>
          <w:lang w:val="fr-CH"/>
        </w:rPr>
      </w:pPr>
      <w:r>
        <w:rPr>
          <w:rFonts w:hint="cs"/>
          <w:rtl/>
          <w:lang w:val="fr-CH"/>
        </w:rPr>
        <w:t>30-</w:t>
      </w:r>
      <w:r>
        <w:rPr>
          <w:rFonts w:hint="cs"/>
          <w:rtl/>
          <w:lang w:val="fr-CH"/>
        </w:rPr>
        <w:tab/>
        <w:t xml:space="preserve">وتحيط اللجنة علماً بالحجم الكبير من الأموال التي يرسلها العمال المهاجرون إلى الدولة الطرف وبما تشكله هذه الأموال من مساعدة قيّمة للتنمية فيها. بيد أن اللجنة تلاحظ عدم كفاية المعلومات المتاحة عن الشراكات </w:t>
      </w:r>
      <w:r w:rsidR="007722D5">
        <w:rPr>
          <w:rFonts w:hint="cs"/>
          <w:rtl/>
          <w:lang w:val="fr-CH"/>
        </w:rPr>
        <w:t xml:space="preserve">القائمة </w:t>
      </w:r>
      <w:r>
        <w:rPr>
          <w:rFonts w:hint="cs"/>
          <w:rtl/>
          <w:lang w:val="fr-CH"/>
        </w:rPr>
        <w:t xml:space="preserve">مع المؤسسات المالية </w:t>
      </w:r>
      <w:r w:rsidR="00AD2CB2">
        <w:rPr>
          <w:rFonts w:hint="cs"/>
          <w:rtl/>
          <w:lang w:val="fr-CH"/>
        </w:rPr>
        <w:t>ل</w:t>
      </w:r>
      <w:r>
        <w:rPr>
          <w:rFonts w:hint="cs"/>
          <w:rtl/>
          <w:lang w:val="fr-CH"/>
        </w:rPr>
        <w:t xml:space="preserve">لبحث في تطبيق </w:t>
      </w:r>
      <w:r w:rsidR="00E33889">
        <w:rPr>
          <w:rFonts w:hint="cs"/>
          <w:rtl/>
          <w:lang w:val="fr-CH"/>
        </w:rPr>
        <w:t xml:space="preserve">أسعار </w:t>
      </w:r>
      <w:r>
        <w:rPr>
          <w:rFonts w:hint="cs"/>
          <w:rtl/>
          <w:lang w:val="fr-CH"/>
        </w:rPr>
        <w:t>تفضيلية لتحويل الأموال والتوفير.</w:t>
      </w:r>
    </w:p>
    <w:p w:rsidR="000503BE" w:rsidRPr="00407C2D" w:rsidRDefault="000503BE" w:rsidP="00407C2D">
      <w:pPr>
        <w:pStyle w:val="SingleTxtGA"/>
        <w:rPr>
          <w:rFonts w:hint="cs"/>
          <w:b/>
          <w:bCs/>
          <w:rtl/>
          <w:lang w:val="fr-CH"/>
        </w:rPr>
      </w:pPr>
      <w:r>
        <w:rPr>
          <w:rFonts w:hint="cs"/>
          <w:rtl/>
          <w:lang w:val="fr-CH"/>
        </w:rPr>
        <w:t>31-</w:t>
      </w:r>
      <w:r>
        <w:rPr>
          <w:rFonts w:hint="cs"/>
          <w:rtl/>
          <w:lang w:val="fr-CH"/>
        </w:rPr>
        <w:tab/>
      </w:r>
      <w:r w:rsidRPr="00407C2D">
        <w:rPr>
          <w:rFonts w:hint="cs"/>
          <w:b/>
          <w:bCs/>
          <w:rtl/>
          <w:lang w:val="fr-CH"/>
        </w:rPr>
        <w:t xml:space="preserve">تدعو اللجنة الدولة الطرف إلى تقديم معلومات عن الشراكات القائمة مع المؤسسات المالية وإلى مواصلة اتخاذ تدابير للتعجيل في الإجراءات وزيادة فعاليتها، وتقليص تكاليف إرسال الأموال واستلامها وتيسير فتح حسابات التوفير. </w:t>
      </w:r>
    </w:p>
    <w:p w:rsidR="000503BE" w:rsidRDefault="000503BE" w:rsidP="00407C2D">
      <w:pPr>
        <w:pStyle w:val="H23GA"/>
        <w:rPr>
          <w:rFonts w:hint="cs"/>
          <w:rtl/>
          <w:lang w:val="fr-CH"/>
        </w:rPr>
      </w:pPr>
      <w:r>
        <w:rPr>
          <w:rFonts w:hint="cs"/>
          <w:rtl/>
          <w:lang w:val="fr-CH"/>
        </w:rPr>
        <w:tab/>
        <w:t>4-</w:t>
      </w:r>
      <w:r>
        <w:rPr>
          <w:rFonts w:hint="cs"/>
          <w:rtl/>
          <w:lang w:val="fr-CH"/>
        </w:rPr>
        <w:tab/>
        <w:t>الحقوق الأخرى للعمال المهاجرين وأفراد أُسرهم الحائزين للوثائق الرسمية أو الذين هم في وضع قانوني (المواد 36 إلى 56)</w:t>
      </w:r>
    </w:p>
    <w:p w:rsidR="000503BE" w:rsidRDefault="000503BE" w:rsidP="004821C5">
      <w:pPr>
        <w:pStyle w:val="SingleTxtGA"/>
        <w:rPr>
          <w:rFonts w:hint="cs"/>
          <w:rtl/>
        </w:rPr>
      </w:pPr>
      <w:r>
        <w:rPr>
          <w:rFonts w:hint="cs"/>
          <w:rtl/>
          <w:lang w:val="fr-CH"/>
        </w:rPr>
        <w:t>32-</w:t>
      </w:r>
      <w:r>
        <w:rPr>
          <w:rFonts w:hint="cs"/>
          <w:rtl/>
          <w:lang w:val="fr-CH"/>
        </w:rPr>
        <w:tab/>
        <w:t>ترحب اللجنة ب</w:t>
      </w:r>
      <w:r w:rsidR="004661FA">
        <w:rPr>
          <w:rFonts w:hint="cs"/>
          <w:rtl/>
          <w:lang w:val="fr-CH"/>
        </w:rPr>
        <w:t>ال</w:t>
      </w:r>
      <w:r>
        <w:rPr>
          <w:rFonts w:hint="cs"/>
          <w:rtl/>
          <w:lang w:val="fr-CH"/>
        </w:rPr>
        <w:t xml:space="preserve">جهود </w:t>
      </w:r>
      <w:r w:rsidR="004661FA">
        <w:rPr>
          <w:rFonts w:hint="cs"/>
          <w:rtl/>
          <w:lang w:val="fr-CH"/>
        </w:rPr>
        <w:t xml:space="preserve">التي تبذلها </w:t>
      </w:r>
      <w:r>
        <w:rPr>
          <w:rFonts w:hint="cs"/>
          <w:rtl/>
          <w:lang w:val="fr-CH"/>
        </w:rPr>
        <w:t xml:space="preserve">الدولة الطرف، بواسطة سفاراتها وقنصلياتها، </w:t>
      </w:r>
      <w:r w:rsidR="004661FA">
        <w:rPr>
          <w:rFonts w:hint="cs"/>
          <w:rtl/>
          <w:lang w:val="fr-CH"/>
        </w:rPr>
        <w:t xml:space="preserve">لكي </w:t>
      </w:r>
      <w:r>
        <w:rPr>
          <w:rFonts w:hint="cs"/>
          <w:rtl/>
          <w:lang w:val="fr-CH"/>
        </w:rPr>
        <w:t xml:space="preserve">تضمن للعمال المهاجرين من بوركينا </w:t>
      </w:r>
      <w:proofErr w:type="spellStart"/>
      <w:r>
        <w:rPr>
          <w:rFonts w:hint="cs"/>
          <w:rtl/>
          <w:lang w:val="fr-CH"/>
        </w:rPr>
        <w:t>فاسو</w:t>
      </w:r>
      <w:proofErr w:type="spellEnd"/>
      <w:r>
        <w:rPr>
          <w:rFonts w:hint="cs"/>
          <w:rtl/>
          <w:lang w:val="fr-CH"/>
        </w:rPr>
        <w:t xml:space="preserve"> </w:t>
      </w:r>
      <w:r w:rsidR="004661FA">
        <w:rPr>
          <w:rFonts w:hint="cs"/>
          <w:rtl/>
          <w:lang w:val="fr-CH"/>
        </w:rPr>
        <w:t>المشاركة</w:t>
      </w:r>
      <w:r>
        <w:rPr>
          <w:rFonts w:hint="cs"/>
          <w:rtl/>
          <w:lang w:val="fr-CH"/>
        </w:rPr>
        <w:t xml:space="preserve"> في التصويت وخصوصاً من خلال </w:t>
      </w:r>
      <w:r w:rsidR="004821C5">
        <w:rPr>
          <w:rFonts w:hint="cs"/>
          <w:rtl/>
          <w:lang w:val="fr-CH"/>
        </w:rPr>
        <w:t>ال</w:t>
      </w:r>
      <w:r>
        <w:rPr>
          <w:rFonts w:hint="cs"/>
          <w:rtl/>
          <w:lang w:val="fr-CH"/>
        </w:rPr>
        <w:t>توعية و</w:t>
      </w:r>
      <w:r w:rsidR="004821C5">
        <w:rPr>
          <w:rFonts w:hint="cs"/>
          <w:rtl/>
          <w:lang w:val="fr-CH"/>
        </w:rPr>
        <w:t>ال</w:t>
      </w:r>
      <w:r>
        <w:rPr>
          <w:rFonts w:hint="cs"/>
          <w:rtl/>
          <w:lang w:val="fr-CH"/>
        </w:rPr>
        <w:t xml:space="preserve">أحكام </w:t>
      </w:r>
      <w:r w:rsidR="004821C5">
        <w:rPr>
          <w:rFonts w:hint="cs"/>
          <w:rtl/>
          <w:lang w:val="fr-CH"/>
        </w:rPr>
        <w:t>ال</w:t>
      </w:r>
      <w:r>
        <w:rPr>
          <w:rFonts w:hint="cs"/>
          <w:rtl/>
          <w:lang w:val="fr-CH"/>
        </w:rPr>
        <w:t xml:space="preserve">تشريعية </w:t>
      </w:r>
      <w:r w:rsidR="004821C5">
        <w:rPr>
          <w:rFonts w:hint="cs"/>
          <w:rtl/>
          <w:lang w:val="fr-CH"/>
        </w:rPr>
        <w:t>ال</w:t>
      </w:r>
      <w:r>
        <w:rPr>
          <w:rFonts w:hint="cs"/>
          <w:rtl/>
          <w:lang w:val="fr-CH"/>
        </w:rPr>
        <w:t xml:space="preserve">جديدة </w:t>
      </w:r>
      <w:r w:rsidR="004821C5">
        <w:rPr>
          <w:rFonts w:hint="cs"/>
          <w:rtl/>
          <w:lang w:val="fr-CH"/>
        </w:rPr>
        <w:t xml:space="preserve">المتعلقة </w:t>
      </w:r>
      <w:r>
        <w:rPr>
          <w:rFonts w:hint="cs"/>
          <w:rtl/>
          <w:lang w:val="fr-CH"/>
        </w:rPr>
        <w:t xml:space="preserve">بتصويت رعايا بوركينا </w:t>
      </w:r>
      <w:proofErr w:type="spellStart"/>
      <w:r>
        <w:rPr>
          <w:rFonts w:hint="cs"/>
          <w:rtl/>
          <w:lang w:val="fr-CH"/>
        </w:rPr>
        <w:t>فاسو</w:t>
      </w:r>
      <w:proofErr w:type="spellEnd"/>
      <w:r>
        <w:rPr>
          <w:rFonts w:hint="cs"/>
          <w:rtl/>
          <w:lang w:val="fr-CH"/>
        </w:rPr>
        <w:t xml:space="preserve"> </w:t>
      </w:r>
      <w:r w:rsidR="004821C5">
        <w:rPr>
          <w:rFonts w:hint="cs"/>
          <w:rtl/>
          <w:lang w:val="fr-CH"/>
        </w:rPr>
        <w:t xml:space="preserve">المقيمين في </w:t>
      </w:r>
      <w:r>
        <w:rPr>
          <w:rFonts w:hint="cs"/>
          <w:rtl/>
          <w:lang w:val="fr-CH"/>
        </w:rPr>
        <w:t xml:space="preserve">الخارج (القانون رقم </w:t>
      </w:r>
      <w:r>
        <w:t>003-2010/AN</w:t>
      </w:r>
      <w:r>
        <w:rPr>
          <w:rFonts w:hint="cs"/>
          <w:rtl/>
        </w:rPr>
        <w:t xml:space="preserve"> المؤرخ 25 كانون الثاني/يناير 2010). بيد أن اللجنة تشعر بالأسف إزاء تأجيل بدء نفاذ القانون إلى عام 2015.</w:t>
      </w:r>
    </w:p>
    <w:p w:rsidR="000503BE" w:rsidRPr="00407C2D" w:rsidRDefault="000503BE" w:rsidP="00407C2D">
      <w:pPr>
        <w:pStyle w:val="SingleTxtGA"/>
        <w:rPr>
          <w:rFonts w:hint="cs"/>
          <w:b/>
          <w:bCs/>
          <w:rtl/>
        </w:rPr>
      </w:pPr>
      <w:r>
        <w:rPr>
          <w:rFonts w:hint="cs"/>
          <w:rtl/>
        </w:rPr>
        <w:t>33-</w:t>
      </w:r>
      <w:r>
        <w:rPr>
          <w:rFonts w:hint="cs"/>
          <w:rtl/>
        </w:rPr>
        <w:tab/>
      </w:r>
      <w:r w:rsidRPr="00407C2D">
        <w:rPr>
          <w:rFonts w:hint="cs"/>
          <w:b/>
          <w:bCs/>
          <w:rtl/>
        </w:rPr>
        <w:t xml:space="preserve">تشجع اللجنة الدولة الطرف على أن تضمن، خلال الانتخابات المقبلة التي ستجري عام 2015، حق التصويت للعمال المهاجرين من بوركينا </w:t>
      </w:r>
      <w:proofErr w:type="spellStart"/>
      <w:r w:rsidRPr="00407C2D">
        <w:rPr>
          <w:rFonts w:hint="cs"/>
          <w:b/>
          <w:bCs/>
          <w:rtl/>
        </w:rPr>
        <w:t>فاسو</w:t>
      </w:r>
      <w:proofErr w:type="spellEnd"/>
      <w:r w:rsidRPr="00407C2D">
        <w:rPr>
          <w:rFonts w:hint="cs"/>
          <w:b/>
          <w:bCs/>
          <w:rtl/>
        </w:rPr>
        <w:t>، وفقاً للأحكام الجديدة المعدِّلة لقانون الانتخابات، وعلى أن تتخذ التدابير اللازمة لممارسة هذا الحق بشكل فعلي، خصوصاً من خلال حملات إعلامية موجّهة إليهم.</w:t>
      </w:r>
    </w:p>
    <w:p w:rsidR="000503BE" w:rsidRDefault="000503BE" w:rsidP="004821C5">
      <w:pPr>
        <w:pStyle w:val="SingleTxtGA"/>
        <w:rPr>
          <w:rFonts w:hint="cs"/>
          <w:rtl/>
        </w:rPr>
      </w:pPr>
      <w:r>
        <w:rPr>
          <w:rFonts w:hint="cs"/>
          <w:rtl/>
        </w:rPr>
        <w:t>34-</w:t>
      </w:r>
      <w:r>
        <w:rPr>
          <w:rFonts w:hint="cs"/>
          <w:rtl/>
        </w:rPr>
        <w:tab/>
        <w:t xml:space="preserve">وتحيط اللجنة علماً بالاتفاقات الثنائية والمتعددة الأطراف التي أُبرمت مع البلدان المجاورة </w:t>
      </w:r>
      <w:r w:rsidR="004821C5">
        <w:rPr>
          <w:rFonts w:hint="cs"/>
          <w:rtl/>
        </w:rPr>
        <w:t xml:space="preserve">مثل </w:t>
      </w:r>
      <w:r>
        <w:rPr>
          <w:rFonts w:hint="cs"/>
          <w:rtl/>
        </w:rPr>
        <w:t xml:space="preserve">كوت ديفوار وكذلك مع بلدان مقصد العمال المهاجرين من بوركينا </w:t>
      </w:r>
      <w:proofErr w:type="spellStart"/>
      <w:r>
        <w:rPr>
          <w:rFonts w:hint="cs"/>
          <w:rtl/>
        </w:rPr>
        <w:t>فاسو</w:t>
      </w:r>
      <w:proofErr w:type="spellEnd"/>
      <w:r>
        <w:rPr>
          <w:rFonts w:hint="cs"/>
          <w:rtl/>
        </w:rPr>
        <w:t xml:space="preserve"> فيما يتعلق بالضمان الاجتماعي. بيد أن اللجنة تُعرب عن قلقها </w:t>
      </w:r>
      <w:r w:rsidR="004821C5">
        <w:rPr>
          <w:rFonts w:hint="cs"/>
          <w:rtl/>
        </w:rPr>
        <w:t>فيما يتعلق ب</w:t>
      </w:r>
      <w:r>
        <w:rPr>
          <w:rFonts w:hint="cs"/>
          <w:rtl/>
        </w:rPr>
        <w:t xml:space="preserve">تنفيذ هذه الاتفاقات على النحو الواجب، كما تُعرب عن أسفها لنقص البيانات في هذا الصدد. </w:t>
      </w:r>
      <w:r w:rsidR="004821C5">
        <w:rPr>
          <w:rFonts w:hint="cs"/>
          <w:rtl/>
        </w:rPr>
        <w:t>و</w:t>
      </w:r>
      <w:r>
        <w:rPr>
          <w:rFonts w:hint="cs"/>
          <w:rtl/>
        </w:rPr>
        <w:t xml:space="preserve">علاوة على ذلك، تلاحظ اللجنة باهتمام النظام الذي وضعته الدولة الطرف تحت تصرف أرباب العمل لتسجيل العمال المهاجرين العاملين لديهم، لكنها تشعر بالقلق لعدم تقديم أية معلومات عن التدابير المُتخذة لضمان </w:t>
      </w:r>
      <w:r w:rsidR="004821C5">
        <w:rPr>
          <w:rFonts w:hint="cs"/>
          <w:rtl/>
        </w:rPr>
        <w:t xml:space="preserve">دراية </w:t>
      </w:r>
      <w:r>
        <w:rPr>
          <w:rFonts w:hint="cs"/>
          <w:rtl/>
        </w:rPr>
        <w:t xml:space="preserve">العمال المهاجرين </w:t>
      </w:r>
      <w:r w:rsidR="004821C5">
        <w:rPr>
          <w:rFonts w:hint="cs"/>
          <w:rtl/>
        </w:rPr>
        <w:t xml:space="preserve">بآلية </w:t>
      </w:r>
      <w:r>
        <w:rPr>
          <w:rFonts w:hint="cs"/>
          <w:rtl/>
        </w:rPr>
        <w:t xml:space="preserve">التسجيل </w:t>
      </w:r>
      <w:r w:rsidR="004821C5">
        <w:rPr>
          <w:rFonts w:hint="cs"/>
          <w:rtl/>
        </w:rPr>
        <w:t>بشكل جيد</w:t>
      </w:r>
      <w:r>
        <w:rPr>
          <w:rFonts w:hint="cs"/>
          <w:rtl/>
        </w:rPr>
        <w:t>.</w:t>
      </w:r>
    </w:p>
    <w:p w:rsidR="000503BE" w:rsidRPr="00407C2D" w:rsidRDefault="000503BE" w:rsidP="004821C5">
      <w:pPr>
        <w:pStyle w:val="SingleTxtGA"/>
        <w:rPr>
          <w:rFonts w:hint="cs"/>
          <w:b/>
          <w:bCs/>
          <w:rtl/>
        </w:rPr>
      </w:pPr>
      <w:r>
        <w:rPr>
          <w:rFonts w:hint="cs"/>
          <w:rtl/>
        </w:rPr>
        <w:t>35-</w:t>
      </w:r>
      <w:r>
        <w:rPr>
          <w:rFonts w:hint="cs"/>
          <w:rtl/>
        </w:rPr>
        <w:tab/>
      </w:r>
      <w:r w:rsidRPr="00407C2D">
        <w:rPr>
          <w:rFonts w:hint="cs"/>
          <w:b/>
          <w:bCs/>
          <w:rtl/>
        </w:rPr>
        <w:t xml:space="preserve">توصي اللجنة بأن تُعزز الدولة الطرف التنفيذ الجيد للاتفاقات الثنائية والمتعددة الأطراف وتطلب إلى الدولة الطرف تقديم معلومات تتعلق بهذه الاتفاقات في تقريرها المقبل. علاوة على ذلك، توصي اللجنة بأن تتخذ الدولة الطرف التدابير اللازمة لضمان </w:t>
      </w:r>
      <w:r w:rsidR="004821C5">
        <w:rPr>
          <w:rFonts w:hint="cs"/>
          <w:b/>
          <w:bCs/>
          <w:rtl/>
        </w:rPr>
        <w:t xml:space="preserve">دراية </w:t>
      </w:r>
      <w:r w:rsidRPr="00407C2D">
        <w:rPr>
          <w:rFonts w:hint="cs"/>
          <w:b/>
          <w:bCs/>
          <w:rtl/>
        </w:rPr>
        <w:t xml:space="preserve">العمال المهاجرين </w:t>
      </w:r>
      <w:r w:rsidR="004821C5">
        <w:rPr>
          <w:rFonts w:hint="cs"/>
          <w:b/>
          <w:bCs/>
          <w:rtl/>
        </w:rPr>
        <w:t>ب</w:t>
      </w:r>
      <w:r w:rsidRPr="00407C2D">
        <w:rPr>
          <w:rFonts w:hint="cs"/>
          <w:b/>
          <w:bCs/>
          <w:rtl/>
        </w:rPr>
        <w:t xml:space="preserve">نظام التسجيل الخاص </w:t>
      </w:r>
      <w:r w:rsidR="004821C5">
        <w:rPr>
          <w:rFonts w:hint="cs"/>
          <w:b/>
          <w:bCs/>
          <w:rtl/>
        </w:rPr>
        <w:t xml:space="preserve">الذي يحكم </w:t>
      </w:r>
      <w:r w:rsidRPr="00407C2D">
        <w:rPr>
          <w:rFonts w:hint="cs"/>
          <w:b/>
          <w:bCs/>
          <w:rtl/>
        </w:rPr>
        <w:t>حمايتهم الاجتماعية.</w:t>
      </w:r>
    </w:p>
    <w:p w:rsidR="000503BE" w:rsidRDefault="000503BE" w:rsidP="00A21A5C">
      <w:pPr>
        <w:pStyle w:val="H23GA"/>
        <w:rPr>
          <w:rFonts w:hint="cs"/>
          <w:rtl/>
        </w:rPr>
      </w:pPr>
      <w:r>
        <w:rPr>
          <w:rFonts w:hint="cs"/>
          <w:rtl/>
        </w:rPr>
        <w:tab/>
        <w:t>5-</w:t>
      </w:r>
      <w:r>
        <w:rPr>
          <w:rFonts w:hint="cs"/>
          <w:rtl/>
        </w:rPr>
        <w:tab/>
        <w:t xml:space="preserve">تعزيز الظروف السليمة والعادلة والإنسانية والمشروعة فيما يتعلق بالهجرة الدولية للعمال وأفراد أسرهم (المواد من </w:t>
      </w:r>
      <w:r w:rsidR="00A21A5C">
        <w:rPr>
          <w:rFonts w:hint="cs"/>
          <w:rtl/>
        </w:rPr>
        <w:t xml:space="preserve">64 </w:t>
      </w:r>
      <w:r>
        <w:rPr>
          <w:rFonts w:hint="cs"/>
          <w:rtl/>
        </w:rPr>
        <w:t>إلى 71)</w:t>
      </w:r>
    </w:p>
    <w:p w:rsidR="000503BE" w:rsidRDefault="000503BE" w:rsidP="004821C5">
      <w:pPr>
        <w:pStyle w:val="SingleTxtGA"/>
        <w:rPr>
          <w:rFonts w:hint="cs"/>
          <w:rtl/>
        </w:rPr>
      </w:pPr>
      <w:r>
        <w:rPr>
          <w:rFonts w:hint="cs"/>
          <w:rtl/>
        </w:rPr>
        <w:t>36-</w:t>
      </w:r>
      <w:r>
        <w:rPr>
          <w:rFonts w:hint="cs"/>
          <w:rtl/>
        </w:rPr>
        <w:tab/>
        <w:t xml:space="preserve">ترحب اللجنة بالجهود التي بذلتها الدولة الطرف فيما يتعلق بوضع آليات </w:t>
      </w:r>
      <w:r w:rsidR="004821C5">
        <w:rPr>
          <w:rFonts w:hint="cs"/>
          <w:rtl/>
        </w:rPr>
        <w:t xml:space="preserve">لدعم </w:t>
      </w:r>
      <w:r>
        <w:rPr>
          <w:rFonts w:hint="cs"/>
          <w:rtl/>
        </w:rPr>
        <w:t xml:space="preserve">مواطني بوركينا </w:t>
      </w:r>
      <w:proofErr w:type="spellStart"/>
      <w:r>
        <w:rPr>
          <w:rFonts w:hint="cs"/>
          <w:rtl/>
        </w:rPr>
        <w:t>فاسو</w:t>
      </w:r>
      <w:proofErr w:type="spellEnd"/>
      <w:r>
        <w:rPr>
          <w:rFonts w:hint="cs"/>
          <w:rtl/>
        </w:rPr>
        <w:t xml:space="preserve"> </w:t>
      </w:r>
      <w:r w:rsidR="004821C5">
        <w:rPr>
          <w:rFonts w:hint="cs"/>
          <w:rtl/>
        </w:rPr>
        <w:t xml:space="preserve">في حالة العودة القسرية </w:t>
      </w:r>
      <w:r>
        <w:rPr>
          <w:rFonts w:hint="cs"/>
          <w:rtl/>
        </w:rPr>
        <w:t xml:space="preserve">من بلدان تعاني من أزمات، خصوصاً من جانب الأمانة الدائمة للجنة الوطنية للإغاثة في حالات الطوارئ وإعادة التأهيل والمجلس الأعلى لمواطني بوركينا </w:t>
      </w:r>
      <w:proofErr w:type="spellStart"/>
      <w:r>
        <w:rPr>
          <w:rFonts w:hint="cs"/>
          <w:rtl/>
        </w:rPr>
        <w:t>فاسو</w:t>
      </w:r>
      <w:proofErr w:type="spellEnd"/>
      <w:r>
        <w:rPr>
          <w:rFonts w:hint="cs"/>
          <w:rtl/>
        </w:rPr>
        <w:t xml:space="preserve"> في الخارج. وتلاحظ اللجنة مع ذلك أن الأمر يتعلق أساساً </w:t>
      </w:r>
      <w:r w:rsidR="004821C5">
        <w:rPr>
          <w:rFonts w:hint="cs"/>
          <w:rtl/>
        </w:rPr>
        <w:t>بتدابير الطوارئ</w:t>
      </w:r>
      <w:r>
        <w:rPr>
          <w:rFonts w:hint="cs"/>
          <w:rtl/>
        </w:rPr>
        <w:t xml:space="preserve">، ما يكشف عدم وجود نظرة شاملة للعودة القسرية أو الطوعية لآلاف المواطنين إلى الدولة الطرف في الأجل الطويل. وتشعر اللجنة بقلق خاص إزاء عدم وجود هياكل استقبال، ونقص الدعم المقدم إلى العائدين إلى الوطن وعدم وجود تدابير ترمي إلى تيسير إعادة توطينهم بشكل مستدام من النواحي الاقتصادية والاجتماعية والثقافية. وتلاحظ اللجنة بارتياح العمل الذي أنجزه المجلس الأعلى لمواطني بوركينا </w:t>
      </w:r>
      <w:proofErr w:type="spellStart"/>
      <w:r>
        <w:rPr>
          <w:rFonts w:hint="cs"/>
          <w:rtl/>
        </w:rPr>
        <w:t>فاسو</w:t>
      </w:r>
      <w:proofErr w:type="spellEnd"/>
      <w:r>
        <w:rPr>
          <w:rFonts w:hint="cs"/>
          <w:rtl/>
        </w:rPr>
        <w:t xml:space="preserve"> في الخارج لصالح العمال المهاجرين فضلاً عن </w:t>
      </w:r>
      <w:r w:rsidR="004821C5">
        <w:rPr>
          <w:rFonts w:hint="cs"/>
          <w:rtl/>
        </w:rPr>
        <w:t xml:space="preserve">مشاركته </w:t>
      </w:r>
      <w:r>
        <w:rPr>
          <w:rFonts w:hint="cs"/>
          <w:rtl/>
        </w:rPr>
        <w:t xml:space="preserve">في تعزيز تنمية الدولة الطرف، لكنها تشعر بالقلق من عدم إبراز هذا المجلس في البلدان المضيفة ومن أوجه النقص في التنسيق بين مؤسسات إدارة شؤون الهجرة، خصوصاً هجرة العمال. </w:t>
      </w:r>
      <w:r w:rsidR="004821C5">
        <w:rPr>
          <w:rFonts w:hint="cs"/>
          <w:rtl/>
        </w:rPr>
        <w:t>و</w:t>
      </w:r>
      <w:r>
        <w:rPr>
          <w:rFonts w:hint="cs"/>
          <w:rtl/>
        </w:rPr>
        <w:t>علاوة على ذلك، تأسف اللجنة لعدم وجود معلومات عن الصلات التي تربط المجلس بالمهاجرين في الشتات وعن نتائج أنشطته.</w:t>
      </w:r>
    </w:p>
    <w:p w:rsidR="000503BE" w:rsidRPr="00407C2D" w:rsidRDefault="000503BE" w:rsidP="00FC630F">
      <w:pPr>
        <w:pStyle w:val="SingleTxtGA"/>
        <w:keepNext/>
        <w:keepLines/>
        <w:rPr>
          <w:rFonts w:hint="cs"/>
          <w:b/>
          <w:bCs/>
          <w:rtl/>
        </w:rPr>
      </w:pPr>
      <w:r>
        <w:rPr>
          <w:rFonts w:hint="cs"/>
          <w:rtl/>
        </w:rPr>
        <w:t>37-</w:t>
      </w:r>
      <w:r>
        <w:rPr>
          <w:rFonts w:hint="cs"/>
          <w:rtl/>
        </w:rPr>
        <w:tab/>
      </w:r>
      <w:r w:rsidRPr="00407C2D">
        <w:rPr>
          <w:rFonts w:hint="cs"/>
          <w:b/>
          <w:bCs/>
          <w:rtl/>
        </w:rPr>
        <w:t>توصي اللجنة بأن تقوم الدولة الطرف بما يلي:</w:t>
      </w:r>
    </w:p>
    <w:p w:rsidR="000503BE" w:rsidRPr="00407C2D" w:rsidRDefault="000503BE" w:rsidP="00407C2D">
      <w:pPr>
        <w:pStyle w:val="SingleTxtGA"/>
        <w:rPr>
          <w:rFonts w:hint="cs"/>
          <w:b/>
          <w:bCs/>
          <w:rtl/>
        </w:rPr>
      </w:pPr>
      <w:r w:rsidRPr="00407C2D">
        <w:rPr>
          <w:rFonts w:hint="cs"/>
          <w:b/>
          <w:bCs/>
          <w:rtl/>
        </w:rPr>
        <w:tab/>
        <w:t>(أ)</w:t>
      </w:r>
      <w:r w:rsidRPr="00407C2D">
        <w:rPr>
          <w:rFonts w:hint="cs"/>
          <w:b/>
          <w:bCs/>
          <w:rtl/>
        </w:rPr>
        <w:tab/>
        <w:t xml:space="preserve">إبراز المجلس الأعلى لمواطني بوركينا </w:t>
      </w:r>
      <w:proofErr w:type="spellStart"/>
      <w:r w:rsidRPr="00407C2D">
        <w:rPr>
          <w:rFonts w:hint="cs"/>
          <w:b/>
          <w:bCs/>
          <w:rtl/>
        </w:rPr>
        <w:t>فاسو</w:t>
      </w:r>
      <w:proofErr w:type="spellEnd"/>
      <w:r w:rsidRPr="00407C2D">
        <w:rPr>
          <w:rFonts w:hint="cs"/>
          <w:b/>
          <w:bCs/>
          <w:rtl/>
        </w:rPr>
        <w:t xml:space="preserve"> في الخارج في جميع البلدان المضيفة، وخصوصاً في أوساط الشتات؛</w:t>
      </w:r>
    </w:p>
    <w:p w:rsidR="000503BE" w:rsidRPr="00407C2D" w:rsidRDefault="000503BE" w:rsidP="00407C2D">
      <w:pPr>
        <w:pStyle w:val="SingleTxtGA"/>
        <w:rPr>
          <w:rFonts w:hint="cs"/>
          <w:b/>
          <w:bCs/>
          <w:rtl/>
        </w:rPr>
      </w:pPr>
      <w:r w:rsidRPr="00407C2D">
        <w:rPr>
          <w:rFonts w:hint="cs"/>
          <w:b/>
          <w:bCs/>
          <w:rtl/>
        </w:rPr>
        <w:tab/>
        <w:t>(ب)</w:t>
      </w:r>
      <w:r w:rsidRPr="00407C2D">
        <w:rPr>
          <w:rFonts w:hint="cs"/>
          <w:b/>
          <w:bCs/>
          <w:rtl/>
        </w:rPr>
        <w:tab/>
        <w:t>تحسين التنسيق بين جميع المؤسسات التي تدير شؤون الهجرة وتحمي حقوق العمال المهاجرين؛</w:t>
      </w:r>
    </w:p>
    <w:p w:rsidR="000503BE" w:rsidRPr="00407C2D" w:rsidRDefault="000503BE" w:rsidP="001D564D">
      <w:pPr>
        <w:pStyle w:val="SingleTxtGA"/>
        <w:rPr>
          <w:rFonts w:hint="cs"/>
          <w:b/>
          <w:bCs/>
          <w:rtl/>
        </w:rPr>
      </w:pPr>
      <w:r w:rsidRPr="00407C2D">
        <w:rPr>
          <w:rFonts w:hint="cs"/>
          <w:b/>
          <w:bCs/>
          <w:rtl/>
        </w:rPr>
        <w:tab/>
        <w:t>(ج)</w:t>
      </w:r>
      <w:r w:rsidRPr="00407C2D">
        <w:rPr>
          <w:rFonts w:hint="cs"/>
          <w:b/>
          <w:bCs/>
          <w:rtl/>
        </w:rPr>
        <w:tab/>
        <w:t xml:space="preserve">تقديم معلومات عن نتائج </w:t>
      </w:r>
      <w:r w:rsidR="001D564D">
        <w:rPr>
          <w:rFonts w:hint="cs"/>
          <w:b/>
          <w:bCs/>
          <w:rtl/>
        </w:rPr>
        <w:t xml:space="preserve">الأعمال </w:t>
      </w:r>
      <w:r w:rsidRPr="00407C2D">
        <w:rPr>
          <w:rFonts w:hint="cs"/>
          <w:b/>
          <w:bCs/>
          <w:rtl/>
        </w:rPr>
        <w:t xml:space="preserve">التي </w:t>
      </w:r>
      <w:r w:rsidR="001D564D">
        <w:rPr>
          <w:rFonts w:hint="cs"/>
          <w:b/>
          <w:bCs/>
          <w:rtl/>
        </w:rPr>
        <w:t xml:space="preserve">يقوم </w:t>
      </w:r>
      <w:r w:rsidRPr="00407C2D">
        <w:rPr>
          <w:rFonts w:hint="cs"/>
          <w:b/>
          <w:bCs/>
          <w:rtl/>
        </w:rPr>
        <w:t xml:space="preserve">بها المجلس الأعلى لمواطني بوركينا </w:t>
      </w:r>
      <w:proofErr w:type="spellStart"/>
      <w:r w:rsidRPr="00407C2D">
        <w:rPr>
          <w:rFonts w:hint="cs"/>
          <w:b/>
          <w:bCs/>
          <w:rtl/>
        </w:rPr>
        <w:t>فاسو</w:t>
      </w:r>
      <w:proofErr w:type="spellEnd"/>
      <w:r w:rsidRPr="00407C2D">
        <w:rPr>
          <w:rFonts w:hint="cs"/>
          <w:b/>
          <w:bCs/>
          <w:rtl/>
        </w:rPr>
        <w:t xml:space="preserve"> في الخارج؛</w:t>
      </w:r>
    </w:p>
    <w:p w:rsidR="000503BE" w:rsidRPr="00407C2D" w:rsidRDefault="000503BE" w:rsidP="001D564D">
      <w:pPr>
        <w:pStyle w:val="SingleTxtGA"/>
        <w:rPr>
          <w:rFonts w:hint="cs"/>
          <w:b/>
          <w:bCs/>
          <w:rtl/>
        </w:rPr>
      </w:pPr>
      <w:r w:rsidRPr="00407C2D">
        <w:rPr>
          <w:rFonts w:hint="cs"/>
          <w:b/>
          <w:bCs/>
          <w:rtl/>
        </w:rPr>
        <w:tab/>
        <w:t>(د)</w:t>
      </w:r>
      <w:r w:rsidRPr="00407C2D">
        <w:rPr>
          <w:rFonts w:hint="cs"/>
          <w:b/>
          <w:bCs/>
          <w:rtl/>
        </w:rPr>
        <w:tab/>
        <w:t xml:space="preserve">وضع استراتيجية وطنية لضمان إعادة الإدماج المستدام للعمال المهاجرين المُرحَّلين إلى الوطن بشكل قسري أو غير طوعي في النسيج الاقتصادي والاجتماعي والثقافي للدولة الطرف، لا سيما من خلال وضع تدابير في الأجل الطويل </w:t>
      </w:r>
      <w:r w:rsidR="001D564D">
        <w:rPr>
          <w:rFonts w:hint="cs"/>
          <w:b/>
          <w:bCs/>
          <w:rtl/>
        </w:rPr>
        <w:t xml:space="preserve">لدعمهم </w:t>
      </w:r>
      <w:r w:rsidRPr="00407C2D">
        <w:rPr>
          <w:rFonts w:hint="cs"/>
          <w:b/>
          <w:bCs/>
          <w:rtl/>
        </w:rPr>
        <w:t xml:space="preserve">في عملية العودة. وتدعو اللجنة الدولة الطرف إلى </w:t>
      </w:r>
      <w:r w:rsidR="001D564D">
        <w:rPr>
          <w:rFonts w:hint="cs"/>
          <w:b/>
          <w:bCs/>
          <w:rtl/>
        </w:rPr>
        <w:t xml:space="preserve">إطلاعها على </w:t>
      </w:r>
      <w:r w:rsidRPr="00407C2D">
        <w:rPr>
          <w:rFonts w:hint="cs"/>
          <w:b/>
          <w:bCs/>
          <w:rtl/>
        </w:rPr>
        <w:t>التقدم المحرز في هذا الصدد في تقريرها الدوري المُقبل.</w:t>
      </w:r>
    </w:p>
    <w:p w:rsidR="000503BE" w:rsidRDefault="000503BE" w:rsidP="001D564D">
      <w:pPr>
        <w:pStyle w:val="SingleTxtGA"/>
        <w:rPr>
          <w:rFonts w:hint="cs"/>
          <w:rtl/>
        </w:rPr>
      </w:pPr>
      <w:r>
        <w:rPr>
          <w:rFonts w:hint="cs"/>
          <w:rtl/>
        </w:rPr>
        <w:t>38-</w:t>
      </w:r>
      <w:r>
        <w:rPr>
          <w:rFonts w:hint="cs"/>
          <w:rtl/>
        </w:rPr>
        <w:tab/>
        <w:t xml:space="preserve">وترحب اللجنة مع الارتياح بالاتفاقات الإقليمية الثنائية والمتعددة الأطراف </w:t>
      </w:r>
      <w:r w:rsidR="001D564D">
        <w:rPr>
          <w:rFonts w:hint="cs"/>
          <w:rtl/>
        </w:rPr>
        <w:t xml:space="preserve">المبرمة في مجال </w:t>
      </w:r>
      <w:r>
        <w:rPr>
          <w:rFonts w:hint="cs"/>
          <w:rtl/>
        </w:rPr>
        <w:t xml:space="preserve">مكافحة الاتجار بالأطفال والنساء، وباعتماد القانون رقم </w:t>
      </w:r>
      <w:r>
        <w:t>029-2008/AN</w:t>
      </w:r>
      <w:r>
        <w:rPr>
          <w:rFonts w:hint="cs"/>
          <w:rtl/>
        </w:rPr>
        <w:t xml:space="preserve"> المؤرخ 15 أيار/مايو 2008، والمرسوم المؤرخ 17 تموز/يوليه 2009 المنشئ للجنة وطنية للمراقبة والرصد، وخطة العمل الوطنية المُعزَّزة لمكافحة الاتجار بالأشخاص وأشكال العنف المُرتكبة ضد الأطفال (للفترة 2008-2011) واتفاقات الشراكة التي أُبرمت مع منظمات منها المنظمة الدولية للهجرة ومنظمة الأمم المتحدة للطفولة (اليونيسيف) والتي تتيح </w:t>
      </w:r>
      <w:r w:rsidR="001D564D">
        <w:rPr>
          <w:rFonts w:hint="cs"/>
          <w:rtl/>
        </w:rPr>
        <w:t xml:space="preserve">تحديد </w:t>
      </w:r>
      <w:r>
        <w:rPr>
          <w:rFonts w:hint="cs"/>
          <w:rtl/>
        </w:rPr>
        <w:t>حالات الاتجار</w:t>
      </w:r>
      <w:r w:rsidR="001D564D" w:rsidRPr="001D564D">
        <w:rPr>
          <w:rFonts w:hint="cs"/>
          <w:rtl/>
        </w:rPr>
        <w:t xml:space="preserve"> </w:t>
      </w:r>
      <w:r w:rsidR="001D564D">
        <w:rPr>
          <w:rFonts w:hint="cs"/>
          <w:rtl/>
        </w:rPr>
        <w:t>بشكل أفضل</w:t>
      </w:r>
      <w:r>
        <w:rPr>
          <w:rFonts w:hint="cs"/>
          <w:rtl/>
        </w:rPr>
        <w:t xml:space="preserve">. بيد أن اللجنة تشعر بالقلق إزاء استمرار هذه الممارسة وتلاحظ بقلق عدم كفاية التدابير التي اتخذتها الدولة الطرف لمكافحة شبكات الاتجار بالأشخاص </w:t>
      </w:r>
      <w:r w:rsidR="001D564D">
        <w:rPr>
          <w:rFonts w:hint="cs"/>
          <w:rtl/>
        </w:rPr>
        <w:t xml:space="preserve">وتهريب </w:t>
      </w:r>
      <w:r>
        <w:rPr>
          <w:rFonts w:hint="cs"/>
          <w:rtl/>
        </w:rPr>
        <w:t xml:space="preserve">الأطفال والنساء، الذين </w:t>
      </w:r>
      <w:r w:rsidR="001D564D">
        <w:rPr>
          <w:rFonts w:hint="cs"/>
          <w:rtl/>
        </w:rPr>
        <w:t>يخضعون</w:t>
      </w:r>
      <w:r>
        <w:rPr>
          <w:rFonts w:hint="cs"/>
          <w:rtl/>
        </w:rPr>
        <w:t xml:space="preserve">، ضمن جملة أمور، </w:t>
      </w:r>
      <w:r w:rsidR="001D564D">
        <w:rPr>
          <w:rFonts w:hint="cs"/>
          <w:rtl/>
        </w:rPr>
        <w:t>ل</w:t>
      </w:r>
      <w:r>
        <w:rPr>
          <w:rFonts w:hint="cs"/>
          <w:rtl/>
        </w:rPr>
        <w:t xml:space="preserve">لسخرة، والاسترقاق المنزلي، والبغاء. وتشعر اللجنة بالقلق أيضاً إزاء قلة عدد الملاحقات القضائية والإدانات الصادرة وإزاء عدم وجود معلومات تتصل بوضع خطة عمل جديدة وغياب آليات </w:t>
      </w:r>
      <w:r w:rsidR="001D564D">
        <w:rPr>
          <w:rFonts w:hint="cs"/>
          <w:rtl/>
        </w:rPr>
        <w:t xml:space="preserve">تحديد </w:t>
      </w:r>
      <w:r>
        <w:rPr>
          <w:rFonts w:hint="cs"/>
          <w:rtl/>
        </w:rPr>
        <w:t>الضحايا والتدابير اللازمة لتشجيع العمال المهاجرين على الإبلاغ عن الانتهاكات.</w:t>
      </w:r>
    </w:p>
    <w:p w:rsidR="000503BE" w:rsidRPr="00407C2D" w:rsidRDefault="000503BE" w:rsidP="00407C2D">
      <w:pPr>
        <w:pStyle w:val="SingleTxtGA"/>
        <w:rPr>
          <w:rFonts w:hint="cs"/>
          <w:b/>
          <w:bCs/>
          <w:rtl/>
        </w:rPr>
      </w:pPr>
      <w:r>
        <w:rPr>
          <w:rFonts w:hint="cs"/>
          <w:rtl/>
        </w:rPr>
        <w:t>39-</w:t>
      </w:r>
      <w:r>
        <w:rPr>
          <w:rFonts w:hint="cs"/>
          <w:rtl/>
        </w:rPr>
        <w:tab/>
      </w:r>
      <w:r w:rsidRPr="00407C2D">
        <w:rPr>
          <w:rFonts w:hint="cs"/>
          <w:b/>
          <w:bCs/>
          <w:rtl/>
        </w:rPr>
        <w:t>توصي اللجنة الدولة الطرف بما يلي:</w:t>
      </w:r>
    </w:p>
    <w:p w:rsidR="000503BE" w:rsidRPr="00FC630F" w:rsidRDefault="000503BE" w:rsidP="001D564D">
      <w:pPr>
        <w:pStyle w:val="SingleTxtGA"/>
        <w:rPr>
          <w:rFonts w:hint="cs"/>
          <w:b/>
          <w:bCs/>
          <w:spacing w:val="-2"/>
          <w:rtl/>
        </w:rPr>
      </w:pPr>
      <w:r w:rsidRPr="00FC630F">
        <w:rPr>
          <w:rFonts w:hint="cs"/>
          <w:b/>
          <w:bCs/>
          <w:spacing w:val="-2"/>
          <w:rtl/>
        </w:rPr>
        <w:tab/>
        <w:t>(أ)</w:t>
      </w:r>
      <w:r w:rsidRPr="00FC630F">
        <w:rPr>
          <w:rFonts w:hint="cs"/>
          <w:b/>
          <w:bCs/>
          <w:spacing w:val="-2"/>
          <w:rtl/>
        </w:rPr>
        <w:tab/>
        <w:t xml:space="preserve">وضع وتنفيذ خطة عمل وطنية جديدة لمكافحة الاتجار بالأشخاص، وخصوصاً الاتجار بالنساء والأطفال، </w:t>
      </w:r>
      <w:r w:rsidR="001D564D" w:rsidRPr="00FC630F">
        <w:rPr>
          <w:rFonts w:hint="cs"/>
          <w:b/>
          <w:bCs/>
          <w:spacing w:val="-2"/>
          <w:rtl/>
        </w:rPr>
        <w:t xml:space="preserve">تتضمن </w:t>
      </w:r>
      <w:r w:rsidRPr="00FC630F">
        <w:rPr>
          <w:rFonts w:hint="cs"/>
          <w:b/>
          <w:bCs/>
          <w:spacing w:val="-2"/>
          <w:rtl/>
        </w:rPr>
        <w:t>مؤشرات وأهداف</w:t>
      </w:r>
      <w:r w:rsidR="001D564D" w:rsidRPr="00FC630F">
        <w:rPr>
          <w:rFonts w:hint="cs"/>
          <w:b/>
          <w:bCs/>
          <w:spacing w:val="-2"/>
          <w:rtl/>
        </w:rPr>
        <w:t>اً</w:t>
      </w:r>
      <w:r w:rsidRPr="00FC630F">
        <w:rPr>
          <w:rFonts w:hint="cs"/>
          <w:b/>
          <w:bCs/>
          <w:spacing w:val="-2"/>
          <w:rtl/>
        </w:rPr>
        <w:t xml:space="preserve"> قابلة للقياس، وتشمل، على وجه الخصوص، </w:t>
      </w:r>
      <w:r w:rsidR="001D564D" w:rsidRPr="00FC630F">
        <w:rPr>
          <w:rFonts w:hint="cs"/>
          <w:b/>
          <w:bCs/>
          <w:spacing w:val="-2"/>
          <w:rtl/>
        </w:rPr>
        <w:t xml:space="preserve">عملية </w:t>
      </w:r>
      <w:r w:rsidRPr="00FC630F">
        <w:rPr>
          <w:rFonts w:hint="cs"/>
          <w:b/>
          <w:bCs/>
          <w:spacing w:val="-2"/>
          <w:rtl/>
        </w:rPr>
        <w:t xml:space="preserve">جمع </w:t>
      </w:r>
      <w:r w:rsidR="001D564D" w:rsidRPr="00FC630F">
        <w:rPr>
          <w:rFonts w:hint="cs"/>
          <w:b/>
          <w:bCs/>
          <w:spacing w:val="-2"/>
          <w:rtl/>
        </w:rPr>
        <w:t xml:space="preserve">منتظمة </w:t>
      </w:r>
      <w:r w:rsidRPr="00FC630F">
        <w:rPr>
          <w:rFonts w:hint="cs"/>
          <w:b/>
          <w:bCs/>
          <w:spacing w:val="-2"/>
          <w:rtl/>
        </w:rPr>
        <w:t>للبيانات المصنَّفة عن تهريب الأشخاص أو الاتجار بهم؛</w:t>
      </w:r>
    </w:p>
    <w:p w:rsidR="000503BE" w:rsidRPr="00407C2D" w:rsidRDefault="000503BE" w:rsidP="00407C2D">
      <w:pPr>
        <w:pStyle w:val="SingleTxtGA"/>
        <w:rPr>
          <w:rFonts w:hint="cs"/>
          <w:b/>
          <w:bCs/>
          <w:rtl/>
        </w:rPr>
      </w:pPr>
      <w:r w:rsidRPr="00407C2D">
        <w:rPr>
          <w:rFonts w:hint="cs"/>
          <w:b/>
          <w:bCs/>
          <w:rtl/>
        </w:rPr>
        <w:tab/>
        <w:t>(ب)</w:t>
      </w:r>
      <w:r w:rsidRPr="00407C2D">
        <w:rPr>
          <w:rFonts w:hint="cs"/>
          <w:b/>
          <w:bCs/>
          <w:rtl/>
        </w:rPr>
        <w:tab/>
        <w:t>تكثيف حملات الوقاية، خصوصاً في المناطق الحدودية حيث تكثر أعداد ضحايا الاتجار وتزويد اللجنة الوطنية للمراقبة والرصد بما يكفي من موارد مالية وبشرية لضمان تنفيذ ولايتها؛</w:t>
      </w:r>
    </w:p>
    <w:p w:rsidR="000503BE" w:rsidRPr="00407C2D" w:rsidRDefault="000503BE" w:rsidP="00020374">
      <w:pPr>
        <w:pStyle w:val="SingleTxtGA"/>
        <w:rPr>
          <w:rFonts w:hint="cs"/>
          <w:b/>
          <w:bCs/>
          <w:rtl/>
        </w:rPr>
      </w:pPr>
      <w:r w:rsidRPr="00407C2D">
        <w:rPr>
          <w:rFonts w:hint="cs"/>
          <w:b/>
          <w:bCs/>
          <w:rtl/>
        </w:rPr>
        <w:tab/>
        <w:t>(ج)</w:t>
      </w:r>
      <w:r w:rsidRPr="00407C2D">
        <w:rPr>
          <w:rFonts w:hint="cs"/>
          <w:b/>
          <w:bCs/>
          <w:rtl/>
        </w:rPr>
        <w:tab/>
        <w:t xml:space="preserve">تعزيز الملاحقات القضائية من خلال التطبيق الصارم </w:t>
      </w:r>
      <w:r w:rsidR="001D564D">
        <w:rPr>
          <w:rFonts w:hint="cs"/>
          <w:b/>
          <w:bCs/>
          <w:rtl/>
        </w:rPr>
        <w:t>لإطارها القانوني</w:t>
      </w:r>
      <w:r w:rsidRPr="00407C2D">
        <w:rPr>
          <w:rFonts w:hint="cs"/>
          <w:b/>
          <w:bCs/>
          <w:rtl/>
        </w:rPr>
        <w:t xml:space="preserve"> من أجل محاكمة المسؤولين عن الاتجار بالبشر ومعاقبتهم </w:t>
      </w:r>
      <w:r w:rsidR="00020374">
        <w:rPr>
          <w:rFonts w:hint="cs"/>
          <w:b/>
          <w:bCs/>
          <w:rtl/>
        </w:rPr>
        <w:t>كما ينبغي</w:t>
      </w:r>
      <w:r w:rsidRPr="00407C2D">
        <w:rPr>
          <w:rFonts w:hint="cs"/>
          <w:b/>
          <w:bCs/>
          <w:rtl/>
        </w:rPr>
        <w:t>، وتطبيق عقوبات فعالة ورادعة بما يكفي؛</w:t>
      </w:r>
    </w:p>
    <w:p w:rsidR="000503BE" w:rsidRPr="00407C2D" w:rsidRDefault="000503BE" w:rsidP="00020374">
      <w:pPr>
        <w:pStyle w:val="SingleTxtGA"/>
        <w:rPr>
          <w:rFonts w:hint="cs"/>
          <w:b/>
          <w:bCs/>
          <w:rtl/>
          <w:lang w:val="fr-CH"/>
        </w:rPr>
      </w:pPr>
      <w:r w:rsidRPr="00407C2D">
        <w:rPr>
          <w:rFonts w:hint="cs"/>
          <w:b/>
          <w:bCs/>
          <w:rtl/>
          <w:lang w:val="fr-CH"/>
        </w:rPr>
        <w:tab/>
        <w:t>(د)</w:t>
      </w:r>
      <w:r w:rsidRPr="00407C2D">
        <w:rPr>
          <w:rFonts w:hint="cs"/>
          <w:b/>
          <w:bCs/>
          <w:rtl/>
          <w:lang w:val="fr-CH"/>
        </w:rPr>
        <w:tab/>
        <w:t xml:space="preserve">اعتماد آليات وبروتوكولات تتيح لحرس الحدود ومفتشي العمل وموظفي الهجرة وغيرهم من الأشخاص المكلفين بهذه الأنشطة سرعة </w:t>
      </w:r>
      <w:r w:rsidR="00020374">
        <w:rPr>
          <w:rFonts w:hint="cs"/>
          <w:b/>
          <w:bCs/>
          <w:rtl/>
          <w:lang w:val="fr-CH"/>
        </w:rPr>
        <w:t xml:space="preserve">تحديد </w:t>
      </w:r>
      <w:r w:rsidRPr="00407C2D">
        <w:rPr>
          <w:rFonts w:hint="cs"/>
          <w:b/>
          <w:bCs/>
          <w:rtl/>
          <w:lang w:val="fr-CH"/>
        </w:rPr>
        <w:t xml:space="preserve">ضحايا الاتجار </w:t>
      </w:r>
      <w:r w:rsidR="00020374">
        <w:rPr>
          <w:rFonts w:hint="cs"/>
          <w:b/>
          <w:bCs/>
          <w:rtl/>
          <w:lang w:val="fr-CH"/>
        </w:rPr>
        <w:t>وتمكين المحتاجين منهم إلى الحماية من ا</w:t>
      </w:r>
      <w:r w:rsidRPr="00407C2D">
        <w:rPr>
          <w:rFonts w:hint="cs"/>
          <w:b/>
          <w:bCs/>
          <w:rtl/>
          <w:lang w:val="fr-CH"/>
        </w:rPr>
        <w:t xml:space="preserve">لوصول إلى إجراءات اللجوء عند اللزوم، </w:t>
      </w:r>
      <w:r w:rsidR="00020374">
        <w:rPr>
          <w:rFonts w:hint="cs"/>
          <w:b/>
          <w:bCs/>
          <w:rtl/>
          <w:lang w:val="fr-CH"/>
        </w:rPr>
        <w:t xml:space="preserve">ومن الحصول على المساعدة </w:t>
      </w:r>
      <w:r w:rsidRPr="00407C2D">
        <w:rPr>
          <w:rFonts w:hint="cs"/>
          <w:b/>
          <w:bCs/>
          <w:rtl/>
          <w:lang w:val="fr-CH"/>
        </w:rPr>
        <w:t>النفسي</w:t>
      </w:r>
      <w:r w:rsidR="00020374">
        <w:rPr>
          <w:rFonts w:hint="cs"/>
          <w:b/>
          <w:bCs/>
          <w:rtl/>
          <w:lang w:val="fr-CH"/>
        </w:rPr>
        <w:t>ة</w:t>
      </w:r>
      <w:r w:rsidRPr="00407C2D">
        <w:rPr>
          <w:rFonts w:hint="cs"/>
          <w:b/>
          <w:bCs/>
          <w:rtl/>
          <w:lang w:val="fr-CH"/>
        </w:rPr>
        <w:t xml:space="preserve"> والطبي</w:t>
      </w:r>
      <w:r w:rsidR="00020374">
        <w:rPr>
          <w:rFonts w:hint="cs"/>
          <w:b/>
          <w:bCs/>
          <w:rtl/>
          <w:lang w:val="fr-CH"/>
        </w:rPr>
        <w:t>ة</w:t>
      </w:r>
      <w:r w:rsidRPr="00407C2D">
        <w:rPr>
          <w:rFonts w:hint="cs"/>
          <w:b/>
          <w:bCs/>
          <w:rtl/>
          <w:lang w:val="fr-CH"/>
        </w:rPr>
        <w:t xml:space="preserve"> والقانوني</w:t>
      </w:r>
      <w:r w:rsidR="00020374">
        <w:rPr>
          <w:rFonts w:hint="cs"/>
          <w:b/>
          <w:bCs/>
          <w:rtl/>
          <w:lang w:val="fr-CH"/>
        </w:rPr>
        <w:t>ة</w:t>
      </w:r>
      <w:r w:rsidRPr="00407C2D">
        <w:rPr>
          <w:rFonts w:hint="cs"/>
          <w:b/>
          <w:bCs/>
          <w:rtl/>
          <w:lang w:val="fr-CH"/>
        </w:rPr>
        <w:t xml:space="preserve"> </w:t>
      </w:r>
      <w:r w:rsidR="00020374">
        <w:rPr>
          <w:rFonts w:hint="cs"/>
          <w:b/>
          <w:bCs/>
          <w:rtl/>
          <w:lang w:val="fr-CH"/>
        </w:rPr>
        <w:t xml:space="preserve">والدعم </w:t>
      </w:r>
      <w:r w:rsidRPr="00407C2D">
        <w:rPr>
          <w:rFonts w:hint="cs"/>
          <w:b/>
          <w:bCs/>
          <w:rtl/>
          <w:lang w:val="fr-CH"/>
        </w:rPr>
        <w:t>الملائم لإعادة إدماجهم؛</w:t>
      </w:r>
    </w:p>
    <w:p w:rsidR="000503BE" w:rsidRPr="00407C2D" w:rsidRDefault="000503BE" w:rsidP="00A21A5C">
      <w:pPr>
        <w:pStyle w:val="SingleTxtGA"/>
        <w:rPr>
          <w:rFonts w:hint="cs"/>
          <w:b/>
          <w:bCs/>
          <w:rtl/>
          <w:lang w:val="fr-CH"/>
        </w:rPr>
      </w:pPr>
      <w:r w:rsidRPr="00407C2D">
        <w:rPr>
          <w:rFonts w:hint="cs"/>
          <w:b/>
          <w:bCs/>
          <w:rtl/>
          <w:lang w:val="fr-CH"/>
        </w:rPr>
        <w:tab/>
        <w:t>(</w:t>
      </w:r>
      <w:r w:rsidRPr="00407C2D">
        <w:rPr>
          <w:rFonts w:hint="cs"/>
          <w:b/>
          <w:bCs/>
          <w:sz w:val="30"/>
          <w:rtl/>
          <w:lang w:val="fr-CH"/>
        </w:rPr>
        <w:t>ﻫ</w:t>
      </w:r>
      <w:r w:rsidRPr="00407C2D">
        <w:rPr>
          <w:rFonts w:hint="cs"/>
          <w:b/>
          <w:bCs/>
          <w:rtl/>
          <w:lang w:val="fr-CH"/>
        </w:rPr>
        <w:t>)</w:t>
      </w:r>
      <w:r w:rsidRPr="00407C2D">
        <w:rPr>
          <w:rFonts w:hint="cs"/>
          <w:b/>
          <w:bCs/>
          <w:rtl/>
          <w:lang w:val="fr-CH"/>
        </w:rPr>
        <w:tab/>
        <w:t xml:space="preserve">تعزيز التعاون الدولي والإقليمي والثنائي من خلال التنفيذ التام للاتفاقات القائمة مع </w:t>
      </w:r>
      <w:r w:rsidR="00020374">
        <w:rPr>
          <w:rFonts w:hint="cs"/>
          <w:b/>
          <w:bCs/>
          <w:rtl/>
          <w:lang w:val="fr-CH"/>
        </w:rPr>
        <w:t>ال</w:t>
      </w:r>
      <w:r w:rsidRPr="00407C2D">
        <w:rPr>
          <w:rFonts w:hint="cs"/>
          <w:b/>
          <w:bCs/>
          <w:rtl/>
          <w:lang w:val="fr-CH"/>
        </w:rPr>
        <w:t>بلدان الأصل</w:t>
      </w:r>
      <w:r w:rsidR="00020374">
        <w:rPr>
          <w:rFonts w:hint="cs"/>
          <w:b/>
          <w:bCs/>
          <w:rtl/>
          <w:lang w:val="fr-CH"/>
        </w:rPr>
        <w:t>ية</w:t>
      </w:r>
      <w:r w:rsidRPr="00407C2D">
        <w:rPr>
          <w:rFonts w:hint="cs"/>
          <w:b/>
          <w:bCs/>
          <w:rtl/>
          <w:lang w:val="fr-CH"/>
        </w:rPr>
        <w:t xml:space="preserve"> و</w:t>
      </w:r>
      <w:r w:rsidR="00020374">
        <w:rPr>
          <w:rFonts w:hint="cs"/>
          <w:b/>
          <w:bCs/>
          <w:rtl/>
          <w:lang w:val="fr-CH"/>
        </w:rPr>
        <w:t xml:space="preserve">بلدان </w:t>
      </w:r>
      <w:r w:rsidRPr="00407C2D">
        <w:rPr>
          <w:rFonts w:hint="cs"/>
          <w:b/>
          <w:bCs/>
          <w:rtl/>
          <w:lang w:val="fr-CH"/>
        </w:rPr>
        <w:t>العبور والمقصد بغية منع تهريب الأشخاص والاتجار بهم والتعجيل في وضع اللمسات الأخيرة على مشروع اتفاق التعاون مع كوت</w:t>
      </w:r>
      <w:r w:rsidR="00A21A5C">
        <w:rPr>
          <w:rFonts w:hint="eastAsia"/>
          <w:b/>
          <w:bCs/>
          <w:rtl/>
          <w:lang w:val="fr-CH"/>
        </w:rPr>
        <w:t> </w:t>
      </w:r>
      <w:r w:rsidRPr="00407C2D">
        <w:rPr>
          <w:rFonts w:hint="cs"/>
          <w:b/>
          <w:bCs/>
          <w:rtl/>
          <w:lang w:val="fr-CH"/>
        </w:rPr>
        <w:t>ديفوار بشأن مكافحة تهريب الأشخاص والاتجار بهم عبر الحدود.</w:t>
      </w:r>
    </w:p>
    <w:p w:rsidR="000503BE" w:rsidRDefault="000503BE" w:rsidP="00020374">
      <w:pPr>
        <w:pStyle w:val="SingleTxtGA"/>
        <w:rPr>
          <w:rFonts w:hint="cs"/>
          <w:rtl/>
          <w:lang w:val="fr-CH"/>
        </w:rPr>
      </w:pPr>
      <w:r>
        <w:rPr>
          <w:rFonts w:hint="cs"/>
          <w:rtl/>
          <w:lang w:val="fr-CH"/>
        </w:rPr>
        <w:t>40-</w:t>
      </w:r>
      <w:r>
        <w:rPr>
          <w:rFonts w:hint="cs"/>
          <w:rtl/>
          <w:lang w:val="fr-CH"/>
        </w:rPr>
        <w:tab/>
        <w:t xml:space="preserve">وتهنئ اللجنة الدولة الطرف على التدابير المتخذة للتصدِّي لأزمتي كوت ديفوار وليبيا فضلاً عن الإجراءات التي اتُّخذت مؤخراً إزاء اللاجئين الماليين. بيد أن اللجنة تلاحظ مع القلق </w:t>
      </w:r>
      <w:r w:rsidR="00020374">
        <w:rPr>
          <w:rFonts w:hint="cs"/>
          <w:rtl/>
          <w:lang w:val="fr-CH"/>
        </w:rPr>
        <w:t xml:space="preserve">عدم الاعتراف ببطاقات الهوية الصادرة </w:t>
      </w:r>
      <w:r>
        <w:rPr>
          <w:rFonts w:hint="cs"/>
          <w:rtl/>
          <w:lang w:val="fr-CH"/>
        </w:rPr>
        <w:t xml:space="preserve">للاجئين أو </w:t>
      </w:r>
      <w:r w:rsidR="00020374">
        <w:rPr>
          <w:rFonts w:hint="cs"/>
          <w:rtl/>
          <w:lang w:val="fr-CH"/>
        </w:rPr>
        <w:t xml:space="preserve">ضعف الاعتراف بها في الدولة الطرف </w:t>
      </w:r>
      <w:r>
        <w:rPr>
          <w:rFonts w:hint="cs"/>
          <w:rtl/>
          <w:lang w:val="fr-CH"/>
        </w:rPr>
        <w:t>ما يحول دون تمتُّع اللاجئين تمتُّعاً تاماً بحقوقهم. وتلاحظ اللجنة غياب المعلومات المتعلِّقة بالتدابير المتخذة عملياً لتيسير تسوية أوضاع العمال المهاجرين غير الشرعيين.</w:t>
      </w:r>
    </w:p>
    <w:p w:rsidR="000503BE" w:rsidRPr="00407C2D" w:rsidRDefault="000503BE" w:rsidP="00020374">
      <w:pPr>
        <w:pStyle w:val="SingleTxtGA"/>
        <w:rPr>
          <w:rFonts w:hint="cs"/>
          <w:b/>
          <w:bCs/>
          <w:rtl/>
          <w:lang w:val="fr-CH"/>
        </w:rPr>
      </w:pPr>
      <w:r>
        <w:rPr>
          <w:rFonts w:hint="cs"/>
          <w:rtl/>
          <w:lang w:val="fr-CH"/>
        </w:rPr>
        <w:t>41-</w:t>
      </w:r>
      <w:r>
        <w:rPr>
          <w:rFonts w:hint="cs"/>
          <w:rtl/>
          <w:lang w:val="fr-CH"/>
        </w:rPr>
        <w:tab/>
      </w:r>
      <w:r w:rsidRPr="00407C2D">
        <w:rPr>
          <w:rFonts w:hint="cs"/>
          <w:b/>
          <w:bCs/>
          <w:rtl/>
          <w:lang w:val="fr-CH"/>
        </w:rPr>
        <w:t xml:space="preserve">توصي اللجنة بأن تضمن الدولة الطرف الاعتراف التام بالهويات الصادرة للاجئين داخل الدولة الطرف وتحثّها على اتخاذ جميع التدابير الملائمة لتسوية أوضاع العمال المهاجرين وأفراد أسرهم المقيمين بصفة غير شرعية حتى لا تطول هذه الأوضاع، كما تحثّها على ضمان إمكانية وصول هؤلاء </w:t>
      </w:r>
      <w:r w:rsidR="00020374">
        <w:rPr>
          <w:rFonts w:hint="cs"/>
          <w:b/>
          <w:bCs/>
          <w:rtl/>
          <w:lang w:val="fr-CH"/>
        </w:rPr>
        <w:t xml:space="preserve">المهاجرين </w:t>
      </w:r>
      <w:r w:rsidRPr="00407C2D">
        <w:rPr>
          <w:rFonts w:hint="cs"/>
          <w:b/>
          <w:bCs/>
          <w:rtl/>
          <w:lang w:val="fr-CH"/>
        </w:rPr>
        <w:t xml:space="preserve">بشكل فعلي إلى المعلومات المتعلِّقة بالإجراءات </w:t>
      </w:r>
      <w:r w:rsidR="00020374">
        <w:rPr>
          <w:rFonts w:hint="cs"/>
          <w:b/>
          <w:bCs/>
          <w:rtl/>
          <w:lang w:val="fr-CH"/>
        </w:rPr>
        <w:t xml:space="preserve">السارية </w:t>
      </w:r>
      <w:r w:rsidRPr="00407C2D">
        <w:rPr>
          <w:rFonts w:hint="cs"/>
          <w:b/>
          <w:bCs/>
          <w:rtl/>
          <w:lang w:val="fr-CH"/>
        </w:rPr>
        <w:t>لتسوية وضعهم.</w:t>
      </w:r>
    </w:p>
    <w:p w:rsidR="000503BE" w:rsidRDefault="000503BE" w:rsidP="00407C2D">
      <w:pPr>
        <w:pStyle w:val="H23GA"/>
        <w:rPr>
          <w:rFonts w:hint="cs"/>
          <w:rtl/>
          <w:lang w:val="fr-CH"/>
        </w:rPr>
      </w:pPr>
      <w:r>
        <w:rPr>
          <w:rFonts w:hint="cs"/>
          <w:rtl/>
          <w:lang w:val="fr-CH"/>
        </w:rPr>
        <w:tab/>
        <w:t>6-</w:t>
      </w:r>
      <w:r>
        <w:rPr>
          <w:rFonts w:hint="cs"/>
          <w:rtl/>
          <w:lang w:val="fr-CH"/>
        </w:rPr>
        <w:tab/>
        <w:t>المتابعة والنشر</w:t>
      </w:r>
    </w:p>
    <w:p w:rsidR="000503BE" w:rsidRDefault="000503BE" w:rsidP="00407C2D">
      <w:pPr>
        <w:pStyle w:val="H4GA"/>
        <w:rPr>
          <w:rFonts w:hint="cs"/>
          <w:rtl/>
          <w:lang w:val="fr-CH" w:eastAsia="ar-SA"/>
        </w:rPr>
      </w:pPr>
      <w:r>
        <w:rPr>
          <w:rFonts w:hint="cs"/>
          <w:rtl/>
          <w:lang w:val="fr-CH" w:eastAsia="ar-SA"/>
        </w:rPr>
        <w:tab/>
      </w:r>
      <w:r>
        <w:rPr>
          <w:rFonts w:hint="cs"/>
          <w:rtl/>
          <w:lang w:val="fr-CH" w:eastAsia="ar-SA"/>
        </w:rPr>
        <w:tab/>
        <w:t>المتابعة</w:t>
      </w:r>
    </w:p>
    <w:p w:rsidR="000503BE" w:rsidRPr="00407C2D" w:rsidRDefault="000503BE" w:rsidP="00020374">
      <w:pPr>
        <w:pStyle w:val="SingleTxtGA"/>
        <w:rPr>
          <w:rFonts w:hint="cs"/>
          <w:b/>
          <w:bCs/>
          <w:rtl/>
          <w:lang w:val="fr-CH" w:eastAsia="ar-SA"/>
        </w:rPr>
      </w:pPr>
      <w:r>
        <w:rPr>
          <w:rFonts w:hint="cs"/>
          <w:rtl/>
          <w:lang w:val="fr-CH" w:eastAsia="ar-SA"/>
        </w:rPr>
        <w:t>42-</w:t>
      </w:r>
      <w:r>
        <w:rPr>
          <w:rFonts w:hint="cs"/>
          <w:rtl/>
          <w:lang w:val="fr-CH" w:eastAsia="ar-SA"/>
        </w:rPr>
        <w:tab/>
      </w:r>
      <w:r w:rsidRPr="00407C2D">
        <w:rPr>
          <w:rFonts w:hint="cs"/>
          <w:b/>
          <w:bCs/>
          <w:rtl/>
          <w:lang w:val="fr-CH" w:eastAsia="ar-SA"/>
        </w:rPr>
        <w:t xml:space="preserve">تطلب اللجنة إلى الدولة الطرف أن تضمِّن تقريرها الدوري الثاني معلومات مفصّلة عما اتخذته من تدابير لمتابعة التوصيات المقدمة في هذه الملاحظات الختامية. وتوصي اللجنة الدولة الطرف بأن تتخذ جميع </w:t>
      </w:r>
      <w:r w:rsidR="00020374">
        <w:rPr>
          <w:rFonts w:hint="cs"/>
          <w:b/>
          <w:bCs/>
          <w:rtl/>
          <w:lang w:val="fr-CH" w:eastAsia="ar-SA"/>
        </w:rPr>
        <w:t xml:space="preserve">الترتيبات </w:t>
      </w:r>
      <w:r w:rsidRPr="00407C2D">
        <w:rPr>
          <w:rFonts w:hint="cs"/>
          <w:b/>
          <w:bCs/>
          <w:rtl/>
          <w:lang w:val="fr-CH" w:eastAsia="ar-SA"/>
        </w:rPr>
        <w:t>المناسبة لضمان تنفيذ هذه التوصيات.</w:t>
      </w:r>
    </w:p>
    <w:p w:rsidR="000503BE" w:rsidRPr="00407C2D" w:rsidRDefault="000503BE" w:rsidP="00407C2D">
      <w:pPr>
        <w:pStyle w:val="SingleTxtGA"/>
        <w:rPr>
          <w:rFonts w:hint="cs"/>
          <w:b/>
          <w:bCs/>
          <w:rtl/>
          <w:lang w:val="fr-CH" w:eastAsia="ar-SA"/>
        </w:rPr>
      </w:pPr>
      <w:r w:rsidRPr="00562DC2">
        <w:rPr>
          <w:rFonts w:hint="cs"/>
          <w:rtl/>
          <w:lang w:val="fr-CH" w:eastAsia="ar-SA"/>
        </w:rPr>
        <w:t>43-</w:t>
      </w:r>
      <w:r w:rsidRPr="00562DC2">
        <w:rPr>
          <w:rFonts w:hint="cs"/>
          <w:rtl/>
          <w:lang w:val="fr-CH" w:eastAsia="ar-SA"/>
        </w:rPr>
        <w:tab/>
      </w:r>
      <w:r w:rsidRPr="00407C2D">
        <w:rPr>
          <w:rFonts w:hint="cs"/>
          <w:b/>
          <w:bCs/>
          <w:rtl/>
          <w:lang w:val="fr-CH" w:eastAsia="ar-SA"/>
        </w:rPr>
        <w:t>تطلب اللجنة إلى الدولة الطرف إشراك منظمات المجتمع المدني التي تعمل في مجال الهجرة على الصعيد الوطني في وضع تقريرها الدوري الثاني.</w:t>
      </w:r>
    </w:p>
    <w:p w:rsidR="000503BE" w:rsidRDefault="000503BE" w:rsidP="00407C2D">
      <w:pPr>
        <w:pStyle w:val="H4GA"/>
        <w:rPr>
          <w:rFonts w:hint="cs"/>
          <w:rtl/>
          <w:lang w:val="fr-CH" w:eastAsia="ar-SA"/>
        </w:rPr>
      </w:pPr>
      <w:r>
        <w:rPr>
          <w:rFonts w:hint="cs"/>
          <w:rtl/>
          <w:lang w:val="fr-CH" w:eastAsia="ar-SA"/>
        </w:rPr>
        <w:tab/>
      </w:r>
      <w:r>
        <w:rPr>
          <w:rFonts w:hint="cs"/>
          <w:rtl/>
          <w:lang w:val="fr-CH" w:eastAsia="ar-SA"/>
        </w:rPr>
        <w:tab/>
        <w:t>النشر</w:t>
      </w:r>
    </w:p>
    <w:p w:rsidR="000503BE" w:rsidRPr="00407C2D" w:rsidRDefault="000503BE" w:rsidP="007F2C47">
      <w:pPr>
        <w:pStyle w:val="SingleTxtGA"/>
        <w:rPr>
          <w:rFonts w:hint="cs"/>
          <w:b/>
          <w:bCs/>
          <w:rtl/>
          <w:lang w:val="fr-CH" w:eastAsia="ar-SA"/>
        </w:rPr>
      </w:pPr>
      <w:r>
        <w:rPr>
          <w:rFonts w:hint="cs"/>
          <w:rtl/>
          <w:lang w:val="fr-CH" w:eastAsia="ar-SA"/>
        </w:rPr>
        <w:t>44-</w:t>
      </w:r>
      <w:r>
        <w:rPr>
          <w:rFonts w:hint="cs"/>
          <w:rtl/>
          <w:lang w:val="fr-CH" w:eastAsia="ar-SA"/>
        </w:rPr>
        <w:tab/>
      </w:r>
      <w:r w:rsidRPr="00407C2D">
        <w:rPr>
          <w:rFonts w:hint="cs"/>
          <w:b/>
          <w:bCs/>
          <w:rtl/>
          <w:lang w:val="fr-CH" w:eastAsia="ar-SA"/>
        </w:rPr>
        <w:t xml:space="preserve">تطلب اللجنة كذلك إلى الدولة الطرف أن تنشر هذه الملاحظات الختامية على نطاق واسع، </w:t>
      </w:r>
      <w:r w:rsidR="007F2C47">
        <w:rPr>
          <w:rFonts w:hint="cs"/>
          <w:b/>
          <w:bCs/>
          <w:rtl/>
          <w:lang w:val="fr-CH" w:eastAsia="ar-SA"/>
        </w:rPr>
        <w:t xml:space="preserve">وبخاصة </w:t>
      </w:r>
      <w:r w:rsidRPr="00407C2D">
        <w:rPr>
          <w:rFonts w:hint="cs"/>
          <w:b/>
          <w:bCs/>
          <w:rtl/>
          <w:lang w:val="fr-CH" w:eastAsia="ar-SA"/>
        </w:rPr>
        <w:t xml:space="preserve">في </w:t>
      </w:r>
      <w:r w:rsidR="007F2C47">
        <w:rPr>
          <w:rFonts w:hint="cs"/>
          <w:b/>
          <w:bCs/>
          <w:rtl/>
          <w:lang w:val="fr-CH" w:eastAsia="ar-SA"/>
        </w:rPr>
        <w:t>ال</w:t>
      </w:r>
      <w:r w:rsidRPr="00407C2D">
        <w:rPr>
          <w:rFonts w:hint="cs"/>
          <w:b/>
          <w:bCs/>
          <w:rtl/>
          <w:lang w:val="fr-CH" w:eastAsia="ar-SA"/>
        </w:rPr>
        <w:t xml:space="preserve">أوساط الحكومية، والجمعية الوطنية، والسلطة القضائية، والسلطات المحلية المختصة، والمنظمات غير الحكومية، وسائر كيانات المجتمع المدني، وأن تتخذ التدابير اللازمة لتوعية العمال المهاجرين من الدولة الطرف في الخارج والعمال المهاجرين </w:t>
      </w:r>
      <w:r w:rsidR="007F2C47">
        <w:rPr>
          <w:rFonts w:hint="cs"/>
          <w:b/>
          <w:bCs/>
          <w:rtl/>
          <w:lang w:val="fr-CH" w:eastAsia="ar-SA"/>
        </w:rPr>
        <w:t xml:space="preserve">الأجانب </w:t>
      </w:r>
      <w:r w:rsidRPr="00407C2D">
        <w:rPr>
          <w:rFonts w:hint="cs"/>
          <w:b/>
          <w:bCs/>
          <w:rtl/>
          <w:lang w:val="fr-CH" w:eastAsia="ar-SA"/>
        </w:rPr>
        <w:t>العابرين أو المقيمين فيها بهذه الملاحظات.</w:t>
      </w:r>
    </w:p>
    <w:p w:rsidR="000503BE" w:rsidRDefault="000503BE" w:rsidP="00407C2D">
      <w:pPr>
        <w:pStyle w:val="H23GA"/>
        <w:rPr>
          <w:rFonts w:hint="cs"/>
          <w:rtl/>
          <w:lang w:val="fr-CH"/>
        </w:rPr>
      </w:pPr>
      <w:r>
        <w:rPr>
          <w:rFonts w:hint="cs"/>
          <w:rtl/>
          <w:lang w:val="fr-CH"/>
        </w:rPr>
        <w:tab/>
        <w:t>7-</w:t>
      </w:r>
      <w:r>
        <w:rPr>
          <w:rFonts w:hint="cs"/>
          <w:rtl/>
          <w:lang w:val="fr-CH"/>
        </w:rPr>
        <w:tab/>
        <w:t>التقرير الدوري المقبل</w:t>
      </w:r>
    </w:p>
    <w:p w:rsidR="000503BE" w:rsidRPr="00407C2D" w:rsidRDefault="000503BE" w:rsidP="00B81F92">
      <w:pPr>
        <w:pStyle w:val="SingleTxtGA"/>
        <w:rPr>
          <w:rFonts w:hint="cs"/>
          <w:b/>
          <w:bCs/>
          <w:rtl/>
          <w:lang w:eastAsia="ar-SA"/>
        </w:rPr>
      </w:pPr>
      <w:r>
        <w:rPr>
          <w:rFonts w:hint="cs"/>
          <w:rtl/>
          <w:lang w:val="fr-CH" w:eastAsia="ar-SA"/>
        </w:rPr>
        <w:t>45-</w:t>
      </w:r>
      <w:r>
        <w:rPr>
          <w:rFonts w:hint="cs"/>
          <w:rtl/>
          <w:lang w:val="fr-CH" w:eastAsia="ar-SA"/>
        </w:rPr>
        <w:tab/>
      </w:r>
      <w:r w:rsidRPr="00407C2D">
        <w:rPr>
          <w:rFonts w:hint="cs"/>
          <w:b/>
          <w:bCs/>
          <w:rtl/>
          <w:lang w:val="fr-CH" w:eastAsia="ar-SA"/>
        </w:rPr>
        <w:t xml:space="preserve">تطلب اللجنة إلى الدولة الطرف أن تقدِّم تقريرها الدوري الثاني </w:t>
      </w:r>
      <w:r w:rsidR="0007006F">
        <w:rPr>
          <w:rFonts w:hint="cs"/>
          <w:b/>
          <w:bCs/>
          <w:rtl/>
          <w:lang w:val="fr-CH" w:eastAsia="ar-SA"/>
        </w:rPr>
        <w:t xml:space="preserve">في موعد </w:t>
      </w:r>
      <w:r w:rsidRPr="00407C2D">
        <w:rPr>
          <w:rFonts w:hint="cs"/>
          <w:b/>
          <w:bCs/>
          <w:rtl/>
          <w:lang w:val="fr-CH" w:eastAsia="ar-SA"/>
        </w:rPr>
        <w:t>أقصاه</w:t>
      </w:r>
      <w:r w:rsidR="00C60F32">
        <w:rPr>
          <w:rFonts w:hint="eastAsia"/>
          <w:b/>
          <w:bCs/>
          <w:rtl/>
          <w:lang w:val="fr-CH" w:eastAsia="ar-SA"/>
        </w:rPr>
        <w:t> </w:t>
      </w:r>
      <w:r w:rsidRPr="00407C2D">
        <w:rPr>
          <w:rFonts w:hint="cs"/>
          <w:b/>
          <w:bCs/>
          <w:rtl/>
          <w:lang w:val="fr-CH" w:eastAsia="ar-SA"/>
        </w:rPr>
        <w:t xml:space="preserve">13 أيلول/سبتمبر 2018. </w:t>
      </w:r>
      <w:r w:rsidR="0007006F">
        <w:rPr>
          <w:rFonts w:hint="cs"/>
          <w:b/>
          <w:bCs/>
          <w:rtl/>
          <w:lang w:val="fr-CH" w:eastAsia="ar-SA"/>
        </w:rPr>
        <w:t>ول</w:t>
      </w:r>
      <w:r w:rsidRPr="00407C2D">
        <w:rPr>
          <w:rFonts w:hint="cs"/>
          <w:b/>
          <w:bCs/>
          <w:rtl/>
          <w:lang w:val="fr-CH" w:eastAsia="ar-SA"/>
        </w:rPr>
        <w:t xml:space="preserve">لدولة الطرف أيضاً أن تختار إجراء تقديم التقارير المبسَّط الذي </w:t>
      </w:r>
      <w:r w:rsidR="0007006F">
        <w:rPr>
          <w:rFonts w:hint="cs"/>
          <w:b/>
          <w:bCs/>
          <w:rtl/>
          <w:lang w:val="fr-CH" w:eastAsia="ar-SA"/>
        </w:rPr>
        <w:t xml:space="preserve">تعد بموجبه </w:t>
      </w:r>
      <w:r w:rsidRPr="00407C2D">
        <w:rPr>
          <w:rFonts w:hint="cs"/>
          <w:b/>
          <w:bCs/>
          <w:rtl/>
          <w:lang w:val="fr-CH" w:eastAsia="ar-SA"/>
        </w:rPr>
        <w:t xml:space="preserve">اللجنة قائمة مسائل تحيلها إلى الدولة الطرف للإجابة </w:t>
      </w:r>
      <w:r w:rsidR="0007006F">
        <w:rPr>
          <w:rFonts w:hint="cs"/>
          <w:b/>
          <w:bCs/>
          <w:rtl/>
          <w:lang w:val="fr-CH" w:eastAsia="ar-SA"/>
        </w:rPr>
        <w:t>عنها</w:t>
      </w:r>
      <w:r w:rsidRPr="00407C2D">
        <w:rPr>
          <w:rFonts w:hint="cs"/>
          <w:b/>
          <w:bCs/>
          <w:rtl/>
          <w:lang w:val="fr-CH" w:eastAsia="ar-SA"/>
        </w:rPr>
        <w:t xml:space="preserve">. </w:t>
      </w:r>
      <w:r w:rsidR="0007006F">
        <w:rPr>
          <w:rFonts w:hint="cs"/>
          <w:b/>
          <w:bCs/>
          <w:rtl/>
          <w:lang w:val="fr-CH" w:eastAsia="ar-SA"/>
        </w:rPr>
        <w:t xml:space="preserve">وتشكل </w:t>
      </w:r>
      <w:r w:rsidRPr="00407C2D">
        <w:rPr>
          <w:rFonts w:hint="cs"/>
          <w:b/>
          <w:bCs/>
          <w:rtl/>
          <w:lang w:val="fr-CH" w:eastAsia="ar-SA"/>
        </w:rPr>
        <w:t xml:space="preserve">ردود الدولة الطرف على قائمة المسائل تقريرها بموجب المادة 73 من الاتفاقية، </w:t>
      </w:r>
      <w:r w:rsidR="0007006F">
        <w:rPr>
          <w:rFonts w:hint="cs"/>
          <w:b/>
          <w:bCs/>
          <w:rtl/>
          <w:lang w:val="fr-CH" w:eastAsia="ar-SA"/>
        </w:rPr>
        <w:t xml:space="preserve">وتعفيها من </w:t>
      </w:r>
      <w:r w:rsidRPr="00407C2D">
        <w:rPr>
          <w:rFonts w:hint="cs"/>
          <w:b/>
          <w:bCs/>
          <w:rtl/>
          <w:lang w:val="fr-CH" w:eastAsia="ar-SA"/>
        </w:rPr>
        <w:t xml:space="preserve">تقديم تقريرها بالأسلوب التقليدي. واعتمدت اللجنة هذا الإجراء الاختياري الجديد في دورتها الرابعة عشرة المعقودة في نيسان/أبريل 2011 (انظر </w:t>
      </w:r>
      <w:r w:rsidRPr="00407C2D">
        <w:rPr>
          <w:b/>
          <w:bCs/>
          <w:lang w:eastAsia="ar-SA"/>
        </w:rPr>
        <w:t>A/66/48</w:t>
      </w:r>
      <w:r w:rsidRPr="00407C2D">
        <w:rPr>
          <w:rFonts w:hint="cs"/>
          <w:b/>
          <w:bCs/>
          <w:rtl/>
          <w:lang w:eastAsia="ar-SA"/>
        </w:rPr>
        <w:t>، الفقرة</w:t>
      </w:r>
      <w:r w:rsidR="00B81F92">
        <w:rPr>
          <w:rFonts w:hint="eastAsia"/>
          <w:b/>
          <w:bCs/>
          <w:rtl/>
          <w:lang w:eastAsia="ar-SA"/>
        </w:rPr>
        <w:t> </w:t>
      </w:r>
      <w:r w:rsidRPr="00407C2D">
        <w:rPr>
          <w:rFonts w:hint="cs"/>
          <w:b/>
          <w:bCs/>
          <w:rtl/>
          <w:lang w:eastAsia="ar-SA"/>
        </w:rPr>
        <w:t>26).</w:t>
      </w:r>
    </w:p>
    <w:p w:rsidR="000503BE" w:rsidRPr="00407C2D" w:rsidRDefault="000503BE" w:rsidP="0007006F">
      <w:pPr>
        <w:pStyle w:val="SingleTxtGA"/>
        <w:rPr>
          <w:rFonts w:hint="cs"/>
          <w:b/>
          <w:bCs/>
          <w:rtl/>
          <w:lang w:eastAsia="ar-SA"/>
        </w:rPr>
      </w:pPr>
      <w:r>
        <w:rPr>
          <w:rFonts w:hint="cs"/>
          <w:rtl/>
          <w:lang w:eastAsia="ar-SA"/>
        </w:rPr>
        <w:t>46-</w:t>
      </w:r>
      <w:r>
        <w:rPr>
          <w:rFonts w:hint="cs"/>
          <w:rtl/>
          <w:lang w:eastAsia="ar-SA"/>
        </w:rPr>
        <w:tab/>
      </w:r>
      <w:r w:rsidRPr="00407C2D">
        <w:rPr>
          <w:rFonts w:hint="cs"/>
          <w:b/>
          <w:bCs/>
          <w:rtl/>
          <w:lang w:eastAsia="ar-SA"/>
        </w:rPr>
        <w:t xml:space="preserve">تطلب اللجنة إلى الدولة الطرف تأمين المشاركة الواسعة لجميع الوزارات والهيئات الحكومية في إعداد </w:t>
      </w:r>
      <w:r w:rsidR="0007006F">
        <w:rPr>
          <w:rFonts w:hint="cs"/>
          <w:b/>
          <w:bCs/>
          <w:rtl/>
          <w:lang w:eastAsia="ar-SA"/>
        </w:rPr>
        <w:t>ال</w:t>
      </w:r>
      <w:r w:rsidRPr="00407C2D">
        <w:rPr>
          <w:rFonts w:hint="cs"/>
          <w:b/>
          <w:bCs/>
          <w:rtl/>
          <w:lang w:eastAsia="ar-SA"/>
        </w:rPr>
        <w:t xml:space="preserve">تقرير المقبل </w:t>
      </w:r>
      <w:r w:rsidR="0007006F">
        <w:rPr>
          <w:rFonts w:hint="cs"/>
          <w:b/>
          <w:bCs/>
          <w:rtl/>
          <w:lang w:eastAsia="ar-SA"/>
        </w:rPr>
        <w:t xml:space="preserve">والتشاور لهذا الغرض مع </w:t>
      </w:r>
      <w:r w:rsidRPr="00407C2D">
        <w:rPr>
          <w:rFonts w:hint="cs"/>
          <w:b/>
          <w:bCs/>
          <w:rtl/>
          <w:lang w:eastAsia="ar-SA"/>
        </w:rPr>
        <w:t>مجموعة متنوِّعة من المنظمات التي تدافع عن حقوق المهاجرين وحقوق الإنسان.</w:t>
      </w:r>
    </w:p>
    <w:p w:rsidR="000503BE" w:rsidRDefault="000503BE" w:rsidP="00020F06">
      <w:pPr>
        <w:pStyle w:val="SingleTxtGA"/>
        <w:rPr>
          <w:rFonts w:hint="cs"/>
          <w:b/>
          <w:bCs/>
          <w:rtl/>
          <w:lang w:eastAsia="ar-SA"/>
        </w:rPr>
      </w:pPr>
      <w:r w:rsidRPr="00562DC2">
        <w:rPr>
          <w:rFonts w:hint="cs"/>
          <w:rtl/>
          <w:lang w:eastAsia="ar-SA"/>
        </w:rPr>
        <w:t>47-</w:t>
      </w:r>
      <w:r w:rsidRPr="00562DC2">
        <w:rPr>
          <w:rFonts w:hint="cs"/>
          <w:rtl/>
          <w:lang w:eastAsia="ar-SA"/>
        </w:rPr>
        <w:tab/>
      </w:r>
      <w:r w:rsidRPr="00407C2D">
        <w:rPr>
          <w:rFonts w:hint="cs"/>
          <w:b/>
          <w:bCs/>
          <w:rtl/>
          <w:lang w:eastAsia="ar-SA"/>
        </w:rPr>
        <w:t>تدعو اللجنة الدولة الطرف إلى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r w:rsidRPr="00407C2D">
        <w:rPr>
          <w:b/>
          <w:bCs/>
          <w:lang w:eastAsia="ar-SA"/>
        </w:rPr>
        <w:t>HRI/GEN/2/Rev.6</w:t>
      </w:r>
      <w:r w:rsidR="00722F08">
        <w:rPr>
          <w:rFonts w:hint="cs"/>
          <w:b/>
          <w:bCs/>
          <w:rtl/>
          <w:lang w:eastAsia="ar-SA"/>
        </w:rPr>
        <w:t xml:space="preserve">). </w:t>
      </w:r>
      <w:r w:rsidRPr="00407C2D">
        <w:rPr>
          <w:rFonts w:hint="cs"/>
          <w:b/>
          <w:bCs/>
          <w:rtl/>
          <w:lang w:eastAsia="ar-SA"/>
        </w:rPr>
        <w:t>وينبغي ألا تتجاوز الوثيقة المتعلِّقة ب</w:t>
      </w:r>
      <w:r w:rsidR="00722F08">
        <w:rPr>
          <w:rFonts w:hint="cs"/>
          <w:b/>
          <w:bCs/>
          <w:rtl/>
          <w:lang w:eastAsia="ar-SA"/>
        </w:rPr>
        <w:t>ال</w:t>
      </w:r>
      <w:r w:rsidRPr="00407C2D">
        <w:rPr>
          <w:rFonts w:hint="cs"/>
          <w:b/>
          <w:bCs/>
          <w:rtl/>
          <w:lang w:eastAsia="ar-SA"/>
        </w:rPr>
        <w:t xml:space="preserve">اتفاقية 40 صفحة، ألا تتجاوز الوثيقة الأساسية الموحدة </w:t>
      </w:r>
      <w:r w:rsidR="00020F06">
        <w:rPr>
          <w:rFonts w:hint="cs"/>
          <w:b/>
          <w:bCs/>
          <w:rtl/>
          <w:lang w:eastAsia="ar-SA"/>
        </w:rPr>
        <w:t xml:space="preserve">المحدثة </w:t>
      </w:r>
      <w:r w:rsidRPr="00407C2D">
        <w:rPr>
          <w:rFonts w:hint="cs"/>
          <w:b/>
          <w:bCs/>
          <w:rtl/>
          <w:lang w:eastAsia="ar-SA"/>
        </w:rPr>
        <w:t>80 صفحة.</w:t>
      </w:r>
    </w:p>
    <w:p w:rsidR="00407C2D" w:rsidRPr="00B67875" w:rsidRDefault="00B67875" w:rsidP="00B67875">
      <w:pPr>
        <w:spacing w:before="120"/>
        <w:jc w:val="center"/>
        <w:rPr>
          <w:rFonts w:hint="cs"/>
          <w:u w:val="single"/>
          <w:rtl/>
          <w:lang w:eastAsia="ar-SA"/>
        </w:rPr>
      </w:pPr>
      <w:r>
        <w:rPr>
          <w:u w:val="single"/>
          <w:rtl/>
          <w:lang w:eastAsia="ar-SA"/>
        </w:rPr>
        <w:tab/>
      </w:r>
      <w:r>
        <w:rPr>
          <w:u w:val="single"/>
          <w:rtl/>
          <w:lang w:eastAsia="ar-SA"/>
        </w:rPr>
        <w:tab/>
      </w:r>
      <w:r>
        <w:rPr>
          <w:u w:val="single"/>
          <w:rtl/>
          <w:lang w:eastAsia="ar-SA"/>
        </w:rPr>
        <w:tab/>
      </w:r>
    </w:p>
    <w:sectPr w:rsidR="00407C2D" w:rsidRPr="00B67875"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F3" w:rsidRPr="00FE6865" w:rsidRDefault="00D512F3" w:rsidP="00FE6865">
      <w:pPr>
        <w:pStyle w:val="Footer"/>
      </w:pPr>
    </w:p>
  </w:endnote>
  <w:endnote w:type="continuationSeparator" w:id="0">
    <w:p w:rsidR="00D512F3" w:rsidRDefault="00D512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74" w:rsidRPr="00281682" w:rsidRDefault="00020374" w:rsidP="00281682">
    <w:pPr>
      <w:pStyle w:val="Footer"/>
      <w:tabs>
        <w:tab w:val="right" w:pos="9598"/>
      </w:tabs>
    </w:pPr>
    <w:r>
      <w:t>GE.13-47392</w:t>
    </w:r>
    <w:r>
      <w:tab/>
    </w:r>
    <w:r w:rsidRPr="00281682">
      <w:rPr>
        <w:b/>
        <w:sz w:val="18"/>
      </w:rPr>
      <w:fldChar w:fldCharType="begin"/>
    </w:r>
    <w:r w:rsidRPr="00281682">
      <w:rPr>
        <w:b/>
        <w:sz w:val="18"/>
      </w:rPr>
      <w:instrText xml:space="preserve"> PAGE  \* MERGEFORMAT </w:instrText>
    </w:r>
    <w:r w:rsidRPr="00281682">
      <w:rPr>
        <w:b/>
        <w:sz w:val="18"/>
      </w:rPr>
      <w:fldChar w:fldCharType="separate"/>
    </w:r>
    <w:r w:rsidR="00B75450">
      <w:rPr>
        <w:b/>
        <w:noProof/>
        <w:sz w:val="18"/>
      </w:rPr>
      <w:t>2</w:t>
    </w:r>
    <w:r w:rsidRPr="0028168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74" w:rsidRPr="00281682" w:rsidRDefault="00020374" w:rsidP="00281682">
    <w:pPr>
      <w:pStyle w:val="Footer"/>
      <w:tabs>
        <w:tab w:val="right" w:pos="9598"/>
      </w:tabs>
      <w:rPr>
        <w:b/>
        <w:sz w:val="18"/>
      </w:rPr>
    </w:pPr>
    <w:r w:rsidRPr="00281682">
      <w:rPr>
        <w:b/>
        <w:sz w:val="18"/>
      </w:rPr>
      <w:fldChar w:fldCharType="begin"/>
    </w:r>
    <w:r w:rsidRPr="00281682">
      <w:rPr>
        <w:b/>
        <w:sz w:val="18"/>
      </w:rPr>
      <w:instrText xml:space="preserve"> PAGE  \* MERGEFORMAT </w:instrText>
    </w:r>
    <w:r w:rsidRPr="00281682">
      <w:rPr>
        <w:b/>
        <w:sz w:val="18"/>
      </w:rPr>
      <w:fldChar w:fldCharType="separate"/>
    </w:r>
    <w:r w:rsidR="00B75450">
      <w:rPr>
        <w:b/>
        <w:noProof/>
        <w:sz w:val="18"/>
      </w:rPr>
      <w:t>9</w:t>
    </w:r>
    <w:r w:rsidRPr="00281682">
      <w:rPr>
        <w:b/>
        <w:sz w:val="18"/>
      </w:rPr>
      <w:fldChar w:fldCharType="end"/>
    </w:r>
    <w:r>
      <w:rPr>
        <w:b/>
        <w:sz w:val="18"/>
      </w:rPr>
      <w:tab/>
    </w:r>
    <w:r>
      <w:t>GE.13-47392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74" w:rsidRDefault="00020374" w:rsidP="00281682">
    <w:pPr>
      <w:pStyle w:val="Footer"/>
      <w:jc w:val="right"/>
    </w:pPr>
    <w:r>
      <w:rPr>
        <w:sz w:val="20"/>
      </w:rPr>
      <w:t>(A)   GE.13-47392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011113    041113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F3" w:rsidRDefault="00D512F3" w:rsidP="00E101A8">
      <w:pPr>
        <w:pStyle w:val="Footer"/>
        <w:bidi/>
        <w:spacing w:after="80" w:line="200" w:lineRule="exact"/>
        <w:ind w:left="680"/>
      </w:pPr>
      <w:r>
        <w:rPr>
          <w:rFonts w:hint="cs"/>
          <w:rtl/>
        </w:rPr>
        <w:t>__________</w:t>
      </w:r>
    </w:p>
  </w:footnote>
  <w:footnote w:type="continuationSeparator" w:id="0">
    <w:p w:rsidR="00D512F3" w:rsidRDefault="00D512F3" w:rsidP="00E101A8">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74" w:rsidRPr="00281682" w:rsidRDefault="00020374" w:rsidP="00281682">
    <w:pPr>
      <w:pStyle w:val="Header"/>
      <w:jc w:val="right"/>
    </w:pPr>
    <w:r w:rsidRPr="00281682">
      <w:t>CMW/C/BFA/CO/1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74" w:rsidRPr="00281682" w:rsidRDefault="00020374" w:rsidP="00281682">
    <w:pPr>
      <w:pStyle w:val="Header"/>
      <w:jc w:val="left"/>
    </w:pPr>
    <w:r w:rsidRPr="00281682">
      <w:t>CMW/C/BFA/CO/1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74" w:rsidRDefault="0002037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54.35pt;margin-top:25.65pt;width:270.45pt;height:97.65pt;z-index:2" o:allowincell="f" filled="f" stroked="f">
          <v:textbox style="mso-next-textbox:#_x0000_s2053" inset="0,0,0,0">
            <w:txbxContent>
              <w:p w:rsidR="00020374" w:rsidRPr="003B303E" w:rsidRDefault="00020374" w:rsidP="00F976C0">
                <w:pPr>
                  <w:spacing w:line="560" w:lineRule="exact"/>
                  <w:rPr>
                    <w:rFonts w:hint="cs"/>
                    <w:sz w:val="52"/>
                    <w:szCs w:val="52"/>
                  </w:rPr>
                </w:pPr>
                <w:r w:rsidRPr="003B303E">
                  <w:rPr>
                    <w:rFonts w:hint="cs"/>
                    <w:b/>
                    <w:bCs/>
                    <w:sz w:val="52"/>
                    <w:szCs w:val="52"/>
                    <w:rtl/>
                  </w:rPr>
                  <w:t>الاتفاقية الدوليـة لحمايـة حقوق جميع العمال المهاجرين وأفراد أسرهم</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3B9F"/>
    <w:rsid w:val="00020374"/>
    <w:rsid w:val="00020F06"/>
    <w:rsid w:val="00040E25"/>
    <w:rsid w:val="00042149"/>
    <w:rsid w:val="000503BE"/>
    <w:rsid w:val="000648EA"/>
    <w:rsid w:val="0007006F"/>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85BEF"/>
    <w:rsid w:val="001A5161"/>
    <w:rsid w:val="001A60BD"/>
    <w:rsid w:val="001C4252"/>
    <w:rsid w:val="001D564D"/>
    <w:rsid w:val="001F2EDF"/>
    <w:rsid w:val="002248DF"/>
    <w:rsid w:val="00232277"/>
    <w:rsid w:val="0023736D"/>
    <w:rsid w:val="00257225"/>
    <w:rsid w:val="00281682"/>
    <w:rsid w:val="00305C56"/>
    <w:rsid w:val="00310160"/>
    <w:rsid w:val="00312995"/>
    <w:rsid w:val="003300B5"/>
    <w:rsid w:val="00341A8C"/>
    <w:rsid w:val="003519E6"/>
    <w:rsid w:val="003B303E"/>
    <w:rsid w:val="003B4356"/>
    <w:rsid w:val="003D3419"/>
    <w:rsid w:val="003F08A8"/>
    <w:rsid w:val="00407C2D"/>
    <w:rsid w:val="004250E3"/>
    <w:rsid w:val="00444EF2"/>
    <w:rsid w:val="004537B4"/>
    <w:rsid w:val="004661FA"/>
    <w:rsid w:val="00472A81"/>
    <w:rsid w:val="004821C5"/>
    <w:rsid w:val="004A0C93"/>
    <w:rsid w:val="004A20A6"/>
    <w:rsid w:val="004B2C92"/>
    <w:rsid w:val="004D6A3A"/>
    <w:rsid w:val="004F4AD7"/>
    <w:rsid w:val="00557CD3"/>
    <w:rsid w:val="00571432"/>
    <w:rsid w:val="005732A2"/>
    <w:rsid w:val="005762A5"/>
    <w:rsid w:val="00590BA3"/>
    <w:rsid w:val="00593399"/>
    <w:rsid w:val="005B46D9"/>
    <w:rsid w:val="005B7AE0"/>
    <w:rsid w:val="005E462D"/>
    <w:rsid w:val="005F146F"/>
    <w:rsid w:val="005F71B6"/>
    <w:rsid w:val="005F7BFD"/>
    <w:rsid w:val="00646090"/>
    <w:rsid w:val="00654786"/>
    <w:rsid w:val="00660FD4"/>
    <w:rsid w:val="00670255"/>
    <w:rsid w:val="006A4425"/>
    <w:rsid w:val="006B00A4"/>
    <w:rsid w:val="006B4669"/>
    <w:rsid w:val="006F6BF8"/>
    <w:rsid w:val="00707BDF"/>
    <w:rsid w:val="00710727"/>
    <w:rsid w:val="00715F45"/>
    <w:rsid w:val="00722F08"/>
    <w:rsid w:val="00731815"/>
    <w:rsid w:val="00731B84"/>
    <w:rsid w:val="00734AE7"/>
    <w:rsid w:val="007722D5"/>
    <w:rsid w:val="0079344E"/>
    <w:rsid w:val="00793821"/>
    <w:rsid w:val="007975E3"/>
    <w:rsid w:val="007E197F"/>
    <w:rsid w:val="007F2C47"/>
    <w:rsid w:val="007F5CCF"/>
    <w:rsid w:val="007F68C4"/>
    <w:rsid w:val="008153DE"/>
    <w:rsid w:val="00852A10"/>
    <w:rsid w:val="00862634"/>
    <w:rsid w:val="00866C59"/>
    <w:rsid w:val="00877306"/>
    <w:rsid w:val="00892043"/>
    <w:rsid w:val="008A528F"/>
    <w:rsid w:val="008A6242"/>
    <w:rsid w:val="008B4BC6"/>
    <w:rsid w:val="008C5B62"/>
    <w:rsid w:val="00901E57"/>
    <w:rsid w:val="009070DF"/>
    <w:rsid w:val="00935F0E"/>
    <w:rsid w:val="0095208F"/>
    <w:rsid w:val="00977B3F"/>
    <w:rsid w:val="009814AE"/>
    <w:rsid w:val="009901D3"/>
    <w:rsid w:val="00996BBE"/>
    <w:rsid w:val="009B2C03"/>
    <w:rsid w:val="009D1DD5"/>
    <w:rsid w:val="009D4073"/>
    <w:rsid w:val="009F722C"/>
    <w:rsid w:val="00A02F98"/>
    <w:rsid w:val="00A21A5C"/>
    <w:rsid w:val="00A26157"/>
    <w:rsid w:val="00A265C3"/>
    <w:rsid w:val="00A43F9A"/>
    <w:rsid w:val="00A52E35"/>
    <w:rsid w:val="00A53F38"/>
    <w:rsid w:val="00A543D4"/>
    <w:rsid w:val="00A61761"/>
    <w:rsid w:val="00AD0014"/>
    <w:rsid w:val="00AD2CB2"/>
    <w:rsid w:val="00AD4CF2"/>
    <w:rsid w:val="00AE0EF1"/>
    <w:rsid w:val="00AE3767"/>
    <w:rsid w:val="00AF0BBA"/>
    <w:rsid w:val="00B03B9F"/>
    <w:rsid w:val="00B30468"/>
    <w:rsid w:val="00B44E31"/>
    <w:rsid w:val="00B67875"/>
    <w:rsid w:val="00B75450"/>
    <w:rsid w:val="00B81F92"/>
    <w:rsid w:val="00BA4F7E"/>
    <w:rsid w:val="00BB2C41"/>
    <w:rsid w:val="00BC55C8"/>
    <w:rsid w:val="00BC5C10"/>
    <w:rsid w:val="00BE2964"/>
    <w:rsid w:val="00C21623"/>
    <w:rsid w:val="00C24FBD"/>
    <w:rsid w:val="00C36E6E"/>
    <w:rsid w:val="00C473BA"/>
    <w:rsid w:val="00C60F32"/>
    <w:rsid w:val="00C611ED"/>
    <w:rsid w:val="00C6490A"/>
    <w:rsid w:val="00C64FE1"/>
    <w:rsid w:val="00C74296"/>
    <w:rsid w:val="00C8345E"/>
    <w:rsid w:val="00CA5F7C"/>
    <w:rsid w:val="00D15598"/>
    <w:rsid w:val="00D367DB"/>
    <w:rsid w:val="00D51067"/>
    <w:rsid w:val="00D512F3"/>
    <w:rsid w:val="00D75657"/>
    <w:rsid w:val="00D960AD"/>
    <w:rsid w:val="00DA0E0E"/>
    <w:rsid w:val="00DA3304"/>
    <w:rsid w:val="00DB0C39"/>
    <w:rsid w:val="00DB35B9"/>
    <w:rsid w:val="00DB7679"/>
    <w:rsid w:val="00DF1702"/>
    <w:rsid w:val="00DF4DD8"/>
    <w:rsid w:val="00DF668E"/>
    <w:rsid w:val="00E04826"/>
    <w:rsid w:val="00E101A8"/>
    <w:rsid w:val="00E14D2B"/>
    <w:rsid w:val="00E20DBA"/>
    <w:rsid w:val="00E30120"/>
    <w:rsid w:val="00E33889"/>
    <w:rsid w:val="00E6524A"/>
    <w:rsid w:val="00E660D6"/>
    <w:rsid w:val="00E771AB"/>
    <w:rsid w:val="00EA796F"/>
    <w:rsid w:val="00EB0139"/>
    <w:rsid w:val="00EB077B"/>
    <w:rsid w:val="00EC50B9"/>
    <w:rsid w:val="00ED26A0"/>
    <w:rsid w:val="00EE58DE"/>
    <w:rsid w:val="00F1727A"/>
    <w:rsid w:val="00F34764"/>
    <w:rsid w:val="00F54E3C"/>
    <w:rsid w:val="00F86E66"/>
    <w:rsid w:val="00F874BD"/>
    <w:rsid w:val="00F976C0"/>
    <w:rsid w:val="00FB1D0B"/>
    <w:rsid w:val="00FC630F"/>
    <w:rsid w:val="00FD13E4"/>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D3419"/>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514076066">
      <w:bodyDiv w:val="1"/>
      <w:marLeft w:val="0"/>
      <w:marRight w:val="0"/>
      <w:marTop w:val="0"/>
      <w:marBottom w:val="0"/>
      <w:divBdr>
        <w:top w:val="none" w:sz="0" w:space="0" w:color="auto"/>
        <w:left w:val="none" w:sz="0" w:space="0" w:color="auto"/>
        <w:bottom w:val="none" w:sz="0" w:space="0" w:color="auto"/>
        <w:right w:val="none" w:sz="0" w:space="0" w:color="auto"/>
      </w:divBdr>
    </w:div>
    <w:div w:id="908535701">
      <w:bodyDiv w:val="1"/>
      <w:marLeft w:val="0"/>
      <w:marRight w:val="0"/>
      <w:marTop w:val="0"/>
      <w:marBottom w:val="0"/>
      <w:divBdr>
        <w:top w:val="none" w:sz="0" w:space="0" w:color="auto"/>
        <w:left w:val="none" w:sz="0" w:space="0" w:color="auto"/>
        <w:bottom w:val="none" w:sz="0" w:space="0" w:color="auto"/>
        <w:right w:val="none" w:sz="0" w:space="0" w:color="auto"/>
      </w:divBdr>
    </w:div>
    <w:div w:id="1535115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4</TotalTime>
  <Pages>11</Pages>
  <Words>3153</Words>
  <Characters>17283</Characters>
  <Application>Microsoft Office Outlook</Application>
  <DocSecurity>4</DocSecurity>
  <Lines>367</Lines>
  <Paragraphs>182</Paragraphs>
  <ScaleCrop>false</ScaleCrop>
  <HeadingPairs>
    <vt:vector size="2" baseType="variant">
      <vt:variant>
        <vt:lpstr>Title</vt:lpstr>
      </vt:variant>
      <vt:variant>
        <vt:i4>1</vt:i4>
      </vt:variant>
    </vt:vector>
  </HeadingPairs>
  <TitlesOfParts>
    <vt:vector size="1" baseType="lpstr">
      <vt:lpstr>CMW/C/BFA/CO/1</vt:lpstr>
    </vt:vector>
  </TitlesOfParts>
  <Company>CSD</Company>
  <LinksUpToDate>false</LinksUpToDate>
  <CharactersWithSpaces>20254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CMW/C/BFA/CO/1</dc:title>
  <dc:subject>BAZZOUNE, FAHMY</dc:subject>
  <dc:creator>SAYED</dc:creator>
  <cp:keywords/>
  <dc:description/>
  <cp:lastModifiedBy>SAYED</cp:lastModifiedBy>
  <cp:revision>2</cp:revision>
  <cp:lastPrinted>2013-11-04T09:46:00Z</cp:lastPrinted>
  <dcterms:created xsi:type="dcterms:W3CDTF">2013-11-04T12:17:00Z</dcterms:created>
  <dcterms:modified xsi:type="dcterms:W3CDTF">2013-11-04T12:17:00Z</dcterms:modified>
</cp:coreProperties>
</file>