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8855BE" w:rsidRPr="004E6131" w:rsidTr="00A51227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260E88" w:rsidRDefault="008855BE" w:rsidP="00A51227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4E6131" w:rsidRDefault="008855BE" w:rsidP="00A51227">
            <w:pPr>
              <w:jc w:val="right"/>
              <w:rPr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lang w:val="en-US"/>
              </w:rPr>
              <w:t>/</w:t>
            </w:r>
            <w:r w:rsidRPr="004E6131">
              <w:rPr>
                <w:lang w:val="en-US"/>
              </w:rPr>
              <w:fldChar w:fldCharType="begin"/>
            </w:r>
            <w:r w:rsidRPr="004E6131">
              <w:rPr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lang w:val="en-US"/>
              </w:rPr>
              <w:fldChar w:fldCharType="separate"/>
            </w:r>
            <w:r w:rsidR="00F721AA">
              <w:rPr>
                <w:lang w:val="en-US"/>
              </w:rPr>
              <w:t>C/SAU/CO/2</w:t>
            </w:r>
            <w:r w:rsidRPr="004E6131">
              <w:rPr>
                <w:lang w:val="en-US"/>
              </w:rPr>
              <w:fldChar w:fldCharType="end"/>
            </w:r>
          </w:p>
        </w:tc>
      </w:tr>
      <w:tr w:rsidR="008855BE" w:rsidRPr="00767C58" w:rsidTr="00A51227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635870" w:rsidRDefault="008855BE" w:rsidP="00A51227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D2B0E0" wp14:editId="01D85BF8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55BE" w:rsidRPr="00F90607" w:rsidRDefault="008855BE" w:rsidP="00A5122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4E6131" w:rsidRDefault="008855BE" w:rsidP="00A51227">
            <w:pPr>
              <w:spacing w:before="240"/>
            </w:pPr>
            <w:r w:rsidRPr="004E6131">
              <w:rPr>
                <w:lang w:val="en-US"/>
              </w:rPr>
              <w:t>Distr</w:t>
            </w:r>
            <w:r w:rsidRPr="004E6131">
              <w:t xml:space="preserve">.: </w:t>
            </w:r>
            <w:bookmarkStart w:id="0" w:name="ПолеСоСписком1"/>
            <w:r w:rsidRPr="004E6131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D63EBD">
              <w:rPr>
                <w:lang w:val="en-US"/>
              </w:rPr>
            </w:r>
            <w:r w:rsidR="00D63EBD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0"/>
          </w:p>
          <w:p w:rsidR="008855BE" w:rsidRPr="004E6131" w:rsidRDefault="008855BE" w:rsidP="00A51227">
            <w:r w:rsidRPr="004E6131">
              <w:rPr>
                <w:lang w:val="en-US"/>
              </w:rPr>
              <w:fldChar w:fldCharType="begin"/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FILLIN</w:instrText>
            </w:r>
            <w:r w:rsidRPr="004E6131">
              <w:instrText xml:space="preserve">  "Введите дату документа" \* </w:instrText>
            </w:r>
            <w:r w:rsidRPr="004E6131">
              <w:rPr>
                <w:lang w:val="en-US"/>
              </w:rPr>
              <w:instrText>MERGEFORMAT</w:instrText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fldChar w:fldCharType="separate"/>
            </w:r>
            <w:r w:rsidR="00F721AA">
              <w:rPr>
                <w:lang w:val="en-US"/>
              </w:rPr>
              <w:t>8 June 2016</w:t>
            </w:r>
            <w:r w:rsidRPr="004E6131">
              <w:rPr>
                <w:lang w:val="en-US"/>
              </w:rPr>
              <w:fldChar w:fldCharType="end"/>
            </w:r>
          </w:p>
          <w:p w:rsidR="008855BE" w:rsidRPr="004E6131" w:rsidRDefault="008855BE" w:rsidP="00A51227">
            <w:r w:rsidRPr="004E6131">
              <w:rPr>
                <w:lang w:val="en-US"/>
              </w:rPr>
              <w:t>Russian</w:t>
            </w:r>
          </w:p>
          <w:p w:rsidR="008855BE" w:rsidRPr="004E6131" w:rsidRDefault="008855BE" w:rsidP="00A51227">
            <w:r w:rsidRPr="004E6131">
              <w:rPr>
                <w:lang w:val="en-US"/>
              </w:rPr>
              <w:t>Original</w:t>
            </w:r>
            <w:r w:rsidRPr="004E6131">
              <w:t xml:space="preserve">: </w:t>
            </w:r>
            <w:bookmarkStart w:id="1" w:name="ПолеСоСписком2"/>
            <w:r w:rsidRPr="004E6131"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D63EBD">
              <w:rPr>
                <w:lang w:val="en-US"/>
              </w:rPr>
            </w:r>
            <w:r w:rsidR="00D63EBD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1"/>
          </w:p>
          <w:p w:rsidR="008855BE" w:rsidRPr="00767C58" w:rsidRDefault="008855BE" w:rsidP="00A51227"/>
        </w:tc>
      </w:tr>
    </w:tbl>
    <w:p w:rsidR="00A51227" w:rsidRPr="00A51227" w:rsidRDefault="00A51227" w:rsidP="00A51227">
      <w:pPr>
        <w:spacing w:before="120"/>
        <w:rPr>
          <w:b/>
          <w:sz w:val="24"/>
          <w:szCs w:val="24"/>
        </w:rPr>
      </w:pPr>
      <w:r w:rsidRPr="00A51227">
        <w:rPr>
          <w:b/>
          <w:sz w:val="24"/>
          <w:szCs w:val="24"/>
        </w:rPr>
        <w:t xml:space="preserve">Комитет против пыток </w:t>
      </w:r>
    </w:p>
    <w:p w:rsidR="00A51227" w:rsidRPr="00A51227" w:rsidRDefault="00A51227" w:rsidP="00A51227">
      <w:pPr>
        <w:pStyle w:val="HChGR"/>
      </w:pPr>
      <w:r w:rsidRPr="00A51227">
        <w:tab/>
      </w:r>
      <w:r w:rsidRPr="00A51227">
        <w:tab/>
        <w:t>Заключительные замечания по второму периодическому докладу Саудовской Аравии</w:t>
      </w:r>
      <w:r w:rsidRPr="00A51227">
        <w:rPr>
          <w:b w:val="0"/>
          <w:bCs/>
          <w:sz w:val="20"/>
        </w:rPr>
        <w:footnoteReference w:customMarkFollows="1" w:id="1"/>
        <w:t>*</w:t>
      </w:r>
      <w:r w:rsidRPr="00A51227">
        <w:rPr>
          <w:bCs/>
        </w:rPr>
        <w:t xml:space="preserve"> </w:t>
      </w:r>
    </w:p>
    <w:p w:rsidR="00A51227" w:rsidRPr="00A51227" w:rsidRDefault="00A51227" w:rsidP="00A51227">
      <w:pPr>
        <w:pStyle w:val="SingleTxtGR"/>
      </w:pPr>
      <w:r w:rsidRPr="00A51227">
        <w:t>1.</w:t>
      </w:r>
      <w:r w:rsidRPr="00A51227">
        <w:tab/>
        <w:t>Комитет против пыток рассмотрел второй периодический доклад Саудо</w:t>
      </w:r>
      <w:r w:rsidRPr="00A51227">
        <w:t>в</w:t>
      </w:r>
      <w:r w:rsidRPr="00A51227">
        <w:t>ской Аравии (</w:t>
      </w:r>
      <w:r w:rsidRPr="00A51227">
        <w:rPr>
          <w:lang w:val="en-GB"/>
        </w:rPr>
        <w:t>CAT</w:t>
      </w:r>
      <w:r w:rsidRPr="00A51227">
        <w:t>/</w:t>
      </w:r>
      <w:r w:rsidRPr="00A51227">
        <w:rPr>
          <w:lang w:val="en-GB"/>
        </w:rPr>
        <w:t>C</w:t>
      </w:r>
      <w:r w:rsidRPr="00A51227">
        <w:t>/</w:t>
      </w:r>
      <w:r w:rsidRPr="00A51227">
        <w:rPr>
          <w:lang w:val="en-GB"/>
        </w:rPr>
        <w:t>SAU</w:t>
      </w:r>
      <w:r w:rsidRPr="00A51227">
        <w:t xml:space="preserve">/2) на своих 1402-м и 1405-м заседаниях (см. </w:t>
      </w:r>
      <w:r w:rsidRPr="00A51227">
        <w:rPr>
          <w:lang w:val="en-GB"/>
        </w:rPr>
        <w:t>CAT</w:t>
      </w:r>
      <w:r w:rsidRPr="00A51227">
        <w:t>/</w:t>
      </w:r>
      <w:r w:rsidRPr="00A51227">
        <w:rPr>
          <w:lang w:val="en-GB"/>
        </w:rPr>
        <w:t>C</w:t>
      </w:r>
      <w:r w:rsidRPr="00A51227">
        <w:t>/</w:t>
      </w:r>
      <w:r w:rsidRPr="00A51227">
        <w:br/>
      </w:r>
      <w:r w:rsidRPr="00A51227">
        <w:rPr>
          <w:lang w:val="en-GB"/>
        </w:rPr>
        <w:t>SR</w:t>
      </w:r>
      <w:r w:rsidRPr="00A51227">
        <w:t>.1402 и 1405), состоявшихся 22 и 25 апреля 2016</w:t>
      </w:r>
      <w:r w:rsidRPr="00A51227">
        <w:rPr>
          <w:lang w:val="en-US"/>
        </w:rPr>
        <w:t> </w:t>
      </w:r>
      <w:r w:rsidRPr="00A51227">
        <w:t>года, и на своем 1423-м з</w:t>
      </w:r>
      <w:r w:rsidRPr="00A51227">
        <w:t>а</w:t>
      </w:r>
      <w:r w:rsidRPr="00A51227">
        <w:t>седании, состоявшемся 10 мая 2016 года, принял следующие заключительные замечания.</w:t>
      </w:r>
    </w:p>
    <w:p w:rsidR="00A51227" w:rsidRPr="00A51227" w:rsidRDefault="00A51227" w:rsidP="00A51227">
      <w:pPr>
        <w:pStyle w:val="H1GR"/>
      </w:pPr>
      <w:r w:rsidRPr="00A51227">
        <w:tab/>
      </w:r>
      <w:r w:rsidRPr="00A51227">
        <w:rPr>
          <w:lang w:val="en-GB"/>
        </w:rPr>
        <w:t>A</w:t>
      </w:r>
      <w:r w:rsidRPr="00A51227">
        <w:t>.</w:t>
      </w:r>
      <w:r w:rsidRPr="00A51227">
        <w:tab/>
        <w:t>Введение</w:t>
      </w:r>
    </w:p>
    <w:p w:rsidR="00A51227" w:rsidRPr="00A51227" w:rsidRDefault="00A51227" w:rsidP="00A51227">
      <w:pPr>
        <w:pStyle w:val="SingleTxtGR"/>
      </w:pPr>
      <w:r w:rsidRPr="00A51227">
        <w:t>2.</w:t>
      </w:r>
      <w:r w:rsidRPr="00A51227">
        <w:tab/>
        <w:t>Комитет приветствует диалог с делегацией государства-участника, сост</w:t>
      </w:r>
      <w:r w:rsidRPr="00A51227">
        <w:t>о</w:t>
      </w:r>
      <w:r w:rsidRPr="00A51227">
        <w:t>явшийся в ходе изучения второго периодического доклада, но выражает сож</w:t>
      </w:r>
      <w:r w:rsidRPr="00A51227">
        <w:t>а</w:t>
      </w:r>
      <w:r w:rsidRPr="00A51227">
        <w:t>ление по поводу того, что он был представлен с более чем десятилетним опо</w:t>
      </w:r>
      <w:r w:rsidRPr="00A51227">
        <w:t>з</w:t>
      </w:r>
      <w:r w:rsidRPr="00A51227">
        <w:t>данием.</w:t>
      </w:r>
    </w:p>
    <w:p w:rsidR="00A51227" w:rsidRPr="00A51227" w:rsidRDefault="00A51227" w:rsidP="00A51227">
      <w:pPr>
        <w:pStyle w:val="H1GR"/>
      </w:pPr>
      <w:r w:rsidRPr="00A51227">
        <w:tab/>
      </w:r>
      <w:r w:rsidRPr="00A51227">
        <w:rPr>
          <w:lang w:val="en-GB"/>
        </w:rPr>
        <w:t>B</w:t>
      </w:r>
      <w:r w:rsidRPr="00A51227">
        <w:t>.</w:t>
      </w:r>
      <w:r w:rsidRPr="00A51227">
        <w:tab/>
        <w:t>Позитивные аспекты</w:t>
      </w:r>
    </w:p>
    <w:p w:rsidR="00A51227" w:rsidRPr="00A51227" w:rsidRDefault="00A51227" w:rsidP="00A51227">
      <w:pPr>
        <w:pStyle w:val="SingleTxtGR"/>
      </w:pPr>
      <w:r w:rsidRPr="00A51227">
        <w:t>3.</w:t>
      </w:r>
      <w:r w:rsidRPr="00A51227">
        <w:tab/>
        <w:t>Комитет приветствует присоединение государства-участника к следу</w:t>
      </w:r>
      <w:r w:rsidRPr="00A51227">
        <w:t>ю</w:t>
      </w:r>
      <w:r w:rsidRPr="00A51227">
        <w:t>щим международным договорам:</w:t>
      </w:r>
    </w:p>
    <w:p w:rsidR="00A51227" w:rsidRPr="00A51227" w:rsidRDefault="00A51227" w:rsidP="00A51227">
      <w:pPr>
        <w:pStyle w:val="SingleTxtGR"/>
      </w:pPr>
      <w:r w:rsidRPr="00D63EBD">
        <w:tab/>
      </w:r>
      <w:r w:rsidRPr="00A51227">
        <w:rPr>
          <w:lang w:val="en-GB"/>
        </w:rPr>
        <w:t>a</w:t>
      </w:r>
      <w:r w:rsidRPr="00A51227">
        <w:t>)</w:t>
      </w:r>
      <w:r w:rsidRPr="00A51227">
        <w:tab/>
        <w:t>Конвенция о правах инвалидов и Факультативный протокол к ней, в</w:t>
      </w:r>
      <w:r>
        <w:rPr>
          <w:lang w:val="en-US"/>
        </w:rPr>
        <w:t> </w:t>
      </w:r>
      <w:r w:rsidRPr="00A51227">
        <w:t>2008</w:t>
      </w:r>
      <w:r w:rsidRPr="00A51227">
        <w:rPr>
          <w:lang w:val="en-US"/>
        </w:rPr>
        <w:t> </w:t>
      </w:r>
      <w:r w:rsidRPr="00A51227">
        <w:t>году;</w:t>
      </w:r>
    </w:p>
    <w:p w:rsidR="00A51227" w:rsidRPr="00A51227" w:rsidRDefault="00A51227" w:rsidP="00A51227">
      <w:pPr>
        <w:pStyle w:val="SingleTxtGR"/>
      </w:pPr>
      <w:r w:rsidRPr="00A51227">
        <w:tab/>
      </w:r>
      <w:r w:rsidRPr="00A51227">
        <w:rPr>
          <w:lang w:val="en-US"/>
        </w:rPr>
        <w:t>b</w:t>
      </w:r>
      <w:r w:rsidRPr="00A51227">
        <w:t>)</w:t>
      </w:r>
      <w:r w:rsidRPr="00A51227">
        <w:tab/>
        <w:t>Факультативный протокол к Конвенции о правах ребенка, каса</w:t>
      </w:r>
      <w:r w:rsidRPr="00A51227">
        <w:t>ю</w:t>
      </w:r>
      <w:r w:rsidRPr="00A51227">
        <w:t>щийся торговли детьми, детской проституции и детской порнографии;</w:t>
      </w:r>
    </w:p>
    <w:p w:rsidR="00A51227" w:rsidRPr="00A51227" w:rsidRDefault="00A51227" w:rsidP="00A51227">
      <w:pPr>
        <w:pStyle w:val="SingleTxtGR"/>
      </w:pPr>
      <w:r w:rsidRPr="00D63EBD">
        <w:tab/>
      </w:r>
      <w:r w:rsidRPr="00A51227">
        <w:rPr>
          <w:lang w:val="en-US"/>
        </w:rPr>
        <w:t>c</w:t>
      </w:r>
      <w:r w:rsidRPr="00A51227">
        <w:t>)</w:t>
      </w:r>
      <w:r w:rsidRPr="00A51227">
        <w:tab/>
        <w:t>Факультативный протокол к Конвенции о правах ребенка, каса</w:t>
      </w:r>
      <w:r w:rsidRPr="00A51227">
        <w:t>ю</w:t>
      </w:r>
      <w:r w:rsidRPr="00A51227">
        <w:t>щийся участия детей в вооруженных конфликтах.</w:t>
      </w:r>
    </w:p>
    <w:p w:rsidR="00A51227" w:rsidRPr="00A51227" w:rsidRDefault="00A51227" w:rsidP="00A51227">
      <w:pPr>
        <w:pStyle w:val="SingleTxtGR"/>
      </w:pPr>
      <w:r w:rsidRPr="00A51227">
        <w:t>4.</w:t>
      </w:r>
      <w:r w:rsidRPr="00A51227">
        <w:tab/>
        <w:t>Комитет приветствует также следующие меры, принятые государством-участником после изучения предыдущего доклада:</w:t>
      </w:r>
    </w:p>
    <w:p w:rsidR="00A51227" w:rsidRPr="00A51227" w:rsidRDefault="00A51227" w:rsidP="00A51227">
      <w:pPr>
        <w:pStyle w:val="SingleTxtGR"/>
      </w:pPr>
      <w:r w:rsidRPr="00A51227">
        <w:lastRenderedPageBreak/>
        <w:tab/>
      </w:r>
      <w:r w:rsidRPr="00A51227">
        <w:rPr>
          <w:lang w:val="en-GB"/>
        </w:rPr>
        <w:t>a</w:t>
      </w:r>
      <w:r w:rsidRPr="00A51227">
        <w:t>)</w:t>
      </w:r>
      <w:r w:rsidRPr="00A51227">
        <w:tab/>
      </w:r>
      <w:proofErr w:type="gramStart"/>
      <w:r w:rsidRPr="00A51227">
        <w:t>приглашение</w:t>
      </w:r>
      <w:proofErr w:type="gramEnd"/>
      <w:r w:rsidRPr="00A51227">
        <w:t xml:space="preserve"> Специального докладчика по вопросу о насилии в о</w:t>
      </w:r>
      <w:r w:rsidRPr="00A51227">
        <w:t>т</w:t>
      </w:r>
      <w:r w:rsidRPr="00A51227">
        <w:t>ношении женщин, его причинах и последствиях, результатом которого стало посещение ею страны в 2008 году</w:t>
      </w:r>
      <w:r w:rsidRPr="00A51227">
        <w:rPr>
          <w:bCs/>
        </w:rPr>
        <w:t>;</w:t>
      </w:r>
    </w:p>
    <w:p w:rsidR="00A51227" w:rsidRPr="00A51227" w:rsidRDefault="00A51227" w:rsidP="00A51227">
      <w:pPr>
        <w:pStyle w:val="SingleTxtGR"/>
      </w:pPr>
      <w:r w:rsidRPr="00D63EBD">
        <w:tab/>
      </w:r>
      <w:r w:rsidRPr="00A51227">
        <w:rPr>
          <w:lang w:val="en-US"/>
        </w:rPr>
        <w:t>b</w:t>
      </w:r>
      <w:r w:rsidRPr="00A51227">
        <w:t>)</w:t>
      </w:r>
      <w:r w:rsidRPr="00A51227">
        <w:tab/>
      </w:r>
      <w:proofErr w:type="gramStart"/>
      <w:r w:rsidRPr="00A51227">
        <w:t>принятие</w:t>
      </w:r>
      <w:proofErr w:type="gramEnd"/>
      <w:r w:rsidRPr="00A51227">
        <w:t xml:space="preserve"> Закона о борьбе с торговлей людьми и учреждение Ком</w:t>
      </w:r>
      <w:r w:rsidRPr="00A51227">
        <w:t>и</w:t>
      </w:r>
      <w:r w:rsidRPr="00A51227">
        <w:t>тета по вопросам торговли людьми;</w:t>
      </w:r>
    </w:p>
    <w:p w:rsidR="00A51227" w:rsidRPr="00A51227" w:rsidRDefault="00A51227" w:rsidP="00A51227">
      <w:pPr>
        <w:pStyle w:val="SingleTxtGR"/>
      </w:pPr>
      <w:r w:rsidRPr="00A51227">
        <w:tab/>
      </w:r>
      <w:r w:rsidRPr="00A51227">
        <w:rPr>
          <w:lang w:val="en-GB"/>
        </w:rPr>
        <w:t>c</w:t>
      </w:r>
      <w:r w:rsidRPr="00A51227">
        <w:t>)</w:t>
      </w:r>
      <w:r w:rsidRPr="00A51227">
        <w:tab/>
      </w:r>
      <w:proofErr w:type="gramStart"/>
      <w:r w:rsidRPr="00A51227">
        <w:t>учреждение</w:t>
      </w:r>
      <w:proofErr w:type="gramEnd"/>
      <w:r w:rsidRPr="00A51227">
        <w:t xml:space="preserve"> Комиссии по правам человека и Национального общ</w:t>
      </w:r>
      <w:r w:rsidRPr="00A51227">
        <w:t>е</w:t>
      </w:r>
      <w:r w:rsidRPr="00A51227">
        <w:t>ства прав человека, чья деятельность включает в себя мониторинг условий в местах содержания под стражей;</w:t>
      </w:r>
    </w:p>
    <w:p w:rsidR="00A51227" w:rsidRPr="00A51227" w:rsidRDefault="00A51227" w:rsidP="00A51227">
      <w:pPr>
        <w:pStyle w:val="SingleTxtGR"/>
      </w:pPr>
      <w:r w:rsidRPr="00D63EBD">
        <w:tab/>
      </w:r>
      <w:r w:rsidRPr="00A51227">
        <w:rPr>
          <w:lang w:val="en-GB"/>
        </w:rPr>
        <w:t>d</w:t>
      </w:r>
      <w:r w:rsidRPr="00A51227">
        <w:t>)</w:t>
      </w:r>
      <w:r w:rsidRPr="00A51227">
        <w:tab/>
      </w:r>
      <w:proofErr w:type="gramStart"/>
      <w:r w:rsidRPr="00A51227">
        <w:t>учреждение</w:t>
      </w:r>
      <w:proofErr w:type="gramEnd"/>
      <w:r w:rsidRPr="00A51227">
        <w:t xml:space="preserve"> Национальной программы обеспечения безопасности семьи;</w:t>
      </w:r>
    </w:p>
    <w:p w:rsidR="00A51227" w:rsidRPr="00A51227" w:rsidRDefault="00A51227" w:rsidP="00A51227">
      <w:pPr>
        <w:pStyle w:val="SingleTxtGR"/>
      </w:pPr>
      <w:r w:rsidRPr="00D63EBD">
        <w:tab/>
      </w:r>
      <w:r w:rsidRPr="00A51227">
        <w:rPr>
          <w:lang w:val="en-GB"/>
        </w:rPr>
        <w:t>e</w:t>
      </w:r>
      <w:r w:rsidRPr="00A51227">
        <w:t>)</w:t>
      </w:r>
      <w:r w:rsidRPr="00A51227">
        <w:tab/>
      </w:r>
      <w:proofErr w:type="gramStart"/>
      <w:r w:rsidRPr="00A51227">
        <w:t>учреждение</w:t>
      </w:r>
      <w:proofErr w:type="gramEnd"/>
      <w:r w:rsidRPr="00A51227">
        <w:t xml:space="preserve"> веб</w:t>
      </w:r>
      <w:r w:rsidR="00F549CB">
        <w:t>-</w:t>
      </w:r>
      <w:r w:rsidRPr="00A51227">
        <w:t xml:space="preserve">сайта </w:t>
      </w:r>
      <w:proofErr w:type="spellStart"/>
      <w:r w:rsidRPr="00A51227">
        <w:rPr>
          <w:lang w:val="en-GB"/>
        </w:rPr>
        <w:t>Nafethah</w:t>
      </w:r>
      <w:proofErr w:type="spellEnd"/>
      <w:r w:rsidRPr="00A51227">
        <w:t xml:space="preserve"> (</w:t>
      </w:r>
      <w:hyperlink r:id="rId10" w:history="1">
        <w:r w:rsidRPr="00A51227">
          <w:rPr>
            <w:rStyle w:val="af"/>
          </w:rPr>
          <w:t>www.nafethah.gov.sa</w:t>
        </w:r>
      </w:hyperlink>
      <w:r w:rsidRPr="00A51227">
        <w:t>), на котором содержится информация о заключенных;</w:t>
      </w:r>
    </w:p>
    <w:p w:rsidR="00A51227" w:rsidRPr="00A51227" w:rsidRDefault="00A51227" w:rsidP="00A51227">
      <w:pPr>
        <w:pStyle w:val="SingleTxtGR"/>
      </w:pPr>
      <w:r w:rsidRPr="00A51227">
        <w:tab/>
      </w:r>
      <w:r w:rsidRPr="00A51227">
        <w:rPr>
          <w:lang w:val="en-GB"/>
        </w:rPr>
        <w:t>f</w:t>
      </w:r>
      <w:r w:rsidRPr="00A51227">
        <w:t>)</w:t>
      </w:r>
      <w:r w:rsidRPr="00A51227">
        <w:tab/>
        <w:t>создание в 2016</w:t>
      </w:r>
      <w:r w:rsidRPr="00A51227">
        <w:rPr>
          <w:lang w:val="en-US"/>
        </w:rPr>
        <w:t> </w:t>
      </w:r>
      <w:r w:rsidRPr="00A51227">
        <w:t xml:space="preserve">году </w:t>
      </w:r>
      <w:r w:rsidR="0095563E">
        <w:t>«</w:t>
      </w:r>
      <w:r w:rsidRPr="00A51227">
        <w:t>горячей линии</w:t>
      </w:r>
      <w:r w:rsidR="0095563E">
        <w:t>»</w:t>
      </w:r>
      <w:r w:rsidRPr="00A51227">
        <w:t xml:space="preserve"> для пострадавших от нас</w:t>
      </w:r>
      <w:r w:rsidRPr="00A51227">
        <w:t>и</w:t>
      </w:r>
      <w:r w:rsidRPr="00A51227">
        <w:t xml:space="preserve">лия в семье, которая может круглосуточно принимать жалобы и передавать их на рассмотрение отделов социальной защиты, и </w:t>
      </w:r>
      <w:r>
        <w:t>создание приютов</w:t>
      </w:r>
      <w:r w:rsidRPr="00A51227">
        <w:t xml:space="preserve"> на всей те</w:t>
      </w:r>
      <w:r w:rsidRPr="00A51227">
        <w:t>р</w:t>
      </w:r>
      <w:r w:rsidRPr="00A51227">
        <w:t>ритории страны.</w:t>
      </w:r>
    </w:p>
    <w:p w:rsidR="00A51227" w:rsidRPr="00A51227" w:rsidRDefault="00A51227" w:rsidP="00A51227">
      <w:pPr>
        <w:pStyle w:val="H1GR"/>
      </w:pPr>
      <w:r w:rsidRPr="00A51227">
        <w:tab/>
      </w:r>
      <w:r w:rsidRPr="00A51227">
        <w:rPr>
          <w:lang w:val="en-GB"/>
        </w:rPr>
        <w:t>C</w:t>
      </w:r>
      <w:r w:rsidRPr="00A51227">
        <w:t>.</w:t>
      </w:r>
      <w:r w:rsidRPr="00A51227">
        <w:tab/>
        <w:t>Основные вопросы</w:t>
      </w:r>
      <w:r>
        <w:t>, вызывающие обеспокоенность, и</w:t>
      </w:r>
      <w:r>
        <w:rPr>
          <w:lang w:val="en-US"/>
        </w:rPr>
        <w:t> </w:t>
      </w:r>
      <w:r w:rsidRPr="00A51227">
        <w:t>рекомендации</w:t>
      </w:r>
    </w:p>
    <w:p w:rsidR="00A51227" w:rsidRPr="00A51227" w:rsidRDefault="00A51227" w:rsidP="00A51227">
      <w:pPr>
        <w:pStyle w:val="H23GR"/>
      </w:pPr>
      <w:r w:rsidRPr="00A51227">
        <w:tab/>
      </w:r>
      <w:r w:rsidRPr="00A51227">
        <w:tab/>
        <w:t>Определение пыток и их квалификация в качестве уголовного преступления</w:t>
      </w:r>
    </w:p>
    <w:p w:rsidR="00A51227" w:rsidRPr="00A51227" w:rsidRDefault="00A51227" w:rsidP="00A51227">
      <w:pPr>
        <w:pStyle w:val="SingleTxtGR"/>
      </w:pPr>
      <w:r w:rsidRPr="00A51227">
        <w:t>5.</w:t>
      </w:r>
      <w:r w:rsidRPr="00A51227">
        <w:tab/>
      </w:r>
      <w:proofErr w:type="gramStart"/>
      <w:r w:rsidRPr="00A51227">
        <w:t xml:space="preserve">Комитет приветствует: </w:t>
      </w:r>
      <w:r w:rsidRPr="00A51227">
        <w:rPr>
          <w:lang w:val="en-GB"/>
        </w:rPr>
        <w:t>a</w:t>
      </w:r>
      <w:r w:rsidRPr="00A51227">
        <w:t xml:space="preserve">) текущую реформу уголовного законодательства (см. </w:t>
      </w:r>
      <w:r w:rsidRPr="00A51227">
        <w:rPr>
          <w:lang w:val="en-GB"/>
        </w:rPr>
        <w:t>CAT</w:t>
      </w:r>
      <w:r w:rsidRPr="00A51227">
        <w:t>/</w:t>
      </w:r>
      <w:r w:rsidRPr="00A51227">
        <w:rPr>
          <w:lang w:val="en-GB"/>
        </w:rPr>
        <w:t>C</w:t>
      </w:r>
      <w:r w:rsidRPr="00A51227">
        <w:t>/</w:t>
      </w:r>
      <w:r w:rsidRPr="00A51227">
        <w:rPr>
          <w:lang w:val="en-GB"/>
        </w:rPr>
        <w:t>SAU</w:t>
      </w:r>
      <w:r w:rsidRPr="00A51227">
        <w:t>/</w:t>
      </w:r>
      <w:r w:rsidRPr="00A51227">
        <w:rPr>
          <w:lang w:val="en-GB"/>
        </w:rPr>
        <w:t>Q</w:t>
      </w:r>
      <w:r w:rsidRPr="00A51227">
        <w:t>/2/</w:t>
      </w:r>
      <w:r w:rsidRPr="00A51227">
        <w:rPr>
          <w:lang w:val="en-GB"/>
        </w:rPr>
        <w:t>Add</w:t>
      </w:r>
      <w:r w:rsidRPr="00A51227">
        <w:t xml:space="preserve">.2, пункт 3); </w:t>
      </w:r>
      <w:r w:rsidRPr="00A51227">
        <w:rPr>
          <w:lang w:val="en-GB"/>
        </w:rPr>
        <w:t>b</w:t>
      </w:r>
      <w:r w:rsidRPr="00A51227">
        <w:t xml:space="preserve">) разъяснение делегации по поводу того, что на положения Конвенции можно ссылаться в любом национальном суде; </w:t>
      </w:r>
      <w:r>
        <w:br/>
      </w:r>
      <w:r w:rsidRPr="00A51227">
        <w:t xml:space="preserve">и </w:t>
      </w:r>
      <w:r w:rsidRPr="00A51227">
        <w:rPr>
          <w:lang w:val="en-GB"/>
        </w:rPr>
        <w:t>c</w:t>
      </w:r>
      <w:r w:rsidRPr="00A51227">
        <w:t>) готовность государства-участника обращаться за правовой помощью в Управление Верховного комиссара Организации Объединенных Наций по пр</w:t>
      </w:r>
      <w:r w:rsidRPr="00A51227">
        <w:t>а</w:t>
      </w:r>
      <w:r w:rsidRPr="00A51227">
        <w:t>вам человека (УВКПЧ).</w:t>
      </w:r>
      <w:proofErr w:type="gramEnd"/>
      <w:r w:rsidRPr="00A51227">
        <w:t xml:space="preserve"> С интересом отмечая, что Уголовно-процессуальным кодексом 2013 года запрещается подвергать лицо, находящееся под арестом, пыткам и унижающему достоинство обращению (там же, пункт 2), Комитет</w:t>
      </w:r>
      <w:r w:rsidR="0095563E">
        <w:t>,</w:t>
      </w:r>
      <w:r w:rsidRPr="00A51227">
        <w:t xml:space="preserve"> тем не менее</w:t>
      </w:r>
      <w:r w:rsidR="0095563E">
        <w:t>,</w:t>
      </w:r>
      <w:r w:rsidRPr="00A51227">
        <w:t xml:space="preserve"> выражает обеспокоенность по поводу того, что в нынешних пр</w:t>
      </w:r>
      <w:r w:rsidRPr="00A51227">
        <w:t>а</w:t>
      </w:r>
      <w:r w:rsidRPr="00A51227">
        <w:t>вовых положениях не содержится определения пыток, требуемого Конвенцией. Кроме того, Комитет выражает сожаление в связи с отсутствием в Основном з</w:t>
      </w:r>
      <w:r w:rsidRPr="00A51227">
        <w:t>а</w:t>
      </w:r>
      <w:r w:rsidRPr="00A51227">
        <w:t>коне государства-участника четких правовых положений, обеспечивающих а</w:t>
      </w:r>
      <w:r w:rsidRPr="00A51227">
        <w:t>б</w:t>
      </w:r>
      <w:r w:rsidRPr="00A51227">
        <w:t>солютный и не допускающий отступлений запрет на пытки и неправомерное обращение (статьи 1, 2 и 4).</w:t>
      </w:r>
    </w:p>
    <w:p w:rsidR="00A51227" w:rsidRPr="00A51227" w:rsidRDefault="00A51227" w:rsidP="00A51227">
      <w:pPr>
        <w:pStyle w:val="SingleTxtGR"/>
        <w:rPr>
          <w:b/>
          <w:bCs/>
        </w:rPr>
      </w:pPr>
      <w:r w:rsidRPr="00A51227">
        <w:t>6.</w:t>
      </w:r>
      <w:r w:rsidRPr="00A51227">
        <w:tab/>
      </w:r>
      <w:r w:rsidRPr="00A51227">
        <w:rPr>
          <w:b/>
          <w:bCs/>
        </w:rPr>
        <w:t>Государству-участнику следует пересмотреть свои национальные з</w:t>
      </w:r>
      <w:r w:rsidRPr="00A51227">
        <w:rPr>
          <w:b/>
          <w:bCs/>
        </w:rPr>
        <w:t>а</w:t>
      </w:r>
      <w:r w:rsidRPr="00A51227">
        <w:rPr>
          <w:b/>
          <w:bCs/>
        </w:rPr>
        <w:t>коны для обеспечения того, чтобы такое преступление, как пытки, как оно определяется в статье 1 Конвенции, было включено в его уголовное зак</w:t>
      </w:r>
      <w:r w:rsidRPr="00A51227">
        <w:rPr>
          <w:b/>
          <w:bCs/>
        </w:rPr>
        <w:t>о</w:t>
      </w:r>
      <w:r w:rsidRPr="00A51227">
        <w:rPr>
          <w:b/>
          <w:bCs/>
        </w:rPr>
        <w:t>нодательство и не допускало никаких отступлений.</w:t>
      </w:r>
    </w:p>
    <w:p w:rsidR="00A51227" w:rsidRPr="00A51227" w:rsidRDefault="00A51227" w:rsidP="0095563E">
      <w:pPr>
        <w:pStyle w:val="H23GR"/>
      </w:pPr>
      <w:r w:rsidRPr="00A51227">
        <w:tab/>
      </w:r>
      <w:r w:rsidRPr="00A51227">
        <w:tab/>
        <w:t>Преследование виновных в пытках в судебном порядке</w:t>
      </w:r>
    </w:p>
    <w:p w:rsidR="00A51227" w:rsidRPr="00A51227" w:rsidRDefault="00A51227" w:rsidP="00A51227">
      <w:pPr>
        <w:pStyle w:val="SingleTxtGR"/>
      </w:pPr>
      <w:r w:rsidRPr="00A51227">
        <w:t>7.</w:t>
      </w:r>
      <w:r w:rsidRPr="00A51227">
        <w:tab/>
        <w:t>Комитет глубоко обеспокоен доведенными до его сведения многочисле</w:t>
      </w:r>
      <w:r w:rsidRPr="00A51227">
        <w:t>н</w:t>
      </w:r>
      <w:r w:rsidRPr="00A51227">
        <w:t>ными сообщениями о том, что пытки и неправомерное обращение являются обычным делом в тюрьмах и центрах содержания под стражей государства-участника, в частности в отделениях департамента уголовных расследований Министерства внутренних дел и в центрах содержания под стражей Аль-Мабахита. Комитет приветствует усилия государства-участника по установке камер замкнутой телевизионной системы наблюдения во всех местах содерж</w:t>
      </w:r>
      <w:r w:rsidRPr="00A51227">
        <w:t>а</w:t>
      </w:r>
      <w:r w:rsidRPr="00A51227">
        <w:t>ния под стражей, однако сожалеет, что государство-участник не представило Комитету запрошенную информацию о том, обеспечивает ли оно оперативное, беспристрастное и эффективное расследование всех утверждений о примен</w:t>
      </w:r>
      <w:r w:rsidRPr="00A51227">
        <w:t>е</w:t>
      </w:r>
      <w:r w:rsidRPr="00A51227">
        <w:t>нии пыток и наказание виновных. Хотя государство-участник представило да</w:t>
      </w:r>
      <w:r w:rsidRPr="00A51227">
        <w:t>н</w:t>
      </w:r>
      <w:r w:rsidRPr="00A51227">
        <w:t>ные, в которых указано, что в период 2002–2011</w:t>
      </w:r>
      <w:r w:rsidRPr="00A51227">
        <w:rPr>
          <w:lang w:val="en-US"/>
        </w:rPr>
        <w:t> </w:t>
      </w:r>
      <w:r w:rsidRPr="00A51227">
        <w:t>годов 1</w:t>
      </w:r>
      <w:r w:rsidRPr="00A51227">
        <w:rPr>
          <w:lang w:val="en-US"/>
        </w:rPr>
        <w:t> </w:t>
      </w:r>
      <w:r w:rsidRPr="00A51227">
        <w:t>533 государственным должностным лицам были вынесены приговоры за злоупотребление властью и сопутствующие правонарушения, оно не дало запрошенных конкретных свед</w:t>
      </w:r>
      <w:r w:rsidRPr="00A51227">
        <w:t>е</w:t>
      </w:r>
      <w:r w:rsidRPr="00A51227">
        <w:t>ний о делах, в которых должностные лица были наказаны за поведение, запр</w:t>
      </w:r>
      <w:r w:rsidRPr="00A51227">
        <w:t>е</w:t>
      </w:r>
      <w:r w:rsidRPr="00A51227">
        <w:t>щенное Конвенцией. Государство-участник также не указало, преследовались ли какие-либо должностные лица за применение пыток и неправомерное обр</w:t>
      </w:r>
      <w:r w:rsidRPr="00A51227">
        <w:t>а</w:t>
      </w:r>
      <w:r w:rsidRPr="00A51227">
        <w:t xml:space="preserve">щение в отношении содержавшегося под стражей юриста-правозащитника </w:t>
      </w:r>
      <w:r w:rsidR="00F64E0F">
        <w:br/>
      </w:r>
      <w:r w:rsidRPr="00A51227">
        <w:t>Валида Абу аль-Хаира в 2014 году. Кроме того, Комитет сожалеет о том, что государство-участник не представило запрошенную информацию о мерах, пр</w:t>
      </w:r>
      <w:r w:rsidRPr="00A51227">
        <w:t>и</w:t>
      </w:r>
      <w:r w:rsidRPr="00A51227">
        <w:t>нятых для обеспечения подотчетности граждан государства-участника, обвин</w:t>
      </w:r>
      <w:r w:rsidRPr="00A51227">
        <w:t>я</w:t>
      </w:r>
      <w:r w:rsidRPr="00A51227">
        <w:t>емых в совершении нарушений Конвенции за пределами его территории, вкл</w:t>
      </w:r>
      <w:r w:rsidRPr="00A51227">
        <w:t>ю</w:t>
      </w:r>
      <w:r w:rsidRPr="00A51227">
        <w:t>чая дипломата, находившегося в командировке в Индии и якобы совершавшего нарушения Конвенции в отношении граждан Непала в 2015 году.</w:t>
      </w:r>
    </w:p>
    <w:p w:rsidR="00A51227" w:rsidRPr="00A51227" w:rsidRDefault="00A51227" w:rsidP="00A51227">
      <w:pPr>
        <w:pStyle w:val="SingleTxtGR"/>
        <w:rPr>
          <w:b/>
        </w:rPr>
      </w:pPr>
      <w:r w:rsidRPr="00A51227">
        <w:t>8.</w:t>
      </w:r>
      <w:r w:rsidRPr="00A51227">
        <w:tab/>
      </w:r>
      <w:proofErr w:type="gramStart"/>
      <w:r w:rsidRPr="00A51227">
        <w:rPr>
          <w:b/>
        </w:rPr>
        <w:t xml:space="preserve">Государству-участнику следует обеспечить, чтобы все случаи пыток и неправомерного обращения и утверждения о них, в том числе те, которые фигурируют в деле </w:t>
      </w:r>
      <w:r w:rsidRPr="00A51227">
        <w:rPr>
          <w:b/>
          <w:bCs/>
        </w:rPr>
        <w:t>Валида Абу аль-Хаира</w:t>
      </w:r>
      <w:r w:rsidRPr="00A51227">
        <w:rPr>
          <w:b/>
        </w:rPr>
        <w:t>, оперативно, эффективно и бе</w:t>
      </w:r>
      <w:r w:rsidRPr="00A51227">
        <w:rPr>
          <w:b/>
        </w:rPr>
        <w:t>с</w:t>
      </w:r>
      <w:r w:rsidRPr="00A51227">
        <w:rPr>
          <w:b/>
        </w:rPr>
        <w:t>пристрастно расследовались и чтобы виновные подвергались преследов</w:t>
      </w:r>
      <w:r w:rsidRPr="00A51227">
        <w:rPr>
          <w:b/>
        </w:rPr>
        <w:t>а</w:t>
      </w:r>
      <w:r w:rsidRPr="00A51227">
        <w:rPr>
          <w:b/>
        </w:rPr>
        <w:t>нию в судебном порядке и наказывались в соответствии с тяжестью своих деяний, согласно требованиям статьи 4 Конвенции.</w:t>
      </w:r>
      <w:proofErr w:type="gramEnd"/>
      <w:r w:rsidRPr="00A51227">
        <w:rPr>
          <w:b/>
        </w:rPr>
        <w:t xml:space="preserve"> Государству-участнику следует продолжать усилия по получению видеозаписей всех допросов и их предоставлению по требованию следователей, задержанных и их адвок</w:t>
      </w:r>
      <w:r w:rsidRPr="00A51227">
        <w:rPr>
          <w:b/>
        </w:rPr>
        <w:t>а</w:t>
      </w:r>
      <w:r w:rsidRPr="00A51227">
        <w:rPr>
          <w:b/>
        </w:rPr>
        <w:t>тов.</w:t>
      </w:r>
    </w:p>
    <w:p w:rsidR="00A51227" w:rsidRPr="00A51227" w:rsidRDefault="00A51227" w:rsidP="00A51227">
      <w:pPr>
        <w:pStyle w:val="SingleTxtGR"/>
        <w:rPr>
          <w:b/>
        </w:rPr>
      </w:pPr>
      <w:r w:rsidRPr="00A51227">
        <w:t>9.</w:t>
      </w:r>
      <w:r w:rsidRPr="00A51227">
        <w:tab/>
      </w:r>
      <w:r w:rsidRPr="00A51227">
        <w:rPr>
          <w:b/>
        </w:rPr>
        <w:t>Государству-участнику следует обеспечить оперативное, беспр</w:t>
      </w:r>
      <w:r w:rsidRPr="00A51227">
        <w:rPr>
          <w:b/>
        </w:rPr>
        <w:t>и</w:t>
      </w:r>
      <w:r w:rsidRPr="00A51227">
        <w:rPr>
          <w:b/>
        </w:rPr>
        <w:t>страстное и эффективное расследование утверждений о том, что один из членов его дипломатического корпуса, находясь в командировке в Индии в 2015 году, совершал нарушения Конвенции, и преследовать в судебном п</w:t>
      </w:r>
      <w:r w:rsidRPr="00A51227">
        <w:rPr>
          <w:b/>
        </w:rPr>
        <w:t>о</w:t>
      </w:r>
      <w:r w:rsidRPr="00A51227">
        <w:rPr>
          <w:b/>
        </w:rPr>
        <w:t>рядке или выдать любых других граждан, обвиняемых в совершении нарушений Конвенции за пределами территории государства-участника.</w:t>
      </w:r>
    </w:p>
    <w:p w:rsidR="00A51227" w:rsidRPr="00A51227" w:rsidRDefault="00A51227" w:rsidP="0095563E">
      <w:pPr>
        <w:pStyle w:val="H23GR"/>
      </w:pPr>
      <w:r w:rsidRPr="00A51227">
        <w:tab/>
      </w:r>
      <w:r w:rsidRPr="00A51227">
        <w:tab/>
        <w:t>Телесные наказания</w:t>
      </w:r>
    </w:p>
    <w:p w:rsidR="00A51227" w:rsidRPr="00A51227" w:rsidRDefault="00A51227" w:rsidP="00A51227">
      <w:pPr>
        <w:pStyle w:val="SingleTxtGR"/>
        <w:rPr>
          <w:bCs/>
        </w:rPr>
      </w:pPr>
      <w:r w:rsidRPr="00A51227">
        <w:t>10.</w:t>
      </w:r>
      <w:r w:rsidRPr="00A51227">
        <w:tab/>
        <w:t>Комитет глубоко обеспокоен тем, что государство-участник продолжает приговаривать частных лиц к телесным наказаниям и применять их</w:t>
      </w:r>
      <w:r w:rsidRPr="00A51227">
        <w:rPr>
          <w:bCs/>
        </w:rPr>
        <w:t>, включая порку/избиение п</w:t>
      </w:r>
      <w:r w:rsidR="0095563E">
        <w:rPr>
          <w:bCs/>
        </w:rPr>
        <w:t>летьми и ампутацию конечностей –</w:t>
      </w:r>
      <w:r w:rsidRPr="00A51227">
        <w:rPr>
          <w:bCs/>
        </w:rPr>
        <w:t xml:space="preserve"> </w:t>
      </w:r>
      <w:r w:rsidR="0095563E">
        <w:rPr>
          <w:bCs/>
        </w:rPr>
        <w:t>деяния</w:t>
      </w:r>
      <w:r w:rsidRPr="00A51227">
        <w:rPr>
          <w:bCs/>
        </w:rPr>
        <w:t>, которые являются нарушением Конвенции. Комитет озабочен тем, что в число санкций, пред</w:t>
      </w:r>
      <w:r w:rsidRPr="00A51227">
        <w:rPr>
          <w:bCs/>
        </w:rPr>
        <w:t>у</w:t>
      </w:r>
      <w:r w:rsidRPr="00A51227">
        <w:rPr>
          <w:bCs/>
        </w:rPr>
        <w:t>смотренных законодательством государства-участника, входят эти и другие формы телесных наказаний, которые, согласно Конвенции, приравниваются к пыткам и жестоким, бесчеловечным или унижающим достоинство видам обр</w:t>
      </w:r>
      <w:r w:rsidRPr="00A51227">
        <w:rPr>
          <w:bCs/>
        </w:rPr>
        <w:t>а</w:t>
      </w:r>
      <w:r w:rsidRPr="00A51227">
        <w:rPr>
          <w:bCs/>
        </w:rPr>
        <w:t xml:space="preserve">щения и наказания. </w:t>
      </w:r>
    </w:p>
    <w:p w:rsidR="00A51227" w:rsidRPr="00A51227" w:rsidRDefault="00A51227" w:rsidP="00A51227">
      <w:pPr>
        <w:pStyle w:val="SingleTxtGR"/>
        <w:rPr>
          <w:b/>
        </w:rPr>
      </w:pPr>
      <w:r w:rsidRPr="00A51227">
        <w:t>11.</w:t>
      </w:r>
      <w:r w:rsidRPr="00A51227">
        <w:tab/>
      </w:r>
      <w:r w:rsidRPr="00A51227">
        <w:rPr>
          <w:b/>
        </w:rPr>
        <w:t>Государству-участнику следует немедленно положить конец такой практике, как порка/избиение плетьми, ампутация конечностей, и любым другим формам телесных наказаний. Кроме того, государству-участнику следует внести поправки в свое законодательство в целях отмены всех п</w:t>
      </w:r>
      <w:r w:rsidRPr="00A51227">
        <w:rPr>
          <w:b/>
        </w:rPr>
        <w:t>о</w:t>
      </w:r>
      <w:r w:rsidRPr="00A51227">
        <w:rPr>
          <w:b/>
        </w:rPr>
        <w:t>добных форм телесных наказаний, так как они приравниваются к пыткам и жестоким, бесчеловечным или унижающим достоинство видам обращ</w:t>
      </w:r>
      <w:r w:rsidRPr="00A51227">
        <w:rPr>
          <w:b/>
        </w:rPr>
        <w:t>е</w:t>
      </w:r>
      <w:r w:rsidRPr="00A51227">
        <w:rPr>
          <w:b/>
        </w:rPr>
        <w:t xml:space="preserve">ния и наказания, нарушающим Конвенцию. </w:t>
      </w:r>
    </w:p>
    <w:p w:rsidR="00A51227" w:rsidRPr="00A51227" w:rsidRDefault="00A51227" w:rsidP="0095563E">
      <w:pPr>
        <w:pStyle w:val="H23GR"/>
      </w:pPr>
      <w:r w:rsidRPr="00A51227">
        <w:tab/>
      </w:r>
      <w:r w:rsidRPr="00A51227">
        <w:tab/>
        <w:t>Избиение плетьми Раифа Бадави</w:t>
      </w:r>
    </w:p>
    <w:p w:rsidR="00A51227" w:rsidRPr="00A51227" w:rsidRDefault="00A51227" w:rsidP="00A51227">
      <w:pPr>
        <w:pStyle w:val="SingleTxtGR"/>
        <w:rPr>
          <w:bCs/>
        </w:rPr>
      </w:pPr>
      <w:r w:rsidRPr="00A51227">
        <w:t>12.</w:t>
      </w:r>
      <w:r w:rsidRPr="00A51227">
        <w:tab/>
        <w:t>Комитет обеспокоен тем, что, несмотря на его письменные и устные просьбы, государство-участник не представило информацию о деле блоггера Раифа Бадави</w:t>
      </w:r>
      <w:r w:rsidRPr="00A51227">
        <w:rPr>
          <w:bCs/>
        </w:rPr>
        <w:t xml:space="preserve">, который был приговорен к избиению плетьми и подвергнут ему, хотя, согласно Конвенции, оно представляет собой пытку. </w:t>
      </w:r>
    </w:p>
    <w:p w:rsidR="00A51227" w:rsidRPr="00A51227" w:rsidRDefault="00A51227" w:rsidP="00A51227">
      <w:pPr>
        <w:pStyle w:val="SingleTxtGR"/>
        <w:rPr>
          <w:b/>
        </w:rPr>
      </w:pPr>
      <w:r w:rsidRPr="00A51227">
        <w:t>13.</w:t>
      </w:r>
      <w:r w:rsidRPr="00A51227">
        <w:tab/>
      </w:r>
      <w:r w:rsidRPr="00A51227">
        <w:rPr>
          <w:b/>
        </w:rPr>
        <w:t>Государству-участнику следует пров</w:t>
      </w:r>
      <w:r w:rsidR="0095563E">
        <w:rPr>
          <w:b/>
        </w:rPr>
        <w:t>ести обзор дела Раифа Бадави, а </w:t>
      </w:r>
      <w:r w:rsidRPr="00A51227">
        <w:rPr>
          <w:b/>
        </w:rPr>
        <w:t>также дел всех лиц, в настоящее время приговоренных к избиению плетьми и к любой другой форме телесных наказаний, с тем чтобы, как минимум, признать незаконным любой аспект их приговоров, предполаг</w:t>
      </w:r>
      <w:r w:rsidRPr="00A51227">
        <w:rPr>
          <w:b/>
        </w:rPr>
        <w:t>а</w:t>
      </w:r>
      <w:r w:rsidRPr="00A51227">
        <w:rPr>
          <w:b/>
        </w:rPr>
        <w:t>ющий телесные наказания. Кроме того, государству-участнику следует обеспечить получение г-ном Бадави оперативной медицинской помощи и возмещения ущерба, включая реабилитацию, как требует статья 14 Ко</w:t>
      </w:r>
      <w:r w:rsidRPr="00A51227">
        <w:rPr>
          <w:b/>
        </w:rPr>
        <w:t>н</w:t>
      </w:r>
      <w:r w:rsidRPr="00A51227">
        <w:rPr>
          <w:b/>
        </w:rPr>
        <w:t>венции. Ему также следует представить Комитету обновленную информ</w:t>
      </w:r>
      <w:r w:rsidRPr="00A51227">
        <w:rPr>
          <w:b/>
        </w:rPr>
        <w:t>а</w:t>
      </w:r>
      <w:r w:rsidRPr="00A51227">
        <w:rPr>
          <w:b/>
        </w:rPr>
        <w:t>цию о его положении.</w:t>
      </w:r>
    </w:p>
    <w:p w:rsidR="00A51227" w:rsidRPr="00A51227" w:rsidRDefault="00A51227" w:rsidP="0095563E">
      <w:pPr>
        <w:pStyle w:val="H23GR"/>
      </w:pPr>
      <w:r w:rsidRPr="00A51227">
        <w:tab/>
      </w:r>
      <w:r w:rsidRPr="00A51227">
        <w:tab/>
        <w:t>Основные правовые гарантии</w:t>
      </w:r>
    </w:p>
    <w:p w:rsidR="00A51227" w:rsidRPr="00A51227" w:rsidRDefault="00A51227" w:rsidP="00A51227">
      <w:pPr>
        <w:pStyle w:val="SingleTxtGR"/>
      </w:pPr>
      <w:r w:rsidRPr="00A51227">
        <w:t>14.</w:t>
      </w:r>
      <w:r w:rsidRPr="00A51227">
        <w:tab/>
        <w:t>Комитет с удовлетворением отмечает, что правовые гарантии против п</w:t>
      </w:r>
      <w:r w:rsidRPr="00A51227">
        <w:t>ы</w:t>
      </w:r>
      <w:r w:rsidRPr="00A51227">
        <w:t xml:space="preserve">ток, такие как право на адвоката и на контакт с любым лицом по собственному выбору, предоставляются всем задержанным в соответствии с Уголовно-процессуальным кодексом 2013 года (см. </w:t>
      </w:r>
      <w:r w:rsidRPr="00A51227">
        <w:rPr>
          <w:lang w:val="en-GB"/>
        </w:rPr>
        <w:t>CAT</w:t>
      </w:r>
      <w:r w:rsidRPr="00A51227">
        <w:t>/</w:t>
      </w:r>
      <w:r w:rsidRPr="00A51227">
        <w:rPr>
          <w:lang w:val="en-GB"/>
        </w:rPr>
        <w:t>C</w:t>
      </w:r>
      <w:r w:rsidRPr="00A51227">
        <w:t>/</w:t>
      </w:r>
      <w:r w:rsidRPr="00A51227">
        <w:rPr>
          <w:lang w:val="en-GB"/>
        </w:rPr>
        <w:t>SAU</w:t>
      </w:r>
      <w:r w:rsidRPr="00A51227">
        <w:t>/</w:t>
      </w:r>
      <w:r w:rsidRPr="00A51227">
        <w:rPr>
          <w:lang w:val="en-GB"/>
        </w:rPr>
        <w:t>Q</w:t>
      </w:r>
      <w:r w:rsidRPr="00A51227">
        <w:t>/2/</w:t>
      </w:r>
      <w:r w:rsidRPr="00A51227">
        <w:rPr>
          <w:lang w:val="en-GB"/>
        </w:rPr>
        <w:t>Add</w:t>
      </w:r>
      <w:r w:rsidR="0095563E">
        <w:t xml:space="preserve">.2, пункт 10). Тем не </w:t>
      </w:r>
      <w:proofErr w:type="gramStart"/>
      <w:r w:rsidR="0095563E">
        <w:t>менее</w:t>
      </w:r>
      <w:proofErr w:type="gramEnd"/>
      <w:r w:rsidRPr="00A51227">
        <w:t xml:space="preserve"> Комитет обеспокоен тем, что в законодательстве государства-участника не указан конкретный временной промежуток, в течение которого должностные лица должны соблюсти право лиц, лишенных свободы, на доступ к адвокату, и тем, что адвокаты должны получить разрешение следователей на доступ к своим клиентам. </w:t>
      </w:r>
      <w:proofErr w:type="gramStart"/>
      <w:r w:rsidRPr="00A51227">
        <w:t>Комитет выражает сожаление по поводу того, что в законодательстве государства-участника не гарантируется право на конфиде</w:t>
      </w:r>
      <w:r w:rsidRPr="00A51227">
        <w:t>н</w:t>
      </w:r>
      <w:r w:rsidRPr="00A51227">
        <w:t>циальное общение между адвокатами и их клиентами и не указывается време</w:t>
      </w:r>
      <w:r w:rsidRPr="00A51227">
        <w:t>н</w:t>
      </w:r>
      <w:r w:rsidRPr="00A51227">
        <w:t>ной промежуток, в течение которого должностные лица должны соблюсти пр</w:t>
      </w:r>
      <w:r w:rsidRPr="00A51227">
        <w:t>а</w:t>
      </w:r>
      <w:r w:rsidRPr="00A51227">
        <w:t>во задержанных лиц на контакт с любым лицом по собственному выбору для информирования о своем аресте, однако в нем предусматривается, что следов</w:t>
      </w:r>
      <w:r w:rsidRPr="00A51227">
        <w:t>а</w:t>
      </w:r>
      <w:r w:rsidRPr="00A51227">
        <w:t>тели имеют полномочия запретить обвиняемым вступать</w:t>
      </w:r>
      <w:proofErr w:type="gramEnd"/>
      <w:r w:rsidRPr="00A51227">
        <w:t xml:space="preserve"> в подобное общение на срок до 60 дней. </w:t>
      </w:r>
      <w:proofErr w:type="gramStart"/>
      <w:r w:rsidRPr="00A51227">
        <w:t>Кроме того, Комитет обеспокоен тем, что законодател</w:t>
      </w:r>
      <w:r w:rsidRPr="00A51227">
        <w:t>ь</w:t>
      </w:r>
      <w:r w:rsidRPr="00A51227">
        <w:t>ством государства-участника разрешается удерживать задержанных лиц без предъявления обвинения на срок до шести месяцев, но от властей не требуется оперативно направить лиц, лишенных свободы, к судье, который имеет полн</w:t>
      </w:r>
      <w:r w:rsidRPr="00A51227">
        <w:t>о</w:t>
      </w:r>
      <w:r w:rsidRPr="00A51227">
        <w:t>мочия распорядиться об их освобождении, а также не гарантируется право лиц, лишенных свободы, на оперативный доступ к независимой медицинской пом</w:t>
      </w:r>
      <w:r w:rsidRPr="00A51227">
        <w:t>о</w:t>
      </w:r>
      <w:r w:rsidRPr="00A51227">
        <w:t>щи.</w:t>
      </w:r>
      <w:proofErr w:type="gramEnd"/>
      <w:r w:rsidRPr="00A51227">
        <w:t xml:space="preserve"> Далее Комитет обеспокоен сообщениями о том, что должностные лица не соблюдают правовые требования, предусматривающие оперативное уведомл</w:t>
      </w:r>
      <w:r w:rsidRPr="00A51227">
        <w:t>е</w:t>
      </w:r>
      <w:r w:rsidRPr="00A51227">
        <w:t>ние лиц, лишенных свободы, о причинах их задержания и получение ими яз</w:t>
      </w:r>
      <w:r w:rsidRPr="00A51227">
        <w:t>ы</w:t>
      </w:r>
      <w:r w:rsidRPr="00A51227">
        <w:t>ковой помощи, такой как письменный и устный перевод. Комитет сожалеет о том, что государство-участник не представило сведений о расследовании утверждений о том, что лицам, лишенным свободы, было отказано в доступе к адвокату, как в деле правозащитника и одного из основателей Саудовской асс</w:t>
      </w:r>
      <w:r w:rsidRPr="00A51227">
        <w:t>о</w:t>
      </w:r>
      <w:r w:rsidRPr="00A51227">
        <w:t>циации в защиту гражданских и политических прав Мохаммада Салиха Аль-Баджади (статья 2).</w:t>
      </w:r>
    </w:p>
    <w:p w:rsidR="00A51227" w:rsidRPr="00A51227" w:rsidRDefault="00A51227" w:rsidP="00A51227">
      <w:pPr>
        <w:pStyle w:val="SingleTxtGR"/>
        <w:rPr>
          <w:b/>
          <w:bCs/>
        </w:rPr>
      </w:pPr>
      <w:r w:rsidRPr="00A51227">
        <w:t>15.</w:t>
      </w:r>
      <w:r w:rsidRPr="00A51227">
        <w:tab/>
      </w:r>
      <w:proofErr w:type="gramStart"/>
      <w:r w:rsidRPr="00A51227">
        <w:rPr>
          <w:b/>
        </w:rPr>
        <w:t>Государству-участнику следует обеспечить в законодательстве и на практике, чтобы все лица, лишенные свободы, могли иметь оперативный доступ к адвокату по собственному выбору, советоваться со своим адвок</w:t>
      </w:r>
      <w:r w:rsidRPr="00A51227">
        <w:rPr>
          <w:b/>
        </w:rPr>
        <w:t>а</w:t>
      </w:r>
      <w:r w:rsidRPr="00A51227">
        <w:rPr>
          <w:b/>
        </w:rPr>
        <w:t>том в условиях конфиденциальности и связаться с членом семьи или др</w:t>
      </w:r>
      <w:r w:rsidRPr="00A51227">
        <w:rPr>
          <w:b/>
        </w:rPr>
        <w:t>у</w:t>
      </w:r>
      <w:r w:rsidRPr="00A51227">
        <w:rPr>
          <w:b/>
        </w:rPr>
        <w:t>гим лицом по собственному выбору для того, чтобы сообщить о своем з</w:t>
      </w:r>
      <w:r w:rsidRPr="00A51227">
        <w:rPr>
          <w:b/>
        </w:rPr>
        <w:t>а</w:t>
      </w:r>
      <w:r w:rsidRPr="00A51227">
        <w:rPr>
          <w:b/>
        </w:rPr>
        <w:t>держании и местонахождении с момента лишения свободы.</w:t>
      </w:r>
      <w:proofErr w:type="gramEnd"/>
      <w:r w:rsidRPr="00A51227">
        <w:rPr>
          <w:b/>
        </w:rPr>
        <w:t xml:space="preserve"> Государству-участнику следует отменить положения Уголовно-процессуального коде</w:t>
      </w:r>
      <w:r w:rsidRPr="00A51227">
        <w:rPr>
          <w:b/>
        </w:rPr>
        <w:t>к</w:t>
      </w:r>
      <w:r w:rsidRPr="00A51227">
        <w:rPr>
          <w:b/>
        </w:rPr>
        <w:t>са, позволяющие следователям ограничивать подобное общение со стороны лиц, лишенных свободы, отслеживать предоставление лицам, лишенным свободы, правовых гарантий против пыток и преследовать в дисципл</w:t>
      </w:r>
      <w:r w:rsidRPr="00A51227">
        <w:rPr>
          <w:b/>
        </w:rPr>
        <w:t>и</w:t>
      </w:r>
      <w:r w:rsidRPr="00A51227">
        <w:rPr>
          <w:b/>
        </w:rPr>
        <w:t>нарном или судебном порядке должностных лиц, не предоставляющих да</w:t>
      </w:r>
      <w:r w:rsidRPr="00A51227">
        <w:rPr>
          <w:b/>
        </w:rPr>
        <w:t>н</w:t>
      </w:r>
      <w:r w:rsidRPr="00A51227">
        <w:rPr>
          <w:b/>
        </w:rPr>
        <w:t xml:space="preserve">ные гарантии задержанным на практике. </w:t>
      </w:r>
      <w:proofErr w:type="gramStart"/>
      <w:r w:rsidRPr="00A51227">
        <w:rPr>
          <w:b/>
        </w:rPr>
        <w:t>Государству-участнику следует также обеспечить информирование задержанных об их правах и осущест</w:t>
      </w:r>
      <w:r w:rsidRPr="00A51227">
        <w:rPr>
          <w:b/>
        </w:rPr>
        <w:t>в</w:t>
      </w:r>
      <w:r w:rsidRPr="00A51227">
        <w:rPr>
          <w:b/>
        </w:rPr>
        <w:t xml:space="preserve">ление ими своего права запрашивать и </w:t>
      </w:r>
      <w:r w:rsidR="0095563E">
        <w:rPr>
          <w:b/>
        </w:rPr>
        <w:t>проходить</w:t>
      </w:r>
      <w:r w:rsidRPr="00A51227">
        <w:rPr>
          <w:b/>
        </w:rPr>
        <w:t xml:space="preserve"> медицинское обследов</w:t>
      </w:r>
      <w:r w:rsidRPr="00A51227">
        <w:rPr>
          <w:b/>
        </w:rPr>
        <w:t>а</w:t>
      </w:r>
      <w:r w:rsidRPr="00A51227">
        <w:rPr>
          <w:b/>
        </w:rPr>
        <w:t>ние независимым врачом, предпочтительно по своему выбору, пользоват</w:t>
      </w:r>
      <w:r w:rsidRPr="00A51227">
        <w:rPr>
          <w:b/>
        </w:rPr>
        <w:t>ь</w:t>
      </w:r>
      <w:r w:rsidRPr="00A51227">
        <w:rPr>
          <w:b/>
        </w:rPr>
        <w:t>ся языковой помощью, такой как письменный и устный перевод, и опер</w:t>
      </w:r>
      <w:r w:rsidRPr="00A51227">
        <w:rPr>
          <w:b/>
        </w:rPr>
        <w:t>а</w:t>
      </w:r>
      <w:r w:rsidRPr="00A51227">
        <w:rPr>
          <w:b/>
        </w:rPr>
        <w:t>тивно направляться в судебный орган, имеющий полномочия при необх</w:t>
      </w:r>
      <w:r w:rsidRPr="00A51227">
        <w:rPr>
          <w:b/>
        </w:rPr>
        <w:t>о</w:t>
      </w:r>
      <w:r w:rsidRPr="00A51227">
        <w:rPr>
          <w:b/>
        </w:rPr>
        <w:t>димости распорядиться об освобождении из-под стражи.</w:t>
      </w:r>
      <w:proofErr w:type="gramEnd"/>
    </w:p>
    <w:p w:rsidR="00A51227" w:rsidRPr="00A51227" w:rsidRDefault="00A51227" w:rsidP="0095563E">
      <w:pPr>
        <w:pStyle w:val="H23GR"/>
      </w:pPr>
      <w:r w:rsidRPr="00A51227">
        <w:tab/>
      </w:r>
      <w:r w:rsidRPr="00A51227">
        <w:tab/>
        <w:t>Закон о противодействии терроризму и Специализированный уголовный суд</w:t>
      </w:r>
    </w:p>
    <w:p w:rsidR="00A51227" w:rsidRPr="00A51227" w:rsidRDefault="00A51227" w:rsidP="00A51227">
      <w:pPr>
        <w:pStyle w:val="SingleTxtGR"/>
      </w:pPr>
      <w:r w:rsidRPr="00A51227">
        <w:t>16.</w:t>
      </w:r>
      <w:r w:rsidRPr="00A51227">
        <w:tab/>
      </w:r>
      <w:proofErr w:type="gramStart"/>
      <w:r w:rsidRPr="00A51227">
        <w:t>Признавая обеспокоенность государства-участника вопросом о защите своего населения от террористических нападений, Комитет, тем не менее, оз</w:t>
      </w:r>
      <w:r w:rsidRPr="00A51227">
        <w:t>а</w:t>
      </w:r>
      <w:r w:rsidRPr="00A51227">
        <w:t>бочен тем, что в Законе об уголовной ответственности за преступления терр</w:t>
      </w:r>
      <w:r w:rsidRPr="00A51227">
        <w:t>о</w:t>
      </w:r>
      <w:r w:rsidRPr="00A51227">
        <w:t>ризма и их финансирование, принятом в 2014 году, содержится чрезвычайно широкое определение терроризма, которое да</w:t>
      </w:r>
      <w:r w:rsidR="0095563E">
        <w:t>е</w:t>
      </w:r>
      <w:r w:rsidRPr="00A51227">
        <w:t>т возможность квалифицировать в качестве уголовных преступлений акты мирного выражения мнений, счита</w:t>
      </w:r>
      <w:r w:rsidRPr="00A51227">
        <w:t>ю</w:t>
      </w:r>
      <w:r w:rsidR="0095563E">
        <w:t>щиеся угрожающими «</w:t>
      </w:r>
      <w:r w:rsidRPr="00A51227">
        <w:t>национальному единству</w:t>
      </w:r>
      <w:r w:rsidR="0095563E">
        <w:t>»</w:t>
      </w:r>
      <w:r w:rsidRPr="00A51227">
        <w:t xml:space="preserve"> или подрывающие </w:t>
      </w:r>
      <w:r w:rsidR="0095563E">
        <w:t>«</w:t>
      </w:r>
      <w:r w:rsidRPr="00A51227">
        <w:t>репут</w:t>
      </w:r>
      <w:r w:rsidRPr="00A51227">
        <w:t>а</w:t>
      </w:r>
      <w:r w:rsidRPr="00A51227">
        <w:t>цию или позицию государства</w:t>
      </w:r>
      <w:proofErr w:type="gramEnd"/>
      <w:r w:rsidR="0095563E">
        <w:t>»</w:t>
      </w:r>
      <w:r w:rsidRPr="00A51227">
        <w:t>. Комитет особенно обеспокоен решениями Сп</w:t>
      </w:r>
      <w:r w:rsidRPr="00A51227">
        <w:t>е</w:t>
      </w:r>
      <w:r w:rsidRPr="00A51227">
        <w:t>циализированного уголовного суда, который, в соответствии с указанным зак</w:t>
      </w:r>
      <w:r w:rsidRPr="00A51227">
        <w:t>о</w:t>
      </w:r>
      <w:r w:rsidRPr="00A51227">
        <w:t>ном, приговорил журналиста Алаа Бринджи и одного из основателей Саудо</w:t>
      </w:r>
      <w:r w:rsidRPr="00A51227">
        <w:t>в</w:t>
      </w:r>
      <w:r w:rsidRPr="00A51227">
        <w:t>ской ассоциации в защиту гражданских и политических прав Абдулкарима аль-Ходера к тюремному заключению. Кроме того, Комитет озабочен тем, что закон позволяет властям задерживать частных лиц на срок до 90 дней без доступа к членам семьи или адвокату, что фактически лишает их ключевых правовых г</w:t>
      </w:r>
      <w:r w:rsidRPr="00A51227">
        <w:t>а</w:t>
      </w:r>
      <w:r w:rsidRPr="00A51227">
        <w:t>рантий против пыток.</w:t>
      </w:r>
    </w:p>
    <w:p w:rsidR="00A51227" w:rsidRPr="00A51227" w:rsidRDefault="00A51227" w:rsidP="00A51227">
      <w:pPr>
        <w:pStyle w:val="SingleTxtGR"/>
      </w:pPr>
      <w:r w:rsidRPr="00A51227">
        <w:t>17.</w:t>
      </w:r>
      <w:r w:rsidRPr="00A51227">
        <w:tab/>
        <w:t>Кроме того, Комитет обеспокоен тем, что Специализированный уголо</w:t>
      </w:r>
      <w:r w:rsidRPr="00A51227">
        <w:t>в</w:t>
      </w:r>
      <w:r w:rsidRPr="00A51227">
        <w:t>ный суд, учрежденный в 2008 году для рассмотрения дел о терроризме, нед</w:t>
      </w:r>
      <w:r w:rsidRPr="00A51227">
        <w:t>о</w:t>
      </w:r>
      <w:r w:rsidRPr="00A51227">
        <w:t xml:space="preserve">статочно независим от Министерства внутренних дел. </w:t>
      </w:r>
      <w:proofErr w:type="gramStart"/>
      <w:r w:rsidRPr="00A51227">
        <w:t>Комитет отмечает пол</w:t>
      </w:r>
      <w:r w:rsidRPr="00A51227">
        <w:t>у</w:t>
      </w:r>
      <w:r w:rsidRPr="00A51227">
        <w:t>ченные сообщения о том, что судьи Суда неоднократно отказывались прин</w:t>
      </w:r>
      <w:r w:rsidRPr="00A51227">
        <w:t>и</w:t>
      </w:r>
      <w:r w:rsidRPr="00A51227">
        <w:t xml:space="preserve">мать меры по утверждениям ответчиков, которым </w:t>
      </w:r>
      <w:r w:rsidR="0095563E">
        <w:t xml:space="preserve">были </w:t>
      </w:r>
      <w:r w:rsidRPr="00A51227">
        <w:t>предъявлены обвинения в терроризме, о том, что в ходе допросов они подвергались пыткам или непр</w:t>
      </w:r>
      <w:r w:rsidRPr="00A51227">
        <w:t>а</w:t>
      </w:r>
      <w:r w:rsidRPr="00A51227">
        <w:t>вомерному обращению в целях получения признательных показаний, в том числе по делам Фаделя аль-Манасефа, Али ан-Нимра, Давуда аль-Мархуна и Абдуллы аз-Захера (статьи 2 и 15).</w:t>
      </w:r>
      <w:proofErr w:type="gramEnd"/>
    </w:p>
    <w:p w:rsidR="00A51227" w:rsidRPr="00A51227" w:rsidRDefault="00A51227" w:rsidP="00A51227">
      <w:pPr>
        <w:pStyle w:val="SingleTxtGR"/>
        <w:rPr>
          <w:b/>
        </w:rPr>
      </w:pPr>
      <w:r w:rsidRPr="00A51227">
        <w:t>18.</w:t>
      </w:r>
      <w:r w:rsidRPr="00A51227">
        <w:tab/>
      </w:r>
      <w:r w:rsidRPr="00A51227">
        <w:rPr>
          <w:b/>
        </w:rPr>
        <w:t xml:space="preserve">Государству-участнику следует: </w:t>
      </w:r>
    </w:p>
    <w:p w:rsidR="00A51227" w:rsidRPr="0095563E" w:rsidRDefault="00A51227" w:rsidP="00A51227">
      <w:pPr>
        <w:pStyle w:val="SingleTxtGR"/>
        <w:rPr>
          <w:b/>
        </w:rPr>
      </w:pPr>
      <w:r w:rsidRPr="00A51227">
        <w:rPr>
          <w:b/>
        </w:rPr>
        <w:tab/>
      </w:r>
      <w:r w:rsidRPr="0095563E">
        <w:rPr>
          <w:b/>
          <w:bCs/>
          <w:lang w:val="en-GB"/>
        </w:rPr>
        <w:t>a</w:t>
      </w:r>
      <w:r w:rsidRPr="0095563E">
        <w:rPr>
          <w:b/>
          <w:bCs/>
        </w:rPr>
        <w:t>)</w:t>
      </w:r>
      <w:r w:rsidRPr="0095563E">
        <w:rPr>
          <w:b/>
        </w:rPr>
        <w:tab/>
        <w:t xml:space="preserve">рассмотреть возможность пересмотра определения терроризма, содержащегося в </w:t>
      </w:r>
      <w:r w:rsidRPr="0095563E">
        <w:rPr>
          <w:b/>
          <w:bCs/>
        </w:rPr>
        <w:t>Законе об уголовной ответственности за преступления терроризма и их финансирование, таким образом, чтобы его положения, касающиеся квалификации деяний в качестве уголовных преступлений, были как можно более узкими и не могли служить основанием для судебн</w:t>
      </w:r>
      <w:r w:rsidRPr="0095563E">
        <w:rPr>
          <w:b/>
          <w:bCs/>
        </w:rPr>
        <w:t>о</w:t>
      </w:r>
      <w:r w:rsidRPr="0095563E">
        <w:rPr>
          <w:b/>
          <w:bCs/>
        </w:rPr>
        <w:t xml:space="preserve">го преследования лиц, участвующих в мирном выражении мнений и </w:t>
      </w:r>
      <w:r w:rsidRPr="0095563E">
        <w:rPr>
          <w:b/>
        </w:rPr>
        <w:t>и</w:t>
      </w:r>
      <w:r w:rsidRPr="0095563E">
        <w:rPr>
          <w:b/>
        </w:rPr>
        <w:t>н</w:t>
      </w:r>
      <w:r w:rsidRPr="0095563E">
        <w:rPr>
          <w:b/>
        </w:rPr>
        <w:t>формационно-пропагандистской деятельности, особенно в защиту прав ч</w:t>
      </w:r>
      <w:r w:rsidRPr="0095563E">
        <w:rPr>
          <w:b/>
        </w:rPr>
        <w:t>е</w:t>
      </w:r>
      <w:r w:rsidRPr="0095563E">
        <w:rPr>
          <w:b/>
        </w:rPr>
        <w:t>ловека;</w:t>
      </w:r>
    </w:p>
    <w:p w:rsidR="0095563E" w:rsidRDefault="0095563E">
      <w:pPr>
        <w:spacing w:line="240" w:lineRule="auto"/>
        <w:rPr>
          <w:b/>
        </w:rPr>
      </w:pPr>
      <w:r>
        <w:rPr>
          <w:b/>
        </w:rPr>
        <w:br w:type="page"/>
      </w:r>
    </w:p>
    <w:p w:rsidR="00A51227" w:rsidRPr="00A51227" w:rsidRDefault="00A51227" w:rsidP="00A51227">
      <w:pPr>
        <w:pStyle w:val="SingleTxtGR"/>
        <w:rPr>
          <w:b/>
        </w:rPr>
      </w:pPr>
      <w:r w:rsidRPr="0095563E">
        <w:rPr>
          <w:b/>
        </w:rPr>
        <w:tab/>
      </w:r>
      <w:r w:rsidRPr="0095563E">
        <w:rPr>
          <w:b/>
          <w:bCs/>
          <w:lang w:val="en-GB"/>
        </w:rPr>
        <w:t>b</w:t>
      </w:r>
      <w:r w:rsidRPr="0095563E">
        <w:rPr>
          <w:b/>
          <w:bCs/>
        </w:rPr>
        <w:t>)</w:t>
      </w:r>
      <w:r w:rsidRPr="0095563E">
        <w:rPr>
          <w:b/>
        </w:rPr>
        <w:tab/>
        <w:t>пересмотреть законодательство таким образом, чтобы оно не способствовало</w:t>
      </w:r>
      <w:r w:rsidRPr="00A51227">
        <w:rPr>
          <w:b/>
        </w:rPr>
        <w:t xml:space="preserve"> практике содержания под стражей без права общения с внешним миром и обеспечивало, чтобы все лица, лишенные свободы, им</w:t>
      </w:r>
      <w:r w:rsidRPr="00A51227">
        <w:rPr>
          <w:b/>
        </w:rPr>
        <w:t>е</w:t>
      </w:r>
      <w:r w:rsidRPr="00A51227">
        <w:rPr>
          <w:b/>
        </w:rPr>
        <w:t>ли право на оперативный доступ к адвокату по собственному выбору и на контакт с членом семьи для информирования его о своем аресте и мест</w:t>
      </w:r>
      <w:r w:rsidRPr="00A51227">
        <w:rPr>
          <w:b/>
        </w:rPr>
        <w:t>о</w:t>
      </w:r>
      <w:r w:rsidRPr="00A51227">
        <w:rPr>
          <w:b/>
        </w:rPr>
        <w:t>нахождении;</w:t>
      </w:r>
    </w:p>
    <w:p w:rsidR="00A51227" w:rsidRPr="0095563E" w:rsidRDefault="00A51227" w:rsidP="00A51227">
      <w:pPr>
        <w:pStyle w:val="SingleTxtGR"/>
        <w:rPr>
          <w:b/>
        </w:rPr>
      </w:pPr>
      <w:r w:rsidRPr="00A51227">
        <w:rPr>
          <w:b/>
        </w:rPr>
        <w:tab/>
      </w:r>
      <w:r w:rsidRPr="0095563E">
        <w:rPr>
          <w:b/>
          <w:bCs/>
          <w:lang w:val="en-GB"/>
        </w:rPr>
        <w:t>c</w:t>
      </w:r>
      <w:r w:rsidRPr="0095563E">
        <w:rPr>
          <w:b/>
          <w:bCs/>
        </w:rPr>
        <w:t>)</w:t>
      </w:r>
      <w:r w:rsidRPr="0095563E">
        <w:rPr>
          <w:b/>
        </w:rPr>
        <w:tab/>
        <w:t xml:space="preserve">укрепить независимость </w:t>
      </w:r>
      <w:r w:rsidRPr="0095563E">
        <w:rPr>
          <w:b/>
          <w:bCs/>
        </w:rPr>
        <w:t>Специализированного уголовного суда</w:t>
      </w:r>
      <w:r w:rsidRPr="0095563E">
        <w:rPr>
          <w:b/>
        </w:rPr>
        <w:t xml:space="preserve"> от Министерства внутренних дел и обеспечить, чтобы судьи были осведо</w:t>
      </w:r>
      <w:r w:rsidRPr="0095563E">
        <w:rPr>
          <w:b/>
        </w:rPr>
        <w:t>м</w:t>
      </w:r>
      <w:r w:rsidRPr="0095563E">
        <w:rPr>
          <w:b/>
        </w:rPr>
        <w:t>лены о своем обязательстве рассматривать утверждения ответчиков о том, что следователи подвергали их пыткам или неправомерному обращению в целях получения признательных показаний, и считать признательные п</w:t>
      </w:r>
      <w:r w:rsidRPr="0095563E">
        <w:rPr>
          <w:b/>
        </w:rPr>
        <w:t>о</w:t>
      </w:r>
      <w:r w:rsidRPr="0095563E">
        <w:rPr>
          <w:b/>
        </w:rPr>
        <w:t>казания, полученные посредством пыток или неправомерного обращения, неприемлемыми в качестве улик за исключением тех случаев, когда подо</w:t>
      </w:r>
      <w:r w:rsidRPr="0095563E">
        <w:rPr>
          <w:b/>
        </w:rPr>
        <w:t>б</w:t>
      </w:r>
      <w:r w:rsidRPr="0095563E">
        <w:rPr>
          <w:b/>
        </w:rPr>
        <w:t>ные признательные показания являются уликами в деле против предпол</w:t>
      </w:r>
      <w:r w:rsidRPr="0095563E">
        <w:rPr>
          <w:b/>
        </w:rPr>
        <w:t>а</w:t>
      </w:r>
      <w:r w:rsidRPr="0095563E">
        <w:rPr>
          <w:b/>
        </w:rPr>
        <w:t>гаемого виновного в применении пыток или неправомерном обращении;</w:t>
      </w:r>
    </w:p>
    <w:p w:rsidR="00A51227" w:rsidRPr="00A51227" w:rsidRDefault="00A51227" w:rsidP="00A51227">
      <w:pPr>
        <w:pStyle w:val="SingleTxtGR"/>
        <w:rPr>
          <w:b/>
        </w:rPr>
      </w:pPr>
      <w:r w:rsidRPr="0095563E">
        <w:rPr>
          <w:b/>
        </w:rPr>
        <w:tab/>
      </w:r>
      <w:r w:rsidRPr="0095563E">
        <w:rPr>
          <w:b/>
          <w:bCs/>
          <w:lang w:val="en-GB"/>
        </w:rPr>
        <w:t>d</w:t>
      </w:r>
      <w:r w:rsidRPr="0095563E">
        <w:rPr>
          <w:b/>
          <w:bCs/>
        </w:rPr>
        <w:t>)</w:t>
      </w:r>
      <w:r w:rsidRPr="0095563E">
        <w:rPr>
          <w:b/>
        </w:rPr>
        <w:tab/>
      </w:r>
      <w:proofErr w:type="gramStart"/>
      <w:r w:rsidRPr="0095563E">
        <w:rPr>
          <w:b/>
        </w:rPr>
        <w:t>провести</w:t>
      </w:r>
      <w:proofErr w:type="gramEnd"/>
      <w:r w:rsidRPr="00A51227">
        <w:rPr>
          <w:b/>
        </w:rPr>
        <w:t xml:space="preserve"> </w:t>
      </w:r>
      <w:r w:rsidR="0095563E">
        <w:rPr>
          <w:b/>
        </w:rPr>
        <w:t>пересмотр</w:t>
      </w:r>
      <w:r w:rsidRPr="00A51227">
        <w:rPr>
          <w:b/>
        </w:rPr>
        <w:t xml:space="preserve"> обвинительных приговоров, вынесенных </w:t>
      </w:r>
      <w:r w:rsidRPr="00A51227">
        <w:rPr>
          <w:b/>
          <w:bCs/>
        </w:rPr>
        <w:t>Алаа Бринджи и Абдулкариму аль-Ходеру, с тем чтобы установить, следует ли освободить их из-под стражи</w:t>
      </w:r>
      <w:r w:rsidRPr="00A51227">
        <w:rPr>
          <w:b/>
        </w:rPr>
        <w:t>.</w:t>
      </w:r>
    </w:p>
    <w:p w:rsidR="00A51227" w:rsidRPr="00A51227" w:rsidRDefault="00A51227" w:rsidP="0095563E">
      <w:pPr>
        <w:pStyle w:val="H23GR"/>
      </w:pPr>
      <w:r w:rsidRPr="00A51227">
        <w:tab/>
      </w:r>
      <w:r w:rsidRPr="00A51227">
        <w:tab/>
        <w:t xml:space="preserve">Репрессии в отношении правозащитников и журналистов, </w:t>
      </w:r>
      <w:r w:rsidR="0095563E">
        <w:br/>
      </w:r>
      <w:r w:rsidRPr="00A51227">
        <w:t>а также их притеснение, запугивание и арест</w:t>
      </w:r>
    </w:p>
    <w:p w:rsidR="00A51227" w:rsidRPr="00A51227" w:rsidRDefault="00A51227" w:rsidP="00A51227">
      <w:pPr>
        <w:pStyle w:val="SingleTxtGR"/>
      </w:pPr>
      <w:r w:rsidRPr="00A51227">
        <w:t>19.</w:t>
      </w:r>
      <w:r w:rsidRPr="00A51227">
        <w:tab/>
      </w:r>
      <w:proofErr w:type="gramStart"/>
      <w:r w:rsidRPr="00A51227">
        <w:t>Комитет чрезвычайно обеспокоен тем, что государство-участник отказ</w:t>
      </w:r>
      <w:r w:rsidRPr="00A51227">
        <w:t>а</w:t>
      </w:r>
      <w:r w:rsidRPr="00A51227">
        <w:t>лось выдать правозащитным организациям разрешения на ведение деятельн</w:t>
      </w:r>
      <w:r w:rsidRPr="00A51227">
        <w:t>о</w:t>
      </w:r>
      <w:r w:rsidRPr="00A51227">
        <w:t xml:space="preserve">сти, что привело к роспуску или приостановлению деятельности нескольких групп, включая Саудовскую ассоциацию в защиту гражданских и политических прав, Центр по правам человека </w:t>
      </w:r>
      <w:r w:rsidR="0095563E">
        <w:t>«</w:t>
      </w:r>
      <w:r w:rsidRPr="00A51227">
        <w:t>Адала</w:t>
      </w:r>
      <w:r w:rsidR="0095563E">
        <w:t>»</w:t>
      </w:r>
      <w:r w:rsidRPr="00A51227">
        <w:t>, Союз за права человека и Организ</w:t>
      </w:r>
      <w:r w:rsidRPr="00A51227">
        <w:t>а</w:t>
      </w:r>
      <w:r w:rsidRPr="00A51227">
        <w:t>цию по наблюдению за правами человека в Саудовской Аравии.</w:t>
      </w:r>
      <w:proofErr w:type="gramEnd"/>
      <w:r w:rsidRPr="00A51227">
        <w:t xml:space="preserve"> </w:t>
      </w:r>
      <w:proofErr w:type="gramStart"/>
      <w:r w:rsidRPr="00A51227">
        <w:t>Кроме того, Комитет чрезвычайно обеспокоен полученными сообщениями о том, что гос</w:t>
      </w:r>
      <w:r w:rsidRPr="00A51227">
        <w:t>у</w:t>
      </w:r>
      <w:r w:rsidRPr="00A51227">
        <w:t>дарство-участник пытается наказать частных лиц, в том числе Абдулкарима аль-Ходера, Валида Абу аль-Хаира, Омара ас-Саида, Абдулазиза аш-Шобайли, Мохаммада Салиха аль-Баджади и Раифа Бадави, сообщающих о предполага</w:t>
      </w:r>
      <w:r w:rsidRPr="00A51227">
        <w:t>е</w:t>
      </w:r>
      <w:r w:rsidRPr="00A51227">
        <w:t>мых нарушениях прав человека, совершаемых его должностными лицами, или возражающих против политики государства на том основании, что она не соо</w:t>
      </w:r>
      <w:r w:rsidRPr="00A51227">
        <w:t>т</w:t>
      </w:r>
      <w:r w:rsidRPr="00A51227">
        <w:t xml:space="preserve">ветствует принципам прав человека (статья 2). </w:t>
      </w:r>
      <w:proofErr w:type="gramEnd"/>
    </w:p>
    <w:p w:rsidR="00A51227" w:rsidRPr="00A51227" w:rsidRDefault="00A51227" w:rsidP="00A51227">
      <w:pPr>
        <w:pStyle w:val="SingleTxtGR"/>
        <w:rPr>
          <w:b/>
        </w:rPr>
      </w:pPr>
      <w:r w:rsidRPr="00A51227">
        <w:t>20.</w:t>
      </w:r>
      <w:r w:rsidRPr="00A51227">
        <w:tab/>
      </w:r>
      <w:r w:rsidRPr="00A51227">
        <w:rPr>
          <w:b/>
          <w:bCs/>
        </w:rPr>
        <w:t>Государству-участнику следует признать легитимность мирной кр</w:t>
      </w:r>
      <w:r w:rsidRPr="00A51227">
        <w:rPr>
          <w:b/>
          <w:bCs/>
        </w:rPr>
        <w:t>и</w:t>
      </w:r>
      <w:r w:rsidRPr="00A51227">
        <w:rPr>
          <w:b/>
          <w:bCs/>
        </w:rPr>
        <w:t xml:space="preserve">тики и информационно-пропагандистской деятельности, касающихся нарушений Конвенции, и рассмотреть возможность проведения </w:t>
      </w:r>
      <w:r w:rsidR="0095563E">
        <w:rPr>
          <w:b/>
          <w:bCs/>
        </w:rPr>
        <w:t>пересмотра</w:t>
      </w:r>
      <w:r w:rsidRPr="00A51227">
        <w:rPr>
          <w:b/>
          <w:bCs/>
        </w:rPr>
        <w:t xml:space="preserve"> дел вышеупомянутых лиц и освобождения любого лица, задержанного и</w:t>
      </w:r>
      <w:r w:rsidRPr="00A51227">
        <w:rPr>
          <w:b/>
          <w:bCs/>
        </w:rPr>
        <w:t>с</w:t>
      </w:r>
      <w:r w:rsidRPr="00A51227">
        <w:rPr>
          <w:b/>
          <w:bCs/>
        </w:rPr>
        <w:t>ключительно за мирную критику или информационно-пропагандистскую деятельность в интересах прав человека</w:t>
      </w:r>
      <w:r w:rsidRPr="00A51227">
        <w:rPr>
          <w:b/>
        </w:rPr>
        <w:t>.</w:t>
      </w:r>
    </w:p>
    <w:p w:rsidR="00A51227" w:rsidRPr="00A51227" w:rsidRDefault="00A51227" w:rsidP="0095563E">
      <w:pPr>
        <w:pStyle w:val="H23GR"/>
      </w:pPr>
      <w:r w:rsidRPr="00A51227">
        <w:tab/>
      </w:r>
      <w:r w:rsidRPr="00A51227">
        <w:tab/>
        <w:t>Независимость судебной системы</w:t>
      </w:r>
    </w:p>
    <w:p w:rsidR="00A51227" w:rsidRPr="00A51227" w:rsidRDefault="00A51227" w:rsidP="00A51227">
      <w:pPr>
        <w:pStyle w:val="SingleTxtGR"/>
        <w:rPr>
          <w:b/>
          <w:bCs/>
        </w:rPr>
      </w:pPr>
      <w:r w:rsidRPr="00A51227">
        <w:t>21.</w:t>
      </w:r>
      <w:r w:rsidRPr="00A51227">
        <w:tab/>
        <w:t>Комитет обеспокоен сообщениями о недостаточной независимости и бе</w:t>
      </w:r>
      <w:r w:rsidRPr="00A51227">
        <w:t>с</w:t>
      </w:r>
      <w:r w:rsidRPr="00A51227">
        <w:t>пристрастности судебной системы, что может помешать полному осуществл</w:t>
      </w:r>
      <w:r w:rsidRPr="00A51227">
        <w:t>е</w:t>
      </w:r>
      <w:r w:rsidRPr="00A51227">
        <w:t>нию прав, закрепл</w:t>
      </w:r>
      <w:r w:rsidR="00B247FC">
        <w:t>е</w:t>
      </w:r>
      <w:r w:rsidRPr="00A51227">
        <w:t>нных в Конвенции. В частности, он озабочен статьей 52 О</w:t>
      </w:r>
      <w:r w:rsidRPr="00A51227">
        <w:t>с</w:t>
      </w:r>
      <w:r w:rsidRPr="00A51227">
        <w:t>новного закона, которая гласит, что судьи должны назначаться на должность и сниматься с нее Королем. Отмечая недавно принятые положения, позволяющие женщинам поступать на юридический факультет и представлять других же</w:t>
      </w:r>
      <w:r w:rsidRPr="00A51227">
        <w:t>н</w:t>
      </w:r>
      <w:r w:rsidRPr="00A51227">
        <w:t>щин в рамках определенных дел, Комитет, тем не менее, выражает сожаление по поводу отсутствия женщин в судебной системе (статьи 2, 12–13 и 16).</w:t>
      </w:r>
    </w:p>
    <w:p w:rsidR="00A51227" w:rsidRPr="00A51227" w:rsidRDefault="00A51227" w:rsidP="00A51227">
      <w:pPr>
        <w:pStyle w:val="SingleTxtGR"/>
        <w:rPr>
          <w:b/>
          <w:bCs/>
        </w:rPr>
      </w:pPr>
      <w:r w:rsidRPr="00A51227">
        <w:t>22.</w:t>
      </w:r>
      <w:r w:rsidRPr="00A51227">
        <w:tab/>
      </w:r>
      <w:r w:rsidRPr="00A51227">
        <w:rPr>
          <w:b/>
          <w:bCs/>
        </w:rPr>
        <w:t xml:space="preserve">Государству-участнику следует обеспечить полностью независимую и беспристрастную судебную систему в соответствии с международными стандартами. В частности, государству-участнику следует реформировать судебную систему, с </w:t>
      </w:r>
      <w:proofErr w:type="gramStart"/>
      <w:r w:rsidRPr="00A51227">
        <w:rPr>
          <w:b/>
          <w:bCs/>
        </w:rPr>
        <w:t>тем</w:t>
      </w:r>
      <w:proofErr w:type="gramEnd"/>
      <w:r w:rsidRPr="00A51227">
        <w:rPr>
          <w:b/>
          <w:bCs/>
        </w:rPr>
        <w:t xml:space="preserve"> чтобы дать ей возможность принимать эффекти</w:t>
      </w:r>
      <w:r w:rsidRPr="00A51227">
        <w:rPr>
          <w:b/>
          <w:bCs/>
        </w:rPr>
        <w:t>в</w:t>
      </w:r>
      <w:r w:rsidRPr="00A51227">
        <w:rPr>
          <w:b/>
          <w:bCs/>
        </w:rPr>
        <w:t>ные меры по решению проблем безнаказанности, возмещения ущерба жертвам и надлежащей судебной процедуры согласно Конвенции. Комитет призывает государство-участник обеспечить, чтобы судебная система в большей степени учитывала гендерный фактор, в том числе посредством гарантирования назначения женщин-судей.</w:t>
      </w:r>
    </w:p>
    <w:p w:rsidR="00A51227" w:rsidRPr="00A51227" w:rsidRDefault="00A51227" w:rsidP="0095563E">
      <w:pPr>
        <w:pStyle w:val="H23GR"/>
      </w:pPr>
      <w:r w:rsidRPr="00A51227">
        <w:rPr>
          <w:bCs/>
        </w:rPr>
        <w:tab/>
      </w:r>
      <w:r w:rsidRPr="00A51227">
        <w:rPr>
          <w:bCs/>
        </w:rPr>
        <w:tab/>
      </w:r>
      <w:r w:rsidRPr="00A51227">
        <w:t>Признательные показания, полученные под давлением</w:t>
      </w:r>
    </w:p>
    <w:p w:rsidR="00A51227" w:rsidRPr="00A51227" w:rsidRDefault="00A51227" w:rsidP="00A51227">
      <w:pPr>
        <w:pStyle w:val="SingleTxtGR"/>
      </w:pPr>
      <w:r w:rsidRPr="00A51227">
        <w:t>23.</w:t>
      </w:r>
      <w:r w:rsidRPr="00A51227">
        <w:tab/>
        <w:t>Комитет обеспокоен тем, что признательные показания, полученные под давлением, являются приемлемыми уликами в судах. Комитет по-прежнему озабочен отсутствием конкретных положений для признания недействительн</w:t>
      </w:r>
      <w:r w:rsidRPr="00A51227">
        <w:t>ы</w:t>
      </w:r>
      <w:r w:rsidRPr="00A51227">
        <w:t>ми признательных показаний, полученных в нарушение Конвенции, включая предполагаемое непроведение расследования утверждений о признательных показаниях, полученных под давлением (статья 15).</w:t>
      </w:r>
    </w:p>
    <w:p w:rsidR="00A51227" w:rsidRPr="00A51227" w:rsidRDefault="00A51227" w:rsidP="00A51227">
      <w:pPr>
        <w:pStyle w:val="SingleTxtGR"/>
        <w:rPr>
          <w:b/>
        </w:rPr>
      </w:pPr>
      <w:r w:rsidRPr="00A51227">
        <w:t>24.</w:t>
      </w:r>
      <w:r w:rsidRPr="00A51227">
        <w:tab/>
      </w:r>
      <w:r w:rsidRPr="00A51227">
        <w:rPr>
          <w:b/>
          <w:bCs/>
        </w:rPr>
        <w:t>Государству-участнику следует принять эффективные меры по обе</w:t>
      </w:r>
      <w:r w:rsidRPr="00A51227">
        <w:rPr>
          <w:b/>
          <w:bCs/>
        </w:rPr>
        <w:t>с</w:t>
      </w:r>
      <w:r w:rsidRPr="00A51227">
        <w:rPr>
          <w:b/>
          <w:bCs/>
        </w:rPr>
        <w:t>печению того, чтобы признательные показания, полученные под давлен</w:t>
      </w:r>
      <w:r w:rsidRPr="00A51227">
        <w:rPr>
          <w:b/>
          <w:bCs/>
        </w:rPr>
        <w:t>и</w:t>
      </w:r>
      <w:r w:rsidRPr="00A51227">
        <w:rPr>
          <w:b/>
          <w:bCs/>
        </w:rPr>
        <w:t>ем</w:t>
      </w:r>
      <w:r w:rsidRPr="00A51227">
        <w:rPr>
          <w:b/>
        </w:rPr>
        <w:t>, считались неприемлемыми в законодательстве и на практике за и</w:t>
      </w:r>
      <w:r w:rsidRPr="00A51227">
        <w:rPr>
          <w:b/>
        </w:rPr>
        <w:t>с</w:t>
      </w:r>
      <w:r w:rsidRPr="00A51227">
        <w:rPr>
          <w:b/>
        </w:rPr>
        <w:t xml:space="preserve">ключением случаев ссылки на них как на улики против лица, обвиняемого в применении пыток. </w:t>
      </w:r>
    </w:p>
    <w:p w:rsidR="00A51227" w:rsidRPr="00A51227" w:rsidRDefault="00A51227" w:rsidP="0095563E">
      <w:pPr>
        <w:pStyle w:val="H23GR"/>
      </w:pPr>
      <w:r w:rsidRPr="00A51227">
        <w:tab/>
      </w:r>
      <w:r w:rsidRPr="00A51227">
        <w:tab/>
        <w:t>Генеральное управление по расследованиям Министерства внутренних дел (Аль-Мабахит)</w:t>
      </w:r>
    </w:p>
    <w:p w:rsidR="00A51227" w:rsidRPr="00A51227" w:rsidRDefault="00A51227" w:rsidP="00A51227">
      <w:pPr>
        <w:pStyle w:val="SingleTxtGR"/>
        <w:rPr>
          <w:bCs/>
        </w:rPr>
      </w:pPr>
      <w:r w:rsidRPr="00A51227">
        <w:t>25.</w:t>
      </w:r>
      <w:r w:rsidRPr="00A51227">
        <w:tab/>
        <w:t>Комитет по-прежнему обеспокоен отсутствием информации об органе, занимающемся мониторингом центров содержания под стражей Аль-Мабахита и времени, проходящего между лишением задержанного свободы и его дост</w:t>
      </w:r>
      <w:r w:rsidRPr="00A51227">
        <w:t>у</w:t>
      </w:r>
      <w:r w:rsidRPr="00A51227">
        <w:t>пом к судье</w:t>
      </w:r>
      <w:r w:rsidRPr="00A51227">
        <w:rPr>
          <w:bCs/>
        </w:rPr>
        <w:t>. Он выражает сожаление по поводу отсутствия данных о ряде с</w:t>
      </w:r>
      <w:r w:rsidRPr="00A51227">
        <w:rPr>
          <w:bCs/>
        </w:rPr>
        <w:t>о</w:t>
      </w:r>
      <w:r w:rsidRPr="00A51227">
        <w:rPr>
          <w:bCs/>
        </w:rPr>
        <w:t xml:space="preserve">трудников </w:t>
      </w:r>
      <w:r w:rsidRPr="00A51227">
        <w:t>Аль-Мабахита, которые преследовались в дисциплинарном или с</w:t>
      </w:r>
      <w:r w:rsidRPr="00A51227">
        <w:t>у</w:t>
      </w:r>
      <w:r w:rsidRPr="00A51227">
        <w:t>дебном порядке за применение пыток или неправомерное обращение либо за непредоставление правовых гарантий против пыток</w:t>
      </w:r>
      <w:r w:rsidRPr="00A51227">
        <w:rPr>
          <w:bCs/>
        </w:rPr>
        <w:t>.</w:t>
      </w:r>
    </w:p>
    <w:p w:rsidR="00A51227" w:rsidRPr="00A51227" w:rsidRDefault="00A51227" w:rsidP="00A51227">
      <w:pPr>
        <w:pStyle w:val="SingleTxtGR"/>
        <w:rPr>
          <w:bCs/>
        </w:rPr>
      </w:pPr>
      <w:r w:rsidRPr="00A51227">
        <w:t>26.</w:t>
      </w:r>
      <w:r w:rsidRPr="00A51227">
        <w:tab/>
        <w:t>Комитет обеспокоен сообщениями о том, что большинство лиц, лише</w:t>
      </w:r>
      <w:r w:rsidRPr="00A51227">
        <w:t>н</w:t>
      </w:r>
      <w:r w:rsidRPr="00A51227">
        <w:t>ных свободы Аль-Мабахитом, содержатся в предварительном заключении в т</w:t>
      </w:r>
      <w:r w:rsidRPr="00A51227">
        <w:t>е</w:t>
      </w:r>
      <w:r w:rsidRPr="00A51227">
        <w:t>чение длительного времени и что их основные правовые гарантии, включая д</w:t>
      </w:r>
      <w:r w:rsidRPr="00A51227">
        <w:t>о</w:t>
      </w:r>
      <w:r w:rsidRPr="00A51227">
        <w:t xml:space="preserve">ступ к адвокату по собственному выбору </w:t>
      </w:r>
      <w:r w:rsidRPr="00A51227">
        <w:rPr>
          <w:bCs/>
        </w:rPr>
        <w:t xml:space="preserve">и к </w:t>
      </w:r>
      <w:r w:rsidRPr="00A51227">
        <w:rPr>
          <w:bCs/>
          <w:lang w:val="en-GB"/>
        </w:rPr>
        <w:t>habeas</w:t>
      </w:r>
      <w:r w:rsidRPr="00A51227">
        <w:rPr>
          <w:bCs/>
        </w:rPr>
        <w:t xml:space="preserve"> </w:t>
      </w:r>
      <w:r w:rsidRPr="00A51227">
        <w:rPr>
          <w:bCs/>
          <w:lang w:val="en-GB"/>
        </w:rPr>
        <w:t>corpus</w:t>
      </w:r>
      <w:r w:rsidRPr="00A51227">
        <w:rPr>
          <w:bCs/>
        </w:rPr>
        <w:t>, нередко нарушаю</w:t>
      </w:r>
      <w:r w:rsidRPr="00A51227">
        <w:rPr>
          <w:bCs/>
        </w:rPr>
        <w:t>т</w:t>
      </w:r>
      <w:r w:rsidRPr="00A51227">
        <w:rPr>
          <w:bCs/>
        </w:rPr>
        <w:t xml:space="preserve">ся. </w:t>
      </w:r>
      <w:proofErr w:type="gramStart"/>
      <w:r w:rsidRPr="00A51227">
        <w:rPr>
          <w:bCs/>
        </w:rPr>
        <w:t>В этой связи Комитет выражает сожаление по поводу того, что государство-участник не ответило на его вопрос о враче Сауде Мухтаре аль-Хашими и о бывшем судье Сулеймане ар-Рашуди, задержание которых, согласно выводам, сделанным Рабочей группой по произвольным задержаниям, является прои</w:t>
      </w:r>
      <w:r w:rsidRPr="00A51227">
        <w:rPr>
          <w:bCs/>
        </w:rPr>
        <w:t>з</w:t>
      </w:r>
      <w:r w:rsidRPr="00A51227">
        <w:rPr>
          <w:bCs/>
        </w:rPr>
        <w:t>вольным с момента ареста в феврале 2007 года (статьи 2, 12–13 и 16).</w:t>
      </w:r>
      <w:proofErr w:type="gramEnd"/>
    </w:p>
    <w:p w:rsidR="00A51227" w:rsidRPr="00A51227" w:rsidRDefault="00A51227" w:rsidP="00A51227">
      <w:pPr>
        <w:pStyle w:val="SingleTxtGR"/>
        <w:rPr>
          <w:b/>
        </w:rPr>
      </w:pPr>
      <w:r w:rsidRPr="00A51227">
        <w:t>27.</w:t>
      </w:r>
      <w:r w:rsidRPr="00A51227">
        <w:tab/>
      </w:r>
      <w:r w:rsidRPr="00A51227">
        <w:rPr>
          <w:b/>
        </w:rPr>
        <w:t>Государству-участнику следует принять следующие меры:</w:t>
      </w:r>
    </w:p>
    <w:p w:rsidR="00A51227" w:rsidRPr="0095563E" w:rsidRDefault="00A51227" w:rsidP="00A51227">
      <w:pPr>
        <w:pStyle w:val="SingleTxtGR"/>
        <w:rPr>
          <w:b/>
        </w:rPr>
      </w:pPr>
      <w:r w:rsidRPr="00A51227">
        <w:rPr>
          <w:b/>
        </w:rPr>
        <w:tab/>
      </w:r>
      <w:r w:rsidRPr="0095563E">
        <w:rPr>
          <w:b/>
          <w:bCs/>
          <w:lang w:val="en-GB"/>
        </w:rPr>
        <w:t>a</w:t>
      </w:r>
      <w:r w:rsidRPr="0095563E">
        <w:rPr>
          <w:b/>
          <w:bCs/>
        </w:rPr>
        <w:t>)</w:t>
      </w:r>
      <w:r w:rsidRPr="0095563E">
        <w:rPr>
          <w:b/>
        </w:rPr>
        <w:tab/>
      </w:r>
      <w:proofErr w:type="gramStart"/>
      <w:r w:rsidRPr="0095563E">
        <w:rPr>
          <w:b/>
        </w:rPr>
        <w:t>представить</w:t>
      </w:r>
      <w:proofErr w:type="gramEnd"/>
      <w:r w:rsidRPr="0095563E">
        <w:rPr>
          <w:b/>
        </w:rPr>
        <w:t xml:space="preserve"> подробные данные о числе лиц, задержанных с</w:t>
      </w:r>
      <w:r w:rsidRPr="0095563E">
        <w:rPr>
          <w:b/>
        </w:rPr>
        <w:t>о</w:t>
      </w:r>
      <w:r w:rsidRPr="0095563E">
        <w:rPr>
          <w:b/>
        </w:rPr>
        <w:t>трудниками Аль-Мабахита, их местонахождении и времени, истекшем до того момента, как они предстали перед судом;</w:t>
      </w:r>
    </w:p>
    <w:p w:rsidR="00A51227" w:rsidRPr="0095563E" w:rsidRDefault="00A51227" w:rsidP="00A51227">
      <w:pPr>
        <w:pStyle w:val="SingleTxtGR"/>
        <w:rPr>
          <w:b/>
        </w:rPr>
      </w:pPr>
      <w:r w:rsidRPr="0095563E">
        <w:rPr>
          <w:b/>
        </w:rPr>
        <w:tab/>
      </w:r>
      <w:r w:rsidRPr="0095563E">
        <w:rPr>
          <w:b/>
          <w:bCs/>
          <w:lang w:val="en-GB"/>
        </w:rPr>
        <w:t>b</w:t>
      </w:r>
      <w:r w:rsidRPr="0095563E">
        <w:rPr>
          <w:b/>
          <w:bCs/>
        </w:rPr>
        <w:t>)</w:t>
      </w:r>
      <w:r w:rsidRPr="0095563E">
        <w:rPr>
          <w:b/>
        </w:rPr>
        <w:tab/>
      </w:r>
      <w:proofErr w:type="gramStart"/>
      <w:r w:rsidRPr="0095563E">
        <w:rPr>
          <w:b/>
        </w:rPr>
        <w:t>обеспечить</w:t>
      </w:r>
      <w:proofErr w:type="gramEnd"/>
      <w:r w:rsidRPr="0095563E">
        <w:rPr>
          <w:b/>
        </w:rPr>
        <w:t>, чтобы независимому органу были даны полном</w:t>
      </w:r>
      <w:r w:rsidRPr="0095563E">
        <w:rPr>
          <w:b/>
        </w:rPr>
        <w:t>о</w:t>
      </w:r>
      <w:r w:rsidRPr="0095563E">
        <w:rPr>
          <w:b/>
        </w:rPr>
        <w:t xml:space="preserve">чия на </w:t>
      </w:r>
      <w:r w:rsidRPr="0095563E">
        <w:rPr>
          <w:b/>
          <w:bCs/>
        </w:rPr>
        <w:t>мониторинг всех центров содержания под стражей Аль-Мабахита</w:t>
      </w:r>
      <w:r w:rsidRPr="0095563E">
        <w:rPr>
          <w:b/>
        </w:rPr>
        <w:t>;</w:t>
      </w:r>
    </w:p>
    <w:p w:rsidR="0095563E" w:rsidRDefault="0095563E">
      <w:pPr>
        <w:spacing w:line="240" w:lineRule="auto"/>
        <w:rPr>
          <w:b/>
        </w:rPr>
      </w:pPr>
      <w:r>
        <w:rPr>
          <w:b/>
        </w:rPr>
        <w:br w:type="page"/>
      </w:r>
    </w:p>
    <w:p w:rsidR="00A51227" w:rsidRPr="00A51227" w:rsidRDefault="00A51227" w:rsidP="00A51227">
      <w:pPr>
        <w:pStyle w:val="SingleTxtGR"/>
        <w:rPr>
          <w:b/>
        </w:rPr>
      </w:pPr>
      <w:r w:rsidRPr="0095563E">
        <w:rPr>
          <w:b/>
        </w:rPr>
        <w:tab/>
      </w:r>
      <w:r w:rsidRPr="0095563E">
        <w:rPr>
          <w:b/>
          <w:bCs/>
          <w:lang w:val="en-GB"/>
        </w:rPr>
        <w:t>c</w:t>
      </w:r>
      <w:r w:rsidRPr="0095563E">
        <w:rPr>
          <w:b/>
          <w:bCs/>
        </w:rPr>
        <w:t>)</w:t>
      </w:r>
      <w:r w:rsidRPr="0095563E">
        <w:rPr>
          <w:b/>
        </w:rPr>
        <w:tab/>
      </w:r>
      <w:proofErr w:type="gramStart"/>
      <w:r w:rsidRPr="0095563E">
        <w:rPr>
          <w:b/>
        </w:rPr>
        <w:t>немедленно</w:t>
      </w:r>
      <w:proofErr w:type="gramEnd"/>
      <w:r w:rsidRPr="0095563E">
        <w:rPr>
          <w:b/>
        </w:rPr>
        <w:t xml:space="preserve"> положить конец произвольному задержанию Сауда Мухтара аль-Хашими</w:t>
      </w:r>
      <w:r w:rsidRPr="00A51227">
        <w:rPr>
          <w:b/>
        </w:rPr>
        <w:t xml:space="preserve"> и Сулеймана ар-Рашуди</w:t>
      </w:r>
      <w:r w:rsidRPr="00A51227">
        <w:rPr>
          <w:b/>
          <w:bCs/>
        </w:rPr>
        <w:t xml:space="preserve"> и представить обновленную информацию о расследованиях утверждений о том, что им отказано в д</w:t>
      </w:r>
      <w:r w:rsidRPr="00A51227">
        <w:rPr>
          <w:b/>
          <w:bCs/>
        </w:rPr>
        <w:t>о</w:t>
      </w:r>
      <w:r w:rsidRPr="00A51227">
        <w:rPr>
          <w:b/>
          <w:bCs/>
        </w:rPr>
        <w:t>с</w:t>
      </w:r>
      <w:r w:rsidR="0095563E">
        <w:rPr>
          <w:b/>
          <w:bCs/>
        </w:rPr>
        <w:t xml:space="preserve">тупе к адвокату и в посещениях членами </w:t>
      </w:r>
      <w:r w:rsidRPr="00A51227">
        <w:rPr>
          <w:b/>
          <w:bCs/>
        </w:rPr>
        <w:t>семьи</w:t>
      </w:r>
      <w:r w:rsidRPr="00A51227">
        <w:rPr>
          <w:b/>
        </w:rPr>
        <w:t>.</w:t>
      </w:r>
    </w:p>
    <w:p w:rsidR="00A51227" w:rsidRPr="00A51227" w:rsidRDefault="00A51227" w:rsidP="0095563E">
      <w:pPr>
        <w:pStyle w:val="H23GR"/>
      </w:pPr>
      <w:r w:rsidRPr="00A51227">
        <w:tab/>
      </w:r>
      <w:r w:rsidRPr="00A51227">
        <w:tab/>
        <w:t>Комиссия по поощрению нравственности и предотвращению пороков</w:t>
      </w:r>
    </w:p>
    <w:p w:rsidR="00A51227" w:rsidRPr="00A51227" w:rsidRDefault="00A51227" w:rsidP="00A51227">
      <w:pPr>
        <w:pStyle w:val="SingleTxtGR"/>
        <w:rPr>
          <w:bCs/>
        </w:rPr>
      </w:pPr>
      <w:r w:rsidRPr="00A51227">
        <w:t>28.</w:t>
      </w:r>
      <w:r w:rsidRPr="00A51227">
        <w:tab/>
        <w:t xml:space="preserve">Отмечая, что члены </w:t>
      </w:r>
      <w:r w:rsidRPr="00A51227">
        <w:rPr>
          <w:bCs/>
        </w:rPr>
        <w:t>Комиссии по поощрению нравственности и предо</w:t>
      </w:r>
      <w:r w:rsidRPr="00A51227">
        <w:rPr>
          <w:bCs/>
        </w:rPr>
        <w:t>т</w:t>
      </w:r>
      <w:r w:rsidRPr="00A51227">
        <w:rPr>
          <w:bCs/>
        </w:rPr>
        <w:t>вращению пороков подвергаются судебному надзору</w:t>
      </w:r>
      <w:r w:rsidR="0095563E">
        <w:rPr>
          <w:bCs/>
        </w:rPr>
        <w:t xml:space="preserve"> и контролю</w:t>
      </w:r>
      <w:r w:rsidRPr="00A51227">
        <w:rPr>
          <w:bCs/>
        </w:rPr>
        <w:t xml:space="preserve"> со стороны Управления по расследованиям и уголовному преследованию (см. </w:t>
      </w:r>
      <w:r w:rsidRPr="00A51227">
        <w:rPr>
          <w:bCs/>
          <w:lang w:val="en-GB"/>
        </w:rPr>
        <w:t>CAT</w:t>
      </w:r>
      <w:r w:rsidRPr="00A51227">
        <w:rPr>
          <w:bCs/>
        </w:rPr>
        <w:t>/</w:t>
      </w:r>
      <w:r w:rsidRPr="00A51227">
        <w:rPr>
          <w:bCs/>
          <w:lang w:val="en-GB"/>
        </w:rPr>
        <w:t>C</w:t>
      </w:r>
      <w:r w:rsidRPr="00A51227">
        <w:rPr>
          <w:bCs/>
        </w:rPr>
        <w:t>/</w:t>
      </w:r>
      <w:r w:rsidR="0095563E">
        <w:rPr>
          <w:bCs/>
        </w:rPr>
        <w:br/>
      </w:r>
      <w:r w:rsidRPr="00A51227">
        <w:rPr>
          <w:bCs/>
          <w:lang w:val="en-GB"/>
        </w:rPr>
        <w:t>SAU</w:t>
      </w:r>
      <w:r w:rsidRPr="00A51227">
        <w:rPr>
          <w:bCs/>
        </w:rPr>
        <w:t>/2</w:t>
      </w:r>
      <w:r w:rsidRPr="00A51227">
        <w:t>, пункты 173–174</w:t>
      </w:r>
      <w:r w:rsidRPr="00A51227">
        <w:rPr>
          <w:bCs/>
        </w:rPr>
        <w:t xml:space="preserve">), </w:t>
      </w:r>
      <w:proofErr w:type="gramStart"/>
      <w:r w:rsidRPr="00A51227">
        <w:rPr>
          <w:bCs/>
        </w:rPr>
        <w:t>и</w:t>
      </w:r>
      <w:proofErr w:type="gramEnd"/>
      <w:r w:rsidRPr="00A51227">
        <w:rPr>
          <w:bCs/>
        </w:rPr>
        <w:t xml:space="preserve"> приветствуя устное заявление делегации о том, что принят новый устав об организации Комиссии, направленный на дальнейшее сужение ее юрисдикции, Комитет, тем не менее, по-прежнему обеспокоен:</w:t>
      </w:r>
    </w:p>
    <w:p w:rsidR="00A51227" w:rsidRPr="00A51227" w:rsidRDefault="00A51227" w:rsidP="00A51227">
      <w:pPr>
        <w:pStyle w:val="SingleTxtGR"/>
      </w:pPr>
      <w:r w:rsidRPr="00A51227">
        <w:rPr>
          <w:bCs/>
        </w:rPr>
        <w:tab/>
      </w:r>
      <w:r w:rsidRPr="00A51227">
        <w:rPr>
          <w:bCs/>
          <w:lang w:val="en-GB"/>
        </w:rPr>
        <w:t>a</w:t>
      </w:r>
      <w:r w:rsidRPr="00A51227">
        <w:rPr>
          <w:bCs/>
        </w:rPr>
        <w:t>)</w:t>
      </w:r>
      <w:r w:rsidRPr="00A51227">
        <w:rPr>
          <w:bCs/>
        </w:rPr>
        <w:tab/>
      </w:r>
      <w:proofErr w:type="gramStart"/>
      <w:r w:rsidRPr="00A51227">
        <w:rPr>
          <w:bCs/>
        </w:rPr>
        <w:t>тем</w:t>
      </w:r>
      <w:proofErr w:type="gramEnd"/>
      <w:r w:rsidRPr="00A51227">
        <w:rPr>
          <w:bCs/>
        </w:rPr>
        <w:t xml:space="preserve"> фактом, что текст нового устава Комиссии не был представлен Комитету, поскольку это ограничивает его возможность убедиться в том, что </w:t>
      </w:r>
      <w:r w:rsidRPr="00A51227">
        <w:t>Комиссия имеет ясную и четкую юрисдикцию и подлежит контролю со стороны обычного судебного органа;</w:t>
      </w:r>
    </w:p>
    <w:p w:rsidR="00A51227" w:rsidRPr="00A51227" w:rsidRDefault="00A51227" w:rsidP="00A51227">
      <w:pPr>
        <w:pStyle w:val="SingleTxtGR"/>
        <w:rPr>
          <w:bCs/>
        </w:rPr>
      </w:pPr>
      <w:r w:rsidRPr="00A51227">
        <w:rPr>
          <w:bCs/>
        </w:rPr>
        <w:tab/>
      </w:r>
      <w:r w:rsidRPr="00A51227">
        <w:rPr>
          <w:bCs/>
          <w:lang w:val="en-GB"/>
        </w:rPr>
        <w:t>b</w:t>
      </w:r>
      <w:r w:rsidRPr="00A51227">
        <w:rPr>
          <w:bCs/>
        </w:rPr>
        <w:t>)</w:t>
      </w:r>
      <w:r w:rsidRPr="00A51227">
        <w:rPr>
          <w:bCs/>
        </w:rPr>
        <w:tab/>
      </w:r>
      <w:proofErr w:type="gramStart"/>
      <w:r w:rsidRPr="00A51227">
        <w:rPr>
          <w:bCs/>
        </w:rPr>
        <w:t>отсутствием</w:t>
      </w:r>
      <w:proofErr w:type="gramEnd"/>
      <w:r w:rsidRPr="00A51227">
        <w:rPr>
          <w:bCs/>
        </w:rPr>
        <w:t xml:space="preserve"> конкретных данных о числе арестов, жалоб на прим</w:t>
      </w:r>
      <w:r w:rsidRPr="00A51227">
        <w:rPr>
          <w:bCs/>
        </w:rPr>
        <w:t>е</w:t>
      </w:r>
      <w:r w:rsidRPr="00A51227">
        <w:rPr>
          <w:bCs/>
        </w:rPr>
        <w:t>нение пыток либо неправомерное обращение или о любых расследованиях, с</w:t>
      </w:r>
      <w:r w:rsidRPr="00A51227">
        <w:rPr>
          <w:bCs/>
        </w:rPr>
        <w:t>у</w:t>
      </w:r>
      <w:r w:rsidRPr="00A51227">
        <w:rPr>
          <w:bCs/>
        </w:rPr>
        <w:t>дебных преследованиях, приговорах и санкциях в отношении членов Комиссии, демонстрировавших поведение, нарушающее Конвенцию;</w:t>
      </w:r>
    </w:p>
    <w:p w:rsidR="00A51227" w:rsidRPr="00A51227" w:rsidRDefault="00A51227" w:rsidP="00A51227">
      <w:pPr>
        <w:pStyle w:val="SingleTxtGR"/>
      </w:pPr>
      <w:r w:rsidRPr="00A51227">
        <w:rPr>
          <w:bCs/>
        </w:rPr>
        <w:tab/>
      </w:r>
      <w:r w:rsidRPr="00A51227">
        <w:rPr>
          <w:bCs/>
          <w:lang w:val="en-GB"/>
        </w:rPr>
        <w:t>c</w:t>
      </w:r>
      <w:r w:rsidRPr="00A51227">
        <w:rPr>
          <w:bCs/>
        </w:rPr>
        <w:t>)</w:t>
      </w:r>
      <w:r w:rsidRPr="00A51227">
        <w:rPr>
          <w:bCs/>
        </w:rPr>
        <w:tab/>
      </w:r>
      <w:proofErr w:type="gramStart"/>
      <w:r w:rsidRPr="00A51227">
        <w:rPr>
          <w:bCs/>
        </w:rPr>
        <w:t>сообщениями</w:t>
      </w:r>
      <w:proofErr w:type="gramEnd"/>
      <w:r w:rsidRPr="00A51227">
        <w:rPr>
          <w:bCs/>
        </w:rPr>
        <w:t>, указывающими на то, что жалобы на применение пыток и неправомерное обращение со стороны членов Комиссии редко рассл</w:t>
      </w:r>
      <w:r w:rsidRPr="00A51227">
        <w:rPr>
          <w:bCs/>
        </w:rPr>
        <w:t>е</w:t>
      </w:r>
      <w:r w:rsidRPr="00A51227">
        <w:rPr>
          <w:bCs/>
        </w:rPr>
        <w:t>дуются, что создает атмосферу безнаказанности;</w:t>
      </w:r>
      <w:r w:rsidRPr="00A51227">
        <w:rPr>
          <w:bCs/>
          <w:vertAlign w:val="superscript"/>
        </w:rPr>
        <w:t xml:space="preserve"> </w:t>
      </w:r>
    </w:p>
    <w:p w:rsidR="00A51227" w:rsidRPr="00A51227" w:rsidRDefault="00A51227" w:rsidP="00A51227">
      <w:pPr>
        <w:pStyle w:val="SingleTxtGR"/>
      </w:pPr>
      <w:r w:rsidRPr="00A51227">
        <w:rPr>
          <w:bCs/>
        </w:rPr>
        <w:tab/>
      </w:r>
      <w:r w:rsidRPr="00A51227">
        <w:rPr>
          <w:bCs/>
          <w:lang w:val="en-GB"/>
        </w:rPr>
        <w:t>d</w:t>
      </w:r>
      <w:r w:rsidRPr="00A51227">
        <w:rPr>
          <w:bCs/>
        </w:rPr>
        <w:t>)</w:t>
      </w:r>
      <w:r w:rsidRPr="00A51227">
        <w:rPr>
          <w:bCs/>
        </w:rPr>
        <w:tab/>
        <w:t>отсутствием информации о каких-либо расследованиях утвержд</w:t>
      </w:r>
      <w:r w:rsidRPr="00A51227">
        <w:rPr>
          <w:bCs/>
        </w:rPr>
        <w:t>е</w:t>
      </w:r>
      <w:r w:rsidRPr="00A51227">
        <w:rPr>
          <w:bCs/>
        </w:rPr>
        <w:t>ний о том, что сотрудники Комиссии умышленно спровоцировали дорожно-транспортные происшествия со смертельным исходом в Эр-Рияде в сентябре</w:t>
      </w:r>
      <w:r w:rsidRPr="00A51227">
        <w:t xml:space="preserve"> 2013 года и о том, что они совершили нападение на гражданина иностранного государства и его супругу, гражданку Саудовской Аравии, в 2014 году </w:t>
      </w:r>
      <w:r w:rsidRPr="00A51227">
        <w:rPr>
          <w:bCs/>
        </w:rPr>
        <w:t>(статьи 2, 12–13 и 16)</w:t>
      </w:r>
      <w:r w:rsidRPr="00A51227">
        <w:t>.</w:t>
      </w:r>
    </w:p>
    <w:p w:rsidR="00A51227" w:rsidRPr="00A51227" w:rsidRDefault="00A51227" w:rsidP="00A51227">
      <w:pPr>
        <w:pStyle w:val="SingleTxtGR"/>
        <w:rPr>
          <w:b/>
        </w:rPr>
      </w:pPr>
      <w:r w:rsidRPr="00A51227">
        <w:t>29.</w:t>
      </w:r>
      <w:r w:rsidRPr="00A51227">
        <w:tab/>
      </w:r>
      <w:r w:rsidRPr="00A51227">
        <w:rPr>
          <w:b/>
        </w:rPr>
        <w:t>В свете реформирования Комиссии государству-участнику следует:</w:t>
      </w:r>
    </w:p>
    <w:p w:rsidR="00A51227" w:rsidRPr="00F10F68" w:rsidRDefault="00F10F68" w:rsidP="00A51227">
      <w:pPr>
        <w:pStyle w:val="SingleTxtGR"/>
        <w:rPr>
          <w:b/>
        </w:rPr>
      </w:pPr>
      <w:r>
        <w:rPr>
          <w:bCs/>
        </w:rPr>
        <w:tab/>
      </w:r>
      <w:r w:rsidR="00A51227" w:rsidRPr="00F10F68">
        <w:rPr>
          <w:b/>
          <w:bCs/>
          <w:lang w:val="en-GB"/>
        </w:rPr>
        <w:t>a</w:t>
      </w:r>
      <w:r w:rsidR="00A51227" w:rsidRPr="00F10F68">
        <w:rPr>
          <w:b/>
          <w:bCs/>
        </w:rPr>
        <w:t>)</w:t>
      </w:r>
      <w:r w:rsidR="00A51227" w:rsidRPr="00F10F68">
        <w:rPr>
          <w:b/>
        </w:rPr>
        <w:tab/>
      </w:r>
      <w:proofErr w:type="gramStart"/>
      <w:r w:rsidR="00A51227" w:rsidRPr="00F10F68">
        <w:rPr>
          <w:b/>
        </w:rPr>
        <w:t>представить</w:t>
      </w:r>
      <w:proofErr w:type="gramEnd"/>
      <w:r w:rsidR="00A51227" w:rsidRPr="00F10F68">
        <w:rPr>
          <w:b/>
        </w:rPr>
        <w:t xml:space="preserve"> Комитету текст нового устава, регламентирующего деятельность </w:t>
      </w:r>
      <w:r w:rsidR="00A51227" w:rsidRPr="00F10F68">
        <w:rPr>
          <w:b/>
          <w:bCs/>
        </w:rPr>
        <w:t>Комиссии по поощрению нравственности и предотвращению пороков и эффективно обеспечить контроль над Комиссией со стороны обычного судебного органа</w:t>
      </w:r>
      <w:r w:rsidR="00A51227" w:rsidRPr="00F10F68">
        <w:rPr>
          <w:b/>
        </w:rPr>
        <w:t>;</w:t>
      </w:r>
    </w:p>
    <w:p w:rsidR="00A51227" w:rsidRPr="00F10F68" w:rsidRDefault="00A51227" w:rsidP="00A51227">
      <w:pPr>
        <w:pStyle w:val="SingleTxtGR"/>
        <w:rPr>
          <w:b/>
        </w:rPr>
      </w:pPr>
      <w:r w:rsidRPr="00F10F68">
        <w:rPr>
          <w:b/>
        </w:rPr>
        <w:tab/>
      </w:r>
      <w:r w:rsidRPr="00F10F68">
        <w:rPr>
          <w:b/>
          <w:bCs/>
          <w:lang w:val="en-GB"/>
        </w:rPr>
        <w:t>b</w:t>
      </w:r>
      <w:r w:rsidRPr="00F10F68">
        <w:rPr>
          <w:b/>
          <w:bCs/>
        </w:rPr>
        <w:t>)</w:t>
      </w:r>
      <w:r w:rsidRPr="00F10F68">
        <w:rPr>
          <w:b/>
        </w:rPr>
        <w:tab/>
      </w:r>
      <w:proofErr w:type="gramStart"/>
      <w:r w:rsidRPr="00F10F68">
        <w:rPr>
          <w:b/>
        </w:rPr>
        <w:t>обеспечить</w:t>
      </w:r>
      <w:proofErr w:type="gramEnd"/>
      <w:r w:rsidRPr="00F10F68">
        <w:rPr>
          <w:b/>
        </w:rPr>
        <w:t xml:space="preserve"> своевременное осуществление нового устава, р</w:t>
      </w:r>
      <w:r w:rsidRPr="00F10F68">
        <w:rPr>
          <w:b/>
        </w:rPr>
        <w:t>е</w:t>
      </w:r>
      <w:r w:rsidRPr="00F10F68">
        <w:rPr>
          <w:b/>
        </w:rPr>
        <w:t xml:space="preserve">гламентирующего деятельность </w:t>
      </w:r>
      <w:r w:rsidRPr="00F10F68">
        <w:rPr>
          <w:b/>
          <w:bCs/>
        </w:rPr>
        <w:t>Комиссии в соответствии с Конвенцией</w:t>
      </w:r>
      <w:r w:rsidRPr="00F10F68">
        <w:rPr>
          <w:b/>
        </w:rPr>
        <w:t>;</w:t>
      </w:r>
    </w:p>
    <w:p w:rsidR="00A51227" w:rsidRPr="00F10F68" w:rsidRDefault="00A51227" w:rsidP="00A51227">
      <w:pPr>
        <w:pStyle w:val="SingleTxtGR"/>
        <w:rPr>
          <w:b/>
        </w:rPr>
      </w:pPr>
      <w:r w:rsidRPr="00F10F68">
        <w:rPr>
          <w:b/>
        </w:rPr>
        <w:tab/>
      </w:r>
      <w:r w:rsidRPr="00F10F68">
        <w:rPr>
          <w:b/>
          <w:bCs/>
          <w:lang w:val="en-GB"/>
        </w:rPr>
        <w:t>c</w:t>
      </w:r>
      <w:r w:rsidRPr="00F10F68">
        <w:rPr>
          <w:b/>
          <w:bCs/>
        </w:rPr>
        <w:t>)</w:t>
      </w:r>
      <w:r w:rsidRPr="00F10F68">
        <w:rPr>
          <w:b/>
        </w:rPr>
        <w:tab/>
        <w:t>обеспечить строгое соблюдение правовых положений, огран</w:t>
      </w:r>
      <w:r w:rsidRPr="00F10F68">
        <w:rPr>
          <w:b/>
        </w:rPr>
        <w:t>и</w:t>
      </w:r>
      <w:r w:rsidRPr="00F10F68">
        <w:rPr>
          <w:b/>
        </w:rPr>
        <w:t>чивающих полномочия Комиссии останавливать и задерживать представ</w:t>
      </w:r>
      <w:r w:rsidRPr="00F10F68">
        <w:rPr>
          <w:b/>
        </w:rPr>
        <w:t>и</w:t>
      </w:r>
      <w:r w:rsidRPr="00F10F68">
        <w:rPr>
          <w:b/>
        </w:rPr>
        <w:t>телей общественности, а также привлечение к ответственности сотрудн</w:t>
      </w:r>
      <w:r w:rsidRPr="00F10F68">
        <w:rPr>
          <w:b/>
        </w:rPr>
        <w:t>и</w:t>
      </w:r>
      <w:r w:rsidRPr="00F10F68">
        <w:rPr>
          <w:b/>
        </w:rPr>
        <w:t>ков, превышающих свои полномочия, особенно в тех случаях, когда они предположительно демонстрировали поведение, приравниваемое к пыткам или неправомерному обращению;</w:t>
      </w:r>
    </w:p>
    <w:p w:rsidR="00A51227" w:rsidRPr="00A51227" w:rsidRDefault="00A51227" w:rsidP="00A51227">
      <w:pPr>
        <w:pStyle w:val="SingleTxtGR"/>
        <w:rPr>
          <w:b/>
        </w:rPr>
      </w:pPr>
      <w:r w:rsidRPr="00F10F68">
        <w:rPr>
          <w:b/>
        </w:rPr>
        <w:tab/>
      </w:r>
      <w:r w:rsidRPr="00F10F68">
        <w:rPr>
          <w:b/>
          <w:bCs/>
          <w:lang w:val="en-GB"/>
        </w:rPr>
        <w:t>d</w:t>
      </w:r>
      <w:r w:rsidRPr="00F10F68">
        <w:rPr>
          <w:b/>
          <w:bCs/>
        </w:rPr>
        <w:t>)</w:t>
      </w:r>
      <w:r w:rsidRPr="00A51227">
        <w:rPr>
          <w:b/>
        </w:rPr>
        <w:tab/>
      </w:r>
      <w:proofErr w:type="gramStart"/>
      <w:r w:rsidRPr="00A51227">
        <w:rPr>
          <w:b/>
        </w:rPr>
        <w:t>представить</w:t>
      </w:r>
      <w:proofErr w:type="gramEnd"/>
      <w:r w:rsidRPr="00A51227">
        <w:rPr>
          <w:b/>
        </w:rPr>
        <w:t xml:space="preserve"> подробную информацию о числе членов Комиссии, которые преследовались в дисциплинарном или судебном порядке за нарушения Конвенции, и об итогах подобных мер.</w:t>
      </w:r>
    </w:p>
    <w:p w:rsidR="00A51227" w:rsidRPr="00A51227" w:rsidRDefault="00A51227" w:rsidP="00F10F68">
      <w:pPr>
        <w:pStyle w:val="H23GR"/>
      </w:pPr>
      <w:r w:rsidRPr="00A51227">
        <w:tab/>
      </w:r>
      <w:r w:rsidRPr="00A51227">
        <w:tab/>
        <w:t>Условия содержания под стражей</w:t>
      </w:r>
    </w:p>
    <w:p w:rsidR="00A51227" w:rsidRPr="00A51227" w:rsidRDefault="00A51227" w:rsidP="00A51227">
      <w:pPr>
        <w:pStyle w:val="SingleTxtGR"/>
      </w:pPr>
      <w:r w:rsidRPr="00A51227">
        <w:t>30.</w:t>
      </w:r>
      <w:r w:rsidRPr="00A51227">
        <w:tab/>
      </w:r>
      <w:proofErr w:type="gramStart"/>
      <w:r w:rsidRPr="00A51227">
        <w:t>Выражая удовлетворение по поводу данного делегацией государства-участника описания условий содержания под стражей и отделения осужденных от других категорий заключенных, а также приветствуя законопроект, напра</w:t>
      </w:r>
      <w:r w:rsidRPr="00A51227">
        <w:t>в</w:t>
      </w:r>
      <w:r w:rsidRPr="00A51227">
        <w:t>ленный на решение проблемы переполненности тюрем посредством использ</w:t>
      </w:r>
      <w:r w:rsidRPr="00A51227">
        <w:t>о</w:t>
      </w:r>
      <w:r w:rsidRPr="00A51227">
        <w:t>вания мер, альтернативных тюремному заключению, Комитет, тем не менее, обеспокоен тем, что в некоторых центрах содержания под стражей переполне</w:t>
      </w:r>
      <w:r w:rsidRPr="00A51227">
        <w:t>н</w:t>
      </w:r>
      <w:r w:rsidRPr="00A51227">
        <w:t>ность и плохие условия сохраняются.</w:t>
      </w:r>
      <w:proofErr w:type="gramEnd"/>
      <w:r w:rsidRPr="00A51227">
        <w:t xml:space="preserve"> </w:t>
      </w:r>
      <w:proofErr w:type="gramStart"/>
      <w:r w:rsidRPr="00A51227">
        <w:t>Выражая удовлетворение по поводу зав</w:t>
      </w:r>
      <w:r w:rsidRPr="00A51227">
        <w:t>е</w:t>
      </w:r>
      <w:r w:rsidRPr="00A51227">
        <w:t>рений главы делегации в том, что все заключенные могут отправлять культ в соответствии со своими религиозными убеждениями, Комитет, тем не менее, также обеспокоен сообщениями о том, что на практике это могут делать лишь определенные заключенные, главным образом мусульмане-сунниты, и о том, что в законодательстве данное право дается лишь заключенным-мусульманам.</w:t>
      </w:r>
      <w:proofErr w:type="gramEnd"/>
      <w:r w:rsidRPr="00A51227">
        <w:t xml:space="preserve"> Далее Комитет озабочен сообщениями о том, </w:t>
      </w:r>
      <w:r w:rsidR="00F602EE">
        <w:t>что большинство лиц, лише</w:t>
      </w:r>
      <w:r w:rsidRPr="00A51227">
        <w:t>нных свободы, находятся в предварительном заключении (статьи 11 и 16).</w:t>
      </w:r>
    </w:p>
    <w:p w:rsidR="00A51227" w:rsidRPr="00A51227" w:rsidRDefault="00A51227" w:rsidP="00A51227">
      <w:pPr>
        <w:pStyle w:val="SingleTxtGR"/>
        <w:rPr>
          <w:b/>
        </w:rPr>
      </w:pPr>
      <w:r w:rsidRPr="00A51227">
        <w:t>31.</w:t>
      </w:r>
      <w:r w:rsidRPr="00A51227">
        <w:tab/>
      </w:r>
      <w:r w:rsidRPr="00A51227">
        <w:rPr>
          <w:b/>
        </w:rPr>
        <w:t>Государству-участнику следует:</w:t>
      </w:r>
    </w:p>
    <w:p w:rsidR="00A51227" w:rsidRPr="00686655" w:rsidRDefault="00A51227" w:rsidP="00A51227">
      <w:pPr>
        <w:pStyle w:val="SingleTxtGR"/>
        <w:rPr>
          <w:b/>
        </w:rPr>
      </w:pPr>
      <w:r w:rsidRPr="00A51227">
        <w:rPr>
          <w:b/>
        </w:rPr>
        <w:tab/>
      </w:r>
      <w:r w:rsidRPr="00686655">
        <w:rPr>
          <w:b/>
          <w:bCs/>
          <w:lang w:val="en-GB"/>
        </w:rPr>
        <w:t>a</w:t>
      </w:r>
      <w:r w:rsidRPr="00686655">
        <w:rPr>
          <w:b/>
          <w:bCs/>
        </w:rPr>
        <w:t>)</w:t>
      </w:r>
      <w:r w:rsidRPr="00686655">
        <w:rPr>
          <w:b/>
        </w:rPr>
        <w:tab/>
      </w:r>
      <w:proofErr w:type="gramStart"/>
      <w:r w:rsidRPr="00686655">
        <w:rPr>
          <w:b/>
        </w:rPr>
        <w:t>продолжать</w:t>
      </w:r>
      <w:proofErr w:type="gramEnd"/>
      <w:r w:rsidRPr="00686655">
        <w:rPr>
          <w:b/>
        </w:rPr>
        <w:t xml:space="preserve"> усилия по сокращению переполненности центров содержания под стражей, в том числе посредством применения мер, ал</w:t>
      </w:r>
      <w:r w:rsidRPr="00686655">
        <w:rPr>
          <w:b/>
        </w:rPr>
        <w:t>ь</w:t>
      </w:r>
      <w:r w:rsidRPr="00686655">
        <w:rPr>
          <w:b/>
        </w:rPr>
        <w:t>тернативных тюремному заключению, и увеличения бюджетных ассигн</w:t>
      </w:r>
      <w:r w:rsidRPr="00686655">
        <w:rPr>
          <w:b/>
        </w:rPr>
        <w:t>о</w:t>
      </w:r>
      <w:r w:rsidRPr="00686655">
        <w:rPr>
          <w:b/>
        </w:rPr>
        <w:t>ваний на развитие и модернизацию инфраструктуры тюрем и других це</w:t>
      </w:r>
      <w:r w:rsidRPr="00686655">
        <w:rPr>
          <w:b/>
        </w:rPr>
        <w:t>н</w:t>
      </w:r>
      <w:r w:rsidRPr="00686655">
        <w:rPr>
          <w:b/>
        </w:rPr>
        <w:t>тров содержания под стражей;</w:t>
      </w:r>
    </w:p>
    <w:p w:rsidR="00A51227" w:rsidRPr="00686655" w:rsidRDefault="00A51227" w:rsidP="00A51227">
      <w:pPr>
        <w:pStyle w:val="SingleTxtGR"/>
        <w:rPr>
          <w:b/>
        </w:rPr>
      </w:pPr>
      <w:r w:rsidRPr="00686655">
        <w:rPr>
          <w:b/>
        </w:rPr>
        <w:tab/>
      </w:r>
      <w:r w:rsidRPr="00686655">
        <w:rPr>
          <w:b/>
          <w:bCs/>
          <w:lang w:val="en-GB"/>
        </w:rPr>
        <w:t>b</w:t>
      </w:r>
      <w:r w:rsidRPr="00686655">
        <w:rPr>
          <w:b/>
          <w:bCs/>
        </w:rPr>
        <w:t>)</w:t>
      </w:r>
      <w:r w:rsidRPr="00686655">
        <w:rPr>
          <w:b/>
        </w:rPr>
        <w:tab/>
      </w:r>
      <w:proofErr w:type="gramStart"/>
      <w:r w:rsidRPr="00686655">
        <w:rPr>
          <w:b/>
        </w:rPr>
        <w:t>принять</w:t>
      </w:r>
      <w:proofErr w:type="gramEnd"/>
      <w:r w:rsidRPr="00686655">
        <w:rPr>
          <w:b/>
        </w:rPr>
        <w:t xml:space="preserve"> эффективные меры для улучшения санитарно-гигиенических условий, качества питания, медико-санитарных услуг и объектов здравоохранения, доступных для всех заключенных;</w:t>
      </w:r>
    </w:p>
    <w:p w:rsidR="00A51227" w:rsidRPr="00A51227" w:rsidRDefault="00A51227" w:rsidP="00A51227">
      <w:pPr>
        <w:pStyle w:val="SingleTxtGR"/>
      </w:pPr>
      <w:r w:rsidRPr="00686655">
        <w:rPr>
          <w:b/>
        </w:rPr>
        <w:tab/>
      </w:r>
      <w:r w:rsidRPr="00686655">
        <w:rPr>
          <w:b/>
          <w:bCs/>
          <w:lang w:val="en-GB"/>
        </w:rPr>
        <w:t>c</w:t>
      </w:r>
      <w:r w:rsidRPr="00686655">
        <w:rPr>
          <w:b/>
          <w:bCs/>
        </w:rPr>
        <w:t>)</w:t>
      </w:r>
      <w:r w:rsidRPr="00686655">
        <w:rPr>
          <w:b/>
        </w:rPr>
        <w:tab/>
      </w:r>
      <w:proofErr w:type="gramStart"/>
      <w:r w:rsidRPr="00686655">
        <w:rPr>
          <w:b/>
        </w:rPr>
        <w:t>обеспечить</w:t>
      </w:r>
      <w:proofErr w:type="gramEnd"/>
      <w:r w:rsidRPr="00686655">
        <w:rPr>
          <w:b/>
        </w:rPr>
        <w:t xml:space="preserve"> применение справедливых и человечных условий содержания под стражей в соответствии с Минимальными стандартными правилами О</w:t>
      </w:r>
      <w:r w:rsidRPr="00A51227">
        <w:rPr>
          <w:b/>
        </w:rPr>
        <w:t>рганизации Объединенных Наций в отношении обращения с заключенными (Правила Нельсона Манделы) и гарантировать принцип недискриминации при предоставлении всех требуемых прав, включая пр</w:t>
      </w:r>
      <w:r w:rsidRPr="00A51227">
        <w:rPr>
          <w:b/>
        </w:rPr>
        <w:t>а</w:t>
      </w:r>
      <w:r w:rsidRPr="00A51227">
        <w:rPr>
          <w:b/>
        </w:rPr>
        <w:t>во на исповедание своей религии, всем лицам, содержащимся под стражей.</w:t>
      </w:r>
    </w:p>
    <w:p w:rsidR="00A51227" w:rsidRPr="00A51227" w:rsidRDefault="00A51227" w:rsidP="00686655">
      <w:pPr>
        <w:pStyle w:val="H23GR"/>
      </w:pPr>
      <w:r w:rsidRPr="00A51227">
        <w:tab/>
      </w:r>
      <w:r w:rsidRPr="00A51227">
        <w:tab/>
        <w:t>Посещения мест содержания под стражей</w:t>
      </w:r>
    </w:p>
    <w:p w:rsidR="00A51227" w:rsidRPr="00A51227" w:rsidRDefault="00A51227" w:rsidP="00A51227">
      <w:pPr>
        <w:pStyle w:val="SingleTxtGR"/>
      </w:pPr>
      <w:r w:rsidRPr="00A51227">
        <w:t>32.</w:t>
      </w:r>
      <w:r w:rsidRPr="00A51227">
        <w:tab/>
        <w:t xml:space="preserve">Принимая к сведению сообщения о посещениях мест содержания под стражей, осуществленных </w:t>
      </w:r>
      <w:r w:rsidRPr="00A51227">
        <w:rPr>
          <w:bCs/>
        </w:rPr>
        <w:t>Управлением по расследованиям и уголовному пр</w:t>
      </w:r>
      <w:r w:rsidRPr="00A51227">
        <w:rPr>
          <w:bCs/>
        </w:rPr>
        <w:t>е</w:t>
      </w:r>
      <w:r w:rsidRPr="00A51227">
        <w:rPr>
          <w:bCs/>
        </w:rPr>
        <w:t>следованию</w:t>
      </w:r>
      <w:r w:rsidRPr="00A51227">
        <w:t xml:space="preserve">, Национальным обществом прав человека, Комиссией по правам человека (см. </w:t>
      </w:r>
      <w:r w:rsidRPr="00A51227">
        <w:rPr>
          <w:lang w:val="en-GB"/>
        </w:rPr>
        <w:t>CAT</w:t>
      </w:r>
      <w:r w:rsidRPr="00A51227">
        <w:t>/</w:t>
      </w:r>
      <w:r w:rsidRPr="00A51227">
        <w:rPr>
          <w:lang w:val="en-GB"/>
        </w:rPr>
        <w:t>C</w:t>
      </w:r>
      <w:r w:rsidRPr="00A51227">
        <w:t>/</w:t>
      </w:r>
      <w:r w:rsidRPr="00A51227">
        <w:rPr>
          <w:lang w:val="en-GB"/>
        </w:rPr>
        <w:t>SAU</w:t>
      </w:r>
      <w:r w:rsidRPr="00A51227">
        <w:t>/2, приложения 1, 4 и 6) и различными дипломатич</w:t>
      </w:r>
      <w:r w:rsidRPr="00A51227">
        <w:t>е</w:t>
      </w:r>
      <w:r w:rsidRPr="00A51227">
        <w:t>скими делегациями, Комитет, тем не менее, обеспокоен:</w:t>
      </w:r>
    </w:p>
    <w:p w:rsidR="00A51227" w:rsidRPr="00A51227" w:rsidRDefault="00A51227" w:rsidP="00A51227">
      <w:pPr>
        <w:pStyle w:val="SingleTxtGR"/>
      </w:pPr>
      <w:r w:rsidRPr="00A51227">
        <w:rPr>
          <w:b/>
        </w:rPr>
        <w:tab/>
      </w:r>
      <w:r w:rsidRPr="00A51227">
        <w:rPr>
          <w:bCs/>
          <w:lang w:val="en-GB"/>
        </w:rPr>
        <w:t>a</w:t>
      </w:r>
      <w:r w:rsidRPr="00A51227">
        <w:rPr>
          <w:bCs/>
        </w:rPr>
        <w:t>)</w:t>
      </w:r>
      <w:r w:rsidRPr="00A51227">
        <w:rPr>
          <w:b/>
        </w:rPr>
        <w:tab/>
      </w:r>
      <w:proofErr w:type="gramStart"/>
      <w:r w:rsidRPr="00A51227">
        <w:rPr>
          <w:bCs/>
        </w:rPr>
        <w:t>отсутствием</w:t>
      </w:r>
      <w:proofErr w:type="gramEnd"/>
      <w:r w:rsidRPr="00A51227">
        <w:rPr>
          <w:bCs/>
        </w:rPr>
        <w:t xml:space="preserve"> </w:t>
      </w:r>
      <w:r w:rsidRPr="00A51227">
        <w:t>независимого учреждения, регулярно посещающего все места содержания под стражей без предварительного уведомления;</w:t>
      </w:r>
    </w:p>
    <w:p w:rsidR="00A51227" w:rsidRPr="00A51227" w:rsidRDefault="00A51227" w:rsidP="00A51227">
      <w:pPr>
        <w:pStyle w:val="SingleTxtGR"/>
      </w:pPr>
      <w:r w:rsidRPr="00A51227">
        <w:rPr>
          <w:b/>
        </w:rPr>
        <w:tab/>
      </w:r>
      <w:r w:rsidRPr="00A51227">
        <w:rPr>
          <w:bCs/>
          <w:lang w:val="en-GB"/>
        </w:rPr>
        <w:t>b</w:t>
      </w:r>
      <w:r w:rsidRPr="00A51227">
        <w:rPr>
          <w:bCs/>
        </w:rPr>
        <w:t>)</w:t>
      </w:r>
      <w:r w:rsidRPr="00A51227">
        <w:rPr>
          <w:b/>
        </w:rPr>
        <w:tab/>
      </w:r>
      <w:proofErr w:type="gramStart"/>
      <w:r w:rsidRPr="00A51227">
        <w:rPr>
          <w:bCs/>
        </w:rPr>
        <w:t>тем</w:t>
      </w:r>
      <w:proofErr w:type="gramEnd"/>
      <w:r w:rsidRPr="00A51227">
        <w:rPr>
          <w:bCs/>
        </w:rPr>
        <w:t xml:space="preserve"> фактом, что</w:t>
      </w:r>
      <w:r w:rsidRPr="00A51227">
        <w:t>, по сообщениям, заключенные, в том числе труд</w:t>
      </w:r>
      <w:r w:rsidRPr="00A51227">
        <w:t>я</w:t>
      </w:r>
      <w:r w:rsidRPr="00A51227">
        <w:t xml:space="preserve">щиеся-мигранты, не подали ни одной жалобы, несмотря на </w:t>
      </w:r>
      <w:r w:rsidR="00686655">
        <w:t>сообщения</w:t>
      </w:r>
      <w:r w:rsidRPr="00A51227">
        <w:t>, в кот</w:t>
      </w:r>
      <w:r w:rsidRPr="00A51227">
        <w:t>о</w:t>
      </w:r>
      <w:r w:rsidRPr="00A51227">
        <w:t>рых содержатся утверждения о применении пыток и неправомерном обращении с ними;</w:t>
      </w:r>
    </w:p>
    <w:p w:rsidR="00A51227" w:rsidRPr="00A51227" w:rsidRDefault="00A51227" w:rsidP="00A51227">
      <w:pPr>
        <w:pStyle w:val="SingleTxtGR"/>
      </w:pPr>
      <w:r w:rsidRPr="00A51227">
        <w:rPr>
          <w:bCs/>
        </w:rPr>
        <w:tab/>
      </w:r>
      <w:r w:rsidRPr="00A51227">
        <w:rPr>
          <w:bCs/>
          <w:lang w:val="en-GB"/>
        </w:rPr>
        <w:t>c</w:t>
      </w:r>
      <w:r w:rsidRPr="00A51227">
        <w:rPr>
          <w:bCs/>
        </w:rPr>
        <w:t>)</w:t>
      </w:r>
      <w:r w:rsidRPr="00A51227">
        <w:rPr>
          <w:b/>
        </w:rPr>
        <w:tab/>
      </w:r>
      <w:proofErr w:type="gramStart"/>
      <w:r w:rsidRPr="00A51227">
        <w:rPr>
          <w:bCs/>
        </w:rPr>
        <w:t>сообщениями</w:t>
      </w:r>
      <w:proofErr w:type="gramEnd"/>
      <w:r w:rsidRPr="00A51227">
        <w:rPr>
          <w:bCs/>
        </w:rPr>
        <w:t xml:space="preserve"> о существовании тайных мест содержания под стр</w:t>
      </w:r>
      <w:r w:rsidRPr="00A51227">
        <w:rPr>
          <w:bCs/>
        </w:rPr>
        <w:t>а</w:t>
      </w:r>
      <w:r w:rsidRPr="00A51227">
        <w:rPr>
          <w:bCs/>
        </w:rPr>
        <w:t xml:space="preserve">жей </w:t>
      </w:r>
      <w:r w:rsidRPr="00A51227">
        <w:t>(статьи 2, 11–13 и 16).</w:t>
      </w:r>
    </w:p>
    <w:p w:rsidR="00686655" w:rsidRDefault="00686655">
      <w:pPr>
        <w:spacing w:line="240" w:lineRule="auto"/>
      </w:pPr>
      <w:r>
        <w:br w:type="page"/>
      </w:r>
    </w:p>
    <w:p w:rsidR="00A51227" w:rsidRPr="00A51227" w:rsidRDefault="00A51227" w:rsidP="00A51227">
      <w:pPr>
        <w:pStyle w:val="SingleTxtGR"/>
        <w:rPr>
          <w:b/>
        </w:rPr>
      </w:pPr>
      <w:r w:rsidRPr="00A51227">
        <w:t>33.</w:t>
      </w:r>
      <w:r w:rsidRPr="00A51227">
        <w:tab/>
      </w:r>
      <w:r w:rsidRPr="00A51227">
        <w:rPr>
          <w:b/>
        </w:rPr>
        <w:t>Государству-участнику следует:</w:t>
      </w:r>
    </w:p>
    <w:p w:rsidR="00A51227" w:rsidRPr="00686655" w:rsidRDefault="00686655" w:rsidP="00A51227">
      <w:pPr>
        <w:pStyle w:val="SingleTxtGR"/>
        <w:rPr>
          <w:b/>
        </w:rPr>
      </w:pPr>
      <w:r>
        <w:rPr>
          <w:bCs/>
        </w:rPr>
        <w:tab/>
      </w:r>
      <w:r w:rsidR="00A51227" w:rsidRPr="00686655">
        <w:rPr>
          <w:b/>
          <w:bCs/>
          <w:lang w:val="en-GB"/>
        </w:rPr>
        <w:t>a</w:t>
      </w:r>
      <w:r w:rsidR="00A51227" w:rsidRPr="00686655">
        <w:rPr>
          <w:b/>
          <w:bCs/>
        </w:rPr>
        <w:t>)</w:t>
      </w:r>
      <w:r w:rsidR="00A51227" w:rsidRPr="00686655">
        <w:rPr>
          <w:b/>
        </w:rPr>
        <w:tab/>
      </w:r>
      <w:proofErr w:type="gramStart"/>
      <w:r w:rsidR="00A51227" w:rsidRPr="00686655">
        <w:rPr>
          <w:b/>
        </w:rPr>
        <w:t>принять</w:t>
      </w:r>
      <w:proofErr w:type="gramEnd"/>
      <w:r w:rsidR="00A51227" w:rsidRPr="00686655">
        <w:rPr>
          <w:b/>
        </w:rPr>
        <w:t xml:space="preserve"> меры по укреплению независимости Управления по расследованиям и уголовному преследованию от Министерства внутре</w:t>
      </w:r>
      <w:r w:rsidR="00A51227" w:rsidRPr="00686655">
        <w:rPr>
          <w:b/>
        </w:rPr>
        <w:t>н</w:t>
      </w:r>
      <w:r w:rsidR="00A51227" w:rsidRPr="00686655">
        <w:rPr>
          <w:b/>
        </w:rPr>
        <w:t>них дел и, в частности, обеспечить, чтобы Министерство внутренних дел не имело возможности назначать на должность, снимать с должности или преследовать в дисциплинарном порядке должностных лиц Управления;</w:t>
      </w:r>
    </w:p>
    <w:p w:rsidR="00A51227" w:rsidRPr="00686655" w:rsidRDefault="00686655" w:rsidP="00A51227">
      <w:pPr>
        <w:pStyle w:val="SingleTxtGR"/>
        <w:rPr>
          <w:b/>
        </w:rPr>
      </w:pPr>
      <w:r w:rsidRPr="00686655">
        <w:rPr>
          <w:b/>
          <w:bCs/>
        </w:rPr>
        <w:tab/>
      </w:r>
      <w:r w:rsidR="00A51227" w:rsidRPr="00686655">
        <w:rPr>
          <w:b/>
          <w:bCs/>
          <w:lang w:val="en-GB"/>
        </w:rPr>
        <w:t>b</w:t>
      </w:r>
      <w:r w:rsidR="00A51227" w:rsidRPr="00686655">
        <w:rPr>
          <w:b/>
          <w:bCs/>
        </w:rPr>
        <w:t>)</w:t>
      </w:r>
      <w:r w:rsidR="00A51227" w:rsidRPr="00686655">
        <w:rPr>
          <w:b/>
        </w:rPr>
        <w:tab/>
      </w:r>
      <w:proofErr w:type="gramStart"/>
      <w:r w:rsidR="00A51227" w:rsidRPr="00686655">
        <w:rPr>
          <w:b/>
        </w:rPr>
        <w:t>обеспечить</w:t>
      </w:r>
      <w:proofErr w:type="gramEnd"/>
      <w:r w:rsidR="00A51227" w:rsidRPr="00686655">
        <w:rPr>
          <w:b/>
        </w:rPr>
        <w:t>, чтобы независимое учреждение осуществляло р</w:t>
      </w:r>
      <w:r w:rsidR="00A51227" w:rsidRPr="00686655">
        <w:rPr>
          <w:b/>
        </w:rPr>
        <w:t>е</w:t>
      </w:r>
      <w:r w:rsidR="00A51227" w:rsidRPr="00686655">
        <w:rPr>
          <w:b/>
        </w:rPr>
        <w:t>гулярный мониторинг всех мест содержания под стражей;</w:t>
      </w:r>
    </w:p>
    <w:p w:rsidR="00A51227" w:rsidRPr="00A51227" w:rsidRDefault="00686655" w:rsidP="00A51227">
      <w:pPr>
        <w:pStyle w:val="SingleTxtGR"/>
        <w:rPr>
          <w:b/>
        </w:rPr>
      </w:pPr>
      <w:r w:rsidRPr="00686655">
        <w:rPr>
          <w:b/>
          <w:bCs/>
        </w:rPr>
        <w:tab/>
      </w:r>
      <w:r w:rsidR="00A51227" w:rsidRPr="00686655">
        <w:rPr>
          <w:b/>
          <w:bCs/>
          <w:lang w:val="en-GB"/>
        </w:rPr>
        <w:t>c</w:t>
      </w:r>
      <w:r w:rsidR="00A51227" w:rsidRPr="00686655">
        <w:rPr>
          <w:b/>
          <w:bCs/>
        </w:rPr>
        <w:t>)</w:t>
      </w:r>
      <w:r w:rsidR="00A51227" w:rsidRPr="00686655">
        <w:rPr>
          <w:b/>
        </w:rPr>
        <w:tab/>
      </w:r>
      <w:proofErr w:type="gramStart"/>
      <w:r w:rsidR="00A51227" w:rsidRPr="00A51227">
        <w:rPr>
          <w:b/>
        </w:rPr>
        <w:t>не</w:t>
      </w:r>
      <w:proofErr w:type="gramEnd"/>
      <w:r w:rsidR="00A51227" w:rsidRPr="00A51227">
        <w:rPr>
          <w:b/>
        </w:rPr>
        <w:t xml:space="preserve"> допускать содержание людей под стражей в тайных центрах, находящихся под фактическим контролем государства-участника.</w:t>
      </w:r>
    </w:p>
    <w:p w:rsidR="00A51227" w:rsidRPr="00A51227" w:rsidRDefault="00A51227" w:rsidP="00686655">
      <w:pPr>
        <w:pStyle w:val="H23GR"/>
      </w:pPr>
      <w:r w:rsidRPr="00A51227">
        <w:tab/>
      </w:r>
      <w:r w:rsidRPr="00A51227">
        <w:tab/>
        <w:t>Комиссия по правам человека</w:t>
      </w:r>
    </w:p>
    <w:p w:rsidR="00A51227" w:rsidRPr="00A51227" w:rsidRDefault="00A51227" w:rsidP="00A51227">
      <w:pPr>
        <w:pStyle w:val="SingleTxtGR"/>
      </w:pPr>
      <w:r w:rsidRPr="00A51227">
        <w:t>34.</w:t>
      </w:r>
      <w:r w:rsidRPr="00A51227">
        <w:tab/>
        <w:t>Принимая к сведению меры, направленные на усиление независимости Комиссии по правам человека, Комитет, тем не менее, обеспокоен следующим:</w:t>
      </w:r>
    </w:p>
    <w:p w:rsidR="00A51227" w:rsidRPr="00A51227" w:rsidRDefault="00A51227" w:rsidP="00A51227">
      <w:pPr>
        <w:pStyle w:val="SingleTxtGR"/>
      </w:pPr>
      <w:r w:rsidRPr="00A51227">
        <w:tab/>
      </w:r>
      <w:r w:rsidRPr="00A51227">
        <w:rPr>
          <w:lang w:val="en-GB"/>
        </w:rPr>
        <w:t>a</w:t>
      </w:r>
      <w:r w:rsidRPr="00A51227">
        <w:t>)</w:t>
      </w:r>
      <w:r w:rsidRPr="00A51227">
        <w:rPr>
          <w:b/>
          <w:bCs/>
        </w:rPr>
        <w:tab/>
      </w:r>
      <w:proofErr w:type="gramStart"/>
      <w:r w:rsidRPr="00A51227">
        <w:t>подчинением</w:t>
      </w:r>
      <w:proofErr w:type="gramEnd"/>
      <w:r w:rsidRPr="00A51227">
        <w:t xml:space="preserve"> Комиссии по правам человека должностным лицам исполнительной ветви власти и отсутствием у нее независимого финансиров</w:t>
      </w:r>
      <w:r w:rsidRPr="00A51227">
        <w:t>а</w:t>
      </w:r>
      <w:r w:rsidRPr="00A51227">
        <w:t>ния;</w:t>
      </w:r>
    </w:p>
    <w:p w:rsidR="00A51227" w:rsidRPr="00A51227" w:rsidRDefault="00A51227" w:rsidP="00A51227">
      <w:pPr>
        <w:pStyle w:val="SingleTxtGR"/>
      </w:pPr>
      <w:r w:rsidRPr="00A51227">
        <w:tab/>
      </w:r>
      <w:r w:rsidRPr="00A51227">
        <w:rPr>
          <w:lang w:val="en-GB"/>
        </w:rPr>
        <w:t>b</w:t>
      </w:r>
      <w:r w:rsidRPr="00A51227">
        <w:t>)</w:t>
      </w:r>
      <w:r w:rsidRPr="00A51227">
        <w:rPr>
          <w:b/>
          <w:bCs/>
        </w:rPr>
        <w:tab/>
      </w:r>
      <w:proofErr w:type="gramStart"/>
      <w:r w:rsidRPr="00A51227">
        <w:t>сообщениями</w:t>
      </w:r>
      <w:proofErr w:type="gramEnd"/>
      <w:r w:rsidRPr="00A51227">
        <w:t xml:space="preserve"> об отсутствии беспрепятственного доступа ко всем местам содержания под стражей;</w:t>
      </w:r>
    </w:p>
    <w:p w:rsidR="00A51227" w:rsidRPr="00A51227" w:rsidRDefault="00A51227" w:rsidP="00A51227">
      <w:pPr>
        <w:pStyle w:val="SingleTxtGR"/>
      </w:pPr>
      <w:r w:rsidRPr="00A51227">
        <w:tab/>
      </w:r>
      <w:r w:rsidRPr="00A51227">
        <w:rPr>
          <w:lang w:val="en-GB"/>
        </w:rPr>
        <w:t>c</w:t>
      </w:r>
      <w:r w:rsidRPr="00A51227">
        <w:t>)</w:t>
      </w:r>
      <w:r w:rsidRPr="00A51227">
        <w:rPr>
          <w:b/>
          <w:bCs/>
        </w:rPr>
        <w:tab/>
      </w:r>
      <w:proofErr w:type="gramStart"/>
      <w:r w:rsidRPr="00A51227">
        <w:t>выводом</w:t>
      </w:r>
      <w:proofErr w:type="gramEnd"/>
      <w:r w:rsidRPr="00A51227">
        <w:t xml:space="preserve"> Комиссии о том, что лишь одна жалоба была сочтена с</w:t>
      </w:r>
      <w:r w:rsidRPr="00A51227">
        <w:t>е</w:t>
      </w:r>
      <w:r w:rsidRPr="00A51227">
        <w:t>рьезной, несмотря на частые сообщения о ненадлежащем поведении сотрудн</w:t>
      </w:r>
      <w:r w:rsidRPr="00A51227">
        <w:t>и</w:t>
      </w:r>
      <w:r w:rsidRPr="00A51227">
        <w:t>ков Аль-Мабахита;</w:t>
      </w:r>
    </w:p>
    <w:p w:rsidR="00A51227" w:rsidRPr="00A51227" w:rsidRDefault="00A51227" w:rsidP="00A51227">
      <w:pPr>
        <w:pStyle w:val="SingleTxtGR"/>
      </w:pPr>
      <w:r w:rsidRPr="00A51227">
        <w:tab/>
      </w:r>
      <w:r w:rsidRPr="00A51227">
        <w:rPr>
          <w:lang w:val="en-GB"/>
        </w:rPr>
        <w:t>d</w:t>
      </w:r>
      <w:r w:rsidRPr="00A51227">
        <w:t>)</w:t>
      </w:r>
      <w:r w:rsidRPr="00A51227">
        <w:rPr>
          <w:b/>
          <w:bCs/>
        </w:rPr>
        <w:tab/>
      </w:r>
      <w:proofErr w:type="gramStart"/>
      <w:r w:rsidRPr="00A51227">
        <w:t>отсутствием</w:t>
      </w:r>
      <w:proofErr w:type="gramEnd"/>
      <w:r w:rsidRPr="00A51227">
        <w:t xml:space="preserve"> конфиденциального механизма подачи жалоб закл</w:t>
      </w:r>
      <w:r w:rsidRPr="00A51227">
        <w:t>ю</w:t>
      </w:r>
      <w:r w:rsidRPr="00A51227">
        <w:t>ченными в силу вовлеченности в процесс надзирателей и директоров тюрем (статьи 2 и 12–13).</w:t>
      </w:r>
    </w:p>
    <w:p w:rsidR="00A51227" w:rsidRPr="00A51227" w:rsidRDefault="00A51227" w:rsidP="00A51227">
      <w:pPr>
        <w:pStyle w:val="SingleTxtGR"/>
        <w:rPr>
          <w:b/>
          <w:bCs/>
        </w:rPr>
      </w:pPr>
      <w:r w:rsidRPr="00A51227">
        <w:t>35.</w:t>
      </w:r>
      <w:r w:rsidRPr="00A51227">
        <w:tab/>
      </w:r>
      <w:r w:rsidRPr="00A51227">
        <w:rPr>
          <w:b/>
          <w:bCs/>
        </w:rPr>
        <w:t>Государству-участнику следует принять следующие меры:</w:t>
      </w:r>
    </w:p>
    <w:p w:rsidR="00A51227" w:rsidRPr="00686655" w:rsidRDefault="00A51227" w:rsidP="00A51227">
      <w:pPr>
        <w:pStyle w:val="SingleTxtGR"/>
        <w:rPr>
          <w:b/>
          <w:bCs/>
        </w:rPr>
      </w:pPr>
      <w:r w:rsidRPr="00A51227">
        <w:rPr>
          <w:b/>
          <w:bCs/>
        </w:rPr>
        <w:tab/>
      </w:r>
      <w:r w:rsidRPr="00686655">
        <w:rPr>
          <w:b/>
          <w:lang w:val="en-GB"/>
        </w:rPr>
        <w:t>a</w:t>
      </w:r>
      <w:r w:rsidRPr="00686655">
        <w:rPr>
          <w:b/>
        </w:rPr>
        <w:t>)</w:t>
      </w:r>
      <w:r w:rsidRPr="00686655">
        <w:rPr>
          <w:b/>
          <w:bCs/>
        </w:rPr>
        <w:tab/>
      </w:r>
      <w:proofErr w:type="gramStart"/>
      <w:r w:rsidRPr="00686655">
        <w:rPr>
          <w:b/>
          <w:bCs/>
        </w:rPr>
        <w:t>обеспечить</w:t>
      </w:r>
      <w:proofErr w:type="gramEnd"/>
      <w:r w:rsidRPr="00686655">
        <w:rPr>
          <w:b/>
          <w:bCs/>
        </w:rPr>
        <w:t xml:space="preserve"> соответствие Комиссии по правам человека При</w:t>
      </w:r>
      <w:r w:rsidRPr="00686655">
        <w:rPr>
          <w:b/>
          <w:bCs/>
        </w:rPr>
        <w:t>н</w:t>
      </w:r>
      <w:r w:rsidRPr="00686655">
        <w:rPr>
          <w:b/>
          <w:bCs/>
        </w:rPr>
        <w:t>ципам, касающимся статуса национальных учреждений, занимающихся поощрением и защитой прав человека (Парижские принципы) посредством обеспечения ее независимости, полного доступа ко всем местам содержания под стражей и возможности беспристрастно и эффективно рассматривать дела о пытках и неправомерном обращении;</w:t>
      </w:r>
    </w:p>
    <w:p w:rsidR="00A51227" w:rsidRPr="00686655" w:rsidRDefault="00A51227" w:rsidP="00A51227">
      <w:pPr>
        <w:pStyle w:val="SingleTxtGR"/>
        <w:rPr>
          <w:b/>
          <w:bCs/>
        </w:rPr>
      </w:pPr>
      <w:r w:rsidRPr="00686655">
        <w:rPr>
          <w:b/>
          <w:bCs/>
        </w:rPr>
        <w:tab/>
      </w:r>
      <w:r w:rsidRPr="00686655">
        <w:rPr>
          <w:b/>
          <w:lang w:val="en-GB"/>
        </w:rPr>
        <w:t>b</w:t>
      </w:r>
      <w:r w:rsidRPr="00686655">
        <w:rPr>
          <w:b/>
        </w:rPr>
        <w:t>)</w:t>
      </w:r>
      <w:r w:rsidRPr="00686655">
        <w:rPr>
          <w:b/>
          <w:bCs/>
        </w:rPr>
        <w:tab/>
      </w:r>
      <w:proofErr w:type="gramStart"/>
      <w:r w:rsidRPr="00686655">
        <w:rPr>
          <w:b/>
          <w:bCs/>
        </w:rPr>
        <w:t>учредить</w:t>
      </w:r>
      <w:proofErr w:type="gramEnd"/>
      <w:r w:rsidRPr="00686655">
        <w:rPr>
          <w:b/>
          <w:bCs/>
        </w:rPr>
        <w:t xml:space="preserve"> механизм подачи жалоб, гарантирующий конфиде</w:t>
      </w:r>
      <w:r w:rsidRPr="00686655">
        <w:rPr>
          <w:b/>
          <w:bCs/>
        </w:rPr>
        <w:t>н</w:t>
      </w:r>
      <w:r w:rsidRPr="00686655">
        <w:rPr>
          <w:b/>
          <w:bCs/>
        </w:rPr>
        <w:t>циальность и отсутствие репрессий в отношении заключенных, обеспечить его доступность и широкую известность во всех центрах содержания под стражей, а также получение и рассмотрение жалоб непосредственно нез</w:t>
      </w:r>
      <w:r w:rsidRPr="00686655">
        <w:rPr>
          <w:b/>
          <w:bCs/>
        </w:rPr>
        <w:t>а</w:t>
      </w:r>
      <w:r w:rsidRPr="00686655">
        <w:rPr>
          <w:b/>
          <w:bCs/>
        </w:rPr>
        <w:t>висимой комиссией по правам человека в соответствии с международными стандартами;</w:t>
      </w:r>
    </w:p>
    <w:p w:rsidR="00A51227" w:rsidRPr="00A51227" w:rsidRDefault="00A51227" w:rsidP="00A51227">
      <w:pPr>
        <w:pStyle w:val="SingleTxtGR"/>
        <w:rPr>
          <w:b/>
          <w:bCs/>
        </w:rPr>
      </w:pPr>
      <w:r w:rsidRPr="00686655">
        <w:rPr>
          <w:b/>
          <w:bCs/>
        </w:rPr>
        <w:tab/>
      </w:r>
      <w:r w:rsidRPr="00686655">
        <w:rPr>
          <w:b/>
          <w:lang w:val="en-US"/>
        </w:rPr>
        <w:t>c</w:t>
      </w:r>
      <w:r w:rsidRPr="00686655">
        <w:rPr>
          <w:b/>
        </w:rPr>
        <w:t>)</w:t>
      </w:r>
      <w:r w:rsidRPr="00686655">
        <w:rPr>
          <w:b/>
        </w:rPr>
        <w:tab/>
      </w:r>
      <w:proofErr w:type="gramStart"/>
      <w:r w:rsidRPr="00686655">
        <w:rPr>
          <w:b/>
          <w:bCs/>
        </w:rPr>
        <w:t>призвать</w:t>
      </w:r>
      <w:proofErr w:type="gramEnd"/>
      <w:r w:rsidRPr="00686655">
        <w:rPr>
          <w:b/>
          <w:bCs/>
        </w:rPr>
        <w:t xml:space="preserve"> Комиссию по правам человека рассмотреть возмо</w:t>
      </w:r>
      <w:r w:rsidRPr="00686655">
        <w:rPr>
          <w:b/>
          <w:bCs/>
        </w:rPr>
        <w:t>ж</w:t>
      </w:r>
      <w:r w:rsidRPr="00686655">
        <w:rPr>
          <w:b/>
          <w:bCs/>
        </w:rPr>
        <w:t>ность запросить</w:t>
      </w:r>
      <w:r w:rsidRPr="00A51227">
        <w:rPr>
          <w:b/>
          <w:bCs/>
        </w:rPr>
        <w:t xml:space="preserve"> аккредитацию при Глобальном альянсе национальных учреждений, занимающихся поощрением и защитой прав человека (бы</w:t>
      </w:r>
      <w:r w:rsidRPr="00A51227">
        <w:rPr>
          <w:b/>
          <w:bCs/>
        </w:rPr>
        <w:t>в</w:t>
      </w:r>
      <w:r w:rsidRPr="00A51227">
        <w:rPr>
          <w:b/>
          <w:bCs/>
        </w:rPr>
        <w:t>ший Международный координационный комитет национальных учрежд</w:t>
      </w:r>
      <w:r w:rsidRPr="00A51227">
        <w:rPr>
          <w:b/>
          <w:bCs/>
        </w:rPr>
        <w:t>е</w:t>
      </w:r>
      <w:r w:rsidRPr="00A51227">
        <w:rPr>
          <w:b/>
          <w:bCs/>
        </w:rPr>
        <w:t>ний, занимающихся поощрением и защитой прав человека).</w:t>
      </w:r>
    </w:p>
    <w:p w:rsidR="00686655" w:rsidRDefault="00686655">
      <w:pPr>
        <w:spacing w:line="240" w:lineRule="auto"/>
        <w:rPr>
          <w:b/>
          <w:lang w:eastAsia="ru-RU"/>
        </w:rPr>
      </w:pPr>
      <w:r>
        <w:br w:type="page"/>
      </w:r>
    </w:p>
    <w:p w:rsidR="00A51227" w:rsidRPr="00A51227" w:rsidRDefault="00A51227" w:rsidP="00686655">
      <w:pPr>
        <w:pStyle w:val="H23GR"/>
      </w:pPr>
      <w:r w:rsidRPr="00A51227">
        <w:tab/>
      </w:r>
      <w:r w:rsidRPr="00A51227">
        <w:tab/>
        <w:t>Насилие в отношении женщин и девочек</w:t>
      </w:r>
    </w:p>
    <w:p w:rsidR="00A51227" w:rsidRPr="00A51227" w:rsidRDefault="00A51227" w:rsidP="00A51227">
      <w:pPr>
        <w:pStyle w:val="SingleTxtGR"/>
      </w:pPr>
      <w:r w:rsidRPr="00A51227">
        <w:t>36.</w:t>
      </w:r>
      <w:r w:rsidRPr="00A51227">
        <w:tab/>
      </w:r>
      <w:proofErr w:type="gramStart"/>
      <w:r w:rsidRPr="00A51227">
        <w:t xml:space="preserve">Комитет отмечает заверения государства-участника в том, что </w:t>
      </w:r>
      <w:r w:rsidR="0095563E">
        <w:t>«</w:t>
      </w:r>
      <w:r w:rsidRPr="00A51227">
        <w:t>насилие в семье, включая сексуальное насилие, является преступлением, наказуемым в соответствии с Законом о защите от надругательств</w:t>
      </w:r>
      <w:r w:rsidR="0095563E">
        <w:t>»</w:t>
      </w:r>
      <w:r w:rsidRPr="00A51227">
        <w:t>, и что Закон о защите д</w:t>
      </w:r>
      <w:r w:rsidRPr="00A51227">
        <w:t>е</w:t>
      </w:r>
      <w:r w:rsidRPr="00A51227">
        <w:t xml:space="preserve">тей </w:t>
      </w:r>
      <w:r w:rsidR="0095563E">
        <w:t>«</w:t>
      </w:r>
      <w:r w:rsidRPr="00A51227">
        <w:t>распространяется на все формы надругательств над детьми и их эксплу</w:t>
      </w:r>
      <w:r w:rsidRPr="00A51227">
        <w:t>а</w:t>
      </w:r>
      <w:r w:rsidRPr="00A51227">
        <w:t>тации …, в том числе на физические, психологические и сексуальные надруг</w:t>
      </w:r>
      <w:r w:rsidRPr="00A51227">
        <w:t>а</w:t>
      </w:r>
      <w:r w:rsidRPr="00A51227">
        <w:t>тельства</w:t>
      </w:r>
      <w:r w:rsidR="0095563E">
        <w:t>»</w:t>
      </w:r>
      <w:r w:rsidRPr="00A51227">
        <w:t xml:space="preserve"> (см. </w:t>
      </w:r>
      <w:r w:rsidRPr="00A51227">
        <w:rPr>
          <w:lang w:val="en-GB"/>
        </w:rPr>
        <w:t>CAT</w:t>
      </w:r>
      <w:r w:rsidRPr="00A51227">
        <w:t>/</w:t>
      </w:r>
      <w:r w:rsidRPr="00A51227">
        <w:rPr>
          <w:lang w:val="en-GB"/>
        </w:rPr>
        <w:t>C</w:t>
      </w:r>
      <w:r w:rsidRPr="00A51227">
        <w:t>/</w:t>
      </w:r>
      <w:r w:rsidRPr="00A51227">
        <w:rPr>
          <w:lang w:val="en-GB"/>
        </w:rPr>
        <w:t>SAU</w:t>
      </w:r>
      <w:r w:rsidRPr="00A51227">
        <w:t>/</w:t>
      </w:r>
      <w:r w:rsidRPr="00A51227">
        <w:rPr>
          <w:lang w:val="en-GB"/>
        </w:rPr>
        <w:t>Q</w:t>
      </w:r>
      <w:r w:rsidRPr="00A51227">
        <w:t>/2/</w:t>
      </w:r>
      <w:r w:rsidRPr="00A51227">
        <w:rPr>
          <w:lang w:val="en-GB"/>
        </w:rPr>
        <w:t>Add</w:t>
      </w:r>
      <w:r w:rsidRPr="00A51227">
        <w:t>.2, пункты 30–31).</w:t>
      </w:r>
      <w:proofErr w:type="gramEnd"/>
      <w:r w:rsidRPr="00A51227">
        <w:t xml:space="preserve"> Тем не </w:t>
      </w:r>
      <w:proofErr w:type="gramStart"/>
      <w:r w:rsidRPr="00A51227">
        <w:t>менее</w:t>
      </w:r>
      <w:proofErr w:type="gramEnd"/>
      <w:r w:rsidRPr="00A51227">
        <w:t xml:space="preserve"> Комитет обеспокоен отсутствием информации о конкретных положениях, регламент</w:t>
      </w:r>
      <w:r w:rsidRPr="00A51227">
        <w:t>и</w:t>
      </w:r>
      <w:r w:rsidRPr="00A51227">
        <w:t>рующих судебное преследование и наказание виновных в подобном насилии, особенно в свете значительного числа сообщений о надругательствах, получе</w:t>
      </w:r>
      <w:r w:rsidRPr="00A51227">
        <w:t>н</w:t>
      </w:r>
      <w:r w:rsidRPr="00A51227">
        <w:t xml:space="preserve">ных с момента учреждения </w:t>
      </w:r>
      <w:r w:rsidR="0095563E">
        <w:t>«</w:t>
      </w:r>
      <w:r w:rsidRPr="00A51227">
        <w:t>горячей линии</w:t>
      </w:r>
      <w:r w:rsidR="0095563E">
        <w:t>»</w:t>
      </w:r>
      <w:r w:rsidRPr="00A51227">
        <w:t xml:space="preserve"> для пострадавших от насилия в семье, как было упомянуто в ходе диалога. Кроме того, Комитет обеспокоен утверждениями о том, что система опекунства со стороны мужчин (</w:t>
      </w:r>
      <w:r w:rsidRPr="00D63EBD">
        <w:rPr>
          <w:i/>
          <w:iCs/>
        </w:rPr>
        <w:t>мехрем</w:t>
      </w:r>
      <w:r w:rsidRPr="00A51227">
        <w:t>) удерживает жертв и зачастую мешает им сообщить о случаях насилия (ст</w:t>
      </w:r>
      <w:r w:rsidRPr="00A51227">
        <w:t>а</w:t>
      </w:r>
      <w:r w:rsidRPr="00A51227">
        <w:t>тья</w:t>
      </w:r>
      <w:r w:rsidRPr="00A51227">
        <w:rPr>
          <w:lang w:val="en-GB"/>
        </w:rPr>
        <w:t> </w:t>
      </w:r>
      <w:r w:rsidRPr="00A51227">
        <w:t>2).</w:t>
      </w:r>
    </w:p>
    <w:p w:rsidR="00A51227" w:rsidRPr="00A51227" w:rsidRDefault="00A51227" w:rsidP="00A51227">
      <w:pPr>
        <w:pStyle w:val="SingleTxtGR"/>
        <w:rPr>
          <w:b/>
          <w:bCs/>
        </w:rPr>
      </w:pPr>
      <w:r w:rsidRPr="00A51227">
        <w:t>37.</w:t>
      </w:r>
      <w:r w:rsidRPr="00A51227">
        <w:tab/>
      </w:r>
      <w:r w:rsidRPr="00A51227">
        <w:rPr>
          <w:b/>
          <w:bCs/>
        </w:rPr>
        <w:t>Государству-участнику следует принять следующие меры:</w:t>
      </w:r>
    </w:p>
    <w:p w:rsidR="00A51227" w:rsidRPr="00686655" w:rsidRDefault="00A51227" w:rsidP="00A51227">
      <w:pPr>
        <w:pStyle w:val="SingleTxtGR"/>
        <w:rPr>
          <w:b/>
          <w:bCs/>
        </w:rPr>
      </w:pPr>
      <w:r w:rsidRPr="00A51227">
        <w:rPr>
          <w:b/>
          <w:bCs/>
        </w:rPr>
        <w:tab/>
      </w:r>
      <w:r w:rsidRPr="00686655">
        <w:rPr>
          <w:b/>
          <w:lang w:val="en-GB"/>
        </w:rPr>
        <w:t>a</w:t>
      </w:r>
      <w:r w:rsidRPr="00686655">
        <w:rPr>
          <w:b/>
        </w:rPr>
        <w:t>)</w:t>
      </w:r>
      <w:r w:rsidRPr="00686655">
        <w:rPr>
          <w:b/>
          <w:bCs/>
        </w:rPr>
        <w:tab/>
      </w:r>
      <w:proofErr w:type="gramStart"/>
      <w:r w:rsidRPr="00686655">
        <w:rPr>
          <w:b/>
          <w:bCs/>
        </w:rPr>
        <w:t>обеспечить</w:t>
      </w:r>
      <w:proofErr w:type="gramEnd"/>
      <w:r w:rsidRPr="00686655">
        <w:rPr>
          <w:b/>
          <w:bCs/>
        </w:rPr>
        <w:t>, чтобы все правовые положения в национальном законодательстве помогали решать проблему всех форм насилия в отн</w:t>
      </w:r>
      <w:r w:rsidRPr="00686655">
        <w:rPr>
          <w:b/>
          <w:bCs/>
        </w:rPr>
        <w:t>о</w:t>
      </w:r>
      <w:r w:rsidRPr="00686655">
        <w:rPr>
          <w:b/>
          <w:bCs/>
        </w:rPr>
        <w:t>шении женщин, включая изнасилование, изнасилование в браке и прин</w:t>
      </w:r>
      <w:r w:rsidRPr="00686655">
        <w:rPr>
          <w:b/>
          <w:bCs/>
        </w:rPr>
        <w:t>у</w:t>
      </w:r>
      <w:r w:rsidRPr="00686655">
        <w:rPr>
          <w:b/>
          <w:bCs/>
        </w:rPr>
        <w:t>дительный брак, и квалифицировали их в качестве уголовных преступл</w:t>
      </w:r>
      <w:r w:rsidRPr="00686655">
        <w:rPr>
          <w:b/>
          <w:bCs/>
        </w:rPr>
        <w:t>е</w:t>
      </w:r>
      <w:r w:rsidRPr="00686655">
        <w:rPr>
          <w:b/>
          <w:bCs/>
        </w:rPr>
        <w:t>ний;</w:t>
      </w:r>
    </w:p>
    <w:p w:rsidR="00A51227" w:rsidRPr="00686655" w:rsidRDefault="00A51227" w:rsidP="00A51227">
      <w:pPr>
        <w:pStyle w:val="SingleTxtGR"/>
        <w:rPr>
          <w:b/>
          <w:bCs/>
        </w:rPr>
      </w:pPr>
      <w:r w:rsidRPr="00686655">
        <w:rPr>
          <w:b/>
          <w:bCs/>
        </w:rPr>
        <w:tab/>
      </w:r>
      <w:r w:rsidRPr="00686655">
        <w:rPr>
          <w:b/>
          <w:lang w:val="en-GB"/>
        </w:rPr>
        <w:t>b</w:t>
      </w:r>
      <w:r w:rsidRPr="00686655">
        <w:rPr>
          <w:b/>
        </w:rPr>
        <w:t>)</w:t>
      </w:r>
      <w:r w:rsidRPr="00686655">
        <w:rPr>
          <w:b/>
        </w:rPr>
        <w:tab/>
      </w:r>
      <w:proofErr w:type="gramStart"/>
      <w:r w:rsidRPr="00686655">
        <w:rPr>
          <w:b/>
          <w:bCs/>
        </w:rPr>
        <w:t>на</w:t>
      </w:r>
      <w:proofErr w:type="gramEnd"/>
      <w:r w:rsidRPr="00686655">
        <w:rPr>
          <w:b/>
          <w:bCs/>
        </w:rPr>
        <w:t xml:space="preserve"> практике гарантировать женщинам, пострадавшим от нас</w:t>
      </w:r>
      <w:r w:rsidRPr="00686655">
        <w:rPr>
          <w:b/>
          <w:bCs/>
        </w:rPr>
        <w:t>и</w:t>
      </w:r>
      <w:r w:rsidRPr="00686655">
        <w:rPr>
          <w:b/>
          <w:bCs/>
        </w:rPr>
        <w:t>лия, немедленный доступ к средствам правовой защиты;</w:t>
      </w:r>
    </w:p>
    <w:p w:rsidR="00A51227" w:rsidRPr="00686655" w:rsidRDefault="00A51227" w:rsidP="00A51227">
      <w:pPr>
        <w:pStyle w:val="SingleTxtGR"/>
        <w:rPr>
          <w:b/>
          <w:bCs/>
        </w:rPr>
      </w:pPr>
      <w:r w:rsidRPr="00686655">
        <w:rPr>
          <w:b/>
          <w:bCs/>
        </w:rPr>
        <w:tab/>
      </w:r>
      <w:r w:rsidRPr="00686655">
        <w:rPr>
          <w:b/>
          <w:lang w:val="en-GB"/>
        </w:rPr>
        <w:t>c</w:t>
      </w:r>
      <w:r w:rsidRPr="00686655">
        <w:rPr>
          <w:b/>
        </w:rPr>
        <w:t>)</w:t>
      </w:r>
      <w:r w:rsidRPr="00686655">
        <w:rPr>
          <w:b/>
          <w:bCs/>
        </w:rPr>
        <w:tab/>
      </w:r>
      <w:proofErr w:type="gramStart"/>
      <w:r w:rsidRPr="00686655">
        <w:rPr>
          <w:b/>
          <w:bCs/>
        </w:rPr>
        <w:t>обеспечить</w:t>
      </w:r>
      <w:proofErr w:type="gramEnd"/>
      <w:r w:rsidRPr="00686655">
        <w:rPr>
          <w:b/>
          <w:bCs/>
        </w:rPr>
        <w:t>, чтобы все случаи насилия в отношении женщин тщательно расследовались, чтобы виновные подвергались судебному пр</w:t>
      </w:r>
      <w:r w:rsidRPr="00686655">
        <w:rPr>
          <w:b/>
          <w:bCs/>
        </w:rPr>
        <w:t>е</w:t>
      </w:r>
      <w:r w:rsidRPr="00686655">
        <w:rPr>
          <w:b/>
          <w:bCs/>
        </w:rPr>
        <w:t>следованию и привлекались к ответственности и чтобы жертвам пред</w:t>
      </w:r>
      <w:r w:rsidRPr="00686655">
        <w:rPr>
          <w:b/>
          <w:bCs/>
        </w:rPr>
        <w:t>о</w:t>
      </w:r>
      <w:r w:rsidRPr="00686655">
        <w:rPr>
          <w:b/>
          <w:bCs/>
        </w:rPr>
        <w:t>ставлялось возмещение ущерба, включая адекватную компенсацию;</w:t>
      </w:r>
    </w:p>
    <w:p w:rsidR="00A51227" w:rsidRPr="00A51227" w:rsidRDefault="00A51227" w:rsidP="00A51227">
      <w:pPr>
        <w:pStyle w:val="SingleTxtGR"/>
        <w:rPr>
          <w:b/>
          <w:bCs/>
        </w:rPr>
      </w:pPr>
      <w:r w:rsidRPr="00686655">
        <w:rPr>
          <w:b/>
          <w:bCs/>
        </w:rPr>
        <w:tab/>
      </w:r>
      <w:r w:rsidRPr="00686655">
        <w:rPr>
          <w:b/>
          <w:lang w:val="en-GB"/>
        </w:rPr>
        <w:t>d</w:t>
      </w:r>
      <w:r w:rsidRPr="00686655">
        <w:rPr>
          <w:b/>
        </w:rPr>
        <w:t>)</w:t>
      </w:r>
      <w:r w:rsidRPr="00686655">
        <w:rPr>
          <w:b/>
          <w:bCs/>
        </w:rPr>
        <w:tab/>
      </w:r>
      <w:proofErr w:type="gramStart"/>
      <w:r w:rsidRPr="00A51227">
        <w:rPr>
          <w:b/>
          <w:bCs/>
        </w:rPr>
        <w:t>провести</w:t>
      </w:r>
      <w:proofErr w:type="gramEnd"/>
      <w:r w:rsidRPr="00A51227">
        <w:rPr>
          <w:b/>
          <w:bCs/>
        </w:rPr>
        <w:t xml:space="preserve"> кампании по повышению осведомленности и учебную подготовку для государственных должностных лиц и широкой обществе</w:t>
      </w:r>
      <w:r w:rsidRPr="00A51227">
        <w:rPr>
          <w:b/>
          <w:bCs/>
        </w:rPr>
        <w:t>н</w:t>
      </w:r>
      <w:r w:rsidRPr="00A51227">
        <w:rPr>
          <w:b/>
          <w:bCs/>
        </w:rPr>
        <w:t>ности в целях улучшения понимания того, что насилие в отношении же</w:t>
      </w:r>
      <w:r w:rsidRPr="00A51227">
        <w:rPr>
          <w:b/>
          <w:bCs/>
        </w:rPr>
        <w:t>н</w:t>
      </w:r>
      <w:r w:rsidRPr="00A51227">
        <w:rPr>
          <w:b/>
          <w:bCs/>
        </w:rPr>
        <w:t>щин представляет собой грубое нарушение Конвенции и внутреннего зак</w:t>
      </w:r>
      <w:r w:rsidRPr="00A51227">
        <w:rPr>
          <w:b/>
          <w:bCs/>
        </w:rPr>
        <w:t>о</w:t>
      </w:r>
      <w:r w:rsidRPr="00A51227">
        <w:rPr>
          <w:b/>
          <w:bCs/>
        </w:rPr>
        <w:t>нодательства.</w:t>
      </w:r>
    </w:p>
    <w:p w:rsidR="00A51227" w:rsidRPr="00A51227" w:rsidRDefault="00A51227" w:rsidP="00686655">
      <w:pPr>
        <w:pStyle w:val="H23GR"/>
      </w:pPr>
      <w:r w:rsidRPr="00A51227">
        <w:tab/>
      </w:r>
      <w:r w:rsidRPr="00A51227">
        <w:tab/>
        <w:t>Трудящиеся-мигранты и торговля людьми</w:t>
      </w:r>
    </w:p>
    <w:p w:rsidR="00A51227" w:rsidRPr="00A51227" w:rsidRDefault="00A51227" w:rsidP="00A51227">
      <w:pPr>
        <w:pStyle w:val="SingleTxtGR"/>
        <w:rPr>
          <w:bCs/>
        </w:rPr>
      </w:pPr>
      <w:r w:rsidRPr="00A51227">
        <w:t>38.</w:t>
      </w:r>
      <w:r w:rsidRPr="00A51227">
        <w:tab/>
      </w:r>
      <w:proofErr w:type="gramStart"/>
      <w:r w:rsidRPr="00A51227">
        <w:t xml:space="preserve">Выражая удовлетворение по поводу присоединения государства-участника к </w:t>
      </w:r>
      <w:r w:rsidRPr="00A51227">
        <w:rPr>
          <w:bCs/>
        </w:rPr>
        <w:t>Протоколу о предупреждении и пресечении торговли людьми, ос</w:t>
      </w:r>
      <w:r w:rsidRPr="00A51227">
        <w:rPr>
          <w:bCs/>
        </w:rPr>
        <w:t>о</w:t>
      </w:r>
      <w:r w:rsidRPr="00A51227">
        <w:rPr>
          <w:bCs/>
        </w:rPr>
        <w:t>бенно женщинами и детьми, и наказании на нее, дополняющему Конвенцию Организации Объединенных Наций против транснациональной организованной преступности, и принятия Закона о борьбе с торговлей людьми (2012</w:t>
      </w:r>
      <w:r w:rsidRPr="00A51227">
        <w:rPr>
          <w:bCs/>
          <w:lang w:val="en-US"/>
        </w:rPr>
        <w:t> </w:t>
      </w:r>
      <w:r w:rsidRPr="00A51227">
        <w:rPr>
          <w:bCs/>
        </w:rPr>
        <w:t>год) и З</w:t>
      </w:r>
      <w:r w:rsidRPr="00A51227">
        <w:rPr>
          <w:bCs/>
        </w:rPr>
        <w:t>а</w:t>
      </w:r>
      <w:r w:rsidRPr="00A51227">
        <w:rPr>
          <w:bCs/>
        </w:rPr>
        <w:t>кона о пресечении торговли людьми (2009</w:t>
      </w:r>
      <w:r w:rsidRPr="00A51227">
        <w:rPr>
          <w:bCs/>
          <w:lang w:val="en-US"/>
        </w:rPr>
        <w:t> </w:t>
      </w:r>
      <w:r w:rsidRPr="00A51227">
        <w:rPr>
          <w:bCs/>
        </w:rPr>
        <w:t>год), Комитет, тем не менее, глубоко обеспокоен сообщениями о широко распространенной практике</w:t>
      </w:r>
      <w:proofErr w:type="gramEnd"/>
      <w:r w:rsidRPr="00A51227">
        <w:rPr>
          <w:bCs/>
        </w:rPr>
        <w:t xml:space="preserve"> применения пыток или неправомерного обращения в отношении трудящихся-мигрантов и торговли ими, особенно женщинами, работающими в качестве домашней пр</w:t>
      </w:r>
      <w:r w:rsidRPr="00A51227">
        <w:rPr>
          <w:bCs/>
        </w:rPr>
        <w:t>и</w:t>
      </w:r>
      <w:r w:rsidRPr="00A51227">
        <w:rPr>
          <w:bCs/>
        </w:rPr>
        <w:t>слуги, в рамках системы спонсорства (</w:t>
      </w:r>
      <w:r w:rsidRPr="00D63EBD">
        <w:rPr>
          <w:bCs/>
          <w:i/>
          <w:iCs/>
        </w:rPr>
        <w:t>кафала</w:t>
      </w:r>
      <w:r w:rsidRPr="00A51227">
        <w:rPr>
          <w:bCs/>
        </w:rPr>
        <w:t>), подкрепленной правовыми п</w:t>
      </w:r>
      <w:r w:rsidRPr="00A51227">
        <w:rPr>
          <w:bCs/>
        </w:rPr>
        <w:t>о</w:t>
      </w:r>
      <w:r w:rsidRPr="00A51227">
        <w:rPr>
          <w:bCs/>
        </w:rPr>
        <w:t xml:space="preserve">ложениями, которые: </w:t>
      </w:r>
      <w:r w:rsidRPr="00A51227">
        <w:rPr>
          <w:bCs/>
          <w:lang w:val="en-GB"/>
        </w:rPr>
        <w:t>a</w:t>
      </w:r>
      <w:r w:rsidRPr="00A51227">
        <w:rPr>
          <w:bCs/>
        </w:rPr>
        <w:t>) требуют от домашней прислуги получить разрешение своего спонсора для того, чтобы сменить рабо</w:t>
      </w:r>
      <w:r w:rsidR="00686655">
        <w:rPr>
          <w:bCs/>
        </w:rPr>
        <w:t>тодателя или покинуть страну; и </w:t>
      </w:r>
      <w:r w:rsidRPr="00A51227">
        <w:rPr>
          <w:bCs/>
          <w:lang w:val="en-GB"/>
        </w:rPr>
        <w:t>b</w:t>
      </w:r>
      <w:r w:rsidRPr="00A51227">
        <w:rPr>
          <w:bCs/>
        </w:rPr>
        <w:t>) укрепляют препятствия к подаче жалоб против работодателей из-за изол</w:t>
      </w:r>
      <w:r w:rsidRPr="00A51227">
        <w:rPr>
          <w:bCs/>
        </w:rPr>
        <w:t>я</w:t>
      </w:r>
      <w:r w:rsidRPr="00A51227">
        <w:rPr>
          <w:bCs/>
        </w:rPr>
        <w:t>ции трудящихся в стенах частных жилищ и конфискации документов, удостов</w:t>
      </w:r>
      <w:r w:rsidRPr="00A51227">
        <w:rPr>
          <w:bCs/>
        </w:rPr>
        <w:t>е</w:t>
      </w:r>
      <w:r w:rsidRPr="00A51227">
        <w:rPr>
          <w:bCs/>
        </w:rPr>
        <w:t>ряющих их личность.</w:t>
      </w:r>
    </w:p>
    <w:p w:rsidR="00A51227" w:rsidRPr="00A51227" w:rsidRDefault="00A51227" w:rsidP="00A51227">
      <w:pPr>
        <w:pStyle w:val="SingleTxtGR"/>
      </w:pPr>
      <w:r w:rsidRPr="00A51227">
        <w:t>39.</w:t>
      </w:r>
      <w:r w:rsidRPr="00A51227">
        <w:tab/>
        <w:t xml:space="preserve">Комитет обеспокоен тем, что система </w:t>
      </w:r>
      <w:r w:rsidRPr="00D63EBD">
        <w:rPr>
          <w:i/>
          <w:iCs/>
        </w:rPr>
        <w:t>кафала</w:t>
      </w:r>
      <w:r w:rsidRPr="00A51227">
        <w:t xml:space="preserve"> повышает опасность то</w:t>
      </w:r>
      <w:r w:rsidRPr="00A51227">
        <w:t>р</w:t>
      </w:r>
      <w:r w:rsidRPr="00A51227">
        <w:t>говли людьми, изнасилований и других форм пыток и неправомерного обращ</w:t>
      </w:r>
      <w:r w:rsidRPr="00A51227">
        <w:t>е</w:t>
      </w:r>
      <w:r w:rsidRPr="00A51227">
        <w:t>ния из-за исключительных полномочий, принадлежащих работодателю, и с</w:t>
      </w:r>
      <w:r w:rsidRPr="00A51227">
        <w:t>о</w:t>
      </w:r>
      <w:r w:rsidRPr="00A51227">
        <w:t>общени</w:t>
      </w:r>
      <w:r w:rsidR="00686655">
        <w:t xml:space="preserve">ями </w:t>
      </w:r>
      <w:r w:rsidRPr="00A51227">
        <w:t>об их воздействии на трудящихся-женщин.</w:t>
      </w:r>
    </w:p>
    <w:p w:rsidR="00A51227" w:rsidRPr="00A51227" w:rsidRDefault="00A51227" w:rsidP="00A51227">
      <w:pPr>
        <w:pStyle w:val="SingleTxtGR"/>
      </w:pPr>
      <w:r w:rsidRPr="00A51227">
        <w:t>40.</w:t>
      </w:r>
      <w:r w:rsidRPr="00A51227">
        <w:tab/>
      </w:r>
      <w:proofErr w:type="gramStart"/>
      <w:r w:rsidRPr="00A51227">
        <w:t>Комитет выражает сожаление по поводу недостатка информации о числе жалоб на пытки и неправомерное обращение со стороны трудящихся-мигрантов, в частности женщин, работающих в качестве домашней прислуги, о числе дел, в рамках которых спонсоры были наказаны за применение пыток или неправомерное обращение в отношении трудящихся-мигрантов</w:t>
      </w:r>
      <w:r w:rsidR="00686655">
        <w:t>,</w:t>
      </w:r>
      <w:r w:rsidRPr="00A51227">
        <w:t xml:space="preserve"> и о числе жертв, которым было предоставлено возмещение ущерба и которые были во</w:t>
      </w:r>
      <w:r w:rsidRPr="00A51227">
        <w:t>з</w:t>
      </w:r>
      <w:r w:rsidRPr="00A51227">
        <w:t>вращены в страну происхождения</w:t>
      </w:r>
      <w:proofErr w:type="gramEnd"/>
      <w:r w:rsidRPr="00A51227">
        <w:t>, особенно в свете имеющихся у Комитета сведений, отражающих многочисленные утверждения трудящихся-мигрантов о физических надругательствах, сексуальном насилии, изнасилованиях и попы</w:t>
      </w:r>
      <w:r w:rsidRPr="00A51227">
        <w:t>т</w:t>
      </w:r>
      <w:r w:rsidRPr="00A51227">
        <w:t>ках изнасилования (статьи 2, 4, 12, 14 и 16).</w:t>
      </w:r>
    </w:p>
    <w:p w:rsidR="00A51227" w:rsidRPr="00A51227" w:rsidRDefault="00A51227" w:rsidP="00A51227">
      <w:pPr>
        <w:pStyle w:val="SingleTxtGR"/>
        <w:rPr>
          <w:b/>
        </w:rPr>
      </w:pPr>
      <w:r w:rsidRPr="00A51227">
        <w:t>41.</w:t>
      </w:r>
      <w:r w:rsidRPr="00A51227">
        <w:tab/>
      </w:r>
      <w:r w:rsidRPr="00A51227">
        <w:rPr>
          <w:b/>
          <w:bCs/>
        </w:rPr>
        <w:t>Государству-участнику следует укрепить усилия для обеспечения правовой защиты трудящихся-мигрантов</w:t>
      </w:r>
      <w:r w:rsidRPr="00A51227">
        <w:rPr>
          <w:b/>
        </w:rPr>
        <w:t>, в частности женщин, работа</w:t>
      </w:r>
      <w:r w:rsidRPr="00A51227">
        <w:rPr>
          <w:b/>
        </w:rPr>
        <w:t>ю</w:t>
      </w:r>
      <w:r w:rsidRPr="00A51227">
        <w:rPr>
          <w:b/>
        </w:rPr>
        <w:t>щих в качестве домашней прислуги, на своей территории от пыток, непр</w:t>
      </w:r>
      <w:r w:rsidRPr="00A51227">
        <w:rPr>
          <w:b/>
        </w:rPr>
        <w:t>а</w:t>
      </w:r>
      <w:r w:rsidRPr="00A51227">
        <w:rPr>
          <w:b/>
        </w:rPr>
        <w:t>вомерного обращения и надругательств и гарантировать им доступ к пр</w:t>
      </w:r>
      <w:r w:rsidRPr="00A51227">
        <w:rPr>
          <w:b/>
        </w:rPr>
        <w:t>а</w:t>
      </w:r>
      <w:r w:rsidRPr="00A51227">
        <w:rPr>
          <w:b/>
        </w:rPr>
        <w:t>восудию. В этой связи государству-участнику следует:</w:t>
      </w:r>
    </w:p>
    <w:p w:rsidR="00A51227" w:rsidRPr="00686655" w:rsidRDefault="00A51227" w:rsidP="00A51227">
      <w:pPr>
        <w:pStyle w:val="SingleTxtGR"/>
        <w:rPr>
          <w:b/>
        </w:rPr>
      </w:pPr>
      <w:r w:rsidRPr="00A51227">
        <w:rPr>
          <w:b/>
        </w:rPr>
        <w:tab/>
      </w:r>
      <w:r w:rsidRPr="00686655">
        <w:rPr>
          <w:b/>
          <w:bCs/>
          <w:lang w:val="en-US"/>
        </w:rPr>
        <w:t>a</w:t>
      </w:r>
      <w:r w:rsidRPr="00686655">
        <w:rPr>
          <w:b/>
          <w:bCs/>
        </w:rPr>
        <w:t>)</w:t>
      </w:r>
      <w:r w:rsidRPr="00686655">
        <w:rPr>
          <w:b/>
        </w:rPr>
        <w:tab/>
      </w:r>
      <w:proofErr w:type="gramStart"/>
      <w:r w:rsidRPr="00686655">
        <w:rPr>
          <w:b/>
        </w:rPr>
        <w:t>срочно</w:t>
      </w:r>
      <w:proofErr w:type="gramEnd"/>
      <w:r w:rsidRPr="00686655">
        <w:rPr>
          <w:b/>
        </w:rPr>
        <w:t xml:space="preserve"> реформировать систему </w:t>
      </w:r>
      <w:r w:rsidRPr="00D63EBD">
        <w:rPr>
          <w:b/>
          <w:i/>
          <w:iCs/>
        </w:rPr>
        <w:t>кафала</w:t>
      </w:r>
      <w:r w:rsidRPr="00686655">
        <w:rPr>
          <w:b/>
        </w:rPr>
        <w:t xml:space="preserve"> для обеспечения того, чтобы трудящиеся-мигранты женского пола не подвергались опасности надругательств, нарушающих Конвенцию, как было сообщено Комитету;</w:t>
      </w:r>
    </w:p>
    <w:p w:rsidR="00A51227" w:rsidRPr="00686655" w:rsidRDefault="00A51227" w:rsidP="00A51227">
      <w:pPr>
        <w:pStyle w:val="SingleTxtGR"/>
        <w:rPr>
          <w:b/>
        </w:rPr>
      </w:pPr>
      <w:r w:rsidRPr="00686655">
        <w:rPr>
          <w:b/>
        </w:rPr>
        <w:tab/>
      </w:r>
      <w:r w:rsidRPr="00686655">
        <w:rPr>
          <w:b/>
          <w:bCs/>
          <w:lang w:val="en-US"/>
        </w:rPr>
        <w:t>b</w:t>
      </w:r>
      <w:r w:rsidRPr="00686655">
        <w:rPr>
          <w:b/>
          <w:bCs/>
        </w:rPr>
        <w:t>)</w:t>
      </w:r>
      <w:r w:rsidRPr="00686655">
        <w:rPr>
          <w:b/>
        </w:rPr>
        <w:tab/>
      </w:r>
      <w:proofErr w:type="gramStart"/>
      <w:r w:rsidRPr="00686655">
        <w:rPr>
          <w:b/>
        </w:rPr>
        <w:t>принять</w:t>
      </w:r>
      <w:proofErr w:type="gramEnd"/>
      <w:r w:rsidRPr="00686655">
        <w:rPr>
          <w:b/>
        </w:rPr>
        <w:t xml:space="preserve"> трудовое законодательство, которое регламентир</w:t>
      </w:r>
      <w:r w:rsidR="00686655">
        <w:rPr>
          <w:b/>
        </w:rPr>
        <w:t xml:space="preserve">овало бы </w:t>
      </w:r>
      <w:r w:rsidRPr="00686655">
        <w:rPr>
          <w:b/>
        </w:rPr>
        <w:t>вопросы, связанные с работой в качестве домашней прислуги, и обесп</w:t>
      </w:r>
      <w:r w:rsidRPr="00686655">
        <w:rPr>
          <w:b/>
        </w:rPr>
        <w:t>е</w:t>
      </w:r>
      <w:r w:rsidRPr="00686655">
        <w:rPr>
          <w:b/>
        </w:rPr>
        <w:t>чива</w:t>
      </w:r>
      <w:r w:rsidR="00686655">
        <w:rPr>
          <w:b/>
        </w:rPr>
        <w:t>ло</w:t>
      </w:r>
      <w:r w:rsidRPr="00686655">
        <w:rPr>
          <w:b/>
        </w:rPr>
        <w:t xml:space="preserve"> правовую защиту домашней прислуги из числа трудящихся-мигрантов от эксплуатации, жестокого обращения и торговли людьми;</w:t>
      </w:r>
    </w:p>
    <w:p w:rsidR="00A51227" w:rsidRPr="00686655" w:rsidRDefault="00A51227" w:rsidP="00A51227">
      <w:pPr>
        <w:pStyle w:val="SingleTxtGR"/>
        <w:rPr>
          <w:b/>
        </w:rPr>
      </w:pPr>
      <w:r w:rsidRPr="00686655">
        <w:rPr>
          <w:b/>
        </w:rPr>
        <w:tab/>
      </w:r>
      <w:r w:rsidRPr="00686655">
        <w:rPr>
          <w:b/>
          <w:bCs/>
          <w:lang w:val="en-US"/>
        </w:rPr>
        <w:t>c</w:t>
      </w:r>
      <w:r w:rsidRPr="00686655">
        <w:rPr>
          <w:b/>
          <w:bCs/>
        </w:rPr>
        <w:t>)</w:t>
      </w:r>
      <w:r w:rsidRPr="00686655">
        <w:rPr>
          <w:b/>
          <w:bCs/>
        </w:rPr>
        <w:tab/>
      </w:r>
      <w:proofErr w:type="gramStart"/>
      <w:r w:rsidRPr="00686655">
        <w:rPr>
          <w:b/>
        </w:rPr>
        <w:t>представить</w:t>
      </w:r>
      <w:proofErr w:type="gramEnd"/>
      <w:r w:rsidRPr="00686655">
        <w:rPr>
          <w:b/>
        </w:rPr>
        <w:t xml:space="preserve"> данные о жалобах на пытки и неправомерное о</w:t>
      </w:r>
      <w:r w:rsidRPr="00686655">
        <w:rPr>
          <w:b/>
        </w:rPr>
        <w:t>б</w:t>
      </w:r>
      <w:r w:rsidRPr="00686655">
        <w:rPr>
          <w:b/>
        </w:rPr>
        <w:t>ращение, поданных трудящимися-мигрантами и пострадавшими от то</w:t>
      </w:r>
      <w:r w:rsidRPr="00686655">
        <w:rPr>
          <w:b/>
        </w:rPr>
        <w:t>р</w:t>
      </w:r>
      <w:r w:rsidRPr="00686655">
        <w:rPr>
          <w:b/>
        </w:rPr>
        <w:t xml:space="preserve">говли людьми соответствующим властям, о расследованиях подобных утверждений, о средствах защиты, предоставленных жертвам и, где это применимо, о вынесенных виновным наказаниях; </w:t>
      </w:r>
    </w:p>
    <w:p w:rsidR="00A51227" w:rsidRPr="00A51227" w:rsidRDefault="00A51227" w:rsidP="00A51227">
      <w:pPr>
        <w:pStyle w:val="SingleTxtGR"/>
        <w:rPr>
          <w:b/>
        </w:rPr>
      </w:pPr>
      <w:r w:rsidRPr="00686655">
        <w:rPr>
          <w:b/>
        </w:rPr>
        <w:tab/>
      </w:r>
      <w:r w:rsidRPr="00686655">
        <w:rPr>
          <w:b/>
          <w:bCs/>
          <w:lang w:val="en-US"/>
        </w:rPr>
        <w:t>d</w:t>
      </w:r>
      <w:r w:rsidRPr="00686655">
        <w:rPr>
          <w:b/>
          <w:bCs/>
        </w:rPr>
        <w:t>)</w:t>
      </w:r>
      <w:r w:rsidRPr="00686655">
        <w:rPr>
          <w:b/>
        </w:rPr>
        <w:tab/>
      </w:r>
      <w:proofErr w:type="gramStart"/>
      <w:r w:rsidRPr="00686655">
        <w:rPr>
          <w:b/>
        </w:rPr>
        <w:t>предоставить</w:t>
      </w:r>
      <w:proofErr w:type="gramEnd"/>
      <w:r w:rsidRPr="00686655">
        <w:rPr>
          <w:b/>
        </w:rPr>
        <w:t xml:space="preserve"> трудящимся-мигрантам, пострадавшим от пыток и неправомерного обращения, включая торговлю людьми, убежище, псих</w:t>
      </w:r>
      <w:r w:rsidRPr="00686655">
        <w:rPr>
          <w:b/>
        </w:rPr>
        <w:t>о</w:t>
      </w:r>
      <w:r w:rsidRPr="00686655">
        <w:rPr>
          <w:b/>
        </w:rPr>
        <w:t>социальную</w:t>
      </w:r>
      <w:r w:rsidRPr="00A51227">
        <w:rPr>
          <w:b/>
        </w:rPr>
        <w:t xml:space="preserve"> поддержку, юридическую помощь и другие виды возмещения ущерба.</w:t>
      </w:r>
    </w:p>
    <w:p w:rsidR="00A51227" w:rsidRPr="00A51227" w:rsidRDefault="00A51227" w:rsidP="00686655">
      <w:pPr>
        <w:pStyle w:val="H23GR"/>
      </w:pPr>
      <w:r w:rsidRPr="00A51227">
        <w:tab/>
      </w:r>
      <w:r w:rsidRPr="00A51227">
        <w:tab/>
        <w:t>Смертная казнь</w:t>
      </w:r>
    </w:p>
    <w:p w:rsidR="00A51227" w:rsidRPr="00A51227" w:rsidRDefault="00A51227" w:rsidP="00A51227">
      <w:pPr>
        <w:pStyle w:val="SingleTxtGR"/>
      </w:pPr>
      <w:r w:rsidRPr="00A51227">
        <w:t>42.</w:t>
      </w:r>
      <w:r w:rsidRPr="00A51227">
        <w:tab/>
      </w:r>
      <w:proofErr w:type="gramStart"/>
      <w:r w:rsidRPr="00A51227">
        <w:t>Комитет глубоко обеспокоен продолжающимся существованием смер</w:t>
      </w:r>
      <w:r w:rsidRPr="00A51227">
        <w:t>т</w:t>
      </w:r>
      <w:r w:rsidRPr="00A51227">
        <w:t>ной казни</w:t>
      </w:r>
      <w:r w:rsidRPr="00A51227">
        <w:rPr>
          <w:bCs/>
        </w:rPr>
        <w:t>, растущим числом казней в государстве-участнике и тем фактом, что государство-участник не представило запрошенные Комитетом данные о числе казненных или ожидающих приведения смертного приговора в исполнение, а</w:t>
      </w:r>
      <w:r w:rsidR="00686655">
        <w:rPr>
          <w:bCs/>
        </w:rPr>
        <w:t> </w:t>
      </w:r>
      <w:r w:rsidRPr="00A51227">
        <w:rPr>
          <w:bCs/>
        </w:rPr>
        <w:t xml:space="preserve">также, в частности, о поле, возрасте, национальной принадлежности и других соответствующих демографических характеристиках </w:t>
      </w:r>
      <w:r w:rsidRPr="00A51227">
        <w:t xml:space="preserve">затронутых лиц, и об их конкретных правонарушениях (статья 16). </w:t>
      </w:r>
      <w:proofErr w:type="gramEnd"/>
    </w:p>
    <w:p w:rsidR="00A51227" w:rsidRPr="00A51227" w:rsidRDefault="00A51227" w:rsidP="00A51227">
      <w:pPr>
        <w:pStyle w:val="SingleTxtGR"/>
        <w:rPr>
          <w:b/>
          <w:bCs/>
        </w:rPr>
      </w:pPr>
      <w:r w:rsidRPr="00A51227">
        <w:t>43.</w:t>
      </w:r>
      <w:r w:rsidRPr="00A51227">
        <w:tab/>
      </w:r>
      <w:r w:rsidRPr="00A51227">
        <w:rPr>
          <w:b/>
          <w:bCs/>
        </w:rPr>
        <w:t>Комитет призывает государство-участник установить мораторий на проведение казней</w:t>
      </w:r>
      <w:r w:rsidRPr="00A51227">
        <w:rPr>
          <w:b/>
        </w:rPr>
        <w:t>, заменить все вынесенные смертные приговоры</w:t>
      </w:r>
      <w:r w:rsidRPr="00A51227">
        <w:t xml:space="preserve"> </w:t>
      </w:r>
      <w:r w:rsidRPr="00A51227">
        <w:rPr>
          <w:b/>
        </w:rPr>
        <w:t>менее жесткими мерами наказания,</w:t>
      </w:r>
      <w:r w:rsidRPr="00A51227">
        <w:rPr>
          <w:b/>
          <w:bCs/>
        </w:rPr>
        <w:t xml:space="preserve"> стать участником Международного пакта о гражданских и политических правах и, в частности, присоединиться к</w:t>
      </w:r>
      <w:r w:rsidR="00686655">
        <w:rPr>
          <w:b/>
          <w:bCs/>
        </w:rPr>
        <w:t>о</w:t>
      </w:r>
      <w:r w:rsidRPr="00A51227">
        <w:t xml:space="preserve"> </w:t>
      </w:r>
      <w:r w:rsidRPr="00A51227">
        <w:rPr>
          <w:b/>
          <w:bCs/>
        </w:rPr>
        <w:t>второму Факультативному протоколу к нему, направленному на отмену смертной казни. Комитет</w:t>
      </w:r>
      <w:r w:rsidR="00E64296">
        <w:rPr>
          <w:b/>
          <w:bCs/>
        </w:rPr>
        <w:t xml:space="preserve"> призывает государство-участник</w:t>
      </w:r>
      <w:r w:rsidRPr="00A51227">
        <w:rPr>
          <w:b/>
          <w:bCs/>
        </w:rPr>
        <w:t xml:space="preserve"> представить дезагрегированные данные о числе лиц, в настоящее время </w:t>
      </w:r>
      <w:r w:rsidRPr="00A51227">
        <w:rPr>
          <w:b/>
        </w:rPr>
        <w:t>ожидающих приведения в исполнение смертного приговора</w:t>
      </w:r>
      <w:r w:rsidRPr="00A51227">
        <w:rPr>
          <w:b/>
          <w:bCs/>
        </w:rPr>
        <w:t>, о числе казненных с п</w:t>
      </w:r>
      <w:r w:rsidRPr="00A51227">
        <w:rPr>
          <w:b/>
          <w:bCs/>
        </w:rPr>
        <w:t>о</w:t>
      </w:r>
      <w:r w:rsidRPr="00A51227">
        <w:rPr>
          <w:b/>
          <w:bCs/>
        </w:rPr>
        <w:t>дробным указанием совершенных ими правонарушений и причин, по к</w:t>
      </w:r>
      <w:r w:rsidRPr="00A51227">
        <w:rPr>
          <w:b/>
          <w:bCs/>
        </w:rPr>
        <w:t>о</w:t>
      </w:r>
      <w:r w:rsidRPr="00A51227">
        <w:rPr>
          <w:b/>
          <w:bCs/>
        </w:rPr>
        <w:t>торым несовершеннолетние или душевнобольные были приговорены к смерти и/или казнены, а также другие требуемые сведения.</w:t>
      </w:r>
    </w:p>
    <w:p w:rsidR="00A51227" w:rsidRPr="00A51227" w:rsidRDefault="00A51227" w:rsidP="005B4CE7">
      <w:pPr>
        <w:pStyle w:val="H23GR"/>
      </w:pPr>
      <w:r w:rsidRPr="00A51227">
        <w:rPr>
          <w:bCs/>
        </w:rPr>
        <w:tab/>
      </w:r>
      <w:r w:rsidRPr="00A51227">
        <w:rPr>
          <w:bCs/>
        </w:rPr>
        <w:tab/>
      </w:r>
      <w:r w:rsidRPr="00A51227">
        <w:t>Реестры</w:t>
      </w:r>
    </w:p>
    <w:p w:rsidR="00A51227" w:rsidRPr="00A51227" w:rsidRDefault="00A51227" w:rsidP="00A51227">
      <w:pPr>
        <w:pStyle w:val="SingleTxtGR"/>
      </w:pPr>
      <w:r w:rsidRPr="00A51227">
        <w:t>44.</w:t>
      </w:r>
      <w:r w:rsidRPr="00A51227">
        <w:tab/>
        <w:t>Отмечая представленную государством-участником информацию о том, что реестры ведутся во всех тюрьмах и цент</w:t>
      </w:r>
      <w:r w:rsidR="005B4CE7">
        <w:t>рах содержания под стражей (см. </w:t>
      </w:r>
      <w:r w:rsidRPr="00A51227">
        <w:rPr>
          <w:lang w:val="en-GB"/>
        </w:rPr>
        <w:t>CAT</w:t>
      </w:r>
      <w:r w:rsidRPr="00A51227">
        <w:t>/</w:t>
      </w:r>
      <w:r w:rsidRPr="00A51227">
        <w:rPr>
          <w:lang w:val="en-GB"/>
        </w:rPr>
        <w:t>C</w:t>
      </w:r>
      <w:r w:rsidRPr="00A51227">
        <w:t>/</w:t>
      </w:r>
      <w:r w:rsidRPr="00A51227">
        <w:rPr>
          <w:lang w:val="en-GB"/>
        </w:rPr>
        <w:t>SAU</w:t>
      </w:r>
      <w:r w:rsidRPr="00A51227">
        <w:t>/</w:t>
      </w:r>
      <w:r w:rsidRPr="00A51227">
        <w:rPr>
          <w:lang w:val="en-GB"/>
        </w:rPr>
        <w:t>Q</w:t>
      </w:r>
      <w:r w:rsidRPr="00A51227">
        <w:t>/2/</w:t>
      </w:r>
      <w:r w:rsidRPr="00A51227">
        <w:rPr>
          <w:lang w:val="en-GB"/>
        </w:rPr>
        <w:t>Add</w:t>
      </w:r>
      <w:r w:rsidRPr="00A51227">
        <w:t>.2, пункты 12–13), Комитет, тем не менее, обеспокоен сообщениями о том, что в подобных реестрах отсутствует информация о допр</w:t>
      </w:r>
      <w:r w:rsidRPr="00A51227">
        <w:t>о</w:t>
      </w:r>
      <w:r w:rsidRPr="00A51227">
        <w:t>сах (даты и допрашивающий орган) и медицинские карты. Кроме того, он оз</w:t>
      </w:r>
      <w:r w:rsidRPr="00A51227">
        <w:t>а</w:t>
      </w:r>
      <w:r w:rsidRPr="00A51227">
        <w:t>бочен сообщениями о том, что адвокаты заключенных не имеют доступа к р</w:t>
      </w:r>
      <w:r w:rsidRPr="00A51227">
        <w:t>е</w:t>
      </w:r>
      <w:r w:rsidRPr="00A51227">
        <w:t>естрам в любое время (статья 11).</w:t>
      </w:r>
    </w:p>
    <w:p w:rsidR="00A51227" w:rsidRPr="00A51227" w:rsidRDefault="00A51227" w:rsidP="00A51227">
      <w:pPr>
        <w:pStyle w:val="SingleTxtGR"/>
        <w:rPr>
          <w:b/>
          <w:bCs/>
        </w:rPr>
      </w:pPr>
      <w:r w:rsidRPr="00A51227">
        <w:t>45.</w:t>
      </w:r>
      <w:r w:rsidRPr="00A51227">
        <w:tab/>
      </w:r>
      <w:r w:rsidRPr="00A51227">
        <w:rPr>
          <w:b/>
          <w:bCs/>
        </w:rPr>
        <w:t>Государству-участнику следует обеспечить ведение реестров, соде</w:t>
      </w:r>
      <w:r w:rsidRPr="00A51227">
        <w:rPr>
          <w:b/>
          <w:bCs/>
        </w:rPr>
        <w:t>р</w:t>
      </w:r>
      <w:r w:rsidRPr="00A51227">
        <w:rPr>
          <w:b/>
          <w:bCs/>
        </w:rPr>
        <w:t>жащих полную и подробную информацию, в том числе о допросах и инц</w:t>
      </w:r>
      <w:r w:rsidRPr="00A51227">
        <w:rPr>
          <w:b/>
          <w:bCs/>
        </w:rPr>
        <w:t>и</w:t>
      </w:r>
      <w:r w:rsidRPr="00A51227">
        <w:rPr>
          <w:b/>
          <w:bCs/>
        </w:rPr>
        <w:t>дентах в ходе содержания под стражей, а также медицинские карты на каждого заключенного. Государству-участнику следует также обеспечить защиту персональных данных лиц, лишенных свободы, и соблюдать вр</w:t>
      </w:r>
      <w:r w:rsidRPr="00A51227">
        <w:rPr>
          <w:b/>
          <w:bCs/>
        </w:rPr>
        <w:t>а</w:t>
      </w:r>
      <w:r w:rsidRPr="00A51227">
        <w:rPr>
          <w:b/>
          <w:bCs/>
        </w:rPr>
        <w:t>чебную тайну</w:t>
      </w:r>
      <w:r w:rsidRPr="00A51227">
        <w:rPr>
          <w:b/>
        </w:rPr>
        <w:t>. Кроме того, государству-участнику следует обеспечить д</w:t>
      </w:r>
      <w:r w:rsidRPr="00A51227">
        <w:rPr>
          <w:b/>
        </w:rPr>
        <w:t>о</w:t>
      </w:r>
      <w:r w:rsidRPr="00A51227">
        <w:rPr>
          <w:b/>
        </w:rPr>
        <w:t>ступность реестров для адвокатов заключенных с их согласия в любое вр</w:t>
      </w:r>
      <w:r w:rsidRPr="00A51227">
        <w:rPr>
          <w:b/>
        </w:rPr>
        <w:t>е</w:t>
      </w:r>
      <w:r w:rsidRPr="00A51227">
        <w:rPr>
          <w:b/>
        </w:rPr>
        <w:t>мя.</w:t>
      </w:r>
    </w:p>
    <w:p w:rsidR="00A51227" w:rsidRPr="00A51227" w:rsidRDefault="00A51227" w:rsidP="005B4CE7">
      <w:pPr>
        <w:pStyle w:val="H23GR"/>
      </w:pPr>
      <w:r w:rsidRPr="00A51227">
        <w:tab/>
      </w:r>
      <w:r w:rsidRPr="00A51227">
        <w:tab/>
        <w:t>Беженцы и невыдворение</w:t>
      </w:r>
    </w:p>
    <w:p w:rsidR="00A51227" w:rsidRPr="00A51227" w:rsidRDefault="00A51227" w:rsidP="00A51227">
      <w:pPr>
        <w:pStyle w:val="SingleTxtGR"/>
      </w:pPr>
      <w:r w:rsidRPr="00A51227">
        <w:t>46.</w:t>
      </w:r>
      <w:r w:rsidRPr="00A51227">
        <w:tab/>
        <w:t>Комитет выражает удовлетворение по поводу мер, принятых госуда</w:t>
      </w:r>
      <w:r w:rsidRPr="00A51227">
        <w:t>р</w:t>
      </w:r>
      <w:r w:rsidRPr="00A51227">
        <w:t>ством-участником для оказания помощи беженцам из соседних государств, о</w:t>
      </w:r>
      <w:r w:rsidRPr="00A51227">
        <w:t>д</w:t>
      </w:r>
      <w:r w:rsidRPr="00A51227">
        <w:t xml:space="preserve">нако он по-прежнему обеспокоен отсутствием национального законодательства и процедур, непосредственно регламентирующих высылку, </w:t>
      </w:r>
      <w:proofErr w:type="gramStart"/>
      <w:r w:rsidRPr="00A51227">
        <w:t>выдворение</w:t>
      </w:r>
      <w:proofErr w:type="gramEnd"/>
      <w:r w:rsidRPr="00A51227">
        <w:t xml:space="preserve"> и выд</w:t>
      </w:r>
      <w:r w:rsidRPr="00A51227">
        <w:t>а</w:t>
      </w:r>
      <w:r w:rsidRPr="00A51227">
        <w:t>чу и соответствующих требованиям статьи 3 Конвенции. Кроме того, Комитет озабочен отсутствием конкретных механизмов проверки несовершеннолетних, подвергающихся риску пострадать от торговли людьми, и предоставления им защиты. Комитет также выражает сожаление в связи с недостатком информации о числе дел, в рамках которых в течение отчетного периода были осуществлены депортация, выдача и высылка, и о числе случаев, в которых лица, подверга</w:t>
      </w:r>
      <w:r w:rsidRPr="00A51227">
        <w:t>ю</w:t>
      </w:r>
      <w:r w:rsidRPr="00A51227">
        <w:t>щиеся опасности пыток в стране возвращения, не были высланы из госуда</w:t>
      </w:r>
      <w:r w:rsidRPr="00A51227">
        <w:t>р</w:t>
      </w:r>
      <w:r w:rsidRPr="00A51227">
        <w:t>ства-участника. Комитет отмечает далее, что, несмотря на гуманитарную де</w:t>
      </w:r>
      <w:r w:rsidRPr="00A51227">
        <w:t>я</w:t>
      </w:r>
      <w:r w:rsidRPr="00A51227">
        <w:t>тельность властей, в том числе принятие ряда беженцев, государство-участник еще не ратифицировало международные договоры, касающиеся защиты беже</w:t>
      </w:r>
      <w:r w:rsidRPr="00A51227">
        <w:t>н</w:t>
      </w:r>
      <w:r w:rsidRPr="00A51227">
        <w:t>цев и просителей убежища (статья 3).</w:t>
      </w:r>
    </w:p>
    <w:p w:rsidR="00A51227" w:rsidRPr="00A51227" w:rsidRDefault="00A51227" w:rsidP="00A51227">
      <w:pPr>
        <w:pStyle w:val="SingleTxtGR"/>
      </w:pPr>
      <w:r w:rsidRPr="00A51227">
        <w:t>47.</w:t>
      </w:r>
      <w:r w:rsidRPr="00A51227">
        <w:tab/>
      </w:r>
      <w:r w:rsidRPr="00A51227">
        <w:rPr>
          <w:b/>
          <w:bCs/>
        </w:rPr>
        <w:t>Государству-участнику следует принять следующие меры</w:t>
      </w:r>
      <w:r w:rsidRPr="00A51227">
        <w:rPr>
          <w:b/>
        </w:rPr>
        <w:t>:</w:t>
      </w:r>
    </w:p>
    <w:p w:rsidR="00A51227" w:rsidRPr="005B4CE7" w:rsidRDefault="005B4CE7" w:rsidP="00A51227">
      <w:pPr>
        <w:pStyle w:val="SingleTxtGR"/>
        <w:rPr>
          <w:b/>
        </w:rPr>
      </w:pPr>
      <w:r>
        <w:rPr>
          <w:bCs/>
        </w:rPr>
        <w:tab/>
      </w:r>
      <w:r w:rsidR="00A51227" w:rsidRPr="005B4CE7">
        <w:rPr>
          <w:b/>
          <w:bCs/>
          <w:lang w:val="en-GB"/>
        </w:rPr>
        <w:t>a</w:t>
      </w:r>
      <w:r w:rsidR="00A51227" w:rsidRPr="005B4CE7">
        <w:rPr>
          <w:b/>
          <w:bCs/>
        </w:rPr>
        <w:t>)</w:t>
      </w:r>
      <w:r w:rsidR="00A51227" w:rsidRPr="005B4CE7">
        <w:rPr>
          <w:b/>
        </w:rPr>
        <w:tab/>
      </w:r>
      <w:proofErr w:type="gramStart"/>
      <w:r w:rsidR="00A51227" w:rsidRPr="005B4CE7">
        <w:rPr>
          <w:b/>
        </w:rPr>
        <w:t>принять</w:t>
      </w:r>
      <w:proofErr w:type="gramEnd"/>
      <w:r w:rsidR="00A51227" w:rsidRPr="005B4CE7">
        <w:rPr>
          <w:b/>
        </w:rPr>
        <w:t xml:space="preserve"> всеобъемлющий закон об убежище, соответствующий международным стандартам и нормам в области прав человека, а также статье 3 Конвенции;</w:t>
      </w:r>
    </w:p>
    <w:p w:rsidR="00A51227" w:rsidRPr="005B4CE7" w:rsidRDefault="005B4CE7" w:rsidP="00A51227">
      <w:pPr>
        <w:pStyle w:val="SingleTxtGR"/>
        <w:rPr>
          <w:b/>
        </w:rPr>
      </w:pPr>
      <w:r w:rsidRPr="005B4CE7">
        <w:rPr>
          <w:b/>
          <w:bCs/>
        </w:rPr>
        <w:tab/>
      </w:r>
      <w:r w:rsidR="00A51227" w:rsidRPr="005B4CE7">
        <w:rPr>
          <w:b/>
          <w:bCs/>
          <w:lang w:val="en-GB"/>
        </w:rPr>
        <w:t>b</w:t>
      </w:r>
      <w:r w:rsidR="00A51227" w:rsidRPr="005B4CE7">
        <w:rPr>
          <w:b/>
          <w:bCs/>
        </w:rPr>
        <w:t>)</w:t>
      </w:r>
      <w:r w:rsidR="00A51227" w:rsidRPr="005B4CE7">
        <w:rPr>
          <w:b/>
        </w:rPr>
        <w:tab/>
      </w:r>
      <w:proofErr w:type="gramStart"/>
      <w:r w:rsidR="00A51227" w:rsidRPr="005B4CE7">
        <w:rPr>
          <w:b/>
        </w:rPr>
        <w:t>обеспечить</w:t>
      </w:r>
      <w:proofErr w:type="gramEnd"/>
      <w:r w:rsidR="00A51227" w:rsidRPr="005B4CE7">
        <w:rPr>
          <w:b/>
        </w:rPr>
        <w:t xml:space="preserve"> принятие внутреннего законодательства против выдворения и эффективных средств защиты в рамках процедуры высы</w:t>
      </w:r>
      <w:r w:rsidR="00A51227" w:rsidRPr="005B4CE7">
        <w:rPr>
          <w:b/>
        </w:rPr>
        <w:t>л</w:t>
      </w:r>
      <w:r w:rsidR="00A51227" w:rsidRPr="005B4CE7">
        <w:rPr>
          <w:b/>
        </w:rPr>
        <w:t>ки, включая проведение обзора независимым судебным органом;</w:t>
      </w:r>
    </w:p>
    <w:p w:rsidR="00A51227" w:rsidRPr="00A51227" w:rsidRDefault="005B4CE7" w:rsidP="00A51227">
      <w:pPr>
        <w:pStyle w:val="SingleTxtGR"/>
        <w:rPr>
          <w:b/>
        </w:rPr>
      </w:pPr>
      <w:r w:rsidRPr="005B4CE7">
        <w:rPr>
          <w:b/>
          <w:bCs/>
        </w:rPr>
        <w:tab/>
      </w:r>
      <w:r w:rsidR="00A51227" w:rsidRPr="005B4CE7">
        <w:rPr>
          <w:b/>
          <w:bCs/>
          <w:lang w:val="en-GB"/>
        </w:rPr>
        <w:t>c</w:t>
      </w:r>
      <w:r w:rsidR="00A51227" w:rsidRPr="005B4CE7">
        <w:rPr>
          <w:b/>
          <w:bCs/>
        </w:rPr>
        <w:t>)</w:t>
      </w:r>
      <w:r w:rsidR="00A51227" w:rsidRPr="005B4CE7">
        <w:rPr>
          <w:b/>
        </w:rPr>
        <w:tab/>
      </w:r>
      <w:proofErr w:type="gramStart"/>
      <w:r w:rsidR="00A51227" w:rsidRPr="00A51227">
        <w:rPr>
          <w:b/>
        </w:rPr>
        <w:t>учредить</w:t>
      </w:r>
      <w:proofErr w:type="gramEnd"/>
      <w:r w:rsidR="00A51227" w:rsidRPr="00A51227">
        <w:rPr>
          <w:b/>
        </w:rPr>
        <w:t xml:space="preserve"> механизмы выявления </w:t>
      </w:r>
      <w:r w:rsidR="00A51227" w:rsidRPr="00A51227">
        <w:rPr>
          <w:b/>
          <w:bCs/>
        </w:rPr>
        <w:t>несовершеннолетних, подве</w:t>
      </w:r>
      <w:r w:rsidR="00A51227" w:rsidRPr="00A51227">
        <w:rPr>
          <w:b/>
          <w:bCs/>
        </w:rPr>
        <w:t>р</w:t>
      </w:r>
      <w:r w:rsidR="00A51227" w:rsidRPr="00A51227">
        <w:rPr>
          <w:b/>
          <w:bCs/>
        </w:rPr>
        <w:t>гающихся риску пострадать от торговли людьми, а также лиц, которые, возможно, являются жертвами пыток, и предоставления им защиты</w:t>
      </w:r>
      <w:r w:rsidR="00A51227" w:rsidRPr="00A51227">
        <w:rPr>
          <w:b/>
        </w:rPr>
        <w:t>;</w:t>
      </w:r>
    </w:p>
    <w:p w:rsidR="00A51227" w:rsidRPr="00A51227" w:rsidRDefault="00A51227" w:rsidP="00A51227">
      <w:pPr>
        <w:pStyle w:val="SingleTxtGR"/>
        <w:rPr>
          <w:b/>
        </w:rPr>
      </w:pPr>
      <w:r w:rsidRPr="00A51227">
        <w:rPr>
          <w:b/>
        </w:rPr>
        <w:tab/>
      </w:r>
      <w:r w:rsidRPr="005B4CE7">
        <w:rPr>
          <w:b/>
          <w:bCs/>
          <w:lang w:val="en-GB"/>
        </w:rPr>
        <w:t>d</w:t>
      </w:r>
      <w:r w:rsidRPr="005B4CE7">
        <w:rPr>
          <w:b/>
          <w:bCs/>
        </w:rPr>
        <w:t>)</w:t>
      </w:r>
      <w:r w:rsidRPr="005B4CE7">
        <w:rPr>
          <w:b/>
        </w:rPr>
        <w:tab/>
      </w:r>
      <w:r w:rsidRPr="005B4CE7">
        <w:rPr>
          <w:b/>
          <w:bCs/>
        </w:rPr>
        <w:t>рассмотреть</w:t>
      </w:r>
      <w:r w:rsidRPr="00A51227">
        <w:rPr>
          <w:b/>
          <w:bCs/>
        </w:rPr>
        <w:t xml:space="preserve"> возможность ратификации Конвенции о статусе беженцев </w:t>
      </w:r>
      <w:r w:rsidRPr="00A51227">
        <w:rPr>
          <w:b/>
        </w:rPr>
        <w:t>1951</w:t>
      </w:r>
      <w:r w:rsidRPr="00A51227">
        <w:rPr>
          <w:b/>
          <w:lang w:val="en-US"/>
        </w:rPr>
        <w:t> </w:t>
      </w:r>
      <w:r w:rsidRPr="00A51227">
        <w:rPr>
          <w:b/>
        </w:rPr>
        <w:t xml:space="preserve">года, Протокола, касающегося статуса беженцев, 1967 года, Конвенции о статусе апатридов 1954 года и Конвенции о сокращении </w:t>
      </w:r>
      <w:r w:rsidR="005B4CE7">
        <w:rPr>
          <w:b/>
        </w:rPr>
        <w:br/>
      </w:r>
      <w:r w:rsidRPr="00A51227">
        <w:rPr>
          <w:b/>
        </w:rPr>
        <w:t>безгражданства 1961 года.</w:t>
      </w:r>
    </w:p>
    <w:p w:rsidR="00A51227" w:rsidRPr="00A51227" w:rsidRDefault="00A51227" w:rsidP="005B4CE7">
      <w:pPr>
        <w:pStyle w:val="H23GR"/>
      </w:pPr>
      <w:r w:rsidRPr="00A51227">
        <w:tab/>
      </w:r>
      <w:r w:rsidRPr="00A51227">
        <w:tab/>
        <w:t>Учебная подготовка</w:t>
      </w:r>
    </w:p>
    <w:p w:rsidR="00A51227" w:rsidRPr="00A51227" w:rsidRDefault="00A51227" w:rsidP="00A51227">
      <w:pPr>
        <w:pStyle w:val="SingleTxtGR"/>
      </w:pPr>
      <w:r w:rsidRPr="00A51227">
        <w:t>48.</w:t>
      </w:r>
      <w:r w:rsidRPr="00A51227">
        <w:tab/>
      </w:r>
      <w:proofErr w:type="gramStart"/>
      <w:r w:rsidRPr="00A51227">
        <w:t>Отмечая, что Министерство здравоохранения организует учебную подг</w:t>
      </w:r>
      <w:r w:rsidRPr="00A51227">
        <w:t>о</w:t>
      </w:r>
      <w:r w:rsidRPr="00A51227">
        <w:t>товку для медицинских работников по вопросу о том, каким образом выявляю</w:t>
      </w:r>
      <w:r w:rsidRPr="00A51227">
        <w:t>т</w:t>
      </w:r>
      <w:r w:rsidRPr="00A51227">
        <w:t>ся физические признаки пыток и других форм насилия, а также другое обуч</w:t>
      </w:r>
      <w:r w:rsidRPr="00A51227">
        <w:t>е</w:t>
      </w:r>
      <w:r w:rsidRPr="00A51227">
        <w:t>ние для государственных должностных лиц, Комитет, тем не менее, выражает сожаление по поводу того, что ни один специальный учебный курс по Руково</w:t>
      </w:r>
      <w:r w:rsidRPr="00A51227">
        <w:t>д</w:t>
      </w:r>
      <w:r w:rsidRPr="00A51227">
        <w:t>ству по эффективному расследованию и документированию пыток и других ж</w:t>
      </w:r>
      <w:r w:rsidRPr="00A51227">
        <w:t>е</w:t>
      </w:r>
      <w:r w:rsidRPr="00A51227">
        <w:t>стоких, бесчеловечных или</w:t>
      </w:r>
      <w:proofErr w:type="gramEnd"/>
      <w:r w:rsidRPr="00A51227">
        <w:t xml:space="preserve"> унижающих достоинство видов обращения и нак</w:t>
      </w:r>
      <w:r w:rsidRPr="00A51227">
        <w:t>а</w:t>
      </w:r>
      <w:r w:rsidRPr="00A51227">
        <w:t>зания (Стамбульский протокол) не является обязательным для государственных должностных лиц, включая медицинский персонал. Кроме того, Комитет сож</w:t>
      </w:r>
      <w:r w:rsidRPr="00A51227">
        <w:t>а</w:t>
      </w:r>
      <w:r w:rsidRPr="00A51227">
        <w:t>леет об отсутствии в докладе государства-участника ссылок на какие-либо р</w:t>
      </w:r>
      <w:r w:rsidRPr="00A51227">
        <w:t>у</w:t>
      </w:r>
      <w:r w:rsidRPr="00A51227">
        <w:t xml:space="preserve">ководящие принципы, касающиеся расследования утверждений о сексуальном насилии (статья 10). </w:t>
      </w:r>
    </w:p>
    <w:p w:rsidR="00A51227" w:rsidRPr="00A51227" w:rsidRDefault="00A51227" w:rsidP="00A51227">
      <w:pPr>
        <w:pStyle w:val="SingleTxtGR"/>
        <w:rPr>
          <w:b/>
        </w:rPr>
      </w:pPr>
      <w:r w:rsidRPr="00A51227">
        <w:t>49.</w:t>
      </w:r>
      <w:r w:rsidRPr="00A51227">
        <w:tab/>
      </w:r>
      <w:r w:rsidRPr="00A51227">
        <w:rPr>
          <w:b/>
        </w:rPr>
        <w:t>Государству-участнику следует:</w:t>
      </w:r>
    </w:p>
    <w:p w:rsidR="00A51227" w:rsidRPr="005B4CE7" w:rsidRDefault="00A51227" w:rsidP="00A51227">
      <w:pPr>
        <w:pStyle w:val="SingleTxtGR"/>
        <w:rPr>
          <w:b/>
        </w:rPr>
      </w:pPr>
      <w:r w:rsidRPr="00A51227">
        <w:rPr>
          <w:b/>
        </w:rPr>
        <w:tab/>
      </w:r>
      <w:r w:rsidRPr="005B4CE7">
        <w:rPr>
          <w:b/>
          <w:bCs/>
          <w:lang w:val="en-GB"/>
        </w:rPr>
        <w:t>a</w:t>
      </w:r>
      <w:r w:rsidRPr="005B4CE7">
        <w:rPr>
          <w:b/>
          <w:bCs/>
        </w:rPr>
        <w:t>)</w:t>
      </w:r>
      <w:r w:rsidRPr="005B4CE7">
        <w:rPr>
          <w:b/>
        </w:rPr>
        <w:tab/>
      </w:r>
      <w:proofErr w:type="gramStart"/>
      <w:r w:rsidRPr="005B4CE7">
        <w:rPr>
          <w:b/>
        </w:rPr>
        <w:t>обеспечить</w:t>
      </w:r>
      <w:proofErr w:type="gramEnd"/>
      <w:r w:rsidRPr="005B4CE7">
        <w:rPr>
          <w:b/>
        </w:rPr>
        <w:t>, чтобы все соответствующие должностные лица, включая медицинский персонал, прошли специальную подготовку по в</w:t>
      </w:r>
      <w:r w:rsidRPr="005B4CE7">
        <w:rPr>
          <w:b/>
        </w:rPr>
        <w:t>ы</w:t>
      </w:r>
      <w:r w:rsidRPr="005B4CE7">
        <w:rPr>
          <w:b/>
        </w:rPr>
        <w:t>явлению и документированию случаев пыток и неправомерного обращ</w:t>
      </w:r>
      <w:r w:rsidRPr="005B4CE7">
        <w:rPr>
          <w:b/>
        </w:rPr>
        <w:t>е</w:t>
      </w:r>
      <w:r w:rsidRPr="005B4CE7">
        <w:rPr>
          <w:b/>
        </w:rPr>
        <w:t>ния в соответствии со Стамбульским протоколом;</w:t>
      </w:r>
    </w:p>
    <w:p w:rsidR="00A51227" w:rsidRPr="00A51227" w:rsidRDefault="00A51227" w:rsidP="00A51227">
      <w:pPr>
        <w:pStyle w:val="SingleTxtGR"/>
        <w:rPr>
          <w:b/>
          <w:bCs/>
        </w:rPr>
      </w:pPr>
      <w:r w:rsidRPr="005B4CE7">
        <w:rPr>
          <w:b/>
        </w:rPr>
        <w:tab/>
      </w:r>
      <w:r w:rsidRPr="005B4CE7">
        <w:rPr>
          <w:b/>
          <w:bCs/>
          <w:lang w:val="en-GB"/>
        </w:rPr>
        <w:t>b</w:t>
      </w:r>
      <w:r w:rsidRPr="005B4CE7">
        <w:rPr>
          <w:b/>
          <w:bCs/>
        </w:rPr>
        <w:t>)</w:t>
      </w:r>
      <w:r w:rsidRPr="005B4CE7">
        <w:rPr>
          <w:b/>
        </w:rPr>
        <w:tab/>
        <w:t>организовать для судебной системы и других лиц, занима</w:t>
      </w:r>
      <w:r w:rsidRPr="005B4CE7">
        <w:rPr>
          <w:b/>
        </w:rPr>
        <w:t>ю</w:t>
      </w:r>
      <w:r w:rsidRPr="005B4CE7">
        <w:rPr>
          <w:b/>
        </w:rPr>
        <w:t>щихся охраной</w:t>
      </w:r>
      <w:r w:rsidRPr="00A51227">
        <w:rPr>
          <w:b/>
        </w:rPr>
        <w:t xml:space="preserve"> правопорядка, учебную подготовку и принять руководящие принципы, касающиеся того, каким образом проводятся расследования и принимаются решения по делам об изнасиловании и сексуальном насилии, а также того, каким образом осуществляется преследование виновных в судебном порядке</w:t>
      </w:r>
      <w:r w:rsidRPr="00A51227">
        <w:rPr>
          <w:b/>
          <w:bCs/>
        </w:rPr>
        <w:t xml:space="preserve">. </w:t>
      </w:r>
    </w:p>
    <w:p w:rsidR="00A51227" w:rsidRPr="00A51227" w:rsidRDefault="00A51227" w:rsidP="005B4CE7">
      <w:pPr>
        <w:pStyle w:val="H23GR"/>
      </w:pPr>
      <w:r w:rsidRPr="00A51227">
        <w:tab/>
      </w:r>
      <w:r w:rsidRPr="00A51227">
        <w:tab/>
        <w:t>Возмещение ущерба и реабилитация</w:t>
      </w:r>
    </w:p>
    <w:p w:rsidR="00A51227" w:rsidRPr="00A51227" w:rsidRDefault="00A51227" w:rsidP="00A51227">
      <w:pPr>
        <w:pStyle w:val="SingleTxtGR"/>
      </w:pPr>
      <w:r w:rsidRPr="00A51227">
        <w:t>50.</w:t>
      </w:r>
      <w:r w:rsidRPr="00A51227">
        <w:tab/>
      </w:r>
      <w:proofErr w:type="gramStart"/>
      <w:r w:rsidRPr="00A51227">
        <w:t>Отмечая учреждение Совета по рассмотрению жалоб в целях обеспеч</w:t>
      </w:r>
      <w:r w:rsidRPr="00A51227">
        <w:t>е</w:t>
      </w:r>
      <w:r w:rsidRPr="00A51227">
        <w:t>ния того, чтобы частные лица или организации, напрямую подающие ходата</w:t>
      </w:r>
      <w:r w:rsidRPr="00A51227">
        <w:t>й</w:t>
      </w:r>
      <w:r w:rsidRPr="00A51227">
        <w:t>ства о возмещении ущерба или принятии правительством мер по прекращению нарушений прав человека, получали денежную компенсацию, Комитет, тем не менее, обеспокоен отсутствием во внутреннем законодательстве конкретных положений, предусматривающих право жертв пыток и неправомерного обращ</w:t>
      </w:r>
      <w:r w:rsidRPr="00A51227">
        <w:t>е</w:t>
      </w:r>
      <w:r w:rsidRPr="00A51227">
        <w:t>ния на справедливую и адекватную компенсацию в соответствии с требовани</w:t>
      </w:r>
      <w:r w:rsidRPr="00A51227">
        <w:t>я</w:t>
      </w:r>
      <w:r w:rsidRPr="00A51227">
        <w:t>ми</w:t>
      </w:r>
      <w:proofErr w:type="gramEnd"/>
      <w:r w:rsidRPr="00A51227">
        <w:t xml:space="preserve"> статьи 14 Конвенции. Комитет выражает сожаление по поводу того, что </w:t>
      </w:r>
      <w:r w:rsidR="00D63EBD" w:rsidRPr="00D63EBD">
        <w:br/>
      </w:r>
      <w:bookmarkStart w:id="2" w:name="_GoBack"/>
      <w:bookmarkEnd w:id="2"/>
      <w:r w:rsidRPr="00A51227">
        <w:t>го</w:t>
      </w:r>
      <w:r w:rsidRPr="00A51227">
        <w:t>с</w:t>
      </w:r>
      <w:r w:rsidRPr="00A51227">
        <w:t>ударство-участник не представило всеобъемлющую информацию о мерах по возмещению ущерба и компенсации, предписанных судами или другими гос</w:t>
      </w:r>
      <w:r w:rsidRPr="00A51227">
        <w:t>у</w:t>
      </w:r>
      <w:r w:rsidRPr="00A51227">
        <w:t>дарственными органами с момента вступления Конвенции в силу для госуда</w:t>
      </w:r>
      <w:r w:rsidRPr="00A51227">
        <w:t>р</w:t>
      </w:r>
      <w:r w:rsidRPr="00A51227">
        <w:t>ства-участника, а также о каком-либо возмещении ущерба жертвам пыток вне зависимости от того, был ли правонарушитель признан виновным в ходе уг</w:t>
      </w:r>
      <w:r w:rsidRPr="00A51227">
        <w:t>о</w:t>
      </w:r>
      <w:r w:rsidRPr="00A51227">
        <w:t xml:space="preserve">ловного разбирательства (статья 14). </w:t>
      </w:r>
    </w:p>
    <w:p w:rsidR="00A51227" w:rsidRPr="00A51227" w:rsidRDefault="00A51227" w:rsidP="00A51227">
      <w:pPr>
        <w:pStyle w:val="SingleTxtGR"/>
        <w:rPr>
          <w:b/>
          <w:bCs/>
        </w:rPr>
      </w:pPr>
      <w:r w:rsidRPr="00A51227">
        <w:t>51.</w:t>
      </w:r>
      <w:r w:rsidRPr="00A51227">
        <w:tab/>
      </w:r>
      <w:r w:rsidRPr="00A51227">
        <w:rPr>
          <w:b/>
          <w:bCs/>
        </w:rPr>
        <w:t>Государству-участнику следует принять следующие меры:</w:t>
      </w:r>
    </w:p>
    <w:p w:rsidR="00A51227" w:rsidRPr="00A51227" w:rsidRDefault="002B35DB" w:rsidP="00A51227">
      <w:pPr>
        <w:pStyle w:val="SingleTxtGR"/>
        <w:rPr>
          <w:b/>
          <w:bCs/>
        </w:rPr>
      </w:pPr>
      <w:r>
        <w:rPr>
          <w:bCs/>
        </w:rPr>
        <w:tab/>
      </w:r>
      <w:r w:rsidR="00A51227" w:rsidRPr="002B35DB">
        <w:rPr>
          <w:b/>
          <w:bCs/>
          <w:lang w:val="en-GB"/>
        </w:rPr>
        <w:t>a</w:t>
      </w:r>
      <w:r w:rsidR="00A51227" w:rsidRPr="002B35DB">
        <w:rPr>
          <w:b/>
          <w:bCs/>
        </w:rPr>
        <w:t>)</w:t>
      </w:r>
      <w:r w:rsidR="00A51227" w:rsidRPr="002B35DB">
        <w:rPr>
          <w:b/>
        </w:rPr>
        <w:tab/>
      </w:r>
      <w:r w:rsidR="00A51227" w:rsidRPr="00A51227">
        <w:rPr>
          <w:b/>
        </w:rPr>
        <w:t>провести обзор своего законодательства, с тем чтобы включить в него конкретные положения, касающиеся права жертв пыток и неправ</w:t>
      </w:r>
      <w:r w:rsidR="00A51227" w:rsidRPr="00A51227">
        <w:rPr>
          <w:b/>
        </w:rPr>
        <w:t>о</w:t>
      </w:r>
      <w:r w:rsidR="00A51227" w:rsidRPr="00A51227">
        <w:rPr>
          <w:b/>
        </w:rPr>
        <w:t>мерного обращения на возмещение ущерба, включая справедливую и аде</w:t>
      </w:r>
      <w:r w:rsidR="00A51227" w:rsidRPr="00A51227">
        <w:rPr>
          <w:b/>
        </w:rPr>
        <w:t>к</w:t>
      </w:r>
      <w:r w:rsidR="00A51227" w:rsidRPr="00A51227">
        <w:rPr>
          <w:b/>
        </w:rPr>
        <w:t>ватную компенсацию и реабилитацию</w:t>
      </w:r>
      <w:r w:rsidR="00A51227" w:rsidRPr="00A51227">
        <w:rPr>
          <w:b/>
          <w:bCs/>
        </w:rPr>
        <w:t>, и обеспечить, чтобы жертвы могли, в частности, запрашивать и получать оперативную, справедливую и аде</w:t>
      </w:r>
      <w:r w:rsidR="00A51227" w:rsidRPr="00A51227">
        <w:rPr>
          <w:b/>
          <w:bCs/>
        </w:rPr>
        <w:t>к</w:t>
      </w:r>
      <w:r w:rsidR="00A51227" w:rsidRPr="00A51227">
        <w:rPr>
          <w:b/>
          <w:bCs/>
        </w:rPr>
        <w:t xml:space="preserve">ватную компенсацию, в том числе в случаях, когда </w:t>
      </w:r>
      <w:r>
        <w:rPr>
          <w:b/>
          <w:bCs/>
        </w:rPr>
        <w:t>возникает</w:t>
      </w:r>
      <w:r w:rsidR="00A51227" w:rsidRPr="00A51227">
        <w:rPr>
          <w:b/>
          <w:bCs/>
        </w:rPr>
        <w:t xml:space="preserve"> гражданско-правовая ответственность государства-участника;</w:t>
      </w:r>
    </w:p>
    <w:p w:rsidR="00A51227" w:rsidRPr="002B35DB" w:rsidRDefault="002B35DB" w:rsidP="00A51227">
      <w:pPr>
        <w:pStyle w:val="SingleTxtGR"/>
        <w:rPr>
          <w:b/>
          <w:bCs/>
        </w:rPr>
      </w:pPr>
      <w:r>
        <w:rPr>
          <w:bCs/>
        </w:rPr>
        <w:tab/>
      </w:r>
      <w:r w:rsidR="00A51227" w:rsidRPr="002B35DB">
        <w:rPr>
          <w:b/>
          <w:bCs/>
          <w:lang w:val="en-GB"/>
        </w:rPr>
        <w:t>b</w:t>
      </w:r>
      <w:r w:rsidR="00A51227" w:rsidRPr="002B35DB">
        <w:rPr>
          <w:b/>
          <w:bCs/>
        </w:rPr>
        <w:t>)</w:t>
      </w:r>
      <w:r w:rsidR="00A51227" w:rsidRPr="002B35DB">
        <w:rPr>
          <w:b/>
        </w:rPr>
        <w:tab/>
      </w:r>
      <w:proofErr w:type="gramStart"/>
      <w:r w:rsidR="00A51227" w:rsidRPr="002B35DB">
        <w:rPr>
          <w:b/>
        </w:rPr>
        <w:t>на</w:t>
      </w:r>
      <w:proofErr w:type="gramEnd"/>
      <w:r w:rsidR="00A51227" w:rsidRPr="002B35DB">
        <w:rPr>
          <w:b/>
        </w:rPr>
        <w:t xml:space="preserve"> практике предоставить всем жертвам пыток или неправ</w:t>
      </w:r>
      <w:r w:rsidR="00A51227" w:rsidRPr="002B35DB">
        <w:rPr>
          <w:b/>
        </w:rPr>
        <w:t>о</w:t>
      </w:r>
      <w:r w:rsidR="00A51227" w:rsidRPr="002B35DB">
        <w:rPr>
          <w:b/>
        </w:rPr>
        <w:t>мерного обращения</w:t>
      </w:r>
      <w:r w:rsidR="00A51227" w:rsidRPr="002B35DB">
        <w:rPr>
          <w:b/>
          <w:bCs/>
        </w:rPr>
        <w:t>, в том числе тем, кто страдает от пожизненной инв</w:t>
      </w:r>
      <w:r w:rsidR="00A51227" w:rsidRPr="002B35DB">
        <w:rPr>
          <w:b/>
          <w:bCs/>
        </w:rPr>
        <w:t>а</w:t>
      </w:r>
      <w:r w:rsidR="00A51227" w:rsidRPr="002B35DB">
        <w:rPr>
          <w:b/>
          <w:bCs/>
        </w:rPr>
        <w:t xml:space="preserve">лидности в результате пыток, возмещение ущерба, включая справедливую и адекватную компенсацию и как можно более полную реабилитацию; </w:t>
      </w:r>
    </w:p>
    <w:p w:rsidR="00A51227" w:rsidRPr="00A51227" w:rsidRDefault="002B35DB" w:rsidP="00A51227">
      <w:pPr>
        <w:pStyle w:val="SingleTxtGR"/>
      </w:pPr>
      <w:r w:rsidRPr="002B35DB">
        <w:rPr>
          <w:b/>
          <w:bCs/>
        </w:rPr>
        <w:tab/>
      </w:r>
      <w:r w:rsidR="00A51227" w:rsidRPr="002B35DB">
        <w:rPr>
          <w:b/>
          <w:bCs/>
          <w:lang w:val="en-GB"/>
        </w:rPr>
        <w:t>c</w:t>
      </w:r>
      <w:r w:rsidR="00A51227" w:rsidRPr="002B35DB">
        <w:rPr>
          <w:b/>
          <w:bCs/>
        </w:rPr>
        <w:t>)</w:t>
      </w:r>
      <w:r w:rsidR="00A51227" w:rsidRPr="002B35DB">
        <w:rPr>
          <w:b/>
        </w:rPr>
        <w:tab/>
      </w:r>
      <w:proofErr w:type="gramStart"/>
      <w:r>
        <w:rPr>
          <w:b/>
        </w:rPr>
        <w:t>собрать</w:t>
      </w:r>
      <w:proofErr w:type="gramEnd"/>
      <w:r>
        <w:rPr>
          <w:b/>
        </w:rPr>
        <w:t xml:space="preserve"> статистические данные </w:t>
      </w:r>
      <w:r w:rsidR="00A51227" w:rsidRPr="00A51227">
        <w:rPr>
          <w:b/>
        </w:rPr>
        <w:t>о случая</w:t>
      </w:r>
      <w:r>
        <w:rPr>
          <w:b/>
        </w:rPr>
        <w:t>х</w:t>
      </w:r>
      <w:r w:rsidR="00A51227" w:rsidRPr="00A51227">
        <w:rPr>
          <w:b/>
        </w:rPr>
        <w:t xml:space="preserve"> выплаты компенс</w:t>
      </w:r>
      <w:r w:rsidR="00A51227" w:rsidRPr="00A51227">
        <w:rPr>
          <w:b/>
        </w:rPr>
        <w:t>а</w:t>
      </w:r>
      <w:r w:rsidR="00A51227" w:rsidRPr="00A51227">
        <w:rPr>
          <w:b/>
        </w:rPr>
        <w:t>ции жертвам от пыток или неп</w:t>
      </w:r>
      <w:r w:rsidR="00BA7C6F">
        <w:rPr>
          <w:b/>
        </w:rPr>
        <w:t xml:space="preserve">равомерного обращения, а также </w:t>
      </w:r>
      <w:r w:rsidR="00A51227" w:rsidRPr="00A51227">
        <w:rPr>
          <w:b/>
        </w:rPr>
        <w:t>о раз</w:t>
      </w:r>
      <w:r w:rsidR="00BA7C6F">
        <w:rPr>
          <w:b/>
        </w:rPr>
        <w:t>мере</w:t>
      </w:r>
      <w:r w:rsidR="00A51227" w:rsidRPr="00A51227">
        <w:rPr>
          <w:b/>
        </w:rPr>
        <w:t xml:space="preserve"> компенсации в разбивке по национальной принадлежности и полу</w:t>
      </w:r>
      <w:r w:rsidR="00A51227" w:rsidRPr="00A51227">
        <w:rPr>
          <w:b/>
          <w:bCs/>
        </w:rPr>
        <w:t xml:space="preserve">. </w:t>
      </w:r>
    </w:p>
    <w:p w:rsidR="00A51227" w:rsidRPr="00A51227" w:rsidRDefault="00A51227" w:rsidP="002B35DB">
      <w:pPr>
        <w:pStyle w:val="H23GR"/>
      </w:pPr>
      <w:r w:rsidRPr="00A51227">
        <w:tab/>
      </w:r>
      <w:r w:rsidRPr="00A51227">
        <w:tab/>
        <w:t>Процедура последующей деятельности</w:t>
      </w:r>
    </w:p>
    <w:p w:rsidR="00A51227" w:rsidRPr="00A51227" w:rsidRDefault="00A51227" w:rsidP="00A51227">
      <w:pPr>
        <w:pStyle w:val="SingleTxtGR"/>
        <w:rPr>
          <w:b/>
          <w:bCs/>
        </w:rPr>
      </w:pPr>
      <w:r w:rsidRPr="00A51227">
        <w:t>52.</w:t>
      </w:r>
      <w:r w:rsidRPr="00A51227">
        <w:tab/>
      </w:r>
      <w:r w:rsidRPr="00A51227">
        <w:rPr>
          <w:b/>
          <w:bCs/>
        </w:rPr>
        <w:t>Коми</w:t>
      </w:r>
      <w:r w:rsidR="00E64296">
        <w:rPr>
          <w:b/>
          <w:bCs/>
        </w:rPr>
        <w:t>тет просит государство-участник</w:t>
      </w:r>
      <w:r w:rsidRPr="00A51227">
        <w:rPr>
          <w:b/>
          <w:bCs/>
        </w:rPr>
        <w:t xml:space="preserve"> не позднее</w:t>
      </w:r>
      <w:r w:rsidRPr="00A51227">
        <w:t xml:space="preserve"> </w:t>
      </w:r>
      <w:r w:rsidRPr="00A51227">
        <w:rPr>
          <w:b/>
          <w:bCs/>
        </w:rPr>
        <w:t>13 мая 2017</w:t>
      </w:r>
      <w:r w:rsidRPr="00A51227">
        <w:rPr>
          <w:b/>
          <w:bCs/>
          <w:lang w:val="en-US"/>
        </w:rPr>
        <w:t> </w:t>
      </w:r>
      <w:r w:rsidRPr="00A51227">
        <w:rPr>
          <w:b/>
          <w:bCs/>
        </w:rPr>
        <w:t>года представить информацию о последующей деятельности по рекомендациям Комитета, касающимся телесных наказаний, в том числе по делу Раифа Бадави, репрессий в отношении правозащитников и журналистов и смер</w:t>
      </w:r>
      <w:r w:rsidRPr="00A51227">
        <w:rPr>
          <w:b/>
          <w:bCs/>
        </w:rPr>
        <w:t>т</w:t>
      </w:r>
      <w:r w:rsidRPr="00A51227">
        <w:rPr>
          <w:b/>
          <w:bCs/>
        </w:rPr>
        <w:t>ной казни (см. пункты 10, 12, 19 и 42 выше). В данном контексте госуда</w:t>
      </w:r>
      <w:r w:rsidRPr="00A51227">
        <w:rPr>
          <w:b/>
          <w:bCs/>
        </w:rPr>
        <w:t>р</w:t>
      </w:r>
      <w:r w:rsidRPr="00A51227">
        <w:rPr>
          <w:b/>
          <w:bCs/>
        </w:rPr>
        <w:t>ству-участнику предлагается проинформировать Комитет о своих планах по осуществлению в течение предстоящего отчетного периода некоторых или всех остальных рекомендаций, содержащихся в заключительных зам</w:t>
      </w:r>
      <w:r w:rsidRPr="00A51227">
        <w:rPr>
          <w:b/>
          <w:bCs/>
        </w:rPr>
        <w:t>е</w:t>
      </w:r>
      <w:r w:rsidRPr="00A51227">
        <w:rPr>
          <w:b/>
          <w:bCs/>
        </w:rPr>
        <w:t>чаниях.</w:t>
      </w:r>
    </w:p>
    <w:p w:rsidR="00A51227" w:rsidRPr="00A51227" w:rsidRDefault="00A51227" w:rsidP="002B35DB">
      <w:pPr>
        <w:pStyle w:val="H23GR"/>
      </w:pPr>
      <w:r w:rsidRPr="00A51227">
        <w:tab/>
      </w:r>
      <w:r w:rsidRPr="00A51227">
        <w:tab/>
        <w:t>Прочие вопросы</w:t>
      </w:r>
    </w:p>
    <w:p w:rsidR="00A51227" w:rsidRPr="00A51227" w:rsidRDefault="00A51227" w:rsidP="00A51227">
      <w:pPr>
        <w:pStyle w:val="SingleTxtGR"/>
        <w:rPr>
          <w:b/>
          <w:bCs/>
        </w:rPr>
      </w:pPr>
      <w:r w:rsidRPr="00A51227">
        <w:t>53.</w:t>
      </w:r>
      <w:r w:rsidRPr="00A51227">
        <w:tab/>
      </w:r>
      <w:r w:rsidRPr="00A51227">
        <w:rPr>
          <w:b/>
          <w:bCs/>
        </w:rPr>
        <w:t>Комитет с удовлетворением отмечает сделанное делегацией в ходе диалога заявление о том, что государство-участник рассматривает возмо</w:t>
      </w:r>
      <w:r w:rsidRPr="00A51227">
        <w:rPr>
          <w:b/>
          <w:bCs/>
        </w:rPr>
        <w:t>ж</w:t>
      </w:r>
      <w:r w:rsidRPr="00A51227">
        <w:rPr>
          <w:b/>
          <w:bCs/>
        </w:rPr>
        <w:t>ность ратификации Факультативного протокола к Конвенции против п</w:t>
      </w:r>
      <w:r w:rsidRPr="00A51227">
        <w:rPr>
          <w:b/>
          <w:bCs/>
        </w:rPr>
        <w:t>ы</w:t>
      </w:r>
      <w:r w:rsidRPr="00A51227">
        <w:rPr>
          <w:b/>
          <w:bCs/>
        </w:rPr>
        <w:t>ток и снятия оговорки по статье 20.</w:t>
      </w:r>
    </w:p>
    <w:p w:rsidR="00A51227" w:rsidRPr="00A51227" w:rsidRDefault="00A51227" w:rsidP="00A51227">
      <w:pPr>
        <w:pStyle w:val="SingleTxtGR"/>
        <w:rPr>
          <w:b/>
          <w:bCs/>
        </w:rPr>
      </w:pPr>
      <w:r w:rsidRPr="00A51227">
        <w:t>54.</w:t>
      </w:r>
      <w:r w:rsidRPr="00A51227">
        <w:tab/>
      </w:r>
      <w:r w:rsidRPr="00A51227">
        <w:rPr>
          <w:b/>
          <w:bCs/>
        </w:rPr>
        <w:t>Комитет обращается к государству-участнику с призывом изучить возможность того, чтобы сделать заявление по статье 22 Конвенции и пр</w:t>
      </w:r>
      <w:r w:rsidRPr="00A51227">
        <w:rPr>
          <w:b/>
          <w:bCs/>
        </w:rPr>
        <w:t>и</w:t>
      </w:r>
      <w:r w:rsidRPr="00A51227">
        <w:rPr>
          <w:b/>
          <w:bCs/>
        </w:rPr>
        <w:t>знать тем самым компетенцию Комитета получать и рассматривать соо</w:t>
      </w:r>
      <w:r w:rsidRPr="00A51227">
        <w:rPr>
          <w:b/>
          <w:bCs/>
        </w:rPr>
        <w:t>б</w:t>
      </w:r>
      <w:r w:rsidRPr="00A51227">
        <w:rPr>
          <w:b/>
          <w:bCs/>
        </w:rPr>
        <w:t>щения от частных лиц в рамках своей юрисдикции.</w:t>
      </w:r>
    </w:p>
    <w:p w:rsidR="00A51227" w:rsidRPr="00A51227" w:rsidRDefault="00A51227" w:rsidP="00A51227">
      <w:pPr>
        <w:pStyle w:val="SingleTxtGR"/>
        <w:rPr>
          <w:b/>
          <w:bCs/>
        </w:rPr>
      </w:pPr>
      <w:r w:rsidRPr="00A51227">
        <w:t>55.</w:t>
      </w:r>
      <w:r w:rsidRPr="00A51227">
        <w:tab/>
      </w:r>
      <w:r w:rsidRPr="00A51227">
        <w:rPr>
          <w:b/>
          <w:bCs/>
        </w:rPr>
        <w:t>Комитет предлагает государству-участнику ратифицировать осно</w:t>
      </w:r>
      <w:r w:rsidRPr="00A51227">
        <w:rPr>
          <w:b/>
          <w:bCs/>
        </w:rPr>
        <w:t>в</w:t>
      </w:r>
      <w:r w:rsidRPr="00A51227">
        <w:rPr>
          <w:b/>
          <w:bCs/>
        </w:rPr>
        <w:t>ные договоры Организации Объединенных Наций по правам человека, стороной которых оно еще не является, и призывает его направить пост</w:t>
      </w:r>
      <w:r w:rsidRPr="00A51227">
        <w:rPr>
          <w:b/>
          <w:bCs/>
        </w:rPr>
        <w:t>о</w:t>
      </w:r>
      <w:r w:rsidRPr="00A51227">
        <w:rPr>
          <w:b/>
          <w:bCs/>
        </w:rPr>
        <w:t>янное приглашение посетить страну Специальному докладчику по вопросу о пытках и других жестоких, бесчеловечных или нарушающих достоинство видах обращения и наказания.</w:t>
      </w:r>
    </w:p>
    <w:p w:rsidR="00A51227" w:rsidRPr="00A51227" w:rsidRDefault="00A51227" w:rsidP="00A51227">
      <w:pPr>
        <w:pStyle w:val="SingleTxtGR"/>
        <w:rPr>
          <w:b/>
          <w:bCs/>
        </w:rPr>
      </w:pPr>
      <w:r w:rsidRPr="00A51227">
        <w:t>56.</w:t>
      </w:r>
      <w:r w:rsidRPr="00A51227">
        <w:tab/>
      </w:r>
      <w:r w:rsidRPr="00A51227">
        <w:rPr>
          <w:b/>
          <w:bCs/>
        </w:rPr>
        <w:t>Государству-участнику предлагается обеспечить обнародование и широкое распространение представленного Комитету доклада, своих отв</w:t>
      </w:r>
      <w:r w:rsidRPr="00A51227">
        <w:rPr>
          <w:b/>
          <w:bCs/>
        </w:rPr>
        <w:t>е</w:t>
      </w:r>
      <w:r w:rsidRPr="00A51227">
        <w:rPr>
          <w:b/>
          <w:bCs/>
        </w:rPr>
        <w:t>тов на перечень вопросов, подготовленных Комитетом, кратких отчетов о диалоге и настоящих заключительных замечаний на соответствующих языках с использованием официальных веб-сайтов, средств массовой и</w:t>
      </w:r>
      <w:r w:rsidRPr="00A51227">
        <w:rPr>
          <w:b/>
          <w:bCs/>
        </w:rPr>
        <w:t>н</w:t>
      </w:r>
      <w:r w:rsidRPr="00A51227">
        <w:rPr>
          <w:b/>
          <w:bCs/>
        </w:rPr>
        <w:t>формации и неправительственных организаций.</w:t>
      </w:r>
    </w:p>
    <w:p w:rsidR="008855BE" w:rsidRDefault="00A51227" w:rsidP="00A51227">
      <w:pPr>
        <w:pStyle w:val="SingleTxtGR"/>
        <w:rPr>
          <w:b/>
          <w:bCs/>
        </w:rPr>
      </w:pPr>
      <w:r w:rsidRPr="00A51227">
        <w:t>57.</w:t>
      </w:r>
      <w:r w:rsidRPr="00A51227">
        <w:tab/>
      </w:r>
      <w:r w:rsidRPr="00A51227">
        <w:rPr>
          <w:b/>
          <w:bCs/>
        </w:rPr>
        <w:t>Государству-участнику предлагается представить свой третий пери</w:t>
      </w:r>
      <w:r w:rsidRPr="00A51227">
        <w:rPr>
          <w:b/>
          <w:bCs/>
        </w:rPr>
        <w:t>о</w:t>
      </w:r>
      <w:r w:rsidRPr="00A51227">
        <w:rPr>
          <w:b/>
          <w:bCs/>
        </w:rPr>
        <w:t>дический доклад не позднее 13 мая 2020 года. В этих целях Комитет пре</w:t>
      </w:r>
      <w:r w:rsidRPr="00A51227">
        <w:rPr>
          <w:b/>
          <w:bCs/>
        </w:rPr>
        <w:t>д</w:t>
      </w:r>
      <w:r w:rsidRPr="00A51227">
        <w:rPr>
          <w:b/>
          <w:bCs/>
        </w:rPr>
        <w:t>лагает государству-участнику принять к 13 мая 2017 года упрощенную процедуру представления докладов, в соответствии с которой Комитет препровождает государству-участнику перечень вопросов до представления его периодического доклада. Ответы государства-участника на этот пер</w:t>
      </w:r>
      <w:r w:rsidRPr="00A51227">
        <w:rPr>
          <w:b/>
          <w:bCs/>
        </w:rPr>
        <w:t>е</w:t>
      </w:r>
      <w:r w:rsidRPr="00A51227">
        <w:rPr>
          <w:b/>
          <w:bCs/>
        </w:rPr>
        <w:t>чень составят его периодический доклад в соответствии со статьей 19 Ко</w:t>
      </w:r>
      <w:r w:rsidRPr="00A51227">
        <w:rPr>
          <w:b/>
          <w:bCs/>
        </w:rPr>
        <w:t>н</w:t>
      </w:r>
      <w:r w:rsidRPr="00A51227">
        <w:rPr>
          <w:b/>
          <w:bCs/>
        </w:rPr>
        <w:t>венции. Кроме того, государству-участнику предлагается представить свой базовый документ в соответствии с требованиями, содержащимися в с</w:t>
      </w:r>
      <w:r w:rsidRPr="00A51227">
        <w:rPr>
          <w:b/>
          <w:bCs/>
        </w:rPr>
        <w:t>о</w:t>
      </w:r>
      <w:r w:rsidRPr="00A51227">
        <w:rPr>
          <w:b/>
          <w:bCs/>
        </w:rPr>
        <w:t>гласованных руководящих принципах представления докладов междун</w:t>
      </w:r>
      <w:r w:rsidRPr="00A51227">
        <w:rPr>
          <w:b/>
          <w:bCs/>
        </w:rPr>
        <w:t>а</w:t>
      </w:r>
      <w:r w:rsidRPr="00A51227">
        <w:rPr>
          <w:b/>
          <w:bCs/>
        </w:rPr>
        <w:t>родным договорным органам в области прав человека (</w:t>
      </w:r>
      <w:r w:rsidRPr="00A51227">
        <w:rPr>
          <w:b/>
          <w:bCs/>
          <w:lang w:val="en-GB"/>
        </w:rPr>
        <w:t>HRI</w:t>
      </w:r>
      <w:r w:rsidRPr="00A51227">
        <w:rPr>
          <w:b/>
          <w:bCs/>
        </w:rPr>
        <w:t>/</w:t>
      </w:r>
      <w:r w:rsidRPr="00A51227">
        <w:rPr>
          <w:b/>
          <w:bCs/>
          <w:lang w:val="en-GB"/>
        </w:rPr>
        <w:t>GEN</w:t>
      </w:r>
      <w:r w:rsidRPr="00A51227">
        <w:rPr>
          <w:b/>
          <w:bCs/>
        </w:rPr>
        <w:t>.2/</w:t>
      </w:r>
      <w:r w:rsidRPr="00A51227">
        <w:rPr>
          <w:b/>
          <w:bCs/>
          <w:lang w:val="en-GB"/>
        </w:rPr>
        <w:t>Rev</w:t>
      </w:r>
      <w:r w:rsidRPr="00A51227">
        <w:rPr>
          <w:b/>
          <w:bCs/>
        </w:rPr>
        <w:t>.6).</w:t>
      </w:r>
    </w:p>
    <w:p w:rsidR="005577E1" w:rsidRPr="005577E1" w:rsidRDefault="005577E1" w:rsidP="005577E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77E1" w:rsidRPr="005577E1" w:rsidSect="008855B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27" w:rsidRDefault="00A51227" w:rsidP="00B471C5">
      <w:r>
        <w:separator/>
      </w:r>
    </w:p>
  </w:endnote>
  <w:endnote w:type="continuationSeparator" w:id="0">
    <w:p w:rsidR="00A51227" w:rsidRDefault="00A5122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27" w:rsidRPr="00B74BE2" w:rsidRDefault="00A51227">
    <w:pPr>
      <w:pStyle w:val="a7"/>
      <w:rPr>
        <w:szCs w:val="16"/>
        <w:lang w:val="en-US"/>
      </w:rPr>
    </w:pP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D63EBD">
      <w:rPr>
        <w:b/>
        <w:noProof/>
      </w:rPr>
      <w:t>14</w:t>
    </w:r>
    <w:r w:rsidRPr="003324D3">
      <w:rPr>
        <w:b/>
      </w:rPr>
      <w:fldChar w:fldCharType="end"/>
    </w:r>
    <w:r>
      <w:rPr>
        <w:rStyle w:val="a9"/>
        <w:lang w:val="en-US"/>
      </w:rPr>
      <w:tab/>
    </w:r>
    <w:r>
      <w:rPr>
        <w:rStyle w:val="a9"/>
        <w:b w:val="0"/>
        <w:sz w:val="16"/>
        <w:szCs w:val="16"/>
        <w:lang w:val="en-US"/>
      </w:rPr>
      <w:t>GE.16-09276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27" w:rsidRPr="003324D3" w:rsidRDefault="00A51227">
    <w:pPr>
      <w:pStyle w:val="a7"/>
      <w:rPr>
        <w:b/>
        <w:sz w:val="18"/>
        <w:szCs w:val="18"/>
        <w:lang w:val="en-US"/>
      </w:rPr>
    </w:pPr>
    <w:r>
      <w:rPr>
        <w:lang w:val="en-US"/>
      </w:rPr>
      <w:t>GE.16-09276</w:t>
    </w:r>
    <w:r>
      <w:rPr>
        <w:lang w:val="en-US"/>
      </w:rPr>
      <w:tab/>
    </w: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D63EBD">
      <w:rPr>
        <w:b/>
        <w:noProof/>
      </w:rPr>
      <w:t>13</w:t>
    </w:r>
    <w:r w:rsidRPr="003324D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51227" w:rsidRPr="00797A78" w:rsidTr="00A51227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51227" w:rsidRPr="001C3ABC" w:rsidRDefault="00A51227" w:rsidP="00A51227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09276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110716  110716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51227" w:rsidRDefault="00A51227" w:rsidP="00A51227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857491A" wp14:editId="479C6B1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51227" w:rsidRDefault="00A51227" w:rsidP="00A51227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AT/C/SAU/CO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C/SAU/CO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1227" w:rsidRPr="00797A78" w:rsidTr="00A51227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51227" w:rsidRPr="00F721AA" w:rsidRDefault="00A51227" w:rsidP="00A51227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721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721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721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721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721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721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721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721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721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51227" w:rsidRDefault="00A51227" w:rsidP="00A51227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51227" w:rsidRDefault="00A51227" w:rsidP="00A51227"/>
      </w:tc>
    </w:tr>
  </w:tbl>
  <w:p w:rsidR="00A51227" w:rsidRDefault="00A51227" w:rsidP="00A51227">
    <w:pPr>
      <w:spacing w:line="240" w:lineRule="auto"/>
      <w:rPr>
        <w:sz w:val="2"/>
        <w:szCs w:val="2"/>
        <w:lang w:val="en-US"/>
      </w:rPr>
    </w:pPr>
  </w:p>
  <w:p w:rsidR="00A51227" w:rsidRDefault="00A51227" w:rsidP="00A51227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27" w:rsidRPr="009141DC" w:rsidRDefault="00A5122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51227" w:rsidRPr="00D1261C" w:rsidRDefault="00A5122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51227" w:rsidRPr="008C2AAF" w:rsidRDefault="00A51227" w:rsidP="00A51227">
      <w:pPr>
        <w:pStyle w:val="aa"/>
        <w:rPr>
          <w:lang w:val="ru-RU"/>
        </w:rPr>
      </w:pPr>
      <w:r w:rsidRPr="00A51227">
        <w:rPr>
          <w:rStyle w:val="a6"/>
          <w:vertAlign w:val="baseline"/>
          <w:lang w:val="ru-RU"/>
        </w:rPr>
        <w:tab/>
      </w:r>
      <w:r w:rsidRPr="00A51227">
        <w:rPr>
          <w:rStyle w:val="a6"/>
          <w:sz w:val="20"/>
          <w:vertAlign w:val="baseline"/>
          <w:lang w:val="ru-RU"/>
        </w:rPr>
        <w:t>*</w:t>
      </w:r>
      <w:r w:rsidRPr="008C2AAF">
        <w:rPr>
          <w:rStyle w:val="a6"/>
          <w:lang w:val="ru-RU"/>
        </w:rPr>
        <w:tab/>
      </w:r>
      <w:r>
        <w:rPr>
          <w:lang w:val="ru-RU"/>
        </w:rPr>
        <w:t>Приняты Комитетом на его пятьдесят седьмой сессии</w:t>
      </w:r>
      <w:r w:rsidRPr="008C2AAF">
        <w:rPr>
          <w:lang w:val="ru-RU"/>
        </w:rPr>
        <w:t xml:space="preserve"> (18 </w:t>
      </w:r>
      <w:r>
        <w:rPr>
          <w:lang w:val="ru-RU"/>
        </w:rPr>
        <w:t>апреля</w:t>
      </w:r>
      <w:r w:rsidRPr="00A51227">
        <w:rPr>
          <w:lang w:val="ru-RU"/>
        </w:rPr>
        <w:t xml:space="preserve"> – </w:t>
      </w:r>
      <w:r w:rsidRPr="008C2AAF">
        <w:rPr>
          <w:lang w:val="ru-RU"/>
        </w:rPr>
        <w:t xml:space="preserve">13 </w:t>
      </w:r>
      <w:r>
        <w:rPr>
          <w:lang w:val="ru-RU"/>
        </w:rPr>
        <w:t>мая</w:t>
      </w:r>
      <w:r w:rsidRPr="008C2AAF">
        <w:rPr>
          <w:lang w:val="ru-RU"/>
        </w:rPr>
        <w:t xml:space="preserve"> 2016</w:t>
      </w:r>
      <w:r>
        <w:rPr>
          <w:lang w:val="ru-RU"/>
        </w:rPr>
        <w:t> года</w:t>
      </w:r>
      <w:r w:rsidRPr="008C2AAF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27" w:rsidRPr="008C469F" w:rsidRDefault="00A51227">
    <w:pPr>
      <w:pStyle w:val="a3"/>
      <w:rPr>
        <w:lang w:val="en-US"/>
      </w:rPr>
    </w:pPr>
    <w:r>
      <w:rPr>
        <w:lang w:val="en-US"/>
      </w:rPr>
      <w:t>CAT/C/SAU/CO/2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27" w:rsidRPr="00B74BE2" w:rsidRDefault="00A51227">
    <w:pPr>
      <w:pStyle w:val="a3"/>
      <w:rPr>
        <w:lang w:val="en-US"/>
      </w:rPr>
    </w:pPr>
    <w:r>
      <w:rPr>
        <w:lang w:val="en-US"/>
      </w:rPr>
      <w:tab/>
      <w:t>CAT/C/SAU/CO/2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AA"/>
    <w:rsid w:val="000450D1"/>
    <w:rsid w:val="000F2A4F"/>
    <w:rsid w:val="00203F84"/>
    <w:rsid w:val="00271EB1"/>
    <w:rsid w:val="00275188"/>
    <w:rsid w:val="0028687D"/>
    <w:rsid w:val="002B091C"/>
    <w:rsid w:val="002B35DB"/>
    <w:rsid w:val="002D0CCB"/>
    <w:rsid w:val="00345C79"/>
    <w:rsid w:val="00366A39"/>
    <w:rsid w:val="0048005C"/>
    <w:rsid w:val="004E242B"/>
    <w:rsid w:val="00544379"/>
    <w:rsid w:val="005577E1"/>
    <w:rsid w:val="00566944"/>
    <w:rsid w:val="005B4CE7"/>
    <w:rsid w:val="005D56BF"/>
    <w:rsid w:val="00665D8D"/>
    <w:rsid w:val="00686655"/>
    <w:rsid w:val="006A7A3B"/>
    <w:rsid w:val="006B6B57"/>
    <w:rsid w:val="00705394"/>
    <w:rsid w:val="00743F62"/>
    <w:rsid w:val="00760D3A"/>
    <w:rsid w:val="007A1F42"/>
    <w:rsid w:val="007C3198"/>
    <w:rsid w:val="007D76DD"/>
    <w:rsid w:val="00843B95"/>
    <w:rsid w:val="008717E8"/>
    <w:rsid w:val="008855BE"/>
    <w:rsid w:val="008D01AE"/>
    <w:rsid w:val="008E0423"/>
    <w:rsid w:val="009141DC"/>
    <w:rsid w:val="009174A1"/>
    <w:rsid w:val="0095563E"/>
    <w:rsid w:val="0098674D"/>
    <w:rsid w:val="00997ACA"/>
    <w:rsid w:val="00A03FB7"/>
    <w:rsid w:val="00A51227"/>
    <w:rsid w:val="00A75A11"/>
    <w:rsid w:val="00AD7EAD"/>
    <w:rsid w:val="00B247FC"/>
    <w:rsid w:val="00B35A32"/>
    <w:rsid w:val="00B432C6"/>
    <w:rsid w:val="00B471C5"/>
    <w:rsid w:val="00B6474A"/>
    <w:rsid w:val="00BA7C6F"/>
    <w:rsid w:val="00BC3427"/>
    <w:rsid w:val="00BE1742"/>
    <w:rsid w:val="00CC3D40"/>
    <w:rsid w:val="00D1261C"/>
    <w:rsid w:val="00D63EBD"/>
    <w:rsid w:val="00D75DCE"/>
    <w:rsid w:val="00DD35AC"/>
    <w:rsid w:val="00DD479F"/>
    <w:rsid w:val="00E15E48"/>
    <w:rsid w:val="00E64296"/>
    <w:rsid w:val="00E823E5"/>
    <w:rsid w:val="00EA005D"/>
    <w:rsid w:val="00EB0723"/>
    <w:rsid w:val="00EE6F37"/>
    <w:rsid w:val="00F10F68"/>
    <w:rsid w:val="00F1599F"/>
    <w:rsid w:val="00F31EF2"/>
    <w:rsid w:val="00F549CB"/>
    <w:rsid w:val="00F602EE"/>
    <w:rsid w:val="00F64E0F"/>
    <w:rsid w:val="00F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1227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3">
    <w:name w:val="heading 3"/>
    <w:basedOn w:val="a"/>
    <w:next w:val="a"/>
    <w:link w:val="30"/>
    <w:qFormat/>
    <w:rsid w:val="00A51227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4">
    <w:name w:val="heading 4"/>
    <w:basedOn w:val="a"/>
    <w:next w:val="a"/>
    <w:link w:val="40"/>
    <w:qFormat/>
    <w:rsid w:val="00A51227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5">
    <w:name w:val="heading 5"/>
    <w:basedOn w:val="a"/>
    <w:next w:val="a"/>
    <w:link w:val="50"/>
    <w:qFormat/>
    <w:rsid w:val="00A51227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6">
    <w:name w:val="heading 6"/>
    <w:basedOn w:val="a"/>
    <w:next w:val="a"/>
    <w:link w:val="60"/>
    <w:qFormat/>
    <w:rsid w:val="00A51227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7">
    <w:name w:val="heading 7"/>
    <w:basedOn w:val="a"/>
    <w:next w:val="a"/>
    <w:link w:val="70"/>
    <w:qFormat/>
    <w:rsid w:val="00A51227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8">
    <w:name w:val="heading 8"/>
    <w:basedOn w:val="a"/>
    <w:next w:val="a"/>
    <w:link w:val="80"/>
    <w:qFormat/>
    <w:rsid w:val="00A51227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9">
    <w:name w:val="heading 9"/>
    <w:basedOn w:val="a"/>
    <w:next w:val="a"/>
    <w:link w:val="90"/>
    <w:qFormat/>
    <w:rsid w:val="00A51227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uiPriority w:val="99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link w:val="SingleTxtGChar"/>
    <w:qFormat/>
    <w:rsid w:val="00A5122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locked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a"/>
    <w:next w:val="a"/>
    <w:rsid w:val="00A5122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rsid w:val="00A5122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styleId="af">
    <w:name w:val="Hyperlink"/>
    <w:semiHidden/>
    <w:rsid w:val="00A51227"/>
    <w:rPr>
      <w:color w:val="auto"/>
      <w:u w:val="none"/>
    </w:rPr>
  </w:style>
  <w:style w:type="paragraph" w:customStyle="1" w:styleId="SMG">
    <w:name w:val="__S_M_G"/>
    <w:basedOn w:val="a"/>
    <w:next w:val="a"/>
    <w:rsid w:val="00A5122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"/>
    <w:next w:val="a"/>
    <w:rsid w:val="00A51227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"/>
    <w:next w:val="a"/>
    <w:rsid w:val="00A51227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A5122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"/>
    <w:rsid w:val="00A51227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A51227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"/>
    <w:next w:val="a"/>
    <w:rsid w:val="00A5122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"/>
    <w:next w:val="a"/>
    <w:link w:val="H23GChar"/>
    <w:qFormat/>
    <w:rsid w:val="00A5122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character" w:customStyle="1" w:styleId="H23GChar">
    <w:name w:val="_ H_2/3_G Char"/>
    <w:link w:val="H23G"/>
    <w:rsid w:val="00A51227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H4G">
    <w:name w:val="_ H_4_G"/>
    <w:basedOn w:val="a"/>
    <w:next w:val="a"/>
    <w:rsid w:val="00A5122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A5122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styleId="af0">
    <w:name w:val="Balloon Text"/>
    <w:basedOn w:val="a"/>
    <w:link w:val="af1"/>
    <w:rsid w:val="00A51227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1">
    <w:name w:val="Текст выноски Знак"/>
    <w:basedOn w:val="a0"/>
    <w:link w:val="af0"/>
    <w:rsid w:val="00A51227"/>
    <w:rPr>
      <w:rFonts w:ascii="Tahoma" w:eastAsia="Times New Roman" w:hAnsi="Tahoma" w:cs="Tahoma"/>
      <w:sz w:val="16"/>
      <w:szCs w:val="16"/>
      <w:lang w:val="en-GB"/>
    </w:rPr>
  </w:style>
  <w:style w:type="character" w:customStyle="1" w:styleId="highlight1">
    <w:name w:val="highlight1"/>
    <w:rsid w:val="00A51227"/>
    <w:rPr>
      <w:shd w:val="clear" w:color="auto" w:fill="FFCC33"/>
    </w:rPr>
  </w:style>
  <w:style w:type="character" w:styleId="af2">
    <w:name w:val="annotation reference"/>
    <w:basedOn w:val="a0"/>
    <w:rsid w:val="00A51227"/>
    <w:rPr>
      <w:sz w:val="16"/>
      <w:szCs w:val="16"/>
    </w:rPr>
  </w:style>
  <w:style w:type="paragraph" w:styleId="af3">
    <w:name w:val="annotation text"/>
    <w:basedOn w:val="a"/>
    <w:link w:val="af4"/>
    <w:rsid w:val="00A51227"/>
    <w:pPr>
      <w:suppressAutoHyphens/>
    </w:pPr>
    <w:rPr>
      <w:spacing w:val="0"/>
      <w:w w:val="100"/>
      <w:kern w:val="0"/>
      <w:lang w:val="en-GB"/>
    </w:rPr>
  </w:style>
  <w:style w:type="character" w:customStyle="1" w:styleId="af4">
    <w:name w:val="Текст примечания Знак"/>
    <w:basedOn w:val="a0"/>
    <w:link w:val="af3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annotation subject"/>
    <w:basedOn w:val="af3"/>
    <w:next w:val="af3"/>
    <w:link w:val="af6"/>
    <w:rsid w:val="00A51227"/>
    <w:rPr>
      <w:b/>
      <w:bCs/>
    </w:rPr>
  </w:style>
  <w:style w:type="character" w:customStyle="1" w:styleId="af6">
    <w:name w:val="Тема примечания Знак"/>
    <w:basedOn w:val="af4"/>
    <w:link w:val="af5"/>
    <w:rsid w:val="00A5122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7">
    <w:name w:val="Normal (Web)"/>
    <w:basedOn w:val="a"/>
    <w:uiPriority w:val="99"/>
    <w:unhideWhenUsed/>
    <w:rsid w:val="00A51227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n-GB" w:eastAsia="en-GB"/>
    </w:rPr>
  </w:style>
  <w:style w:type="paragraph" w:styleId="af8">
    <w:name w:val="List Paragraph"/>
    <w:basedOn w:val="a"/>
    <w:uiPriority w:val="34"/>
    <w:qFormat/>
    <w:rsid w:val="00A51227"/>
    <w:pPr>
      <w:suppressAutoHyphens/>
      <w:ind w:left="720"/>
      <w:contextualSpacing/>
    </w:pPr>
    <w:rPr>
      <w:spacing w:val="0"/>
      <w:w w:val="100"/>
      <w:kern w:val="0"/>
      <w:lang w:val="en-GB"/>
    </w:rPr>
  </w:style>
  <w:style w:type="character" w:customStyle="1" w:styleId="highlight">
    <w:name w:val="highlight"/>
    <w:basedOn w:val="a0"/>
    <w:rsid w:val="00A51227"/>
  </w:style>
  <w:style w:type="paragraph" w:customStyle="1" w:styleId="Default">
    <w:name w:val="Default"/>
    <w:rsid w:val="00A5122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customStyle="1" w:styleId="st">
    <w:name w:val="st"/>
    <w:basedOn w:val="a0"/>
    <w:rsid w:val="00A51227"/>
  </w:style>
  <w:style w:type="character" w:styleId="af9">
    <w:name w:val="Emphasis"/>
    <w:basedOn w:val="a0"/>
    <w:uiPriority w:val="20"/>
    <w:qFormat/>
    <w:rsid w:val="00A51227"/>
    <w:rPr>
      <w:i/>
      <w:iCs/>
    </w:rPr>
  </w:style>
  <w:style w:type="character" w:customStyle="1" w:styleId="apple-converted-space">
    <w:name w:val="apple-converted-space"/>
    <w:basedOn w:val="a0"/>
    <w:rsid w:val="00A51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1227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3">
    <w:name w:val="heading 3"/>
    <w:basedOn w:val="a"/>
    <w:next w:val="a"/>
    <w:link w:val="30"/>
    <w:qFormat/>
    <w:rsid w:val="00A51227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4">
    <w:name w:val="heading 4"/>
    <w:basedOn w:val="a"/>
    <w:next w:val="a"/>
    <w:link w:val="40"/>
    <w:qFormat/>
    <w:rsid w:val="00A51227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5">
    <w:name w:val="heading 5"/>
    <w:basedOn w:val="a"/>
    <w:next w:val="a"/>
    <w:link w:val="50"/>
    <w:qFormat/>
    <w:rsid w:val="00A51227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6">
    <w:name w:val="heading 6"/>
    <w:basedOn w:val="a"/>
    <w:next w:val="a"/>
    <w:link w:val="60"/>
    <w:qFormat/>
    <w:rsid w:val="00A51227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7">
    <w:name w:val="heading 7"/>
    <w:basedOn w:val="a"/>
    <w:next w:val="a"/>
    <w:link w:val="70"/>
    <w:qFormat/>
    <w:rsid w:val="00A51227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8">
    <w:name w:val="heading 8"/>
    <w:basedOn w:val="a"/>
    <w:next w:val="a"/>
    <w:link w:val="80"/>
    <w:qFormat/>
    <w:rsid w:val="00A51227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9">
    <w:name w:val="heading 9"/>
    <w:basedOn w:val="a"/>
    <w:next w:val="a"/>
    <w:link w:val="90"/>
    <w:qFormat/>
    <w:rsid w:val="00A51227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uiPriority w:val="99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link w:val="SingleTxtGChar"/>
    <w:qFormat/>
    <w:rsid w:val="00A5122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locked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a"/>
    <w:next w:val="a"/>
    <w:rsid w:val="00A5122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rsid w:val="00A5122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styleId="af">
    <w:name w:val="Hyperlink"/>
    <w:semiHidden/>
    <w:rsid w:val="00A51227"/>
    <w:rPr>
      <w:color w:val="auto"/>
      <w:u w:val="none"/>
    </w:rPr>
  </w:style>
  <w:style w:type="paragraph" w:customStyle="1" w:styleId="SMG">
    <w:name w:val="__S_M_G"/>
    <w:basedOn w:val="a"/>
    <w:next w:val="a"/>
    <w:rsid w:val="00A5122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"/>
    <w:next w:val="a"/>
    <w:rsid w:val="00A51227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"/>
    <w:next w:val="a"/>
    <w:rsid w:val="00A51227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A5122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"/>
    <w:rsid w:val="00A51227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A51227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"/>
    <w:next w:val="a"/>
    <w:rsid w:val="00A5122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"/>
    <w:next w:val="a"/>
    <w:link w:val="H23GChar"/>
    <w:qFormat/>
    <w:rsid w:val="00A5122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character" w:customStyle="1" w:styleId="H23GChar">
    <w:name w:val="_ H_2/3_G Char"/>
    <w:link w:val="H23G"/>
    <w:rsid w:val="00A51227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H4G">
    <w:name w:val="_ H_4_G"/>
    <w:basedOn w:val="a"/>
    <w:next w:val="a"/>
    <w:rsid w:val="00A5122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A5122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styleId="af0">
    <w:name w:val="Balloon Text"/>
    <w:basedOn w:val="a"/>
    <w:link w:val="af1"/>
    <w:rsid w:val="00A51227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1">
    <w:name w:val="Текст выноски Знак"/>
    <w:basedOn w:val="a0"/>
    <w:link w:val="af0"/>
    <w:rsid w:val="00A51227"/>
    <w:rPr>
      <w:rFonts w:ascii="Tahoma" w:eastAsia="Times New Roman" w:hAnsi="Tahoma" w:cs="Tahoma"/>
      <w:sz w:val="16"/>
      <w:szCs w:val="16"/>
      <w:lang w:val="en-GB"/>
    </w:rPr>
  </w:style>
  <w:style w:type="character" w:customStyle="1" w:styleId="highlight1">
    <w:name w:val="highlight1"/>
    <w:rsid w:val="00A51227"/>
    <w:rPr>
      <w:shd w:val="clear" w:color="auto" w:fill="FFCC33"/>
    </w:rPr>
  </w:style>
  <w:style w:type="character" w:styleId="af2">
    <w:name w:val="annotation reference"/>
    <w:basedOn w:val="a0"/>
    <w:rsid w:val="00A51227"/>
    <w:rPr>
      <w:sz w:val="16"/>
      <w:szCs w:val="16"/>
    </w:rPr>
  </w:style>
  <w:style w:type="paragraph" w:styleId="af3">
    <w:name w:val="annotation text"/>
    <w:basedOn w:val="a"/>
    <w:link w:val="af4"/>
    <w:rsid w:val="00A51227"/>
    <w:pPr>
      <w:suppressAutoHyphens/>
    </w:pPr>
    <w:rPr>
      <w:spacing w:val="0"/>
      <w:w w:val="100"/>
      <w:kern w:val="0"/>
      <w:lang w:val="en-GB"/>
    </w:rPr>
  </w:style>
  <w:style w:type="character" w:customStyle="1" w:styleId="af4">
    <w:name w:val="Текст примечания Знак"/>
    <w:basedOn w:val="a0"/>
    <w:link w:val="af3"/>
    <w:rsid w:val="00A5122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annotation subject"/>
    <w:basedOn w:val="af3"/>
    <w:next w:val="af3"/>
    <w:link w:val="af6"/>
    <w:rsid w:val="00A51227"/>
    <w:rPr>
      <w:b/>
      <w:bCs/>
    </w:rPr>
  </w:style>
  <w:style w:type="character" w:customStyle="1" w:styleId="af6">
    <w:name w:val="Тема примечания Знак"/>
    <w:basedOn w:val="af4"/>
    <w:link w:val="af5"/>
    <w:rsid w:val="00A5122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7">
    <w:name w:val="Normal (Web)"/>
    <w:basedOn w:val="a"/>
    <w:uiPriority w:val="99"/>
    <w:unhideWhenUsed/>
    <w:rsid w:val="00A51227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n-GB" w:eastAsia="en-GB"/>
    </w:rPr>
  </w:style>
  <w:style w:type="paragraph" w:styleId="af8">
    <w:name w:val="List Paragraph"/>
    <w:basedOn w:val="a"/>
    <w:uiPriority w:val="34"/>
    <w:qFormat/>
    <w:rsid w:val="00A51227"/>
    <w:pPr>
      <w:suppressAutoHyphens/>
      <w:ind w:left="720"/>
      <w:contextualSpacing/>
    </w:pPr>
    <w:rPr>
      <w:spacing w:val="0"/>
      <w:w w:val="100"/>
      <w:kern w:val="0"/>
      <w:lang w:val="en-GB"/>
    </w:rPr>
  </w:style>
  <w:style w:type="character" w:customStyle="1" w:styleId="highlight">
    <w:name w:val="highlight"/>
    <w:basedOn w:val="a0"/>
    <w:rsid w:val="00A51227"/>
  </w:style>
  <w:style w:type="paragraph" w:customStyle="1" w:styleId="Default">
    <w:name w:val="Default"/>
    <w:rsid w:val="00A5122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customStyle="1" w:styleId="st">
    <w:name w:val="st"/>
    <w:basedOn w:val="a0"/>
    <w:rsid w:val="00A51227"/>
  </w:style>
  <w:style w:type="character" w:styleId="af9">
    <w:name w:val="Emphasis"/>
    <w:basedOn w:val="a0"/>
    <w:uiPriority w:val="20"/>
    <w:qFormat/>
    <w:rsid w:val="00A51227"/>
    <w:rPr>
      <w:i/>
      <w:iCs/>
    </w:rPr>
  </w:style>
  <w:style w:type="character" w:customStyle="1" w:styleId="apple-converted-space">
    <w:name w:val="apple-converted-space"/>
    <w:basedOn w:val="a0"/>
    <w:rsid w:val="00A5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nafethah.gov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819E-8562-4429-90CE-F09B639E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16</Pages>
  <Words>6426</Words>
  <Characters>36629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Салынская Екатерина</dc:creator>
  <cp:lastModifiedBy>TPSRUS2</cp:lastModifiedBy>
  <cp:revision>3</cp:revision>
  <cp:lastPrinted>2016-07-11T09:40:00Z</cp:lastPrinted>
  <dcterms:created xsi:type="dcterms:W3CDTF">2016-07-11T12:08:00Z</dcterms:created>
  <dcterms:modified xsi:type="dcterms:W3CDTF">2016-07-11T12:41:00Z</dcterms:modified>
</cp:coreProperties>
</file>