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172"/>
        <w:gridCol w:w="2730"/>
      </w:tblGrid>
      <w:tr w:rsidR="00000000">
        <w:trPr>
          <w:trHeight w:val="1011"/>
        </w:trPr>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5172" w:type="dxa"/>
            <w:tcBorders>
              <w:top w:val="nil"/>
              <w:left w:val="nil"/>
              <w:bottom w:val="single" w:sz="6" w:space="0" w:color="auto"/>
              <w:right w:val="nil"/>
            </w:tcBorders>
            <w:vAlign w:val="center"/>
          </w:tcPr>
          <w:p w:rsidR="00000000" w:rsidRDefault="00000000">
            <w:pPr>
              <w:jc w:val="center"/>
              <w:rPr>
                <w:b/>
                <w:bCs/>
                <w:color w:val="FF0000"/>
              </w:rPr>
            </w:pPr>
          </w:p>
        </w:tc>
        <w:tc>
          <w:tcPr>
            <w:tcW w:w="273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tr w:rsidR="00000000">
        <w:trPr>
          <w:trHeight w:val="1976"/>
        </w:trPr>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pt" o:ole="" fillcolor="window">
                  <v:imagedata r:id="rId7" o:title=""/>
                </v:shape>
                <o:OLEObject Type="Embed" ProgID="Word.Picture.8" ShapeID="_x0000_i1025" DrawAspect="Content" ObjectID="_1395477057" r:id="rId8"/>
              </w:object>
            </w:r>
          </w:p>
        </w:tc>
        <w:tc>
          <w:tcPr>
            <w:tcW w:w="5172" w:type="dxa"/>
            <w:tcBorders>
              <w:top w:val="single" w:sz="6" w:space="0" w:color="auto"/>
              <w:left w:val="nil"/>
              <w:bottom w:val="single" w:sz="36" w:space="0" w:color="auto"/>
              <w:right w:val="nil"/>
            </w:tcBorders>
          </w:tcPr>
          <w:p w:rsidR="00000000" w:rsidRDefault="00000000">
            <w:pPr>
              <w:spacing w:before="360"/>
              <w:rPr>
                <w:rFonts w:ascii="Univers" w:hAnsi="Univers"/>
                <w:sz w:val="36"/>
                <w:szCs w:val="36"/>
              </w:rPr>
            </w:pPr>
            <w:r>
              <w:rPr>
                <w:rFonts w:ascii="Univers" w:hAnsi="Univers"/>
                <w:b/>
                <w:sz w:val="36"/>
                <w:szCs w:val="36"/>
              </w:rPr>
              <w:t>International Convention on</w:t>
            </w:r>
            <w:r>
              <w:rPr>
                <w:rFonts w:ascii="Univers" w:hAnsi="Univers"/>
                <w:b/>
                <w:sz w:val="36"/>
                <w:szCs w:val="36"/>
              </w:rPr>
              <w:br/>
              <w:t>the Elimination</w:t>
            </w:r>
            <w:r>
              <w:rPr>
                <w:rFonts w:ascii="Univers" w:hAnsi="Univers"/>
                <w:b/>
                <w:sz w:val="36"/>
                <w:szCs w:val="36"/>
              </w:rPr>
              <w:br/>
              <w:t>of all Forms of</w:t>
            </w:r>
            <w:r>
              <w:rPr>
                <w:rFonts w:ascii="Univers" w:hAnsi="Univers"/>
                <w:b/>
                <w:sz w:val="36"/>
                <w:szCs w:val="36"/>
              </w:rPr>
              <w:br/>
              <w:t>Racial Discrimination</w:t>
            </w:r>
          </w:p>
        </w:tc>
        <w:tc>
          <w:tcPr>
            <w:tcW w:w="2730" w:type="dxa"/>
            <w:tcBorders>
              <w:top w:val="single" w:sz="6" w:space="0" w:color="auto"/>
              <w:left w:val="nil"/>
              <w:bottom w:val="single" w:sz="36" w:space="0" w:color="auto"/>
              <w:right w:val="nil"/>
            </w:tcBorders>
          </w:tcPr>
          <w:p w:rsidR="00000000" w:rsidRDefault="00000000"/>
          <w:p w:rsidR="00000000" w:rsidRDefault="00000000">
            <w:pPr>
              <w:rPr>
                <w:lang w:val="pt-BR"/>
              </w:rPr>
            </w:pPr>
            <w:r>
              <w:rPr>
                <w:lang w:val="pt-BR"/>
              </w:rPr>
              <w:t>Distr.</w:t>
            </w:r>
          </w:p>
          <w:p w:rsidR="00000000" w:rsidRDefault="00000000">
            <w:pPr>
              <w:rPr>
                <w:lang w:val="pt-BR"/>
              </w:rPr>
            </w:pPr>
            <w:r>
              <w:rPr>
                <w:lang w:val="pt-BR"/>
              </w:rPr>
              <w:t>GENERAL</w:t>
            </w:r>
          </w:p>
          <w:p w:rsidR="00000000" w:rsidRDefault="00000000">
            <w:pPr>
              <w:rPr>
                <w:lang w:val="pt-BR"/>
              </w:rPr>
            </w:pPr>
          </w:p>
          <w:p w:rsidR="00000000" w:rsidRDefault="00000000">
            <w:pPr>
              <w:rPr>
                <w:lang w:val="pt-BR"/>
              </w:rPr>
            </w:pPr>
            <w:r>
              <w:rPr>
                <w:lang w:val="pt-BR"/>
              </w:rPr>
              <w:t>CERD/C/GMB/CO/14</w:t>
            </w:r>
          </w:p>
          <w:p w:rsidR="00000000" w:rsidRDefault="00000000">
            <w:r>
              <w:rPr>
                <w:lang w:val="pt-BR"/>
              </w:rPr>
              <w:t>16 June</w:t>
            </w:r>
            <w:r>
              <w:t xml:space="preserve"> 2009</w:t>
            </w:r>
          </w:p>
          <w:p w:rsidR="00000000" w:rsidRDefault="00000000">
            <w:pPr>
              <w:rPr>
                <w:lang w:val="pt-BR"/>
              </w:rPr>
            </w:pPr>
          </w:p>
          <w:p w:rsidR="00000000" w:rsidRDefault="00000000">
            <w:r>
              <w:t xml:space="preserve">Original:  </w:t>
            </w:r>
            <w:fldSimple w:instr=" FILLIN &quot;Orig. Lang.&quot; \* MERGEFORMAT ">
              <w:r>
                <w:t>ENGLISH</w:t>
              </w:r>
            </w:fldSimple>
          </w:p>
          <w:p w:rsidR="00000000" w:rsidRDefault="00000000"/>
        </w:tc>
      </w:tr>
    </w:tbl>
    <w:p w:rsidR="00000000" w:rsidRDefault="00000000">
      <w:pPr>
        <w:rPr>
          <w:b/>
          <w:bCs/>
        </w:rPr>
      </w:pPr>
    </w:p>
    <w:p w:rsidR="00000000" w:rsidRDefault="00000000">
      <w:r>
        <w:t>COMMITTEE ON THE ELIMINATION</w:t>
      </w:r>
      <w:r>
        <w:br/>
        <w:t>OF RACIAL DISCRIMINATION</w:t>
      </w:r>
      <w:r>
        <w:br/>
        <w:t>Seventy-fourth session</w:t>
      </w:r>
      <w:r>
        <w:br/>
        <w:t>16 February to 6 March 2009</w:t>
      </w:r>
    </w:p>
    <w:p w:rsidR="00000000" w:rsidRDefault="00000000">
      <w:pPr>
        <w:pStyle w:val="Heading2"/>
        <w:numPr>
          <w:ilvl w:val="0"/>
          <w:numId w:val="0"/>
        </w:numPr>
        <w:spacing w:before="0" w:after="0" w:line="240" w:lineRule="auto"/>
        <w:jc w:val="left"/>
        <w:rPr>
          <w:lang w:val="en-US"/>
        </w:rPr>
      </w:pPr>
    </w:p>
    <w:p w:rsidR="00000000" w:rsidRDefault="00000000">
      <w:pPr>
        <w:jc w:val="center"/>
        <w:rPr>
          <w:b/>
          <w:bCs/>
        </w:rPr>
      </w:pPr>
    </w:p>
    <w:p w:rsidR="00000000" w:rsidRDefault="00000000">
      <w:pPr>
        <w:jc w:val="center"/>
        <w:rPr>
          <w:b/>
          <w:bCs/>
        </w:rPr>
      </w:pPr>
      <w:r>
        <w:rPr>
          <w:b/>
          <w:bCs/>
        </w:rPr>
        <w:t>CONSIDERATION OF REPORTS SUBMITTED BY STATES PARTIES</w:t>
      </w:r>
    </w:p>
    <w:p w:rsidR="00000000" w:rsidRDefault="00000000">
      <w:pPr>
        <w:jc w:val="center"/>
        <w:rPr>
          <w:b/>
          <w:bCs/>
        </w:rPr>
      </w:pPr>
      <w:r>
        <w:rPr>
          <w:b/>
          <w:bCs/>
        </w:rPr>
        <w:t>UNDER ARTICLE 9 OF THE CONVENTION</w:t>
      </w:r>
    </w:p>
    <w:p w:rsidR="00000000" w:rsidRDefault="00000000">
      <w:pPr>
        <w:jc w:val="center"/>
        <w:rPr>
          <w:b/>
          <w:bCs/>
        </w:rPr>
      </w:pPr>
    </w:p>
    <w:p w:rsidR="00000000" w:rsidRDefault="00000000">
      <w:pPr>
        <w:jc w:val="center"/>
        <w:rPr>
          <w:b/>
          <w:bCs/>
        </w:rPr>
      </w:pPr>
      <w:r>
        <w:rPr>
          <w:b/>
          <w:bCs/>
        </w:rPr>
        <w:t>Concluding observations of the Committee on the</w:t>
      </w:r>
      <w:r>
        <w:rPr>
          <w:b/>
          <w:bCs/>
        </w:rPr>
        <w:br/>
        <w:t>Elimination of Racial Discrimination</w:t>
      </w:r>
    </w:p>
    <w:p w:rsidR="00000000" w:rsidRDefault="00000000">
      <w:pPr>
        <w:jc w:val="right"/>
      </w:pPr>
    </w:p>
    <w:p w:rsidR="00000000" w:rsidRDefault="00000000">
      <w:pPr>
        <w:jc w:val="center"/>
        <w:rPr>
          <w:b/>
          <w:bCs/>
        </w:rPr>
      </w:pPr>
      <w:r>
        <w:rPr>
          <w:b/>
          <w:bCs/>
        </w:rPr>
        <w:t>GAMBIA</w:t>
      </w:r>
    </w:p>
    <w:p w:rsidR="00000000" w:rsidRDefault="00000000">
      <w:pPr>
        <w:jc w:val="center"/>
      </w:pPr>
    </w:p>
    <w:p w:rsidR="00000000" w:rsidRDefault="00000000">
      <w:pPr>
        <w:numPr>
          <w:ilvl w:val="0"/>
          <w:numId w:val="12"/>
        </w:numPr>
        <w:tabs>
          <w:tab w:val="clear" w:pos="360"/>
          <w:tab w:val="num" w:pos="0"/>
        </w:tabs>
        <w:autoSpaceDE w:val="0"/>
        <w:autoSpaceDN w:val="0"/>
        <w:adjustRightInd w:val="0"/>
        <w:ind w:left="0" w:firstLine="0"/>
        <w:jc w:val="both"/>
      </w:pPr>
      <w:r>
        <w:t>At its 1922nd meeting (CERD/C/SR.1922), held on 27 February 2009, the Committee considered the situation in the Gambia with respect to the implementation of the Convention. In the absence of the State party’s overdue second to fourteenth periodic reports, it adopted, at its 1930th meeting (CERD/C/SR.1930) on 5 March, the following observations.</w:t>
      </w:r>
    </w:p>
    <w:p w:rsidR="00000000" w:rsidRDefault="00000000">
      <w:pPr>
        <w:autoSpaceDE w:val="0"/>
        <w:autoSpaceDN w:val="0"/>
        <w:adjustRightInd w:val="0"/>
        <w:jc w:val="both"/>
      </w:pPr>
    </w:p>
    <w:p w:rsidR="00000000" w:rsidRDefault="00000000">
      <w:pPr>
        <w:numPr>
          <w:ilvl w:val="0"/>
          <w:numId w:val="12"/>
        </w:numPr>
        <w:tabs>
          <w:tab w:val="clear" w:pos="360"/>
          <w:tab w:val="num" w:pos="0"/>
        </w:tabs>
        <w:autoSpaceDE w:val="0"/>
        <w:autoSpaceDN w:val="0"/>
        <w:adjustRightInd w:val="0"/>
        <w:ind w:left="0" w:firstLine="0"/>
        <w:jc w:val="both"/>
      </w:pPr>
      <w:r>
        <w:t>The Committee notes with regret that no report has been submitted by the Gambia since 1980 despite repeated reminders. On 5 March 2008, during its seventy-second session, the Committee transmitted to the State party a list of issues to be responded to by 30 September 2008. The Committee notes with regret that the State party responded neither to the list of issues nor to its invitation to participate in the consideration of the situation in the Gambia in relation to the implementation of the Convention.</w:t>
      </w:r>
    </w:p>
    <w:p w:rsidR="00000000" w:rsidRDefault="00000000">
      <w:pPr>
        <w:autoSpaceDE w:val="0"/>
        <w:autoSpaceDN w:val="0"/>
        <w:adjustRightInd w:val="0"/>
        <w:jc w:val="both"/>
      </w:pPr>
    </w:p>
    <w:p w:rsidR="00000000" w:rsidRDefault="00000000">
      <w:pPr>
        <w:numPr>
          <w:ilvl w:val="0"/>
          <w:numId w:val="12"/>
        </w:numPr>
        <w:tabs>
          <w:tab w:val="clear" w:pos="360"/>
          <w:tab w:val="num" w:pos="0"/>
        </w:tabs>
        <w:autoSpaceDE w:val="0"/>
        <w:autoSpaceDN w:val="0"/>
        <w:adjustRightInd w:val="0"/>
        <w:ind w:left="0" w:firstLine="0"/>
        <w:jc w:val="both"/>
      </w:pPr>
      <w:r>
        <w:t xml:space="preserve">The Committee reiterates that reporting is an obligation of State parties under article 9, paragraph 1, of the Convention and that non-compliance in this regard creates serious obstacles to the effective functioning of the system established to monitor the implementation of the Convention at the national level.  </w:t>
      </w:r>
    </w:p>
    <w:p w:rsidR="00000000" w:rsidRDefault="00000000">
      <w:pPr>
        <w:autoSpaceDE w:val="0"/>
        <w:autoSpaceDN w:val="0"/>
        <w:adjustRightInd w:val="0"/>
        <w:jc w:val="both"/>
      </w:pPr>
    </w:p>
    <w:p w:rsidR="00000000" w:rsidRDefault="00000000">
      <w:pPr>
        <w:numPr>
          <w:ilvl w:val="0"/>
          <w:numId w:val="12"/>
        </w:numPr>
        <w:tabs>
          <w:tab w:val="clear" w:pos="360"/>
          <w:tab w:val="num" w:pos="0"/>
        </w:tabs>
        <w:autoSpaceDE w:val="0"/>
        <w:autoSpaceDN w:val="0"/>
        <w:adjustRightInd w:val="0"/>
        <w:ind w:left="0" w:firstLine="0"/>
        <w:jc w:val="both"/>
      </w:pPr>
      <w:r>
        <w:t>The Committee urges the State party to prepare and submit, without further delay,</w:t>
      </w:r>
      <w:r>
        <w:rPr>
          <w:lang w:val="en-GB"/>
        </w:rPr>
        <w:t xml:space="preserve"> its overdue reports under the Convention.</w:t>
      </w:r>
    </w:p>
    <w:p w:rsidR="00000000" w:rsidRDefault="00000000">
      <w:pPr>
        <w:jc w:val="center"/>
        <w:rPr>
          <w:lang w:val="en-GB"/>
        </w:rPr>
      </w:pPr>
    </w:p>
    <w:p w:rsidR="00000000" w:rsidRDefault="00000000">
      <w:pPr>
        <w:jc w:val="center"/>
        <w:rPr>
          <w:lang w:val="en-GB"/>
        </w:rPr>
      </w:pPr>
      <w:r>
        <w:rPr>
          <w:lang w:val="en-GB"/>
        </w:rPr>
        <w:t xml:space="preserve">- - - - - </w:t>
      </w:r>
    </w:p>
    <w:sectPr w:rsidR="00000000">
      <w:headerReference w:type="even" r:id="rId9"/>
      <w:headerReference w:type="default" r:id="rId10"/>
      <w:footerReference w:type="first" r:id="rId11"/>
      <w:pgSz w:w="11907" w:h="16840" w:code="9"/>
      <w:pgMar w:top="1134" w:right="851" w:bottom="1985" w:left="1701" w:header="85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GE.09-43083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 w:rsidR="00000000" w:rsidRDefault="00000000">
    <w:r>
      <w:t>CERD/C/GMB/CO/14</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pPr>
    <w:r>
      <w:rPr>
        <w:lang w:val="en-GB"/>
      </w:rPr>
      <w:t>C</w:t>
    </w:r>
    <w:r>
      <w:t>ERD/C/GMB……</w:t>
    </w:r>
  </w:p>
  <w:p w:rsidR="00000000" w:rsidRDefault="00000000">
    <w:pPr>
      <w:pStyle w:val="Header"/>
      <w:tabs>
        <w:tab w:val="clear" w:pos="8640"/>
        <w:tab w:val="right" w:pos="8280"/>
      </w:tabs>
      <w:rPr>
        <w:lang w:val="en-GB"/>
      </w:rPr>
    </w:pPr>
    <w:r>
      <w:rPr>
        <w:lang w:val="en-GB"/>
      </w:rPr>
      <w:tab/>
    </w:r>
    <w:r>
      <w:rPr>
        <w:lang w:val="en-GB"/>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5DD"/>
    <w:multiLevelType w:val="hybridMultilevel"/>
    <w:tmpl w:val="87509DB4"/>
    <w:lvl w:ilvl="0">
      <w:start w:val="1"/>
      <w:numFmt w:val="decimal"/>
      <w:lvlText w:val="%1."/>
      <w:lvlJc w:val="left"/>
      <w:pPr>
        <w:tabs>
          <w:tab w:val="num" w:pos="720"/>
        </w:tabs>
        <w:ind w:left="720" w:hanging="360"/>
      </w:pPr>
      <w:rPr>
        <w:b w:val="0"/>
        <w:b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E5270E8"/>
    <w:multiLevelType w:val="hybridMultilevel"/>
    <w:tmpl w:val="C9C40F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C5864C1"/>
    <w:multiLevelType w:val="hybridMultilevel"/>
    <w:tmpl w:val="82624CD2"/>
    <w:lvl w:ilvl="0" w:tplc="C60EB848">
      <w:start w:val="1"/>
      <w:numFmt w:val="decimal"/>
      <w:lvlText w:val="%1."/>
      <w:lvlJc w:val="left"/>
      <w:pPr>
        <w:tabs>
          <w:tab w:val="num" w:pos="360"/>
        </w:tabs>
        <w:ind w:left="360" w:hanging="360"/>
      </w:pPr>
      <w:rPr>
        <w:lang w:val="en-U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lang w:val="en-US"/>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CB061AB"/>
    <w:multiLevelType w:val="singleLevel"/>
    <w:tmpl w:val="AA724E7E"/>
    <w:lvl w:ilvl="0">
      <w:start w:val="1"/>
      <w:numFmt w:val="decimal"/>
      <w:pStyle w:val="ParaNo"/>
      <w:lvlText w:val="%1."/>
      <w:lvlJc w:val="left"/>
      <w:pPr>
        <w:tabs>
          <w:tab w:val="num" w:pos="360"/>
        </w:tabs>
        <w:ind w:left="-1" w:firstLine="1"/>
      </w:pPr>
      <w:rPr>
        <w:rFonts w:hint="default"/>
        <w:b w:val="0"/>
        <w:bCs w:val="0"/>
      </w:rPr>
    </w:lvl>
  </w:abstractNum>
  <w:abstractNum w:abstractNumId="4">
    <w:nsid w:val="61B81A86"/>
    <w:multiLevelType w:val="multilevel"/>
    <w:tmpl w:val="5D725AB2"/>
    <w:lvl w:ilvl="0">
      <w:start w:val="1"/>
      <w:numFmt w:val="lowerLetter"/>
      <w:lvlText w:val="%1)"/>
      <w:lvlJc w:val="left"/>
      <w:pPr>
        <w:tabs>
          <w:tab w:val="num" w:pos="720"/>
        </w:tabs>
        <w:ind w:left="720" w:hanging="360"/>
      </w:pPr>
      <w:rPr>
        <w:rFonts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o"/>
      <w:lvlJc w:val="left"/>
      <w:pPr>
        <w:tabs>
          <w:tab w:val="num" w:pos="2340"/>
        </w:tabs>
        <w:ind w:left="2340" w:hanging="360"/>
      </w:pPr>
      <w:rPr>
        <w:rFonts w:ascii="Courier New" w:hAnsi="Courier New" w:cs="Wingdings"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5454FDB"/>
    <w:multiLevelType w:val="hybridMultilevel"/>
    <w:tmpl w:val="3B187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4F7F89"/>
    <w:multiLevelType w:val="multilevel"/>
    <w:tmpl w:val="80CE06D8"/>
    <w:lvl w:ilvl="0">
      <w:start w:val="1"/>
      <w:numFmt w:val="none"/>
      <w:pStyle w:val="Heading1"/>
      <w:lvlText w:val=""/>
      <w:lvlJc w:val="left"/>
      <w:pPr>
        <w:tabs>
          <w:tab w:val="num" w:pos="-1080"/>
        </w:tabs>
        <w:ind w:left="-1440" w:firstLine="0"/>
      </w:pPr>
    </w:lvl>
    <w:lvl w:ilvl="1">
      <w:start w:val="1"/>
      <w:numFmt w:val="none"/>
      <w:lvlRestart w:val="0"/>
      <w:pStyle w:val="Heading2"/>
      <w:suff w:val="space"/>
      <w:lvlText w:val=""/>
      <w:lvlJc w:val="left"/>
      <w:pPr>
        <w:ind w:left="-720" w:firstLine="0"/>
      </w:pPr>
      <w:rPr>
        <w:lang w:val="en-GB"/>
      </w:rPr>
    </w:lvl>
    <w:lvl w:ilvl="2">
      <w:start w:val="1"/>
      <w:numFmt w:val="decimal"/>
      <w:lvlText w:val="%3."/>
      <w:lvlJc w:val="left"/>
      <w:pPr>
        <w:tabs>
          <w:tab w:val="num" w:pos="360"/>
        </w:tabs>
        <w:ind w:left="0" w:firstLine="0"/>
      </w:pPr>
    </w:lvl>
    <w:lvl w:ilvl="3">
      <w:start w:val="1"/>
      <w:numFmt w:val="lowerLetter"/>
      <w:lvlRestart w:val="1"/>
      <w:pStyle w:val="Heading4"/>
      <w:lvlText w:val="(%4)"/>
      <w:lvlJc w:val="left"/>
      <w:pPr>
        <w:tabs>
          <w:tab w:val="num" w:pos="1080"/>
        </w:tabs>
        <w:ind w:left="720" w:firstLine="0"/>
      </w:pPr>
    </w:lvl>
    <w:lvl w:ilvl="4">
      <w:start w:val="1"/>
      <w:numFmt w:val="decimal"/>
      <w:pStyle w:val="Heading5"/>
      <w:lvlText w:val="(%5)"/>
      <w:lvlJc w:val="left"/>
      <w:pPr>
        <w:tabs>
          <w:tab w:val="num" w:pos="1800"/>
        </w:tabs>
        <w:ind w:left="1440" w:firstLine="0"/>
      </w:pPr>
    </w:lvl>
    <w:lvl w:ilvl="5">
      <w:start w:val="1"/>
      <w:numFmt w:val="lowerLetter"/>
      <w:pStyle w:val="Heading6"/>
      <w:lvlText w:val="(%6)"/>
      <w:lvlJc w:val="left"/>
      <w:pPr>
        <w:tabs>
          <w:tab w:val="num" w:pos="2520"/>
        </w:tabs>
        <w:ind w:left="2160" w:firstLine="0"/>
      </w:pPr>
    </w:lvl>
    <w:lvl w:ilvl="6">
      <w:start w:val="1"/>
      <w:numFmt w:val="lowerRoman"/>
      <w:pStyle w:val="Heading7"/>
      <w:lvlText w:val="(%7)"/>
      <w:lvlJc w:val="left"/>
      <w:pPr>
        <w:tabs>
          <w:tab w:val="num" w:pos="3240"/>
        </w:tabs>
        <w:ind w:left="2880" w:firstLine="0"/>
      </w:pPr>
    </w:lvl>
    <w:lvl w:ilvl="7">
      <w:start w:val="1"/>
      <w:numFmt w:val="lowerLetter"/>
      <w:pStyle w:val="Heading8"/>
      <w:lvlText w:val="(%8)"/>
      <w:lvlJc w:val="left"/>
      <w:pPr>
        <w:tabs>
          <w:tab w:val="num" w:pos="3960"/>
        </w:tabs>
        <w:ind w:left="3600" w:firstLine="0"/>
      </w:pPr>
    </w:lvl>
    <w:lvl w:ilvl="8">
      <w:start w:val="1"/>
      <w:numFmt w:val="lowerRoman"/>
      <w:pStyle w:val="Heading9"/>
      <w:lvlText w:val="(%9)"/>
      <w:lvlJc w:val="left"/>
      <w:pPr>
        <w:tabs>
          <w:tab w:val="num" w:pos="4680"/>
        </w:tabs>
        <w:ind w:left="4320" w:firstLine="0"/>
      </w:pPr>
    </w:lvl>
  </w:abstractNum>
  <w:abstractNum w:abstractNumId="7">
    <w:nsid w:val="6E074AD4"/>
    <w:multiLevelType w:val="hybridMultilevel"/>
    <w:tmpl w:val="CE62020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011183E"/>
    <w:multiLevelType w:val="hybridMultilevel"/>
    <w:tmpl w:val="ED9C1840"/>
    <w:lvl w:ilvl="0" w:tplc="F552F98E">
      <w:start w:val="2"/>
      <w:numFmt w:val="decimal"/>
      <w:lvlText w:val="%1."/>
      <w:lvlJc w:val="left"/>
      <w:pPr>
        <w:tabs>
          <w:tab w:val="num" w:pos="720"/>
        </w:tabs>
        <w:ind w:left="720" w:hanging="720"/>
      </w:pPr>
      <w:rPr>
        <w:rFonts w:eastAsia="Times New Roman"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lang w:val="en-U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6B3502"/>
    <w:multiLevelType w:val="singleLevel"/>
    <w:tmpl w:val="B6986A6A"/>
    <w:lvl w:ilvl="0">
      <w:start w:val="1"/>
      <w:numFmt w:val="lowerLetter"/>
      <w:lvlText w:val="%1)"/>
      <w:lvlJc w:val="left"/>
      <w:pPr>
        <w:tabs>
          <w:tab w:val="num" w:pos="960"/>
        </w:tabs>
        <w:ind w:left="960" w:hanging="240"/>
      </w:pPr>
      <w:rPr>
        <w:rFonts w:ascii="Times New Roman" w:hAnsi="Times New Roman" w:hint="default"/>
      </w:rPr>
    </w:lvl>
  </w:abstractNum>
  <w:abstractNum w:abstractNumId="10">
    <w:nsid w:val="751E5018"/>
    <w:multiLevelType w:val="hybridMultilevel"/>
    <w:tmpl w:val="9CA267C6"/>
    <w:lvl w:ilvl="0" w:tplc="0409000F">
      <w:start w:val="1"/>
      <w:numFmt w:val="decimal"/>
      <w:lvlText w:val="%1."/>
      <w:lvlJc w:val="left"/>
      <w:pPr>
        <w:tabs>
          <w:tab w:val="num" w:pos="720"/>
        </w:tabs>
        <w:ind w:left="720" w:hanging="360"/>
      </w:pPr>
      <w:rPr>
        <w:rFonts w:hint="default"/>
      </w:rPr>
    </w:lvl>
    <w:lvl w:ilvl="1" w:tplc="B1B4D264">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D4057C"/>
    <w:multiLevelType w:val="hybridMultilevel"/>
    <w:tmpl w:val="E06AC7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0"/>
  </w:num>
  <w:num w:numId="5">
    <w:abstractNumId w:val="4"/>
  </w:num>
  <w:num w:numId="6">
    <w:abstractNumId w:val="9"/>
  </w:num>
  <w:num w:numId="7">
    <w:abstractNumId w:val="6"/>
  </w:num>
  <w:num w:numId="8">
    <w:abstractNumId w:val="8"/>
  </w:num>
  <w:num w:numId="9">
    <w:abstractNumId w:val="11"/>
  </w:num>
  <w:num w:numId="10">
    <w:abstractNumId w:val="3"/>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keepLines/>
      <w:numPr>
        <w:numId w:val="1"/>
      </w:numPr>
      <w:spacing w:before="120" w:after="120" w:line="360" w:lineRule="auto"/>
      <w:jc w:val="center"/>
      <w:outlineLvl w:val="0"/>
    </w:pPr>
    <w:rPr>
      <w:rFonts w:eastAsia="Times New Roman"/>
      <w:b/>
      <w:bCs/>
      <w:kern w:val="28"/>
      <w:lang w:val="en-GB" w:eastAsia="en-US"/>
    </w:rPr>
  </w:style>
  <w:style w:type="paragraph" w:styleId="Heading2">
    <w:name w:val="heading 2"/>
    <w:basedOn w:val="Normal"/>
    <w:next w:val="Normal"/>
    <w:qFormat/>
    <w:pPr>
      <w:keepNext/>
      <w:numPr>
        <w:ilvl w:val="1"/>
        <w:numId w:val="1"/>
      </w:numPr>
      <w:spacing w:before="120" w:after="120" w:line="360" w:lineRule="auto"/>
      <w:jc w:val="center"/>
      <w:outlineLvl w:val="1"/>
    </w:pPr>
    <w:rPr>
      <w:rFonts w:eastAsia="Times New Roman"/>
      <w:b/>
      <w:bCs/>
      <w:caps/>
      <w:lang w:val="en-GB" w:eastAsia="en-US"/>
    </w:rPr>
  </w:style>
  <w:style w:type="paragraph" w:styleId="Heading3">
    <w:name w:val="heading 3"/>
    <w:basedOn w:val="Normal"/>
    <w:next w:val="NormalIndent"/>
    <w:qFormat/>
    <w:pPr>
      <w:keepNext/>
      <w:outlineLvl w:val="2"/>
    </w:pPr>
    <w:rPr>
      <w:rFonts w:ascii="CG Times (W1)" w:hAnsi="CG Times (W1)"/>
      <w:b/>
      <w:bCs/>
      <w:sz w:val="22"/>
      <w:szCs w:val="22"/>
    </w:rPr>
  </w:style>
  <w:style w:type="paragraph" w:styleId="Heading4">
    <w:name w:val="heading 4"/>
    <w:basedOn w:val="Normal"/>
    <w:next w:val="Normal"/>
    <w:qFormat/>
    <w:pPr>
      <w:keepNext/>
      <w:numPr>
        <w:ilvl w:val="3"/>
        <w:numId w:val="1"/>
      </w:numPr>
      <w:spacing w:before="120" w:line="360" w:lineRule="auto"/>
      <w:outlineLvl w:val="3"/>
    </w:pPr>
    <w:rPr>
      <w:rFonts w:eastAsia="Times New Roman"/>
      <w:b/>
      <w:bCs/>
      <w:i/>
      <w:iCs/>
      <w:lang w:val="en-GB" w:eastAsia="en-US"/>
    </w:rPr>
  </w:style>
  <w:style w:type="paragraph" w:styleId="Heading5">
    <w:name w:val="heading 5"/>
    <w:basedOn w:val="Normal"/>
    <w:next w:val="Normal"/>
    <w:qFormat/>
    <w:pPr>
      <w:keepNext/>
      <w:numPr>
        <w:ilvl w:val="4"/>
        <w:numId w:val="1"/>
      </w:numPr>
      <w:spacing w:before="120" w:line="360" w:lineRule="auto"/>
      <w:outlineLvl w:val="4"/>
    </w:pPr>
    <w:rPr>
      <w:rFonts w:eastAsia="Times New Roman"/>
      <w:i/>
      <w:iCs/>
      <w:lang w:val="en-GB" w:eastAsia="en-US"/>
    </w:rPr>
  </w:style>
  <w:style w:type="paragraph" w:styleId="Heading6">
    <w:name w:val="heading 6"/>
    <w:basedOn w:val="Normal"/>
    <w:next w:val="Normal"/>
    <w:qFormat/>
    <w:pPr>
      <w:keepNext/>
      <w:numPr>
        <w:ilvl w:val="5"/>
        <w:numId w:val="1"/>
      </w:numPr>
      <w:spacing w:before="120" w:line="360" w:lineRule="auto"/>
      <w:outlineLvl w:val="5"/>
    </w:pPr>
    <w:rPr>
      <w:rFonts w:eastAsia="Times New Roman"/>
      <w:b/>
      <w:bCs/>
      <w:caps/>
      <w:lang w:val="en-GB" w:eastAsia="en-US"/>
    </w:rPr>
  </w:style>
  <w:style w:type="paragraph" w:styleId="Heading7">
    <w:name w:val="heading 7"/>
    <w:basedOn w:val="Normal"/>
    <w:next w:val="Normal"/>
    <w:qFormat/>
    <w:pPr>
      <w:numPr>
        <w:ilvl w:val="6"/>
        <w:numId w:val="1"/>
      </w:numPr>
      <w:spacing w:before="120" w:line="360" w:lineRule="auto"/>
      <w:jc w:val="center"/>
      <w:outlineLvl w:val="6"/>
    </w:pPr>
    <w:rPr>
      <w:rFonts w:eastAsia="Times New Roman"/>
      <w:caps/>
      <w:lang w:val="en-GB" w:eastAsia="en-US"/>
    </w:rPr>
  </w:style>
  <w:style w:type="paragraph" w:styleId="Heading8">
    <w:name w:val="heading 8"/>
    <w:basedOn w:val="Normal"/>
    <w:next w:val="Normal"/>
    <w:qFormat/>
    <w:pPr>
      <w:keepNext/>
      <w:numPr>
        <w:ilvl w:val="7"/>
        <w:numId w:val="1"/>
      </w:numPr>
      <w:spacing w:before="120" w:line="360" w:lineRule="auto"/>
      <w:outlineLvl w:val="7"/>
    </w:pPr>
    <w:rPr>
      <w:rFonts w:eastAsia="Times New Roman"/>
      <w:lang w:val="en-GB" w:eastAsia="en-US"/>
    </w:rPr>
  </w:style>
  <w:style w:type="paragraph" w:styleId="Heading9">
    <w:name w:val="heading 9"/>
    <w:basedOn w:val="Normal"/>
    <w:next w:val="Normal"/>
    <w:qFormat/>
    <w:pPr>
      <w:keepNext/>
      <w:numPr>
        <w:ilvl w:val="8"/>
        <w:numId w:val="1"/>
      </w:numPr>
      <w:spacing w:before="120" w:line="360" w:lineRule="auto"/>
      <w:outlineLvl w:val="8"/>
    </w:pPr>
    <w:rPr>
      <w:rFonts w:eastAsia="Times New Roman"/>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aliases w:val="Note de bas de page2,Текст сноски Знак"/>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NormalIndent">
    <w:name w:val="Normal Indent"/>
    <w:basedOn w:val="Normal"/>
    <w:semiHidden/>
    <w:pPr>
      <w:ind w:left="851"/>
    </w:pPr>
  </w:style>
  <w:style w:type="character" w:styleId="CommentReference">
    <w:name w:val="annotation reference"/>
    <w:semiHidden/>
    <w:rPr>
      <w:sz w:val="18"/>
      <w:szCs w:val="18"/>
    </w:rPr>
  </w:style>
  <w:style w:type="paragraph" w:styleId="CommentText">
    <w:name w:val="annotation text"/>
    <w:basedOn w:val="Normal"/>
    <w:semiHidden/>
  </w:style>
  <w:style w:type="character" w:styleId="Hyperlink">
    <w:name w:val="Hyperlink"/>
    <w:semiHidden/>
    <w:rPr>
      <w:strike w:val="0"/>
      <w:dstrike w:val="0"/>
      <w:color w:val="4488CC"/>
      <w:u w:val="none"/>
      <w:effect w:val="none"/>
    </w:rPr>
  </w:style>
  <w:style w:type="paragraph" w:styleId="NormalWeb">
    <w:name w:val="Normal (Web)"/>
    <w:basedOn w:val="Normal"/>
    <w:semiHidden/>
    <w:pPr>
      <w:spacing w:before="100" w:beforeAutospacing="1" w:after="100" w:afterAutospacing="1"/>
    </w:pPr>
    <w:rPr>
      <w:rFonts w:ascii="Verdana" w:hAnsi="Verdana"/>
      <w:color w:val="555555"/>
      <w:sz w:val="17"/>
      <w:szCs w:val="17"/>
    </w:rPr>
  </w:style>
  <w:style w:type="paragraph" w:customStyle="1" w:styleId="ParaNo">
    <w:name w:val="ParaNo."/>
    <w:basedOn w:val="Normal"/>
    <w:pPr>
      <w:numPr>
        <w:numId w:val="10"/>
      </w:numPr>
      <w:tabs>
        <w:tab w:val="left" w:pos="737"/>
      </w:tabs>
      <w:spacing w:after="240"/>
    </w:pPr>
    <w:rPr>
      <w:rFonts w:eastAsia="Times New Roman"/>
      <w:szCs w:val="20"/>
      <w:lang w:val="en-GB"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EndnoteText">
    <w:name w:val="endnote text"/>
    <w:basedOn w:val="Normal"/>
    <w:semiHidden/>
    <w:rPr>
      <w:rFonts w:eastAsia="Times New Roman"/>
      <w:szCs w:val="20"/>
      <w:lang w:val="en-GB" w:eastAsia="en-US"/>
    </w:rPr>
  </w:style>
  <w:style w:type="character" w:styleId="EndnoteReference">
    <w:name w:val="endnote reference"/>
    <w:semiHidden/>
    <w:rPr>
      <w:rFonts w:ascii="Times New Roman" w:hAnsi="Times New Roman"/>
      <w:b/>
      <w:sz w:val="24"/>
      <w:vertAlign w:val="superscript"/>
    </w:rPr>
  </w:style>
  <w:style w:type="paragraph" w:styleId="BodyText2">
    <w:name w:val="Body Text 2"/>
    <w:basedOn w:val="Normal"/>
    <w:semiHidden/>
    <w:pPr>
      <w:spacing w:line="360" w:lineRule="auto"/>
      <w:jc w:val="both"/>
    </w:pPr>
    <w:rPr>
      <w:rFonts w:ascii="Arial" w:eastAsia="Times New Roman" w:hAnsi="Arial" w:cs="Arial"/>
      <w:sz w:val="20"/>
      <w:szCs w:val="20"/>
      <w:lang w:val="en-GB"/>
    </w:rPr>
  </w:style>
  <w:style w:type="character" w:customStyle="1" w:styleId="h10">
    <w:name w:val="h10"/>
    <w:basedOn w:val="DefaultParagraphFont"/>
  </w:style>
  <w:style w:type="character" w:customStyle="1" w:styleId="wrscountryreport1">
    <w:name w:val="wrscountryreport1"/>
    <w:rPr>
      <w:rFonts w:ascii="Verdana" w:hAnsi="Verdana" w:hint="default"/>
      <w:b/>
      <w:bCs/>
      <w:sz w:val="16"/>
      <w:szCs w:val="16"/>
    </w:rPr>
  </w:style>
  <w:style w:type="character" w:customStyle="1" w:styleId="reportname">
    <w:name w:val="report_name"/>
    <w:rPr>
      <w:rFonts w:ascii="Verdana" w:hAnsi="Verdana" w:hint="default"/>
      <w:b/>
      <w:bCs/>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265</Words>
  <Characters>1515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COMMITTEE ON THE ELIMINATION</vt:lpstr>
    </vt:vector>
  </TitlesOfParts>
  <Company>OHCHR</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THE ELIMINATION</dc:title>
  <dc:subject/>
  <dc:creator>test</dc:creator>
  <cp:keywords/>
  <dc:description/>
  <cp:lastModifiedBy>csd</cp:lastModifiedBy>
  <cp:revision>2</cp:revision>
  <cp:lastPrinted>2009-03-05T18:52:00Z</cp:lastPrinted>
  <dcterms:created xsi:type="dcterms:W3CDTF">2009-08-12T10:15:00Z</dcterms:created>
  <dcterms:modified xsi:type="dcterms:W3CDTF">2009-08-12T10:15:00Z</dcterms:modified>
</cp:coreProperties>
</file>