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framePr w:w="4025" w:h="2075" w:hSpace="180" w:wrap="around" w:vAnchor="text" w:hAnchor="page" w:x="852" w:y="-2563" w:anchorLock="1"/>
        <w:bidi w:val="0"/>
        <w:spacing w:before="0"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Distr.</w:t>
      </w:r>
    </w:p>
    <w:p w:rsidR="00000000" w:rsidRDefault="00000000">
      <w:pPr>
        <w:framePr w:w="4025" w:h="2075" w:hSpace="180" w:wrap="around" w:vAnchor="text" w:hAnchor="page" w:x="852" w:y="-2563" w:anchorLock="1"/>
        <w:bidi w:val="0"/>
        <w:spacing w:before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GENERAL</w:t>
      </w:r>
    </w:p>
    <w:p w:rsidR="00000000" w:rsidRDefault="00000000">
      <w:pPr>
        <w:framePr w:w="4025" w:h="2075" w:hSpace="180" w:wrap="around" w:vAnchor="text" w:hAnchor="page" w:x="852" w:y="-2563" w:anchorLock="1"/>
        <w:bidi w:val="0"/>
        <w:spacing w:before="0" w:after="0"/>
        <w:jc w:val="left"/>
      </w:pPr>
      <w:r>
        <w:fldChar w:fldCharType="begin"/>
      </w:r>
      <w:r>
        <w:rPr>
          <w:szCs w:val="22"/>
          <w:lang w:eastAsia="en-US"/>
        </w:rPr>
        <w:instrText xml:space="preserve"> FILLIN  \* MERGEFORMAT </w:instrText>
      </w:r>
      <w:r>
        <w:fldChar w:fldCharType="separate"/>
      </w:r>
      <w:r>
        <w:rPr>
          <w:szCs w:val="22"/>
          <w:lang w:eastAsia="en-US"/>
        </w:rPr>
        <w:t>CERD/C/GMB/CO/14</w:t>
      </w:r>
      <w:r>
        <w:fldChar w:fldCharType="end"/>
      </w:r>
    </w:p>
    <w:p w:rsidR="00000000" w:rsidRDefault="00000000">
      <w:pPr>
        <w:framePr w:w="4025" w:h="2075" w:hSpace="180" w:wrap="around" w:vAnchor="text" w:hAnchor="page" w:x="852" w:y="-2563" w:anchorLock="1"/>
        <w:bidi w:val="0"/>
        <w:spacing w:before="0" w:after="0"/>
        <w:jc w:val="left"/>
        <w:rPr>
          <w:szCs w:val="22"/>
          <w:lang w:eastAsia="en-US"/>
        </w:rPr>
      </w:pPr>
      <w:r>
        <w:fldChar w:fldCharType="begin"/>
      </w:r>
      <w:r>
        <w:rPr>
          <w:szCs w:val="22"/>
          <w:lang w:eastAsia="en-US"/>
        </w:rPr>
        <w:instrText xml:space="preserve"> FILLIN  \* MERGEFORMAT </w:instrText>
      </w:r>
      <w:r>
        <w:fldChar w:fldCharType="separate"/>
      </w:r>
      <w:r>
        <w:rPr>
          <w:szCs w:val="22"/>
          <w:lang w:eastAsia="en-US"/>
        </w:rPr>
        <w:t>16 June 2009</w:t>
      </w:r>
      <w:r>
        <w:fldChar w:fldCharType="end"/>
      </w:r>
    </w:p>
    <w:p w:rsidR="00000000" w:rsidRDefault="00000000">
      <w:pPr>
        <w:framePr w:w="4025" w:h="2075" w:hSpace="180" w:wrap="around" w:vAnchor="text" w:hAnchor="page" w:x="852" w:y="-2563" w:anchorLock="1"/>
        <w:bidi w:val="0"/>
        <w:spacing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ARABIC</w:t>
      </w:r>
    </w:p>
    <w:p w:rsidR="00000000" w:rsidRDefault="00000000">
      <w:pPr>
        <w:framePr w:w="4025" w:h="2075" w:hSpace="180" w:wrap="around" w:vAnchor="text" w:hAnchor="page" w:x="852" w:y="-2563" w:anchorLock="1"/>
        <w:bidi w:val="0"/>
        <w:spacing w:before="0" w:after="0"/>
        <w:jc w:val="left"/>
        <w:rPr>
          <w:rFonts w:cs="Times New Roman"/>
          <w:szCs w:val="22"/>
          <w:rtl/>
          <w:lang w:eastAsia="en-US"/>
        </w:rPr>
      </w:pPr>
      <w:r>
        <w:rPr>
          <w:rFonts w:cs="Times New Roman"/>
          <w:szCs w:val="22"/>
          <w:lang w:eastAsia="en-US"/>
        </w:rPr>
        <w:t>Original: ENGLISH</w:t>
      </w:r>
    </w:p>
    <w:p w:rsidR="00000000" w:rsidRDefault="00000000">
      <w:pPr>
        <w:spacing w:before="0" w:after="0" w:line="380" w:lineRule="exact"/>
        <w:jc w:val="left"/>
        <w:rPr>
          <w:rFonts w:hint="cs"/>
          <w:rtl/>
          <w:lang w:eastAsia="en-US"/>
        </w:rPr>
      </w:pPr>
      <w:r>
        <w:rPr>
          <w:sz w:val="36"/>
          <w:szCs w:val="36"/>
          <w:rtl/>
          <w:lang w:eastAsia="en-US"/>
        </w:rPr>
        <w:t>ل</w:t>
      </w:r>
      <w:r>
        <w:rPr>
          <w:rFonts w:hint="cs"/>
          <w:sz w:val="36"/>
          <w:szCs w:val="36"/>
          <w:rtl/>
          <w:lang w:eastAsia="en-US"/>
        </w:rPr>
        <w:t>جن</w:t>
      </w:r>
      <w:r>
        <w:rPr>
          <w:sz w:val="36"/>
          <w:szCs w:val="36"/>
          <w:rtl/>
          <w:lang w:eastAsia="en-US"/>
        </w:rPr>
        <w:t xml:space="preserve">ة </w:t>
      </w:r>
      <w:r>
        <w:rPr>
          <w:rFonts w:hint="cs"/>
          <w:sz w:val="36"/>
          <w:szCs w:val="36"/>
          <w:rtl/>
          <w:lang w:eastAsia="en-US"/>
        </w:rPr>
        <w:t>القضاء على التمييز العنصري</w:t>
      </w:r>
    </w:p>
    <w:p w:rsidR="00000000" w:rsidRDefault="00000000">
      <w:pPr>
        <w:spacing w:before="0" w:after="0" w:line="380" w:lineRule="exact"/>
        <w:jc w:val="both"/>
        <w:rPr>
          <w:rFonts w:hint="cs"/>
          <w:rtl/>
        </w:rPr>
      </w:pPr>
      <w:r>
        <w:rPr>
          <w:rFonts w:hint="cs"/>
          <w:rtl/>
        </w:rPr>
        <w:t>الدورة الرابعة والسبعون</w:t>
      </w:r>
    </w:p>
    <w:p w:rsidR="00000000" w:rsidRDefault="00000000">
      <w:pPr>
        <w:spacing w:before="0" w:line="380" w:lineRule="exact"/>
        <w:jc w:val="both"/>
        <w:rPr>
          <w:rFonts w:hint="cs"/>
          <w:rtl/>
        </w:rPr>
      </w:pPr>
      <w:r>
        <w:rPr>
          <w:rFonts w:hint="cs"/>
          <w:rtl/>
        </w:rPr>
        <w:t>16 شباط/فبراير - 6 آذار/مارس 2009</w:t>
      </w:r>
    </w:p>
    <w:p w:rsidR="00000000" w:rsidRDefault="00000000">
      <w:pPr>
        <w:spacing w:before="0" w:line="380" w:lineRule="exact"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النظر في التقارير المقدمة من الدول الأطراف </w:t>
      </w:r>
      <w:r>
        <w:rPr>
          <w:b/>
          <w:bCs/>
          <w:sz w:val="36"/>
          <w:szCs w:val="36"/>
          <w:rtl/>
        </w:rPr>
        <w:br/>
      </w:r>
      <w:r>
        <w:rPr>
          <w:rFonts w:hint="cs"/>
          <w:b/>
          <w:bCs/>
          <w:sz w:val="36"/>
          <w:szCs w:val="36"/>
          <w:rtl/>
        </w:rPr>
        <w:t>بموجب المادة 9 من الاتفاقية</w:t>
      </w:r>
    </w:p>
    <w:p w:rsidR="00000000" w:rsidRDefault="00000000">
      <w:pPr>
        <w:spacing w:before="0" w:line="380" w:lineRule="exact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الملاحظات الختامية للجنة القضاء على التمييز العنصري</w:t>
      </w:r>
    </w:p>
    <w:p w:rsidR="00000000" w:rsidRDefault="00000000">
      <w:pPr>
        <w:spacing w:before="0" w:line="380" w:lineRule="exact"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غامبيا</w:t>
      </w:r>
    </w:p>
    <w:p w:rsidR="00000000" w:rsidRDefault="00000000">
      <w:pPr>
        <w:spacing w:before="0" w:line="380" w:lineRule="exact"/>
        <w:jc w:val="both"/>
        <w:rPr>
          <w:rFonts w:hint="cs"/>
          <w:spacing w:val="0"/>
          <w:rtl/>
        </w:rPr>
      </w:pPr>
      <w:r>
        <w:rPr>
          <w:rFonts w:hint="cs"/>
          <w:spacing w:val="0"/>
          <w:rtl/>
        </w:rPr>
        <w:t>1-</w:t>
      </w:r>
      <w:r>
        <w:rPr>
          <w:rFonts w:hint="cs"/>
          <w:spacing w:val="0"/>
          <w:rtl/>
        </w:rPr>
        <w:tab/>
        <w:t>نظرت اللجنة في جلستها 1922 (</w:t>
      </w:r>
      <w:r>
        <w:rPr>
          <w:spacing w:val="0"/>
        </w:rPr>
        <w:t>CERD/C/SR.1922</w:t>
      </w:r>
      <w:r>
        <w:rPr>
          <w:rFonts w:hint="cs"/>
          <w:spacing w:val="0"/>
          <w:rtl/>
        </w:rPr>
        <w:t>)، المعقودة في 27 شباط/فبراير 2009، في الحالة في غامبيا فيما يتعلق بتنفيذ الاتفاقية. وفي ظل عدم وجود التقارير الدورية المتأخرة للدولة الطرف من الثاني إلى الرابع عشر، اعتمدت اللجنة في جلستها 1930 (</w:t>
      </w:r>
      <w:r>
        <w:rPr>
          <w:spacing w:val="0"/>
        </w:rPr>
        <w:t>CERD/C/SR.1930</w:t>
      </w:r>
      <w:r>
        <w:rPr>
          <w:rFonts w:hint="cs"/>
          <w:spacing w:val="0"/>
          <w:rtl/>
        </w:rPr>
        <w:t>)، المعقودة في 5 آذار/مارس، الملاحظات التالية.</w:t>
      </w:r>
    </w:p>
    <w:p w:rsidR="00000000" w:rsidRDefault="00000000">
      <w:pPr>
        <w:spacing w:before="0" w:line="380" w:lineRule="exact"/>
        <w:jc w:val="both"/>
        <w:rPr>
          <w:rFonts w:hint="cs"/>
          <w:spacing w:val="0"/>
          <w:rtl/>
        </w:rPr>
      </w:pPr>
      <w:r>
        <w:rPr>
          <w:rFonts w:hint="cs"/>
          <w:spacing w:val="0"/>
          <w:rtl/>
        </w:rPr>
        <w:t>2-</w:t>
      </w:r>
      <w:r>
        <w:rPr>
          <w:rFonts w:hint="cs"/>
          <w:spacing w:val="0"/>
          <w:rtl/>
        </w:rPr>
        <w:tab/>
        <w:t>تلاحظ اللجنة بأسف أن غامبيا لم تقدم أي تقرير منذ عام 1980 على الرغم من توجيه عدة رسائل تذكير. وفي 5 آذار/مارس 2008، أحالت اللجنة، أثناء دورتها الثانية والسبعين، إلى الدولة الطرف قائمة مسائل لترد عليها قبل 30 أيلول/سبتمبر 2008. وتلاحظ اللجنة بأسف أن الدولة الطرف لم ترد لا على قائمة المسائل ولا على دعوتها للمشاركة في النظر في الحالة في غامبيا فيما يتعلق بتنفيذ الاتفاقية.</w:t>
      </w:r>
    </w:p>
    <w:p w:rsidR="00000000" w:rsidRDefault="00000000">
      <w:pPr>
        <w:spacing w:before="0" w:line="380" w:lineRule="exact"/>
        <w:jc w:val="both"/>
        <w:rPr>
          <w:rFonts w:hint="cs"/>
          <w:spacing w:val="0"/>
          <w:rtl/>
        </w:rPr>
      </w:pPr>
      <w:r>
        <w:rPr>
          <w:rFonts w:hint="cs"/>
          <w:spacing w:val="0"/>
          <w:rtl/>
        </w:rPr>
        <w:t>3-</w:t>
      </w:r>
      <w:r>
        <w:rPr>
          <w:rFonts w:hint="cs"/>
          <w:spacing w:val="0"/>
          <w:rtl/>
        </w:rPr>
        <w:tab/>
      </w:r>
      <w:r>
        <w:rPr>
          <w:rFonts w:hint="cs"/>
          <w:rtl/>
        </w:rPr>
        <w:t>وتكرر اللجنة أن تقديم التقارير واجب على الدول الأطراف بموجب الفقرة 1 من المادة 9 من الاتفاقية وأن عدم الامتثال في هذا الصدد يُنشئ عقبات جدية تحول دون السير الفعال للنظام المنشأ من أجل رصد تنفيذ الاتفاقية على الصعيد الوطني.</w:t>
      </w:r>
    </w:p>
    <w:p w:rsidR="00000000" w:rsidRDefault="00000000">
      <w:pPr>
        <w:spacing w:before="0" w:line="380" w:lineRule="exact"/>
        <w:jc w:val="both"/>
        <w:rPr>
          <w:rFonts w:hint="cs"/>
          <w:spacing w:val="0"/>
          <w:rtl/>
        </w:rPr>
      </w:pPr>
      <w:r>
        <w:rPr>
          <w:rFonts w:hint="cs"/>
          <w:spacing w:val="0"/>
          <w:rtl/>
        </w:rPr>
        <w:t>4-</w:t>
      </w:r>
      <w:r>
        <w:rPr>
          <w:rFonts w:hint="cs"/>
          <w:spacing w:val="0"/>
          <w:rtl/>
        </w:rPr>
        <w:tab/>
        <w:t>وتحث اللجنة الدولة الطرف على إعداد وتقديم تقاريرها المتأخرة بموجب الاتفاقية دون مزيد من الإبطاء.</w:t>
      </w:r>
    </w:p>
    <w:p w:rsidR="00000000" w:rsidRDefault="00000000">
      <w:pPr>
        <w:spacing w:before="0" w:line="380" w:lineRule="exact"/>
        <w:jc w:val="center"/>
        <w:rPr>
          <w:rFonts w:hint="cs"/>
          <w:spacing w:val="0"/>
          <w:rtl/>
        </w:rPr>
      </w:pPr>
      <w:r>
        <w:rPr>
          <w:rFonts w:hint="cs"/>
          <w:spacing w:val="0"/>
          <w:rtl/>
        </w:rPr>
        <w:t>- - - - -</w:t>
      </w:r>
    </w:p>
    <w:p w:rsidR="00000000" w:rsidRDefault="00000000">
      <w:pPr>
        <w:spacing w:before="0" w:line="380" w:lineRule="exact"/>
        <w:jc w:val="both"/>
        <w:rPr>
          <w:rFonts w:hint="cs"/>
          <w:szCs w:val="22"/>
          <w:lang w:eastAsia="en-US"/>
        </w:rPr>
      </w:pPr>
    </w:p>
    <w:sectPr w:rsidR="00000000">
      <w:headerReference w:type="first" r:id="rId7"/>
      <w:footerReference w:type="first" r:id="rId8"/>
      <w:type w:val="continuous"/>
      <w:pgSz w:w="11906" w:h="16838" w:code="9"/>
      <w:pgMar w:top="1701" w:right="1701" w:bottom="1985" w:left="851" w:header="567" w:footer="1418" w:gutter="0"/>
      <w:cols w:space="720"/>
      <w:formProt w:val="0"/>
      <w:titlePg/>
      <w:bidi/>
      <w:rtlGutter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jc w:val="both"/>
      </w:pPr>
      <w:r>
        <w:separator/>
      </w:r>
    </w:p>
  </w:endnote>
  <w:endnote w:type="continuationSeparator" w:id="0">
    <w:p w:rsidR="00000000" w:rsidRDefault="00000000">
      <w:pPr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bidi w:val="0"/>
      <w:jc w:val="right"/>
      <w:rPr>
        <w:rtl/>
        <w:lang w:eastAsia="en-US"/>
      </w:rPr>
    </w:pPr>
    <w:r>
      <w:rPr>
        <w:szCs w:val="22"/>
        <w:lang w:eastAsia="en-US"/>
      </w:rPr>
      <w:t>(A)     GE.09-43081    030709    060709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noteText"/>
        <w:numPr>
          <w:ilvl w:val="0"/>
          <w:numId w:val="0"/>
        </w:numPr>
        <w:ind w:right="0"/>
        <w:rPr>
          <w:szCs w:val="22"/>
          <w:lang w:eastAsia="en-US"/>
        </w:rPr>
      </w:pPr>
      <w:r>
        <w:separator/>
      </w:r>
    </w:p>
  </w:footnote>
  <w:footnote w:type="continuationSeparator" w:id="0">
    <w:p w:rsidR="00000000" w:rsidRDefault="00000000">
      <w:pPr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tabs>
        <w:tab w:val="right" w:pos="9467"/>
      </w:tabs>
      <w:spacing w:after="0" w:line="1000" w:lineRule="exact"/>
      <w:jc w:val="both"/>
      <w:rPr>
        <w:rFonts w:cs="Times New Roman"/>
        <w:b/>
        <w:bCs/>
        <w:sz w:val="44"/>
        <w:szCs w:val="36"/>
        <w:rtl/>
        <w:lang w:eastAsia="en-US"/>
      </w:rPr>
    </w:pPr>
    <w:r>
      <w:rPr>
        <w:sz w:val="56"/>
        <w:szCs w:val="56"/>
        <w:rtl/>
        <w:lang w:eastAsia="en-US"/>
      </w:rPr>
      <w:t>الأمم المتحدة</w:t>
    </w:r>
    <w:r>
      <w:rPr>
        <w:szCs w:val="36"/>
        <w:rtl/>
        <w:lang w:eastAsia="en-US"/>
      </w:rPr>
      <w:tab/>
    </w:r>
    <w:r>
      <w:rPr>
        <w:rFonts w:ascii="Arial" w:hAnsi="Arial" w:cs="Arial"/>
        <w:b/>
        <w:bCs/>
        <w:sz w:val="72"/>
        <w:szCs w:val="72"/>
        <w:lang w:eastAsia="en-US"/>
      </w:rPr>
      <w:t>CERD</w:t>
    </w:r>
  </w:p>
  <w:p w:rsidR="00000000" w:rsidRDefault="00000000">
    <w:pPr>
      <w:pBdr>
        <w:bottom w:val="single" w:sz="6" w:space="1" w:color="auto"/>
      </w:pBdr>
      <w:bidi w:val="0"/>
      <w:spacing w:before="0" w:after="0"/>
      <w:rPr>
        <w:rFonts w:cs="Times New Roman"/>
        <w:szCs w:val="22"/>
        <w:lang w:eastAsia="en-US"/>
      </w:rPr>
    </w:pPr>
  </w:p>
  <w:p w:rsidR="00000000" w:rsidRDefault="00000000">
    <w:pPr>
      <w:pStyle w:val="Header"/>
      <w:bidi w:val="0"/>
      <w:rPr>
        <w:szCs w:val="22"/>
        <w:lang w:eastAsia="en-US"/>
      </w:rPr>
    </w:pPr>
    <w:r>
      <w:rPr>
        <w:noProof/>
        <w:sz w:val="20"/>
        <w:rtl/>
        <w:lang w:val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84.75pt;margin-top:13.9pt;width:92.9pt;height:59.35pt;z-index:2" fillcolor="window">
          <v:imagedata r:id="rId1" o:title="" croptop="-748f" cropbottom="-748f" cropleft="-9433f" cropright="-9433f"/>
        </v:shape>
        <o:OLEObject Type="Embed" ProgID="Word.Picture.8" ShapeID="_x0000_s1031" DrawAspect="Content" ObjectID="_1395477057" r:id="rId2"/>
      </w:pict>
    </w:r>
  </w:p>
  <w:p w:rsidR="00000000" w:rsidRDefault="00000000">
    <w:pPr>
      <w:pStyle w:val="Header"/>
      <w:bidi w:val="0"/>
      <w:rPr>
        <w:szCs w:val="22"/>
        <w:lang w:eastAsia="en-US"/>
      </w:rPr>
    </w:pPr>
    <w:r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13.55pt;margin-top:.8pt;width:216.15pt;height:78.4pt;z-index:-2;mso-wrap-edited:f;mso-position-horizontal-relative:page" wrapcoords="-80 -372 -80 21972 21761 21972 21761 -372 -80 -372" filled="f" stroked="f" strokeweight="2.25pt">
          <v:textbox style="mso-next-textbox:#_x0000_s1026" inset="0,0,0,0">
            <w:txbxContent>
              <w:p w:rsidR="00000000" w:rsidRDefault="00000000">
                <w:pPr>
                  <w:spacing w:before="0" w:after="0" w:line="600" w:lineRule="exact"/>
                  <w:jc w:val="left"/>
                  <w:rPr>
                    <w:rFonts w:hint="cs"/>
                    <w:b/>
                    <w:bCs/>
                    <w:spacing w:val="0"/>
                    <w:sz w:val="50"/>
                    <w:szCs w:val="50"/>
                    <w:rtl/>
                  </w:rPr>
                </w:pPr>
                <w:r>
                  <w:rPr>
                    <w:rFonts w:hint="cs"/>
                    <w:b/>
                    <w:bCs/>
                    <w:spacing w:val="0"/>
                    <w:sz w:val="50"/>
                    <w:szCs w:val="50"/>
                    <w:rtl/>
                  </w:rPr>
                  <w:t>الاتفاقية الدوليـة للقضاء على جميع أشكال التمييز العنصري</w:t>
                </w:r>
              </w:p>
            </w:txbxContent>
          </v:textbox>
          <w10:wrap type="tight" anchorx="page"/>
        </v:shape>
      </w:pict>
    </w:r>
  </w:p>
  <w:p w:rsidR="00000000" w:rsidRDefault="00000000">
    <w:pPr>
      <w:pStyle w:val="Header"/>
      <w:bidi w:val="0"/>
      <w:rPr>
        <w:szCs w:val="22"/>
        <w:lang w:eastAsia="en-US"/>
      </w:rPr>
    </w:pPr>
  </w:p>
  <w:p w:rsidR="00000000" w:rsidRDefault="00000000">
    <w:pPr>
      <w:pStyle w:val="Header"/>
      <w:bidi w:val="0"/>
      <w:rPr>
        <w:szCs w:val="22"/>
        <w:lang w:eastAsia="en-US"/>
      </w:rPr>
    </w:pPr>
  </w:p>
  <w:p w:rsidR="00000000" w:rsidRDefault="00000000">
    <w:pPr>
      <w:pStyle w:val="Header"/>
      <w:bidi w:val="0"/>
      <w:rPr>
        <w:szCs w:val="22"/>
        <w:lang w:eastAsia="en-US"/>
      </w:rPr>
    </w:pPr>
  </w:p>
  <w:p w:rsidR="00000000" w:rsidRDefault="00000000">
    <w:pPr>
      <w:pStyle w:val="Header"/>
      <w:bidi w:val="0"/>
      <w:rPr>
        <w:rtl/>
        <w:lang w:eastAsia="en-US"/>
      </w:rPr>
    </w:pPr>
  </w:p>
  <w:p w:rsidR="00000000" w:rsidRDefault="00000000">
    <w:pPr>
      <w:pStyle w:val="Header"/>
      <w:bidi w:val="0"/>
      <w:rPr>
        <w:rtl/>
        <w:lang w:eastAsia="en-US"/>
      </w:rPr>
    </w:pPr>
  </w:p>
  <w:p w:rsidR="00000000" w:rsidRDefault="00000000">
    <w:pPr>
      <w:pStyle w:val="Header"/>
      <w:pBdr>
        <w:bottom w:val="single" w:sz="36" w:space="1" w:color="auto"/>
      </w:pBdr>
      <w:bidi w:val="0"/>
      <w:rPr>
        <w:rtl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BE48F6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right="1440" w:hanging="720"/>
      </w:pPr>
      <w:rPr>
        <w:rFonts w:ascii="Symbol" w:hAnsi="Symbol" w:hint="default"/>
      </w:rPr>
    </w:lvl>
  </w:abstractNum>
  <w:abstractNum w:abstractNumId="1">
    <w:nsid w:val="02B91CB6"/>
    <w:multiLevelType w:val="hybridMultilevel"/>
    <w:tmpl w:val="E4EE165C"/>
    <w:lvl w:ilvl="0" w:tplc="FE5248B4">
      <w:start w:val="1"/>
      <w:numFmt w:val="arabicAbjad"/>
      <w:pStyle w:val="a"/>
      <w:lvlText w:val="(%1)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13348E2"/>
    <w:multiLevelType w:val="hybridMultilevel"/>
    <w:tmpl w:val="7944817C"/>
    <w:lvl w:ilvl="0" w:tplc="3D266618">
      <w:start w:val="1"/>
      <w:numFmt w:val="decimal"/>
      <w:pStyle w:val="FootnoteText"/>
      <w:lvlText w:val="(%1)"/>
      <w:lvlJc w:val="left"/>
      <w:pPr>
        <w:tabs>
          <w:tab w:val="num" w:pos="737"/>
        </w:tabs>
        <w:ind w:left="737" w:right="737" w:hanging="73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33655D9C"/>
    <w:multiLevelType w:val="hybridMultilevel"/>
    <w:tmpl w:val="C9DCA460"/>
    <w:lvl w:ilvl="0" w:tplc="E60CEABA">
      <w:start w:val="1"/>
      <w:numFmt w:val="decimal"/>
      <w:pStyle w:val="Artic1-"/>
      <w:lvlText w:val="%1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394C6AF4"/>
    <w:multiLevelType w:val="hybridMultilevel"/>
    <w:tmpl w:val="B4F25B64"/>
    <w:lvl w:ilvl="0" w:tplc="2368BD92">
      <w:start w:val="6"/>
      <w:numFmt w:val="arabicAbjad"/>
      <w:pStyle w:val="-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w w:val="100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DEF3F8B"/>
    <w:multiLevelType w:val="hybridMultilevel"/>
    <w:tmpl w:val="A072E08C"/>
    <w:lvl w:ilvl="0" w:tplc="BCF0B69C">
      <w:start w:val="1"/>
      <w:numFmt w:val="decimal"/>
      <w:pStyle w:val="parag"/>
      <w:lvlText w:val="%1-"/>
      <w:lvlJc w:val="left"/>
      <w:pPr>
        <w:tabs>
          <w:tab w:val="num" w:pos="360"/>
        </w:tabs>
        <w:ind w:left="0" w:firstLine="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F1E1156"/>
    <w:multiLevelType w:val="hybridMultilevel"/>
    <w:tmpl w:val="8632BE1C"/>
    <w:lvl w:ilvl="0" w:tplc="D25C9436">
      <w:start w:val="1"/>
      <w:numFmt w:val="decimal"/>
      <w:pStyle w:val="Rom1-"/>
      <w:lvlText w:val="'%1'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40B06C04"/>
    <w:multiLevelType w:val="hybridMultilevel"/>
    <w:tmpl w:val="A27051CA"/>
    <w:lvl w:ilvl="0" w:tplc="527CFA7C">
      <w:start w:val="6"/>
      <w:numFmt w:val="none"/>
      <w:pStyle w:val="a0"/>
      <w:lvlText w:val="(ﻫ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E656FEB0">
      <w:start w:val="6"/>
      <w:numFmt w:val="none"/>
      <w:lvlText w:val="(ﻫ)"/>
      <w:lvlJc w:val="left"/>
      <w:pPr>
        <w:tabs>
          <w:tab w:val="num" w:pos="1800"/>
        </w:tabs>
        <w:ind w:left="1800" w:right="180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59D80086"/>
    <w:multiLevelType w:val="hybridMultilevel"/>
    <w:tmpl w:val="608C4A4A"/>
    <w:lvl w:ilvl="0" w:tplc="5A340FAE">
      <w:start w:val="1"/>
      <w:numFmt w:val="decimal"/>
      <w:pStyle w:val="EndnoteText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oNotTrackMoves/>
  <w:defaultTabStop w:val="720"/>
  <w:evenAndOddHeaders/>
  <w:drawingGridHorizontalSpacing w:val="171"/>
  <w:drawingGridVerticalSpacing w:val="112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before="240" w:after="240"/>
      <w:jc w:val="lowKashida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szCs w:val="28"/>
      <w:u w:val="single"/>
    </w:rPr>
  </w:style>
  <w:style w:type="paragraph" w:styleId="Heading5">
    <w:name w:val="heading 5"/>
    <w:basedOn w:val="Normal"/>
    <w:next w:val="Normal"/>
    <w:qFormat/>
    <w:pPr>
      <w:jc w:val="both"/>
      <w:outlineLvl w:val="4"/>
    </w:pPr>
    <w:rPr>
      <w:b/>
      <w:bCs/>
      <w:sz w:val="28"/>
      <w:szCs w:val="3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numPr>
        <w:numId w:val="1"/>
      </w:numPr>
      <w:tabs>
        <w:tab w:val="clear" w:pos="737"/>
      </w:tabs>
      <w:spacing w:before="0" w:after="120" w:line="340" w:lineRule="exact"/>
      <w:ind w:left="0" w:right="0" w:firstLine="720"/>
      <w:jc w:val="both"/>
    </w:pPr>
    <w:rPr>
      <w:szCs w:val="28"/>
    </w:rPr>
  </w:style>
  <w:style w:type="character" w:styleId="FootnoteReference">
    <w:name w:val="footnote reference"/>
    <w:semiHidden/>
    <w:rPr>
      <w:rFonts w:cs="Traditional Arabic"/>
      <w:bCs/>
      <w:szCs w:val="28"/>
      <w:vertAlign w:val="superscript"/>
      <w:lang w:bidi="ar-SA"/>
    </w:rPr>
  </w:style>
  <w:style w:type="paragraph" w:customStyle="1" w:styleId="a">
    <w:name w:val="(أ) إلى (د)"/>
    <w:basedOn w:val="Normal"/>
    <w:pPr>
      <w:numPr>
        <w:numId w:val="2"/>
      </w:numPr>
      <w:tabs>
        <w:tab w:val="clear" w:pos="1440"/>
      </w:tabs>
      <w:ind w:left="0" w:right="0" w:firstLine="720"/>
      <w:jc w:val="both"/>
    </w:pPr>
  </w:style>
  <w:style w:type="paragraph" w:customStyle="1" w:styleId="a0">
    <w:name w:val="(ه‍)"/>
    <w:basedOn w:val="a"/>
    <w:pPr>
      <w:numPr>
        <w:numId w:val="3"/>
      </w:numPr>
      <w:tabs>
        <w:tab w:val="clear" w:pos="1080"/>
        <w:tab w:val="left" w:pos="720"/>
      </w:tabs>
      <w:ind w:right="0"/>
    </w:pPr>
  </w:style>
  <w:style w:type="paragraph" w:customStyle="1" w:styleId="parag">
    <w:name w:val="parag"/>
    <w:pPr>
      <w:numPr>
        <w:numId w:val="4"/>
      </w:numPr>
      <w:tabs>
        <w:tab w:val="clear" w:pos="360"/>
        <w:tab w:val="left" w:pos="720"/>
      </w:tabs>
      <w:bidi/>
      <w:spacing w:before="180" w:after="180" w:line="400" w:lineRule="exact"/>
      <w:jc w:val="both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ListBullet">
    <w:name w:val="List Bullet"/>
    <w:basedOn w:val="Normal"/>
    <w:autoRedefine/>
    <w:semiHidden/>
    <w:pPr>
      <w:numPr>
        <w:numId w:val="6"/>
      </w:numPr>
      <w:ind w:right="0"/>
      <w:jc w:val="both"/>
    </w:pPr>
  </w:style>
  <w:style w:type="paragraph" w:customStyle="1" w:styleId="Artic1-">
    <w:name w:val="Artic_1-"/>
    <w:basedOn w:val="Normal"/>
    <w:pPr>
      <w:numPr>
        <w:numId w:val="7"/>
      </w:numPr>
      <w:jc w:val="both"/>
    </w:pPr>
  </w:style>
  <w:style w:type="paragraph" w:customStyle="1" w:styleId="-">
    <w:name w:val="(و) -"/>
    <w:basedOn w:val="Normal"/>
    <w:pPr>
      <w:numPr>
        <w:numId w:val="5"/>
      </w:numPr>
      <w:tabs>
        <w:tab w:val="clear" w:pos="1080"/>
      </w:tabs>
      <w:jc w:val="both"/>
    </w:pPr>
  </w:style>
  <w:style w:type="paragraph" w:styleId="EndnoteText">
    <w:name w:val="endnote text"/>
    <w:basedOn w:val="Normal"/>
    <w:semiHidden/>
    <w:pPr>
      <w:numPr>
        <w:numId w:val="9"/>
      </w:numPr>
      <w:spacing w:before="0" w:after="120" w:line="340" w:lineRule="exact"/>
      <w:jc w:val="both"/>
    </w:pPr>
    <w:rPr>
      <w:sz w:val="21"/>
      <w:szCs w:val="28"/>
    </w:rPr>
  </w:style>
  <w:style w:type="paragraph" w:styleId="Footer">
    <w:name w:val="footer"/>
    <w:basedOn w:val="Normal"/>
    <w:semiHidden/>
    <w:pPr>
      <w:spacing w:before="0" w:after="0"/>
      <w:jc w:val="both"/>
    </w:pPr>
  </w:style>
  <w:style w:type="paragraph" w:styleId="TOC9">
    <w:name w:val="toc 9"/>
    <w:basedOn w:val="Normal"/>
    <w:next w:val="Normal"/>
    <w:autoRedefine/>
    <w:semiHidden/>
    <w:pPr>
      <w:ind w:left="1760"/>
      <w:jc w:val="both"/>
    </w:pPr>
  </w:style>
  <w:style w:type="paragraph" w:customStyle="1" w:styleId="Rom1-">
    <w:name w:val="Rom_'1'-"/>
    <w:basedOn w:val="Normal"/>
    <w:pPr>
      <w:numPr>
        <w:numId w:val="8"/>
      </w:numPr>
      <w:ind w:right="0"/>
      <w:jc w:val="both"/>
    </w:pPr>
  </w:style>
  <w:style w:type="character" w:styleId="EndnoteReference">
    <w:name w:val="endnote reference"/>
    <w:semiHidden/>
    <w:rPr>
      <w:rFonts w:ascii="Times New Roman" w:hAnsi="Times New Roman" w:cs="Traditional Arabic"/>
      <w:bCs/>
      <w:szCs w:val="28"/>
      <w:vertAlign w:val="superscript"/>
      <w:lang w:bidi="ar-SA"/>
    </w:rPr>
  </w:style>
  <w:style w:type="paragraph" w:customStyle="1" w:styleId="H1CLB">
    <w:name w:val="H1_C+L+B"/>
    <w:basedOn w:val="Normal"/>
    <w:pPr>
      <w:jc w:val="center"/>
    </w:pPr>
    <w:rPr>
      <w:bCs/>
      <w:sz w:val="28"/>
      <w:szCs w:val="36"/>
    </w:rPr>
  </w:style>
  <w:style w:type="paragraph" w:customStyle="1" w:styleId="H2CL">
    <w:name w:val="H2_C+L"/>
    <w:basedOn w:val="Normal"/>
    <w:pPr>
      <w:jc w:val="center"/>
    </w:pPr>
    <w:rPr>
      <w:sz w:val="28"/>
      <w:szCs w:val="36"/>
    </w:rPr>
  </w:style>
  <w:style w:type="paragraph" w:customStyle="1" w:styleId="H3CB">
    <w:name w:val="H3_C+B"/>
    <w:basedOn w:val="Normal"/>
    <w:pPr>
      <w:jc w:val="center"/>
    </w:pPr>
    <w:rPr>
      <w:b/>
      <w:bCs/>
    </w:rPr>
  </w:style>
  <w:style w:type="paragraph" w:customStyle="1" w:styleId="H4CU">
    <w:name w:val="H4_C+U"/>
    <w:basedOn w:val="Normal"/>
    <w:pPr>
      <w:jc w:val="center"/>
    </w:pPr>
    <w:rPr>
      <w:u w:val="single"/>
    </w:rPr>
  </w:style>
  <w:style w:type="paragraph" w:customStyle="1" w:styleId="H5RLB">
    <w:name w:val="H5_R+L+B"/>
    <w:basedOn w:val="Normal"/>
    <w:pPr>
      <w:jc w:val="both"/>
    </w:pPr>
    <w:rPr>
      <w:b/>
      <w:bCs/>
      <w:sz w:val="28"/>
      <w:szCs w:val="36"/>
    </w:rPr>
  </w:style>
  <w:style w:type="paragraph" w:customStyle="1" w:styleId="H6RL">
    <w:name w:val="H6_R+L"/>
    <w:basedOn w:val="Normal"/>
    <w:pPr>
      <w:jc w:val="both"/>
    </w:pPr>
    <w:rPr>
      <w:sz w:val="28"/>
      <w:szCs w:val="36"/>
    </w:rPr>
  </w:style>
  <w:style w:type="paragraph" w:customStyle="1" w:styleId="H7RBI">
    <w:name w:val="H7_R+B+I"/>
    <w:basedOn w:val="Normal"/>
    <w:pPr>
      <w:jc w:val="both"/>
    </w:pPr>
    <w:rPr>
      <w:b/>
      <w:bCs/>
      <w:i/>
      <w:iCs/>
    </w:rPr>
  </w:style>
  <w:style w:type="paragraph" w:customStyle="1" w:styleId="H8">
    <w:name w:val="H8"/>
    <w:basedOn w:val="Normal"/>
    <w:pPr>
      <w:jc w:val="both"/>
    </w:pPr>
    <w:rPr>
      <w:i/>
      <w:iCs/>
    </w:rPr>
  </w:style>
  <w:style w:type="paragraph" w:customStyle="1" w:styleId="H8RI">
    <w:name w:val="H8_R+I"/>
    <w:basedOn w:val="Normal"/>
    <w:pPr>
      <w:jc w:val="both"/>
    </w:pPr>
    <w:rPr>
      <w:i/>
      <w:iCs/>
    </w:rPr>
  </w:style>
  <w:style w:type="paragraph" w:customStyle="1" w:styleId="H9RU">
    <w:name w:val="H9_R+U"/>
    <w:basedOn w:val="Normal"/>
    <w:pPr>
      <w:jc w:val="both"/>
    </w:pPr>
    <w:rPr>
      <w:u w:val="single"/>
    </w:rPr>
  </w:style>
  <w:style w:type="paragraph" w:customStyle="1" w:styleId="HCCIn">
    <w:name w:val="HC_C+In."/>
    <w:basedOn w:val="Normal"/>
    <w:pPr>
      <w:ind w:left="2705" w:right="1985" w:hanging="720"/>
      <w:jc w:val="both"/>
    </w:pPr>
  </w:style>
  <w:style w:type="paragraph" w:customStyle="1" w:styleId="HaRIn">
    <w:name w:val="Ha_R+In."/>
    <w:basedOn w:val="Normal"/>
    <w:pPr>
      <w:ind w:left="720" w:hanging="720"/>
      <w:jc w:val="both"/>
    </w:pPr>
  </w:style>
  <w:style w:type="character" w:styleId="Hyperlink">
    <w:name w:val="Hyperlink"/>
    <w:semiHidden/>
    <w:rPr>
      <w:color w:val="auto"/>
      <w:u w:val="none"/>
    </w:rPr>
  </w:style>
  <w:style w:type="paragraph" w:customStyle="1" w:styleId="HCCCm">
    <w:name w:val="HCC_Cm"/>
    <w:basedOn w:val="Normal"/>
    <w:pPr>
      <w:keepNext/>
      <w:ind w:left="1985" w:right="1985"/>
      <w:jc w:val="both"/>
    </w:pPr>
  </w:style>
  <w:style w:type="paragraph" w:styleId="Header">
    <w:name w:val="header"/>
    <w:basedOn w:val="Normal"/>
    <w:semiHidden/>
    <w:pPr>
      <w:spacing w:before="0" w:after="0"/>
      <w:jc w:val="both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TEMPLATEX\FINALX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الجمعية العامة</vt:lpstr>
    </vt:vector>
  </TitlesOfParts>
  <Company>ONU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الجمعية العامة</dc:title>
  <dc:subject/>
  <dc:creator>ريما</dc:creator>
  <cp:keywords/>
  <dc:description/>
  <cp:lastModifiedBy>csd</cp:lastModifiedBy>
  <cp:revision>2</cp:revision>
  <cp:lastPrinted>2009-07-06T07:23:00Z</cp:lastPrinted>
  <dcterms:created xsi:type="dcterms:W3CDTF">2009-08-04T12:23:00Z</dcterms:created>
  <dcterms:modified xsi:type="dcterms:W3CDTF">2009-08-04T12:23:00Z</dcterms:modified>
</cp:coreProperties>
</file>